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200" w:lineRule="exact"/>
        <w:ind w:firstLine="301"/>
        <w:rPr>
          <w:rFonts w:ascii="宋体" w:hAnsi="Courier New" w:eastAsia="宋体" w:cs="Times New Roman"/>
          <w:color w:val="auto"/>
          <w:spacing w:val="-4"/>
          <w:kern w:val="0"/>
          <w:sz w:val="18"/>
          <w:szCs w:val="20"/>
          <w:highlight w:val="none"/>
        </w:rPr>
      </w:pPr>
      <w:bookmarkStart w:id="0" w:name="_Hlk130282328"/>
    </w:p>
    <w:p>
      <w:pPr>
        <w:autoSpaceDN w:val="0"/>
        <w:snapToGrid w:val="0"/>
        <w:spacing w:line="360" w:lineRule="auto"/>
        <w:jc w:val="center"/>
        <w:rPr>
          <w:rFonts w:ascii="仿宋" w:hAnsi="仿宋" w:eastAsia="仿宋" w:cs="宋体"/>
          <w:b/>
          <w:color w:val="auto"/>
          <w:sz w:val="32"/>
          <w:szCs w:val="32"/>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rPr>
          <w:rFonts w:ascii="宋体" w:hAnsi="Courier New" w:eastAsia="宋体" w:cs="Times New Roman"/>
          <w:color w:val="auto"/>
          <w:spacing w:val="-4"/>
          <w:kern w:val="0"/>
          <w:sz w:val="18"/>
          <w:szCs w:val="20"/>
          <w:highlight w:val="none"/>
        </w:rPr>
      </w:pPr>
    </w:p>
    <w:p>
      <w:pPr>
        <w:autoSpaceDN w:val="0"/>
        <w:spacing w:line="200" w:lineRule="exact"/>
        <w:rPr>
          <w:rFonts w:ascii="宋体" w:hAnsi="Courier New" w:eastAsia="宋体" w:cs="Times New Roman"/>
          <w:color w:val="auto"/>
          <w:spacing w:val="-4"/>
          <w:kern w:val="0"/>
          <w:sz w:val="18"/>
          <w:szCs w:val="20"/>
          <w:highlight w:val="none"/>
        </w:rPr>
      </w:pPr>
    </w:p>
    <w:p>
      <w:pPr>
        <w:autoSpaceDN w:val="0"/>
        <w:spacing w:line="200" w:lineRule="exact"/>
        <w:rPr>
          <w:rFonts w:ascii="宋体" w:hAnsi="Courier New" w:eastAsia="宋体" w:cs="Times New Roman"/>
          <w:color w:val="auto"/>
          <w:spacing w:val="-4"/>
          <w:kern w:val="0"/>
          <w:sz w:val="18"/>
          <w:szCs w:val="20"/>
          <w:highlight w:val="none"/>
        </w:rPr>
      </w:pPr>
    </w:p>
    <w:p>
      <w:pPr>
        <w:autoSpaceDN w:val="0"/>
        <w:adjustRightInd w:val="0"/>
        <w:snapToGrid w:val="0"/>
        <w:spacing w:line="480" w:lineRule="auto"/>
        <w:jc w:val="center"/>
        <w:rPr>
          <w:rFonts w:hint="eastAsia" w:ascii="仿宋" w:hAnsi="仿宋" w:eastAsia="仿宋" w:cs="宋体"/>
          <w:b/>
          <w:color w:val="auto"/>
          <w:sz w:val="44"/>
          <w:szCs w:val="44"/>
          <w:highlight w:val="none"/>
          <w:lang w:eastAsia="zh-CN"/>
        </w:rPr>
      </w:pPr>
      <w:bookmarkStart w:id="1" w:name="_Hlk130364830"/>
      <w:r>
        <w:rPr>
          <w:rFonts w:hint="eastAsia" w:ascii="仿宋" w:hAnsi="仿宋" w:eastAsia="仿宋" w:cs="宋体"/>
          <w:b/>
          <w:color w:val="auto"/>
          <w:sz w:val="44"/>
          <w:szCs w:val="44"/>
          <w:highlight w:val="none"/>
          <w:lang w:eastAsia="zh-CN"/>
        </w:rPr>
        <w:t>省拱宸所戒毒法治基地配套项目标一</w:t>
      </w:r>
    </w:p>
    <w:bookmarkEnd w:id="1"/>
    <w:p>
      <w:pPr>
        <w:autoSpaceDN w:val="0"/>
        <w:adjustRightInd w:val="0"/>
        <w:snapToGrid w:val="0"/>
        <w:spacing w:line="480" w:lineRule="auto"/>
        <w:jc w:val="center"/>
        <w:rPr>
          <w:rFonts w:hint="eastAsia" w:ascii="仿宋" w:hAnsi="仿宋" w:eastAsia="仿宋" w:cs="宋体"/>
          <w:b/>
          <w:color w:val="auto"/>
          <w:sz w:val="44"/>
          <w:szCs w:val="44"/>
          <w:highlight w:val="none"/>
        </w:rPr>
      </w:pPr>
    </w:p>
    <w:p>
      <w:pPr>
        <w:autoSpaceDN w:val="0"/>
        <w:adjustRightInd w:val="0"/>
        <w:snapToGrid w:val="0"/>
        <w:spacing w:line="480" w:lineRule="auto"/>
        <w:jc w:val="center"/>
        <w:rPr>
          <w:rFonts w:ascii="仿宋" w:hAnsi="仿宋" w:eastAsia="仿宋" w:cs="宋体"/>
          <w:b/>
          <w:color w:val="auto"/>
          <w:sz w:val="44"/>
          <w:szCs w:val="44"/>
          <w:highlight w:val="none"/>
        </w:rPr>
      </w:pPr>
      <w:r>
        <w:rPr>
          <w:rFonts w:hint="eastAsia" w:ascii="仿宋" w:hAnsi="仿宋" w:eastAsia="仿宋" w:cs="宋体"/>
          <w:b/>
          <w:color w:val="auto"/>
          <w:sz w:val="44"/>
          <w:szCs w:val="44"/>
          <w:highlight w:val="none"/>
        </w:rPr>
        <w:t>竞争性磋商采购文件</w:t>
      </w:r>
    </w:p>
    <w:p>
      <w:pPr>
        <w:autoSpaceDN w:val="0"/>
        <w:snapToGrid w:val="0"/>
        <w:spacing w:line="360" w:lineRule="auto"/>
        <w:jc w:val="left"/>
        <w:rPr>
          <w:rFonts w:ascii="仿宋" w:hAnsi="仿宋" w:eastAsia="仿宋" w:cs="宋体"/>
          <w:color w:val="auto"/>
          <w:sz w:val="32"/>
          <w:szCs w:val="32"/>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widowControl/>
        <w:autoSpaceDN w:val="0"/>
        <w:adjustRightInd w:val="0"/>
        <w:snapToGrid w:val="0"/>
        <w:spacing w:line="480" w:lineRule="auto"/>
        <w:ind w:firstLine="1687" w:firstLineChars="600"/>
        <w:jc w:val="left"/>
        <w:rPr>
          <w:rFonts w:ascii="仿宋" w:hAnsi="仿宋" w:eastAsia="仿宋" w:cs="宋体"/>
          <w:b/>
          <w:bCs/>
          <w:color w:val="auto"/>
          <w:sz w:val="28"/>
          <w:szCs w:val="28"/>
          <w:highlight w:val="none"/>
        </w:rPr>
      </w:pPr>
    </w:p>
    <w:p>
      <w:pPr>
        <w:widowControl/>
        <w:autoSpaceDN w:val="0"/>
        <w:adjustRightInd w:val="0"/>
        <w:snapToGrid w:val="0"/>
        <w:spacing w:line="480" w:lineRule="auto"/>
        <w:ind w:firstLine="1687" w:firstLineChars="600"/>
        <w:jc w:val="left"/>
        <w:rPr>
          <w:rFonts w:ascii="仿宋" w:hAnsi="仿宋" w:eastAsia="仿宋" w:cs="宋体"/>
          <w:b/>
          <w:bCs/>
          <w:color w:val="auto"/>
          <w:sz w:val="28"/>
          <w:szCs w:val="28"/>
          <w:highlight w:val="none"/>
        </w:rPr>
      </w:pPr>
    </w:p>
    <w:p>
      <w:pPr>
        <w:pStyle w:val="77"/>
        <w:rPr>
          <w:rFonts w:ascii="仿宋" w:hAnsi="仿宋" w:eastAsia="仿宋" w:cs="宋体"/>
          <w:b/>
          <w:bCs/>
          <w:color w:val="auto"/>
          <w:sz w:val="28"/>
          <w:szCs w:val="28"/>
          <w:highlight w:val="none"/>
        </w:rPr>
      </w:pPr>
    </w:p>
    <w:p>
      <w:pPr>
        <w:pStyle w:val="77"/>
        <w:rPr>
          <w:rFonts w:ascii="仿宋" w:hAnsi="仿宋" w:eastAsia="仿宋" w:cs="宋体"/>
          <w:b/>
          <w:bCs/>
          <w:color w:val="auto"/>
          <w:sz w:val="28"/>
          <w:szCs w:val="28"/>
          <w:highlight w:val="none"/>
        </w:rPr>
      </w:pPr>
    </w:p>
    <w:p>
      <w:pPr>
        <w:pStyle w:val="77"/>
        <w:rPr>
          <w:rFonts w:ascii="仿宋" w:hAnsi="仿宋" w:eastAsia="仿宋" w:cs="宋体"/>
          <w:b/>
          <w:bCs/>
          <w:color w:val="auto"/>
          <w:sz w:val="28"/>
          <w:szCs w:val="28"/>
          <w:highlight w:val="none"/>
        </w:rPr>
      </w:pPr>
    </w:p>
    <w:p>
      <w:pPr>
        <w:autoSpaceDN w:val="0"/>
        <w:spacing w:line="200" w:lineRule="exact"/>
        <w:rPr>
          <w:rFonts w:ascii="宋体" w:hAnsi="Courier New" w:eastAsia="宋体" w:cs="Times New Roman"/>
          <w:color w:val="auto"/>
          <w:spacing w:val="-4"/>
          <w:kern w:val="0"/>
          <w:sz w:val="18"/>
          <w:szCs w:val="20"/>
          <w:highlight w:val="none"/>
        </w:rPr>
      </w:pPr>
    </w:p>
    <w:p>
      <w:pPr>
        <w:autoSpaceDN w:val="0"/>
        <w:spacing w:line="200" w:lineRule="exact"/>
        <w:rPr>
          <w:rFonts w:ascii="宋体" w:hAnsi="Courier New" w:eastAsia="宋体" w:cs="Times New Roman"/>
          <w:color w:val="auto"/>
          <w:spacing w:val="-4"/>
          <w:kern w:val="0"/>
          <w:sz w:val="18"/>
          <w:szCs w:val="20"/>
          <w:highlight w:val="none"/>
        </w:rPr>
      </w:pPr>
    </w:p>
    <w:p>
      <w:pPr>
        <w:autoSpaceDN w:val="0"/>
        <w:spacing w:line="200" w:lineRule="exact"/>
        <w:rPr>
          <w:rFonts w:ascii="宋体" w:hAnsi="Courier New" w:eastAsia="宋体" w:cs="Times New Roman"/>
          <w:color w:val="auto"/>
          <w:spacing w:val="-4"/>
          <w:kern w:val="0"/>
          <w:sz w:val="18"/>
          <w:szCs w:val="20"/>
          <w:highlight w:val="none"/>
        </w:rPr>
      </w:pPr>
    </w:p>
    <w:p>
      <w:pPr>
        <w:autoSpaceDN w:val="0"/>
        <w:spacing w:line="200" w:lineRule="exact"/>
        <w:rPr>
          <w:rFonts w:ascii="宋体" w:hAnsi="Courier New" w:eastAsia="宋体" w:cs="Times New Roman"/>
          <w:color w:val="auto"/>
          <w:spacing w:val="-4"/>
          <w:kern w:val="0"/>
          <w:sz w:val="18"/>
          <w:szCs w:val="20"/>
          <w:highlight w:val="none"/>
        </w:rPr>
      </w:pPr>
    </w:p>
    <w:p>
      <w:pPr>
        <w:widowControl/>
        <w:autoSpaceDN w:val="0"/>
        <w:adjustRightInd w:val="0"/>
        <w:snapToGrid w:val="0"/>
        <w:spacing w:line="480" w:lineRule="auto"/>
        <w:ind w:firstLine="1687" w:firstLineChars="600"/>
        <w:jc w:val="left"/>
        <w:rPr>
          <w:rFonts w:hint="eastAsia" w:ascii="仿宋" w:hAnsi="仿宋" w:eastAsia="仿宋" w:cs="Times New Roman"/>
          <w:color w:val="auto"/>
          <w:sz w:val="28"/>
          <w:szCs w:val="28"/>
          <w:highlight w:val="none"/>
          <w:lang w:eastAsia="zh-CN"/>
        </w:rPr>
      </w:pPr>
      <w:r>
        <w:rPr>
          <w:rFonts w:hint="eastAsia" w:ascii="仿宋" w:hAnsi="仿宋" w:eastAsia="仿宋" w:cs="宋体"/>
          <w:b/>
          <w:bCs/>
          <w:color w:val="auto"/>
          <w:sz w:val="28"/>
          <w:szCs w:val="28"/>
          <w:highlight w:val="none"/>
        </w:rPr>
        <w:t>项目编号：</w:t>
      </w:r>
      <w:r>
        <w:rPr>
          <w:rFonts w:hint="eastAsia" w:ascii="仿宋" w:hAnsi="仿宋" w:eastAsia="仿宋" w:cs="宋体"/>
          <w:b/>
          <w:bCs/>
          <w:color w:val="auto"/>
          <w:kern w:val="0"/>
          <w:sz w:val="28"/>
          <w:szCs w:val="28"/>
          <w:highlight w:val="none"/>
          <w:lang w:eastAsia="zh-CN"/>
        </w:rPr>
        <w:t>HSZB-2024-329</w:t>
      </w:r>
    </w:p>
    <w:p>
      <w:pPr>
        <w:autoSpaceDN w:val="0"/>
        <w:snapToGrid w:val="0"/>
        <w:spacing w:line="480" w:lineRule="auto"/>
        <w:ind w:left="3081" w:leftChars="798" w:hanging="1405" w:hangingChars="500"/>
        <w:rPr>
          <w:rFonts w:hint="eastAsia" w:ascii="仿宋" w:hAnsi="仿宋" w:eastAsia="仿宋" w:cs="宋体"/>
          <w:b/>
          <w:bCs/>
          <w:color w:val="auto"/>
          <w:kern w:val="0"/>
          <w:sz w:val="28"/>
          <w:szCs w:val="28"/>
          <w:highlight w:val="none"/>
          <w:lang w:eastAsia="zh-CN"/>
        </w:rPr>
      </w:pPr>
      <w:r>
        <w:rPr>
          <w:rFonts w:hint="eastAsia" w:ascii="仿宋" w:hAnsi="仿宋" w:eastAsia="仿宋" w:cs="宋体"/>
          <w:b/>
          <w:bCs/>
          <w:color w:val="auto"/>
          <w:kern w:val="0"/>
          <w:sz w:val="28"/>
          <w:szCs w:val="28"/>
          <w:highlight w:val="none"/>
        </w:rPr>
        <w:t>项目名称：</w:t>
      </w:r>
      <w:r>
        <w:rPr>
          <w:rFonts w:hint="eastAsia" w:ascii="仿宋" w:hAnsi="仿宋" w:eastAsia="仿宋" w:cs="宋体"/>
          <w:b/>
          <w:bCs/>
          <w:color w:val="auto"/>
          <w:kern w:val="0"/>
          <w:sz w:val="28"/>
          <w:szCs w:val="28"/>
          <w:highlight w:val="none"/>
          <w:lang w:eastAsia="zh-CN"/>
        </w:rPr>
        <w:t>省拱宸所戒毒法治基地配套项目标一</w:t>
      </w:r>
    </w:p>
    <w:p>
      <w:pPr>
        <w:autoSpaceDN w:val="0"/>
        <w:snapToGrid w:val="0"/>
        <w:spacing w:before="120" w:beforeLines="50" w:after="120" w:afterLines="50" w:line="480" w:lineRule="auto"/>
        <w:ind w:firstLine="1687" w:firstLineChars="600"/>
        <w:jc w:val="left"/>
        <w:rPr>
          <w:rFonts w:hint="eastAsia" w:ascii="仿宋" w:hAnsi="仿宋" w:eastAsia="仿宋" w:cs="宋体"/>
          <w:b/>
          <w:bCs/>
          <w:color w:val="auto"/>
          <w:kern w:val="0"/>
          <w:sz w:val="28"/>
          <w:szCs w:val="28"/>
          <w:highlight w:val="none"/>
          <w:lang w:eastAsia="zh-CN"/>
        </w:rPr>
      </w:pPr>
      <w:r>
        <w:rPr>
          <w:rFonts w:hint="eastAsia" w:ascii="仿宋" w:hAnsi="仿宋" w:eastAsia="仿宋" w:cs="宋体"/>
          <w:b/>
          <w:bCs/>
          <w:color w:val="auto"/>
          <w:kern w:val="0"/>
          <w:sz w:val="28"/>
          <w:szCs w:val="28"/>
          <w:highlight w:val="none"/>
        </w:rPr>
        <w:t>采购单位：</w:t>
      </w:r>
      <w:r>
        <w:rPr>
          <w:rFonts w:hint="eastAsia" w:ascii="仿宋" w:hAnsi="仿宋" w:eastAsia="仿宋" w:cs="宋体"/>
          <w:b/>
          <w:bCs/>
          <w:color w:val="auto"/>
          <w:kern w:val="0"/>
          <w:sz w:val="28"/>
          <w:szCs w:val="28"/>
          <w:highlight w:val="none"/>
          <w:lang w:eastAsia="zh-CN"/>
        </w:rPr>
        <w:t>浙江省拱宸强制隔离戒毒所</w:t>
      </w:r>
    </w:p>
    <w:p>
      <w:pPr>
        <w:autoSpaceDN w:val="0"/>
        <w:snapToGrid w:val="0"/>
        <w:spacing w:before="120" w:beforeLines="50" w:after="120" w:afterLines="50" w:line="480" w:lineRule="auto"/>
        <w:ind w:firstLine="1687" w:firstLineChars="600"/>
        <w:jc w:val="left"/>
        <w:rPr>
          <w:rFonts w:ascii="仿宋" w:hAnsi="仿宋" w:eastAsia="仿宋" w:cs="宋体"/>
          <w:b/>
          <w:bCs/>
          <w:color w:val="auto"/>
          <w:kern w:val="0"/>
          <w:sz w:val="28"/>
          <w:szCs w:val="28"/>
          <w:highlight w:val="none"/>
        </w:rPr>
      </w:pPr>
      <w:r>
        <w:rPr>
          <w:rFonts w:hint="eastAsia" w:ascii="仿宋" w:hAnsi="仿宋" w:eastAsia="仿宋" w:cs="宋体"/>
          <w:b/>
          <w:bCs/>
          <w:color w:val="auto"/>
          <w:kern w:val="0"/>
          <w:sz w:val="28"/>
          <w:szCs w:val="28"/>
          <w:highlight w:val="none"/>
        </w:rPr>
        <w:t>代理机构：浙江豪圣建设项目管理有限公司</w:t>
      </w:r>
    </w:p>
    <w:p>
      <w:pPr>
        <w:autoSpaceDN w:val="0"/>
        <w:snapToGrid w:val="0"/>
        <w:spacing w:before="120" w:beforeLines="50" w:after="120" w:afterLines="50" w:line="360" w:lineRule="auto"/>
        <w:rPr>
          <w:rFonts w:ascii="仿宋" w:hAnsi="仿宋" w:eastAsia="仿宋" w:cs="宋体"/>
          <w:b/>
          <w:color w:val="auto"/>
          <w:kern w:val="0"/>
          <w:sz w:val="24"/>
          <w:szCs w:val="24"/>
          <w:highlight w:val="none"/>
        </w:rPr>
      </w:pPr>
    </w:p>
    <w:p>
      <w:pPr>
        <w:autoSpaceDN w:val="0"/>
        <w:snapToGrid w:val="0"/>
        <w:spacing w:line="360" w:lineRule="auto"/>
        <w:jc w:val="center"/>
        <w:rPr>
          <w:rFonts w:ascii="仿宋" w:hAnsi="仿宋" w:eastAsia="仿宋" w:cs="宋体"/>
          <w:b/>
          <w:color w:val="auto"/>
          <w:sz w:val="28"/>
          <w:szCs w:val="28"/>
          <w:highlight w:val="none"/>
        </w:rPr>
      </w:pPr>
      <w:r>
        <w:rPr>
          <w:rFonts w:hint="eastAsia" w:ascii="仿宋" w:hAnsi="仿宋" w:eastAsia="仿宋" w:cs="宋体"/>
          <w:b/>
          <w:color w:val="auto"/>
          <w:sz w:val="28"/>
          <w:szCs w:val="28"/>
          <w:highlight w:val="none"/>
        </w:rPr>
        <w:t>202</w:t>
      </w:r>
      <w:r>
        <w:rPr>
          <w:rFonts w:hint="eastAsia" w:ascii="仿宋" w:hAnsi="仿宋" w:eastAsia="仿宋" w:cs="宋体"/>
          <w:b/>
          <w:color w:val="auto"/>
          <w:sz w:val="28"/>
          <w:szCs w:val="28"/>
          <w:highlight w:val="none"/>
          <w:lang w:val="en-US" w:eastAsia="zh-CN"/>
        </w:rPr>
        <w:t>4</w:t>
      </w:r>
      <w:r>
        <w:rPr>
          <w:rFonts w:hint="eastAsia" w:ascii="仿宋" w:hAnsi="仿宋" w:eastAsia="仿宋" w:cs="宋体"/>
          <w:b/>
          <w:color w:val="auto"/>
          <w:sz w:val="28"/>
          <w:szCs w:val="28"/>
          <w:highlight w:val="none"/>
        </w:rPr>
        <w:t>年</w:t>
      </w:r>
      <w:r>
        <w:rPr>
          <w:rFonts w:hint="eastAsia" w:ascii="仿宋" w:hAnsi="仿宋" w:eastAsia="仿宋" w:cs="宋体"/>
          <w:b/>
          <w:color w:val="auto"/>
          <w:sz w:val="28"/>
          <w:szCs w:val="28"/>
          <w:highlight w:val="none"/>
          <w:lang w:val="en-US" w:eastAsia="zh-CN"/>
        </w:rPr>
        <w:t>04</w:t>
      </w:r>
      <w:r>
        <w:rPr>
          <w:rFonts w:hint="eastAsia" w:ascii="仿宋" w:hAnsi="仿宋" w:eastAsia="仿宋" w:cs="宋体"/>
          <w:b/>
          <w:color w:val="auto"/>
          <w:sz w:val="28"/>
          <w:szCs w:val="28"/>
          <w:highlight w:val="none"/>
        </w:rPr>
        <w:t>月</w:t>
      </w:r>
      <w:r>
        <w:rPr>
          <w:rFonts w:hint="eastAsia" w:ascii="仿宋" w:hAnsi="仿宋" w:eastAsia="仿宋" w:cs="宋体"/>
          <w:b/>
          <w:color w:val="auto"/>
          <w:sz w:val="28"/>
          <w:szCs w:val="28"/>
          <w:highlight w:val="none"/>
          <w:lang w:val="en-US" w:eastAsia="zh-CN"/>
        </w:rPr>
        <w:t>30</w:t>
      </w:r>
      <w:r>
        <w:rPr>
          <w:rFonts w:hint="eastAsia" w:ascii="仿宋" w:hAnsi="仿宋" w:eastAsia="仿宋" w:cs="宋体"/>
          <w:b/>
          <w:color w:val="auto"/>
          <w:sz w:val="28"/>
          <w:szCs w:val="28"/>
          <w:highlight w:val="none"/>
        </w:rPr>
        <w:t>日</w:t>
      </w:r>
    </w:p>
    <w:p>
      <w:pPr>
        <w:widowControl/>
        <w:spacing w:line="360" w:lineRule="auto"/>
        <w:jc w:val="left"/>
        <w:rPr>
          <w:rFonts w:ascii="仿宋" w:hAnsi="仿宋" w:eastAsia="仿宋" w:cs="宋体"/>
          <w:b/>
          <w:bCs/>
          <w:color w:val="auto"/>
          <w:w w:val="95"/>
          <w:sz w:val="28"/>
          <w:szCs w:val="28"/>
          <w:highlight w:val="none"/>
        </w:rPr>
        <w:sectPr>
          <w:footerReference r:id="rId3" w:type="first"/>
          <w:pgSz w:w="11906" w:h="16838"/>
          <w:pgMar w:top="1418" w:right="1418" w:bottom="1418" w:left="1418" w:header="851" w:footer="851" w:gutter="0"/>
          <w:cols w:space="720" w:num="1"/>
        </w:sectPr>
      </w:pPr>
    </w:p>
    <w:p>
      <w:pPr>
        <w:autoSpaceDN w:val="0"/>
        <w:snapToGrid w:val="0"/>
        <w:spacing w:before="120" w:beforeLines="50" w:after="120" w:afterLines="50"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目  录</w:t>
      </w:r>
      <w:bookmarkStart w:id="294" w:name="_GoBack"/>
      <w:bookmarkEnd w:id="294"/>
    </w:p>
    <w:p>
      <w:pPr>
        <w:pStyle w:val="41"/>
        <w:tabs>
          <w:tab w:val="right" w:leader="dot" w:pos="9070"/>
        </w:tabs>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fldChar w:fldCharType="begin"/>
      </w:r>
      <w:r>
        <w:rPr>
          <w:rFonts w:hint="eastAsia" w:ascii="仿宋" w:hAnsi="仿宋" w:eastAsia="仿宋" w:cs="仿宋"/>
          <w:b/>
          <w:bCs/>
          <w:color w:val="auto"/>
          <w:sz w:val="21"/>
          <w:szCs w:val="21"/>
          <w:highlight w:val="none"/>
        </w:rPr>
        <w:instrText xml:space="preserve"> TOC \o "1-2" \h \z \u </w:instrText>
      </w:r>
      <w:r>
        <w:rPr>
          <w:rFonts w:hint="eastAsia" w:ascii="仿宋" w:hAnsi="仿宋" w:eastAsia="仿宋" w:cs="仿宋"/>
          <w:b/>
          <w:bCs/>
          <w:color w:val="auto"/>
          <w:sz w:val="21"/>
          <w:szCs w:val="21"/>
          <w:highlight w:val="none"/>
        </w:rPr>
        <w:fldChar w:fldCharType="separate"/>
      </w:r>
      <w:r>
        <w:rPr>
          <w:rFonts w:hint="eastAsia" w:ascii="仿宋" w:hAnsi="仿宋" w:eastAsia="仿宋" w:cs="仿宋"/>
          <w:b/>
          <w:bCs/>
          <w:color w:val="auto"/>
          <w:sz w:val="21"/>
          <w:szCs w:val="21"/>
          <w:highlight w:val="none"/>
        </w:rPr>
        <w:fldChar w:fldCharType="begin"/>
      </w:r>
      <w:r>
        <w:rPr>
          <w:rFonts w:hint="eastAsia" w:ascii="仿宋" w:hAnsi="仿宋" w:eastAsia="仿宋" w:cs="仿宋"/>
          <w:b/>
          <w:bCs/>
          <w:color w:val="auto"/>
          <w:sz w:val="21"/>
          <w:szCs w:val="21"/>
          <w:highlight w:val="none"/>
        </w:rPr>
        <w:instrText xml:space="preserve"> HYPERLINK \l _Toc4241 </w:instrText>
      </w:r>
      <w:r>
        <w:rPr>
          <w:rFonts w:hint="eastAsia" w:ascii="仿宋" w:hAnsi="仿宋" w:eastAsia="仿宋" w:cs="仿宋"/>
          <w:b/>
          <w:bCs/>
          <w:color w:val="auto"/>
          <w:sz w:val="21"/>
          <w:szCs w:val="21"/>
          <w:highlight w:val="none"/>
        </w:rPr>
        <w:fldChar w:fldCharType="separate"/>
      </w:r>
      <w:r>
        <w:rPr>
          <w:rFonts w:hint="eastAsia" w:ascii="仿宋" w:hAnsi="仿宋" w:eastAsia="仿宋" w:cs="仿宋"/>
          <w:b/>
          <w:bCs/>
          <w:color w:val="auto"/>
          <w:kern w:val="0"/>
          <w:sz w:val="21"/>
          <w:szCs w:val="21"/>
          <w:highlight w:val="none"/>
        </w:rPr>
        <w:t>第一章 竞争性磋商公告</w:t>
      </w:r>
      <w:r>
        <w:rPr>
          <w:rFonts w:hint="eastAsia" w:ascii="仿宋" w:hAnsi="仿宋" w:eastAsia="仿宋" w:cs="仿宋"/>
          <w:b/>
          <w:bCs/>
          <w:color w:val="auto"/>
          <w:sz w:val="21"/>
          <w:szCs w:val="21"/>
          <w:highlight w:val="none"/>
        </w:rPr>
        <w:tab/>
      </w:r>
      <w:r>
        <w:rPr>
          <w:rFonts w:hint="eastAsia" w:ascii="仿宋" w:hAnsi="仿宋" w:eastAsia="仿宋" w:cs="仿宋"/>
          <w:b/>
          <w:bCs/>
          <w:color w:val="auto"/>
          <w:sz w:val="21"/>
          <w:szCs w:val="21"/>
          <w:highlight w:val="none"/>
        </w:rPr>
        <w:fldChar w:fldCharType="begin"/>
      </w:r>
      <w:r>
        <w:rPr>
          <w:rFonts w:hint="eastAsia" w:ascii="仿宋" w:hAnsi="仿宋" w:eastAsia="仿宋" w:cs="仿宋"/>
          <w:b/>
          <w:bCs/>
          <w:color w:val="auto"/>
          <w:sz w:val="21"/>
          <w:szCs w:val="21"/>
          <w:highlight w:val="none"/>
        </w:rPr>
        <w:instrText xml:space="preserve"> PAGEREF _Toc4241 \h </w:instrText>
      </w:r>
      <w:r>
        <w:rPr>
          <w:rFonts w:hint="eastAsia" w:ascii="仿宋" w:hAnsi="仿宋" w:eastAsia="仿宋" w:cs="仿宋"/>
          <w:b/>
          <w:bCs/>
          <w:color w:val="auto"/>
          <w:sz w:val="21"/>
          <w:szCs w:val="21"/>
          <w:highlight w:val="none"/>
        </w:rPr>
        <w:fldChar w:fldCharType="separate"/>
      </w:r>
      <w:r>
        <w:rPr>
          <w:rFonts w:hint="eastAsia" w:ascii="仿宋" w:hAnsi="仿宋" w:eastAsia="仿宋" w:cs="仿宋"/>
          <w:b/>
          <w:bCs/>
          <w:color w:val="auto"/>
          <w:sz w:val="21"/>
          <w:szCs w:val="21"/>
          <w:highlight w:val="none"/>
        </w:rPr>
        <w:t>3</w:t>
      </w:r>
      <w:r>
        <w:rPr>
          <w:rFonts w:hint="eastAsia" w:ascii="仿宋" w:hAnsi="仿宋" w:eastAsia="仿宋" w:cs="仿宋"/>
          <w:b/>
          <w:bCs/>
          <w:color w:val="auto"/>
          <w:sz w:val="21"/>
          <w:szCs w:val="21"/>
          <w:highlight w:val="none"/>
        </w:rPr>
        <w:fldChar w:fldCharType="end"/>
      </w:r>
      <w:r>
        <w:rPr>
          <w:rFonts w:hint="eastAsia" w:ascii="仿宋" w:hAnsi="仿宋" w:eastAsia="仿宋" w:cs="仿宋"/>
          <w:b/>
          <w:bCs/>
          <w:color w:val="auto"/>
          <w:sz w:val="21"/>
          <w:szCs w:val="21"/>
          <w:highlight w:val="none"/>
        </w:rPr>
        <w:fldChar w:fldCharType="end"/>
      </w:r>
    </w:p>
    <w:p>
      <w:pPr>
        <w:pStyle w:val="41"/>
        <w:tabs>
          <w:tab w:val="right" w:leader="dot" w:pos="9070"/>
        </w:tabs>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fldChar w:fldCharType="begin"/>
      </w:r>
      <w:r>
        <w:rPr>
          <w:rFonts w:hint="eastAsia" w:ascii="仿宋" w:hAnsi="仿宋" w:eastAsia="仿宋" w:cs="仿宋"/>
          <w:b/>
          <w:bCs/>
          <w:color w:val="auto"/>
          <w:sz w:val="21"/>
          <w:szCs w:val="21"/>
          <w:highlight w:val="none"/>
        </w:rPr>
        <w:instrText xml:space="preserve"> HYPERLINK \l _Toc32606 </w:instrText>
      </w:r>
      <w:r>
        <w:rPr>
          <w:rFonts w:hint="eastAsia" w:ascii="仿宋" w:hAnsi="仿宋" w:eastAsia="仿宋" w:cs="仿宋"/>
          <w:b/>
          <w:bCs/>
          <w:color w:val="auto"/>
          <w:sz w:val="21"/>
          <w:szCs w:val="21"/>
          <w:highlight w:val="none"/>
        </w:rPr>
        <w:fldChar w:fldCharType="separate"/>
      </w:r>
      <w:r>
        <w:rPr>
          <w:rFonts w:hint="eastAsia" w:ascii="仿宋" w:hAnsi="仿宋" w:eastAsia="仿宋" w:cs="仿宋"/>
          <w:b/>
          <w:bCs/>
          <w:color w:val="auto"/>
          <w:spacing w:val="-4"/>
          <w:kern w:val="0"/>
          <w:sz w:val="21"/>
          <w:szCs w:val="21"/>
          <w:highlight w:val="none"/>
        </w:rPr>
        <w:t>第二章 供应商须知</w:t>
      </w:r>
      <w:r>
        <w:rPr>
          <w:rFonts w:hint="eastAsia" w:ascii="仿宋" w:hAnsi="仿宋" w:eastAsia="仿宋" w:cs="仿宋"/>
          <w:b/>
          <w:bCs/>
          <w:color w:val="auto"/>
          <w:sz w:val="21"/>
          <w:szCs w:val="21"/>
          <w:highlight w:val="none"/>
        </w:rPr>
        <w:tab/>
      </w:r>
      <w:r>
        <w:rPr>
          <w:rFonts w:hint="eastAsia" w:ascii="仿宋" w:hAnsi="仿宋" w:eastAsia="仿宋" w:cs="仿宋"/>
          <w:b/>
          <w:bCs/>
          <w:color w:val="auto"/>
          <w:sz w:val="21"/>
          <w:szCs w:val="21"/>
          <w:highlight w:val="none"/>
        </w:rPr>
        <w:fldChar w:fldCharType="begin"/>
      </w:r>
      <w:r>
        <w:rPr>
          <w:rFonts w:hint="eastAsia" w:ascii="仿宋" w:hAnsi="仿宋" w:eastAsia="仿宋" w:cs="仿宋"/>
          <w:b/>
          <w:bCs/>
          <w:color w:val="auto"/>
          <w:sz w:val="21"/>
          <w:szCs w:val="21"/>
          <w:highlight w:val="none"/>
        </w:rPr>
        <w:instrText xml:space="preserve"> PAGEREF _Toc32606 \h </w:instrText>
      </w:r>
      <w:r>
        <w:rPr>
          <w:rFonts w:hint="eastAsia" w:ascii="仿宋" w:hAnsi="仿宋" w:eastAsia="仿宋" w:cs="仿宋"/>
          <w:b/>
          <w:bCs/>
          <w:color w:val="auto"/>
          <w:sz w:val="21"/>
          <w:szCs w:val="21"/>
          <w:highlight w:val="none"/>
        </w:rPr>
        <w:fldChar w:fldCharType="separate"/>
      </w:r>
      <w:r>
        <w:rPr>
          <w:rFonts w:hint="eastAsia" w:ascii="仿宋" w:hAnsi="仿宋" w:eastAsia="仿宋" w:cs="仿宋"/>
          <w:b/>
          <w:bCs/>
          <w:color w:val="auto"/>
          <w:sz w:val="21"/>
          <w:szCs w:val="21"/>
          <w:highlight w:val="none"/>
        </w:rPr>
        <w:t>8</w:t>
      </w:r>
      <w:r>
        <w:rPr>
          <w:rFonts w:hint="eastAsia" w:ascii="仿宋" w:hAnsi="仿宋" w:eastAsia="仿宋" w:cs="仿宋"/>
          <w:b/>
          <w:bCs/>
          <w:color w:val="auto"/>
          <w:sz w:val="21"/>
          <w:szCs w:val="21"/>
          <w:highlight w:val="none"/>
        </w:rPr>
        <w:fldChar w:fldCharType="end"/>
      </w:r>
      <w:r>
        <w:rPr>
          <w:rFonts w:hint="eastAsia" w:ascii="仿宋" w:hAnsi="仿宋" w:eastAsia="仿宋" w:cs="仿宋"/>
          <w:b/>
          <w:bCs/>
          <w:color w:val="auto"/>
          <w:sz w:val="21"/>
          <w:szCs w:val="21"/>
          <w:highlight w:val="none"/>
        </w:rPr>
        <w:fldChar w:fldCharType="end"/>
      </w:r>
    </w:p>
    <w:p>
      <w:pPr>
        <w:pStyle w:val="50"/>
        <w:tabs>
          <w:tab w:val="right" w:leader="dot" w:pos="9070"/>
        </w:tabs>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fldChar w:fldCharType="begin"/>
      </w:r>
      <w:r>
        <w:rPr>
          <w:rFonts w:hint="eastAsia" w:ascii="仿宋" w:hAnsi="仿宋" w:eastAsia="仿宋" w:cs="仿宋"/>
          <w:b/>
          <w:bCs/>
          <w:color w:val="auto"/>
          <w:sz w:val="21"/>
          <w:szCs w:val="21"/>
          <w:highlight w:val="none"/>
        </w:rPr>
        <w:instrText xml:space="preserve"> HYPERLINK \l _Toc3099 </w:instrText>
      </w:r>
      <w:r>
        <w:rPr>
          <w:rFonts w:hint="eastAsia" w:ascii="仿宋" w:hAnsi="仿宋" w:eastAsia="仿宋" w:cs="仿宋"/>
          <w:b/>
          <w:bCs/>
          <w:color w:val="auto"/>
          <w:sz w:val="21"/>
          <w:szCs w:val="21"/>
          <w:highlight w:val="none"/>
        </w:rPr>
        <w:fldChar w:fldCharType="separate"/>
      </w:r>
      <w:r>
        <w:rPr>
          <w:rFonts w:hint="eastAsia" w:ascii="仿宋" w:hAnsi="仿宋" w:eastAsia="仿宋" w:cs="仿宋"/>
          <w:b/>
          <w:bCs/>
          <w:color w:val="auto"/>
          <w:sz w:val="21"/>
          <w:szCs w:val="21"/>
          <w:highlight w:val="none"/>
        </w:rPr>
        <w:t>前附表</w:t>
      </w:r>
      <w:r>
        <w:rPr>
          <w:rFonts w:hint="eastAsia" w:ascii="仿宋" w:hAnsi="仿宋" w:eastAsia="仿宋" w:cs="仿宋"/>
          <w:b/>
          <w:bCs/>
          <w:color w:val="auto"/>
          <w:sz w:val="21"/>
          <w:szCs w:val="21"/>
          <w:highlight w:val="none"/>
        </w:rPr>
        <w:tab/>
      </w:r>
      <w:r>
        <w:rPr>
          <w:rFonts w:hint="eastAsia" w:ascii="仿宋" w:hAnsi="仿宋" w:eastAsia="仿宋" w:cs="仿宋"/>
          <w:b/>
          <w:bCs/>
          <w:color w:val="auto"/>
          <w:sz w:val="21"/>
          <w:szCs w:val="21"/>
          <w:highlight w:val="none"/>
        </w:rPr>
        <w:fldChar w:fldCharType="begin"/>
      </w:r>
      <w:r>
        <w:rPr>
          <w:rFonts w:hint="eastAsia" w:ascii="仿宋" w:hAnsi="仿宋" w:eastAsia="仿宋" w:cs="仿宋"/>
          <w:b/>
          <w:bCs/>
          <w:color w:val="auto"/>
          <w:sz w:val="21"/>
          <w:szCs w:val="21"/>
          <w:highlight w:val="none"/>
        </w:rPr>
        <w:instrText xml:space="preserve"> PAGEREF _Toc3099 \h </w:instrText>
      </w:r>
      <w:r>
        <w:rPr>
          <w:rFonts w:hint="eastAsia" w:ascii="仿宋" w:hAnsi="仿宋" w:eastAsia="仿宋" w:cs="仿宋"/>
          <w:b/>
          <w:bCs/>
          <w:color w:val="auto"/>
          <w:sz w:val="21"/>
          <w:szCs w:val="21"/>
          <w:highlight w:val="none"/>
        </w:rPr>
        <w:fldChar w:fldCharType="separate"/>
      </w:r>
      <w:r>
        <w:rPr>
          <w:rFonts w:hint="eastAsia" w:ascii="仿宋" w:hAnsi="仿宋" w:eastAsia="仿宋" w:cs="仿宋"/>
          <w:b/>
          <w:bCs/>
          <w:color w:val="auto"/>
          <w:sz w:val="21"/>
          <w:szCs w:val="21"/>
          <w:highlight w:val="none"/>
        </w:rPr>
        <w:t>8</w:t>
      </w:r>
      <w:r>
        <w:rPr>
          <w:rFonts w:hint="eastAsia" w:ascii="仿宋" w:hAnsi="仿宋" w:eastAsia="仿宋" w:cs="仿宋"/>
          <w:b/>
          <w:bCs/>
          <w:color w:val="auto"/>
          <w:sz w:val="21"/>
          <w:szCs w:val="21"/>
          <w:highlight w:val="none"/>
        </w:rPr>
        <w:fldChar w:fldCharType="end"/>
      </w:r>
      <w:r>
        <w:rPr>
          <w:rFonts w:hint="eastAsia" w:ascii="仿宋" w:hAnsi="仿宋" w:eastAsia="仿宋" w:cs="仿宋"/>
          <w:b/>
          <w:bCs/>
          <w:color w:val="auto"/>
          <w:sz w:val="21"/>
          <w:szCs w:val="21"/>
          <w:highlight w:val="none"/>
        </w:rPr>
        <w:fldChar w:fldCharType="end"/>
      </w:r>
    </w:p>
    <w:p>
      <w:pPr>
        <w:pStyle w:val="50"/>
        <w:tabs>
          <w:tab w:val="right" w:leader="dot" w:pos="9070"/>
        </w:tabs>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fldChar w:fldCharType="begin"/>
      </w:r>
      <w:r>
        <w:rPr>
          <w:rFonts w:hint="eastAsia" w:ascii="仿宋" w:hAnsi="仿宋" w:eastAsia="仿宋" w:cs="仿宋"/>
          <w:b/>
          <w:bCs/>
          <w:color w:val="auto"/>
          <w:sz w:val="21"/>
          <w:szCs w:val="21"/>
          <w:highlight w:val="none"/>
        </w:rPr>
        <w:instrText xml:space="preserve"> HYPERLINK \l _Toc19240 </w:instrText>
      </w:r>
      <w:r>
        <w:rPr>
          <w:rFonts w:hint="eastAsia" w:ascii="仿宋" w:hAnsi="仿宋" w:eastAsia="仿宋" w:cs="仿宋"/>
          <w:b/>
          <w:bCs/>
          <w:color w:val="auto"/>
          <w:sz w:val="21"/>
          <w:szCs w:val="21"/>
          <w:highlight w:val="none"/>
        </w:rPr>
        <w:fldChar w:fldCharType="separate"/>
      </w:r>
      <w:r>
        <w:rPr>
          <w:rFonts w:hint="eastAsia" w:ascii="仿宋" w:hAnsi="仿宋" w:eastAsia="仿宋" w:cs="仿宋"/>
          <w:b/>
          <w:bCs/>
          <w:color w:val="auto"/>
          <w:sz w:val="21"/>
          <w:szCs w:val="21"/>
          <w:highlight w:val="none"/>
        </w:rPr>
        <w:t>一、总则</w:t>
      </w:r>
      <w:r>
        <w:rPr>
          <w:rFonts w:hint="eastAsia" w:ascii="仿宋" w:hAnsi="仿宋" w:eastAsia="仿宋" w:cs="仿宋"/>
          <w:b/>
          <w:bCs/>
          <w:color w:val="auto"/>
          <w:sz w:val="21"/>
          <w:szCs w:val="21"/>
          <w:highlight w:val="none"/>
        </w:rPr>
        <w:tab/>
      </w:r>
      <w:r>
        <w:rPr>
          <w:rFonts w:hint="eastAsia" w:ascii="仿宋" w:hAnsi="仿宋" w:eastAsia="仿宋" w:cs="仿宋"/>
          <w:b/>
          <w:bCs/>
          <w:color w:val="auto"/>
          <w:sz w:val="21"/>
          <w:szCs w:val="21"/>
          <w:highlight w:val="none"/>
        </w:rPr>
        <w:fldChar w:fldCharType="begin"/>
      </w:r>
      <w:r>
        <w:rPr>
          <w:rFonts w:hint="eastAsia" w:ascii="仿宋" w:hAnsi="仿宋" w:eastAsia="仿宋" w:cs="仿宋"/>
          <w:b/>
          <w:bCs/>
          <w:color w:val="auto"/>
          <w:sz w:val="21"/>
          <w:szCs w:val="21"/>
          <w:highlight w:val="none"/>
        </w:rPr>
        <w:instrText xml:space="preserve"> PAGEREF _Toc19240 \h </w:instrText>
      </w:r>
      <w:r>
        <w:rPr>
          <w:rFonts w:hint="eastAsia" w:ascii="仿宋" w:hAnsi="仿宋" w:eastAsia="仿宋" w:cs="仿宋"/>
          <w:b/>
          <w:bCs/>
          <w:color w:val="auto"/>
          <w:sz w:val="21"/>
          <w:szCs w:val="21"/>
          <w:highlight w:val="none"/>
        </w:rPr>
        <w:fldChar w:fldCharType="separate"/>
      </w:r>
      <w:r>
        <w:rPr>
          <w:rFonts w:hint="eastAsia" w:ascii="仿宋" w:hAnsi="仿宋" w:eastAsia="仿宋" w:cs="仿宋"/>
          <w:b/>
          <w:bCs/>
          <w:color w:val="auto"/>
          <w:sz w:val="21"/>
          <w:szCs w:val="21"/>
          <w:highlight w:val="none"/>
        </w:rPr>
        <w:t>14</w:t>
      </w:r>
      <w:r>
        <w:rPr>
          <w:rFonts w:hint="eastAsia" w:ascii="仿宋" w:hAnsi="仿宋" w:eastAsia="仿宋" w:cs="仿宋"/>
          <w:b/>
          <w:bCs/>
          <w:color w:val="auto"/>
          <w:sz w:val="21"/>
          <w:szCs w:val="21"/>
          <w:highlight w:val="none"/>
        </w:rPr>
        <w:fldChar w:fldCharType="end"/>
      </w:r>
      <w:r>
        <w:rPr>
          <w:rFonts w:hint="eastAsia" w:ascii="仿宋" w:hAnsi="仿宋" w:eastAsia="仿宋" w:cs="仿宋"/>
          <w:b/>
          <w:bCs/>
          <w:color w:val="auto"/>
          <w:sz w:val="21"/>
          <w:szCs w:val="21"/>
          <w:highlight w:val="none"/>
        </w:rPr>
        <w:fldChar w:fldCharType="end"/>
      </w:r>
    </w:p>
    <w:p>
      <w:pPr>
        <w:pStyle w:val="50"/>
        <w:tabs>
          <w:tab w:val="right" w:leader="dot" w:pos="9070"/>
        </w:tabs>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fldChar w:fldCharType="begin"/>
      </w:r>
      <w:r>
        <w:rPr>
          <w:rFonts w:hint="eastAsia" w:ascii="仿宋" w:hAnsi="仿宋" w:eastAsia="仿宋" w:cs="仿宋"/>
          <w:b/>
          <w:bCs/>
          <w:color w:val="auto"/>
          <w:sz w:val="21"/>
          <w:szCs w:val="21"/>
          <w:highlight w:val="none"/>
        </w:rPr>
        <w:instrText xml:space="preserve"> HYPERLINK \l _Toc19497 </w:instrText>
      </w:r>
      <w:r>
        <w:rPr>
          <w:rFonts w:hint="eastAsia" w:ascii="仿宋" w:hAnsi="仿宋" w:eastAsia="仿宋" w:cs="仿宋"/>
          <w:b/>
          <w:bCs/>
          <w:color w:val="auto"/>
          <w:sz w:val="21"/>
          <w:szCs w:val="21"/>
          <w:highlight w:val="none"/>
        </w:rPr>
        <w:fldChar w:fldCharType="separate"/>
      </w:r>
      <w:r>
        <w:rPr>
          <w:rFonts w:hint="eastAsia" w:ascii="仿宋" w:hAnsi="仿宋" w:eastAsia="仿宋" w:cs="仿宋"/>
          <w:b/>
          <w:bCs/>
          <w:color w:val="auto"/>
          <w:sz w:val="21"/>
          <w:szCs w:val="21"/>
          <w:highlight w:val="none"/>
        </w:rPr>
        <w:t>二、落实的政府采购政策</w:t>
      </w:r>
      <w:r>
        <w:rPr>
          <w:rFonts w:hint="eastAsia" w:ascii="仿宋" w:hAnsi="仿宋" w:eastAsia="仿宋" w:cs="仿宋"/>
          <w:b/>
          <w:bCs/>
          <w:color w:val="auto"/>
          <w:sz w:val="21"/>
          <w:szCs w:val="21"/>
          <w:highlight w:val="none"/>
        </w:rPr>
        <w:tab/>
      </w:r>
      <w:r>
        <w:rPr>
          <w:rFonts w:hint="eastAsia" w:ascii="仿宋" w:hAnsi="仿宋" w:eastAsia="仿宋" w:cs="仿宋"/>
          <w:b/>
          <w:bCs/>
          <w:color w:val="auto"/>
          <w:sz w:val="21"/>
          <w:szCs w:val="21"/>
          <w:highlight w:val="none"/>
        </w:rPr>
        <w:fldChar w:fldCharType="begin"/>
      </w:r>
      <w:r>
        <w:rPr>
          <w:rFonts w:hint="eastAsia" w:ascii="仿宋" w:hAnsi="仿宋" w:eastAsia="仿宋" w:cs="仿宋"/>
          <w:b/>
          <w:bCs/>
          <w:color w:val="auto"/>
          <w:sz w:val="21"/>
          <w:szCs w:val="21"/>
          <w:highlight w:val="none"/>
        </w:rPr>
        <w:instrText xml:space="preserve"> PAGEREF _Toc19497 \h </w:instrText>
      </w:r>
      <w:r>
        <w:rPr>
          <w:rFonts w:hint="eastAsia" w:ascii="仿宋" w:hAnsi="仿宋" w:eastAsia="仿宋" w:cs="仿宋"/>
          <w:b/>
          <w:bCs/>
          <w:color w:val="auto"/>
          <w:sz w:val="21"/>
          <w:szCs w:val="21"/>
          <w:highlight w:val="none"/>
        </w:rPr>
        <w:fldChar w:fldCharType="separate"/>
      </w:r>
      <w:r>
        <w:rPr>
          <w:rFonts w:hint="eastAsia" w:ascii="仿宋" w:hAnsi="仿宋" w:eastAsia="仿宋" w:cs="仿宋"/>
          <w:b/>
          <w:bCs/>
          <w:color w:val="auto"/>
          <w:sz w:val="21"/>
          <w:szCs w:val="21"/>
          <w:highlight w:val="none"/>
        </w:rPr>
        <w:t>22</w:t>
      </w:r>
      <w:r>
        <w:rPr>
          <w:rFonts w:hint="eastAsia" w:ascii="仿宋" w:hAnsi="仿宋" w:eastAsia="仿宋" w:cs="仿宋"/>
          <w:b/>
          <w:bCs/>
          <w:color w:val="auto"/>
          <w:sz w:val="21"/>
          <w:szCs w:val="21"/>
          <w:highlight w:val="none"/>
        </w:rPr>
        <w:fldChar w:fldCharType="end"/>
      </w:r>
      <w:r>
        <w:rPr>
          <w:rFonts w:hint="eastAsia" w:ascii="仿宋" w:hAnsi="仿宋" w:eastAsia="仿宋" w:cs="仿宋"/>
          <w:b/>
          <w:bCs/>
          <w:color w:val="auto"/>
          <w:sz w:val="21"/>
          <w:szCs w:val="21"/>
          <w:highlight w:val="none"/>
        </w:rPr>
        <w:fldChar w:fldCharType="end"/>
      </w:r>
    </w:p>
    <w:p>
      <w:pPr>
        <w:pStyle w:val="50"/>
        <w:tabs>
          <w:tab w:val="right" w:leader="dot" w:pos="9070"/>
        </w:tabs>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fldChar w:fldCharType="begin"/>
      </w:r>
      <w:r>
        <w:rPr>
          <w:rFonts w:hint="eastAsia" w:ascii="仿宋" w:hAnsi="仿宋" w:eastAsia="仿宋" w:cs="仿宋"/>
          <w:b/>
          <w:bCs/>
          <w:color w:val="auto"/>
          <w:sz w:val="21"/>
          <w:szCs w:val="21"/>
          <w:highlight w:val="none"/>
        </w:rPr>
        <w:instrText xml:space="preserve"> HYPERLINK \l _Toc1246 </w:instrText>
      </w:r>
      <w:r>
        <w:rPr>
          <w:rFonts w:hint="eastAsia" w:ascii="仿宋" w:hAnsi="仿宋" w:eastAsia="仿宋" w:cs="仿宋"/>
          <w:b/>
          <w:bCs/>
          <w:color w:val="auto"/>
          <w:sz w:val="21"/>
          <w:szCs w:val="21"/>
          <w:highlight w:val="none"/>
        </w:rPr>
        <w:fldChar w:fldCharType="separate"/>
      </w:r>
      <w:r>
        <w:rPr>
          <w:rFonts w:hint="eastAsia" w:ascii="仿宋" w:hAnsi="仿宋" w:eastAsia="仿宋" w:cs="仿宋"/>
          <w:b/>
          <w:bCs/>
          <w:color w:val="auto"/>
          <w:sz w:val="21"/>
          <w:szCs w:val="21"/>
          <w:highlight w:val="none"/>
        </w:rPr>
        <w:t>三、竞争性磋商文件</w:t>
      </w:r>
      <w:r>
        <w:rPr>
          <w:rFonts w:hint="eastAsia" w:ascii="仿宋" w:hAnsi="仿宋" w:eastAsia="仿宋" w:cs="仿宋"/>
          <w:b/>
          <w:bCs/>
          <w:color w:val="auto"/>
          <w:sz w:val="21"/>
          <w:szCs w:val="21"/>
          <w:highlight w:val="none"/>
        </w:rPr>
        <w:tab/>
      </w:r>
      <w:r>
        <w:rPr>
          <w:rFonts w:hint="eastAsia" w:ascii="仿宋" w:hAnsi="仿宋" w:eastAsia="仿宋" w:cs="仿宋"/>
          <w:b/>
          <w:bCs/>
          <w:color w:val="auto"/>
          <w:sz w:val="21"/>
          <w:szCs w:val="21"/>
          <w:highlight w:val="none"/>
        </w:rPr>
        <w:fldChar w:fldCharType="begin"/>
      </w:r>
      <w:r>
        <w:rPr>
          <w:rFonts w:hint="eastAsia" w:ascii="仿宋" w:hAnsi="仿宋" w:eastAsia="仿宋" w:cs="仿宋"/>
          <w:b/>
          <w:bCs/>
          <w:color w:val="auto"/>
          <w:sz w:val="21"/>
          <w:szCs w:val="21"/>
          <w:highlight w:val="none"/>
        </w:rPr>
        <w:instrText xml:space="preserve"> PAGEREF _Toc1246 \h </w:instrText>
      </w:r>
      <w:r>
        <w:rPr>
          <w:rFonts w:hint="eastAsia" w:ascii="仿宋" w:hAnsi="仿宋" w:eastAsia="仿宋" w:cs="仿宋"/>
          <w:b/>
          <w:bCs/>
          <w:color w:val="auto"/>
          <w:sz w:val="21"/>
          <w:szCs w:val="21"/>
          <w:highlight w:val="none"/>
        </w:rPr>
        <w:fldChar w:fldCharType="separate"/>
      </w:r>
      <w:r>
        <w:rPr>
          <w:rFonts w:hint="eastAsia" w:ascii="仿宋" w:hAnsi="仿宋" w:eastAsia="仿宋" w:cs="仿宋"/>
          <w:b/>
          <w:bCs/>
          <w:color w:val="auto"/>
          <w:sz w:val="21"/>
          <w:szCs w:val="21"/>
          <w:highlight w:val="none"/>
        </w:rPr>
        <w:t>25</w:t>
      </w:r>
      <w:r>
        <w:rPr>
          <w:rFonts w:hint="eastAsia" w:ascii="仿宋" w:hAnsi="仿宋" w:eastAsia="仿宋" w:cs="仿宋"/>
          <w:b/>
          <w:bCs/>
          <w:color w:val="auto"/>
          <w:sz w:val="21"/>
          <w:szCs w:val="21"/>
          <w:highlight w:val="none"/>
        </w:rPr>
        <w:fldChar w:fldCharType="end"/>
      </w:r>
      <w:r>
        <w:rPr>
          <w:rFonts w:hint="eastAsia" w:ascii="仿宋" w:hAnsi="仿宋" w:eastAsia="仿宋" w:cs="仿宋"/>
          <w:b/>
          <w:bCs/>
          <w:color w:val="auto"/>
          <w:sz w:val="21"/>
          <w:szCs w:val="21"/>
          <w:highlight w:val="none"/>
        </w:rPr>
        <w:fldChar w:fldCharType="end"/>
      </w:r>
    </w:p>
    <w:p>
      <w:pPr>
        <w:pStyle w:val="50"/>
        <w:tabs>
          <w:tab w:val="right" w:leader="dot" w:pos="9070"/>
        </w:tabs>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fldChar w:fldCharType="begin"/>
      </w:r>
      <w:r>
        <w:rPr>
          <w:rFonts w:hint="eastAsia" w:ascii="仿宋" w:hAnsi="仿宋" w:eastAsia="仿宋" w:cs="仿宋"/>
          <w:b/>
          <w:bCs/>
          <w:color w:val="auto"/>
          <w:sz w:val="21"/>
          <w:szCs w:val="21"/>
          <w:highlight w:val="none"/>
        </w:rPr>
        <w:instrText xml:space="preserve"> HYPERLINK \l _Toc1284 </w:instrText>
      </w:r>
      <w:r>
        <w:rPr>
          <w:rFonts w:hint="eastAsia" w:ascii="仿宋" w:hAnsi="仿宋" w:eastAsia="仿宋" w:cs="仿宋"/>
          <w:b/>
          <w:bCs/>
          <w:color w:val="auto"/>
          <w:sz w:val="21"/>
          <w:szCs w:val="21"/>
          <w:highlight w:val="none"/>
        </w:rPr>
        <w:fldChar w:fldCharType="separate"/>
      </w:r>
      <w:r>
        <w:rPr>
          <w:rFonts w:hint="eastAsia" w:ascii="仿宋" w:hAnsi="仿宋" w:eastAsia="仿宋" w:cs="仿宋"/>
          <w:b/>
          <w:bCs/>
          <w:color w:val="auto"/>
          <w:sz w:val="21"/>
          <w:szCs w:val="21"/>
          <w:highlight w:val="none"/>
        </w:rPr>
        <w:t>四、磋商响应文件</w:t>
      </w:r>
      <w:r>
        <w:rPr>
          <w:rFonts w:hint="eastAsia" w:ascii="仿宋" w:hAnsi="仿宋" w:eastAsia="仿宋" w:cs="仿宋"/>
          <w:b/>
          <w:bCs/>
          <w:color w:val="auto"/>
          <w:sz w:val="21"/>
          <w:szCs w:val="21"/>
          <w:highlight w:val="none"/>
        </w:rPr>
        <w:tab/>
      </w:r>
      <w:r>
        <w:rPr>
          <w:rFonts w:hint="eastAsia" w:ascii="仿宋" w:hAnsi="仿宋" w:eastAsia="仿宋" w:cs="仿宋"/>
          <w:b/>
          <w:bCs/>
          <w:color w:val="auto"/>
          <w:sz w:val="21"/>
          <w:szCs w:val="21"/>
          <w:highlight w:val="none"/>
        </w:rPr>
        <w:fldChar w:fldCharType="begin"/>
      </w:r>
      <w:r>
        <w:rPr>
          <w:rFonts w:hint="eastAsia" w:ascii="仿宋" w:hAnsi="仿宋" w:eastAsia="仿宋" w:cs="仿宋"/>
          <w:b/>
          <w:bCs/>
          <w:color w:val="auto"/>
          <w:sz w:val="21"/>
          <w:szCs w:val="21"/>
          <w:highlight w:val="none"/>
        </w:rPr>
        <w:instrText xml:space="preserve"> PAGEREF _Toc1284 \h </w:instrText>
      </w:r>
      <w:r>
        <w:rPr>
          <w:rFonts w:hint="eastAsia" w:ascii="仿宋" w:hAnsi="仿宋" w:eastAsia="仿宋" w:cs="仿宋"/>
          <w:b/>
          <w:bCs/>
          <w:color w:val="auto"/>
          <w:sz w:val="21"/>
          <w:szCs w:val="21"/>
          <w:highlight w:val="none"/>
        </w:rPr>
        <w:fldChar w:fldCharType="separate"/>
      </w:r>
      <w:r>
        <w:rPr>
          <w:rFonts w:hint="eastAsia" w:ascii="仿宋" w:hAnsi="仿宋" w:eastAsia="仿宋" w:cs="仿宋"/>
          <w:b/>
          <w:bCs/>
          <w:color w:val="auto"/>
          <w:sz w:val="21"/>
          <w:szCs w:val="21"/>
          <w:highlight w:val="none"/>
        </w:rPr>
        <w:t>27</w:t>
      </w:r>
      <w:r>
        <w:rPr>
          <w:rFonts w:hint="eastAsia" w:ascii="仿宋" w:hAnsi="仿宋" w:eastAsia="仿宋" w:cs="仿宋"/>
          <w:b/>
          <w:bCs/>
          <w:color w:val="auto"/>
          <w:sz w:val="21"/>
          <w:szCs w:val="21"/>
          <w:highlight w:val="none"/>
        </w:rPr>
        <w:fldChar w:fldCharType="end"/>
      </w:r>
      <w:r>
        <w:rPr>
          <w:rFonts w:hint="eastAsia" w:ascii="仿宋" w:hAnsi="仿宋" w:eastAsia="仿宋" w:cs="仿宋"/>
          <w:b/>
          <w:bCs/>
          <w:color w:val="auto"/>
          <w:sz w:val="21"/>
          <w:szCs w:val="21"/>
          <w:highlight w:val="none"/>
        </w:rPr>
        <w:fldChar w:fldCharType="end"/>
      </w:r>
    </w:p>
    <w:p>
      <w:pPr>
        <w:pStyle w:val="50"/>
        <w:tabs>
          <w:tab w:val="right" w:leader="dot" w:pos="9070"/>
        </w:tabs>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fldChar w:fldCharType="begin"/>
      </w:r>
      <w:r>
        <w:rPr>
          <w:rFonts w:hint="eastAsia" w:ascii="仿宋" w:hAnsi="仿宋" w:eastAsia="仿宋" w:cs="仿宋"/>
          <w:b/>
          <w:bCs/>
          <w:color w:val="auto"/>
          <w:sz w:val="21"/>
          <w:szCs w:val="21"/>
          <w:highlight w:val="none"/>
        </w:rPr>
        <w:instrText xml:space="preserve"> HYPERLINK \l _Toc11633 </w:instrText>
      </w:r>
      <w:r>
        <w:rPr>
          <w:rFonts w:hint="eastAsia" w:ascii="仿宋" w:hAnsi="仿宋" w:eastAsia="仿宋" w:cs="仿宋"/>
          <w:b/>
          <w:bCs/>
          <w:color w:val="auto"/>
          <w:sz w:val="21"/>
          <w:szCs w:val="21"/>
          <w:highlight w:val="none"/>
        </w:rPr>
        <w:fldChar w:fldCharType="separate"/>
      </w:r>
      <w:r>
        <w:rPr>
          <w:rFonts w:hint="eastAsia" w:ascii="仿宋" w:hAnsi="仿宋" w:eastAsia="仿宋" w:cs="仿宋"/>
          <w:b/>
          <w:bCs/>
          <w:color w:val="auto"/>
          <w:sz w:val="21"/>
          <w:szCs w:val="21"/>
          <w:highlight w:val="none"/>
        </w:rPr>
        <w:t>五、磋商响应</w:t>
      </w:r>
      <w:r>
        <w:rPr>
          <w:rFonts w:hint="eastAsia" w:ascii="仿宋" w:hAnsi="仿宋" w:eastAsia="仿宋" w:cs="仿宋"/>
          <w:b/>
          <w:bCs/>
          <w:color w:val="auto"/>
          <w:sz w:val="21"/>
          <w:szCs w:val="21"/>
          <w:highlight w:val="none"/>
        </w:rPr>
        <w:tab/>
      </w:r>
      <w:r>
        <w:rPr>
          <w:rFonts w:hint="eastAsia" w:ascii="仿宋" w:hAnsi="仿宋" w:eastAsia="仿宋" w:cs="仿宋"/>
          <w:b/>
          <w:bCs/>
          <w:color w:val="auto"/>
          <w:sz w:val="21"/>
          <w:szCs w:val="21"/>
          <w:highlight w:val="none"/>
        </w:rPr>
        <w:fldChar w:fldCharType="begin"/>
      </w:r>
      <w:r>
        <w:rPr>
          <w:rFonts w:hint="eastAsia" w:ascii="仿宋" w:hAnsi="仿宋" w:eastAsia="仿宋" w:cs="仿宋"/>
          <w:b/>
          <w:bCs/>
          <w:color w:val="auto"/>
          <w:sz w:val="21"/>
          <w:szCs w:val="21"/>
          <w:highlight w:val="none"/>
        </w:rPr>
        <w:instrText xml:space="preserve"> PAGEREF _Toc11633 \h </w:instrText>
      </w:r>
      <w:r>
        <w:rPr>
          <w:rFonts w:hint="eastAsia" w:ascii="仿宋" w:hAnsi="仿宋" w:eastAsia="仿宋" w:cs="仿宋"/>
          <w:b/>
          <w:bCs/>
          <w:color w:val="auto"/>
          <w:sz w:val="21"/>
          <w:szCs w:val="21"/>
          <w:highlight w:val="none"/>
        </w:rPr>
        <w:fldChar w:fldCharType="separate"/>
      </w:r>
      <w:r>
        <w:rPr>
          <w:rFonts w:hint="eastAsia" w:ascii="仿宋" w:hAnsi="仿宋" w:eastAsia="仿宋" w:cs="仿宋"/>
          <w:b/>
          <w:bCs/>
          <w:color w:val="auto"/>
          <w:sz w:val="21"/>
          <w:szCs w:val="21"/>
          <w:highlight w:val="none"/>
        </w:rPr>
        <w:t>32</w:t>
      </w:r>
      <w:r>
        <w:rPr>
          <w:rFonts w:hint="eastAsia" w:ascii="仿宋" w:hAnsi="仿宋" w:eastAsia="仿宋" w:cs="仿宋"/>
          <w:b/>
          <w:bCs/>
          <w:color w:val="auto"/>
          <w:sz w:val="21"/>
          <w:szCs w:val="21"/>
          <w:highlight w:val="none"/>
        </w:rPr>
        <w:fldChar w:fldCharType="end"/>
      </w:r>
      <w:r>
        <w:rPr>
          <w:rFonts w:hint="eastAsia" w:ascii="仿宋" w:hAnsi="仿宋" w:eastAsia="仿宋" w:cs="仿宋"/>
          <w:b/>
          <w:bCs/>
          <w:color w:val="auto"/>
          <w:sz w:val="21"/>
          <w:szCs w:val="21"/>
          <w:highlight w:val="none"/>
        </w:rPr>
        <w:fldChar w:fldCharType="end"/>
      </w:r>
    </w:p>
    <w:p>
      <w:pPr>
        <w:pStyle w:val="50"/>
        <w:tabs>
          <w:tab w:val="right" w:leader="dot" w:pos="9070"/>
        </w:tabs>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fldChar w:fldCharType="begin"/>
      </w:r>
      <w:r>
        <w:rPr>
          <w:rFonts w:hint="eastAsia" w:ascii="仿宋" w:hAnsi="仿宋" w:eastAsia="仿宋" w:cs="仿宋"/>
          <w:b/>
          <w:bCs/>
          <w:color w:val="auto"/>
          <w:sz w:val="21"/>
          <w:szCs w:val="21"/>
          <w:highlight w:val="none"/>
        </w:rPr>
        <w:instrText xml:space="preserve"> HYPERLINK \l _Toc640 </w:instrText>
      </w:r>
      <w:r>
        <w:rPr>
          <w:rFonts w:hint="eastAsia" w:ascii="仿宋" w:hAnsi="仿宋" w:eastAsia="仿宋" w:cs="仿宋"/>
          <w:b/>
          <w:bCs/>
          <w:color w:val="auto"/>
          <w:sz w:val="21"/>
          <w:szCs w:val="21"/>
          <w:highlight w:val="none"/>
        </w:rPr>
        <w:fldChar w:fldCharType="separate"/>
      </w:r>
      <w:r>
        <w:rPr>
          <w:rFonts w:hint="eastAsia" w:ascii="仿宋" w:hAnsi="仿宋" w:eastAsia="仿宋" w:cs="仿宋"/>
          <w:b/>
          <w:bCs/>
          <w:color w:val="auto"/>
          <w:sz w:val="21"/>
          <w:szCs w:val="21"/>
          <w:highlight w:val="none"/>
        </w:rPr>
        <w:t>六、开标</w:t>
      </w:r>
      <w:r>
        <w:rPr>
          <w:rFonts w:hint="eastAsia" w:ascii="仿宋" w:hAnsi="仿宋" w:eastAsia="仿宋" w:cs="仿宋"/>
          <w:b/>
          <w:bCs/>
          <w:color w:val="auto"/>
          <w:sz w:val="21"/>
          <w:szCs w:val="21"/>
          <w:highlight w:val="none"/>
        </w:rPr>
        <w:tab/>
      </w:r>
      <w:r>
        <w:rPr>
          <w:rFonts w:hint="eastAsia" w:ascii="仿宋" w:hAnsi="仿宋" w:eastAsia="仿宋" w:cs="仿宋"/>
          <w:b/>
          <w:bCs/>
          <w:color w:val="auto"/>
          <w:sz w:val="21"/>
          <w:szCs w:val="21"/>
          <w:highlight w:val="none"/>
        </w:rPr>
        <w:fldChar w:fldCharType="begin"/>
      </w:r>
      <w:r>
        <w:rPr>
          <w:rFonts w:hint="eastAsia" w:ascii="仿宋" w:hAnsi="仿宋" w:eastAsia="仿宋" w:cs="仿宋"/>
          <w:b/>
          <w:bCs/>
          <w:color w:val="auto"/>
          <w:sz w:val="21"/>
          <w:szCs w:val="21"/>
          <w:highlight w:val="none"/>
        </w:rPr>
        <w:instrText xml:space="preserve"> PAGEREF _Toc640 \h </w:instrText>
      </w:r>
      <w:r>
        <w:rPr>
          <w:rFonts w:hint="eastAsia" w:ascii="仿宋" w:hAnsi="仿宋" w:eastAsia="仿宋" w:cs="仿宋"/>
          <w:b/>
          <w:bCs/>
          <w:color w:val="auto"/>
          <w:sz w:val="21"/>
          <w:szCs w:val="21"/>
          <w:highlight w:val="none"/>
        </w:rPr>
        <w:fldChar w:fldCharType="separate"/>
      </w:r>
      <w:r>
        <w:rPr>
          <w:rFonts w:hint="eastAsia" w:ascii="仿宋" w:hAnsi="仿宋" w:eastAsia="仿宋" w:cs="仿宋"/>
          <w:b/>
          <w:bCs/>
          <w:color w:val="auto"/>
          <w:sz w:val="21"/>
          <w:szCs w:val="21"/>
          <w:highlight w:val="none"/>
        </w:rPr>
        <w:t>33</w:t>
      </w:r>
      <w:r>
        <w:rPr>
          <w:rFonts w:hint="eastAsia" w:ascii="仿宋" w:hAnsi="仿宋" w:eastAsia="仿宋" w:cs="仿宋"/>
          <w:b/>
          <w:bCs/>
          <w:color w:val="auto"/>
          <w:sz w:val="21"/>
          <w:szCs w:val="21"/>
          <w:highlight w:val="none"/>
        </w:rPr>
        <w:fldChar w:fldCharType="end"/>
      </w:r>
      <w:r>
        <w:rPr>
          <w:rFonts w:hint="eastAsia" w:ascii="仿宋" w:hAnsi="仿宋" w:eastAsia="仿宋" w:cs="仿宋"/>
          <w:b/>
          <w:bCs/>
          <w:color w:val="auto"/>
          <w:sz w:val="21"/>
          <w:szCs w:val="21"/>
          <w:highlight w:val="none"/>
        </w:rPr>
        <w:fldChar w:fldCharType="end"/>
      </w:r>
    </w:p>
    <w:p>
      <w:pPr>
        <w:pStyle w:val="50"/>
        <w:tabs>
          <w:tab w:val="right" w:leader="dot" w:pos="9070"/>
        </w:tabs>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fldChar w:fldCharType="begin"/>
      </w:r>
      <w:r>
        <w:rPr>
          <w:rFonts w:hint="eastAsia" w:ascii="仿宋" w:hAnsi="仿宋" w:eastAsia="仿宋" w:cs="仿宋"/>
          <w:b/>
          <w:bCs/>
          <w:color w:val="auto"/>
          <w:sz w:val="21"/>
          <w:szCs w:val="21"/>
          <w:highlight w:val="none"/>
        </w:rPr>
        <w:instrText xml:space="preserve"> HYPERLINK \l _Toc32126 </w:instrText>
      </w:r>
      <w:r>
        <w:rPr>
          <w:rFonts w:hint="eastAsia" w:ascii="仿宋" w:hAnsi="仿宋" w:eastAsia="仿宋" w:cs="仿宋"/>
          <w:b/>
          <w:bCs/>
          <w:color w:val="auto"/>
          <w:sz w:val="21"/>
          <w:szCs w:val="21"/>
          <w:highlight w:val="none"/>
        </w:rPr>
        <w:fldChar w:fldCharType="separate"/>
      </w:r>
      <w:r>
        <w:rPr>
          <w:rFonts w:hint="eastAsia" w:ascii="仿宋" w:hAnsi="仿宋" w:eastAsia="仿宋" w:cs="仿宋"/>
          <w:b/>
          <w:bCs/>
          <w:color w:val="auto"/>
          <w:sz w:val="21"/>
          <w:szCs w:val="21"/>
          <w:highlight w:val="none"/>
        </w:rPr>
        <w:t>七、评审</w:t>
      </w:r>
      <w:r>
        <w:rPr>
          <w:rFonts w:hint="eastAsia" w:ascii="仿宋" w:hAnsi="仿宋" w:eastAsia="仿宋" w:cs="仿宋"/>
          <w:b/>
          <w:bCs/>
          <w:color w:val="auto"/>
          <w:sz w:val="21"/>
          <w:szCs w:val="21"/>
          <w:highlight w:val="none"/>
        </w:rPr>
        <w:tab/>
      </w:r>
      <w:r>
        <w:rPr>
          <w:rFonts w:hint="eastAsia" w:ascii="仿宋" w:hAnsi="仿宋" w:eastAsia="仿宋" w:cs="仿宋"/>
          <w:b/>
          <w:bCs/>
          <w:color w:val="auto"/>
          <w:sz w:val="21"/>
          <w:szCs w:val="21"/>
          <w:highlight w:val="none"/>
        </w:rPr>
        <w:fldChar w:fldCharType="begin"/>
      </w:r>
      <w:r>
        <w:rPr>
          <w:rFonts w:hint="eastAsia" w:ascii="仿宋" w:hAnsi="仿宋" w:eastAsia="仿宋" w:cs="仿宋"/>
          <w:b/>
          <w:bCs/>
          <w:color w:val="auto"/>
          <w:sz w:val="21"/>
          <w:szCs w:val="21"/>
          <w:highlight w:val="none"/>
        </w:rPr>
        <w:instrText xml:space="preserve"> PAGEREF _Toc32126 \h </w:instrText>
      </w:r>
      <w:r>
        <w:rPr>
          <w:rFonts w:hint="eastAsia" w:ascii="仿宋" w:hAnsi="仿宋" w:eastAsia="仿宋" w:cs="仿宋"/>
          <w:b/>
          <w:bCs/>
          <w:color w:val="auto"/>
          <w:sz w:val="21"/>
          <w:szCs w:val="21"/>
          <w:highlight w:val="none"/>
        </w:rPr>
        <w:fldChar w:fldCharType="separate"/>
      </w:r>
      <w:r>
        <w:rPr>
          <w:rFonts w:hint="eastAsia" w:ascii="仿宋" w:hAnsi="仿宋" w:eastAsia="仿宋" w:cs="仿宋"/>
          <w:b/>
          <w:bCs/>
          <w:color w:val="auto"/>
          <w:sz w:val="21"/>
          <w:szCs w:val="21"/>
          <w:highlight w:val="none"/>
        </w:rPr>
        <w:t>35</w:t>
      </w:r>
      <w:r>
        <w:rPr>
          <w:rFonts w:hint="eastAsia" w:ascii="仿宋" w:hAnsi="仿宋" w:eastAsia="仿宋" w:cs="仿宋"/>
          <w:b/>
          <w:bCs/>
          <w:color w:val="auto"/>
          <w:sz w:val="21"/>
          <w:szCs w:val="21"/>
          <w:highlight w:val="none"/>
        </w:rPr>
        <w:fldChar w:fldCharType="end"/>
      </w:r>
      <w:r>
        <w:rPr>
          <w:rFonts w:hint="eastAsia" w:ascii="仿宋" w:hAnsi="仿宋" w:eastAsia="仿宋" w:cs="仿宋"/>
          <w:b/>
          <w:bCs/>
          <w:color w:val="auto"/>
          <w:sz w:val="21"/>
          <w:szCs w:val="21"/>
          <w:highlight w:val="none"/>
        </w:rPr>
        <w:fldChar w:fldCharType="end"/>
      </w:r>
    </w:p>
    <w:p>
      <w:pPr>
        <w:pStyle w:val="50"/>
        <w:tabs>
          <w:tab w:val="right" w:leader="dot" w:pos="9070"/>
        </w:tabs>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fldChar w:fldCharType="begin"/>
      </w:r>
      <w:r>
        <w:rPr>
          <w:rFonts w:hint="eastAsia" w:ascii="仿宋" w:hAnsi="仿宋" w:eastAsia="仿宋" w:cs="仿宋"/>
          <w:b/>
          <w:bCs/>
          <w:color w:val="auto"/>
          <w:sz w:val="21"/>
          <w:szCs w:val="21"/>
          <w:highlight w:val="none"/>
        </w:rPr>
        <w:instrText xml:space="preserve"> HYPERLINK \l _Toc11895 </w:instrText>
      </w:r>
      <w:r>
        <w:rPr>
          <w:rFonts w:hint="eastAsia" w:ascii="仿宋" w:hAnsi="仿宋" w:eastAsia="仿宋" w:cs="仿宋"/>
          <w:b/>
          <w:bCs/>
          <w:color w:val="auto"/>
          <w:sz w:val="21"/>
          <w:szCs w:val="21"/>
          <w:highlight w:val="none"/>
        </w:rPr>
        <w:fldChar w:fldCharType="separate"/>
      </w:r>
      <w:r>
        <w:rPr>
          <w:rFonts w:hint="eastAsia" w:ascii="仿宋" w:hAnsi="仿宋" w:eastAsia="仿宋" w:cs="仿宋"/>
          <w:b/>
          <w:bCs/>
          <w:color w:val="auto"/>
          <w:sz w:val="21"/>
          <w:szCs w:val="21"/>
          <w:highlight w:val="none"/>
        </w:rPr>
        <w:t>八、采购结果确认与公告</w:t>
      </w:r>
      <w:r>
        <w:rPr>
          <w:rFonts w:hint="eastAsia" w:ascii="仿宋" w:hAnsi="仿宋" w:eastAsia="仿宋" w:cs="仿宋"/>
          <w:b/>
          <w:bCs/>
          <w:color w:val="auto"/>
          <w:sz w:val="21"/>
          <w:szCs w:val="21"/>
          <w:highlight w:val="none"/>
        </w:rPr>
        <w:tab/>
      </w:r>
      <w:r>
        <w:rPr>
          <w:rFonts w:hint="eastAsia" w:ascii="仿宋" w:hAnsi="仿宋" w:eastAsia="仿宋" w:cs="仿宋"/>
          <w:b/>
          <w:bCs/>
          <w:color w:val="auto"/>
          <w:sz w:val="21"/>
          <w:szCs w:val="21"/>
          <w:highlight w:val="none"/>
        </w:rPr>
        <w:fldChar w:fldCharType="begin"/>
      </w:r>
      <w:r>
        <w:rPr>
          <w:rFonts w:hint="eastAsia" w:ascii="仿宋" w:hAnsi="仿宋" w:eastAsia="仿宋" w:cs="仿宋"/>
          <w:b/>
          <w:bCs/>
          <w:color w:val="auto"/>
          <w:sz w:val="21"/>
          <w:szCs w:val="21"/>
          <w:highlight w:val="none"/>
        </w:rPr>
        <w:instrText xml:space="preserve"> PAGEREF _Toc11895 \h </w:instrText>
      </w:r>
      <w:r>
        <w:rPr>
          <w:rFonts w:hint="eastAsia" w:ascii="仿宋" w:hAnsi="仿宋" w:eastAsia="仿宋" w:cs="仿宋"/>
          <w:b/>
          <w:bCs/>
          <w:color w:val="auto"/>
          <w:sz w:val="21"/>
          <w:szCs w:val="21"/>
          <w:highlight w:val="none"/>
        </w:rPr>
        <w:fldChar w:fldCharType="separate"/>
      </w:r>
      <w:r>
        <w:rPr>
          <w:rFonts w:hint="eastAsia" w:ascii="仿宋" w:hAnsi="仿宋" w:eastAsia="仿宋" w:cs="仿宋"/>
          <w:b/>
          <w:bCs/>
          <w:color w:val="auto"/>
          <w:sz w:val="21"/>
          <w:szCs w:val="21"/>
          <w:highlight w:val="none"/>
        </w:rPr>
        <w:t>36</w:t>
      </w:r>
      <w:r>
        <w:rPr>
          <w:rFonts w:hint="eastAsia" w:ascii="仿宋" w:hAnsi="仿宋" w:eastAsia="仿宋" w:cs="仿宋"/>
          <w:b/>
          <w:bCs/>
          <w:color w:val="auto"/>
          <w:sz w:val="21"/>
          <w:szCs w:val="21"/>
          <w:highlight w:val="none"/>
        </w:rPr>
        <w:fldChar w:fldCharType="end"/>
      </w:r>
      <w:r>
        <w:rPr>
          <w:rFonts w:hint="eastAsia" w:ascii="仿宋" w:hAnsi="仿宋" w:eastAsia="仿宋" w:cs="仿宋"/>
          <w:b/>
          <w:bCs/>
          <w:color w:val="auto"/>
          <w:sz w:val="21"/>
          <w:szCs w:val="21"/>
          <w:highlight w:val="none"/>
        </w:rPr>
        <w:fldChar w:fldCharType="end"/>
      </w:r>
    </w:p>
    <w:p>
      <w:pPr>
        <w:pStyle w:val="50"/>
        <w:tabs>
          <w:tab w:val="right" w:leader="dot" w:pos="9070"/>
        </w:tabs>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fldChar w:fldCharType="begin"/>
      </w:r>
      <w:r>
        <w:rPr>
          <w:rFonts w:hint="eastAsia" w:ascii="仿宋" w:hAnsi="仿宋" w:eastAsia="仿宋" w:cs="仿宋"/>
          <w:b/>
          <w:bCs/>
          <w:color w:val="auto"/>
          <w:sz w:val="21"/>
          <w:szCs w:val="21"/>
          <w:highlight w:val="none"/>
        </w:rPr>
        <w:instrText xml:space="preserve"> HYPERLINK \l _Toc17503 </w:instrText>
      </w:r>
      <w:r>
        <w:rPr>
          <w:rFonts w:hint="eastAsia" w:ascii="仿宋" w:hAnsi="仿宋" w:eastAsia="仿宋" w:cs="仿宋"/>
          <w:b/>
          <w:bCs/>
          <w:color w:val="auto"/>
          <w:sz w:val="21"/>
          <w:szCs w:val="21"/>
          <w:highlight w:val="none"/>
        </w:rPr>
        <w:fldChar w:fldCharType="separate"/>
      </w:r>
      <w:r>
        <w:rPr>
          <w:rFonts w:hint="eastAsia" w:ascii="仿宋" w:hAnsi="仿宋" w:eastAsia="仿宋" w:cs="仿宋"/>
          <w:b/>
          <w:bCs/>
          <w:color w:val="auto"/>
          <w:sz w:val="21"/>
          <w:szCs w:val="21"/>
          <w:highlight w:val="none"/>
        </w:rPr>
        <w:t>九、采购代理服务费</w:t>
      </w:r>
      <w:r>
        <w:rPr>
          <w:rFonts w:hint="eastAsia" w:ascii="仿宋" w:hAnsi="仿宋" w:eastAsia="仿宋" w:cs="仿宋"/>
          <w:b/>
          <w:bCs/>
          <w:color w:val="auto"/>
          <w:sz w:val="21"/>
          <w:szCs w:val="21"/>
          <w:highlight w:val="none"/>
        </w:rPr>
        <w:tab/>
      </w:r>
      <w:r>
        <w:rPr>
          <w:rFonts w:hint="eastAsia" w:ascii="仿宋" w:hAnsi="仿宋" w:eastAsia="仿宋" w:cs="仿宋"/>
          <w:b/>
          <w:bCs/>
          <w:color w:val="auto"/>
          <w:sz w:val="21"/>
          <w:szCs w:val="21"/>
          <w:highlight w:val="none"/>
        </w:rPr>
        <w:fldChar w:fldCharType="begin"/>
      </w:r>
      <w:r>
        <w:rPr>
          <w:rFonts w:hint="eastAsia" w:ascii="仿宋" w:hAnsi="仿宋" w:eastAsia="仿宋" w:cs="仿宋"/>
          <w:b/>
          <w:bCs/>
          <w:color w:val="auto"/>
          <w:sz w:val="21"/>
          <w:szCs w:val="21"/>
          <w:highlight w:val="none"/>
        </w:rPr>
        <w:instrText xml:space="preserve"> PAGEREF _Toc17503 \h </w:instrText>
      </w:r>
      <w:r>
        <w:rPr>
          <w:rFonts w:hint="eastAsia" w:ascii="仿宋" w:hAnsi="仿宋" w:eastAsia="仿宋" w:cs="仿宋"/>
          <w:b/>
          <w:bCs/>
          <w:color w:val="auto"/>
          <w:sz w:val="21"/>
          <w:szCs w:val="21"/>
          <w:highlight w:val="none"/>
        </w:rPr>
        <w:fldChar w:fldCharType="separate"/>
      </w:r>
      <w:r>
        <w:rPr>
          <w:rFonts w:hint="eastAsia" w:ascii="仿宋" w:hAnsi="仿宋" w:eastAsia="仿宋" w:cs="仿宋"/>
          <w:b/>
          <w:bCs/>
          <w:color w:val="auto"/>
          <w:sz w:val="21"/>
          <w:szCs w:val="21"/>
          <w:highlight w:val="none"/>
        </w:rPr>
        <w:t>37</w:t>
      </w:r>
      <w:r>
        <w:rPr>
          <w:rFonts w:hint="eastAsia" w:ascii="仿宋" w:hAnsi="仿宋" w:eastAsia="仿宋" w:cs="仿宋"/>
          <w:b/>
          <w:bCs/>
          <w:color w:val="auto"/>
          <w:sz w:val="21"/>
          <w:szCs w:val="21"/>
          <w:highlight w:val="none"/>
        </w:rPr>
        <w:fldChar w:fldCharType="end"/>
      </w:r>
      <w:r>
        <w:rPr>
          <w:rFonts w:hint="eastAsia" w:ascii="仿宋" w:hAnsi="仿宋" w:eastAsia="仿宋" w:cs="仿宋"/>
          <w:b/>
          <w:bCs/>
          <w:color w:val="auto"/>
          <w:sz w:val="21"/>
          <w:szCs w:val="21"/>
          <w:highlight w:val="none"/>
        </w:rPr>
        <w:fldChar w:fldCharType="end"/>
      </w:r>
    </w:p>
    <w:p>
      <w:pPr>
        <w:pStyle w:val="50"/>
        <w:tabs>
          <w:tab w:val="right" w:leader="dot" w:pos="9070"/>
        </w:tabs>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fldChar w:fldCharType="begin"/>
      </w:r>
      <w:r>
        <w:rPr>
          <w:rFonts w:hint="eastAsia" w:ascii="仿宋" w:hAnsi="仿宋" w:eastAsia="仿宋" w:cs="仿宋"/>
          <w:b/>
          <w:bCs/>
          <w:color w:val="auto"/>
          <w:sz w:val="21"/>
          <w:szCs w:val="21"/>
          <w:highlight w:val="none"/>
        </w:rPr>
        <w:instrText xml:space="preserve"> HYPERLINK \l _Toc7194 </w:instrText>
      </w:r>
      <w:r>
        <w:rPr>
          <w:rFonts w:hint="eastAsia" w:ascii="仿宋" w:hAnsi="仿宋" w:eastAsia="仿宋" w:cs="仿宋"/>
          <w:b/>
          <w:bCs/>
          <w:color w:val="auto"/>
          <w:sz w:val="21"/>
          <w:szCs w:val="21"/>
          <w:highlight w:val="none"/>
        </w:rPr>
        <w:fldChar w:fldCharType="separate"/>
      </w:r>
      <w:r>
        <w:rPr>
          <w:rFonts w:hint="eastAsia" w:ascii="仿宋" w:hAnsi="仿宋" w:eastAsia="仿宋" w:cs="仿宋"/>
          <w:b/>
          <w:bCs/>
          <w:color w:val="auto"/>
          <w:sz w:val="21"/>
          <w:szCs w:val="21"/>
          <w:highlight w:val="none"/>
        </w:rPr>
        <w:t>十、合同签订和履约担保</w:t>
      </w:r>
      <w:r>
        <w:rPr>
          <w:rFonts w:hint="eastAsia" w:ascii="仿宋" w:hAnsi="仿宋" w:eastAsia="仿宋" w:cs="仿宋"/>
          <w:b/>
          <w:bCs/>
          <w:color w:val="auto"/>
          <w:sz w:val="21"/>
          <w:szCs w:val="21"/>
          <w:highlight w:val="none"/>
        </w:rPr>
        <w:tab/>
      </w:r>
      <w:r>
        <w:rPr>
          <w:rFonts w:hint="eastAsia" w:ascii="仿宋" w:hAnsi="仿宋" w:eastAsia="仿宋" w:cs="仿宋"/>
          <w:b/>
          <w:bCs/>
          <w:color w:val="auto"/>
          <w:sz w:val="21"/>
          <w:szCs w:val="21"/>
          <w:highlight w:val="none"/>
        </w:rPr>
        <w:fldChar w:fldCharType="begin"/>
      </w:r>
      <w:r>
        <w:rPr>
          <w:rFonts w:hint="eastAsia" w:ascii="仿宋" w:hAnsi="仿宋" w:eastAsia="仿宋" w:cs="仿宋"/>
          <w:b/>
          <w:bCs/>
          <w:color w:val="auto"/>
          <w:sz w:val="21"/>
          <w:szCs w:val="21"/>
          <w:highlight w:val="none"/>
        </w:rPr>
        <w:instrText xml:space="preserve"> PAGEREF _Toc7194 \h </w:instrText>
      </w:r>
      <w:r>
        <w:rPr>
          <w:rFonts w:hint="eastAsia" w:ascii="仿宋" w:hAnsi="仿宋" w:eastAsia="仿宋" w:cs="仿宋"/>
          <w:b/>
          <w:bCs/>
          <w:color w:val="auto"/>
          <w:sz w:val="21"/>
          <w:szCs w:val="21"/>
          <w:highlight w:val="none"/>
        </w:rPr>
        <w:fldChar w:fldCharType="separate"/>
      </w:r>
      <w:r>
        <w:rPr>
          <w:rFonts w:hint="eastAsia" w:ascii="仿宋" w:hAnsi="仿宋" w:eastAsia="仿宋" w:cs="仿宋"/>
          <w:b/>
          <w:bCs/>
          <w:color w:val="auto"/>
          <w:sz w:val="21"/>
          <w:szCs w:val="21"/>
          <w:highlight w:val="none"/>
        </w:rPr>
        <w:t>37</w:t>
      </w:r>
      <w:r>
        <w:rPr>
          <w:rFonts w:hint="eastAsia" w:ascii="仿宋" w:hAnsi="仿宋" w:eastAsia="仿宋" w:cs="仿宋"/>
          <w:b/>
          <w:bCs/>
          <w:color w:val="auto"/>
          <w:sz w:val="21"/>
          <w:szCs w:val="21"/>
          <w:highlight w:val="none"/>
        </w:rPr>
        <w:fldChar w:fldCharType="end"/>
      </w:r>
      <w:r>
        <w:rPr>
          <w:rFonts w:hint="eastAsia" w:ascii="仿宋" w:hAnsi="仿宋" w:eastAsia="仿宋" w:cs="仿宋"/>
          <w:b/>
          <w:bCs/>
          <w:color w:val="auto"/>
          <w:sz w:val="21"/>
          <w:szCs w:val="21"/>
          <w:highlight w:val="none"/>
        </w:rPr>
        <w:fldChar w:fldCharType="end"/>
      </w:r>
    </w:p>
    <w:p>
      <w:pPr>
        <w:pStyle w:val="50"/>
        <w:tabs>
          <w:tab w:val="right" w:leader="dot" w:pos="9070"/>
        </w:tabs>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fldChar w:fldCharType="begin"/>
      </w:r>
      <w:r>
        <w:rPr>
          <w:rFonts w:hint="eastAsia" w:ascii="仿宋" w:hAnsi="仿宋" w:eastAsia="仿宋" w:cs="仿宋"/>
          <w:b/>
          <w:bCs/>
          <w:color w:val="auto"/>
          <w:sz w:val="21"/>
          <w:szCs w:val="21"/>
          <w:highlight w:val="none"/>
        </w:rPr>
        <w:instrText xml:space="preserve"> HYPERLINK \l _Toc19649 </w:instrText>
      </w:r>
      <w:r>
        <w:rPr>
          <w:rFonts w:hint="eastAsia" w:ascii="仿宋" w:hAnsi="仿宋" w:eastAsia="仿宋" w:cs="仿宋"/>
          <w:b/>
          <w:bCs/>
          <w:color w:val="auto"/>
          <w:sz w:val="21"/>
          <w:szCs w:val="21"/>
          <w:highlight w:val="none"/>
        </w:rPr>
        <w:fldChar w:fldCharType="separate"/>
      </w:r>
      <w:r>
        <w:rPr>
          <w:rFonts w:hint="eastAsia" w:ascii="仿宋" w:hAnsi="仿宋" w:eastAsia="仿宋" w:cs="仿宋"/>
          <w:b/>
          <w:bCs/>
          <w:color w:val="auto"/>
          <w:sz w:val="21"/>
          <w:szCs w:val="21"/>
          <w:highlight w:val="none"/>
        </w:rPr>
        <w:t>十一、其他事项说明</w:t>
      </w:r>
      <w:r>
        <w:rPr>
          <w:rFonts w:hint="eastAsia" w:ascii="仿宋" w:hAnsi="仿宋" w:eastAsia="仿宋" w:cs="仿宋"/>
          <w:b/>
          <w:bCs/>
          <w:color w:val="auto"/>
          <w:sz w:val="21"/>
          <w:szCs w:val="21"/>
          <w:highlight w:val="none"/>
        </w:rPr>
        <w:tab/>
      </w:r>
      <w:r>
        <w:rPr>
          <w:rFonts w:hint="eastAsia" w:ascii="仿宋" w:hAnsi="仿宋" w:eastAsia="仿宋" w:cs="仿宋"/>
          <w:b/>
          <w:bCs/>
          <w:color w:val="auto"/>
          <w:sz w:val="21"/>
          <w:szCs w:val="21"/>
          <w:highlight w:val="none"/>
        </w:rPr>
        <w:fldChar w:fldCharType="begin"/>
      </w:r>
      <w:r>
        <w:rPr>
          <w:rFonts w:hint="eastAsia" w:ascii="仿宋" w:hAnsi="仿宋" w:eastAsia="仿宋" w:cs="仿宋"/>
          <w:b/>
          <w:bCs/>
          <w:color w:val="auto"/>
          <w:sz w:val="21"/>
          <w:szCs w:val="21"/>
          <w:highlight w:val="none"/>
        </w:rPr>
        <w:instrText xml:space="preserve"> PAGEREF _Toc19649 \h </w:instrText>
      </w:r>
      <w:r>
        <w:rPr>
          <w:rFonts w:hint="eastAsia" w:ascii="仿宋" w:hAnsi="仿宋" w:eastAsia="仿宋" w:cs="仿宋"/>
          <w:b/>
          <w:bCs/>
          <w:color w:val="auto"/>
          <w:sz w:val="21"/>
          <w:szCs w:val="21"/>
          <w:highlight w:val="none"/>
        </w:rPr>
        <w:fldChar w:fldCharType="separate"/>
      </w:r>
      <w:r>
        <w:rPr>
          <w:rFonts w:hint="eastAsia" w:ascii="仿宋" w:hAnsi="仿宋" w:eastAsia="仿宋" w:cs="仿宋"/>
          <w:b/>
          <w:bCs/>
          <w:color w:val="auto"/>
          <w:sz w:val="21"/>
          <w:szCs w:val="21"/>
          <w:highlight w:val="none"/>
        </w:rPr>
        <w:t>38</w:t>
      </w:r>
      <w:r>
        <w:rPr>
          <w:rFonts w:hint="eastAsia" w:ascii="仿宋" w:hAnsi="仿宋" w:eastAsia="仿宋" w:cs="仿宋"/>
          <w:b/>
          <w:bCs/>
          <w:color w:val="auto"/>
          <w:sz w:val="21"/>
          <w:szCs w:val="21"/>
          <w:highlight w:val="none"/>
        </w:rPr>
        <w:fldChar w:fldCharType="end"/>
      </w:r>
      <w:r>
        <w:rPr>
          <w:rFonts w:hint="eastAsia" w:ascii="仿宋" w:hAnsi="仿宋" w:eastAsia="仿宋" w:cs="仿宋"/>
          <w:b/>
          <w:bCs/>
          <w:color w:val="auto"/>
          <w:sz w:val="21"/>
          <w:szCs w:val="21"/>
          <w:highlight w:val="none"/>
        </w:rPr>
        <w:fldChar w:fldCharType="end"/>
      </w:r>
    </w:p>
    <w:p>
      <w:pPr>
        <w:pStyle w:val="41"/>
        <w:tabs>
          <w:tab w:val="right" w:leader="dot" w:pos="9070"/>
        </w:tabs>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fldChar w:fldCharType="begin"/>
      </w:r>
      <w:r>
        <w:rPr>
          <w:rFonts w:hint="eastAsia" w:ascii="仿宋" w:hAnsi="仿宋" w:eastAsia="仿宋" w:cs="仿宋"/>
          <w:b/>
          <w:bCs/>
          <w:color w:val="auto"/>
          <w:sz w:val="21"/>
          <w:szCs w:val="21"/>
          <w:highlight w:val="none"/>
        </w:rPr>
        <w:instrText xml:space="preserve"> HYPERLINK \l _Toc18106 </w:instrText>
      </w:r>
      <w:r>
        <w:rPr>
          <w:rFonts w:hint="eastAsia" w:ascii="仿宋" w:hAnsi="仿宋" w:eastAsia="仿宋" w:cs="仿宋"/>
          <w:b/>
          <w:bCs/>
          <w:color w:val="auto"/>
          <w:sz w:val="21"/>
          <w:szCs w:val="21"/>
          <w:highlight w:val="none"/>
        </w:rPr>
        <w:fldChar w:fldCharType="separate"/>
      </w:r>
      <w:r>
        <w:rPr>
          <w:rFonts w:hint="eastAsia" w:ascii="仿宋" w:hAnsi="仿宋" w:eastAsia="仿宋" w:cs="仿宋"/>
          <w:b/>
          <w:bCs/>
          <w:color w:val="auto"/>
          <w:kern w:val="0"/>
          <w:sz w:val="21"/>
          <w:szCs w:val="21"/>
          <w:highlight w:val="none"/>
        </w:rPr>
        <w:t>第三章 评审办法</w:t>
      </w:r>
      <w:r>
        <w:rPr>
          <w:rFonts w:hint="eastAsia" w:ascii="仿宋" w:hAnsi="仿宋" w:eastAsia="仿宋" w:cs="仿宋"/>
          <w:b/>
          <w:bCs/>
          <w:color w:val="auto"/>
          <w:sz w:val="21"/>
          <w:szCs w:val="21"/>
          <w:highlight w:val="none"/>
        </w:rPr>
        <w:tab/>
      </w:r>
      <w:r>
        <w:rPr>
          <w:rFonts w:hint="eastAsia" w:ascii="仿宋" w:hAnsi="仿宋" w:eastAsia="仿宋" w:cs="仿宋"/>
          <w:b/>
          <w:bCs/>
          <w:color w:val="auto"/>
          <w:sz w:val="21"/>
          <w:szCs w:val="21"/>
          <w:highlight w:val="none"/>
        </w:rPr>
        <w:fldChar w:fldCharType="begin"/>
      </w:r>
      <w:r>
        <w:rPr>
          <w:rFonts w:hint="eastAsia" w:ascii="仿宋" w:hAnsi="仿宋" w:eastAsia="仿宋" w:cs="仿宋"/>
          <w:b/>
          <w:bCs/>
          <w:color w:val="auto"/>
          <w:sz w:val="21"/>
          <w:szCs w:val="21"/>
          <w:highlight w:val="none"/>
        </w:rPr>
        <w:instrText xml:space="preserve"> PAGEREF _Toc18106 \h </w:instrText>
      </w:r>
      <w:r>
        <w:rPr>
          <w:rFonts w:hint="eastAsia" w:ascii="仿宋" w:hAnsi="仿宋" w:eastAsia="仿宋" w:cs="仿宋"/>
          <w:b/>
          <w:bCs/>
          <w:color w:val="auto"/>
          <w:sz w:val="21"/>
          <w:szCs w:val="21"/>
          <w:highlight w:val="none"/>
        </w:rPr>
        <w:fldChar w:fldCharType="separate"/>
      </w:r>
      <w:r>
        <w:rPr>
          <w:rFonts w:hint="eastAsia" w:ascii="仿宋" w:hAnsi="仿宋" w:eastAsia="仿宋" w:cs="仿宋"/>
          <w:b/>
          <w:bCs/>
          <w:color w:val="auto"/>
          <w:sz w:val="21"/>
          <w:szCs w:val="21"/>
          <w:highlight w:val="none"/>
        </w:rPr>
        <w:t>40</w:t>
      </w:r>
      <w:r>
        <w:rPr>
          <w:rFonts w:hint="eastAsia" w:ascii="仿宋" w:hAnsi="仿宋" w:eastAsia="仿宋" w:cs="仿宋"/>
          <w:b/>
          <w:bCs/>
          <w:color w:val="auto"/>
          <w:sz w:val="21"/>
          <w:szCs w:val="21"/>
          <w:highlight w:val="none"/>
        </w:rPr>
        <w:fldChar w:fldCharType="end"/>
      </w:r>
      <w:r>
        <w:rPr>
          <w:rFonts w:hint="eastAsia" w:ascii="仿宋" w:hAnsi="仿宋" w:eastAsia="仿宋" w:cs="仿宋"/>
          <w:b/>
          <w:bCs/>
          <w:color w:val="auto"/>
          <w:sz w:val="21"/>
          <w:szCs w:val="21"/>
          <w:highlight w:val="none"/>
        </w:rPr>
        <w:fldChar w:fldCharType="end"/>
      </w:r>
    </w:p>
    <w:p>
      <w:pPr>
        <w:pStyle w:val="50"/>
        <w:tabs>
          <w:tab w:val="right" w:leader="dot" w:pos="9070"/>
        </w:tabs>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fldChar w:fldCharType="begin"/>
      </w:r>
      <w:r>
        <w:rPr>
          <w:rFonts w:hint="eastAsia" w:ascii="仿宋" w:hAnsi="仿宋" w:eastAsia="仿宋" w:cs="仿宋"/>
          <w:b/>
          <w:bCs/>
          <w:color w:val="auto"/>
          <w:sz w:val="21"/>
          <w:szCs w:val="21"/>
          <w:highlight w:val="none"/>
        </w:rPr>
        <w:instrText xml:space="preserve"> HYPERLINK \l _Toc23222 </w:instrText>
      </w:r>
      <w:r>
        <w:rPr>
          <w:rFonts w:hint="eastAsia" w:ascii="仿宋" w:hAnsi="仿宋" w:eastAsia="仿宋" w:cs="仿宋"/>
          <w:b/>
          <w:bCs/>
          <w:color w:val="auto"/>
          <w:sz w:val="21"/>
          <w:szCs w:val="21"/>
          <w:highlight w:val="none"/>
        </w:rPr>
        <w:fldChar w:fldCharType="separate"/>
      </w:r>
      <w:r>
        <w:rPr>
          <w:rFonts w:hint="eastAsia" w:ascii="仿宋" w:hAnsi="仿宋" w:eastAsia="仿宋" w:cs="仿宋"/>
          <w:b/>
          <w:bCs/>
          <w:color w:val="auto"/>
          <w:sz w:val="21"/>
          <w:szCs w:val="21"/>
          <w:highlight w:val="none"/>
        </w:rPr>
        <w:t>一、总则</w:t>
      </w:r>
      <w:r>
        <w:rPr>
          <w:rFonts w:hint="eastAsia" w:ascii="仿宋" w:hAnsi="仿宋" w:eastAsia="仿宋" w:cs="仿宋"/>
          <w:b/>
          <w:bCs/>
          <w:color w:val="auto"/>
          <w:sz w:val="21"/>
          <w:szCs w:val="21"/>
          <w:highlight w:val="none"/>
        </w:rPr>
        <w:tab/>
      </w:r>
      <w:r>
        <w:rPr>
          <w:rFonts w:hint="eastAsia" w:ascii="仿宋" w:hAnsi="仿宋" w:eastAsia="仿宋" w:cs="仿宋"/>
          <w:b/>
          <w:bCs/>
          <w:color w:val="auto"/>
          <w:sz w:val="21"/>
          <w:szCs w:val="21"/>
          <w:highlight w:val="none"/>
        </w:rPr>
        <w:fldChar w:fldCharType="begin"/>
      </w:r>
      <w:r>
        <w:rPr>
          <w:rFonts w:hint="eastAsia" w:ascii="仿宋" w:hAnsi="仿宋" w:eastAsia="仿宋" w:cs="仿宋"/>
          <w:b/>
          <w:bCs/>
          <w:color w:val="auto"/>
          <w:sz w:val="21"/>
          <w:szCs w:val="21"/>
          <w:highlight w:val="none"/>
        </w:rPr>
        <w:instrText xml:space="preserve"> PAGEREF _Toc23222 \h </w:instrText>
      </w:r>
      <w:r>
        <w:rPr>
          <w:rFonts w:hint="eastAsia" w:ascii="仿宋" w:hAnsi="仿宋" w:eastAsia="仿宋" w:cs="仿宋"/>
          <w:b/>
          <w:bCs/>
          <w:color w:val="auto"/>
          <w:sz w:val="21"/>
          <w:szCs w:val="21"/>
          <w:highlight w:val="none"/>
        </w:rPr>
        <w:fldChar w:fldCharType="separate"/>
      </w:r>
      <w:r>
        <w:rPr>
          <w:rFonts w:hint="eastAsia" w:ascii="仿宋" w:hAnsi="仿宋" w:eastAsia="仿宋" w:cs="仿宋"/>
          <w:b/>
          <w:bCs/>
          <w:color w:val="auto"/>
          <w:sz w:val="21"/>
          <w:szCs w:val="21"/>
          <w:highlight w:val="none"/>
        </w:rPr>
        <w:t>40</w:t>
      </w:r>
      <w:r>
        <w:rPr>
          <w:rFonts w:hint="eastAsia" w:ascii="仿宋" w:hAnsi="仿宋" w:eastAsia="仿宋" w:cs="仿宋"/>
          <w:b/>
          <w:bCs/>
          <w:color w:val="auto"/>
          <w:sz w:val="21"/>
          <w:szCs w:val="21"/>
          <w:highlight w:val="none"/>
        </w:rPr>
        <w:fldChar w:fldCharType="end"/>
      </w:r>
      <w:r>
        <w:rPr>
          <w:rFonts w:hint="eastAsia" w:ascii="仿宋" w:hAnsi="仿宋" w:eastAsia="仿宋" w:cs="仿宋"/>
          <w:b/>
          <w:bCs/>
          <w:color w:val="auto"/>
          <w:sz w:val="21"/>
          <w:szCs w:val="21"/>
          <w:highlight w:val="none"/>
        </w:rPr>
        <w:fldChar w:fldCharType="end"/>
      </w:r>
    </w:p>
    <w:p>
      <w:pPr>
        <w:pStyle w:val="50"/>
        <w:tabs>
          <w:tab w:val="right" w:leader="dot" w:pos="9070"/>
        </w:tabs>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fldChar w:fldCharType="begin"/>
      </w:r>
      <w:r>
        <w:rPr>
          <w:rFonts w:hint="eastAsia" w:ascii="仿宋" w:hAnsi="仿宋" w:eastAsia="仿宋" w:cs="仿宋"/>
          <w:b/>
          <w:bCs/>
          <w:color w:val="auto"/>
          <w:sz w:val="21"/>
          <w:szCs w:val="21"/>
          <w:highlight w:val="none"/>
        </w:rPr>
        <w:instrText xml:space="preserve"> HYPERLINK \l _Toc26621 </w:instrText>
      </w:r>
      <w:r>
        <w:rPr>
          <w:rFonts w:hint="eastAsia" w:ascii="仿宋" w:hAnsi="仿宋" w:eastAsia="仿宋" w:cs="仿宋"/>
          <w:b/>
          <w:bCs/>
          <w:color w:val="auto"/>
          <w:sz w:val="21"/>
          <w:szCs w:val="21"/>
          <w:highlight w:val="none"/>
        </w:rPr>
        <w:fldChar w:fldCharType="separate"/>
      </w:r>
      <w:r>
        <w:rPr>
          <w:rFonts w:hint="eastAsia" w:ascii="仿宋" w:hAnsi="仿宋" w:eastAsia="仿宋" w:cs="仿宋"/>
          <w:b/>
          <w:bCs/>
          <w:color w:val="auto"/>
          <w:sz w:val="21"/>
          <w:szCs w:val="21"/>
          <w:highlight w:val="none"/>
        </w:rPr>
        <w:t>二、评审程序</w:t>
      </w:r>
      <w:r>
        <w:rPr>
          <w:rFonts w:hint="eastAsia" w:ascii="仿宋" w:hAnsi="仿宋" w:eastAsia="仿宋" w:cs="仿宋"/>
          <w:b/>
          <w:bCs/>
          <w:color w:val="auto"/>
          <w:sz w:val="21"/>
          <w:szCs w:val="21"/>
          <w:highlight w:val="none"/>
        </w:rPr>
        <w:tab/>
      </w:r>
      <w:r>
        <w:rPr>
          <w:rFonts w:hint="eastAsia" w:ascii="仿宋" w:hAnsi="仿宋" w:eastAsia="仿宋" w:cs="仿宋"/>
          <w:b/>
          <w:bCs/>
          <w:color w:val="auto"/>
          <w:sz w:val="21"/>
          <w:szCs w:val="21"/>
          <w:highlight w:val="none"/>
        </w:rPr>
        <w:fldChar w:fldCharType="begin"/>
      </w:r>
      <w:r>
        <w:rPr>
          <w:rFonts w:hint="eastAsia" w:ascii="仿宋" w:hAnsi="仿宋" w:eastAsia="仿宋" w:cs="仿宋"/>
          <w:b/>
          <w:bCs/>
          <w:color w:val="auto"/>
          <w:sz w:val="21"/>
          <w:szCs w:val="21"/>
          <w:highlight w:val="none"/>
        </w:rPr>
        <w:instrText xml:space="preserve"> PAGEREF _Toc26621 \h </w:instrText>
      </w:r>
      <w:r>
        <w:rPr>
          <w:rFonts w:hint="eastAsia" w:ascii="仿宋" w:hAnsi="仿宋" w:eastAsia="仿宋" w:cs="仿宋"/>
          <w:b/>
          <w:bCs/>
          <w:color w:val="auto"/>
          <w:sz w:val="21"/>
          <w:szCs w:val="21"/>
          <w:highlight w:val="none"/>
        </w:rPr>
        <w:fldChar w:fldCharType="separate"/>
      </w:r>
      <w:r>
        <w:rPr>
          <w:rFonts w:hint="eastAsia" w:ascii="仿宋" w:hAnsi="仿宋" w:eastAsia="仿宋" w:cs="仿宋"/>
          <w:b/>
          <w:bCs/>
          <w:color w:val="auto"/>
          <w:sz w:val="21"/>
          <w:szCs w:val="21"/>
          <w:highlight w:val="none"/>
        </w:rPr>
        <w:t>40</w:t>
      </w:r>
      <w:r>
        <w:rPr>
          <w:rFonts w:hint="eastAsia" w:ascii="仿宋" w:hAnsi="仿宋" w:eastAsia="仿宋" w:cs="仿宋"/>
          <w:b/>
          <w:bCs/>
          <w:color w:val="auto"/>
          <w:sz w:val="21"/>
          <w:szCs w:val="21"/>
          <w:highlight w:val="none"/>
        </w:rPr>
        <w:fldChar w:fldCharType="end"/>
      </w:r>
      <w:r>
        <w:rPr>
          <w:rFonts w:hint="eastAsia" w:ascii="仿宋" w:hAnsi="仿宋" w:eastAsia="仿宋" w:cs="仿宋"/>
          <w:b/>
          <w:bCs/>
          <w:color w:val="auto"/>
          <w:sz w:val="21"/>
          <w:szCs w:val="21"/>
          <w:highlight w:val="none"/>
        </w:rPr>
        <w:fldChar w:fldCharType="end"/>
      </w:r>
    </w:p>
    <w:p>
      <w:pPr>
        <w:pStyle w:val="50"/>
        <w:tabs>
          <w:tab w:val="right" w:leader="dot" w:pos="9070"/>
        </w:tabs>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fldChar w:fldCharType="begin"/>
      </w:r>
      <w:r>
        <w:rPr>
          <w:rFonts w:hint="eastAsia" w:ascii="仿宋" w:hAnsi="仿宋" w:eastAsia="仿宋" w:cs="仿宋"/>
          <w:b/>
          <w:bCs/>
          <w:color w:val="auto"/>
          <w:sz w:val="21"/>
          <w:szCs w:val="21"/>
          <w:highlight w:val="none"/>
        </w:rPr>
        <w:instrText xml:space="preserve"> HYPERLINK \l _Toc14247 </w:instrText>
      </w:r>
      <w:r>
        <w:rPr>
          <w:rFonts w:hint="eastAsia" w:ascii="仿宋" w:hAnsi="仿宋" w:eastAsia="仿宋" w:cs="仿宋"/>
          <w:b/>
          <w:bCs/>
          <w:color w:val="auto"/>
          <w:sz w:val="21"/>
          <w:szCs w:val="21"/>
          <w:highlight w:val="none"/>
        </w:rPr>
        <w:fldChar w:fldCharType="separate"/>
      </w:r>
      <w:r>
        <w:rPr>
          <w:rFonts w:hint="eastAsia" w:ascii="仿宋" w:hAnsi="仿宋" w:eastAsia="仿宋" w:cs="仿宋"/>
          <w:b/>
          <w:bCs/>
          <w:color w:val="auto"/>
          <w:sz w:val="21"/>
          <w:szCs w:val="21"/>
          <w:highlight w:val="none"/>
        </w:rPr>
        <w:t>三、评审内容及标准</w:t>
      </w:r>
      <w:r>
        <w:rPr>
          <w:rFonts w:hint="eastAsia" w:ascii="仿宋" w:hAnsi="仿宋" w:eastAsia="仿宋" w:cs="仿宋"/>
          <w:b/>
          <w:bCs/>
          <w:color w:val="auto"/>
          <w:sz w:val="21"/>
          <w:szCs w:val="21"/>
          <w:highlight w:val="none"/>
        </w:rPr>
        <w:tab/>
      </w:r>
      <w:r>
        <w:rPr>
          <w:rFonts w:hint="eastAsia" w:ascii="仿宋" w:hAnsi="仿宋" w:eastAsia="仿宋" w:cs="仿宋"/>
          <w:b/>
          <w:bCs/>
          <w:color w:val="auto"/>
          <w:sz w:val="21"/>
          <w:szCs w:val="21"/>
          <w:highlight w:val="none"/>
        </w:rPr>
        <w:fldChar w:fldCharType="begin"/>
      </w:r>
      <w:r>
        <w:rPr>
          <w:rFonts w:hint="eastAsia" w:ascii="仿宋" w:hAnsi="仿宋" w:eastAsia="仿宋" w:cs="仿宋"/>
          <w:b/>
          <w:bCs/>
          <w:color w:val="auto"/>
          <w:sz w:val="21"/>
          <w:szCs w:val="21"/>
          <w:highlight w:val="none"/>
        </w:rPr>
        <w:instrText xml:space="preserve"> PAGEREF _Toc14247 \h </w:instrText>
      </w:r>
      <w:r>
        <w:rPr>
          <w:rFonts w:hint="eastAsia" w:ascii="仿宋" w:hAnsi="仿宋" w:eastAsia="仿宋" w:cs="仿宋"/>
          <w:b/>
          <w:bCs/>
          <w:color w:val="auto"/>
          <w:sz w:val="21"/>
          <w:szCs w:val="21"/>
          <w:highlight w:val="none"/>
        </w:rPr>
        <w:fldChar w:fldCharType="separate"/>
      </w:r>
      <w:r>
        <w:rPr>
          <w:rFonts w:hint="eastAsia" w:ascii="仿宋" w:hAnsi="仿宋" w:eastAsia="仿宋" w:cs="仿宋"/>
          <w:b/>
          <w:bCs/>
          <w:color w:val="auto"/>
          <w:sz w:val="21"/>
          <w:szCs w:val="21"/>
          <w:highlight w:val="none"/>
        </w:rPr>
        <w:t>45</w:t>
      </w:r>
      <w:r>
        <w:rPr>
          <w:rFonts w:hint="eastAsia" w:ascii="仿宋" w:hAnsi="仿宋" w:eastAsia="仿宋" w:cs="仿宋"/>
          <w:b/>
          <w:bCs/>
          <w:color w:val="auto"/>
          <w:sz w:val="21"/>
          <w:szCs w:val="21"/>
          <w:highlight w:val="none"/>
        </w:rPr>
        <w:fldChar w:fldCharType="end"/>
      </w:r>
      <w:r>
        <w:rPr>
          <w:rFonts w:hint="eastAsia" w:ascii="仿宋" w:hAnsi="仿宋" w:eastAsia="仿宋" w:cs="仿宋"/>
          <w:b/>
          <w:bCs/>
          <w:color w:val="auto"/>
          <w:sz w:val="21"/>
          <w:szCs w:val="21"/>
          <w:highlight w:val="none"/>
        </w:rPr>
        <w:fldChar w:fldCharType="end"/>
      </w:r>
    </w:p>
    <w:p>
      <w:pPr>
        <w:pStyle w:val="50"/>
        <w:tabs>
          <w:tab w:val="right" w:leader="dot" w:pos="9070"/>
        </w:tabs>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fldChar w:fldCharType="begin"/>
      </w:r>
      <w:r>
        <w:rPr>
          <w:rFonts w:hint="eastAsia" w:ascii="仿宋" w:hAnsi="仿宋" w:eastAsia="仿宋" w:cs="仿宋"/>
          <w:b/>
          <w:bCs/>
          <w:color w:val="auto"/>
          <w:sz w:val="21"/>
          <w:szCs w:val="21"/>
          <w:highlight w:val="none"/>
        </w:rPr>
        <w:instrText xml:space="preserve"> HYPERLINK \l _Toc10395 </w:instrText>
      </w:r>
      <w:r>
        <w:rPr>
          <w:rFonts w:hint="eastAsia" w:ascii="仿宋" w:hAnsi="仿宋" w:eastAsia="仿宋" w:cs="仿宋"/>
          <w:b/>
          <w:bCs/>
          <w:color w:val="auto"/>
          <w:sz w:val="21"/>
          <w:szCs w:val="21"/>
          <w:highlight w:val="none"/>
        </w:rPr>
        <w:fldChar w:fldCharType="separate"/>
      </w:r>
      <w:r>
        <w:rPr>
          <w:rFonts w:hint="eastAsia" w:ascii="仿宋" w:hAnsi="仿宋" w:eastAsia="仿宋" w:cs="仿宋"/>
          <w:b/>
          <w:bCs/>
          <w:color w:val="auto"/>
          <w:sz w:val="21"/>
          <w:szCs w:val="21"/>
          <w:highlight w:val="none"/>
        </w:rPr>
        <w:t>四、其他评审事项规定</w:t>
      </w:r>
      <w:r>
        <w:rPr>
          <w:rFonts w:hint="eastAsia" w:ascii="仿宋" w:hAnsi="仿宋" w:eastAsia="仿宋" w:cs="仿宋"/>
          <w:b/>
          <w:bCs/>
          <w:color w:val="auto"/>
          <w:sz w:val="21"/>
          <w:szCs w:val="21"/>
          <w:highlight w:val="none"/>
        </w:rPr>
        <w:tab/>
      </w:r>
      <w:r>
        <w:rPr>
          <w:rFonts w:hint="eastAsia" w:ascii="仿宋" w:hAnsi="仿宋" w:eastAsia="仿宋" w:cs="仿宋"/>
          <w:b/>
          <w:bCs/>
          <w:color w:val="auto"/>
          <w:sz w:val="21"/>
          <w:szCs w:val="21"/>
          <w:highlight w:val="none"/>
        </w:rPr>
        <w:fldChar w:fldCharType="begin"/>
      </w:r>
      <w:r>
        <w:rPr>
          <w:rFonts w:hint="eastAsia" w:ascii="仿宋" w:hAnsi="仿宋" w:eastAsia="仿宋" w:cs="仿宋"/>
          <w:b/>
          <w:bCs/>
          <w:color w:val="auto"/>
          <w:sz w:val="21"/>
          <w:szCs w:val="21"/>
          <w:highlight w:val="none"/>
        </w:rPr>
        <w:instrText xml:space="preserve"> PAGEREF _Toc10395 \h </w:instrText>
      </w:r>
      <w:r>
        <w:rPr>
          <w:rFonts w:hint="eastAsia" w:ascii="仿宋" w:hAnsi="仿宋" w:eastAsia="仿宋" w:cs="仿宋"/>
          <w:b/>
          <w:bCs/>
          <w:color w:val="auto"/>
          <w:sz w:val="21"/>
          <w:szCs w:val="21"/>
          <w:highlight w:val="none"/>
        </w:rPr>
        <w:fldChar w:fldCharType="separate"/>
      </w:r>
      <w:r>
        <w:rPr>
          <w:rFonts w:hint="eastAsia" w:ascii="仿宋" w:hAnsi="仿宋" w:eastAsia="仿宋" w:cs="仿宋"/>
          <w:b/>
          <w:bCs/>
          <w:color w:val="auto"/>
          <w:sz w:val="21"/>
          <w:szCs w:val="21"/>
          <w:highlight w:val="none"/>
        </w:rPr>
        <w:t>48</w:t>
      </w:r>
      <w:r>
        <w:rPr>
          <w:rFonts w:hint="eastAsia" w:ascii="仿宋" w:hAnsi="仿宋" w:eastAsia="仿宋" w:cs="仿宋"/>
          <w:b/>
          <w:bCs/>
          <w:color w:val="auto"/>
          <w:sz w:val="21"/>
          <w:szCs w:val="21"/>
          <w:highlight w:val="none"/>
        </w:rPr>
        <w:fldChar w:fldCharType="end"/>
      </w:r>
      <w:r>
        <w:rPr>
          <w:rFonts w:hint="eastAsia" w:ascii="仿宋" w:hAnsi="仿宋" w:eastAsia="仿宋" w:cs="仿宋"/>
          <w:b/>
          <w:bCs/>
          <w:color w:val="auto"/>
          <w:sz w:val="21"/>
          <w:szCs w:val="21"/>
          <w:highlight w:val="none"/>
        </w:rPr>
        <w:fldChar w:fldCharType="end"/>
      </w:r>
    </w:p>
    <w:p>
      <w:pPr>
        <w:pStyle w:val="41"/>
        <w:tabs>
          <w:tab w:val="right" w:leader="dot" w:pos="9070"/>
        </w:tabs>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fldChar w:fldCharType="begin"/>
      </w:r>
      <w:r>
        <w:rPr>
          <w:rFonts w:hint="eastAsia" w:ascii="仿宋" w:hAnsi="仿宋" w:eastAsia="仿宋" w:cs="仿宋"/>
          <w:b/>
          <w:bCs/>
          <w:color w:val="auto"/>
          <w:sz w:val="21"/>
          <w:szCs w:val="21"/>
          <w:highlight w:val="none"/>
        </w:rPr>
        <w:instrText xml:space="preserve"> HYPERLINK \l _Toc8854 </w:instrText>
      </w:r>
      <w:r>
        <w:rPr>
          <w:rFonts w:hint="eastAsia" w:ascii="仿宋" w:hAnsi="仿宋" w:eastAsia="仿宋" w:cs="仿宋"/>
          <w:b/>
          <w:bCs/>
          <w:color w:val="auto"/>
          <w:sz w:val="21"/>
          <w:szCs w:val="21"/>
          <w:highlight w:val="none"/>
        </w:rPr>
        <w:fldChar w:fldCharType="separate"/>
      </w:r>
      <w:r>
        <w:rPr>
          <w:rFonts w:hint="eastAsia" w:ascii="仿宋" w:hAnsi="仿宋" w:eastAsia="仿宋" w:cs="仿宋"/>
          <w:b/>
          <w:bCs/>
          <w:color w:val="auto"/>
          <w:sz w:val="21"/>
          <w:szCs w:val="21"/>
          <w:highlight w:val="none"/>
        </w:rPr>
        <w:t>第四章 采购内容及需求</w:t>
      </w:r>
      <w:r>
        <w:rPr>
          <w:rFonts w:hint="eastAsia" w:ascii="仿宋" w:hAnsi="仿宋" w:eastAsia="仿宋" w:cs="仿宋"/>
          <w:b/>
          <w:bCs/>
          <w:color w:val="auto"/>
          <w:sz w:val="21"/>
          <w:szCs w:val="21"/>
          <w:highlight w:val="none"/>
        </w:rPr>
        <w:tab/>
      </w:r>
      <w:r>
        <w:rPr>
          <w:rFonts w:hint="eastAsia" w:ascii="仿宋" w:hAnsi="仿宋" w:eastAsia="仿宋" w:cs="仿宋"/>
          <w:b/>
          <w:bCs/>
          <w:color w:val="auto"/>
          <w:sz w:val="21"/>
          <w:szCs w:val="21"/>
          <w:highlight w:val="none"/>
        </w:rPr>
        <w:fldChar w:fldCharType="begin"/>
      </w:r>
      <w:r>
        <w:rPr>
          <w:rFonts w:hint="eastAsia" w:ascii="仿宋" w:hAnsi="仿宋" w:eastAsia="仿宋" w:cs="仿宋"/>
          <w:b/>
          <w:bCs/>
          <w:color w:val="auto"/>
          <w:sz w:val="21"/>
          <w:szCs w:val="21"/>
          <w:highlight w:val="none"/>
        </w:rPr>
        <w:instrText xml:space="preserve"> PAGEREF _Toc8854 \h </w:instrText>
      </w:r>
      <w:r>
        <w:rPr>
          <w:rFonts w:hint="eastAsia" w:ascii="仿宋" w:hAnsi="仿宋" w:eastAsia="仿宋" w:cs="仿宋"/>
          <w:b/>
          <w:bCs/>
          <w:color w:val="auto"/>
          <w:sz w:val="21"/>
          <w:szCs w:val="21"/>
          <w:highlight w:val="none"/>
        </w:rPr>
        <w:fldChar w:fldCharType="separate"/>
      </w:r>
      <w:r>
        <w:rPr>
          <w:rFonts w:hint="eastAsia" w:ascii="仿宋" w:hAnsi="仿宋" w:eastAsia="仿宋" w:cs="仿宋"/>
          <w:b/>
          <w:bCs/>
          <w:color w:val="auto"/>
          <w:sz w:val="21"/>
          <w:szCs w:val="21"/>
          <w:highlight w:val="none"/>
        </w:rPr>
        <w:t>50</w:t>
      </w:r>
      <w:r>
        <w:rPr>
          <w:rFonts w:hint="eastAsia" w:ascii="仿宋" w:hAnsi="仿宋" w:eastAsia="仿宋" w:cs="仿宋"/>
          <w:b/>
          <w:bCs/>
          <w:color w:val="auto"/>
          <w:sz w:val="21"/>
          <w:szCs w:val="21"/>
          <w:highlight w:val="none"/>
        </w:rPr>
        <w:fldChar w:fldCharType="end"/>
      </w:r>
      <w:r>
        <w:rPr>
          <w:rFonts w:hint="eastAsia" w:ascii="仿宋" w:hAnsi="仿宋" w:eastAsia="仿宋" w:cs="仿宋"/>
          <w:b/>
          <w:bCs/>
          <w:color w:val="auto"/>
          <w:sz w:val="21"/>
          <w:szCs w:val="21"/>
          <w:highlight w:val="none"/>
        </w:rPr>
        <w:fldChar w:fldCharType="end"/>
      </w:r>
    </w:p>
    <w:p>
      <w:pPr>
        <w:pStyle w:val="41"/>
        <w:tabs>
          <w:tab w:val="right" w:leader="dot" w:pos="9070"/>
        </w:tabs>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fldChar w:fldCharType="begin"/>
      </w:r>
      <w:r>
        <w:rPr>
          <w:rFonts w:hint="eastAsia" w:ascii="仿宋" w:hAnsi="仿宋" w:eastAsia="仿宋" w:cs="仿宋"/>
          <w:b/>
          <w:bCs/>
          <w:color w:val="auto"/>
          <w:sz w:val="21"/>
          <w:szCs w:val="21"/>
          <w:highlight w:val="none"/>
        </w:rPr>
        <w:instrText xml:space="preserve"> HYPERLINK \l _Toc18450 </w:instrText>
      </w:r>
      <w:r>
        <w:rPr>
          <w:rFonts w:hint="eastAsia" w:ascii="仿宋" w:hAnsi="仿宋" w:eastAsia="仿宋" w:cs="仿宋"/>
          <w:b/>
          <w:bCs/>
          <w:color w:val="auto"/>
          <w:sz w:val="21"/>
          <w:szCs w:val="21"/>
          <w:highlight w:val="none"/>
        </w:rPr>
        <w:fldChar w:fldCharType="separate"/>
      </w:r>
      <w:r>
        <w:rPr>
          <w:rFonts w:hint="eastAsia" w:ascii="仿宋" w:hAnsi="仿宋" w:eastAsia="仿宋" w:cs="仿宋"/>
          <w:b/>
          <w:bCs/>
          <w:color w:val="auto"/>
          <w:sz w:val="21"/>
          <w:szCs w:val="21"/>
          <w:highlight w:val="none"/>
        </w:rPr>
        <w:t>第五章 合同</w:t>
      </w:r>
      <w:r>
        <w:rPr>
          <w:rFonts w:hint="eastAsia" w:ascii="仿宋" w:hAnsi="仿宋" w:eastAsia="仿宋" w:cs="仿宋"/>
          <w:b/>
          <w:bCs/>
          <w:color w:val="auto"/>
          <w:sz w:val="21"/>
          <w:szCs w:val="21"/>
          <w:highlight w:val="none"/>
        </w:rPr>
        <w:tab/>
      </w:r>
      <w:r>
        <w:rPr>
          <w:rFonts w:hint="eastAsia" w:ascii="仿宋" w:hAnsi="仿宋" w:eastAsia="仿宋" w:cs="仿宋"/>
          <w:b/>
          <w:bCs/>
          <w:color w:val="auto"/>
          <w:sz w:val="21"/>
          <w:szCs w:val="21"/>
          <w:highlight w:val="none"/>
        </w:rPr>
        <w:fldChar w:fldCharType="begin"/>
      </w:r>
      <w:r>
        <w:rPr>
          <w:rFonts w:hint="eastAsia" w:ascii="仿宋" w:hAnsi="仿宋" w:eastAsia="仿宋" w:cs="仿宋"/>
          <w:b/>
          <w:bCs/>
          <w:color w:val="auto"/>
          <w:sz w:val="21"/>
          <w:szCs w:val="21"/>
          <w:highlight w:val="none"/>
        </w:rPr>
        <w:instrText xml:space="preserve"> PAGEREF _Toc18450 \h </w:instrText>
      </w:r>
      <w:r>
        <w:rPr>
          <w:rFonts w:hint="eastAsia" w:ascii="仿宋" w:hAnsi="仿宋" w:eastAsia="仿宋" w:cs="仿宋"/>
          <w:b/>
          <w:bCs/>
          <w:color w:val="auto"/>
          <w:sz w:val="21"/>
          <w:szCs w:val="21"/>
          <w:highlight w:val="none"/>
        </w:rPr>
        <w:fldChar w:fldCharType="separate"/>
      </w:r>
      <w:r>
        <w:rPr>
          <w:rFonts w:hint="eastAsia" w:ascii="仿宋" w:hAnsi="仿宋" w:eastAsia="仿宋" w:cs="仿宋"/>
          <w:b/>
          <w:bCs/>
          <w:color w:val="auto"/>
          <w:sz w:val="21"/>
          <w:szCs w:val="21"/>
          <w:highlight w:val="none"/>
        </w:rPr>
        <w:t>55</w:t>
      </w:r>
      <w:r>
        <w:rPr>
          <w:rFonts w:hint="eastAsia" w:ascii="仿宋" w:hAnsi="仿宋" w:eastAsia="仿宋" w:cs="仿宋"/>
          <w:b/>
          <w:bCs/>
          <w:color w:val="auto"/>
          <w:sz w:val="21"/>
          <w:szCs w:val="21"/>
          <w:highlight w:val="none"/>
        </w:rPr>
        <w:fldChar w:fldCharType="end"/>
      </w:r>
      <w:r>
        <w:rPr>
          <w:rFonts w:hint="eastAsia" w:ascii="仿宋" w:hAnsi="仿宋" w:eastAsia="仿宋" w:cs="仿宋"/>
          <w:b/>
          <w:bCs/>
          <w:color w:val="auto"/>
          <w:sz w:val="21"/>
          <w:szCs w:val="21"/>
          <w:highlight w:val="none"/>
        </w:rPr>
        <w:fldChar w:fldCharType="end"/>
      </w:r>
    </w:p>
    <w:p>
      <w:pPr>
        <w:pStyle w:val="41"/>
        <w:tabs>
          <w:tab w:val="right" w:leader="dot" w:pos="9070"/>
        </w:tabs>
        <w:spacing w:line="360" w:lineRule="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rPr>
        <w:fldChar w:fldCharType="begin"/>
      </w:r>
      <w:r>
        <w:rPr>
          <w:rFonts w:hint="eastAsia" w:ascii="仿宋" w:hAnsi="仿宋" w:eastAsia="仿宋" w:cs="仿宋"/>
          <w:b/>
          <w:bCs/>
          <w:color w:val="auto"/>
          <w:sz w:val="21"/>
          <w:szCs w:val="21"/>
          <w:highlight w:val="none"/>
        </w:rPr>
        <w:instrText xml:space="preserve"> HYPERLINK \l _Toc15050 </w:instrText>
      </w:r>
      <w:r>
        <w:rPr>
          <w:rFonts w:hint="eastAsia" w:ascii="仿宋" w:hAnsi="仿宋" w:eastAsia="仿宋" w:cs="仿宋"/>
          <w:b/>
          <w:bCs/>
          <w:color w:val="auto"/>
          <w:sz w:val="21"/>
          <w:szCs w:val="21"/>
          <w:highlight w:val="none"/>
        </w:rPr>
        <w:fldChar w:fldCharType="separate"/>
      </w:r>
      <w:r>
        <w:rPr>
          <w:rFonts w:hint="eastAsia" w:ascii="仿宋" w:hAnsi="仿宋" w:eastAsia="仿宋" w:cs="仿宋"/>
          <w:b/>
          <w:bCs/>
          <w:color w:val="auto"/>
          <w:sz w:val="21"/>
          <w:szCs w:val="21"/>
          <w:highlight w:val="none"/>
        </w:rPr>
        <w:t>第六章 响应文件格式</w:t>
      </w:r>
      <w:r>
        <w:rPr>
          <w:rFonts w:hint="eastAsia" w:ascii="仿宋" w:hAnsi="仿宋" w:eastAsia="仿宋" w:cs="仿宋"/>
          <w:b/>
          <w:bCs/>
          <w:color w:val="auto"/>
          <w:sz w:val="21"/>
          <w:szCs w:val="21"/>
          <w:highlight w:val="none"/>
        </w:rPr>
        <w:tab/>
      </w:r>
      <w:r>
        <w:rPr>
          <w:rFonts w:hint="eastAsia" w:ascii="仿宋" w:hAnsi="仿宋" w:eastAsia="仿宋" w:cs="仿宋"/>
          <w:b/>
          <w:bCs/>
          <w:color w:val="auto"/>
          <w:sz w:val="21"/>
          <w:szCs w:val="21"/>
          <w:highlight w:val="none"/>
          <w:lang w:val="en-US" w:eastAsia="zh-CN"/>
        </w:rPr>
        <w:t>9</w:t>
      </w:r>
      <w:r>
        <w:rPr>
          <w:rFonts w:hint="eastAsia" w:ascii="仿宋" w:hAnsi="仿宋" w:eastAsia="仿宋" w:cs="仿宋"/>
          <w:b/>
          <w:bCs/>
          <w:color w:val="auto"/>
          <w:sz w:val="21"/>
          <w:szCs w:val="21"/>
          <w:highlight w:val="none"/>
        </w:rPr>
        <w:fldChar w:fldCharType="end"/>
      </w:r>
      <w:r>
        <w:rPr>
          <w:rFonts w:hint="eastAsia" w:ascii="仿宋" w:hAnsi="仿宋" w:eastAsia="仿宋" w:cs="仿宋"/>
          <w:b/>
          <w:bCs/>
          <w:color w:val="auto"/>
          <w:sz w:val="21"/>
          <w:szCs w:val="21"/>
          <w:highlight w:val="none"/>
          <w:lang w:val="en-US" w:eastAsia="zh-CN"/>
        </w:rPr>
        <w:t>9</w:t>
      </w:r>
    </w:p>
    <w:p>
      <w:pPr>
        <w:pStyle w:val="50"/>
        <w:tabs>
          <w:tab w:val="right" w:leader="dot" w:pos="9070"/>
        </w:tabs>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fldChar w:fldCharType="begin"/>
      </w:r>
      <w:r>
        <w:rPr>
          <w:rFonts w:hint="eastAsia" w:ascii="仿宋" w:hAnsi="仿宋" w:eastAsia="仿宋" w:cs="仿宋"/>
          <w:b/>
          <w:bCs/>
          <w:color w:val="auto"/>
          <w:sz w:val="21"/>
          <w:szCs w:val="21"/>
          <w:highlight w:val="none"/>
        </w:rPr>
        <w:instrText xml:space="preserve"> HYPERLINK \l _Toc1935 </w:instrText>
      </w:r>
      <w:r>
        <w:rPr>
          <w:rFonts w:hint="eastAsia" w:ascii="仿宋" w:hAnsi="仿宋" w:eastAsia="仿宋" w:cs="仿宋"/>
          <w:b/>
          <w:bCs/>
          <w:color w:val="auto"/>
          <w:sz w:val="21"/>
          <w:szCs w:val="21"/>
          <w:highlight w:val="none"/>
        </w:rPr>
        <w:fldChar w:fldCharType="separate"/>
      </w:r>
      <w:r>
        <w:rPr>
          <w:rFonts w:hint="eastAsia" w:ascii="仿宋" w:hAnsi="仿宋" w:eastAsia="仿宋" w:cs="仿宋"/>
          <w:b/>
          <w:bCs/>
          <w:color w:val="auto"/>
          <w:sz w:val="21"/>
          <w:szCs w:val="21"/>
          <w:highlight w:val="none"/>
        </w:rPr>
        <w:t>一、资格文件部分格式</w:t>
      </w:r>
      <w:r>
        <w:rPr>
          <w:rFonts w:hint="eastAsia" w:ascii="仿宋" w:hAnsi="仿宋" w:eastAsia="仿宋" w:cs="仿宋"/>
          <w:b/>
          <w:bCs/>
          <w:color w:val="auto"/>
          <w:sz w:val="21"/>
          <w:szCs w:val="21"/>
          <w:highlight w:val="none"/>
        </w:rPr>
        <w:tab/>
      </w:r>
      <w:r>
        <w:rPr>
          <w:rFonts w:hint="eastAsia" w:ascii="仿宋" w:hAnsi="仿宋" w:eastAsia="仿宋" w:cs="仿宋"/>
          <w:b/>
          <w:bCs/>
          <w:color w:val="auto"/>
          <w:sz w:val="21"/>
          <w:szCs w:val="21"/>
          <w:highlight w:val="none"/>
        </w:rPr>
        <w:fldChar w:fldCharType="begin"/>
      </w:r>
      <w:r>
        <w:rPr>
          <w:rFonts w:hint="eastAsia" w:ascii="仿宋" w:hAnsi="仿宋" w:eastAsia="仿宋" w:cs="仿宋"/>
          <w:b/>
          <w:bCs/>
          <w:color w:val="auto"/>
          <w:sz w:val="21"/>
          <w:szCs w:val="21"/>
          <w:highlight w:val="none"/>
        </w:rPr>
        <w:instrText xml:space="preserve"> PAGEREF _Toc1935 \h </w:instrText>
      </w:r>
      <w:r>
        <w:rPr>
          <w:rFonts w:hint="eastAsia" w:ascii="仿宋" w:hAnsi="仿宋" w:eastAsia="仿宋" w:cs="仿宋"/>
          <w:b/>
          <w:bCs/>
          <w:color w:val="auto"/>
          <w:sz w:val="21"/>
          <w:szCs w:val="21"/>
          <w:highlight w:val="none"/>
        </w:rPr>
        <w:fldChar w:fldCharType="separate"/>
      </w:r>
      <w:r>
        <w:rPr>
          <w:rFonts w:hint="eastAsia" w:ascii="仿宋" w:hAnsi="仿宋" w:eastAsia="仿宋" w:cs="仿宋"/>
          <w:b/>
          <w:bCs/>
          <w:color w:val="auto"/>
          <w:sz w:val="21"/>
          <w:szCs w:val="21"/>
          <w:highlight w:val="none"/>
        </w:rPr>
        <w:t>99</w:t>
      </w:r>
      <w:r>
        <w:rPr>
          <w:rFonts w:hint="eastAsia" w:ascii="仿宋" w:hAnsi="仿宋" w:eastAsia="仿宋" w:cs="仿宋"/>
          <w:b/>
          <w:bCs/>
          <w:color w:val="auto"/>
          <w:sz w:val="21"/>
          <w:szCs w:val="21"/>
          <w:highlight w:val="none"/>
        </w:rPr>
        <w:fldChar w:fldCharType="end"/>
      </w:r>
      <w:r>
        <w:rPr>
          <w:rFonts w:hint="eastAsia" w:ascii="仿宋" w:hAnsi="仿宋" w:eastAsia="仿宋" w:cs="仿宋"/>
          <w:b/>
          <w:bCs/>
          <w:color w:val="auto"/>
          <w:sz w:val="21"/>
          <w:szCs w:val="21"/>
          <w:highlight w:val="none"/>
        </w:rPr>
        <w:fldChar w:fldCharType="end"/>
      </w:r>
    </w:p>
    <w:p>
      <w:pPr>
        <w:pStyle w:val="50"/>
        <w:tabs>
          <w:tab w:val="right" w:leader="dot" w:pos="9070"/>
        </w:tabs>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fldChar w:fldCharType="begin"/>
      </w:r>
      <w:r>
        <w:rPr>
          <w:rFonts w:hint="eastAsia" w:ascii="仿宋" w:hAnsi="仿宋" w:eastAsia="仿宋" w:cs="仿宋"/>
          <w:b/>
          <w:bCs/>
          <w:color w:val="auto"/>
          <w:sz w:val="21"/>
          <w:szCs w:val="21"/>
          <w:highlight w:val="none"/>
        </w:rPr>
        <w:instrText xml:space="preserve"> HYPERLINK \l _Toc16209 </w:instrText>
      </w:r>
      <w:r>
        <w:rPr>
          <w:rFonts w:hint="eastAsia" w:ascii="仿宋" w:hAnsi="仿宋" w:eastAsia="仿宋" w:cs="仿宋"/>
          <w:b/>
          <w:bCs/>
          <w:color w:val="auto"/>
          <w:sz w:val="21"/>
          <w:szCs w:val="21"/>
          <w:highlight w:val="none"/>
        </w:rPr>
        <w:fldChar w:fldCharType="separate"/>
      </w:r>
      <w:r>
        <w:rPr>
          <w:rFonts w:hint="eastAsia" w:ascii="仿宋" w:hAnsi="仿宋" w:eastAsia="仿宋" w:cs="仿宋"/>
          <w:b/>
          <w:bCs/>
          <w:color w:val="auto"/>
          <w:sz w:val="21"/>
          <w:szCs w:val="21"/>
          <w:highlight w:val="none"/>
        </w:rPr>
        <w:t>二、商务技术文件部分格式</w:t>
      </w:r>
      <w:r>
        <w:rPr>
          <w:rFonts w:hint="eastAsia" w:ascii="仿宋" w:hAnsi="仿宋" w:eastAsia="仿宋" w:cs="仿宋"/>
          <w:b/>
          <w:bCs/>
          <w:color w:val="auto"/>
          <w:sz w:val="21"/>
          <w:szCs w:val="21"/>
          <w:highlight w:val="none"/>
        </w:rPr>
        <w:tab/>
      </w:r>
      <w:r>
        <w:rPr>
          <w:rFonts w:hint="eastAsia" w:ascii="仿宋" w:hAnsi="仿宋" w:eastAsia="仿宋" w:cs="仿宋"/>
          <w:b/>
          <w:bCs/>
          <w:color w:val="auto"/>
          <w:sz w:val="21"/>
          <w:szCs w:val="21"/>
          <w:highlight w:val="none"/>
        </w:rPr>
        <w:fldChar w:fldCharType="begin"/>
      </w:r>
      <w:r>
        <w:rPr>
          <w:rFonts w:hint="eastAsia" w:ascii="仿宋" w:hAnsi="仿宋" w:eastAsia="仿宋" w:cs="仿宋"/>
          <w:b/>
          <w:bCs/>
          <w:color w:val="auto"/>
          <w:sz w:val="21"/>
          <w:szCs w:val="21"/>
          <w:highlight w:val="none"/>
        </w:rPr>
        <w:instrText xml:space="preserve"> PAGEREF _Toc16209 \h </w:instrText>
      </w:r>
      <w:r>
        <w:rPr>
          <w:rFonts w:hint="eastAsia" w:ascii="仿宋" w:hAnsi="仿宋" w:eastAsia="仿宋" w:cs="仿宋"/>
          <w:b/>
          <w:bCs/>
          <w:color w:val="auto"/>
          <w:sz w:val="21"/>
          <w:szCs w:val="21"/>
          <w:highlight w:val="none"/>
        </w:rPr>
        <w:fldChar w:fldCharType="separate"/>
      </w:r>
      <w:r>
        <w:rPr>
          <w:rFonts w:hint="eastAsia" w:ascii="仿宋" w:hAnsi="仿宋" w:eastAsia="仿宋" w:cs="仿宋"/>
          <w:b/>
          <w:bCs/>
          <w:color w:val="auto"/>
          <w:sz w:val="21"/>
          <w:szCs w:val="21"/>
          <w:highlight w:val="none"/>
        </w:rPr>
        <w:t>109</w:t>
      </w:r>
      <w:r>
        <w:rPr>
          <w:rFonts w:hint="eastAsia" w:ascii="仿宋" w:hAnsi="仿宋" w:eastAsia="仿宋" w:cs="仿宋"/>
          <w:b/>
          <w:bCs/>
          <w:color w:val="auto"/>
          <w:sz w:val="21"/>
          <w:szCs w:val="21"/>
          <w:highlight w:val="none"/>
        </w:rPr>
        <w:fldChar w:fldCharType="end"/>
      </w:r>
      <w:r>
        <w:rPr>
          <w:rFonts w:hint="eastAsia" w:ascii="仿宋" w:hAnsi="仿宋" w:eastAsia="仿宋" w:cs="仿宋"/>
          <w:b/>
          <w:bCs/>
          <w:color w:val="auto"/>
          <w:sz w:val="21"/>
          <w:szCs w:val="21"/>
          <w:highlight w:val="none"/>
        </w:rPr>
        <w:fldChar w:fldCharType="end"/>
      </w:r>
    </w:p>
    <w:p>
      <w:pPr>
        <w:pStyle w:val="50"/>
        <w:tabs>
          <w:tab w:val="right" w:leader="dot" w:pos="9070"/>
        </w:tabs>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fldChar w:fldCharType="begin"/>
      </w:r>
      <w:r>
        <w:rPr>
          <w:rFonts w:hint="eastAsia" w:ascii="仿宋" w:hAnsi="仿宋" w:eastAsia="仿宋" w:cs="仿宋"/>
          <w:b/>
          <w:bCs/>
          <w:color w:val="auto"/>
          <w:sz w:val="21"/>
          <w:szCs w:val="21"/>
          <w:highlight w:val="none"/>
        </w:rPr>
        <w:instrText xml:space="preserve"> HYPERLINK \l _Toc11526 </w:instrText>
      </w:r>
      <w:r>
        <w:rPr>
          <w:rFonts w:hint="eastAsia" w:ascii="仿宋" w:hAnsi="仿宋" w:eastAsia="仿宋" w:cs="仿宋"/>
          <w:b/>
          <w:bCs/>
          <w:color w:val="auto"/>
          <w:sz w:val="21"/>
          <w:szCs w:val="21"/>
          <w:highlight w:val="none"/>
        </w:rPr>
        <w:fldChar w:fldCharType="separate"/>
      </w:r>
      <w:r>
        <w:rPr>
          <w:rFonts w:hint="eastAsia" w:ascii="仿宋" w:hAnsi="仿宋" w:eastAsia="仿宋" w:cs="仿宋"/>
          <w:b/>
          <w:bCs/>
          <w:color w:val="auto"/>
          <w:sz w:val="21"/>
          <w:szCs w:val="21"/>
          <w:highlight w:val="none"/>
        </w:rPr>
        <w:t>三、报价文件部分格式</w:t>
      </w:r>
      <w:r>
        <w:rPr>
          <w:rFonts w:hint="eastAsia" w:ascii="仿宋" w:hAnsi="仿宋" w:eastAsia="仿宋" w:cs="仿宋"/>
          <w:b/>
          <w:bCs/>
          <w:color w:val="auto"/>
          <w:sz w:val="21"/>
          <w:szCs w:val="21"/>
          <w:highlight w:val="none"/>
        </w:rPr>
        <w:tab/>
      </w:r>
      <w:r>
        <w:rPr>
          <w:rFonts w:hint="eastAsia" w:ascii="仿宋" w:hAnsi="仿宋" w:eastAsia="仿宋" w:cs="仿宋"/>
          <w:b/>
          <w:bCs/>
          <w:color w:val="auto"/>
          <w:sz w:val="21"/>
          <w:szCs w:val="21"/>
          <w:highlight w:val="none"/>
        </w:rPr>
        <w:fldChar w:fldCharType="begin"/>
      </w:r>
      <w:r>
        <w:rPr>
          <w:rFonts w:hint="eastAsia" w:ascii="仿宋" w:hAnsi="仿宋" w:eastAsia="仿宋" w:cs="仿宋"/>
          <w:b/>
          <w:bCs/>
          <w:color w:val="auto"/>
          <w:sz w:val="21"/>
          <w:szCs w:val="21"/>
          <w:highlight w:val="none"/>
        </w:rPr>
        <w:instrText xml:space="preserve"> PAGEREF _Toc11526 \h </w:instrText>
      </w:r>
      <w:r>
        <w:rPr>
          <w:rFonts w:hint="eastAsia" w:ascii="仿宋" w:hAnsi="仿宋" w:eastAsia="仿宋" w:cs="仿宋"/>
          <w:b/>
          <w:bCs/>
          <w:color w:val="auto"/>
          <w:sz w:val="21"/>
          <w:szCs w:val="21"/>
          <w:highlight w:val="none"/>
        </w:rPr>
        <w:fldChar w:fldCharType="separate"/>
      </w:r>
      <w:r>
        <w:rPr>
          <w:rFonts w:hint="eastAsia" w:ascii="仿宋" w:hAnsi="仿宋" w:eastAsia="仿宋" w:cs="仿宋"/>
          <w:b/>
          <w:bCs/>
          <w:color w:val="auto"/>
          <w:sz w:val="21"/>
          <w:szCs w:val="21"/>
          <w:highlight w:val="none"/>
        </w:rPr>
        <w:t>125</w:t>
      </w:r>
      <w:r>
        <w:rPr>
          <w:rFonts w:hint="eastAsia" w:ascii="仿宋" w:hAnsi="仿宋" w:eastAsia="仿宋" w:cs="仿宋"/>
          <w:b/>
          <w:bCs/>
          <w:color w:val="auto"/>
          <w:sz w:val="21"/>
          <w:szCs w:val="21"/>
          <w:highlight w:val="none"/>
        </w:rPr>
        <w:fldChar w:fldCharType="end"/>
      </w:r>
      <w:r>
        <w:rPr>
          <w:rFonts w:hint="eastAsia" w:ascii="仿宋" w:hAnsi="仿宋" w:eastAsia="仿宋" w:cs="仿宋"/>
          <w:b/>
          <w:bCs/>
          <w:color w:val="auto"/>
          <w:sz w:val="21"/>
          <w:szCs w:val="21"/>
          <w:highlight w:val="none"/>
        </w:rPr>
        <w:fldChar w:fldCharType="end"/>
      </w:r>
    </w:p>
    <w:p>
      <w:pPr>
        <w:pStyle w:val="41"/>
        <w:tabs>
          <w:tab w:val="right" w:leader="dot" w:pos="9070"/>
        </w:tabs>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fldChar w:fldCharType="begin"/>
      </w:r>
      <w:r>
        <w:rPr>
          <w:rFonts w:hint="eastAsia" w:ascii="仿宋" w:hAnsi="仿宋" w:eastAsia="仿宋" w:cs="仿宋"/>
          <w:b/>
          <w:bCs/>
          <w:color w:val="auto"/>
          <w:sz w:val="21"/>
          <w:szCs w:val="21"/>
          <w:highlight w:val="none"/>
        </w:rPr>
        <w:instrText xml:space="preserve"> HYPERLINK \l _Toc5995 </w:instrText>
      </w:r>
      <w:r>
        <w:rPr>
          <w:rFonts w:hint="eastAsia" w:ascii="仿宋" w:hAnsi="仿宋" w:eastAsia="仿宋" w:cs="仿宋"/>
          <w:b/>
          <w:bCs/>
          <w:color w:val="auto"/>
          <w:sz w:val="21"/>
          <w:szCs w:val="21"/>
          <w:highlight w:val="none"/>
        </w:rPr>
        <w:fldChar w:fldCharType="separate"/>
      </w:r>
      <w:r>
        <w:rPr>
          <w:rFonts w:hint="eastAsia" w:ascii="仿宋" w:hAnsi="仿宋" w:eastAsia="仿宋" w:cs="仿宋"/>
          <w:b/>
          <w:bCs/>
          <w:color w:val="auto"/>
          <w:sz w:val="21"/>
          <w:szCs w:val="21"/>
          <w:highlight w:val="none"/>
        </w:rPr>
        <w:t>第七章 附件</w:t>
      </w:r>
      <w:r>
        <w:rPr>
          <w:rFonts w:hint="eastAsia" w:ascii="仿宋" w:hAnsi="仿宋" w:eastAsia="仿宋" w:cs="仿宋"/>
          <w:b/>
          <w:bCs/>
          <w:color w:val="auto"/>
          <w:sz w:val="21"/>
          <w:szCs w:val="21"/>
          <w:highlight w:val="none"/>
        </w:rPr>
        <w:tab/>
      </w:r>
      <w:r>
        <w:rPr>
          <w:rFonts w:hint="eastAsia" w:ascii="仿宋" w:hAnsi="仿宋" w:eastAsia="仿宋" w:cs="仿宋"/>
          <w:b/>
          <w:bCs/>
          <w:color w:val="auto"/>
          <w:sz w:val="21"/>
          <w:szCs w:val="21"/>
          <w:highlight w:val="none"/>
        </w:rPr>
        <w:fldChar w:fldCharType="begin"/>
      </w:r>
      <w:r>
        <w:rPr>
          <w:rFonts w:hint="eastAsia" w:ascii="仿宋" w:hAnsi="仿宋" w:eastAsia="仿宋" w:cs="仿宋"/>
          <w:b/>
          <w:bCs/>
          <w:color w:val="auto"/>
          <w:sz w:val="21"/>
          <w:szCs w:val="21"/>
          <w:highlight w:val="none"/>
        </w:rPr>
        <w:instrText xml:space="preserve"> PAGEREF _Toc5995 \h </w:instrText>
      </w:r>
      <w:r>
        <w:rPr>
          <w:rFonts w:hint="eastAsia" w:ascii="仿宋" w:hAnsi="仿宋" w:eastAsia="仿宋" w:cs="仿宋"/>
          <w:b/>
          <w:bCs/>
          <w:color w:val="auto"/>
          <w:sz w:val="21"/>
          <w:szCs w:val="21"/>
          <w:highlight w:val="none"/>
        </w:rPr>
        <w:fldChar w:fldCharType="separate"/>
      </w:r>
      <w:r>
        <w:rPr>
          <w:rFonts w:hint="eastAsia" w:ascii="仿宋" w:hAnsi="仿宋" w:eastAsia="仿宋" w:cs="仿宋"/>
          <w:b/>
          <w:bCs/>
          <w:color w:val="auto"/>
          <w:sz w:val="21"/>
          <w:szCs w:val="21"/>
          <w:highlight w:val="none"/>
        </w:rPr>
        <w:t>152</w:t>
      </w:r>
      <w:r>
        <w:rPr>
          <w:rFonts w:hint="eastAsia" w:ascii="仿宋" w:hAnsi="仿宋" w:eastAsia="仿宋" w:cs="仿宋"/>
          <w:b/>
          <w:bCs/>
          <w:color w:val="auto"/>
          <w:sz w:val="21"/>
          <w:szCs w:val="21"/>
          <w:highlight w:val="none"/>
        </w:rPr>
        <w:fldChar w:fldCharType="end"/>
      </w:r>
      <w:r>
        <w:rPr>
          <w:rFonts w:hint="eastAsia" w:ascii="仿宋" w:hAnsi="仿宋" w:eastAsia="仿宋" w:cs="仿宋"/>
          <w:b/>
          <w:bCs/>
          <w:color w:val="auto"/>
          <w:sz w:val="21"/>
          <w:szCs w:val="21"/>
          <w:highlight w:val="none"/>
        </w:rPr>
        <w:fldChar w:fldCharType="end"/>
      </w:r>
    </w:p>
    <w:p>
      <w:pPr>
        <w:autoSpaceDN w:val="0"/>
        <w:adjustRightInd w:val="0"/>
        <w:snapToGrid w:val="0"/>
        <w:spacing w:line="360" w:lineRule="auto"/>
        <w:jc w:val="center"/>
        <w:rPr>
          <w:rFonts w:ascii="仿宋" w:hAnsi="仿宋" w:eastAsia="仿宋" w:cs="宋体"/>
          <w:b/>
          <w:color w:val="auto"/>
          <w:kern w:val="0"/>
          <w:sz w:val="32"/>
          <w:szCs w:val="32"/>
          <w:highlight w:val="none"/>
        </w:rPr>
      </w:pPr>
      <w:r>
        <w:rPr>
          <w:rFonts w:hint="eastAsia" w:ascii="仿宋" w:hAnsi="仿宋" w:eastAsia="仿宋" w:cs="仿宋"/>
          <w:b/>
          <w:bCs/>
          <w:color w:val="auto"/>
          <w:sz w:val="21"/>
          <w:szCs w:val="21"/>
          <w:highlight w:val="none"/>
        </w:rPr>
        <w:fldChar w:fldCharType="end"/>
      </w:r>
      <w:r>
        <w:rPr>
          <w:rFonts w:hint="eastAsia" w:ascii="仿宋" w:hAnsi="仿宋" w:eastAsia="仿宋" w:cs="宋体"/>
          <w:b/>
          <w:color w:val="auto"/>
          <w:kern w:val="0"/>
          <w:sz w:val="24"/>
          <w:szCs w:val="24"/>
          <w:highlight w:val="none"/>
        </w:rPr>
        <w:br w:type="page"/>
      </w:r>
      <w:r>
        <w:rPr>
          <w:rFonts w:hint="eastAsia" w:ascii="仿宋" w:hAnsi="仿宋" w:eastAsia="仿宋" w:cs="宋体"/>
          <w:b/>
          <w:color w:val="auto"/>
          <w:kern w:val="0"/>
          <w:sz w:val="32"/>
          <w:szCs w:val="32"/>
          <w:highlight w:val="none"/>
        </w:rPr>
        <w:t>电子交易须知</w:t>
      </w:r>
    </w:p>
    <w:p>
      <w:pPr>
        <w:autoSpaceDN w:val="0"/>
        <w:snapToGrid w:val="0"/>
        <w:spacing w:before="120" w:beforeLines="50" w:after="120" w:afterLines="50" w:line="360" w:lineRule="auto"/>
        <w:ind w:firstLine="482" w:firstLineChars="200"/>
        <w:jc w:val="left"/>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1、本次采购采用电子交易方式，电子交易平台为“政府采购云平台（www.zcygov.cn）”。供应商参与本项目电子交易活动前，应通过浙江政府采购网“浙江政府采购供应商信息登记管理系统”进行信息登记，获得线上政府采购活动操作权限。编制电子响应文件前还需申领CA证书并绑定帐号，供应商应充分考虑完成登记、申领CA证书等所需的时间。</w:t>
      </w:r>
    </w:p>
    <w:p>
      <w:pPr>
        <w:autoSpaceDN w:val="0"/>
        <w:snapToGrid w:val="0"/>
        <w:spacing w:before="120" w:beforeLines="50" w:after="120" w:afterLines="50" w:line="360" w:lineRule="auto"/>
        <w:ind w:firstLine="482" w:firstLineChars="200"/>
        <w:jc w:val="left"/>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2、供应商编制电子响应文件应安装“电子交易客户端”软件，并按照本采购文件和电子交易平台的要求编制并加密响应文件。未按规定加密的响应文件，将被电子交易平台拒收。“电子交易客户端”请供应商自行前往“浙江政府采购网（zfcg.czt.zj.gov.cn）— 下载专区 — 电子交易客户端”版块获取。</w:t>
      </w:r>
    </w:p>
    <w:p>
      <w:pPr>
        <w:autoSpaceDN w:val="0"/>
        <w:snapToGrid w:val="0"/>
        <w:spacing w:before="120" w:beforeLines="50" w:after="120" w:afterLines="50" w:line="360" w:lineRule="auto"/>
        <w:ind w:firstLine="482" w:firstLineChars="200"/>
        <w:jc w:val="left"/>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3、供应商应当在递交响应文件截止时间前，将“电子交易客户端”生成的“电子加密响应文件”上传电子交易平台。</w:t>
      </w:r>
    </w:p>
    <w:p>
      <w:pPr>
        <w:autoSpaceDN w:val="0"/>
        <w:snapToGrid w:val="0"/>
        <w:spacing w:before="120" w:beforeLines="50" w:after="120" w:afterLines="50" w:line="360" w:lineRule="auto"/>
        <w:ind w:firstLine="482" w:firstLineChars="200"/>
        <w:jc w:val="left"/>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4、“电子备份响应文件”是指与“电子加密响应文件”同时生成的数据电文形式的响应文件。供应商在电子交易平台上传“电子加密响应文件”后，还可以邮寄或送达的方式在递交响应文件截止时间前提交以介质（U盘）存储的“电子备份响应文件”。“电子备份响应文件”应当密封包装并在包装上标注采购项目编号、项目名称、供应商名称等并加盖公章。</w:t>
      </w:r>
    </w:p>
    <w:p>
      <w:pPr>
        <w:autoSpaceDN w:val="0"/>
        <w:snapToGrid w:val="0"/>
        <w:spacing w:before="120" w:beforeLines="50" w:after="120" w:afterLines="50" w:line="360" w:lineRule="auto"/>
        <w:ind w:firstLine="482" w:firstLineChars="200"/>
        <w:jc w:val="left"/>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5、通过“政府采购云平台”递交的“电子加密响应文件”如无法按时解密的，如供应商提交了“电子备份响应文件”的，则由采购组织机构按“政府采购云平台”操作规范将“电子备份响应文件”上传至“政府采购云平台”，上传成功后，以“电子备份响应文件”参与评审，“电子加密响应文件”自动失效; 在“政府采购云平台”正常运行情况下，“电子备份响应文件”无法上传至“政府采购云平台”的，视为响应文件撤回。供应商未按规定递交“电子备份响应文件”的，视为响应文件撤回。未上传“电子加密响应文件”，仅提交“电子备份响应文件”的，响应无效。</w:t>
      </w:r>
    </w:p>
    <w:p>
      <w:pPr>
        <w:autoSpaceDN w:val="0"/>
        <w:snapToGrid w:val="0"/>
        <w:spacing w:before="120" w:beforeLines="50" w:after="120" w:afterLines="50" w:line="360" w:lineRule="auto"/>
        <w:ind w:firstLine="482" w:firstLineChars="200"/>
        <w:jc w:val="left"/>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6、供应商在参加电子交易过程中,可登录电子交易平台“帮助文档”版面获取《电子交易管理操作指南》，或致电平台400-881-7190获取相关服务支持。</w:t>
      </w:r>
    </w:p>
    <w:p>
      <w:pPr>
        <w:widowControl/>
        <w:spacing w:line="360" w:lineRule="auto"/>
        <w:jc w:val="left"/>
        <w:rPr>
          <w:rFonts w:ascii="仿宋" w:hAnsi="仿宋" w:eastAsia="仿宋" w:cs="宋体"/>
          <w:b/>
          <w:color w:val="auto"/>
          <w:kern w:val="0"/>
          <w:sz w:val="24"/>
          <w:szCs w:val="24"/>
          <w:highlight w:val="none"/>
        </w:rPr>
        <w:sectPr>
          <w:footerReference r:id="rId5" w:type="first"/>
          <w:footerReference r:id="rId4" w:type="default"/>
          <w:pgSz w:w="11906" w:h="16838"/>
          <w:pgMar w:top="1418" w:right="1418" w:bottom="1418" w:left="1418" w:header="851" w:footer="1077" w:gutter="0"/>
          <w:pgNumType w:start="1"/>
          <w:cols w:space="720" w:num="1"/>
          <w:titlePg/>
          <w:docGrid w:linePitch="286" w:charSpace="0"/>
        </w:sectPr>
      </w:pPr>
    </w:p>
    <w:p>
      <w:pPr>
        <w:autoSpaceDN w:val="0"/>
        <w:adjustRightInd w:val="0"/>
        <w:snapToGrid w:val="0"/>
        <w:spacing w:before="156" w:beforeLines="50" w:after="156" w:afterLines="50" w:line="360" w:lineRule="auto"/>
        <w:jc w:val="center"/>
        <w:outlineLvl w:val="0"/>
        <w:rPr>
          <w:rFonts w:ascii="仿宋" w:hAnsi="仿宋" w:eastAsia="仿宋" w:cs="宋体"/>
          <w:b/>
          <w:color w:val="auto"/>
          <w:kern w:val="0"/>
          <w:sz w:val="32"/>
          <w:szCs w:val="32"/>
          <w:highlight w:val="none"/>
        </w:rPr>
      </w:pPr>
      <w:bookmarkStart w:id="2" w:name="_Toc4241"/>
      <w:r>
        <w:rPr>
          <w:rFonts w:hint="eastAsia" w:ascii="仿宋" w:hAnsi="仿宋" w:eastAsia="仿宋" w:cs="宋体"/>
          <w:b/>
          <w:color w:val="auto"/>
          <w:kern w:val="0"/>
          <w:sz w:val="32"/>
          <w:szCs w:val="32"/>
          <w:highlight w:val="none"/>
        </w:rPr>
        <w:t>第一章 竞争性磋商公告</w:t>
      </w:r>
      <w:bookmarkEnd w:id="2"/>
    </w:p>
    <w:p>
      <w:pPr>
        <w:pBdr>
          <w:top w:val="single" w:color="auto" w:sz="4" w:space="1"/>
          <w:left w:val="single" w:color="auto" w:sz="4" w:space="4"/>
          <w:bottom w:val="single" w:color="auto" w:sz="4" w:space="1"/>
          <w:right w:val="single" w:color="auto" w:sz="4" w:space="4"/>
        </w:pBdr>
        <w:autoSpaceDN w:val="0"/>
        <w:adjustRightInd w:val="0"/>
        <w:snapToGrid w:val="0"/>
        <w:spacing w:line="360"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项目概况</w:t>
      </w:r>
    </w:p>
    <w:p>
      <w:pPr>
        <w:pBdr>
          <w:top w:val="single" w:color="auto" w:sz="4" w:space="1"/>
          <w:left w:val="single" w:color="auto" w:sz="4" w:space="4"/>
          <w:bottom w:val="single" w:color="auto" w:sz="4" w:space="1"/>
          <w:right w:val="single" w:color="auto" w:sz="4" w:space="4"/>
        </w:pBdr>
        <w:autoSpaceDE w:val="0"/>
        <w:autoSpaceDN w:val="0"/>
        <w:adjustRightInd w:val="0"/>
        <w:snapToGrid w:val="0"/>
        <w:spacing w:line="360" w:lineRule="auto"/>
        <w:ind w:firstLine="464" w:firstLineChars="200"/>
        <w:rPr>
          <w:rFonts w:ascii="仿宋" w:hAnsi="仿宋" w:eastAsia="仿宋" w:cs="宋体"/>
          <w:color w:val="auto"/>
          <w:sz w:val="24"/>
          <w:szCs w:val="24"/>
          <w:highlight w:val="none"/>
        </w:rPr>
      </w:pPr>
      <w:r>
        <w:rPr>
          <w:rFonts w:hint="eastAsia" w:ascii="仿宋" w:hAnsi="仿宋" w:eastAsia="仿宋" w:cs="宋体"/>
          <w:color w:val="auto"/>
          <w:spacing w:val="-4"/>
          <w:kern w:val="0"/>
          <w:sz w:val="24"/>
          <w:szCs w:val="24"/>
          <w:highlight w:val="none"/>
          <w:u w:val="single"/>
          <w:lang w:eastAsia="zh-CN"/>
        </w:rPr>
        <w:t>省拱宸所戒毒法治基地配套项目标一</w:t>
      </w:r>
      <w:r>
        <w:rPr>
          <w:rFonts w:hint="eastAsia" w:ascii="仿宋" w:hAnsi="仿宋" w:eastAsia="仿宋" w:cs="宋体"/>
          <w:color w:val="auto"/>
          <w:spacing w:val="-4"/>
          <w:kern w:val="0"/>
          <w:sz w:val="24"/>
          <w:szCs w:val="24"/>
          <w:highlight w:val="none"/>
        </w:rPr>
        <w:t>的潜在供应商应在</w:t>
      </w:r>
      <w:r>
        <w:rPr>
          <w:rFonts w:hint="eastAsia" w:ascii="仿宋" w:hAnsi="仿宋" w:eastAsia="仿宋" w:cs="宋体"/>
          <w:color w:val="auto"/>
          <w:sz w:val="24"/>
          <w:szCs w:val="24"/>
          <w:highlight w:val="none"/>
          <w:u w:val="single"/>
        </w:rPr>
        <w:t>https://www.zcygov.cn</w:t>
      </w:r>
      <w:r>
        <w:rPr>
          <w:rFonts w:hint="eastAsia" w:ascii="仿宋" w:hAnsi="仿宋" w:eastAsia="仿宋" w:cs="宋体"/>
          <w:color w:val="auto"/>
          <w:sz w:val="24"/>
          <w:szCs w:val="24"/>
          <w:highlight w:val="none"/>
        </w:rPr>
        <w:t>获取（下载）采购文件，并于</w:t>
      </w:r>
      <w:r>
        <w:rPr>
          <w:rFonts w:hint="eastAsia" w:ascii="仿宋" w:hAnsi="仿宋" w:eastAsia="仿宋" w:cs="宋体"/>
          <w:b/>
          <w:color w:val="auto"/>
          <w:sz w:val="24"/>
          <w:szCs w:val="24"/>
          <w:highlight w:val="none"/>
          <w:u w:val="single"/>
        </w:rPr>
        <w:t>202</w:t>
      </w:r>
      <w:r>
        <w:rPr>
          <w:rFonts w:hint="eastAsia" w:ascii="仿宋" w:hAnsi="仿宋" w:eastAsia="仿宋" w:cs="宋体"/>
          <w:b/>
          <w:color w:val="auto"/>
          <w:sz w:val="24"/>
          <w:szCs w:val="24"/>
          <w:highlight w:val="none"/>
          <w:u w:val="single"/>
          <w:lang w:val="en-US" w:eastAsia="zh-CN"/>
        </w:rPr>
        <w:t>4</w:t>
      </w:r>
      <w:r>
        <w:rPr>
          <w:rFonts w:hint="eastAsia" w:ascii="仿宋" w:hAnsi="仿宋" w:eastAsia="仿宋" w:cs="宋体"/>
          <w:b/>
          <w:color w:val="auto"/>
          <w:sz w:val="24"/>
          <w:szCs w:val="24"/>
          <w:highlight w:val="none"/>
          <w:u w:val="single"/>
        </w:rPr>
        <w:t>年</w:t>
      </w:r>
      <w:r>
        <w:rPr>
          <w:rFonts w:hint="eastAsia" w:ascii="仿宋" w:hAnsi="仿宋" w:eastAsia="仿宋" w:cs="宋体"/>
          <w:b/>
          <w:color w:val="auto"/>
          <w:sz w:val="24"/>
          <w:szCs w:val="24"/>
          <w:highlight w:val="none"/>
          <w:u w:val="single"/>
          <w:lang w:val="en-US" w:eastAsia="zh-CN"/>
        </w:rPr>
        <w:t>05月11</w:t>
      </w:r>
      <w:r>
        <w:rPr>
          <w:rFonts w:hint="eastAsia" w:ascii="仿宋" w:hAnsi="仿宋" w:eastAsia="仿宋" w:cs="宋体"/>
          <w:b/>
          <w:color w:val="auto"/>
          <w:sz w:val="24"/>
          <w:szCs w:val="24"/>
          <w:highlight w:val="none"/>
          <w:u w:val="single"/>
        </w:rPr>
        <w:t>日</w:t>
      </w:r>
      <w:r>
        <w:rPr>
          <w:rFonts w:hint="eastAsia" w:ascii="仿宋" w:hAnsi="仿宋" w:eastAsia="仿宋" w:cs="宋体"/>
          <w:b/>
          <w:color w:val="auto"/>
          <w:sz w:val="24"/>
          <w:szCs w:val="24"/>
          <w:highlight w:val="none"/>
          <w:u w:val="single"/>
          <w:lang w:val="en-US" w:eastAsia="zh-CN"/>
        </w:rPr>
        <w:t>13</w:t>
      </w:r>
      <w:r>
        <w:rPr>
          <w:rFonts w:hint="eastAsia" w:ascii="仿宋" w:hAnsi="仿宋" w:eastAsia="仿宋" w:cs="宋体"/>
          <w:b/>
          <w:color w:val="auto"/>
          <w:sz w:val="24"/>
          <w:szCs w:val="24"/>
          <w:highlight w:val="none"/>
          <w:u w:val="single"/>
        </w:rPr>
        <w:t>:</w:t>
      </w:r>
      <w:r>
        <w:rPr>
          <w:rFonts w:hint="eastAsia" w:ascii="仿宋" w:hAnsi="仿宋" w:eastAsia="仿宋" w:cs="宋体"/>
          <w:b/>
          <w:color w:val="auto"/>
          <w:sz w:val="24"/>
          <w:szCs w:val="24"/>
          <w:highlight w:val="none"/>
          <w:u w:val="single"/>
          <w:lang w:val="en-US" w:eastAsia="zh-CN"/>
        </w:rPr>
        <w:t>30</w:t>
      </w:r>
      <w:r>
        <w:rPr>
          <w:rFonts w:hint="eastAsia" w:ascii="仿宋" w:hAnsi="仿宋" w:eastAsia="仿宋" w:cs="宋体"/>
          <w:b/>
          <w:color w:val="auto"/>
          <w:sz w:val="24"/>
          <w:szCs w:val="24"/>
          <w:highlight w:val="none"/>
          <w:u w:val="single"/>
        </w:rPr>
        <w:t>（北京时间）</w:t>
      </w:r>
      <w:r>
        <w:rPr>
          <w:rFonts w:hint="eastAsia" w:ascii="仿宋" w:hAnsi="仿宋" w:eastAsia="仿宋" w:cs="宋体"/>
          <w:bCs/>
          <w:color w:val="auto"/>
          <w:sz w:val="24"/>
          <w:szCs w:val="24"/>
          <w:highlight w:val="none"/>
        </w:rPr>
        <w:t>前提交（上传）响应文件</w:t>
      </w:r>
      <w:r>
        <w:rPr>
          <w:rFonts w:hint="eastAsia" w:ascii="仿宋" w:hAnsi="仿宋" w:eastAsia="仿宋" w:cs="宋体"/>
          <w:color w:val="auto"/>
          <w:sz w:val="24"/>
          <w:szCs w:val="24"/>
          <w:highlight w:val="none"/>
        </w:rPr>
        <w:t>。</w:t>
      </w:r>
    </w:p>
    <w:p>
      <w:pPr>
        <w:autoSpaceDN w:val="0"/>
        <w:adjustRightInd w:val="0"/>
        <w:snapToGrid w:val="0"/>
        <w:spacing w:line="360" w:lineRule="auto"/>
        <w:ind w:firstLine="464" w:firstLineChars="200"/>
        <w:rPr>
          <w:rFonts w:ascii="仿宋" w:hAnsi="仿宋" w:eastAsia="仿宋" w:cs="宋体"/>
          <w:b/>
          <w:color w:val="auto"/>
          <w:spacing w:val="-4"/>
          <w:kern w:val="0"/>
          <w:sz w:val="24"/>
          <w:szCs w:val="24"/>
          <w:highlight w:val="none"/>
        </w:rPr>
      </w:pPr>
      <w:bookmarkStart w:id="3" w:name="_Toc28359002"/>
      <w:bookmarkStart w:id="4" w:name="_Toc35393621"/>
      <w:bookmarkStart w:id="5" w:name="_Toc28359079"/>
      <w:bookmarkStart w:id="6" w:name="_Toc35393790"/>
      <w:bookmarkStart w:id="7" w:name="_Hlk24379207"/>
      <w:r>
        <w:rPr>
          <w:rFonts w:hint="eastAsia" w:ascii="仿宋" w:hAnsi="仿宋" w:eastAsia="仿宋" w:cs="宋体"/>
          <w:b/>
          <w:color w:val="auto"/>
          <w:spacing w:val="-4"/>
          <w:kern w:val="0"/>
          <w:sz w:val="24"/>
          <w:szCs w:val="24"/>
          <w:highlight w:val="none"/>
        </w:rPr>
        <w:t>一、项目基本情况</w:t>
      </w:r>
      <w:bookmarkEnd w:id="3"/>
      <w:bookmarkEnd w:id="4"/>
      <w:bookmarkEnd w:id="5"/>
      <w:bookmarkEnd w:id="6"/>
    </w:p>
    <w:p>
      <w:pPr>
        <w:widowControl/>
        <w:autoSpaceDN w:val="0"/>
        <w:adjustRightInd w:val="0"/>
        <w:snapToGrid w:val="0"/>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宋体"/>
          <w:color w:val="auto"/>
          <w:sz w:val="24"/>
          <w:szCs w:val="24"/>
          <w:highlight w:val="none"/>
        </w:rPr>
        <w:t>项目编号：</w:t>
      </w:r>
      <w:r>
        <w:rPr>
          <w:rFonts w:hint="eastAsia" w:ascii="仿宋" w:hAnsi="仿宋" w:eastAsia="仿宋" w:cs="宋体"/>
          <w:color w:val="auto"/>
          <w:spacing w:val="-4"/>
          <w:kern w:val="0"/>
          <w:sz w:val="24"/>
          <w:szCs w:val="24"/>
          <w:highlight w:val="none"/>
          <w:lang w:eastAsia="zh-CN"/>
        </w:rPr>
        <w:t>HSZB-2024-329</w:t>
      </w:r>
    </w:p>
    <w:p>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lang w:eastAsia="zh-CN"/>
        </w:rPr>
      </w:pPr>
      <w:r>
        <w:rPr>
          <w:rFonts w:hint="eastAsia" w:ascii="仿宋" w:hAnsi="仿宋" w:eastAsia="仿宋" w:cs="宋体"/>
          <w:color w:val="auto"/>
          <w:spacing w:val="-4"/>
          <w:kern w:val="0"/>
          <w:sz w:val="24"/>
          <w:szCs w:val="24"/>
          <w:highlight w:val="none"/>
        </w:rPr>
        <w:t>项目名称：</w:t>
      </w:r>
      <w:r>
        <w:rPr>
          <w:rFonts w:hint="eastAsia" w:ascii="仿宋" w:hAnsi="仿宋" w:eastAsia="仿宋" w:cs="宋体"/>
          <w:color w:val="auto"/>
          <w:spacing w:val="-4"/>
          <w:kern w:val="0"/>
          <w:sz w:val="24"/>
          <w:szCs w:val="24"/>
          <w:highlight w:val="none"/>
          <w:lang w:eastAsia="zh-CN"/>
        </w:rPr>
        <w:t>省拱宸所戒毒法治基地配套项目标一</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采购方式：竞争性磋商</w:t>
      </w:r>
    </w:p>
    <w:bookmarkEnd w:id="7"/>
    <w:p>
      <w:pPr>
        <w:autoSpaceDN w:val="0"/>
        <w:adjustRightInd w:val="0"/>
        <w:snapToGrid w:val="0"/>
        <w:spacing w:line="360" w:lineRule="auto"/>
        <w:ind w:firstLine="464" w:firstLineChars="200"/>
        <w:rPr>
          <w:rFonts w:hint="default" w:ascii="仿宋" w:hAnsi="仿宋" w:eastAsia="仿宋" w:cs="宋体"/>
          <w:color w:val="auto"/>
          <w:spacing w:val="-4"/>
          <w:kern w:val="0"/>
          <w:sz w:val="24"/>
          <w:szCs w:val="24"/>
          <w:highlight w:val="none"/>
          <w:lang w:val="en-US" w:eastAsia="zh-CN"/>
        </w:rPr>
      </w:pPr>
      <w:r>
        <w:rPr>
          <w:rFonts w:hint="eastAsia" w:ascii="仿宋" w:hAnsi="仿宋" w:eastAsia="仿宋" w:cs="宋体"/>
          <w:color w:val="auto"/>
          <w:spacing w:val="-4"/>
          <w:kern w:val="0"/>
          <w:sz w:val="24"/>
          <w:szCs w:val="24"/>
          <w:highlight w:val="none"/>
        </w:rPr>
        <w:t>预算金额（元）：5</w:t>
      </w:r>
      <w:r>
        <w:rPr>
          <w:rFonts w:hint="eastAsia" w:ascii="仿宋" w:hAnsi="仿宋" w:eastAsia="仿宋" w:cs="宋体"/>
          <w:color w:val="auto"/>
          <w:spacing w:val="-4"/>
          <w:kern w:val="0"/>
          <w:sz w:val="24"/>
          <w:szCs w:val="24"/>
          <w:highlight w:val="none"/>
          <w:lang w:val="en-US" w:eastAsia="zh-CN"/>
        </w:rPr>
        <w:t>03000</w:t>
      </w:r>
    </w:p>
    <w:p>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lang w:eastAsia="zh-CN"/>
        </w:rPr>
      </w:pPr>
      <w:r>
        <w:rPr>
          <w:rFonts w:hint="eastAsia" w:ascii="仿宋" w:hAnsi="仿宋" w:eastAsia="仿宋" w:cs="宋体"/>
          <w:color w:val="auto"/>
          <w:spacing w:val="-4"/>
          <w:kern w:val="0"/>
          <w:sz w:val="24"/>
          <w:szCs w:val="24"/>
          <w:highlight w:val="none"/>
        </w:rPr>
        <w:t>最高限价（元）：501682</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采购需求：</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标项一：</w:t>
      </w:r>
    </w:p>
    <w:p>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lang w:eastAsia="zh-CN"/>
        </w:rPr>
      </w:pPr>
      <w:r>
        <w:rPr>
          <w:rFonts w:hint="eastAsia" w:ascii="仿宋" w:hAnsi="仿宋" w:eastAsia="仿宋" w:cs="宋体"/>
          <w:color w:val="auto"/>
          <w:spacing w:val="-4"/>
          <w:kern w:val="0"/>
          <w:sz w:val="24"/>
          <w:szCs w:val="24"/>
          <w:highlight w:val="none"/>
        </w:rPr>
        <w:t>标项名称：</w:t>
      </w:r>
      <w:r>
        <w:rPr>
          <w:rFonts w:hint="eastAsia" w:ascii="仿宋" w:hAnsi="仿宋" w:eastAsia="仿宋" w:cs="宋体"/>
          <w:color w:val="auto"/>
          <w:spacing w:val="-4"/>
          <w:kern w:val="0"/>
          <w:sz w:val="24"/>
          <w:szCs w:val="24"/>
          <w:highlight w:val="none"/>
          <w:lang w:eastAsia="zh-CN"/>
        </w:rPr>
        <w:t>省拱宸所戒毒法治基地配套项目标一</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数量：1</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单位：项</w:t>
      </w:r>
    </w:p>
    <w:p>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lang w:val="en-US" w:eastAsia="zh-CN"/>
        </w:rPr>
      </w:pPr>
      <w:r>
        <w:rPr>
          <w:rFonts w:hint="eastAsia" w:ascii="仿宋" w:hAnsi="仿宋" w:eastAsia="仿宋" w:cs="宋体"/>
          <w:color w:val="auto"/>
          <w:spacing w:val="-4"/>
          <w:kern w:val="0"/>
          <w:sz w:val="24"/>
          <w:szCs w:val="24"/>
          <w:highlight w:val="none"/>
        </w:rPr>
        <w:t>预算金额（元）：50</w:t>
      </w:r>
      <w:r>
        <w:rPr>
          <w:rFonts w:hint="eastAsia" w:ascii="仿宋" w:hAnsi="仿宋" w:eastAsia="仿宋" w:cs="宋体"/>
          <w:color w:val="auto"/>
          <w:spacing w:val="-4"/>
          <w:kern w:val="0"/>
          <w:sz w:val="24"/>
          <w:szCs w:val="24"/>
          <w:highlight w:val="none"/>
          <w:lang w:val="en-US" w:eastAsia="zh-CN"/>
        </w:rPr>
        <w:t>3000</w:t>
      </w:r>
    </w:p>
    <w:p>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lang w:eastAsia="zh-CN"/>
        </w:rPr>
      </w:pPr>
      <w:r>
        <w:rPr>
          <w:rFonts w:hint="eastAsia" w:ascii="仿宋" w:hAnsi="仿宋" w:eastAsia="仿宋" w:cs="宋体"/>
          <w:color w:val="auto"/>
          <w:spacing w:val="-4"/>
          <w:kern w:val="0"/>
          <w:sz w:val="24"/>
          <w:szCs w:val="24"/>
          <w:highlight w:val="none"/>
        </w:rPr>
        <w:t>最高限价（元）：501682</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简要规格描述：</w:t>
      </w:r>
      <w:r>
        <w:rPr>
          <w:rFonts w:hint="eastAsia" w:ascii="仿宋" w:hAnsi="仿宋" w:eastAsia="仿宋" w:cs="宋体"/>
          <w:color w:val="auto"/>
          <w:spacing w:val="-4"/>
          <w:kern w:val="0"/>
          <w:sz w:val="24"/>
          <w:szCs w:val="24"/>
          <w:highlight w:val="none"/>
          <w:lang w:eastAsia="zh-CN"/>
        </w:rPr>
        <w:t>省拱宸所戒毒法治基地配套项目标一，</w:t>
      </w:r>
      <w:r>
        <w:rPr>
          <w:rFonts w:hint="eastAsia" w:ascii="仿宋" w:hAnsi="仿宋" w:eastAsia="仿宋" w:cs="宋体"/>
          <w:color w:val="auto"/>
          <w:spacing w:val="-4"/>
          <w:kern w:val="0"/>
          <w:sz w:val="24"/>
          <w:szCs w:val="24"/>
          <w:highlight w:val="none"/>
          <w:lang w:val="en-US" w:eastAsia="zh-CN"/>
        </w:rPr>
        <w:t>包括主要为原沥青路面铲除和铺设、侧石更换、树木修剪、绿化修整等，具体内容详见工程量清单及施工图纸（如有）。详见采购文件第四章采购内容及需求。</w:t>
      </w:r>
    </w:p>
    <w:p>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lang w:eastAsia="zh-CN"/>
        </w:rPr>
      </w:pPr>
      <w:r>
        <w:rPr>
          <w:rFonts w:hint="eastAsia" w:ascii="仿宋" w:hAnsi="仿宋" w:eastAsia="仿宋" w:cs="宋体"/>
          <w:color w:val="auto"/>
          <w:spacing w:val="-4"/>
          <w:kern w:val="0"/>
          <w:sz w:val="24"/>
          <w:szCs w:val="24"/>
          <w:highlight w:val="none"/>
        </w:rPr>
        <w:t>备注：</w:t>
      </w:r>
      <w:r>
        <w:rPr>
          <w:rFonts w:hint="eastAsia" w:ascii="仿宋" w:hAnsi="仿宋" w:eastAsia="仿宋" w:cs="宋体"/>
          <w:color w:val="auto"/>
          <w:spacing w:val="-4"/>
          <w:kern w:val="0"/>
          <w:sz w:val="24"/>
          <w:szCs w:val="24"/>
          <w:highlight w:val="none"/>
          <w:lang w:val="en-US" w:eastAsia="zh-CN"/>
        </w:rPr>
        <w:t>/</w:t>
      </w:r>
    </w:p>
    <w:p>
      <w:pPr>
        <w:autoSpaceDN w:val="0"/>
        <w:adjustRightInd w:val="0"/>
        <w:snapToGrid w:val="0"/>
        <w:spacing w:line="360" w:lineRule="auto"/>
        <w:ind w:firstLine="464" w:firstLineChars="200"/>
        <w:rPr>
          <w:rFonts w:hint="eastAsia" w:ascii="仿宋" w:hAnsi="仿宋" w:eastAsia="仿宋" w:cs="仿宋"/>
          <w:color w:val="auto"/>
          <w:spacing w:val="-4"/>
          <w:kern w:val="0"/>
          <w:sz w:val="24"/>
          <w:szCs w:val="24"/>
          <w:highlight w:val="none"/>
        </w:rPr>
      </w:pPr>
      <w:r>
        <w:rPr>
          <w:rFonts w:hint="eastAsia" w:ascii="仿宋" w:hAnsi="仿宋" w:eastAsia="仿宋" w:cs="仿宋"/>
          <w:color w:val="auto"/>
          <w:spacing w:val="-4"/>
          <w:kern w:val="0"/>
          <w:sz w:val="24"/>
          <w:szCs w:val="24"/>
          <w:highlight w:val="none"/>
        </w:rPr>
        <w:t>合同履行期限：</w:t>
      </w:r>
      <w:r>
        <w:rPr>
          <w:rFonts w:hint="eastAsia" w:ascii="仿宋" w:hAnsi="仿宋" w:eastAsia="仿宋" w:cs="仿宋"/>
          <w:color w:val="auto"/>
          <w:highlight w:val="none"/>
          <w:u w:val="none"/>
          <w:lang w:val="en-US" w:eastAsia="zh-CN"/>
        </w:rPr>
        <w:t>30</w:t>
      </w:r>
      <w:r>
        <w:rPr>
          <w:rFonts w:hint="eastAsia" w:ascii="仿宋" w:hAnsi="仿宋" w:eastAsia="仿宋" w:cs="仿宋"/>
          <w:color w:val="auto"/>
          <w:spacing w:val="-4"/>
          <w:kern w:val="0"/>
          <w:sz w:val="24"/>
          <w:szCs w:val="24"/>
          <w:highlight w:val="none"/>
          <w:u w:val="none"/>
        </w:rPr>
        <w:t>日历天</w:t>
      </w:r>
      <w:r>
        <w:rPr>
          <w:rFonts w:hint="eastAsia" w:ascii="仿宋" w:hAnsi="仿宋" w:eastAsia="仿宋" w:cs="仿宋"/>
          <w:color w:val="auto"/>
          <w:spacing w:val="-4"/>
          <w:kern w:val="0"/>
          <w:sz w:val="24"/>
          <w:szCs w:val="24"/>
          <w:highlight w:val="none"/>
        </w:rPr>
        <w:t>。</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本项目（是）接受联合体投标</w:t>
      </w:r>
    </w:p>
    <w:p>
      <w:pPr>
        <w:autoSpaceDN w:val="0"/>
        <w:adjustRightInd w:val="0"/>
        <w:snapToGrid w:val="0"/>
        <w:spacing w:line="360" w:lineRule="auto"/>
        <w:ind w:firstLine="464" w:firstLineChars="200"/>
        <w:rPr>
          <w:rFonts w:ascii="仿宋" w:hAnsi="仿宋" w:eastAsia="仿宋" w:cs="宋体"/>
          <w:b/>
          <w:color w:val="auto"/>
          <w:spacing w:val="-4"/>
          <w:kern w:val="0"/>
          <w:sz w:val="24"/>
          <w:szCs w:val="24"/>
          <w:highlight w:val="none"/>
        </w:rPr>
      </w:pPr>
      <w:bookmarkStart w:id="8" w:name="_Toc28359080"/>
      <w:bookmarkStart w:id="9" w:name="_Toc35393622"/>
      <w:bookmarkStart w:id="10" w:name="_Toc28359003"/>
      <w:bookmarkStart w:id="11" w:name="_Toc35393791"/>
      <w:r>
        <w:rPr>
          <w:rFonts w:hint="eastAsia" w:ascii="仿宋" w:hAnsi="仿宋" w:eastAsia="仿宋" w:cs="宋体"/>
          <w:b/>
          <w:color w:val="auto"/>
          <w:spacing w:val="-4"/>
          <w:kern w:val="0"/>
          <w:sz w:val="24"/>
          <w:szCs w:val="24"/>
          <w:highlight w:val="none"/>
        </w:rPr>
        <w:t>二、申请人的资格要求</w:t>
      </w:r>
      <w:bookmarkEnd w:id="8"/>
      <w:bookmarkEnd w:id="9"/>
      <w:bookmarkEnd w:id="10"/>
      <w:bookmarkEnd w:id="11"/>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1.满足《中华人民共和国政府采购法》第二十二条规定；未被“信用中国”（www.creditchina.gov.cn）、中国政府采购网（www.ccgp.gov.cn）列入失信被执行人、</w:t>
      </w:r>
      <w:r>
        <w:rPr>
          <w:rFonts w:hint="eastAsia" w:ascii="仿宋" w:hAnsi="仿宋" w:eastAsia="仿宋" w:cs="宋体"/>
          <w:color w:val="auto"/>
          <w:spacing w:val="-4"/>
          <w:kern w:val="0"/>
          <w:sz w:val="24"/>
          <w:szCs w:val="24"/>
          <w:highlight w:val="none"/>
          <w:lang w:eastAsia="zh-CN"/>
        </w:rPr>
        <w:t>重大税收违法失信主体</w:t>
      </w:r>
      <w:r>
        <w:rPr>
          <w:rFonts w:hint="eastAsia" w:ascii="仿宋" w:hAnsi="仿宋" w:eastAsia="仿宋" w:cs="宋体"/>
          <w:color w:val="auto"/>
          <w:spacing w:val="-4"/>
          <w:kern w:val="0"/>
          <w:sz w:val="24"/>
          <w:szCs w:val="24"/>
          <w:highlight w:val="none"/>
        </w:rPr>
        <w:t>、政府采购严重违法失信行为记录名单。</w:t>
      </w:r>
    </w:p>
    <w:p>
      <w:pPr>
        <w:autoSpaceDN w:val="0"/>
        <w:adjustRightInd w:val="0"/>
        <w:snapToGrid w:val="0"/>
        <w:spacing w:line="360" w:lineRule="auto"/>
        <w:ind w:firstLine="480" w:firstLineChars="200"/>
        <w:rPr>
          <w:rFonts w:ascii="仿宋" w:hAnsi="仿宋" w:eastAsia="仿宋" w:cs="宋体"/>
          <w:color w:val="auto"/>
          <w:spacing w:val="-4"/>
          <w:kern w:val="0"/>
          <w:sz w:val="24"/>
          <w:szCs w:val="24"/>
          <w:highlight w:val="none"/>
        </w:rPr>
      </w:pPr>
      <w:bookmarkStart w:id="12" w:name="_Toc28359004"/>
      <w:bookmarkStart w:id="13" w:name="_Toc28359081"/>
      <w:r>
        <w:rPr>
          <w:rFonts w:hint="eastAsia" w:ascii="仿宋" w:hAnsi="仿宋" w:eastAsia="仿宋" w:cs="宋体"/>
          <w:color w:val="auto"/>
          <w:sz w:val="24"/>
          <w:szCs w:val="24"/>
          <w:highlight w:val="none"/>
        </w:rPr>
        <w:t>2.落实政府采购政策需满足的资格要求：</w:t>
      </w:r>
      <w:r>
        <w:rPr>
          <w:rFonts w:hint="eastAsia" w:ascii="仿宋" w:hAnsi="仿宋" w:eastAsia="仿宋" w:cs="宋体"/>
          <w:b/>
          <w:color w:val="auto"/>
          <w:spacing w:val="-4"/>
          <w:kern w:val="0"/>
          <w:sz w:val="24"/>
          <w:szCs w:val="24"/>
          <w:highlight w:val="none"/>
        </w:rPr>
        <w:t>本项目是专门面向中小企业采购的项目,供应商应为中、小、微企业</w:t>
      </w:r>
      <w:r>
        <w:rPr>
          <w:rFonts w:hint="eastAsia" w:ascii="仿宋" w:hAnsi="仿宋" w:eastAsia="仿宋" w:cs="Times New Roman"/>
          <w:b/>
          <w:bCs/>
          <w:color w:val="auto"/>
          <w:sz w:val="24"/>
          <w:szCs w:val="24"/>
          <w:highlight w:val="none"/>
        </w:rPr>
        <w:t>（符合要求的监狱企业和残疾人福利性单位视同为小微企业），项目属性为工程，中小企业划分标准对应行业为“建筑业”；</w:t>
      </w:r>
    </w:p>
    <w:p>
      <w:pPr>
        <w:autoSpaceDN w:val="0"/>
        <w:adjustRightInd w:val="0"/>
        <w:snapToGrid w:val="0"/>
        <w:spacing w:line="360" w:lineRule="auto"/>
        <w:ind w:firstLine="464" w:firstLineChars="200"/>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3.本项目的特定资格要求：</w:t>
      </w:r>
    </w:p>
    <w:p>
      <w:pPr>
        <w:widowControl/>
        <w:autoSpaceDN w:val="0"/>
        <w:adjustRightInd w:val="0"/>
        <w:snapToGrid w:val="0"/>
        <w:spacing w:line="360" w:lineRule="auto"/>
        <w:ind w:firstLine="464" w:firstLineChars="200"/>
        <w:jc w:val="left"/>
        <w:rPr>
          <w:rFonts w:ascii="仿宋" w:hAnsi="仿宋" w:eastAsia="仿宋" w:cs="宋体"/>
          <w:b/>
          <w:color w:val="auto"/>
          <w:spacing w:val="-4"/>
          <w:kern w:val="0"/>
          <w:sz w:val="24"/>
          <w:szCs w:val="24"/>
          <w:highlight w:val="none"/>
        </w:rPr>
      </w:pPr>
      <w:bookmarkStart w:id="14" w:name="_Toc35393623"/>
      <w:bookmarkStart w:id="15" w:name="_Toc35393792"/>
      <w:r>
        <w:rPr>
          <w:rFonts w:hint="eastAsia" w:ascii="仿宋" w:hAnsi="仿宋" w:eastAsia="仿宋" w:cs="宋体"/>
          <w:b/>
          <w:color w:val="auto"/>
          <w:spacing w:val="-4"/>
          <w:kern w:val="0"/>
          <w:sz w:val="24"/>
          <w:szCs w:val="24"/>
          <w:highlight w:val="none"/>
        </w:rPr>
        <w:t>（1）供应商</w:t>
      </w:r>
      <w:r>
        <w:rPr>
          <w:rFonts w:hint="eastAsia" w:ascii="仿宋" w:hAnsi="仿宋" w:eastAsia="仿宋" w:cs="宋体"/>
          <w:b/>
          <w:color w:val="auto"/>
          <w:spacing w:val="-4"/>
          <w:kern w:val="0"/>
          <w:sz w:val="24"/>
          <w:szCs w:val="24"/>
          <w:highlight w:val="none"/>
          <w:lang w:val="en-US" w:eastAsia="zh-CN"/>
        </w:rPr>
        <w:t>具备市政公用工程施工总承包三</w:t>
      </w:r>
      <w:r>
        <w:rPr>
          <w:rFonts w:hint="eastAsia" w:ascii="仿宋" w:hAnsi="仿宋" w:eastAsia="仿宋" w:cs="宋体"/>
          <w:b/>
          <w:color w:val="auto"/>
          <w:spacing w:val="-4"/>
          <w:kern w:val="0"/>
          <w:sz w:val="24"/>
          <w:szCs w:val="24"/>
          <w:highlight w:val="none"/>
        </w:rPr>
        <w:t>级及以上资质；</w:t>
      </w:r>
    </w:p>
    <w:p>
      <w:pPr>
        <w:widowControl/>
        <w:autoSpaceDN w:val="0"/>
        <w:adjustRightInd w:val="0"/>
        <w:snapToGrid w:val="0"/>
        <w:spacing w:line="360" w:lineRule="auto"/>
        <w:ind w:firstLine="464" w:firstLineChars="200"/>
        <w:jc w:val="left"/>
        <w:rPr>
          <w:rFonts w:ascii="仿宋" w:hAnsi="仿宋" w:eastAsia="仿宋" w:cs="宋体"/>
          <w:b/>
          <w:color w:val="auto"/>
          <w:spacing w:val="-4"/>
          <w:kern w:val="0"/>
          <w:sz w:val="24"/>
          <w:szCs w:val="24"/>
          <w:highlight w:val="none"/>
        </w:rPr>
      </w:pPr>
      <w:bookmarkStart w:id="16" w:name="_Hlk130373903"/>
      <w:r>
        <w:rPr>
          <w:rFonts w:hint="eastAsia" w:ascii="仿宋" w:hAnsi="仿宋" w:eastAsia="仿宋" w:cs="宋体"/>
          <w:b/>
          <w:color w:val="auto"/>
          <w:spacing w:val="-4"/>
          <w:kern w:val="0"/>
          <w:sz w:val="24"/>
          <w:szCs w:val="24"/>
          <w:highlight w:val="none"/>
        </w:rPr>
        <w:t>（2）供应商具有《安全生产许可证》；</w:t>
      </w:r>
    </w:p>
    <w:p>
      <w:pPr>
        <w:widowControl/>
        <w:autoSpaceDN w:val="0"/>
        <w:adjustRightInd w:val="0"/>
        <w:snapToGrid w:val="0"/>
        <w:spacing w:line="360" w:lineRule="auto"/>
        <w:ind w:firstLine="464" w:firstLineChars="200"/>
        <w:jc w:val="left"/>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（3）</w:t>
      </w:r>
      <w:bookmarkEnd w:id="16"/>
      <w:r>
        <w:rPr>
          <w:rFonts w:hint="eastAsia" w:ascii="仿宋" w:hAnsi="仿宋" w:eastAsia="仿宋" w:cs="宋体"/>
          <w:b/>
          <w:color w:val="auto"/>
          <w:spacing w:val="-4"/>
          <w:kern w:val="0"/>
          <w:sz w:val="24"/>
          <w:szCs w:val="24"/>
          <w:highlight w:val="none"/>
        </w:rPr>
        <w:t>本项目允许符合以下规定的联合体参加投标：</w:t>
      </w:r>
    </w:p>
    <w:p>
      <w:pPr>
        <w:widowControl/>
        <w:autoSpaceDN w:val="0"/>
        <w:adjustRightInd w:val="0"/>
        <w:snapToGrid w:val="0"/>
        <w:spacing w:line="360" w:lineRule="auto"/>
        <w:ind w:firstLine="464" w:firstLineChars="200"/>
        <w:jc w:val="left"/>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①联合体各方均须为符合政策要求的中、小、微型企业并且符合本项目“申请人的资格要求”第1条规定；</w:t>
      </w:r>
    </w:p>
    <w:p>
      <w:pPr>
        <w:widowControl/>
        <w:autoSpaceDN w:val="0"/>
        <w:adjustRightInd w:val="0"/>
        <w:snapToGrid w:val="0"/>
        <w:spacing w:line="360" w:lineRule="auto"/>
        <w:ind w:firstLine="464" w:firstLineChars="200"/>
        <w:jc w:val="left"/>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②提交有效的联合投标（响应）协议书，明确载明联合体各方承担的工作和义务。</w:t>
      </w:r>
    </w:p>
    <w:p>
      <w:pPr>
        <w:widowControl/>
        <w:autoSpaceDN w:val="0"/>
        <w:adjustRightInd w:val="0"/>
        <w:snapToGrid w:val="0"/>
        <w:spacing w:line="360" w:lineRule="auto"/>
        <w:ind w:firstLine="464" w:firstLineChars="200"/>
        <w:jc w:val="left"/>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w:t>
      </w:r>
      <w:r>
        <w:rPr>
          <w:rFonts w:hint="eastAsia" w:ascii="仿宋" w:hAnsi="仿宋" w:eastAsia="仿宋" w:cs="宋体"/>
          <w:b/>
          <w:color w:val="auto"/>
          <w:spacing w:val="-4"/>
          <w:kern w:val="0"/>
          <w:sz w:val="24"/>
          <w:szCs w:val="24"/>
          <w:highlight w:val="none"/>
          <w:lang w:val="en-US" w:eastAsia="zh-CN"/>
        </w:rPr>
        <w:t>4</w:t>
      </w:r>
      <w:r>
        <w:rPr>
          <w:rFonts w:hint="eastAsia" w:ascii="仿宋" w:hAnsi="仿宋" w:eastAsia="仿宋" w:cs="宋体"/>
          <w:b/>
          <w:color w:val="auto"/>
          <w:spacing w:val="-4"/>
          <w:kern w:val="0"/>
          <w:sz w:val="24"/>
          <w:szCs w:val="24"/>
          <w:highlight w:val="none"/>
        </w:rPr>
        <w:t>）本项目允许分包，要求如下：</w:t>
      </w:r>
    </w:p>
    <w:p>
      <w:pPr>
        <w:widowControl/>
        <w:autoSpaceDN w:val="0"/>
        <w:adjustRightInd w:val="0"/>
        <w:snapToGrid w:val="0"/>
        <w:spacing w:line="360" w:lineRule="auto"/>
        <w:ind w:firstLine="464" w:firstLineChars="200"/>
        <w:jc w:val="left"/>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①分包承担主体均须为符合政策要求的中、小、微型企业并且符合本项目“申请人的资格要求”第1条规定；</w:t>
      </w:r>
    </w:p>
    <w:p>
      <w:pPr>
        <w:widowControl/>
        <w:autoSpaceDN w:val="0"/>
        <w:adjustRightInd w:val="0"/>
        <w:snapToGrid w:val="0"/>
        <w:spacing w:line="360" w:lineRule="auto"/>
        <w:ind w:firstLine="464" w:firstLineChars="200"/>
        <w:jc w:val="left"/>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②提交有效的分包意向协议。</w:t>
      </w:r>
    </w:p>
    <w:p>
      <w:pPr>
        <w:autoSpaceDN w:val="0"/>
        <w:adjustRightInd w:val="0"/>
        <w:snapToGrid w:val="0"/>
        <w:spacing w:line="360" w:lineRule="auto"/>
        <w:ind w:firstLine="464" w:firstLineChars="200"/>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三、获取采购文件</w:t>
      </w:r>
      <w:bookmarkEnd w:id="12"/>
      <w:bookmarkEnd w:id="13"/>
      <w:bookmarkEnd w:id="14"/>
      <w:bookmarkEnd w:id="15"/>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1.时间：</w:t>
      </w:r>
      <w:r>
        <w:rPr>
          <w:rFonts w:hint="eastAsia" w:ascii="仿宋" w:hAnsi="仿宋" w:eastAsia="仿宋" w:cs="宋体"/>
          <w:color w:val="auto"/>
          <w:spacing w:val="-4"/>
          <w:kern w:val="0"/>
          <w:sz w:val="24"/>
          <w:szCs w:val="24"/>
          <w:highlight w:val="none"/>
          <w:u w:val="single"/>
        </w:rPr>
        <w:t xml:space="preserve"> / </w:t>
      </w:r>
      <w:r>
        <w:rPr>
          <w:rFonts w:hint="eastAsia" w:ascii="仿宋" w:hAnsi="仿宋" w:eastAsia="仿宋" w:cs="宋体"/>
          <w:color w:val="auto"/>
          <w:spacing w:val="-4"/>
          <w:kern w:val="0"/>
          <w:sz w:val="24"/>
          <w:szCs w:val="24"/>
          <w:highlight w:val="none"/>
        </w:rPr>
        <w:t>至202</w:t>
      </w:r>
      <w:r>
        <w:rPr>
          <w:rFonts w:hint="eastAsia" w:ascii="仿宋" w:hAnsi="仿宋" w:eastAsia="仿宋" w:cs="宋体"/>
          <w:color w:val="auto"/>
          <w:spacing w:val="-4"/>
          <w:kern w:val="0"/>
          <w:sz w:val="24"/>
          <w:szCs w:val="24"/>
          <w:highlight w:val="none"/>
          <w:lang w:val="en-US" w:eastAsia="zh-CN"/>
        </w:rPr>
        <w:t>4</w:t>
      </w:r>
      <w:r>
        <w:rPr>
          <w:rFonts w:hint="eastAsia" w:ascii="仿宋" w:hAnsi="仿宋" w:eastAsia="仿宋" w:cs="宋体"/>
          <w:color w:val="auto"/>
          <w:spacing w:val="-4"/>
          <w:kern w:val="0"/>
          <w:sz w:val="24"/>
          <w:szCs w:val="24"/>
          <w:highlight w:val="none"/>
        </w:rPr>
        <w:t>年</w:t>
      </w:r>
      <w:r>
        <w:rPr>
          <w:rFonts w:hint="eastAsia" w:ascii="仿宋" w:hAnsi="仿宋" w:eastAsia="仿宋" w:cs="宋体"/>
          <w:color w:val="auto"/>
          <w:spacing w:val="-4"/>
          <w:kern w:val="0"/>
          <w:sz w:val="24"/>
          <w:szCs w:val="24"/>
          <w:highlight w:val="none"/>
          <w:lang w:val="en-US" w:eastAsia="zh-CN"/>
        </w:rPr>
        <w:t>05</w:t>
      </w:r>
      <w:r>
        <w:rPr>
          <w:rFonts w:hint="eastAsia" w:ascii="仿宋" w:hAnsi="仿宋" w:eastAsia="仿宋" w:cs="宋体"/>
          <w:color w:val="auto"/>
          <w:spacing w:val="-4"/>
          <w:kern w:val="0"/>
          <w:sz w:val="24"/>
          <w:szCs w:val="24"/>
          <w:highlight w:val="none"/>
        </w:rPr>
        <w:t>月</w:t>
      </w:r>
      <w:r>
        <w:rPr>
          <w:rFonts w:hint="eastAsia" w:ascii="仿宋" w:hAnsi="仿宋" w:eastAsia="仿宋" w:cs="宋体"/>
          <w:color w:val="auto"/>
          <w:spacing w:val="-4"/>
          <w:kern w:val="0"/>
          <w:sz w:val="24"/>
          <w:szCs w:val="24"/>
          <w:highlight w:val="none"/>
          <w:lang w:val="en-US" w:eastAsia="zh-CN"/>
        </w:rPr>
        <w:t>11</w:t>
      </w:r>
      <w:r>
        <w:rPr>
          <w:rFonts w:hint="eastAsia" w:ascii="仿宋" w:hAnsi="仿宋" w:eastAsia="仿宋" w:cs="宋体"/>
          <w:color w:val="auto"/>
          <w:spacing w:val="-4"/>
          <w:kern w:val="0"/>
          <w:sz w:val="24"/>
          <w:szCs w:val="24"/>
          <w:highlight w:val="none"/>
        </w:rPr>
        <w:t>日，每天上午00:00至12:00，下午12:00至23:59（北京时间，线上获取法定节假日均可，线下获取文件法定节假日除外）。</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2.地点（网址）：</w:t>
      </w:r>
      <w:r>
        <w:rPr>
          <w:rFonts w:hint="eastAsia"/>
          <w:color w:val="auto"/>
          <w:highlight w:val="none"/>
        </w:rPr>
        <w:fldChar w:fldCharType="begin"/>
      </w:r>
      <w:r>
        <w:rPr>
          <w:color w:val="auto"/>
          <w:highlight w:val="none"/>
        </w:rPr>
        <w:instrText xml:space="preserve"> HYPERLINK "https://www.zcygov.cn" </w:instrText>
      </w:r>
      <w:r>
        <w:rPr>
          <w:rFonts w:hint="eastAsia"/>
          <w:color w:val="auto"/>
          <w:highlight w:val="none"/>
        </w:rPr>
        <w:fldChar w:fldCharType="separate"/>
      </w:r>
      <w:r>
        <w:rPr>
          <w:rFonts w:hint="eastAsia" w:ascii="仿宋" w:hAnsi="仿宋" w:eastAsia="仿宋" w:cs="宋体"/>
          <w:color w:val="auto"/>
          <w:spacing w:val="-4"/>
          <w:kern w:val="0"/>
          <w:sz w:val="24"/>
          <w:szCs w:val="24"/>
          <w:highlight w:val="none"/>
          <w:u w:val="single"/>
        </w:rPr>
        <w:t>https://www.zcygov.cn</w:t>
      </w:r>
      <w:r>
        <w:rPr>
          <w:rFonts w:hint="eastAsia" w:ascii="仿宋" w:hAnsi="仿宋" w:eastAsia="仿宋" w:cs="宋体"/>
          <w:color w:val="auto"/>
          <w:spacing w:val="-4"/>
          <w:kern w:val="0"/>
          <w:sz w:val="24"/>
          <w:szCs w:val="24"/>
          <w:highlight w:val="none"/>
          <w:u w:val="single"/>
        </w:rPr>
        <w:fldChar w:fldCharType="end"/>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3.方式：（1）线上获取（登录政府采购云平台→项目采购→获取采购文件→申请，审核通过后可下载采购文件）。本次采购不提供纸质版采购文件。（2）供应商获取采购文件前应通过浙江政府采购网“浙江政府采购供应商信息登记管理系统”进行信息登记，获得线上政府采购活动操作权限。（3）采购公告所附采购文件仅供阅览使用，供应商只有在“政府采购云平台”完成获取采购文件申请并下载了采购文件后才被视为合法获取了采购文件，否则其响应将被拒绝。</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4.售价（元）：0</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5.采购公告所附采购文件仅供阅览使用，供应商只有在“政府采购云平台”完成获取采购文件申请并下载了采购文件后才被视为合法获取了采购文件，否则其响应将被拒绝。</w:t>
      </w:r>
    </w:p>
    <w:p>
      <w:pPr>
        <w:autoSpaceDN w:val="0"/>
        <w:adjustRightInd w:val="0"/>
        <w:snapToGrid w:val="0"/>
        <w:spacing w:line="360" w:lineRule="auto"/>
        <w:ind w:firstLine="464" w:firstLineChars="200"/>
        <w:rPr>
          <w:rFonts w:ascii="仿宋" w:hAnsi="仿宋" w:eastAsia="仿宋" w:cs="宋体"/>
          <w:b/>
          <w:color w:val="auto"/>
          <w:spacing w:val="-4"/>
          <w:kern w:val="0"/>
          <w:sz w:val="24"/>
          <w:szCs w:val="24"/>
          <w:highlight w:val="none"/>
        </w:rPr>
      </w:pPr>
      <w:bookmarkStart w:id="17" w:name="_Toc35393624"/>
      <w:bookmarkStart w:id="18" w:name="_Toc28359082"/>
      <w:bookmarkStart w:id="19" w:name="_Toc35393793"/>
      <w:bookmarkStart w:id="20" w:name="_Toc28359005"/>
      <w:r>
        <w:rPr>
          <w:rFonts w:hint="eastAsia" w:ascii="仿宋" w:hAnsi="仿宋" w:eastAsia="仿宋" w:cs="宋体"/>
          <w:b/>
          <w:color w:val="auto"/>
          <w:spacing w:val="-4"/>
          <w:kern w:val="0"/>
          <w:sz w:val="24"/>
          <w:szCs w:val="24"/>
          <w:highlight w:val="none"/>
        </w:rPr>
        <w:t>四、</w:t>
      </w:r>
      <w:bookmarkEnd w:id="17"/>
      <w:bookmarkEnd w:id="18"/>
      <w:bookmarkEnd w:id="19"/>
      <w:bookmarkEnd w:id="20"/>
      <w:r>
        <w:rPr>
          <w:rFonts w:hint="eastAsia" w:ascii="仿宋" w:hAnsi="仿宋" w:eastAsia="仿宋" w:cs="宋体"/>
          <w:b/>
          <w:color w:val="auto"/>
          <w:spacing w:val="-4"/>
          <w:kern w:val="0"/>
          <w:sz w:val="24"/>
          <w:szCs w:val="24"/>
          <w:highlight w:val="none"/>
        </w:rPr>
        <w:t>响应文件递交（上传）</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1.递交响应文件截止时间：</w:t>
      </w:r>
      <w:r>
        <w:rPr>
          <w:rFonts w:hint="eastAsia" w:ascii="仿宋" w:hAnsi="仿宋" w:eastAsia="仿宋" w:cs="宋体"/>
          <w:b/>
          <w:color w:val="auto"/>
          <w:sz w:val="24"/>
          <w:szCs w:val="24"/>
          <w:highlight w:val="none"/>
          <w:u w:val="single"/>
        </w:rPr>
        <w:t>202</w:t>
      </w:r>
      <w:r>
        <w:rPr>
          <w:rFonts w:hint="eastAsia" w:ascii="仿宋" w:hAnsi="仿宋" w:eastAsia="仿宋" w:cs="宋体"/>
          <w:b/>
          <w:color w:val="auto"/>
          <w:sz w:val="24"/>
          <w:szCs w:val="24"/>
          <w:highlight w:val="none"/>
          <w:u w:val="single"/>
          <w:lang w:val="en-US" w:eastAsia="zh-CN"/>
        </w:rPr>
        <w:t>4</w:t>
      </w:r>
      <w:r>
        <w:rPr>
          <w:rFonts w:hint="eastAsia" w:ascii="仿宋" w:hAnsi="仿宋" w:eastAsia="仿宋" w:cs="宋体"/>
          <w:b/>
          <w:color w:val="auto"/>
          <w:sz w:val="24"/>
          <w:szCs w:val="24"/>
          <w:highlight w:val="none"/>
          <w:u w:val="single"/>
        </w:rPr>
        <w:t>年</w:t>
      </w:r>
      <w:r>
        <w:rPr>
          <w:rFonts w:hint="eastAsia" w:ascii="仿宋" w:hAnsi="仿宋" w:eastAsia="仿宋" w:cs="宋体"/>
          <w:b/>
          <w:color w:val="auto"/>
          <w:sz w:val="24"/>
          <w:szCs w:val="24"/>
          <w:highlight w:val="none"/>
          <w:u w:val="single"/>
          <w:lang w:val="en-US" w:eastAsia="zh-CN"/>
        </w:rPr>
        <w:t>05</w:t>
      </w:r>
      <w:r>
        <w:rPr>
          <w:rFonts w:hint="eastAsia" w:ascii="仿宋" w:hAnsi="仿宋" w:eastAsia="仿宋" w:cs="宋体"/>
          <w:b/>
          <w:color w:val="auto"/>
          <w:sz w:val="24"/>
          <w:szCs w:val="24"/>
          <w:highlight w:val="none"/>
          <w:u w:val="single"/>
        </w:rPr>
        <w:t>月</w:t>
      </w:r>
      <w:r>
        <w:rPr>
          <w:rFonts w:hint="eastAsia" w:ascii="仿宋" w:hAnsi="仿宋" w:eastAsia="仿宋" w:cs="宋体"/>
          <w:b/>
          <w:color w:val="auto"/>
          <w:sz w:val="24"/>
          <w:szCs w:val="24"/>
          <w:highlight w:val="none"/>
          <w:u w:val="single"/>
          <w:lang w:val="en-US" w:eastAsia="zh-CN"/>
        </w:rPr>
        <w:t>11</w:t>
      </w:r>
      <w:r>
        <w:rPr>
          <w:rFonts w:hint="eastAsia" w:ascii="仿宋" w:hAnsi="仿宋" w:eastAsia="仿宋" w:cs="宋体"/>
          <w:b/>
          <w:color w:val="auto"/>
          <w:sz w:val="24"/>
          <w:szCs w:val="24"/>
          <w:highlight w:val="none"/>
          <w:u w:val="single"/>
        </w:rPr>
        <w:t>日</w:t>
      </w:r>
      <w:r>
        <w:rPr>
          <w:rFonts w:hint="eastAsia" w:ascii="仿宋" w:hAnsi="仿宋" w:eastAsia="仿宋" w:cs="宋体"/>
          <w:b/>
          <w:color w:val="auto"/>
          <w:sz w:val="24"/>
          <w:szCs w:val="24"/>
          <w:highlight w:val="none"/>
          <w:u w:val="single"/>
          <w:lang w:val="en-US" w:eastAsia="zh-CN"/>
        </w:rPr>
        <w:t>13</w:t>
      </w:r>
      <w:r>
        <w:rPr>
          <w:rFonts w:hint="eastAsia" w:ascii="仿宋" w:hAnsi="仿宋" w:eastAsia="仿宋" w:cs="宋体"/>
          <w:b/>
          <w:color w:val="auto"/>
          <w:sz w:val="24"/>
          <w:szCs w:val="24"/>
          <w:highlight w:val="none"/>
          <w:u w:val="single"/>
        </w:rPr>
        <w:t>:</w:t>
      </w:r>
      <w:r>
        <w:rPr>
          <w:rFonts w:hint="eastAsia" w:ascii="仿宋" w:hAnsi="仿宋" w:eastAsia="仿宋" w:cs="宋体"/>
          <w:b/>
          <w:color w:val="auto"/>
          <w:sz w:val="24"/>
          <w:szCs w:val="24"/>
          <w:highlight w:val="none"/>
          <w:u w:val="single"/>
          <w:lang w:val="en-US" w:eastAsia="zh-CN"/>
        </w:rPr>
        <w:t>30</w:t>
      </w:r>
      <w:r>
        <w:rPr>
          <w:rFonts w:hint="eastAsia" w:ascii="仿宋" w:hAnsi="仿宋" w:eastAsia="仿宋" w:cs="宋体"/>
          <w:b/>
          <w:color w:val="auto"/>
          <w:spacing w:val="-4"/>
          <w:kern w:val="0"/>
          <w:sz w:val="24"/>
          <w:szCs w:val="24"/>
          <w:highlight w:val="none"/>
          <w:u w:val="single"/>
        </w:rPr>
        <w:t>:00（北京时间）</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2.递交地点（网址）：（1）“电子加密响应文件”：https://www.zcygov.cn在线递交；（2）“电子备份响应文件”：杭州市拱墅区大关路179号远洋国际中心A座17楼1706室。</w:t>
      </w:r>
    </w:p>
    <w:p>
      <w:pPr>
        <w:autoSpaceDN w:val="0"/>
        <w:adjustRightInd w:val="0"/>
        <w:snapToGrid w:val="0"/>
        <w:spacing w:line="360" w:lineRule="auto"/>
        <w:ind w:firstLine="464" w:firstLineChars="200"/>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五、响应文件开启</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1.开启时间：</w:t>
      </w:r>
      <w:r>
        <w:rPr>
          <w:rFonts w:hint="eastAsia" w:ascii="仿宋" w:hAnsi="仿宋" w:eastAsia="仿宋" w:cs="宋体"/>
          <w:b/>
          <w:color w:val="auto"/>
          <w:sz w:val="24"/>
          <w:szCs w:val="24"/>
          <w:highlight w:val="none"/>
          <w:u w:val="single"/>
        </w:rPr>
        <w:t>202</w:t>
      </w:r>
      <w:r>
        <w:rPr>
          <w:rFonts w:hint="eastAsia" w:ascii="仿宋" w:hAnsi="仿宋" w:eastAsia="仿宋" w:cs="宋体"/>
          <w:b/>
          <w:color w:val="auto"/>
          <w:sz w:val="24"/>
          <w:szCs w:val="24"/>
          <w:highlight w:val="none"/>
          <w:u w:val="single"/>
          <w:lang w:val="en-US" w:eastAsia="zh-CN"/>
        </w:rPr>
        <w:t>4</w:t>
      </w:r>
      <w:r>
        <w:rPr>
          <w:rFonts w:hint="eastAsia" w:ascii="仿宋" w:hAnsi="仿宋" w:eastAsia="仿宋" w:cs="宋体"/>
          <w:b/>
          <w:color w:val="auto"/>
          <w:sz w:val="24"/>
          <w:szCs w:val="24"/>
          <w:highlight w:val="none"/>
          <w:u w:val="single"/>
        </w:rPr>
        <w:t>年</w:t>
      </w:r>
      <w:r>
        <w:rPr>
          <w:rFonts w:hint="eastAsia" w:ascii="仿宋" w:hAnsi="仿宋" w:eastAsia="仿宋" w:cs="宋体"/>
          <w:b/>
          <w:color w:val="auto"/>
          <w:sz w:val="24"/>
          <w:szCs w:val="24"/>
          <w:highlight w:val="none"/>
          <w:u w:val="single"/>
          <w:lang w:val="en-US" w:eastAsia="zh-CN"/>
        </w:rPr>
        <w:t>05</w:t>
      </w:r>
      <w:r>
        <w:rPr>
          <w:rFonts w:hint="eastAsia" w:ascii="仿宋" w:hAnsi="仿宋" w:eastAsia="仿宋" w:cs="宋体"/>
          <w:b/>
          <w:color w:val="auto"/>
          <w:sz w:val="24"/>
          <w:szCs w:val="24"/>
          <w:highlight w:val="none"/>
          <w:u w:val="single"/>
        </w:rPr>
        <w:t>月</w:t>
      </w:r>
      <w:r>
        <w:rPr>
          <w:rFonts w:hint="eastAsia" w:ascii="仿宋" w:hAnsi="仿宋" w:eastAsia="仿宋" w:cs="宋体"/>
          <w:b/>
          <w:color w:val="auto"/>
          <w:sz w:val="24"/>
          <w:szCs w:val="24"/>
          <w:highlight w:val="none"/>
          <w:u w:val="single"/>
          <w:lang w:val="en-US" w:eastAsia="zh-CN"/>
        </w:rPr>
        <w:t>11</w:t>
      </w:r>
      <w:r>
        <w:rPr>
          <w:rFonts w:hint="eastAsia" w:ascii="仿宋" w:hAnsi="仿宋" w:eastAsia="仿宋" w:cs="宋体"/>
          <w:b/>
          <w:color w:val="auto"/>
          <w:sz w:val="24"/>
          <w:szCs w:val="24"/>
          <w:highlight w:val="none"/>
          <w:u w:val="single"/>
        </w:rPr>
        <w:t>日</w:t>
      </w:r>
      <w:r>
        <w:rPr>
          <w:rFonts w:hint="eastAsia" w:ascii="仿宋" w:hAnsi="仿宋" w:eastAsia="仿宋" w:cs="宋体"/>
          <w:b/>
          <w:color w:val="auto"/>
          <w:sz w:val="24"/>
          <w:szCs w:val="24"/>
          <w:highlight w:val="none"/>
          <w:u w:val="single"/>
          <w:lang w:val="en-US" w:eastAsia="zh-CN"/>
        </w:rPr>
        <w:t>13</w:t>
      </w:r>
      <w:r>
        <w:rPr>
          <w:rFonts w:hint="eastAsia" w:ascii="仿宋" w:hAnsi="仿宋" w:eastAsia="仿宋" w:cs="宋体"/>
          <w:b/>
          <w:color w:val="auto"/>
          <w:sz w:val="24"/>
          <w:szCs w:val="24"/>
          <w:highlight w:val="none"/>
          <w:u w:val="single"/>
        </w:rPr>
        <w:t>:</w:t>
      </w:r>
      <w:r>
        <w:rPr>
          <w:rFonts w:hint="eastAsia" w:ascii="仿宋" w:hAnsi="仿宋" w:eastAsia="仿宋" w:cs="宋体"/>
          <w:b/>
          <w:color w:val="auto"/>
          <w:sz w:val="24"/>
          <w:szCs w:val="24"/>
          <w:highlight w:val="none"/>
          <w:u w:val="single"/>
          <w:lang w:val="en-US" w:eastAsia="zh-CN"/>
        </w:rPr>
        <w:t>30</w:t>
      </w:r>
      <w:r>
        <w:rPr>
          <w:rFonts w:hint="eastAsia" w:ascii="仿宋" w:hAnsi="仿宋" w:eastAsia="仿宋" w:cs="宋体"/>
          <w:b/>
          <w:color w:val="auto"/>
          <w:sz w:val="24"/>
          <w:szCs w:val="24"/>
          <w:highlight w:val="none"/>
          <w:u w:val="single"/>
        </w:rPr>
        <w:t>:00</w:t>
      </w:r>
      <w:r>
        <w:rPr>
          <w:rFonts w:hint="eastAsia" w:ascii="仿宋" w:hAnsi="仿宋" w:eastAsia="仿宋" w:cs="宋体"/>
          <w:b/>
          <w:color w:val="auto"/>
          <w:spacing w:val="-4"/>
          <w:kern w:val="0"/>
          <w:sz w:val="24"/>
          <w:szCs w:val="24"/>
          <w:highlight w:val="none"/>
          <w:u w:val="single"/>
        </w:rPr>
        <w:t>（北京时间）</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u w:val="single"/>
        </w:rPr>
      </w:pPr>
      <w:r>
        <w:rPr>
          <w:rFonts w:hint="eastAsia" w:ascii="仿宋" w:hAnsi="仿宋" w:eastAsia="仿宋" w:cs="宋体"/>
          <w:color w:val="auto"/>
          <w:spacing w:val="-4"/>
          <w:kern w:val="0"/>
          <w:sz w:val="24"/>
          <w:szCs w:val="24"/>
          <w:highlight w:val="none"/>
        </w:rPr>
        <w:t>2.地点（网址）：</w:t>
      </w:r>
      <w:r>
        <w:rPr>
          <w:rFonts w:hint="eastAsia"/>
          <w:color w:val="auto"/>
          <w:highlight w:val="none"/>
        </w:rPr>
        <w:fldChar w:fldCharType="begin"/>
      </w:r>
      <w:r>
        <w:rPr>
          <w:color w:val="auto"/>
          <w:highlight w:val="none"/>
        </w:rPr>
        <w:instrText xml:space="preserve"> HYPERLINK "https://www.zcygov.cn" </w:instrText>
      </w:r>
      <w:r>
        <w:rPr>
          <w:rFonts w:hint="eastAsia"/>
          <w:color w:val="auto"/>
          <w:highlight w:val="none"/>
        </w:rPr>
        <w:fldChar w:fldCharType="separate"/>
      </w:r>
      <w:r>
        <w:rPr>
          <w:rFonts w:hint="eastAsia" w:ascii="仿宋" w:hAnsi="仿宋" w:eastAsia="仿宋" w:cs="宋体"/>
          <w:color w:val="auto"/>
          <w:spacing w:val="-4"/>
          <w:kern w:val="0"/>
          <w:sz w:val="24"/>
          <w:szCs w:val="24"/>
          <w:highlight w:val="none"/>
          <w:u w:val="single"/>
        </w:rPr>
        <w:t>https://www.zcygov.cn</w:t>
      </w:r>
      <w:r>
        <w:rPr>
          <w:rFonts w:hint="eastAsia" w:ascii="仿宋" w:hAnsi="仿宋" w:eastAsia="仿宋" w:cs="宋体"/>
          <w:color w:val="auto"/>
          <w:spacing w:val="-4"/>
          <w:kern w:val="0"/>
          <w:sz w:val="24"/>
          <w:szCs w:val="24"/>
          <w:highlight w:val="none"/>
          <w:u w:val="single"/>
        </w:rPr>
        <w:fldChar w:fldCharType="end"/>
      </w:r>
    </w:p>
    <w:p>
      <w:pPr>
        <w:autoSpaceDN w:val="0"/>
        <w:adjustRightInd w:val="0"/>
        <w:snapToGrid w:val="0"/>
        <w:spacing w:line="360" w:lineRule="auto"/>
        <w:ind w:firstLine="464" w:firstLineChars="200"/>
        <w:rPr>
          <w:rFonts w:ascii="仿宋" w:hAnsi="仿宋" w:eastAsia="仿宋" w:cs="宋体"/>
          <w:b/>
          <w:color w:val="auto"/>
          <w:spacing w:val="-4"/>
          <w:kern w:val="0"/>
          <w:sz w:val="24"/>
          <w:szCs w:val="24"/>
          <w:highlight w:val="none"/>
        </w:rPr>
      </w:pPr>
      <w:bookmarkStart w:id="21" w:name="_Toc35393625"/>
      <w:bookmarkStart w:id="22" w:name="_Toc28359007"/>
      <w:bookmarkStart w:id="23" w:name="_Toc28359084"/>
      <w:bookmarkStart w:id="24" w:name="_Toc35393794"/>
      <w:r>
        <w:rPr>
          <w:rFonts w:hint="eastAsia" w:ascii="仿宋" w:hAnsi="仿宋" w:eastAsia="仿宋" w:cs="宋体"/>
          <w:b/>
          <w:color w:val="auto"/>
          <w:spacing w:val="-4"/>
          <w:kern w:val="0"/>
          <w:sz w:val="24"/>
          <w:szCs w:val="24"/>
          <w:highlight w:val="none"/>
        </w:rPr>
        <w:t>六、公告期限</w:t>
      </w:r>
      <w:bookmarkEnd w:id="21"/>
      <w:bookmarkEnd w:id="22"/>
      <w:bookmarkEnd w:id="23"/>
      <w:bookmarkEnd w:id="24"/>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自本公告发布之日起3个工作日。</w:t>
      </w:r>
    </w:p>
    <w:p>
      <w:pPr>
        <w:autoSpaceDN w:val="0"/>
        <w:adjustRightInd w:val="0"/>
        <w:snapToGrid w:val="0"/>
        <w:spacing w:line="360" w:lineRule="auto"/>
        <w:ind w:firstLine="464" w:firstLineChars="200"/>
        <w:rPr>
          <w:rFonts w:ascii="仿宋" w:hAnsi="仿宋" w:eastAsia="仿宋" w:cs="宋体"/>
          <w:b/>
          <w:color w:val="auto"/>
          <w:spacing w:val="-4"/>
          <w:kern w:val="0"/>
          <w:sz w:val="24"/>
          <w:szCs w:val="24"/>
          <w:highlight w:val="none"/>
        </w:rPr>
      </w:pPr>
      <w:bookmarkStart w:id="25" w:name="_Toc35393626"/>
      <w:bookmarkStart w:id="26" w:name="_Toc35393795"/>
      <w:r>
        <w:rPr>
          <w:rFonts w:hint="eastAsia" w:ascii="仿宋" w:hAnsi="仿宋" w:eastAsia="仿宋" w:cs="宋体"/>
          <w:b/>
          <w:color w:val="auto"/>
          <w:spacing w:val="-4"/>
          <w:kern w:val="0"/>
          <w:sz w:val="24"/>
          <w:szCs w:val="24"/>
          <w:highlight w:val="none"/>
        </w:rPr>
        <w:t>七、其他补充事宜</w:t>
      </w:r>
      <w:bookmarkEnd w:id="25"/>
      <w:bookmarkEnd w:id="26"/>
    </w:p>
    <w:p>
      <w:pPr>
        <w:autoSpaceDN w:val="0"/>
        <w:adjustRightInd w:val="0"/>
        <w:snapToGrid w:val="0"/>
        <w:spacing w:line="360" w:lineRule="auto"/>
        <w:ind w:firstLine="54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pPr>
        <w:autoSpaceDN w:val="0"/>
        <w:adjustRightInd w:val="0"/>
        <w:snapToGrid w:val="0"/>
        <w:spacing w:line="360" w:lineRule="auto"/>
        <w:ind w:firstLine="54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4.其他事项：（1）供应商对采购文件的质疑应以书面形式一次性提出。（2）根据《关于规范政府采购供应商资格设定及资格审查的通知（浙财采监【2013】24号）》第六条的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3）单位负责人为同一人或者存在直接控股、管理关系的不同供应商，不得同时参加同一合同项下的磋商。（4）为项目提供整体设计、规范编制或者项目管理、监理、检测等服务的供应商，不得再参加该采购项目的其他采购活动。（5）本项目不收取磋商保证金。（6）本项目执行促进中小企业发展、优先采购节能产品、优先采购环境标志产品政策。（7）招标文件公告期限与招标公告的公告期限一致。</w:t>
      </w:r>
    </w:p>
    <w:p>
      <w:pPr>
        <w:autoSpaceDN w:val="0"/>
        <w:adjustRightInd w:val="0"/>
        <w:snapToGrid w:val="0"/>
        <w:spacing w:line="360" w:lineRule="auto"/>
        <w:ind w:firstLine="464" w:firstLineChars="200"/>
        <w:rPr>
          <w:rFonts w:ascii="仿宋" w:hAnsi="仿宋" w:eastAsia="仿宋" w:cs="宋体"/>
          <w:b/>
          <w:color w:val="auto"/>
          <w:spacing w:val="-4"/>
          <w:kern w:val="0"/>
          <w:sz w:val="24"/>
          <w:szCs w:val="24"/>
          <w:highlight w:val="none"/>
        </w:rPr>
      </w:pPr>
      <w:bookmarkStart w:id="27" w:name="_Toc28359085"/>
      <w:bookmarkStart w:id="28" w:name="_Toc28359008"/>
      <w:bookmarkStart w:id="29" w:name="_Toc35393627"/>
      <w:bookmarkStart w:id="30" w:name="_Toc35393796"/>
      <w:r>
        <w:rPr>
          <w:rFonts w:hint="eastAsia" w:ascii="仿宋" w:hAnsi="仿宋" w:eastAsia="仿宋" w:cs="宋体"/>
          <w:b/>
          <w:color w:val="auto"/>
          <w:spacing w:val="-4"/>
          <w:kern w:val="0"/>
          <w:sz w:val="24"/>
          <w:szCs w:val="24"/>
          <w:highlight w:val="none"/>
        </w:rPr>
        <w:t>八、对本次采购提出询问、质疑、投诉，请按以下方式联系。</w:t>
      </w:r>
      <w:bookmarkEnd w:id="27"/>
      <w:bookmarkEnd w:id="28"/>
      <w:bookmarkEnd w:id="29"/>
      <w:bookmarkEnd w:id="30"/>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1.采购人信息</w:t>
      </w:r>
    </w:p>
    <w:p>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lang w:eastAsia="zh-CN"/>
        </w:rPr>
      </w:pPr>
      <w:r>
        <w:rPr>
          <w:rFonts w:hint="eastAsia" w:ascii="仿宋" w:hAnsi="仿宋" w:eastAsia="仿宋" w:cs="宋体"/>
          <w:color w:val="auto"/>
          <w:spacing w:val="-4"/>
          <w:kern w:val="0"/>
          <w:sz w:val="24"/>
          <w:szCs w:val="24"/>
          <w:highlight w:val="none"/>
        </w:rPr>
        <w:t>名  称：</w:t>
      </w:r>
      <w:r>
        <w:rPr>
          <w:rFonts w:hint="eastAsia" w:ascii="仿宋" w:hAnsi="仿宋" w:eastAsia="仿宋" w:cs="宋体"/>
          <w:color w:val="auto"/>
          <w:spacing w:val="-4"/>
          <w:kern w:val="0"/>
          <w:sz w:val="24"/>
          <w:szCs w:val="24"/>
          <w:highlight w:val="none"/>
          <w:lang w:eastAsia="zh-CN"/>
        </w:rPr>
        <w:t>浙江省拱宸强制隔离戒毒所</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地  址：</w:t>
      </w:r>
      <w:r>
        <w:rPr>
          <w:rFonts w:hint="eastAsia" w:ascii="仿宋" w:hAnsi="仿宋" w:eastAsia="仿宋" w:cs="宋体"/>
          <w:color w:val="auto"/>
          <w:spacing w:val="-4"/>
          <w:kern w:val="0"/>
          <w:sz w:val="24"/>
          <w:szCs w:val="24"/>
          <w:highlight w:val="none"/>
          <w:lang w:val="en-US" w:eastAsia="zh-CN"/>
        </w:rPr>
        <w:t>杭州市拱墅区莫干山路1411号</w:t>
      </w:r>
    </w:p>
    <w:p>
      <w:pPr>
        <w:autoSpaceDN w:val="0"/>
        <w:adjustRightInd w:val="0"/>
        <w:snapToGrid w:val="0"/>
        <w:spacing w:line="360" w:lineRule="auto"/>
        <w:ind w:firstLine="464" w:firstLineChars="200"/>
        <w:rPr>
          <w:rFonts w:hint="default" w:ascii="仿宋" w:hAnsi="仿宋" w:eastAsia="仿宋" w:cs="宋体"/>
          <w:color w:val="auto"/>
          <w:spacing w:val="-4"/>
          <w:kern w:val="0"/>
          <w:sz w:val="24"/>
          <w:szCs w:val="24"/>
          <w:highlight w:val="none"/>
          <w:lang w:val="en-US" w:eastAsia="zh-CN"/>
        </w:rPr>
      </w:pPr>
      <w:r>
        <w:rPr>
          <w:rFonts w:hint="eastAsia" w:ascii="仿宋" w:hAnsi="仿宋" w:eastAsia="仿宋" w:cs="宋体"/>
          <w:color w:val="auto"/>
          <w:spacing w:val="-4"/>
          <w:kern w:val="0"/>
          <w:sz w:val="24"/>
          <w:szCs w:val="24"/>
          <w:highlight w:val="none"/>
        </w:rPr>
        <w:t>项目联系人（询问）：</w:t>
      </w:r>
      <w:r>
        <w:rPr>
          <w:rFonts w:hint="eastAsia" w:ascii="仿宋" w:hAnsi="仿宋" w:eastAsia="仿宋" w:cs="宋体"/>
          <w:color w:val="auto"/>
          <w:spacing w:val="-4"/>
          <w:kern w:val="0"/>
          <w:sz w:val="24"/>
          <w:szCs w:val="24"/>
          <w:highlight w:val="none"/>
          <w:lang w:val="en-US" w:eastAsia="zh-CN"/>
        </w:rPr>
        <w:t>郭警官</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项目联系方式（询问）：</w:t>
      </w:r>
      <w:r>
        <w:rPr>
          <w:rFonts w:hint="eastAsia" w:ascii="仿宋" w:hAnsi="仿宋" w:eastAsia="仿宋" w:cs="宋体"/>
          <w:color w:val="auto"/>
          <w:spacing w:val="-4"/>
          <w:kern w:val="0"/>
          <w:sz w:val="24"/>
          <w:szCs w:val="24"/>
          <w:highlight w:val="none"/>
          <w:lang w:val="en-US" w:eastAsia="zh-CN"/>
        </w:rPr>
        <w:t>0571-89915213</w:t>
      </w:r>
    </w:p>
    <w:p>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质疑联系人：</w:t>
      </w:r>
      <w:r>
        <w:rPr>
          <w:rFonts w:hint="eastAsia" w:ascii="仿宋" w:hAnsi="仿宋" w:eastAsia="仿宋" w:cs="宋体"/>
          <w:color w:val="auto"/>
          <w:spacing w:val="-4"/>
          <w:kern w:val="0"/>
          <w:sz w:val="24"/>
          <w:szCs w:val="24"/>
          <w:highlight w:val="none"/>
          <w:lang w:val="en-US" w:eastAsia="zh-CN"/>
        </w:rPr>
        <w:t>朱警官</w:t>
      </w:r>
    </w:p>
    <w:p>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质疑联系方式：17306713332</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bookmarkStart w:id="31" w:name="_Toc28359009"/>
      <w:bookmarkStart w:id="32" w:name="_Toc28359086"/>
      <w:r>
        <w:rPr>
          <w:rFonts w:hint="eastAsia" w:ascii="仿宋" w:hAnsi="仿宋" w:eastAsia="仿宋" w:cs="宋体"/>
          <w:color w:val="auto"/>
          <w:spacing w:val="-4"/>
          <w:kern w:val="0"/>
          <w:sz w:val="24"/>
          <w:szCs w:val="24"/>
          <w:highlight w:val="none"/>
        </w:rPr>
        <w:t>2.采购代理机构信息</w:t>
      </w:r>
      <w:bookmarkEnd w:id="31"/>
      <w:bookmarkEnd w:id="32"/>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名  称：浙江豪圣建设项目管理有限公司</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地  址：杭州市拱墅区大关路179号远洋国际中心A座17楼1706室</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bookmarkStart w:id="33" w:name="_Toc28359087"/>
      <w:bookmarkStart w:id="34" w:name="_Toc28359010"/>
      <w:r>
        <w:rPr>
          <w:rFonts w:hint="eastAsia" w:ascii="仿宋" w:hAnsi="仿宋" w:eastAsia="仿宋" w:cs="宋体"/>
          <w:color w:val="auto"/>
          <w:spacing w:val="-4"/>
          <w:kern w:val="0"/>
          <w:sz w:val="24"/>
          <w:szCs w:val="24"/>
          <w:highlight w:val="none"/>
        </w:rPr>
        <w:t>项目联系人（询问）：陈梦菲、曹剑斌、陈敏娇</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项目联系方式（询问）：0571-87981527</w:t>
      </w:r>
    </w:p>
    <w:p>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lang w:val="en-US" w:eastAsia="zh-CN"/>
        </w:rPr>
      </w:pPr>
      <w:r>
        <w:rPr>
          <w:rFonts w:hint="eastAsia" w:ascii="仿宋" w:hAnsi="仿宋" w:eastAsia="仿宋" w:cs="宋体"/>
          <w:color w:val="auto"/>
          <w:spacing w:val="-4"/>
          <w:kern w:val="0"/>
          <w:sz w:val="24"/>
          <w:szCs w:val="24"/>
          <w:highlight w:val="none"/>
        </w:rPr>
        <w:t>质疑联系人：</w:t>
      </w:r>
      <w:r>
        <w:rPr>
          <w:rFonts w:hint="eastAsia" w:ascii="仿宋" w:hAnsi="仿宋" w:eastAsia="仿宋" w:cs="宋体"/>
          <w:color w:val="auto"/>
          <w:spacing w:val="-4"/>
          <w:kern w:val="0"/>
          <w:sz w:val="24"/>
          <w:szCs w:val="24"/>
          <w:highlight w:val="none"/>
          <w:lang w:val="en-US" w:eastAsia="zh-CN"/>
        </w:rPr>
        <w:t>刘德坤</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质疑联系方式：</w:t>
      </w:r>
      <w:bookmarkEnd w:id="33"/>
      <w:bookmarkEnd w:id="34"/>
      <w:r>
        <w:rPr>
          <w:rFonts w:hint="eastAsia" w:ascii="仿宋" w:hAnsi="仿宋" w:eastAsia="仿宋" w:cs="宋体"/>
          <w:color w:val="auto"/>
          <w:spacing w:val="-4"/>
          <w:kern w:val="0"/>
          <w:sz w:val="24"/>
          <w:szCs w:val="24"/>
          <w:highlight w:val="none"/>
        </w:rPr>
        <w:t>0571-56321030</w:t>
      </w:r>
    </w:p>
    <w:p>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3.该项目由采购人处理采购争议。质疑环节，采购人委托采购代理机构处理的，可由采购代理机构答复。对质疑答复不满意的，向采购人内部设置的采购监督机构反映。</w:t>
      </w:r>
    </w:p>
    <w:p>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预算金额未达100万元的采购项目，由采购人处理采购争议。</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p>
    <w:p>
      <w:pPr>
        <w:pStyle w:val="55"/>
        <w:spacing w:line="360" w:lineRule="auto"/>
        <w:ind w:firstLine="480" w:firstLineChars="200"/>
        <w:rPr>
          <w:rFonts w:ascii="仿宋" w:hAnsi="仿宋" w:eastAsia="仿宋" w:cs="仿宋"/>
          <w:color w:val="auto"/>
          <w:highlight w:val="none"/>
        </w:rPr>
      </w:pPr>
      <w:r>
        <w:rPr>
          <w:rFonts w:ascii="仿宋" w:hAnsi="仿宋" w:eastAsia="仿宋" w:cs="仿宋"/>
          <w:color w:val="auto"/>
          <w:highlight w:val="none"/>
        </w:rPr>
        <w:t>若对项目采购电子交易系统操作有疑问，可登录政采云（https://www.zcygov.cn/），点击右侧咨询小采，获取采小蜜智能服务管家帮助，或拨打政采云服务热线95763获取热线服务帮助。 </w:t>
      </w:r>
    </w:p>
    <w:p>
      <w:pPr>
        <w:pStyle w:val="55"/>
        <w:spacing w:line="360" w:lineRule="auto"/>
        <w:ind w:firstLine="480" w:firstLineChars="200"/>
        <w:rPr>
          <w:color w:val="auto"/>
          <w:highlight w:val="none"/>
        </w:rPr>
      </w:pPr>
      <w:r>
        <w:rPr>
          <w:rFonts w:hint="eastAsia" w:ascii="仿宋" w:hAnsi="仿宋" w:eastAsia="仿宋" w:cs="仿宋"/>
          <w:color w:val="auto"/>
          <w:highlight w:val="none"/>
        </w:rPr>
        <w:t>CA问题联系电话（人工）：汇信CA 400-888-4636；天谷CA 400-087-8198。</w:t>
      </w:r>
    </w:p>
    <w:p>
      <w:pPr>
        <w:autoSpaceDN w:val="0"/>
        <w:snapToGrid w:val="0"/>
        <w:spacing w:line="360" w:lineRule="auto"/>
        <w:ind w:firstLine="464" w:firstLineChars="200"/>
        <w:rPr>
          <w:rFonts w:ascii="仿宋" w:hAnsi="仿宋" w:eastAsia="仿宋" w:cs="宋体"/>
          <w:color w:val="auto"/>
          <w:spacing w:val="-4"/>
          <w:kern w:val="0"/>
          <w:sz w:val="24"/>
          <w:szCs w:val="24"/>
          <w:highlight w:val="none"/>
        </w:rPr>
      </w:pPr>
    </w:p>
    <w:p>
      <w:pPr>
        <w:autoSpaceDN w:val="0"/>
        <w:snapToGrid w:val="0"/>
        <w:spacing w:line="360" w:lineRule="auto"/>
        <w:jc w:val="center"/>
        <w:outlineLvl w:val="0"/>
        <w:rPr>
          <w:rFonts w:ascii="仿宋" w:hAnsi="仿宋" w:eastAsia="仿宋" w:cs="宋体"/>
          <w:b/>
          <w:color w:val="auto"/>
          <w:spacing w:val="-4"/>
          <w:kern w:val="0"/>
          <w:sz w:val="32"/>
          <w:szCs w:val="32"/>
          <w:highlight w:val="none"/>
        </w:rPr>
      </w:pPr>
      <w:r>
        <w:rPr>
          <w:rFonts w:hint="eastAsia" w:ascii="仿宋" w:hAnsi="仿宋" w:eastAsia="仿宋" w:cs="宋体"/>
          <w:color w:val="auto"/>
          <w:spacing w:val="-4"/>
          <w:kern w:val="0"/>
          <w:sz w:val="24"/>
          <w:szCs w:val="20"/>
          <w:highlight w:val="none"/>
        </w:rPr>
        <w:br w:type="page"/>
      </w:r>
      <w:bookmarkStart w:id="35" w:name="_Toc32606"/>
      <w:r>
        <w:rPr>
          <w:rFonts w:hint="eastAsia" w:ascii="仿宋" w:hAnsi="仿宋" w:eastAsia="仿宋" w:cs="宋体"/>
          <w:b/>
          <w:color w:val="auto"/>
          <w:spacing w:val="-4"/>
          <w:kern w:val="0"/>
          <w:sz w:val="32"/>
          <w:szCs w:val="32"/>
          <w:highlight w:val="none"/>
        </w:rPr>
        <w:t>第二章 供应商须知</w:t>
      </w:r>
      <w:bookmarkEnd w:id="35"/>
    </w:p>
    <w:p>
      <w:pPr>
        <w:keepNext/>
        <w:keepLines/>
        <w:autoSpaceDN w:val="0"/>
        <w:spacing w:before="260" w:after="260" w:line="415" w:lineRule="auto"/>
        <w:jc w:val="center"/>
        <w:outlineLvl w:val="1"/>
        <w:rPr>
          <w:rFonts w:ascii="Times New Roman" w:hAnsi="仿宋" w:eastAsia="仿宋" w:cs="Times New Roman"/>
          <w:b/>
          <w:bCs/>
          <w:color w:val="auto"/>
          <w:sz w:val="28"/>
          <w:szCs w:val="28"/>
          <w:highlight w:val="none"/>
        </w:rPr>
      </w:pPr>
      <w:bookmarkStart w:id="36" w:name="_Toc3099"/>
      <w:r>
        <w:rPr>
          <w:rFonts w:hint="eastAsia" w:ascii="Times New Roman" w:hAnsi="仿宋" w:eastAsia="仿宋" w:cs="Times New Roman"/>
          <w:b/>
          <w:bCs/>
          <w:color w:val="auto"/>
          <w:sz w:val="28"/>
          <w:szCs w:val="28"/>
          <w:highlight w:val="none"/>
        </w:rPr>
        <w:t>前附表</w:t>
      </w:r>
      <w:bookmarkEnd w:id="36"/>
    </w:p>
    <w:tbl>
      <w:tblPr>
        <w:tblStyle w:val="61"/>
        <w:tblW w:w="5074"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94"/>
        <w:gridCol w:w="2345"/>
        <w:gridCol w:w="60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433"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序号</w:t>
            </w:r>
          </w:p>
        </w:tc>
        <w:tc>
          <w:tcPr>
            <w:tcW w:w="127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名  称</w:t>
            </w:r>
          </w:p>
        </w:tc>
        <w:tc>
          <w:tcPr>
            <w:tcW w:w="3287"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433"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p>
        </w:tc>
        <w:tc>
          <w:tcPr>
            <w:tcW w:w="127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项目名称</w:t>
            </w:r>
          </w:p>
        </w:tc>
        <w:tc>
          <w:tcPr>
            <w:tcW w:w="3287"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left"/>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省拱宸所戒毒法治基地配套项目标一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433"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w:t>
            </w:r>
          </w:p>
        </w:tc>
        <w:tc>
          <w:tcPr>
            <w:tcW w:w="127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项目编号</w:t>
            </w:r>
          </w:p>
        </w:tc>
        <w:tc>
          <w:tcPr>
            <w:tcW w:w="3287"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left"/>
              <w:rPr>
                <w:rFonts w:hint="eastAsia" w:ascii="仿宋" w:hAnsi="仿宋" w:eastAsia="仿宋" w:cs="宋体"/>
                <w:color w:val="auto"/>
                <w:sz w:val="24"/>
                <w:szCs w:val="24"/>
                <w:highlight w:val="none"/>
                <w:lang w:eastAsia="zh-CN"/>
              </w:rPr>
            </w:pPr>
            <w:r>
              <w:rPr>
                <w:rFonts w:hint="eastAsia" w:ascii="仿宋" w:hAnsi="仿宋" w:eastAsia="仿宋" w:cs="仿宋"/>
                <w:bCs/>
                <w:color w:val="auto"/>
                <w:sz w:val="24"/>
                <w:szCs w:val="24"/>
                <w:highlight w:val="none"/>
                <w:lang w:eastAsia="zh-CN"/>
              </w:rPr>
              <w:t>HSZB-2024-329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3" w:hRule="atLeast"/>
          <w:jc w:val="center"/>
        </w:trPr>
        <w:tc>
          <w:tcPr>
            <w:tcW w:w="433"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w:t>
            </w:r>
          </w:p>
        </w:tc>
        <w:tc>
          <w:tcPr>
            <w:tcW w:w="127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采购内容及需求</w:t>
            </w:r>
          </w:p>
        </w:tc>
        <w:tc>
          <w:tcPr>
            <w:tcW w:w="3287"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lang w:eastAsia="zh-CN"/>
              </w:rPr>
              <w:t>省拱宸所戒毒法治基地配套项目标一</w:t>
            </w:r>
            <w:r>
              <w:rPr>
                <w:rFonts w:hint="eastAsia" w:ascii="仿宋" w:hAnsi="仿宋" w:eastAsia="仿宋" w:cs="宋体"/>
                <w:color w:val="auto"/>
                <w:sz w:val="24"/>
                <w:szCs w:val="24"/>
                <w:highlight w:val="none"/>
              </w:rPr>
              <w:t>，工程内容详见第四章采购内容及需求、清单及图纸。</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工期：</w:t>
            </w:r>
            <w:r>
              <w:rPr>
                <w:rFonts w:hint="eastAsia" w:ascii="仿宋" w:hAnsi="仿宋" w:eastAsia="仿宋" w:cs="宋体"/>
                <w:color w:val="auto"/>
                <w:sz w:val="24"/>
                <w:szCs w:val="24"/>
                <w:highlight w:val="none"/>
                <w:u w:val="single"/>
                <w:lang w:val="en-US" w:eastAsia="zh-CN"/>
              </w:rPr>
              <w:t>30</w:t>
            </w:r>
            <w:r>
              <w:rPr>
                <w:rFonts w:hint="eastAsia" w:ascii="仿宋" w:hAnsi="仿宋" w:eastAsia="仿宋" w:cs="宋体"/>
                <w:color w:val="auto"/>
                <w:sz w:val="24"/>
                <w:szCs w:val="24"/>
                <w:highlight w:val="none"/>
                <w:u w:val="single"/>
              </w:rPr>
              <w:t>日历天</w:t>
            </w:r>
            <w:r>
              <w:rPr>
                <w:rFonts w:hint="eastAsia" w:ascii="仿宋" w:hAnsi="仿宋" w:eastAsia="仿宋" w:cs="宋体"/>
                <w:color w:val="auto"/>
                <w:sz w:val="24"/>
                <w:szCs w:val="24"/>
                <w:highlight w:val="none"/>
              </w:rPr>
              <w:t>；</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供应商磋商时可填报不大于</w:t>
            </w:r>
            <w:r>
              <w:rPr>
                <w:rFonts w:hint="eastAsia" w:ascii="仿宋" w:hAnsi="仿宋" w:eastAsia="仿宋" w:cs="宋体"/>
                <w:color w:val="auto"/>
                <w:sz w:val="24"/>
                <w:szCs w:val="24"/>
                <w:highlight w:val="none"/>
                <w:u w:val="single"/>
                <w:lang w:val="en-US" w:eastAsia="zh-CN"/>
              </w:rPr>
              <w:t>30</w:t>
            </w:r>
            <w:r>
              <w:rPr>
                <w:rFonts w:hint="eastAsia" w:ascii="仿宋" w:hAnsi="仿宋" w:eastAsia="仿宋" w:cs="宋体"/>
                <w:color w:val="auto"/>
                <w:sz w:val="24"/>
                <w:szCs w:val="24"/>
                <w:highlight w:val="none"/>
                <w:u w:val="single"/>
              </w:rPr>
              <w:t>日历天</w:t>
            </w:r>
            <w:r>
              <w:rPr>
                <w:rFonts w:hint="eastAsia" w:ascii="仿宋" w:hAnsi="仿宋" w:eastAsia="仿宋" w:cs="宋体"/>
                <w:color w:val="auto"/>
                <w:sz w:val="24"/>
                <w:szCs w:val="24"/>
                <w:highlight w:val="none"/>
              </w:rPr>
              <w:t>的最短合理工期，成交后，该磋商工期将作为合同工期。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1" w:hRule="atLeast"/>
          <w:jc w:val="center"/>
        </w:trPr>
        <w:tc>
          <w:tcPr>
            <w:tcW w:w="433"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w:t>
            </w:r>
          </w:p>
        </w:tc>
        <w:tc>
          <w:tcPr>
            <w:tcW w:w="127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最高限价</w:t>
            </w:r>
          </w:p>
        </w:tc>
        <w:tc>
          <w:tcPr>
            <w:tcW w:w="3287"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u w:val="single"/>
              </w:rPr>
              <w:t>▲</w:t>
            </w:r>
            <w:r>
              <w:rPr>
                <w:rFonts w:hint="eastAsia" w:ascii="仿宋" w:hAnsi="仿宋" w:eastAsia="仿宋" w:cs="宋体"/>
                <w:b/>
                <w:color w:val="auto"/>
                <w:sz w:val="24"/>
                <w:szCs w:val="24"/>
                <w:highlight w:val="none"/>
                <w:u w:val="single"/>
              </w:rPr>
              <w:t>本项目最高限价为人民币501682元，报价如超过最高限价的，其响应文件无效</w:t>
            </w:r>
            <w:r>
              <w:rPr>
                <w:rFonts w:hint="eastAsia" w:ascii="仿宋" w:hAnsi="仿宋" w:eastAsia="仿宋"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3"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5</w:t>
            </w:r>
          </w:p>
        </w:tc>
        <w:tc>
          <w:tcPr>
            <w:tcW w:w="127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采购资金落实情况</w:t>
            </w:r>
          </w:p>
        </w:tc>
        <w:tc>
          <w:tcPr>
            <w:tcW w:w="3287"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已落实（采购计划书：</w:t>
            </w:r>
            <w:r>
              <w:rPr>
                <w:rFonts w:hint="eastAsia" w:ascii="仿宋" w:hAnsi="仿宋" w:eastAsia="仿宋" w:cs="Arial"/>
                <w:color w:val="auto"/>
                <w:sz w:val="24"/>
                <w:szCs w:val="24"/>
                <w:highlight w:val="none"/>
              </w:rPr>
              <w:fldChar w:fldCharType="begin"/>
            </w:r>
            <w:r>
              <w:rPr>
                <w:rFonts w:hint="eastAsia" w:ascii="仿宋" w:hAnsi="仿宋" w:eastAsia="仿宋" w:cs="Arial"/>
                <w:color w:val="auto"/>
                <w:sz w:val="24"/>
                <w:szCs w:val="24"/>
                <w:highlight w:val="none"/>
              </w:rPr>
              <w:instrText xml:space="preserve"> HYPERLINK "https://pay.zcygov.cn/purchaseplan_front/" \l "/plan/list/view?id=1000000000013431323&amp;_app_=zcy.procurement" \t "https://www.zcygov.cn/project-center/_procurement_/purchasePlans/_blank" </w:instrText>
            </w:r>
            <w:r>
              <w:rPr>
                <w:rFonts w:hint="eastAsia" w:ascii="仿宋" w:hAnsi="仿宋" w:eastAsia="仿宋" w:cs="Arial"/>
                <w:color w:val="auto"/>
                <w:sz w:val="24"/>
                <w:szCs w:val="24"/>
                <w:highlight w:val="none"/>
              </w:rPr>
              <w:fldChar w:fldCharType="separate"/>
            </w:r>
            <w:r>
              <w:rPr>
                <w:rFonts w:hint="eastAsia" w:ascii="仿宋" w:hAnsi="仿宋" w:eastAsia="仿宋" w:cs="Arial"/>
                <w:color w:val="auto"/>
                <w:sz w:val="24"/>
                <w:szCs w:val="24"/>
                <w:highlight w:val="none"/>
              </w:rPr>
              <w:t>[2024]15657号</w:t>
            </w:r>
            <w:r>
              <w:rPr>
                <w:rFonts w:hint="eastAsia" w:ascii="仿宋" w:hAnsi="仿宋" w:eastAsia="仿宋" w:cs="Arial"/>
                <w:color w:val="auto"/>
                <w:sz w:val="24"/>
                <w:szCs w:val="24"/>
                <w:highlight w:val="none"/>
              </w:rPr>
              <w:fldChar w:fldCharType="end"/>
            </w:r>
            <w:r>
              <w:rPr>
                <w:rFonts w:hint="eastAsia" w:ascii="仿宋" w:hAnsi="仿宋" w:eastAsia="仿宋" w:cs="Arial"/>
                <w:color w:val="auto"/>
                <w:sz w:val="24"/>
                <w:szCs w:val="24"/>
                <w:highlight w:val="none"/>
                <w:lang w:eastAsia="zh-CN"/>
              </w:rPr>
              <w:t>、</w:t>
            </w:r>
            <w:r>
              <w:rPr>
                <w:rFonts w:hint="eastAsia" w:ascii="仿宋" w:hAnsi="仿宋" w:eastAsia="仿宋" w:cs="Arial"/>
                <w:color w:val="auto"/>
                <w:sz w:val="24"/>
                <w:szCs w:val="24"/>
                <w:highlight w:val="none"/>
                <w:lang w:eastAsia="zh-CN"/>
              </w:rPr>
              <w:fldChar w:fldCharType="begin"/>
            </w:r>
            <w:r>
              <w:rPr>
                <w:rFonts w:hint="eastAsia" w:ascii="仿宋" w:hAnsi="仿宋" w:eastAsia="仿宋" w:cs="Arial"/>
                <w:color w:val="auto"/>
                <w:sz w:val="24"/>
                <w:szCs w:val="24"/>
                <w:highlight w:val="none"/>
                <w:lang w:eastAsia="zh-CN"/>
              </w:rPr>
              <w:instrText xml:space="preserve"> HYPERLINK "https://pay.zcygov.cn/purchaseplan_front/" \l "/plan/list/view?id=1000000000013431322&amp;_app_=zcy.procurement" \t "https://www.zcygov.cn/project-center/_procurement_/purchasePlans/_blank" </w:instrText>
            </w:r>
            <w:r>
              <w:rPr>
                <w:rFonts w:hint="eastAsia" w:ascii="仿宋" w:hAnsi="仿宋" w:eastAsia="仿宋" w:cs="Arial"/>
                <w:color w:val="auto"/>
                <w:sz w:val="24"/>
                <w:szCs w:val="24"/>
                <w:highlight w:val="none"/>
                <w:lang w:eastAsia="zh-CN"/>
              </w:rPr>
              <w:fldChar w:fldCharType="separate"/>
            </w:r>
            <w:r>
              <w:rPr>
                <w:rFonts w:hint="eastAsia" w:ascii="仿宋" w:hAnsi="仿宋" w:eastAsia="仿宋" w:cs="Arial"/>
                <w:color w:val="auto"/>
                <w:sz w:val="24"/>
                <w:szCs w:val="24"/>
                <w:highlight w:val="none"/>
                <w:lang w:eastAsia="zh-CN"/>
              </w:rPr>
              <w:t>[2024]15658号</w:t>
            </w:r>
            <w:r>
              <w:rPr>
                <w:rFonts w:hint="eastAsia" w:ascii="仿宋" w:hAnsi="仿宋" w:eastAsia="仿宋" w:cs="Arial"/>
                <w:color w:val="auto"/>
                <w:sz w:val="24"/>
                <w:szCs w:val="24"/>
                <w:highlight w:val="none"/>
                <w:lang w:eastAsia="zh-CN"/>
              </w:rPr>
              <w:fldChar w:fldCharType="end"/>
            </w:r>
            <w:r>
              <w:rPr>
                <w:rFonts w:hint="eastAsia" w:ascii="仿宋" w:hAnsi="仿宋" w:eastAsia="仿宋" w:cs="Arial"/>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3"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6</w:t>
            </w:r>
          </w:p>
        </w:tc>
        <w:tc>
          <w:tcPr>
            <w:tcW w:w="127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Arial"/>
                <w:color w:val="auto"/>
                <w:sz w:val="24"/>
                <w:szCs w:val="24"/>
                <w:highlight w:val="none"/>
              </w:rPr>
              <w:t>采购人</w:t>
            </w:r>
          </w:p>
        </w:tc>
        <w:tc>
          <w:tcPr>
            <w:tcW w:w="3287"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hint="eastAsia" w:ascii="仿宋" w:hAnsi="仿宋" w:eastAsia="仿宋" w:cs="Arial"/>
                <w:color w:val="auto"/>
                <w:sz w:val="24"/>
                <w:szCs w:val="24"/>
                <w:highlight w:val="none"/>
                <w:lang w:eastAsia="zh-CN"/>
              </w:rPr>
            </w:pPr>
            <w:r>
              <w:rPr>
                <w:rFonts w:hint="eastAsia" w:ascii="仿宋" w:hAnsi="仿宋" w:eastAsia="仿宋" w:cs="Arial"/>
                <w:color w:val="auto"/>
                <w:sz w:val="24"/>
                <w:szCs w:val="24"/>
                <w:highlight w:val="none"/>
              </w:rPr>
              <w:t>单位名称：</w:t>
            </w:r>
            <w:r>
              <w:rPr>
                <w:rFonts w:hint="eastAsia" w:ascii="仿宋" w:hAnsi="仿宋" w:eastAsia="仿宋" w:cs="Arial"/>
                <w:color w:val="auto"/>
                <w:sz w:val="24"/>
                <w:szCs w:val="24"/>
                <w:highlight w:val="none"/>
                <w:lang w:eastAsia="zh-CN"/>
              </w:rPr>
              <w:t>浙江省拱宸强制隔离戒毒所</w:t>
            </w:r>
          </w:p>
          <w:p>
            <w:pPr>
              <w:autoSpaceDN w:val="0"/>
              <w:snapToGrid w:val="0"/>
              <w:spacing w:line="276" w:lineRule="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地址：</w:t>
            </w:r>
            <w:r>
              <w:rPr>
                <w:rFonts w:hint="eastAsia" w:ascii="仿宋" w:hAnsi="仿宋" w:eastAsia="仿宋" w:cs="Arial"/>
                <w:color w:val="auto"/>
                <w:sz w:val="24"/>
                <w:szCs w:val="24"/>
                <w:highlight w:val="none"/>
                <w:lang w:val="en-US" w:eastAsia="zh-CN"/>
              </w:rPr>
              <w:t>杭州市拱墅区莫干山路1411号</w:t>
            </w:r>
          </w:p>
          <w:p>
            <w:pPr>
              <w:autoSpaceDN w:val="0"/>
              <w:snapToGrid w:val="0"/>
              <w:spacing w:line="276" w:lineRule="auto"/>
              <w:rPr>
                <w:rFonts w:ascii="仿宋" w:hAnsi="仿宋" w:eastAsia="仿宋" w:cs="宋体"/>
                <w:color w:val="auto"/>
                <w:sz w:val="24"/>
                <w:szCs w:val="24"/>
                <w:highlight w:val="none"/>
                <w:u w:val="single"/>
              </w:rPr>
            </w:pPr>
            <w:r>
              <w:rPr>
                <w:rFonts w:hint="eastAsia" w:ascii="仿宋" w:hAnsi="仿宋" w:eastAsia="仿宋" w:cs="Arial"/>
                <w:color w:val="auto"/>
                <w:sz w:val="24"/>
                <w:szCs w:val="24"/>
                <w:highlight w:val="none"/>
              </w:rPr>
              <w:t>联系人：</w:t>
            </w:r>
            <w:r>
              <w:rPr>
                <w:rFonts w:hint="eastAsia" w:ascii="仿宋" w:hAnsi="仿宋" w:eastAsia="仿宋" w:cs="Arial"/>
                <w:color w:val="auto"/>
                <w:sz w:val="24"/>
                <w:szCs w:val="24"/>
                <w:highlight w:val="none"/>
                <w:lang w:val="en-US" w:eastAsia="zh-CN"/>
              </w:rPr>
              <w:t>郭警官</w:t>
            </w:r>
            <w:r>
              <w:rPr>
                <w:rFonts w:hint="eastAsia" w:ascii="仿宋" w:hAnsi="仿宋" w:eastAsia="仿宋" w:cs="Arial"/>
                <w:color w:val="auto"/>
                <w:sz w:val="24"/>
                <w:szCs w:val="24"/>
                <w:highlight w:val="none"/>
              </w:rPr>
              <w:t xml:space="preserve">     联系电话：</w:t>
            </w:r>
            <w:r>
              <w:rPr>
                <w:rFonts w:hint="eastAsia" w:ascii="仿宋" w:hAnsi="仿宋" w:eastAsia="仿宋" w:cs="Arial"/>
                <w:color w:val="auto"/>
                <w:sz w:val="24"/>
                <w:szCs w:val="24"/>
                <w:highlight w:val="none"/>
                <w:lang w:val="en-US" w:eastAsia="zh-CN"/>
              </w:rPr>
              <w:t>0571-89915213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3"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7</w:t>
            </w:r>
          </w:p>
        </w:tc>
        <w:tc>
          <w:tcPr>
            <w:tcW w:w="127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采购代理机构</w:t>
            </w:r>
          </w:p>
        </w:tc>
        <w:tc>
          <w:tcPr>
            <w:tcW w:w="3287"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浙江豪圣建设项目管理有限公司</w:t>
            </w:r>
          </w:p>
          <w:p>
            <w:pPr>
              <w:autoSpaceDN w:val="0"/>
              <w:snapToGrid w:val="0"/>
              <w:spacing w:line="276" w:lineRule="auto"/>
              <w:rPr>
                <w:rFonts w:hint="default" w:ascii="仿宋" w:hAnsi="仿宋" w:eastAsia="仿宋" w:cs="Arial"/>
                <w:color w:val="auto"/>
                <w:sz w:val="24"/>
                <w:szCs w:val="24"/>
                <w:highlight w:val="none"/>
                <w:lang w:val="en-US" w:eastAsia="zh-CN"/>
              </w:rPr>
            </w:pPr>
            <w:r>
              <w:rPr>
                <w:rFonts w:hint="eastAsia" w:ascii="仿宋" w:hAnsi="仿宋" w:eastAsia="仿宋" w:cs="Arial"/>
                <w:color w:val="auto"/>
                <w:sz w:val="24"/>
                <w:szCs w:val="24"/>
                <w:highlight w:val="none"/>
              </w:rPr>
              <w:t>联系人：陈梦菲</w:t>
            </w:r>
            <w:r>
              <w:rPr>
                <w:rFonts w:hint="eastAsia" w:ascii="仿宋" w:hAnsi="仿宋" w:eastAsia="仿宋" w:cs="Arial"/>
                <w:color w:val="auto"/>
                <w:sz w:val="24"/>
                <w:szCs w:val="24"/>
                <w:highlight w:val="none"/>
                <w:lang w:eastAsia="zh-CN"/>
              </w:rPr>
              <w:t>、</w:t>
            </w:r>
            <w:r>
              <w:rPr>
                <w:rFonts w:hint="eastAsia" w:ascii="仿宋" w:hAnsi="仿宋" w:eastAsia="仿宋" w:cs="Arial"/>
                <w:color w:val="auto"/>
                <w:sz w:val="24"/>
                <w:szCs w:val="24"/>
                <w:highlight w:val="none"/>
                <w:lang w:val="en-US" w:eastAsia="zh-CN"/>
              </w:rPr>
              <w:t>曹剑斌、陈敏娇</w:t>
            </w:r>
          </w:p>
          <w:p>
            <w:pPr>
              <w:autoSpaceDN w:val="0"/>
              <w:snapToGrid w:val="0"/>
              <w:spacing w:line="276" w:lineRule="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联系电话：0571-87981527</w:t>
            </w:r>
          </w:p>
          <w:p>
            <w:pPr>
              <w:autoSpaceDE w:val="0"/>
              <w:autoSpaceDN w:val="0"/>
              <w:snapToGrid w:val="0"/>
              <w:spacing w:line="276" w:lineRule="auto"/>
              <w:jc w:val="left"/>
              <w:rPr>
                <w:rFonts w:ascii="仿宋" w:hAnsi="仿宋" w:eastAsia="仿宋" w:cs="Arial"/>
                <w:b/>
                <w:bCs/>
                <w:color w:val="auto"/>
                <w:sz w:val="24"/>
                <w:szCs w:val="24"/>
                <w:highlight w:val="none"/>
              </w:rPr>
            </w:pPr>
            <w:r>
              <w:rPr>
                <w:rFonts w:hint="eastAsia" w:ascii="仿宋" w:hAnsi="仿宋" w:eastAsia="仿宋" w:cs="Arial"/>
                <w:color w:val="auto"/>
                <w:sz w:val="24"/>
                <w:szCs w:val="24"/>
                <w:highlight w:val="none"/>
              </w:rPr>
              <w:t>电子邮箱：787629918@qq.com</w:t>
            </w:r>
          </w:p>
          <w:p>
            <w:pPr>
              <w:autoSpaceDE w:val="0"/>
              <w:autoSpaceDN w:val="0"/>
              <w:snapToGrid w:val="0"/>
              <w:spacing w:line="276" w:lineRule="auto"/>
              <w:jc w:val="left"/>
              <w:rPr>
                <w:rFonts w:ascii="仿宋" w:hAnsi="仿宋" w:eastAsia="仿宋" w:cs="..ì."/>
                <w:color w:val="auto"/>
                <w:sz w:val="24"/>
                <w:szCs w:val="24"/>
                <w:highlight w:val="none"/>
              </w:rPr>
            </w:pPr>
            <w:r>
              <w:rPr>
                <w:rFonts w:hint="eastAsia" w:ascii="仿宋" w:hAnsi="仿宋" w:eastAsia="仿宋" w:cs="Arial"/>
                <w:color w:val="auto"/>
                <w:sz w:val="24"/>
                <w:szCs w:val="24"/>
                <w:highlight w:val="none"/>
              </w:rPr>
              <w:t>地址：</w:t>
            </w:r>
            <w:r>
              <w:rPr>
                <w:rFonts w:hint="eastAsia" w:ascii="仿宋" w:hAnsi="仿宋" w:eastAsia="仿宋" w:cs="宋体"/>
                <w:color w:val="auto"/>
                <w:sz w:val="24"/>
                <w:szCs w:val="24"/>
                <w:highlight w:val="none"/>
              </w:rPr>
              <w:t>杭州市拱墅区大关路179号远洋国际中心A座17楼1706室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3"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8</w:t>
            </w:r>
          </w:p>
        </w:tc>
        <w:tc>
          <w:tcPr>
            <w:tcW w:w="127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公告媒体</w:t>
            </w:r>
          </w:p>
        </w:tc>
        <w:tc>
          <w:tcPr>
            <w:tcW w:w="3287"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浙江政府采购网（</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Fonts w:hint="eastAsia" w:ascii="仿宋" w:hAnsi="仿宋" w:eastAsia="仿宋" w:cs="宋体"/>
                <w:color w:val="auto"/>
                <w:sz w:val="24"/>
                <w:szCs w:val="24"/>
                <w:highlight w:val="none"/>
                <w:u w:val="single"/>
              </w:rPr>
              <w:t>http://zfcg.czt.zj.gov.cn</w:t>
            </w:r>
            <w:r>
              <w:rPr>
                <w:rFonts w:hint="eastAsia" w:ascii="仿宋" w:hAnsi="仿宋" w:eastAsia="仿宋" w:cs="宋体"/>
                <w:color w:val="auto"/>
                <w:sz w:val="24"/>
                <w:szCs w:val="24"/>
                <w:highlight w:val="none"/>
                <w:u w:val="single"/>
              </w:rPr>
              <w:fldChar w:fldCharType="end"/>
            </w:r>
            <w:r>
              <w:rPr>
                <w:rFonts w:hint="eastAsia" w:ascii="仿宋" w:hAnsi="仿宋" w:eastAsia="仿宋"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3"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9</w:t>
            </w:r>
          </w:p>
        </w:tc>
        <w:tc>
          <w:tcPr>
            <w:tcW w:w="127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Arial"/>
                <w:color w:val="auto"/>
                <w:sz w:val="24"/>
                <w:szCs w:val="24"/>
                <w:highlight w:val="none"/>
              </w:rPr>
              <w:t>交易方式</w:t>
            </w:r>
          </w:p>
        </w:tc>
        <w:tc>
          <w:tcPr>
            <w:tcW w:w="3287"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Arial"/>
                <w:b/>
                <w:color w:val="auto"/>
                <w:sz w:val="24"/>
                <w:szCs w:val="24"/>
                <w:highlight w:val="none"/>
              </w:rPr>
              <w:t>电子交易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3"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10</w:t>
            </w:r>
          </w:p>
        </w:tc>
        <w:tc>
          <w:tcPr>
            <w:tcW w:w="127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电子交易平台</w:t>
            </w:r>
          </w:p>
        </w:tc>
        <w:tc>
          <w:tcPr>
            <w:tcW w:w="3287"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政府采购云平台（</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Fonts w:hint="eastAsia" w:ascii="仿宋" w:hAnsi="仿宋" w:eastAsia="仿宋" w:cs="宋体"/>
                <w:color w:val="auto"/>
                <w:sz w:val="24"/>
                <w:szCs w:val="24"/>
                <w:highlight w:val="none"/>
                <w:u w:val="single"/>
              </w:rPr>
              <w:t>www.zcygov.cn</w:t>
            </w:r>
            <w:r>
              <w:rPr>
                <w:rFonts w:hint="eastAsia" w:ascii="仿宋" w:hAnsi="仿宋" w:eastAsia="仿宋" w:cs="宋体"/>
                <w:color w:val="auto"/>
                <w:sz w:val="24"/>
                <w:szCs w:val="24"/>
                <w:highlight w:val="none"/>
                <w:u w:val="single"/>
              </w:rPr>
              <w:fldChar w:fldCharType="end"/>
            </w:r>
            <w:r>
              <w:rPr>
                <w:rFonts w:hint="eastAsia" w:ascii="仿宋" w:hAnsi="仿宋" w:eastAsia="仿宋"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3"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11</w:t>
            </w:r>
          </w:p>
        </w:tc>
        <w:tc>
          <w:tcPr>
            <w:tcW w:w="127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是否专门面向</w:t>
            </w:r>
          </w:p>
          <w:p>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中小企业采购</w:t>
            </w:r>
          </w:p>
        </w:tc>
        <w:tc>
          <w:tcPr>
            <w:tcW w:w="3287" w:type="pct"/>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val="0"/>
              <w:spacing w:line="276" w:lineRule="auto"/>
              <w:jc w:val="left"/>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lang w:bidi="ar"/>
              </w:rPr>
              <w:t>（1）本次采购为专门面向中小企业的采购项目；</w:t>
            </w:r>
          </w:p>
          <w:p>
            <w:pPr>
              <w:widowControl/>
              <w:autoSpaceDE w:val="0"/>
              <w:autoSpaceDN w:val="0"/>
              <w:snapToGrid w:val="0"/>
              <w:spacing w:line="276" w:lineRule="auto"/>
              <w:jc w:val="left"/>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lang w:bidi="ar"/>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widowControl/>
              <w:autoSpaceDE w:val="0"/>
              <w:autoSpaceDN w:val="0"/>
              <w:snapToGrid w:val="0"/>
              <w:spacing w:line="276" w:lineRule="auto"/>
              <w:jc w:val="left"/>
              <w:textAlignment w:val="bottom"/>
              <w:rPr>
                <w:rFonts w:ascii="仿宋" w:hAnsi="仿宋" w:eastAsia="仿宋" w:cs="宋体"/>
                <w:color w:val="auto"/>
                <w:sz w:val="24"/>
                <w:szCs w:val="24"/>
                <w:highlight w:val="none"/>
                <w:u w:val="single"/>
                <w:lang w:bidi="ar"/>
              </w:rPr>
            </w:pPr>
            <w:r>
              <w:rPr>
                <w:rFonts w:hint="eastAsia" w:ascii="仿宋" w:hAnsi="仿宋" w:eastAsia="仿宋" w:cs="宋体"/>
                <w:color w:val="auto"/>
                <w:sz w:val="24"/>
                <w:szCs w:val="24"/>
                <w:highlight w:val="none"/>
                <w:lang w:bidi="ar"/>
              </w:rPr>
              <w:t>（3）本次采购标的为</w:t>
            </w:r>
            <w:r>
              <w:rPr>
                <w:rFonts w:hint="eastAsia" w:ascii="仿宋" w:hAnsi="仿宋" w:eastAsia="仿宋" w:cs="宋体"/>
                <w:b/>
                <w:bCs/>
                <w:color w:val="auto"/>
                <w:sz w:val="24"/>
                <w:szCs w:val="24"/>
                <w:highlight w:val="none"/>
                <w:u w:val="single"/>
                <w:lang w:eastAsia="zh-CN" w:bidi="ar"/>
              </w:rPr>
              <w:t>省拱宸所戒毒法治基地配套项目标一</w:t>
            </w:r>
            <w:r>
              <w:rPr>
                <w:rFonts w:hint="eastAsia" w:ascii="仿宋" w:hAnsi="仿宋" w:eastAsia="仿宋" w:cs="宋体"/>
                <w:color w:val="auto"/>
                <w:sz w:val="24"/>
                <w:szCs w:val="24"/>
                <w:highlight w:val="none"/>
                <w:lang w:bidi="ar"/>
              </w:rPr>
              <w:t>，对应的中小企业划分标准所属行业是：</w:t>
            </w:r>
            <w:r>
              <w:rPr>
                <w:rFonts w:hint="eastAsia" w:ascii="仿宋" w:hAnsi="仿宋" w:eastAsia="仿宋" w:cs="宋体"/>
                <w:b/>
                <w:bCs/>
                <w:color w:val="auto"/>
                <w:sz w:val="24"/>
                <w:szCs w:val="24"/>
                <w:highlight w:val="none"/>
                <w:u w:val="single"/>
                <w:lang w:bidi="ar"/>
              </w:rPr>
              <w:t>建筑业</w:t>
            </w:r>
            <w:r>
              <w:rPr>
                <w:rFonts w:hint="eastAsia" w:ascii="仿宋" w:hAnsi="仿宋" w:eastAsia="仿宋" w:cs="宋体"/>
                <w:color w:val="auto"/>
                <w:sz w:val="24"/>
                <w:szCs w:val="24"/>
                <w:highlight w:val="none"/>
                <w:lang w:bidi="ar"/>
              </w:rPr>
              <w:t>；</w:t>
            </w:r>
          </w:p>
          <w:p>
            <w:pPr>
              <w:widowControl/>
              <w:autoSpaceDE w:val="0"/>
              <w:autoSpaceDN w:val="0"/>
              <w:snapToGrid w:val="0"/>
              <w:spacing w:line="276" w:lineRule="auto"/>
              <w:jc w:val="left"/>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标准：</w:t>
            </w:r>
            <w:r>
              <w:rPr>
                <w:rFonts w:hint="eastAsia" w:ascii="仿宋" w:hAnsi="仿宋" w:eastAsia="仿宋" w:cs="宋体"/>
                <w:color w:val="auto"/>
                <w:sz w:val="24"/>
                <w:szCs w:val="24"/>
                <w:highlight w:val="none"/>
                <w:u w:val="single"/>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仿宋" w:hAnsi="仿宋" w:eastAsia="仿宋" w:cs="宋体"/>
                <w:color w:val="auto"/>
                <w:sz w:val="24"/>
                <w:szCs w:val="24"/>
                <w:highlight w:val="none"/>
              </w:rPr>
              <w:t>。</w:t>
            </w:r>
          </w:p>
          <w:p>
            <w:pPr>
              <w:widowControl/>
              <w:autoSpaceDE w:val="0"/>
              <w:autoSpaceDN w:val="0"/>
              <w:snapToGrid w:val="0"/>
              <w:spacing w:line="276" w:lineRule="auto"/>
              <w:jc w:val="left"/>
              <w:textAlignment w:val="bottom"/>
              <w:rPr>
                <w:rFonts w:ascii="仿宋" w:hAnsi="仿宋" w:eastAsia="仿宋" w:cs="宋体"/>
                <w:color w:val="auto"/>
                <w:sz w:val="24"/>
                <w:szCs w:val="24"/>
                <w:highlight w:val="none"/>
                <w:lang w:bidi="ar"/>
              </w:rPr>
            </w:pPr>
            <w:r>
              <w:rPr>
                <w:rFonts w:hint="eastAsia" w:ascii="仿宋" w:hAnsi="仿宋" w:eastAsia="仿宋" w:cs="宋体"/>
                <w:color w:val="auto"/>
                <w:sz w:val="24"/>
                <w:szCs w:val="24"/>
                <w:highlight w:val="none"/>
                <w:lang w:bidi="ar"/>
              </w:rPr>
              <w:t>（4）</w:t>
            </w:r>
            <w:r>
              <w:rPr>
                <w:rFonts w:hint="eastAsia" w:ascii="仿宋" w:hAnsi="仿宋" w:eastAsia="仿宋" w:cs="宋体"/>
                <w:color w:val="auto"/>
                <w:kern w:val="0"/>
                <w:sz w:val="24"/>
                <w:szCs w:val="24"/>
                <w:highlight w:val="none"/>
              </w:rPr>
              <w:t>以联合体形式参加政府采购活动，联合体各方均为中小企业的，联合体视同中小企业</w:t>
            </w:r>
            <w:r>
              <w:rPr>
                <w:rFonts w:hint="eastAsia" w:ascii="仿宋" w:hAnsi="仿宋" w:eastAsia="仿宋" w:cs="宋体"/>
                <w:color w:val="auto"/>
                <w:sz w:val="24"/>
                <w:szCs w:val="24"/>
                <w:highlight w:val="none"/>
                <w:lang w:bidi="ar"/>
              </w:rPr>
              <w:t>；</w:t>
            </w:r>
          </w:p>
          <w:p>
            <w:pPr>
              <w:widowControl/>
              <w:autoSpaceDE w:val="0"/>
              <w:autoSpaceDN w:val="0"/>
              <w:snapToGrid w:val="0"/>
              <w:spacing w:line="276" w:lineRule="auto"/>
              <w:jc w:val="left"/>
              <w:textAlignment w:val="bottom"/>
              <w:rPr>
                <w:rFonts w:ascii="仿宋" w:hAnsi="仿宋" w:eastAsia="仿宋" w:cs="宋体"/>
                <w:color w:val="auto"/>
                <w:kern w:val="0"/>
                <w:sz w:val="24"/>
                <w:szCs w:val="24"/>
                <w:highlight w:val="none"/>
              </w:rPr>
            </w:pPr>
            <w:r>
              <w:rPr>
                <w:rFonts w:hint="eastAsia" w:ascii="仿宋" w:hAnsi="仿宋" w:eastAsia="仿宋" w:cs="宋体"/>
                <w:color w:val="auto"/>
                <w:sz w:val="24"/>
                <w:szCs w:val="24"/>
                <w:highlight w:val="none"/>
                <w:lang w:bidi="ar"/>
              </w:rPr>
              <w:t>（5）</w:t>
            </w:r>
            <w:r>
              <w:rPr>
                <w:rFonts w:hint="eastAsia" w:ascii="仿宋" w:hAnsi="仿宋" w:eastAsia="仿宋" w:cs="宋体"/>
                <w:color w:val="auto"/>
                <w:kern w:val="0"/>
                <w:sz w:val="24"/>
                <w:szCs w:val="24"/>
                <w:highlight w:val="none"/>
              </w:rPr>
              <w:t>符合中小企业划分标准的个体工商户，视同中小企业；</w:t>
            </w:r>
          </w:p>
          <w:p>
            <w:pPr>
              <w:widowControl/>
              <w:autoSpaceDE w:val="0"/>
              <w:autoSpaceDN w:val="0"/>
              <w:snapToGrid w:val="0"/>
              <w:spacing w:line="276" w:lineRule="auto"/>
              <w:jc w:val="left"/>
              <w:textAlignment w:val="bottom"/>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（6）本次采购的工程要求全部由中小企业承建；</w:t>
            </w:r>
          </w:p>
          <w:p>
            <w:pPr>
              <w:autoSpaceDE w:val="0"/>
              <w:autoSpaceDN w:val="0"/>
              <w:snapToGrid w:val="0"/>
              <w:spacing w:line="276" w:lineRule="auto"/>
              <w:textAlignment w:val="bottom"/>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（7）承接的工程由中小企业承建（包括联合体内的中小企业和接受分包的中小企业）的，供应商应当出具《中小企业声明函》；</w:t>
            </w:r>
          </w:p>
          <w:p>
            <w:pPr>
              <w:autoSpaceDE w:val="0"/>
              <w:autoSpaceDN w:val="0"/>
              <w:snapToGrid w:val="0"/>
              <w:spacing w:line="276" w:lineRule="auto"/>
              <w:textAlignment w:val="bottom"/>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（8）残疾人福利性单位视同小微企业。残疾人福利性单位参加政府采购活动时，应当提供《残疾人福利性单位声明函》；</w:t>
            </w:r>
          </w:p>
          <w:p>
            <w:pPr>
              <w:autoSpaceDN w:val="0"/>
              <w:snapToGrid w:val="0"/>
              <w:spacing w:line="276" w:lineRule="auto"/>
              <w:rPr>
                <w:rFonts w:ascii="仿宋" w:hAnsi="仿宋" w:eastAsia="仿宋" w:cs="Arial"/>
                <w:b/>
                <w:color w:val="auto"/>
                <w:sz w:val="24"/>
                <w:szCs w:val="24"/>
                <w:highlight w:val="none"/>
              </w:rPr>
            </w:pPr>
            <w:r>
              <w:rPr>
                <w:rFonts w:hint="eastAsia" w:ascii="仿宋" w:hAnsi="仿宋" w:eastAsia="仿宋" w:cs="宋体"/>
                <w:color w:val="auto"/>
                <w:kern w:val="0"/>
                <w:sz w:val="24"/>
                <w:szCs w:val="24"/>
                <w:highlight w:val="none"/>
              </w:rPr>
              <w:t>（9）监狱企业视同小微企业。监狱企业参加政府采购活动时，应当出具省级以上监狱管理局、戒毒管理局（含新疆生产建设兵团）提供的属于监狱企业的证明文件。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3"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12</w:t>
            </w:r>
          </w:p>
        </w:tc>
        <w:tc>
          <w:tcPr>
            <w:tcW w:w="127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采购方式</w:t>
            </w:r>
          </w:p>
        </w:tc>
        <w:tc>
          <w:tcPr>
            <w:tcW w:w="3287"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Arial"/>
                <w:color w:val="auto"/>
                <w:sz w:val="24"/>
                <w:szCs w:val="24"/>
                <w:highlight w:val="none"/>
              </w:rPr>
            </w:pPr>
            <w:r>
              <w:rPr>
                <w:rFonts w:hint="eastAsia" w:ascii="仿宋" w:hAnsi="仿宋" w:eastAsia="仿宋" w:cs="Arial"/>
                <w:color w:val="auto"/>
                <w:kern w:val="0"/>
                <w:sz w:val="24"/>
                <w:szCs w:val="24"/>
                <w:highlight w:val="none"/>
              </w:rPr>
              <w:t>公告形式邀请（发布竞争性磋商公告后登记确定）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3"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13</w:t>
            </w:r>
          </w:p>
        </w:tc>
        <w:tc>
          <w:tcPr>
            <w:tcW w:w="127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Arial"/>
                <w:color w:val="auto"/>
                <w:sz w:val="24"/>
                <w:szCs w:val="24"/>
                <w:highlight w:val="none"/>
              </w:rPr>
              <w:t>转包</w:t>
            </w:r>
          </w:p>
        </w:tc>
        <w:tc>
          <w:tcPr>
            <w:tcW w:w="3287"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Arial"/>
                <w:color w:val="auto"/>
                <w:sz w:val="24"/>
                <w:szCs w:val="24"/>
                <w:highlight w:val="none"/>
              </w:rPr>
              <w:t>本项目不允许转包。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3"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14</w:t>
            </w:r>
          </w:p>
        </w:tc>
        <w:tc>
          <w:tcPr>
            <w:tcW w:w="127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分包</w:t>
            </w:r>
          </w:p>
        </w:tc>
        <w:tc>
          <w:tcPr>
            <w:tcW w:w="3287"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允许分包，分包内容要求：</w:t>
            </w:r>
            <w:r>
              <w:rPr>
                <w:rFonts w:hint="eastAsia" w:ascii="仿宋" w:hAnsi="仿宋" w:eastAsia="仿宋" w:cs="仿宋_GB2312"/>
                <w:b/>
                <w:bCs/>
                <w:color w:val="auto"/>
                <w:sz w:val="24"/>
                <w:highlight w:val="none"/>
                <w:u w:val="single"/>
              </w:rPr>
              <w:t>物资运输、搬运工程</w:t>
            </w:r>
            <w:r>
              <w:rPr>
                <w:rFonts w:hint="eastAsia" w:ascii="仿宋" w:hAnsi="仿宋" w:eastAsia="仿宋" w:cs="Arial"/>
                <w:b/>
                <w:color w:val="auto"/>
                <w:sz w:val="24"/>
                <w:szCs w:val="24"/>
                <w:highlight w:val="none"/>
              </w:rPr>
              <w:t>。供应商根据磋商文件的规定和项目的实际情况，拟在成交后将成交项目的非主体、非关键性工作分包的，应当在响应文件中载明分包承担主体，分包承担主体应当具备相应资质条件且不得再次分包。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433"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15</w:t>
            </w:r>
          </w:p>
        </w:tc>
        <w:tc>
          <w:tcPr>
            <w:tcW w:w="127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样品</w:t>
            </w:r>
          </w:p>
        </w:tc>
        <w:tc>
          <w:tcPr>
            <w:tcW w:w="3287"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pacing w:val="-4"/>
                <w:kern w:val="0"/>
                <w:sz w:val="24"/>
                <w:szCs w:val="24"/>
                <w:highlight w:val="none"/>
              </w:rPr>
            </w:pPr>
            <w:r>
              <w:rPr>
                <w:rFonts w:hint="eastAsia" w:ascii="仿宋" w:hAnsi="仿宋" w:eastAsia="仿宋" w:cs="宋体"/>
                <w:color w:val="auto"/>
                <w:sz w:val="24"/>
                <w:szCs w:val="24"/>
                <w:highlight w:val="none"/>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433" w:type="pct"/>
            <w:tcBorders>
              <w:top w:val="single" w:color="auto" w:sz="4" w:space="0"/>
              <w:left w:val="single" w:color="auto" w:sz="4" w:space="0"/>
              <w:bottom w:val="single" w:color="auto" w:sz="4" w:space="0"/>
              <w:right w:val="single" w:color="auto" w:sz="4" w:space="0"/>
            </w:tcBorders>
            <w:vAlign w:val="bottom"/>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16</w:t>
            </w:r>
          </w:p>
        </w:tc>
        <w:tc>
          <w:tcPr>
            <w:tcW w:w="127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演示</w:t>
            </w:r>
          </w:p>
        </w:tc>
        <w:tc>
          <w:tcPr>
            <w:tcW w:w="3287"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33"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17</w:t>
            </w:r>
          </w:p>
        </w:tc>
        <w:tc>
          <w:tcPr>
            <w:tcW w:w="127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Arial"/>
                <w:color w:val="auto"/>
                <w:sz w:val="24"/>
                <w:szCs w:val="24"/>
                <w:highlight w:val="none"/>
              </w:rPr>
              <w:t>现场勘查</w:t>
            </w:r>
          </w:p>
        </w:tc>
        <w:tc>
          <w:tcPr>
            <w:tcW w:w="3287"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sym w:font="Wingdings" w:char="F0FE"/>
            </w:r>
            <w:r>
              <w:rPr>
                <w:rFonts w:hint="eastAsia" w:ascii="仿宋" w:hAnsi="仿宋" w:eastAsia="仿宋" w:cs="仿宋"/>
                <w:b/>
                <w:bCs/>
                <w:color w:val="auto"/>
                <w:sz w:val="24"/>
                <w:szCs w:val="24"/>
                <w:highlight w:val="none"/>
              </w:rPr>
              <w:t>自行踏勘</w:t>
            </w:r>
          </w:p>
          <w:p>
            <w:pPr>
              <w:autoSpaceDN w:val="0"/>
              <w:snapToGrid w:val="0"/>
              <w:spacing w:line="276"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F06F"/>
            </w:r>
            <w:r>
              <w:rPr>
                <w:rFonts w:hint="eastAsia" w:ascii="仿宋" w:hAnsi="仿宋" w:eastAsia="仿宋" w:cs="仿宋"/>
                <w:color w:val="auto"/>
                <w:sz w:val="24"/>
                <w:szCs w:val="24"/>
                <w:highlight w:val="none"/>
              </w:rPr>
              <w:t>集中踏勘</w:t>
            </w:r>
          </w:p>
          <w:p>
            <w:pPr>
              <w:autoSpaceDN w:val="0"/>
              <w:snapToGrid w:val="0"/>
              <w:spacing w:line="276" w:lineRule="auto"/>
              <w:jc w:val="left"/>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供应商</w:t>
            </w:r>
            <w:r>
              <w:rPr>
                <w:rFonts w:hint="eastAsia" w:ascii="仿宋" w:hAnsi="仿宋" w:eastAsia="仿宋" w:cs="仿宋"/>
                <w:b/>
                <w:color w:val="auto"/>
                <w:sz w:val="24"/>
                <w:szCs w:val="24"/>
                <w:highlight w:val="none"/>
              </w:rPr>
              <w:t>自行现场踏勘</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踏勘期间发生的费用或意外导致伤亡等一切责任和损失均由供应商自行承担。</w:t>
            </w:r>
          </w:p>
          <w:p>
            <w:pPr>
              <w:autoSpaceDN w:val="0"/>
              <w:adjustRightInd w:val="0"/>
              <w:snapToGrid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踏勘联系人：</w:t>
            </w:r>
            <w:r>
              <w:rPr>
                <w:rFonts w:hint="eastAsia" w:ascii="仿宋" w:hAnsi="仿宋" w:eastAsia="仿宋" w:cs="仿宋"/>
                <w:b w:val="0"/>
                <w:bCs/>
                <w:color w:val="auto"/>
                <w:sz w:val="24"/>
                <w:szCs w:val="24"/>
                <w:highlight w:val="none"/>
                <w:lang w:val="en-US" w:eastAsia="zh-CN"/>
              </w:rPr>
              <w:t>朱警官</w:t>
            </w:r>
            <w:r>
              <w:rPr>
                <w:rFonts w:hint="eastAsia" w:ascii="仿宋" w:hAnsi="仿宋" w:eastAsia="仿宋" w:cs="仿宋"/>
                <w:b/>
                <w:color w:val="auto"/>
                <w:sz w:val="24"/>
                <w:szCs w:val="24"/>
                <w:highlight w:val="none"/>
                <w:lang w:val="en-US" w:eastAsia="zh-CN"/>
              </w:rPr>
              <w:t xml:space="preserve"> 联系电话：</w:t>
            </w:r>
            <w:r>
              <w:rPr>
                <w:rFonts w:hint="eastAsia" w:ascii="仿宋" w:hAnsi="仿宋" w:eastAsia="仿宋" w:cs="仿宋"/>
                <w:color w:val="auto"/>
                <w:highlight w:val="none"/>
              </w:rPr>
              <w:t>17306713332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3"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18</w:t>
            </w:r>
          </w:p>
        </w:tc>
        <w:tc>
          <w:tcPr>
            <w:tcW w:w="127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采购文件澄清</w:t>
            </w:r>
          </w:p>
        </w:tc>
        <w:tc>
          <w:tcPr>
            <w:tcW w:w="3287"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供应商如认为采购文件表述不清晰、前后矛盾等内容的，应当在响应文件递交截止日</w:t>
            </w:r>
            <w:r>
              <w:rPr>
                <w:rFonts w:hint="eastAsia" w:ascii="仿宋" w:hAnsi="仿宋" w:eastAsia="仿宋" w:cs="仿宋"/>
                <w:color w:val="auto"/>
                <w:sz w:val="24"/>
                <w:szCs w:val="24"/>
                <w:highlight w:val="none"/>
                <w:u w:val="single"/>
              </w:rPr>
              <w:t>5</w:t>
            </w:r>
            <w:r>
              <w:rPr>
                <w:rFonts w:hint="eastAsia" w:ascii="仿宋" w:hAnsi="仿宋" w:eastAsia="仿宋" w:cs="仿宋"/>
                <w:color w:val="auto"/>
                <w:sz w:val="24"/>
                <w:szCs w:val="24"/>
                <w:highlight w:val="none"/>
              </w:rPr>
              <w:t>天前以书面（纸质）形式要求采购单位作出澄清。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3"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19</w:t>
            </w:r>
          </w:p>
        </w:tc>
        <w:tc>
          <w:tcPr>
            <w:tcW w:w="127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Arial"/>
                <w:color w:val="auto"/>
                <w:sz w:val="24"/>
                <w:szCs w:val="24"/>
                <w:highlight w:val="none"/>
              </w:rPr>
              <w:t>磋商响应文件的形式</w:t>
            </w:r>
          </w:p>
        </w:tc>
        <w:tc>
          <w:tcPr>
            <w:tcW w:w="3287" w:type="pct"/>
            <w:tcBorders>
              <w:top w:val="single" w:color="auto" w:sz="4" w:space="0"/>
              <w:left w:val="single" w:color="auto" w:sz="4" w:space="0"/>
              <w:bottom w:val="single" w:color="auto" w:sz="4" w:space="0"/>
              <w:right w:val="single" w:color="auto" w:sz="4" w:space="0"/>
            </w:tcBorders>
          </w:tcPr>
          <w:p>
            <w:pPr>
              <w:autoSpaceDN w:val="0"/>
              <w:snapToGrid w:val="0"/>
              <w:spacing w:line="276"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磋商响应文件的形式</w:t>
            </w:r>
            <w:r>
              <w:rPr>
                <w:rFonts w:hint="eastAsia" w:ascii="仿宋" w:hAnsi="仿宋" w:eastAsia="仿宋" w:cs="仿宋"/>
                <w:bCs/>
                <w:color w:val="auto"/>
                <w:sz w:val="24"/>
                <w:szCs w:val="24"/>
                <w:highlight w:val="none"/>
              </w:rPr>
              <w:t>（是指通过“政采云电子交易客户端”完成磋商响应文件编制后生成并加密的数据电文形式的磋商响应文件，</w:t>
            </w:r>
            <w:r>
              <w:rPr>
                <w:rFonts w:hint="eastAsia" w:ascii="仿宋" w:hAnsi="仿宋" w:eastAsia="仿宋" w:cs="仿宋"/>
                <w:b/>
                <w:color w:val="auto"/>
                <w:sz w:val="24"/>
                <w:szCs w:val="24"/>
                <w:highlight w:val="none"/>
              </w:rPr>
              <w:t>文件格式“.jmbs”）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3"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20</w:t>
            </w:r>
          </w:p>
        </w:tc>
        <w:tc>
          <w:tcPr>
            <w:tcW w:w="127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磋商响应文件组成</w:t>
            </w:r>
          </w:p>
        </w:tc>
        <w:tc>
          <w:tcPr>
            <w:tcW w:w="3287"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响应文件由资格证明、商务技术、报价等内容组成。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3"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21</w:t>
            </w:r>
          </w:p>
        </w:tc>
        <w:tc>
          <w:tcPr>
            <w:tcW w:w="127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磋商报价</w:t>
            </w:r>
          </w:p>
        </w:tc>
        <w:tc>
          <w:tcPr>
            <w:tcW w:w="3287"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1.本项目应以人民币报价；</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2.供应商应按采购文件以及规定的格式及内容填写报价等相关表格。对没有填报的费用，采购人将不予支付，并认为此项费用已包含在报价中。</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本工程采用固定综合单价方式承包，工程量按实结算。按照《建设工程工程量清单计价规范》（GB50500-2013）等国家现行标准、技术规范和省、市的相关计价规定，供应商应按照采购要求和采购人所提供工程量清单以及现场踏勘了解所得等，编制工程量清单报价表并承担相应的风险责任。</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4.不论采购结果如何，供应商均应自行承担所有与采购有关的全部费用。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433"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22</w:t>
            </w:r>
          </w:p>
        </w:tc>
        <w:tc>
          <w:tcPr>
            <w:tcW w:w="127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磋商响应文件的编制</w:t>
            </w:r>
          </w:p>
        </w:tc>
        <w:tc>
          <w:tcPr>
            <w:tcW w:w="3287"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1、“电子加密响应文件”：</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（1）“电子加密响应文件”是指通过“政采云电子交易客户端”完成响应文件编制后生成并加密的数据电文形式的响应文件。</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（2）供应商应先安装“政采云电子交易客户端”，并按照本采购文件和“政府采购云平台”的要求，通过“政采云电子交易客户端”编制并加密响应文件。</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2、“电子备份响应文件”：</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（1）“电子备份响应文件”是指与“电子加密响应文件”同时生成的数据电文形式的电子文件。</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（2）供应商可自主选择是否编制“电子备份响应文件”。</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（3）其他方式编制的备份响应文件视为无效备份响应文件。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3"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22</w:t>
            </w:r>
          </w:p>
        </w:tc>
        <w:tc>
          <w:tcPr>
            <w:tcW w:w="127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磋商响应文件的签章</w:t>
            </w:r>
          </w:p>
        </w:tc>
        <w:tc>
          <w:tcPr>
            <w:tcW w:w="3287"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采用电子签章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3"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23</w:t>
            </w:r>
          </w:p>
        </w:tc>
        <w:tc>
          <w:tcPr>
            <w:tcW w:w="127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磋商响应文件</w:t>
            </w:r>
          </w:p>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的包装、密封和递交</w:t>
            </w:r>
          </w:p>
        </w:tc>
        <w:tc>
          <w:tcPr>
            <w:tcW w:w="3287"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1、“电子加密响应文件”的递交：在线上传递交。</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（1）供应商应在递交响应文件截止时间前将“电子加密响应文件”成功上传递交至“政府采购云平台”，否则响应无效。</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（2）“电子加密响应文件”成功上传递交后，供应商可自行打印响应文件接收回执。</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2、“电子备份响应文件”的密封、包装和递交：</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（1）供应商可自主选择是否递交“电子备份响应文件”。</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（2）“电子备份响应文件”存入U盘（一份）。</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（3）“电子备份响应文件” 应当在响应文件递交截止时间前以邮寄或送达方式递交：</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电子备份响应文件”应当密封包装，并在包装上标注采购项目编号、项目名称、响应单位名称等并加盖公章（详见第六章响应文件格式）。没有密封包装或者逾期送达至浙江豪圣建设项目管理有限公司的“电子备份响应文件”将不予接收。</w:t>
            </w:r>
          </w:p>
          <w:p>
            <w:pPr>
              <w:autoSpaceDN w:val="0"/>
              <w:snapToGrid w:val="0"/>
              <w:spacing w:line="276" w:lineRule="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（5）收件人：陈梦菲  电话：</w:t>
            </w:r>
            <w:r>
              <w:rPr>
                <w:rFonts w:hint="eastAsia" w:ascii="仿宋" w:hAnsi="仿宋" w:eastAsia="仿宋" w:cs="Arial"/>
                <w:color w:val="auto"/>
                <w:sz w:val="24"/>
                <w:szCs w:val="24"/>
                <w:highlight w:val="none"/>
              </w:rPr>
              <w:t>0571-87981527</w:t>
            </w:r>
            <w:r>
              <w:rPr>
                <w:rFonts w:hint="eastAsia" w:ascii="仿宋" w:hAnsi="仿宋" w:eastAsia="仿宋" w:cs="宋体"/>
                <w:color w:val="auto"/>
                <w:kern w:val="0"/>
                <w:sz w:val="24"/>
                <w:szCs w:val="24"/>
                <w:highlight w:val="none"/>
              </w:rPr>
              <w:t>，收件地址：杭州市拱墅区大关路179号远洋国际中心A座17楼1706室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3"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24</w:t>
            </w:r>
          </w:p>
        </w:tc>
        <w:tc>
          <w:tcPr>
            <w:tcW w:w="127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磋商响应文件递交截止时间和地址</w:t>
            </w:r>
          </w:p>
        </w:tc>
        <w:tc>
          <w:tcPr>
            <w:tcW w:w="3287"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z w:val="24"/>
                <w:szCs w:val="24"/>
                <w:highlight w:val="none"/>
                <w:u w:val="single"/>
              </w:rPr>
            </w:pPr>
            <w:r>
              <w:rPr>
                <w:rFonts w:hint="eastAsia" w:ascii="仿宋" w:hAnsi="仿宋" w:eastAsia="仿宋" w:cs="宋体"/>
                <w:color w:val="auto"/>
                <w:sz w:val="24"/>
                <w:szCs w:val="24"/>
                <w:highlight w:val="none"/>
              </w:rPr>
              <w:t>响应文件递交截止时间：</w:t>
            </w:r>
            <w:r>
              <w:rPr>
                <w:rFonts w:hint="eastAsia" w:ascii="仿宋" w:hAnsi="仿宋" w:eastAsia="仿宋" w:cs="宋体"/>
                <w:b/>
                <w:color w:val="auto"/>
                <w:sz w:val="24"/>
                <w:szCs w:val="24"/>
                <w:highlight w:val="none"/>
                <w:u w:val="single"/>
              </w:rPr>
              <w:t>202</w:t>
            </w:r>
            <w:r>
              <w:rPr>
                <w:rFonts w:hint="eastAsia" w:ascii="仿宋" w:hAnsi="仿宋" w:eastAsia="仿宋" w:cs="宋体"/>
                <w:b/>
                <w:color w:val="auto"/>
                <w:sz w:val="24"/>
                <w:szCs w:val="24"/>
                <w:highlight w:val="none"/>
                <w:u w:val="single"/>
                <w:lang w:val="en-US" w:eastAsia="zh-CN"/>
              </w:rPr>
              <w:t>4</w:t>
            </w:r>
            <w:r>
              <w:rPr>
                <w:rFonts w:hint="eastAsia" w:ascii="仿宋" w:hAnsi="仿宋" w:eastAsia="仿宋" w:cs="宋体"/>
                <w:b/>
                <w:color w:val="auto"/>
                <w:sz w:val="24"/>
                <w:szCs w:val="24"/>
                <w:highlight w:val="none"/>
                <w:u w:val="single"/>
              </w:rPr>
              <w:t>年</w:t>
            </w:r>
            <w:r>
              <w:rPr>
                <w:rFonts w:hint="eastAsia" w:ascii="仿宋" w:hAnsi="仿宋" w:eastAsia="仿宋" w:cs="宋体"/>
                <w:b/>
                <w:color w:val="auto"/>
                <w:sz w:val="24"/>
                <w:szCs w:val="24"/>
                <w:highlight w:val="none"/>
                <w:u w:val="single"/>
                <w:lang w:val="en-US" w:eastAsia="zh-CN"/>
              </w:rPr>
              <w:t>05</w:t>
            </w:r>
            <w:r>
              <w:rPr>
                <w:rFonts w:hint="eastAsia" w:ascii="仿宋" w:hAnsi="仿宋" w:eastAsia="仿宋" w:cs="宋体"/>
                <w:b/>
                <w:color w:val="auto"/>
                <w:sz w:val="24"/>
                <w:szCs w:val="24"/>
                <w:highlight w:val="none"/>
                <w:u w:val="single"/>
              </w:rPr>
              <w:t>月</w:t>
            </w:r>
            <w:r>
              <w:rPr>
                <w:rFonts w:hint="eastAsia" w:ascii="仿宋" w:hAnsi="仿宋" w:eastAsia="仿宋" w:cs="宋体"/>
                <w:b/>
                <w:color w:val="auto"/>
                <w:sz w:val="24"/>
                <w:szCs w:val="24"/>
                <w:highlight w:val="none"/>
                <w:u w:val="single"/>
                <w:lang w:val="en-US" w:eastAsia="zh-CN"/>
              </w:rPr>
              <w:t>11</w:t>
            </w:r>
            <w:r>
              <w:rPr>
                <w:rFonts w:hint="eastAsia" w:ascii="仿宋" w:hAnsi="仿宋" w:eastAsia="仿宋" w:cs="宋体"/>
                <w:b/>
                <w:color w:val="auto"/>
                <w:sz w:val="24"/>
                <w:szCs w:val="24"/>
                <w:highlight w:val="none"/>
                <w:u w:val="single"/>
              </w:rPr>
              <w:t>日</w:t>
            </w:r>
            <w:r>
              <w:rPr>
                <w:rFonts w:hint="eastAsia" w:ascii="仿宋" w:hAnsi="仿宋" w:eastAsia="仿宋" w:cs="宋体"/>
                <w:b/>
                <w:color w:val="auto"/>
                <w:sz w:val="24"/>
                <w:szCs w:val="24"/>
                <w:highlight w:val="none"/>
                <w:u w:val="single"/>
                <w:lang w:val="en-US" w:eastAsia="zh-CN"/>
              </w:rPr>
              <w:t>13</w:t>
            </w:r>
            <w:r>
              <w:rPr>
                <w:rFonts w:hint="eastAsia" w:ascii="仿宋" w:hAnsi="仿宋" w:eastAsia="仿宋" w:cs="宋体"/>
                <w:b/>
                <w:color w:val="auto"/>
                <w:sz w:val="24"/>
                <w:szCs w:val="24"/>
                <w:highlight w:val="none"/>
                <w:u w:val="single"/>
              </w:rPr>
              <w:t>:</w:t>
            </w:r>
            <w:r>
              <w:rPr>
                <w:rFonts w:hint="eastAsia" w:ascii="仿宋" w:hAnsi="仿宋" w:eastAsia="仿宋" w:cs="宋体"/>
                <w:b/>
                <w:color w:val="auto"/>
                <w:sz w:val="24"/>
                <w:szCs w:val="24"/>
                <w:highlight w:val="none"/>
                <w:u w:val="single"/>
                <w:lang w:val="en-US" w:eastAsia="zh-CN"/>
              </w:rPr>
              <w:t>30</w:t>
            </w:r>
            <w:r>
              <w:rPr>
                <w:rFonts w:hint="eastAsia" w:ascii="仿宋" w:hAnsi="仿宋" w:eastAsia="仿宋" w:cs="宋体"/>
                <w:b/>
                <w:color w:val="auto"/>
                <w:spacing w:val="-4"/>
                <w:kern w:val="0"/>
                <w:sz w:val="24"/>
                <w:szCs w:val="24"/>
                <w:highlight w:val="none"/>
                <w:u w:val="single"/>
              </w:rPr>
              <w:t>:00</w:t>
            </w:r>
            <w:r>
              <w:rPr>
                <w:rFonts w:hint="eastAsia" w:ascii="仿宋" w:hAnsi="仿宋" w:eastAsia="仿宋" w:cs="宋体"/>
                <w:color w:val="auto"/>
                <w:sz w:val="24"/>
                <w:szCs w:val="24"/>
                <w:highlight w:val="none"/>
                <w:u w:val="single"/>
              </w:rPr>
              <w:t>（北京时间）</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响应文件递交地点：</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（1）“电子加密响应文件”：政府采购云平台在线递交。</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（2）“电子备份响应文件”：</w:t>
            </w:r>
            <w:r>
              <w:rPr>
                <w:rFonts w:hint="eastAsia" w:ascii="仿宋" w:hAnsi="仿宋" w:eastAsia="仿宋" w:cs="宋体"/>
                <w:color w:val="auto"/>
                <w:sz w:val="24"/>
                <w:szCs w:val="24"/>
                <w:highlight w:val="none"/>
                <w:u w:val="single"/>
              </w:rPr>
              <w:t>浙江豪圣建设项目管理有限公司（杭州市拱墅区大关路179号远洋国际中心A座17楼1706室）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3"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25</w:t>
            </w:r>
          </w:p>
        </w:tc>
        <w:tc>
          <w:tcPr>
            <w:tcW w:w="127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磋商时间和地点</w:t>
            </w:r>
          </w:p>
        </w:tc>
        <w:tc>
          <w:tcPr>
            <w:tcW w:w="3287"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z w:val="24"/>
                <w:szCs w:val="24"/>
                <w:highlight w:val="none"/>
                <w:u w:val="single"/>
              </w:rPr>
            </w:pPr>
            <w:r>
              <w:rPr>
                <w:rFonts w:hint="eastAsia" w:ascii="仿宋" w:hAnsi="仿宋" w:eastAsia="仿宋" w:cs="宋体"/>
                <w:color w:val="auto"/>
                <w:sz w:val="24"/>
                <w:szCs w:val="24"/>
                <w:highlight w:val="none"/>
              </w:rPr>
              <w:t>1、开启时间：</w:t>
            </w:r>
            <w:r>
              <w:rPr>
                <w:rFonts w:hint="eastAsia" w:ascii="仿宋" w:hAnsi="仿宋" w:eastAsia="仿宋" w:cs="宋体"/>
                <w:b/>
                <w:color w:val="auto"/>
                <w:sz w:val="24"/>
                <w:szCs w:val="24"/>
                <w:highlight w:val="none"/>
                <w:u w:val="single"/>
              </w:rPr>
              <w:t>202</w:t>
            </w:r>
            <w:r>
              <w:rPr>
                <w:rFonts w:hint="eastAsia" w:ascii="仿宋" w:hAnsi="仿宋" w:eastAsia="仿宋" w:cs="宋体"/>
                <w:b/>
                <w:color w:val="auto"/>
                <w:sz w:val="24"/>
                <w:szCs w:val="24"/>
                <w:highlight w:val="none"/>
                <w:u w:val="single"/>
                <w:lang w:val="en-US" w:eastAsia="zh-CN"/>
              </w:rPr>
              <w:t>4</w:t>
            </w:r>
            <w:r>
              <w:rPr>
                <w:rFonts w:hint="eastAsia" w:ascii="仿宋" w:hAnsi="仿宋" w:eastAsia="仿宋" w:cs="宋体"/>
                <w:b/>
                <w:color w:val="auto"/>
                <w:sz w:val="24"/>
                <w:szCs w:val="24"/>
                <w:highlight w:val="none"/>
                <w:u w:val="single"/>
              </w:rPr>
              <w:t>年</w:t>
            </w:r>
            <w:r>
              <w:rPr>
                <w:rFonts w:hint="eastAsia" w:ascii="仿宋" w:hAnsi="仿宋" w:eastAsia="仿宋" w:cs="宋体"/>
                <w:b/>
                <w:color w:val="auto"/>
                <w:sz w:val="24"/>
                <w:szCs w:val="24"/>
                <w:highlight w:val="none"/>
                <w:u w:val="single"/>
                <w:lang w:val="en-US" w:eastAsia="zh-CN"/>
              </w:rPr>
              <w:t>05</w:t>
            </w:r>
            <w:r>
              <w:rPr>
                <w:rFonts w:hint="eastAsia" w:ascii="仿宋" w:hAnsi="仿宋" w:eastAsia="仿宋" w:cs="宋体"/>
                <w:b/>
                <w:color w:val="auto"/>
                <w:sz w:val="24"/>
                <w:szCs w:val="24"/>
                <w:highlight w:val="none"/>
                <w:u w:val="single"/>
              </w:rPr>
              <w:t>月</w:t>
            </w:r>
            <w:r>
              <w:rPr>
                <w:rFonts w:hint="eastAsia" w:ascii="仿宋" w:hAnsi="仿宋" w:eastAsia="仿宋" w:cs="宋体"/>
                <w:b/>
                <w:color w:val="auto"/>
                <w:sz w:val="24"/>
                <w:szCs w:val="24"/>
                <w:highlight w:val="none"/>
                <w:u w:val="single"/>
                <w:lang w:val="en-US" w:eastAsia="zh-CN"/>
              </w:rPr>
              <w:t>11</w:t>
            </w:r>
            <w:r>
              <w:rPr>
                <w:rFonts w:hint="eastAsia" w:ascii="仿宋" w:hAnsi="仿宋" w:eastAsia="仿宋" w:cs="宋体"/>
                <w:b/>
                <w:color w:val="auto"/>
                <w:sz w:val="24"/>
                <w:szCs w:val="24"/>
                <w:highlight w:val="none"/>
                <w:u w:val="single"/>
              </w:rPr>
              <w:t>日</w:t>
            </w:r>
            <w:r>
              <w:rPr>
                <w:rFonts w:hint="eastAsia" w:ascii="仿宋" w:hAnsi="仿宋" w:eastAsia="仿宋" w:cs="宋体"/>
                <w:b/>
                <w:color w:val="auto"/>
                <w:sz w:val="24"/>
                <w:szCs w:val="24"/>
                <w:highlight w:val="none"/>
                <w:u w:val="single"/>
                <w:lang w:val="en-US" w:eastAsia="zh-CN"/>
              </w:rPr>
              <w:t>13</w:t>
            </w:r>
            <w:r>
              <w:rPr>
                <w:rFonts w:hint="eastAsia" w:ascii="仿宋" w:hAnsi="仿宋" w:eastAsia="仿宋" w:cs="宋体"/>
                <w:b/>
                <w:color w:val="auto"/>
                <w:sz w:val="24"/>
                <w:szCs w:val="24"/>
                <w:highlight w:val="none"/>
                <w:u w:val="single"/>
              </w:rPr>
              <w:t>:</w:t>
            </w:r>
            <w:r>
              <w:rPr>
                <w:rFonts w:hint="eastAsia" w:ascii="仿宋" w:hAnsi="仿宋" w:eastAsia="仿宋" w:cs="宋体"/>
                <w:b/>
                <w:color w:val="auto"/>
                <w:sz w:val="24"/>
                <w:szCs w:val="24"/>
                <w:highlight w:val="none"/>
                <w:u w:val="single"/>
                <w:lang w:val="en-US" w:eastAsia="zh-CN"/>
              </w:rPr>
              <w:t>30</w:t>
            </w:r>
            <w:r>
              <w:rPr>
                <w:rFonts w:hint="eastAsia" w:ascii="仿宋" w:hAnsi="仿宋" w:eastAsia="仿宋" w:cs="宋体"/>
                <w:b/>
                <w:color w:val="auto"/>
                <w:sz w:val="24"/>
                <w:szCs w:val="24"/>
                <w:highlight w:val="none"/>
                <w:u w:val="single"/>
              </w:rPr>
              <w:t>:00</w:t>
            </w:r>
            <w:r>
              <w:rPr>
                <w:rFonts w:hint="eastAsia" w:ascii="仿宋" w:hAnsi="仿宋" w:eastAsia="仿宋" w:cs="宋体"/>
                <w:color w:val="auto"/>
                <w:sz w:val="24"/>
                <w:szCs w:val="24"/>
                <w:highlight w:val="none"/>
                <w:u w:val="single"/>
              </w:rPr>
              <w:t>（北京时间）</w:t>
            </w:r>
          </w:p>
          <w:p>
            <w:pPr>
              <w:autoSpaceDN w:val="0"/>
              <w:snapToGrid w:val="0"/>
              <w:spacing w:line="276" w:lineRule="auto"/>
              <w:rPr>
                <w:rFonts w:ascii="仿宋" w:hAnsi="仿宋" w:eastAsia="仿宋" w:cs="宋体"/>
                <w:color w:val="auto"/>
                <w:sz w:val="24"/>
                <w:szCs w:val="24"/>
                <w:highlight w:val="none"/>
                <w:u w:val="single"/>
              </w:rPr>
            </w:pPr>
            <w:r>
              <w:rPr>
                <w:rFonts w:hint="eastAsia" w:ascii="仿宋" w:hAnsi="仿宋" w:eastAsia="仿宋" w:cs="宋体"/>
                <w:color w:val="auto"/>
                <w:sz w:val="24"/>
                <w:szCs w:val="24"/>
                <w:highlight w:val="none"/>
              </w:rPr>
              <w:t>2、地点（网址）：</w:t>
            </w:r>
            <w:r>
              <w:rPr>
                <w:rFonts w:hint="eastAsia"/>
                <w:color w:val="auto"/>
                <w:highlight w:val="none"/>
              </w:rPr>
              <w:fldChar w:fldCharType="begin"/>
            </w:r>
            <w:r>
              <w:rPr>
                <w:color w:val="auto"/>
                <w:highlight w:val="none"/>
              </w:rPr>
              <w:instrText xml:space="preserve"> HYPERLINK "https://www.zcygov.cn" </w:instrText>
            </w:r>
            <w:r>
              <w:rPr>
                <w:rFonts w:hint="eastAsia"/>
                <w:color w:val="auto"/>
                <w:highlight w:val="none"/>
              </w:rPr>
              <w:fldChar w:fldCharType="separate"/>
            </w:r>
            <w:r>
              <w:rPr>
                <w:rFonts w:hint="eastAsia" w:ascii="仿宋" w:hAnsi="仿宋" w:eastAsia="仿宋" w:cs="宋体"/>
                <w:color w:val="auto"/>
                <w:sz w:val="24"/>
                <w:szCs w:val="24"/>
                <w:highlight w:val="none"/>
                <w:u w:val="single"/>
              </w:rPr>
              <w:t>https://www.zcygov.cn</w:t>
            </w:r>
            <w:r>
              <w:rPr>
                <w:rFonts w:hint="eastAsia" w:ascii="仿宋" w:hAnsi="仿宋" w:eastAsia="仿宋" w:cs="宋体"/>
                <w:color w:val="auto"/>
                <w:sz w:val="24"/>
                <w:szCs w:val="24"/>
                <w:highlight w:val="none"/>
                <w:u w:val="single"/>
              </w:rPr>
              <w:fldChar w:fldCharType="end"/>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响应文件开启后，供应商在线参加磋商。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433"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26</w:t>
            </w:r>
          </w:p>
        </w:tc>
        <w:tc>
          <w:tcPr>
            <w:tcW w:w="127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开启（解密）响应文件</w:t>
            </w:r>
          </w:p>
        </w:tc>
        <w:tc>
          <w:tcPr>
            <w:tcW w:w="3287"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1、采购组织机构按照采购文件规定的时间通过电子交易平台组织磋商，所有供应商均应当准时在线参加磋商；</w:t>
            </w:r>
          </w:p>
          <w:p>
            <w:pPr>
              <w:autoSpaceDE w:val="0"/>
              <w:autoSpaceDN w:val="0"/>
              <w:snapToGrid w:val="0"/>
              <w:spacing w:line="276" w:lineRule="auto"/>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2、响应文件递交截止时间后，采购组织机构将向各供应商发出“电子加密响应文件”的解密通知，各供应商代表应当在接到解密通知后30分钟内自行完成“电子加密响应文件”的在线解密；</w:t>
            </w:r>
          </w:p>
          <w:p>
            <w:pPr>
              <w:autoSpaceDE w:val="0"/>
              <w:autoSpaceDN w:val="0"/>
              <w:snapToGrid w:val="0"/>
              <w:spacing w:line="276" w:lineRule="auto"/>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3、通过“政府采购云平台”上传递交的“电子加密响应文件”已按时解密的，“电子备份响应文件”自动失效；</w:t>
            </w:r>
          </w:p>
          <w:p>
            <w:pPr>
              <w:autoSpaceDE w:val="0"/>
              <w:autoSpaceDN w:val="0"/>
              <w:snapToGrid w:val="0"/>
              <w:spacing w:line="276" w:lineRule="auto"/>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4、通过“政府采购云平台”上传递交的“电子加密响应文件”无法按时解密的，如供应商按规定递交了合格的 “电子备份响应文件”的，则由采购组织机构按“政府采购云平台”操作规范将“电子备份响应文件”上传至“政府采购云平台”。上传成功后，以“电子备份响应文件”参与评审，“电子加密响应文件”自动失效；在“政府采购云平台”正常运行情况下，“电子备份响应文件”无法上传至“政府采购云平台”的，视为响应文件撤回。如供应商未按规定递交“电子备份响应文件”的，视为响应文件撤回；</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5、响应文件递交截止时间前，供应商仅递交了“电子备份响应文件”而未将“电子加密响应文件”上传至“政府采购云平台”的，响应无效。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433"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27</w:t>
            </w:r>
          </w:p>
        </w:tc>
        <w:tc>
          <w:tcPr>
            <w:tcW w:w="127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评审办法</w:t>
            </w:r>
          </w:p>
        </w:tc>
        <w:tc>
          <w:tcPr>
            <w:tcW w:w="3287"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433"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28</w:t>
            </w:r>
          </w:p>
        </w:tc>
        <w:tc>
          <w:tcPr>
            <w:tcW w:w="127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磋商响应文件有效期</w:t>
            </w:r>
          </w:p>
        </w:tc>
        <w:tc>
          <w:tcPr>
            <w:tcW w:w="3287"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自响应文件递交截止时间起</w:t>
            </w:r>
            <w:r>
              <w:rPr>
                <w:rFonts w:hint="eastAsia" w:ascii="仿宋" w:hAnsi="仿宋" w:eastAsia="仿宋" w:cs="宋体"/>
                <w:color w:val="auto"/>
                <w:sz w:val="24"/>
                <w:szCs w:val="24"/>
                <w:highlight w:val="none"/>
                <w:u w:val="single"/>
              </w:rPr>
              <w:t>90</w:t>
            </w:r>
            <w:r>
              <w:rPr>
                <w:rFonts w:hint="eastAsia" w:ascii="仿宋" w:hAnsi="仿宋" w:eastAsia="仿宋" w:cs="宋体"/>
                <w:color w:val="auto"/>
                <w:sz w:val="24"/>
                <w:szCs w:val="24"/>
                <w:highlight w:val="none"/>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433"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29</w:t>
            </w:r>
          </w:p>
        </w:tc>
        <w:tc>
          <w:tcPr>
            <w:tcW w:w="127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进口</w:t>
            </w:r>
          </w:p>
        </w:tc>
        <w:tc>
          <w:tcPr>
            <w:tcW w:w="3287"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433"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30</w:t>
            </w:r>
          </w:p>
        </w:tc>
        <w:tc>
          <w:tcPr>
            <w:tcW w:w="127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节能产品</w:t>
            </w:r>
          </w:p>
        </w:tc>
        <w:tc>
          <w:tcPr>
            <w:tcW w:w="3287"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优先采购节能产品；</w:t>
            </w:r>
          </w:p>
          <w:p>
            <w:pPr>
              <w:autoSpaceDE w:val="0"/>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b/>
                <w:color w:val="auto"/>
                <w:sz w:val="24"/>
                <w:szCs w:val="24"/>
                <w:highlight w:val="none"/>
              </w:rPr>
              <w:t>▲根据《关于印发节能产品政府采购品目清单的通知》的要求，涉及强制采购节能产品的材料（设备），本工程必须按照通知的要求使用强制采购节能产品的材料（设备）。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433"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31</w:t>
            </w:r>
          </w:p>
        </w:tc>
        <w:tc>
          <w:tcPr>
            <w:tcW w:w="127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环境标志产品</w:t>
            </w:r>
          </w:p>
        </w:tc>
        <w:tc>
          <w:tcPr>
            <w:tcW w:w="3287"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优先采购环境标志产品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33"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32</w:t>
            </w:r>
          </w:p>
        </w:tc>
        <w:tc>
          <w:tcPr>
            <w:tcW w:w="127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代理服务费</w:t>
            </w:r>
          </w:p>
        </w:tc>
        <w:tc>
          <w:tcPr>
            <w:tcW w:w="3287" w:type="pct"/>
            <w:tcBorders>
              <w:top w:val="single" w:color="auto" w:sz="4" w:space="0"/>
              <w:left w:val="single" w:color="auto" w:sz="4" w:space="0"/>
              <w:bottom w:val="single" w:color="auto" w:sz="4" w:space="0"/>
              <w:right w:val="single" w:color="auto" w:sz="4" w:space="0"/>
            </w:tcBorders>
            <w:vAlign w:val="center"/>
          </w:tcPr>
          <w:p>
            <w:pPr>
              <w:numPr>
                <w:ilvl w:val="0"/>
                <w:numId w:val="6"/>
              </w:numPr>
              <w:autoSpaceDN w:val="0"/>
              <w:snapToGrid w:val="0"/>
              <w:spacing w:line="276" w:lineRule="auto"/>
              <w:ind w:firstLine="360" w:firstLineChars="150"/>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本项目招标代理费按国家计委关于印发《招标代理服务收费管理暂行办法》的通知（计价格[2002]1980号）文件规定的取费标准下浮42%计取，以中标价为基数，不足3000元时按3000元计取。</w:t>
            </w:r>
          </w:p>
          <w:p>
            <w:pPr>
              <w:numPr>
                <w:ilvl w:val="0"/>
                <w:numId w:val="0"/>
              </w:numPr>
              <w:autoSpaceDN w:val="0"/>
              <w:snapToGrid w:val="0"/>
              <w:spacing w:line="276" w:lineRule="auto"/>
              <w:ind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本项目工程量清单及预算、招标控制价的编制费用由中标人承担。编制费用按浙价服务[2009]84号文件规计费标准的下浮50%计取，以中标价为基数，不足2000元时按2000元计取。</w:t>
            </w:r>
          </w:p>
          <w:p>
            <w:pPr>
              <w:numPr>
                <w:ilvl w:val="0"/>
                <w:numId w:val="0"/>
              </w:numPr>
              <w:autoSpaceDN w:val="0"/>
              <w:snapToGrid w:val="0"/>
              <w:spacing w:line="276"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以上费用在投标文件中不单列，由中标人在投标总报价中综合考虑。</w:t>
            </w:r>
          </w:p>
          <w:p>
            <w:pPr>
              <w:autoSpaceDE w:val="0"/>
              <w:autoSpaceDN w:val="0"/>
              <w:snapToGrid w:val="0"/>
              <w:spacing w:line="276"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中标供应商应当自成交公告发布之日起5个工作日内一次性向采购代理机构支付代理服务费，并在响应文件中出具代理服务费支付承诺书（格式见第六章）。</w:t>
            </w:r>
          </w:p>
          <w:p>
            <w:pPr>
              <w:autoSpaceDE w:val="0"/>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2</w:t>
            </w:r>
            <w:r>
              <w:rPr>
                <w:rFonts w:hint="eastAsia" w:ascii="仿宋" w:hAnsi="仿宋" w:eastAsia="仿宋" w:cs="宋体"/>
                <w:color w:val="auto"/>
                <w:sz w:val="24"/>
                <w:szCs w:val="24"/>
                <w:highlight w:val="none"/>
              </w:rPr>
              <w:t>、代理服务费支付：</w:t>
            </w:r>
          </w:p>
          <w:p>
            <w:pPr>
              <w:autoSpaceDE w:val="0"/>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① 代理服务费缴纳形式：汇票/支票/电汇/现金</w:t>
            </w:r>
          </w:p>
          <w:p>
            <w:pPr>
              <w:autoSpaceDE w:val="0"/>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② 代理服务费汇入以下账户 ：</w:t>
            </w:r>
          </w:p>
          <w:p>
            <w:pPr>
              <w:autoSpaceDE w:val="0"/>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收款单位（户名）：浙江豪圣建设项目管理有限公司</w:t>
            </w:r>
          </w:p>
          <w:p>
            <w:pPr>
              <w:autoSpaceDE w:val="0"/>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开  户：上海浦东发展银行股份有限公司杭州和睦支行</w:t>
            </w:r>
          </w:p>
          <w:p>
            <w:pPr>
              <w:autoSpaceDE w:val="0"/>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账  号：95160154800000653</w:t>
            </w:r>
          </w:p>
          <w:p>
            <w:pPr>
              <w:autoSpaceDE w:val="0"/>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3、增值税发票开票资料：单位名称、税号（统一社会信用代码）、开户行名称、账号、地址及联系电话。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46" w:hRule="atLeast"/>
          <w:jc w:val="center"/>
        </w:trPr>
        <w:tc>
          <w:tcPr>
            <w:tcW w:w="433"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33</w:t>
            </w:r>
          </w:p>
        </w:tc>
        <w:tc>
          <w:tcPr>
            <w:tcW w:w="127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履约保证金</w:t>
            </w:r>
          </w:p>
        </w:tc>
        <w:tc>
          <w:tcPr>
            <w:tcW w:w="3287"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textAlignment w:val="bottom"/>
              <w:rPr>
                <w:rFonts w:ascii="仿宋" w:hAnsi="仿宋" w:eastAsia="仿宋" w:cs="宋体"/>
                <w:color w:val="auto"/>
                <w:sz w:val="24"/>
                <w:szCs w:val="24"/>
                <w:highlight w:val="none"/>
              </w:rPr>
            </w:pPr>
            <w:r>
              <w:rPr>
                <w:rFonts w:ascii="仿宋" w:hAnsi="仿宋" w:eastAsia="仿宋" w:cs="宋体"/>
                <w:color w:val="auto"/>
                <w:sz w:val="24"/>
                <w:szCs w:val="24"/>
                <w:highlight w:val="none"/>
              </w:rPr>
              <w:sym w:font="Wingdings 2" w:char="00A3"/>
            </w:r>
            <w:r>
              <w:rPr>
                <w:rFonts w:ascii="仿宋" w:hAnsi="仿宋" w:eastAsia="仿宋" w:cs="宋体"/>
                <w:color w:val="auto"/>
                <w:sz w:val="24"/>
                <w:szCs w:val="24"/>
                <w:highlight w:val="none"/>
              </w:rPr>
              <w:t xml:space="preserve"> 不要求提供</w:t>
            </w:r>
          </w:p>
          <w:p>
            <w:pPr>
              <w:autoSpaceDE w:val="0"/>
              <w:autoSpaceDN w:val="0"/>
              <w:snapToGrid w:val="0"/>
              <w:spacing w:line="276" w:lineRule="auto"/>
              <w:textAlignment w:val="bottom"/>
              <w:rPr>
                <w:rFonts w:ascii="仿宋" w:hAnsi="仿宋" w:eastAsia="仿宋" w:cs="宋体"/>
                <w:color w:val="auto"/>
                <w:sz w:val="24"/>
                <w:szCs w:val="24"/>
                <w:highlight w:val="none"/>
              </w:rPr>
            </w:pPr>
            <w:r>
              <w:rPr>
                <w:rFonts w:ascii="仿宋" w:hAnsi="仿宋" w:eastAsia="仿宋" w:cs="宋体"/>
                <w:color w:val="auto"/>
                <w:sz w:val="24"/>
                <w:szCs w:val="24"/>
                <w:highlight w:val="none"/>
              </w:rPr>
              <w:sym w:font="Wingdings 2" w:char="0052"/>
            </w:r>
            <w:r>
              <w:rPr>
                <w:rFonts w:ascii="仿宋" w:hAnsi="仿宋" w:eastAsia="仿宋" w:cs="宋体"/>
                <w:color w:val="auto"/>
                <w:sz w:val="24"/>
                <w:szCs w:val="24"/>
                <w:highlight w:val="none"/>
              </w:rPr>
              <w:t xml:space="preserve"> 要求提供：</w:t>
            </w:r>
          </w:p>
          <w:p>
            <w:pPr>
              <w:autoSpaceDE w:val="0"/>
              <w:autoSpaceDN w:val="0"/>
              <w:snapToGrid w:val="0"/>
              <w:spacing w:line="276" w:lineRule="auto"/>
              <w:textAlignment w:val="bottom"/>
              <w:rPr>
                <w:rFonts w:ascii="仿宋" w:hAnsi="仿宋" w:eastAsia="仿宋" w:cs="宋体"/>
                <w:color w:val="auto"/>
                <w:sz w:val="24"/>
                <w:szCs w:val="24"/>
                <w:highlight w:val="none"/>
              </w:rPr>
            </w:pPr>
            <w:r>
              <w:rPr>
                <w:rFonts w:ascii="仿宋" w:hAnsi="仿宋" w:eastAsia="仿宋" w:cs="宋体"/>
                <w:color w:val="auto"/>
                <w:sz w:val="24"/>
                <w:szCs w:val="24"/>
                <w:highlight w:val="none"/>
              </w:rPr>
              <w:t>1、金额为合同金额的1%</w:t>
            </w:r>
          </w:p>
          <w:p>
            <w:pPr>
              <w:autoSpaceDE w:val="0"/>
              <w:autoSpaceDN w:val="0"/>
              <w:snapToGrid w:val="0"/>
              <w:spacing w:line="276" w:lineRule="auto"/>
              <w:textAlignment w:val="bottom"/>
              <w:rPr>
                <w:rFonts w:ascii="仿宋" w:hAnsi="仿宋" w:eastAsia="仿宋" w:cs="宋体"/>
                <w:color w:val="auto"/>
                <w:sz w:val="24"/>
                <w:szCs w:val="24"/>
                <w:highlight w:val="none"/>
              </w:rPr>
            </w:pPr>
            <w:r>
              <w:rPr>
                <w:rFonts w:ascii="仿宋" w:hAnsi="仿宋" w:eastAsia="仿宋" w:cs="宋体"/>
                <w:color w:val="auto"/>
                <w:sz w:val="24"/>
                <w:szCs w:val="24"/>
                <w:highlight w:val="none"/>
              </w:rPr>
              <w:t>2、合同签订生效后7日内向采购人缴纳履约保证金，以</w:t>
            </w:r>
            <w:r>
              <w:rPr>
                <w:rFonts w:hint="eastAsia" w:ascii="仿宋" w:hAnsi="仿宋" w:eastAsia="仿宋" w:cs="宋体"/>
                <w:color w:val="auto"/>
                <w:sz w:val="24"/>
                <w:szCs w:val="24"/>
                <w:highlight w:val="none"/>
              </w:rPr>
              <w:t>转账、支票、汇票、本票或者金融机构、担保机构等出具的保函等形式</w:t>
            </w:r>
            <w:r>
              <w:rPr>
                <w:rFonts w:ascii="仿宋" w:hAnsi="仿宋" w:eastAsia="仿宋" w:cs="宋体"/>
                <w:color w:val="auto"/>
                <w:sz w:val="24"/>
                <w:szCs w:val="24"/>
                <w:highlight w:val="none"/>
              </w:rPr>
              <w:t>递交，项目验收结束后无息退还。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33"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34</w:t>
            </w:r>
          </w:p>
        </w:tc>
        <w:tc>
          <w:tcPr>
            <w:tcW w:w="127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工程款支付方式</w:t>
            </w:r>
          </w:p>
        </w:tc>
        <w:tc>
          <w:tcPr>
            <w:tcW w:w="3287"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Times New Roman"/>
                <w:color w:val="auto"/>
                <w:szCs w:val="24"/>
                <w:highlight w:val="none"/>
              </w:rPr>
            </w:pPr>
            <w:r>
              <w:rPr>
                <w:rFonts w:hint="eastAsia" w:ascii="仿宋" w:hAnsi="仿宋" w:eastAsia="仿宋" w:cs="Arial"/>
                <w:bCs/>
                <w:color w:val="auto"/>
                <w:sz w:val="24"/>
                <w:szCs w:val="24"/>
                <w:highlight w:val="none"/>
              </w:rPr>
              <w:t>详见第四章 采购内容及需求“商务要求”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33"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35</w:t>
            </w:r>
          </w:p>
        </w:tc>
        <w:tc>
          <w:tcPr>
            <w:tcW w:w="127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质量保证金</w:t>
            </w:r>
          </w:p>
        </w:tc>
        <w:tc>
          <w:tcPr>
            <w:tcW w:w="3287"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审定</w:t>
            </w:r>
            <w:r>
              <w:rPr>
                <w:rFonts w:hint="eastAsia" w:ascii="仿宋" w:hAnsi="仿宋" w:eastAsia="仿宋" w:cs="宋体"/>
                <w:color w:val="auto"/>
                <w:sz w:val="24"/>
                <w:szCs w:val="24"/>
                <w:highlight w:val="none"/>
                <w:lang w:val="en-US" w:eastAsia="zh-CN"/>
              </w:rPr>
              <w:t>价</w:t>
            </w:r>
            <w:r>
              <w:rPr>
                <w:rFonts w:hint="eastAsia" w:ascii="仿宋" w:hAnsi="仿宋" w:eastAsia="仿宋" w:cs="宋体"/>
                <w:color w:val="auto"/>
                <w:sz w:val="24"/>
                <w:szCs w:val="24"/>
                <w:highlight w:val="none"/>
              </w:rPr>
              <w:t>的1.5%，质保期满后无质量问题无息退还。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33"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36</w:t>
            </w:r>
          </w:p>
        </w:tc>
        <w:tc>
          <w:tcPr>
            <w:tcW w:w="127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Arial"/>
                <w:color w:val="auto"/>
                <w:sz w:val="24"/>
                <w:szCs w:val="24"/>
                <w:highlight w:val="none"/>
              </w:rPr>
              <w:t>施工用水电费</w:t>
            </w:r>
          </w:p>
        </w:tc>
        <w:tc>
          <w:tcPr>
            <w:tcW w:w="3287"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承包人承担，</w:t>
            </w:r>
            <w:r>
              <w:rPr>
                <w:rFonts w:hint="eastAsia" w:ascii="仿宋" w:hAnsi="仿宋" w:eastAsia="仿宋" w:cs="宋体"/>
                <w:color w:val="auto"/>
                <w:sz w:val="24"/>
                <w:szCs w:val="24"/>
                <w:highlight w:val="none"/>
                <w:lang w:val="en-US" w:eastAsia="zh-CN"/>
              </w:rPr>
              <w:t>审定价的</w:t>
            </w:r>
            <w:r>
              <w:rPr>
                <w:rFonts w:hint="eastAsia" w:ascii="仿宋" w:hAnsi="仿宋" w:eastAsia="仿宋" w:cs="宋体"/>
                <w:color w:val="auto"/>
                <w:sz w:val="24"/>
                <w:szCs w:val="24"/>
                <w:highlight w:val="none"/>
              </w:rPr>
              <w:t>2‰</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33"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37</w:t>
            </w:r>
          </w:p>
        </w:tc>
        <w:tc>
          <w:tcPr>
            <w:tcW w:w="127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预付款担保</w:t>
            </w:r>
          </w:p>
        </w:tc>
        <w:tc>
          <w:tcPr>
            <w:tcW w:w="3287"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Times New Roman"/>
                <w:color w:val="auto"/>
                <w:szCs w:val="24"/>
                <w:highlight w:val="none"/>
              </w:rPr>
            </w:pPr>
            <w:r>
              <w:rPr>
                <w:rFonts w:hint="eastAsia" w:ascii="仿宋" w:hAnsi="仿宋" w:eastAsia="仿宋" w:cs="Arial"/>
                <w:bCs/>
                <w:color w:val="auto"/>
                <w:sz w:val="24"/>
                <w:szCs w:val="24"/>
                <w:highlight w:val="none"/>
              </w:rPr>
              <w:t>详见第四章 采购内容及需求“商务要求”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33"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38</w:t>
            </w:r>
          </w:p>
        </w:tc>
        <w:tc>
          <w:tcPr>
            <w:tcW w:w="127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重要提醒</w:t>
            </w:r>
          </w:p>
        </w:tc>
        <w:tc>
          <w:tcPr>
            <w:tcW w:w="3287"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Arial"/>
                <w:b/>
                <w:bCs/>
                <w:color w:val="auto"/>
                <w:sz w:val="24"/>
                <w:szCs w:val="24"/>
                <w:highlight w:val="none"/>
              </w:rPr>
            </w:pPr>
            <w:r>
              <w:rPr>
                <w:rFonts w:hint="eastAsia" w:ascii="仿宋" w:hAnsi="仿宋" w:eastAsia="仿宋" w:cs="Arial"/>
                <w:b/>
                <w:bCs/>
                <w:color w:val="auto"/>
                <w:sz w:val="24"/>
                <w:szCs w:val="24"/>
                <w:highlight w:val="none"/>
              </w:rPr>
              <w:t>（1）磋商响应供应商应仔细对照磋商须知条款阅读本表，如本表与须知内容就同一事项规定不一致的，以本表为准；</w:t>
            </w:r>
          </w:p>
          <w:p>
            <w:pPr>
              <w:autoSpaceDN w:val="0"/>
              <w:snapToGrid w:val="0"/>
              <w:spacing w:line="276" w:lineRule="auto"/>
              <w:rPr>
                <w:rFonts w:ascii="仿宋" w:hAnsi="仿宋" w:eastAsia="仿宋" w:cs="Arial"/>
                <w:b/>
                <w:bCs/>
                <w:color w:val="auto"/>
                <w:sz w:val="24"/>
                <w:szCs w:val="24"/>
                <w:highlight w:val="none"/>
              </w:rPr>
            </w:pPr>
            <w:r>
              <w:rPr>
                <w:rFonts w:hint="eastAsia" w:ascii="仿宋" w:hAnsi="仿宋" w:eastAsia="仿宋" w:cs="Arial"/>
                <w:b/>
                <w:bCs/>
                <w:color w:val="auto"/>
                <w:sz w:val="24"/>
                <w:szCs w:val="24"/>
                <w:highlight w:val="none"/>
              </w:rPr>
              <w:t>（2）磋商响应供应商在编制磋商响应文件时应作出符合客观事实的真实响应，采购人不接受任何不符客观事实的“响应”或者“应标”，情节严重的可视为“提供虚假材料”行为，并参照“提供虚假材料”进行处理；</w:t>
            </w:r>
          </w:p>
          <w:p>
            <w:pPr>
              <w:autoSpaceDN w:val="0"/>
              <w:snapToGrid w:val="0"/>
              <w:spacing w:line="276" w:lineRule="auto"/>
              <w:rPr>
                <w:rFonts w:ascii="仿宋" w:hAnsi="仿宋" w:eastAsia="仿宋" w:cs="Arial"/>
                <w:b/>
                <w:bCs/>
                <w:color w:val="auto"/>
                <w:sz w:val="24"/>
                <w:szCs w:val="24"/>
                <w:highlight w:val="none"/>
              </w:rPr>
            </w:pPr>
            <w:r>
              <w:rPr>
                <w:rFonts w:hint="eastAsia" w:ascii="仿宋" w:hAnsi="仿宋" w:eastAsia="仿宋" w:cs="Arial"/>
                <w:b/>
                <w:bCs/>
                <w:color w:val="auto"/>
                <w:sz w:val="24"/>
                <w:szCs w:val="24"/>
                <w:highlight w:val="none"/>
              </w:rPr>
              <w:t>（3）竞争性磋商文件中标注“▲”的技术或商务条款均为实质性要求条款，不满足实质性要求条款的投标响应无效；</w:t>
            </w:r>
          </w:p>
          <w:p>
            <w:pPr>
              <w:autoSpaceDN w:val="0"/>
              <w:snapToGrid w:val="0"/>
              <w:spacing w:line="276" w:lineRule="auto"/>
              <w:rPr>
                <w:rFonts w:hint="eastAsia" w:ascii="仿宋" w:hAnsi="仿宋" w:eastAsia="仿宋" w:cs="Times New Roman"/>
                <w:b/>
                <w:bCs/>
                <w:color w:val="auto"/>
                <w:sz w:val="24"/>
                <w:szCs w:val="24"/>
                <w:highlight w:val="none"/>
              </w:rPr>
            </w:pPr>
            <w:r>
              <w:rPr>
                <w:rFonts w:hint="eastAsia" w:ascii="仿宋" w:hAnsi="仿宋" w:eastAsia="仿宋" w:cs="Arial"/>
                <w:b/>
                <w:bCs/>
                <w:color w:val="auto"/>
                <w:sz w:val="24"/>
                <w:szCs w:val="24"/>
                <w:highlight w:val="none"/>
              </w:rPr>
              <w:t>（4）竞争性磋商文件中所有加粗及加下划线的条款着重提请各供应商注意，请各供应商认真查看竞争性磋商文件中的每一个条款及要求，因误读、漏读、错读竞争性磋商文件内容而造成的一切后果，由供应商自行承担，采购组织机构概不负责</w:t>
            </w:r>
            <w:r>
              <w:rPr>
                <w:rFonts w:hint="eastAsia" w:ascii="仿宋" w:hAnsi="仿宋" w:eastAsia="仿宋" w:cs="Times New Roman"/>
                <w:b/>
                <w:bCs/>
                <w:color w:val="auto"/>
                <w:sz w:val="24"/>
                <w:szCs w:val="24"/>
                <w:highlight w:val="none"/>
              </w:rPr>
              <w:t>。</w:t>
            </w:r>
          </w:p>
          <w:p>
            <w:pPr>
              <w:autoSpaceDN w:val="0"/>
              <w:snapToGrid w:val="0"/>
              <w:spacing w:line="276" w:lineRule="auto"/>
              <w:rPr>
                <w:rFonts w:ascii="仿宋" w:hAnsi="仿宋" w:eastAsia="仿宋" w:cs="Arial"/>
                <w:b/>
                <w:color w:val="auto"/>
                <w:sz w:val="24"/>
                <w:szCs w:val="24"/>
                <w:highlight w:val="none"/>
              </w:rPr>
            </w:pPr>
            <w:r>
              <w:rPr>
                <w:rFonts w:hint="eastAsia" w:ascii="仿宋" w:hAnsi="仿宋" w:eastAsia="仿宋" w:cs="Times New Roman"/>
                <w:b/>
                <w:bCs/>
                <w:color w:val="auto"/>
                <w:sz w:val="24"/>
                <w:szCs w:val="24"/>
                <w:highlight w:val="none"/>
                <w:lang w:eastAsia="zh-CN"/>
              </w:rPr>
              <w:t>（</w:t>
            </w:r>
            <w:r>
              <w:rPr>
                <w:rFonts w:hint="eastAsia" w:ascii="仿宋" w:hAnsi="仿宋" w:eastAsia="仿宋" w:cs="Times New Roman"/>
                <w:b/>
                <w:bCs/>
                <w:color w:val="auto"/>
                <w:sz w:val="24"/>
                <w:szCs w:val="24"/>
                <w:highlight w:val="none"/>
                <w:lang w:val="en-US" w:eastAsia="zh-CN"/>
              </w:rPr>
              <w:t>5</w:t>
            </w:r>
            <w:r>
              <w:rPr>
                <w:rFonts w:hint="eastAsia" w:ascii="仿宋" w:hAnsi="仿宋" w:eastAsia="仿宋" w:cs="Times New Roman"/>
                <w:b/>
                <w:bCs/>
                <w:color w:val="auto"/>
                <w:sz w:val="24"/>
                <w:szCs w:val="24"/>
                <w:highlight w:val="none"/>
                <w:lang w:eastAsia="zh-CN"/>
              </w:rPr>
              <w:t>）</w:t>
            </w:r>
            <w:r>
              <w:rPr>
                <w:rFonts w:hint="eastAsia" w:ascii="仿宋" w:hAnsi="仿宋" w:eastAsia="仿宋" w:cs="Arial"/>
                <w:b/>
                <w:bCs/>
                <w:color w:val="auto"/>
                <w:sz w:val="24"/>
                <w:szCs w:val="24"/>
                <w:highlight w:val="none"/>
                <w:u w:val="single"/>
              </w:rPr>
              <w:t>竞争性磋商报价以最终报价为准，项目竣工结算时，最终结算价根据承诺优惠率同比例调整，调整范围包括合同部分及新增联系单部分</w:t>
            </w:r>
            <w:r>
              <w:rPr>
                <w:rFonts w:hint="eastAsia" w:ascii="仿宋" w:hAnsi="仿宋" w:eastAsia="仿宋" w:cs="Times New Roman"/>
                <w:b/>
                <w:bCs/>
                <w:color w:val="auto"/>
                <w:sz w:val="24"/>
                <w:szCs w:val="24"/>
                <w:highlight w:val="none"/>
              </w:rPr>
              <w:t>。</w:t>
            </w:r>
          </w:p>
        </w:tc>
      </w:tr>
    </w:tbl>
    <w:p>
      <w:pPr>
        <w:autoSpaceDN w:val="0"/>
        <w:snapToGrid w:val="0"/>
        <w:spacing w:line="360" w:lineRule="auto"/>
        <w:rPr>
          <w:rFonts w:ascii="仿宋" w:hAnsi="仿宋" w:eastAsia="仿宋" w:cs="宋体"/>
          <w:color w:val="auto"/>
          <w:sz w:val="24"/>
          <w:szCs w:val="24"/>
          <w:highlight w:val="none"/>
        </w:rPr>
      </w:pPr>
    </w:p>
    <w:p>
      <w:pPr>
        <w:rPr>
          <w:rFonts w:ascii="Times New Roman" w:hAnsi="仿宋" w:eastAsia="仿宋" w:cs="Times New Roman"/>
          <w:b/>
          <w:bCs/>
          <w:color w:val="auto"/>
          <w:sz w:val="28"/>
          <w:szCs w:val="28"/>
          <w:highlight w:val="none"/>
        </w:rPr>
      </w:pPr>
      <w:bookmarkStart w:id="37" w:name="_Toc82873322"/>
      <w:bookmarkStart w:id="38" w:name="_Toc82338239"/>
      <w:bookmarkStart w:id="39" w:name="_Toc96947060"/>
      <w:r>
        <w:rPr>
          <w:rFonts w:hint="eastAsia" w:ascii="Times New Roman" w:hAnsi="仿宋" w:eastAsia="仿宋" w:cs="Times New Roman"/>
          <w:b/>
          <w:bCs/>
          <w:color w:val="auto"/>
          <w:sz w:val="28"/>
          <w:szCs w:val="28"/>
          <w:highlight w:val="none"/>
        </w:rPr>
        <w:br w:type="page"/>
      </w:r>
    </w:p>
    <w:p>
      <w:pPr>
        <w:keepNext/>
        <w:keepLines/>
        <w:autoSpaceDN w:val="0"/>
        <w:spacing w:before="260" w:after="260" w:line="415" w:lineRule="auto"/>
        <w:outlineLvl w:val="1"/>
        <w:rPr>
          <w:rFonts w:ascii="仿宋" w:hAnsi="仿宋" w:eastAsia="仿宋" w:cs="Times New Roman"/>
          <w:b/>
          <w:bCs/>
          <w:color w:val="auto"/>
          <w:sz w:val="28"/>
          <w:szCs w:val="28"/>
          <w:highlight w:val="none"/>
        </w:rPr>
      </w:pPr>
      <w:bookmarkStart w:id="40" w:name="_Toc19240"/>
      <w:r>
        <w:rPr>
          <w:rFonts w:hint="eastAsia" w:ascii="Times New Roman" w:hAnsi="仿宋" w:eastAsia="仿宋" w:cs="Times New Roman"/>
          <w:b/>
          <w:bCs/>
          <w:color w:val="auto"/>
          <w:sz w:val="28"/>
          <w:szCs w:val="28"/>
          <w:highlight w:val="none"/>
        </w:rPr>
        <w:t>一、</w:t>
      </w:r>
      <w:bookmarkEnd w:id="37"/>
      <w:bookmarkEnd w:id="38"/>
      <w:r>
        <w:rPr>
          <w:rFonts w:hint="eastAsia" w:ascii="Times New Roman" w:hAnsi="仿宋" w:eastAsia="仿宋" w:cs="Times New Roman"/>
          <w:b/>
          <w:bCs/>
          <w:color w:val="auto"/>
          <w:sz w:val="28"/>
          <w:szCs w:val="28"/>
          <w:highlight w:val="none"/>
        </w:rPr>
        <w:t>总则</w:t>
      </w:r>
      <w:bookmarkEnd w:id="39"/>
      <w:bookmarkEnd w:id="40"/>
    </w:p>
    <w:p>
      <w:pPr>
        <w:keepNext/>
        <w:keepLines/>
        <w:autoSpaceDN w:val="0"/>
        <w:spacing w:before="93" w:beforeLines="30" w:after="93" w:afterLines="30" w:line="360" w:lineRule="auto"/>
        <w:ind w:firstLine="283" w:firstLineChars="118"/>
        <w:outlineLvl w:val="2"/>
        <w:rPr>
          <w:rFonts w:ascii="仿宋" w:hAnsi="仿宋" w:eastAsia="仿宋" w:cs="Times New Roman"/>
          <w:b/>
          <w:bCs/>
          <w:color w:val="auto"/>
          <w:sz w:val="24"/>
          <w:szCs w:val="32"/>
          <w:highlight w:val="none"/>
        </w:rPr>
      </w:pPr>
      <w:bookmarkStart w:id="41" w:name="_Toc82873323"/>
      <w:bookmarkStart w:id="42" w:name="_Toc82338240"/>
      <w:r>
        <w:rPr>
          <w:rFonts w:hint="eastAsia" w:ascii="仿宋" w:hAnsi="仿宋" w:eastAsia="仿宋" w:cs="Times New Roman"/>
          <w:b/>
          <w:bCs/>
          <w:color w:val="auto"/>
          <w:sz w:val="24"/>
          <w:szCs w:val="32"/>
          <w:highlight w:val="none"/>
        </w:rPr>
        <w:t>1.1、实施依据及适用范围</w:t>
      </w:r>
    </w:p>
    <w:p>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kern w:val="0"/>
          <w:sz w:val="24"/>
          <w:szCs w:val="20"/>
          <w:highlight w:val="none"/>
        </w:rPr>
        <w:t>1.1.1实施依据：本次采购工作按照《中华人民共和国政府采购法》、《中华人民共和国政府采购法实施条例》、《浙江省政府采购项目电子交易管理暂行办法》、浙财采监[2022]3号等政府采购有关法律、法规、规章、文件的规定组织和实施；</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1.1.2本竞争性磋商文件适用于</w:t>
      </w:r>
      <w:r>
        <w:rPr>
          <w:rFonts w:hint="eastAsia" w:ascii="仿宋" w:hAnsi="仿宋" w:eastAsia="仿宋" w:cs="Times New Roman"/>
          <w:color w:val="auto"/>
          <w:kern w:val="0"/>
          <w:sz w:val="24"/>
          <w:szCs w:val="20"/>
          <w:highlight w:val="none"/>
          <w:u w:val="single"/>
          <w:lang w:eastAsia="zh-CN"/>
        </w:rPr>
        <w:t>省拱宸所戒毒法治基地配套项目标一</w:t>
      </w:r>
      <w:r>
        <w:rPr>
          <w:rFonts w:hint="eastAsia" w:ascii="仿宋" w:hAnsi="仿宋" w:eastAsia="仿宋" w:cs="Times New Roman"/>
          <w:color w:val="auto"/>
          <w:kern w:val="0"/>
          <w:sz w:val="24"/>
          <w:szCs w:val="20"/>
          <w:highlight w:val="none"/>
          <w:u w:val="single"/>
        </w:rPr>
        <w:t>（项目编号：</w:t>
      </w:r>
      <w:r>
        <w:rPr>
          <w:rFonts w:hint="eastAsia" w:ascii="仿宋" w:hAnsi="仿宋" w:eastAsia="仿宋" w:cs="Times New Roman"/>
          <w:color w:val="auto"/>
          <w:kern w:val="0"/>
          <w:sz w:val="24"/>
          <w:szCs w:val="20"/>
          <w:highlight w:val="none"/>
          <w:u w:val="single"/>
          <w:lang w:eastAsia="zh-CN"/>
        </w:rPr>
        <w:t>HSZB-2024-329</w:t>
      </w:r>
      <w:r>
        <w:rPr>
          <w:rFonts w:hint="eastAsia" w:ascii="仿宋" w:hAnsi="仿宋" w:eastAsia="仿宋" w:cs="Times New Roman"/>
          <w:color w:val="auto"/>
          <w:kern w:val="0"/>
          <w:sz w:val="24"/>
          <w:szCs w:val="20"/>
          <w:highlight w:val="none"/>
          <w:u w:val="single"/>
        </w:rPr>
        <w:t>）</w:t>
      </w:r>
      <w:r>
        <w:rPr>
          <w:rFonts w:hint="eastAsia" w:ascii="仿宋" w:hAnsi="仿宋" w:eastAsia="仿宋" w:cs="Times New Roman"/>
          <w:color w:val="auto"/>
          <w:kern w:val="0"/>
          <w:sz w:val="24"/>
          <w:szCs w:val="20"/>
          <w:highlight w:val="none"/>
        </w:rPr>
        <w:t>的采购、响应、磋商、评标、定标、验收、合同履约、付款等（法律、法规另有规定的，从其规定）。</w:t>
      </w:r>
    </w:p>
    <w:p>
      <w:pPr>
        <w:keepNext/>
        <w:keepLines/>
        <w:autoSpaceDN w:val="0"/>
        <w:spacing w:before="93" w:beforeLines="30" w:after="93" w:afterLines="30" w:line="360" w:lineRule="auto"/>
        <w:ind w:firstLine="283"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1.2 项目基本信息</w:t>
      </w:r>
    </w:p>
    <w:p>
      <w:pPr>
        <w:autoSpaceDN w:val="0"/>
        <w:spacing w:line="360" w:lineRule="auto"/>
        <w:ind w:firstLine="424"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1.2.1项目名称：</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pPr>
        <w:autoSpaceDN w:val="0"/>
        <w:spacing w:line="360" w:lineRule="auto"/>
        <w:ind w:firstLine="424"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1.2.2项目编号：</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pPr>
        <w:autoSpaceDN w:val="0"/>
        <w:spacing w:line="360" w:lineRule="auto"/>
        <w:ind w:firstLine="424"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1.2.3采购内容：</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pPr>
        <w:autoSpaceDN w:val="0"/>
        <w:spacing w:line="360" w:lineRule="auto"/>
        <w:ind w:firstLine="424"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1.2.4最高限价：</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pPr>
        <w:autoSpaceDN w:val="0"/>
        <w:spacing w:line="360" w:lineRule="auto"/>
        <w:ind w:firstLine="424"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1.2.5资金落实情况：</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pPr>
        <w:autoSpaceDN w:val="0"/>
        <w:spacing w:line="360" w:lineRule="auto"/>
        <w:ind w:firstLine="424"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1.2.6采购人：</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pPr>
        <w:autoSpaceDN w:val="0"/>
        <w:spacing w:line="360" w:lineRule="auto"/>
        <w:ind w:firstLine="424"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1.2.7采购代理机构：</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pPr>
        <w:autoSpaceDN w:val="0"/>
        <w:spacing w:line="360" w:lineRule="auto"/>
        <w:ind w:firstLine="424"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1.2.8交易方式：</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pPr>
        <w:autoSpaceDN w:val="0"/>
        <w:spacing w:line="360" w:lineRule="auto"/>
        <w:ind w:firstLine="424"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1.2.9电子交易平台：</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pPr>
        <w:autoSpaceDN w:val="0"/>
        <w:spacing w:line="360" w:lineRule="auto"/>
        <w:ind w:firstLine="424"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1.2.10工期：</w:t>
      </w:r>
      <w:r>
        <w:rPr>
          <w:rFonts w:hint="eastAsia" w:ascii="仿宋" w:hAnsi="仿宋" w:eastAsia="仿宋" w:cs="Times New Roman"/>
          <w:b/>
          <w:color w:val="auto"/>
          <w:sz w:val="24"/>
          <w:szCs w:val="20"/>
          <w:highlight w:val="none"/>
          <w:u w:val="single"/>
        </w:rPr>
        <w:t>见《磋商须知前附表》。</w:t>
      </w:r>
    </w:p>
    <w:p>
      <w:pPr>
        <w:keepNext/>
        <w:keepLines/>
        <w:autoSpaceDN w:val="0"/>
        <w:spacing w:before="93" w:beforeLines="30" w:after="93" w:afterLines="30" w:line="360" w:lineRule="auto"/>
        <w:ind w:firstLine="283"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1.3 采购方式和采购组织类型</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1.3.1采购方式：</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color w:val="auto"/>
          <w:sz w:val="24"/>
          <w:szCs w:val="20"/>
          <w:highlight w:val="none"/>
        </w:rPr>
        <w:t>；</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1.3.2采购组织类型：</w:t>
      </w:r>
      <w:r>
        <w:rPr>
          <w:rFonts w:hint="eastAsia" w:ascii="仿宋" w:hAnsi="仿宋" w:eastAsia="仿宋" w:cs="Arial"/>
          <w:b/>
          <w:color w:val="auto"/>
          <w:sz w:val="24"/>
          <w:szCs w:val="20"/>
          <w:highlight w:val="none"/>
          <w:u w:val="single"/>
        </w:rPr>
        <w:t>分散采购-分散委托中介</w:t>
      </w:r>
      <w:r>
        <w:rPr>
          <w:rFonts w:hint="eastAsia" w:ascii="仿宋" w:hAnsi="仿宋" w:eastAsia="仿宋" w:cs="Times New Roman"/>
          <w:b/>
          <w:color w:val="auto"/>
          <w:kern w:val="0"/>
          <w:sz w:val="24"/>
          <w:szCs w:val="20"/>
          <w:highlight w:val="none"/>
        </w:rPr>
        <w:t>。</w:t>
      </w:r>
    </w:p>
    <w:p>
      <w:pPr>
        <w:keepNext/>
        <w:keepLines/>
        <w:autoSpaceDN w:val="0"/>
        <w:spacing w:before="93" w:beforeLines="30" w:after="93" w:afterLines="30" w:line="360" w:lineRule="auto"/>
        <w:ind w:firstLine="283"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1.4 合格供应商资格要求</w:t>
      </w:r>
    </w:p>
    <w:p>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b/>
          <w:color w:val="auto"/>
          <w:sz w:val="24"/>
          <w:szCs w:val="20"/>
          <w:highlight w:val="none"/>
        </w:rPr>
        <w:t>1.4.1合格供应商“基本资格”要求：</w:t>
      </w:r>
      <w:r>
        <w:rPr>
          <w:rFonts w:hint="eastAsia" w:ascii="仿宋" w:hAnsi="仿宋" w:eastAsia="仿宋" w:cs="Times New Roman"/>
          <w:b/>
          <w:color w:val="auto"/>
          <w:kern w:val="0"/>
          <w:sz w:val="24"/>
          <w:szCs w:val="20"/>
          <w:highlight w:val="none"/>
          <w:u w:val="single"/>
        </w:rPr>
        <w:t>见《第一章 竞争性磋商公告》</w:t>
      </w:r>
      <w:r>
        <w:rPr>
          <w:rFonts w:hint="eastAsia" w:ascii="仿宋" w:hAnsi="仿宋" w:eastAsia="仿宋" w:cs="Times New Roman"/>
          <w:color w:val="auto"/>
          <w:kern w:val="0"/>
          <w:sz w:val="24"/>
          <w:szCs w:val="20"/>
          <w:highlight w:val="none"/>
        </w:rPr>
        <w:t>；</w:t>
      </w:r>
    </w:p>
    <w:p>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b/>
          <w:color w:val="auto"/>
          <w:sz w:val="24"/>
          <w:szCs w:val="20"/>
          <w:highlight w:val="none"/>
        </w:rPr>
        <w:t>1.4.2合格供应商“特定资格”要求：</w:t>
      </w:r>
      <w:r>
        <w:rPr>
          <w:rFonts w:hint="eastAsia" w:ascii="仿宋" w:hAnsi="仿宋" w:eastAsia="仿宋" w:cs="Times New Roman"/>
          <w:b/>
          <w:color w:val="auto"/>
          <w:kern w:val="0"/>
          <w:sz w:val="24"/>
          <w:szCs w:val="20"/>
          <w:highlight w:val="none"/>
          <w:u w:val="single"/>
        </w:rPr>
        <w:t>见《第一章 竞争性磋商公告》</w:t>
      </w:r>
      <w:r>
        <w:rPr>
          <w:rFonts w:hint="eastAsia" w:ascii="仿宋" w:hAnsi="仿宋" w:eastAsia="仿宋" w:cs="Times New Roman"/>
          <w:color w:val="auto"/>
          <w:kern w:val="0"/>
          <w:sz w:val="24"/>
          <w:szCs w:val="20"/>
          <w:highlight w:val="none"/>
        </w:rPr>
        <w:t>。</w:t>
      </w:r>
    </w:p>
    <w:p>
      <w:pPr>
        <w:keepNext/>
        <w:keepLines/>
        <w:autoSpaceDN w:val="0"/>
        <w:spacing w:before="93" w:beforeLines="30" w:after="93" w:afterLines="30" w:line="360" w:lineRule="auto"/>
        <w:ind w:firstLine="283"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1.5 定义</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1.5.1“采购人”：</w:t>
      </w:r>
      <w:r>
        <w:rPr>
          <w:rFonts w:hint="eastAsia" w:ascii="仿宋" w:hAnsi="仿宋" w:eastAsia="仿宋" w:cs="Times New Roman"/>
          <w:color w:val="auto"/>
          <w:sz w:val="24"/>
          <w:szCs w:val="20"/>
          <w:highlight w:val="none"/>
        </w:rPr>
        <w:t>是</w:t>
      </w:r>
      <w:r>
        <w:rPr>
          <w:rFonts w:hint="eastAsia" w:ascii="仿宋" w:hAnsi="仿宋" w:eastAsia="仿宋" w:cs="Times New Roman"/>
          <w:color w:val="auto"/>
          <w:kern w:val="0"/>
          <w:sz w:val="24"/>
          <w:szCs w:val="20"/>
          <w:highlight w:val="none"/>
        </w:rPr>
        <w:t>指依法进行政府采购的国家机关、事业单位、团体组织，即政府采购合同中的“甲方”</w:t>
      </w:r>
      <w:r>
        <w:rPr>
          <w:rFonts w:hint="eastAsia" w:ascii="仿宋" w:hAnsi="仿宋" w:eastAsia="仿宋" w:cs="Times New Roman"/>
          <w:b/>
          <w:color w:val="auto"/>
          <w:kern w:val="0"/>
          <w:sz w:val="24"/>
          <w:szCs w:val="20"/>
          <w:highlight w:val="none"/>
        </w:rPr>
        <w:t>（本项目的采购人是指“</w:t>
      </w:r>
      <w:r>
        <w:rPr>
          <w:rFonts w:hint="eastAsia" w:ascii="仿宋" w:hAnsi="仿宋" w:eastAsia="仿宋" w:cs="Times New Roman"/>
          <w:b/>
          <w:color w:val="auto"/>
          <w:sz w:val="24"/>
          <w:szCs w:val="20"/>
          <w:highlight w:val="none"/>
          <w:u w:val="single"/>
          <w:lang w:eastAsia="zh-CN"/>
        </w:rPr>
        <w:t>浙江省拱宸强制隔离戒毒所</w:t>
      </w:r>
      <w:r>
        <w:rPr>
          <w:rFonts w:hint="eastAsia" w:ascii="仿宋" w:hAnsi="仿宋" w:eastAsia="仿宋" w:cs="Times New Roman"/>
          <w:b/>
          <w:color w:val="auto"/>
          <w:kern w:val="0"/>
          <w:sz w:val="24"/>
          <w:szCs w:val="20"/>
          <w:highlight w:val="none"/>
        </w:rPr>
        <w:t>”）</w:t>
      </w:r>
      <w:r>
        <w:rPr>
          <w:rFonts w:hint="eastAsia" w:ascii="仿宋" w:hAnsi="仿宋" w:eastAsia="仿宋" w:cs="Times New Roman"/>
          <w:color w:val="auto"/>
          <w:kern w:val="0"/>
          <w:sz w:val="24"/>
          <w:szCs w:val="20"/>
          <w:highlight w:val="none"/>
        </w:rPr>
        <w:t>；</w:t>
      </w:r>
    </w:p>
    <w:p>
      <w:pPr>
        <w:autoSpaceDN w:val="0"/>
        <w:spacing w:line="360" w:lineRule="auto"/>
        <w:ind w:firstLine="424"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1.5.2“采购代理机构”：</w:t>
      </w:r>
      <w:r>
        <w:rPr>
          <w:rFonts w:hint="eastAsia" w:ascii="仿宋" w:hAnsi="仿宋" w:eastAsia="仿宋" w:cs="Arial"/>
          <w:color w:val="auto"/>
          <w:sz w:val="24"/>
          <w:szCs w:val="20"/>
          <w:highlight w:val="none"/>
        </w:rPr>
        <w:t>是</w:t>
      </w:r>
      <w:r>
        <w:rPr>
          <w:rFonts w:hint="eastAsia" w:ascii="仿宋" w:hAnsi="仿宋" w:eastAsia="仿宋" w:cs="Arial"/>
          <w:color w:val="auto"/>
          <w:kern w:val="0"/>
          <w:sz w:val="24"/>
          <w:szCs w:val="20"/>
          <w:highlight w:val="none"/>
        </w:rPr>
        <w:t>指受采购人委托，在委托的范围内办理采购事宜的机构</w:t>
      </w:r>
      <w:r>
        <w:rPr>
          <w:rFonts w:hint="eastAsia" w:ascii="仿宋" w:hAnsi="仿宋" w:eastAsia="仿宋" w:cs="Arial"/>
          <w:b/>
          <w:color w:val="auto"/>
          <w:kern w:val="0"/>
          <w:sz w:val="24"/>
          <w:szCs w:val="20"/>
          <w:highlight w:val="none"/>
        </w:rPr>
        <w:t>（本项目的采购代理机构是指“</w:t>
      </w:r>
      <w:r>
        <w:rPr>
          <w:rFonts w:hint="eastAsia" w:ascii="仿宋" w:hAnsi="仿宋" w:eastAsia="仿宋" w:cs="Arial"/>
          <w:b/>
          <w:color w:val="auto"/>
          <w:kern w:val="0"/>
          <w:sz w:val="24"/>
          <w:szCs w:val="20"/>
          <w:highlight w:val="none"/>
          <w:u w:val="single"/>
        </w:rPr>
        <w:t xml:space="preserve"> 浙江豪圣建设项目管理有限公司 </w:t>
      </w:r>
      <w:r>
        <w:rPr>
          <w:rFonts w:hint="eastAsia" w:ascii="仿宋" w:hAnsi="仿宋" w:eastAsia="仿宋" w:cs="Arial"/>
          <w:b/>
          <w:color w:val="auto"/>
          <w:kern w:val="0"/>
          <w:sz w:val="24"/>
          <w:szCs w:val="20"/>
          <w:highlight w:val="none"/>
        </w:rPr>
        <w:t>”）</w:t>
      </w:r>
      <w:r>
        <w:rPr>
          <w:rFonts w:hint="eastAsia" w:ascii="仿宋" w:hAnsi="仿宋" w:eastAsia="仿宋" w:cs="Arial"/>
          <w:color w:val="auto"/>
          <w:kern w:val="0"/>
          <w:sz w:val="24"/>
          <w:szCs w:val="20"/>
          <w:highlight w:val="none"/>
        </w:rPr>
        <w:t>；</w:t>
      </w:r>
    </w:p>
    <w:p>
      <w:pPr>
        <w:autoSpaceDN w:val="0"/>
        <w:spacing w:line="360" w:lineRule="auto"/>
        <w:ind w:firstLine="424" w:firstLineChars="177"/>
        <w:rPr>
          <w:rFonts w:ascii="仿宋" w:hAnsi="仿宋" w:eastAsia="仿宋" w:cs="Arial"/>
          <w:b/>
          <w:color w:val="auto"/>
          <w:kern w:val="0"/>
          <w:sz w:val="24"/>
          <w:szCs w:val="20"/>
          <w:highlight w:val="none"/>
        </w:rPr>
      </w:pPr>
      <w:r>
        <w:rPr>
          <w:rFonts w:hint="eastAsia" w:ascii="仿宋" w:hAnsi="仿宋" w:eastAsia="仿宋" w:cs="Arial"/>
          <w:b/>
          <w:color w:val="auto"/>
          <w:kern w:val="0"/>
          <w:sz w:val="24"/>
          <w:szCs w:val="20"/>
          <w:highlight w:val="none"/>
        </w:rPr>
        <w:t>1.5.3“采购组织机构”：</w:t>
      </w:r>
      <w:r>
        <w:rPr>
          <w:rFonts w:hint="eastAsia" w:ascii="仿宋" w:hAnsi="仿宋" w:eastAsia="仿宋" w:cs="Arial"/>
          <w:color w:val="auto"/>
          <w:sz w:val="24"/>
          <w:szCs w:val="20"/>
          <w:highlight w:val="none"/>
        </w:rPr>
        <w:t>是</w:t>
      </w:r>
      <w:r>
        <w:rPr>
          <w:rFonts w:hint="eastAsia" w:ascii="仿宋" w:hAnsi="仿宋" w:eastAsia="仿宋" w:cs="Arial"/>
          <w:color w:val="auto"/>
          <w:kern w:val="0"/>
          <w:sz w:val="24"/>
          <w:szCs w:val="20"/>
          <w:highlight w:val="none"/>
        </w:rPr>
        <w:t>指采购人和受采购人委托的采购代理机构；</w:t>
      </w:r>
    </w:p>
    <w:p>
      <w:pPr>
        <w:autoSpaceDN w:val="0"/>
        <w:spacing w:line="360" w:lineRule="auto"/>
        <w:ind w:firstLine="424"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1.5.4“磋商响应供应商”（或磋商供应商或供应商）：</w:t>
      </w:r>
      <w:r>
        <w:rPr>
          <w:rFonts w:hint="eastAsia" w:ascii="仿宋" w:hAnsi="仿宋" w:eastAsia="仿宋" w:cs="Arial"/>
          <w:color w:val="auto"/>
          <w:sz w:val="24"/>
          <w:szCs w:val="20"/>
          <w:highlight w:val="none"/>
        </w:rPr>
        <w:t>是</w:t>
      </w:r>
      <w:r>
        <w:rPr>
          <w:rFonts w:hint="eastAsia" w:ascii="仿宋" w:hAnsi="仿宋" w:eastAsia="仿宋" w:cs="Arial"/>
          <w:color w:val="auto"/>
          <w:kern w:val="0"/>
          <w:sz w:val="24"/>
          <w:szCs w:val="20"/>
          <w:highlight w:val="none"/>
        </w:rPr>
        <w:t>指响应采购、参加投标竞争的法人、其他组织或者自然人；</w:t>
      </w:r>
    </w:p>
    <w:p>
      <w:pPr>
        <w:autoSpaceDN w:val="0"/>
        <w:spacing w:line="360" w:lineRule="auto"/>
        <w:ind w:firstLine="424" w:firstLineChars="177"/>
        <w:rPr>
          <w:rFonts w:ascii="仿宋" w:hAnsi="仿宋" w:eastAsia="仿宋" w:cs="Arial"/>
          <w:color w:val="auto"/>
          <w:sz w:val="24"/>
          <w:szCs w:val="20"/>
          <w:highlight w:val="none"/>
        </w:rPr>
      </w:pPr>
      <w:r>
        <w:rPr>
          <w:rFonts w:hint="eastAsia" w:ascii="仿宋" w:hAnsi="仿宋" w:eastAsia="仿宋" w:cs="Arial"/>
          <w:b/>
          <w:color w:val="auto"/>
          <w:kern w:val="0"/>
          <w:sz w:val="24"/>
          <w:szCs w:val="20"/>
          <w:highlight w:val="none"/>
        </w:rPr>
        <w:t>1.5.5“磋商响应供应商代表”：</w:t>
      </w:r>
      <w:r>
        <w:rPr>
          <w:rFonts w:hint="eastAsia" w:ascii="仿宋" w:hAnsi="仿宋" w:eastAsia="仿宋" w:cs="Arial"/>
          <w:color w:val="auto"/>
          <w:sz w:val="24"/>
          <w:szCs w:val="20"/>
          <w:highlight w:val="none"/>
        </w:rPr>
        <w:t>是指参加本项目磋商活动的磋商响应供应商的法定代表人或法定代表人授权代表；</w:t>
      </w:r>
    </w:p>
    <w:p>
      <w:pPr>
        <w:autoSpaceDN w:val="0"/>
        <w:spacing w:line="360" w:lineRule="auto"/>
        <w:ind w:firstLine="424" w:firstLineChars="177"/>
        <w:rPr>
          <w:rFonts w:ascii="仿宋" w:hAnsi="仿宋" w:eastAsia="仿宋" w:cs="Arial"/>
          <w:color w:val="auto"/>
          <w:sz w:val="24"/>
          <w:szCs w:val="20"/>
          <w:highlight w:val="none"/>
        </w:rPr>
      </w:pPr>
      <w:r>
        <w:rPr>
          <w:rFonts w:hint="eastAsia" w:ascii="仿宋" w:hAnsi="仿宋" w:eastAsia="仿宋" w:cs="Arial"/>
          <w:b/>
          <w:color w:val="auto"/>
          <w:kern w:val="0"/>
          <w:sz w:val="24"/>
          <w:szCs w:val="20"/>
          <w:highlight w:val="none"/>
        </w:rPr>
        <w:t>1.5.6“</w:t>
      </w:r>
      <w:r>
        <w:rPr>
          <w:rFonts w:hint="eastAsia" w:ascii="仿宋" w:hAnsi="仿宋" w:eastAsia="仿宋" w:cs="Arial"/>
          <w:b/>
          <w:color w:val="auto"/>
          <w:sz w:val="24"/>
          <w:szCs w:val="20"/>
          <w:highlight w:val="none"/>
        </w:rPr>
        <w:t>磋商联合体</w:t>
      </w:r>
      <w:r>
        <w:rPr>
          <w:rFonts w:hint="eastAsia" w:ascii="仿宋" w:hAnsi="仿宋" w:eastAsia="仿宋" w:cs="Arial"/>
          <w:b/>
          <w:color w:val="auto"/>
          <w:kern w:val="0"/>
          <w:sz w:val="24"/>
          <w:szCs w:val="20"/>
          <w:highlight w:val="none"/>
        </w:rPr>
        <w:t>”</w:t>
      </w:r>
      <w:r>
        <w:rPr>
          <w:rFonts w:hint="eastAsia" w:ascii="仿宋" w:hAnsi="仿宋" w:eastAsia="仿宋" w:cs="Arial"/>
          <w:b/>
          <w:color w:val="auto"/>
          <w:sz w:val="24"/>
          <w:szCs w:val="20"/>
          <w:highlight w:val="none"/>
        </w:rPr>
        <w:t>：</w:t>
      </w:r>
      <w:r>
        <w:rPr>
          <w:rFonts w:hint="eastAsia" w:ascii="仿宋" w:hAnsi="仿宋" w:eastAsia="仿宋" w:cs="Arial"/>
          <w:color w:val="auto"/>
          <w:sz w:val="24"/>
          <w:szCs w:val="20"/>
          <w:highlight w:val="none"/>
        </w:rPr>
        <w:t>是指两个或以上供应商组成联合体，以一个磋商响应供应商的身份参加磋商响应；</w:t>
      </w:r>
    </w:p>
    <w:p>
      <w:pPr>
        <w:autoSpaceDN w:val="0"/>
        <w:spacing w:line="360" w:lineRule="auto"/>
        <w:ind w:firstLine="424" w:firstLineChars="177"/>
        <w:rPr>
          <w:rFonts w:ascii="仿宋" w:hAnsi="仿宋" w:eastAsia="仿宋" w:cs="Arial"/>
          <w:color w:val="auto"/>
          <w:sz w:val="24"/>
          <w:szCs w:val="20"/>
          <w:highlight w:val="none"/>
        </w:rPr>
      </w:pPr>
      <w:r>
        <w:rPr>
          <w:rFonts w:hint="eastAsia" w:ascii="仿宋" w:hAnsi="仿宋" w:eastAsia="仿宋" w:cs="Arial"/>
          <w:b/>
          <w:color w:val="auto"/>
          <w:kern w:val="0"/>
          <w:sz w:val="24"/>
          <w:szCs w:val="20"/>
          <w:highlight w:val="none"/>
        </w:rPr>
        <w:t>1.5.7“成交供应商”（或中标供应商）：</w:t>
      </w:r>
      <w:r>
        <w:rPr>
          <w:rFonts w:hint="eastAsia" w:ascii="仿宋" w:hAnsi="仿宋" w:eastAsia="仿宋" w:cs="Arial"/>
          <w:color w:val="auto"/>
          <w:kern w:val="0"/>
          <w:sz w:val="24"/>
          <w:szCs w:val="20"/>
          <w:highlight w:val="none"/>
        </w:rPr>
        <w:t>是指经磋商小组推荐并经采购人确认的成交单位，</w:t>
      </w:r>
      <w:r>
        <w:rPr>
          <w:rFonts w:hint="eastAsia" w:ascii="仿宋" w:hAnsi="仿宋" w:eastAsia="仿宋" w:cs="Arial"/>
          <w:b/>
          <w:color w:val="auto"/>
          <w:kern w:val="0"/>
          <w:sz w:val="24"/>
          <w:szCs w:val="20"/>
          <w:highlight w:val="none"/>
        </w:rPr>
        <w:t>即政府采购合同中的“乙方”</w:t>
      </w:r>
      <w:r>
        <w:rPr>
          <w:rFonts w:hint="eastAsia" w:ascii="仿宋" w:hAnsi="仿宋" w:eastAsia="仿宋" w:cs="Arial"/>
          <w:color w:val="auto"/>
          <w:kern w:val="0"/>
          <w:sz w:val="24"/>
          <w:szCs w:val="20"/>
          <w:highlight w:val="none"/>
        </w:rPr>
        <w:t>；</w:t>
      </w:r>
    </w:p>
    <w:p>
      <w:pPr>
        <w:autoSpaceDN w:val="0"/>
        <w:spacing w:line="360" w:lineRule="auto"/>
        <w:ind w:firstLine="424" w:firstLineChars="177"/>
        <w:rPr>
          <w:rFonts w:ascii="仿宋" w:hAnsi="仿宋" w:eastAsia="仿宋" w:cs="Arial"/>
          <w:b/>
          <w:color w:val="auto"/>
          <w:kern w:val="0"/>
          <w:sz w:val="24"/>
          <w:szCs w:val="20"/>
          <w:highlight w:val="none"/>
        </w:rPr>
      </w:pPr>
      <w:r>
        <w:rPr>
          <w:rFonts w:hint="eastAsia" w:ascii="仿宋" w:hAnsi="仿宋" w:eastAsia="仿宋" w:cs="Arial"/>
          <w:b/>
          <w:color w:val="auto"/>
          <w:kern w:val="0"/>
          <w:sz w:val="24"/>
          <w:szCs w:val="20"/>
          <w:highlight w:val="none"/>
        </w:rPr>
        <w:t>1.5.8“同级政府采购监督管理部门”：是指“</w:t>
      </w:r>
      <w:r>
        <w:rPr>
          <w:rFonts w:hint="eastAsia" w:ascii="仿宋" w:hAnsi="仿宋" w:eastAsia="仿宋" w:cs="Arial"/>
          <w:b/>
          <w:color w:val="auto"/>
          <w:kern w:val="0"/>
          <w:sz w:val="24"/>
          <w:szCs w:val="20"/>
          <w:highlight w:val="none"/>
          <w:u w:val="single"/>
        </w:rPr>
        <w:t>浙江省财政厅政府采购监管处</w:t>
      </w:r>
      <w:r>
        <w:rPr>
          <w:rFonts w:hint="eastAsia" w:ascii="仿宋" w:hAnsi="仿宋" w:eastAsia="仿宋" w:cs="Arial"/>
          <w:b/>
          <w:color w:val="auto"/>
          <w:kern w:val="0"/>
          <w:sz w:val="24"/>
          <w:szCs w:val="20"/>
          <w:highlight w:val="none"/>
        </w:rPr>
        <w:t>”；</w:t>
      </w:r>
    </w:p>
    <w:p>
      <w:pPr>
        <w:autoSpaceDN w:val="0"/>
        <w:spacing w:line="360" w:lineRule="auto"/>
        <w:ind w:firstLine="424" w:firstLineChars="177"/>
        <w:rPr>
          <w:rFonts w:ascii="仿宋" w:hAnsi="仿宋" w:eastAsia="仿宋" w:cs="Arial"/>
          <w:color w:val="auto"/>
          <w:sz w:val="24"/>
          <w:szCs w:val="20"/>
          <w:highlight w:val="none"/>
        </w:rPr>
      </w:pPr>
      <w:r>
        <w:rPr>
          <w:rFonts w:hint="eastAsia" w:ascii="仿宋" w:hAnsi="仿宋" w:eastAsia="仿宋" w:cs="Arial"/>
          <w:b/>
          <w:bCs/>
          <w:color w:val="auto"/>
          <w:sz w:val="24"/>
          <w:szCs w:val="20"/>
          <w:highlight w:val="none"/>
        </w:rPr>
        <w:t>1.5.9“中小企业（含中型、小型、微型）”：</w:t>
      </w:r>
      <w:r>
        <w:rPr>
          <w:rFonts w:hint="eastAsia" w:ascii="仿宋" w:hAnsi="仿宋" w:eastAsia="仿宋" w:cs="Arial"/>
          <w:color w:val="auto"/>
          <w:sz w:val="24"/>
          <w:szCs w:val="20"/>
          <w:highlight w:val="none"/>
        </w:rPr>
        <w:t>是指在中华人民共和国境内依法设立，依据国务院批准的中小企业划分标准（工信部联企业[2011]300号）确定的中型企业、小型企业和微型企业，但与大企业的负责人为同一人，或者与大企业存在直接控股、管理关系的除外。</w:t>
      </w:r>
    </w:p>
    <w:p>
      <w:pPr>
        <w:autoSpaceDN w:val="0"/>
        <w:spacing w:line="360" w:lineRule="auto"/>
        <w:ind w:firstLine="424" w:firstLineChars="177"/>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符合中小企业划分标准的个体工商户，在政府采购活动中视同中小企业。</w:t>
      </w:r>
    </w:p>
    <w:p>
      <w:pPr>
        <w:autoSpaceDN w:val="0"/>
        <w:spacing w:line="360" w:lineRule="auto"/>
        <w:ind w:firstLine="424"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1.5.10“监狱企业”：</w:t>
      </w:r>
      <w:r>
        <w:rPr>
          <w:rFonts w:hint="eastAsia" w:ascii="仿宋" w:hAnsi="仿宋" w:eastAsia="仿宋" w:cs="Arial"/>
          <w:color w:val="auto"/>
          <w:kern w:val="0"/>
          <w:sz w:val="24"/>
          <w:szCs w:val="20"/>
          <w:highlight w:val="none"/>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utoSpaceDN w:val="0"/>
        <w:spacing w:line="360" w:lineRule="auto"/>
        <w:ind w:firstLine="424" w:firstLineChars="177"/>
        <w:rPr>
          <w:rFonts w:ascii="仿宋" w:hAnsi="仿宋" w:eastAsia="仿宋" w:cs="Arial"/>
          <w:color w:val="auto"/>
          <w:sz w:val="24"/>
          <w:szCs w:val="20"/>
          <w:highlight w:val="none"/>
        </w:rPr>
      </w:pPr>
      <w:r>
        <w:rPr>
          <w:rFonts w:hint="eastAsia" w:ascii="仿宋" w:hAnsi="仿宋" w:eastAsia="仿宋" w:cs="Arial"/>
          <w:b/>
          <w:color w:val="auto"/>
          <w:kern w:val="0"/>
          <w:sz w:val="24"/>
          <w:szCs w:val="20"/>
          <w:highlight w:val="none"/>
        </w:rPr>
        <w:t>1.5.11“残疾人福利性单位”：</w:t>
      </w:r>
      <w:r>
        <w:rPr>
          <w:rFonts w:hint="eastAsia" w:ascii="仿宋" w:hAnsi="仿宋" w:eastAsia="仿宋" w:cs="Arial"/>
          <w:color w:val="auto"/>
          <w:kern w:val="0"/>
          <w:sz w:val="24"/>
          <w:szCs w:val="20"/>
          <w:highlight w:val="none"/>
        </w:rPr>
        <w:t>是指符合《财政部 民政部 中国残疾人联合会关于促进残疾人就业政府采购政策的通知》（财库〔2017〕141号）的规定单位；</w:t>
      </w:r>
    </w:p>
    <w:p>
      <w:pPr>
        <w:autoSpaceDN w:val="0"/>
        <w:spacing w:line="360" w:lineRule="auto"/>
        <w:ind w:firstLine="424"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1.5.12“项目”：</w:t>
      </w:r>
      <w:r>
        <w:rPr>
          <w:rFonts w:hint="eastAsia" w:ascii="仿宋" w:hAnsi="仿宋" w:eastAsia="仿宋" w:cs="Arial"/>
          <w:color w:val="auto"/>
          <w:kern w:val="0"/>
          <w:sz w:val="24"/>
          <w:szCs w:val="20"/>
          <w:highlight w:val="none"/>
        </w:rPr>
        <w:t>是指磋商响应供应商按竞争性磋商文件规定向采购人提供的货物或服务或工程；</w:t>
      </w:r>
    </w:p>
    <w:p>
      <w:pPr>
        <w:autoSpaceDN w:val="0"/>
        <w:spacing w:line="360" w:lineRule="auto"/>
        <w:ind w:firstLine="424"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1.5.13“书面形式”：</w:t>
      </w:r>
      <w:r>
        <w:rPr>
          <w:rFonts w:hint="eastAsia" w:ascii="仿宋" w:hAnsi="仿宋" w:eastAsia="仿宋" w:cs="Arial"/>
          <w:color w:val="auto"/>
          <w:kern w:val="0"/>
          <w:sz w:val="24"/>
          <w:szCs w:val="20"/>
          <w:highlight w:val="none"/>
        </w:rPr>
        <w:t>是指加盖有单位公章的信函、传真、电子扫描件等；</w:t>
      </w:r>
    </w:p>
    <w:p>
      <w:pPr>
        <w:autoSpaceDN w:val="0"/>
        <w:spacing w:line="360" w:lineRule="auto"/>
        <w:ind w:firstLine="424"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1.5.14“个人有效身份证明”：</w:t>
      </w:r>
      <w:r>
        <w:rPr>
          <w:rFonts w:hint="eastAsia" w:ascii="仿宋" w:hAnsi="仿宋" w:eastAsia="仿宋" w:cs="Arial"/>
          <w:color w:val="auto"/>
          <w:kern w:val="0"/>
          <w:sz w:val="24"/>
          <w:szCs w:val="20"/>
          <w:highlight w:val="none"/>
        </w:rPr>
        <w:t>是指有效的居民身份证、临时居民身份证、护照、驾驶证等，有期限规定的证件在有效期内方为有效；</w:t>
      </w:r>
    </w:p>
    <w:p>
      <w:pPr>
        <w:autoSpaceDN w:val="0"/>
        <w:spacing w:line="360" w:lineRule="auto"/>
        <w:ind w:firstLine="424"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1.5.15“制造商”：</w:t>
      </w:r>
      <w:r>
        <w:rPr>
          <w:rFonts w:hint="eastAsia" w:ascii="仿宋" w:hAnsi="仿宋" w:eastAsia="仿宋" w:cs="Arial"/>
          <w:color w:val="auto"/>
          <w:kern w:val="0"/>
          <w:sz w:val="24"/>
          <w:szCs w:val="20"/>
          <w:highlight w:val="none"/>
        </w:rPr>
        <w:t>是指拥有投标产品自主知识产权的单位；</w:t>
      </w:r>
    </w:p>
    <w:p>
      <w:pPr>
        <w:autoSpaceDN w:val="0"/>
        <w:spacing w:line="360" w:lineRule="auto"/>
        <w:ind w:firstLine="424"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1.5.16“竞争性磋商文件（或磋商文件或采购文件）”：</w:t>
      </w:r>
      <w:r>
        <w:rPr>
          <w:rFonts w:hint="eastAsia" w:ascii="仿宋" w:hAnsi="仿宋" w:eastAsia="仿宋" w:cs="Arial"/>
          <w:color w:val="auto"/>
          <w:kern w:val="0"/>
          <w:sz w:val="24"/>
          <w:szCs w:val="20"/>
          <w:highlight w:val="none"/>
        </w:rPr>
        <w:t>是指本文件；</w:t>
      </w:r>
    </w:p>
    <w:p>
      <w:pPr>
        <w:autoSpaceDN w:val="0"/>
        <w:spacing w:line="360" w:lineRule="auto"/>
        <w:ind w:firstLine="424"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1.5.17“进口产品”：</w:t>
      </w:r>
      <w:r>
        <w:rPr>
          <w:rFonts w:hint="eastAsia" w:ascii="仿宋" w:hAnsi="仿宋" w:eastAsia="仿宋" w:cs="Arial"/>
          <w:color w:val="auto"/>
          <w:kern w:val="0"/>
          <w:sz w:val="24"/>
          <w:szCs w:val="20"/>
          <w:highlight w:val="none"/>
        </w:rPr>
        <w:t>是指通过中国海关报关验放进入中国境内且产自关境外的产品；</w:t>
      </w:r>
    </w:p>
    <w:p>
      <w:pPr>
        <w:autoSpaceDN w:val="0"/>
        <w:spacing w:line="360" w:lineRule="auto"/>
        <w:ind w:firstLine="424" w:firstLineChars="177"/>
        <w:rPr>
          <w:rFonts w:ascii="仿宋" w:hAnsi="仿宋" w:eastAsia="仿宋" w:cs="Arial"/>
          <w:b/>
          <w:color w:val="auto"/>
          <w:kern w:val="0"/>
          <w:sz w:val="24"/>
          <w:szCs w:val="20"/>
          <w:highlight w:val="none"/>
        </w:rPr>
      </w:pPr>
      <w:r>
        <w:rPr>
          <w:rFonts w:hint="eastAsia" w:ascii="仿宋" w:hAnsi="仿宋" w:eastAsia="仿宋" w:cs="Arial"/>
          <w:b/>
          <w:color w:val="auto"/>
          <w:kern w:val="0"/>
          <w:sz w:val="24"/>
          <w:szCs w:val="20"/>
          <w:highlight w:val="none"/>
        </w:rPr>
        <w:t>1.5.18“实质性条款（或要求）”：</w:t>
      </w:r>
      <w:r>
        <w:rPr>
          <w:rFonts w:hint="eastAsia" w:ascii="仿宋" w:hAnsi="仿宋" w:eastAsia="仿宋" w:cs="Arial"/>
          <w:b/>
          <w:color w:val="auto"/>
          <w:kern w:val="0"/>
          <w:sz w:val="24"/>
          <w:szCs w:val="20"/>
          <w:highlight w:val="none"/>
          <w:u w:val="single"/>
        </w:rPr>
        <w:t>是指本文件《第四章 采购内容及技术要求》中标注“▲”号的技术或商务条款（或要求），供应商磋商响应时应对所有“实质性条款（或要求）”作出实质性响应，且不得出现负偏离，否则磋商响应无效</w:t>
      </w:r>
      <w:r>
        <w:rPr>
          <w:rFonts w:hint="eastAsia" w:ascii="仿宋" w:hAnsi="仿宋" w:eastAsia="仿宋" w:cs="Arial"/>
          <w:b/>
          <w:color w:val="auto"/>
          <w:kern w:val="0"/>
          <w:sz w:val="24"/>
          <w:szCs w:val="20"/>
          <w:highlight w:val="none"/>
        </w:rPr>
        <w:t>；</w:t>
      </w:r>
    </w:p>
    <w:p>
      <w:pPr>
        <w:autoSpaceDN w:val="0"/>
        <w:spacing w:line="360" w:lineRule="auto"/>
        <w:ind w:firstLine="424"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1.5.19“活页装订”：</w:t>
      </w:r>
      <w:r>
        <w:rPr>
          <w:rFonts w:hint="eastAsia" w:ascii="仿宋" w:hAnsi="仿宋" w:eastAsia="仿宋" w:cs="Arial"/>
          <w:color w:val="auto"/>
          <w:kern w:val="0"/>
          <w:sz w:val="24"/>
          <w:szCs w:val="20"/>
          <w:highlight w:val="none"/>
        </w:rPr>
        <w:t>是指不借助工具的情况下就随时可以拆卸替换复原或翻阅时容易自行脱落的装订方式。</w:t>
      </w:r>
    </w:p>
    <w:p>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b/>
          <w:color w:val="auto"/>
          <w:sz w:val="24"/>
          <w:szCs w:val="20"/>
          <w:highlight w:val="none"/>
        </w:rPr>
        <w:t>1.5.20“重大偏离”或“保留”：</w:t>
      </w:r>
      <w:r>
        <w:rPr>
          <w:rFonts w:hint="eastAsia" w:ascii="仿宋" w:hAnsi="仿宋" w:eastAsia="仿宋" w:cs="Times New Roman"/>
          <w:color w:val="auto"/>
          <w:sz w:val="24"/>
          <w:szCs w:val="20"/>
          <w:highlight w:val="none"/>
        </w:rPr>
        <w:t>是指将会影响到磋商文件规定的服务范围、质量标准，或会给合同中规定的采购人的权利和磋商响应供应商的责任造成实质性限制，而纠正这些偏离或保留将对其他递交了实质性响应的磋商响应文件的磋商响应供应商产生不公平影响的。</w:t>
      </w:r>
    </w:p>
    <w:p>
      <w:pPr>
        <w:autoSpaceDN w:val="0"/>
        <w:spacing w:line="360" w:lineRule="auto"/>
        <w:ind w:firstLine="424" w:firstLineChars="177"/>
        <w:rPr>
          <w:rFonts w:ascii="仿宋" w:hAnsi="仿宋" w:eastAsia="仿宋" w:cs="Arial"/>
          <w:color w:val="auto"/>
          <w:kern w:val="0"/>
          <w:sz w:val="24"/>
          <w:szCs w:val="20"/>
          <w:highlight w:val="none"/>
        </w:rPr>
      </w:pPr>
      <w:r>
        <w:rPr>
          <w:rFonts w:hint="eastAsia" w:ascii="仿宋" w:hAnsi="仿宋" w:eastAsia="仿宋" w:cs="Times New Roman"/>
          <w:b/>
          <w:color w:val="auto"/>
          <w:sz w:val="24"/>
          <w:szCs w:val="20"/>
          <w:highlight w:val="none"/>
        </w:rPr>
        <w:t>1.5.21“细微偏离”</w:t>
      </w:r>
      <w:r>
        <w:rPr>
          <w:rFonts w:hint="eastAsia" w:ascii="仿宋" w:hAnsi="仿宋" w:eastAsia="仿宋" w:cs="Times New Roman"/>
          <w:color w:val="auto"/>
          <w:sz w:val="24"/>
          <w:szCs w:val="20"/>
          <w:highlight w:val="none"/>
        </w:rPr>
        <w:t>：是指磋商响应文件对磋商文件的非实质性内容存在不完全响应或不响应。</w:t>
      </w:r>
    </w:p>
    <w:p>
      <w:pPr>
        <w:keepNext/>
        <w:keepLines/>
        <w:autoSpaceDN w:val="0"/>
        <w:spacing w:before="93" w:beforeLines="30" w:after="93" w:afterLines="30" w:line="360" w:lineRule="auto"/>
        <w:ind w:firstLine="283"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1.6 投标委托</w:t>
      </w:r>
    </w:p>
    <w:p>
      <w:pPr>
        <w:autoSpaceDN w:val="0"/>
        <w:spacing w:line="360" w:lineRule="auto"/>
        <w:ind w:firstLine="424" w:firstLineChars="177"/>
        <w:rPr>
          <w:rFonts w:ascii="仿宋" w:hAnsi="仿宋" w:eastAsia="仿宋" w:cs="Times New Roman"/>
          <w:b/>
          <w:color w:val="auto"/>
          <w:sz w:val="24"/>
          <w:szCs w:val="20"/>
          <w:highlight w:val="none"/>
        </w:rPr>
      </w:pPr>
      <w:r>
        <w:rPr>
          <w:rFonts w:hint="eastAsia" w:ascii="仿宋" w:hAnsi="仿宋" w:eastAsia="仿宋" w:cs="Times New Roman"/>
          <w:b/>
          <w:color w:val="auto"/>
          <w:kern w:val="0"/>
          <w:sz w:val="24"/>
          <w:szCs w:val="20"/>
          <w:highlight w:val="none"/>
        </w:rPr>
        <w:t>磋商响应供应商的法定代表人可以授权其单位的其他在职员工全权代表其处理与本次磋商有关的事项，但其授权代表必须持有法定代表人出具的《法定代表人授权委托书》（格式见第六章磋商响应文件格式），《法定代表人授权委托书》</w:t>
      </w:r>
      <w:r>
        <w:rPr>
          <w:rFonts w:hint="eastAsia" w:ascii="仿宋" w:hAnsi="仿宋" w:eastAsia="仿宋" w:cs="Times New Roman"/>
          <w:b/>
          <w:color w:val="auto"/>
          <w:sz w:val="24"/>
          <w:szCs w:val="20"/>
          <w:highlight w:val="none"/>
        </w:rPr>
        <w:t>必须经法定代表人签字（或盖章），否则视为无效授权（等同未提供）。</w:t>
      </w:r>
    </w:p>
    <w:p>
      <w:pPr>
        <w:autoSpaceDN w:val="0"/>
        <w:spacing w:line="360" w:lineRule="auto"/>
        <w:ind w:firstLine="424"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1.7.1是否接受联合体磋商响应：</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1.7.2《磋商须知前附表》规定接受联合体磋商的，参加磋商的联合体应遵守以下规定：</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（1）两个或以上供应商可以组成一个联合体，以一个磋商响应供应商的身份共同参加磋商；</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（2）两个或以上供应商组成联合体参加本项目磋商响应的，在登记获取竞争性磋商文件时应予以说明备注，并在资格文件中递交《联合投标协议书》，未递交《联合投标协议书》的联合体无效；</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3）以联合体形式参加本项目磋商的，联合体的各成员均应当具备《中华人民共和国政府采购法》第二十二条规定的条件，联合体各方中至少应当有一方符合采购人规定的特定条件，联合体中有同类资质（以及荣誉、等级证书等资信内容）的供应商按照联合体分工承担相同工作的，按照资质等级较低的供应商确定资质（以及荣誉、等级证书等资信内容）等级；</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4）联合体各方之间须签订《联合投标协议书》，明确约定联合体各方承担的工作和相应的责任，在《联合投标协议书》中指定本项目主办人，并将《联合投标协议书》作为磋商响应文件组成的一部分；本项目的主体、关键性工作须由主办人完成，并在《联合投标协议书》中进行说明；</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（5）联合体各方签订《联合投标协议书》后，不得再以自己名义单独在本项目中参加磋商，也不得组成新的联合体参加本项目磋商；</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（6）联合体各方共同与采购人签订采购合同，就采购合同约定的事项对采购人承担连带责任；</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（7）联合体磋商响应文件应由主办人按规定进行签章；</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（8）采购代理服务费可由主办人一方缴纳，也可以由联合体各方共同缴纳（具体缴纳金额须在《联合投标协议书》中明确）。</w:t>
      </w:r>
    </w:p>
    <w:p>
      <w:pPr>
        <w:keepNext/>
        <w:keepLines/>
        <w:autoSpaceDN w:val="0"/>
        <w:spacing w:before="93" w:beforeLines="30" w:after="93" w:afterLines="30" w:line="360" w:lineRule="auto"/>
        <w:ind w:firstLine="283"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1.8 进口产品磋商响应</w:t>
      </w:r>
    </w:p>
    <w:p>
      <w:pPr>
        <w:autoSpaceDN w:val="0"/>
        <w:spacing w:line="360" w:lineRule="auto"/>
        <w:ind w:firstLine="424"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1.8.1是否允许进口产品磋商响应：</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1.8.2</w:t>
      </w:r>
      <w:r>
        <w:rPr>
          <w:rFonts w:hint="eastAsia" w:ascii="仿宋" w:hAnsi="仿宋" w:eastAsia="仿宋" w:cs="Times New Roman"/>
          <w:b/>
          <w:color w:val="auto"/>
          <w:kern w:val="0"/>
          <w:sz w:val="24"/>
          <w:szCs w:val="20"/>
          <w:highlight w:val="none"/>
          <w:u w:val="single"/>
        </w:rPr>
        <w:t>《磋商须知前附表》未标明允许进口产品磋商的合同项（标项）一律拒绝“进口产品”参加磋商响应。“进口产品”系指通过中国海关报关验放进入中国境内且产自关境外的产品，“国外品牌产品”不等于“进口产品”</w:t>
      </w:r>
      <w:r>
        <w:rPr>
          <w:rFonts w:hint="eastAsia" w:ascii="仿宋" w:hAnsi="仿宋" w:eastAsia="仿宋" w:cs="Times New Roman"/>
          <w:b/>
          <w:color w:val="auto"/>
          <w:kern w:val="0"/>
          <w:sz w:val="24"/>
          <w:szCs w:val="20"/>
          <w:highlight w:val="none"/>
        </w:rPr>
        <w:t>。</w:t>
      </w:r>
    </w:p>
    <w:p>
      <w:pPr>
        <w:keepNext/>
        <w:keepLines/>
        <w:autoSpaceDN w:val="0"/>
        <w:spacing w:before="93" w:beforeLines="30" w:after="93" w:afterLines="30" w:line="360" w:lineRule="auto"/>
        <w:ind w:firstLine="283"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1.9 磋商费用</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1.9.1不论磋商结果如何，磋商响应供应商均应自行承担所有与投标有关的全部费用，采购组织机构概不负责；</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1.9.2合同实施过程中，成交供应商须与采购人积极配合。成交供应商自行承担本次采购活动中所发生的全部费用。</w:t>
      </w:r>
    </w:p>
    <w:p>
      <w:pPr>
        <w:keepNext/>
        <w:keepLines/>
        <w:autoSpaceDN w:val="0"/>
        <w:spacing w:before="93" w:beforeLines="30" w:after="93" w:afterLines="30" w:line="360" w:lineRule="auto"/>
        <w:ind w:firstLine="283"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1.10 语言文字及计量单位</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1.10.1语言文字：</w:t>
      </w:r>
      <w:r>
        <w:rPr>
          <w:rFonts w:hint="eastAsia" w:ascii="仿宋" w:hAnsi="仿宋" w:eastAsia="仿宋" w:cs="Times New Roman"/>
          <w:color w:val="auto"/>
          <w:kern w:val="0"/>
          <w:sz w:val="24"/>
          <w:szCs w:val="20"/>
          <w:highlight w:val="none"/>
        </w:rPr>
        <w:t>除专业术语、签名、盖章、名称等特殊情形外，与本次采购工作有关的所有材料、来往函电语言均应使用中文，专业术语、名称应附有中文注释。</w:t>
      </w:r>
      <w:r>
        <w:rPr>
          <w:rFonts w:hint="eastAsia" w:ascii="仿宋" w:hAnsi="仿宋" w:eastAsia="仿宋" w:cs="Times New Roman"/>
          <w:b/>
          <w:color w:val="auto"/>
          <w:kern w:val="0"/>
          <w:sz w:val="24"/>
          <w:szCs w:val="20"/>
          <w:highlight w:val="none"/>
        </w:rPr>
        <w:t>仅以中文以外的文字表述的材料视同未提供。</w:t>
      </w:r>
    </w:p>
    <w:p>
      <w:pPr>
        <w:autoSpaceDN w:val="0"/>
        <w:spacing w:line="360" w:lineRule="auto"/>
        <w:ind w:firstLine="424"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1.10.2计量单位：</w:t>
      </w:r>
      <w:r>
        <w:rPr>
          <w:rFonts w:hint="eastAsia" w:ascii="仿宋" w:hAnsi="仿宋" w:eastAsia="仿宋" w:cs="Times New Roman"/>
          <w:color w:val="auto"/>
          <w:kern w:val="0"/>
          <w:sz w:val="24"/>
          <w:szCs w:val="20"/>
          <w:highlight w:val="none"/>
        </w:rPr>
        <w:t>竞争性磋商文件已有明确规定的，使用竞争性磋商文件规定的计量单位；</w:t>
      </w:r>
      <w:r>
        <w:rPr>
          <w:rFonts w:hint="eastAsia" w:ascii="仿宋" w:hAnsi="仿宋" w:eastAsia="仿宋" w:cs="Times New Roman"/>
          <w:b/>
          <w:color w:val="auto"/>
          <w:kern w:val="0"/>
          <w:sz w:val="24"/>
          <w:szCs w:val="20"/>
          <w:highlight w:val="none"/>
        </w:rPr>
        <w:t>竞争性磋商文件没有规定的，应采用中华人民共和国法定计量单位，否则视同未响应。</w:t>
      </w:r>
    </w:p>
    <w:p>
      <w:pPr>
        <w:keepNext/>
        <w:keepLines/>
        <w:autoSpaceDN w:val="0"/>
        <w:spacing w:before="93" w:beforeLines="30" w:after="93" w:afterLines="30" w:line="360" w:lineRule="auto"/>
        <w:ind w:firstLine="283"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1.11 现场勘查</w:t>
      </w:r>
    </w:p>
    <w:p>
      <w:pPr>
        <w:autoSpaceDN w:val="0"/>
        <w:spacing w:line="360" w:lineRule="auto"/>
        <w:ind w:firstLine="424"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1.11.1现场勘查时间、地点、联系人：</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1.11.2《磋商须知前附表》规定组织统一现场勘查的，采购人将按《磋商须知前附表》规定的时间统一开放现场场地以便供应商进行现场勘查，此外其他任何时间采购人不再统一安排供应商进行现场勘查工作（特殊情形除外）；</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1.11.3供应商应自行前往规定的地点参加现场勘查，因参加现场勘查而发生的所有费用由供应商自行承担；</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1.11.4现场勘查过程中，供应商应注意勘查安全，除采购人的原因外，供应商在踏勘现场中所发生的人员伤亡和财产损失由供应商自行承担；</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1.11.5采购人在现场勘查中介绍的场地和相关的周边环境情况，仅供供应商在编制磋商响应文件时参考，采购人不对供应商据此作出的判断和决策负责。</w:t>
      </w:r>
    </w:p>
    <w:p>
      <w:pPr>
        <w:keepNext/>
        <w:keepLines/>
        <w:autoSpaceDN w:val="0"/>
        <w:spacing w:before="93" w:beforeLines="30" w:after="93" w:afterLines="30" w:line="360" w:lineRule="auto"/>
        <w:ind w:firstLine="283"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1.12 标前答疑会</w:t>
      </w:r>
    </w:p>
    <w:p>
      <w:pPr>
        <w:autoSpaceDN w:val="0"/>
        <w:spacing w:line="360" w:lineRule="auto"/>
        <w:ind w:firstLine="424"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1.12.1标前答疑会时间、地点：</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1.12.2前附表规定召开标前答疑会的，采购组织机构按《磋商须知前附表》规定的时间和地点召开标前答疑会，澄清供应商提出的问题；</w:t>
      </w:r>
    </w:p>
    <w:p>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1.12.3供应商应在答疑会时间的2日前，以书面形式将需要提出的问题送达采购组织机构，以便采购组织机构在会议期间澄清；</w:t>
      </w:r>
    </w:p>
    <w:p>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1.12.4不召开标前答疑会或标前答疑会完成后的其他时间，采购组织机构将按本章第3.2款“竞争性磋商文件的提疑”、第3.3款“竞争性磋商文件的澄清、修改（更正）”相关规定对供应商所提问题进行澄清答复。</w:t>
      </w:r>
    </w:p>
    <w:p>
      <w:pPr>
        <w:keepNext/>
        <w:keepLines/>
        <w:autoSpaceDN w:val="0"/>
        <w:spacing w:before="93" w:beforeLines="30" w:after="93" w:afterLines="30" w:line="360" w:lineRule="auto"/>
        <w:ind w:firstLine="283"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1.13 关联供应商投标限制</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本竞争性磋商文件所称“关联企业”，是指存在关联关系的企业；“关联关系”的界定适用《中华人民共和国公司法》217条之规定。</w:t>
      </w:r>
    </w:p>
    <w:p>
      <w:pPr>
        <w:autoSpaceDN w:val="0"/>
        <w:spacing w:line="360" w:lineRule="auto"/>
        <w:ind w:firstLine="424"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1.13.1单位负责人为同一人或者存在直接控股、管理关系的不同供应商参加同一合同项下的政府采购活动的，相关磋商响应供应商均作资格无效处理。</w:t>
      </w:r>
    </w:p>
    <w:p>
      <w:pPr>
        <w:autoSpaceDN w:val="0"/>
        <w:spacing w:line="360" w:lineRule="auto"/>
        <w:ind w:firstLine="424"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1.13.2不同供应商之间存在以下利害关系并且存在影响政府采购公平竞争行为的，不得参加同一合同项下的政府采购活动，相关磋商响应供应商的磋商响应均作无效处理：</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（1）法定代表人或负责人或实际控制人是夫妻关系；</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（2）法定代表人或负责人或实际控制人是直系血亲关系；</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（3）法定代表人或负责人或实际控制人存在三代以内旁系血亲关系；</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（4）法定代表人或负责人或实际控制人存在近姻亲关系；</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（5）法定代表人或负责人或实际控制人存在股份控制或实际控制关系；</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（6）存在共同直接或间接投资设立子公司、联营企业和合营企业情况；</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（7）存在分级代理或代销关系、同一生产制造商关系、管理关系、重要业务（占主营业务收入50%以上）或重要财务往来关系（如融资）等其他实质性控制关系。</w:t>
      </w:r>
    </w:p>
    <w:p>
      <w:pPr>
        <w:autoSpaceDN w:val="0"/>
        <w:spacing w:line="360" w:lineRule="auto"/>
        <w:ind w:firstLine="424"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1.13.3除单一来源采购项目外，为采购项目提供整体设计、规范编制或者项目管理、监理、检测等服务的供应商，不得再参加该采购项目的其他采购活动，相关磋商响应供应商的磋商响应作无效处理。</w:t>
      </w:r>
    </w:p>
    <w:p>
      <w:pPr>
        <w:autoSpaceDN w:val="0"/>
        <w:spacing w:line="360" w:lineRule="auto"/>
        <w:ind w:firstLine="424"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1.13.4（综合评分法、单一产品采购项目适用）提供相同品牌产品且通过资格审查、符合性审查的不同磋商响应供应商参加同一合同项下磋商的，按一家磋商响应供应商计算，评审后综合得分最高的同品牌磋商响应供应商获得成交供应商推荐资格；综合得分相同时，最后报价最低的磋商响应供应商获得成交供应商推荐资格；综合得分和最后报价均相同时，商务技术分最高的磋商响应供应商获得成交供应商推荐资格；综合得分、最后报价、商务技术分均相同时，由磋商小组按少数服从多数的原则，集体决定；其他同品牌磋商响应供应商不作为成交候选供应商。</w:t>
      </w:r>
    </w:p>
    <w:p>
      <w:pPr>
        <w:autoSpaceDN w:val="0"/>
        <w:spacing w:line="360" w:lineRule="auto"/>
        <w:ind w:firstLine="424"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1.13.5（综合评分法、非单一产品采购项目适用）通过资格审查、符合性审查的不同磋商响应供应商参加同一合同项下磋商响应时，提供的核心产品品牌均相同的，按照第1.13.4款处理；本项目核心产品内容见《磋商须知前附表》。</w:t>
      </w:r>
    </w:p>
    <w:p>
      <w:pPr>
        <w:keepNext/>
        <w:keepLines/>
        <w:autoSpaceDN w:val="0"/>
        <w:spacing w:before="93" w:beforeLines="30" w:after="93" w:afterLines="30" w:line="360" w:lineRule="auto"/>
        <w:ind w:firstLine="283"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1.14 特殊供应商投标规定</w:t>
      </w:r>
    </w:p>
    <w:p>
      <w:pPr>
        <w:autoSpaceDN w:val="0"/>
        <w:spacing w:line="360" w:lineRule="auto"/>
        <w:ind w:firstLine="424" w:firstLineChars="177"/>
        <w:rPr>
          <w:rFonts w:ascii="仿宋" w:hAnsi="仿宋" w:eastAsia="仿宋" w:cs="Times New Roman"/>
          <w:b/>
          <w:color w:val="auto"/>
          <w:sz w:val="24"/>
          <w:szCs w:val="20"/>
          <w:highlight w:val="none"/>
        </w:rPr>
      </w:pPr>
      <w:r>
        <w:rPr>
          <w:rFonts w:hint="eastAsia" w:ascii="仿宋" w:hAnsi="仿宋" w:eastAsia="仿宋" w:cs="Arial"/>
          <w:b/>
          <w:color w:val="auto"/>
          <w:sz w:val="24"/>
          <w:szCs w:val="20"/>
          <w:highlight w:val="none"/>
        </w:rPr>
        <w:t>根据《关于规范政府采购供应商资格设定及资格审查的通知（浙财采监【2013】24号）》第六条规定，</w:t>
      </w:r>
      <w:r>
        <w:rPr>
          <w:rFonts w:hint="eastAsia" w:ascii="仿宋" w:hAnsi="仿宋" w:eastAsia="仿宋" w:cs="Times New Roman"/>
          <w:b/>
          <w:color w:val="auto"/>
          <w:kern w:val="0"/>
          <w:sz w:val="24"/>
          <w:szCs w:val="20"/>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pPr>
        <w:keepNext/>
        <w:keepLines/>
        <w:autoSpaceDN w:val="0"/>
        <w:spacing w:before="93" w:beforeLines="30" w:after="93" w:afterLines="30" w:line="360" w:lineRule="auto"/>
        <w:ind w:firstLine="283"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1.15 转包、分包</w:t>
      </w:r>
    </w:p>
    <w:p>
      <w:pPr>
        <w:autoSpaceDN w:val="0"/>
        <w:spacing w:line="360" w:lineRule="auto"/>
        <w:ind w:firstLine="424"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1.15.1转包：</w:t>
      </w:r>
      <w:r>
        <w:rPr>
          <w:rFonts w:hint="eastAsia" w:ascii="仿宋" w:hAnsi="仿宋" w:eastAsia="仿宋" w:cs="Times New Roman"/>
          <w:b/>
          <w:color w:val="auto"/>
          <w:kern w:val="0"/>
          <w:sz w:val="24"/>
          <w:szCs w:val="20"/>
          <w:highlight w:val="none"/>
          <w:u w:val="single"/>
        </w:rPr>
        <w:t>不允许</w:t>
      </w:r>
      <w:r>
        <w:rPr>
          <w:rFonts w:hint="eastAsia" w:ascii="仿宋" w:hAnsi="仿宋" w:eastAsia="仿宋" w:cs="Times New Roman"/>
          <w:b/>
          <w:color w:val="auto"/>
          <w:kern w:val="0"/>
          <w:sz w:val="24"/>
          <w:szCs w:val="20"/>
          <w:highlight w:val="none"/>
        </w:rPr>
        <w:t>；</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1.15.2分包：</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1.15.3《磋商须知前附表》中声明允许分包的，磋商响应供应商可以根据竞争性磋商文件的规定和采购项目的实际情况进行分包。</w:t>
      </w:r>
      <w:r>
        <w:rPr>
          <w:rFonts w:hint="eastAsia" w:ascii="仿宋" w:hAnsi="仿宋" w:eastAsia="仿宋" w:cs="Times New Roman"/>
          <w:b/>
          <w:color w:val="auto"/>
          <w:kern w:val="0"/>
          <w:sz w:val="24"/>
          <w:szCs w:val="20"/>
          <w:highlight w:val="none"/>
          <w:u w:val="single"/>
        </w:rPr>
        <w:t>磋商响应供应商根据竞争性磋商文件的规定和采购项目的实际情况，拟在成交后将成交项目的非主体、非关键性工作分包的，应当在磋商响应文件中载明分包承担主体，分包承担主体应当具备相应资质条件且不得再次分包。</w:t>
      </w:r>
      <w:r>
        <w:rPr>
          <w:rFonts w:hint="eastAsia" w:ascii="仿宋" w:hAnsi="仿宋" w:eastAsia="仿宋" w:cs="Times New Roman"/>
          <w:color w:val="auto"/>
          <w:kern w:val="0"/>
          <w:sz w:val="24"/>
          <w:szCs w:val="20"/>
          <w:highlight w:val="none"/>
        </w:rPr>
        <w:t>政府采购合同分包履行的，中标/成交供应商就采购项目和分包项目向采购人负责，分包供应商就分包项目承担责任。</w:t>
      </w:r>
    </w:p>
    <w:p>
      <w:pPr>
        <w:keepNext/>
        <w:keepLines/>
        <w:autoSpaceDN w:val="0"/>
        <w:spacing w:before="93" w:beforeLines="30" w:after="93" w:afterLines="30" w:line="360" w:lineRule="auto"/>
        <w:ind w:firstLine="283"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1.16 供应商询问、质疑和投诉</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1.16.1询问：</w:t>
      </w:r>
      <w:r>
        <w:rPr>
          <w:rFonts w:hint="eastAsia" w:ascii="仿宋" w:hAnsi="仿宋" w:eastAsia="仿宋" w:cs="Times New Roman"/>
          <w:color w:val="auto"/>
          <w:kern w:val="0"/>
          <w:sz w:val="24"/>
          <w:szCs w:val="20"/>
          <w:highlight w:val="none"/>
        </w:rPr>
        <w:t>在采购活动中供应商可以就某一事项向采购组织机构发出“询问”，采购组织机构将在收到供应商“询问”后三个工作日内予以答复，但规定不予答复的内容除外。</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1.16.2质疑：供应商认为竞争性磋商文件、采购过程和采购结果使自己的合法权益受到损害的，应当在知道或者应知其权益受到损害之日起七个工作日内，以书面形式一次性向采购人、采购代理机构提出质疑。</w:t>
      </w:r>
    </w:p>
    <w:p>
      <w:pPr>
        <w:autoSpaceDN w:val="0"/>
        <w:spacing w:line="360" w:lineRule="auto"/>
        <w:ind w:firstLine="424"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1.16.2.1上述所指“供应商应知其权益受到损害之日”，是指：</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w:t>
      </w:r>
      <w:r>
        <w:rPr>
          <w:rFonts w:hint="eastAsia" w:ascii="仿宋" w:hAnsi="仿宋" w:eastAsia="仿宋" w:cs="Times New Roman"/>
          <w:color w:val="auto"/>
          <w:kern w:val="0"/>
          <w:sz w:val="24"/>
          <w:szCs w:val="20"/>
          <w:highlight w:val="none"/>
          <w:u w:val="single"/>
        </w:rPr>
        <w:t>对</w:t>
      </w:r>
      <w:r>
        <w:rPr>
          <w:rFonts w:hint="eastAsia" w:ascii="仿宋" w:hAnsi="仿宋" w:eastAsia="仿宋" w:cs="Times New Roman"/>
          <w:color w:val="auto"/>
          <w:sz w:val="24"/>
          <w:szCs w:val="20"/>
          <w:highlight w:val="none"/>
          <w:u w:val="single"/>
        </w:rPr>
        <w:t>竞争性磋商文件</w:t>
      </w:r>
      <w:r>
        <w:rPr>
          <w:rFonts w:hint="eastAsia" w:ascii="仿宋" w:hAnsi="仿宋" w:eastAsia="仿宋" w:cs="Times New Roman"/>
          <w:color w:val="auto"/>
          <w:kern w:val="0"/>
          <w:sz w:val="24"/>
          <w:szCs w:val="20"/>
          <w:highlight w:val="none"/>
          <w:u w:val="single"/>
        </w:rPr>
        <w:t>提出质疑的，</w:t>
      </w:r>
      <w:r>
        <w:rPr>
          <w:rFonts w:hint="eastAsia" w:ascii="仿宋" w:hAnsi="仿宋" w:eastAsia="仿宋" w:cs="Times New Roman"/>
          <w:color w:val="auto"/>
          <w:sz w:val="24"/>
          <w:szCs w:val="20"/>
          <w:highlight w:val="none"/>
          <w:u w:val="single"/>
        </w:rPr>
        <w:t>为获取竞争性磋商文件之日或者竞争性磋商文件公告期限届满之日（竞争性磋商文件公告期限届满后获取竞争性磋商文件的，以竞争性磋商文件公告期限届满之日为准），</w:t>
      </w:r>
      <w:r>
        <w:rPr>
          <w:rFonts w:hint="eastAsia" w:ascii="仿宋" w:hAnsi="仿宋" w:eastAsia="仿宋" w:cs="Times New Roman"/>
          <w:b/>
          <w:bCs/>
          <w:color w:val="auto"/>
          <w:sz w:val="24"/>
          <w:szCs w:val="20"/>
          <w:highlight w:val="none"/>
          <w:u w:val="single"/>
        </w:rPr>
        <w:t>但</w:t>
      </w:r>
      <w:r>
        <w:rPr>
          <w:rFonts w:hint="eastAsia" w:ascii="仿宋" w:hAnsi="仿宋" w:eastAsia="仿宋" w:cs="Times New Roman"/>
          <w:b/>
          <w:color w:val="auto"/>
          <w:kern w:val="0"/>
          <w:sz w:val="24"/>
          <w:szCs w:val="20"/>
          <w:highlight w:val="none"/>
          <w:u w:val="single"/>
        </w:rPr>
        <w:t>须在磋商响应文件提交截止时间前提出</w:t>
      </w:r>
      <w:r>
        <w:rPr>
          <w:rFonts w:hint="eastAsia" w:ascii="仿宋" w:hAnsi="仿宋" w:eastAsia="仿宋" w:cs="Times New Roman"/>
          <w:color w:val="auto"/>
          <w:kern w:val="0"/>
          <w:sz w:val="24"/>
          <w:szCs w:val="20"/>
          <w:highlight w:val="none"/>
          <w:u w:val="single"/>
        </w:rPr>
        <w:t>；</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（2）</w:t>
      </w:r>
      <w:r>
        <w:rPr>
          <w:rFonts w:hint="eastAsia" w:ascii="仿宋" w:hAnsi="仿宋" w:eastAsia="仿宋" w:cs="Times New Roman"/>
          <w:color w:val="auto"/>
          <w:kern w:val="0"/>
          <w:sz w:val="24"/>
          <w:szCs w:val="20"/>
          <w:highlight w:val="none"/>
          <w:u w:val="single"/>
        </w:rPr>
        <w:t>对采购过程提出质疑的，为各采购程序环节结束之日</w:t>
      </w:r>
      <w:r>
        <w:rPr>
          <w:rFonts w:hint="eastAsia" w:ascii="仿宋" w:hAnsi="仿宋" w:eastAsia="仿宋" w:cs="Times New Roman"/>
          <w:color w:val="auto"/>
          <w:kern w:val="0"/>
          <w:sz w:val="24"/>
          <w:szCs w:val="20"/>
          <w:highlight w:val="none"/>
        </w:rPr>
        <w:t>；</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（3）</w:t>
      </w:r>
      <w:r>
        <w:rPr>
          <w:rFonts w:hint="eastAsia" w:ascii="仿宋" w:hAnsi="仿宋" w:eastAsia="仿宋" w:cs="Times New Roman"/>
          <w:color w:val="auto"/>
          <w:kern w:val="0"/>
          <w:sz w:val="24"/>
          <w:szCs w:val="20"/>
          <w:highlight w:val="none"/>
          <w:u w:val="single"/>
        </w:rPr>
        <w:t>对成交结果提出质疑的，为成交结果公告期限届满之日</w:t>
      </w:r>
      <w:r>
        <w:rPr>
          <w:rFonts w:hint="eastAsia" w:ascii="仿宋" w:hAnsi="仿宋" w:eastAsia="仿宋" w:cs="Times New Roman"/>
          <w:color w:val="auto"/>
          <w:kern w:val="0"/>
          <w:sz w:val="24"/>
          <w:szCs w:val="20"/>
          <w:highlight w:val="none"/>
        </w:rPr>
        <w:t>。</w:t>
      </w:r>
    </w:p>
    <w:p>
      <w:pPr>
        <w:autoSpaceDN w:val="0"/>
        <w:spacing w:line="360" w:lineRule="auto"/>
        <w:ind w:firstLine="424"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1.16.2.2</w:t>
      </w:r>
      <w:r>
        <w:rPr>
          <w:rFonts w:hint="eastAsia" w:ascii="仿宋" w:hAnsi="仿宋" w:eastAsia="仿宋" w:cs="Times New Roman"/>
          <w:b/>
          <w:color w:val="auto"/>
          <w:sz w:val="24"/>
          <w:szCs w:val="28"/>
          <w:highlight w:val="none"/>
        </w:rPr>
        <w:t>供应商提出质疑应当递交质疑函和必要的证明材料。</w:t>
      </w:r>
      <w:r>
        <w:rPr>
          <w:rFonts w:hint="eastAsia" w:ascii="仿宋" w:hAnsi="仿宋" w:eastAsia="仿宋" w:cs="Times New Roman"/>
          <w:color w:val="auto"/>
          <w:sz w:val="24"/>
          <w:szCs w:val="28"/>
          <w:highlight w:val="none"/>
        </w:rPr>
        <w:t>质疑函应当包括下列内容：</w:t>
      </w:r>
    </w:p>
    <w:p>
      <w:pPr>
        <w:autoSpaceDN w:val="0"/>
        <w:spacing w:line="360" w:lineRule="auto"/>
        <w:ind w:firstLine="424" w:firstLineChars="177"/>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（1）供应商的姓名或者名称、地址、邮编、联系人及联系电话；</w:t>
      </w:r>
    </w:p>
    <w:p>
      <w:pPr>
        <w:autoSpaceDN w:val="0"/>
        <w:spacing w:line="360" w:lineRule="auto"/>
        <w:ind w:firstLine="424" w:firstLineChars="177"/>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（2）质疑项目的名称、编号；</w:t>
      </w:r>
    </w:p>
    <w:p>
      <w:pPr>
        <w:autoSpaceDN w:val="0"/>
        <w:spacing w:line="360" w:lineRule="auto"/>
        <w:ind w:firstLine="424" w:firstLineChars="177"/>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（3）具体、明确的质疑事项和与质疑事项相关的请求；</w:t>
      </w:r>
    </w:p>
    <w:p>
      <w:pPr>
        <w:autoSpaceDN w:val="0"/>
        <w:spacing w:line="360" w:lineRule="auto"/>
        <w:ind w:firstLine="424" w:firstLineChars="177"/>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（4）事实依据；</w:t>
      </w:r>
    </w:p>
    <w:p>
      <w:pPr>
        <w:autoSpaceDN w:val="0"/>
        <w:spacing w:line="360" w:lineRule="auto"/>
        <w:ind w:firstLine="424" w:firstLineChars="177"/>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（5）必要的法律依据；</w:t>
      </w:r>
    </w:p>
    <w:p>
      <w:pPr>
        <w:autoSpaceDN w:val="0"/>
        <w:spacing w:line="360" w:lineRule="auto"/>
        <w:ind w:firstLine="424" w:firstLineChars="177"/>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（6）提出质疑的日期。</w:t>
      </w:r>
    </w:p>
    <w:p>
      <w:pPr>
        <w:autoSpaceDN w:val="0"/>
        <w:spacing w:line="360" w:lineRule="auto"/>
        <w:ind w:firstLine="424"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sz w:val="24"/>
          <w:szCs w:val="28"/>
          <w:highlight w:val="none"/>
        </w:rPr>
        <w:t>供应商为自然人的，应当由本人签字并附上身份证明；供应商为法人或者其他组织的，应当由法定代表人或者其授权代表签字或者盖章，并加盖公章。</w:t>
      </w:r>
    </w:p>
    <w:p>
      <w:pPr>
        <w:autoSpaceDN w:val="0"/>
        <w:spacing w:line="360" w:lineRule="auto"/>
        <w:ind w:firstLine="424"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1.16.2.3供应商认可采购组织机构在质疑答复程序中启用的调查和重新评审等程序，在该程序操作过程未明显违反法律禁止性规定时，不得再提出异议；</w:t>
      </w:r>
    </w:p>
    <w:p>
      <w:pPr>
        <w:autoSpaceDN w:val="0"/>
        <w:spacing w:line="360" w:lineRule="auto"/>
        <w:ind w:firstLine="424"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1.16.2.4质疑、投诉应当采用书面形式（原件一式三份），经法定代表人或其授权代表签署后加盖单位公章，质疑书、投诉书均应明确阐述竞争性磋商文件、磋商过程和成交结果中使自己合法权益受到损害的实质性内容，供应商提出的质疑、投诉应当有明确的诉求（即通过质疑所要达到的具体目标）和必要的证明材料（</w:t>
      </w:r>
      <w:r>
        <w:rPr>
          <w:rFonts w:hint="eastAsia" w:ascii="仿宋" w:hAnsi="仿宋" w:eastAsia="仿宋" w:cs="Times New Roman"/>
          <w:b/>
          <w:color w:val="auto"/>
          <w:kern w:val="0"/>
          <w:sz w:val="24"/>
          <w:szCs w:val="20"/>
          <w:highlight w:val="none"/>
          <w:u w:val="single"/>
        </w:rPr>
        <w:t>即通过合法手段获得的能够证明供应商的诉求成立的必要材料</w:t>
      </w:r>
      <w:r>
        <w:rPr>
          <w:rFonts w:hint="eastAsia" w:ascii="仿宋" w:hAnsi="仿宋" w:eastAsia="仿宋" w:cs="Times New Roman"/>
          <w:b/>
          <w:color w:val="auto"/>
          <w:kern w:val="0"/>
          <w:sz w:val="24"/>
          <w:szCs w:val="20"/>
          <w:highlight w:val="none"/>
        </w:rPr>
        <w:t>）；</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1.16.3投诉：</w:t>
      </w:r>
      <w:r>
        <w:rPr>
          <w:rFonts w:hint="eastAsia" w:ascii="仿宋" w:hAnsi="仿宋" w:eastAsia="仿宋" w:cs="Times New Roman"/>
          <w:color w:val="auto"/>
          <w:kern w:val="0"/>
          <w:sz w:val="24"/>
          <w:szCs w:val="20"/>
          <w:highlight w:val="none"/>
        </w:rPr>
        <w:t>供应商对采购组织机构的质疑答复不满意或者采购组织机构未在规定时间内作出答复的，可以在答复期满后十五个工作日内向同级采购监管部门投诉。</w:t>
      </w:r>
    </w:p>
    <w:p>
      <w:pPr>
        <w:keepNext/>
        <w:keepLines/>
        <w:autoSpaceDN w:val="0"/>
        <w:spacing w:before="93" w:beforeLines="30" w:after="93" w:afterLines="30" w:line="360" w:lineRule="auto"/>
        <w:ind w:firstLine="283"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1.17 其他说明</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1.17.1磋商响应供应商磋商所使用的资格、信誉、荣誉、磋商响应供应商业绩与企业认证必须为本法人所拥有。磋商响应供应商磋商所使用的项目实施人员可以为其控股公司的工作人员。</w:t>
      </w:r>
      <w:r>
        <w:rPr>
          <w:rFonts w:hint="eastAsia" w:ascii="仿宋" w:hAnsi="仿宋" w:eastAsia="仿宋" w:cs="Times New Roman"/>
          <w:color w:val="auto"/>
          <w:kern w:val="0"/>
          <w:sz w:val="24"/>
          <w:szCs w:val="20"/>
          <w:highlight w:val="none"/>
        </w:rPr>
        <w:t>在组织资格审查、商务技术评审时，属于磋商响应供应商母公司（总机构）或者同一母公司下属的其他子公司（同一总机构下属的其他分支机构）的人员、业绩、荣誉、知识产权、项目案例等，不得作为该磋商响应供应商的资信文件予以确认或审查通过。</w:t>
      </w:r>
    </w:p>
    <w:p>
      <w:pPr>
        <w:autoSpaceDN w:val="0"/>
        <w:spacing w:line="360" w:lineRule="auto"/>
        <w:ind w:firstLine="424"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1.17.2磋商响应供应商在磋商活动中提供任何虚假材料或从事其他违法活动的，其磋商响应无效，并报监管部门查处；成交后发现的，成交结果无效，并须依照相关规定双倍赔偿给采购人。且民事赔偿并不免除违法磋商响应供应商的行政与刑事责任。</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1.17.3磋商响应供应商应仔细阅读竞争性磋商文件的所有内容，按照竞争性磋商文件的要求递交《磋商响应文件》。</w:t>
      </w:r>
      <w:r>
        <w:rPr>
          <w:rFonts w:hint="eastAsia" w:ascii="仿宋" w:hAnsi="仿宋" w:eastAsia="仿宋" w:cs="Times New Roman"/>
          <w:bCs/>
          <w:color w:val="auto"/>
          <w:kern w:val="0"/>
          <w:sz w:val="24"/>
          <w:szCs w:val="20"/>
          <w:highlight w:val="none"/>
        </w:rPr>
        <w:t>《磋商响应文件》应对竞争性磋商文件的要求作出实质性响应，并对所提供的全部资料的真实性承担法律责任。</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1.17.4竞争性磋商文件所涉及的产品品牌或型号为建议性要求或档次选择要求或为代替部分技术指标描述，磋商响应供应商可以自行选择其他品牌型号的产品参加磋商，但所投产品应当具有相等或更优于磋商文件要求的指标、性能、档次，否则，磋商小组将对其作出不利的评审。</w:t>
      </w:r>
    </w:p>
    <w:p>
      <w:pPr>
        <w:autoSpaceDN w:val="0"/>
        <w:spacing w:before="120" w:after="120" w:line="360" w:lineRule="auto"/>
        <w:ind w:firstLine="482"/>
        <w:rPr>
          <w:rFonts w:ascii="仿宋" w:hAnsi="仿宋" w:eastAsia="仿宋"/>
          <w:b/>
          <w:bCs/>
          <w:color w:val="auto"/>
          <w:sz w:val="24"/>
          <w:szCs w:val="20"/>
          <w:highlight w:val="none"/>
        </w:rPr>
      </w:pPr>
      <w:r>
        <w:rPr>
          <w:rFonts w:hint="eastAsia" w:ascii="仿宋" w:hAnsi="仿宋" w:eastAsia="仿宋"/>
          <w:b/>
          <w:bCs/>
          <w:color w:val="auto"/>
          <w:kern w:val="0"/>
          <w:sz w:val="24"/>
          <w:highlight w:val="none"/>
        </w:rPr>
        <w:t>1.17.5</w:t>
      </w:r>
      <w:r>
        <w:rPr>
          <w:rFonts w:hint="eastAsia" w:ascii="仿宋" w:hAnsi="仿宋" w:eastAsia="仿宋"/>
          <w:b/>
          <w:bCs/>
          <w:color w:val="auto"/>
          <w:sz w:val="24"/>
          <w:highlight w:val="none"/>
          <w:u w:val="single"/>
        </w:rPr>
        <w:t>磋商响应供应商对所响应项内的采购内容必须全部进行响应</w:t>
      </w:r>
      <w:r>
        <w:rPr>
          <w:rFonts w:hint="eastAsia" w:ascii="仿宋" w:hAnsi="仿宋" w:eastAsia="仿宋"/>
          <w:b/>
          <w:bCs/>
          <w:color w:val="auto"/>
          <w:sz w:val="24"/>
          <w:highlight w:val="none"/>
        </w:rPr>
        <w:t>。</w:t>
      </w:r>
    </w:p>
    <w:p>
      <w:pPr>
        <w:autoSpaceDN w:val="0"/>
        <w:spacing w:before="120" w:after="120" w:line="360" w:lineRule="auto"/>
        <w:ind w:firstLine="480"/>
        <w:rPr>
          <w:rFonts w:ascii="仿宋" w:hAnsi="仿宋" w:eastAsia="仿宋"/>
          <w:b/>
          <w:bCs/>
          <w:color w:val="auto"/>
          <w:sz w:val="24"/>
          <w:highlight w:val="none"/>
        </w:rPr>
      </w:pPr>
      <w:r>
        <w:rPr>
          <w:rFonts w:hint="eastAsia" w:ascii="仿宋" w:hAnsi="仿宋" w:eastAsia="仿宋"/>
          <w:b/>
          <w:color w:val="auto"/>
          <w:kern w:val="0"/>
          <w:sz w:val="24"/>
          <w:highlight w:val="none"/>
        </w:rPr>
        <w:t>1.17.6</w:t>
      </w:r>
      <w:r>
        <w:rPr>
          <w:rFonts w:hint="eastAsia" w:ascii="仿宋" w:hAnsi="仿宋" w:eastAsia="仿宋"/>
          <w:b/>
          <w:bCs/>
          <w:color w:val="auto"/>
          <w:sz w:val="24"/>
          <w:highlight w:val="none"/>
        </w:rPr>
        <w:t>竞争性磋商文件中如有描述歧义或前后不一致的地方，磋商小组有权按公平、合理的原则进行评判，但对同一条款的评判适用于每个供应商。</w:t>
      </w:r>
    </w:p>
    <w:p>
      <w:pPr>
        <w:autoSpaceDN w:val="0"/>
        <w:spacing w:before="120" w:after="120" w:line="360" w:lineRule="auto"/>
        <w:ind w:firstLine="480"/>
        <w:rPr>
          <w:rFonts w:ascii="仿宋" w:hAnsi="仿宋" w:eastAsia="仿宋"/>
          <w:b/>
          <w:color w:val="auto"/>
          <w:sz w:val="24"/>
          <w:highlight w:val="none"/>
        </w:rPr>
      </w:pPr>
      <w:r>
        <w:rPr>
          <w:rFonts w:hint="eastAsia" w:ascii="仿宋" w:hAnsi="仿宋" w:eastAsia="仿宋"/>
          <w:b/>
          <w:color w:val="auto"/>
          <w:kern w:val="0"/>
          <w:sz w:val="24"/>
          <w:highlight w:val="none"/>
        </w:rPr>
        <w:t>1.17.7</w:t>
      </w:r>
      <w:r>
        <w:rPr>
          <w:rFonts w:hint="eastAsia" w:ascii="仿宋" w:hAnsi="仿宋" w:eastAsia="仿宋"/>
          <w:b/>
          <w:bCs/>
          <w:color w:val="auto"/>
          <w:sz w:val="24"/>
          <w:highlight w:val="none"/>
        </w:rPr>
        <w:t>响应文件的响应内容必须真实、明确、准确。否则，磋商小组将对其作出不利的评审。</w:t>
      </w:r>
    </w:p>
    <w:p>
      <w:pPr>
        <w:autoSpaceDN w:val="0"/>
        <w:adjustRightInd w:val="0"/>
        <w:snapToGrid w:val="0"/>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kern w:val="0"/>
          <w:sz w:val="24"/>
          <w:szCs w:val="20"/>
          <w:highlight w:val="none"/>
        </w:rPr>
        <w:t>1.17.8</w:t>
      </w:r>
      <w:r>
        <w:rPr>
          <w:rFonts w:hint="eastAsia" w:ascii="仿宋" w:hAnsi="仿宋" w:eastAsia="仿宋" w:cs="Times New Roman"/>
          <w:color w:val="auto"/>
          <w:sz w:val="24"/>
          <w:szCs w:val="24"/>
          <w:highlight w:val="none"/>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bookmarkEnd w:id="41"/>
    <w:bookmarkEnd w:id="42"/>
    <w:p>
      <w:pPr>
        <w:keepNext/>
        <w:keepLines/>
        <w:autoSpaceDN w:val="0"/>
        <w:spacing w:before="260" w:after="260" w:line="415" w:lineRule="auto"/>
        <w:outlineLvl w:val="1"/>
        <w:rPr>
          <w:rFonts w:ascii="Times New Roman" w:hAnsi="仿宋" w:eastAsia="仿宋" w:cs="Times New Roman"/>
          <w:b/>
          <w:bCs/>
          <w:color w:val="auto"/>
          <w:sz w:val="28"/>
          <w:szCs w:val="28"/>
          <w:highlight w:val="none"/>
        </w:rPr>
      </w:pPr>
      <w:bookmarkStart w:id="43" w:name="_Toc19497"/>
      <w:bookmarkStart w:id="44" w:name="_Toc96947061"/>
      <w:bookmarkStart w:id="45" w:name="_Toc29661"/>
      <w:bookmarkStart w:id="46" w:name="_Toc10168"/>
      <w:r>
        <w:rPr>
          <w:rFonts w:hint="eastAsia" w:ascii="Times New Roman" w:hAnsi="仿宋" w:eastAsia="仿宋" w:cs="Times New Roman"/>
          <w:b/>
          <w:bCs/>
          <w:color w:val="auto"/>
          <w:sz w:val="28"/>
          <w:szCs w:val="28"/>
          <w:highlight w:val="none"/>
        </w:rPr>
        <w:t>二、落实的政府采购政策</w:t>
      </w:r>
      <w:bookmarkEnd w:id="43"/>
      <w:bookmarkEnd w:id="44"/>
    </w:p>
    <w:p>
      <w:pPr>
        <w:keepNext/>
        <w:keepLines/>
        <w:autoSpaceDN w:val="0"/>
        <w:spacing w:before="93" w:beforeLines="30" w:after="93" w:afterLines="30" w:line="360" w:lineRule="auto"/>
        <w:ind w:firstLine="283" w:firstLineChars="118"/>
        <w:outlineLvl w:val="2"/>
        <w:rPr>
          <w:rFonts w:hint="eastAsia" w:ascii="仿宋" w:hAnsi="仿宋" w:eastAsia="仿宋" w:cs="仿宋"/>
          <w:b/>
          <w:bCs/>
          <w:color w:val="auto"/>
          <w:sz w:val="24"/>
          <w:szCs w:val="32"/>
          <w:highlight w:val="none"/>
        </w:rPr>
      </w:pPr>
      <w:bookmarkStart w:id="47" w:name="_Toc82338241"/>
      <w:bookmarkStart w:id="48" w:name="_Toc82873324"/>
      <w:r>
        <w:rPr>
          <w:rFonts w:hint="eastAsia" w:ascii="仿宋" w:hAnsi="仿宋" w:eastAsia="仿宋" w:cs="仿宋"/>
          <w:b/>
          <w:bCs/>
          <w:color w:val="auto"/>
          <w:sz w:val="24"/>
          <w:szCs w:val="32"/>
          <w:highlight w:val="none"/>
        </w:rPr>
        <w:t>2.1 支持中小企业发展</w:t>
      </w:r>
    </w:p>
    <w:p>
      <w:pPr>
        <w:autoSpaceDN w:val="0"/>
        <w:spacing w:line="360" w:lineRule="auto"/>
        <w:ind w:firstLine="424"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2.1.1是否专门面向中小企业采购：</w:t>
      </w:r>
      <w:r>
        <w:rPr>
          <w:rFonts w:hint="eastAsia" w:ascii="仿宋" w:hAnsi="仿宋" w:eastAsia="仿宋" w:cs="Times New Roman"/>
          <w:b/>
          <w:color w:val="auto"/>
          <w:sz w:val="24"/>
          <w:szCs w:val="20"/>
          <w:highlight w:val="none"/>
          <w:u w:val="single"/>
        </w:rPr>
        <w:t>见《磋商须知前附表》</w:t>
      </w:r>
      <w:r>
        <w:rPr>
          <w:rFonts w:hint="eastAsia" w:ascii="仿宋" w:hAnsi="仿宋" w:eastAsia="仿宋" w:cs="Times New Roman"/>
          <w:b/>
          <w:color w:val="auto"/>
          <w:sz w:val="24"/>
          <w:szCs w:val="20"/>
          <w:highlight w:val="none"/>
        </w:rPr>
        <w:t>；</w:t>
      </w:r>
    </w:p>
    <w:p>
      <w:pPr>
        <w:autoSpaceDN w:val="0"/>
        <w:spacing w:line="360" w:lineRule="auto"/>
        <w:ind w:firstLine="424"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2.1.2 本项目中小企业划分标准所属行业：</w:t>
      </w:r>
      <w:r>
        <w:rPr>
          <w:rFonts w:hint="eastAsia" w:ascii="仿宋" w:hAnsi="仿宋" w:eastAsia="仿宋" w:cs="Times New Roman"/>
          <w:b/>
          <w:color w:val="auto"/>
          <w:sz w:val="24"/>
          <w:szCs w:val="20"/>
          <w:highlight w:val="none"/>
          <w:u w:val="single"/>
        </w:rPr>
        <w:t>见《磋商须知前附表》</w:t>
      </w:r>
      <w:r>
        <w:rPr>
          <w:rFonts w:hint="eastAsia" w:ascii="仿宋" w:hAnsi="仿宋" w:eastAsia="仿宋" w:cs="Times New Roman"/>
          <w:b/>
          <w:color w:val="auto"/>
          <w:sz w:val="24"/>
          <w:szCs w:val="20"/>
          <w:highlight w:val="none"/>
        </w:rPr>
        <w:t>。</w:t>
      </w:r>
    </w:p>
    <w:p>
      <w:pPr>
        <w:autoSpaceDN w:val="0"/>
        <w:spacing w:line="360" w:lineRule="auto"/>
        <w:ind w:firstLine="424"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2.1.3在政府采购活动中，供应商提供的货物、工程或者服务符合下列情形的，享受中小企业扶持政策：</w:t>
      </w:r>
    </w:p>
    <w:p>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（1）在货物采购项目中，货物由中小企业制造，即货物由中小企业生产且使用该中小企业商号或者注册商标；如供应商提供的货物既有中小企业制造货物，也有大型企业制造货物的，不享受中小企业扶持政策。</w:t>
      </w:r>
    </w:p>
    <w:p>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b/>
          <w:bCs/>
          <w:color w:val="auto"/>
          <w:sz w:val="24"/>
          <w:szCs w:val="20"/>
          <w:highlight w:val="none"/>
        </w:rPr>
        <w:t>（2）在工程采购项目中，工程由中小企业承建，即工程施工单位为中小企业；</w:t>
      </w:r>
    </w:p>
    <w:p>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（3）在服务采购项目中，服务由中小企业承接，即提供服务的人员为中小企业依照《中华人民共和国劳动合同法》订立劳动合同的从业人员。</w:t>
      </w:r>
    </w:p>
    <w:p>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以联合体形式参加政府采购活动，联合体各方均为中小企业的，联合体视同中小企业。其中，联合体各方均为小微企业的，联合体视同小微企业。</w:t>
      </w:r>
    </w:p>
    <w:p>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2.1.4对于未预留份额专门面向中小企业采购的采购项目，以及预留份额项目中的非预留部分采购包，对小微企业报价给予</w:t>
      </w:r>
      <w:r>
        <w:rPr>
          <w:rFonts w:hint="eastAsia" w:ascii="仿宋" w:hAnsi="仿宋" w:eastAsia="仿宋" w:cs="Times New Roman"/>
          <w:color w:val="auto"/>
          <w:sz w:val="24"/>
          <w:szCs w:val="20"/>
          <w:highlight w:val="none"/>
          <w:lang w:val="en-US" w:eastAsia="zh-CN"/>
        </w:rPr>
        <w:t>3</w:t>
      </w:r>
      <w:r>
        <w:rPr>
          <w:rFonts w:hint="eastAsia" w:ascii="仿宋" w:hAnsi="仿宋" w:eastAsia="仿宋" w:cs="Times New Roman"/>
          <w:color w:val="auto"/>
          <w:sz w:val="24"/>
          <w:szCs w:val="20"/>
          <w:highlight w:val="none"/>
        </w:rPr>
        <w:t>%的扣除，用扣除后的价格参加评审。</w:t>
      </w:r>
    </w:p>
    <w:p>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2.1.5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ascii="仿宋" w:hAnsi="仿宋" w:eastAsia="仿宋" w:cs="Times New Roman"/>
          <w:color w:val="auto"/>
          <w:sz w:val="24"/>
          <w:szCs w:val="20"/>
          <w:highlight w:val="none"/>
          <w:lang w:val="en-US" w:eastAsia="zh-CN"/>
        </w:rPr>
        <w:t>1</w:t>
      </w:r>
      <w:r>
        <w:rPr>
          <w:rFonts w:hint="eastAsia" w:ascii="仿宋" w:hAnsi="仿宋" w:eastAsia="仿宋" w:cs="Times New Roman"/>
          <w:color w:val="auto"/>
          <w:sz w:val="24"/>
          <w:szCs w:val="20"/>
          <w:highlight w:val="none"/>
        </w:rPr>
        <w:t>%的扣除，用扣除后的价格参加评审。组成联合体或者接受分包的小微企业与联合体内其他企业、分包企业之间存在直接控股、管理关系的，不享受价格扣除优惠政策。</w:t>
      </w:r>
    </w:p>
    <w:p>
      <w:pPr>
        <w:autoSpaceDN w:val="0"/>
        <w:spacing w:line="360" w:lineRule="auto"/>
        <w:ind w:firstLine="480" w:firstLineChars="200"/>
        <w:rPr>
          <w:rFonts w:ascii="仿宋_GB2312" w:hAnsi="仿宋" w:eastAsia="仿宋_GB2312" w:cs="Times New Roman"/>
          <w:b/>
          <w:bCs/>
          <w:color w:val="auto"/>
          <w:sz w:val="24"/>
          <w:szCs w:val="24"/>
          <w:highlight w:val="none"/>
        </w:rPr>
      </w:pPr>
      <w:r>
        <w:rPr>
          <w:rFonts w:hint="eastAsia" w:ascii="仿宋" w:hAnsi="仿宋" w:eastAsia="仿宋" w:cs="Times New Roman"/>
          <w:b/>
          <w:bCs/>
          <w:color w:val="auto"/>
          <w:sz w:val="24"/>
          <w:szCs w:val="20"/>
          <w:highlight w:val="none"/>
        </w:rPr>
        <w:t>2.1.6</w:t>
      </w:r>
      <w:r>
        <w:rPr>
          <w:rFonts w:hint="eastAsia" w:ascii="仿宋_GB2312" w:hAnsi="仿宋" w:eastAsia="仿宋_GB2312" w:cs="Times New Roman"/>
          <w:b/>
          <w:bCs/>
          <w:color w:val="auto"/>
          <w:sz w:val="24"/>
          <w:szCs w:val="24"/>
          <w:highlight w:val="none"/>
        </w:rPr>
        <w:t>可享受</w:t>
      </w:r>
      <w:r>
        <w:rPr>
          <w:rFonts w:hint="eastAsia" w:ascii="仿宋_GB2312" w:hAnsi="宋体" w:eastAsia="仿宋_GB2312" w:cs="宋体"/>
          <w:b/>
          <w:bCs/>
          <w:color w:val="auto"/>
          <w:kern w:val="0"/>
          <w:sz w:val="24"/>
          <w:szCs w:val="24"/>
          <w:highlight w:val="none"/>
        </w:rPr>
        <w:t>中小企业扶持政策</w:t>
      </w:r>
      <w:r>
        <w:rPr>
          <w:rFonts w:hint="eastAsia" w:ascii="仿宋_GB2312" w:hAnsi="仿宋" w:eastAsia="仿宋_GB2312" w:cs="Times New Roman"/>
          <w:b/>
          <w:bCs/>
          <w:color w:val="auto"/>
          <w:sz w:val="24"/>
          <w:szCs w:val="24"/>
          <w:highlight w:val="none"/>
        </w:rPr>
        <w:t>的供应商应按照磋商响应文件格式要求提供《中小企业声明函》。</w:t>
      </w:r>
    </w:p>
    <w:p>
      <w:pPr>
        <w:autoSpaceDN w:val="0"/>
        <w:spacing w:line="360" w:lineRule="auto"/>
        <w:ind w:firstLine="424"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2.1.7符合《财政部、司法部关于政府采购支持监狱企业发展有关问题的通知》（财库[2014]68号）规定的监狱企业在全部提供本单位制造的货物（由本单位承担工程/提供服务）或者提供其他监狱企业制造的货物（不包括使用非监狱企业注册商标的货物）参加本政府采购活动时，视同小型、微型企业。</w:t>
      </w:r>
    </w:p>
    <w:p>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备注：（1）监狱企业证明文件：省级或以上监狱管理局、戒毒管理局（含新疆生产建设兵团）出具的属于监狱企业的证明文件。（2）如果提供其他监狱企业制造的货物，还须同时提供该企业为监狱企业的证明文件。</w:t>
      </w:r>
    </w:p>
    <w:p>
      <w:pPr>
        <w:autoSpaceDN w:val="0"/>
        <w:spacing w:line="360" w:lineRule="auto"/>
        <w:ind w:firstLine="424"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2.1.8符合《财政部、民政部、中国残疾人联合会关于促进残疾人就业政府采购政策的通知》（财库[2017]141号）规定的残疾人福利性单位，在全部提供本单位制造的货物（由本单位承担工程/提供服务）或者提供其他残疾人福利性单位制造的货物（不包括使用非残疾人福利性单位注册商标的货物）参加本政府采购活动时，视同小型、微型企业。</w:t>
      </w:r>
    </w:p>
    <w:p>
      <w:pPr>
        <w:autoSpaceDN w:val="0"/>
        <w:spacing w:line="360" w:lineRule="auto"/>
        <w:ind w:firstLine="480" w:firstLineChars="200"/>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备注：（1）残疾人福利性单位证明材料：残疾人福利性单位声明函（见第六章 磋商响应文件格式）；（2）如提供其他残疾人福利性单位制造的货物，还须同时提供该企业的残疾人福利性单位声明函。</w:t>
      </w:r>
    </w:p>
    <w:p>
      <w:pPr>
        <w:autoSpaceDN w:val="0"/>
        <w:spacing w:line="360" w:lineRule="auto"/>
        <w:ind w:firstLine="480" w:firstLineChars="200"/>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2.1.9中小企业享受扶持政策获得政府采购合同的，小微企业不得将合同分包给大中型企业，中型企业不得将合同分包给大型企业。</w:t>
      </w:r>
    </w:p>
    <w:p>
      <w:pPr>
        <w:keepNext/>
        <w:keepLines/>
        <w:autoSpaceDN w:val="0"/>
        <w:spacing w:before="93" w:beforeLines="30" w:after="93" w:afterLines="30" w:line="360" w:lineRule="auto"/>
        <w:ind w:firstLine="283" w:firstLineChars="118"/>
        <w:outlineLvl w:val="2"/>
        <w:rPr>
          <w:rFonts w:ascii="Times New Roman" w:hAnsi="Times New Roman" w:eastAsia="华文中宋" w:cs="Times New Roman"/>
          <w:b/>
          <w:bCs/>
          <w:color w:val="auto"/>
          <w:sz w:val="24"/>
          <w:szCs w:val="32"/>
          <w:highlight w:val="none"/>
        </w:rPr>
      </w:pPr>
      <w:r>
        <w:rPr>
          <w:rFonts w:ascii="Times New Roman" w:hAnsi="Times New Roman" w:eastAsia="华文中宋" w:cs="Times New Roman"/>
          <w:b/>
          <w:bCs/>
          <w:color w:val="auto"/>
          <w:sz w:val="24"/>
          <w:szCs w:val="32"/>
          <w:highlight w:val="none"/>
        </w:rPr>
        <w:t xml:space="preserve">2.2 </w:t>
      </w:r>
      <w:r>
        <w:rPr>
          <w:rFonts w:hint="eastAsia" w:ascii="Times New Roman" w:hAnsi="Times New Roman" w:eastAsia="华文中宋" w:cs="Times New Roman"/>
          <w:b/>
          <w:bCs/>
          <w:color w:val="auto"/>
          <w:sz w:val="24"/>
          <w:szCs w:val="32"/>
          <w:highlight w:val="none"/>
        </w:rPr>
        <w:t>节能、环保产品政府采购实施相关规定</w:t>
      </w:r>
    </w:p>
    <w:p>
      <w:pPr>
        <w:autoSpaceDN w:val="0"/>
        <w:spacing w:line="360" w:lineRule="auto"/>
        <w:ind w:firstLine="424"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2.2.1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w:t>
      </w:r>
    </w:p>
    <w:p>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b/>
          <w:color w:val="auto"/>
          <w:sz w:val="24"/>
          <w:szCs w:val="20"/>
          <w:highlight w:val="none"/>
        </w:rPr>
        <w:t>2.2.2《节能产品政府采购品目清单》详见《关于印发节能产品政府采购品目清单的通知（财库[2019]19号）》（如遇调整，按最新清单执行）。</w:t>
      </w:r>
    </w:p>
    <w:tbl>
      <w:tblPr>
        <w:tblStyle w:val="61"/>
        <w:tblW w:w="9705" w:type="dxa"/>
        <w:jc w:val="center"/>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1026"/>
        <w:gridCol w:w="2439"/>
        <w:gridCol w:w="6240"/>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blHeader/>
          <w:jc w:val="center"/>
        </w:trPr>
        <w:tc>
          <w:tcPr>
            <w:tcW w:w="1026" w:type="dxa"/>
            <w:tcBorders>
              <w:top w:val="thinThickSmallGap" w:color="0070C0" w:sz="12" w:space="0"/>
              <w:left w:val="thinThickSmallGap" w:color="0070C0" w:sz="12" w:space="0"/>
              <w:bottom w:val="single" w:color="0070C0" w:sz="6" w:space="0"/>
              <w:right w:val="single" w:color="0070C0" w:sz="6" w:space="0"/>
            </w:tcBorders>
            <w:shd w:val="clear" w:color="auto" w:fill="DAEEF3"/>
            <w:noWrap/>
            <w:vAlign w:val="center"/>
          </w:tcPr>
          <w:p>
            <w:pPr>
              <w:autoSpaceDN w:val="0"/>
              <w:adjustRightInd w:val="0"/>
              <w:snapToGrid w:val="0"/>
              <w:spacing w:line="276" w:lineRule="auto"/>
              <w:jc w:val="center"/>
              <w:rPr>
                <w:rFonts w:ascii="仿宋" w:hAnsi="仿宋" w:eastAsia="仿宋" w:cs="Times New Roman"/>
                <w:b/>
                <w:color w:val="auto"/>
                <w:w w:val="80"/>
                <w:sz w:val="24"/>
                <w:szCs w:val="24"/>
                <w:highlight w:val="none"/>
              </w:rPr>
            </w:pPr>
            <w:r>
              <w:rPr>
                <w:rFonts w:hint="eastAsia" w:ascii="仿宋" w:hAnsi="仿宋" w:eastAsia="仿宋" w:cs="Times New Roman"/>
                <w:b/>
                <w:color w:val="auto"/>
                <w:w w:val="80"/>
                <w:sz w:val="24"/>
                <w:szCs w:val="24"/>
                <w:highlight w:val="none"/>
              </w:rPr>
              <w:t>品目清单序号</w:t>
            </w:r>
          </w:p>
        </w:tc>
        <w:tc>
          <w:tcPr>
            <w:tcW w:w="8680" w:type="dxa"/>
            <w:gridSpan w:val="2"/>
            <w:tcBorders>
              <w:top w:val="thinThickSmallGap" w:color="0070C0" w:sz="12" w:space="0"/>
              <w:left w:val="single" w:color="0070C0" w:sz="6" w:space="0"/>
              <w:bottom w:val="single" w:color="0070C0" w:sz="6" w:space="0"/>
              <w:right w:val="thickThinSmallGap" w:color="0070C0" w:sz="12" w:space="0"/>
            </w:tcBorders>
            <w:shd w:val="clear" w:color="auto" w:fill="DAEEF3"/>
            <w:noWrap/>
            <w:vAlign w:val="center"/>
          </w:tcPr>
          <w:p>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产品名称（以“★”标注的为政府强制采购产品）</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1</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A020101计算机设备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A02010104台式计算机</w:t>
            </w:r>
            <w:r>
              <w:rPr>
                <w:rFonts w:hint="eastAsia" w:ascii="仿宋" w:hAnsi="仿宋" w:eastAsia="仿宋" w:cs="Times New Roman"/>
                <w:color w:val="auto"/>
                <w:sz w:val="24"/>
                <w:szCs w:val="24"/>
                <w:highlight w:val="none"/>
              </w:rPr>
              <w:t>；</w:t>
            </w:r>
          </w:p>
          <w:p>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A02010105便携式计算机</w:t>
            </w:r>
            <w:r>
              <w:rPr>
                <w:rFonts w:hint="eastAsia" w:ascii="仿宋" w:hAnsi="仿宋" w:eastAsia="仿宋" w:cs="Times New Roman"/>
                <w:color w:val="auto"/>
                <w:sz w:val="24"/>
                <w:szCs w:val="24"/>
                <w:highlight w:val="none"/>
              </w:rPr>
              <w:t>；</w:t>
            </w:r>
          </w:p>
          <w:p>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A02010107平板式微型计算机</w:t>
            </w:r>
            <w:r>
              <w:rPr>
                <w:rFonts w:hint="eastAsia" w:ascii="仿宋" w:hAnsi="仿宋" w:eastAsia="仿宋" w:cs="Times New Roman"/>
                <w:color w:val="auto"/>
                <w:sz w:val="24"/>
                <w:szCs w:val="24"/>
                <w:highlight w:val="none"/>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2</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A020106输入输出设备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A0201060102激光打印机</w:t>
            </w:r>
            <w:r>
              <w:rPr>
                <w:rFonts w:hint="eastAsia" w:ascii="仿宋" w:hAnsi="仿宋" w:eastAsia="仿宋" w:cs="Times New Roman"/>
                <w:color w:val="auto"/>
                <w:sz w:val="24"/>
                <w:szCs w:val="24"/>
                <w:highlight w:val="none"/>
              </w:rPr>
              <w:t>；</w:t>
            </w:r>
          </w:p>
          <w:p>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A0201060104针式打印机</w:t>
            </w:r>
            <w:r>
              <w:rPr>
                <w:rFonts w:hint="eastAsia" w:ascii="仿宋" w:hAnsi="仿宋" w:eastAsia="仿宋" w:cs="Times New Roman"/>
                <w:color w:val="auto"/>
                <w:sz w:val="24"/>
                <w:szCs w:val="24"/>
                <w:highlight w:val="none"/>
              </w:rPr>
              <w:t>；</w:t>
            </w:r>
          </w:p>
          <w:p>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A0201060401液晶显示器</w:t>
            </w:r>
            <w:r>
              <w:rPr>
                <w:rFonts w:hint="eastAsia" w:ascii="仿宋" w:hAnsi="仿宋" w:eastAsia="仿宋" w:cs="Times New Roman"/>
                <w:color w:val="auto"/>
                <w:sz w:val="24"/>
                <w:szCs w:val="24"/>
                <w:highlight w:val="none"/>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6</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A020523制冷空调设备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A02052301制冷压缩机：</w:t>
            </w:r>
            <w:r>
              <w:rPr>
                <w:rFonts w:hint="eastAsia" w:ascii="仿宋" w:hAnsi="仿宋" w:eastAsia="仿宋" w:cs="Times New Roman"/>
                <w:color w:val="auto"/>
                <w:sz w:val="24"/>
                <w:szCs w:val="24"/>
                <w:highlight w:val="none"/>
              </w:rPr>
              <w:t>冷水机组、水源热泵机组、溴化锂吸收式冷水机组；</w:t>
            </w:r>
          </w:p>
          <w:p>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A02052305空调机组:</w:t>
            </w:r>
            <w:r>
              <w:rPr>
                <w:rFonts w:hint="eastAsia" w:ascii="仿宋" w:hAnsi="仿宋" w:eastAsia="仿宋" w:cs="Times New Roman"/>
                <w:color w:val="auto"/>
                <w:sz w:val="24"/>
                <w:szCs w:val="24"/>
                <w:highlight w:val="none"/>
              </w:rPr>
              <w:t>多联式空调（热泵）机组(制冷量&gt;14000W)）、单元式空气调节机(制冷量&gt;14000W)；</w:t>
            </w:r>
          </w:p>
          <w:p>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A02052309专用制冷、空调设备：</w:t>
            </w:r>
            <w:r>
              <w:rPr>
                <w:rFonts w:hint="eastAsia" w:ascii="仿宋" w:hAnsi="仿宋" w:eastAsia="仿宋" w:cs="Times New Roman"/>
                <w:color w:val="auto"/>
                <w:sz w:val="24"/>
                <w:szCs w:val="24"/>
                <w:highlight w:val="none"/>
              </w:rPr>
              <w:t>机房空调。</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9</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★A020609镇流器</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管型荧光灯镇流器</w:t>
            </w:r>
            <w:r>
              <w:rPr>
                <w:rFonts w:hint="eastAsia" w:ascii="仿宋" w:hAnsi="仿宋" w:eastAsia="仿宋" w:cs="Times New Roman"/>
                <w:color w:val="auto"/>
                <w:sz w:val="24"/>
                <w:szCs w:val="24"/>
                <w:highlight w:val="none"/>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10</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A020618生活用电器</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A0206180203空调机：</w:t>
            </w:r>
            <w:r>
              <w:rPr>
                <w:rFonts w:hint="eastAsia" w:ascii="仿宋" w:hAnsi="仿宋" w:eastAsia="仿宋" w:cs="Times New Roman"/>
                <w:color w:val="auto"/>
                <w:sz w:val="24"/>
                <w:szCs w:val="24"/>
                <w:highlight w:val="none"/>
              </w:rPr>
              <w:t>房间空气调节器、多联式空调（热泵）机组（制冷量≤14000W）、单元式空气调节机(制冷量≤14000W)）；</w:t>
            </w:r>
          </w:p>
          <w:p>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A02061808热水器：★</w:t>
            </w:r>
            <w:r>
              <w:rPr>
                <w:rFonts w:hint="eastAsia" w:ascii="仿宋" w:hAnsi="仿宋" w:eastAsia="仿宋" w:cs="Times New Roman"/>
                <w:b/>
                <w:color w:val="auto"/>
                <w:sz w:val="24"/>
                <w:szCs w:val="24"/>
                <w:highlight w:val="none"/>
              </w:rPr>
              <w:t>电热水器</w:t>
            </w:r>
            <w:r>
              <w:rPr>
                <w:rFonts w:hint="eastAsia" w:ascii="仿宋" w:hAnsi="仿宋" w:eastAsia="仿宋" w:cs="Times New Roman"/>
                <w:color w:val="auto"/>
                <w:sz w:val="24"/>
                <w:szCs w:val="24"/>
                <w:highlight w:val="none"/>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11</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A020619照明设备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普通照明用双端荧光灯</w:t>
            </w:r>
            <w:r>
              <w:rPr>
                <w:rFonts w:hint="eastAsia" w:ascii="仿宋" w:hAnsi="仿宋" w:eastAsia="仿宋" w:cs="Times New Roman"/>
                <w:color w:val="auto"/>
                <w:sz w:val="24"/>
                <w:szCs w:val="24"/>
                <w:highlight w:val="none"/>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12</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★A020910电视设备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A02091001普通电视设备（电视机）。</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13</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★A020911视频设备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监视器。</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15</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★A060805便器</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坐便器、蹲便器、小便器。</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thickThinSmallGap" w:color="0070C0" w:sz="12" w:space="0"/>
              <w:right w:val="single" w:color="0070C0" w:sz="6" w:space="0"/>
            </w:tcBorders>
            <w:noWrap/>
            <w:vAlign w:val="center"/>
          </w:tcPr>
          <w:p>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16</w:t>
            </w:r>
          </w:p>
        </w:tc>
        <w:tc>
          <w:tcPr>
            <w:tcW w:w="2439" w:type="dxa"/>
            <w:tcBorders>
              <w:top w:val="single" w:color="0070C0" w:sz="6" w:space="0"/>
              <w:left w:val="single" w:color="0070C0" w:sz="6" w:space="0"/>
              <w:bottom w:val="thickThinSmallGap" w:color="0070C0" w:sz="12" w:space="0"/>
              <w:right w:val="single" w:color="0070C0" w:sz="6" w:space="0"/>
            </w:tcBorders>
            <w:noWrap/>
            <w:vAlign w:val="center"/>
          </w:tcPr>
          <w:p>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★A060806 水嘴</w:t>
            </w:r>
          </w:p>
        </w:tc>
        <w:tc>
          <w:tcPr>
            <w:tcW w:w="6241" w:type="dxa"/>
            <w:tcBorders>
              <w:top w:val="single" w:color="0070C0" w:sz="6" w:space="0"/>
              <w:left w:val="single" w:color="0070C0" w:sz="6" w:space="0"/>
              <w:bottom w:val="thickThinSmallGap" w:color="0070C0" w:sz="12"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水嘴。</w:t>
            </w:r>
          </w:p>
        </w:tc>
      </w:tr>
    </w:tbl>
    <w:p>
      <w:pPr>
        <w:autoSpaceDN w:val="0"/>
        <w:spacing w:line="360" w:lineRule="auto"/>
        <w:ind w:firstLine="424"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2.2.3本次采购对属于节能产品政府采购品目清单规定的政府强制采购产品范围内的产品实施强制采购。供应商应当在磋商响应文件中提供国家确定的认证机构出具的、处于有效期之内的节能产品认证证书（扫描件、加盖公章）。不能提供上述证书的，磋商响应文件无效。</w:t>
      </w:r>
    </w:p>
    <w:p>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b/>
          <w:color w:val="auto"/>
          <w:sz w:val="24"/>
          <w:szCs w:val="20"/>
          <w:highlight w:val="none"/>
        </w:rPr>
        <w:t>2.2.4《环境标志产品政府采购品目清单》详见《关于印发环境标志产品政府采购品目清单的通知（财库[2019]18号）》（如遇调整，按最新清单执行）。</w:t>
      </w:r>
    </w:p>
    <w:p>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b/>
          <w:color w:val="auto"/>
          <w:sz w:val="24"/>
          <w:szCs w:val="20"/>
          <w:highlight w:val="none"/>
        </w:rPr>
        <w:t>2.2.5本次采购对属于品目清单范围但不属于政府强制采购产品的，实施优先采购，详见第七章评分标准中有关节能、环保评分内容。</w:t>
      </w:r>
      <w:r>
        <w:rPr>
          <w:rFonts w:hint="eastAsia" w:ascii="仿宋" w:hAnsi="仿宋" w:eastAsia="仿宋" w:cs="Times New Roman"/>
          <w:color w:val="auto"/>
          <w:sz w:val="24"/>
          <w:szCs w:val="20"/>
          <w:highlight w:val="none"/>
        </w:rPr>
        <w:t>供应商在响应文件中提供国家确定的认证机构出具的、处于有效期之内的节能产品或环境标志产品认证证书（扫描件）。</w:t>
      </w:r>
    </w:p>
    <w:p>
      <w:pPr>
        <w:autoSpaceDN w:val="0"/>
        <w:spacing w:line="360" w:lineRule="auto"/>
        <w:ind w:firstLine="424"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2.2.6节能产品政府采购品目清单，以财政部、国家发展改革委发布的最新一期节能产品政府采购品目清单为准。环境标志产品政府采购品目清单，以财政部、生态环境部发布的最新一期环境标志产品政府采购品目清单为准。</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sz w:val="24"/>
          <w:szCs w:val="20"/>
          <w:highlight w:val="none"/>
        </w:rPr>
        <w:t>2.2.7国家确定的认证机构以国家市场监管总局发布的参与实施政府采购节能产品、环境标志产品认证机构名录为准，详见第八章附件（如遇调整，请以最新公布的为准）。</w:t>
      </w:r>
      <w:bookmarkEnd w:id="47"/>
      <w:bookmarkEnd w:id="48"/>
    </w:p>
    <w:bookmarkEnd w:id="45"/>
    <w:p>
      <w:pPr>
        <w:keepNext/>
        <w:keepLines/>
        <w:autoSpaceDN w:val="0"/>
        <w:spacing w:before="260" w:after="260" w:line="415" w:lineRule="auto"/>
        <w:ind w:firstLine="280" w:firstLineChars="100"/>
        <w:outlineLvl w:val="1"/>
        <w:rPr>
          <w:rFonts w:ascii="仿宋" w:hAnsi="仿宋" w:eastAsia="仿宋" w:cs="Times New Roman"/>
          <w:b/>
          <w:bCs/>
          <w:color w:val="auto"/>
          <w:sz w:val="28"/>
          <w:szCs w:val="28"/>
          <w:highlight w:val="none"/>
        </w:rPr>
      </w:pPr>
      <w:bookmarkStart w:id="49" w:name="_Toc96947062"/>
      <w:bookmarkStart w:id="50" w:name="_Toc1246"/>
      <w:r>
        <w:rPr>
          <w:rFonts w:hint="eastAsia" w:ascii="仿宋" w:hAnsi="仿宋" w:eastAsia="仿宋" w:cs="Times New Roman"/>
          <w:b/>
          <w:bCs/>
          <w:color w:val="auto"/>
          <w:sz w:val="28"/>
          <w:szCs w:val="28"/>
          <w:highlight w:val="none"/>
        </w:rPr>
        <w:t>三、竞争性磋商文件</w:t>
      </w:r>
      <w:bookmarkEnd w:id="46"/>
      <w:bookmarkEnd w:id="49"/>
      <w:bookmarkEnd w:id="50"/>
    </w:p>
    <w:p>
      <w:pPr>
        <w:keepNext/>
        <w:keepLines/>
        <w:autoSpaceDN w:val="0"/>
        <w:spacing w:before="93" w:beforeLines="30" w:after="93" w:afterLines="30" w:line="360" w:lineRule="auto"/>
        <w:ind w:firstLine="283"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3.1 竞争性磋商文件的组成</w:t>
      </w:r>
    </w:p>
    <w:p>
      <w:pPr>
        <w:numPr>
          <w:ilvl w:val="0"/>
          <w:numId w:val="7"/>
        </w:numPr>
        <w:autoSpaceDN w:val="0"/>
        <w:spacing w:line="360" w:lineRule="auto"/>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第一章 竞争性磋商公告；</w:t>
      </w:r>
    </w:p>
    <w:p>
      <w:pPr>
        <w:numPr>
          <w:ilvl w:val="0"/>
          <w:numId w:val="7"/>
        </w:numPr>
        <w:autoSpaceDN w:val="0"/>
        <w:spacing w:line="360" w:lineRule="auto"/>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第二章 磋商须知；</w:t>
      </w:r>
    </w:p>
    <w:p>
      <w:pPr>
        <w:numPr>
          <w:ilvl w:val="0"/>
          <w:numId w:val="7"/>
        </w:numPr>
        <w:autoSpaceDN w:val="0"/>
        <w:spacing w:line="360" w:lineRule="auto"/>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第三章 评审办法</w:t>
      </w:r>
    </w:p>
    <w:p>
      <w:pPr>
        <w:numPr>
          <w:ilvl w:val="0"/>
          <w:numId w:val="7"/>
        </w:numPr>
        <w:autoSpaceDN w:val="0"/>
        <w:spacing w:line="360" w:lineRule="auto"/>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第四章 采购内容及需求；</w:t>
      </w:r>
    </w:p>
    <w:p>
      <w:pPr>
        <w:numPr>
          <w:ilvl w:val="0"/>
          <w:numId w:val="7"/>
        </w:numPr>
        <w:autoSpaceDN w:val="0"/>
        <w:spacing w:line="360" w:lineRule="auto"/>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第五章 合同；</w:t>
      </w:r>
    </w:p>
    <w:p>
      <w:pPr>
        <w:numPr>
          <w:ilvl w:val="0"/>
          <w:numId w:val="7"/>
        </w:numPr>
        <w:autoSpaceDN w:val="0"/>
        <w:spacing w:line="360" w:lineRule="auto"/>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第六章 磋商响应文件格式</w:t>
      </w:r>
    </w:p>
    <w:p>
      <w:pPr>
        <w:numPr>
          <w:ilvl w:val="0"/>
          <w:numId w:val="7"/>
        </w:numPr>
        <w:autoSpaceDN w:val="0"/>
        <w:spacing w:line="360" w:lineRule="auto"/>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第七章 附件（如有）；</w:t>
      </w:r>
    </w:p>
    <w:p>
      <w:pPr>
        <w:numPr>
          <w:ilvl w:val="0"/>
          <w:numId w:val="7"/>
        </w:numPr>
        <w:autoSpaceDN w:val="0"/>
        <w:adjustRightInd w:val="0"/>
        <w:spacing w:line="360" w:lineRule="auto"/>
        <w:ind w:left="425"/>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竞争性磋商文件的澄清、修改文件以及磋商过程中对磋商文件作出的实质性变动（如有，另册）。</w:t>
      </w:r>
    </w:p>
    <w:p>
      <w:pPr>
        <w:keepNext/>
        <w:keepLines/>
        <w:autoSpaceDN w:val="0"/>
        <w:spacing w:before="93" w:beforeLines="30" w:after="93" w:afterLines="30" w:line="360" w:lineRule="auto"/>
        <w:ind w:firstLine="283"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3.2 竞争性磋商文件的提疑</w:t>
      </w:r>
    </w:p>
    <w:p>
      <w:pPr>
        <w:autoSpaceDN w:val="0"/>
        <w:spacing w:line="360" w:lineRule="auto"/>
        <w:ind w:firstLine="424"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3.2.1竞争性磋商文件提疑截止时间：</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3.2.2供应商应认真阅读通过“政府采购云平台”获取的竞争性磋商文件，如发现竞争性磋商文件或清单、图纸中有前后不一致或不清楚或有误的内容，应在“竞争性磋商文件提疑截止时间”前以书面形式向采购组织机构提出，否则造成的一切后果由供应商自行承担，采购组织机构概不负责；</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3.2.3采购组织机构将在收到供应商递交的《疑问函》后三个工作日内以书面形式答复供应商提出的问题，并将不包含问题来源的答复通知所有已登记获取竞争性磋商文件的供应商。</w:t>
      </w:r>
    </w:p>
    <w:p>
      <w:pPr>
        <w:keepNext/>
        <w:keepLines/>
        <w:autoSpaceDN w:val="0"/>
        <w:spacing w:before="93" w:beforeLines="30" w:after="93" w:afterLines="30" w:line="360" w:lineRule="auto"/>
        <w:ind w:firstLine="283"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3.3 竞争性磋商文件的澄清、修改（更正）</w:t>
      </w:r>
    </w:p>
    <w:p>
      <w:pPr>
        <w:autoSpaceDN w:val="0"/>
        <w:spacing w:line="360" w:lineRule="auto"/>
        <w:ind w:firstLine="424"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3.3.1采购人或者采购代理机构可以对已发出的竞争性磋商文件进行必要的澄清或者修改，澄清或修改将在原公告发布媒体上发布澄清或更正公告，并以传真或邮件（原文扫描件）或网上公告等形式告知所有已登记获取竞争性磋商文件的供应商；</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3.3.2竞争性磋商文件的澄清或者修改内容为竞争性磋商文件的组成部分，对所有参加本次采购活动的供应商均有约束力；</w:t>
      </w:r>
      <w:r>
        <w:rPr>
          <w:rFonts w:hint="eastAsia" w:ascii="仿宋" w:hAnsi="仿宋" w:eastAsia="仿宋" w:cs="Times New Roman"/>
          <w:color w:val="auto"/>
          <w:kern w:val="0"/>
          <w:sz w:val="24"/>
          <w:szCs w:val="20"/>
          <w:highlight w:val="none"/>
        </w:rPr>
        <w:t>当原竞争性磋商文件与澄清、修改的内容就同一事项的表述不一致时，以最后发出的文件为准；</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3.3.3竞争性磋商文件的澄清、修改的内容影响到供应商磋商响应文件编制的，采购人或采购代理机构将按相关规定顺延磋商响应文件截止时间及开启时间，使之满足政府采购相关规定；</w:t>
      </w:r>
    </w:p>
    <w:p>
      <w:pPr>
        <w:autoSpaceDN w:val="0"/>
        <w:spacing w:line="360" w:lineRule="auto"/>
        <w:ind w:left="1" w:firstLine="420" w:firstLineChars="175"/>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3.3.4供应商收到采购组织机构发出的澄清、修改（更正）文件后，应在24小时内向采购组织机构递交书面回执；</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3.3.5供应商对收到的澄清、修改（更正）文件内容有疑问的，应当同时在书面回执中加注说明并与采购人或采购代理机构确认，疑问内容应加盖单位公章、写明日期；</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3.3.6任何口头形式的答复、说明均不属于竞争性磋商文件的组成部分。</w:t>
      </w:r>
    </w:p>
    <w:p>
      <w:pPr>
        <w:keepNext/>
        <w:keepLines/>
        <w:autoSpaceDN w:val="0"/>
        <w:spacing w:before="93" w:beforeLines="30" w:after="93" w:afterLines="30" w:line="360" w:lineRule="auto"/>
        <w:ind w:firstLine="283"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3.4 竞争性磋商文件的质疑</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供应商认为竞争性磋商文件使自己的合法权益受到损害的，应当按照本章节第1.16.2款规定，以书面形式一次性向采购人、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pPr>
        <w:keepNext/>
        <w:keepLines/>
        <w:autoSpaceDN w:val="0"/>
        <w:spacing w:before="260" w:after="260" w:line="415" w:lineRule="auto"/>
        <w:ind w:firstLine="280" w:firstLineChars="100"/>
        <w:outlineLvl w:val="1"/>
        <w:rPr>
          <w:rFonts w:ascii="仿宋" w:hAnsi="仿宋" w:eastAsia="仿宋" w:cs="Times New Roman"/>
          <w:b/>
          <w:bCs/>
          <w:color w:val="auto"/>
          <w:sz w:val="28"/>
          <w:szCs w:val="28"/>
          <w:highlight w:val="none"/>
        </w:rPr>
      </w:pPr>
      <w:bookmarkStart w:id="51" w:name="_Toc1284"/>
      <w:bookmarkStart w:id="52" w:name="_Toc96947063"/>
      <w:r>
        <w:rPr>
          <w:rFonts w:hint="eastAsia" w:ascii="仿宋" w:hAnsi="仿宋" w:eastAsia="仿宋" w:cs="Times New Roman"/>
          <w:b/>
          <w:bCs/>
          <w:color w:val="auto"/>
          <w:sz w:val="28"/>
          <w:szCs w:val="28"/>
          <w:highlight w:val="none"/>
        </w:rPr>
        <w:t>四、磋商响应文件</w:t>
      </w:r>
      <w:bookmarkEnd w:id="51"/>
      <w:bookmarkEnd w:id="52"/>
    </w:p>
    <w:p>
      <w:pPr>
        <w:keepNext/>
        <w:keepLines/>
        <w:autoSpaceDN w:val="0"/>
        <w:spacing w:before="93" w:beforeLines="30" w:after="93" w:afterLines="30" w:line="360" w:lineRule="auto"/>
        <w:ind w:firstLine="283"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4.1 磋商响应文件的形式</w:t>
      </w:r>
    </w:p>
    <w:p>
      <w:pPr>
        <w:autoSpaceDN w:val="0"/>
        <w:spacing w:line="360" w:lineRule="auto"/>
        <w:ind w:firstLine="424" w:firstLineChars="177"/>
        <w:rPr>
          <w:rFonts w:ascii="仿宋" w:hAnsi="仿宋" w:eastAsia="仿宋" w:cs="仿宋"/>
          <w:color w:val="auto"/>
          <w:sz w:val="24"/>
          <w:szCs w:val="20"/>
          <w:highlight w:val="none"/>
        </w:rPr>
      </w:pPr>
      <w:r>
        <w:rPr>
          <w:rFonts w:hint="eastAsia" w:ascii="仿宋" w:hAnsi="仿宋" w:eastAsia="仿宋" w:cs="仿宋"/>
          <w:b/>
          <w:color w:val="auto"/>
          <w:sz w:val="24"/>
          <w:szCs w:val="20"/>
          <w:highlight w:val="none"/>
        </w:rPr>
        <w:t>4.1.1磋商响应文件的形式：</w:t>
      </w:r>
      <w:r>
        <w:rPr>
          <w:rFonts w:hint="eastAsia" w:ascii="仿宋" w:hAnsi="仿宋" w:eastAsia="仿宋" w:cs="仿宋"/>
          <w:b/>
          <w:color w:val="auto"/>
          <w:sz w:val="24"/>
          <w:szCs w:val="20"/>
          <w:highlight w:val="none"/>
          <w:u w:val="single"/>
        </w:rPr>
        <w:t>电子加密磋商响应文件</w:t>
      </w:r>
      <w:r>
        <w:rPr>
          <w:rFonts w:hint="eastAsia" w:ascii="仿宋" w:hAnsi="仿宋" w:eastAsia="仿宋" w:cs="仿宋"/>
          <w:b/>
          <w:color w:val="auto"/>
          <w:sz w:val="24"/>
          <w:szCs w:val="20"/>
          <w:highlight w:val="none"/>
        </w:rPr>
        <w:t>（是指通过“政采云电子交易客户端”完成磋商响应文件编制后生成并加密的数据电文形式的磋商响应文件，文件格式“.jmbs”）。</w:t>
      </w:r>
    </w:p>
    <w:p>
      <w:pPr>
        <w:keepNext/>
        <w:keepLines/>
        <w:autoSpaceDN w:val="0"/>
        <w:spacing w:before="93" w:beforeLines="30" w:after="93" w:afterLines="30" w:line="360" w:lineRule="auto"/>
        <w:ind w:firstLine="283" w:firstLineChars="118"/>
        <w:outlineLvl w:val="2"/>
        <w:rPr>
          <w:rFonts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4.2 磋商响应文件的组成</w:t>
      </w:r>
    </w:p>
    <w:p>
      <w:pPr>
        <w:autoSpaceDN w:val="0"/>
        <w:spacing w:line="360" w:lineRule="auto"/>
        <w:ind w:firstLine="424" w:firstLineChars="177"/>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4.2.1</w:t>
      </w:r>
      <w:r>
        <w:rPr>
          <w:rFonts w:hint="eastAsia" w:ascii="仿宋" w:hAnsi="仿宋" w:eastAsia="仿宋" w:cs="仿宋"/>
          <w:b/>
          <w:color w:val="auto"/>
          <w:sz w:val="24"/>
          <w:szCs w:val="20"/>
          <w:highlight w:val="none"/>
        </w:rPr>
        <w:t>完整的磋商响应文件由《资格文件》、《商务技术文件》和《报价文件》三个部分组成</w:t>
      </w:r>
      <w:r>
        <w:rPr>
          <w:rFonts w:hint="eastAsia" w:ascii="仿宋" w:hAnsi="仿宋" w:eastAsia="仿宋" w:cs="仿宋"/>
          <w:b/>
          <w:color w:val="auto"/>
          <w:kern w:val="0"/>
          <w:sz w:val="24"/>
          <w:highlight w:val="none"/>
        </w:rPr>
        <w:t>（以下统称“磋商响应文件”）。</w:t>
      </w:r>
    </w:p>
    <w:p>
      <w:pPr>
        <w:autoSpaceDN w:val="0"/>
        <w:spacing w:line="360" w:lineRule="auto"/>
        <w:ind w:firstLine="424" w:firstLineChars="177"/>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4.2.2磋商响应文件内容组成</w:t>
      </w:r>
    </w:p>
    <w:p>
      <w:pPr>
        <w:autoSpaceDN w:val="0"/>
        <w:spacing w:line="360" w:lineRule="auto"/>
        <w:ind w:firstLine="424"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第一部分：《资格文件》组成内容（资格证明文件未提供或提供的资格证明材料不齐全的，资格审查作不通过处理，不得进入评审程序。）</w:t>
      </w:r>
    </w:p>
    <w:p>
      <w:pPr>
        <w:autoSpaceDN w:val="0"/>
        <w:spacing w:line="360" w:lineRule="auto"/>
        <w:ind w:firstLine="432" w:firstLineChars="200"/>
        <w:rPr>
          <w:rFonts w:ascii="仿宋" w:hAnsi="仿宋" w:eastAsia="仿宋" w:cs="Arial"/>
          <w:b/>
          <w:color w:val="auto"/>
          <w:w w:val="90"/>
          <w:kern w:val="0"/>
          <w:sz w:val="24"/>
          <w:szCs w:val="24"/>
          <w:highlight w:val="none"/>
        </w:rPr>
      </w:pPr>
      <w:r>
        <w:rPr>
          <w:rFonts w:hint="eastAsia" w:ascii="仿宋" w:hAnsi="仿宋" w:eastAsia="仿宋" w:cs="Arial"/>
          <w:b/>
          <w:color w:val="auto"/>
          <w:w w:val="90"/>
          <w:kern w:val="0"/>
          <w:sz w:val="24"/>
          <w:szCs w:val="24"/>
          <w:highlight w:val="none"/>
        </w:rPr>
        <w:t>▲ 1-1 符合“申请人的资格要求”第1条规定的证明文件</w:t>
      </w:r>
      <w:r>
        <w:rPr>
          <w:rFonts w:hint="eastAsia" w:ascii="仿宋" w:hAnsi="仿宋" w:eastAsia="仿宋" w:cs="Arial"/>
          <w:color w:val="auto"/>
          <w:w w:val="90"/>
          <w:kern w:val="0"/>
          <w:sz w:val="24"/>
          <w:szCs w:val="24"/>
          <w:highlight w:val="none"/>
        </w:rPr>
        <w:t>的证明文件：</w:t>
      </w:r>
    </w:p>
    <w:p>
      <w:pPr>
        <w:autoSpaceDN w:val="0"/>
        <w:spacing w:line="360" w:lineRule="auto"/>
        <w:ind w:firstLine="432" w:firstLineChars="200"/>
        <w:rPr>
          <w:rFonts w:ascii="仿宋" w:hAnsi="仿宋" w:eastAsia="仿宋" w:cs="Arial"/>
          <w:b/>
          <w:color w:val="auto"/>
          <w:w w:val="90"/>
          <w:kern w:val="0"/>
          <w:sz w:val="24"/>
          <w:szCs w:val="24"/>
          <w:highlight w:val="none"/>
        </w:rPr>
      </w:pPr>
      <w:bookmarkStart w:id="53" w:name="_Hlk96938544"/>
      <w:r>
        <w:rPr>
          <w:rFonts w:hint="eastAsia" w:ascii="仿宋" w:hAnsi="仿宋" w:eastAsia="仿宋" w:cs="Arial"/>
          <w:color w:val="auto"/>
          <w:w w:val="90"/>
          <w:kern w:val="0"/>
          <w:sz w:val="24"/>
          <w:szCs w:val="24"/>
          <w:highlight w:val="none"/>
        </w:rPr>
        <w:t>▲</w:t>
      </w:r>
      <w:bookmarkEnd w:id="53"/>
      <w:r>
        <w:rPr>
          <w:rFonts w:hint="eastAsia" w:ascii="仿宋" w:hAnsi="仿宋" w:eastAsia="仿宋" w:cs="Arial"/>
          <w:b/>
          <w:color w:val="auto"/>
          <w:w w:val="90"/>
          <w:kern w:val="0"/>
          <w:sz w:val="24"/>
          <w:szCs w:val="24"/>
          <w:highlight w:val="none"/>
        </w:rPr>
        <w:t>（1）</w:t>
      </w:r>
      <w:r>
        <w:rPr>
          <w:rFonts w:hint="eastAsia" w:ascii="仿宋" w:hAnsi="仿宋" w:eastAsia="仿宋" w:cs="Arial"/>
          <w:b/>
          <w:color w:val="auto"/>
          <w:w w:val="90"/>
          <w:kern w:val="0"/>
          <w:sz w:val="24"/>
          <w:szCs w:val="24"/>
          <w:highlight w:val="none"/>
          <w:u w:val="single"/>
        </w:rPr>
        <w:t>资格承诺函（联合体各方均须提供）：承诺函（格式见第六章）</w:t>
      </w:r>
    </w:p>
    <w:p>
      <w:pPr>
        <w:autoSpaceDN w:val="0"/>
        <w:spacing w:line="360" w:lineRule="auto"/>
        <w:ind w:firstLine="432" w:firstLineChars="200"/>
        <w:rPr>
          <w:rFonts w:ascii="仿宋" w:hAnsi="仿宋" w:eastAsia="仿宋" w:cs="Arial"/>
          <w:b/>
          <w:color w:val="auto"/>
          <w:w w:val="90"/>
          <w:kern w:val="0"/>
          <w:sz w:val="24"/>
          <w:szCs w:val="24"/>
          <w:highlight w:val="none"/>
        </w:rPr>
      </w:pPr>
      <w:r>
        <w:rPr>
          <w:rFonts w:hint="eastAsia" w:ascii="仿宋" w:hAnsi="仿宋" w:eastAsia="仿宋" w:cs="Arial"/>
          <w:b/>
          <w:color w:val="auto"/>
          <w:w w:val="90"/>
          <w:kern w:val="0"/>
          <w:sz w:val="24"/>
          <w:szCs w:val="24"/>
          <w:highlight w:val="none"/>
        </w:rPr>
        <w:t>▲（2）</w:t>
      </w:r>
      <w:r>
        <w:rPr>
          <w:rFonts w:hint="eastAsia" w:ascii="仿宋" w:hAnsi="仿宋" w:eastAsia="仿宋" w:cs="Arial"/>
          <w:b/>
          <w:color w:val="auto"/>
          <w:w w:val="90"/>
          <w:kern w:val="0"/>
          <w:sz w:val="24"/>
          <w:szCs w:val="24"/>
          <w:highlight w:val="none"/>
          <w:u w:val="single"/>
        </w:rPr>
        <w:t>营业执照（或其他同类证明文件）：提供营业执照等证明文件（复制件加盖磋商响应供应商公章）</w:t>
      </w:r>
      <w:r>
        <w:rPr>
          <w:rFonts w:hint="eastAsia" w:ascii="仿宋" w:hAnsi="仿宋" w:eastAsia="仿宋" w:cs="Arial"/>
          <w:b/>
          <w:color w:val="auto"/>
          <w:w w:val="90"/>
          <w:kern w:val="0"/>
          <w:sz w:val="24"/>
          <w:szCs w:val="24"/>
          <w:highlight w:val="none"/>
        </w:rPr>
        <w:t>；</w:t>
      </w:r>
    </w:p>
    <w:p>
      <w:pPr>
        <w:autoSpaceDN w:val="0"/>
        <w:spacing w:line="360" w:lineRule="auto"/>
        <w:ind w:firstLine="432" w:firstLineChars="200"/>
        <w:rPr>
          <w:rFonts w:ascii="仿宋" w:hAnsi="仿宋" w:eastAsia="仿宋" w:cs="Arial"/>
          <w:color w:val="auto"/>
          <w:w w:val="90"/>
          <w:kern w:val="0"/>
          <w:sz w:val="24"/>
          <w:szCs w:val="24"/>
          <w:highlight w:val="none"/>
        </w:rPr>
      </w:pPr>
      <w:bookmarkStart w:id="54" w:name="_Hlk96939541"/>
      <w:r>
        <w:rPr>
          <w:rFonts w:hint="eastAsia" w:ascii="仿宋" w:hAnsi="仿宋" w:eastAsia="仿宋" w:cs="Arial"/>
          <w:color w:val="auto"/>
          <w:w w:val="90"/>
          <w:kern w:val="0"/>
          <w:sz w:val="24"/>
          <w:szCs w:val="24"/>
          <w:highlight w:val="none"/>
        </w:rPr>
        <w:t xml:space="preserve">▲ </w:t>
      </w:r>
      <w:r>
        <w:rPr>
          <w:rFonts w:hint="eastAsia" w:ascii="仿宋" w:hAnsi="仿宋" w:eastAsia="仿宋" w:cs="Arial"/>
          <w:b/>
          <w:color w:val="auto"/>
          <w:w w:val="90"/>
          <w:kern w:val="0"/>
          <w:sz w:val="24"/>
          <w:szCs w:val="24"/>
          <w:highlight w:val="none"/>
          <w:u w:val="single"/>
        </w:rPr>
        <w:t>1-2 符合“申请人的资格要求”第2条“落实政府采购政策需满足的资格要求”规定的证明文件</w:t>
      </w:r>
    </w:p>
    <w:p>
      <w:pPr>
        <w:widowControl/>
        <w:autoSpaceDE w:val="0"/>
        <w:autoSpaceDN w:val="0"/>
        <w:spacing w:line="360" w:lineRule="auto"/>
        <w:ind w:firstLine="432" w:firstLineChars="200"/>
        <w:outlineLvl w:val="2"/>
        <w:rPr>
          <w:rFonts w:ascii="仿宋" w:hAnsi="仿宋" w:eastAsia="仿宋" w:cs="Arial"/>
          <w:b/>
          <w:color w:val="auto"/>
          <w:w w:val="90"/>
          <w:kern w:val="0"/>
          <w:sz w:val="24"/>
          <w:szCs w:val="24"/>
          <w:highlight w:val="none"/>
        </w:rPr>
      </w:pPr>
      <w:r>
        <w:rPr>
          <w:rFonts w:hint="eastAsia" w:ascii="仿宋" w:hAnsi="仿宋" w:eastAsia="仿宋" w:cs="Arial"/>
          <w:color w:val="auto"/>
          <w:w w:val="90"/>
          <w:kern w:val="0"/>
          <w:sz w:val="24"/>
          <w:szCs w:val="24"/>
          <w:highlight w:val="none"/>
        </w:rPr>
        <w:t>▲</w:t>
      </w:r>
      <w:r>
        <w:rPr>
          <w:rFonts w:hint="eastAsia" w:ascii="仿宋" w:hAnsi="仿宋" w:eastAsia="仿宋" w:cs="Arial"/>
          <w:b/>
          <w:color w:val="auto"/>
          <w:w w:val="90"/>
          <w:kern w:val="0"/>
          <w:sz w:val="24"/>
          <w:szCs w:val="24"/>
          <w:highlight w:val="none"/>
        </w:rPr>
        <w:t xml:space="preserve"> 中小企业声明函（格式见第六章）</w:t>
      </w:r>
    </w:p>
    <w:p>
      <w:pPr>
        <w:autoSpaceDN w:val="0"/>
        <w:spacing w:line="360" w:lineRule="auto"/>
        <w:ind w:firstLine="480" w:firstLineChars="200"/>
        <w:rPr>
          <w:rFonts w:hint="eastAsia" w:ascii="仿宋" w:hAnsi="仿宋" w:eastAsia="仿宋" w:cs="仿宋_GB2312"/>
          <w:color w:val="auto"/>
          <w:sz w:val="24"/>
          <w:szCs w:val="24"/>
          <w:highlight w:val="none"/>
        </w:rPr>
      </w:pPr>
      <w:r>
        <w:rPr>
          <w:rFonts w:hint="eastAsia" w:ascii="仿宋" w:hAnsi="仿宋" w:eastAsia="仿宋" w:cs="Times New Roman"/>
          <w:color w:val="auto"/>
          <w:sz w:val="24"/>
          <w:szCs w:val="24"/>
          <w:highlight w:val="none"/>
        </w:rPr>
        <w:t>提示和说明：</w:t>
      </w:r>
      <w:r>
        <w:rPr>
          <w:rFonts w:hint="eastAsia" w:ascii="仿宋" w:hAnsi="仿宋" w:eastAsia="仿宋" w:cs="仿宋_GB2312"/>
          <w:color w:val="auto"/>
          <w:sz w:val="24"/>
          <w:szCs w:val="24"/>
          <w:highlight w:val="none"/>
        </w:rPr>
        <w:t>符合《关于促进残疾人就业政府采购政策的通知》（财库〔2017〕141号）规定的条件并提供《残疾人福利性单位声明函》的残疾人福利性单位（如提供其他残疾人福利性单位制造的货物，还须同时提供该企业的残疾人福利性单位声明函）视同小型、微型企业；根据《关于政府采购支持监狱企业发展有关问题的通知》（财库[2014]68号）的规定，供应商提供由省级以上监狱管理局、戒毒管理局（含新疆生产建设兵团）出具的属于监狱企业证明文件的（如提供其他监狱企业制造的货物，还须同时提供该企业为监狱企业的证明文件），视同为小型和微型企业。</w:t>
      </w:r>
    </w:p>
    <w:p>
      <w:pPr>
        <w:autoSpaceDN w:val="0"/>
        <w:spacing w:line="360" w:lineRule="auto"/>
        <w:ind w:firstLine="432" w:firstLineChars="200"/>
        <w:rPr>
          <w:rFonts w:ascii="仿宋" w:hAnsi="仿宋" w:eastAsia="仿宋" w:cs="Arial"/>
          <w:b/>
          <w:color w:val="auto"/>
          <w:w w:val="90"/>
          <w:kern w:val="0"/>
          <w:sz w:val="24"/>
          <w:szCs w:val="24"/>
          <w:highlight w:val="none"/>
        </w:rPr>
      </w:pPr>
      <w:r>
        <w:rPr>
          <w:rFonts w:hint="eastAsia" w:ascii="仿宋" w:hAnsi="仿宋" w:eastAsia="仿宋" w:cs="Arial"/>
          <w:color w:val="auto"/>
          <w:w w:val="90"/>
          <w:kern w:val="0"/>
          <w:sz w:val="24"/>
          <w:szCs w:val="24"/>
          <w:highlight w:val="none"/>
        </w:rPr>
        <w:t>▲</w:t>
      </w:r>
      <w:r>
        <w:rPr>
          <w:rFonts w:hint="eastAsia" w:ascii="仿宋" w:hAnsi="仿宋" w:eastAsia="仿宋" w:cs="Arial"/>
          <w:b/>
          <w:color w:val="auto"/>
          <w:w w:val="90"/>
          <w:kern w:val="0"/>
          <w:sz w:val="24"/>
          <w:szCs w:val="24"/>
          <w:highlight w:val="none"/>
        </w:rPr>
        <w:t>1-3</w:t>
      </w:r>
      <w:r>
        <w:rPr>
          <w:rFonts w:hint="eastAsia" w:ascii="仿宋" w:hAnsi="仿宋" w:eastAsia="仿宋" w:cs="Arial"/>
          <w:b/>
          <w:color w:val="auto"/>
          <w:w w:val="90"/>
          <w:kern w:val="0"/>
          <w:sz w:val="24"/>
          <w:szCs w:val="24"/>
          <w:highlight w:val="none"/>
          <w:u w:val="single"/>
        </w:rPr>
        <w:t>符合“申请人的资格要求”第3条“本项目的特定资格要求”的证明文件</w:t>
      </w:r>
      <w:r>
        <w:rPr>
          <w:rFonts w:hint="eastAsia" w:ascii="仿宋" w:hAnsi="仿宋" w:eastAsia="仿宋" w:cs="Arial"/>
          <w:color w:val="auto"/>
          <w:w w:val="90"/>
          <w:kern w:val="0"/>
          <w:sz w:val="24"/>
          <w:szCs w:val="24"/>
          <w:highlight w:val="none"/>
        </w:rPr>
        <w:t>的证明材料：</w:t>
      </w:r>
      <w:r>
        <w:rPr>
          <w:rFonts w:hint="eastAsia" w:ascii="仿宋" w:hAnsi="仿宋" w:eastAsia="仿宋" w:cs="Arial"/>
          <w:b/>
          <w:color w:val="auto"/>
          <w:w w:val="90"/>
          <w:kern w:val="0"/>
          <w:sz w:val="24"/>
          <w:szCs w:val="24"/>
          <w:highlight w:val="none"/>
        </w:rPr>
        <w:t>（格式见第六章）</w:t>
      </w:r>
    </w:p>
    <w:bookmarkEnd w:id="54"/>
    <w:p>
      <w:pPr>
        <w:autoSpaceDN w:val="0"/>
        <w:spacing w:line="360" w:lineRule="auto"/>
        <w:ind w:firstLine="432" w:firstLineChars="200"/>
        <w:rPr>
          <w:rFonts w:ascii="仿宋" w:hAnsi="仿宋" w:eastAsia="仿宋" w:cs="Arial"/>
          <w:b/>
          <w:color w:val="auto"/>
          <w:w w:val="90"/>
          <w:kern w:val="0"/>
          <w:sz w:val="24"/>
          <w:szCs w:val="24"/>
          <w:highlight w:val="none"/>
        </w:rPr>
      </w:pPr>
      <w:r>
        <w:rPr>
          <w:rFonts w:hint="eastAsia" w:ascii="仿宋" w:hAnsi="仿宋" w:eastAsia="仿宋" w:cs="Arial"/>
          <w:color w:val="auto"/>
          <w:w w:val="90"/>
          <w:kern w:val="0"/>
          <w:sz w:val="24"/>
          <w:szCs w:val="24"/>
          <w:highlight w:val="none"/>
        </w:rPr>
        <w:t>▲</w:t>
      </w:r>
      <w:r>
        <w:rPr>
          <w:rFonts w:hint="eastAsia" w:ascii="仿宋" w:hAnsi="仿宋" w:eastAsia="仿宋" w:cs="Arial"/>
          <w:b/>
          <w:color w:val="auto"/>
          <w:w w:val="90"/>
          <w:kern w:val="0"/>
          <w:sz w:val="24"/>
          <w:szCs w:val="24"/>
          <w:highlight w:val="none"/>
        </w:rPr>
        <w:t>1-</w:t>
      </w:r>
      <w:r>
        <w:rPr>
          <w:rFonts w:hint="eastAsia" w:ascii="仿宋" w:hAnsi="仿宋" w:eastAsia="仿宋" w:cs="Arial"/>
          <w:b/>
          <w:color w:val="auto"/>
          <w:w w:val="90"/>
          <w:kern w:val="0"/>
          <w:sz w:val="24"/>
          <w:szCs w:val="24"/>
          <w:highlight w:val="none"/>
          <w:lang w:val="en-US" w:eastAsia="zh-CN"/>
        </w:rPr>
        <w:t>4</w:t>
      </w:r>
      <w:r>
        <w:rPr>
          <w:rFonts w:hint="eastAsia" w:ascii="仿宋" w:hAnsi="仿宋" w:eastAsia="仿宋" w:cs="Arial"/>
          <w:b/>
          <w:color w:val="auto"/>
          <w:w w:val="90"/>
          <w:kern w:val="0"/>
          <w:sz w:val="24"/>
          <w:szCs w:val="24"/>
          <w:highlight w:val="none"/>
        </w:rPr>
        <w:t>联合投标协议书（仅联合体适用）（格式见第六章）</w:t>
      </w:r>
    </w:p>
    <w:p>
      <w:pPr>
        <w:autoSpaceDN w:val="0"/>
        <w:spacing w:line="360" w:lineRule="auto"/>
        <w:ind w:firstLine="432" w:firstLineChars="200"/>
        <w:rPr>
          <w:rFonts w:ascii="仿宋" w:hAnsi="仿宋" w:eastAsia="仿宋" w:cs="Arial"/>
          <w:b/>
          <w:color w:val="auto"/>
          <w:w w:val="90"/>
          <w:kern w:val="0"/>
          <w:sz w:val="24"/>
          <w:szCs w:val="24"/>
          <w:highlight w:val="none"/>
        </w:rPr>
      </w:pPr>
      <w:r>
        <w:rPr>
          <w:rFonts w:hint="eastAsia" w:ascii="仿宋" w:hAnsi="仿宋" w:eastAsia="仿宋" w:cs="Arial"/>
          <w:color w:val="auto"/>
          <w:w w:val="90"/>
          <w:kern w:val="0"/>
          <w:sz w:val="24"/>
          <w:szCs w:val="24"/>
          <w:highlight w:val="none"/>
        </w:rPr>
        <w:t>▲</w:t>
      </w:r>
      <w:r>
        <w:rPr>
          <w:rFonts w:hint="eastAsia" w:ascii="仿宋" w:hAnsi="仿宋" w:eastAsia="仿宋" w:cs="Arial"/>
          <w:b/>
          <w:color w:val="auto"/>
          <w:w w:val="90"/>
          <w:kern w:val="0"/>
          <w:sz w:val="24"/>
          <w:szCs w:val="24"/>
          <w:highlight w:val="none"/>
        </w:rPr>
        <w:t>1-</w:t>
      </w:r>
      <w:r>
        <w:rPr>
          <w:rFonts w:hint="eastAsia" w:ascii="仿宋" w:hAnsi="仿宋" w:eastAsia="仿宋" w:cs="Arial"/>
          <w:b/>
          <w:color w:val="auto"/>
          <w:w w:val="90"/>
          <w:kern w:val="0"/>
          <w:sz w:val="24"/>
          <w:szCs w:val="24"/>
          <w:highlight w:val="none"/>
          <w:lang w:val="en-US" w:eastAsia="zh-CN"/>
        </w:rPr>
        <w:t>5</w:t>
      </w:r>
      <w:r>
        <w:rPr>
          <w:rFonts w:hint="eastAsia" w:ascii="仿宋" w:hAnsi="仿宋" w:eastAsia="仿宋" w:cs="Arial"/>
          <w:b/>
          <w:color w:val="auto"/>
          <w:w w:val="90"/>
          <w:kern w:val="0"/>
          <w:sz w:val="24"/>
          <w:szCs w:val="24"/>
          <w:highlight w:val="none"/>
        </w:rPr>
        <w:t>有效的《分包意向协议》（仅分包适用）</w:t>
      </w:r>
      <w:bookmarkStart w:id="55" w:name="_Hlk106785833"/>
      <w:r>
        <w:rPr>
          <w:rFonts w:hint="eastAsia" w:ascii="仿宋" w:hAnsi="仿宋" w:eastAsia="仿宋" w:cs="Arial"/>
          <w:b/>
          <w:color w:val="auto"/>
          <w:w w:val="90"/>
          <w:kern w:val="0"/>
          <w:sz w:val="24"/>
          <w:szCs w:val="24"/>
          <w:highlight w:val="none"/>
        </w:rPr>
        <w:t>（格式见第六章）</w:t>
      </w:r>
      <w:bookmarkEnd w:id="55"/>
    </w:p>
    <w:p>
      <w:pPr>
        <w:autoSpaceDN w:val="0"/>
        <w:spacing w:line="360" w:lineRule="auto"/>
        <w:ind w:firstLine="480" w:firstLineChars="200"/>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第二部分：《商务技术文件》组成内容</w:t>
      </w:r>
    </w:p>
    <w:p>
      <w:pPr>
        <w:autoSpaceDN w:val="0"/>
        <w:spacing w:line="360" w:lineRule="auto"/>
        <w:ind w:firstLine="432" w:firstLineChars="200"/>
        <w:jc w:val="left"/>
        <w:rPr>
          <w:rFonts w:ascii="仿宋" w:hAnsi="仿宋" w:eastAsia="仿宋" w:cs="Times New Roman"/>
          <w:b/>
          <w:bCs/>
          <w:color w:val="auto"/>
          <w:sz w:val="24"/>
          <w:szCs w:val="24"/>
          <w:highlight w:val="none"/>
        </w:rPr>
      </w:pPr>
      <w:bookmarkStart w:id="56" w:name="_Hlk96939561"/>
      <w:r>
        <w:rPr>
          <w:rFonts w:hint="eastAsia" w:ascii="仿宋" w:hAnsi="仿宋" w:eastAsia="仿宋" w:cs="Arial"/>
          <w:b/>
          <w:bCs/>
          <w:color w:val="auto"/>
          <w:w w:val="90"/>
          <w:kern w:val="0"/>
          <w:sz w:val="24"/>
          <w:szCs w:val="24"/>
          <w:highlight w:val="none"/>
        </w:rPr>
        <w:t>▲</w:t>
      </w:r>
      <w:bookmarkEnd w:id="56"/>
      <w:r>
        <w:rPr>
          <w:rFonts w:hint="eastAsia" w:ascii="仿宋" w:hAnsi="仿宋" w:eastAsia="仿宋" w:cs="Arial"/>
          <w:b/>
          <w:bCs/>
          <w:color w:val="auto"/>
          <w:w w:val="90"/>
          <w:kern w:val="0"/>
          <w:sz w:val="24"/>
          <w:szCs w:val="24"/>
          <w:highlight w:val="none"/>
        </w:rPr>
        <w:t xml:space="preserve"> </w:t>
      </w:r>
      <w:r>
        <w:rPr>
          <w:rFonts w:hint="eastAsia" w:ascii="仿宋" w:hAnsi="仿宋" w:eastAsia="仿宋" w:cs="Times New Roman"/>
          <w:b/>
          <w:bCs/>
          <w:color w:val="auto"/>
          <w:sz w:val="24"/>
          <w:szCs w:val="24"/>
          <w:highlight w:val="none"/>
        </w:rPr>
        <w:t xml:space="preserve">2-1 </w:t>
      </w:r>
      <w:r>
        <w:rPr>
          <w:rFonts w:hint="eastAsia" w:ascii="仿宋" w:hAnsi="仿宋" w:eastAsia="仿宋" w:cs="Times New Roman"/>
          <w:b/>
          <w:bCs/>
          <w:color w:val="auto"/>
          <w:sz w:val="24"/>
          <w:szCs w:val="24"/>
          <w:highlight w:val="none"/>
          <w:u w:val="single"/>
        </w:rPr>
        <w:t>关于投标文件所有内容真实有效的承诺函：（格式见第六章）</w:t>
      </w:r>
    </w:p>
    <w:p>
      <w:pPr>
        <w:autoSpaceDN w:val="0"/>
        <w:spacing w:line="360" w:lineRule="auto"/>
        <w:ind w:firstLine="432" w:firstLineChars="200"/>
        <w:jc w:val="left"/>
        <w:rPr>
          <w:rFonts w:ascii="仿宋" w:hAnsi="仿宋" w:eastAsia="仿宋" w:cs="Times New Roman"/>
          <w:b/>
          <w:bCs/>
          <w:color w:val="auto"/>
          <w:sz w:val="24"/>
          <w:szCs w:val="24"/>
          <w:highlight w:val="none"/>
        </w:rPr>
      </w:pPr>
      <w:r>
        <w:rPr>
          <w:rFonts w:hint="eastAsia" w:ascii="仿宋" w:hAnsi="仿宋" w:eastAsia="仿宋" w:cs="Arial"/>
          <w:b/>
          <w:bCs/>
          <w:color w:val="auto"/>
          <w:w w:val="90"/>
          <w:kern w:val="0"/>
          <w:sz w:val="24"/>
          <w:szCs w:val="24"/>
          <w:highlight w:val="none"/>
        </w:rPr>
        <w:t xml:space="preserve">▲ </w:t>
      </w:r>
      <w:r>
        <w:rPr>
          <w:rFonts w:hint="eastAsia" w:ascii="仿宋" w:hAnsi="仿宋" w:eastAsia="仿宋" w:cs="Times New Roman"/>
          <w:b/>
          <w:bCs/>
          <w:color w:val="auto"/>
          <w:sz w:val="24"/>
          <w:szCs w:val="24"/>
          <w:highlight w:val="none"/>
        </w:rPr>
        <w:t>2-2</w:t>
      </w:r>
      <w:r>
        <w:rPr>
          <w:rFonts w:hint="eastAsia" w:ascii="仿宋" w:hAnsi="仿宋" w:eastAsia="仿宋" w:cs="Times New Roman"/>
          <w:b/>
          <w:bCs/>
          <w:color w:val="auto"/>
          <w:sz w:val="24"/>
          <w:szCs w:val="24"/>
          <w:highlight w:val="none"/>
          <w:u w:val="single"/>
        </w:rPr>
        <w:t>法定代表人资格证明书</w:t>
      </w:r>
      <w:r>
        <w:rPr>
          <w:rFonts w:hint="eastAsia" w:ascii="仿宋" w:hAnsi="仿宋" w:eastAsia="仿宋" w:cs="Times New Roman"/>
          <w:b/>
          <w:bCs/>
          <w:color w:val="auto"/>
          <w:sz w:val="24"/>
          <w:szCs w:val="24"/>
          <w:highlight w:val="none"/>
        </w:rPr>
        <w:t>；</w:t>
      </w:r>
    </w:p>
    <w:p>
      <w:pPr>
        <w:autoSpaceDN w:val="0"/>
        <w:spacing w:line="360" w:lineRule="auto"/>
        <w:ind w:firstLine="432" w:firstLineChars="200"/>
        <w:jc w:val="left"/>
        <w:rPr>
          <w:rFonts w:ascii="仿宋" w:hAnsi="仿宋" w:eastAsia="仿宋" w:cs="Times New Roman"/>
          <w:bCs/>
          <w:color w:val="auto"/>
          <w:sz w:val="24"/>
          <w:szCs w:val="24"/>
          <w:highlight w:val="none"/>
        </w:rPr>
      </w:pPr>
      <w:r>
        <w:rPr>
          <w:rFonts w:hint="eastAsia" w:ascii="仿宋" w:hAnsi="仿宋" w:eastAsia="仿宋" w:cs="Arial"/>
          <w:b/>
          <w:bCs/>
          <w:color w:val="auto"/>
          <w:w w:val="90"/>
          <w:kern w:val="0"/>
          <w:sz w:val="24"/>
          <w:szCs w:val="24"/>
          <w:highlight w:val="none"/>
        </w:rPr>
        <w:t xml:space="preserve">▲ </w:t>
      </w:r>
      <w:r>
        <w:rPr>
          <w:rFonts w:hint="eastAsia" w:ascii="仿宋" w:hAnsi="仿宋" w:eastAsia="仿宋" w:cs="Times New Roman"/>
          <w:b/>
          <w:bCs/>
          <w:color w:val="auto"/>
          <w:sz w:val="24"/>
          <w:szCs w:val="24"/>
          <w:highlight w:val="none"/>
        </w:rPr>
        <w:t>2-3</w:t>
      </w:r>
      <w:r>
        <w:rPr>
          <w:rFonts w:hint="eastAsia" w:ascii="仿宋" w:hAnsi="仿宋" w:eastAsia="仿宋" w:cs="Times New Roman"/>
          <w:b/>
          <w:bCs/>
          <w:color w:val="auto"/>
          <w:sz w:val="24"/>
          <w:szCs w:val="24"/>
          <w:highlight w:val="none"/>
          <w:u w:val="single"/>
        </w:rPr>
        <w:t>法定代表人授权委托书</w:t>
      </w:r>
      <w:r>
        <w:rPr>
          <w:rFonts w:hint="eastAsia" w:ascii="仿宋" w:hAnsi="仿宋" w:eastAsia="仿宋" w:cs="Times New Roman"/>
          <w:b/>
          <w:bCs/>
          <w:color w:val="auto"/>
          <w:sz w:val="24"/>
          <w:szCs w:val="24"/>
          <w:highlight w:val="none"/>
        </w:rPr>
        <w:t>（</w:t>
      </w:r>
      <w:r>
        <w:rPr>
          <w:rFonts w:hint="eastAsia" w:ascii="仿宋" w:hAnsi="仿宋" w:eastAsia="仿宋" w:cs="Times New Roman"/>
          <w:bCs/>
          <w:color w:val="auto"/>
          <w:sz w:val="24"/>
          <w:szCs w:val="24"/>
          <w:highlight w:val="none"/>
        </w:rPr>
        <w:t>法定代表人授权其公司员工签署及参加磋商响应的，在磋商响应文件中同时出具法定代表人资格证明书及此授权书）；</w:t>
      </w:r>
    </w:p>
    <w:p>
      <w:pPr>
        <w:autoSpaceDN w:val="0"/>
        <w:spacing w:line="360" w:lineRule="auto"/>
        <w:ind w:firstLine="720" w:firstLineChars="300"/>
        <w:jc w:val="left"/>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2-4</w:t>
      </w:r>
      <w:r>
        <w:rPr>
          <w:rFonts w:hint="eastAsia" w:ascii="仿宋" w:hAnsi="仿宋" w:eastAsia="仿宋" w:cs="Times New Roman"/>
          <w:b/>
          <w:bCs/>
          <w:color w:val="auto"/>
          <w:sz w:val="24"/>
          <w:szCs w:val="24"/>
          <w:highlight w:val="none"/>
          <w:u w:val="single"/>
        </w:rPr>
        <w:t>磋商响应供应商履约能力评价证明材料</w:t>
      </w:r>
      <w:r>
        <w:rPr>
          <w:rFonts w:hint="eastAsia" w:ascii="仿宋" w:hAnsi="仿宋" w:eastAsia="仿宋" w:cs="Times New Roman"/>
          <w:b/>
          <w:bCs/>
          <w:color w:val="auto"/>
          <w:sz w:val="24"/>
          <w:szCs w:val="24"/>
          <w:highlight w:val="none"/>
        </w:rPr>
        <w:t>；</w:t>
      </w:r>
    </w:p>
    <w:p>
      <w:pPr>
        <w:autoSpaceDN w:val="0"/>
        <w:spacing w:line="360" w:lineRule="auto"/>
        <w:ind w:firstLine="720" w:firstLineChars="300"/>
        <w:jc w:val="left"/>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2-5</w:t>
      </w:r>
      <w:r>
        <w:rPr>
          <w:rFonts w:hint="eastAsia" w:ascii="仿宋" w:hAnsi="仿宋" w:eastAsia="仿宋" w:cs="Times New Roman"/>
          <w:b/>
          <w:bCs/>
          <w:color w:val="auto"/>
          <w:sz w:val="24"/>
          <w:szCs w:val="24"/>
          <w:highlight w:val="none"/>
          <w:u w:val="single"/>
        </w:rPr>
        <w:t>磋商响应供应商类似项目业绩情况</w:t>
      </w:r>
      <w:r>
        <w:rPr>
          <w:rFonts w:hint="eastAsia" w:ascii="仿宋" w:hAnsi="仿宋" w:eastAsia="仿宋" w:cs="Times New Roman"/>
          <w:b/>
          <w:bCs/>
          <w:color w:val="auto"/>
          <w:sz w:val="24"/>
          <w:szCs w:val="24"/>
          <w:highlight w:val="none"/>
        </w:rPr>
        <w:t>；</w:t>
      </w:r>
    </w:p>
    <w:p>
      <w:pPr>
        <w:autoSpaceDN w:val="0"/>
        <w:spacing w:line="360" w:lineRule="auto"/>
        <w:ind w:firstLine="720" w:firstLineChars="300"/>
        <w:jc w:val="left"/>
        <w:rPr>
          <w:rFonts w:ascii="仿宋" w:hAnsi="仿宋" w:eastAsia="仿宋" w:cs="Times New Roman"/>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Times New Roman"/>
          <w:b/>
          <w:bCs/>
          <w:color w:val="auto"/>
          <w:sz w:val="24"/>
          <w:szCs w:val="24"/>
          <w:highlight w:val="none"/>
        </w:rPr>
        <w:t>2-6拟派项目经理的</w:t>
      </w:r>
      <w:r>
        <w:rPr>
          <w:rFonts w:hint="eastAsia" w:ascii="仿宋" w:hAnsi="仿宋" w:eastAsia="仿宋" w:cs="Times New Roman"/>
          <w:b/>
          <w:bCs/>
          <w:color w:val="auto"/>
          <w:sz w:val="24"/>
          <w:szCs w:val="24"/>
          <w:highlight w:val="none"/>
          <w:lang w:val="en-US" w:eastAsia="zh-CN"/>
        </w:rPr>
        <w:t>市政公用</w:t>
      </w:r>
      <w:r>
        <w:rPr>
          <w:rFonts w:hint="eastAsia" w:ascii="仿宋" w:hAnsi="仿宋" w:eastAsia="仿宋" w:cs="Times New Roman"/>
          <w:b/>
          <w:bCs/>
          <w:color w:val="auto"/>
          <w:sz w:val="24"/>
          <w:szCs w:val="24"/>
          <w:highlight w:val="none"/>
        </w:rPr>
        <w:t>工程专业二级及以上建造师注册证书（扫描件加盖磋商响应供应商公章）；拟派项目经理的“三类人员”B类证书、拟派现场的安全专职管理员的施工现场安全生产专职管理人员“三类人员”C类证书（扫描件加盖磋商响应供应商公章）；</w:t>
      </w:r>
    </w:p>
    <w:p>
      <w:pPr>
        <w:autoSpaceDN w:val="0"/>
        <w:spacing w:line="360" w:lineRule="auto"/>
        <w:ind w:firstLine="720" w:firstLineChars="300"/>
        <w:jc w:val="left"/>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2-7</w:t>
      </w:r>
      <w:r>
        <w:rPr>
          <w:rFonts w:hint="eastAsia" w:ascii="仿宋" w:hAnsi="仿宋" w:eastAsia="仿宋" w:cs="Times New Roman"/>
          <w:b/>
          <w:bCs/>
          <w:color w:val="auto"/>
          <w:sz w:val="24"/>
          <w:szCs w:val="24"/>
          <w:highlight w:val="none"/>
          <w:u w:val="single"/>
        </w:rPr>
        <w:t>拟派项目经理类似项目业绩情况</w:t>
      </w:r>
      <w:r>
        <w:rPr>
          <w:rFonts w:hint="eastAsia" w:ascii="仿宋" w:hAnsi="仿宋" w:eastAsia="仿宋" w:cs="Times New Roman"/>
          <w:b/>
          <w:bCs/>
          <w:color w:val="auto"/>
          <w:sz w:val="24"/>
          <w:szCs w:val="24"/>
          <w:highlight w:val="none"/>
        </w:rPr>
        <w:t>；</w:t>
      </w:r>
    </w:p>
    <w:p>
      <w:pPr>
        <w:autoSpaceDN w:val="0"/>
        <w:spacing w:line="360" w:lineRule="auto"/>
        <w:ind w:firstLine="720" w:firstLineChars="300"/>
        <w:jc w:val="left"/>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2-8</w:t>
      </w:r>
      <w:r>
        <w:rPr>
          <w:rFonts w:hint="eastAsia" w:ascii="仿宋" w:hAnsi="仿宋" w:eastAsia="仿宋" w:cs="Times New Roman"/>
          <w:b/>
          <w:bCs/>
          <w:color w:val="auto"/>
          <w:sz w:val="24"/>
          <w:szCs w:val="24"/>
          <w:highlight w:val="none"/>
          <w:u w:val="single"/>
        </w:rPr>
        <w:t>商务技术偏离表</w:t>
      </w:r>
      <w:r>
        <w:rPr>
          <w:rFonts w:hint="eastAsia" w:ascii="仿宋" w:hAnsi="仿宋" w:eastAsia="仿宋" w:cs="Times New Roman"/>
          <w:b/>
          <w:bCs/>
          <w:color w:val="auto"/>
          <w:sz w:val="24"/>
          <w:szCs w:val="24"/>
          <w:highlight w:val="none"/>
        </w:rPr>
        <w:t>；</w:t>
      </w:r>
    </w:p>
    <w:p>
      <w:pPr>
        <w:autoSpaceDN w:val="0"/>
        <w:spacing w:line="360" w:lineRule="auto"/>
        <w:ind w:firstLine="720" w:firstLineChars="300"/>
        <w:jc w:val="left"/>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2-9</w:t>
      </w:r>
      <w:r>
        <w:rPr>
          <w:rFonts w:hint="eastAsia" w:ascii="仿宋" w:hAnsi="仿宋" w:eastAsia="仿宋" w:cs="Times New Roman"/>
          <w:b/>
          <w:bCs/>
          <w:color w:val="auto"/>
          <w:sz w:val="24"/>
          <w:szCs w:val="24"/>
          <w:highlight w:val="none"/>
          <w:u w:val="single"/>
        </w:rPr>
        <w:t>施工组织设计</w:t>
      </w:r>
      <w:r>
        <w:rPr>
          <w:rFonts w:hint="eastAsia" w:ascii="仿宋" w:hAnsi="仿宋" w:eastAsia="仿宋" w:cs="Times New Roman"/>
          <w:b/>
          <w:bCs/>
          <w:color w:val="auto"/>
          <w:sz w:val="24"/>
          <w:szCs w:val="24"/>
          <w:highlight w:val="none"/>
        </w:rPr>
        <w:t>；</w:t>
      </w:r>
    </w:p>
    <w:p>
      <w:pPr>
        <w:autoSpaceDN w:val="0"/>
        <w:spacing w:line="360" w:lineRule="auto"/>
        <w:ind w:firstLine="720" w:firstLineChars="300"/>
        <w:jc w:val="left"/>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2-10</w:t>
      </w:r>
      <w:r>
        <w:rPr>
          <w:rFonts w:hint="eastAsia" w:ascii="仿宋" w:hAnsi="仿宋" w:eastAsia="仿宋" w:cs="Times New Roman"/>
          <w:b/>
          <w:bCs/>
          <w:color w:val="auto"/>
          <w:sz w:val="24"/>
          <w:szCs w:val="24"/>
          <w:highlight w:val="none"/>
          <w:u w:val="single"/>
        </w:rPr>
        <w:t>技术（服务）方案</w:t>
      </w:r>
      <w:r>
        <w:rPr>
          <w:rFonts w:hint="eastAsia" w:ascii="仿宋" w:hAnsi="仿宋" w:eastAsia="仿宋" w:cs="Times New Roman"/>
          <w:b/>
          <w:bCs/>
          <w:color w:val="auto"/>
          <w:sz w:val="24"/>
          <w:szCs w:val="24"/>
          <w:highlight w:val="none"/>
        </w:rPr>
        <w:t>；</w:t>
      </w:r>
    </w:p>
    <w:p>
      <w:pPr>
        <w:autoSpaceDN w:val="0"/>
        <w:spacing w:line="360" w:lineRule="auto"/>
        <w:ind w:firstLine="720" w:firstLineChars="300"/>
        <w:jc w:val="left"/>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2-11</w:t>
      </w:r>
      <w:r>
        <w:rPr>
          <w:rFonts w:hint="eastAsia" w:ascii="仿宋" w:hAnsi="仿宋" w:eastAsia="仿宋" w:cs="Times New Roman"/>
          <w:b/>
          <w:bCs/>
          <w:color w:val="auto"/>
          <w:sz w:val="24"/>
          <w:szCs w:val="24"/>
          <w:highlight w:val="none"/>
          <w:u w:val="single"/>
        </w:rPr>
        <w:t>节能、环保产品证明材料</w:t>
      </w:r>
      <w:r>
        <w:rPr>
          <w:rFonts w:hint="eastAsia" w:ascii="仿宋" w:hAnsi="仿宋" w:eastAsia="仿宋" w:cs="Times New Roman"/>
          <w:b/>
          <w:bCs/>
          <w:color w:val="auto"/>
          <w:sz w:val="24"/>
          <w:szCs w:val="24"/>
          <w:highlight w:val="none"/>
        </w:rPr>
        <w:t>；</w:t>
      </w:r>
    </w:p>
    <w:p>
      <w:pPr>
        <w:autoSpaceDN w:val="0"/>
        <w:spacing w:line="360" w:lineRule="auto"/>
        <w:ind w:firstLine="720" w:firstLineChars="300"/>
        <w:jc w:val="left"/>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2-12</w:t>
      </w:r>
      <w:r>
        <w:rPr>
          <w:rFonts w:hint="eastAsia" w:ascii="仿宋" w:hAnsi="仿宋" w:eastAsia="仿宋" w:cs="Times New Roman"/>
          <w:b/>
          <w:bCs/>
          <w:color w:val="auto"/>
          <w:sz w:val="24"/>
          <w:szCs w:val="24"/>
          <w:highlight w:val="none"/>
          <w:u w:val="single"/>
        </w:rPr>
        <w:t>主要材料推荐品牌</w:t>
      </w:r>
      <w:r>
        <w:rPr>
          <w:rFonts w:hint="eastAsia" w:ascii="仿宋" w:hAnsi="仿宋" w:eastAsia="仿宋" w:cs="Times New Roman"/>
          <w:b/>
          <w:bCs/>
          <w:color w:val="auto"/>
          <w:sz w:val="24"/>
          <w:szCs w:val="24"/>
          <w:highlight w:val="none"/>
        </w:rPr>
        <w:t>；</w:t>
      </w:r>
    </w:p>
    <w:p>
      <w:pPr>
        <w:autoSpaceDN w:val="0"/>
        <w:spacing w:line="360" w:lineRule="auto"/>
        <w:ind w:firstLine="720" w:firstLineChars="300"/>
        <w:jc w:val="left"/>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2-13</w:t>
      </w:r>
      <w:r>
        <w:rPr>
          <w:rFonts w:hint="eastAsia" w:ascii="仿宋" w:hAnsi="仿宋" w:eastAsia="仿宋" w:cs="Times New Roman"/>
          <w:b/>
          <w:bCs/>
          <w:color w:val="auto"/>
          <w:sz w:val="24"/>
          <w:szCs w:val="24"/>
          <w:highlight w:val="none"/>
          <w:u w:val="single"/>
        </w:rPr>
        <w:t>其他资料（格式自拟）</w:t>
      </w:r>
      <w:r>
        <w:rPr>
          <w:rFonts w:hint="eastAsia" w:ascii="仿宋" w:hAnsi="仿宋" w:eastAsia="仿宋" w:cs="Times New Roman"/>
          <w:b/>
          <w:bCs/>
          <w:color w:val="auto"/>
          <w:sz w:val="24"/>
          <w:szCs w:val="24"/>
          <w:highlight w:val="none"/>
        </w:rPr>
        <w:t>。</w:t>
      </w:r>
    </w:p>
    <w:p>
      <w:pPr>
        <w:autoSpaceDN w:val="0"/>
        <w:spacing w:line="360" w:lineRule="auto"/>
        <w:ind w:firstLine="480" w:firstLineChars="200"/>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第三部分：《报价文件》组成内容</w:t>
      </w:r>
    </w:p>
    <w:p>
      <w:pPr>
        <w:autoSpaceDN w:val="0"/>
        <w:spacing w:line="360" w:lineRule="auto"/>
        <w:ind w:firstLine="720" w:firstLineChars="3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u w:val="single"/>
        </w:rPr>
        <w:t>投标函</w:t>
      </w:r>
      <w:r>
        <w:rPr>
          <w:rFonts w:hint="eastAsia" w:ascii="仿宋" w:hAnsi="仿宋" w:eastAsia="仿宋" w:cs="仿宋"/>
          <w:b/>
          <w:bCs/>
          <w:color w:val="auto"/>
          <w:sz w:val="24"/>
          <w:szCs w:val="24"/>
          <w:highlight w:val="none"/>
        </w:rPr>
        <w:t>；</w:t>
      </w:r>
    </w:p>
    <w:p>
      <w:pPr>
        <w:autoSpaceDN w:val="0"/>
        <w:spacing w:line="360" w:lineRule="auto"/>
        <w:ind w:firstLine="480"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u w:val="single"/>
        </w:rPr>
        <w:t>工程量清单及计价表</w:t>
      </w:r>
      <w:r>
        <w:rPr>
          <w:rFonts w:hint="eastAsia" w:ascii="仿宋" w:hAnsi="仿宋" w:eastAsia="仿宋" w:cs="仿宋"/>
          <w:b/>
          <w:bCs/>
          <w:color w:val="auto"/>
          <w:sz w:val="24"/>
          <w:szCs w:val="24"/>
          <w:highlight w:val="none"/>
        </w:rPr>
        <w:t>；</w:t>
      </w:r>
    </w:p>
    <w:p>
      <w:pPr>
        <w:autoSpaceDE w:val="0"/>
        <w:autoSpaceDN w:val="0"/>
        <w:adjustRightInd w:val="0"/>
        <w:spacing w:line="360" w:lineRule="auto"/>
        <w:ind w:firstLine="480" w:firstLineChars="200"/>
        <w:jc w:val="left"/>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u w:val="single"/>
          <w:lang w:val="en-US" w:eastAsia="zh-CN"/>
        </w:rPr>
        <w:t>报价情况说明（如供应商报价低于项目预算50%的，应当提交本文档，详细阐述不影响产品质量或者诚信履约的具体原因）</w:t>
      </w:r>
    </w:p>
    <w:p>
      <w:pPr>
        <w:autoSpaceDE w:val="0"/>
        <w:autoSpaceDN w:val="0"/>
        <w:adjustRightIn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u w:val="single"/>
        </w:rPr>
        <w:t>供应商认为其他需要提供的资料（格式自拟）</w:t>
      </w:r>
      <w:r>
        <w:rPr>
          <w:rFonts w:hint="eastAsia" w:ascii="仿宋" w:hAnsi="仿宋" w:eastAsia="仿宋" w:cs="仿宋"/>
          <w:b/>
          <w:bCs/>
          <w:color w:val="auto"/>
          <w:sz w:val="24"/>
          <w:szCs w:val="24"/>
          <w:highlight w:val="none"/>
        </w:rPr>
        <w:t>。</w:t>
      </w:r>
    </w:p>
    <w:p>
      <w:pPr>
        <w:autoSpaceDN w:val="0"/>
        <w:spacing w:line="360" w:lineRule="auto"/>
        <w:ind w:firstLine="540" w:firstLineChars="225"/>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注：以上目录是编制响应文件的基本格式要求，各供应商可根据自身情况进一步细化。</w:t>
      </w:r>
    </w:p>
    <w:p>
      <w:pPr>
        <w:keepNext/>
        <w:keepLines/>
        <w:autoSpaceDN w:val="0"/>
        <w:spacing w:before="93" w:beforeLines="30" w:after="93" w:afterLines="30" w:line="360" w:lineRule="auto"/>
        <w:ind w:firstLine="283"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4.3 磋商响应文件的编制</w:t>
      </w:r>
    </w:p>
    <w:p>
      <w:pPr>
        <w:autoSpaceDN w:val="0"/>
        <w:spacing w:line="360" w:lineRule="auto"/>
        <w:ind w:firstLine="420" w:firstLineChars="175"/>
        <w:rPr>
          <w:rFonts w:ascii="仿宋" w:hAnsi="仿宋" w:eastAsia="仿宋" w:cs="Arial"/>
          <w:b/>
          <w:color w:val="auto"/>
          <w:sz w:val="24"/>
          <w:szCs w:val="24"/>
          <w:highlight w:val="none"/>
        </w:rPr>
      </w:pPr>
      <w:r>
        <w:rPr>
          <w:rFonts w:hint="eastAsia" w:ascii="仿宋" w:hAnsi="仿宋" w:eastAsia="仿宋" w:cs="Arial"/>
          <w:b/>
          <w:color w:val="auto"/>
          <w:kern w:val="0"/>
          <w:sz w:val="24"/>
          <w:szCs w:val="24"/>
          <w:highlight w:val="none"/>
        </w:rPr>
        <w:t>4.3.1</w:t>
      </w:r>
      <w:r>
        <w:rPr>
          <w:rFonts w:hint="eastAsia" w:ascii="仿宋" w:hAnsi="仿宋" w:eastAsia="仿宋" w:cs="Arial"/>
          <w:b/>
          <w:color w:val="auto"/>
          <w:sz w:val="24"/>
          <w:szCs w:val="24"/>
          <w:highlight w:val="none"/>
        </w:rPr>
        <w:t>依据《浙江省政府采购项目电子交易管理暂行办法》，本项目通过“政府采购云平台”（网址：</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Fonts w:hint="eastAsia" w:ascii="仿宋" w:hAnsi="仿宋" w:eastAsia="仿宋" w:cs="Arial"/>
          <w:b/>
          <w:color w:val="auto"/>
          <w:sz w:val="24"/>
          <w:szCs w:val="24"/>
          <w:highlight w:val="none"/>
          <w:u w:val="single"/>
        </w:rPr>
        <w:t>www.zcygov.cn</w:t>
      </w:r>
      <w:r>
        <w:rPr>
          <w:rFonts w:hint="eastAsia" w:ascii="仿宋" w:hAnsi="仿宋" w:eastAsia="仿宋" w:cs="Arial"/>
          <w:b/>
          <w:color w:val="auto"/>
          <w:sz w:val="24"/>
          <w:szCs w:val="24"/>
          <w:highlight w:val="none"/>
          <w:u w:val="single"/>
        </w:rPr>
        <w:fldChar w:fldCharType="end"/>
      </w:r>
      <w:r>
        <w:rPr>
          <w:rFonts w:hint="eastAsia" w:ascii="仿宋" w:hAnsi="仿宋" w:eastAsia="仿宋" w:cs="Arial"/>
          <w:b/>
          <w:color w:val="auto"/>
          <w:sz w:val="24"/>
          <w:szCs w:val="24"/>
          <w:highlight w:val="none"/>
        </w:rPr>
        <w:t>）实行电子交易（在线磋商响应）。供应商参加本项目电子交易应当安装“政采云电子交易客户端”，并按照本竞争性磋商文件和“政府采购云平台”的要求编制并加密磋商响应文件。</w:t>
      </w:r>
      <w:r>
        <w:rPr>
          <w:rFonts w:hint="eastAsia" w:ascii="仿宋" w:hAnsi="仿宋" w:eastAsia="仿宋" w:cs="Arial"/>
          <w:b/>
          <w:color w:val="auto"/>
          <w:sz w:val="24"/>
          <w:szCs w:val="24"/>
          <w:highlight w:val="none"/>
          <w:u w:val="single"/>
        </w:rPr>
        <w:t>供应商未按规定加密的磋商响应文件，“政府采购云平台”将予以拒收</w:t>
      </w:r>
      <w:r>
        <w:rPr>
          <w:rFonts w:hint="eastAsia" w:ascii="仿宋" w:hAnsi="仿宋" w:eastAsia="仿宋" w:cs="Arial"/>
          <w:b/>
          <w:color w:val="auto"/>
          <w:sz w:val="24"/>
          <w:szCs w:val="24"/>
          <w:highlight w:val="none"/>
        </w:rPr>
        <w:t>。</w:t>
      </w:r>
    </w:p>
    <w:p>
      <w:pPr>
        <w:autoSpaceDN w:val="0"/>
        <w:spacing w:line="360" w:lineRule="auto"/>
        <w:ind w:firstLine="420" w:firstLineChars="175"/>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4.3.2供应商应当按照本章节第4.2.2款规定的内容在“政采云电子交易客户端”编制磋商响应文件。</w:t>
      </w:r>
    </w:p>
    <w:p>
      <w:pPr>
        <w:autoSpaceDN w:val="0"/>
        <w:spacing w:line="360" w:lineRule="auto"/>
        <w:ind w:firstLine="420" w:firstLineChars="175"/>
        <w:rPr>
          <w:rFonts w:ascii="仿宋" w:hAnsi="仿宋" w:eastAsia="仿宋" w:cs="Times New Roman"/>
          <w:b/>
          <w:color w:val="auto"/>
          <w:sz w:val="24"/>
          <w:szCs w:val="24"/>
          <w:highlight w:val="none"/>
        </w:rPr>
      </w:pPr>
      <w:r>
        <w:rPr>
          <w:rFonts w:hint="eastAsia" w:ascii="仿宋" w:hAnsi="仿宋" w:eastAsia="仿宋" w:cs="Arial"/>
          <w:b/>
          <w:color w:val="auto"/>
          <w:kern w:val="0"/>
          <w:sz w:val="24"/>
          <w:szCs w:val="24"/>
          <w:highlight w:val="none"/>
        </w:rPr>
        <w:t>4.3.3</w:t>
      </w:r>
      <w:r>
        <w:rPr>
          <w:rFonts w:hint="eastAsia" w:ascii="仿宋" w:hAnsi="仿宋" w:eastAsia="仿宋" w:cs="Times New Roman"/>
          <w:b/>
          <w:color w:val="auto"/>
          <w:sz w:val="24"/>
          <w:szCs w:val="24"/>
          <w:highlight w:val="none"/>
        </w:rPr>
        <w:t>本文件《第六章 磋商响应文件格式》中有提供格式的，供应商应按照格式进行编制（格式中要求提供相关证明材料的还需后附相关证明材料），并按格式要求在指定位置根据要求进行签章，否则视为未提供；本文件《第六章磋商响应文件格式》未提供格式的，请供应商自行拟定格式，并加盖单位公章，否则视为未提供。</w:t>
      </w:r>
    </w:p>
    <w:p>
      <w:pPr>
        <w:autoSpaceDN w:val="0"/>
        <w:spacing w:line="360" w:lineRule="auto"/>
        <w:ind w:firstLine="420" w:firstLineChars="175"/>
        <w:rPr>
          <w:rFonts w:ascii="仿宋" w:hAnsi="仿宋" w:eastAsia="仿宋" w:cs="Times New Roman"/>
          <w:color w:val="auto"/>
          <w:sz w:val="24"/>
          <w:szCs w:val="24"/>
          <w:highlight w:val="none"/>
        </w:rPr>
      </w:pPr>
      <w:r>
        <w:rPr>
          <w:rFonts w:hint="eastAsia" w:ascii="仿宋" w:hAnsi="仿宋" w:eastAsia="仿宋" w:cs="Times New Roman"/>
          <w:b/>
          <w:color w:val="auto"/>
          <w:sz w:val="24"/>
          <w:szCs w:val="24"/>
          <w:highlight w:val="none"/>
        </w:rPr>
        <w:t>4.3.4</w:t>
      </w:r>
      <w:r>
        <w:rPr>
          <w:rFonts w:hint="eastAsia" w:ascii="仿宋" w:hAnsi="仿宋" w:eastAsia="仿宋" w:cs="Arial"/>
          <w:b/>
          <w:color w:val="auto"/>
          <w:kern w:val="0"/>
          <w:sz w:val="24"/>
          <w:szCs w:val="24"/>
          <w:highlight w:val="none"/>
        </w:rPr>
        <w:t>本章节第4.2.2款内容中约定</w:t>
      </w:r>
      <w:r>
        <w:rPr>
          <w:rFonts w:hint="eastAsia" w:ascii="仿宋" w:hAnsi="仿宋" w:eastAsia="仿宋" w:cs="Times New Roman"/>
          <w:b/>
          <w:color w:val="auto"/>
          <w:sz w:val="24"/>
          <w:szCs w:val="24"/>
          <w:highlight w:val="none"/>
        </w:rPr>
        <w:t>可以提供扫描件（或复制件）的相关证明材料必须加盖供应商公章，否则视为未提供</w:t>
      </w:r>
      <w:r>
        <w:rPr>
          <w:rFonts w:hint="eastAsia" w:ascii="仿宋" w:hAnsi="仿宋" w:eastAsia="仿宋" w:cs="Times New Roman"/>
          <w:color w:val="auto"/>
          <w:sz w:val="24"/>
          <w:szCs w:val="24"/>
          <w:highlight w:val="none"/>
        </w:rPr>
        <w:t>（例如：各类资格资质证书、业绩材料、许可材料、荣誉证书、产品注册登记材料、产品检测材料、验收材料等）。</w:t>
      </w:r>
    </w:p>
    <w:p>
      <w:pPr>
        <w:autoSpaceDN w:val="0"/>
        <w:spacing w:line="360" w:lineRule="auto"/>
        <w:ind w:firstLine="420" w:firstLineChars="175"/>
        <w:rPr>
          <w:rFonts w:ascii="仿宋" w:hAnsi="仿宋" w:eastAsia="仿宋" w:cs="Arial"/>
          <w:b/>
          <w:color w:val="auto"/>
          <w:kern w:val="0"/>
          <w:sz w:val="24"/>
          <w:szCs w:val="24"/>
          <w:highlight w:val="none"/>
        </w:rPr>
      </w:pPr>
      <w:r>
        <w:rPr>
          <w:rFonts w:hint="eastAsia" w:ascii="仿宋" w:hAnsi="仿宋" w:eastAsia="仿宋" w:cs="Times New Roman"/>
          <w:b/>
          <w:color w:val="auto"/>
          <w:sz w:val="24"/>
          <w:szCs w:val="24"/>
          <w:highlight w:val="none"/>
        </w:rPr>
        <w:t>4.3.5</w:t>
      </w:r>
      <w:r>
        <w:rPr>
          <w:rFonts w:hint="eastAsia" w:ascii="仿宋" w:hAnsi="仿宋" w:eastAsia="仿宋" w:cs="Arial"/>
          <w:b/>
          <w:color w:val="auto"/>
          <w:kern w:val="0"/>
          <w:sz w:val="24"/>
          <w:szCs w:val="24"/>
          <w:highlight w:val="none"/>
        </w:rPr>
        <w:t>本章节第4.2.2款内容中标注“▲”的内容为必须提供的内容，未提供的磋商响应文件无效。</w:t>
      </w:r>
    </w:p>
    <w:p>
      <w:pPr>
        <w:autoSpaceDN w:val="0"/>
        <w:spacing w:line="360" w:lineRule="auto"/>
        <w:ind w:firstLine="420" w:firstLineChars="175"/>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4.3.6《磋商响应文件》内容不完整、编排混乱导致《磋商响应文件》被误读、漏读或者查找不到相关内容的，是磋商响应供应商的责任。</w:t>
      </w:r>
    </w:p>
    <w:p>
      <w:pPr>
        <w:autoSpaceDN w:val="0"/>
        <w:spacing w:line="360" w:lineRule="auto"/>
        <w:ind w:firstLine="420" w:firstLineChars="175"/>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4.3.7《磋商响应文件》因字迹潦草或表达不清所引起的后果由磋商响应供应商负责。</w:t>
      </w:r>
    </w:p>
    <w:p>
      <w:pPr>
        <w:autoSpaceDN w:val="0"/>
        <w:spacing w:line="360" w:lineRule="auto"/>
        <w:ind w:firstLine="420" w:firstLineChars="175"/>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4.3.8</w:t>
      </w:r>
      <w:r>
        <w:rPr>
          <w:rFonts w:hint="eastAsia" w:ascii="仿宋" w:hAnsi="仿宋" w:eastAsia="仿宋" w:cs="Arial"/>
          <w:color w:val="auto"/>
          <w:kern w:val="0"/>
          <w:sz w:val="24"/>
          <w:highlight w:val="none"/>
        </w:rPr>
        <w:t>磋商响应供应商没有按照</w:t>
      </w:r>
      <w:r>
        <w:rPr>
          <w:rFonts w:hint="eastAsia" w:ascii="仿宋" w:hAnsi="仿宋" w:eastAsia="仿宋" w:cs="Arial"/>
          <w:color w:val="auto"/>
          <w:kern w:val="0"/>
          <w:sz w:val="24"/>
          <w:szCs w:val="24"/>
          <w:highlight w:val="none"/>
        </w:rPr>
        <w:t>本章节第4.2.2款“</w:t>
      </w:r>
      <w:r>
        <w:rPr>
          <w:rFonts w:hint="eastAsia" w:ascii="仿宋" w:hAnsi="仿宋" w:eastAsia="仿宋" w:cs="Arial"/>
          <w:color w:val="auto"/>
          <w:kern w:val="0"/>
          <w:sz w:val="24"/>
          <w:highlight w:val="none"/>
        </w:rPr>
        <w:t>磋商响应文件内容组成</w:t>
      </w:r>
      <w:r>
        <w:rPr>
          <w:rFonts w:hint="eastAsia" w:ascii="仿宋" w:hAnsi="仿宋" w:eastAsia="仿宋" w:cs="Arial"/>
          <w:color w:val="auto"/>
          <w:kern w:val="0"/>
          <w:sz w:val="24"/>
          <w:szCs w:val="24"/>
          <w:highlight w:val="none"/>
        </w:rPr>
        <w:t>”</w:t>
      </w:r>
      <w:r>
        <w:rPr>
          <w:rFonts w:hint="eastAsia" w:ascii="仿宋" w:hAnsi="仿宋" w:eastAsia="仿宋" w:cs="Arial"/>
          <w:color w:val="auto"/>
          <w:kern w:val="0"/>
          <w:sz w:val="24"/>
          <w:highlight w:val="none"/>
        </w:rPr>
        <w:t>要求提供全部资料，或者没有仔细阅读竞争性磋商文件，或者没有对竞争性磋商文件在各方面的要求作出实质性响应是磋商响应供应商的风险，由此造成的一切后果由磋商响应供应商自行承担。</w:t>
      </w:r>
    </w:p>
    <w:p>
      <w:pPr>
        <w:keepNext/>
        <w:keepLines/>
        <w:autoSpaceDN w:val="0"/>
        <w:spacing w:before="93" w:beforeLines="30" w:after="93" w:afterLines="30" w:line="360" w:lineRule="auto"/>
        <w:ind w:firstLine="283"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4.4 磋商响应文件的签章</w:t>
      </w:r>
    </w:p>
    <w:p>
      <w:pPr>
        <w:autoSpaceDN w:val="0"/>
        <w:spacing w:line="360" w:lineRule="auto"/>
        <w:ind w:firstLine="422"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4.4.1磋商响应文件的签章形式：</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sz w:val="24"/>
          <w:szCs w:val="24"/>
          <w:highlight w:val="none"/>
        </w:rPr>
        <w:t>；</w:t>
      </w:r>
    </w:p>
    <w:p>
      <w:pPr>
        <w:autoSpaceDN w:val="0"/>
        <w:spacing w:line="360" w:lineRule="auto"/>
        <w:ind w:firstLine="424"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szCs w:val="24"/>
          <w:highlight w:val="none"/>
        </w:rPr>
        <w:t>4.4.2《磋商响应文件》内容应按</w:t>
      </w:r>
      <w:r>
        <w:rPr>
          <w:rFonts w:hint="eastAsia" w:ascii="仿宋" w:hAnsi="仿宋" w:eastAsia="仿宋" w:cs="Arial"/>
          <w:b/>
          <w:color w:val="auto"/>
          <w:sz w:val="24"/>
          <w:szCs w:val="24"/>
          <w:highlight w:val="none"/>
        </w:rPr>
        <w:t>《第三章 磋商须知》规定和</w:t>
      </w:r>
      <w:r>
        <w:rPr>
          <w:rFonts w:hint="eastAsia" w:ascii="仿宋" w:hAnsi="仿宋" w:eastAsia="仿宋" w:cs="Arial"/>
          <w:b/>
          <w:color w:val="auto"/>
          <w:kern w:val="0"/>
          <w:sz w:val="24"/>
          <w:szCs w:val="24"/>
          <w:highlight w:val="none"/>
        </w:rPr>
        <w:t>《第六章 磋商响应文件格式》</w:t>
      </w:r>
      <w:r>
        <w:rPr>
          <w:rFonts w:hint="eastAsia" w:ascii="仿宋" w:hAnsi="仿宋" w:eastAsia="仿宋" w:cs="Arial"/>
          <w:b/>
          <w:color w:val="auto"/>
          <w:sz w:val="24"/>
          <w:szCs w:val="24"/>
          <w:highlight w:val="none"/>
        </w:rPr>
        <w:t>标注的要求进行盖章、签署</w:t>
      </w:r>
      <w:r>
        <w:rPr>
          <w:rFonts w:hint="eastAsia" w:ascii="仿宋" w:hAnsi="仿宋" w:eastAsia="仿宋" w:cs="Arial"/>
          <w:b/>
          <w:color w:val="auto"/>
          <w:kern w:val="0"/>
          <w:sz w:val="24"/>
          <w:szCs w:val="24"/>
          <w:highlight w:val="none"/>
        </w:rPr>
        <w:t>，应签章而未签章的材料视为未提供。请各供应商详细查阅本章节第4.3款“磋商响应文件的编制”规定（磋商响应供应商为自然人的，须由自然人本人签字（或盖章），同时提供自然人本人有效身份证明材料，否则视为未提供）。</w:t>
      </w:r>
    </w:p>
    <w:p>
      <w:pPr>
        <w:keepNext/>
        <w:keepLines/>
        <w:autoSpaceDN w:val="0"/>
        <w:spacing w:before="93" w:beforeLines="30" w:after="93" w:afterLines="30" w:line="360" w:lineRule="auto"/>
        <w:ind w:firstLine="283"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4.5 磋商报价</w:t>
      </w:r>
    </w:p>
    <w:p>
      <w:pPr>
        <w:autoSpaceDN w:val="0"/>
        <w:spacing w:line="360" w:lineRule="auto"/>
        <w:ind w:firstLine="422"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4.5.1磋商报价应按《第六章 磋商响应文件格式》中提供的相关报价格式填写；</w:t>
      </w:r>
    </w:p>
    <w:p>
      <w:pPr>
        <w:autoSpaceDN w:val="0"/>
        <w:spacing w:line="360" w:lineRule="auto"/>
        <w:ind w:firstLine="422" w:firstLineChars="176"/>
        <w:rPr>
          <w:rFonts w:ascii="仿宋" w:hAnsi="仿宋" w:eastAsia="仿宋" w:cs="Arial"/>
          <w:b/>
          <w:color w:val="auto"/>
          <w:kern w:val="0"/>
          <w:sz w:val="24"/>
          <w:szCs w:val="24"/>
          <w:highlight w:val="none"/>
        </w:rPr>
      </w:pPr>
      <w:r>
        <w:rPr>
          <w:rFonts w:hint="eastAsia" w:ascii="仿宋" w:hAnsi="仿宋" w:eastAsia="仿宋" w:cs="Arial"/>
          <w:b/>
          <w:color w:val="auto"/>
          <w:sz w:val="24"/>
          <w:szCs w:val="24"/>
          <w:highlight w:val="none"/>
        </w:rPr>
        <w:t>4.5.2本项目最高限价：</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Arial"/>
          <w:b/>
          <w:color w:val="auto"/>
          <w:kern w:val="0"/>
          <w:sz w:val="24"/>
          <w:szCs w:val="24"/>
          <w:highlight w:val="none"/>
        </w:rPr>
        <w:t>；</w:t>
      </w:r>
    </w:p>
    <w:p>
      <w:pPr>
        <w:autoSpaceDN w:val="0"/>
        <w:spacing w:line="360" w:lineRule="auto"/>
        <w:ind w:firstLine="422" w:firstLineChars="176"/>
        <w:rPr>
          <w:rFonts w:ascii="仿宋" w:hAnsi="仿宋" w:eastAsia="仿宋" w:cs="Arial"/>
          <w:b/>
          <w:color w:val="auto"/>
          <w:kern w:val="0"/>
          <w:sz w:val="24"/>
          <w:szCs w:val="24"/>
          <w:highlight w:val="none"/>
          <w:u w:val="single"/>
        </w:rPr>
      </w:pPr>
      <w:r>
        <w:rPr>
          <w:rFonts w:hint="eastAsia" w:ascii="仿宋" w:hAnsi="仿宋" w:eastAsia="仿宋" w:cs="Arial"/>
          <w:b/>
          <w:color w:val="auto"/>
          <w:kern w:val="0"/>
          <w:sz w:val="24"/>
          <w:szCs w:val="24"/>
          <w:highlight w:val="none"/>
          <w:u w:val="single"/>
        </w:rPr>
        <w:t>4.5.3《磋商响应文件》针对每个标项每一轮只允许有一个报价，不接受有选择报价的磋商响应（作无效标处理）；</w:t>
      </w:r>
    </w:p>
    <w:p>
      <w:pPr>
        <w:autoSpaceDN w:val="0"/>
        <w:spacing w:line="360" w:lineRule="auto"/>
        <w:ind w:firstLine="422"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4.5.5最低报价不是成交的保证，采购人及采购代理机构不作任何落标解释。</w:t>
      </w:r>
    </w:p>
    <w:p>
      <w:pPr>
        <w:autoSpaceDN w:val="0"/>
        <w:spacing w:before="120" w:after="120" w:line="360" w:lineRule="auto"/>
        <w:ind w:firstLine="480"/>
        <w:rPr>
          <w:rFonts w:ascii="仿宋" w:hAnsi="仿宋" w:eastAsia="仿宋" w:cs="Times New Roman"/>
          <w:b/>
          <w:color w:val="auto"/>
          <w:sz w:val="24"/>
          <w:highlight w:val="none"/>
        </w:rPr>
      </w:pPr>
      <w:r>
        <w:rPr>
          <w:rFonts w:hint="eastAsia" w:ascii="仿宋" w:hAnsi="仿宋" w:eastAsia="仿宋"/>
          <w:b/>
          <w:color w:val="auto"/>
          <w:sz w:val="24"/>
          <w:highlight w:val="none"/>
        </w:rPr>
        <w:t>4.5.6 ▲</w:t>
      </w:r>
      <w:r>
        <w:rPr>
          <w:rFonts w:hint="eastAsia" w:ascii="仿宋" w:hAnsi="仿宋" w:eastAsia="仿宋" w:cs="Arial"/>
          <w:b/>
          <w:color w:val="auto"/>
          <w:kern w:val="0"/>
          <w:sz w:val="24"/>
          <w:highlight w:val="none"/>
          <w:u w:val="single"/>
        </w:rPr>
        <w:t>本次磋商报价为含税人民币价</w:t>
      </w:r>
      <w:r>
        <w:rPr>
          <w:rFonts w:hint="eastAsia" w:ascii="仿宋" w:hAnsi="仿宋" w:eastAsia="仿宋" w:cs="Arial"/>
          <w:b/>
          <w:color w:val="auto"/>
          <w:kern w:val="0"/>
          <w:sz w:val="24"/>
          <w:highlight w:val="none"/>
        </w:rPr>
        <w:t>。</w:t>
      </w:r>
    </w:p>
    <w:p>
      <w:pPr>
        <w:autoSpaceDN w:val="0"/>
        <w:adjustRightInd w:val="0"/>
        <w:snapToGrid w:val="0"/>
        <w:spacing w:line="360" w:lineRule="auto"/>
        <w:ind w:firstLine="480" w:firstLineChars="200"/>
        <w:rPr>
          <w:rFonts w:ascii="仿宋" w:hAnsi="仿宋" w:eastAsia="仿宋" w:cs="宋体"/>
          <w:bCs/>
          <w:color w:val="auto"/>
          <w:sz w:val="24"/>
          <w:highlight w:val="none"/>
        </w:rPr>
      </w:pPr>
      <w:r>
        <w:rPr>
          <w:rFonts w:hint="eastAsia" w:ascii="仿宋" w:hAnsi="仿宋" w:eastAsia="仿宋" w:cs="宋体"/>
          <w:color w:val="auto"/>
          <w:sz w:val="24"/>
          <w:highlight w:val="none"/>
        </w:rPr>
        <w:t>4.5.7磋商报价为磋商响应供应商的磋商响应文件中提出的各项支付金额的总和。</w:t>
      </w:r>
    </w:p>
    <w:p>
      <w:pPr>
        <w:autoSpaceDN w:val="0"/>
        <w:spacing w:before="120" w:after="120" w:line="360" w:lineRule="auto"/>
        <w:ind w:firstLine="480"/>
        <w:rPr>
          <w:rFonts w:ascii="仿宋" w:hAnsi="仿宋" w:eastAsia="仿宋"/>
          <w:b/>
          <w:bCs/>
          <w:color w:val="auto"/>
          <w:sz w:val="24"/>
          <w:highlight w:val="none"/>
        </w:rPr>
      </w:pPr>
      <w:r>
        <w:rPr>
          <w:rFonts w:hint="eastAsia" w:ascii="仿宋" w:hAnsi="仿宋" w:eastAsia="仿宋"/>
          <w:b/>
          <w:color w:val="auto"/>
          <w:sz w:val="24"/>
          <w:highlight w:val="none"/>
        </w:rPr>
        <w:t>4.5.8采用工程量清单报价的，磋商响应供应商应按清单中列出的工程项目填报单价和合价。每一项目只允许有一个报价。任何有选择的报价将不予接受，磋商响应供应商未填单价或合价的工程项目，在实施后，采购人将不予以支付，并视作该项费用已包括在其它有价款的单价或合价内</w:t>
      </w:r>
      <w:r>
        <w:rPr>
          <w:rFonts w:hint="eastAsia" w:ascii="仿宋" w:hAnsi="仿宋" w:eastAsia="仿宋"/>
          <w:b/>
          <w:bCs/>
          <w:color w:val="auto"/>
          <w:sz w:val="24"/>
          <w:highlight w:val="none"/>
        </w:rPr>
        <w:t>。</w:t>
      </w:r>
    </w:p>
    <w:p>
      <w:pPr>
        <w:autoSpaceDN w:val="0"/>
        <w:spacing w:before="156" w:beforeLines="50" w:after="156" w:afterLines="50" w:line="360" w:lineRule="auto"/>
        <w:ind w:firstLine="420"/>
        <w:rPr>
          <w:rFonts w:ascii="仿宋" w:hAnsi="仿宋" w:eastAsia="仿宋" w:cs="Times New Roman"/>
          <w:bCs/>
          <w:color w:val="auto"/>
          <w:kern w:val="0"/>
          <w:sz w:val="24"/>
          <w:szCs w:val="24"/>
          <w:highlight w:val="none"/>
        </w:rPr>
      </w:pPr>
      <w:r>
        <w:rPr>
          <w:rFonts w:hint="eastAsia" w:ascii="仿宋" w:hAnsi="仿宋" w:eastAsia="仿宋" w:cs="Times New Roman"/>
          <w:color w:val="auto"/>
          <w:kern w:val="0"/>
          <w:sz w:val="24"/>
          <w:szCs w:val="24"/>
          <w:highlight w:val="none"/>
        </w:rPr>
        <w:t>4.5.9</w:t>
      </w:r>
      <w:r>
        <w:rPr>
          <w:rFonts w:hint="eastAsia" w:ascii="仿宋" w:hAnsi="仿宋" w:eastAsia="仿宋" w:cs="Times New Roman"/>
          <w:bCs/>
          <w:color w:val="auto"/>
          <w:kern w:val="0"/>
          <w:sz w:val="24"/>
          <w:szCs w:val="24"/>
          <w:highlight w:val="none"/>
        </w:rPr>
        <w:t>技术规范要求和设计施工图中所列的施工技术要求所产生的费用均应包括在磋商报价中。上述要求凡采购人提供的工程量清单中未列入的，由磋商响应供应商在相应的分部分项工程量清单项目的综合单价中考虑，采购人不单独列项支付；</w:t>
      </w:r>
    </w:p>
    <w:p>
      <w:pPr>
        <w:autoSpaceDN w:val="0"/>
        <w:spacing w:line="360" w:lineRule="auto"/>
        <w:ind w:firstLine="420"/>
        <w:rPr>
          <w:rFonts w:ascii="仿宋" w:hAnsi="仿宋" w:eastAsia="仿宋" w:cs="Times New Roman"/>
          <w:bCs/>
          <w:color w:val="auto"/>
          <w:sz w:val="24"/>
          <w:szCs w:val="24"/>
          <w:highlight w:val="none"/>
        </w:rPr>
      </w:pPr>
      <w:r>
        <w:rPr>
          <w:rFonts w:hint="eastAsia" w:ascii="仿宋" w:hAnsi="仿宋" w:eastAsia="仿宋" w:cs="Times New Roman"/>
          <w:color w:val="auto"/>
          <w:sz w:val="24"/>
          <w:szCs w:val="24"/>
          <w:highlight w:val="none"/>
        </w:rPr>
        <w:t>4.5.10</w:t>
      </w:r>
      <w:r>
        <w:rPr>
          <w:rFonts w:hint="eastAsia" w:ascii="仿宋" w:hAnsi="仿宋" w:eastAsia="仿宋" w:cs="Times New Roman"/>
          <w:b/>
          <w:color w:val="auto"/>
          <w:sz w:val="24"/>
          <w:szCs w:val="24"/>
          <w:highlight w:val="none"/>
          <w:u w:val="single"/>
        </w:rPr>
        <w:t>凡在磋商报价中涉及到规费、税金、企业管理费、措施费等国家、省、市强制性要求的费用，若磋商响应供应商报价不足或未报价，则视作优惠，一旦成交，磋商响应供应商自行承担该费用。竞争性磋商报价以最后报价为准，单价同比例调整（暂列金不调整）</w:t>
      </w:r>
      <w:r>
        <w:rPr>
          <w:rFonts w:hint="eastAsia" w:ascii="仿宋" w:hAnsi="仿宋" w:eastAsia="仿宋" w:cs="Times New Roman"/>
          <w:b/>
          <w:color w:val="auto"/>
          <w:sz w:val="24"/>
          <w:szCs w:val="24"/>
          <w:highlight w:val="none"/>
        </w:rPr>
        <w:t>。</w:t>
      </w:r>
    </w:p>
    <w:p>
      <w:pPr>
        <w:autoSpaceDN w:val="0"/>
        <w:spacing w:before="156" w:beforeLines="50" w:after="156" w:afterLines="50" w:line="360" w:lineRule="auto"/>
        <w:ind w:firstLine="480"/>
        <w:rPr>
          <w:rFonts w:ascii="仿宋" w:hAnsi="仿宋" w:eastAsia="仿宋" w:cs="Times New Roman"/>
          <w:color w:val="auto"/>
          <w:kern w:val="0"/>
          <w:sz w:val="24"/>
          <w:szCs w:val="24"/>
          <w:highlight w:val="none"/>
          <w:u w:val="single"/>
        </w:rPr>
      </w:pPr>
      <w:r>
        <w:rPr>
          <w:rFonts w:hint="eastAsia" w:ascii="仿宋" w:hAnsi="仿宋" w:eastAsia="仿宋" w:cs="Times New Roman"/>
          <w:color w:val="auto"/>
          <w:kern w:val="0"/>
          <w:sz w:val="24"/>
          <w:szCs w:val="24"/>
          <w:highlight w:val="none"/>
        </w:rPr>
        <w:t>4.5.11除非合同中另有规定，磋商响应供应商在磋商总价中的价格均包括完成该工程项目的直接费、间接费、利润、税金、风险费等所有费用；</w:t>
      </w:r>
    </w:p>
    <w:p>
      <w:pPr>
        <w:autoSpaceDN w:val="0"/>
        <w:spacing w:before="156" w:beforeLines="50" w:after="156" w:afterLines="50" w:line="360" w:lineRule="auto"/>
        <w:ind w:firstLine="48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4.5.12磋商响应供应商应先到工地踏勘以充分了解工地位置、情况、道路、储存空间、装卸限制及任何其它足以影响承包价的情况，任何因忽视或误解工地情况而导致的索赔或工期延长申请将不获批准；</w:t>
      </w:r>
    </w:p>
    <w:p>
      <w:pPr>
        <w:autoSpaceDN w:val="0"/>
        <w:adjustRightInd w:val="0"/>
        <w:snapToGrid w:val="0"/>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4.5.13除非本磋商文件对工程量清单编制和报价另有说明的，否则，磋商响应供应商应按工程量清单中的项目和数量进行报价。</w:t>
      </w:r>
    </w:p>
    <w:p>
      <w:pPr>
        <w:autoSpaceDN w:val="0"/>
        <w:adjustRightInd w:val="0"/>
        <w:snapToGrid w:val="0"/>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4.5.14本项目磋商文件提供的工程量清单是根据采购人提供的图纸（如有）及工作联系函的要求按工程量计算规则的要求计量并提供的，供应商在提疑截止时间前同样应根据采购人提供的图纸（如有）及工作联系函按计算规则计算工程量，并对工程量及列项的完整性进行复核。供应商对工程量清单中的工程量及项目中不合理或缺漏项部分可以书面形式提出疑问，采购人将以磋商文件补充文件或答疑文件的形式书面给以解答和修订。采购人最终确认的工程量清单及提供的图纸（如有）、联系函即作为本工程报价的依据，各供应商须严格按照最终确认的工程量清单进行报价，任何偏离工程量清单的响应报价所引起的一切后果由供应商自行承担。</w:t>
      </w:r>
    </w:p>
    <w:p>
      <w:pPr>
        <w:autoSpaceDN w:val="0"/>
        <w:adjustRightInd w:val="0"/>
        <w:snapToGrid w:val="0"/>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4.5.15供应商采购过程中对采购人提供的最终工程量清单未提出异议的，须在磋商单价及磋商总价中充分考虑固定总价合同可能存在的工程量与图纸（如有）不一致的风险。</w:t>
      </w:r>
    </w:p>
    <w:p>
      <w:pPr>
        <w:autoSpaceDN w:val="0"/>
        <w:adjustRightInd w:val="0"/>
        <w:snapToGrid w:val="0"/>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4.5.16供应商须在磋商总价中考虑人、材、机可能的价格变化。</w:t>
      </w:r>
    </w:p>
    <w:p>
      <w:pPr>
        <w:keepNext/>
        <w:keepLines/>
        <w:autoSpaceDN w:val="0"/>
        <w:spacing w:before="93" w:beforeLines="30" w:after="93" w:afterLines="30" w:line="360" w:lineRule="auto"/>
        <w:ind w:firstLine="283"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4.6 磋商响应文件的有效期</w:t>
      </w:r>
    </w:p>
    <w:p>
      <w:pPr>
        <w:autoSpaceDN w:val="0"/>
        <w:spacing w:line="360" w:lineRule="auto"/>
        <w:ind w:firstLine="420" w:firstLineChars="175"/>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4.6.1《磋商响应文件》有效期：</w:t>
      </w:r>
      <w:r>
        <w:rPr>
          <w:rFonts w:hint="eastAsia" w:ascii="仿宋" w:hAnsi="仿宋" w:eastAsia="仿宋" w:cs="Arial"/>
          <w:b/>
          <w:color w:val="auto"/>
          <w:kern w:val="0"/>
          <w:sz w:val="24"/>
          <w:szCs w:val="24"/>
          <w:highlight w:val="none"/>
          <w:u w:val="single"/>
        </w:rPr>
        <w:t>见《磋商须知前附表》</w:t>
      </w:r>
      <w:r>
        <w:rPr>
          <w:rFonts w:hint="eastAsia" w:ascii="仿宋" w:hAnsi="仿宋" w:eastAsia="仿宋" w:cs="Arial"/>
          <w:b/>
          <w:color w:val="auto"/>
          <w:kern w:val="0"/>
          <w:sz w:val="24"/>
          <w:szCs w:val="24"/>
          <w:highlight w:val="none"/>
        </w:rPr>
        <w:t>，《磋商响应文件》有效期少于这个规定期限的投标将作无效标处理；</w:t>
      </w:r>
    </w:p>
    <w:p>
      <w:pPr>
        <w:autoSpaceDN w:val="0"/>
        <w:spacing w:line="360" w:lineRule="auto"/>
        <w:ind w:firstLine="420" w:firstLineChars="175"/>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4.6.2在特殊情况下，采购人可与磋商响应供应商协商延长《磋商响应文件》的有效期，协商过程以书面形式进行；</w:t>
      </w:r>
    </w:p>
    <w:p>
      <w:pPr>
        <w:autoSpaceDN w:val="0"/>
        <w:spacing w:line="360" w:lineRule="auto"/>
        <w:ind w:firstLine="420" w:firstLineChars="175"/>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4.6.3磋商响应供应商可拒绝接受延期要求，同意延长有效期的磋商响应供应商不能修改《磋商响应文件》；</w:t>
      </w:r>
    </w:p>
    <w:p>
      <w:pPr>
        <w:autoSpaceDN w:val="0"/>
        <w:spacing w:line="360" w:lineRule="auto"/>
        <w:ind w:firstLine="420" w:firstLineChars="175"/>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4.6.4成交供应商的《磋商响应文件》作为合同组成部分，其有效期自动延长至合同履行完毕止；</w:t>
      </w:r>
    </w:p>
    <w:p>
      <w:pPr>
        <w:autoSpaceDN w:val="0"/>
        <w:spacing w:line="360" w:lineRule="auto"/>
        <w:ind w:firstLine="420" w:firstLineChars="175"/>
        <w:rPr>
          <w:rFonts w:ascii="仿宋" w:hAnsi="仿宋" w:eastAsia="仿宋" w:cs="Arial"/>
          <w:color w:val="auto"/>
          <w:kern w:val="0"/>
          <w:sz w:val="24"/>
          <w:szCs w:val="24"/>
          <w:highlight w:val="none"/>
        </w:rPr>
      </w:pPr>
      <w:r>
        <w:rPr>
          <w:rFonts w:hint="eastAsia" w:ascii="仿宋" w:hAnsi="仿宋" w:eastAsia="仿宋" w:cs="Arial"/>
          <w:b/>
          <w:color w:val="auto"/>
          <w:kern w:val="0"/>
          <w:sz w:val="24"/>
          <w:szCs w:val="24"/>
          <w:highlight w:val="none"/>
        </w:rPr>
        <w:t>4.6.5磋商响应供应商在《磋商响应文件》有效期内强行撤回（撤销）其磋商响应文件的，</w:t>
      </w:r>
      <w:r>
        <w:rPr>
          <w:rFonts w:hint="eastAsia" w:ascii="仿宋" w:hAnsi="仿宋" w:eastAsia="仿宋" w:cs="Times New Roman"/>
          <w:b/>
          <w:color w:val="auto"/>
          <w:sz w:val="24"/>
          <w:szCs w:val="24"/>
          <w:highlight w:val="none"/>
        </w:rPr>
        <w:t>采购人将按采购预算金额的5%对其进行追偿（追偿金额不足伍万的按伍万计），以弥补采购人、采购代理机构损失，同时将对其失信行为上报至同级政府采购监督管理部门依法处理。</w:t>
      </w:r>
    </w:p>
    <w:p>
      <w:pPr>
        <w:keepNext/>
        <w:keepLines/>
        <w:autoSpaceDN w:val="0"/>
        <w:spacing w:before="93" w:beforeLines="30" w:after="93" w:afterLines="30" w:line="360" w:lineRule="auto"/>
        <w:ind w:firstLine="283"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4.7 备份磋商响应文件</w:t>
      </w:r>
    </w:p>
    <w:p>
      <w:pPr>
        <w:autoSpaceDN w:val="0"/>
        <w:spacing w:line="360" w:lineRule="auto"/>
        <w:ind w:firstLine="422" w:firstLineChars="176"/>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4.7.1备份磋商响应文件的约定：</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kern w:val="0"/>
          <w:sz w:val="24"/>
          <w:szCs w:val="24"/>
          <w:highlight w:val="none"/>
        </w:rPr>
        <w:t>。</w:t>
      </w:r>
    </w:p>
    <w:p>
      <w:pPr>
        <w:autoSpaceDN w:val="0"/>
        <w:spacing w:line="360" w:lineRule="auto"/>
        <w:ind w:firstLine="422" w:firstLineChars="176"/>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4.7.2备份磋商响应文件的编制：</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kern w:val="0"/>
          <w:sz w:val="24"/>
          <w:szCs w:val="24"/>
          <w:highlight w:val="none"/>
        </w:rPr>
        <w:t>。</w:t>
      </w:r>
    </w:p>
    <w:p>
      <w:pPr>
        <w:autoSpaceDN w:val="0"/>
        <w:spacing w:line="360" w:lineRule="auto"/>
        <w:ind w:firstLine="422" w:firstLineChars="176"/>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4.7.3备份磋商响应文件的存储、份数、密封包装、标识、递交与接收</w:t>
      </w:r>
    </w:p>
    <w:p>
      <w:pPr>
        <w:autoSpaceDN w:val="0"/>
        <w:spacing w:line="360" w:lineRule="auto"/>
        <w:ind w:firstLine="422" w:firstLineChars="176"/>
        <w:rPr>
          <w:rFonts w:ascii="仿宋" w:hAnsi="仿宋" w:eastAsia="仿宋" w:cs="Arial"/>
          <w:color w:val="auto"/>
          <w:sz w:val="24"/>
          <w:szCs w:val="24"/>
          <w:highlight w:val="none"/>
        </w:rPr>
      </w:pPr>
      <w:r>
        <w:rPr>
          <w:rFonts w:hint="eastAsia" w:ascii="仿宋" w:hAnsi="仿宋" w:eastAsia="仿宋" w:cs="Arial"/>
          <w:b/>
          <w:color w:val="auto"/>
          <w:sz w:val="24"/>
          <w:szCs w:val="24"/>
          <w:highlight w:val="none"/>
        </w:rPr>
        <w:t>（1）存储：</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Arial"/>
          <w:color w:val="auto"/>
          <w:sz w:val="24"/>
          <w:szCs w:val="24"/>
          <w:highlight w:val="none"/>
        </w:rPr>
        <w:t>；</w:t>
      </w:r>
    </w:p>
    <w:p>
      <w:pPr>
        <w:autoSpaceDN w:val="0"/>
        <w:spacing w:line="360" w:lineRule="auto"/>
        <w:ind w:firstLine="422" w:firstLineChars="176"/>
        <w:rPr>
          <w:rFonts w:ascii="仿宋" w:hAnsi="仿宋" w:eastAsia="仿宋" w:cs="Arial"/>
          <w:color w:val="auto"/>
          <w:sz w:val="24"/>
          <w:szCs w:val="24"/>
          <w:highlight w:val="none"/>
        </w:rPr>
      </w:pPr>
      <w:r>
        <w:rPr>
          <w:rFonts w:hint="eastAsia" w:ascii="仿宋" w:hAnsi="仿宋" w:eastAsia="仿宋" w:cs="Arial"/>
          <w:b/>
          <w:color w:val="auto"/>
          <w:sz w:val="24"/>
          <w:szCs w:val="24"/>
          <w:highlight w:val="none"/>
        </w:rPr>
        <w:t>（2）份数：</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Arial"/>
          <w:color w:val="auto"/>
          <w:sz w:val="24"/>
          <w:szCs w:val="24"/>
          <w:highlight w:val="none"/>
        </w:rPr>
        <w:t>；</w:t>
      </w:r>
    </w:p>
    <w:p>
      <w:pPr>
        <w:autoSpaceDN w:val="0"/>
        <w:spacing w:line="360" w:lineRule="auto"/>
        <w:ind w:firstLine="422" w:firstLineChars="176"/>
        <w:rPr>
          <w:rFonts w:ascii="仿宋" w:hAnsi="仿宋" w:eastAsia="仿宋" w:cs="Times New Roman"/>
          <w:b/>
          <w:color w:val="auto"/>
          <w:sz w:val="24"/>
          <w:szCs w:val="24"/>
          <w:highlight w:val="none"/>
        </w:rPr>
      </w:pPr>
      <w:r>
        <w:rPr>
          <w:rFonts w:hint="eastAsia" w:ascii="仿宋" w:hAnsi="仿宋" w:eastAsia="仿宋" w:cs="Arial"/>
          <w:b/>
          <w:color w:val="auto"/>
          <w:sz w:val="24"/>
          <w:szCs w:val="24"/>
          <w:highlight w:val="none"/>
        </w:rPr>
        <w:t>（3）密封包装、标识：</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kern w:val="0"/>
          <w:sz w:val="24"/>
          <w:szCs w:val="24"/>
          <w:highlight w:val="none"/>
        </w:rPr>
        <w:t>，</w:t>
      </w:r>
      <w:r>
        <w:rPr>
          <w:rFonts w:hint="eastAsia" w:ascii="仿宋" w:hAnsi="仿宋" w:eastAsia="仿宋" w:cs="Times New Roman"/>
          <w:b/>
          <w:color w:val="auto"/>
          <w:sz w:val="24"/>
          <w:szCs w:val="24"/>
          <w:highlight w:val="none"/>
        </w:rPr>
        <w:t>备份磋商响应文件没有密封包装或</w:t>
      </w:r>
      <w:r>
        <w:rPr>
          <w:rFonts w:hint="eastAsia" w:ascii="仿宋" w:hAnsi="仿宋" w:eastAsia="仿宋" w:cs="Arial"/>
          <w:b/>
          <w:color w:val="auto"/>
          <w:sz w:val="24"/>
          <w:szCs w:val="24"/>
          <w:highlight w:val="none"/>
        </w:rPr>
        <w:t>标识或盖章</w:t>
      </w:r>
      <w:r>
        <w:rPr>
          <w:rFonts w:hint="eastAsia" w:ascii="仿宋" w:hAnsi="仿宋" w:eastAsia="仿宋" w:cs="Times New Roman"/>
          <w:b/>
          <w:color w:val="auto"/>
          <w:sz w:val="24"/>
          <w:szCs w:val="24"/>
          <w:highlight w:val="none"/>
        </w:rPr>
        <w:t>的</w:t>
      </w:r>
      <w:r>
        <w:rPr>
          <w:rFonts w:hint="eastAsia" w:ascii="仿宋" w:hAnsi="仿宋" w:eastAsia="仿宋" w:cs="Arial"/>
          <w:b/>
          <w:color w:val="auto"/>
          <w:sz w:val="24"/>
          <w:szCs w:val="24"/>
          <w:highlight w:val="none"/>
        </w:rPr>
        <w:t>视为未递交</w:t>
      </w:r>
      <w:r>
        <w:rPr>
          <w:rFonts w:hint="eastAsia" w:ascii="仿宋" w:hAnsi="仿宋" w:eastAsia="仿宋" w:cs="Times New Roman"/>
          <w:b/>
          <w:color w:val="auto"/>
          <w:sz w:val="24"/>
          <w:szCs w:val="24"/>
          <w:highlight w:val="none"/>
        </w:rPr>
        <w:t>。</w:t>
      </w:r>
    </w:p>
    <w:p>
      <w:pPr>
        <w:autoSpaceDN w:val="0"/>
        <w:spacing w:line="360" w:lineRule="auto"/>
        <w:ind w:firstLine="422" w:firstLineChars="176"/>
        <w:rPr>
          <w:rFonts w:ascii="仿宋" w:hAnsi="仿宋" w:eastAsia="仿宋" w:cs="Times New Roman"/>
          <w:color w:val="auto"/>
          <w:sz w:val="24"/>
          <w:szCs w:val="24"/>
          <w:highlight w:val="none"/>
        </w:rPr>
      </w:pPr>
      <w:r>
        <w:rPr>
          <w:rFonts w:hint="eastAsia" w:ascii="仿宋" w:hAnsi="仿宋" w:eastAsia="仿宋" w:cs="Times New Roman"/>
          <w:b/>
          <w:color w:val="auto"/>
          <w:sz w:val="24"/>
          <w:szCs w:val="24"/>
          <w:highlight w:val="none"/>
        </w:rPr>
        <w:t>（4）</w:t>
      </w:r>
      <w:r>
        <w:rPr>
          <w:rFonts w:hint="eastAsia" w:ascii="仿宋" w:hAnsi="仿宋" w:eastAsia="仿宋" w:cs="Arial"/>
          <w:b/>
          <w:color w:val="auto"/>
          <w:sz w:val="24"/>
          <w:szCs w:val="24"/>
          <w:highlight w:val="none"/>
        </w:rPr>
        <w:t>递交与接收：</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kern w:val="0"/>
          <w:sz w:val="24"/>
          <w:szCs w:val="24"/>
          <w:highlight w:val="none"/>
        </w:rPr>
        <w:t>，</w:t>
      </w:r>
      <w:r>
        <w:rPr>
          <w:rFonts w:hint="eastAsia" w:ascii="仿宋" w:hAnsi="仿宋" w:eastAsia="仿宋" w:cs="Arial"/>
          <w:b/>
          <w:color w:val="auto"/>
          <w:sz w:val="24"/>
          <w:szCs w:val="24"/>
          <w:highlight w:val="none"/>
        </w:rPr>
        <w:t>备份磋商响应文件逾期送达的视为未递交。</w:t>
      </w:r>
    </w:p>
    <w:p>
      <w:pPr>
        <w:autoSpaceDN w:val="0"/>
        <w:spacing w:line="360" w:lineRule="auto"/>
        <w:ind w:firstLine="420" w:firstLineChars="175"/>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4.7.4备份磋商响应文件的使用与失效</w:t>
      </w:r>
    </w:p>
    <w:p>
      <w:pPr>
        <w:autoSpaceDN w:val="0"/>
        <w:spacing w:line="360" w:lineRule="auto"/>
        <w:ind w:firstLine="420" w:firstLineChars="175"/>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合格的备份磋商响应文件在电子加密“磋商响应文件”解密异常时拆封、使用，电子加密“磋商响应文件”正常解密的备份磋商响应文件自动失效，不再拆封、使用。</w:t>
      </w:r>
      <w:r>
        <w:rPr>
          <w:rFonts w:hint="eastAsia" w:ascii="仿宋" w:hAnsi="仿宋" w:eastAsia="仿宋" w:cs="Times New Roman"/>
          <w:b/>
          <w:color w:val="auto"/>
          <w:sz w:val="24"/>
          <w:szCs w:val="24"/>
          <w:highlight w:val="none"/>
        </w:rPr>
        <w:t>“磋商响应文件解密异常情况处理”办法见《磋商须知前附表》。</w:t>
      </w:r>
    </w:p>
    <w:p>
      <w:pPr>
        <w:autoSpaceDN w:val="0"/>
        <w:spacing w:line="360" w:lineRule="auto"/>
        <w:ind w:firstLine="422" w:firstLineChars="176"/>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4.7.5“备份磋商响应文件”与电子加密的“磋商响应文件”同时生成，不属于磋商响应备选（替代）方案。</w:t>
      </w:r>
    </w:p>
    <w:p>
      <w:pPr>
        <w:keepNext/>
        <w:keepLines/>
        <w:autoSpaceDN w:val="0"/>
        <w:spacing w:before="260" w:after="260" w:line="415" w:lineRule="auto"/>
        <w:ind w:firstLine="280" w:firstLineChars="100"/>
        <w:outlineLvl w:val="1"/>
        <w:rPr>
          <w:rFonts w:ascii="仿宋" w:hAnsi="仿宋" w:eastAsia="仿宋" w:cs="Times New Roman"/>
          <w:b/>
          <w:bCs/>
          <w:color w:val="auto"/>
          <w:sz w:val="28"/>
          <w:szCs w:val="28"/>
          <w:highlight w:val="none"/>
        </w:rPr>
      </w:pPr>
      <w:bookmarkStart w:id="57" w:name="_Toc82338242"/>
      <w:bookmarkStart w:id="58" w:name="_Toc82873325"/>
      <w:bookmarkStart w:id="59" w:name="_Toc11633"/>
      <w:bookmarkStart w:id="60" w:name="_Toc96947064"/>
      <w:r>
        <w:rPr>
          <w:rFonts w:hint="eastAsia" w:ascii="仿宋" w:hAnsi="仿宋" w:eastAsia="仿宋" w:cs="Times New Roman"/>
          <w:b/>
          <w:bCs/>
          <w:color w:val="auto"/>
          <w:sz w:val="28"/>
          <w:szCs w:val="28"/>
          <w:highlight w:val="none"/>
        </w:rPr>
        <w:t>五、</w:t>
      </w:r>
      <w:bookmarkEnd w:id="57"/>
      <w:bookmarkEnd w:id="58"/>
      <w:r>
        <w:rPr>
          <w:rFonts w:hint="eastAsia" w:ascii="仿宋" w:hAnsi="仿宋" w:eastAsia="仿宋" w:cs="Times New Roman"/>
          <w:b/>
          <w:bCs/>
          <w:color w:val="auto"/>
          <w:sz w:val="28"/>
          <w:szCs w:val="28"/>
          <w:highlight w:val="none"/>
        </w:rPr>
        <w:t>磋商响应</w:t>
      </w:r>
      <w:bookmarkEnd w:id="59"/>
      <w:bookmarkEnd w:id="60"/>
    </w:p>
    <w:p>
      <w:pPr>
        <w:keepNext/>
        <w:keepLines/>
        <w:autoSpaceDN w:val="0"/>
        <w:spacing w:before="93" w:beforeLines="30" w:after="93" w:afterLines="30" w:line="360" w:lineRule="auto"/>
        <w:ind w:firstLine="283" w:firstLineChars="118"/>
        <w:outlineLvl w:val="2"/>
        <w:rPr>
          <w:rFonts w:ascii="仿宋" w:hAnsi="仿宋" w:eastAsia="仿宋" w:cs="Times New Roman"/>
          <w:b/>
          <w:bCs/>
          <w:color w:val="auto"/>
          <w:sz w:val="24"/>
          <w:szCs w:val="32"/>
          <w:highlight w:val="none"/>
        </w:rPr>
      </w:pPr>
      <w:bookmarkStart w:id="61" w:name="_Toc82338243"/>
      <w:bookmarkStart w:id="62" w:name="_Toc82873326"/>
      <w:r>
        <w:rPr>
          <w:rFonts w:hint="eastAsia" w:ascii="仿宋" w:hAnsi="仿宋" w:eastAsia="仿宋" w:cs="Times New Roman"/>
          <w:b/>
          <w:bCs/>
          <w:color w:val="auto"/>
          <w:sz w:val="24"/>
          <w:szCs w:val="32"/>
          <w:highlight w:val="none"/>
        </w:rPr>
        <w:t>5.1 磋商响应文件提交截止时间</w:t>
      </w:r>
    </w:p>
    <w:p>
      <w:pPr>
        <w:autoSpaceDN w:val="0"/>
        <w:spacing w:line="360" w:lineRule="auto"/>
        <w:ind w:firstLine="424" w:firstLineChars="177"/>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5.1.1磋商响应文件提交截止时间：</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sz w:val="24"/>
          <w:szCs w:val="24"/>
          <w:highlight w:val="none"/>
        </w:rPr>
        <w:t>。</w:t>
      </w:r>
    </w:p>
    <w:p>
      <w:pPr>
        <w:keepNext/>
        <w:keepLines/>
        <w:autoSpaceDN w:val="0"/>
        <w:spacing w:before="93" w:beforeLines="30" w:after="93" w:afterLines="30" w:line="360" w:lineRule="auto"/>
        <w:ind w:firstLine="283"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5.2 投标地点</w:t>
      </w:r>
    </w:p>
    <w:p>
      <w:pPr>
        <w:autoSpaceDN w:val="0"/>
        <w:spacing w:line="360" w:lineRule="auto"/>
        <w:ind w:firstLine="424" w:firstLineChars="177"/>
        <w:rPr>
          <w:rFonts w:ascii="仿宋" w:hAnsi="仿宋" w:eastAsia="仿宋" w:cs="Times New Roman"/>
          <w:color w:val="auto"/>
          <w:szCs w:val="24"/>
          <w:highlight w:val="none"/>
        </w:rPr>
      </w:pPr>
      <w:r>
        <w:rPr>
          <w:rFonts w:hint="eastAsia" w:ascii="仿宋" w:hAnsi="仿宋" w:eastAsia="仿宋" w:cs="Times New Roman"/>
          <w:b/>
          <w:color w:val="auto"/>
          <w:sz w:val="24"/>
          <w:szCs w:val="24"/>
          <w:highlight w:val="none"/>
        </w:rPr>
        <w:t>5.2.1磋商响应文件提交地点：</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sz w:val="24"/>
          <w:szCs w:val="24"/>
          <w:highlight w:val="none"/>
        </w:rPr>
        <w:t>。</w:t>
      </w:r>
    </w:p>
    <w:p>
      <w:pPr>
        <w:keepNext/>
        <w:keepLines/>
        <w:autoSpaceDN w:val="0"/>
        <w:spacing w:before="93" w:beforeLines="30" w:after="93" w:afterLines="30" w:line="360" w:lineRule="auto"/>
        <w:ind w:firstLine="283"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5.3 磋商响应文件的传输递交</w:t>
      </w:r>
    </w:p>
    <w:p>
      <w:pPr>
        <w:autoSpaceDN w:val="0"/>
        <w:spacing w:line="360" w:lineRule="auto"/>
        <w:ind w:firstLine="422" w:firstLineChars="176"/>
        <w:rPr>
          <w:rFonts w:ascii="仿宋" w:hAnsi="仿宋" w:eastAsia="仿宋" w:cs="Arial"/>
          <w:b/>
          <w:color w:val="auto"/>
          <w:sz w:val="24"/>
          <w:szCs w:val="24"/>
          <w:highlight w:val="none"/>
        </w:rPr>
      </w:pPr>
      <w:r>
        <w:rPr>
          <w:rFonts w:hint="eastAsia" w:ascii="仿宋" w:hAnsi="仿宋" w:eastAsia="仿宋" w:cs="Arial"/>
          <w:b/>
          <w:color w:val="auto"/>
          <w:kern w:val="0"/>
          <w:sz w:val="24"/>
          <w:szCs w:val="24"/>
          <w:highlight w:val="none"/>
        </w:rPr>
        <w:t>5.3.1电子加密“磋商响应文件”的传输递交：</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sz w:val="24"/>
          <w:szCs w:val="24"/>
          <w:highlight w:val="none"/>
        </w:rPr>
        <w:t>。</w:t>
      </w:r>
    </w:p>
    <w:p>
      <w:pPr>
        <w:keepNext/>
        <w:keepLines/>
        <w:autoSpaceDN w:val="0"/>
        <w:spacing w:before="93" w:beforeLines="30" w:after="93" w:afterLines="30" w:line="360" w:lineRule="auto"/>
        <w:ind w:firstLine="283"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5.4 磋商响应文件的补充、修改或撤回</w:t>
      </w:r>
    </w:p>
    <w:p>
      <w:pPr>
        <w:autoSpaceDN w:val="0"/>
        <w:spacing w:line="360" w:lineRule="auto"/>
        <w:ind w:firstLine="424" w:firstLineChars="177"/>
        <w:rPr>
          <w:rFonts w:ascii="仿宋" w:hAnsi="仿宋" w:eastAsia="仿宋" w:cs="Arial"/>
          <w:color w:val="auto"/>
          <w:kern w:val="0"/>
          <w:sz w:val="24"/>
          <w:szCs w:val="24"/>
          <w:highlight w:val="none"/>
        </w:rPr>
      </w:pPr>
      <w:r>
        <w:rPr>
          <w:rFonts w:hint="eastAsia" w:ascii="仿宋" w:hAnsi="仿宋" w:eastAsia="仿宋" w:cs="Arial"/>
          <w:b/>
          <w:color w:val="auto"/>
          <w:kern w:val="0"/>
          <w:sz w:val="24"/>
          <w:szCs w:val="24"/>
          <w:highlight w:val="none"/>
        </w:rPr>
        <w:t>5.4.1磋商响应文件提交截止时间前，供应商可以补充、修改或者撤回磋商响应文件。供应商补充或者修改磋商响应文件的，应当先行撤回已传输递交的原文件，补充、修改后重新传输递交。磋商响应文件提交截止时间前未重新完成传输的，视为撤回磋商响应文件。磋商响应文件提交截止时间后传输递交的磋商响应文件，“政府采购云平台”将予以拒收。</w:t>
      </w:r>
    </w:p>
    <w:p>
      <w:pPr>
        <w:autoSpaceDN w:val="0"/>
        <w:spacing w:line="360" w:lineRule="auto"/>
        <w:ind w:firstLine="424" w:firstLineChars="177"/>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5.4.2磋商响应文件提交截止时间后，供应商不得对磋商响应文件进行补充、修改或撤回。</w:t>
      </w:r>
    </w:p>
    <w:p>
      <w:pPr>
        <w:keepNext/>
        <w:keepLines/>
        <w:autoSpaceDN w:val="0"/>
        <w:spacing w:before="93" w:beforeLines="30" w:after="93" w:afterLines="30" w:line="360" w:lineRule="auto"/>
        <w:ind w:firstLine="283"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5.5 磋商响应文件的备选方案</w:t>
      </w:r>
    </w:p>
    <w:p>
      <w:pPr>
        <w:autoSpaceDN w:val="0"/>
        <w:spacing w:line="360" w:lineRule="auto"/>
        <w:ind w:firstLine="422" w:firstLineChars="176"/>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5.5.1磋商响应供应商不得递交任何的</w:t>
      </w:r>
      <w:r>
        <w:rPr>
          <w:rFonts w:hint="eastAsia" w:ascii="仿宋" w:hAnsi="仿宋" w:eastAsia="仿宋" w:cs="Arial"/>
          <w:b/>
          <w:color w:val="auto"/>
          <w:kern w:val="0"/>
          <w:sz w:val="24"/>
          <w:szCs w:val="24"/>
          <w:highlight w:val="none"/>
        </w:rPr>
        <w:t>磋商响应备选（替代）方案</w:t>
      </w:r>
      <w:r>
        <w:rPr>
          <w:rFonts w:hint="eastAsia" w:ascii="仿宋" w:hAnsi="仿宋" w:eastAsia="仿宋" w:cs="Times New Roman"/>
          <w:b/>
          <w:color w:val="auto"/>
          <w:sz w:val="24"/>
          <w:szCs w:val="24"/>
          <w:highlight w:val="none"/>
        </w:rPr>
        <w:t>，否则作无效标处理。</w:t>
      </w:r>
    </w:p>
    <w:p>
      <w:pPr>
        <w:autoSpaceDN w:val="0"/>
        <w:spacing w:line="360" w:lineRule="auto"/>
        <w:ind w:firstLine="422" w:firstLineChars="176"/>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5.5.2与“电子加密磋商响应文件”同时生成的“备份磋商响应文件”不是磋商响应备选（替代）方案。</w:t>
      </w:r>
    </w:p>
    <w:p>
      <w:pPr>
        <w:keepNext/>
        <w:keepLines/>
        <w:autoSpaceDN w:val="0"/>
        <w:spacing w:before="93" w:beforeLines="30" w:after="93" w:afterLines="30" w:line="360" w:lineRule="auto"/>
        <w:ind w:firstLine="283"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5.6 磋商响应供应商不足法定数量的处理</w:t>
      </w:r>
    </w:p>
    <w:p>
      <w:pPr>
        <w:autoSpaceDN w:val="0"/>
        <w:spacing w:line="360" w:lineRule="auto"/>
        <w:ind w:firstLine="422" w:firstLineChars="176"/>
        <w:rPr>
          <w:rFonts w:ascii="仿宋" w:hAnsi="仿宋" w:eastAsia="仿宋" w:cs="Arial"/>
          <w:color w:val="auto"/>
          <w:szCs w:val="24"/>
          <w:highlight w:val="none"/>
        </w:rPr>
      </w:pPr>
      <w:r>
        <w:rPr>
          <w:rFonts w:hint="eastAsia" w:ascii="仿宋" w:hAnsi="仿宋" w:eastAsia="仿宋" w:cs="Arial"/>
          <w:b/>
          <w:color w:val="auto"/>
          <w:kern w:val="0"/>
          <w:sz w:val="24"/>
          <w:highlight w:val="none"/>
        </w:rPr>
        <w:t>5.6.1到磋商响应文件提交截止时间止，若某个标项成功解密（备份磋商响应文件成功上传的视为成功解密）《磋商响应文件》的供应商少于三家的，除采购任务取消情形外，采购人可选择以下方式之一处理：</w:t>
      </w:r>
    </w:p>
    <w:p>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（1）不再进行开标，将本标项作废标处理，重新组织采购；</w:t>
      </w:r>
    </w:p>
    <w:p>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（2）按同级政府采购监督管理部门的审批意见采用其他采购方式组织采购。</w:t>
      </w:r>
    </w:p>
    <w:p>
      <w:pPr>
        <w:keepNext/>
        <w:keepLines/>
        <w:autoSpaceDN w:val="0"/>
        <w:spacing w:before="260" w:after="260" w:line="415" w:lineRule="auto"/>
        <w:ind w:firstLine="280" w:firstLineChars="100"/>
        <w:outlineLvl w:val="1"/>
        <w:rPr>
          <w:rFonts w:ascii="仿宋" w:hAnsi="仿宋" w:eastAsia="仿宋" w:cs="Times New Roman"/>
          <w:b/>
          <w:bCs/>
          <w:color w:val="auto"/>
          <w:sz w:val="28"/>
          <w:szCs w:val="28"/>
          <w:highlight w:val="none"/>
        </w:rPr>
      </w:pPr>
      <w:bookmarkStart w:id="63" w:name="_Toc640"/>
      <w:bookmarkStart w:id="64" w:name="_Toc96947065"/>
      <w:r>
        <w:rPr>
          <w:rFonts w:hint="eastAsia" w:ascii="仿宋" w:hAnsi="仿宋" w:eastAsia="仿宋" w:cs="Times New Roman"/>
          <w:b/>
          <w:bCs/>
          <w:color w:val="auto"/>
          <w:sz w:val="28"/>
          <w:szCs w:val="28"/>
          <w:highlight w:val="none"/>
        </w:rPr>
        <w:t>六、</w:t>
      </w:r>
      <w:bookmarkEnd w:id="61"/>
      <w:bookmarkEnd w:id="62"/>
      <w:r>
        <w:rPr>
          <w:rFonts w:hint="eastAsia" w:ascii="仿宋" w:hAnsi="仿宋" w:eastAsia="仿宋" w:cs="Times New Roman"/>
          <w:b/>
          <w:bCs/>
          <w:color w:val="auto"/>
          <w:sz w:val="28"/>
          <w:szCs w:val="28"/>
          <w:highlight w:val="none"/>
        </w:rPr>
        <w:t>开标</w:t>
      </w:r>
      <w:bookmarkEnd w:id="63"/>
      <w:bookmarkEnd w:id="64"/>
    </w:p>
    <w:p>
      <w:pPr>
        <w:keepNext/>
        <w:keepLines/>
        <w:autoSpaceDN w:val="0"/>
        <w:spacing w:before="93" w:beforeLines="30" w:after="93" w:afterLines="30" w:line="360" w:lineRule="auto"/>
        <w:ind w:firstLine="283"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6.1 磋商时间、地点</w:t>
      </w:r>
    </w:p>
    <w:p>
      <w:pPr>
        <w:autoSpaceDN w:val="0"/>
        <w:spacing w:line="360" w:lineRule="auto"/>
        <w:ind w:firstLine="424" w:firstLineChars="177"/>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6.1.1</w:t>
      </w:r>
      <w:r>
        <w:rPr>
          <w:rFonts w:hint="eastAsia" w:ascii="仿宋" w:hAnsi="仿宋" w:eastAsia="仿宋" w:cs="仿宋"/>
          <w:b/>
          <w:color w:val="auto"/>
          <w:sz w:val="24"/>
          <w:szCs w:val="24"/>
          <w:highlight w:val="none"/>
        </w:rPr>
        <w:t>磋商时间：</w:t>
      </w:r>
      <w:r>
        <w:rPr>
          <w:rFonts w:hint="eastAsia" w:ascii="仿宋" w:hAnsi="仿宋" w:eastAsia="仿宋" w:cs="仿宋"/>
          <w:b/>
          <w:color w:val="auto"/>
          <w:kern w:val="0"/>
          <w:sz w:val="24"/>
          <w:szCs w:val="24"/>
          <w:highlight w:val="none"/>
          <w:u w:val="single"/>
        </w:rPr>
        <w:t>见《磋商须知前附表》</w:t>
      </w:r>
      <w:r>
        <w:rPr>
          <w:rFonts w:hint="eastAsia" w:ascii="仿宋" w:hAnsi="仿宋" w:eastAsia="仿宋" w:cs="仿宋"/>
          <w:b/>
          <w:color w:val="auto"/>
          <w:sz w:val="24"/>
          <w:szCs w:val="24"/>
          <w:highlight w:val="none"/>
        </w:rPr>
        <w:t>；</w:t>
      </w:r>
    </w:p>
    <w:p>
      <w:pPr>
        <w:autoSpaceDN w:val="0"/>
        <w:spacing w:line="360" w:lineRule="auto"/>
        <w:ind w:firstLine="424" w:firstLineChars="177"/>
        <w:rPr>
          <w:rFonts w:ascii="仿宋" w:hAnsi="仿宋" w:eastAsia="仿宋" w:cs="Times New Roman"/>
          <w:color w:val="auto"/>
          <w:sz w:val="24"/>
          <w:szCs w:val="24"/>
          <w:highlight w:val="none"/>
        </w:rPr>
      </w:pPr>
      <w:r>
        <w:rPr>
          <w:rFonts w:hint="eastAsia" w:ascii="仿宋" w:hAnsi="仿宋" w:eastAsia="仿宋" w:cs="Times New Roman"/>
          <w:b/>
          <w:color w:val="auto"/>
          <w:sz w:val="24"/>
          <w:szCs w:val="24"/>
          <w:highlight w:val="none"/>
        </w:rPr>
        <w:t>6.1.2</w:t>
      </w:r>
      <w:r>
        <w:rPr>
          <w:rFonts w:hint="eastAsia" w:ascii="仿宋" w:hAnsi="仿宋" w:eastAsia="仿宋" w:cs="仿宋"/>
          <w:b/>
          <w:color w:val="auto"/>
          <w:sz w:val="24"/>
          <w:szCs w:val="24"/>
          <w:highlight w:val="none"/>
        </w:rPr>
        <w:t>磋商地点：</w:t>
      </w:r>
      <w:r>
        <w:rPr>
          <w:rFonts w:hint="eastAsia" w:ascii="仿宋" w:hAnsi="仿宋" w:eastAsia="仿宋" w:cs="仿宋"/>
          <w:b/>
          <w:color w:val="auto"/>
          <w:kern w:val="0"/>
          <w:sz w:val="24"/>
          <w:szCs w:val="24"/>
          <w:highlight w:val="none"/>
          <w:u w:val="single"/>
        </w:rPr>
        <w:t>见《磋商须知前附表》</w:t>
      </w:r>
      <w:r>
        <w:rPr>
          <w:rFonts w:hint="eastAsia" w:ascii="仿宋" w:hAnsi="仿宋" w:eastAsia="仿宋" w:cs="仿宋"/>
          <w:b/>
          <w:color w:val="auto"/>
          <w:sz w:val="24"/>
          <w:szCs w:val="24"/>
          <w:highlight w:val="none"/>
        </w:rPr>
        <w:t>。</w:t>
      </w:r>
    </w:p>
    <w:p>
      <w:pPr>
        <w:keepNext/>
        <w:keepLines/>
        <w:autoSpaceDN w:val="0"/>
        <w:spacing w:before="93" w:beforeLines="30" w:after="93" w:afterLines="30" w:line="360" w:lineRule="auto"/>
        <w:ind w:firstLine="283"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6.2 磋商组织与邀请</w:t>
      </w:r>
    </w:p>
    <w:p>
      <w:pPr>
        <w:autoSpaceDN w:val="0"/>
        <w:spacing w:line="360" w:lineRule="auto"/>
        <w:ind w:firstLine="422" w:firstLineChars="176"/>
        <w:rPr>
          <w:rFonts w:ascii="仿宋" w:hAnsi="仿宋" w:eastAsia="仿宋" w:cs="Arial"/>
          <w:color w:val="auto"/>
          <w:kern w:val="0"/>
          <w:sz w:val="24"/>
          <w:szCs w:val="24"/>
          <w:highlight w:val="none"/>
        </w:rPr>
      </w:pPr>
      <w:r>
        <w:rPr>
          <w:rFonts w:hint="eastAsia" w:ascii="仿宋" w:hAnsi="仿宋" w:eastAsia="仿宋" w:cs="Arial"/>
          <w:b/>
          <w:color w:val="auto"/>
          <w:kern w:val="0"/>
          <w:sz w:val="24"/>
          <w:szCs w:val="24"/>
          <w:highlight w:val="none"/>
        </w:rPr>
        <w:t>6.2.1磋商准备：</w:t>
      </w:r>
      <w:r>
        <w:rPr>
          <w:rFonts w:hint="eastAsia" w:ascii="仿宋" w:hAnsi="仿宋" w:eastAsia="仿宋" w:cs="仿宋"/>
          <w:color w:val="auto"/>
          <w:kern w:val="0"/>
          <w:sz w:val="24"/>
          <w:szCs w:val="24"/>
          <w:highlight w:val="none"/>
        </w:rPr>
        <w:t>本项目磋商</w:t>
      </w:r>
      <w:r>
        <w:rPr>
          <w:rFonts w:hint="eastAsia" w:ascii="仿宋" w:hAnsi="仿宋" w:eastAsia="仿宋" w:cs="Arial"/>
          <w:color w:val="auto"/>
          <w:kern w:val="0"/>
          <w:sz w:val="24"/>
          <w:highlight w:val="none"/>
        </w:rPr>
        <w:t>现场活动由采购人或采购代理机构（以下简称“采购组织机构”）组织实施，准备工作由采购组织机构负责落实，磋商过程由采购组织机构负责记录，磋商现场由采购组织机构人员主持。</w:t>
      </w:r>
    </w:p>
    <w:p>
      <w:pPr>
        <w:autoSpaceDN w:val="0"/>
        <w:spacing w:line="360" w:lineRule="auto"/>
        <w:ind w:firstLine="422"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6.2.2磋商邀请：本项目采用电子交易，采购组织机构将按照</w:t>
      </w:r>
      <w:r>
        <w:rPr>
          <w:rFonts w:hint="eastAsia" w:ascii="仿宋" w:hAnsi="仿宋" w:eastAsia="仿宋" w:cs="仿宋"/>
          <w:b/>
          <w:color w:val="auto"/>
          <w:kern w:val="0"/>
          <w:sz w:val="24"/>
          <w:szCs w:val="24"/>
          <w:highlight w:val="none"/>
        </w:rPr>
        <w:t>竞争性磋商文件规定的时间通过</w:t>
      </w:r>
      <w:r>
        <w:rPr>
          <w:rFonts w:hint="eastAsia" w:ascii="仿宋" w:hAnsi="仿宋" w:eastAsia="仿宋" w:cs="Arial"/>
          <w:b/>
          <w:color w:val="auto"/>
          <w:kern w:val="0"/>
          <w:sz w:val="24"/>
          <w:szCs w:val="24"/>
          <w:highlight w:val="none"/>
        </w:rPr>
        <w:t>“政府采购云平台，网址：</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Fonts w:hint="eastAsia" w:ascii="仿宋" w:hAnsi="仿宋" w:eastAsia="仿宋" w:cs="Times New Roman"/>
          <w:b/>
          <w:color w:val="auto"/>
          <w:kern w:val="0"/>
          <w:szCs w:val="21"/>
          <w:highlight w:val="none"/>
          <w:u w:val="single"/>
        </w:rPr>
        <w:t>www.zcygov.cn</w:t>
      </w:r>
      <w:r>
        <w:rPr>
          <w:rFonts w:hint="eastAsia" w:ascii="仿宋" w:hAnsi="仿宋" w:eastAsia="仿宋" w:cs="Times New Roman"/>
          <w:b/>
          <w:color w:val="auto"/>
          <w:kern w:val="0"/>
          <w:szCs w:val="21"/>
          <w:highlight w:val="none"/>
          <w:u w:val="single"/>
        </w:rPr>
        <w:fldChar w:fldCharType="end"/>
      </w:r>
      <w:r>
        <w:rPr>
          <w:rFonts w:hint="eastAsia" w:ascii="仿宋" w:hAnsi="仿宋" w:eastAsia="仿宋" w:cs="Arial"/>
          <w:b/>
          <w:color w:val="auto"/>
          <w:kern w:val="0"/>
          <w:sz w:val="24"/>
          <w:szCs w:val="24"/>
          <w:highlight w:val="none"/>
        </w:rPr>
        <w:t>”组织开标、开启磋商响应文件，所有供应商均应当准时在线参加。</w:t>
      </w:r>
    </w:p>
    <w:p>
      <w:pPr>
        <w:autoSpaceDN w:val="0"/>
        <w:spacing w:line="360" w:lineRule="auto"/>
        <w:ind w:firstLine="422" w:firstLineChars="176"/>
        <w:rPr>
          <w:rFonts w:ascii="仿宋" w:hAnsi="仿宋" w:eastAsia="仿宋" w:cs="Times New Roman"/>
          <w:color w:val="auto"/>
          <w:szCs w:val="24"/>
          <w:highlight w:val="none"/>
        </w:rPr>
      </w:pPr>
      <w:r>
        <w:rPr>
          <w:rFonts w:hint="eastAsia" w:ascii="仿宋" w:hAnsi="仿宋" w:eastAsia="仿宋" w:cs="Arial"/>
          <w:b/>
          <w:color w:val="auto"/>
          <w:kern w:val="0"/>
          <w:sz w:val="24"/>
          <w:highlight w:val="none"/>
        </w:rPr>
        <w:t>6.2.3磋商响应文件开启顺序：</w:t>
      </w:r>
      <w:r>
        <w:rPr>
          <w:rFonts w:hint="eastAsia" w:ascii="仿宋" w:hAnsi="仿宋" w:eastAsia="仿宋" w:cs="Times New Roman"/>
          <w:b/>
          <w:color w:val="auto"/>
          <w:kern w:val="0"/>
          <w:sz w:val="24"/>
          <w:szCs w:val="24"/>
          <w:highlight w:val="none"/>
          <w:u w:val="single"/>
        </w:rPr>
        <w:t>资格文件、商务技术文件、报价文件</w:t>
      </w:r>
      <w:r>
        <w:rPr>
          <w:rFonts w:hint="eastAsia" w:ascii="仿宋" w:hAnsi="仿宋" w:eastAsia="仿宋" w:cs="Arial"/>
          <w:color w:val="auto"/>
          <w:kern w:val="0"/>
          <w:sz w:val="24"/>
          <w:highlight w:val="none"/>
        </w:rPr>
        <w:t>。</w:t>
      </w:r>
    </w:p>
    <w:p>
      <w:pPr>
        <w:autoSpaceDN w:val="0"/>
        <w:spacing w:line="360" w:lineRule="auto"/>
        <w:ind w:firstLine="422"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6.2.4供应商对磋商过程和磋商记录有疑义，以及认为采购人、采购代理机构相关工作人员有需要回避的情形的，应当场提出询问或回避申请。供应商未参加磋商的视同认可磋商结果</w:t>
      </w:r>
      <w:r>
        <w:rPr>
          <w:rFonts w:hint="eastAsia" w:ascii="仿宋" w:hAnsi="仿宋" w:eastAsia="仿宋" w:cs="仿宋"/>
          <w:b/>
          <w:color w:val="auto"/>
          <w:kern w:val="0"/>
          <w:sz w:val="24"/>
          <w:szCs w:val="24"/>
          <w:highlight w:val="none"/>
        </w:rPr>
        <w:t>。</w:t>
      </w:r>
    </w:p>
    <w:p>
      <w:pPr>
        <w:keepNext/>
        <w:keepLines/>
        <w:autoSpaceDN w:val="0"/>
        <w:spacing w:before="93" w:beforeLines="30" w:after="93" w:afterLines="30" w:line="360" w:lineRule="auto"/>
        <w:ind w:firstLine="283"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6.3 开标流程（两阶段）</w:t>
      </w:r>
    </w:p>
    <w:p>
      <w:pPr>
        <w:autoSpaceDN w:val="0"/>
        <w:spacing w:line="360" w:lineRule="auto"/>
        <w:ind w:firstLine="424" w:firstLineChars="177"/>
        <w:jc w:val="left"/>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6.3.1开标流程：</w:t>
      </w:r>
    </w:p>
    <w:p>
      <w:pPr>
        <w:numPr>
          <w:ilvl w:val="0"/>
          <w:numId w:val="8"/>
        </w:numPr>
        <w:autoSpaceDN w:val="0"/>
        <w:spacing w:line="360" w:lineRule="auto"/>
        <w:ind w:firstLine="480" w:firstLineChars="200"/>
        <w:jc w:val="left"/>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磋商响应文件提交截止时间止，由采购代理机构向各磋商响应供应商发出电子加密响应文件的【开始解密】通知，由供应商按磋商文件规定的时间内自行进行磋商响应文件的解密</w:t>
      </w:r>
      <w:r>
        <w:rPr>
          <w:rFonts w:hint="eastAsia" w:ascii="仿宋" w:hAnsi="仿宋" w:eastAsia="仿宋" w:cs="仿宋"/>
          <w:color w:val="auto"/>
          <w:kern w:val="0"/>
          <w:sz w:val="24"/>
          <w:szCs w:val="24"/>
          <w:highlight w:val="none"/>
        </w:rPr>
        <w:t>（</w:t>
      </w:r>
      <w:r>
        <w:rPr>
          <w:rFonts w:hint="eastAsia" w:ascii="仿宋" w:hAnsi="仿宋" w:eastAsia="仿宋" w:cs="仿宋"/>
          <w:b/>
          <w:color w:val="auto"/>
          <w:kern w:val="0"/>
          <w:sz w:val="24"/>
          <w:szCs w:val="24"/>
          <w:highlight w:val="none"/>
        </w:rPr>
        <w:t>解密规定见《磋商须知前附表》</w:t>
      </w: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w:t>
      </w:r>
    </w:p>
    <w:p>
      <w:pPr>
        <w:autoSpaceDN w:val="0"/>
        <w:spacing w:line="360" w:lineRule="auto"/>
        <w:ind w:firstLine="480" w:firstLineChars="200"/>
        <w:jc w:val="left"/>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（2）磋商响应供应商在规定的时间内无法完成已递交的“电子加密响应文件”解密的，按磋商响应文件解密异常情况处理（</w:t>
      </w:r>
      <w:r>
        <w:rPr>
          <w:rFonts w:hint="eastAsia" w:ascii="仿宋" w:hAnsi="仿宋" w:eastAsia="仿宋" w:cs="仿宋"/>
          <w:b/>
          <w:color w:val="auto"/>
          <w:kern w:val="0"/>
          <w:sz w:val="24"/>
          <w:szCs w:val="24"/>
          <w:highlight w:val="none"/>
        </w:rPr>
        <w:t>处理办法见《磋商须知前附表》</w:t>
      </w:r>
      <w:r>
        <w:rPr>
          <w:rFonts w:hint="eastAsia" w:ascii="仿宋" w:hAnsi="仿宋" w:eastAsia="仿宋" w:cs="Arial"/>
          <w:color w:val="auto"/>
          <w:kern w:val="0"/>
          <w:sz w:val="24"/>
          <w:szCs w:val="24"/>
          <w:highlight w:val="none"/>
        </w:rPr>
        <w:t>）；</w:t>
      </w:r>
    </w:p>
    <w:p>
      <w:pPr>
        <w:autoSpaceDN w:val="0"/>
        <w:spacing w:line="360" w:lineRule="auto"/>
        <w:ind w:firstLine="424" w:firstLineChars="177"/>
        <w:jc w:val="left"/>
        <w:rPr>
          <w:rFonts w:ascii="仿宋" w:hAnsi="仿宋" w:eastAsia="仿宋" w:cs="Arial"/>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3）公布</w:t>
      </w:r>
      <w:r>
        <w:rPr>
          <w:rFonts w:hint="eastAsia" w:ascii="仿宋" w:hAnsi="仿宋" w:eastAsia="仿宋" w:cs="仿宋"/>
          <w:color w:val="auto"/>
          <w:kern w:val="0"/>
          <w:sz w:val="24"/>
          <w:szCs w:val="24"/>
          <w:highlight w:val="none"/>
        </w:rPr>
        <w:t>磋商响应文件解密情况（磋商响应文件成功解密的供应商名单等信息）；</w:t>
      </w:r>
    </w:p>
    <w:p>
      <w:pPr>
        <w:autoSpaceDN w:val="0"/>
        <w:spacing w:line="360" w:lineRule="auto"/>
        <w:ind w:firstLine="424" w:firstLineChars="177"/>
        <w:jc w:val="left"/>
        <w:rPr>
          <w:rFonts w:ascii="仿宋" w:hAnsi="仿宋" w:eastAsia="仿宋" w:cs="Arial"/>
          <w:b/>
          <w:bCs/>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4）开启标书信息（资格文件、商务技术文件）。标书信息开启后，首先由</w:t>
      </w:r>
      <w:r>
        <w:rPr>
          <w:rFonts w:hint="eastAsia" w:ascii="仿宋" w:hAnsi="仿宋" w:eastAsia="仿宋" w:cs="仿宋"/>
          <w:color w:val="auto"/>
          <w:kern w:val="0"/>
          <w:sz w:val="24"/>
          <w:szCs w:val="24"/>
          <w:highlight w:val="none"/>
        </w:rPr>
        <w:t>磋商小组依法对磋商响应供应商的资格文件进行审查，审查磋商响应供应商的资格符合情况</w:t>
      </w:r>
      <w:r>
        <w:rPr>
          <w:rFonts w:hint="eastAsia" w:ascii="仿宋" w:hAnsi="仿宋" w:eastAsia="仿宋" w:cs="Arial"/>
          <w:color w:val="auto"/>
          <w:kern w:val="0"/>
          <w:sz w:val="24"/>
          <w:szCs w:val="24"/>
          <w:highlight w:val="none"/>
        </w:rPr>
        <w:t>。资格审查结束后进入商务技术评审。</w:t>
      </w:r>
      <w:r>
        <w:rPr>
          <w:rFonts w:hint="eastAsia" w:ascii="仿宋" w:hAnsi="仿宋" w:eastAsia="仿宋" w:cs="仿宋"/>
          <w:b/>
          <w:bCs/>
          <w:color w:val="auto"/>
          <w:kern w:val="0"/>
          <w:sz w:val="24"/>
          <w:szCs w:val="24"/>
          <w:highlight w:val="none"/>
        </w:rPr>
        <w:t>资格审查合格的磋商响应供应商数量不足三家的，项目不再进行评审。</w:t>
      </w:r>
    </w:p>
    <w:p>
      <w:pPr>
        <w:autoSpaceDN w:val="0"/>
        <w:spacing w:line="360" w:lineRule="auto"/>
        <w:ind w:firstLine="424" w:firstLineChars="177"/>
        <w:jc w:val="left"/>
        <w:rPr>
          <w:rFonts w:ascii="仿宋" w:hAnsi="仿宋" w:eastAsia="仿宋" w:cs="Arial"/>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5）</w:t>
      </w:r>
      <w:r>
        <w:rPr>
          <w:rFonts w:hint="eastAsia" w:ascii="仿宋" w:hAnsi="仿宋" w:eastAsia="仿宋" w:cs="仿宋"/>
          <w:color w:val="auto"/>
          <w:kern w:val="0"/>
          <w:sz w:val="24"/>
          <w:szCs w:val="24"/>
          <w:highlight w:val="none"/>
        </w:rPr>
        <w:t>商务技术磋商、评审结束后，公布商务技术评审无效供应商名称及理由及经商务技术评审的有效磋商响应供应商名单。</w:t>
      </w:r>
    </w:p>
    <w:p>
      <w:pPr>
        <w:autoSpaceDN w:val="0"/>
        <w:spacing w:line="360" w:lineRule="auto"/>
        <w:ind w:firstLine="424" w:firstLineChars="177"/>
        <w:jc w:val="left"/>
        <w:rPr>
          <w:rFonts w:ascii="仿宋" w:hAnsi="仿宋" w:eastAsia="仿宋" w:cs="Arial"/>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6）开启有效</w:t>
      </w:r>
      <w:r>
        <w:rPr>
          <w:rFonts w:hint="eastAsia" w:ascii="仿宋" w:hAnsi="仿宋" w:eastAsia="仿宋" w:cs="仿宋"/>
          <w:color w:val="auto"/>
          <w:kern w:val="0"/>
          <w:sz w:val="24"/>
          <w:szCs w:val="24"/>
          <w:highlight w:val="none"/>
        </w:rPr>
        <w:t>磋商响应供应商的《报价文件》，由磋商小组对报价的合理性、准确性等进行审查核实。</w:t>
      </w:r>
    </w:p>
    <w:p>
      <w:pPr>
        <w:autoSpaceDN w:val="0"/>
        <w:spacing w:line="360" w:lineRule="auto"/>
        <w:ind w:firstLine="480" w:firstLineChars="200"/>
        <w:rPr>
          <w:rFonts w:ascii="仿宋" w:hAnsi="仿宋" w:eastAsia="仿宋" w:cs="仿宋"/>
          <w:color w:val="auto"/>
          <w:szCs w:val="21"/>
          <w:highlight w:val="none"/>
        </w:rPr>
      </w:pP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7）经</w:t>
      </w:r>
      <w:r>
        <w:rPr>
          <w:rFonts w:hint="eastAsia" w:ascii="仿宋" w:hAnsi="仿宋" w:eastAsia="仿宋" w:cs="仿宋"/>
          <w:color w:val="auto"/>
          <w:kern w:val="0"/>
          <w:sz w:val="24"/>
          <w:szCs w:val="24"/>
          <w:highlight w:val="none"/>
        </w:rPr>
        <w:t>磋商小组对报价文件的评审及磋商后，要求供应商在规定的时间内提交最后报价，采购代理机构向各磋商响应供应商发出最后报价通知，由供应商在规定的时间内自行填写最终报价加盖签章并上传。</w:t>
      </w:r>
    </w:p>
    <w:p>
      <w:pPr>
        <w:autoSpaceDN w:val="0"/>
        <w:spacing w:line="360" w:lineRule="auto"/>
        <w:ind w:firstLine="424" w:firstLineChars="177"/>
        <w:jc w:val="left"/>
        <w:rPr>
          <w:rFonts w:ascii="仿宋" w:hAnsi="仿宋" w:eastAsia="仿宋" w:cs="Arial"/>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8）</w:t>
      </w:r>
      <w:r>
        <w:rPr>
          <w:rFonts w:hint="eastAsia" w:ascii="仿宋" w:hAnsi="仿宋" w:eastAsia="仿宋" w:cs="仿宋"/>
          <w:color w:val="auto"/>
          <w:kern w:val="0"/>
          <w:sz w:val="24"/>
          <w:szCs w:val="24"/>
          <w:highlight w:val="none"/>
        </w:rPr>
        <w:t>已提交磋商响应文件的供应商，在提交最后报价之前，若因磋商文件实质性变动导致供应商无法满足采购需求的，允许供应商退出磋商。</w:t>
      </w:r>
    </w:p>
    <w:p>
      <w:pPr>
        <w:autoSpaceDN w:val="0"/>
        <w:spacing w:line="360" w:lineRule="auto"/>
        <w:ind w:firstLine="424" w:firstLineChars="177"/>
        <w:jc w:val="left"/>
        <w:rPr>
          <w:rFonts w:ascii="仿宋" w:hAnsi="仿宋" w:eastAsia="仿宋" w:cs="Arial"/>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9</w:t>
      </w:r>
      <w:r>
        <w:rPr>
          <w:rFonts w:hint="eastAsia" w:ascii="仿宋" w:hAnsi="仿宋" w:eastAsia="仿宋" w:cs="仿宋"/>
          <w:color w:val="auto"/>
          <w:kern w:val="0"/>
          <w:sz w:val="24"/>
          <w:szCs w:val="24"/>
          <w:highlight w:val="none"/>
        </w:rPr>
        <w:t>）采购代理机构公布各有效供应商的商务技术得分情况及最后报价情况，制作开标记录表，供应商予以确认，</w:t>
      </w:r>
      <w:r>
        <w:rPr>
          <w:rFonts w:hint="eastAsia" w:ascii="仿宋" w:hAnsi="仿宋" w:eastAsia="仿宋" w:cs="仿宋"/>
          <w:b/>
          <w:bCs/>
          <w:color w:val="auto"/>
          <w:kern w:val="0"/>
          <w:sz w:val="24"/>
          <w:szCs w:val="24"/>
          <w:highlight w:val="none"/>
        </w:rPr>
        <w:t>不予确认的应说明理由，否则视为无异议</w:t>
      </w:r>
      <w:r>
        <w:rPr>
          <w:rFonts w:hint="eastAsia" w:ascii="仿宋" w:hAnsi="仿宋" w:eastAsia="仿宋" w:cs="仿宋"/>
          <w:color w:val="auto"/>
          <w:kern w:val="0"/>
          <w:sz w:val="24"/>
          <w:szCs w:val="24"/>
          <w:highlight w:val="none"/>
        </w:rPr>
        <w:t>。</w:t>
      </w:r>
    </w:p>
    <w:p>
      <w:pPr>
        <w:autoSpaceDN w:val="0"/>
        <w:spacing w:line="360" w:lineRule="auto"/>
        <w:ind w:firstLine="424" w:firstLineChars="177"/>
        <w:jc w:val="left"/>
        <w:rPr>
          <w:rFonts w:ascii="仿宋" w:hAnsi="仿宋" w:eastAsia="仿宋" w:cs="Arial"/>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10）</w:t>
      </w:r>
      <w:r>
        <w:rPr>
          <w:rFonts w:hint="eastAsia" w:ascii="仿宋" w:hAnsi="仿宋" w:eastAsia="仿宋" w:cs="仿宋"/>
          <w:color w:val="auto"/>
          <w:kern w:val="0"/>
          <w:sz w:val="24"/>
          <w:szCs w:val="24"/>
          <w:highlight w:val="none"/>
        </w:rPr>
        <w:t>评审结束后，公布成交候选供应商名单及采购人最终确定成交供应商名单的时间和公告方式等。</w:t>
      </w:r>
    </w:p>
    <w:p>
      <w:pPr>
        <w:autoSpaceDN w:val="0"/>
        <w:spacing w:line="360" w:lineRule="auto"/>
        <w:ind w:firstLine="424" w:firstLineChars="177"/>
        <w:jc w:val="left"/>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6.3.2特殊情况说明</w:t>
      </w:r>
    </w:p>
    <w:p>
      <w:pPr>
        <w:autoSpaceDN w:val="0"/>
        <w:spacing w:line="360" w:lineRule="auto"/>
        <w:ind w:firstLine="424" w:firstLineChars="177"/>
        <w:jc w:val="left"/>
        <w:rPr>
          <w:rFonts w:ascii="仿宋" w:hAnsi="仿宋" w:eastAsia="仿宋" w:cs="Arial"/>
          <w:b/>
          <w:color w:val="auto"/>
          <w:kern w:val="0"/>
          <w:sz w:val="24"/>
          <w:szCs w:val="24"/>
          <w:highlight w:val="none"/>
        </w:rPr>
      </w:pPr>
      <w:r>
        <w:rPr>
          <w:rFonts w:hint="eastAsia" w:ascii="仿宋" w:hAnsi="仿宋" w:eastAsia="仿宋" w:cs="仿宋"/>
          <w:b/>
          <w:color w:val="auto"/>
          <w:kern w:val="0"/>
          <w:sz w:val="24"/>
          <w:szCs w:val="24"/>
          <w:highlight w:val="none"/>
        </w:rPr>
        <w:t>（</w:t>
      </w:r>
      <w:r>
        <w:rPr>
          <w:rFonts w:hint="eastAsia" w:ascii="仿宋" w:hAnsi="仿宋" w:eastAsia="仿宋" w:cs="Arial"/>
          <w:b/>
          <w:color w:val="auto"/>
          <w:kern w:val="0"/>
          <w:sz w:val="24"/>
          <w:szCs w:val="24"/>
          <w:highlight w:val="none"/>
        </w:rPr>
        <w:t>1）本项目采用电子交易，如遇“政府采购云平台”电子化开标或评审程序调整的，按调整后程序执行。</w:t>
      </w:r>
    </w:p>
    <w:p>
      <w:pPr>
        <w:autoSpaceDN w:val="0"/>
        <w:spacing w:line="360" w:lineRule="auto"/>
        <w:ind w:firstLine="424" w:firstLineChars="177"/>
        <w:jc w:val="left"/>
        <w:rPr>
          <w:rFonts w:ascii="仿宋" w:hAnsi="仿宋" w:eastAsia="仿宋" w:cs="Arial"/>
          <w:b/>
          <w:color w:val="auto"/>
          <w:kern w:val="0"/>
          <w:sz w:val="22"/>
          <w:highlight w:val="none"/>
        </w:rPr>
      </w:pPr>
      <w:r>
        <w:rPr>
          <w:rFonts w:hint="eastAsia" w:ascii="仿宋" w:hAnsi="仿宋" w:eastAsia="仿宋" w:cs="仿宋"/>
          <w:b/>
          <w:color w:val="auto"/>
          <w:kern w:val="0"/>
          <w:sz w:val="24"/>
          <w:szCs w:val="24"/>
          <w:highlight w:val="none"/>
        </w:rPr>
        <w:t>（</w:t>
      </w:r>
      <w:r>
        <w:rPr>
          <w:rFonts w:hint="eastAsia" w:ascii="仿宋" w:hAnsi="仿宋" w:eastAsia="仿宋" w:cs="Arial"/>
          <w:b/>
          <w:color w:val="auto"/>
          <w:kern w:val="0"/>
          <w:sz w:val="24"/>
          <w:szCs w:val="24"/>
          <w:highlight w:val="none"/>
        </w:rPr>
        <w:t>2）磋商过程中需要相关当事人进行签字或盖章确认的材料将通过“政府采购云平台”进行，若因“政府采购云平台”技术问题无法进行签字或盖章确认的，采购组织机构将通过邮件、传真等形式予以确认。</w:t>
      </w:r>
    </w:p>
    <w:p>
      <w:pPr>
        <w:keepNext/>
        <w:keepLines/>
        <w:autoSpaceDN w:val="0"/>
        <w:spacing w:before="260" w:after="260" w:line="415" w:lineRule="auto"/>
        <w:ind w:firstLine="280" w:firstLineChars="100"/>
        <w:outlineLvl w:val="1"/>
        <w:rPr>
          <w:rFonts w:ascii="仿宋" w:hAnsi="仿宋" w:eastAsia="仿宋" w:cs="Times New Roman"/>
          <w:b/>
          <w:bCs/>
          <w:color w:val="auto"/>
          <w:sz w:val="28"/>
          <w:szCs w:val="28"/>
          <w:highlight w:val="none"/>
        </w:rPr>
      </w:pPr>
      <w:bookmarkStart w:id="65" w:name="_Toc32126"/>
      <w:bookmarkStart w:id="66" w:name="_Toc96947066"/>
      <w:r>
        <w:rPr>
          <w:rFonts w:hint="eastAsia" w:ascii="仿宋" w:hAnsi="仿宋" w:eastAsia="仿宋" w:cs="Times New Roman"/>
          <w:b/>
          <w:bCs/>
          <w:color w:val="auto"/>
          <w:sz w:val="28"/>
          <w:szCs w:val="28"/>
          <w:highlight w:val="none"/>
        </w:rPr>
        <w:t>七、评审</w:t>
      </w:r>
      <w:bookmarkEnd w:id="65"/>
      <w:bookmarkEnd w:id="66"/>
    </w:p>
    <w:p>
      <w:pPr>
        <w:keepNext/>
        <w:keepLines/>
        <w:autoSpaceDN w:val="0"/>
        <w:spacing w:before="93" w:beforeLines="30" w:after="93" w:afterLines="30" w:line="360" w:lineRule="auto"/>
        <w:ind w:firstLine="283"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7.1 评审工作的组织</w:t>
      </w:r>
    </w:p>
    <w:p>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采购人或采购代理机构负责组织本项目的评审工作，并依据相关规定履行职责。</w:t>
      </w:r>
    </w:p>
    <w:p>
      <w:pPr>
        <w:keepNext/>
        <w:keepLines/>
        <w:autoSpaceDN w:val="0"/>
        <w:spacing w:before="93" w:beforeLines="30" w:after="93" w:afterLines="30" w:line="360" w:lineRule="auto"/>
        <w:ind w:firstLine="283"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7.2 磋商小组的组建</w:t>
      </w:r>
    </w:p>
    <w:p>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7.2.1磋商小组由采购人或采购代理机构依法组建，成员由采购人代表和评审专家组成，成员人数为三人或以上单数，其中评审专家不少于成员总数的三分之二。</w:t>
      </w:r>
    </w:p>
    <w:p>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7.2.2评审专家从省级或以上财政部门设立的政府采购评审专家库中通过随机方式抽取产生。磋商小组成员名单在采购结果公告前保密。</w:t>
      </w:r>
    </w:p>
    <w:p>
      <w:pPr>
        <w:keepNext/>
        <w:keepLines/>
        <w:autoSpaceDN w:val="0"/>
        <w:spacing w:before="93" w:beforeLines="30" w:after="93" w:afterLines="30" w:line="360" w:lineRule="auto"/>
        <w:ind w:firstLine="283"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7.3 磋商小组的职责</w:t>
      </w:r>
    </w:p>
    <w:p>
      <w:pPr>
        <w:autoSpaceDN w:val="0"/>
        <w:spacing w:line="360" w:lineRule="auto"/>
        <w:ind w:firstLine="422" w:firstLineChars="176"/>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7.3.1磋商小组负责具体评审事务，并独立履行下列职责：</w:t>
      </w:r>
    </w:p>
    <w:p>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（1）审查、评价磋商响应文件是否符合竞争性磋商文件的资格、商务、技术等实质性要求；</w:t>
      </w:r>
    </w:p>
    <w:p>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（2）要求磋商响应供应商对磋商响应文件有关事项作出澄清或者说明；</w:t>
      </w:r>
    </w:p>
    <w:p>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（3）对磋商响应文件进行比较和评价；</w:t>
      </w:r>
    </w:p>
    <w:p>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（4）确定成交候选供应商名单，以及根据采购人委托直接确定成交供应商；</w:t>
      </w:r>
    </w:p>
    <w:p>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（5）向采购人、采购代理机构或者有关部门报告评审中发现的违法行为。</w:t>
      </w:r>
    </w:p>
    <w:p>
      <w:pPr>
        <w:keepNext/>
        <w:keepLines/>
        <w:autoSpaceDN w:val="0"/>
        <w:spacing w:before="93" w:beforeLines="30" w:after="93" w:afterLines="30" w:line="360" w:lineRule="auto"/>
        <w:ind w:firstLine="283"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7.4 评审原则</w:t>
      </w:r>
    </w:p>
    <w:p>
      <w:pPr>
        <w:autoSpaceDN w:val="0"/>
        <w:spacing w:line="360" w:lineRule="auto"/>
        <w:ind w:firstLine="424" w:firstLineChars="177"/>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7.4.1评审原则：</w:t>
      </w:r>
      <w:r>
        <w:rPr>
          <w:rFonts w:hint="eastAsia" w:ascii="仿宋" w:hAnsi="仿宋" w:eastAsia="仿宋" w:cs="Arial"/>
          <w:color w:val="auto"/>
          <w:kern w:val="0"/>
          <w:sz w:val="24"/>
          <w:highlight w:val="none"/>
        </w:rPr>
        <w:t>磋商小组</w:t>
      </w:r>
      <w:r>
        <w:rPr>
          <w:rFonts w:hint="eastAsia" w:ascii="仿宋" w:hAnsi="仿宋" w:eastAsia="仿宋" w:cs="Arial"/>
          <w:color w:val="auto"/>
          <w:sz w:val="24"/>
          <w:szCs w:val="24"/>
          <w:highlight w:val="none"/>
        </w:rPr>
        <w:t>按照客观、公正、审慎、择优的原则，根据竞争性磋商文件规定的评审程序、评审方法和评审标准进行独立评审。</w:t>
      </w:r>
    </w:p>
    <w:p>
      <w:pPr>
        <w:autoSpaceDN w:val="0"/>
        <w:spacing w:line="360" w:lineRule="auto"/>
        <w:ind w:firstLine="424" w:firstLineChars="177"/>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7.4.2评审工作将依据</w:t>
      </w:r>
      <w:r>
        <w:rPr>
          <w:rFonts w:hint="eastAsia" w:ascii="仿宋" w:hAnsi="仿宋" w:eastAsia="仿宋" w:cs="Arial"/>
          <w:color w:val="auto"/>
          <w:kern w:val="0"/>
          <w:sz w:val="24"/>
          <w:highlight w:val="none"/>
        </w:rPr>
        <w:t>竞争性磋商文件、磋商响应文件及竞争性磋商文件中事先已列明的内容进行（如现场方案讲解、演示、样品等）。</w:t>
      </w:r>
    </w:p>
    <w:p>
      <w:pPr>
        <w:keepNext/>
        <w:keepLines/>
        <w:autoSpaceDN w:val="0"/>
        <w:spacing w:before="93" w:beforeLines="30" w:after="93" w:afterLines="30" w:line="360" w:lineRule="auto"/>
        <w:ind w:firstLine="283"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7.5 评审意见的争议处理</w:t>
      </w:r>
    </w:p>
    <w:p>
      <w:pPr>
        <w:autoSpaceDN w:val="0"/>
        <w:spacing w:line="360" w:lineRule="auto"/>
        <w:ind w:firstLine="424" w:firstLineChars="177"/>
        <w:rPr>
          <w:rFonts w:ascii="仿宋" w:hAnsi="仿宋" w:eastAsia="仿宋" w:cs="Arial"/>
          <w:color w:val="auto"/>
          <w:sz w:val="24"/>
          <w:szCs w:val="24"/>
          <w:highlight w:val="none"/>
        </w:rPr>
      </w:pPr>
      <w:r>
        <w:rPr>
          <w:rFonts w:hint="eastAsia" w:ascii="仿宋" w:hAnsi="仿宋" w:eastAsia="仿宋" w:cs="Arial"/>
          <w:b/>
          <w:color w:val="auto"/>
          <w:sz w:val="24"/>
          <w:szCs w:val="24"/>
          <w:highlight w:val="none"/>
        </w:rPr>
        <w:t>磋商小组成员对需要共同认定的事项存在争议的，按照少数服从多数的原则作出结论。</w:t>
      </w:r>
      <w:r>
        <w:rPr>
          <w:rFonts w:hint="eastAsia" w:ascii="仿宋" w:hAnsi="仿宋" w:eastAsia="仿宋" w:cs="Arial"/>
          <w:color w:val="auto"/>
          <w:sz w:val="24"/>
          <w:szCs w:val="24"/>
          <w:highlight w:val="none"/>
        </w:rPr>
        <w:t>持不同意见的磋商小组成员应当在评审报告上签署不同意见及理由，否则视为同意评审报告。</w:t>
      </w:r>
    </w:p>
    <w:p>
      <w:pPr>
        <w:keepNext/>
        <w:keepLines/>
        <w:autoSpaceDN w:val="0"/>
        <w:spacing w:before="93" w:beforeLines="30" w:after="93" w:afterLines="30" w:line="360" w:lineRule="auto"/>
        <w:ind w:firstLine="283"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7.6 评委纪律</w:t>
      </w:r>
    </w:p>
    <w:p>
      <w:pPr>
        <w:autoSpaceDN w:val="0"/>
        <w:spacing w:line="360" w:lineRule="auto"/>
        <w:ind w:firstLine="424" w:firstLineChars="177"/>
        <w:rPr>
          <w:rFonts w:ascii="仿宋" w:hAnsi="仿宋" w:eastAsia="仿宋" w:cs="Times New Roman"/>
          <w:color w:val="auto"/>
          <w:szCs w:val="24"/>
          <w:highlight w:val="none"/>
        </w:rPr>
      </w:pPr>
      <w:r>
        <w:rPr>
          <w:rFonts w:hint="eastAsia" w:ascii="仿宋" w:hAnsi="仿宋" w:eastAsia="仿宋" w:cs="Arial"/>
          <w:color w:val="auto"/>
          <w:sz w:val="24"/>
          <w:szCs w:val="24"/>
          <w:highlight w:val="none"/>
        </w:rPr>
        <w:t>磋商小组成员必须严格遵守保密规定，不得泄露评审的有关情况</w:t>
      </w:r>
      <w:r>
        <w:rPr>
          <w:rFonts w:hint="eastAsia" w:ascii="仿宋" w:hAnsi="仿宋" w:eastAsia="仿宋" w:cs="Arial"/>
          <w:color w:val="auto"/>
          <w:kern w:val="0"/>
          <w:sz w:val="24"/>
          <w:highlight w:val="none"/>
        </w:rPr>
        <w:t>，任何单位和个人不得干扰、影响评标的正常进行，磋商小组成员不得私下与磋商响应供应商接触，不得出现浙江省政府采购活动现场组织管理办法中规定的其他禁止行为。</w:t>
      </w:r>
    </w:p>
    <w:p>
      <w:pPr>
        <w:keepNext/>
        <w:keepLines/>
        <w:autoSpaceDN w:val="0"/>
        <w:spacing w:before="93" w:beforeLines="30" w:after="93" w:afterLines="30" w:line="360" w:lineRule="auto"/>
        <w:ind w:firstLine="283"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7.7 评审方法和标准</w:t>
      </w:r>
    </w:p>
    <w:p>
      <w:pPr>
        <w:autoSpaceDN w:val="0"/>
        <w:spacing w:line="360" w:lineRule="auto"/>
        <w:ind w:firstLine="424" w:firstLineChars="177"/>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7.7.1评审方法和标准：</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kern w:val="0"/>
          <w:sz w:val="24"/>
          <w:szCs w:val="24"/>
          <w:highlight w:val="none"/>
        </w:rPr>
        <w:t>；</w:t>
      </w:r>
    </w:p>
    <w:p>
      <w:pPr>
        <w:autoSpaceDN w:val="0"/>
        <w:spacing w:line="360" w:lineRule="auto"/>
        <w:ind w:firstLine="424" w:firstLineChars="177"/>
        <w:rPr>
          <w:rFonts w:ascii="仿宋" w:hAnsi="仿宋" w:eastAsia="仿宋" w:cs="Arial"/>
          <w:b/>
          <w:color w:val="auto"/>
          <w:kern w:val="0"/>
          <w:sz w:val="24"/>
          <w:highlight w:val="none"/>
        </w:rPr>
      </w:pPr>
      <w:r>
        <w:rPr>
          <w:rFonts w:hint="eastAsia" w:ascii="仿宋" w:hAnsi="仿宋" w:eastAsia="仿宋" w:cs="Times New Roman"/>
          <w:b/>
          <w:color w:val="auto"/>
          <w:kern w:val="0"/>
          <w:sz w:val="24"/>
          <w:szCs w:val="24"/>
          <w:highlight w:val="none"/>
        </w:rPr>
        <w:t>7.7.2</w:t>
      </w:r>
      <w:r>
        <w:rPr>
          <w:rFonts w:hint="eastAsia" w:ascii="仿宋" w:hAnsi="仿宋" w:eastAsia="仿宋" w:cs="Arial"/>
          <w:b/>
          <w:color w:val="auto"/>
          <w:kern w:val="0"/>
          <w:sz w:val="24"/>
          <w:highlight w:val="none"/>
        </w:rPr>
        <w:t>标书信息开启后，磋商小组首先依法对磋商响应供应商的资格文件进行审查，审查各磋商响应供应商的资格符合情况。</w:t>
      </w:r>
      <w:r>
        <w:rPr>
          <w:rFonts w:hint="eastAsia" w:ascii="仿宋" w:hAnsi="仿宋" w:eastAsia="仿宋" w:cs="Arial"/>
          <w:b/>
          <w:color w:val="auto"/>
          <w:kern w:val="0"/>
          <w:sz w:val="24"/>
          <w:szCs w:val="24"/>
          <w:highlight w:val="none"/>
        </w:rPr>
        <w:t>供应商</w:t>
      </w:r>
      <w:r>
        <w:rPr>
          <w:rFonts w:hint="eastAsia" w:ascii="仿宋" w:hAnsi="仿宋" w:eastAsia="仿宋" w:cs="Arial"/>
          <w:b/>
          <w:color w:val="auto"/>
          <w:sz w:val="24"/>
          <w:szCs w:val="24"/>
          <w:highlight w:val="none"/>
        </w:rPr>
        <w:t>信用记录查询与使用：</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Arial"/>
          <w:b/>
          <w:color w:val="auto"/>
          <w:sz w:val="24"/>
          <w:szCs w:val="24"/>
          <w:highlight w:val="none"/>
        </w:rPr>
        <w:t>；</w:t>
      </w:r>
    </w:p>
    <w:p>
      <w:pPr>
        <w:autoSpaceDN w:val="0"/>
        <w:spacing w:line="360" w:lineRule="auto"/>
        <w:ind w:firstLine="424" w:firstLineChars="177"/>
        <w:rPr>
          <w:rFonts w:ascii="仿宋" w:hAnsi="仿宋" w:eastAsia="仿宋" w:cs="Times New Roman"/>
          <w:color w:val="auto"/>
          <w:kern w:val="0"/>
          <w:szCs w:val="24"/>
          <w:highlight w:val="none"/>
        </w:rPr>
      </w:pPr>
      <w:r>
        <w:rPr>
          <w:rFonts w:hint="eastAsia" w:ascii="仿宋" w:hAnsi="仿宋" w:eastAsia="仿宋" w:cs="Times New Roman"/>
          <w:b/>
          <w:color w:val="auto"/>
          <w:kern w:val="0"/>
          <w:sz w:val="24"/>
          <w:szCs w:val="24"/>
          <w:highlight w:val="none"/>
        </w:rPr>
        <w:t>7.7.3资格审查结束后，磋商小组将按照竞争性磋商文件中规定的评审方法和标准，对符合性审查合格的磋商响应文件进行商务和技术评估，综合比较与评价。</w:t>
      </w:r>
      <w:r>
        <w:rPr>
          <w:rFonts w:hint="eastAsia" w:ascii="仿宋" w:hAnsi="仿宋" w:eastAsia="仿宋" w:cs="Times New Roman"/>
          <w:color w:val="auto"/>
          <w:kern w:val="0"/>
          <w:sz w:val="24"/>
          <w:szCs w:val="24"/>
          <w:highlight w:val="none"/>
        </w:rPr>
        <w:t>详细评审方法和标准见本竞争性磋商文件第七章《评审办法》</w:t>
      </w:r>
      <w:r>
        <w:rPr>
          <w:rFonts w:hint="eastAsia" w:ascii="仿宋" w:hAnsi="仿宋" w:eastAsia="仿宋" w:cs="Times New Roman"/>
          <w:color w:val="auto"/>
          <w:kern w:val="0"/>
          <w:szCs w:val="24"/>
          <w:highlight w:val="none"/>
        </w:rPr>
        <w:t>。</w:t>
      </w:r>
    </w:p>
    <w:p>
      <w:pPr>
        <w:autoSpaceDN w:val="0"/>
        <w:rPr>
          <w:rFonts w:ascii="仿宋" w:hAnsi="仿宋" w:eastAsia="仿宋" w:cs="Times New Roman"/>
          <w:color w:val="auto"/>
          <w:szCs w:val="24"/>
          <w:highlight w:val="none"/>
        </w:rPr>
      </w:pPr>
    </w:p>
    <w:p>
      <w:pPr>
        <w:keepNext/>
        <w:keepLines/>
        <w:autoSpaceDN w:val="0"/>
        <w:spacing w:before="260" w:after="260" w:line="415" w:lineRule="auto"/>
        <w:ind w:firstLine="280" w:firstLineChars="100"/>
        <w:outlineLvl w:val="1"/>
        <w:rPr>
          <w:rFonts w:ascii="仿宋" w:hAnsi="仿宋" w:eastAsia="仿宋" w:cs="Times New Roman"/>
          <w:b/>
          <w:bCs/>
          <w:color w:val="auto"/>
          <w:sz w:val="32"/>
          <w:szCs w:val="32"/>
          <w:highlight w:val="none"/>
        </w:rPr>
      </w:pPr>
      <w:bookmarkStart w:id="67" w:name="_Toc96947067"/>
      <w:bookmarkStart w:id="68" w:name="_Toc11895"/>
      <w:r>
        <w:rPr>
          <w:rFonts w:hint="eastAsia" w:ascii="仿宋" w:hAnsi="仿宋" w:eastAsia="仿宋" w:cs="Times New Roman"/>
          <w:b/>
          <w:bCs/>
          <w:color w:val="auto"/>
          <w:sz w:val="28"/>
          <w:szCs w:val="28"/>
          <w:highlight w:val="none"/>
        </w:rPr>
        <w:t>八、采购结果确认与公告</w:t>
      </w:r>
      <w:bookmarkEnd w:id="67"/>
      <w:bookmarkEnd w:id="68"/>
    </w:p>
    <w:p>
      <w:pPr>
        <w:keepNext/>
        <w:keepLines/>
        <w:autoSpaceDN w:val="0"/>
        <w:spacing w:before="93" w:beforeLines="30" w:after="93" w:afterLines="30" w:line="360" w:lineRule="auto"/>
        <w:ind w:firstLine="283"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8.1 采购结果确认（确定成交供应商）</w:t>
      </w:r>
    </w:p>
    <w:p>
      <w:pPr>
        <w:autoSpaceDN w:val="0"/>
        <w:spacing w:line="360" w:lineRule="auto"/>
        <w:ind w:firstLine="420" w:firstLineChars="175"/>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8.1.1采购结果确认（确定成交供应商）：本项目由采购人根据磋商小组递交的《评审报告》，通过“政府采购云平台”依法确认采购结果、确定成交供应商。具体流程如下：</w:t>
      </w:r>
    </w:p>
    <w:p>
      <w:pPr>
        <w:autoSpaceDN w:val="0"/>
        <w:spacing w:line="360" w:lineRule="auto"/>
        <w:ind w:firstLine="420" w:firstLineChars="175"/>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（1）采购代理机构将在评审结束后2个工作日内将评审报告送采购人。</w:t>
      </w:r>
    </w:p>
    <w:p>
      <w:pPr>
        <w:autoSpaceDN w:val="0"/>
        <w:spacing w:line="360" w:lineRule="auto"/>
        <w:ind w:firstLine="420" w:firstLineChars="175"/>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（2）采购人将在收到评审报告之日起5个工作日内，在评审报告推荐的成交候选供应商名单中按顺序确定成交供应商，并将确认意见以书面形式回复采购代理机构。</w:t>
      </w:r>
    </w:p>
    <w:p>
      <w:pPr>
        <w:autoSpaceDN w:val="0"/>
        <w:spacing w:line="360" w:lineRule="auto"/>
        <w:ind w:firstLine="420" w:firstLineChars="175"/>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8.1.2采购人及采购组织机构不对评审结果做任何解释。</w:t>
      </w:r>
    </w:p>
    <w:p>
      <w:pPr>
        <w:keepNext/>
        <w:keepLines/>
        <w:autoSpaceDN w:val="0"/>
        <w:spacing w:before="93" w:beforeLines="30" w:after="93" w:afterLines="30" w:line="360" w:lineRule="auto"/>
        <w:ind w:firstLine="283"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8.2 采购结果公告和成交通知书签发</w:t>
      </w:r>
    </w:p>
    <w:p>
      <w:pPr>
        <w:autoSpaceDN w:val="0"/>
        <w:spacing w:line="360" w:lineRule="auto"/>
        <w:ind w:firstLine="420" w:firstLineChars="175"/>
        <w:rPr>
          <w:rFonts w:ascii="仿宋" w:hAnsi="仿宋" w:eastAsia="仿宋" w:cs="Times New Roman"/>
          <w:b/>
          <w:color w:val="auto"/>
          <w:kern w:val="0"/>
          <w:sz w:val="24"/>
          <w:szCs w:val="24"/>
          <w:highlight w:val="none"/>
        </w:rPr>
      </w:pPr>
      <w:r>
        <w:rPr>
          <w:rFonts w:hint="eastAsia" w:ascii="仿宋" w:hAnsi="仿宋" w:eastAsia="仿宋" w:cs="Arial"/>
          <w:b/>
          <w:color w:val="auto"/>
          <w:kern w:val="0"/>
          <w:sz w:val="24"/>
          <w:highlight w:val="none"/>
        </w:rPr>
        <w:t>8.2.1采购结果公告及《成交通知书》签发：</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kern w:val="0"/>
          <w:sz w:val="24"/>
          <w:szCs w:val="24"/>
          <w:highlight w:val="none"/>
        </w:rPr>
        <w:t>；</w:t>
      </w:r>
    </w:p>
    <w:p>
      <w:pPr>
        <w:autoSpaceDN w:val="0"/>
        <w:spacing w:line="360" w:lineRule="auto"/>
        <w:ind w:firstLine="420" w:firstLineChars="175"/>
        <w:rPr>
          <w:rFonts w:ascii="仿宋" w:hAnsi="仿宋" w:eastAsia="仿宋" w:cs="Arial"/>
          <w:color w:val="auto"/>
          <w:kern w:val="0"/>
          <w:sz w:val="24"/>
          <w:highlight w:val="none"/>
        </w:rPr>
      </w:pPr>
      <w:r>
        <w:rPr>
          <w:rFonts w:hint="eastAsia" w:ascii="仿宋" w:hAnsi="仿宋" w:eastAsia="仿宋" w:cs="Times New Roman"/>
          <w:b/>
          <w:color w:val="auto"/>
          <w:kern w:val="0"/>
          <w:sz w:val="24"/>
          <w:szCs w:val="24"/>
          <w:highlight w:val="none"/>
        </w:rPr>
        <w:t>8.2.2成交公告期限为1个工作日；</w:t>
      </w:r>
    </w:p>
    <w:p>
      <w:pPr>
        <w:autoSpaceDN w:val="0"/>
        <w:spacing w:line="360" w:lineRule="auto"/>
        <w:ind w:firstLine="420" w:firstLineChars="175"/>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9.2.3成交通知书发出后，成交供应商无正当理由不得放弃成交。</w:t>
      </w:r>
    </w:p>
    <w:p>
      <w:pPr>
        <w:keepNext/>
        <w:keepLines/>
        <w:autoSpaceDN w:val="0"/>
        <w:spacing w:before="93" w:beforeLines="30" w:after="93" w:afterLines="30" w:line="360" w:lineRule="auto"/>
        <w:ind w:firstLine="283" w:firstLineChars="118"/>
        <w:outlineLvl w:val="2"/>
        <w:rPr>
          <w:rFonts w:ascii="仿宋" w:hAnsi="仿宋" w:eastAsia="仿宋" w:cs="Times New Roman"/>
          <w:b/>
          <w:bCs/>
          <w:color w:val="auto"/>
          <w:sz w:val="24"/>
          <w:szCs w:val="32"/>
          <w:highlight w:val="none"/>
        </w:rPr>
      </w:pPr>
      <w:bookmarkStart w:id="69" w:name="_Toc35391900"/>
      <w:r>
        <w:rPr>
          <w:rFonts w:hint="eastAsia" w:ascii="仿宋" w:hAnsi="仿宋" w:eastAsia="仿宋" w:cs="Times New Roman"/>
          <w:b/>
          <w:bCs/>
          <w:color w:val="auto"/>
          <w:sz w:val="24"/>
          <w:szCs w:val="32"/>
          <w:highlight w:val="none"/>
        </w:rPr>
        <w:t>8.3 采购过程、采购结果的质疑</w:t>
      </w:r>
    </w:p>
    <w:p>
      <w:pPr>
        <w:autoSpaceDN w:val="0"/>
        <w:spacing w:line="360" w:lineRule="auto"/>
        <w:ind w:firstLine="424" w:firstLineChars="177"/>
        <w:rPr>
          <w:rFonts w:ascii="仿宋" w:hAnsi="仿宋" w:eastAsia="仿宋" w:cs="Arial"/>
          <w:color w:val="auto"/>
          <w:sz w:val="24"/>
          <w:szCs w:val="24"/>
          <w:highlight w:val="none"/>
        </w:rPr>
      </w:pPr>
      <w:r>
        <w:rPr>
          <w:rFonts w:hint="eastAsia" w:ascii="仿宋" w:hAnsi="仿宋" w:eastAsia="仿宋" w:cs="Arial"/>
          <w:b/>
          <w:color w:val="auto"/>
          <w:kern w:val="0"/>
          <w:sz w:val="24"/>
          <w:szCs w:val="24"/>
          <w:highlight w:val="none"/>
        </w:rPr>
        <w:t>磋商响应供应商认为采购过程、采购结果使自己的合法权益受到损害的，应当按照本章节第1.16.2款规定，以书面形式一次性向采购人、采购代理机构提出质疑。</w:t>
      </w:r>
      <w:r>
        <w:rPr>
          <w:rFonts w:hint="eastAsia" w:ascii="仿宋" w:hAnsi="仿宋" w:eastAsia="仿宋" w:cs="Arial"/>
          <w:color w:val="auto"/>
          <w:sz w:val="24"/>
          <w:szCs w:val="24"/>
          <w:highlight w:val="none"/>
        </w:rPr>
        <w:t>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pPr>
        <w:keepNext/>
        <w:keepLines/>
        <w:autoSpaceDN w:val="0"/>
        <w:spacing w:before="260" w:after="260" w:line="415" w:lineRule="auto"/>
        <w:ind w:firstLine="280" w:firstLineChars="100"/>
        <w:outlineLvl w:val="1"/>
        <w:rPr>
          <w:rFonts w:ascii="仿宋" w:hAnsi="仿宋" w:eastAsia="仿宋" w:cs="Times New Roman"/>
          <w:b/>
          <w:bCs/>
          <w:color w:val="auto"/>
          <w:sz w:val="28"/>
          <w:szCs w:val="28"/>
          <w:highlight w:val="none"/>
        </w:rPr>
      </w:pPr>
      <w:bookmarkStart w:id="70" w:name="_Toc17503"/>
      <w:bookmarkStart w:id="71" w:name="_Toc96947068"/>
      <w:r>
        <w:rPr>
          <w:rFonts w:hint="eastAsia" w:ascii="仿宋" w:hAnsi="仿宋" w:eastAsia="仿宋" w:cs="Times New Roman"/>
          <w:b/>
          <w:bCs/>
          <w:color w:val="auto"/>
          <w:sz w:val="28"/>
          <w:szCs w:val="28"/>
          <w:highlight w:val="none"/>
        </w:rPr>
        <w:t>九、采购代理服务费</w:t>
      </w:r>
      <w:bookmarkEnd w:id="69"/>
      <w:bookmarkEnd w:id="70"/>
      <w:bookmarkEnd w:id="71"/>
    </w:p>
    <w:p>
      <w:pPr>
        <w:autoSpaceDN w:val="0"/>
        <w:spacing w:line="360" w:lineRule="auto"/>
        <w:ind w:right="42" w:rightChars="20" w:firstLine="424" w:firstLineChars="177"/>
        <w:rPr>
          <w:rFonts w:ascii="仿宋" w:hAnsi="仿宋" w:eastAsia="仿宋" w:cs="Arial"/>
          <w:b/>
          <w:color w:val="auto"/>
          <w:kern w:val="0"/>
          <w:sz w:val="24"/>
          <w:highlight w:val="none"/>
        </w:rPr>
      </w:pPr>
      <w:r>
        <w:rPr>
          <w:rFonts w:hint="eastAsia" w:ascii="仿宋" w:hAnsi="仿宋" w:eastAsia="仿宋" w:cs="Arial"/>
          <w:b/>
          <w:color w:val="auto"/>
          <w:sz w:val="24"/>
          <w:highlight w:val="none"/>
        </w:rPr>
        <w:t>9.1.1采购代理服务费的</w:t>
      </w:r>
      <w:r>
        <w:rPr>
          <w:rFonts w:hint="eastAsia" w:ascii="仿宋" w:hAnsi="仿宋" w:eastAsia="仿宋" w:cs="Arial"/>
          <w:b/>
          <w:color w:val="auto"/>
          <w:kern w:val="0"/>
          <w:sz w:val="24"/>
          <w:highlight w:val="none"/>
        </w:rPr>
        <w:t>支付方：</w:t>
      </w:r>
      <w:r>
        <w:rPr>
          <w:rFonts w:hint="eastAsia" w:ascii="仿宋" w:hAnsi="仿宋" w:eastAsia="仿宋" w:cs="Arial"/>
          <w:b/>
          <w:color w:val="auto"/>
          <w:kern w:val="0"/>
          <w:sz w:val="24"/>
          <w:highlight w:val="none"/>
          <w:u w:val="single"/>
        </w:rPr>
        <w:t>成交供应商</w:t>
      </w:r>
      <w:r>
        <w:rPr>
          <w:rFonts w:hint="eastAsia" w:ascii="仿宋" w:hAnsi="仿宋" w:eastAsia="仿宋" w:cs="Arial"/>
          <w:b/>
          <w:color w:val="auto"/>
          <w:kern w:val="0"/>
          <w:sz w:val="24"/>
          <w:highlight w:val="none"/>
        </w:rPr>
        <w:t>；</w:t>
      </w:r>
    </w:p>
    <w:p>
      <w:pPr>
        <w:autoSpaceDN w:val="0"/>
        <w:spacing w:line="360" w:lineRule="auto"/>
        <w:ind w:right="42" w:rightChars="20" w:firstLine="424" w:firstLineChars="177"/>
        <w:rPr>
          <w:rFonts w:ascii="仿宋" w:hAnsi="仿宋" w:eastAsia="仿宋" w:cs="Arial"/>
          <w:b/>
          <w:color w:val="auto"/>
          <w:sz w:val="24"/>
          <w:highlight w:val="none"/>
        </w:rPr>
      </w:pPr>
      <w:r>
        <w:rPr>
          <w:rFonts w:hint="eastAsia" w:ascii="仿宋" w:hAnsi="仿宋" w:eastAsia="仿宋" w:cs="Arial"/>
          <w:b/>
          <w:color w:val="auto"/>
          <w:kern w:val="0"/>
          <w:sz w:val="24"/>
          <w:highlight w:val="none"/>
        </w:rPr>
        <w:t>9.1.2</w:t>
      </w:r>
      <w:r>
        <w:rPr>
          <w:rFonts w:hint="eastAsia" w:ascii="仿宋" w:hAnsi="仿宋" w:eastAsia="仿宋" w:cs="Arial"/>
          <w:b/>
          <w:color w:val="auto"/>
          <w:sz w:val="24"/>
          <w:highlight w:val="none"/>
        </w:rPr>
        <w:t>收取标准或金额：</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Arial"/>
          <w:b/>
          <w:color w:val="auto"/>
          <w:sz w:val="24"/>
          <w:highlight w:val="none"/>
        </w:rPr>
        <w:t>；</w:t>
      </w:r>
    </w:p>
    <w:p>
      <w:pPr>
        <w:autoSpaceDN w:val="0"/>
        <w:spacing w:line="360" w:lineRule="auto"/>
        <w:ind w:right="42" w:rightChars="20"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9.1.3缴纳时间：成交供应商确定后7日内，一次性缴纳；</w:t>
      </w:r>
    </w:p>
    <w:p>
      <w:pPr>
        <w:autoSpaceDN w:val="0"/>
        <w:spacing w:line="360" w:lineRule="auto"/>
        <w:ind w:right="42" w:rightChars="20"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9.1.4缴纳形式：电汇、转账、支票、汇票（不接受现金），由成交供应商账户转出；</w:t>
      </w:r>
    </w:p>
    <w:p>
      <w:pPr>
        <w:autoSpaceDN w:val="0"/>
        <w:spacing w:line="360" w:lineRule="auto"/>
        <w:ind w:right="42" w:rightChars="20" w:firstLine="424"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9.1.5特别说明：</w:t>
      </w:r>
    </w:p>
    <w:p>
      <w:pPr>
        <w:autoSpaceDN w:val="0"/>
        <w:spacing w:line="360" w:lineRule="auto"/>
        <w:ind w:right="42" w:rightChars="20" w:firstLine="424"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（1）磋商响应供应商在磋商报价时应将采购代理服务费计入磋商总价（单独列项或列入综合单价内，未计入的视为已包含）；</w:t>
      </w:r>
    </w:p>
    <w:p>
      <w:pPr>
        <w:autoSpaceDN w:val="0"/>
        <w:spacing w:line="360" w:lineRule="auto"/>
        <w:ind w:right="42" w:rightChars="20" w:firstLine="424"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（2）采购代理服务费缴纳凭证将作为采购人合同付款和验收的前提条件，成交供应商未按上述规定和投标承诺缴纳采购代理服务费的，合同款不予支付、合同验收不予通过；</w:t>
      </w:r>
    </w:p>
    <w:p>
      <w:pPr>
        <w:autoSpaceDN w:val="0"/>
        <w:spacing w:line="360" w:lineRule="auto"/>
        <w:ind w:firstLine="424" w:firstLineChars="177"/>
        <w:rPr>
          <w:rFonts w:ascii="仿宋" w:hAnsi="仿宋" w:eastAsia="仿宋" w:cs="Arial"/>
          <w:color w:val="auto"/>
          <w:kern w:val="0"/>
          <w:sz w:val="22"/>
          <w:highlight w:val="none"/>
        </w:rPr>
      </w:pPr>
      <w:r>
        <w:rPr>
          <w:rFonts w:hint="eastAsia" w:ascii="仿宋" w:hAnsi="仿宋" w:eastAsia="仿宋" w:cs="Arial"/>
          <w:b/>
          <w:color w:val="auto"/>
          <w:sz w:val="24"/>
          <w:highlight w:val="none"/>
        </w:rPr>
        <w:t>9.1.6</w:t>
      </w:r>
      <w:r>
        <w:rPr>
          <w:rFonts w:hint="eastAsia" w:ascii="仿宋" w:hAnsi="仿宋" w:eastAsia="仿宋" w:cs="Arial"/>
          <w:b/>
          <w:color w:val="auto"/>
          <w:sz w:val="24"/>
          <w:szCs w:val="24"/>
          <w:highlight w:val="none"/>
        </w:rPr>
        <w:t>成交供应商确定后，成交供应商拒绝签订合同的，或因自身原因被取消成交资格或放弃成交的，已收取的采购代理服务费不予退还，未支付的采购代理服务费由采购人追偿后支付。</w:t>
      </w:r>
    </w:p>
    <w:p>
      <w:pPr>
        <w:keepNext/>
        <w:keepLines/>
        <w:autoSpaceDN w:val="0"/>
        <w:spacing w:before="260" w:after="260" w:line="415" w:lineRule="auto"/>
        <w:ind w:firstLine="280" w:firstLineChars="100"/>
        <w:outlineLvl w:val="1"/>
        <w:rPr>
          <w:rFonts w:ascii="仿宋" w:hAnsi="仿宋" w:eastAsia="仿宋" w:cs="Times New Roman"/>
          <w:b/>
          <w:bCs/>
          <w:color w:val="auto"/>
          <w:sz w:val="28"/>
          <w:szCs w:val="28"/>
          <w:highlight w:val="none"/>
        </w:rPr>
      </w:pPr>
      <w:bookmarkStart w:id="72" w:name="_Toc424164160"/>
      <w:bookmarkStart w:id="73" w:name="_Toc440162792"/>
      <w:bookmarkStart w:id="74" w:name="_Toc96947069"/>
      <w:bookmarkStart w:id="75" w:name="_Toc35391901"/>
      <w:bookmarkStart w:id="76" w:name="_Toc7194"/>
      <w:r>
        <w:rPr>
          <w:rFonts w:hint="eastAsia" w:ascii="仿宋" w:hAnsi="仿宋" w:eastAsia="仿宋" w:cs="Times New Roman"/>
          <w:b/>
          <w:bCs/>
          <w:color w:val="auto"/>
          <w:sz w:val="28"/>
          <w:szCs w:val="28"/>
          <w:highlight w:val="none"/>
        </w:rPr>
        <w:t>十、</w:t>
      </w:r>
      <w:bookmarkEnd w:id="72"/>
      <w:bookmarkEnd w:id="73"/>
      <w:r>
        <w:rPr>
          <w:rFonts w:hint="eastAsia" w:ascii="仿宋" w:hAnsi="仿宋" w:eastAsia="仿宋" w:cs="Times New Roman"/>
          <w:b/>
          <w:bCs/>
          <w:color w:val="auto"/>
          <w:sz w:val="28"/>
          <w:szCs w:val="28"/>
          <w:highlight w:val="none"/>
        </w:rPr>
        <w:t>合同签订和履约担保</w:t>
      </w:r>
      <w:bookmarkEnd w:id="74"/>
      <w:bookmarkEnd w:id="75"/>
      <w:bookmarkEnd w:id="76"/>
    </w:p>
    <w:p>
      <w:pPr>
        <w:keepNext/>
        <w:keepLines/>
        <w:autoSpaceDN w:val="0"/>
        <w:spacing w:before="93" w:beforeLines="30" w:after="93" w:afterLines="30" w:line="360" w:lineRule="auto"/>
        <w:ind w:firstLine="283"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10.1 签订合同</w:t>
      </w:r>
    </w:p>
    <w:p>
      <w:pPr>
        <w:autoSpaceDN w:val="0"/>
        <w:spacing w:line="360" w:lineRule="auto"/>
        <w:ind w:firstLine="422" w:firstLineChars="176"/>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10.1.1合同签订时间期限：</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Arial"/>
          <w:b/>
          <w:color w:val="auto"/>
          <w:kern w:val="0"/>
          <w:sz w:val="24"/>
          <w:highlight w:val="none"/>
        </w:rPr>
        <w:t>；</w:t>
      </w:r>
    </w:p>
    <w:p>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10.1.2成交供应商应在《磋商须知前附表》中规定的时间内，与采购人通过“政府采购云平台”签订政府采购合同。</w:t>
      </w:r>
      <w:r>
        <w:rPr>
          <w:rFonts w:hint="eastAsia" w:ascii="仿宋" w:hAnsi="仿宋" w:eastAsia="仿宋" w:cs="Arial"/>
          <w:color w:val="auto"/>
          <w:kern w:val="0"/>
          <w:sz w:val="24"/>
          <w:highlight w:val="none"/>
        </w:rPr>
        <w:t>所签订的合同不得对竞争性磋商文件确定的事项和成交供应商磋商响应文件作实质性修改。</w:t>
      </w:r>
    </w:p>
    <w:p>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b/>
          <w:color w:val="auto"/>
          <w:sz w:val="24"/>
          <w:highlight w:val="none"/>
        </w:rPr>
        <w:t>10.1.3</w:t>
      </w:r>
      <w:r>
        <w:rPr>
          <w:rFonts w:hint="eastAsia" w:ascii="仿宋" w:hAnsi="仿宋" w:eastAsia="仿宋" w:cs="Arial"/>
          <w:b/>
          <w:color w:val="auto"/>
          <w:kern w:val="0"/>
          <w:sz w:val="24"/>
          <w:highlight w:val="none"/>
        </w:rPr>
        <w:t>成交供应商</w:t>
      </w:r>
      <w:r>
        <w:rPr>
          <w:rFonts w:hint="eastAsia" w:ascii="仿宋" w:hAnsi="仿宋" w:eastAsia="仿宋" w:cs="Arial"/>
          <w:b/>
          <w:color w:val="auto"/>
          <w:sz w:val="24"/>
          <w:highlight w:val="none"/>
        </w:rPr>
        <w:t>拒绝与采购人签订合同的</w:t>
      </w:r>
      <w:r>
        <w:rPr>
          <w:rFonts w:hint="eastAsia" w:ascii="仿宋" w:hAnsi="仿宋" w:eastAsia="仿宋" w:cs="Arial"/>
          <w:b/>
          <w:color w:val="auto"/>
          <w:kern w:val="0"/>
          <w:sz w:val="24"/>
          <w:highlight w:val="none"/>
        </w:rPr>
        <w:t>，</w:t>
      </w:r>
      <w:r>
        <w:rPr>
          <w:rFonts w:hint="eastAsia" w:ascii="仿宋" w:hAnsi="仿宋" w:eastAsia="仿宋" w:cs="Times New Roman"/>
          <w:b/>
          <w:color w:val="auto"/>
          <w:sz w:val="24"/>
          <w:szCs w:val="24"/>
          <w:highlight w:val="none"/>
        </w:rPr>
        <w:t>采购人、采购代理机构将对其失信行为上报至同级政府采购监督管理部门对其依法处理。</w:t>
      </w:r>
    </w:p>
    <w:p>
      <w:pPr>
        <w:autoSpaceDN w:val="0"/>
        <w:spacing w:line="360" w:lineRule="auto"/>
        <w:ind w:firstLine="422" w:firstLineChars="176"/>
        <w:rPr>
          <w:rFonts w:ascii="仿宋" w:hAnsi="仿宋" w:eastAsia="仿宋" w:cs="Arial"/>
          <w:b/>
          <w:color w:val="auto"/>
          <w:sz w:val="24"/>
          <w:highlight w:val="none"/>
        </w:rPr>
      </w:pPr>
      <w:r>
        <w:rPr>
          <w:rFonts w:hint="eastAsia" w:ascii="仿宋" w:hAnsi="仿宋" w:eastAsia="仿宋" w:cs="Arial"/>
          <w:b/>
          <w:color w:val="auto"/>
          <w:kern w:val="0"/>
          <w:sz w:val="24"/>
          <w:highlight w:val="none"/>
        </w:rPr>
        <w:t>10.1.4原</w:t>
      </w:r>
      <w:r>
        <w:rPr>
          <w:rFonts w:hint="eastAsia" w:ascii="仿宋" w:hAnsi="仿宋" w:eastAsia="仿宋" w:cs="Arial"/>
          <w:b/>
          <w:color w:val="auto"/>
          <w:sz w:val="24"/>
          <w:highlight w:val="none"/>
        </w:rPr>
        <w:t>成交供应商拒绝与采购人签订合同后，采购人可以按照评审报告推荐的成交候选人名单排序，确定下一候选人为成交供应商，也可以重新开展政府采购活动。</w:t>
      </w:r>
    </w:p>
    <w:p>
      <w:pPr>
        <w:keepNext/>
        <w:keepLines/>
        <w:autoSpaceDN w:val="0"/>
        <w:spacing w:before="93" w:beforeLines="30" w:after="93" w:afterLines="30" w:line="360" w:lineRule="auto"/>
        <w:ind w:firstLine="283"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10.2 履约担保（履约保证金）</w:t>
      </w:r>
    </w:p>
    <w:p>
      <w:pPr>
        <w:autoSpaceDN w:val="0"/>
        <w:spacing w:line="360" w:lineRule="auto"/>
        <w:ind w:firstLine="424"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10.2.1履约担保递交要求：</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Arial"/>
          <w:b/>
          <w:color w:val="auto"/>
          <w:kern w:val="0"/>
          <w:sz w:val="24"/>
          <w:highlight w:val="none"/>
        </w:rPr>
        <w:t>；成交供应商应递交而未递交履约担保的，合同款不予支付、合同验收不予通过。</w:t>
      </w:r>
    </w:p>
    <w:p>
      <w:pPr>
        <w:autoSpaceDN w:val="0"/>
        <w:spacing w:line="360" w:lineRule="auto"/>
        <w:ind w:firstLine="424"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10.2.2采购合同签订后，成交供应商不按合同约定履约的，采购人可以解除采购合同，并对成交供应商已缴纳的履约保证金作“不予退还”处理。同时，成交供应商还须按以下约定向采购人支付违约金、承担违约责任：</w:t>
      </w:r>
    </w:p>
    <w:p>
      <w:pPr>
        <w:autoSpaceDN w:val="0"/>
        <w:spacing w:line="360" w:lineRule="auto"/>
        <w:ind w:firstLine="422" w:firstLineChars="176"/>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（1）采购人已向</w:t>
      </w:r>
      <w:r>
        <w:rPr>
          <w:rFonts w:hint="eastAsia" w:ascii="仿宋" w:hAnsi="仿宋" w:eastAsia="仿宋" w:cs="Arial"/>
          <w:color w:val="auto"/>
          <w:kern w:val="0"/>
          <w:sz w:val="24"/>
          <w:highlight w:val="none"/>
        </w:rPr>
        <w:t>成交供应商</w:t>
      </w:r>
      <w:r>
        <w:rPr>
          <w:rFonts w:hint="eastAsia" w:ascii="仿宋" w:hAnsi="仿宋" w:eastAsia="仿宋" w:cs="Arial"/>
          <w:color w:val="auto"/>
          <w:kern w:val="0"/>
          <w:sz w:val="24"/>
          <w:szCs w:val="24"/>
          <w:highlight w:val="none"/>
        </w:rPr>
        <w:t>支付了合同款的，</w:t>
      </w:r>
      <w:r>
        <w:rPr>
          <w:rFonts w:hint="eastAsia" w:ascii="仿宋" w:hAnsi="仿宋" w:eastAsia="仿宋" w:cs="Arial"/>
          <w:color w:val="auto"/>
          <w:kern w:val="0"/>
          <w:sz w:val="24"/>
          <w:highlight w:val="none"/>
        </w:rPr>
        <w:t>成交供应商</w:t>
      </w:r>
      <w:r>
        <w:rPr>
          <w:rFonts w:hint="eastAsia" w:ascii="仿宋" w:hAnsi="仿宋" w:eastAsia="仿宋" w:cs="Arial"/>
          <w:color w:val="auto"/>
          <w:kern w:val="0"/>
          <w:sz w:val="24"/>
          <w:szCs w:val="24"/>
          <w:highlight w:val="none"/>
        </w:rPr>
        <w:t>须一次性退还采购人已支付的合同款，并向采购人支付等额违约金；</w:t>
      </w:r>
    </w:p>
    <w:p>
      <w:pPr>
        <w:autoSpaceDN w:val="0"/>
        <w:spacing w:line="360" w:lineRule="auto"/>
        <w:ind w:firstLine="424" w:firstLineChars="177"/>
        <w:rPr>
          <w:rFonts w:ascii="仿宋" w:hAnsi="仿宋" w:eastAsia="仿宋" w:cs="Arial"/>
          <w:b/>
          <w:color w:val="auto"/>
          <w:kern w:val="0"/>
          <w:sz w:val="24"/>
          <w:highlight w:val="none"/>
        </w:rPr>
      </w:pPr>
      <w:r>
        <w:rPr>
          <w:rFonts w:hint="eastAsia" w:ascii="仿宋" w:hAnsi="仿宋" w:eastAsia="仿宋" w:cs="Arial"/>
          <w:color w:val="auto"/>
          <w:kern w:val="0"/>
          <w:sz w:val="24"/>
          <w:szCs w:val="24"/>
          <w:highlight w:val="none"/>
        </w:rPr>
        <w:t>（2）采购人还未向</w:t>
      </w:r>
      <w:r>
        <w:rPr>
          <w:rFonts w:hint="eastAsia" w:ascii="仿宋" w:hAnsi="仿宋" w:eastAsia="仿宋" w:cs="Arial"/>
          <w:color w:val="auto"/>
          <w:kern w:val="0"/>
          <w:sz w:val="24"/>
          <w:highlight w:val="none"/>
        </w:rPr>
        <w:t>成交供应商</w:t>
      </w:r>
      <w:r>
        <w:rPr>
          <w:rFonts w:hint="eastAsia" w:ascii="仿宋" w:hAnsi="仿宋" w:eastAsia="仿宋" w:cs="Arial"/>
          <w:color w:val="auto"/>
          <w:kern w:val="0"/>
          <w:sz w:val="24"/>
          <w:szCs w:val="24"/>
          <w:highlight w:val="none"/>
        </w:rPr>
        <w:t>支付合同款的，</w:t>
      </w:r>
      <w:r>
        <w:rPr>
          <w:rFonts w:hint="eastAsia" w:ascii="仿宋" w:hAnsi="仿宋" w:eastAsia="仿宋" w:cs="Arial"/>
          <w:color w:val="auto"/>
          <w:kern w:val="0"/>
          <w:sz w:val="24"/>
          <w:highlight w:val="none"/>
        </w:rPr>
        <w:t>成交供应商</w:t>
      </w:r>
      <w:r>
        <w:rPr>
          <w:rFonts w:hint="eastAsia" w:ascii="仿宋" w:hAnsi="仿宋" w:eastAsia="仿宋" w:cs="Arial"/>
          <w:color w:val="auto"/>
          <w:kern w:val="0"/>
          <w:sz w:val="24"/>
          <w:szCs w:val="24"/>
          <w:highlight w:val="none"/>
        </w:rPr>
        <w:t>须一次性向采购人支付合同总额30%的违约金。</w:t>
      </w:r>
    </w:p>
    <w:p>
      <w:pPr>
        <w:autoSpaceDN w:val="0"/>
        <w:spacing w:line="360" w:lineRule="auto"/>
        <w:ind w:firstLine="424"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10.2.3履约保证金在成交供应商按约定履约完毕后退还（具体退还方式以合同签订时约定为准）。</w:t>
      </w:r>
    </w:p>
    <w:p>
      <w:pPr>
        <w:keepNext/>
        <w:keepLines/>
        <w:autoSpaceDN w:val="0"/>
        <w:spacing w:before="93" w:beforeLines="30" w:after="93" w:afterLines="30" w:line="360" w:lineRule="auto"/>
        <w:ind w:firstLine="283"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10.3合同款支付方式等</w:t>
      </w:r>
    </w:p>
    <w:p>
      <w:pPr>
        <w:autoSpaceDN w:val="0"/>
        <w:spacing w:line="360" w:lineRule="auto"/>
        <w:ind w:firstLine="424"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10.3.1合同款支付方式：</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pPr>
        <w:autoSpaceDN w:val="0"/>
        <w:spacing w:line="360" w:lineRule="auto"/>
        <w:ind w:firstLine="424"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10.3.2质量保证金：</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pPr>
        <w:autoSpaceDN w:val="0"/>
        <w:spacing w:line="360" w:lineRule="auto"/>
        <w:ind w:firstLine="424"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10.3.3施工用水电费：</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pPr>
        <w:keepNext/>
        <w:keepLines/>
        <w:autoSpaceDN w:val="0"/>
        <w:spacing w:before="93" w:beforeLines="30" w:after="93" w:afterLines="30" w:line="360" w:lineRule="auto"/>
        <w:ind w:firstLine="283"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10.4预付款担保</w:t>
      </w:r>
    </w:p>
    <w:p>
      <w:pPr>
        <w:autoSpaceDN w:val="0"/>
        <w:spacing w:line="360" w:lineRule="auto"/>
        <w:ind w:firstLine="424"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预付款担保：见《磋商须知前附表》。</w:t>
      </w:r>
    </w:p>
    <w:p>
      <w:pPr>
        <w:keepNext/>
        <w:keepLines/>
        <w:autoSpaceDN w:val="0"/>
        <w:spacing w:before="260" w:after="260" w:line="415" w:lineRule="auto"/>
        <w:ind w:firstLine="280" w:firstLineChars="100"/>
        <w:outlineLvl w:val="1"/>
        <w:rPr>
          <w:rFonts w:ascii="仿宋" w:hAnsi="仿宋" w:eastAsia="仿宋" w:cs="Times New Roman"/>
          <w:b/>
          <w:bCs/>
          <w:color w:val="auto"/>
          <w:sz w:val="28"/>
          <w:szCs w:val="28"/>
          <w:highlight w:val="none"/>
        </w:rPr>
      </w:pPr>
      <w:bookmarkStart w:id="77" w:name="_Toc96947070"/>
      <w:bookmarkStart w:id="78" w:name="_Toc35391902"/>
      <w:bookmarkStart w:id="79" w:name="_Toc19649"/>
      <w:r>
        <w:rPr>
          <w:rFonts w:hint="eastAsia" w:ascii="仿宋" w:hAnsi="仿宋" w:eastAsia="仿宋" w:cs="Times New Roman"/>
          <w:b/>
          <w:bCs/>
          <w:color w:val="auto"/>
          <w:sz w:val="28"/>
          <w:szCs w:val="28"/>
          <w:highlight w:val="none"/>
        </w:rPr>
        <w:t>十一、其他事项说明</w:t>
      </w:r>
      <w:bookmarkEnd w:id="77"/>
      <w:bookmarkEnd w:id="78"/>
      <w:bookmarkEnd w:id="79"/>
    </w:p>
    <w:p>
      <w:pPr>
        <w:keepNext/>
        <w:keepLines/>
        <w:autoSpaceDN w:val="0"/>
        <w:spacing w:before="93" w:beforeLines="30" w:after="93" w:afterLines="30" w:line="360" w:lineRule="auto"/>
        <w:ind w:firstLine="283"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11.1 中小企业信用融资</w:t>
      </w:r>
    </w:p>
    <w:p>
      <w:pPr>
        <w:autoSpaceDN w:val="0"/>
        <w:spacing w:line="360" w:lineRule="auto"/>
        <w:ind w:firstLine="424"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sz w:val="24"/>
          <w:szCs w:val="20"/>
          <w:highlight w:val="none"/>
        </w:rPr>
        <w:t>11.1.1中小企业融资相关规定：</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pPr>
        <w:keepNext/>
        <w:keepLines/>
        <w:autoSpaceDN w:val="0"/>
        <w:spacing w:before="93" w:beforeLines="30" w:after="93" w:afterLines="30" w:line="360" w:lineRule="auto"/>
        <w:ind w:firstLine="283"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11.2 重要提醒</w:t>
      </w:r>
    </w:p>
    <w:p>
      <w:pPr>
        <w:autoSpaceDN w:val="0"/>
        <w:spacing w:line="360" w:lineRule="auto"/>
        <w:ind w:firstLine="424"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sz w:val="24"/>
          <w:szCs w:val="20"/>
          <w:highlight w:val="none"/>
        </w:rPr>
        <w:t>11.2.1磋商重要提醒：</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pPr>
        <w:keepNext/>
        <w:keepLines/>
        <w:autoSpaceDN w:val="0"/>
        <w:spacing w:before="93" w:beforeLines="30" w:after="93" w:afterLines="30" w:line="360" w:lineRule="auto"/>
        <w:ind w:firstLine="283"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11.3 竞争性磋商文件解释权</w:t>
      </w:r>
    </w:p>
    <w:p>
      <w:pPr>
        <w:autoSpaceDN w:val="0"/>
        <w:spacing w:line="360" w:lineRule="auto"/>
        <w:ind w:firstLine="424" w:firstLineChars="177"/>
        <w:rPr>
          <w:rFonts w:ascii="宋体" w:hAnsi="Courier New" w:eastAsia="宋体" w:cs="Times New Roman"/>
          <w:color w:val="auto"/>
          <w:spacing w:val="-4"/>
          <w:kern w:val="0"/>
          <w:sz w:val="18"/>
          <w:szCs w:val="20"/>
          <w:highlight w:val="none"/>
        </w:rPr>
      </w:pPr>
      <w:r>
        <w:rPr>
          <w:rFonts w:hint="eastAsia" w:ascii="仿宋" w:hAnsi="仿宋" w:eastAsia="仿宋" w:cs="Times New Roman"/>
          <w:b/>
          <w:color w:val="auto"/>
          <w:kern w:val="0"/>
          <w:sz w:val="24"/>
          <w:szCs w:val="20"/>
          <w:highlight w:val="none"/>
        </w:rPr>
        <w:t>11.3.1竞争性磋商文件解释权：</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pP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br w:type="page"/>
      </w:r>
    </w:p>
    <w:p>
      <w:pPr>
        <w:autoSpaceDN w:val="0"/>
        <w:snapToGrid w:val="0"/>
        <w:spacing w:before="156" w:beforeLines="50" w:after="156" w:afterLines="50" w:line="360" w:lineRule="auto"/>
        <w:jc w:val="center"/>
        <w:outlineLvl w:val="0"/>
        <w:rPr>
          <w:rFonts w:ascii="仿宋" w:hAnsi="仿宋" w:eastAsia="仿宋" w:cs="宋体"/>
          <w:color w:val="auto"/>
          <w:kern w:val="0"/>
          <w:sz w:val="32"/>
          <w:szCs w:val="32"/>
          <w:highlight w:val="none"/>
        </w:rPr>
      </w:pPr>
      <w:bookmarkStart w:id="80" w:name="_Toc18106"/>
      <w:r>
        <w:rPr>
          <w:rFonts w:hint="eastAsia" w:ascii="仿宋" w:hAnsi="仿宋" w:eastAsia="仿宋" w:cs="宋体"/>
          <w:b/>
          <w:color w:val="auto"/>
          <w:kern w:val="0"/>
          <w:sz w:val="32"/>
          <w:szCs w:val="32"/>
          <w:highlight w:val="none"/>
        </w:rPr>
        <w:t>第三章 评审办法</w:t>
      </w:r>
      <w:bookmarkEnd w:id="80"/>
    </w:p>
    <w:p>
      <w:pPr>
        <w:autoSpaceDN w:val="0"/>
        <w:snapToGrid w:val="0"/>
        <w:spacing w:line="360" w:lineRule="auto"/>
        <w:ind w:firstLine="42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为公正、公平、科学地选择中标（成交）供应商，根据《中华人民共和国政府采购法》、《政府采购竞争性磋商采购方式管理暂行办法》等有关法律法规的规定，并结合本项目的实际，制定本办法。</w:t>
      </w:r>
    </w:p>
    <w:p>
      <w:pPr>
        <w:autoSpaceDN w:val="0"/>
        <w:snapToGrid w:val="0"/>
        <w:spacing w:line="360" w:lineRule="auto"/>
        <w:ind w:firstLine="420"/>
        <w:rPr>
          <w:rFonts w:ascii="仿宋" w:hAnsi="仿宋" w:eastAsia="仿宋" w:cs="宋体"/>
          <w:bCs/>
          <w:color w:val="auto"/>
          <w:sz w:val="24"/>
          <w:szCs w:val="24"/>
          <w:highlight w:val="none"/>
        </w:rPr>
      </w:pPr>
      <w:r>
        <w:rPr>
          <w:rFonts w:hint="eastAsia" w:ascii="仿宋" w:hAnsi="仿宋" w:eastAsia="仿宋" w:cs="宋体"/>
          <w:color w:val="auto"/>
          <w:sz w:val="24"/>
          <w:szCs w:val="24"/>
          <w:highlight w:val="none"/>
        </w:rPr>
        <w:t>本办法适用于</w:t>
      </w:r>
      <w:r>
        <w:rPr>
          <w:rFonts w:hint="eastAsia" w:ascii="仿宋" w:hAnsi="仿宋" w:eastAsia="仿宋" w:cs="宋体"/>
          <w:color w:val="auto"/>
          <w:sz w:val="24"/>
          <w:szCs w:val="24"/>
          <w:highlight w:val="none"/>
          <w:lang w:eastAsia="zh-CN"/>
        </w:rPr>
        <w:t>省拱宸所戒毒法治基地配套项目标一</w:t>
      </w:r>
      <w:r>
        <w:rPr>
          <w:rFonts w:hint="eastAsia" w:ascii="仿宋" w:hAnsi="仿宋" w:eastAsia="仿宋" w:cs="宋体"/>
          <w:color w:val="auto"/>
          <w:sz w:val="24"/>
          <w:szCs w:val="24"/>
          <w:highlight w:val="none"/>
        </w:rPr>
        <w:t>的评审。</w:t>
      </w:r>
    </w:p>
    <w:p>
      <w:pPr>
        <w:keepNext/>
        <w:keepLines/>
        <w:autoSpaceDN w:val="0"/>
        <w:spacing w:before="260" w:after="260" w:line="415" w:lineRule="auto"/>
        <w:ind w:firstLine="280" w:firstLineChars="100"/>
        <w:outlineLvl w:val="1"/>
        <w:rPr>
          <w:rFonts w:ascii="仿宋" w:hAnsi="仿宋" w:eastAsia="仿宋" w:cs="Times New Roman"/>
          <w:b/>
          <w:bCs/>
          <w:color w:val="auto"/>
          <w:sz w:val="28"/>
          <w:szCs w:val="28"/>
          <w:highlight w:val="none"/>
        </w:rPr>
      </w:pPr>
      <w:bookmarkStart w:id="81" w:name="_Toc23222"/>
      <w:r>
        <w:rPr>
          <w:rFonts w:hint="eastAsia" w:ascii="仿宋" w:hAnsi="仿宋" w:eastAsia="仿宋" w:cs="Times New Roman"/>
          <w:b/>
          <w:bCs/>
          <w:color w:val="auto"/>
          <w:sz w:val="28"/>
          <w:szCs w:val="28"/>
          <w:highlight w:val="none"/>
        </w:rPr>
        <w:t>一、总则</w:t>
      </w:r>
      <w:bookmarkEnd w:id="81"/>
    </w:p>
    <w:p>
      <w:pPr>
        <w:autoSpaceDN w:val="0"/>
        <w:snapToGrid w:val="0"/>
        <w:spacing w:line="360" w:lineRule="auto"/>
        <w:ind w:firstLine="480"/>
        <w:rPr>
          <w:rFonts w:ascii="仿宋" w:hAnsi="仿宋" w:eastAsia="仿宋" w:cs="宋体"/>
          <w:b/>
          <w:color w:val="auto"/>
          <w:sz w:val="24"/>
          <w:szCs w:val="24"/>
          <w:highlight w:val="none"/>
        </w:rPr>
      </w:pPr>
      <w:r>
        <w:rPr>
          <w:rFonts w:hint="eastAsia" w:ascii="仿宋" w:hAnsi="仿宋" w:eastAsia="仿宋" w:cs="Times New Roman"/>
          <w:b/>
          <w:color w:val="auto"/>
          <w:sz w:val="24"/>
          <w:highlight w:val="none"/>
        </w:rPr>
        <w:t>本项目为工程类项目，</w:t>
      </w:r>
      <w:r>
        <w:rPr>
          <w:rFonts w:hint="eastAsia" w:ascii="仿宋" w:hAnsi="仿宋" w:eastAsia="仿宋" w:cs="宋体"/>
          <w:b/>
          <w:color w:val="auto"/>
          <w:sz w:val="24"/>
          <w:szCs w:val="24"/>
          <w:highlight w:val="none"/>
        </w:rPr>
        <w:t>采用综合评分法，总分为100分，其中“商务技术”</w:t>
      </w:r>
      <w:r>
        <w:rPr>
          <w:rFonts w:hint="eastAsia" w:ascii="仿宋" w:hAnsi="仿宋" w:eastAsia="仿宋" w:cs="宋体"/>
          <w:b/>
          <w:color w:val="auto"/>
          <w:sz w:val="24"/>
          <w:szCs w:val="24"/>
          <w:highlight w:val="none"/>
          <w:u w:val="single"/>
          <w:lang w:val="en-US" w:eastAsia="zh-CN"/>
        </w:rPr>
        <w:t>70</w:t>
      </w:r>
      <w:r>
        <w:rPr>
          <w:rFonts w:hint="eastAsia" w:ascii="仿宋" w:hAnsi="仿宋" w:eastAsia="仿宋" w:cs="宋体"/>
          <w:b/>
          <w:color w:val="auto"/>
          <w:sz w:val="24"/>
          <w:szCs w:val="24"/>
          <w:highlight w:val="none"/>
        </w:rPr>
        <w:t>分，“最终报价”</w:t>
      </w:r>
      <w:r>
        <w:rPr>
          <w:rFonts w:hint="eastAsia" w:ascii="仿宋" w:hAnsi="仿宋" w:eastAsia="仿宋" w:cs="宋体"/>
          <w:b/>
          <w:color w:val="auto"/>
          <w:sz w:val="24"/>
          <w:szCs w:val="24"/>
          <w:highlight w:val="none"/>
          <w:u w:val="single"/>
          <w:lang w:val="en-US" w:eastAsia="zh-CN"/>
        </w:rPr>
        <w:t>3</w:t>
      </w:r>
      <w:r>
        <w:rPr>
          <w:rFonts w:hint="eastAsia" w:ascii="仿宋" w:hAnsi="仿宋" w:eastAsia="仿宋" w:cs="宋体"/>
          <w:b/>
          <w:color w:val="auto"/>
          <w:sz w:val="24"/>
          <w:szCs w:val="24"/>
          <w:highlight w:val="none"/>
          <w:u w:val="single"/>
        </w:rPr>
        <w:t>0</w:t>
      </w:r>
      <w:r>
        <w:rPr>
          <w:rFonts w:hint="eastAsia" w:ascii="仿宋" w:hAnsi="仿宋" w:eastAsia="仿宋" w:cs="宋体"/>
          <w:b/>
          <w:color w:val="auto"/>
          <w:sz w:val="24"/>
          <w:szCs w:val="24"/>
          <w:highlight w:val="none"/>
        </w:rPr>
        <w:t>分。</w:t>
      </w:r>
      <w:r>
        <w:rPr>
          <w:rFonts w:hint="eastAsia" w:ascii="仿宋" w:hAnsi="仿宋" w:eastAsia="仿宋" w:cs="Times New Roman"/>
          <w:color w:val="auto"/>
          <w:sz w:val="24"/>
          <w:szCs w:val="24"/>
          <w:highlight w:val="none"/>
        </w:rPr>
        <w:t>磋商小组将对经磋商确定最终采购需求和提交最后报价的磋商响应供应商，根据商务技术、最终报价情况由各成员独立记名打分。评分过程中采用四舍五入法，并保留小数2位。</w:t>
      </w:r>
    </w:p>
    <w:p>
      <w:pPr>
        <w:autoSpaceDN w:val="0"/>
        <w:snapToGrid w:val="0"/>
        <w:spacing w:line="360" w:lineRule="auto"/>
        <w:ind w:firstLine="48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递交了有效响应文件的供应商的评审得分为各项目汇总得分，成交候选资格按评审得分由高到低顺序排列，得分相同的，按最终报价由低到高顺序排列；得分且最终报价相同的，按技术得分由高到低顺序排列。评分过程中采用四舍五入法，并保留小数2位。除财政部门另有规定外，评审小组推荐得分排列前</w:t>
      </w:r>
      <w:r>
        <w:rPr>
          <w:rFonts w:hint="eastAsia" w:ascii="仿宋" w:hAnsi="仿宋" w:eastAsia="仿宋" w:cs="宋体"/>
          <w:color w:val="auto"/>
          <w:sz w:val="24"/>
          <w:szCs w:val="24"/>
          <w:highlight w:val="none"/>
          <w:u w:val="single"/>
        </w:rPr>
        <w:t xml:space="preserve"> 3 </w:t>
      </w:r>
      <w:r>
        <w:rPr>
          <w:rFonts w:hint="eastAsia" w:ascii="仿宋" w:hAnsi="仿宋" w:eastAsia="仿宋" w:cs="宋体"/>
          <w:color w:val="auto"/>
          <w:sz w:val="24"/>
          <w:szCs w:val="24"/>
          <w:highlight w:val="none"/>
        </w:rPr>
        <w:t>名的供应商为成交候选人。</w:t>
      </w:r>
    </w:p>
    <w:p>
      <w:pPr>
        <w:autoSpaceDN w:val="0"/>
        <w:snapToGrid w:val="0"/>
        <w:spacing w:line="360" w:lineRule="auto"/>
        <w:ind w:firstLine="48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资信、商务及技术分=评审小组所有成员评分的算术平均数</w:t>
      </w:r>
    </w:p>
    <w:p>
      <w:pPr>
        <w:autoSpaceDN w:val="0"/>
        <w:snapToGrid w:val="0"/>
        <w:spacing w:line="360" w:lineRule="auto"/>
        <w:ind w:firstLine="480" w:firstLineChars="200"/>
        <w:rPr>
          <w:rFonts w:ascii="仿宋" w:hAnsi="仿宋" w:eastAsia="仿宋" w:cs="宋体"/>
          <w:bCs/>
          <w:color w:val="auto"/>
          <w:sz w:val="24"/>
          <w:szCs w:val="24"/>
          <w:highlight w:val="none"/>
        </w:rPr>
      </w:pPr>
      <w:r>
        <w:rPr>
          <w:rFonts w:hint="eastAsia" w:ascii="仿宋" w:hAnsi="仿宋" w:eastAsia="仿宋" w:cs="宋体"/>
          <w:color w:val="auto"/>
          <w:sz w:val="24"/>
          <w:szCs w:val="24"/>
          <w:highlight w:val="none"/>
        </w:rPr>
        <w:t>供应商评审综合得分=价格分+资信、商务及技术分</w:t>
      </w:r>
    </w:p>
    <w:p>
      <w:pPr>
        <w:keepNext/>
        <w:keepLines/>
        <w:autoSpaceDN w:val="0"/>
        <w:spacing w:before="260" w:after="260" w:line="415" w:lineRule="auto"/>
        <w:ind w:firstLine="280" w:firstLineChars="100"/>
        <w:outlineLvl w:val="1"/>
        <w:rPr>
          <w:rFonts w:ascii="仿宋" w:hAnsi="仿宋" w:eastAsia="仿宋" w:cs="Times New Roman"/>
          <w:b/>
          <w:bCs/>
          <w:color w:val="auto"/>
          <w:sz w:val="28"/>
          <w:szCs w:val="28"/>
          <w:highlight w:val="none"/>
        </w:rPr>
      </w:pPr>
      <w:bookmarkStart w:id="82" w:name="_Toc96947084"/>
      <w:bookmarkStart w:id="83" w:name="_Toc520824346"/>
      <w:bookmarkStart w:id="84" w:name="_Toc26621"/>
      <w:bookmarkStart w:id="85" w:name="_Toc482590098"/>
      <w:r>
        <w:rPr>
          <w:rFonts w:hint="eastAsia" w:ascii="仿宋" w:hAnsi="仿宋" w:eastAsia="仿宋" w:cs="Times New Roman"/>
          <w:b/>
          <w:bCs/>
          <w:color w:val="auto"/>
          <w:sz w:val="28"/>
          <w:szCs w:val="28"/>
          <w:highlight w:val="none"/>
        </w:rPr>
        <w:t>二、评审程序</w:t>
      </w:r>
      <w:bookmarkEnd w:id="82"/>
      <w:bookmarkEnd w:id="83"/>
      <w:bookmarkEnd w:id="84"/>
      <w:bookmarkEnd w:id="85"/>
    </w:p>
    <w:p>
      <w:pPr>
        <w:keepNext/>
        <w:keepLines/>
        <w:autoSpaceDN w:val="0"/>
        <w:spacing w:before="93" w:beforeLines="30" w:after="93" w:afterLines="30" w:line="360" w:lineRule="auto"/>
        <w:ind w:firstLine="283"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2.1评审前</w:t>
      </w:r>
    </w:p>
    <w:p>
      <w:pPr>
        <w:autoSpaceDN w:val="0"/>
        <w:spacing w:line="360" w:lineRule="auto"/>
        <w:ind w:firstLine="458" w:firstLineChars="191"/>
        <w:jc w:val="left"/>
        <w:rPr>
          <w:rFonts w:ascii="仿宋" w:hAnsi="仿宋" w:eastAsia="仿宋" w:cs="Times New Roman"/>
          <w:color w:val="auto"/>
          <w:kern w:val="0"/>
          <w:sz w:val="24"/>
          <w:highlight w:val="none"/>
        </w:rPr>
      </w:pPr>
      <w:r>
        <w:rPr>
          <w:rFonts w:hint="eastAsia" w:ascii="仿宋" w:hAnsi="仿宋" w:eastAsia="仿宋" w:cs="Times New Roman"/>
          <w:color w:val="auto"/>
          <w:kern w:val="0"/>
          <w:sz w:val="24"/>
          <w:szCs w:val="24"/>
          <w:highlight w:val="none"/>
        </w:rPr>
        <w:t>组织磋商小组签到、核对评委身份，</w:t>
      </w:r>
      <w:r>
        <w:rPr>
          <w:rFonts w:hint="eastAsia" w:ascii="仿宋" w:hAnsi="仿宋" w:eastAsia="仿宋" w:cs="Times New Roman"/>
          <w:color w:val="auto"/>
          <w:kern w:val="0"/>
          <w:sz w:val="24"/>
          <w:highlight w:val="none"/>
        </w:rPr>
        <w:t>推选磋商小组组长，由组长召集成员阅读磋商文件及相关补充、质疑、答复文件、项目书面说明等材料，了解采购项目基本情况、磋商有关事项等。</w:t>
      </w:r>
    </w:p>
    <w:p>
      <w:pPr>
        <w:keepNext/>
        <w:keepLines/>
        <w:autoSpaceDN w:val="0"/>
        <w:spacing w:before="93" w:beforeLines="30" w:after="93" w:afterLines="30" w:line="360" w:lineRule="auto"/>
        <w:ind w:firstLine="283"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2.2磋商响应文件的资格、符合性审查</w:t>
      </w:r>
    </w:p>
    <w:p>
      <w:pPr>
        <w:autoSpaceDN w:val="0"/>
        <w:spacing w:line="360" w:lineRule="auto"/>
        <w:ind w:firstLine="424" w:firstLineChars="177"/>
        <w:rPr>
          <w:rFonts w:ascii="仿宋" w:hAnsi="仿宋" w:eastAsia="仿宋" w:cs="Times New Roman"/>
          <w:color w:val="auto"/>
          <w:sz w:val="24"/>
          <w:szCs w:val="24"/>
          <w:highlight w:val="none"/>
        </w:rPr>
      </w:pPr>
      <w:r>
        <w:rPr>
          <w:rFonts w:hint="eastAsia" w:ascii="仿宋" w:hAnsi="仿宋" w:eastAsia="仿宋" w:cs="Times New Roman"/>
          <w:bCs/>
          <w:color w:val="auto"/>
          <w:sz w:val="24"/>
          <w:szCs w:val="24"/>
          <w:highlight w:val="none"/>
        </w:rPr>
        <w:t>2.2.1</w:t>
      </w:r>
      <w:r>
        <w:rPr>
          <w:rFonts w:hint="eastAsia" w:ascii="仿宋" w:hAnsi="仿宋" w:eastAsia="仿宋" w:cs="Arial"/>
          <w:bCs/>
          <w:color w:val="auto"/>
          <w:kern w:val="0"/>
          <w:sz w:val="24"/>
          <w:highlight w:val="none"/>
        </w:rPr>
        <w:t>开标（标书信息开启）后，磋商小组首先依法对磋商响应供应商的资格文件进行审查，审查各磋商响应供应商的资格符合情况。</w:t>
      </w:r>
      <w:r>
        <w:rPr>
          <w:rFonts w:hint="eastAsia" w:ascii="仿宋" w:hAnsi="仿宋" w:eastAsia="仿宋" w:cs="Times New Roman"/>
          <w:color w:val="auto"/>
          <w:sz w:val="24"/>
          <w:szCs w:val="24"/>
          <w:highlight w:val="none"/>
        </w:rPr>
        <w:t>磋商小组对磋商响应供应商所递交的资格证明材料仅负审核的责任。如发现磋商响应供应商所递交的资格证明材料不合法或与事实不符，采购人可取消其成交资格并追究磋商响应供应商的法律责任。</w:t>
      </w:r>
    </w:p>
    <w:p>
      <w:pPr>
        <w:autoSpaceDN w:val="0"/>
        <w:spacing w:line="360" w:lineRule="auto"/>
        <w:ind w:firstLine="424" w:firstLineChars="177"/>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（1）</w:t>
      </w:r>
      <w:r>
        <w:rPr>
          <w:rFonts w:hint="eastAsia" w:ascii="仿宋" w:hAnsi="仿宋" w:eastAsia="仿宋" w:cs="Arial"/>
          <w:b/>
          <w:color w:val="auto"/>
          <w:kern w:val="0"/>
          <w:sz w:val="24"/>
          <w:szCs w:val="24"/>
          <w:highlight w:val="none"/>
          <w:u w:val="single"/>
        </w:rPr>
        <w:t>磋商响应供应商递交的资格证明材料无法证明其符合竞争性磋商文件规定的“磋商响应供应商资格要求”的，磋商小组将对其作“资格审查不合格”处理（无效投标），并不再进行后续评审。</w:t>
      </w:r>
    </w:p>
    <w:p>
      <w:pPr>
        <w:autoSpaceDN w:val="0"/>
        <w:spacing w:line="360" w:lineRule="auto"/>
        <w:ind w:firstLine="424" w:firstLineChars="177"/>
        <w:rPr>
          <w:rFonts w:ascii="仿宋" w:hAnsi="仿宋" w:eastAsia="仿宋" w:cs="Arial"/>
          <w:b/>
          <w:color w:val="auto"/>
          <w:kern w:val="0"/>
          <w:sz w:val="24"/>
          <w:szCs w:val="24"/>
          <w:highlight w:val="none"/>
          <w:u w:val="single"/>
        </w:rPr>
      </w:pPr>
      <w:r>
        <w:rPr>
          <w:rFonts w:hint="eastAsia" w:ascii="仿宋" w:hAnsi="仿宋" w:eastAsia="仿宋" w:cs="Arial"/>
          <w:b/>
          <w:color w:val="auto"/>
          <w:kern w:val="0"/>
          <w:sz w:val="24"/>
          <w:szCs w:val="24"/>
          <w:highlight w:val="none"/>
        </w:rPr>
        <w:t>（2）</w:t>
      </w:r>
      <w:r>
        <w:rPr>
          <w:rFonts w:hint="eastAsia" w:ascii="仿宋" w:hAnsi="仿宋" w:eastAsia="仿宋" w:cs="Arial"/>
          <w:b/>
          <w:color w:val="auto"/>
          <w:kern w:val="0"/>
          <w:sz w:val="24"/>
          <w:szCs w:val="24"/>
          <w:highlight w:val="none"/>
          <w:u w:val="single"/>
        </w:rPr>
        <w:t>单位负责人为同一人或者存在直接控股、管理关系的不同供应商参加同一合同项下的政府采购活动的，相关磋商响应供应商均作资格无效处理。</w:t>
      </w:r>
    </w:p>
    <w:p>
      <w:pPr>
        <w:autoSpaceDN w:val="0"/>
        <w:spacing w:line="360" w:lineRule="auto"/>
        <w:ind w:firstLine="424" w:firstLineChars="177"/>
        <w:rPr>
          <w:rFonts w:ascii="仿宋" w:hAnsi="仿宋" w:eastAsia="仿宋" w:cs="Arial"/>
          <w:b/>
          <w:color w:val="auto"/>
          <w:sz w:val="24"/>
          <w:szCs w:val="24"/>
          <w:highlight w:val="none"/>
        </w:rPr>
      </w:pPr>
      <w:r>
        <w:rPr>
          <w:rFonts w:hint="eastAsia" w:ascii="仿宋" w:hAnsi="仿宋" w:eastAsia="仿宋" w:cs="Arial"/>
          <w:b/>
          <w:color w:val="auto"/>
          <w:kern w:val="0"/>
          <w:sz w:val="24"/>
          <w:szCs w:val="24"/>
          <w:highlight w:val="none"/>
        </w:rPr>
        <w:t>（3）供应商</w:t>
      </w:r>
      <w:r>
        <w:rPr>
          <w:rFonts w:hint="eastAsia" w:ascii="仿宋" w:hAnsi="仿宋" w:eastAsia="仿宋" w:cs="Arial"/>
          <w:b/>
          <w:color w:val="auto"/>
          <w:sz w:val="24"/>
          <w:szCs w:val="24"/>
          <w:highlight w:val="none"/>
        </w:rPr>
        <w:t>信用记录查询与使用：</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Arial"/>
          <w:b/>
          <w:color w:val="auto"/>
          <w:sz w:val="24"/>
          <w:szCs w:val="24"/>
          <w:highlight w:val="none"/>
        </w:rPr>
        <w:t>；</w:t>
      </w:r>
    </w:p>
    <w:p>
      <w:pPr>
        <w:autoSpaceDN w:val="0"/>
        <w:spacing w:line="360" w:lineRule="auto"/>
        <w:ind w:firstLine="422" w:firstLineChars="176"/>
        <w:rPr>
          <w:rFonts w:ascii="仿宋" w:hAnsi="仿宋" w:eastAsia="仿宋" w:cs="Arial"/>
          <w:color w:val="auto"/>
          <w:szCs w:val="24"/>
          <w:highlight w:val="none"/>
        </w:rPr>
      </w:pPr>
      <w:r>
        <w:rPr>
          <w:rFonts w:hint="eastAsia" w:ascii="仿宋" w:hAnsi="仿宋" w:eastAsia="仿宋" w:cs="Arial"/>
          <w:b/>
          <w:color w:val="auto"/>
          <w:kern w:val="0"/>
          <w:sz w:val="24"/>
          <w:szCs w:val="24"/>
          <w:highlight w:val="none"/>
        </w:rPr>
        <w:t>（4）资格审查合格的磋商响应供应商不足三家的，项目不再进行评审。</w:t>
      </w:r>
      <w:r>
        <w:rPr>
          <w:rFonts w:hint="eastAsia" w:ascii="仿宋" w:hAnsi="仿宋" w:eastAsia="仿宋" w:cs="Arial"/>
          <w:b/>
          <w:color w:val="auto"/>
          <w:kern w:val="0"/>
          <w:sz w:val="24"/>
          <w:highlight w:val="none"/>
        </w:rPr>
        <w:t>除采购任务取消情形外，采购人可选择以下方式之一处理：</w:t>
      </w:r>
    </w:p>
    <w:p>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1）将本标项作废标处理，重新组织采购；</w:t>
      </w:r>
    </w:p>
    <w:p>
      <w:pPr>
        <w:autoSpaceDN w:val="0"/>
        <w:spacing w:line="360" w:lineRule="auto"/>
        <w:ind w:firstLine="424" w:firstLineChars="177"/>
        <w:rPr>
          <w:rFonts w:ascii="仿宋" w:hAnsi="仿宋" w:eastAsia="仿宋" w:cs="Times New Roman"/>
          <w:color w:val="auto"/>
          <w:szCs w:val="24"/>
          <w:highlight w:val="none"/>
        </w:rPr>
      </w:pPr>
      <w:r>
        <w:rPr>
          <w:rFonts w:hint="eastAsia" w:ascii="仿宋" w:hAnsi="仿宋" w:eastAsia="仿宋" w:cs="Arial"/>
          <w:color w:val="auto"/>
          <w:kern w:val="0"/>
          <w:sz w:val="24"/>
          <w:highlight w:val="none"/>
        </w:rPr>
        <w:t>2）按同级政府采购监督管理部门的审批意见采用其他采购方式组织采购。</w:t>
      </w:r>
    </w:p>
    <w:p>
      <w:pPr>
        <w:autoSpaceDN w:val="0"/>
        <w:spacing w:line="360" w:lineRule="auto"/>
        <w:ind w:firstLine="424" w:firstLineChars="177"/>
        <w:rPr>
          <w:rFonts w:ascii="仿宋" w:hAnsi="仿宋" w:eastAsia="仿宋" w:cs="Times New Roman"/>
          <w:color w:val="auto"/>
          <w:sz w:val="24"/>
          <w:szCs w:val="24"/>
          <w:highlight w:val="none"/>
        </w:rPr>
      </w:pPr>
      <w:r>
        <w:rPr>
          <w:rFonts w:hint="eastAsia" w:ascii="仿宋" w:hAnsi="仿宋" w:eastAsia="仿宋" w:cs="Times New Roman"/>
          <w:b/>
          <w:color w:val="auto"/>
          <w:sz w:val="24"/>
          <w:szCs w:val="24"/>
          <w:highlight w:val="none"/>
        </w:rPr>
        <w:t>2.2.2对符合资格的磋商响应供应商的磋商响应文件进行符合性审查，以确定其是否满足采购文件的实质性要求。</w:t>
      </w:r>
    </w:p>
    <w:p>
      <w:pPr>
        <w:autoSpaceDN w:val="0"/>
        <w:spacing w:line="360" w:lineRule="auto"/>
        <w:ind w:firstLine="422"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2.2.3《商务技术文件》存在下列情形之一的，经磋商小组认定后作无效标处理：</w:t>
      </w:r>
    </w:p>
    <w:p>
      <w:pPr>
        <w:autoSpaceDN w:val="0"/>
        <w:spacing w:line="360" w:lineRule="auto"/>
        <w:ind w:firstLine="422"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（1）</w:t>
      </w:r>
      <w:r>
        <w:rPr>
          <w:rFonts w:hint="eastAsia" w:ascii="仿宋" w:hAnsi="仿宋" w:eastAsia="仿宋" w:cs="Arial"/>
          <w:b/>
          <w:color w:val="auto"/>
          <w:kern w:val="0"/>
          <w:sz w:val="24"/>
          <w:szCs w:val="24"/>
          <w:highlight w:val="none"/>
          <w:u w:val="single"/>
        </w:rPr>
        <w:t>磋商响应文件没有对本采购文件作出实质性响应的，或不满足（不响应）本磋商文件中标注“▲”的实质性要求条款的</w:t>
      </w:r>
      <w:r>
        <w:rPr>
          <w:rFonts w:hint="eastAsia" w:ascii="仿宋" w:hAnsi="仿宋" w:eastAsia="仿宋" w:cs="Arial"/>
          <w:b/>
          <w:color w:val="auto"/>
          <w:w w:val="90"/>
          <w:kern w:val="0"/>
          <w:sz w:val="24"/>
          <w:szCs w:val="24"/>
          <w:highlight w:val="none"/>
        </w:rPr>
        <w:t>；</w:t>
      </w:r>
    </w:p>
    <w:p>
      <w:pPr>
        <w:autoSpaceDN w:val="0"/>
        <w:spacing w:line="360" w:lineRule="auto"/>
        <w:ind w:firstLine="422"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（2）</w:t>
      </w:r>
      <w:r>
        <w:rPr>
          <w:rFonts w:hint="eastAsia" w:ascii="仿宋" w:hAnsi="仿宋" w:eastAsia="仿宋" w:cs="Arial"/>
          <w:b/>
          <w:color w:val="auto"/>
          <w:kern w:val="0"/>
          <w:sz w:val="24"/>
          <w:szCs w:val="24"/>
          <w:highlight w:val="none"/>
          <w:u w:val="single"/>
        </w:rPr>
        <w:t>磋商响应文件存在一个或一个以上备选（替代）方案的</w:t>
      </w:r>
      <w:r>
        <w:rPr>
          <w:rFonts w:hint="eastAsia" w:ascii="仿宋" w:hAnsi="仿宋" w:eastAsia="仿宋" w:cs="Arial"/>
          <w:b/>
          <w:color w:val="auto"/>
          <w:kern w:val="0"/>
          <w:sz w:val="24"/>
          <w:szCs w:val="24"/>
          <w:highlight w:val="none"/>
        </w:rPr>
        <w:t>；</w:t>
      </w:r>
    </w:p>
    <w:p>
      <w:pPr>
        <w:autoSpaceDN w:val="0"/>
        <w:spacing w:line="360" w:lineRule="auto"/>
        <w:ind w:firstLine="422"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（3）</w:t>
      </w:r>
      <w:r>
        <w:rPr>
          <w:rFonts w:hint="eastAsia" w:ascii="仿宋" w:hAnsi="仿宋" w:eastAsia="仿宋" w:cs="Times New Roman"/>
          <w:b/>
          <w:color w:val="auto"/>
          <w:sz w:val="24"/>
          <w:szCs w:val="24"/>
          <w:highlight w:val="none"/>
          <w:u w:val="single"/>
        </w:rPr>
        <w:t>仅提交“备份磋商响应文件”的</w:t>
      </w:r>
      <w:r>
        <w:rPr>
          <w:rFonts w:hint="eastAsia" w:ascii="仿宋" w:hAnsi="仿宋" w:eastAsia="仿宋" w:cs="Arial"/>
          <w:b/>
          <w:color w:val="auto"/>
          <w:kern w:val="0"/>
          <w:sz w:val="24"/>
          <w:szCs w:val="24"/>
          <w:highlight w:val="none"/>
        </w:rPr>
        <w:t>；</w:t>
      </w:r>
    </w:p>
    <w:p>
      <w:pPr>
        <w:autoSpaceDN w:val="0"/>
        <w:spacing w:line="360" w:lineRule="auto"/>
        <w:ind w:firstLine="422"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w:t>
      </w:r>
      <w:r>
        <w:rPr>
          <w:rFonts w:hint="eastAsia" w:ascii="仿宋" w:hAnsi="仿宋" w:eastAsia="仿宋" w:cs="Arial"/>
          <w:b/>
          <w:color w:val="auto"/>
          <w:kern w:val="0"/>
          <w:sz w:val="24"/>
          <w:szCs w:val="24"/>
          <w:highlight w:val="none"/>
          <w:u w:val="single"/>
        </w:rPr>
        <w:t>磋商响应文件未按本磋商文件《第三章磋商须知》或《第六章磋商响应文件格式》标注的要求进行盖章或签署的</w:t>
      </w:r>
      <w:r>
        <w:rPr>
          <w:rFonts w:hint="eastAsia" w:ascii="仿宋" w:hAnsi="仿宋" w:eastAsia="仿宋" w:cs="Arial"/>
          <w:b/>
          <w:color w:val="auto"/>
          <w:kern w:val="0"/>
          <w:sz w:val="24"/>
          <w:szCs w:val="24"/>
          <w:highlight w:val="none"/>
        </w:rPr>
        <w:t>；</w:t>
      </w:r>
    </w:p>
    <w:p>
      <w:pPr>
        <w:autoSpaceDN w:val="0"/>
        <w:spacing w:line="360" w:lineRule="auto"/>
        <w:ind w:firstLine="422"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（5）</w:t>
      </w:r>
      <w:r>
        <w:rPr>
          <w:rFonts w:hint="eastAsia" w:ascii="仿宋" w:hAnsi="仿宋" w:eastAsia="仿宋" w:cs="Arial"/>
          <w:b/>
          <w:color w:val="auto"/>
          <w:kern w:val="0"/>
          <w:sz w:val="24"/>
          <w:szCs w:val="24"/>
          <w:highlight w:val="none"/>
          <w:u w:val="single"/>
        </w:rPr>
        <w:t>磋商响应文件组成内容不齐全，本磋商文件规定必须提供而未提供的（属于资格审查范围的除外）</w:t>
      </w:r>
      <w:r>
        <w:rPr>
          <w:rFonts w:hint="eastAsia" w:ascii="仿宋" w:hAnsi="仿宋" w:eastAsia="仿宋" w:cs="Arial"/>
          <w:b/>
          <w:color w:val="auto"/>
          <w:kern w:val="0"/>
          <w:sz w:val="24"/>
          <w:szCs w:val="24"/>
          <w:highlight w:val="none"/>
        </w:rPr>
        <w:t>；</w:t>
      </w:r>
    </w:p>
    <w:p>
      <w:pPr>
        <w:autoSpaceDN w:val="0"/>
        <w:spacing w:line="360" w:lineRule="auto"/>
        <w:ind w:firstLine="422"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（6）</w:t>
      </w:r>
      <w:r>
        <w:rPr>
          <w:rFonts w:hint="eastAsia" w:ascii="仿宋" w:hAnsi="仿宋" w:eastAsia="仿宋" w:cs="Arial"/>
          <w:b/>
          <w:color w:val="auto"/>
          <w:kern w:val="0"/>
          <w:sz w:val="24"/>
          <w:szCs w:val="24"/>
          <w:highlight w:val="none"/>
          <w:u w:val="single"/>
        </w:rPr>
        <w:t>磋商响应文件标注的响应或偏离情况与事实不符，或提供了虚假材料的</w:t>
      </w:r>
      <w:r>
        <w:rPr>
          <w:rFonts w:hint="eastAsia" w:ascii="仿宋" w:hAnsi="仿宋" w:eastAsia="仿宋" w:cs="Arial"/>
          <w:b/>
          <w:color w:val="auto"/>
          <w:kern w:val="0"/>
          <w:sz w:val="24"/>
          <w:szCs w:val="24"/>
          <w:highlight w:val="none"/>
        </w:rPr>
        <w:t>；</w:t>
      </w:r>
    </w:p>
    <w:p>
      <w:pPr>
        <w:autoSpaceDN w:val="0"/>
        <w:spacing w:line="360" w:lineRule="auto"/>
        <w:ind w:firstLine="422"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（7）</w:t>
      </w:r>
      <w:r>
        <w:rPr>
          <w:rFonts w:hint="eastAsia" w:ascii="仿宋" w:hAnsi="仿宋" w:eastAsia="仿宋" w:cs="Arial"/>
          <w:b/>
          <w:color w:val="auto"/>
          <w:kern w:val="0"/>
          <w:sz w:val="24"/>
          <w:szCs w:val="24"/>
          <w:highlight w:val="none"/>
          <w:u w:val="single"/>
        </w:rPr>
        <w:t>磋商响应文件有效期不符合本磋商文件要求的</w:t>
      </w:r>
      <w:r>
        <w:rPr>
          <w:rFonts w:hint="eastAsia" w:ascii="仿宋" w:hAnsi="仿宋" w:eastAsia="仿宋" w:cs="Arial"/>
          <w:b/>
          <w:color w:val="auto"/>
          <w:kern w:val="0"/>
          <w:sz w:val="24"/>
          <w:szCs w:val="24"/>
          <w:highlight w:val="none"/>
        </w:rPr>
        <w:t>；</w:t>
      </w:r>
    </w:p>
    <w:p>
      <w:pPr>
        <w:autoSpaceDN w:val="0"/>
        <w:spacing w:line="360" w:lineRule="auto"/>
        <w:ind w:firstLine="422"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（8）</w:t>
      </w:r>
      <w:r>
        <w:rPr>
          <w:rFonts w:hint="eastAsia" w:ascii="仿宋" w:hAnsi="仿宋" w:eastAsia="仿宋" w:cs="Arial"/>
          <w:b/>
          <w:color w:val="auto"/>
          <w:kern w:val="0"/>
          <w:sz w:val="24"/>
          <w:szCs w:val="24"/>
          <w:highlight w:val="none"/>
          <w:u w:val="single"/>
        </w:rPr>
        <w:t>磋商响应文件含有采购人不能接受的附加条件的</w:t>
      </w:r>
      <w:r>
        <w:rPr>
          <w:rFonts w:hint="eastAsia" w:ascii="仿宋" w:hAnsi="仿宋" w:eastAsia="仿宋" w:cs="Arial"/>
          <w:b/>
          <w:color w:val="auto"/>
          <w:kern w:val="0"/>
          <w:sz w:val="24"/>
          <w:szCs w:val="24"/>
          <w:highlight w:val="none"/>
        </w:rPr>
        <w:t>；</w:t>
      </w:r>
    </w:p>
    <w:p>
      <w:pPr>
        <w:autoSpaceDN w:val="0"/>
        <w:spacing w:line="360" w:lineRule="auto"/>
        <w:ind w:firstLine="422"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（9）</w:t>
      </w:r>
      <w:r>
        <w:rPr>
          <w:rFonts w:hint="eastAsia" w:ascii="仿宋" w:hAnsi="仿宋" w:eastAsia="仿宋" w:cs="Arial"/>
          <w:b/>
          <w:color w:val="auto"/>
          <w:kern w:val="0"/>
          <w:sz w:val="24"/>
          <w:szCs w:val="24"/>
          <w:highlight w:val="none"/>
          <w:u w:val="single"/>
        </w:rPr>
        <w:t>参加同一合同项下政府采购活动的不同供应商之间存在利害关系并且存在影响政府采购公平竞争行为的</w:t>
      </w:r>
      <w:r>
        <w:rPr>
          <w:rFonts w:hint="eastAsia" w:ascii="仿宋" w:hAnsi="仿宋" w:eastAsia="仿宋" w:cs="Arial"/>
          <w:b/>
          <w:color w:val="auto"/>
          <w:kern w:val="0"/>
          <w:sz w:val="24"/>
          <w:szCs w:val="24"/>
          <w:highlight w:val="none"/>
        </w:rPr>
        <w:t>；</w:t>
      </w:r>
    </w:p>
    <w:p>
      <w:pPr>
        <w:autoSpaceDN w:val="0"/>
        <w:spacing w:line="360" w:lineRule="auto"/>
        <w:ind w:firstLine="424" w:firstLineChars="177"/>
        <w:rPr>
          <w:rFonts w:ascii="仿宋" w:hAnsi="仿宋" w:eastAsia="仿宋" w:cs="Arial"/>
          <w:b/>
          <w:color w:val="auto"/>
          <w:kern w:val="0"/>
          <w:sz w:val="24"/>
          <w:szCs w:val="24"/>
          <w:highlight w:val="none"/>
          <w:u w:val="single"/>
        </w:rPr>
      </w:pPr>
      <w:r>
        <w:rPr>
          <w:rFonts w:hint="eastAsia" w:ascii="仿宋" w:hAnsi="仿宋" w:eastAsia="仿宋" w:cs="Arial"/>
          <w:b/>
          <w:color w:val="auto"/>
          <w:kern w:val="0"/>
          <w:sz w:val="24"/>
          <w:szCs w:val="24"/>
          <w:highlight w:val="none"/>
        </w:rPr>
        <w:t>（10）</w:t>
      </w:r>
      <w:r>
        <w:rPr>
          <w:rFonts w:hint="eastAsia" w:ascii="仿宋" w:hAnsi="仿宋" w:eastAsia="仿宋" w:cs="Arial"/>
          <w:b/>
          <w:color w:val="auto"/>
          <w:kern w:val="0"/>
          <w:sz w:val="24"/>
          <w:szCs w:val="24"/>
          <w:highlight w:val="none"/>
          <w:u w:val="single"/>
        </w:rPr>
        <w:t>存在法律、法规和采购文件规定的其他无效情形的。</w:t>
      </w:r>
    </w:p>
    <w:p>
      <w:pPr>
        <w:autoSpaceDN w:val="0"/>
        <w:spacing w:line="360" w:lineRule="auto"/>
        <w:ind w:firstLine="422"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2.2.4《报价文件》存在下列情形之一的，经磋商小组认定后作无效标处理：</w:t>
      </w:r>
    </w:p>
    <w:p>
      <w:pPr>
        <w:autoSpaceDN w:val="0"/>
        <w:spacing w:line="360" w:lineRule="auto"/>
        <w:ind w:firstLine="422"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（1）</w:t>
      </w:r>
      <w:r>
        <w:rPr>
          <w:rFonts w:hint="eastAsia" w:ascii="仿宋" w:hAnsi="仿宋" w:eastAsia="仿宋" w:cs="Arial"/>
          <w:b/>
          <w:color w:val="auto"/>
          <w:kern w:val="0"/>
          <w:sz w:val="24"/>
          <w:szCs w:val="24"/>
          <w:highlight w:val="none"/>
          <w:u w:val="single"/>
        </w:rPr>
        <w:t>磋商响应文件没有对本采购文件作出实质性响应的，或不满足（不响应）本采购文件中标注“▲”的实质性要求条款的</w:t>
      </w:r>
      <w:r>
        <w:rPr>
          <w:rFonts w:hint="eastAsia" w:ascii="仿宋" w:hAnsi="仿宋" w:eastAsia="仿宋" w:cs="Arial"/>
          <w:b/>
          <w:color w:val="auto"/>
          <w:w w:val="90"/>
          <w:kern w:val="0"/>
          <w:sz w:val="24"/>
          <w:szCs w:val="24"/>
          <w:highlight w:val="none"/>
        </w:rPr>
        <w:t>；</w:t>
      </w:r>
    </w:p>
    <w:p>
      <w:pPr>
        <w:autoSpaceDN w:val="0"/>
        <w:spacing w:line="360" w:lineRule="auto"/>
        <w:ind w:firstLine="422"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（2）</w:t>
      </w:r>
      <w:r>
        <w:rPr>
          <w:rFonts w:hint="eastAsia" w:ascii="仿宋" w:hAnsi="仿宋" w:eastAsia="仿宋" w:cs="Arial"/>
          <w:b/>
          <w:color w:val="auto"/>
          <w:kern w:val="0"/>
          <w:sz w:val="24"/>
          <w:szCs w:val="24"/>
          <w:highlight w:val="none"/>
          <w:u w:val="single"/>
        </w:rPr>
        <w:t>未在政采云系统规定时间内提交最终报价的</w:t>
      </w:r>
      <w:r>
        <w:rPr>
          <w:rFonts w:hint="eastAsia" w:ascii="仿宋" w:hAnsi="仿宋" w:eastAsia="仿宋" w:cs="Arial"/>
          <w:b/>
          <w:color w:val="auto"/>
          <w:kern w:val="0"/>
          <w:sz w:val="24"/>
          <w:szCs w:val="24"/>
          <w:highlight w:val="none"/>
        </w:rPr>
        <w:t>；</w:t>
      </w:r>
    </w:p>
    <w:p>
      <w:pPr>
        <w:autoSpaceDN w:val="0"/>
        <w:spacing w:line="360" w:lineRule="auto"/>
        <w:ind w:firstLine="422"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（3）</w:t>
      </w:r>
      <w:r>
        <w:rPr>
          <w:rFonts w:hint="eastAsia" w:ascii="仿宋" w:hAnsi="仿宋" w:eastAsia="仿宋" w:cs="Arial"/>
          <w:b/>
          <w:color w:val="auto"/>
          <w:kern w:val="0"/>
          <w:sz w:val="24"/>
          <w:szCs w:val="24"/>
          <w:highlight w:val="none"/>
          <w:u w:val="single"/>
        </w:rPr>
        <w:t>磋商响应文件存在一个或一个以上备选（替代）投标方案的</w:t>
      </w:r>
      <w:r>
        <w:rPr>
          <w:rFonts w:hint="eastAsia" w:ascii="仿宋" w:hAnsi="仿宋" w:eastAsia="仿宋" w:cs="Arial"/>
          <w:b/>
          <w:color w:val="auto"/>
          <w:kern w:val="0"/>
          <w:sz w:val="24"/>
          <w:szCs w:val="24"/>
          <w:highlight w:val="none"/>
        </w:rPr>
        <w:t>；</w:t>
      </w:r>
    </w:p>
    <w:p>
      <w:pPr>
        <w:autoSpaceDN w:val="0"/>
        <w:spacing w:line="360" w:lineRule="auto"/>
        <w:ind w:firstLine="422"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w:t>
      </w:r>
      <w:r>
        <w:rPr>
          <w:rFonts w:hint="eastAsia" w:ascii="仿宋" w:hAnsi="仿宋" w:eastAsia="仿宋" w:cs="Arial"/>
          <w:b/>
          <w:color w:val="auto"/>
          <w:kern w:val="0"/>
          <w:sz w:val="24"/>
          <w:szCs w:val="24"/>
          <w:highlight w:val="none"/>
          <w:u w:val="single"/>
        </w:rPr>
        <w:t>未按照磋商文件标明的币种报价的，或者磋商报价涵盖的内容不符合磋商文件要求的</w:t>
      </w:r>
      <w:r>
        <w:rPr>
          <w:rFonts w:hint="eastAsia" w:ascii="仿宋" w:hAnsi="仿宋" w:eastAsia="仿宋" w:cs="Arial"/>
          <w:b/>
          <w:color w:val="auto"/>
          <w:kern w:val="0"/>
          <w:sz w:val="24"/>
          <w:szCs w:val="24"/>
          <w:highlight w:val="none"/>
        </w:rPr>
        <w:t>；</w:t>
      </w:r>
    </w:p>
    <w:p>
      <w:pPr>
        <w:autoSpaceDN w:val="0"/>
        <w:spacing w:line="360" w:lineRule="auto"/>
        <w:ind w:firstLine="422"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（5）</w:t>
      </w:r>
      <w:r>
        <w:rPr>
          <w:rFonts w:hint="eastAsia" w:ascii="仿宋" w:hAnsi="仿宋" w:eastAsia="仿宋" w:cs="Arial"/>
          <w:b/>
          <w:color w:val="auto"/>
          <w:kern w:val="0"/>
          <w:sz w:val="24"/>
          <w:szCs w:val="24"/>
          <w:highlight w:val="none"/>
          <w:u w:val="single"/>
        </w:rPr>
        <w:t>报价出现前后不一致时拒绝按照磋商文件规定的错误修正原则进行修正的</w:t>
      </w:r>
      <w:r>
        <w:rPr>
          <w:rFonts w:hint="eastAsia" w:ascii="仿宋" w:hAnsi="仿宋" w:eastAsia="仿宋" w:cs="Arial"/>
          <w:b/>
          <w:color w:val="auto"/>
          <w:kern w:val="0"/>
          <w:sz w:val="24"/>
          <w:szCs w:val="24"/>
          <w:highlight w:val="none"/>
        </w:rPr>
        <w:t>；</w:t>
      </w:r>
    </w:p>
    <w:p>
      <w:pPr>
        <w:autoSpaceDN w:val="0"/>
        <w:spacing w:line="360" w:lineRule="auto"/>
        <w:ind w:firstLine="422"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（6）</w:t>
      </w:r>
      <w:r>
        <w:rPr>
          <w:rFonts w:hint="eastAsia" w:ascii="仿宋" w:hAnsi="仿宋" w:eastAsia="仿宋" w:cs="Arial"/>
          <w:b/>
          <w:color w:val="auto"/>
          <w:kern w:val="0"/>
          <w:sz w:val="24"/>
          <w:szCs w:val="24"/>
          <w:highlight w:val="none"/>
          <w:u w:val="single"/>
        </w:rPr>
        <w:t>磋商报价具有选择性的</w:t>
      </w:r>
      <w:r>
        <w:rPr>
          <w:rFonts w:hint="eastAsia" w:ascii="仿宋" w:hAnsi="仿宋" w:eastAsia="仿宋" w:cs="Arial"/>
          <w:b/>
          <w:color w:val="auto"/>
          <w:kern w:val="0"/>
          <w:sz w:val="24"/>
          <w:szCs w:val="24"/>
          <w:highlight w:val="none"/>
        </w:rPr>
        <w:t>；</w:t>
      </w:r>
    </w:p>
    <w:p>
      <w:pPr>
        <w:autoSpaceDN w:val="0"/>
        <w:spacing w:line="360" w:lineRule="auto"/>
        <w:ind w:firstLine="422"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（7）</w:t>
      </w:r>
      <w:r>
        <w:rPr>
          <w:rFonts w:hint="eastAsia" w:ascii="仿宋" w:hAnsi="仿宋" w:eastAsia="仿宋" w:cs="Arial"/>
          <w:b/>
          <w:color w:val="auto"/>
          <w:kern w:val="0"/>
          <w:sz w:val="24"/>
          <w:szCs w:val="24"/>
          <w:highlight w:val="none"/>
          <w:u w:val="single"/>
        </w:rPr>
        <w:t>报价超过磋商文件中规定的预算金额或者最高限价的</w:t>
      </w:r>
      <w:r>
        <w:rPr>
          <w:rFonts w:hint="eastAsia" w:ascii="仿宋" w:hAnsi="仿宋" w:eastAsia="仿宋" w:cs="Arial"/>
          <w:b/>
          <w:color w:val="auto"/>
          <w:kern w:val="0"/>
          <w:sz w:val="24"/>
          <w:szCs w:val="24"/>
          <w:highlight w:val="none"/>
        </w:rPr>
        <w:t>；</w:t>
      </w:r>
    </w:p>
    <w:p>
      <w:pPr>
        <w:autoSpaceDN w:val="0"/>
        <w:spacing w:line="357" w:lineRule="auto"/>
        <w:ind w:firstLine="422"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（8）</w:t>
      </w:r>
      <w:r>
        <w:rPr>
          <w:rFonts w:hint="eastAsia" w:ascii="仿宋" w:hAnsi="仿宋" w:eastAsia="仿宋" w:cs="Arial"/>
          <w:b/>
          <w:color w:val="auto"/>
          <w:kern w:val="0"/>
          <w:sz w:val="24"/>
          <w:szCs w:val="24"/>
          <w:highlight w:val="none"/>
          <w:u w:val="single"/>
        </w:rPr>
        <w:t>磋商响应文件工程量清单报价中的项目编码、项目名称、项目特征、计量单位和工程量与磋商文件提供的清单不一致的</w:t>
      </w:r>
      <w:r>
        <w:rPr>
          <w:rFonts w:hint="eastAsia" w:ascii="仿宋" w:hAnsi="仿宋" w:eastAsia="仿宋" w:cs="Arial"/>
          <w:b/>
          <w:color w:val="auto"/>
          <w:kern w:val="0"/>
          <w:sz w:val="24"/>
          <w:szCs w:val="24"/>
          <w:highlight w:val="none"/>
        </w:rPr>
        <w:t>；</w:t>
      </w:r>
    </w:p>
    <w:p>
      <w:pPr>
        <w:autoSpaceDN w:val="0"/>
        <w:spacing w:line="357" w:lineRule="auto"/>
        <w:ind w:firstLine="422"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（9）</w:t>
      </w:r>
      <w:r>
        <w:rPr>
          <w:rFonts w:hint="eastAsia" w:ascii="仿宋" w:hAnsi="仿宋" w:eastAsia="仿宋" w:cs="Arial"/>
          <w:b/>
          <w:color w:val="auto"/>
          <w:kern w:val="0"/>
          <w:sz w:val="24"/>
          <w:szCs w:val="24"/>
          <w:highlight w:val="none"/>
          <w:u w:val="single"/>
        </w:rPr>
        <w:t>磋商响应文件未按清单要求列明暂列金额的</w:t>
      </w:r>
      <w:r>
        <w:rPr>
          <w:rFonts w:hint="eastAsia" w:ascii="仿宋" w:hAnsi="仿宋" w:eastAsia="仿宋" w:cs="Arial"/>
          <w:b/>
          <w:color w:val="auto"/>
          <w:kern w:val="0"/>
          <w:sz w:val="24"/>
          <w:szCs w:val="24"/>
          <w:highlight w:val="none"/>
          <w:u w:val="single"/>
          <w:lang w:eastAsia="zh-CN"/>
        </w:rPr>
        <w:t>（</w:t>
      </w:r>
      <w:r>
        <w:rPr>
          <w:rFonts w:hint="eastAsia" w:ascii="仿宋" w:hAnsi="仿宋" w:eastAsia="仿宋" w:cs="Arial"/>
          <w:b/>
          <w:color w:val="auto"/>
          <w:kern w:val="0"/>
          <w:sz w:val="24"/>
          <w:szCs w:val="24"/>
          <w:highlight w:val="none"/>
          <w:u w:val="single"/>
          <w:lang w:val="en-US" w:eastAsia="zh-CN"/>
        </w:rPr>
        <w:t>如有</w:t>
      </w:r>
      <w:r>
        <w:rPr>
          <w:rFonts w:hint="eastAsia" w:ascii="仿宋" w:hAnsi="仿宋" w:eastAsia="仿宋" w:cs="Arial"/>
          <w:b/>
          <w:color w:val="auto"/>
          <w:kern w:val="0"/>
          <w:sz w:val="24"/>
          <w:szCs w:val="24"/>
          <w:highlight w:val="none"/>
          <w:u w:val="single"/>
          <w:lang w:eastAsia="zh-CN"/>
        </w:rPr>
        <w:t>）</w:t>
      </w:r>
      <w:r>
        <w:rPr>
          <w:rFonts w:hint="eastAsia" w:ascii="仿宋" w:hAnsi="仿宋" w:eastAsia="仿宋" w:cs="Arial"/>
          <w:b/>
          <w:color w:val="auto"/>
          <w:kern w:val="0"/>
          <w:sz w:val="24"/>
          <w:szCs w:val="24"/>
          <w:highlight w:val="none"/>
        </w:rPr>
        <w:t>；</w:t>
      </w:r>
    </w:p>
    <w:p>
      <w:pPr>
        <w:autoSpaceDN w:val="0"/>
        <w:spacing w:line="357" w:lineRule="auto"/>
        <w:ind w:firstLine="422"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（10）</w:t>
      </w:r>
      <w:r>
        <w:rPr>
          <w:rFonts w:hint="eastAsia" w:ascii="仿宋" w:hAnsi="仿宋" w:eastAsia="仿宋" w:cs="Arial"/>
          <w:b/>
          <w:color w:val="auto"/>
          <w:kern w:val="0"/>
          <w:sz w:val="24"/>
          <w:szCs w:val="24"/>
          <w:highlight w:val="none"/>
          <w:u w:val="single"/>
        </w:rPr>
        <w:t>磋商响应文件中的取费低于清单编制说明中的最低取费标准的</w:t>
      </w:r>
      <w:r>
        <w:rPr>
          <w:rFonts w:hint="eastAsia" w:ascii="仿宋" w:hAnsi="仿宋" w:eastAsia="仿宋" w:cs="Arial"/>
          <w:b/>
          <w:color w:val="auto"/>
          <w:kern w:val="0"/>
          <w:sz w:val="24"/>
          <w:szCs w:val="24"/>
          <w:highlight w:val="none"/>
        </w:rPr>
        <w:t>；</w:t>
      </w:r>
    </w:p>
    <w:p>
      <w:pPr>
        <w:autoSpaceDN w:val="0"/>
        <w:spacing w:line="357" w:lineRule="auto"/>
        <w:ind w:firstLine="422" w:firstLineChars="176"/>
        <w:rPr>
          <w:rFonts w:ascii="仿宋" w:hAnsi="仿宋" w:eastAsia="仿宋" w:cs="Arial"/>
          <w:b/>
          <w:color w:val="auto"/>
          <w:kern w:val="0"/>
          <w:sz w:val="24"/>
          <w:szCs w:val="24"/>
          <w:highlight w:val="none"/>
        </w:rPr>
      </w:pPr>
      <w:r>
        <w:rPr>
          <w:rFonts w:hint="eastAsia" w:ascii="仿宋" w:hAnsi="仿宋" w:eastAsia="仿宋" w:cs="Arial"/>
          <w:b/>
          <w:color w:val="auto"/>
          <w:sz w:val="24"/>
          <w:szCs w:val="24"/>
          <w:highlight w:val="none"/>
        </w:rPr>
        <w:t>（</w:t>
      </w:r>
      <w:r>
        <w:rPr>
          <w:rFonts w:ascii="仿宋" w:hAnsi="仿宋" w:eastAsia="仿宋" w:cs="Arial"/>
          <w:b/>
          <w:color w:val="auto"/>
          <w:sz w:val="24"/>
          <w:szCs w:val="24"/>
          <w:highlight w:val="none"/>
        </w:rPr>
        <w:t>1</w:t>
      </w:r>
      <w:r>
        <w:rPr>
          <w:rFonts w:hint="eastAsia" w:ascii="仿宋" w:hAnsi="仿宋" w:eastAsia="仿宋" w:cs="Arial"/>
          <w:b/>
          <w:color w:val="auto"/>
          <w:sz w:val="24"/>
          <w:szCs w:val="24"/>
          <w:highlight w:val="none"/>
        </w:rPr>
        <w:t>1</w:t>
      </w:r>
      <w:r>
        <w:rPr>
          <w:rFonts w:ascii="仿宋" w:hAnsi="仿宋" w:eastAsia="仿宋" w:cs="Arial"/>
          <w:b/>
          <w:color w:val="auto"/>
          <w:sz w:val="24"/>
          <w:szCs w:val="24"/>
          <w:highlight w:val="none"/>
        </w:rPr>
        <w:t>）</w:t>
      </w:r>
      <w:r>
        <w:rPr>
          <w:rFonts w:ascii="仿宋" w:hAnsi="仿宋" w:eastAsia="仿宋" w:cs="Arial"/>
          <w:b/>
          <w:color w:val="auto"/>
          <w:sz w:val="24"/>
          <w:szCs w:val="24"/>
          <w:highlight w:val="none"/>
          <w:u w:val="single"/>
        </w:rPr>
        <w:t>磋商报价中的规费、税金、措施费等国家、省、市强制性要求的费用报价不足或未报价的</w:t>
      </w:r>
      <w:r>
        <w:rPr>
          <w:rFonts w:ascii="仿宋" w:hAnsi="仿宋" w:eastAsia="仿宋" w:cs="Arial"/>
          <w:b/>
          <w:color w:val="auto"/>
          <w:sz w:val="24"/>
          <w:szCs w:val="24"/>
          <w:highlight w:val="none"/>
        </w:rPr>
        <w:t>；</w:t>
      </w:r>
    </w:p>
    <w:p>
      <w:pPr>
        <w:autoSpaceDN w:val="0"/>
        <w:spacing w:line="360" w:lineRule="auto"/>
        <w:ind w:firstLine="422"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（12）</w:t>
      </w:r>
      <w:r>
        <w:rPr>
          <w:rFonts w:hint="eastAsia" w:ascii="仿宋" w:hAnsi="仿宋" w:eastAsia="仿宋" w:cs="Arial"/>
          <w:b/>
          <w:color w:val="auto"/>
          <w:kern w:val="0"/>
          <w:sz w:val="24"/>
          <w:szCs w:val="24"/>
          <w:highlight w:val="none"/>
          <w:u w:val="single"/>
        </w:rPr>
        <w:t>磋商响应文件未按本磋商文件《第三章磋商须知》或《第六章磋商响应文件格式》标注的要求进行盖章或签署的</w:t>
      </w:r>
      <w:r>
        <w:rPr>
          <w:rFonts w:hint="eastAsia" w:ascii="仿宋" w:hAnsi="仿宋" w:eastAsia="仿宋" w:cs="Arial"/>
          <w:b/>
          <w:color w:val="auto"/>
          <w:kern w:val="0"/>
          <w:sz w:val="24"/>
          <w:szCs w:val="24"/>
          <w:highlight w:val="none"/>
        </w:rPr>
        <w:t>；</w:t>
      </w:r>
    </w:p>
    <w:p>
      <w:pPr>
        <w:autoSpaceDN w:val="0"/>
        <w:spacing w:line="360" w:lineRule="auto"/>
        <w:ind w:firstLine="422"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（13）</w:t>
      </w:r>
      <w:r>
        <w:rPr>
          <w:rFonts w:hint="eastAsia" w:ascii="仿宋" w:hAnsi="仿宋" w:eastAsia="仿宋" w:cs="Arial"/>
          <w:b/>
          <w:color w:val="auto"/>
          <w:kern w:val="0"/>
          <w:sz w:val="24"/>
          <w:szCs w:val="24"/>
          <w:highlight w:val="none"/>
          <w:u w:val="single"/>
        </w:rPr>
        <w:t>磋商响应文件组成内容不齐全，本磋商文件规定必须提供而未提供的（属于资格审查范围的除外）</w:t>
      </w:r>
      <w:r>
        <w:rPr>
          <w:rFonts w:hint="eastAsia" w:ascii="仿宋" w:hAnsi="仿宋" w:eastAsia="仿宋" w:cs="Arial"/>
          <w:b/>
          <w:color w:val="auto"/>
          <w:kern w:val="0"/>
          <w:sz w:val="24"/>
          <w:szCs w:val="24"/>
          <w:highlight w:val="none"/>
        </w:rPr>
        <w:t>；</w:t>
      </w:r>
    </w:p>
    <w:p>
      <w:pPr>
        <w:autoSpaceDN w:val="0"/>
        <w:spacing w:line="360" w:lineRule="auto"/>
        <w:ind w:firstLine="422" w:firstLineChars="176"/>
        <w:rPr>
          <w:rFonts w:hint="eastAsia" w:ascii="仿宋" w:hAnsi="仿宋" w:eastAsia="仿宋" w:cs="Arial"/>
          <w:b/>
          <w:color w:val="auto"/>
          <w:kern w:val="0"/>
          <w:sz w:val="24"/>
          <w:szCs w:val="24"/>
          <w:highlight w:val="none"/>
          <w:lang w:eastAsia="zh-CN"/>
        </w:rPr>
      </w:pPr>
      <w:r>
        <w:rPr>
          <w:rFonts w:hint="eastAsia" w:ascii="仿宋" w:hAnsi="仿宋" w:eastAsia="仿宋" w:cs="Arial"/>
          <w:b/>
          <w:color w:val="auto"/>
          <w:sz w:val="24"/>
          <w:highlight w:val="none"/>
        </w:rPr>
        <w:t>（14）</w:t>
      </w:r>
      <w:r>
        <w:rPr>
          <w:rFonts w:hint="eastAsia" w:ascii="仿宋" w:hAnsi="仿宋" w:eastAsia="仿宋" w:cs="Arial"/>
          <w:b/>
          <w:color w:val="auto"/>
          <w:sz w:val="24"/>
          <w:highlight w:val="none"/>
          <w:u w:val="single"/>
        </w:rPr>
        <w:t>磋商小组认为磋商响应供应商的报价明显低于其他通过符合性审查的磋商响应供应商的报价</w:t>
      </w:r>
      <w:r>
        <w:rPr>
          <w:rFonts w:ascii="仿宋" w:hAnsi="仿宋" w:eastAsia="仿宋" w:cs="Arial"/>
          <w:b/>
          <w:color w:val="auto"/>
          <w:sz w:val="24"/>
          <w:highlight w:val="none"/>
          <w:u w:val="single"/>
        </w:rPr>
        <w:t>，</w:t>
      </w:r>
      <w:r>
        <w:rPr>
          <w:rFonts w:hint="eastAsia" w:ascii="仿宋" w:hAnsi="仿宋" w:eastAsia="仿宋" w:cs="Arial"/>
          <w:b/>
          <w:color w:val="auto"/>
          <w:sz w:val="24"/>
          <w:highlight w:val="none"/>
          <w:u w:val="single"/>
        </w:rPr>
        <w:t>有可能影响产品质量或者不能诚信履约时，磋商响应供应商不能在规定的时间证明其报价合理性的；</w:t>
      </w:r>
      <w:r>
        <w:rPr>
          <w:rFonts w:hint="eastAsia" w:ascii="仿宋" w:hAnsi="仿宋" w:eastAsia="仿宋" w:cs="Arial"/>
          <w:b/>
          <w:color w:val="auto"/>
          <w:sz w:val="24"/>
          <w:highlight w:val="none"/>
          <w:u w:val="single"/>
          <w:lang w:val="en-US" w:eastAsia="zh-CN"/>
        </w:rPr>
        <w:t>或</w:t>
      </w:r>
      <w:r>
        <w:rPr>
          <w:rFonts w:hint="eastAsia" w:ascii="仿宋" w:hAnsi="仿宋" w:eastAsia="仿宋" w:cs="Arial"/>
          <w:b/>
          <w:color w:val="auto"/>
          <w:sz w:val="24"/>
          <w:highlight w:val="none"/>
          <w:u w:val="single"/>
        </w:rPr>
        <w:t>投标人报价低于项目标项预算50%的，且未在报价文件中详细阐述不影响产品质量或者诚信履约的具体原因，供应商不能证明其报价合理性的；</w:t>
      </w:r>
    </w:p>
    <w:p>
      <w:pPr>
        <w:autoSpaceDN w:val="0"/>
        <w:spacing w:line="360" w:lineRule="auto"/>
        <w:ind w:firstLine="422"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（15）</w:t>
      </w:r>
      <w:r>
        <w:rPr>
          <w:rFonts w:hint="eastAsia" w:ascii="仿宋" w:hAnsi="仿宋" w:eastAsia="仿宋" w:cs="Arial"/>
          <w:b/>
          <w:color w:val="auto"/>
          <w:kern w:val="0"/>
          <w:sz w:val="24"/>
          <w:szCs w:val="24"/>
          <w:highlight w:val="none"/>
          <w:u w:val="single"/>
        </w:rPr>
        <w:t>磋商响应文件含有采购人不能接受的附加条件的</w:t>
      </w:r>
      <w:r>
        <w:rPr>
          <w:rFonts w:hint="eastAsia" w:ascii="仿宋" w:hAnsi="仿宋" w:eastAsia="仿宋" w:cs="Arial"/>
          <w:b/>
          <w:color w:val="auto"/>
          <w:kern w:val="0"/>
          <w:sz w:val="24"/>
          <w:szCs w:val="24"/>
          <w:highlight w:val="none"/>
        </w:rPr>
        <w:t>；</w:t>
      </w:r>
    </w:p>
    <w:p>
      <w:pPr>
        <w:autoSpaceDN w:val="0"/>
        <w:spacing w:line="360" w:lineRule="auto"/>
        <w:ind w:firstLine="424" w:firstLineChars="177"/>
        <w:rPr>
          <w:rFonts w:ascii="仿宋" w:hAnsi="仿宋" w:eastAsia="仿宋" w:cs="Times New Roman"/>
          <w:color w:val="auto"/>
          <w:w w:val="90"/>
          <w:kern w:val="0"/>
          <w:sz w:val="22"/>
          <w:highlight w:val="none"/>
        </w:rPr>
      </w:pPr>
      <w:r>
        <w:rPr>
          <w:rFonts w:hint="eastAsia" w:ascii="仿宋" w:hAnsi="仿宋" w:eastAsia="仿宋" w:cs="Arial"/>
          <w:b/>
          <w:color w:val="auto"/>
          <w:kern w:val="0"/>
          <w:sz w:val="24"/>
          <w:szCs w:val="24"/>
          <w:highlight w:val="none"/>
        </w:rPr>
        <w:t>（16）</w:t>
      </w:r>
      <w:r>
        <w:rPr>
          <w:rFonts w:hint="eastAsia" w:ascii="仿宋" w:hAnsi="仿宋" w:eastAsia="仿宋" w:cs="Arial"/>
          <w:b/>
          <w:color w:val="auto"/>
          <w:kern w:val="0"/>
          <w:sz w:val="24"/>
          <w:szCs w:val="24"/>
          <w:highlight w:val="none"/>
          <w:u w:val="single"/>
        </w:rPr>
        <w:t>存在法律、法规和磋商文件规定的其他无效情形的</w:t>
      </w:r>
      <w:r>
        <w:rPr>
          <w:rFonts w:hint="eastAsia" w:ascii="仿宋" w:hAnsi="仿宋" w:eastAsia="仿宋" w:cs="Arial"/>
          <w:b/>
          <w:color w:val="auto"/>
          <w:kern w:val="0"/>
          <w:sz w:val="24"/>
          <w:szCs w:val="24"/>
          <w:highlight w:val="none"/>
        </w:rPr>
        <w:t>。</w:t>
      </w:r>
    </w:p>
    <w:p>
      <w:pPr>
        <w:keepNext/>
        <w:keepLines/>
        <w:autoSpaceDN w:val="0"/>
        <w:spacing w:before="93" w:beforeLines="30" w:after="93" w:afterLines="30" w:line="360" w:lineRule="auto"/>
        <w:ind w:firstLine="283"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2.3 磋商响应文件的磋商、澄清、说明或补正</w:t>
      </w:r>
    </w:p>
    <w:p>
      <w:pPr>
        <w:autoSpaceDN w:val="0"/>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2.3.1对于磋商响应文件中含义不明确、同类问题表述不一致或者有明显文字和计算错误的内容，</w:t>
      </w:r>
      <w:r>
        <w:rPr>
          <w:rFonts w:hint="eastAsia" w:ascii="仿宋" w:hAnsi="仿宋" w:eastAsia="仿宋" w:cs="Arial"/>
          <w:b/>
          <w:color w:val="auto"/>
          <w:kern w:val="0"/>
          <w:sz w:val="24"/>
          <w:highlight w:val="none"/>
        </w:rPr>
        <w:t>磋商小组将通过“政府采购云平台”在线询标的方式</w:t>
      </w:r>
      <w:r>
        <w:rPr>
          <w:rFonts w:hint="eastAsia" w:ascii="仿宋" w:hAnsi="仿宋" w:eastAsia="仿宋" w:cs="Arial"/>
          <w:color w:val="auto"/>
          <w:kern w:val="0"/>
          <w:sz w:val="24"/>
          <w:highlight w:val="none"/>
        </w:rPr>
        <w:t>要求磋商响应供应商在规定的时间内作出必要的澄清、说明或者补正，磋商响应供应商澄清、说明或补正时间为30分钟。</w:t>
      </w:r>
    </w:p>
    <w:p>
      <w:pPr>
        <w:autoSpaceDN w:val="0"/>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2.3.2磋商响应供应商的澄清、说明或者补正应当通过“政府采购云平台”在线答复的方式提交，并加盖公章，或者由法定代表人或其授权的代表签字。磋商响应供应商的澄清、说明或者补正不得超出磋商响应文件的范围或者改变磋商响应文件的实质性内容。</w:t>
      </w:r>
    </w:p>
    <w:p>
      <w:pPr>
        <w:autoSpaceDN w:val="0"/>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2.3.3评审过程中如有商务技术、报价磋商的，磋商小组所有成员汇总所有变动情况及要求通过“政府采购云平台”在线询标的方式与每个供应商分别进行磋商（给予所有参加磋商的供应商平等的磋商机会），要求磋商响应供应商在规定的时间内重新提交响应文件（须加盖公章，或者由法定代表人或其授权的代表签字），磋商响应供应商响应回复时间为30分钟。</w:t>
      </w:r>
    </w:p>
    <w:p>
      <w:pPr>
        <w:autoSpaceDN w:val="0"/>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2.3.4在磋商过程中，</w:t>
      </w:r>
      <w:r>
        <w:rPr>
          <w:rFonts w:hint="eastAsia" w:ascii="仿宋" w:hAnsi="仿宋" w:eastAsia="仿宋" w:cs="Arial"/>
          <w:b/>
          <w:bCs/>
          <w:color w:val="auto"/>
          <w:kern w:val="0"/>
          <w:sz w:val="24"/>
          <w:highlight w:val="none"/>
        </w:rPr>
        <w:t>磋商小组可以根据磋商文件和磋商情况实质性变动采购需求中的技术、服务要求以及合同草案条款</w:t>
      </w:r>
      <w:r>
        <w:rPr>
          <w:rFonts w:hint="eastAsia" w:ascii="仿宋" w:hAnsi="仿宋" w:eastAsia="仿宋" w:cs="Arial"/>
          <w:color w:val="auto"/>
          <w:kern w:val="0"/>
          <w:sz w:val="24"/>
          <w:highlight w:val="none"/>
        </w:rPr>
        <w:t>，但不得变动磋商文件中的其他内容。实质性变动的内容，须经采购人代表确认。</w:t>
      </w:r>
    </w:p>
    <w:p>
      <w:pPr>
        <w:autoSpaceDN w:val="0"/>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2.3.5对磋商文件作出的实质性变动是磋商文件的有效组成部分，磋商小组通过“政府采购云平台”在线询标的方式同时通知所有参加磋商的供应商。</w:t>
      </w:r>
    </w:p>
    <w:p>
      <w:pPr>
        <w:autoSpaceDN w:val="0"/>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2.3.6按磋商程序规定开始并完成磋商。</w:t>
      </w:r>
    </w:p>
    <w:p>
      <w:pPr>
        <w:autoSpaceDN w:val="0"/>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2.3.7所有磋商结束后，确定提交最后报价的供应商名单，确定提交最后报价的时间，并告知相关供应商，要求在规定时间内（30分钟内）通过“政府采购云平台”在线上传最后报价。</w:t>
      </w:r>
    </w:p>
    <w:p>
      <w:pPr>
        <w:autoSpaceDN w:val="0"/>
        <w:spacing w:line="360" w:lineRule="auto"/>
        <w:ind w:firstLine="424" w:firstLineChars="177"/>
        <w:rPr>
          <w:rFonts w:ascii="仿宋" w:hAnsi="仿宋" w:eastAsia="仿宋" w:cs="Times New Roman"/>
          <w:color w:val="auto"/>
          <w:szCs w:val="24"/>
          <w:highlight w:val="none"/>
        </w:rPr>
      </w:pPr>
      <w:r>
        <w:rPr>
          <w:rFonts w:hint="eastAsia" w:ascii="仿宋" w:hAnsi="仿宋" w:eastAsia="仿宋" w:cs="Arial"/>
          <w:b/>
          <w:color w:val="auto"/>
          <w:kern w:val="0"/>
          <w:sz w:val="24"/>
          <w:highlight w:val="none"/>
        </w:rPr>
        <w:t>2.3.7上述询标、澄清、说明和补正工作如因客观原因无法通过“政府采购云平台”在线进行的，将采用书面（含邮件）形式进行。</w:t>
      </w:r>
    </w:p>
    <w:p>
      <w:pPr>
        <w:keepNext/>
        <w:keepLines/>
        <w:autoSpaceDN w:val="0"/>
        <w:spacing w:before="93" w:beforeLines="30" w:after="93" w:afterLines="30" w:line="360" w:lineRule="auto"/>
        <w:ind w:firstLine="283"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2.4 磋商响应文件的错误修正</w:t>
      </w:r>
    </w:p>
    <w:p>
      <w:pPr>
        <w:autoSpaceDN w:val="0"/>
        <w:spacing w:line="360" w:lineRule="auto"/>
        <w:ind w:firstLine="420" w:firstLineChars="175"/>
        <w:rPr>
          <w:rFonts w:ascii="仿宋" w:hAnsi="仿宋" w:eastAsia="仿宋" w:cs="Arial"/>
          <w:b/>
          <w:color w:val="auto"/>
          <w:kern w:val="0"/>
          <w:sz w:val="24"/>
          <w:highlight w:val="none"/>
          <w:u w:val="single"/>
        </w:rPr>
      </w:pPr>
      <w:r>
        <w:rPr>
          <w:rFonts w:hint="eastAsia" w:ascii="仿宋" w:hAnsi="仿宋" w:eastAsia="仿宋" w:cs="Arial"/>
          <w:b/>
          <w:color w:val="auto"/>
          <w:kern w:val="0"/>
          <w:sz w:val="24"/>
          <w:szCs w:val="24"/>
          <w:highlight w:val="none"/>
        </w:rPr>
        <w:t>2.4.1</w:t>
      </w:r>
      <w:r>
        <w:rPr>
          <w:rFonts w:hint="eastAsia" w:ascii="仿宋" w:hAnsi="仿宋" w:eastAsia="仿宋" w:cs="Arial"/>
          <w:b/>
          <w:color w:val="auto"/>
          <w:kern w:val="0"/>
          <w:sz w:val="24"/>
          <w:szCs w:val="24"/>
          <w:highlight w:val="none"/>
          <w:u w:val="single"/>
        </w:rPr>
        <w:t>《磋商响应文件》报价出现前后不一致的，按照下列规定修正：</w:t>
      </w:r>
    </w:p>
    <w:p>
      <w:pPr>
        <w:autoSpaceDN w:val="0"/>
        <w:spacing w:line="360" w:lineRule="auto"/>
        <w:ind w:firstLine="420" w:firstLineChars="175"/>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（1）《磋商响应文件》中投标函与磋商响应文件中相应内容不一致的，以投标函为准</w:t>
      </w:r>
      <w:r>
        <w:rPr>
          <w:rFonts w:hint="eastAsia" w:ascii="仿宋" w:hAnsi="仿宋" w:eastAsia="仿宋" w:cs="Arial"/>
          <w:color w:val="auto"/>
          <w:kern w:val="0"/>
          <w:sz w:val="24"/>
          <w:highlight w:val="none"/>
        </w:rPr>
        <w:t>。</w:t>
      </w:r>
    </w:p>
    <w:p>
      <w:pPr>
        <w:autoSpaceDN w:val="0"/>
        <w:spacing w:line="360" w:lineRule="auto"/>
        <w:ind w:firstLine="420" w:firstLineChars="175"/>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（2）大写金额和小写金额不一致的，以大写金额为准；</w:t>
      </w:r>
    </w:p>
    <w:p>
      <w:pPr>
        <w:autoSpaceDN w:val="0"/>
        <w:spacing w:line="360" w:lineRule="auto"/>
        <w:ind w:firstLine="420" w:firstLineChars="175"/>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（3）单价金额小数点或者百分比有明显错位的，应以开标一览表（报价表）的总价为准，并修改单价；</w:t>
      </w:r>
    </w:p>
    <w:p>
      <w:pPr>
        <w:autoSpaceDN w:val="0"/>
        <w:spacing w:line="360" w:lineRule="auto"/>
        <w:ind w:firstLine="420" w:firstLineChars="175"/>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（4）总价金额与按单价汇总金额不一致的，以单价金额计算结果为准。</w:t>
      </w:r>
    </w:p>
    <w:p>
      <w:pPr>
        <w:autoSpaceDN w:val="0"/>
        <w:spacing w:line="360" w:lineRule="auto"/>
        <w:ind w:firstLine="420" w:firstLineChars="175"/>
        <w:rPr>
          <w:rFonts w:ascii="仿宋" w:hAnsi="仿宋" w:eastAsia="仿宋" w:cs="Arial"/>
          <w:b/>
          <w:color w:val="auto"/>
          <w:kern w:val="0"/>
          <w:sz w:val="24"/>
          <w:highlight w:val="none"/>
          <w:u w:val="single"/>
        </w:rPr>
      </w:pPr>
      <w:r>
        <w:rPr>
          <w:rFonts w:hint="eastAsia" w:ascii="仿宋" w:hAnsi="仿宋" w:eastAsia="仿宋" w:cs="Arial"/>
          <w:b/>
          <w:color w:val="auto"/>
          <w:kern w:val="0"/>
          <w:sz w:val="24"/>
          <w:szCs w:val="24"/>
          <w:highlight w:val="none"/>
          <w:u w:val="single"/>
        </w:rPr>
        <w:t>备注：同时出现两种以上不一致的，按照前款规定的顺序修正。修正后的报价按本章节第2.3.2款的规定经磋商响应供应商确认后产生约束力，磋商响应供应商不确认的，其投标无效</w:t>
      </w:r>
      <w:r>
        <w:rPr>
          <w:rFonts w:hint="eastAsia" w:ascii="仿宋" w:hAnsi="仿宋" w:eastAsia="仿宋" w:cs="Arial"/>
          <w:b/>
          <w:color w:val="auto"/>
          <w:kern w:val="0"/>
          <w:sz w:val="24"/>
          <w:szCs w:val="24"/>
          <w:highlight w:val="none"/>
        </w:rPr>
        <w:t>。</w:t>
      </w:r>
    </w:p>
    <w:p>
      <w:pPr>
        <w:autoSpaceDN w:val="0"/>
        <w:spacing w:line="360" w:lineRule="auto"/>
        <w:ind w:firstLine="420" w:firstLineChars="175"/>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2.4.2对不同文字文本《磋商响应文件》的解释发生异议的，以中文文本为准。</w:t>
      </w:r>
    </w:p>
    <w:p>
      <w:pPr>
        <w:autoSpaceDN w:val="0"/>
        <w:spacing w:line="360" w:lineRule="auto"/>
        <w:ind w:firstLine="420" w:firstLineChars="175"/>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2.4.3《磋商响应文件》要求提供正、副本时，正、副本内容不一致的，以正本为准。</w:t>
      </w:r>
    </w:p>
    <w:p>
      <w:pPr>
        <w:keepNext/>
        <w:keepLines/>
        <w:autoSpaceDN w:val="0"/>
        <w:spacing w:before="93" w:beforeLines="30" w:after="93" w:afterLines="30" w:line="360" w:lineRule="auto"/>
        <w:ind w:firstLine="283"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2.5 磋商响应文件的评价、评分</w:t>
      </w:r>
    </w:p>
    <w:p>
      <w:pPr>
        <w:autoSpaceDN w:val="0"/>
        <w:spacing w:line="360" w:lineRule="auto"/>
        <w:ind w:firstLine="424" w:firstLineChars="177"/>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2.5.1磋商小组应当按照招标文件中规定的评审方法和标准，对资格、符合性审查合格的磋商响应文件进行商务和技术评价与评分。评标时，磋商小组各成员将独立对每个磋商响应供应商的磋商响应文件进行评价，并汇总每个磋商响应供应商的得分。</w:t>
      </w:r>
    </w:p>
    <w:p>
      <w:pPr>
        <w:autoSpaceDN w:val="0"/>
        <w:spacing w:line="360" w:lineRule="auto"/>
        <w:ind w:firstLine="424" w:firstLineChars="177"/>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2.5.2对采购组织机构工作人员汇总的评审结果进行确认。如发现分值汇总计算错误、分项评分超出评分标准范围、客观评分不一致以及存在畸高、畸低（其总评分偏离平均分30%以上的）情形的，磋商小组组长应提醒相关评审人员当场改正或书面说明理由，拒不改正又不作书面说明的，由现场监督员如实记载后存入项目档案资料。</w:t>
      </w:r>
    </w:p>
    <w:p>
      <w:pPr>
        <w:keepNext/>
        <w:keepLines/>
        <w:autoSpaceDN w:val="0"/>
        <w:spacing w:before="93" w:beforeLines="30" w:after="93" w:afterLines="30" w:line="360" w:lineRule="auto"/>
        <w:ind w:firstLine="283"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2.6 修改评审结果</w:t>
      </w:r>
    </w:p>
    <w:p>
      <w:pPr>
        <w:autoSpaceDN w:val="0"/>
        <w:spacing w:line="360" w:lineRule="auto"/>
        <w:ind w:firstLine="422" w:firstLineChars="176"/>
        <w:rPr>
          <w:rFonts w:ascii="仿宋" w:hAnsi="仿宋" w:eastAsia="仿宋" w:cs="Times New Roman"/>
          <w:b/>
          <w:color w:val="auto"/>
          <w:sz w:val="24"/>
          <w:szCs w:val="28"/>
          <w:highlight w:val="none"/>
        </w:rPr>
      </w:pPr>
      <w:r>
        <w:rPr>
          <w:rFonts w:hint="eastAsia" w:ascii="仿宋" w:hAnsi="仿宋" w:eastAsia="仿宋" w:cs="Times New Roman"/>
          <w:b/>
          <w:color w:val="auto"/>
          <w:sz w:val="24"/>
          <w:szCs w:val="28"/>
          <w:highlight w:val="none"/>
        </w:rPr>
        <w:t>2.6.1评标结果汇总完成后，除下列情形外，任何人不得修改评标结果：</w:t>
      </w:r>
    </w:p>
    <w:p>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（1）分值汇总计算错误的；</w:t>
      </w:r>
    </w:p>
    <w:p>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（2）分项评分超出评分标准范围的；</w:t>
      </w:r>
    </w:p>
    <w:p>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（3）磋商小组成员对客观评审因素评分不一致的；</w:t>
      </w:r>
    </w:p>
    <w:p>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（4）经磋商小组认定评分畸高、畸低的。</w:t>
      </w:r>
    </w:p>
    <w:p>
      <w:pPr>
        <w:autoSpaceDN w:val="0"/>
        <w:spacing w:line="360" w:lineRule="auto"/>
        <w:ind w:firstLine="422" w:firstLineChars="176"/>
        <w:rPr>
          <w:rFonts w:ascii="仿宋" w:hAnsi="仿宋" w:eastAsia="仿宋" w:cs="Times New Roman"/>
          <w:b/>
          <w:color w:val="auto"/>
          <w:sz w:val="28"/>
          <w:szCs w:val="28"/>
          <w:highlight w:val="none"/>
        </w:rPr>
      </w:pPr>
      <w:r>
        <w:rPr>
          <w:rFonts w:hint="eastAsia" w:ascii="仿宋" w:hAnsi="仿宋" w:eastAsia="仿宋" w:cs="Times New Roman"/>
          <w:b/>
          <w:color w:val="auto"/>
          <w:sz w:val="24"/>
          <w:szCs w:val="28"/>
          <w:highlight w:val="none"/>
        </w:rPr>
        <w:t>2.6.2评标报告签署前，经复核发现存在以上情形之一的，磋商小组将当场修改评标结果，并在评标报告中记载。</w:t>
      </w:r>
    </w:p>
    <w:p>
      <w:pPr>
        <w:keepNext/>
        <w:keepLines/>
        <w:autoSpaceDN w:val="0"/>
        <w:spacing w:before="93" w:beforeLines="30" w:after="93" w:afterLines="30" w:line="360" w:lineRule="auto"/>
        <w:ind w:firstLine="283"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2.7 供应商排序及推荐中标（成交）候选供应商</w:t>
      </w:r>
    </w:p>
    <w:p>
      <w:pPr>
        <w:autoSpaceDN w:val="0"/>
        <w:spacing w:line="360" w:lineRule="auto"/>
        <w:ind w:firstLine="422" w:firstLineChars="176"/>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磋商小组根据以下规定确定供应商排名并推荐中标（成交）候选供应商。</w:t>
      </w:r>
    </w:p>
    <w:p>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b/>
          <w:color w:val="auto"/>
          <w:sz w:val="24"/>
          <w:highlight w:val="none"/>
        </w:rPr>
        <w:t>2.7.1磋商小组根据各磋商响应供应商的综合得分（商务技术分与最后报价得分之和）从高到低依次进行排名排序。特殊情形按以下原则处理：</w:t>
      </w:r>
    </w:p>
    <w:p>
      <w:pPr>
        <w:autoSpaceDN w:val="0"/>
        <w:spacing w:line="360" w:lineRule="auto"/>
        <w:ind w:firstLine="422" w:firstLineChars="176"/>
        <w:rPr>
          <w:rFonts w:ascii="仿宋" w:hAnsi="仿宋" w:eastAsia="仿宋" w:cs="Arial"/>
          <w:color w:val="auto"/>
          <w:sz w:val="24"/>
          <w:highlight w:val="none"/>
        </w:rPr>
      </w:pPr>
      <w:r>
        <w:rPr>
          <w:rFonts w:hint="eastAsia" w:ascii="仿宋" w:hAnsi="仿宋" w:eastAsia="仿宋" w:cs="Arial"/>
          <w:color w:val="auto"/>
          <w:sz w:val="24"/>
          <w:highlight w:val="none"/>
        </w:rPr>
        <w:t>（1）综合得分相同的，按最后报价低的优先原则确定排名；</w:t>
      </w:r>
    </w:p>
    <w:p>
      <w:pPr>
        <w:autoSpaceDN w:val="0"/>
        <w:spacing w:line="360" w:lineRule="auto"/>
        <w:ind w:firstLine="422" w:firstLineChars="176"/>
        <w:rPr>
          <w:rFonts w:ascii="仿宋" w:hAnsi="仿宋" w:eastAsia="仿宋" w:cs="Arial"/>
          <w:color w:val="auto"/>
          <w:sz w:val="24"/>
          <w:highlight w:val="none"/>
        </w:rPr>
      </w:pPr>
      <w:r>
        <w:rPr>
          <w:rFonts w:hint="eastAsia" w:ascii="仿宋" w:hAnsi="仿宋" w:eastAsia="仿宋" w:cs="Arial"/>
          <w:color w:val="auto"/>
          <w:sz w:val="24"/>
          <w:highlight w:val="none"/>
        </w:rPr>
        <w:t>（2）综合得分和最后报价均相同的，按商务技术得分从高到低确定排名；</w:t>
      </w:r>
    </w:p>
    <w:p>
      <w:pPr>
        <w:autoSpaceDN w:val="0"/>
        <w:spacing w:line="360" w:lineRule="auto"/>
        <w:ind w:firstLine="422" w:firstLineChars="176"/>
        <w:rPr>
          <w:rFonts w:ascii="仿宋" w:hAnsi="仿宋" w:eastAsia="仿宋" w:cs="Arial"/>
          <w:color w:val="auto"/>
          <w:sz w:val="24"/>
          <w:highlight w:val="none"/>
        </w:rPr>
      </w:pPr>
      <w:r>
        <w:rPr>
          <w:rFonts w:hint="eastAsia" w:ascii="仿宋" w:hAnsi="仿宋" w:eastAsia="仿宋" w:cs="Arial"/>
          <w:color w:val="auto"/>
          <w:sz w:val="24"/>
          <w:highlight w:val="none"/>
        </w:rPr>
        <w:t>（3）综合得分、最后报价和商务技术得分均相同的由磋商小组全体成员记名投票按少数服从多数的原则确定排名。</w:t>
      </w:r>
    </w:p>
    <w:p>
      <w:pPr>
        <w:autoSpaceDN w:val="0"/>
        <w:spacing w:line="360" w:lineRule="auto"/>
        <w:ind w:firstLine="422" w:firstLineChars="176"/>
        <w:rPr>
          <w:rFonts w:ascii="仿宋" w:hAnsi="仿宋" w:eastAsia="仿宋" w:cs="Times New Roman"/>
          <w:color w:val="auto"/>
          <w:szCs w:val="24"/>
          <w:highlight w:val="none"/>
        </w:rPr>
      </w:pPr>
      <w:r>
        <w:rPr>
          <w:rFonts w:hint="eastAsia" w:ascii="仿宋" w:hAnsi="仿宋" w:eastAsia="仿宋" w:cs="Arial"/>
          <w:b/>
          <w:color w:val="auto"/>
          <w:sz w:val="24"/>
          <w:highlight w:val="none"/>
        </w:rPr>
        <w:t>2.7.2根据最终得分排序，通过书面评审报告的形式，向采购人推荐综合得分</w:t>
      </w:r>
      <w:r>
        <w:rPr>
          <w:rFonts w:hint="eastAsia" w:ascii="仿宋" w:hAnsi="仿宋" w:eastAsia="仿宋" w:cs="Times New Roman"/>
          <w:b/>
          <w:color w:val="auto"/>
          <w:sz w:val="24"/>
          <w:highlight w:val="none"/>
        </w:rPr>
        <w:t>由高到低顺序推荐3名以上</w:t>
      </w:r>
      <w:r>
        <w:rPr>
          <w:rFonts w:hint="eastAsia" w:ascii="仿宋" w:hAnsi="仿宋" w:eastAsia="仿宋" w:cs="Arial"/>
          <w:b/>
          <w:color w:val="auto"/>
          <w:kern w:val="0"/>
          <w:sz w:val="24"/>
          <w:highlight w:val="none"/>
        </w:rPr>
        <w:t>中标（成交）候选供应商</w:t>
      </w:r>
      <w:r>
        <w:rPr>
          <w:rFonts w:hint="eastAsia" w:ascii="仿宋" w:hAnsi="仿宋" w:eastAsia="仿宋" w:cs="Arial"/>
          <w:b/>
          <w:color w:val="auto"/>
          <w:sz w:val="24"/>
          <w:highlight w:val="none"/>
        </w:rPr>
        <w:t>。</w:t>
      </w:r>
    </w:p>
    <w:p>
      <w:pPr>
        <w:keepNext/>
        <w:keepLines/>
        <w:autoSpaceDN w:val="0"/>
        <w:spacing w:before="93" w:beforeLines="30" w:after="93" w:afterLines="30" w:line="360" w:lineRule="auto"/>
        <w:ind w:firstLine="283"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2.8 起草、签署评审报告</w:t>
      </w:r>
    </w:p>
    <w:p>
      <w:pPr>
        <w:autoSpaceDN w:val="0"/>
        <w:spacing w:line="360" w:lineRule="auto"/>
        <w:ind w:firstLine="424" w:firstLineChars="177"/>
        <w:rPr>
          <w:rFonts w:ascii="仿宋" w:hAnsi="仿宋" w:eastAsia="仿宋" w:cs="Times New Roman"/>
          <w:color w:val="auto"/>
          <w:sz w:val="24"/>
          <w:szCs w:val="24"/>
          <w:highlight w:val="none"/>
        </w:rPr>
      </w:pPr>
      <w:r>
        <w:rPr>
          <w:rFonts w:hint="eastAsia" w:ascii="仿宋" w:hAnsi="仿宋" w:eastAsia="仿宋" w:cs="Arial"/>
          <w:color w:val="auto"/>
          <w:sz w:val="24"/>
          <w:highlight w:val="none"/>
        </w:rPr>
        <w:t>评审结束后，磋商小组将通过“政府采购云平台”起草评审报告，</w:t>
      </w:r>
      <w:r>
        <w:rPr>
          <w:rFonts w:hint="eastAsia" w:ascii="仿宋" w:hAnsi="仿宋" w:eastAsia="仿宋" w:cs="Times New Roman"/>
          <w:color w:val="auto"/>
          <w:sz w:val="24"/>
          <w:szCs w:val="24"/>
          <w:highlight w:val="none"/>
        </w:rPr>
        <w:t>磋商小组成员应当在评审报告上签字（或加注电子签章），对自己的评审意见承担法律责任。对评审报告有异议的，应当在评审报告上签署不同意见，并说明理由，否则视为同意评审报告。</w:t>
      </w:r>
    </w:p>
    <w:p>
      <w:pPr>
        <w:keepNext/>
        <w:keepLines/>
        <w:autoSpaceDN w:val="0"/>
        <w:spacing w:before="93" w:beforeLines="30" w:after="93" w:afterLines="30" w:line="360" w:lineRule="auto"/>
        <w:ind w:firstLine="283"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2.9 重新评审</w:t>
      </w:r>
    </w:p>
    <w:p>
      <w:pPr>
        <w:autoSpaceDN w:val="0"/>
        <w:spacing w:line="360" w:lineRule="auto"/>
        <w:ind w:firstLine="424" w:firstLineChars="177"/>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评审报告签署后，采购人或者采购代理机构发现存在下列情形之一的，将组织原磋商小组进行重新评审，重新评审改变评标结果的，将书面报告同级财政部门：</w:t>
      </w:r>
    </w:p>
    <w:p>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（1）分值汇总计算错误的；</w:t>
      </w:r>
    </w:p>
    <w:p>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（2）分项评分超出评分标准范围的；</w:t>
      </w:r>
    </w:p>
    <w:p>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（3）磋商小组成员对客观评审因素评分不一致的；</w:t>
      </w:r>
    </w:p>
    <w:p>
      <w:pPr>
        <w:autoSpaceDN w:val="0"/>
        <w:spacing w:line="360" w:lineRule="auto"/>
        <w:ind w:firstLine="424" w:firstLineChars="177"/>
        <w:rPr>
          <w:rFonts w:ascii="仿宋" w:hAnsi="仿宋" w:eastAsia="仿宋" w:cs="Times New Roman"/>
          <w:color w:val="auto"/>
          <w:w w:val="90"/>
          <w:sz w:val="22"/>
          <w:highlight w:val="none"/>
        </w:rPr>
      </w:pPr>
      <w:r>
        <w:rPr>
          <w:rFonts w:hint="eastAsia" w:ascii="仿宋" w:hAnsi="仿宋" w:eastAsia="仿宋" w:cs="Times New Roman"/>
          <w:color w:val="auto"/>
          <w:sz w:val="24"/>
          <w:szCs w:val="28"/>
          <w:highlight w:val="none"/>
        </w:rPr>
        <w:t>（4）经磋商小组认定评分畸高、畸低的。</w:t>
      </w:r>
    </w:p>
    <w:p>
      <w:pPr>
        <w:keepNext/>
        <w:keepLines/>
        <w:kinsoku w:val="0"/>
        <w:autoSpaceDE w:val="0"/>
        <w:autoSpaceDN w:val="0"/>
        <w:spacing w:before="260" w:after="260" w:line="415" w:lineRule="auto"/>
        <w:ind w:firstLine="280" w:firstLineChars="100"/>
        <w:outlineLvl w:val="1"/>
        <w:rPr>
          <w:rFonts w:ascii="仿宋" w:hAnsi="仿宋" w:eastAsia="仿宋" w:cs="Times New Roman"/>
          <w:b/>
          <w:bCs/>
          <w:color w:val="auto"/>
          <w:sz w:val="28"/>
          <w:szCs w:val="28"/>
          <w:highlight w:val="none"/>
        </w:rPr>
      </w:pPr>
      <w:bookmarkStart w:id="86" w:name="_Toc14247"/>
      <w:r>
        <w:rPr>
          <w:rFonts w:hint="eastAsia" w:ascii="仿宋" w:hAnsi="仿宋" w:eastAsia="仿宋" w:cs="Times New Roman"/>
          <w:b/>
          <w:bCs/>
          <w:color w:val="auto"/>
          <w:sz w:val="28"/>
          <w:szCs w:val="28"/>
          <w:highlight w:val="none"/>
        </w:rPr>
        <w:t>三、评审内容及标准</w:t>
      </w:r>
      <w:bookmarkEnd w:id="86"/>
    </w:p>
    <w:p>
      <w:pPr>
        <w:autoSpaceDN w:val="0"/>
        <w:snapToGrid w:val="0"/>
        <w:spacing w:line="360" w:lineRule="auto"/>
        <w:ind w:firstLine="470" w:firstLineChars="196"/>
        <w:rPr>
          <w:rFonts w:ascii="仿宋" w:hAnsi="仿宋" w:eastAsia="仿宋" w:cs="宋体"/>
          <w:b/>
          <w:color w:val="auto"/>
          <w:sz w:val="24"/>
          <w:szCs w:val="24"/>
          <w:highlight w:val="none"/>
        </w:rPr>
      </w:pPr>
      <w:r>
        <w:rPr>
          <w:rFonts w:hint="eastAsia" w:ascii="仿宋" w:hAnsi="仿宋" w:eastAsia="仿宋" w:cs="宋体"/>
          <w:b/>
          <w:bCs/>
          <w:color w:val="auto"/>
          <w:sz w:val="24"/>
          <w:szCs w:val="24"/>
          <w:highlight w:val="none"/>
        </w:rPr>
        <w:t>（一）商务技术部分</w:t>
      </w:r>
      <w:r>
        <w:rPr>
          <w:rFonts w:hint="eastAsia" w:ascii="仿宋" w:hAnsi="仿宋" w:eastAsia="仿宋" w:cs="宋体"/>
          <w:b/>
          <w:color w:val="auto"/>
          <w:sz w:val="24"/>
          <w:szCs w:val="24"/>
          <w:highlight w:val="none"/>
        </w:rPr>
        <w:t>（</w:t>
      </w:r>
      <w:r>
        <w:rPr>
          <w:rFonts w:hint="eastAsia" w:ascii="仿宋" w:hAnsi="仿宋" w:eastAsia="仿宋" w:cs="宋体"/>
          <w:b/>
          <w:color w:val="auto"/>
          <w:sz w:val="24"/>
          <w:szCs w:val="24"/>
          <w:highlight w:val="none"/>
          <w:u w:val="single"/>
          <w:lang w:val="en-US" w:eastAsia="zh-CN"/>
        </w:rPr>
        <w:t>7</w:t>
      </w:r>
      <w:r>
        <w:rPr>
          <w:rFonts w:hint="eastAsia" w:ascii="仿宋" w:hAnsi="仿宋" w:eastAsia="仿宋" w:cs="宋体"/>
          <w:b/>
          <w:color w:val="auto"/>
          <w:sz w:val="24"/>
          <w:szCs w:val="24"/>
          <w:highlight w:val="none"/>
          <w:u w:val="single"/>
        </w:rPr>
        <w:t>0</w:t>
      </w:r>
      <w:r>
        <w:rPr>
          <w:rFonts w:hint="eastAsia" w:ascii="仿宋" w:hAnsi="仿宋" w:eastAsia="仿宋" w:cs="宋体"/>
          <w:b/>
          <w:color w:val="auto"/>
          <w:sz w:val="24"/>
          <w:szCs w:val="24"/>
          <w:highlight w:val="none"/>
        </w:rPr>
        <w:t>分）</w:t>
      </w:r>
    </w:p>
    <w:tbl>
      <w:tblPr>
        <w:tblStyle w:val="61"/>
        <w:tblW w:w="919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7687"/>
        <w:gridCol w:w="77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738" w:type="dxa"/>
            <w:tcBorders>
              <w:top w:val="double" w:color="auto" w:sz="4" w:space="0"/>
              <w:left w:val="double" w:color="auto" w:sz="4" w:space="0"/>
              <w:bottom w:val="single" w:color="auto" w:sz="6" w:space="0"/>
              <w:right w:val="single" w:color="auto" w:sz="6" w:space="0"/>
            </w:tcBorders>
            <w:shd w:val="clear" w:color="auto" w:fill="FFFFFF"/>
            <w:noWrap/>
            <w:vAlign w:val="center"/>
          </w:tcPr>
          <w:p>
            <w:pPr>
              <w:snapToGrid w:val="0"/>
              <w:jc w:val="center"/>
              <w:rPr>
                <w:rFonts w:ascii="仿宋" w:hAnsi="仿宋" w:eastAsia="仿宋" w:cs="Arial"/>
                <w:b/>
                <w:bCs/>
                <w:color w:val="auto"/>
                <w:sz w:val="21"/>
                <w:szCs w:val="21"/>
                <w:highlight w:val="none"/>
              </w:rPr>
            </w:pPr>
            <w:bookmarkStart w:id="87" w:name="_Hlk130213928"/>
            <w:r>
              <w:rPr>
                <w:rFonts w:hint="eastAsia" w:ascii="仿宋" w:hAnsi="仿宋" w:eastAsia="仿宋" w:cs="Arial"/>
                <w:b/>
                <w:bCs/>
                <w:color w:val="auto"/>
                <w:sz w:val="21"/>
                <w:szCs w:val="21"/>
                <w:highlight w:val="none"/>
              </w:rPr>
              <w:t>序号</w:t>
            </w:r>
          </w:p>
        </w:tc>
        <w:tc>
          <w:tcPr>
            <w:tcW w:w="7687" w:type="dxa"/>
            <w:tcBorders>
              <w:top w:val="double" w:color="auto" w:sz="4" w:space="0"/>
              <w:left w:val="single" w:color="auto" w:sz="6" w:space="0"/>
              <w:bottom w:val="single" w:color="auto" w:sz="6" w:space="0"/>
              <w:right w:val="single" w:color="auto" w:sz="6" w:space="0"/>
            </w:tcBorders>
            <w:shd w:val="clear" w:color="auto" w:fill="FFFFFF"/>
            <w:noWrap/>
            <w:vAlign w:val="center"/>
          </w:tcPr>
          <w:p>
            <w:pPr>
              <w:snapToGrid w:val="0"/>
              <w:jc w:val="center"/>
              <w:rPr>
                <w:rFonts w:ascii="仿宋" w:hAnsi="仿宋" w:eastAsia="仿宋" w:cs="Arial"/>
                <w:b/>
                <w:bCs/>
                <w:color w:val="auto"/>
                <w:sz w:val="21"/>
                <w:szCs w:val="21"/>
                <w:highlight w:val="none"/>
              </w:rPr>
            </w:pPr>
            <w:r>
              <w:rPr>
                <w:rFonts w:hint="eastAsia" w:ascii="仿宋" w:hAnsi="仿宋" w:eastAsia="仿宋" w:cs="Arial"/>
                <w:b/>
                <w:bCs/>
                <w:color w:val="auto"/>
                <w:sz w:val="21"/>
                <w:szCs w:val="21"/>
                <w:highlight w:val="none"/>
              </w:rPr>
              <w:t>评审细则</w:t>
            </w:r>
          </w:p>
        </w:tc>
        <w:tc>
          <w:tcPr>
            <w:tcW w:w="774" w:type="dxa"/>
            <w:tcBorders>
              <w:top w:val="double" w:color="auto" w:sz="4" w:space="0"/>
              <w:left w:val="single" w:color="auto" w:sz="6" w:space="0"/>
              <w:bottom w:val="single" w:color="auto" w:sz="6" w:space="0"/>
              <w:right w:val="double" w:color="auto" w:sz="4" w:space="0"/>
            </w:tcBorders>
            <w:shd w:val="clear" w:color="auto" w:fill="FFFFFF"/>
            <w:vAlign w:val="center"/>
          </w:tcPr>
          <w:p>
            <w:pPr>
              <w:snapToGrid w:val="0"/>
              <w:spacing w:line="360" w:lineRule="auto"/>
              <w:jc w:val="center"/>
              <w:rPr>
                <w:rFonts w:hint="eastAsia" w:ascii="仿宋" w:hAnsi="仿宋" w:eastAsia="仿宋" w:cs="Arial"/>
                <w:b/>
                <w:bCs/>
                <w:color w:val="auto"/>
                <w:sz w:val="21"/>
                <w:szCs w:val="21"/>
                <w:highlight w:val="none"/>
                <w:lang w:eastAsia="zh-CN"/>
              </w:rPr>
            </w:pPr>
            <w:r>
              <w:rPr>
                <w:rFonts w:hint="eastAsia" w:ascii="仿宋" w:hAnsi="仿宋" w:eastAsia="仿宋" w:cs="Arial"/>
                <w:b/>
                <w:bCs/>
                <w:color w:val="auto"/>
                <w:sz w:val="21"/>
                <w:szCs w:val="21"/>
                <w:highlight w:val="none"/>
                <w:lang w:val="en-US" w:eastAsia="zh-CN"/>
              </w:rPr>
              <w:t>分值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10" w:hRule="atLeast"/>
          <w:tblHeader/>
          <w:jc w:val="center"/>
        </w:trPr>
        <w:tc>
          <w:tcPr>
            <w:tcW w:w="738" w:type="dxa"/>
            <w:tcBorders>
              <w:top w:val="single" w:color="auto" w:sz="6" w:space="0"/>
              <w:left w:val="double" w:color="auto" w:sz="4" w:space="0"/>
              <w:bottom w:val="single" w:color="auto" w:sz="6" w:space="0"/>
              <w:right w:val="single" w:color="auto" w:sz="6" w:space="0"/>
            </w:tcBorders>
            <w:noWrap/>
            <w:vAlign w:val="center"/>
          </w:tcPr>
          <w:p>
            <w:pPr>
              <w:snapToGrid w:val="0"/>
              <w:jc w:val="center"/>
              <w:rPr>
                <w:rFonts w:hint="eastAsia" w:ascii="仿宋" w:hAnsi="仿宋" w:eastAsia="仿宋" w:cs="Arial"/>
                <w:color w:val="auto"/>
                <w:sz w:val="21"/>
                <w:szCs w:val="21"/>
                <w:highlight w:val="none"/>
                <w:lang w:eastAsia="zh-CN"/>
              </w:rPr>
            </w:pPr>
            <w:r>
              <w:rPr>
                <w:rFonts w:hint="eastAsia" w:ascii="仿宋" w:hAnsi="仿宋" w:eastAsia="仿宋" w:cs="Arial"/>
                <w:color w:val="auto"/>
                <w:sz w:val="21"/>
                <w:szCs w:val="21"/>
                <w:highlight w:val="none"/>
                <w:lang w:val="en-US" w:eastAsia="zh-CN"/>
              </w:rPr>
              <w:t>1</w:t>
            </w:r>
          </w:p>
        </w:tc>
        <w:tc>
          <w:tcPr>
            <w:tcW w:w="7687" w:type="dxa"/>
            <w:tcBorders>
              <w:top w:val="single" w:color="auto" w:sz="6" w:space="0"/>
              <w:left w:val="single" w:color="auto" w:sz="6" w:space="0"/>
              <w:bottom w:val="single" w:color="auto" w:sz="6" w:space="0"/>
              <w:right w:val="single" w:color="auto" w:sz="6" w:space="0"/>
            </w:tcBorders>
            <w:noWrap/>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供应商同类项目业绩：磋商供应商自202</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年1月1日（以合同签订时间为准）以来完成过类似项目业绩的，每个得</w:t>
            </w:r>
            <w:r>
              <w:rPr>
                <w:rFonts w:hint="eastAsia" w:ascii="仿宋" w:hAnsi="仿宋" w:eastAsia="仿宋" w:cs="仿宋"/>
                <w:color w:val="auto"/>
                <w:sz w:val="21"/>
                <w:szCs w:val="21"/>
                <w:highlight w:val="none"/>
                <w:lang w:val="en-US" w:eastAsia="zh-CN"/>
              </w:rPr>
              <w:t>0.5</w:t>
            </w:r>
            <w:r>
              <w:rPr>
                <w:rFonts w:hint="eastAsia" w:ascii="仿宋" w:hAnsi="仿宋" w:eastAsia="仿宋" w:cs="仿宋"/>
                <w:color w:val="auto"/>
                <w:sz w:val="21"/>
                <w:szCs w:val="21"/>
                <w:highlight w:val="none"/>
              </w:rPr>
              <w:t>分，最高得</w:t>
            </w:r>
            <w:r>
              <w:rPr>
                <w:rFonts w:hint="eastAsia" w:ascii="仿宋" w:hAnsi="仿宋" w:eastAsia="仿宋" w:cs="仿宋"/>
                <w:color w:val="auto"/>
                <w:sz w:val="21"/>
                <w:szCs w:val="21"/>
                <w:highlight w:val="none"/>
                <w:lang w:val="en-US" w:eastAsia="zh-CN"/>
              </w:rPr>
              <w:t>1.5</w:t>
            </w:r>
            <w:r>
              <w:rPr>
                <w:rFonts w:hint="eastAsia" w:ascii="仿宋" w:hAnsi="仿宋" w:eastAsia="仿宋" w:cs="仿宋"/>
                <w:color w:val="auto"/>
                <w:sz w:val="21"/>
                <w:szCs w:val="21"/>
                <w:highlight w:val="none"/>
              </w:rPr>
              <w:t>分。</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业绩证明材料：</w:t>
            </w:r>
            <w:r>
              <w:rPr>
                <w:rFonts w:hint="eastAsia" w:ascii="仿宋" w:hAnsi="仿宋" w:eastAsia="仿宋" w:cs="仿宋"/>
                <w:color w:val="auto"/>
                <w:sz w:val="21"/>
                <w:szCs w:val="21"/>
                <w:highlight w:val="none"/>
                <w:lang w:val="en-US" w:eastAsia="zh-CN"/>
              </w:rPr>
              <w:t>合同扫描件加盖公章</w:t>
            </w:r>
            <w:r>
              <w:rPr>
                <w:rFonts w:hint="eastAsia" w:ascii="仿宋" w:hAnsi="仿宋" w:eastAsia="仿宋" w:cs="仿宋"/>
                <w:color w:val="auto"/>
                <w:sz w:val="21"/>
                <w:szCs w:val="21"/>
                <w:highlight w:val="none"/>
              </w:rPr>
              <w:t>；要求证明材料能反映评审要素，提供的证明材料不完整或不能反映评审要素的将不予认可。</w:t>
            </w:r>
          </w:p>
        </w:tc>
        <w:tc>
          <w:tcPr>
            <w:tcW w:w="774" w:type="dxa"/>
            <w:tcBorders>
              <w:top w:val="single" w:color="auto" w:sz="6" w:space="0"/>
              <w:left w:val="single" w:color="auto" w:sz="6" w:space="0"/>
              <w:bottom w:val="single" w:color="auto" w:sz="6" w:space="0"/>
              <w:right w:val="double" w:color="auto" w:sz="4" w:space="0"/>
            </w:tcBorders>
            <w:vAlign w:val="center"/>
          </w:tcPr>
          <w:p>
            <w:pPr>
              <w:jc w:val="center"/>
              <w:rPr>
                <w:rFonts w:hint="default" w:ascii="仿宋" w:hAnsi="仿宋" w:eastAsia="仿宋" w:cs="Arial"/>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96" w:hRule="atLeast"/>
          <w:tblHeader/>
          <w:jc w:val="center"/>
        </w:trPr>
        <w:tc>
          <w:tcPr>
            <w:tcW w:w="738" w:type="dxa"/>
            <w:tcBorders>
              <w:top w:val="single" w:color="auto" w:sz="6" w:space="0"/>
              <w:left w:val="double" w:color="auto" w:sz="4" w:space="0"/>
              <w:bottom w:val="single" w:color="auto" w:sz="6" w:space="0"/>
              <w:right w:val="single" w:color="auto" w:sz="6" w:space="0"/>
            </w:tcBorders>
            <w:noWrap/>
            <w:vAlign w:val="center"/>
          </w:tcPr>
          <w:p>
            <w:pPr>
              <w:snapToGrid w:val="0"/>
              <w:jc w:val="center"/>
              <w:rPr>
                <w:rFonts w:hint="eastAsia" w:ascii="仿宋" w:hAnsi="仿宋" w:eastAsia="仿宋" w:cs="Arial"/>
                <w:color w:val="auto"/>
                <w:sz w:val="21"/>
                <w:szCs w:val="21"/>
                <w:highlight w:val="none"/>
                <w:lang w:eastAsia="zh-CN"/>
              </w:rPr>
            </w:pPr>
            <w:r>
              <w:rPr>
                <w:rFonts w:hint="eastAsia" w:ascii="仿宋" w:hAnsi="仿宋" w:eastAsia="仿宋" w:cs="Arial"/>
                <w:color w:val="auto"/>
                <w:sz w:val="21"/>
                <w:szCs w:val="21"/>
                <w:highlight w:val="none"/>
                <w:lang w:val="en-US" w:eastAsia="zh-CN"/>
              </w:rPr>
              <w:t>2</w:t>
            </w:r>
          </w:p>
        </w:tc>
        <w:tc>
          <w:tcPr>
            <w:tcW w:w="7687" w:type="dxa"/>
            <w:tcBorders>
              <w:top w:val="single" w:color="auto" w:sz="6" w:space="0"/>
              <w:left w:val="single" w:color="auto" w:sz="6" w:space="0"/>
              <w:bottom w:val="single" w:color="auto" w:sz="6" w:space="0"/>
              <w:right w:val="single" w:color="auto" w:sz="6" w:space="0"/>
            </w:tcBorders>
            <w:noWrap/>
            <w:vAlign w:val="center"/>
          </w:tcPr>
          <w:p>
            <w:pPr>
              <w:numPr>
                <w:ilvl w:val="0"/>
                <w:numId w:val="0"/>
              </w:numPr>
              <w:bidi w:val="0"/>
              <w:rPr>
                <w:rFonts w:hint="eastAsia" w:ascii="仿宋" w:hAnsi="仿宋" w:eastAsia="仿宋" w:cs="仿宋"/>
                <w:color w:val="auto"/>
                <w:highlight w:val="none"/>
              </w:rPr>
            </w:pPr>
            <w:r>
              <w:rPr>
                <w:rFonts w:hint="eastAsia" w:ascii="仿宋" w:hAnsi="仿宋" w:eastAsia="仿宋" w:cs="仿宋"/>
                <w:color w:val="auto"/>
                <w:highlight w:val="none"/>
              </w:rPr>
              <w:t>拟派项目负责人具有中级工程师技术职称的得1分，具有高级工程师技术职称的得2分，没有不得分。</w:t>
            </w:r>
          </w:p>
          <w:p>
            <w:pPr>
              <w:bidi w:val="0"/>
              <w:rPr>
                <w:rFonts w:hint="eastAsia" w:ascii="仿宋" w:hAnsi="仿宋" w:eastAsia="仿宋" w:cs="仿宋"/>
                <w:color w:val="auto"/>
                <w:highlight w:val="none"/>
              </w:rPr>
            </w:pPr>
            <w:r>
              <w:rPr>
                <w:rFonts w:hint="eastAsia" w:ascii="仿宋" w:hAnsi="仿宋" w:eastAsia="仿宋" w:cs="仿宋"/>
                <w:color w:val="auto"/>
                <w:highlight w:val="none"/>
              </w:rPr>
              <w:t>证明材料：以上人员不可兼任</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提供</w:t>
            </w:r>
            <w:r>
              <w:rPr>
                <w:rFonts w:hint="eastAsia" w:ascii="仿宋" w:hAnsi="仿宋" w:eastAsia="仿宋" w:cs="仿宋"/>
                <w:color w:val="auto"/>
                <w:highlight w:val="none"/>
                <w:lang w:val="en-US" w:eastAsia="zh-CN"/>
              </w:rPr>
              <w:t>有效的</w:t>
            </w:r>
            <w:r>
              <w:rPr>
                <w:rFonts w:hint="eastAsia" w:ascii="仿宋" w:hAnsi="仿宋" w:eastAsia="仿宋" w:cs="仿宋"/>
                <w:color w:val="auto"/>
                <w:highlight w:val="none"/>
              </w:rPr>
              <w:t>职称证书扫描件及近三个月来任意时间的社保证明材料。</w:t>
            </w:r>
          </w:p>
        </w:tc>
        <w:tc>
          <w:tcPr>
            <w:tcW w:w="774" w:type="dxa"/>
            <w:tcBorders>
              <w:top w:val="single" w:color="auto" w:sz="6" w:space="0"/>
              <w:left w:val="single" w:color="auto" w:sz="6" w:space="0"/>
              <w:bottom w:val="single" w:color="auto" w:sz="6" w:space="0"/>
              <w:right w:val="double" w:color="auto" w:sz="4" w:space="0"/>
            </w:tcBorders>
            <w:vAlign w:val="center"/>
          </w:tcPr>
          <w:p>
            <w:pPr>
              <w:bidi w:val="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9" w:hRule="atLeast"/>
          <w:tblHeader/>
          <w:jc w:val="center"/>
        </w:trPr>
        <w:tc>
          <w:tcPr>
            <w:tcW w:w="738" w:type="dxa"/>
            <w:tcBorders>
              <w:top w:val="single" w:color="auto" w:sz="6" w:space="0"/>
              <w:left w:val="double" w:color="auto" w:sz="4" w:space="0"/>
              <w:bottom w:val="single" w:color="auto" w:sz="6" w:space="0"/>
              <w:right w:val="single" w:color="auto" w:sz="6" w:space="0"/>
            </w:tcBorders>
            <w:noWrap/>
            <w:vAlign w:val="center"/>
          </w:tcPr>
          <w:p>
            <w:pPr>
              <w:snapToGrid w:val="0"/>
              <w:jc w:val="center"/>
              <w:rPr>
                <w:rFonts w:hint="default" w:ascii="仿宋" w:hAnsi="仿宋" w:eastAsia="仿宋" w:cs="Arial"/>
                <w:color w:val="auto"/>
                <w:sz w:val="21"/>
                <w:szCs w:val="21"/>
                <w:highlight w:val="none"/>
                <w:lang w:val="en-US" w:eastAsia="zh-CN"/>
              </w:rPr>
            </w:pPr>
            <w:r>
              <w:rPr>
                <w:rFonts w:hint="eastAsia" w:ascii="仿宋" w:hAnsi="仿宋" w:eastAsia="仿宋" w:cs="Arial"/>
                <w:color w:val="auto"/>
                <w:sz w:val="21"/>
                <w:szCs w:val="21"/>
                <w:highlight w:val="none"/>
                <w:lang w:val="en-US" w:eastAsia="zh-CN"/>
              </w:rPr>
              <w:t>3</w:t>
            </w:r>
          </w:p>
        </w:tc>
        <w:tc>
          <w:tcPr>
            <w:tcW w:w="7687" w:type="dxa"/>
            <w:tcBorders>
              <w:top w:val="single" w:color="auto" w:sz="6" w:space="0"/>
              <w:left w:val="single" w:color="auto" w:sz="6" w:space="0"/>
              <w:bottom w:val="single" w:color="auto" w:sz="6" w:space="0"/>
              <w:right w:val="single" w:color="auto" w:sz="6" w:space="0"/>
            </w:tcBorders>
            <w:noWrap/>
            <w:vAlign w:val="center"/>
          </w:tcPr>
          <w:p>
            <w:pPr>
              <w:bidi w:val="0"/>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工期：在本项目要求工期基础上，每提前1天得0.3分，最高的1.5分。提供承诺函，格式自拟，未提供不得分。</w:t>
            </w:r>
          </w:p>
        </w:tc>
        <w:tc>
          <w:tcPr>
            <w:tcW w:w="774" w:type="dxa"/>
            <w:tcBorders>
              <w:top w:val="single" w:color="auto" w:sz="6" w:space="0"/>
              <w:left w:val="single" w:color="auto" w:sz="6" w:space="0"/>
              <w:bottom w:val="single" w:color="auto" w:sz="6" w:space="0"/>
              <w:right w:val="double" w:color="auto" w:sz="4" w:space="0"/>
            </w:tcBorders>
            <w:vAlign w:val="center"/>
          </w:tcPr>
          <w:p>
            <w:pPr>
              <w:bidi w:val="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69" w:hRule="atLeast"/>
          <w:tblHeader/>
          <w:jc w:val="center"/>
        </w:trPr>
        <w:tc>
          <w:tcPr>
            <w:tcW w:w="738" w:type="dxa"/>
            <w:tcBorders>
              <w:top w:val="single" w:color="auto" w:sz="6" w:space="0"/>
              <w:left w:val="double" w:color="auto" w:sz="4" w:space="0"/>
              <w:bottom w:val="single" w:color="auto" w:sz="6" w:space="0"/>
              <w:right w:val="single" w:color="auto" w:sz="6" w:space="0"/>
            </w:tcBorders>
            <w:noWrap/>
            <w:vAlign w:val="center"/>
          </w:tcPr>
          <w:p>
            <w:pPr>
              <w:snapToGrid w:val="0"/>
              <w:jc w:val="center"/>
              <w:rPr>
                <w:rFonts w:hint="eastAsia" w:ascii="仿宋" w:hAnsi="仿宋" w:eastAsia="仿宋" w:cs="Arial"/>
                <w:color w:val="auto"/>
                <w:sz w:val="21"/>
                <w:szCs w:val="21"/>
                <w:highlight w:val="none"/>
                <w:lang w:eastAsia="zh-CN"/>
              </w:rPr>
            </w:pPr>
            <w:r>
              <w:rPr>
                <w:rFonts w:hint="eastAsia" w:ascii="仿宋" w:hAnsi="仿宋" w:eastAsia="仿宋" w:cs="Arial"/>
                <w:color w:val="auto"/>
                <w:sz w:val="21"/>
                <w:szCs w:val="21"/>
                <w:highlight w:val="none"/>
                <w:lang w:val="en-US" w:eastAsia="zh-CN"/>
              </w:rPr>
              <w:t>4</w:t>
            </w:r>
          </w:p>
        </w:tc>
        <w:tc>
          <w:tcPr>
            <w:tcW w:w="7687" w:type="dxa"/>
            <w:tcBorders>
              <w:top w:val="single" w:color="auto" w:sz="6" w:space="0"/>
              <w:left w:val="single" w:color="auto" w:sz="6" w:space="0"/>
              <w:bottom w:val="single" w:color="auto" w:sz="6" w:space="0"/>
              <w:right w:val="single" w:color="auto" w:sz="6" w:space="0"/>
            </w:tcBorders>
            <w:noWrap/>
            <w:vAlign w:val="center"/>
          </w:tcPr>
          <w:p>
            <w:pPr>
              <w:bidi w:val="0"/>
              <w:rPr>
                <w:rFonts w:hint="eastAsia" w:ascii="仿宋" w:hAnsi="仿宋" w:eastAsia="仿宋" w:cs="仿宋"/>
                <w:color w:val="auto"/>
                <w:highlight w:val="none"/>
              </w:rPr>
            </w:pPr>
            <w:r>
              <w:rPr>
                <w:rFonts w:hint="eastAsia" w:ascii="仿宋" w:hAnsi="仿宋" w:eastAsia="仿宋" w:cs="仿宋"/>
                <w:color w:val="auto"/>
                <w:highlight w:val="none"/>
              </w:rPr>
              <w:t>针对本工程项目总体情况把握进行分析：</w:t>
            </w:r>
            <w:r>
              <w:rPr>
                <w:rFonts w:hint="eastAsia" w:ascii="仿宋" w:hAnsi="仿宋" w:eastAsia="仿宋" w:cs="仿宋"/>
                <w:color w:val="auto"/>
                <w:highlight w:val="none"/>
                <w:lang w:val="en-US" w:eastAsia="zh-CN"/>
              </w:rPr>
              <w:t>根据对工程目标、总体施工部署分析的全面、完整性，分析内容位情况进行评审。（评审分值为4分或3分或2分或1分或0分）</w:t>
            </w:r>
          </w:p>
        </w:tc>
        <w:tc>
          <w:tcPr>
            <w:tcW w:w="774" w:type="dxa"/>
            <w:tcBorders>
              <w:top w:val="single" w:color="auto" w:sz="6" w:space="0"/>
              <w:left w:val="single" w:color="auto" w:sz="6" w:space="0"/>
              <w:bottom w:val="single" w:color="auto" w:sz="6" w:space="0"/>
              <w:right w:val="double" w:color="auto" w:sz="4" w:space="0"/>
            </w:tcBorders>
            <w:vAlign w:val="center"/>
          </w:tcPr>
          <w:p>
            <w:pPr>
              <w:bidi w:val="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34" w:hRule="atLeast"/>
          <w:tblHeader/>
          <w:jc w:val="center"/>
        </w:trPr>
        <w:tc>
          <w:tcPr>
            <w:tcW w:w="738" w:type="dxa"/>
            <w:tcBorders>
              <w:top w:val="single" w:color="auto" w:sz="6" w:space="0"/>
              <w:left w:val="double" w:color="auto" w:sz="4" w:space="0"/>
              <w:bottom w:val="single" w:color="auto" w:sz="6" w:space="0"/>
              <w:right w:val="single" w:color="auto" w:sz="6" w:space="0"/>
            </w:tcBorders>
            <w:noWrap/>
            <w:vAlign w:val="center"/>
          </w:tcPr>
          <w:p>
            <w:pPr>
              <w:snapToGrid w:val="0"/>
              <w:jc w:val="center"/>
              <w:rPr>
                <w:rFonts w:hint="eastAsia" w:ascii="仿宋" w:hAnsi="仿宋" w:eastAsia="仿宋" w:cs="Arial"/>
                <w:color w:val="auto"/>
                <w:sz w:val="21"/>
                <w:szCs w:val="21"/>
                <w:highlight w:val="none"/>
                <w:lang w:eastAsia="zh-CN"/>
              </w:rPr>
            </w:pPr>
            <w:r>
              <w:rPr>
                <w:rFonts w:hint="eastAsia" w:ascii="仿宋" w:hAnsi="仿宋" w:eastAsia="仿宋" w:cs="Arial"/>
                <w:color w:val="auto"/>
                <w:sz w:val="21"/>
                <w:szCs w:val="21"/>
                <w:highlight w:val="none"/>
                <w:lang w:val="en-US" w:eastAsia="zh-CN"/>
              </w:rPr>
              <w:t>5</w:t>
            </w:r>
          </w:p>
        </w:tc>
        <w:tc>
          <w:tcPr>
            <w:tcW w:w="7687" w:type="dxa"/>
            <w:tcBorders>
              <w:top w:val="single" w:color="auto" w:sz="6" w:space="0"/>
              <w:left w:val="single" w:color="auto" w:sz="6" w:space="0"/>
              <w:bottom w:val="single" w:color="auto" w:sz="6" w:space="0"/>
              <w:right w:val="single" w:color="auto" w:sz="6" w:space="0"/>
            </w:tcBorders>
            <w:noWrap/>
            <w:vAlign w:val="center"/>
          </w:tcPr>
          <w:p>
            <w:pPr>
              <w:bidi w:val="0"/>
              <w:rPr>
                <w:rFonts w:hint="eastAsia" w:ascii="仿宋" w:hAnsi="仿宋" w:eastAsia="仿宋" w:cs="仿宋"/>
                <w:color w:val="auto"/>
                <w:highlight w:val="none"/>
              </w:rPr>
            </w:pPr>
            <w:r>
              <w:rPr>
                <w:rFonts w:hint="eastAsia" w:ascii="仿宋" w:hAnsi="仿宋" w:eastAsia="仿宋" w:cs="仿宋"/>
                <w:color w:val="auto"/>
                <w:highlight w:val="none"/>
              </w:rPr>
              <w:t>工程施工技术方案、措施、施工组织设计：</w:t>
            </w:r>
            <w:r>
              <w:rPr>
                <w:rFonts w:hint="eastAsia" w:ascii="仿宋" w:hAnsi="仿宋" w:eastAsia="仿宋" w:cs="仿宋"/>
                <w:color w:val="auto"/>
                <w:highlight w:val="none"/>
                <w:lang w:val="en-US" w:eastAsia="zh-CN"/>
              </w:rPr>
              <w:t>根据方案内容的全面性、合理性，以及对本项目的针对性、可操行进行评审。（评审分值为4分或3分或2分或1分或0分）</w:t>
            </w:r>
          </w:p>
        </w:tc>
        <w:tc>
          <w:tcPr>
            <w:tcW w:w="774" w:type="dxa"/>
            <w:tcBorders>
              <w:top w:val="single" w:color="auto" w:sz="6" w:space="0"/>
              <w:left w:val="single" w:color="auto" w:sz="6" w:space="0"/>
              <w:bottom w:val="single" w:color="auto" w:sz="6" w:space="0"/>
              <w:right w:val="double" w:color="auto" w:sz="4" w:space="0"/>
            </w:tcBorders>
            <w:vAlign w:val="center"/>
          </w:tcPr>
          <w:p>
            <w:pPr>
              <w:bidi w:val="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30" w:hRule="atLeast"/>
          <w:tblHeader/>
          <w:jc w:val="center"/>
        </w:trPr>
        <w:tc>
          <w:tcPr>
            <w:tcW w:w="738" w:type="dxa"/>
            <w:tcBorders>
              <w:top w:val="single" w:color="auto" w:sz="6" w:space="0"/>
              <w:left w:val="double" w:color="auto" w:sz="4" w:space="0"/>
              <w:bottom w:val="single" w:color="auto" w:sz="6" w:space="0"/>
              <w:right w:val="single" w:color="auto" w:sz="6" w:space="0"/>
            </w:tcBorders>
            <w:noWrap/>
            <w:vAlign w:val="center"/>
          </w:tcPr>
          <w:p>
            <w:pPr>
              <w:snapToGrid w:val="0"/>
              <w:jc w:val="center"/>
              <w:rPr>
                <w:rFonts w:hint="eastAsia" w:ascii="仿宋" w:hAnsi="仿宋" w:eastAsia="仿宋" w:cs="Arial"/>
                <w:color w:val="auto"/>
                <w:sz w:val="21"/>
                <w:szCs w:val="21"/>
                <w:highlight w:val="none"/>
                <w:lang w:val="en-US" w:eastAsia="zh-CN"/>
              </w:rPr>
            </w:pPr>
            <w:r>
              <w:rPr>
                <w:rFonts w:hint="eastAsia" w:ascii="仿宋" w:hAnsi="仿宋" w:eastAsia="仿宋" w:cs="Arial"/>
                <w:color w:val="auto"/>
                <w:sz w:val="21"/>
                <w:szCs w:val="21"/>
                <w:highlight w:val="none"/>
                <w:lang w:val="en-US" w:eastAsia="zh-CN"/>
              </w:rPr>
              <w:t>6</w:t>
            </w:r>
          </w:p>
        </w:tc>
        <w:tc>
          <w:tcPr>
            <w:tcW w:w="7687" w:type="dxa"/>
            <w:tcBorders>
              <w:top w:val="single" w:color="auto" w:sz="6" w:space="0"/>
              <w:left w:val="single" w:color="auto" w:sz="6" w:space="0"/>
              <w:bottom w:val="single" w:color="auto" w:sz="6" w:space="0"/>
              <w:right w:val="single" w:color="auto" w:sz="6" w:space="0"/>
            </w:tcBorders>
            <w:noWrap/>
            <w:vAlign w:val="center"/>
          </w:tcPr>
          <w:p>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针对满足工期要求的进度计划及控制措施进行评审：根据方案完善程度、合理性、针对性进行评审。</w:t>
            </w:r>
            <w:r>
              <w:rPr>
                <w:rFonts w:hint="eastAsia" w:ascii="仿宋" w:hAnsi="仿宋" w:eastAsia="仿宋" w:cs="仿宋"/>
                <w:color w:val="auto"/>
                <w:highlight w:val="none"/>
                <w:lang w:val="en-US" w:eastAsia="zh-CN"/>
              </w:rPr>
              <w:t>（评审分值为5分或4分或3分或2分或1分或0分）</w:t>
            </w:r>
          </w:p>
        </w:tc>
        <w:tc>
          <w:tcPr>
            <w:tcW w:w="774" w:type="dxa"/>
            <w:tcBorders>
              <w:top w:val="single" w:color="auto" w:sz="6" w:space="0"/>
              <w:left w:val="single" w:color="auto" w:sz="6" w:space="0"/>
              <w:bottom w:val="single" w:color="auto" w:sz="6" w:space="0"/>
              <w:right w:val="double" w:color="auto" w:sz="4" w:space="0"/>
            </w:tcBorders>
            <w:vAlign w:val="center"/>
          </w:tcPr>
          <w:p>
            <w:pPr>
              <w:bidi w:val="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30" w:hRule="atLeast"/>
          <w:tblHeader/>
          <w:jc w:val="center"/>
        </w:trPr>
        <w:tc>
          <w:tcPr>
            <w:tcW w:w="738" w:type="dxa"/>
            <w:tcBorders>
              <w:top w:val="single" w:color="auto" w:sz="6" w:space="0"/>
              <w:left w:val="double" w:color="auto" w:sz="4" w:space="0"/>
              <w:bottom w:val="single" w:color="auto" w:sz="6" w:space="0"/>
              <w:right w:val="single" w:color="auto" w:sz="6" w:space="0"/>
            </w:tcBorders>
            <w:noWrap/>
            <w:vAlign w:val="center"/>
          </w:tcPr>
          <w:p>
            <w:pPr>
              <w:snapToGrid w:val="0"/>
              <w:jc w:val="center"/>
              <w:rPr>
                <w:rFonts w:hint="default" w:ascii="仿宋" w:hAnsi="仿宋" w:eastAsia="仿宋" w:cs="Arial"/>
                <w:color w:val="auto"/>
                <w:sz w:val="21"/>
                <w:szCs w:val="21"/>
                <w:highlight w:val="none"/>
                <w:lang w:val="en-US" w:eastAsia="zh-CN"/>
              </w:rPr>
            </w:pPr>
            <w:r>
              <w:rPr>
                <w:rFonts w:hint="eastAsia" w:ascii="仿宋" w:hAnsi="仿宋" w:eastAsia="仿宋" w:cs="Arial"/>
                <w:color w:val="auto"/>
                <w:sz w:val="21"/>
                <w:szCs w:val="21"/>
                <w:highlight w:val="none"/>
                <w:lang w:val="en-US" w:eastAsia="zh-CN"/>
              </w:rPr>
              <w:t>7</w:t>
            </w:r>
          </w:p>
        </w:tc>
        <w:tc>
          <w:tcPr>
            <w:tcW w:w="7687" w:type="dxa"/>
            <w:tcBorders>
              <w:top w:val="single" w:color="auto" w:sz="6" w:space="0"/>
              <w:left w:val="single" w:color="auto" w:sz="6" w:space="0"/>
              <w:bottom w:val="single" w:color="auto" w:sz="6" w:space="0"/>
              <w:right w:val="single" w:color="auto" w:sz="6" w:space="0"/>
            </w:tcBorders>
            <w:noWrap/>
            <w:vAlign w:val="center"/>
          </w:tcPr>
          <w:p>
            <w:pPr>
              <w:bidi w:val="0"/>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rPr>
              <w:t>对供应商和采购人配合实施的方案</w:t>
            </w:r>
            <w:r>
              <w:rPr>
                <w:rFonts w:hint="eastAsia" w:ascii="仿宋" w:hAnsi="仿宋" w:eastAsia="仿宋" w:cs="仿宋"/>
                <w:color w:val="auto"/>
                <w:highlight w:val="none"/>
                <w:lang w:val="en-US" w:eastAsia="zh-CN"/>
              </w:rPr>
              <w:t>：根据方案内容的全面性、合理性，以及对本项目的针对性、可操行进行评审。（评审分值3分或2分或1分或0分）</w:t>
            </w:r>
          </w:p>
        </w:tc>
        <w:tc>
          <w:tcPr>
            <w:tcW w:w="774" w:type="dxa"/>
            <w:tcBorders>
              <w:top w:val="single" w:color="auto" w:sz="6" w:space="0"/>
              <w:left w:val="single" w:color="auto" w:sz="6" w:space="0"/>
              <w:bottom w:val="single" w:color="auto" w:sz="6" w:space="0"/>
              <w:right w:val="double" w:color="auto" w:sz="4" w:space="0"/>
            </w:tcBorders>
            <w:vAlign w:val="center"/>
          </w:tcPr>
          <w:p>
            <w:pPr>
              <w:bidi w:val="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77" w:hRule="atLeast"/>
          <w:tblHeader/>
          <w:jc w:val="center"/>
        </w:trPr>
        <w:tc>
          <w:tcPr>
            <w:tcW w:w="738" w:type="dxa"/>
            <w:tcBorders>
              <w:top w:val="single" w:color="auto" w:sz="6" w:space="0"/>
              <w:left w:val="double" w:color="auto" w:sz="4" w:space="0"/>
              <w:bottom w:val="single" w:color="auto" w:sz="6" w:space="0"/>
              <w:right w:val="single" w:color="auto" w:sz="6" w:space="0"/>
            </w:tcBorders>
            <w:noWrap/>
            <w:vAlign w:val="center"/>
          </w:tcPr>
          <w:p>
            <w:pPr>
              <w:snapToGrid w:val="0"/>
              <w:jc w:val="center"/>
              <w:rPr>
                <w:rFonts w:hint="default" w:ascii="仿宋" w:hAnsi="仿宋" w:eastAsia="仿宋" w:cs="Arial"/>
                <w:color w:val="auto"/>
                <w:sz w:val="21"/>
                <w:szCs w:val="21"/>
                <w:highlight w:val="none"/>
                <w:lang w:val="en-US" w:eastAsia="zh-CN"/>
              </w:rPr>
            </w:pPr>
            <w:r>
              <w:rPr>
                <w:rFonts w:hint="eastAsia" w:ascii="仿宋" w:hAnsi="仿宋" w:eastAsia="仿宋" w:cs="Arial"/>
                <w:color w:val="auto"/>
                <w:sz w:val="21"/>
                <w:szCs w:val="21"/>
                <w:highlight w:val="none"/>
                <w:lang w:val="en-US" w:eastAsia="zh-CN"/>
              </w:rPr>
              <w:t>8</w:t>
            </w:r>
          </w:p>
        </w:tc>
        <w:tc>
          <w:tcPr>
            <w:tcW w:w="7687" w:type="dxa"/>
            <w:tcBorders>
              <w:top w:val="single" w:color="auto" w:sz="6" w:space="0"/>
              <w:left w:val="single" w:color="auto" w:sz="6" w:space="0"/>
              <w:bottom w:val="single" w:color="auto" w:sz="6" w:space="0"/>
              <w:right w:val="single" w:color="auto" w:sz="6" w:space="0"/>
            </w:tcBorders>
            <w:noWrap/>
            <w:vAlign w:val="center"/>
          </w:tcPr>
          <w:p>
            <w:pPr>
              <w:bidi w:val="0"/>
              <w:rPr>
                <w:rFonts w:hint="eastAsia" w:ascii="仿宋" w:hAnsi="仿宋" w:eastAsia="仿宋" w:cs="仿宋"/>
                <w:color w:val="auto"/>
                <w:highlight w:val="none"/>
              </w:rPr>
            </w:pPr>
            <w:r>
              <w:rPr>
                <w:rFonts w:hint="eastAsia" w:ascii="仿宋" w:hAnsi="仿宋" w:eastAsia="仿宋" w:cs="仿宋"/>
                <w:color w:val="auto"/>
                <w:highlight w:val="none"/>
              </w:rPr>
              <w:t>本项目施工难点、施工重点的描述及解决措施：根据措施的科学性、合理性、可行性进行评审。</w:t>
            </w:r>
            <w:r>
              <w:rPr>
                <w:rFonts w:hint="eastAsia" w:ascii="仿宋" w:hAnsi="仿宋" w:eastAsia="仿宋" w:cs="仿宋"/>
                <w:color w:val="auto"/>
                <w:highlight w:val="none"/>
                <w:lang w:val="en-US" w:eastAsia="zh-CN"/>
              </w:rPr>
              <w:t>（评审分值为4分或3分或2分或1分或0分）</w:t>
            </w:r>
          </w:p>
        </w:tc>
        <w:tc>
          <w:tcPr>
            <w:tcW w:w="774" w:type="dxa"/>
            <w:tcBorders>
              <w:top w:val="single" w:color="auto" w:sz="6" w:space="0"/>
              <w:left w:val="single" w:color="auto" w:sz="6" w:space="0"/>
              <w:bottom w:val="single" w:color="auto" w:sz="6" w:space="0"/>
              <w:right w:val="double" w:color="auto" w:sz="4" w:space="0"/>
            </w:tcBorders>
            <w:vAlign w:val="center"/>
          </w:tcPr>
          <w:p>
            <w:pPr>
              <w:bidi w:val="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94" w:hRule="atLeast"/>
          <w:tblHeader/>
          <w:jc w:val="center"/>
        </w:trPr>
        <w:tc>
          <w:tcPr>
            <w:tcW w:w="738" w:type="dxa"/>
            <w:tcBorders>
              <w:top w:val="single" w:color="auto" w:sz="6" w:space="0"/>
              <w:left w:val="double" w:color="auto" w:sz="4" w:space="0"/>
              <w:bottom w:val="single" w:color="auto" w:sz="6" w:space="0"/>
              <w:right w:val="single" w:color="auto" w:sz="6" w:space="0"/>
            </w:tcBorders>
            <w:noWrap/>
            <w:vAlign w:val="center"/>
          </w:tcPr>
          <w:p>
            <w:pPr>
              <w:snapToGrid w:val="0"/>
              <w:jc w:val="center"/>
              <w:rPr>
                <w:rFonts w:hint="default" w:ascii="仿宋" w:hAnsi="仿宋" w:eastAsia="仿宋" w:cs="Arial"/>
                <w:color w:val="auto"/>
                <w:sz w:val="21"/>
                <w:szCs w:val="21"/>
                <w:highlight w:val="none"/>
                <w:lang w:val="en-US" w:eastAsia="zh-CN"/>
              </w:rPr>
            </w:pPr>
            <w:r>
              <w:rPr>
                <w:rFonts w:hint="eastAsia" w:ascii="仿宋" w:hAnsi="仿宋" w:eastAsia="仿宋" w:cs="Arial"/>
                <w:color w:val="auto"/>
                <w:sz w:val="21"/>
                <w:szCs w:val="21"/>
                <w:highlight w:val="none"/>
                <w:lang w:val="en-US" w:eastAsia="zh-CN"/>
              </w:rPr>
              <w:t>9</w:t>
            </w:r>
          </w:p>
        </w:tc>
        <w:tc>
          <w:tcPr>
            <w:tcW w:w="7687" w:type="dxa"/>
            <w:tcBorders>
              <w:top w:val="single" w:color="auto" w:sz="6" w:space="0"/>
              <w:left w:val="single" w:color="auto" w:sz="6" w:space="0"/>
              <w:bottom w:val="single" w:color="auto" w:sz="6" w:space="0"/>
              <w:right w:val="single" w:color="auto" w:sz="6" w:space="0"/>
            </w:tcBorders>
            <w:noWrap/>
            <w:vAlign w:val="center"/>
          </w:tcPr>
          <w:p>
            <w:pPr>
              <w:bidi w:val="0"/>
              <w:rPr>
                <w:rFonts w:hint="eastAsia" w:ascii="仿宋" w:hAnsi="仿宋" w:eastAsia="仿宋" w:cs="仿宋"/>
                <w:color w:val="auto"/>
                <w:highlight w:val="none"/>
              </w:rPr>
            </w:pPr>
            <w:r>
              <w:rPr>
                <w:rFonts w:hint="eastAsia" w:ascii="仿宋" w:hAnsi="仿宋" w:eastAsia="仿宋" w:cs="仿宋"/>
                <w:color w:val="auto"/>
                <w:highlight w:val="none"/>
              </w:rPr>
              <w:t>拟派驻现场的工程技术管理人员的专业配置：</w:t>
            </w:r>
            <w:r>
              <w:rPr>
                <w:rFonts w:hint="eastAsia" w:ascii="仿宋" w:hAnsi="仿宋" w:eastAsia="仿宋" w:cs="仿宋"/>
                <w:color w:val="auto"/>
                <w:highlight w:val="none"/>
                <w:lang w:val="en-US" w:eastAsia="zh-CN"/>
              </w:rPr>
              <w:t>根据人员配置的科学合理性、职责明确情况，人员的相关项目经验情况进行评审。（评审分值为4分或3分或2分或1分或0分）</w:t>
            </w:r>
          </w:p>
        </w:tc>
        <w:tc>
          <w:tcPr>
            <w:tcW w:w="774" w:type="dxa"/>
            <w:tcBorders>
              <w:top w:val="single" w:color="auto" w:sz="6" w:space="0"/>
              <w:left w:val="single" w:color="auto" w:sz="6" w:space="0"/>
              <w:bottom w:val="single" w:color="auto" w:sz="6" w:space="0"/>
              <w:right w:val="double" w:color="auto" w:sz="4" w:space="0"/>
            </w:tcBorders>
            <w:vAlign w:val="center"/>
          </w:tcPr>
          <w:p>
            <w:pPr>
              <w:bidi w:val="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42" w:hRule="atLeast"/>
          <w:tblHeader/>
          <w:jc w:val="center"/>
        </w:trPr>
        <w:tc>
          <w:tcPr>
            <w:tcW w:w="738" w:type="dxa"/>
            <w:tcBorders>
              <w:top w:val="single" w:color="auto" w:sz="6" w:space="0"/>
              <w:left w:val="double" w:color="auto" w:sz="4" w:space="0"/>
              <w:bottom w:val="single" w:color="auto" w:sz="6" w:space="0"/>
              <w:right w:val="single" w:color="auto" w:sz="6" w:space="0"/>
            </w:tcBorders>
            <w:noWrap/>
            <w:vAlign w:val="center"/>
          </w:tcPr>
          <w:p>
            <w:pPr>
              <w:snapToGrid w:val="0"/>
              <w:jc w:val="center"/>
              <w:rPr>
                <w:rFonts w:hint="default" w:ascii="仿宋" w:hAnsi="仿宋" w:eastAsia="仿宋" w:cs="Arial"/>
                <w:color w:val="auto"/>
                <w:sz w:val="21"/>
                <w:szCs w:val="21"/>
                <w:highlight w:val="none"/>
                <w:lang w:val="en-US" w:eastAsia="zh-CN"/>
              </w:rPr>
            </w:pPr>
            <w:r>
              <w:rPr>
                <w:rFonts w:hint="eastAsia" w:ascii="仿宋" w:hAnsi="仿宋" w:eastAsia="仿宋" w:cs="Arial"/>
                <w:color w:val="auto"/>
                <w:sz w:val="21"/>
                <w:szCs w:val="21"/>
                <w:highlight w:val="none"/>
                <w:lang w:val="en-US" w:eastAsia="zh-CN"/>
              </w:rPr>
              <w:t>10</w:t>
            </w:r>
          </w:p>
        </w:tc>
        <w:tc>
          <w:tcPr>
            <w:tcW w:w="7687" w:type="dxa"/>
            <w:tcBorders>
              <w:top w:val="single" w:color="auto" w:sz="6" w:space="0"/>
              <w:left w:val="single" w:color="auto" w:sz="6" w:space="0"/>
              <w:bottom w:val="single" w:color="auto" w:sz="6" w:space="0"/>
              <w:right w:val="single" w:color="auto" w:sz="6" w:space="0"/>
            </w:tcBorders>
            <w:noWrap/>
            <w:vAlign w:val="center"/>
          </w:tcPr>
          <w:p>
            <w:pPr>
              <w:bidi w:val="0"/>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针对本项目的园林绿化服务方案</w:t>
            </w:r>
          </w:p>
        </w:tc>
        <w:tc>
          <w:tcPr>
            <w:tcW w:w="774" w:type="dxa"/>
            <w:tcBorders>
              <w:top w:val="single" w:color="auto" w:sz="6" w:space="0"/>
              <w:left w:val="single" w:color="auto" w:sz="6" w:space="0"/>
              <w:bottom w:val="single" w:color="auto" w:sz="6" w:space="0"/>
              <w:right w:val="double" w:color="auto" w:sz="4" w:space="0"/>
            </w:tcBorders>
            <w:vAlign w:val="center"/>
          </w:tcPr>
          <w:p>
            <w:pPr>
              <w:bidi w:val="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83" w:hRule="atLeast"/>
          <w:tblHeader/>
          <w:jc w:val="center"/>
        </w:trPr>
        <w:tc>
          <w:tcPr>
            <w:tcW w:w="738" w:type="dxa"/>
            <w:tcBorders>
              <w:top w:val="single" w:color="auto" w:sz="6" w:space="0"/>
              <w:left w:val="double" w:color="auto" w:sz="4" w:space="0"/>
              <w:bottom w:val="single" w:color="auto" w:sz="6" w:space="0"/>
              <w:right w:val="single" w:color="auto" w:sz="6" w:space="0"/>
            </w:tcBorders>
            <w:noWrap/>
            <w:vAlign w:val="center"/>
          </w:tcPr>
          <w:p>
            <w:pPr>
              <w:snapToGrid w:val="0"/>
              <w:jc w:val="center"/>
              <w:rPr>
                <w:rFonts w:hint="default" w:ascii="仿宋" w:hAnsi="仿宋" w:eastAsia="仿宋" w:cs="Arial"/>
                <w:color w:val="auto"/>
                <w:sz w:val="21"/>
                <w:szCs w:val="21"/>
                <w:highlight w:val="none"/>
                <w:lang w:val="en-US" w:eastAsia="zh-CN"/>
              </w:rPr>
            </w:pPr>
            <w:r>
              <w:rPr>
                <w:rFonts w:hint="eastAsia" w:ascii="仿宋" w:hAnsi="仿宋" w:eastAsia="仿宋" w:cs="Arial"/>
                <w:color w:val="auto"/>
                <w:sz w:val="21"/>
                <w:szCs w:val="21"/>
                <w:highlight w:val="none"/>
                <w:lang w:val="en-US" w:eastAsia="zh-CN"/>
              </w:rPr>
              <w:t>10.1</w:t>
            </w:r>
          </w:p>
        </w:tc>
        <w:tc>
          <w:tcPr>
            <w:tcW w:w="7687" w:type="dxa"/>
            <w:tcBorders>
              <w:top w:val="single" w:color="auto" w:sz="6" w:space="0"/>
              <w:left w:val="single" w:color="auto" w:sz="6" w:space="0"/>
              <w:bottom w:val="single" w:color="auto" w:sz="6" w:space="0"/>
              <w:right w:val="single" w:color="auto" w:sz="6" w:space="0"/>
            </w:tcBorders>
            <w:noWrap/>
            <w:vAlign w:val="center"/>
          </w:tcPr>
          <w:p>
            <w:pPr>
              <w:bidi w:val="0"/>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绿化服务方案中服务分析定位和管理目标承诺：根据服务定位分析、管理目标的明确程度及管理目标承诺对项目的实施的有利程度进行评审。（评审分值为2分或1.5分或1分或0.5分或0分）</w:t>
            </w:r>
          </w:p>
        </w:tc>
        <w:tc>
          <w:tcPr>
            <w:tcW w:w="774" w:type="dxa"/>
            <w:tcBorders>
              <w:top w:val="single" w:color="auto" w:sz="6" w:space="0"/>
              <w:left w:val="single" w:color="auto" w:sz="6" w:space="0"/>
              <w:bottom w:val="single" w:color="auto" w:sz="6" w:space="0"/>
              <w:right w:val="double" w:color="auto" w:sz="4" w:space="0"/>
            </w:tcBorders>
            <w:vAlign w:val="center"/>
          </w:tcPr>
          <w:p>
            <w:pPr>
              <w:bidi w:val="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21" w:hRule="atLeast"/>
          <w:tblHeader/>
          <w:jc w:val="center"/>
        </w:trPr>
        <w:tc>
          <w:tcPr>
            <w:tcW w:w="738" w:type="dxa"/>
            <w:tcBorders>
              <w:top w:val="single" w:color="auto" w:sz="6" w:space="0"/>
              <w:left w:val="double" w:color="auto" w:sz="4" w:space="0"/>
              <w:bottom w:val="single" w:color="auto" w:sz="6" w:space="0"/>
              <w:right w:val="single" w:color="auto" w:sz="6" w:space="0"/>
            </w:tcBorders>
            <w:noWrap/>
            <w:vAlign w:val="center"/>
          </w:tcPr>
          <w:p>
            <w:pPr>
              <w:snapToGrid w:val="0"/>
              <w:jc w:val="center"/>
              <w:rPr>
                <w:rFonts w:hint="default" w:ascii="仿宋" w:hAnsi="仿宋" w:eastAsia="仿宋" w:cs="Arial"/>
                <w:color w:val="auto"/>
                <w:sz w:val="21"/>
                <w:szCs w:val="21"/>
                <w:highlight w:val="none"/>
                <w:lang w:val="en-US" w:eastAsia="zh-CN"/>
              </w:rPr>
            </w:pPr>
            <w:r>
              <w:rPr>
                <w:rFonts w:hint="eastAsia" w:ascii="仿宋" w:hAnsi="仿宋" w:eastAsia="仿宋" w:cs="Arial"/>
                <w:color w:val="auto"/>
                <w:sz w:val="21"/>
                <w:szCs w:val="21"/>
                <w:highlight w:val="none"/>
                <w:lang w:val="en-US" w:eastAsia="zh-CN"/>
              </w:rPr>
              <w:t>10.2</w:t>
            </w:r>
          </w:p>
        </w:tc>
        <w:tc>
          <w:tcPr>
            <w:tcW w:w="7687" w:type="dxa"/>
            <w:tcBorders>
              <w:top w:val="single" w:color="auto" w:sz="6" w:space="0"/>
              <w:left w:val="single" w:color="auto" w:sz="6" w:space="0"/>
              <w:bottom w:val="single" w:color="auto" w:sz="6" w:space="0"/>
              <w:right w:val="single" w:color="auto" w:sz="6" w:space="0"/>
            </w:tcBorders>
            <w:noWrap/>
            <w:vAlign w:val="center"/>
          </w:tcPr>
          <w:p>
            <w:pPr>
              <w:bidi w:val="0"/>
              <w:rPr>
                <w:rFonts w:hint="default" w:ascii="仿宋" w:hAnsi="仿宋" w:eastAsia="仿宋" w:cs="仿宋"/>
                <w:color w:val="auto"/>
                <w:highlight w:val="none"/>
                <w:lang w:val="en-US"/>
              </w:rPr>
            </w:pPr>
            <w:r>
              <w:rPr>
                <w:rFonts w:hint="eastAsia" w:ascii="仿宋" w:hAnsi="仿宋" w:eastAsia="仿宋" w:cs="仿宋"/>
                <w:color w:val="auto"/>
                <w:highlight w:val="none"/>
                <w:lang w:val="en-US" w:eastAsia="zh-CN"/>
              </w:rPr>
              <w:t>根据方案中服务范围的完整性、内容的全面性，管养要求的满足程度、有实际可操作性，管养人员配备、管养计划及管养标准合理、规范性，关于服务内容的承诺对项目的实施的有利程度进行评审。（评审分值为5分或4分或3分或2分或1分或0分）</w:t>
            </w:r>
          </w:p>
        </w:tc>
        <w:tc>
          <w:tcPr>
            <w:tcW w:w="774" w:type="dxa"/>
            <w:tcBorders>
              <w:top w:val="single" w:color="auto" w:sz="6" w:space="0"/>
              <w:left w:val="single" w:color="auto" w:sz="6" w:space="0"/>
              <w:bottom w:val="single" w:color="auto" w:sz="6" w:space="0"/>
              <w:right w:val="double" w:color="auto" w:sz="4" w:space="0"/>
            </w:tcBorders>
            <w:vAlign w:val="center"/>
          </w:tcPr>
          <w:p>
            <w:pPr>
              <w:bidi w:val="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50" w:hRule="atLeast"/>
          <w:tblHeader/>
          <w:jc w:val="center"/>
        </w:trPr>
        <w:tc>
          <w:tcPr>
            <w:tcW w:w="738" w:type="dxa"/>
            <w:tcBorders>
              <w:top w:val="single" w:color="auto" w:sz="6" w:space="0"/>
              <w:left w:val="double" w:color="auto" w:sz="4" w:space="0"/>
              <w:bottom w:val="single" w:color="auto" w:sz="6" w:space="0"/>
              <w:right w:val="single" w:color="auto" w:sz="6" w:space="0"/>
            </w:tcBorders>
            <w:noWrap/>
            <w:vAlign w:val="center"/>
          </w:tcPr>
          <w:p>
            <w:pPr>
              <w:snapToGrid w:val="0"/>
              <w:jc w:val="center"/>
              <w:rPr>
                <w:rFonts w:hint="default" w:ascii="仿宋" w:hAnsi="仿宋" w:eastAsia="仿宋" w:cs="Arial"/>
                <w:color w:val="auto"/>
                <w:sz w:val="21"/>
                <w:szCs w:val="21"/>
                <w:highlight w:val="none"/>
                <w:lang w:val="en-US" w:eastAsia="zh-CN"/>
              </w:rPr>
            </w:pPr>
            <w:r>
              <w:rPr>
                <w:rFonts w:hint="eastAsia" w:ascii="仿宋" w:hAnsi="仿宋" w:eastAsia="仿宋" w:cs="Arial"/>
                <w:color w:val="auto"/>
                <w:sz w:val="21"/>
                <w:szCs w:val="21"/>
                <w:highlight w:val="none"/>
                <w:lang w:val="en-US" w:eastAsia="zh-CN"/>
              </w:rPr>
              <w:t>10.3</w:t>
            </w:r>
          </w:p>
        </w:tc>
        <w:tc>
          <w:tcPr>
            <w:tcW w:w="7687" w:type="dxa"/>
            <w:tcBorders>
              <w:top w:val="single" w:color="auto" w:sz="6" w:space="0"/>
              <w:left w:val="single" w:color="auto" w:sz="6" w:space="0"/>
              <w:bottom w:val="single" w:color="auto" w:sz="6" w:space="0"/>
              <w:right w:val="single" w:color="auto" w:sz="6" w:space="0"/>
            </w:tcBorders>
            <w:noWrap/>
            <w:vAlign w:val="center"/>
          </w:tcPr>
          <w:p>
            <w:pPr>
              <w:bidi w:val="0"/>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本项目中园林绿化内容质保期内有合理管养补苗和老化更换计划及承诺，根据计划的合理性、可行性以及承诺对项目的实施的有利程度进行评审。（评审分值为5分或4分或3分或2分或1分或0分）</w:t>
            </w:r>
          </w:p>
        </w:tc>
        <w:tc>
          <w:tcPr>
            <w:tcW w:w="774" w:type="dxa"/>
            <w:tcBorders>
              <w:top w:val="single" w:color="auto" w:sz="6" w:space="0"/>
              <w:left w:val="single" w:color="auto" w:sz="6" w:space="0"/>
              <w:bottom w:val="single" w:color="auto" w:sz="6" w:space="0"/>
              <w:right w:val="double" w:color="auto" w:sz="4" w:space="0"/>
            </w:tcBorders>
            <w:vAlign w:val="center"/>
          </w:tcPr>
          <w:p>
            <w:pPr>
              <w:bidi w:val="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76" w:hRule="atLeast"/>
          <w:tblHeader/>
          <w:jc w:val="center"/>
        </w:trPr>
        <w:tc>
          <w:tcPr>
            <w:tcW w:w="738" w:type="dxa"/>
            <w:tcBorders>
              <w:top w:val="single" w:color="auto" w:sz="6" w:space="0"/>
              <w:left w:val="double" w:color="auto" w:sz="4" w:space="0"/>
              <w:bottom w:val="single" w:color="auto" w:sz="6" w:space="0"/>
              <w:right w:val="single" w:color="auto" w:sz="6" w:space="0"/>
            </w:tcBorders>
            <w:noWrap/>
            <w:vAlign w:val="center"/>
          </w:tcPr>
          <w:p>
            <w:pPr>
              <w:snapToGrid w:val="0"/>
              <w:jc w:val="center"/>
              <w:rPr>
                <w:rFonts w:hint="default" w:ascii="仿宋" w:hAnsi="仿宋" w:eastAsia="仿宋" w:cs="Arial"/>
                <w:color w:val="auto"/>
                <w:sz w:val="21"/>
                <w:szCs w:val="21"/>
                <w:highlight w:val="none"/>
                <w:lang w:val="en-US" w:eastAsia="zh-CN"/>
              </w:rPr>
            </w:pPr>
            <w:r>
              <w:rPr>
                <w:rFonts w:hint="eastAsia" w:ascii="仿宋" w:hAnsi="仿宋" w:eastAsia="仿宋" w:cs="Arial"/>
                <w:color w:val="auto"/>
                <w:sz w:val="21"/>
                <w:szCs w:val="21"/>
                <w:highlight w:val="none"/>
                <w:lang w:val="en-US" w:eastAsia="zh-CN"/>
              </w:rPr>
              <w:t>11</w:t>
            </w:r>
          </w:p>
        </w:tc>
        <w:tc>
          <w:tcPr>
            <w:tcW w:w="7687" w:type="dxa"/>
            <w:tcBorders>
              <w:top w:val="single" w:color="auto" w:sz="6" w:space="0"/>
              <w:left w:val="single" w:color="auto" w:sz="6" w:space="0"/>
              <w:bottom w:val="single" w:color="auto" w:sz="6" w:space="0"/>
              <w:right w:val="single" w:color="auto" w:sz="6" w:space="0"/>
            </w:tcBorders>
            <w:noWrap/>
            <w:vAlign w:val="center"/>
          </w:tcPr>
          <w:p>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施工质量控制措施：</w:t>
            </w:r>
            <w:r>
              <w:rPr>
                <w:rFonts w:hint="eastAsia" w:ascii="仿宋" w:hAnsi="仿宋" w:eastAsia="仿宋" w:cs="仿宋"/>
                <w:color w:val="auto"/>
                <w:highlight w:val="none"/>
                <w:lang w:val="en-US" w:eastAsia="zh-CN"/>
              </w:rPr>
              <w:t>根据方案的全面性、合理性，以及对本项目的针对性、可操行进行评审。（评审分值为4分或3分或2分或1分或0分）</w:t>
            </w:r>
          </w:p>
        </w:tc>
        <w:tc>
          <w:tcPr>
            <w:tcW w:w="774" w:type="dxa"/>
            <w:tcBorders>
              <w:top w:val="single" w:color="auto" w:sz="6" w:space="0"/>
              <w:left w:val="single" w:color="auto" w:sz="6" w:space="0"/>
              <w:bottom w:val="single" w:color="auto" w:sz="6" w:space="0"/>
              <w:right w:val="double" w:color="auto" w:sz="4" w:space="0"/>
            </w:tcBorders>
            <w:vAlign w:val="center"/>
          </w:tcPr>
          <w:p>
            <w:pPr>
              <w:bidi w:val="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66" w:hRule="atLeast"/>
          <w:tblHeader/>
          <w:jc w:val="center"/>
        </w:trPr>
        <w:tc>
          <w:tcPr>
            <w:tcW w:w="738" w:type="dxa"/>
            <w:tcBorders>
              <w:top w:val="single" w:color="auto" w:sz="6" w:space="0"/>
              <w:left w:val="double" w:color="auto" w:sz="4" w:space="0"/>
              <w:bottom w:val="single" w:color="auto" w:sz="6" w:space="0"/>
              <w:right w:val="single" w:color="auto" w:sz="6" w:space="0"/>
            </w:tcBorders>
            <w:noWrap/>
            <w:vAlign w:val="center"/>
          </w:tcPr>
          <w:p>
            <w:pPr>
              <w:snapToGrid w:val="0"/>
              <w:jc w:val="center"/>
              <w:rPr>
                <w:rFonts w:hint="default" w:ascii="仿宋" w:hAnsi="仿宋" w:eastAsia="仿宋" w:cs="Arial"/>
                <w:color w:val="auto"/>
                <w:sz w:val="21"/>
                <w:szCs w:val="21"/>
                <w:highlight w:val="none"/>
                <w:lang w:val="en-US" w:eastAsia="zh-CN"/>
              </w:rPr>
            </w:pPr>
            <w:r>
              <w:rPr>
                <w:rFonts w:hint="eastAsia" w:ascii="仿宋" w:hAnsi="仿宋" w:eastAsia="仿宋" w:cs="Arial"/>
                <w:color w:val="auto"/>
                <w:sz w:val="21"/>
                <w:szCs w:val="21"/>
                <w:highlight w:val="none"/>
                <w:lang w:val="en-US" w:eastAsia="zh-CN"/>
              </w:rPr>
              <w:t>12</w:t>
            </w:r>
          </w:p>
        </w:tc>
        <w:tc>
          <w:tcPr>
            <w:tcW w:w="7687" w:type="dxa"/>
            <w:tcBorders>
              <w:top w:val="single" w:color="auto" w:sz="6" w:space="0"/>
              <w:left w:val="single" w:color="auto" w:sz="6" w:space="0"/>
              <w:bottom w:val="single" w:color="auto" w:sz="6" w:space="0"/>
              <w:right w:val="single" w:color="auto" w:sz="6" w:space="0"/>
            </w:tcBorders>
            <w:noWrap/>
            <w:vAlign w:val="center"/>
          </w:tcPr>
          <w:p>
            <w:pPr>
              <w:bidi w:val="0"/>
              <w:rPr>
                <w:rFonts w:hint="eastAsia" w:ascii="仿宋" w:hAnsi="仿宋" w:eastAsia="仿宋" w:cs="仿宋"/>
                <w:color w:val="auto"/>
                <w:highlight w:val="none"/>
              </w:rPr>
            </w:pPr>
            <w:r>
              <w:rPr>
                <w:rFonts w:hint="eastAsia" w:ascii="仿宋" w:hAnsi="仿宋" w:eastAsia="仿宋" w:cs="仿宋"/>
                <w:color w:val="auto"/>
                <w:highlight w:val="none"/>
              </w:rPr>
              <w:t>安全、文明施工及环保、消防等的保障措施：根据措施的科学性、合理性、可行性进行评审。</w:t>
            </w:r>
            <w:r>
              <w:rPr>
                <w:rFonts w:hint="eastAsia" w:ascii="仿宋" w:hAnsi="仿宋" w:eastAsia="仿宋" w:cs="仿宋"/>
                <w:color w:val="auto"/>
                <w:highlight w:val="none"/>
                <w:lang w:val="en-US" w:eastAsia="zh-CN"/>
              </w:rPr>
              <w:t>（评审分值为4分或3分或2分或1分或0分）</w:t>
            </w:r>
          </w:p>
        </w:tc>
        <w:tc>
          <w:tcPr>
            <w:tcW w:w="774" w:type="dxa"/>
            <w:tcBorders>
              <w:top w:val="single" w:color="auto" w:sz="6" w:space="0"/>
              <w:left w:val="single" w:color="auto" w:sz="6" w:space="0"/>
              <w:bottom w:val="single" w:color="auto" w:sz="6" w:space="0"/>
              <w:right w:val="double" w:color="auto" w:sz="4" w:space="0"/>
            </w:tcBorders>
            <w:vAlign w:val="center"/>
          </w:tcPr>
          <w:p>
            <w:pPr>
              <w:bidi w:val="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55" w:hRule="atLeast"/>
          <w:tblHeader/>
          <w:jc w:val="center"/>
        </w:trPr>
        <w:tc>
          <w:tcPr>
            <w:tcW w:w="738" w:type="dxa"/>
            <w:tcBorders>
              <w:top w:val="single" w:color="auto" w:sz="6" w:space="0"/>
              <w:left w:val="double" w:color="auto" w:sz="4" w:space="0"/>
              <w:bottom w:val="single" w:color="auto" w:sz="6" w:space="0"/>
              <w:right w:val="single" w:color="auto" w:sz="6" w:space="0"/>
            </w:tcBorders>
            <w:noWrap/>
            <w:vAlign w:val="center"/>
          </w:tcPr>
          <w:p>
            <w:pPr>
              <w:snapToGrid w:val="0"/>
              <w:jc w:val="center"/>
              <w:rPr>
                <w:rFonts w:hint="default" w:ascii="仿宋" w:hAnsi="仿宋" w:eastAsia="仿宋" w:cs="Arial"/>
                <w:color w:val="auto"/>
                <w:sz w:val="21"/>
                <w:szCs w:val="21"/>
                <w:highlight w:val="none"/>
                <w:lang w:val="en-US" w:eastAsia="zh-CN"/>
              </w:rPr>
            </w:pPr>
            <w:r>
              <w:rPr>
                <w:rFonts w:hint="eastAsia" w:ascii="仿宋" w:hAnsi="仿宋" w:eastAsia="仿宋" w:cs="Arial"/>
                <w:color w:val="auto"/>
                <w:sz w:val="21"/>
                <w:szCs w:val="21"/>
                <w:highlight w:val="none"/>
                <w:lang w:val="en-US" w:eastAsia="zh-CN"/>
              </w:rPr>
              <w:t>13</w:t>
            </w:r>
          </w:p>
        </w:tc>
        <w:tc>
          <w:tcPr>
            <w:tcW w:w="7687" w:type="dxa"/>
            <w:tcBorders>
              <w:top w:val="single" w:color="auto" w:sz="6" w:space="0"/>
              <w:left w:val="single" w:color="auto" w:sz="6" w:space="0"/>
              <w:bottom w:val="single" w:color="auto" w:sz="6" w:space="0"/>
              <w:right w:val="single" w:color="auto" w:sz="6" w:space="0"/>
            </w:tcBorders>
            <w:noWrap/>
            <w:vAlign w:val="center"/>
          </w:tcPr>
          <w:p>
            <w:pPr>
              <w:bidi w:val="0"/>
              <w:rPr>
                <w:rFonts w:hint="eastAsia" w:ascii="仿宋" w:hAnsi="仿宋" w:eastAsia="仿宋" w:cs="仿宋"/>
                <w:color w:val="auto"/>
                <w:highlight w:val="none"/>
              </w:rPr>
            </w:pPr>
            <w:r>
              <w:rPr>
                <w:rFonts w:hint="eastAsia" w:ascii="仿宋" w:hAnsi="仿宋" w:eastAsia="仿宋" w:cs="仿宋"/>
                <w:color w:val="auto"/>
                <w:highlight w:val="none"/>
              </w:rPr>
              <w:t>施工机具、检验仪器的投入满足工程质量和进度要求的程度：</w:t>
            </w:r>
            <w:r>
              <w:rPr>
                <w:rFonts w:hint="eastAsia" w:ascii="仿宋" w:hAnsi="仿宋" w:eastAsia="仿宋" w:cs="仿宋"/>
                <w:color w:val="auto"/>
                <w:highlight w:val="none"/>
                <w:lang w:val="en-US" w:eastAsia="zh-CN"/>
              </w:rPr>
              <w:t>根据投入</w:t>
            </w:r>
            <w:r>
              <w:rPr>
                <w:rFonts w:hint="eastAsia" w:ascii="仿宋" w:hAnsi="仿宋" w:eastAsia="仿宋" w:cs="仿宋"/>
                <w:color w:val="auto"/>
                <w:highlight w:val="none"/>
              </w:rPr>
              <w:t>施工机具、检验仪器</w:t>
            </w:r>
            <w:r>
              <w:rPr>
                <w:rFonts w:hint="eastAsia" w:ascii="仿宋" w:hAnsi="仿宋" w:eastAsia="仿宋" w:cs="仿宋"/>
                <w:color w:val="auto"/>
                <w:highlight w:val="none"/>
                <w:lang w:val="en-US" w:eastAsia="zh-CN"/>
              </w:rPr>
              <w:t>配置的科学性、合理性进行评审。（评审分值为4分或3分或2分或1分或0分）</w:t>
            </w:r>
          </w:p>
        </w:tc>
        <w:tc>
          <w:tcPr>
            <w:tcW w:w="774" w:type="dxa"/>
            <w:tcBorders>
              <w:top w:val="single" w:color="auto" w:sz="6" w:space="0"/>
              <w:left w:val="single" w:color="auto" w:sz="6" w:space="0"/>
              <w:bottom w:val="single" w:color="auto" w:sz="6" w:space="0"/>
              <w:right w:val="double" w:color="auto" w:sz="4" w:space="0"/>
            </w:tcBorders>
            <w:vAlign w:val="center"/>
          </w:tcPr>
          <w:p>
            <w:pPr>
              <w:bidi w:val="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56" w:hRule="atLeast"/>
          <w:tblHeader/>
          <w:jc w:val="center"/>
        </w:trPr>
        <w:tc>
          <w:tcPr>
            <w:tcW w:w="738" w:type="dxa"/>
            <w:tcBorders>
              <w:top w:val="single" w:color="auto" w:sz="6" w:space="0"/>
              <w:left w:val="double" w:color="auto" w:sz="4" w:space="0"/>
              <w:bottom w:val="single" w:color="auto" w:sz="6" w:space="0"/>
              <w:right w:val="single" w:color="auto" w:sz="6" w:space="0"/>
            </w:tcBorders>
            <w:noWrap/>
            <w:vAlign w:val="center"/>
          </w:tcPr>
          <w:p>
            <w:pPr>
              <w:snapToGrid w:val="0"/>
              <w:jc w:val="center"/>
              <w:rPr>
                <w:rFonts w:hint="eastAsia" w:ascii="仿宋" w:hAnsi="仿宋" w:eastAsia="仿宋" w:cs="Arial"/>
                <w:color w:val="auto"/>
                <w:sz w:val="21"/>
                <w:szCs w:val="21"/>
                <w:highlight w:val="none"/>
                <w:lang w:val="en-US" w:eastAsia="zh-CN"/>
              </w:rPr>
            </w:pPr>
            <w:r>
              <w:rPr>
                <w:rFonts w:hint="eastAsia" w:ascii="仿宋" w:hAnsi="仿宋" w:eastAsia="仿宋" w:cs="Arial"/>
                <w:color w:val="auto"/>
                <w:sz w:val="21"/>
                <w:szCs w:val="21"/>
                <w:highlight w:val="none"/>
              </w:rPr>
              <w:t>1</w:t>
            </w:r>
            <w:r>
              <w:rPr>
                <w:rFonts w:hint="eastAsia" w:ascii="仿宋" w:hAnsi="仿宋" w:eastAsia="仿宋" w:cs="Arial"/>
                <w:color w:val="auto"/>
                <w:sz w:val="21"/>
                <w:szCs w:val="21"/>
                <w:highlight w:val="none"/>
                <w:lang w:val="en-US" w:eastAsia="zh-CN"/>
              </w:rPr>
              <w:t>4</w:t>
            </w:r>
          </w:p>
        </w:tc>
        <w:tc>
          <w:tcPr>
            <w:tcW w:w="7687" w:type="dxa"/>
            <w:tcBorders>
              <w:top w:val="single" w:color="auto" w:sz="6" w:space="0"/>
              <w:left w:val="single" w:color="auto" w:sz="6" w:space="0"/>
              <w:bottom w:val="single" w:color="auto" w:sz="6" w:space="0"/>
              <w:right w:val="single" w:color="auto" w:sz="6" w:space="0"/>
            </w:tcBorders>
            <w:noWrap/>
            <w:vAlign w:val="center"/>
          </w:tcPr>
          <w:p>
            <w:pPr>
              <w:bidi w:val="0"/>
              <w:rPr>
                <w:rFonts w:hint="eastAsia" w:ascii="仿宋" w:hAnsi="仿宋" w:eastAsia="仿宋" w:cs="仿宋"/>
                <w:color w:val="auto"/>
                <w:highlight w:val="none"/>
              </w:rPr>
            </w:pPr>
            <w:r>
              <w:rPr>
                <w:rFonts w:hint="eastAsia" w:ascii="仿宋" w:hAnsi="仿宋" w:eastAsia="仿宋" w:cs="仿宋"/>
                <w:color w:val="auto"/>
                <w:highlight w:val="none"/>
              </w:rPr>
              <w:t>原材料、半成品、外购件外购设备等设备材料的质量保证措施</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尤其是外购件、定制品的质量保证措施：根据措施的科学性、合理性、可行性进行评审。（评审分值为4分或3分或2分或1分或0分）</w:t>
            </w:r>
          </w:p>
        </w:tc>
        <w:tc>
          <w:tcPr>
            <w:tcW w:w="774" w:type="dxa"/>
            <w:tcBorders>
              <w:top w:val="single" w:color="auto" w:sz="6" w:space="0"/>
              <w:left w:val="single" w:color="auto" w:sz="6" w:space="0"/>
              <w:bottom w:val="single" w:color="auto" w:sz="6" w:space="0"/>
              <w:right w:val="double" w:color="auto" w:sz="4" w:space="0"/>
            </w:tcBorders>
            <w:vAlign w:val="center"/>
          </w:tcPr>
          <w:p>
            <w:pPr>
              <w:bidi w:val="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69" w:hRule="atLeast"/>
          <w:tblHeader/>
          <w:jc w:val="center"/>
        </w:trPr>
        <w:tc>
          <w:tcPr>
            <w:tcW w:w="738" w:type="dxa"/>
            <w:tcBorders>
              <w:top w:val="single" w:color="auto" w:sz="6" w:space="0"/>
              <w:left w:val="double" w:color="auto" w:sz="4" w:space="0"/>
              <w:bottom w:val="single" w:color="auto" w:sz="6" w:space="0"/>
              <w:right w:val="single" w:color="auto" w:sz="6" w:space="0"/>
            </w:tcBorders>
            <w:noWrap/>
            <w:vAlign w:val="center"/>
          </w:tcPr>
          <w:p>
            <w:pPr>
              <w:snapToGrid w:val="0"/>
              <w:jc w:val="center"/>
              <w:rPr>
                <w:rFonts w:hint="eastAsia" w:ascii="仿宋" w:hAnsi="仿宋" w:eastAsia="仿宋" w:cs="Arial"/>
                <w:color w:val="auto"/>
                <w:sz w:val="21"/>
                <w:szCs w:val="21"/>
                <w:highlight w:val="none"/>
                <w:lang w:val="en-US" w:eastAsia="zh-CN"/>
              </w:rPr>
            </w:pPr>
            <w:r>
              <w:rPr>
                <w:rFonts w:hint="eastAsia" w:ascii="仿宋" w:hAnsi="仿宋" w:eastAsia="仿宋" w:cs="Arial"/>
                <w:color w:val="auto"/>
                <w:sz w:val="21"/>
                <w:szCs w:val="21"/>
                <w:highlight w:val="none"/>
              </w:rPr>
              <w:t>1</w:t>
            </w:r>
            <w:r>
              <w:rPr>
                <w:rFonts w:hint="eastAsia" w:ascii="仿宋" w:hAnsi="仿宋" w:eastAsia="仿宋" w:cs="Arial"/>
                <w:color w:val="auto"/>
                <w:sz w:val="21"/>
                <w:szCs w:val="21"/>
                <w:highlight w:val="none"/>
                <w:lang w:val="en-US" w:eastAsia="zh-CN"/>
              </w:rPr>
              <w:t>5</w:t>
            </w:r>
          </w:p>
        </w:tc>
        <w:tc>
          <w:tcPr>
            <w:tcW w:w="7687" w:type="dxa"/>
            <w:tcBorders>
              <w:top w:val="single" w:color="auto" w:sz="6" w:space="0"/>
              <w:left w:val="single" w:color="auto" w:sz="6" w:space="0"/>
              <w:bottom w:val="single" w:color="auto" w:sz="6" w:space="0"/>
              <w:right w:val="single" w:color="auto" w:sz="6" w:space="0"/>
            </w:tcBorders>
            <w:noWrap/>
            <w:vAlign w:val="center"/>
          </w:tcPr>
          <w:p>
            <w:pPr>
              <w:bidi w:val="0"/>
              <w:rPr>
                <w:rFonts w:hint="eastAsia" w:ascii="仿宋" w:hAnsi="仿宋" w:eastAsia="仿宋" w:cs="仿宋"/>
                <w:color w:val="auto"/>
                <w:highlight w:val="none"/>
              </w:rPr>
            </w:pPr>
            <w:r>
              <w:rPr>
                <w:rFonts w:hint="eastAsia" w:ascii="仿宋" w:hAnsi="仿宋" w:eastAsia="仿宋" w:cs="仿宋"/>
                <w:color w:val="auto"/>
                <w:highlight w:val="none"/>
              </w:rPr>
              <w:t>项目实施过程中针对成品保护的各项措施：根据措施的科学性、合理性、可行性进行评审。</w:t>
            </w:r>
            <w:r>
              <w:rPr>
                <w:rFonts w:hint="eastAsia" w:ascii="仿宋" w:hAnsi="仿宋" w:eastAsia="仿宋" w:cs="仿宋"/>
                <w:color w:val="auto"/>
                <w:highlight w:val="none"/>
                <w:lang w:val="en-US" w:eastAsia="zh-CN"/>
              </w:rPr>
              <w:t>（评审分值为4分或3分或2分或1分或0分）</w:t>
            </w:r>
          </w:p>
        </w:tc>
        <w:tc>
          <w:tcPr>
            <w:tcW w:w="774" w:type="dxa"/>
            <w:tcBorders>
              <w:top w:val="single" w:color="auto" w:sz="6" w:space="0"/>
              <w:left w:val="single" w:color="auto" w:sz="6" w:space="0"/>
              <w:bottom w:val="single" w:color="auto" w:sz="6" w:space="0"/>
              <w:right w:val="double" w:color="auto" w:sz="4" w:space="0"/>
            </w:tcBorders>
            <w:vAlign w:val="center"/>
          </w:tcPr>
          <w:p>
            <w:pPr>
              <w:bidi w:val="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16" w:hRule="atLeast"/>
          <w:tblHeader/>
          <w:jc w:val="center"/>
        </w:trPr>
        <w:tc>
          <w:tcPr>
            <w:tcW w:w="738" w:type="dxa"/>
            <w:tcBorders>
              <w:top w:val="single" w:color="auto" w:sz="6" w:space="0"/>
              <w:left w:val="double" w:color="auto" w:sz="4" w:space="0"/>
              <w:bottom w:val="single" w:color="auto" w:sz="6" w:space="0"/>
              <w:right w:val="single" w:color="auto" w:sz="6" w:space="0"/>
            </w:tcBorders>
            <w:noWrap/>
            <w:vAlign w:val="center"/>
          </w:tcPr>
          <w:p>
            <w:pPr>
              <w:snapToGrid w:val="0"/>
              <w:jc w:val="center"/>
              <w:rPr>
                <w:rFonts w:hint="eastAsia" w:ascii="仿宋" w:hAnsi="仿宋" w:eastAsia="仿宋" w:cs="Arial"/>
                <w:color w:val="auto"/>
                <w:sz w:val="21"/>
                <w:szCs w:val="21"/>
                <w:highlight w:val="none"/>
                <w:lang w:eastAsia="zh-CN"/>
              </w:rPr>
            </w:pPr>
            <w:r>
              <w:rPr>
                <w:rFonts w:hint="eastAsia" w:ascii="仿宋" w:hAnsi="仿宋" w:eastAsia="仿宋" w:cs="Arial"/>
                <w:color w:val="auto"/>
                <w:sz w:val="21"/>
                <w:szCs w:val="21"/>
                <w:highlight w:val="none"/>
              </w:rPr>
              <w:t>1</w:t>
            </w:r>
            <w:r>
              <w:rPr>
                <w:rFonts w:hint="eastAsia" w:ascii="仿宋" w:hAnsi="仿宋" w:eastAsia="仿宋" w:cs="Arial"/>
                <w:color w:val="auto"/>
                <w:sz w:val="21"/>
                <w:szCs w:val="21"/>
                <w:highlight w:val="none"/>
                <w:lang w:val="en-US" w:eastAsia="zh-CN"/>
              </w:rPr>
              <w:t>6</w:t>
            </w:r>
          </w:p>
        </w:tc>
        <w:tc>
          <w:tcPr>
            <w:tcW w:w="7687" w:type="dxa"/>
            <w:tcBorders>
              <w:top w:val="single" w:color="auto" w:sz="6" w:space="0"/>
              <w:left w:val="single" w:color="auto" w:sz="6" w:space="0"/>
              <w:bottom w:val="single" w:color="auto" w:sz="6" w:space="0"/>
              <w:right w:val="single" w:color="auto" w:sz="6" w:space="0"/>
            </w:tcBorders>
            <w:noWrap/>
            <w:vAlign w:val="center"/>
          </w:tcPr>
          <w:p>
            <w:pPr>
              <w:bidi w:val="0"/>
              <w:rPr>
                <w:rFonts w:hint="eastAsia" w:ascii="仿宋" w:hAnsi="仿宋" w:eastAsia="仿宋" w:cs="仿宋"/>
                <w:color w:val="auto"/>
                <w:highlight w:val="none"/>
              </w:rPr>
            </w:pPr>
            <w:r>
              <w:rPr>
                <w:rFonts w:hint="eastAsia" w:ascii="仿宋" w:hAnsi="仿宋" w:eastAsia="仿宋" w:cs="仿宋"/>
                <w:color w:val="auto"/>
                <w:highlight w:val="none"/>
              </w:rPr>
              <w:t>验收、维修及保修期内、外后续服务方案保障措施；根据措施的科学性、合理性、可行性进行评审。</w:t>
            </w:r>
            <w:r>
              <w:rPr>
                <w:rFonts w:hint="eastAsia" w:ascii="仿宋" w:hAnsi="仿宋" w:eastAsia="仿宋" w:cs="仿宋"/>
                <w:color w:val="auto"/>
                <w:highlight w:val="none"/>
                <w:lang w:val="en-US" w:eastAsia="zh-CN"/>
              </w:rPr>
              <w:t>（评审分值为4分或3分或2分或1分或0分）</w:t>
            </w:r>
          </w:p>
        </w:tc>
        <w:tc>
          <w:tcPr>
            <w:tcW w:w="774" w:type="dxa"/>
            <w:tcBorders>
              <w:top w:val="single" w:color="auto" w:sz="6" w:space="0"/>
              <w:left w:val="single" w:color="auto" w:sz="6" w:space="0"/>
              <w:bottom w:val="single" w:color="auto" w:sz="6" w:space="0"/>
              <w:right w:val="double" w:color="auto" w:sz="4" w:space="0"/>
            </w:tcBorders>
            <w:vAlign w:val="center"/>
          </w:tcPr>
          <w:p>
            <w:pPr>
              <w:bidi w:val="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24" w:hRule="atLeast"/>
          <w:tblHeader/>
          <w:jc w:val="center"/>
        </w:trPr>
        <w:tc>
          <w:tcPr>
            <w:tcW w:w="738" w:type="dxa"/>
            <w:tcBorders>
              <w:top w:val="single" w:color="auto" w:sz="6" w:space="0"/>
              <w:left w:val="double" w:color="auto" w:sz="4" w:space="0"/>
              <w:bottom w:val="single" w:color="auto" w:sz="6" w:space="0"/>
              <w:right w:val="single" w:color="auto" w:sz="6" w:space="0"/>
            </w:tcBorders>
            <w:noWrap/>
            <w:vAlign w:val="center"/>
          </w:tcPr>
          <w:p>
            <w:pPr>
              <w:snapToGrid w:val="0"/>
              <w:jc w:val="center"/>
              <w:rPr>
                <w:rFonts w:hint="eastAsia" w:ascii="仿宋" w:hAnsi="仿宋" w:eastAsia="仿宋" w:cs="Arial"/>
                <w:color w:val="auto"/>
                <w:sz w:val="21"/>
                <w:szCs w:val="21"/>
                <w:highlight w:val="none"/>
                <w:lang w:val="en-US" w:eastAsia="zh-CN"/>
              </w:rPr>
            </w:pPr>
            <w:r>
              <w:rPr>
                <w:rFonts w:hint="eastAsia" w:ascii="仿宋" w:hAnsi="仿宋" w:eastAsia="仿宋" w:cs="Arial"/>
                <w:color w:val="auto"/>
                <w:sz w:val="21"/>
                <w:szCs w:val="21"/>
                <w:highlight w:val="none"/>
              </w:rPr>
              <w:t>1</w:t>
            </w:r>
            <w:r>
              <w:rPr>
                <w:rFonts w:hint="eastAsia" w:ascii="仿宋" w:hAnsi="仿宋" w:eastAsia="仿宋" w:cs="Arial"/>
                <w:color w:val="auto"/>
                <w:sz w:val="21"/>
                <w:szCs w:val="21"/>
                <w:highlight w:val="none"/>
                <w:lang w:val="en-US" w:eastAsia="zh-CN"/>
              </w:rPr>
              <w:t>7</w:t>
            </w:r>
          </w:p>
        </w:tc>
        <w:tc>
          <w:tcPr>
            <w:tcW w:w="7687" w:type="dxa"/>
            <w:tcBorders>
              <w:top w:val="single" w:color="auto" w:sz="6" w:space="0"/>
              <w:left w:val="single" w:color="auto" w:sz="6" w:space="0"/>
              <w:bottom w:val="single" w:color="auto" w:sz="6" w:space="0"/>
              <w:right w:val="single" w:color="auto" w:sz="6" w:space="0"/>
            </w:tcBorders>
            <w:noWrap/>
            <w:vAlign w:val="center"/>
          </w:tcPr>
          <w:p>
            <w:pPr>
              <w:bidi w:val="0"/>
              <w:rPr>
                <w:rFonts w:hint="eastAsia" w:ascii="仿宋" w:hAnsi="仿宋" w:eastAsia="仿宋" w:cs="仿宋"/>
                <w:color w:val="auto"/>
                <w:highlight w:val="none"/>
              </w:rPr>
            </w:pPr>
            <w:r>
              <w:rPr>
                <w:rFonts w:hint="eastAsia" w:ascii="仿宋" w:hAnsi="仿宋" w:eastAsia="仿宋" w:cs="仿宋"/>
                <w:color w:val="auto"/>
                <w:highlight w:val="none"/>
              </w:rPr>
              <w:t>应急预案：根据供应商提供针对安全事故、恶劣天气以及突发等情况的应急预案的合理性和适用性进行</w:t>
            </w:r>
            <w:r>
              <w:rPr>
                <w:rFonts w:hint="eastAsia" w:ascii="仿宋" w:hAnsi="仿宋" w:eastAsia="仿宋" w:cs="仿宋"/>
                <w:color w:val="auto"/>
                <w:highlight w:val="none"/>
                <w:lang w:val="en-US" w:eastAsia="zh-CN"/>
              </w:rPr>
              <w:t>评审。（评审分值为4分或3分或2分或1分或0分）</w:t>
            </w:r>
          </w:p>
        </w:tc>
        <w:tc>
          <w:tcPr>
            <w:tcW w:w="774" w:type="dxa"/>
            <w:tcBorders>
              <w:top w:val="single" w:color="auto" w:sz="6" w:space="0"/>
              <w:left w:val="single" w:color="auto" w:sz="6" w:space="0"/>
              <w:bottom w:val="single" w:color="auto" w:sz="6" w:space="0"/>
              <w:right w:val="double" w:color="auto" w:sz="4" w:space="0"/>
            </w:tcBorders>
            <w:vAlign w:val="center"/>
          </w:tcPr>
          <w:p>
            <w:pPr>
              <w:bidi w:val="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76" w:hRule="atLeast"/>
          <w:tblHeader/>
          <w:jc w:val="center"/>
        </w:trPr>
        <w:tc>
          <w:tcPr>
            <w:tcW w:w="738" w:type="dxa"/>
            <w:tcBorders>
              <w:top w:val="single" w:color="auto" w:sz="6" w:space="0"/>
              <w:left w:val="double" w:color="auto" w:sz="4" w:space="0"/>
              <w:bottom w:val="single" w:color="auto" w:sz="6" w:space="0"/>
              <w:right w:val="single" w:color="auto" w:sz="6" w:space="0"/>
            </w:tcBorders>
            <w:noWrap/>
            <w:vAlign w:val="center"/>
          </w:tcPr>
          <w:p>
            <w:pPr>
              <w:snapToGrid w:val="0"/>
              <w:jc w:val="center"/>
              <w:rPr>
                <w:rFonts w:hint="default" w:ascii="仿宋" w:hAnsi="仿宋" w:eastAsia="仿宋" w:cs="Arial"/>
                <w:color w:val="auto"/>
                <w:sz w:val="21"/>
                <w:szCs w:val="21"/>
                <w:highlight w:val="none"/>
                <w:lang w:val="en-US" w:eastAsia="zh-CN"/>
              </w:rPr>
            </w:pPr>
            <w:r>
              <w:rPr>
                <w:rFonts w:hint="eastAsia" w:ascii="仿宋" w:hAnsi="仿宋" w:eastAsia="仿宋" w:cs="Arial"/>
                <w:color w:val="auto"/>
                <w:sz w:val="21"/>
                <w:szCs w:val="21"/>
                <w:highlight w:val="none"/>
                <w:lang w:val="en-US" w:eastAsia="zh-CN"/>
              </w:rPr>
              <w:t>18</w:t>
            </w:r>
          </w:p>
        </w:tc>
        <w:tc>
          <w:tcPr>
            <w:tcW w:w="7687" w:type="dxa"/>
            <w:tcBorders>
              <w:top w:val="single" w:color="auto" w:sz="6" w:space="0"/>
              <w:left w:val="single" w:color="auto" w:sz="6" w:space="0"/>
              <w:bottom w:val="single" w:color="auto" w:sz="6" w:space="0"/>
              <w:right w:val="single" w:color="auto" w:sz="6" w:space="0"/>
            </w:tcBorders>
            <w:noWrap/>
            <w:vAlign w:val="center"/>
          </w:tcPr>
          <w:p>
            <w:pPr>
              <w:bidi w:val="0"/>
              <w:rPr>
                <w:rFonts w:hint="eastAsia" w:ascii="仿宋" w:hAnsi="仿宋" w:eastAsia="仿宋" w:cs="仿宋"/>
                <w:color w:val="auto"/>
                <w:highlight w:val="none"/>
              </w:rPr>
            </w:pPr>
            <w:r>
              <w:rPr>
                <w:rFonts w:hint="eastAsia" w:ascii="仿宋" w:hAnsi="仿宋" w:eastAsia="仿宋" w:cs="仿宋"/>
                <w:color w:val="auto"/>
                <w:highlight w:val="none"/>
              </w:rPr>
              <w:t>所投材料列入政府采购节能产品</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已列入强制要求的除外</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、环境标志产品品目清单范围的，节能产品</w:t>
            </w:r>
            <w:r>
              <w:rPr>
                <w:rFonts w:hint="eastAsia" w:ascii="仿宋" w:hAnsi="仿宋" w:eastAsia="仿宋" w:cs="仿宋"/>
                <w:color w:val="auto"/>
                <w:highlight w:val="none"/>
                <w:lang w:val="en-US" w:eastAsia="zh-CN"/>
              </w:rPr>
              <w:t>0.5</w:t>
            </w:r>
            <w:r>
              <w:rPr>
                <w:rFonts w:hint="eastAsia" w:ascii="仿宋" w:hAnsi="仿宋" w:eastAsia="仿宋" w:cs="仿宋"/>
                <w:color w:val="auto"/>
                <w:highlight w:val="none"/>
              </w:rPr>
              <w:t>分，环境标志产品</w:t>
            </w:r>
            <w:r>
              <w:rPr>
                <w:rFonts w:hint="eastAsia" w:ascii="仿宋" w:hAnsi="仿宋" w:eastAsia="仿宋" w:cs="仿宋"/>
                <w:color w:val="auto"/>
                <w:highlight w:val="none"/>
                <w:lang w:val="en-US" w:eastAsia="zh-CN"/>
              </w:rPr>
              <w:t>0.5</w:t>
            </w:r>
            <w:r>
              <w:rPr>
                <w:rFonts w:hint="eastAsia" w:ascii="仿宋" w:hAnsi="仿宋" w:eastAsia="仿宋" w:cs="仿宋"/>
                <w:color w:val="auto"/>
                <w:highlight w:val="none"/>
              </w:rPr>
              <w:t>分。（根据最新政府采购节能产品、环境标志产品品目清单进行评分，供应商应在投标文件中提供相关依据国家确定的认证机构出具的、处于有效期之内的节能产品、环境标志产品认证证书证明材料，否则不得分）。</w:t>
            </w:r>
          </w:p>
        </w:tc>
        <w:tc>
          <w:tcPr>
            <w:tcW w:w="774" w:type="dxa"/>
            <w:tcBorders>
              <w:top w:val="single" w:color="auto" w:sz="6" w:space="0"/>
              <w:left w:val="single" w:color="auto" w:sz="6" w:space="0"/>
              <w:bottom w:val="single" w:color="auto" w:sz="6" w:space="0"/>
              <w:right w:val="double" w:color="auto" w:sz="4" w:space="0"/>
            </w:tcBorders>
            <w:vAlign w:val="center"/>
          </w:tcPr>
          <w:p>
            <w:pPr>
              <w:bidi w:val="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0" w:hRule="atLeast"/>
          <w:tblHeader/>
          <w:jc w:val="center"/>
        </w:trPr>
        <w:tc>
          <w:tcPr>
            <w:tcW w:w="8425" w:type="dxa"/>
            <w:gridSpan w:val="2"/>
            <w:tcBorders>
              <w:top w:val="single" w:color="auto" w:sz="6" w:space="0"/>
              <w:left w:val="double" w:color="auto" w:sz="4" w:space="0"/>
              <w:bottom w:val="double" w:color="auto" w:sz="4" w:space="0"/>
              <w:right w:val="single" w:color="auto" w:sz="6" w:space="0"/>
            </w:tcBorders>
            <w:noWrap/>
            <w:vAlign w:val="center"/>
          </w:tcPr>
          <w:p>
            <w:pPr>
              <w:snapToGrid w:val="0"/>
              <w:jc w:val="center"/>
              <w:rPr>
                <w:rFonts w:ascii="仿宋" w:hAnsi="仿宋" w:eastAsia="仿宋" w:cs="Arial"/>
                <w:color w:val="auto"/>
                <w:sz w:val="21"/>
                <w:szCs w:val="21"/>
                <w:highlight w:val="none"/>
              </w:rPr>
            </w:pPr>
            <w:r>
              <w:rPr>
                <w:rFonts w:hint="eastAsia" w:ascii="仿宋" w:hAnsi="仿宋" w:eastAsia="仿宋" w:cs="Arial"/>
                <w:color w:val="auto"/>
                <w:sz w:val="21"/>
                <w:szCs w:val="21"/>
                <w:highlight w:val="none"/>
              </w:rPr>
              <w:t>合计</w:t>
            </w:r>
          </w:p>
        </w:tc>
        <w:tc>
          <w:tcPr>
            <w:tcW w:w="774" w:type="dxa"/>
            <w:tcBorders>
              <w:top w:val="single" w:color="auto" w:sz="6" w:space="0"/>
              <w:left w:val="single" w:color="auto" w:sz="6" w:space="0"/>
              <w:bottom w:val="double" w:color="auto" w:sz="4" w:space="0"/>
              <w:right w:val="double" w:color="auto" w:sz="4" w:space="0"/>
            </w:tcBorders>
            <w:vAlign w:val="center"/>
          </w:tcPr>
          <w:p>
            <w:pPr>
              <w:snapToGrid w:val="0"/>
              <w:jc w:val="center"/>
              <w:rPr>
                <w:rFonts w:ascii="仿宋" w:hAnsi="仿宋" w:eastAsia="仿宋" w:cs="Arial"/>
                <w:color w:val="auto"/>
                <w:sz w:val="21"/>
                <w:szCs w:val="21"/>
                <w:highlight w:val="none"/>
              </w:rPr>
            </w:pPr>
            <w:r>
              <w:rPr>
                <w:rFonts w:hint="eastAsia" w:ascii="仿宋" w:hAnsi="仿宋" w:eastAsia="仿宋" w:cs="Arial"/>
                <w:color w:val="auto"/>
                <w:sz w:val="21"/>
                <w:szCs w:val="21"/>
                <w:highlight w:val="none"/>
                <w:lang w:val="en-US" w:eastAsia="zh-CN"/>
              </w:rPr>
              <w:t>7</w:t>
            </w:r>
            <w:r>
              <w:rPr>
                <w:rFonts w:hint="eastAsia" w:ascii="仿宋" w:hAnsi="仿宋" w:eastAsia="仿宋" w:cs="Arial"/>
                <w:color w:val="auto"/>
                <w:sz w:val="21"/>
                <w:szCs w:val="21"/>
                <w:highlight w:val="none"/>
              </w:rPr>
              <w:t>0</w:t>
            </w:r>
          </w:p>
        </w:tc>
      </w:tr>
      <w:bookmarkEnd w:id="87"/>
    </w:tbl>
    <w:p>
      <w:pPr>
        <w:autoSpaceDN w:val="0"/>
        <w:rPr>
          <w:rFonts w:ascii="Times New Roman" w:hAnsi="Times New Roman" w:eastAsia="宋体" w:cs="Times New Roman"/>
          <w:color w:val="auto"/>
          <w:szCs w:val="24"/>
          <w:highlight w:val="none"/>
        </w:rPr>
      </w:pPr>
      <w:r>
        <w:rPr>
          <w:rFonts w:hint="eastAsia" w:ascii="Times New Roman" w:hAnsi="Times New Roman" w:eastAsia="仿宋" w:cs="Times New Roman"/>
          <w:b/>
          <w:color w:val="auto"/>
          <w:sz w:val="24"/>
          <w:szCs w:val="24"/>
          <w:highlight w:val="none"/>
        </w:rPr>
        <w:t>备注：商务技术分</w:t>
      </w:r>
      <w:r>
        <w:rPr>
          <w:rFonts w:ascii="Times New Roman" w:hAnsi="Times New Roman" w:eastAsia="仿宋" w:cs="Times New Roman"/>
          <w:b/>
          <w:color w:val="auto"/>
          <w:sz w:val="24"/>
          <w:szCs w:val="24"/>
          <w:highlight w:val="none"/>
        </w:rPr>
        <w:t>=</w:t>
      </w:r>
      <w:r>
        <w:rPr>
          <w:rFonts w:hint="eastAsia" w:ascii="Times New Roman" w:hAnsi="Times New Roman" w:eastAsia="仿宋" w:cs="Times New Roman"/>
          <w:b/>
          <w:color w:val="auto"/>
          <w:sz w:val="24"/>
          <w:szCs w:val="24"/>
          <w:highlight w:val="none"/>
        </w:rPr>
        <w:t>（磋商小组所有成员评分合计数）</w:t>
      </w:r>
      <w:r>
        <w:rPr>
          <w:rFonts w:ascii="Times New Roman" w:hAnsi="Times New Roman" w:eastAsia="仿宋" w:cs="Times New Roman"/>
          <w:b/>
          <w:color w:val="auto"/>
          <w:sz w:val="24"/>
          <w:szCs w:val="24"/>
          <w:highlight w:val="none"/>
        </w:rPr>
        <w:t>/</w:t>
      </w:r>
      <w:r>
        <w:rPr>
          <w:rFonts w:hint="eastAsia" w:ascii="Times New Roman" w:hAnsi="Times New Roman" w:eastAsia="仿宋" w:cs="Times New Roman"/>
          <w:b/>
          <w:color w:val="auto"/>
          <w:sz w:val="24"/>
          <w:szCs w:val="24"/>
          <w:highlight w:val="none"/>
        </w:rPr>
        <w:t>（磋商小组人数）</w:t>
      </w:r>
    </w:p>
    <w:p>
      <w:pPr>
        <w:keepNext/>
        <w:keepLines/>
        <w:autoSpaceDN w:val="0"/>
        <w:spacing w:before="93" w:beforeLines="30" w:after="93" w:afterLines="30" w:line="360" w:lineRule="auto"/>
        <w:outlineLvl w:val="2"/>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报价分（</w:t>
      </w:r>
      <w:r>
        <w:rPr>
          <w:rFonts w:hint="eastAsia" w:ascii="宋体" w:hAnsi="宋体" w:eastAsia="宋体" w:cs="宋体"/>
          <w:b/>
          <w:bCs/>
          <w:color w:val="auto"/>
          <w:sz w:val="24"/>
          <w:szCs w:val="32"/>
          <w:highlight w:val="none"/>
          <w:lang w:val="en-US" w:eastAsia="zh-CN"/>
        </w:rPr>
        <w:t>3</w:t>
      </w:r>
      <w:r>
        <w:rPr>
          <w:rFonts w:hint="eastAsia" w:ascii="宋体" w:hAnsi="宋体" w:eastAsia="宋体" w:cs="宋体"/>
          <w:b/>
          <w:bCs/>
          <w:color w:val="auto"/>
          <w:sz w:val="24"/>
          <w:szCs w:val="32"/>
          <w:highlight w:val="none"/>
        </w:rPr>
        <w:t>0分）</w:t>
      </w:r>
    </w:p>
    <w:p>
      <w:pPr>
        <w:autoSpaceDN w:val="0"/>
        <w:spacing w:line="360" w:lineRule="auto"/>
        <w:ind w:firstLine="460" w:firstLineChars="192"/>
        <w:rPr>
          <w:rFonts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rPr>
        <w:t>最后报价的合理性：分析最后报价是否合理，最后报价范围是否完整，有否重大错漏项。磋商报价分计算方法：</w:t>
      </w:r>
      <w:r>
        <w:rPr>
          <w:rFonts w:hint="eastAsia" w:ascii="Times New Roman" w:hAnsi="Times New Roman" w:eastAsia="仿宋" w:cs="Times New Roman"/>
          <w:b/>
          <w:color w:val="auto"/>
          <w:sz w:val="24"/>
          <w:szCs w:val="24"/>
          <w:highlight w:val="none"/>
        </w:rPr>
        <w:t>满足《磋商文件》要求且最后报价最低的有效供应商的最后报价为磋商基准价，其价格分为</w:t>
      </w:r>
      <w:r>
        <w:rPr>
          <w:rFonts w:hint="eastAsia" w:ascii="Times New Roman" w:hAnsi="Times New Roman" w:eastAsia="仿宋" w:cs="Times New Roman"/>
          <w:b/>
          <w:color w:val="auto"/>
          <w:sz w:val="24"/>
          <w:szCs w:val="24"/>
          <w:highlight w:val="none"/>
          <w:lang w:val="en-US" w:eastAsia="zh-CN"/>
        </w:rPr>
        <w:t>3</w:t>
      </w:r>
      <w:r>
        <w:rPr>
          <w:rFonts w:ascii="Times New Roman" w:hAnsi="Times New Roman" w:eastAsia="仿宋" w:cs="Times New Roman"/>
          <w:b/>
          <w:color w:val="auto"/>
          <w:sz w:val="24"/>
          <w:szCs w:val="24"/>
          <w:highlight w:val="none"/>
        </w:rPr>
        <w:t>0</w:t>
      </w:r>
      <w:r>
        <w:rPr>
          <w:rFonts w:hint="eastAsia" w:ascii="Times New Roman" w:hAnsi="Times New Roman" w:eastAsia="仿宋" w:cs="Times New Roman"/>
          <w:b/>
          <w:color w:val="auto"/>
          <w:sz w:val="24"/>
          <w:szCs w:val="24"/>
          <w:highlight w:val="none"/>
        </w:rPr>
        <w:t>分（即价格权值为</w:t>
      </w:r>
      <w:r>
        <w:rPr>
          <w:rFonts w:hint="eastAsia" w:ascii="Times New Roman" w:hAnsi="Times New Roman" w:eastAsia="仿宋" w:cs="Times New Roman"/>
          <w:b/>
          <w:color w:val="auto"/>
          <w:sz w:val="24"/>
          <w:szCs w:val="24"/>
          <w:highlight w:val="none"/>
          <w:lang w:val="en-US" w:eastAsia="zh-CN"/>
        </w:rPr>
        <w:t>3</w:t>
      </w:r>
      <w:r>
        <w:rPr>
          <w:rFonts w:ascii="Times New Roman" w:hAnsi="Times New Roman" w:eastAsia="仿宋" w:cs="Times New Roman"/>
          <w:b/>
          <w:color w:val="auto"/>
          <w:sz w:val="24"/>
          <w:szCs w:val="24"/>
          <w:highlight w:val="none"/>
        </w:rPr>
        <w:t>0%</w:t>
      </w:r>
      <w:r>
        <w:rPr>
          <w:rFonts w:hint="eastAsia" w:ascii="Times New Roman" w:hAnsi="Times New Roman" w:eastAsia="仿宋" w:cs="Times New Roman"/>
          <w:b/>
          <w:color w:val="auto"/>
          <w:sz w:val="24"/>
          <w:szCs w:val="24"/>
          <w:highlight w:val="none"/>
        </w:rPr>
        <w:t>）。</w:t>
      </w:r>
      <w:r>
        <w:rPr>
          <w:rFonts w:hint="eastAsia" w:ascii="Times New Roman" w:hAnsi="Times New Roman" w:eastAsia="仿宋" w:cs="Times New Roman"/>
          <w:color w:val="auto"/>
          <w:sz w:val="24"/>
          <w:szCs w:val="24"/>
          <w:highlight w:val="none"/>
        </w:rPr>
        <w:t>其他磋商响应供应商的价格分统一按照下列公式计算（精确到小数点后二位）：</w:t>
      </w:r>
    </w:p>
    <w:p>
      <w:pPr>
        <w:autoSpaceDN w:val="0"/>
        <w:spacing w:line="360" w:lineRule="auto"/>
        <w:ind w:firstLine="460" w:firstLineChars="192"/>
        <w:rPr>
          <w:rFonts w:ascii="Times New Roman" w:hAnsi="Times New Roman" w:eastAsia="仿宋" w:cs="Times New Roman"/>
          <w:color w:val="auto"/>
          <w:sz w:val="24"/>
          <w:szCs w:val="24"/>
          <w:highlight w:val="none"/>
        </w:rPr>
      </w:pPr>
      <w:r>
        <w:rPr>
          <w:rFonts w:hint="eastAsia" w:ascii="Times New Roman" w:hAnsi="Times New Roman" w:eastAsia="仿宋" w:cs="Times New Roman"/>
          <w:b/>
          <w:color w:val="auto"/>
          <w:kern w:val="0"/>
          <w:sz w:val="24"/>
          <w:szCs w:val="24"/>
          <w:highlight w:val="none"/>
        </w:rPr>
        <w:t>报价分</w:t>
      </w:r>
      <w:r>
        <w:rPr>
          <w:rFonts w:ascii="Times New Roman" w:hAnsi="Times New Roman" w:eastAsia="仿宋" w:cs="Times New Roman"/>
          <w:b/>
          <w:color w:val="auto"/>
          <w:kern w:val="0"/>
          <w:sz w:val="24"/>
          <w:szCs w:val="24"/>
          <w:highlight w:val="none"/>
        </w:rPr>
        <w:t>=</w:t>
      </w:r>
      <w:r>
        <w:rPr>
          <w:rFonts w:hint="eastAsia" w:ascii="Times New Roman" w:hAnsi="Times New Roman" w:eastAsia="仿宋" w:cs="Times New Roman"/>
          <w:b/>
          <w:color w:val="auto"/>
          <w:kern w:val="0"/>
          <w:sz w:val="24"/>
          <w:szCs w:val="24"/>
          <w:highlight w:val="none"/>
        </w:rPr>
        <w:t>（磋商基准价／最后报价）</w:t>
      </w:r>
      <w:r>
        <w:rPr>
          <w:rFonts w:ascii="Times New Roman" w:hAnsi="Times New Roman" w:eastAsia="仿宋" w:cs="Times New Roman"/>
          <w:b/>
          <w:color w:val="auto"/>
          <w:kern w:val="0"/>
          <w:sz w:val="24"/>
          <w:szCs w:val="24"/>
          <w:highlight w:val="none"/>
        </w:rPr>
        <w:t>×</w:t>
      </w:r>
      <w:r>
        <w:rPr>
          <w:rFonts w:hint="eastAsia" w:ascii="Times New Roman" w:hAnsi="Times New Roman" w:eastAsia="仿宋" w:cs="Times New Roman"/>
          <w:b/>
          <w:color w:val="auto"/>
          <w:kern w:val="0"/>
          <w:sz w:val="24"/>
          <w:szCs w:val="24"/>
          <w:highlight w:val="none"/>
          <w:lang w:val="en-US" w:eastAsia="zh-CN"/>
        </w:rPr>
        <w:t>3</w:t>
      </w:r>
      <w:r>
        <w:rPr>
          <w:rFonts w:ascii="Times New Roman" w:hAnsi="Times New Roman" w:eastAsia="仿宋" w:cs="Times New Roman"/>
          <w:b/>
          <w:color w:val="auto"/>
          <w:kern w:val="0"/>
          <w:sz w:val="24"/>
          <w:szCs w:val="24"/>
          <w:highlight w:val="none"/>
        </w:rPr>
        <w:t>0%×100</w:t>
      </w:r>
    </w:p>
    <w:p>
      <w:pPr>
        <w:autoSpaceDN w:val="0"/>
        <w:adjustRightInd w:val="0"/>
        <w:snapToGrid w:val="0"/>
        <w:spacing w:line="360" w:lineRule="auto"/>
        <w:ind w:firstLine="460" w:firstLineChars="192"/>
        <w:rPr>
          <w:rFonts w:ascii="Times New Roman" w:hAnsi="Times New Roman" w:eastAsia="仿宋" w:cs="Times New Roman"/>
          <w:b/>
          <w:color w:val="auto"/>
          <w:kern w:val="0"/>
          <w:sz w:val="24"/>
          <w:szCs w:val="24"/>
          <w:highlight w:val="none"/>
        </w:rPr>
      </w:pPr>
      <w:r>
        <w:rPr>
          <w:rFonts w:hint="eastAsia" w:ascii="Times New Roman" w:hAnsi="Times New Roman" w:eastAsia="仿宋" w:cs="Times New Roman"/>
          <w:b/>
          <w:color w:val="auto"/>
          <w:kern w:val="0"/>
          <w:sz w:val="24"/>
          <w:szCs w:val="24"/>
          <w:highlight w:val="none"/>
        </w:rPr>
        <w:t>重要提示：</w:t>
      </w:r>
    </w:p>
    <w:p>
      <w:pPr>
        <w:autoSpaceDN w:val="0"/>
        <w:adjustRightInd w:val="0"/>
        <w:snapToGrid w:val="0"/>
        <w:spacing w:line="360" w:lineRule="auto"/>
        <w:ind w:firstLine="460" w:firstLineChars="192"/>
        <w:rPr>
          <w:rFonts w:ascii="Times New Roman" w:hAnsi="Times New Roman" w:eastAsia="仿宋" w:cs="Times New Roman"/>
          <w:b/>
          <w:color w:val="auto"/>
          <w:sz w:val="24"/>
          <w:szCs w:val="24"/>
          <w:highlight w:val="none"/>
          <w:u w:val="single"/>
        </w:rPr>
      </w:pPr>
      <w:r>
        <w:rPr>
          <w:rFonts w:hint="eastAsia" w:ascii="Times New Roman" w:hAnsi="Times New Roman" w:eastAsia="仿宋" w:cs="Times New Roman"/>
          <w:b/>
          <w:color w:val="auto"/>
          <w:kern w:val="0"/>
          <w:sz w:val="24"/>
          <w:szCs w:val="24"/>
          <w:highlight w:val="none"/>
        </w:rPr>
        <w:t>（</w:t>
      </w:r>
      <w:r>
        <w:rPr>
          <w:rFonts w:ascii="Times New Roman" w:hAnsi="Times New Roman" w:eastAsia="仿宋" w:cs="Times New Roman"/>
          <w:b/>
          <w:color w:val="auto"/>
          <w:kern w:val="0"/>
          <w:sz w:val="24"/>
          <w:szCs w:val="24"/>
          <w:highlight w:val="none"/>
        </w:rPr>
        <w:t>1</w:t>
      </w:r>
      <w:r>
        <w:rPr>
          <w:rFonts w:hint="eastAsia" w:ascii="Times New Roman" w:hAnsi="Times New Roman" w:eastAsia="仿宋" w:cs="Times New Roman"/>
          <w:b/>
          <w:color w:val="auto"/>
          <w:kern w:val="0"/>
          <w:sz w:val="24"/>
          <w:szCs w:val="24"/>
          <w:highlight w:val="none"/>
        </w:rPr>
        <w:t>）</w:t>
      </w:r>
      <w:r>
        <w:rPr>
          <w:rFonts w:hint="eastAsia" w:ascii="Times New Roman" w:hAnsi="Times New Roman" w:eastAsia="仿宋" w:cs="Times New Roman"/>
          <w:b/>
          <w:color w:val="auto"/>
          <w:sz w:val="24"/>
          <w:szCs w:val="24"/>
          <w:highlight w:val="none"/>
          <w:u w:val="single"/>
        </w:rPr>
        <w:t>本项目专门面向中小企业采购，小型、微型、监狱及残疾人福利性企业评审价格不予扣除</w:t>
      </w:r>
      <w:r>
        <w:rPr>
          <w:rFonts w:hint="eastAsia" w:ascii="Times New Roman" w:hAnsi="Times New Roman" w:eastAsia="仿宋" w:cs="Times New Roman"/>
          <w:b/>
          <w:color w:val="auto"/>
          <w:sz w:val="24"/>
          <w:szCs w:val="24"/>
          <w:highlight w:val="none"/>
        </w:rPr>
        <w:t>；</w:t>
      </w:r>
    </w:p>
    <w:p>
      <w:pPr>
        <w:autoSpaceDN w:val="0"/>
        <w:adjustRightInd w:val="0"/>
        <w:snapToGrid w:val="0"/>
        <w:spacing w:line="360" w:lineRule="auto"/>
        <w:ind w:firstLine="480" w:firstLineChars="200"/>
        <w:rPr>
          <w:rFonts w:ascii="宋体" w:hAnsi="Courier New" w:eastAsia="宋体" w:cs="Times New Roman"/>
          <w:color w:val="auto"/>
          <w:spacing w:val="-4"/>
          <w:kern w:val="0"/>
          <w:sz w:val="18"/>
          <w:szCs w:val="20"/>
          <w:highlight w:val="none"/>
        </w:rPr>
      </w:pPr>
      <w:r>
        <w:rPr>
          <w:rFonts w:hint="eastAsia" w:ascii="Times New Roman" w:hAnsi="Times New Roman" w:eastAsia="仿宋" w:cs="Times New Roman"/>
          <w:b/>
          <w:color w:val="auto"/>
          <w:sz w:val="24"/>
          <w:szCs w:val="24"/>
          <w:highlight w:val="none"/>
        </w:rPr>
        <w:t>（</w:t>
      </w:r>
      <w:r>
        <w:rPr>
          <w:rFonts w:ascii="Times New Roman" w:hAnsi="Times New Roman" w:eastAsia="仿宋" w:cs="Times New Roman"/>
          <w:b/>
          <w:color w:val="auto"/>
          <w:sz w:val="24"/>
          <w:szCs w:val="24"/>
          <w:highlight w:val="none"/>
        </w:rPr>
        <w:t>2</w:t>
      </w:r>
      <w:r>
        <w:rPr>
          <w:rFonts w:hint="eastAsia" w:ascii="Times New Roman" w:hAnsi="Times New Roman" w:eastAsia="仿宋" w:cs="Times New Roman"/>
          <w:b/>
          <w:color w:val="auto"/>
          <w:sz w:val="24"/>
          <w:szCs w:val="24"/>
          <w:highlight w:val="none"/>
        </w:rPr>
        <w:t>）</w:t>
      </w:r>
      <w:r>
        <w:rPr>
          <w:rFonts w:hint="eastAsia" w:ascii="宋体" w:hAnsi="Courier New" w:eastAsia="仿宋" w:cs="Times New Roman"/>
          <w:b/>
          <w:color w:val="auto"/>
          <w:spacing w:val="-4"/>
          <w:kern w:val="0"/>
          <w:sz w:val="24"/>
          <w:szCs w:val="20"/>
          <w:highlight w:val="none"/>
          <w:u w:val="single"/>
        </w:rPr>
        <w:t>为防止围标串标和低价恶意竞标的行为，评审时如发现磋商响应供应商的报价明显高于市场价格或明显低于其他通过符合性审查的磋商响应供应商的报价或报价低于最高限价</w:t>
      </w:r>
      <w:r>
        <w:rPr>
          <w:rFonts w:ascii="宋体" w:hAnsi="Courier New" w:eastAsia="仿宋" w:cs="Times New Roman"/>
          <w:b/>
          <w:color w:val="auto"/>
          <w:spacing w:val="-4"/>
          <w:kern w:val="0"/>
          <w:sz w:val="24"/>
          <w:szCs w:val="20"/>
          <w:highlight w:val="none"/>
          <w:u w:val="single"/>
        </w:rPr>
        <w:t>50%的，</w:t>
      </w:r>
      <w:r>
        <w:rPr>
          <w:rFonts w:hint="eastAsia" w:ascii="宋体" w:hAnsi="Courier New" w:eastAsia="仿宋" w:cs="Times New Roman"/>
          <w:b/>
          <w:color w:val="auto"/>
          <w:spacing w:val="-4"/>
          <w:kern w:val="0"/>
          <w:sz w:val="24"/>
          <w:szCs w:val="20"/>
          <w:highlight w:val="none"/>
          <w:u w:val="single"/>
        </w:rPr>
        <w:t>有可能影响产品质量或者不能诚信履约时，磋商响应供应商须</w:t>
      </w:r>
      <w:r>
        <w:rPr>
          <w:rFonts w:hint="eastAsia" w:ascii="宋体" w:hAnsi="Courier New" w:eastAsia="仿宋" w:cs="Times New Roman"/>
          <w:b/>
          <w:color w:val="auto"/>
          <w:spacing w:val="-4"/>
          <w:kern w:val="0"/>
          <w:sz w:val="24"/>
          <w:szCs w:val="20"/>
          <w:highlight w:val="none"/>
          <w:u w:val="single"/>
          <w:lang w:val="en-US" w:eastAsia="zh-CN"/>
        </w:rPr>
        <w:t>提供</w:t>
      </w:r>
      <w:r>
        <w:rPr>
          <w:rFonts w:hint="eastAsia" w:ascii="宋体" w:hAnsi="Courier New" w:eastAsia="仿宋" w:cs="Times New Roman"/>
          <w:b/>
          <w:color w:val="auto"/>
          <w:spacing w:val="-4"/>
          <w:kern w:val="0"/>
          <w:sz w:val="24"/>
          <w:szCs w:val="20"/>
          <w:highlight w:val="none"/>
          <w:u w:val="single"/>
        </w:rPr>
        <w:t>书面说明并提供相关证明材料。如磋商响应供应商不能合理说明原因并提供相关证明材料的，磋商小组将对其投标作无效处理，同时由采购组织机构向同级财政部门通报情况，视情将其列入不良供应商名单</w:t>
      </w:r>
      <w:r>
        <w:rPr>
          <w:rFonts w:hint="eastAsia" w:ascii="宋体" w:hAnsi="Courier New" w:eastAsia="仿宋" w:cs="Times New Roman"/>
          <w:b/>
          <w:color w:val="auto"/>
          <w:spacing w:val="-4"/>
          <w:kern w:val="0"/>
          <w:sz w:val="24"/>
          <w:szCs w:val="20"/>
          <w:highlight w:val="none"/>
        </w:rPr>
        <w:t>。</w:t>
      </w:r>
    </w:p>
    <w:p>
      <w:pPr>
        <w:keepNext/>
        <w:keepLines/>
        <w:autoSpaceDN w:val="0"/>
        <w:spacing w:before="260" w:after="260" w:line="415" w:lineRule="auto"/>
        <w:outlineLvl w:val="1"/>
        <w:rPr>
          <w:rFonts w:ascii="仿宋" w:hAnsi="仿宋" w:eastAsia="仿宋" w:cs="Times New Roman"/>
          <w:b/>
          <w:bCs/>
          <w:color w:val="auto"/>
          <w:sz w:val="28"/>
          <w:szCs w:val="28"/>
          <w:highlight w:val="none"/>
        </w:rPr>
      </w:pPr>
      <w:bookmarkStart w:id="88" w:name="_Toc474729562"/>
      <w:bookmarkStart w:id="89" w:name="_Toc440162797"/>
      <w:bookmarkStart w:id="90" w:name="_Toc520824348"/>
      <w:bookmarkStart w:id="91" w:name="_Toc96947086"/>
      <w:bookmarkStart w:id="92" w:name="_Toc10395"/>
      <w:r>
        <w:rPr>
          <w:rFonts w:hint="eastAsia" w:ascii="仿宋" w:hAnsi="仿宋" w:eastAsia="仿宋" w:cs="Times New Roman"/>
          <w:b/>
          <w:bCs/>
          <w:color w:val="auto"/>
          <w:sz w:val="28"/>
          <w:szCs w:val="28"/>
          <w:highlight w:val="none"/>
        </w:rPr>
        <w:t>四、</w:t>
      </w:r>
      <w:bookmarkEnd w:id="88"/>
      <w:bookmarkEnd w:id="89"/>
      <w:bookmarkEnd w:id="90"/>
      <w:r>
        <w:rPr>
          <w:rFonts w:hint="eastAsia" w:ascii="仿宋" w:hAnsi="仿宋" w:eastAsia="仿宋" w:cs="Times New Roman"/>
          <w:b/>
          <w:bCs/>
          <w:color w:val="auto"/>
          <w:sz w:val="28"/>
          <w:szCs w:val="28"/>
          <w:highlight w:val="none"/>
        </w:rPr>
        <w:t>其他评审事项规定</w:t>
      </w:r>
      <w:bookmarkEnd w:id="91"/>
      <w:bookmarkEnd w:id="92"/>
    </w:p>
    <w:p>
      <w:pPr>
        <w:keepNext/>
        <w:keepLines/>
        <w:autoSpaceDN w:val="0"/>
        <w:spacing w:before="260" w:after="260" w:line="415" w:lineRule="auto"/>
        <w:ind w:firstLine="241"/>
        <w:jc w:val="left"/>
        <w:outlineLvl w:val="2"/>
        <w:rPr>
          <w:rFonts w:ascii="仿宋" w:hAnsi="仿宋" w:eastAsia="仿宋" w:cs="Times New Roman"/>
          <w:color w:val="auto"/>
          <w:kern w:val="0"/>
          <w:sz w:val="24"/>
          <w:szCs w:val="32"/>
          <w:highlight w:val="none"/>
        </w:rPr>
      </w:pPr>
      <w:r>
        <w:rPr>
          <w:rFonts w:hint="eastAsia" w:ascii="仿宋" w:hAnsi="仿宋" w:eastAsia="仿宋" w:cs="Times New Roman"/>
          <w:color w:val="auto"/>
          <w:kern w:val="0"/>
          <w:sz w:val="24"/>
          <w:szCs w:val="32"/>
          <w:highlight w:val="none"/>
        </w:rPr>
        <w:t>4.1 串通投标的认定</w:t>
      </w:r>
    </w:p>
    <w:p>
      <w:pPr>
        <w:autoSpaceDN w:val="0"/>
        <w:spacing w:line="360" w:lineRule="auto"/>
        <w:ind w:firstLine="460" w:firstLineChars="192"/>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4.1.1在评审过程中发现以下情形，被视为串通投标的：</w:t>
      </w:r>
    </w:p>
    <w:p>
      <w:pPr>
        <w:autoSpaceDN w:val="0"/>
        <w:spacing w:line="360" w:lineRule="auto"/>
        <w:ind w:firstLine="460" w:firstLineChars="192"/>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（1）</w:t>
      </w:r>
      <w:r>
        <w:rPr>
          <w:rFonts w:hint="eastAsia" w:ascii="仿宋" w:hAnsi="仿宋" w:eastAsia="仿宋" w:cs="Arial"/>
          <w:b/>
          <w:color w:val="auto"/>
          <w:kern w:val="0"/>
          <w:sz w:val="24"/>
          <w:szCs w:val="24"/>
          <w:highlight w:val="none"/>
          <w:u w:val="single"/>
        </w:rPr>
        <w:t>不同磋商响应供应商的磋商响应文件由同一单位或个人编制</w:t>
      </w:r>
      <w:r>
        <w:rPr>
          <w:rFonts w:hint="eastAsia" w:ascii="仿宋" w:hAnsi="仿宋" w:eastAsia="仿宋" w:cs="Arial"/>
          <w:b/>
          <w:color w:val="auto"/>
          <w:kern w:val="0"/>
          <w:sz w:val="24"/>
          <w:szCs w:val="24"/>
          <w:highlight w:val="none"/>
        </w:rPr>
        <w:t>；</w:t>
      </w:r>
    </w:p>
    <w:p>
      <w:pPr>
        <w:autoSpaceDN w:val="0"/>
        <w:spacing w:line="360" w:lineRule="auto"/>
        <w:ind w:firstLine="460" w:firstLineChars="192"/>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（2）</w:t>
      </w:r>
      <w:r>
        <w:rPr>
          <w:rFonts w:hint="eastAsia" w:ascii="仿宋" w:hAnsi="仿宋" w:eastAsia="仿宋" w:cs="Arial"/>
          <w:b/>
          <w:color w:val="auto"/>
          <w:kern w:val="0"/>
          <w:sz w:val="24"/>
          <w:szCs w:val="24"/>
          <w:highlight w:val="none"/>
          <w:u w:val="single"/>
        </w:rPr>
        <w:t>不同磋商响应供应商委托同一单位或个人办理投标事宜</w:t>
      </w:r>
      <w:r>
        <w:rPr>
          <w:rFonts w:hint="eastAsia" w:ascii="仿宋" w:hAnsi="仿宋" w:eastAsia="仿宋" w:cs="Arial"/>
          <w:b/>
          <w:color w:val="auto"/>
          <w:kern w:val="0"/>
          <w:sz w:val="24"/>
          <w:szCs w:val="24"/>
          <w:highlight w:val="none"/>
        </w:rPr>
        <w:t>；</w:t>
      </w:r>
    </w:p>
    <w:p>
      <w:pPr>
        <w:autoSpaceDN w:val="0"/>
        <w:spacing w:line="360" w:lineRule="auto"/>
        <w:ind w:firstLine="460" w:firstLineChars="192"/>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（3）</w:t>
      </w:r>
      <w:r>
        <w:rPr>
          <w:rFonts w:hint="eastAsia" w:ascii="仿宋" w:hAnsi="仿宋" w:eastAsia="仿宋" w:cs="Arial"/>
          <w:b/>
          <w:color w:val="auto"/>
          <w:kern w:val="0"/>
          <w:sz w:val="24"/>
          <w:szCs w:val="24"/>
          <w:highlight w:val="none"/>
          <w:u w:val="single"/>
        </w:rPr>
        <w:t>不同磋商响应供应商的磋商响应文件载明的项目管理成员或联系人员为同一人</w:t>
      </w:r>
      <w:r>
        <w:rPr>
          <w:rFonts w:hint="eastAsia" w:ascii="仿宋" w:hAnsi="仿宋" w:eastAsia="仿宋" w:cs="Arial"/>
          <w:b/>
          <w:color w:val="auto"/>
          <w:kern w:val="0"/>
          <w:sz w:val="24"/>
          <w:szCs w:val="24"/>
          <w:highlight w:val="none"/>
        </w:rPr>
        <w:t>；</w:t>
      </w:r>
    </w:p>
    <w:p>
      <w:pPr>
        <w:autoSpaceDN w:val="0"/>
        <w:spacing w:line="360" w:lineRule="auto"/>
        <w:ind w:firstLine="460" w:firstLineChars="192"/>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w:t>
      </w:r>
      <w:r>
        <w:rPr>
          <w:rFonts w:hint="eastAsia" w:ascii="仿宋" w:hAnsi="仿宋" w:eastAsia="仿宋" w:cs="Arial"/>
          <w:b/>
          <w:color w:val="auto"/>
          <w:kern w:val="0"/>
          <w:sz w:val="24"/>
          <w:szCs w:val="24"/>
          <w:highlight w:val="none"/>
          <w:u w:val="single"/>
        </w:rPr>
        <w:t>不同磋商响应供应商的磋商响应文件异常一致或者投标报价呈规律性差异</w:t>
      </w:r>
      <w:r>
        <w:rPr>
          <w:rFonts w:hint="eastAsia" w:ascii="仿宋" w:hAnsi="仿宋" w:eastAsia="仿宋" w:cs="Arial"/>
          <w:b/>
          <w:color w:val="auto"/>
          <w:kern w:val="0"/>
          <w:sz w:val="24"/>
          <w:szCs w:val="24"/>
          <w:highlight w:val="none"/>
        </w:rPr>
        <w:t>；</w:t>
      </w:r>
    </w:p>
    <w:p>
      <w:pPr>
        <w:autoSpaceDN w:val="0"/>
        <w:spacing w:line="360" w:lineRule="auto"/>
        <w:ind w:firstLine="460" w:firstLineChars="192"/>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（5）</w:t>
      </w:r>
      <w:r>
        <w:rPr>
          <w:rFonts w:hint="eastAsia" w:ascii="仿宋" w:hAnsi="仿宋" w:eastAsia="仿宋" w:cs="Arial"/>
          <w:b/>
          <w:color w:val="auto"/>
          <w:kern w:val="0"/>
          <w:sz w:val="24"/>
          <w:szCs w:val="24"/>
          <w:highlight w:val="none"/>
          <w:u w:val="single"/>
        </w:rPr>
        <w:t>不同磋商响应供应商的磋商响应文件互相混装</w:t>
      </w:r>
      <w:r>
        <w:rPr>
          <w:rFonts w:hint="eastAsia" w:ascii="仿宋" w:hAnsi="仿宋" w:eastAsia="仿宋" w:cs="Arial"/>
          <w:b/>
          <w:color w:val="auto"/>
          <w:kern w:val="0"/>
          <w:sz w:val="24"/>
          <w:szCs w:val="24"/>
          <w:highlight w:val="none"/>
        </w:rPr>
        <w:t>。</w:t>
      </w:r>
    </w:p>
    <w:p>
      <w:pPr>
        <w:autoSpaceDN w:val="0"/>
        <w:spacing w:line="360" w:lineRule="auto"/>
        <w:ind w:firstLine="460" w:firstLineChars="192"/>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4.1.2磋商响应供应商应当遵循公平竞争的原则，不得恶意串通，不得妨碍其他磋商响应供应商的竞争行为，不得损害采购人或者其他磋商响应供应商的合法权益。在评审过程中，发现磋商响应供应商有上述串通投标情形的，投标无效，并书面报告本级财政部门。</w:t>
      </w:r>
    </w:p>
    <w:p>
      <w:pPr>
        <w:keepNext/>
        <w:keepLines/>
        <w:autoSpaceDN w:val="0"/>
        <w:spacing w:before="260" w:after="260" w:line="415" w:lineRule="auto"/>
        <w:ind w:firstLine="241"/>
        <w:jc w:val="left"/>
        <w:outlineLvl w:val="2"/>
        <w:rPr>
          <w:rFonts w:ascii="仿宋" w:hAnsi="仿宋" w:eastAsia="仿宋" w:cs="Times New Roman"/>
          <w:color w:val="auto"/>
          <w:kern w:val="0"/>
          <w:sz w:val="24"/>
          <w:szCs w:val="32"/>
          <w:highlight w:val="none"/>
        </w:rPr>
      </w:pPr>
      <w:r>
        <w:rPr>
          <w:rFonts w:hint="eastAsia" w:ascii="仿宋" w:hAnsi="仿宋" w:eastAsia="仿宋" w:cs="Times New Roman"/>
          <w:color w:val="auto"/>
          <w:kern w:val="0"/>
          <w:sz w:val="24"/>
          <w:szCs w:val="32"/>
          <w:highlight w:val="none"/>
        </w:rPr>
        <w:t>4.2 磋商响应供应商违法等重大事项的处理</w:t>
      </w:r>
    </w:p>
    <w:p>
      <w:pPr>
        <w:autoSpaceDN w:val="0"/>
        <w:spacing w:line="360" w:lineRule="auto"/>
        <w:ind w:firstLine="422"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磋商响应供应商有下列情形之一的，投标无效且将《磋商响应文件》、《询标记录》等报同级政府采购监管部门或有关职能部门查处：</w:t>
      </w:r>
    </w:p>
    <w:p>
      <w:pPr>
        <w:autoSpaceDN w:val="0"/>
        <w:spacing w:line="360" w:lineRule="auto"/>
        <w:ind w:firstLine="422" w:firstLineChars="176"/>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（1）未如实提供债权债务、重大违法记录、利害关系等信息，影响或者可能影响成交结果的；</w:t>
      </w:r>
    </w:p>
    <w:p>
      <w:pPr>
        <w:autoSpaceDN w:val="0"/>
        <w:spacing w:line="360" w:lineRule="auto"/>
        <w:ind w:firstLine="422" w:firstLineChars="176"/>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（2）不遵循公平竞争原则、恶意串通、妨碍其他磋商响应供应商的竞争、损害采购人或其他磋商响应供应商合法权益的；</w:t>
      </w:r>
    </w:p>
    <w:p>
      <w:pPr>
        <w:autoSpaceDN w:val="0"/>
        <w:spacing w:line="360" w:lineRule="auto"/>
        <w:ind w:firstLine="422" w:firstLineChars="176"/>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（3）政府采购活动中存在违法行为的；</w:t>
      </w:r>
    </w:p>
    <w:p>
      <w:pPr>
        <w:autoSpaceDN w:val="0"/>
        <w:spacing w:line="360" w:lineRule="auto"/>
        <w:ind w:firstLine="422" w:firstLineChars="176"/>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（3）其他严重干扰招投标秩序的行为的。</w:t>
      </w:r>
    </w:p>
    <w:p>
      <w:pPr>
        <w:keepNext/>
        <w:keepLines/>
        <w:autoSpaceDN w:val="0"/>
        <w:spacing w:before="260" w:after="260" w:line="415" w:lineRule="auto"/>
        <w:ind w:firstLine="241"/>
        <w:jc w:val="left"/>
        <w:outlineLvl w:val="2"/>
        <w:rPr>
          <w:rFonts w:ascii="仿宋" w:hAnsi="仿宋" w:eastAsia="仿宋" w:cs="Times New Roman"/>
          <w:color w:val="auto"/>
          <w:kern w:val="0"/>
          <w:sz w:val="24"/>
          <w:szCs w:val="32"/>
          <w:highlight w:val="none"/>
        </w:rPr>
      </w:pPr>
      <w:r>
        <w:rPr>
          <w:rFonts w:hint="eastAsia" w:ascii="仿宋" w:hAnsi="仿宋" w:eastAsia="仿宋" w:cs="Times New Roman"/>
          <w:color w:val="auto"/>
          <w:kern w:val="0"/>
          <w:sz w:val="24"/>
          <w:szCs w:val="32"/>
          <w:highlight w:val="none"/>
        </w:rPr>
        <w:t>4.3 评审中合格磋商响应供应商不足法定数量的处理</w:t>
      </w:r>
    </w:p>
    <w:p>
      <w:pPr>
        <w:autoSpaceDN w:val="0"/>
        <w:spacing w:line="360" w:lineRule="auto"/>
        <w:ind w:firstLine="420" w:firstLineChars="175"/>
        <w:rPr>
          <w:rFonts w:ascii="仿宋" w:hAnsi="仿宋" w:eastAsia="仿宋" w:cs="Arial"/>
          <w:color w:val="auto"/>
          <w:szCs w:val="24"/>
          <w:highlight w:val="none"/>
        </w:rPr>
      </w:pPr>
      <w:r>
        <w:rPr>
          <w:rFonts w:hint="eastAsia" w:ascii="仿宋" w:hAnsi="仿宋" w:eastAsia="仿宋" w:cs="Arial"/>
          <w:b/>
          <w:color w:val="auto"/>
          <w:kern w:val="0"/>
          <w:sz w:val="24"/>
          <w:highlight w:val="none"/>
        </w:rPr>
        <w:t>公开招标的采购项目，在评审过程中，若某个标项的有效磋商响应供应商不足三家的，除采购任务取消情形外，采购人可选择以下方式之一处理：</w:t>
      </w:r>
    </w:p>
    <w:p>
      <w:pPr>
        <w:autoSpaceDN w:val="0"/>
        <w:spacing w:line="360" w:lineRule="auto"/>
        <w:ind w:firstLine="420" w:firstLineChars="175"/>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（1）将本标项作废标处理，重新组织采购；</w:t>
      </w:r>
    </w:p>
    <w:p>
      <w:pPr>
        <w:autoSpaceDN w:val="0"/>
        <w:spacing w:line="360" w:lineRule="auto"/>
        <w:ind w:firstLine="420" w:firstLineChars="175"/>
        <w:rPr>
          <w:rFonts w:ascii="仿宋" w:hAnsi="仿宋" w:eastAsia="仿宋" w:cs="Times New Roman"/>
          <w:b/>
          <w:color w:val="auto"/>
          <w:sz w:val="24"/>
          <w:szCs w:val="24"/>
          <w:highlight w:val="none"/>
        </w:rPr>
      </w:pPr>
      <w:r>
        <w:rPr>
          <w:rFonts w:hint="eastAsia" w:ascii="仿宋" w:hAnsi="仿宋" w:eastAsia="仿宋" w:cs="Arial"/>
          <w:color w:val="auto"/>
          <w:kern w:val="0"/>
          <w:sz w:val="24"/>
          <w:highlight w:val="none"/>
        </w:rPr>
        <w:t>（2）按同级政府采购监督管理部门的审批意见采用其他采购方式组织采购。</w:t>
      </w:r>
    </w:p>
    <w:p>
      <w:pPr>
        <w:keepNext/>
        <w:keepLines/>
        <w:autoSpaceDN w:val="0"/>
        <w:spacing w:before="260" w:after="260" w:line="415" w:lineRule="auto"/>
        <w:ind w:firstLine="241"/>
        <w:jc w:val="left"/>
        <w:outlineLvl w:val="2"/>
        <w:rPr>
          <w:rFonts w:ascii="仿宋" w:hAnsi="仿宋" w:eastAsia="仿宋" w:cs="Times New Roman"/>
          <w:color w:val="auto"/>
          <w:kern w:val="0"/>
          <w:sz w:val="24"/>
          <w:szCs w:val="32"/>
          <w:highlight w:val="none"/>
        </w:rPr>
      </w:pPr>
      <w:r>
        <w:rPr>
          <w:rFonts w:hint="eastAsia" w:ascii="仿宋" w:hAnsi="仿宋" w:eastAsia="仿宋" w:cs="Times New Roman"/>
          <w:color w:val="auto"/>
          <w:kern w:val="0"/>
          <w:sz w:val="24"/>
          <w:szCs w:val="32"/>
          <w:highlight w:val="none"/>
        </w:rPr>
        <w:t>4.4 废标适用情形</w:t>
      </w:r>
    </w:p>
    <w:p>
      <w:pPr>
        <w:autoSpaceDN w:val="0"/>
        <w:spacing w:line="360" w:lineRule="auto"/>
        <w:ind w:firstLine="422" w:firstLineChars="176"/>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在招标采购中，出现下列情形之一的，项目将予以废标：</w:t>
      </w:r>
    </w:p>
    <w:p>
      <w:pPr>
        <w:widowControl/>
        <w:autoSpaceDN w:val="0"/>
        <w:spacing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（1）符合专业条件的供应商或者对竞争性磋商文件作实质响应的供应商不足三家的；</w:t>
      </w:r>
    </w:p>
    <w:p>
      <w:pPr>
        <w:widowControl/>
        <w:autoSpaceDN w:val="0"/>
        <w:spacing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（2）出现影响采购公正的违法、违规行为的；</w:t>
      </w:r>
    </w:p>
    <w:p>
      <w:pPr>
        <w:widowControl/>
        <w:autoSpaceDN w:val="0"/>
        <w:spacing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（3）磋商响应供应商的报价均超过了采购预算，采购人不能支付的；</w:t>
      </w:r>
    </w:p>
    <w:p>
      <w:pPr>
        <w:widowControl/>
        <w:autoSpaceDN w:val="0"/>
        <w:spacing w:line="360" w:lineRule="auto"/>
        <w:ind w:firstLine="480" w:firstLineChars="200"/>
        <w:rPr>
          <w:rFonts w:ascii="仿宋" w:hAnsi="仿宋" w:eastAsia="仿宋" w:cs="Times New Roman"/>
          <w:color w:val="auto"/>
          <w:kern w:val="0"/>
          <w:sz w:val="28"/>
          <w:szCs w:val="28"/>
          <w:highlight w:val="none"/>
        </w:rPr>
      </w:pPr>
      <w:r>
        <w:rPr>
          <w:rFonts w:hint="eastAsia" w:ascii="仿宋" w:hAnsi="仿宋" w:eastAsia="仿宋" w:cs="Times New Roman"/>
          <w:color w:val="auto"/>
          <w:kern w:val="0"/>
          <w:sz w:val="24"/>
          <w:szCs w:val="24"/>
          <w:highlight w:val="none"/>
        </w:rPr>
        <w:t>（4）因重大变故，采购任务取消的。</w:t>
      </w:r>
    </w:p>
    <w:p>
      <w:pPr>
        <w:keepNext/>
        <w:keepLines/>
        <w:autoSpaceDN w:val="0"/>
        <w:spacing w:before="260" w:after="260" w:line="415" w:lineRule="auto"/>
        <w:ind w:firstLine="241"/>
        <w:jc w:val="left"/>
        <w:outlineLvl w:val="2"/>
        <w:rPr>
          <w:rFonts w:ascii="仿宋" w:hAnsi="仿宋" w:eastAsia="仿宋" w:cs="Times New Roman"/>
          <w:color w:val="auto"/>
          <w:kern w:val="0"/>
          <w:sz w:val="24"/>
          <w:szCs w:val="32"/>
          <w:highlight w:val="none"/>
        </w:rPr>
      </w:pPr>
      <w:r>
        <w:rPr>
          <w:rFonts w:hint="eastAsia" w:ascii="仿宋" w:hAnsi="仿宋" w:eastAsia="仿宋" w:cs="Times New Roman"/>
          <w:color w:val="auto"/>
          <w:kern w:val="0"/>
          <w:sz w:val="24"/>
          <w:szCs w:val="32"/>
          <w:highlight w:val="none"/>
        </w:rPr>
        <w:t>4.5 可中止电子交易活动的情形</w:t>
      </w:r>
    </w:p>
    <w:p>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b/>
          <w:color w:val="auto"/>
          <w:sz w:val="24"/>
          <w:szCs w:val="28"/>
          <w:highlight w:val="none"/>
        </w:rPr>
        <w:t>采购过程中出现以下情形，导致电子交易平台无法正常运行，或者无法保证电子交易的公平、公正和安全时，采购组织机构可中止电子交易活动：</w:t>
      </w:r>
    </w:p>
    <w:p>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（一）电子交易平台发生故障而无法登录访问的；</w:t>
      </w:r>
    </w:p>
    <w:p>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（二）电子交易平台应用或数据库出现错误，不能进行正常操作的；</w:t>
      </w:r>
    </w:p>
    <w:p>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（三）电子交易平台发现严重安全漏洞，有潜在泄密危险的；</w:t>
      </w:r>
    </w:p>
    <w:p>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（四）病毒发作导致不能进行正常操作的；</w:t>
      </w:r>
    </w:p>
    <w:p>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（五）其他无法保证电子交易的公平、公正和安全的情况。</w:t>
      </w:r>
    </w:p>
    <w:p>
      <w:pPr>
        <w:autoSpaceDN w:val="0"/>
        <w:spacing w:line="360" w:lineRule="auto"/>
        <w:ind w:firstLine="463" w:firstLineChars="193"/>
        <w:rPr>
          <w:rFonts w:ascii="仿宋" w:hAnsi="仿宋" w:eastAsia="仿宋" w:cs="Arial"/>
          <w:b/>
          <w:color w:val="auto"/>
          <w:sz w:val="24"/>
          <w:highlight w:val="none"/>
        </w:rPr>
      </w:pPr>
      <w:r>
        <w:rPr>
          <w:rFonts w:hint="eastAsia" w:ascii="仿宋" w:hAnsi="仿宋" w:eastAsia="仿宋" w:cs="Times New Roman"/>
          <w:b/>
          <w:color w:val="auto"/>
          <w:sz w:val="24"/>
          <w:szCs w:val="28"/>
          <w:highlight w:val="none"/>
        </w:rPr>
        <w:t>出现前款规定情形，不影响采购公平、公正性的，采购组织机构可以待上述情形消除后继续组织电子交易活动，也可以决定某些环节以纸质形式进行；影响或可能影响采购公平、公正性的，将重新采购。</w:t>
      </w: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napToGrid w:val="0"/>
        <w:spacing w:line="360" w:lineRule="auto"/>
        <w:ind w:left="238"/>
        <w:jc w:val="center"/>
        <w:outlineLvl w:val="0"/>
        <w:rPr>
          <w:rFonts w:ascii="仿宋" w:hAnsi="仿宋" w:eastAsia="仿宋" w:cs="宋体"/>
          <w:color w:val="auto"/>
          <w:sz w:val="32"/>
          <w:szCs w:val="32"/>
          <w:highlight w:val="none"/>
        </w:rPr>
      </w:pPr>
      <w:r>
        <w:rPr>
          <w:rFonts w:hint="eastAsia" w:ascii="仿宋" w:hAnsi="仿宋" w:eastAsia="仿宋" w:cs="宋体"/>
          <w:b/>
          <w:color w:val="auto"/>
          <w:sz w:val="24"/>
          <w:szCs w:val="24"/>
          <w:highlight w:val="none"/>
        </w:rPr>
        <w:br w:type="page"/>
      </w:r>
      <w:bookmarkStart w:id="93" w:name="_Toc8854"/>
      <w:r>
        <w:rPr>
          <w:rFonts w:hint="eastAsia" w:ascii="仿宋" w:hAnsi="仿宋" w:eastAsia="仿宋" w:cs="宋体"/>
          <w:b/>
          <w:color w:val="auto"/>
          <w:sz w:val="32"/>
          <w:szCs w:val="32"/>
          <w:highlight w:val="none"/>
        </w:rPr>
        <w:t>第四章 采购内容及需求</w:t>
      </w:r>
      <w:bookmarkEnd w:id="93"/>
    </w:p>
    <w:p>
      <w:pPr>
        <w:spacing w:line="360" w:lineRule="auto"/>
        <w:ind w:firstLine="480" w:firstLineChars="200"/>
        <w:jc w:val="left"/>
        <w:rPr>
          <w:rFonts w:ascii="仿宋" w:hAnsi="仿宋" w:eastAsia="仿宋" w:cs="仿宋"/>
          <w:b/>
          <w:bCs/>
          <w:color w:val="auto"/>
          <w:sz w:val="24"/>
          <w:szCs w:val="24"/>
          <w:highlight w:val="none"/>
        </w:rPr>
      </w:pPr>
      <w:bookmarkStart w:id="94" w:name="page4"/>
      <w:bookmarkEnd w:id="94"/>
      <w:bookmarkStart w:id="95" w:name="_Hlk92875903"/>
      <w:r>
        <w:rPr>
          <w:rFonts w:hint="eastAsia" w:ascii="仿宋" w:hAnsi="仿宋" w:eastAsia="仿宋" w:cs="仿宋"/>
          <w:b/>
          <w:bCs/>
          <w:color w:val="auto"/>
          <w:sz w:val="24"/>
          <w:szCs w:val="24"/>
          <w:highlight w:val="none"/>
        </w:rPr>
        <w:t>一、工程概况</w:t>
      </w:r>
    </w:p>
    <w:p>
      <w:pPr>
        <w:spacing w:line="360" w:lineRule="auto"/>
        <w:ind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本项目为</w:t>
      </w:r>
      <w:r>
        <w:rPr>
          <w:rFonts w:hint="eastAsia" w:ascii="仿宋" w:hAnsi="仿宋" w:eastAsia="仿宋" w:cs="仿宋"/>
          <w:color w:val="auto"/>
          <w:sz w:val="24"/>
          <w:szCs w:val="24"/>
          <w:highlight w:val="none"/>
          <w:lang w:eastAsia="zh-CN"/>
        </w:rPr>
        <w:t>省拱宸所戒毒法治基地配套项目标一</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主要建设内为：主要为原沥青路面铲除和铺设、侧石更换、树木修剪、绿化修整等。</w:t>
      </w:r>
    </w:p>
    <w:p>
      <w:pPr>
        <w:spacing w:line="360" w:lineRule="auto"/>
        <w:ind w:firstLine="480" w:firstLineChars="200"/>
        <w:jc w:val="left"/>
        <w:rPr>
          <w:rFonts w:ascii="仿宋" w:hAnsi="仿宋" w:eastAsia="仿宋" w:cs="仿宋"/>
          <w:color w:val="auto"/>
          <w:sz w:val="24"/>
          <w:szCs w:val="24"/>
          <w:highlight w:val="none"/>
        </w:rPr>
      </w:pPr>
    </w:p>
    <w:p>
      <w:pPr>
        <w:spacing w:line="360" w:lineRule="auto"/>
        <w:ind w:firstLine="480"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二、工程内容</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1.工程名称：</w:t>
      </w:r>
      <w:r>
        <w:rPr>
          <w:rFonts w:hint="eastAsia" w:ascii="仿宋" w:hAnsi="仿宋" w:eastAsia="仿宋" w:cs="仿宋"/>
          <w:color w:val="auto"/>
          <w:sz w:val="24"/>
          <w:szCs w:val="24"/>
          <w:highlight w:val="none"/>
          <w:lang w:eastAsia="zh-CN"/>
        </w:rPr>
        <w:t>省拱宸所戒毒法治基地配套项目标一</w:t>
      </w:r>
      <w:r>
        <w:rPr>
          <w:rFonts w:hint="eastAsia" w:ascii="仿宋" w:hAnsi="仿宋" w:eastAsia="仿宋" w:cs="仿宋"/>
          <w:color w:val="auto"/>
          <w:sz w:val="24"/>
          <w:szCs w:val="24"/>
          <w:highlight w:val="none"/>
        </w:rPr>
        <w:t>。</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2.现场条件</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（1）已具备施工条件，但施工不能影响正常的工作。</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本项目为交钥匙工程。</w:t>
      </w:r>
      <w:r>
        <w:rPr>
          <w:rFonts w:hint="eastAsia" w:ascii="仿宋" w:hAnsi="仿宋" w:eastAsia="仿宋" w:cs="仿宋"/>
          <w:color w:val="auto"/>
          <w:sz w:val="24"/>
          <w:szCs w:val="24"/>
          <w:highlight w:val="none"/>
        </w:rPr>
        <w:t>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3.工程承包范围</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（1）工程量清单等已明确的工程内容。</w:t>
      </w:r>
    </w:p>
    <w:p>
      <w:pPr>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（2）可能出现的工程量增减以及根据招标人明确指令需在招标范围外增加的工程量及招标范围内减少的工程量。</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4.工程质量标准</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工程质量符合（工程施工质量验收规范）合格标准。</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5.工程施工要求</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5.1技术规范要求：</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（1）本工程项目的材料、设备、施工必须达到现行中华人民共和国及省、市、行业的一切有关法规、规范的要求，如标准及规范要求有出入则以较严格者为准。</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在合同履行期间，若上述标准或规范有修改或重新颁布，成交供应商应遵照执行。规范的获得由承包人自行解决。</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对本工程所采用的标准或规范的任何部分，当成交供应商认为改用其他标准或规范，同样能够保证工程达到相同质量或更高的质量时，成交供应商可提出申请报经采购人审批后采用，但这种批准不免除成交供应商根据合同规定应承担的任何责任。申请报告中应对原采用的标准或规范与所建议改用的其他标准或规范之间的差异进行详细说明。获批之前成交供应商仍应执行原采用的标准或规范。</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5.2安全文明施工要求</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（1）成交供应商应对进度施工现场的施工人员进行安全文明施工教育，配备必要的劳动保护用具，保证工程的施工安全和人身安全。</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（2）成交供应商应强化安全意识，抓好安全生产，杜绝事故发生，施工中若因供应商原因发生安全及人身事故由成交供应商自行负责处理，并承担全部费用。</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（3）成交供应商须遵守地方政府和有关部门及采购人对施工场地交通、环卫、安全和施工噪音等的管理规定，并按规定办理相关审批手续。</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（4）成交供应商应采取有效措施尽量减小尘土和噪音污染，需要进行夜间作业时应经有关部门批准。</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（5）因项目实施期间，相关施工区域仍将维持正常运行，为减少对正常办公秩序的影响，要求确保文明施工措施到位。</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5.3其它施工过程中需注意事项</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（1）本工程在施工期间，成交供应商应注意保护好采购人周边现有成品，如有损坏，须无条件修复至采购人满意。</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（2）废弃材料不得丢弃或随意堆放在校园内，清理产生的拆除费、搬运费、交通运输费等各项费用均由供应商自行考虑并计入响应总价且一次性包干。</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（3）工程完工后，成交供应商需对施工现场进行全面的清洁工作。</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6.工程管理要求</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成交供应商应严格按已确认的施工图纸和施工技术方案组织施工，并无条件地接受采购人对施工质量的监督和管理。施工过程中，成交供应商必须要严格把关，按照相应规范标准要求施工，如出现不符合标准要求的情况，成交供应商必须无条件返工，直至达到规范标准要求。所发生的费用均由成交供应商承担。</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成交供应商在响应文件中承诺的管理人员未经采购人同意，承包人不得调换和撤离，并按工程进度及时到位。采购人有权要求承包人撤换工作不负责任、管理不力、贻误工期和造成严重的安全事故和工程质量事故、违法乱纪的专业技术、管理人员直至技术负责人，直至采购人满意为止。如相应资质的专业技术人员未按要求到位，视作违约，采购人有权单方面终止合同。</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（3）成交供应商应有详细的工程安全措施和安全组织及配备专职安全负责人的说明和承诺，以确保安全施工。</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（4）成交供应商在进场施工前，应对建筑、结构施工图及现场实物、预埋件等进行核对并对不符合要求部分提出整改意见，若成交供应商未及时提出意见造成的有关损失由成交供应商承担。</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（5）电力不足或停电，自备发电机，其费用由成交供应商自行承担。</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（6）成交供应商在工程施工全过程中要认真做好产品保护。因失窃或失火造成的损失均由成交供应商负责，凡由此而损及采购方利益时，采购方将向成交供应商索赔。</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（7）施工期间，所有施工人员的食宿均由成交供应商自行安排。</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（8）工程管理其他要求：</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1）本项目施工现场采购人不提供食宿，施工期间，所有施工人员的食宿均由成交供应商自行安排，材料的堆放及停车必须服从采购人的安排。</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2）成交供应商须满足</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管理的要求、遵守</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的有关管理制度，服从监理的管理和协调，确保施工项目的安全、高效、顺利进行，满足采购人的日常需求，防范消防等安全事件的发生。</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施工期间，如遇重大的活动、节庆、参观、来访、大型会议等，成交供应商应给予配合，并无条件按采购人要求做好施工现场及其周边的卫生、特殊防护等，必要时需要中断施工等等，均需要由供应商在磋商报价中充分考虑并包含。</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4）施工现场严禁吸烟。</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7.工程主要材料（设备）要求</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（1）本项目涉及的所有材料设备，必须经采购人确认后方能采购、进场、加工、安装。否则一律不予承认，不予支付相应款项。</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材料规格：本磋商文件涉及的主要设备和材料，各供应商须根据磋商文件要求的用材规格进行选材并报价，并符合环保要求，严禁选择不符合要求的低档材料进行响应报价及组织施工实施，如有其它国家强制性认证要求的也必须满足。</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）材料质量要求：</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1）在保修期内，成交供应商对有缺陷的部位必须给予修理与更换，并承担一切由此引起的对采购人或第三者的直接损失，除非该缺陷是由于人为破坏或合同规定的不可抗力因素造成的损坏（费用含在报价中）。</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应对所选用的材料的技术满足度和质量负全部责任，其责任不因该品牌是否为采购人推荐减轻或更改。当供应商选定的产品质量达不到设计要求和磋商文件要求的技术指标时，采购人保留更换的权利，且成交价不予调整。</w:t>
      </w:r>
    </w:p>
    <w:p>
      <w:pPr>
        <w:spacing w:line="360" w:lineRule="auto"/>
        <w:ind w:firstLine="360" w:firstLineChars="150"/>
        <w:rPr>
          <w:rFonts w:hint="eastAsia" w:ascii="仿宋" w:hAnsi="仿宋" w:eastAsia="仿宋" w:cs="仿宋"/>
          <w:b w:val="0"/>
          <w:bCs/>
          <w:color w:val="auto"/>
          <w:sz w:val="24"/>
          <w:szCs w:val="24"/>
          <w:highlight w:val="none"/>
        </w:rPr>
      </w:pPr>
    </w:p>
    <w:p>
      <w:pPr>
        <w:spacing w:line="360" w:lineRule="auto"/>
        <w:ind w:firstLine="420" w:firstLineChars="175"/>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▲8.项目人员要求</w:t>
      </w:r>
    </w:p>
    <w:p>
      <w:pPr>
        <w:spacing w:line="360" w:lineRule="auto"/>
        <w:ind w:firstLine="420" w:firstLineChars="175"/>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▲1)拟派项目经理具有市政公用工程专业二级及以上注册建造师资格（在响应文件中提供证书扫描件）；</w:t>
      </w:r>
    </w:p>
    <w:p>
      <w:pPr>
        <w:spacing w:line="360" w:lineRule="auto"/>
        <w:ind w:firstLine="420" w:firstLineChars="175"/>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▲2)拟派项目经理具有“三类人员”B类证书；拟驻现场的安全专职管理员具有“三类人员”C类证书。</w:t>
      </w:r>
    </w:p>
    <w:p>
      <w:pPr>
        <w:spacing w:line="360" w:lineRule="auto"/>
        <w:ind w:firstLine="480" w:firstLineChars="200"/>
        <w:jc w:val="left"/>
        <w:rPr>
          <w:rFonts w:hint="eastAsia" w:ascii="仿宋" w:hAnsi="仿宋" w:eastAsia="仿宋" w:cs="仿宋"/>
          <w:b w:val="0"/>
          <w:bCs w:val="0"/>
          <w:color w:val="auto"/>
          <w:sz w:val="24"/>
          <w:szCs w:val="24"/>
          <w:highlight w:val="none"/>
          <w:lang w:val="en-US" w:eastAsia="zh-CN"/>
        </w:rPr>
      </w:pPr>
    </w:p>
    <w:p>
      <w:pPr>
        <w:spacing w:line="360" w:lineRule="auto"/>
        <w:ind w:firstLine="480" w:firstLineChars="200"/>
        <w:jc w:val="left"/>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9.其他要求：本项目要求成交供应商在质保期内提供本项目改造的绿化内容的管养服务，并提供园林绿化服务方案。</w:t>
      </w:r>
    </w:p>
    <w:p>
      <w:pPr>
        <w:pStyle w:val="2"/>
        <w:rPr>
          <w:rFonts w:hint="eastAsia"/>
          <w:color w:val="auto"/>
          <w:highlight w:val="none"/>
        </w:rPr>
      </w:pPr>
    </w:p>
    <w:p>
      <w:pPr>
        <w:spacing w:line="360" w:lineRule="auto"/>
        <w:ind w:firstLine="480"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三、商务要求</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1.工期要求：</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日历天。</w:t>
      </w:r>
    </w:p>
    <w:p>
      <w:pPr>
        <w:spacing w:line="360" w:lineRule="auto"/>
        <w:ind w:left="210" w:leftChars="100" w:firstLine="240" w:firstLineChars="1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2.工程地点：浙江省杭州市</w:t>
      </w:r>
    </w:p>
    <w:p>
      <w:pPr>
        <w:tabs>
          <w:tab w:val="left" w:pos="0"/>
        </w:tabs>
        <w:spacing w:line="360" w:lineRule="auto"/>
        <w:ind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3.付款条件（进度和方式）：</w:t>
      </w:r>
      <w:r>
        <w:rPr>
          <w:rFonts w:hint="eastAsia" w:ascii="仿宋" w:hAnsi="仿宋" w:eastAsia="仿宋" w:cs="仿宋"/>
          <w:color w:val="auto"/>
          <w:sz w:val="24"/>
          <w:szCs w:val="24"/>
          <w:highlight w:val="none"/>
          <w:lang w:val="en-US" w:eastAsia="zh-CN"/>
        </w:rPr>
        <w:t>详见合同条款</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4.工程售后服务要求</w:t>
      </w:r>
    </w:p>
    <w:p>
      <w:pPr>
        <w:spacing w:line="360" w:lineRule="auto"/>
        <w:ind w:left="10" w:firstLine="408" w:firstLineChars="17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（1）保修期：按工程质量保修书规定执行，质量保证期为本项目验收合格后</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年。</w:t>
      </w:r>
    </w:p>
    <w:p>
      <w:pPr>
        <w:spacing w:line="360" w:lineRule="auto"/>
        <w:ind w:left="10" w:firstLine="408" w:firstLineChars="17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成交供应商应与采购人签订工程质量保修书，在质量保修期内，按照有关法律、法规、规章的管理规定和双方约定，承担本工程质量保修责任，如出现质量问题24小时内响应，7天内修复。</w:t>
      </w:r>
    </w:p>
    <w:p>
      <w:pPr>
        <w:spacing w:line="360" w:lineRule="auto"/>
        <w:ind w:left="10" w:firstLine="408" w:firstLineChars="17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（2）在保修期内，成交供应商对有缺陷的部位必须无偿地给予修理与更换，并承担一切由此引起的对采购人或第三者的直接损失，除人为破坏或合同规定的不可抗因素造成的损坏外。</w:t>
      </w:r>
    </w:p>
    <w:p>
      <w:pPr>
        <w:spacing w:line="360" w:lineRule="auto"/>
        <w:ind w:left="10" w:firstLine="408" w:firstLineChars="17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（3）成交供应商必须对所承包的工程的质量负全部责任，其责任不因其他材料生产商提供的保证书而减轻或更改。</w:t>
      </w:r>
    </w:p>
    <w:p>
      <w:pPr>
        <w:spacing w:line="360" w:lineRule="auto"/>
        <w:ind w:left="10" w:firstLine="408" w:firstLineChars="17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（4）供应商应当在缺陷责任期内局有完善的售后技术支持和服务体系，能够提供服务标准、服务流程、服务内容。</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5.其他商务要求（包装和运输、保险等）</w:t>
      </w:r>
    </w:p>
    <w:p>
      <w:pPr>
        <w:spacing w:line="360" w:lineRule="auto"/>
        <w:ind w:firstLine="420" w:firstLineChars="175"/>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为助力打好污染防治攻坚战，推广使用绿色包装，政府采购货物、工程和服务项目中涉及商品包装和快递包装的，施工单位提供产品及相关快递服务的具体包装要求要参考《商品包装政府采购需求标准（试行）》、《快递包装政府采购需求标准（试行）》。</w:t>
      </w:r>
    </w:p>
    <w:p>
      <w:pPr>
        <w:spacing w:line="360" w:lineRule="auto"/>
        <w:ind w:firstLine="480" w:firstLineChars="200"/>
        <w:jc w:val="left"/>
        <w:rPr>
          <w:rFonts w:hint="eastAsia" w:ascii="仿宋" w:hAnsi="仿宋" w:eastAsia="仿宋" w:cs="仿宋"/>
          <w:b/>
          <w:bCs/>
          <w:color w:val="auto"/>
          <w:sz w:val="24"/>
          <w:szCs w:val="24"/>
          <w:highlight w:val="none"/>
        </w:rPr>
      </w:pPr>
    </w:p>
    <w:p>
      <w:pPr>
        <w:spacing w:line="360" w:lineRule="auto"/>
        <w:ind w:firstLine="480"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五、其他要求</w:t>
      </w:r>
    </w:p>
    <w:p>
      <w:pPr>
        <w:spacing w:line="360" w:lineRule="auto"/>
        <w:ind w:firstLine="420" w:firstLineChars="175"/>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1.供应商应当将因</w:t>
      </w:r>
      <w:r>
        <w:rPr>
          <w:rFonts w:hint="eastAsia" w:ascii="仿宋" w:hAnsi="仿宋" w:eastAsia="仿宋" w:cs="仿宋"/>
          <w:color w:val="auto"/>
          <w:sz w:val="24"/>
          <w:szCs w:val="24"/>
          <w:highlight w:val="none"/>
          <w:lang w:val="en-US" w:eastAsia="zh-CN"/>
        </w:rPr>
        <w:t>所</w:t>
      </w:r>
      <w:r>
        <w:rPr>
          <w:rFonts w:hint="eastAsia" w:ascii="仿宋" w:hAnsi="仿宋" w:eastAsia="仿宋" w:cs="仿宋"/>
          <w:color w:val="auto"/>
          <w:sz w:val="24"/>
          <w:szCs w:val="24"/>
          <w:highlight w:val="none"/>
        </w:rPr>
        <w:t>内搬运不便而产生的二次搬运费用计算在磋商报价中，总价包干。</w:t>
      </w:r>
    </w:p>
    <w:p>
      <w:pPr>
        <w:spacing w:line="360" w:lineRule="auto"/>
        <w:ind w:firstLine="420" w:firstLineChars="175"/>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2.工程完工后，中标人需对施工现场进行全面的清洁工作。所需费用由供应商综合考虑在投标报价中，供应商中标后不得以任何理由提出相关费用的补偿要求。</w:t>
      </w:r>
    </w:p>
    <w:p>
      <w:pPr>
        <w:spacing w:line="360" w:lineRule="auto"/>
        <w:ind w:firstLine="420" w:firstLineChars="175"/>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3.本项目施工进出场地所需的停车费由供应商自行考虑，费用含在投标总价中，招标人不另行支付。</w:t>
      </w:r>
    </w:p>
    <w:p>
      <w:pPr>
        <w:autoSpaceDN w:val="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项目采用固定单价，工程量按实结算。供应商所报价格中应包含规费、税金、企业管理费、措施费等国家、省、市强制性要求的费用。若磋商供应商报价不足或未报价，则视作优惠，一旦中标，磋商供应商自行承担该费用。</w:t>
      </w:r>
    </w:p>
    <w:p>
      <w:pPr>
        <w:rPr>
          <w:rFonts w:hint="eastAsia" w:ascii="仿宋" w:hAnsi="仿宋" w:eastAsia="仿宋" w:cs="仿宋"/>
          <w:b/>
          <w:color w:val="auto"/>
          <w:sz w:val="32"/>
          <w:szCs w:val="32"/>
          <w:highlight w:val="none"/>
        </w:rPr>
      </w:pPr>
      <w:bookmarkStart w:id="96" w:name="_Toc18450"/>
      <w:bookmarkStart w:id="97" w:name="_Hlk97732490"/>
      <w:r>
        <w:rPr>
          <w:rFonts w:hint="eastAsia" w:ascii="仿宋" w:hAnsi="仿宋" w:eastAsia="仿宋" w:cs="仿宋"/>
          <w:b/>
          <w:color w:val="auto"/>
          <w:sz w:val="32"/>
          <w:szCs w:val="32"/>
          <w:highlight w:val="none"/>
        </w:rPr>
        <w:br w:type="page"/>
      </w:r>
    </w:p>
    <w:p>
      <w:pPr>
        <w:pStyle w:val="2"/>
        <w:rPr>
          <w:rFonts w:hint="eastAsia"/>
          <w:color w:val="auto"/>
          <w:highlight w:val="none"/>
        </w:rPr>
      </w:pPr>
    </w:p>
    <w:p>
      <w:pPr>
        <w:autoSpaceDN w:val="0"/>
        <w:adjustRightInd w:val="0"/>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第五章 合同</w:t>
      </w:r>
      <w:bookmarkEnd w:id="96"/>
    </w:p>
    <w:p>
      <w:pPr>
        <w:keepNext/>
        <w:keepLines/>
        <w:autoSpaceDN w:val="0"/>
        <w:adjustRightInd w:val="0"/>
        <w:snapToGrid w:val="0"/>
        <w:spacing w:before="360" w:after="260" w:line="415" w:lineRule="auto"/>
        <w:ind w:firstLine="280" w:firstLineChars="100"/>
        <w:jc w:val="center"/>
        <w:outlineLvl w:val="1"/>
        <w:rPr>
          <w:rFonts w:hint="eastAsia" w:ascii="仿宋" w:hAnsi="仿宋" w:eastAsia="仿宋" w:cs="仿宋"/>
          <w:b/>
          <w:bCs/>
          <w:color w:val="auto"/>
          <w:sz w:val="28"/>
          <w:szCs w:val="28"/>
          <w:highlight w:val="none"/>
        </w:rPr>
      </w:pPr>
      <w:bookmarkStart w:id="98" w:name="_Toc28546"/>
      <w:r>
        <w:rPr>
          <w:rFonts w:hint="eastAsia" w:ascii="仿宋" w:hAnsi="仿宋" w:eastAsia="仿宋" w:cs="仿宋"/>
          <w:b/>
          <w:bCs/>
          <w:color w:val="auto"/>
          <w:sz w:val="28"/>
          <w:szCs w:val="28"/>
          <w:highlight w:val="none"/>
        </w:rPr>
        <w:t>合同主要条款（以最终签订为准）</w:t>
      </w:r>
      <w:bookmarkEnd w:id="98"/>
    </w:p>
    <w:bookmarkEnd w:id="95"/>
    <w:bookmarkEnd w:id="97"/>
    <w:p>
      <w:pPr>
        <w:keepNext w:val="0"/>
        <w:keepLines w:val="0"/>
        <w:pageBreakBefore w:val="0"/>
        <w:widowControl w:val="0"/>
        <w:kinsoku/>
        <w:wordWrap/>
        <w:overflowPunct/>
        <w:topLinePunct w:val="0"/>
        <w:autoSpaceDE/>
        <w:autoSpaceDN/>
        <w:bidi w:val="0"/>
        <w:adjustRightInd w:val="0"/>
        <w:snapToGrid/>
        <w:spacing w:line="520" w:lineRule="exact"/>
        <w:jc w:val="center"/>
        <w:textAlignment w:val="auto"/>
        <w:rPr>
          <w:rFonts w:hint="eastAsia" w:ascii="仿宋" w:hAnsi="仿宋" w:eastAsia="仿宋" w:cs="仿宋"/>
          <w:b/>
          <w:color w:val="auto"/>
          <w:spacing w:val="-20"/>
          <w:sz w:val="52"/>
          <w:szCs w:val="52"/>
          <w:highlight w:val="none"/>
          <w:lang w:eastAsia="zh-CN"/>
        </w:rPr>
      </w:pPr>
      <w:bookmarkStart w:id="99" w:name="_Toc15050"/>
    </w:p>
    <w:p>
      <w:pPr>
        <w:snapToGrid w:val="0"/>
        <w:spacing w:line="360" w:lineRule="auto"/>
        <w:ind w:firstLine="480" w:firstLineChars="100"/>
        <w:jc w:val="center"/>
        <w:rPr>
          <w:rFonts w:hint="eastAsia" w:ascii="仿宋" w:hAnsi="仿宋" w:eastAsia="仿宋" w:cs="仿宋"/>
          <w:b/>
          <w:color w:val="auto"/>
          <w:sz w:val="24"/>
          <w:highlight w:val="none"/>
        </w:rPr>
      </w:pPr>
      <w:r>
        <w:rPr>
          <w:rFonts w:hint="eastAsia" w:ascii="仿宋" w:hAnsi="仿宋" w:eastAsia="仿宋" w:cs="仿宋"/>
          <w:b/>
          <w:color w:val="auto"/>
          <w:spacing w:val="-20"/>
          <w:sz w:val="52"/>
          <w:szCs w:val="52"/>
          <w:highlight w:val="none"/>
          <w:lang w:eastAsia="zh-CN"/>
        </w:rPr>
        <w:t xml:space="preserve">省拱宸所戒毒法治基地配套项目标一 </w:t>
      </w:r>
    </w:p>
    <w:p>
      <w:pPr>
        <w:snapToGrid w:val="0"/>
        <w:spacing w:line="360" w:lineRule="auto"/>
        <w:ind w:firstLine="482"/>
        <w:rPr>
          <w:rFonts w:hint="eastAsia" w:ascii="仿宋" w:hAnsi="仿宋" w:eastAsia="仿宋" w:cs="仿宋"/>
          <w:b/>
          <w:color w:val="auto"/>
          <w:sz w:val="24"/>
          <w:highlight w:val="none"/>
        </w:rPr>
      </w:pPr>
    </w:p>
    <w:p>
      <w:pPr>
        <w:snapToGrid w:val="0"/>
        <w:spacing w:line="360" w:lineRule="auto"/>
        <w:rPr>
          <w:rFonts w:hint="eastAsia" w:ascii="仿宋" w:hAnsi="仿宋" w:eastAsia="仿宋" w:cs="仿宋"/>
          <w:color w:val="auto"/>
          <w:sz w:val="24"/>
          <w:highlight w:val="none"/>
        </w:rPr>
      </w:pPr>
    </w:p>
    <w:p>
      <w:pPr>
        <w:snapToGrid w:val="0"/>
        <w:spacing w:line="360" w:lineRule="auto"/>
        <w:ind w:firstLine="480"/>
        <w:rPr>
          <w:rFonts w:hint="eastAsia" w:ascii="仿宋" w:hAnsi="仿宋" w:eastAsia="仿宋" w:cs="仿宋"/>
          <w:color w:val="auto"/>
          <w:sz w:val="24"/>
          <w:highlight w:val="none"/>
        </w:rPr>
      </w:pPr>
    </w:p>
    <w:p>
      <w:pPr>
        <w:spacing w:line="360" w:lineRule="auto"/>
        <w:ind w:left="1197" w:leftChars="570" w:firstLine="720" w:firstLineChars="3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项目名称：</w:t>
      </w:r>
      <w:r>
        <w:rPr>
          <w:rFonts w:hint="eastAsia" w:ascii="仿宋" w:hAnsi="仿宋" w:eastAsia="仿宋" w:cs="仿宋"/>
          <w:b/>
          <w:color w:val="auto"/>
          <w:sz w:val="24"/>
          <w:highlight w:val="none"/>
          <w:u w:val="single"/>
          <w:lang w:eastAsia="zh-CN"/>
        </w:rPr>
        <w:t>省拱宸所戒毒法治基地配套项目标一</w:t>
      </w:r>
      <w:r>
        <w:rPr>
          <w:rFonts w:hint="eastAsia" w:ascii="仿宋" w:hAnsi="仿宋" w:eastAsia="仿宋" w:cs="仿宋"/>
          <w:b/>
          <w:color w:val="auto"/>
          <w:sz w:val="24"/>
          <w:highlight w:val="none"/>
          <w:u w:val="single"/>
        </w:rPr>
        <w:t xml:space="preserve"> </w:t>
      </w:r>
    </w:p>
    <w:p>
      <w:pPr>
        <w:tabs>
          <w:tab w:val="left" w:pos="0"/>
        </w:tabs>
        <w:spacing w:line="360" w:lineRule="auto"/>
        <w:ind w:firstLine="464" w:firstLineChars="196"/>
        <w:jc w:val="center"/>
        <w:rPr>
          <w:rFonts w:hint="eastAsia" w:ascii="仿宋" w:hAnsi="仿宋" w:eastAsia="仿宋" w:cs="仿宋"/>
          <w:color w:val="auto"/>
          <w:w w:val="99"/>
          <w:sz w:val="24"/>
          <w:highlight w:val="none"/>
        </w:rPr>
      </w:pPr>
    </w:p>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合同内容：</w:t>
      </w:r>
      <w:r>
        <w:rPr>
          <w:rFonts w:hint="eastAsia" w:ascii="仿宋" w:hAnsi="仿宋" w:eastAsia="仿宋" w:cs="仿宋"/>
          <w:b/>
          <w:bCs/>
          <w:color w:val="auto"/>
          <w:sz w:val="24"/>
          <w:highlight w:val="none"/>
          <w:u w:val="single"/>
          <w:lang w:eastAsia="zh-CN"/>
        </w:rPr>
        <w:t>戒毒法治基地配套项目</w:t>
      </w:r>
      <w:r>
        <w:rPr>
          <w:rFonts w:hint="eastAsia" w:ascii="仿宋" w:hAnsi="仿宋" w:eastAsia="仿宋" w:cs="仿宋"/>
          <w:b/>
          <w:bCs/>
          <w:color w:val="auto"/>
          <w:sz w:val="24"/>
          <w:highlight w:val="none"/>
          <w:u w:val="single"/>
          <w:lang w:val="en-US" w:eastAsia="zh-CN"/>
        </w:rPr>
        <w:t>标一</w:t>
      </w:r>
    </w:p>
    <w:p>
      <w:pPr>
        <w:snapToGrid w:val="0"/>
        <w:spacing w:line="360" w:lineRule="auto"/>
        <w:rPr>
          <w:rFonts w:hint="eastAsia" w:ascii="仿宋" w:hAnsi="仿宋" w:eastAsia="仿宋" w:cs="仿宋"/>
          <w:color w:val="auto"/>
          <w:sz w:val="24"/>
          <w:highlight w:val="none"/>
        </w:rPr>
      </w:pPr>
    </w:p>
    <w:p>
      <w:pPr>
        <w:snapToGrid w:val="0"/>
        <w:spacing w:line="360" w:lineRule="auto"/>
        <w:ind w:firstLine="840" w:firstLineChars="350"/>
        <w:jc w:val="center"/>
        <w:rPr>
          <w:rFonts w:hint="eastAsia" w:ascii="仿宋" w:hAnsi="仿宋" w:eastAsia="仿宋" w:cs="仿宋"/>
          <w:color w:val="auto"/>
          <w:sz w:val="24"/>
          <w:highlight w:val="none"/>
        </w:rPr>
      </w:pPr>
    </w:p>
    <w:p>
      <w:pPr>
        <w:snapToGrid w:val="0"/>
        <w:spacing w:line="360" w:lineRule="auto"/>
        <w:ind w:firstLine="840" w:firstLineChars="350"/>
        <w:jc w:val="center"/>
        <w:rPr>
          <w:rFonts w:hint="eastAsia" w:ascii="仿宋" w:hAnsi="仿宋" w:eastAsia="仿宋" w:cs="仿宋"/>
          <w:color w:val="auto"/>
          <w:sz w:val="24"/>
          <w:highlight w:val="none"/>
        </w:rPr>
      </w:pPr>
    </w:p>
    <w:p>
      <w:pPr>
        <w:snapToGrid w:val="0"/>
        <w:spacing w:line="360" w:lineRule="auto"/>
        <w:ind w:firstLine="840" w:firstLineChars="350"/>
        <w:jc w:val="center"/>
        <w:rPr>
          <w:rFonts w:hint="eastAsia" w:ascii="仿宋" w:hAnsi="仿宋" w:eastAsia="仿宋" w:cs="仿宋"/>
          <w:color w:val="auto"/>
          <w:sz w:val="24"/>
          <w:highlight w:val="none"/>
        </w:rPr>
      </w:pPr>
    </w:p>
    <w:p>
      <w:pPr>
        <w:snapToGrid w:val="0"/>
        <w:spacing w:line="360" w:lineRule="auto"/>
        <w:ind w:firstLine="2760" w:firstLineChars="115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发包人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浙江省拱宸强制隔离戒毒所</w:t>
      </w:r>
    </w:p>
    <w:p>
      <w:pPr>
        <w:snapToGrid w:val="0"/>
        <w:spacing w:line="360" w:lineRule="auto"/>
        <w:ind w:firstLine="840" w:firstLine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承包人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p>
    <w:p>
      <w:pPr>
        <w:snapToGrid w:val="0"/>
        <w:spacing w:line="360" w:lineRule="auto"/>
        <w:ind w:firstLine="4080" w:firstLineChars="1700"/>
        <w:rPr>
          <w:rFonts w:hint="eastAsia" w:ascii="仿宋" w:hAnsi="仿宋" w:eastAsia="仿宋" w:cs="仿宋"/>
          <w:color w:val="auto"/>
          <w:sz w:val="24"/>
          <w:highlight w:val="none"/>
        </w:rPr>
      </w:pPr>
    </w:p>
    <w:p>
      <w:pPr>
        <w:snapToGrid w:val="0"/>
        <w:spacing w:line="360" w:lineRule="auto"/>
        <w:ind w:firstLine="4080" w:firstLineChars="1700"/>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rPr>
          <w:rFonts w:hint="eastAsia" w:ascii="仿宋" w:hAnsi="仿宋" w:eastAsia="仿宋" w:cs="仿宋"/>
          <w:color w:val="auto"/>
          <w:sz w:val="24"/>
          <w:highlight w:val="none"/>
        </w:rPr>
      </w:pPr>
    </w:p>
    <w:p>
      <w:pPr>
        <w:pStyle w:val="2"/>
        <w:tabs>
          <w:tab w:val="left" w:pos="0"/>
          <w:tab w:val="left" w:pos="390"/>
        </w:tabs>
        <w:rPr>
          <w:rFonts w:hint="eastAsia" w:ascii="仿宋" w:hAnsi="仿宋" w:eastAsia="仿宋" w:cs="仿宋"/>
          <w:color w:val="auto"/>
          <w:highlight w:val="none"/>
        </w:rPr>
      </w:pP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签署地点：</w:t>
      </w:r>
      <w:r>
        <w:rPr>
          <w:rFonts w:hint="eastAsia" w:ascii="仿宋" w:hAnsi="仿宋" w:eastAsia="仿宋" w:cs="仿宋"/>
          <w:color w:val="auto"/>
          <w:sz w:val="24"/>
          <w:highlight w:val="none"/>
          <w:u w:val="single"/>
        </w:rPr>
        <w:t xml:space="preserve">杭州市拱墅区莫干山路1411号 </w:t>
      </w:r>
      <w:r>
        <w:rPr>
          <w:rFonts w:hint="eastAsia" w:ascii="仿宋" w:hAnsi="仿宋" w:eastAsia="仿宋" w:cs="仿宋"/>
          <w:color w:val="auto"/>
          <w:sz w:val="24"/>
          <w:highlight w:val="none"/>
        </w:rPr>
        <w:t xml:space="preserve">        签署日期：</w:t>
      </w:r>
      <w:r>
        <w:rPr>
          <w:rFonts w:hint="eastAsia" w:ascii="仿宋" w:hAnsi="仿宋" w:eastAsia="仿宋" w:cs="仿宋"/>
          <w:color w:val="auto"/>
          <w:sz w:val="24"/>
          <w:highlight w:val="none"/>
          <w:u w:val="single"/>
          <w:lang w:val="en-US" w:eastAsia="zh-CN"/>
        </w:rPr>
        <w:t xml:space="preserve"> 2024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日</w:t>
      </w:r>
      <w:bookmarkStart w:id="100" w:name="_Toc296503025"/>
      <w:bookmarkStart w:id="101" w:name="_Toc101339320"/>
      <w:bookmarkStart w:id="102" w:name="_Toc351203480"/>
      <w:bookmarkStart w:id="103" w:name="_Toc296890982"/>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5"/>
        <w:tabs>
          <w:tab w:val="left" w:pos="1110"/>
        </w:tabs>
        <w:spacing w:line="400" w:lineRule="exact"/>
        <w:jc w:val="center"/>
        <w:rPr>
          <w:rFonts w:hint="eastAsia" w:ascii="仿宋" w:hAnsi="仿宋" w:eastAsia="仿宋" w:cs="仿宋"/>
          <w:color w:val="auto"/>
          <w:szCs w:val="21"/>
          <w:highlight w:val="none"/>
          <w:u w:val="none"/>
        </w:rPr>
      </w:pPr>
      <w:r>
        <w:rPr>
          <w:rFonts w:hint="eastAsia" w:ascii="仿宋" w:hAnsi="仿宋" w:eastAsia="仿宋" w:cs="仿宋"/>
          <w:color w:val="auto"/>
          <w:szCs w:val="21"/>
          <w:highlight w:val="none"/>
          <w:u w:val="none"/>
        </w:rPr>
        <w:t>第一部分 合同协议书</w:t>
      </w:r>
      <w:bookmarkEnd w:id="100"/>
      <w:bookmarkEnd w:id="101"/>
      <w:bookmarkEnd w:id="102"/>
      <w:bookmarkEnd w:id="103"/>
    </w:p>
    <w:p>
      <w:pPr>
        <w:spacing w:line="400" w:lineRule="exact"/>
        <w:ind w:firstLine="482"/>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发包人</w:t>
      </w:r>
      <w:r>
        <w:rPr>
          <w:rFonts w:hint="eastAsia" w:ascii="仿宋" w:hAnsi="仿宋" w:eastAsia="仿宋" w:cs="仿宋"/>
          <w:b/>
          <w:bCs/>
          <w:color w:val="auto"/>
          <w:szCs w:val="21"/>
          <w:highlight w:val="none"/>
        </w:rPr>
        <w:t>（</w:t>
      </w:r>
      <w:r>
        <w:rPr>
          <w:rFonts w:hint="eastAsia" w:ascii="仿宋" w:hAnsi="仿宋" w:eastAsia="仿宋" w:cs="仿宋"/>
          <w:b/>
          <w:bCs/>
          <w:color w:val="auto"/>
          <w:szCs w:val="21"/>
          <w:highlight w:val="none"/>
          <w:lang w:val="en-US" w:eastAsia="zh-CN"/>
        </w:rPr>
        <w:t>甲方</w:t>
      </w:r>
      <w:r>
        <w:rPr>
          <w:rFonts w:hint="eastAsia" w:ascii="仿宋" w:hAnsi="仿宋" w:eastAsia="仿宋" w:cs="仿宋"/>
          <w:b/>
          <w:bCs/>
          <w:color w:val="auto"/>
          <w:szCs w:val="21"/>
          <w:highlight w:val="none"/>
        </w:rPr>
        <w:t>）：浙江省拱宸强制隔离戒毒所</w:t>
      </w:r>
    </w:p>
    <w:p>
      <w:pPr>
        <w:spacing w:line="400" w:lineRule="exact"/>
        <w:ind w:firstLine="482"/>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承包人</w:t>
      </w:r>
      <w:r>
        <w:rPr>
          <w:rFonts w:hint="eastAsia" w:ascii="仿宋" w:hAnsi="仿宋" w:eastAsia="仿宋" w:cs="仿宋"/>
          <w:b/>
          <w:bCs/>
          <w:color w:val="auto"/>
          <w:szCs w:val="21"/>
          <w:highlight w:val="none"/>
        </w:rPr>
        <w:t>（</w:t>
      </w:r>
      <w:r>
        <w:rPr>
          <w:rFonts w:hint="eastAsia" w:ascii="仿宋" w:hAnsi="仿宋" w:eastAsia="仿宋" w:cs="仿宋"/>
          <w:b/>
          <w:bCs/>
          <w:color w:val="auto"/>
          <w:szCs w:val="21"/>
          <w:highlight w:val="none"/>
          <w:lang w:val="en-US" w:eastAsia="zh-CN"/>
        </w:rPr>
        <w:t>乙方</w:t>
      </w:r>
      <w:r>
        <w:rPr>
          <w:rFonts w:hint="eastAsia" w:ascii="仿宋" w:hAnsi="仿宋" w:eastAsia="仿宋" w:cs="仿宋"/>
          <w:b/>
          <w:bCs/>
          <w:color w:val="auto"/>
          <w:szCs w:val="21"/>
          <w:highlight w:val="none"/>
        </w:rPr>
        <w:t xml:space="preserve">）： </w:t>
      </w:r>
    </w:p>
    <w:p>
      <w:pPr>
        <w:spacing w:line="400" w:lineRule="exact"/>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甲乙</w:t>
      </w:r>
      <w:r>
        <w:rPr>
          <w:rFonts w:hint="eastAsia" w:ascii="仿宋" w:hAnsi="仿宋" w:eastAsia="仿宋" w:cs="仿宋"/>
          <w:color w:val="auto"/>
          <w:szCs w:val="21"/>
          <w:highlight w:val="none"/>
        </w:rPr>
        <w:t>双方根据《中华人民共和国民法典》、《中华人民共和国建筑法》及有关法律规定，遵循平等、自愿、公平和诚实信用的原则，就</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eastAsia="zh-CN"/>
        </w:rPr>
        <w:t>省拱宸所戒毒法治基地配套项目标一</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工程项目</w:t>
      </w:r>
      <w:r>
        <w:rPr>
          <w:rFonts w:hint="eastAsia" w:ascii="仿宋" w:hAnsi="仿宋" w:eastAsia="仿宋" w:cs="仿宋"/>
          <w:color w:val="auto"/>
          <w:szCs w:val="21"/>
          <w:highlight w:val="none"/>
        </w:rPr>
        <w:t>施工及有关事项协商一致，共同达成如下协议，严格遵守，共同履行：</w:t>
      </w:r>
    </w:p>
    <w:p>
      <w:pPr>
        <w:spacing w:line="400" w:lineRule="exact"/>
        <w:ind w:firstLine="482"/>
        <w:rPr>
          <w:rFonts w:hint="eastAsia" w:ascii="仿宋" w:hAnsi="仿宋" w:eastAsia="仿宋" w:cs="仿宋"/>
          <w:b/>
          <w:bCs/>
          <w:color w:val="auto"/>
          <w:szCs w:val="21"/>
          <w:highlight w:val="none"/>
        </w:rPr>
      </w:pPr>
      <w:bookmarkStart w:id="104" w:name="_Toc351203481"/>
      <w:r>
        <w:rPr>
          <w:rFonts w:hint="eastAsia" w:ascii="仿宋" w:hAnsi="仿宋" w:eastAsia="仿宋" w:cs="仿宋"/>
          <w:b/>
          <w:bCs/>
          <w:color w:val="auto"/>
          <w:szCs w:val="21"/>
          <w:highlight w:val="none"/>
        </w:rPr>
        <w:t>一、工程概况</w:t>
      </w:r>
      <w:bookmarkEnd w:id="104"/>
    </w:p>
    <w:p>
      <w:pPr>
        <w:pStyle w:val="133"/>
        <w:spacing w:line="400" w:lineRule="exact"/>
        <w:ind w:firstLine="411" w:firstLineChars="196"/>
        <w:rPr>
          <w:rFonts w:hint="eastAsia" w:ascii="仿宋" w:hAnsi="仿宋" w:eastAsia="仿宋" w:cs="仿宋"/>
          <w:snapToGrid w:val="0"/>
          <w:color w:val="auto"/>
          <w:kern w:val="0"/>
          <w:sz w:val="21"/>
          <w:szCs w:val="21"/>
          <w:highlight w:val="none"/>
          <w:u w:val="single"/>
          <w:lang w:val="en-US" w:eastAsia="zh-CN" w:bidi="ar-SA"/>
        </w:rPr>
      </w:pPr>
      <w:r>
        <w:rPr>
          <w:rFonts w:hint="eastAsia" w:ascii="仿宋" w:hAnsi="仿宋" w:eastAsia="仿宋" w:cs="仿宋"/>
          <w:bCs/>
          <w:color w:val="auto"/>
          <w:szCs w:val="21"/>
          <w:highlight w:val="none"/>
        </w:rPr>
        <w:t>1.工程名称</w:t>
      </w:r>
      <w:r>
        <w:rPr>
          <w:rFonts w:hint="eastAsia" w:ascii="仿宋" w:hAnsi="仿宋" w:eastAsia="仿宋" w:cs="仿宋"/>
          <w:color w:val="auto"/>
          <w:szCs w:val="21"/>
          <w:highlight w:val="none"/>
        </w:rPr>
        <w:t>：</w:t>
      </w:r>
      <w:r>
        <w:rPr>
          <w:rFonts w:hint="eastAsia" w:ascii="仿宋" w:hAnsi="仿宋" w:eastAsia="仿宋" w:cs="仿宋"/>
          <w:snapToGrid w:val="0"/>
          <w:color w:val="auto"/>
          <w:kern w:val="0"/>
          <w:sz w:val="21"/>
          <w:szCs w:val="21"/>
          <w:highlight w:val="none"/>
          <w:u w:val="single"/>
          <w:lang w:val="en-US" w:eastAsia="zh-CN" w:bidi="ar-SA"/>
        </w:rPr>
        <w:t xml:space="preserve">省拱宸所戒毒法治基地配套项目标一  </w:t>
      </w:r>
    </w:p>
    <w:p>
      <w:pPr>
        <w:pStyle w:val="133"/>
        <w:spacing w:line="400" w:lineRule="exact"/>
        <w:ind w:firstLine="411" w:firstLineChars="196"/>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2.工程地点：</w:t>
      </w:r>
      <w:r>
        <w:rPr>
          <w:rFonts w:hint="eastAsia" w:ascii="仿宋" w:hAnsi="仿宋" w:eastAsia="仿宋" w:cs="仿宋"/>
          <w:color w:val="auto"/>
          <w:szCs w:val="21"/>
          <w:highlight w:val="none"/>
          <w:u w:val="single"/>
        </w:rPr>
        <w:t>杭州市</w:t>
      </w:r>
      <w:r>
        <w:rPr>
          <w:rFonts w:hint="eastAsia" w:ascii="仿宋" w:hAnsi="仿宋" w:eastAsia="仿宋" w:cs="仿宋"/>
          <w:color w:val="auto"/>
          <w:szCs w:val="21"/>
          <w:highlight w:val="none"/>
          <w:u w:val="single"/>
          <w:lang w:val="en-US" w:eastAsia="zh-CN"/>
        </w:rPr>
        <w:t>拱墅区</w:t>
      </w:r>
      <w:r>
        <w:rPr>
          <w:rFonts w:hint="eastAsia" w:ascii="仿宋" w:hAnsi="仿宋" w:eastAsia="仿宋" w:cs="仿宋"/>
          <w:color w:val="auto"/>
          <w:szCs w:val="21"/>
          <w:highlight w:val="none"/>
          <w:u w:val="single"/>
        </w:rPr>
        <w:t xml:space="preserve">莫干山路1411号 </w:t>
      </w:r>
    </w:p>
    <w:p>
      <w:pPr>
        <w:pStyle w:val="133"/>
        <w:spacing w:line="400" w:lineRule="exact"/>
        <w:ind w:firstLine="411" w:firstLineChars="196"/>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3.工程立项批准文号：</w:t>
      </w:r>
      <w:r>
        <w:rPr>
          <w:rFonts w:hint="eastAsia" w:ascii="仿宋" w:hAnsi="仿宋" w:eastAsia="仿宋" w:cs="仿宋"/>
          <w:color w:val="auto"/>
          <w:szCs w:val="21"/>
          <w:highlight w:val="none"/>
          <w:u w:val="single"/>
        </w:rPr>
        <w:t xml:space="preserve">   / </w:t>
      </w:r>
    </w:p>
    <w:p>
      <w:pPr>
        <w:pStyle w:val="133"/>
        <w:spacing w:line="400" w:lineRule="exact"/>
        <w:ind w:firstLine="411" w:firstLineChars="196"/>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4.资金来源：</w:t>
      </w:r>
      <w:r>
        <w:rPr>
          <w:rFonts w:hint="eastAsia" w:ascii="仿宋" w:hAnsi="仿宋" w:eastAsia="仿宋" w:cs="仿宋"/>
          <w:bCs/>
          <w:color w:val="auto"/>
          <w:szCs w:val="21"/>
          <w:highlight w:val="none"/>
          <w:u w:val="single"/>
        </w:rPr>
        <w:t>财政资金</w:t>
      </w:r>
      <w:r>
        <w:rPr>
          <w:rFonts w:hint="eastAsia" w:ascii="仿宋" w:hAnsi="仿宋" w:eastAsia="仿宋" w:cs="仿宋"/>
          <w:color w:val="auto"/>
          <w:szCs w:val="21"/>
          <w:highlight w:val="none"/>
          <w:u w:val="single"/>
        </w:rPr>
        <w:t xml:space="preserve"> </w:t>
      </w:r>
    </w:p>
    <w:p>
      <w:pPr>
        <w:pStyle w:val="133"/>
        <w:spacing w:line="400" w:lineRule="exact"/>
        <w:ind w:firstLine="411" w:firstLineChars="196"/>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rPr>
        <w:t>5.工程内容：</w:t>
      </w:r>
      <w:r>
        <w:rPr>
          <w:rFonts w:hint="eastAsia" w:ascii="仿宋" w:hAnsi="仿宋" w:eastAsia="仿宋" w:cs="仿宋"/>
          <w:snapToGrid w:val="0"/>
          <w:color w:val="auto"/>
          <w:kern w:val="0"/>
          <w:sz w:val="21"/>
          <w:szCs w:val="21"/>
          <w:highlight w:val="none"/>
          <w:u w:val="single"/>
          <w:lang w:val="en-US" w:eastAsia="zh-CN" w:bidi="ar-SA"/>
        </w:rPr>
        <w:t>法治基地配套项目标一</w:t>
      </w:r>
      <w:r>
        <w:rPr>
          <w:rFonts w:hint="eastAsia" w:ascii="仿宋" w:hAnsi="仿宋" w:eastAsia="仿宋" w:cs="仿宋"/>
          <w:bCs/>
          <w:color w:val="auto"/>
          <w:szCs w:val="21"/>
          <w:highlight w:val="none"/>
        </w:rPr>
        <w:t xml:space="preserve"> </w:t>
      </w:r>
    </w:p>
    <w:p>
      <w:pPr>
        <w:pStyle w:val="133"/>
        <w:spacing w:line="400" w:lineRule="exact"/>
        <w:ind w:firstLine="831" w:firstLineChars="396"/>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u w:val="single"/>
        </w:rPr>
        <w:t>群体工程应附《</w:t>
      </w:r>
      <w:r>
        <w:rPr>
          <w:rFonts w:hint="eastAsia" w:ascii="仿宋" w:hAnsi="仿宋" w:eastAsia="仿宋" w:cs="仿宋"/>
          <w:bCs/>
          <w:color w:val="auto"/>
          <w:szCs w:val="21"/>
          <w:highlight w:val="none"/>
          <w:u w:val="single"/>
          <w:lang w:eastAsia="zh-CN"/>
        </w:rPr>
        <w:t>乙方</w:t>
      </w:r>
      <w:r>
        <w:rPr>
          <w:rFonts w:hint="eastAsia" w:ascii="仿宋" w:hAnsi="仿宋" w:eastAsia="仿宋" w:cs="仿宋"/>
          <w:bCs/>
          <w:color w:val="auto"/>
          <w:szCs w:val="21"/>
          <w:highlight w:val="none"/>
          <w:u w:val="single"/>
        </w:rPr>
        <w:t>承揽工程项目一览表》</w:t>
      </w:r>
    </w:p>
    <w:p>
      <w:pPr>
        <w:pStyle w:val="133"/>
        <w:numPr>
          <w:ilvl w:val="0"/>
          <w:numId w:val="9"/>
        </w:numPr>
        <w:spacing w:line="400" w:lineRule="exact"/>
        <w:ind w:firstLine="411" w:firstLineChars="196"/>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工程承包范围：</w:t>
      </w:r>
    </w:p>
    <w:p>
      <w:pPr>
        <w:pStyle w:val="133"/>
        <w:spacing w:line="400" w:lineRule="exact"/>
        <w:ind w:firstLine="630" w:firstLineChars="3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lang w:eastAsia="zh-CN"/>
        </w:rPr>
        <w:t>（</w:t>
      </w:r>
      <w:r>
        <w:rPr>
          <w:rFonts w:hint="eastAsia" w:ascii="仿宋" w:hAnsi="仿宋" w:eastAsia="仿宋" w:cs="仿宋"/>
          <w:color w:val="auto"/>
          <w:szCs w:val="21"/>
          <w:highlight w:val="none"/>
          <w:u w:val="single"/>
        </w:rPr>
        <w:t>1）</w:t>
      </w:r>
      <w:r>
        <w:rPr>
          <w:rFonts w:hint="eastAsia" w:ascii="仿宋" w:hAnsi="仿宋" w:eastAsia="仿宋" w:cs="仿宋"/>
          <w:color w:val="auto"/>
          <w:szCs w:val="21"/>
          <w:highlight w:val="none"/>
          <w:u w:val="single"/>
          <w:lang w:val="en-US" w:eastAsia="zh-CN"/>
        </w:rPr>
        <w:t>主要为原沥青路面铲除和铺设、侧石更换、树木修剪、绿化修整</w:t>
      </w:r>
      <w:r>
        <w:rPr>
          <w:rFonts w:hint="eastAsia" w:ascii="仿宋" w:hAnsi="仿宋" w:eastAsia="仿宋" w:cs="仿宋"/>
          <w:color w:val="auto"/>
          <w:szCs w:val="21"/>
          <w:highlight w:val="none"/>
          <w:u w:val="single"/>
        </w:rPr>
        <w:t>等，具体内容详见工程量清单及施工图纸（如有）。</w:t>
      </w:r>
    </w:p>
    <w:p>
      <w:pPr>
        <w:pStyle w:val="133"/>
        <w:spacing w:line="400" w:lineRule="exact"/>
        <w:ind w:firstLine="621" w:firstLineChars="296"/>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lang w:eastAsia="zh-CN"/>
        </w:rPr>
        <w:t>（</w:t>
      </w:r>
      <w:r>
        <w:rPr>
          <w:rFonts w:hint="eastAsia" w:ascii="仿宋" w:hAnsi="仿宋" w:eastAsia="仿宋" w:cs="仿宋"/>
          <w:color w:val="auto"/>
          <w:szCs w:val="21"/>
          <w:highlight w:val="none"/>
          <w:u w:val="single"/>
        </w:rPr>
        <w:t>2）其他</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明确指令要求完成的工作量。</w:t>
      </w:r>
    </w:p>
    <w:p>
      <w:pPr>
        <w:spacing w:line="400" w:lineRule="exact"/>
        <w:ind w:firstLine="482"/>
        <w:rPr>
          <w:rFonts w:hint="eastAsia" w:ascii="仿宋" w:hAnsi="仿宋" w:eastAsia="仿宋" w:cs="仿宋"/>
          <w:b/>
          <w:bCs/>
          <w:color w:val="auto"/>
          <w:szCs w:val="21"/>
          <w:highlight w:val="none"/>
        </w:rPr>
      </w:pPr>
      <w:bookmarkStart w:id="105" w:name="_Toc351203482"/>
      <w:r>
        <w:rPr>
          <w:rFonts w:hint="eastAsia" w:ascii="仿宋" w:hAnsi="仿宋" w:eastAsia="仿宋" w:cs="仿宋"/>
          <w:b/>
          <w:bCs/>
          <w:color w:val="auto"/>
          <w:szCs w:val="21"/>
          <w:highlight w:val="none"/>
        </w:rPr>
        <w:t>二、合同工期</w:t>
      </w:r>
      <w:bookmarkEnd w:id="105"/>
    </w:p>
    <w:p>
      <w:pPr>
        <w:pStyle w:val="133"/>
        <w:numPr>
          <w:ilvl w:val="0"/>
          <w:numId w:val="10"/>
        </w:num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计划开工日期：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pPr>
        <w:pStyle w:val="133"/>
        <w:numPr>
          <w:ilvl w:val="0"/>
          <w:numId w:val="10"/>
        </w:num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计划竣工日期：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pPr>
        <w:pStyle w:val="133"/>
        <w:numPr>
          <w:ilvl w:val="0"/>
          <w:numId w:val="10"/>
        </w:num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工期总日历天数：</w:t>
      </w:r>
      <w:r>
        <w:rPr>
          <w:rFonts w:hint="eastAsia" w:ascii="仿宋" w:hAnsi="仿宋" w:eastAsia="仿宋" w:cs="仿宋"/>
          <w:color w:val="auto"/>
          <w:szCs w:val="21"/>
          <w:highlight w:val="none"/>
          <w:u w:val="single"/>
          <w:lang w:val="en-US" w:eastAsia="zh-CN"/>
        </w:rPr>
        <w:t>30</w:t>
      </w:r>
      <w:r>
        <w:rPr>
          <w:rFonts w:hint="eastAsia" w:ascii="仿宋" w:hAnsi="仿宋" w:eastAsia="仿宋" w:cs="仿宋"/>
          <w:color w:val="auto"/>
          <w:szCs w:val="21"/>
          <w:highlight w:val="none"/>
        </w:rPr>
        <w:t>天。工期总日历天数与根据前述计划开竣工日期计算的工期天数不一致的，以工期总日历天数为准。</w:t>
      </w:r>
    </w:p>
    <w:p>
      <w:pPr>
        <w:spacing w:line="360" w:lineRule="auto"/>
        <w:ind w:firstLine="482"/>
        <w:rPr>
          <w:rFonts w:hint="eastAsia" w:ascii="仿宋" w:hAnsi="仿宋" w:eastAsia="仿宋" w:cs="仿宋"/>
          <w:b/>
          <w:bCs/>
          <w:color w:val="auto"/>
          <w:szCs w:val="21"/>
          <w:highlight w:val="none"/>
        </w:rPr>
      </w:pPr>
      <w:bookmarkStart w:id="106" w:name="_Toc351203483"/>
      <w:r>
        <w:rPr>
          <w:rFonts w:hint="eastAsia" w:ascii="仿宋" w:hAnsi="仿宋" w:eastAsia="仿宋" w:cs="仿宋"/>
          <w:b/>
          <w:bCs/>
          <w:color w:val="auto"/>
          <w:szCs w:val="21"/>
          <w:highlight w:val="none"/>
        </w:rPr>
        <w:t>三、质量标准</w:t>
      </w:r>
      <w:bookmarkEnd w:id="106"/>
    </w:p>
    <w:p>
      <w:pPr>
        <w:pStyle w:val="133"/>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验收时，工程质量必须符合</w:t>
      </w:r>
      <w:r>
        <w:rPr>
          <w:rFonts w:hint="eastAsia" w:ascii="仿宋" w:hAnsi="仿宋" w:eastAsia="仿宋" w:cs="仿宋"/>
          <w:color w:val="auto"/>
          <w:szCs w:val="21"/>
          <w:highlight w:val="none"/>
          <w:u w:val="single"/>
        </w:rPr>
        <w:t xml:space="preserve">     国家施工验收规范合格   </w:t>
      </w:r>
      <w:r>
        <w:rPr>
          <w:rFonts w:hint="eastAsia" w:ascii="仿宋" w:hAnsi="仿宋" w:eastAsia="仿宋" w:cs="仿宋"/>
          <w:color w:val="auto"/>
          <w:szCs w:val="21"/>
          <w:highlight w:val="none"/>
        </w:rPr>
        <w:t>标准。</w:t>
      </w:r>
    </w:p>
    <w:p>
      <w:pPr>
        <w:spacing w:line="360" w:lineRule="auto"/>
        <w:ind w:firstLine="482"/>
        <w:rPr>
          <w:rFonts w:hint="eastAsia" w:ascii="仿宋" w:hAnsi="仿宋" w:eastAsia="仿宋" w:cs="仿宋"/>
          <w:b/>
          <w:bCs/>
          <w:color w:val="auto"/>
          <w:szCs w:val="21"/>
          <w:highlight w:val="none"/>
        </w:rPr>
      </w:pPr>
      <w:bookmarkStart w:id="107" w:name="_Toc351203484"/>
      <w:r>
        <w:rPr>
          <w:rFonts w:hint="eastAsia" w:ascii="仿宋" w:hAnsi="仿宋" w:eastAsia="仿宋" w:cs="仿宋"/>
          <w:b/>
          <w:bCs/>
          <w:color w:val="auto"/>
          <w:szCs w:val="21"/>
          <w:highlight w:val="none"/>
        </w:rPr>
        <w:t>四、签约合同价与合同价格形式</w:t>
      </w:r>
      <w:bookmarkEnd w:id="107"/>
    </w:p>
    <w:p>
      <w:pPr>
        <w:pStyle w:val="133"/>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1.签约合同价为：</w:t>
      </w:r>
    </w:p>
    <w:p>
      <w:pPr>
        <w:pStyle w:val="133"/>
        <w:spacing w:line="360" w:lineRule="auto"/>
        <w:ind w:firstLine="525" w:firstLineChars="25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人民币（大写）</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元)；</w:t>
      </w:r>
    </w:p>
    <w:p>
      <w:pPr>
        <w:pStyle w:val="133"/>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其中：</w:t>
      </w:r>
    </w:p>
    <w:p>
      <w:pPr>
        <w:pStyle w:val="133"/>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（1）安全文明施工费：</w:t>
      </w:r>
    </w:p>
    <w:p>
      <w:pPr>
        <w:pStyle w:val="133"/>
        <w:spacing w:line="360" w:lineRule="auto"/>
        <w:ind w:firstLine="945" w:firstLineChars="45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人民币（大写）</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元)；</w:t>
      </w:r>
    </w:p>
    <w:p>
      <w:pPr>
        <w:pStyle w:val="133"/>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（2）材料和工程设备暂估价金额：</w:t>
      </w:r>
    </w:p>
    <w:p>
      <w:pPr>
        <w:pStyle w:val="133"/>
        <w:spacing w:line="360" w:lineRule="auto"/>
        <w:ind w:firstLine="945" w:firstLineChars="45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人民币（大写）</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元)；</w:t>
      </w:r>
    </w:p>
    <w:p>
      <w:pPr>
        <w:pStyle w:val="133"/>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（3）专业工程暂估价金额：</w:t>
      </w:r>
    </w:p>
    <w:p>
      <w:pPr>
        <w:pStyle w:val="133"/>
        <w:spacing w:line="360" w:lineRule="auto"/>
        <w:ind w:firstLine="945" w:firstLineChars="45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人民币（大写）</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元)；</w:t>
      </w:r>
    </w:p>
    <w:p>
      <w:pPr>
        <w:pStyle w:val="133"/>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（4）暂列金额：</w:t>
      </w:r>
    </w:p>
    <w:p>
      <w:pPr>
        <w:pStyle w:val="133"/>
        <w:spacing w:line="360" w:lineRule="auto"/>
        <w:ind w:firstLine="945" w:firstLineChars="45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人民币（大写）</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元)。</w:t>
      </w:r>
    </w:p>
    <w:p>
      <w:pPr>
        <w:pStyle w:val="133"/>
        <w:numPr>
          <w:ilvl w:val="0"/>
          <w:numId w:val="11"/>
        </w:num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合同价格形式：</w:t>
      </w:r>
      <w:r>
        <w:rPr>
          <w:rFonts w:hint="eastAsia" w:ascii="仿宋" w:hAnsi="仿宋" w:eastAsia="仿宋" w:cs="仿宋"/>
          <w:color w:val="auto"/>
          <w:szCs w:val="21"/>
          <w:highlight w:val="none"/>
          <w:u w:val="single"/>
        </w:rPr>
        <w:t xml:space="preserve">    固定单价合同  </w:t>
      </w:r>
      <w:r>
        <w:rPr>
          <w:rFonts w:hint="eastAsia" w:ascii="仿宋" w:hAnsi="仿宋" w:eastAsia="仿宋" w:cs="仿宋"/>
          <w:color w:val="auto"/>
          <w:szCs w:val="21"/>
          <w:highlight w:val="none"/>
        </w:rPr>
        <w:t>。</w:t>
      </w:r>
    </w:p>
    <w:p>
      <w:pPr>
        <w:pStyle w:val="133"/>
        <w:numPr>
          <w:ilvl w:val="0"/>
          <w:numId w:val="11"/>
        </w:num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除上述价款外，无需向</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支付任何其他费用。</w:t>
      </w:r>
    </w:p>
    <w:p>
      <w:pPr>
        <w:spacing w:line="360" w:lineRule="auto"/>
        <w:ind w:firstLine="482"/>
        <w:rPr>
          <w:rFonts w:hint="eastAsia" w:ascii="仿宋" w:hAnsi="仿宋" w:eastAsia="仿宋" w:cs="仿宋"/>
          <w:b/>
          <w:bCs/>
          <w:color w:val="auto"/>
          <w:szCs w:val="21"/>
          <w:highlight w:val="none"/>
        </w:rPr>
      </w:pPr>
      <w:bookmarkStart w:id="108" w:name="_Toc351203485"/>
      <w:r>
        <w:rPr>
          <w:rFonts w:hint="eastAsia" w:ascii="仿宋" w:hAnsi="仿宋" w:eastAsia="仿宋" w:cs="仿宋"/>
          <w:b/>
          <w:bCs/>
          <w:color w:val="auto"/>
          <w:szCs w:val="21"/>
          <w:highlight w:val="none"/>
        </w:rPr>
        <w:t>五、</w:t>
      </w:r>
      <w:bookmarkEnd w:id="108"/>
      <w:r>
        <w:rPr>
          <w:rFonts w:hint="eastAsia" w:ascii="仿宋" w:hAnsi="仿宋" w:eastAsia="仿宋" w:cs="仿宋"/>
          <w:b/>
          <w:bCs/>
          <w:color w:val="auto"/>
          <w:szCs w:val="21"/>
          <w:highlight w:val="none"/>
        </w:rPr>
        <w:t>项目经理</w:t>
      </w:r>
    </w:p>
    <w:p>
      <w:pPr>
        <w:pStyle w:val="133"/>
        <w:numPr>
          <w:ilvl w:val="0"/>
          <w:numId w:val="12"/>
        </w:num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项目经理：</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pPr>
        <w:pStyle w:val="133"/>
        <w:numPr>
          <w:ilvl w:val="0"/>
          <w:numId w:val="12"/>
        </w:num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安全生产考核合格证书：</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pPr>
        <w:pStyle w:val="133"/>
        <w:numPr>
          <w:ilvl w:val="0"/>
          <w:numId w:val="12"/>
        </w:num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项目经理资格证书编号：</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pPr>
        <w:spacing w:line="360" w:lineRule="auto"/>
        <w:ind w:firstLine="482"/>
        <w:rPr>
          <w:rFonts w:hint="eastAsia" w:ascii="仿宋" w:hAnsi="仿宋" w:eastAsia="仿宋" w:cs="仿宋"/>
          <w:b/>
          <w:bCs/>
          <w:color w:val="auto"/>
          <w:szCs w:val="21"/>
          <w:highlight w:val="none"/>
        </w:rPr>
      </w:pPr>
      <w:bookmarkStart w:id="109" w:name="_Toc351203486"/>
      <w:r>
        <w:rPr>
          <w:rFonts w:hint="eastAsia" w:ascii="仿宋" w:hAnsi="仿宋" w:eastAsia="仿宋" w:cs="仿宋"/>
          <w:b/>
          <w:bCs/>
          <w:color w:val="auto"/>
          <w:szCs w:val="21"/>
          <w:highlight w:val="none"/>
        </w:rPr>
        <w:t>六、合同文件构成</w:t>
      </w:r>
      <w:bookmarkEnd w:id="109"/>
    </w:p>
    <w:p>
      <w:pPr>
        <w:pStyle w:val="133"/>
        <w:numPr>
          <w:ilvl w:val="0"/>
          <w:numId w:val="13"/>
        </w:numPr>
        <w:spacing w:line="360" w:lineRule="auto"/>
        <w:ind w:firstLine="400" w:firstLineChars="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本协议书与下列文件一起构成合同文件：</w:t>
      </w:r>
    </w:p>
    <w:p>
      <w:pPr>
        <w:pStyle w:val="133"/>
        <w:autoSpaceDE w:val="0"/>
        <w:autoSpaceDN w:val="0"/>
        <w:adjustRightInd w:val="0"/>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（1）中标通知书（如果有）；</w:t>
      </w:r>
    </w:p>
    <w:p>
      <w:pPr>
        <w:pStyle w:val="133"/>
        <w:autoSpaceDE w:val="0"/>
        <w:autoSpaceDN w:val="0"/>
        <w:adjustRightInd w:val="0"/>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（2）投标函及其附录（如果有）； </w:t>
      </w:r>
    </w:p>
    <w:p>
      <w:pPr>
        <w:pStyle w:val="133"/>
        <w:autoSpaceDE w:val="0"/>
        <w:autoSpaceDN w:val="0"/>
        <w:adjustRightInd w:val="0"/>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（3）专用合同条款及其附件；</w:t>
      </w:r>
    </w:p>
    <w:p>
      <w:pPr>
        <w:pStyle w:val="133"/>
        <w:autoSpaceDE w:val="0"/>
        <w:autoSpaceDN w:val="0"/>
        <w:adjustRightInd w:val="0"/>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（4）通用合同条款；</w:t>
      </w:r>
    </w:p>
    <w:p>
      <w:pPr>
        <w:pStyle w:val="133"/>
        <w:autoSpaceDE w:val="0"/>
        <w:autoSpaceDN w:val="0"/>
        <w:adjustRightInd w:val="0"/>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（5）技术标准和要求；</w:t>
      </w:r>
    </w:p>
    <w:p>
      <w:pPr>
        <w:pStyle w:val="133"/>
        <w:autoSpaceDE w:val="0"/>
        <w:autoSpaceDN w:val="0"/>
        <w:adjustRightInd w:val="0"/>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（6）图纸；</w:t>
      </w:r>
    </w:p>
    <w:p>
      <w:pPr>
        <w:pStyle w:val="133"/>
        <w:autoSpaceDE w:val="0"/>
        <w:autoSpaceDN w:val="0"/>
        <w:adjustRightInd w:val="0"/>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（7）已标价工程量清单或预算书；</w:t>
      </w:r>
    </w:p>
    <w:p>
      <w:pPr>
        <w:pStyle w:val="133"/>
        <w:autoSpaceDE w:val="0"/>
        <w:autoSpaceDN w:val="0"/>
        <w:adjustRightInd w:val="0"/>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（8）其他合同文件。</w:t>
      </w:r>
    </w:p>
    <w:p>
      <w:pPr>
        <w:pStyle w:val="133"/>
        <w:numPr>
          <w:ilvl w:val="0"/>
          <w:numId w:val="13"/>
        </w:numPr>
        <w:autoSpaceDE w:val="0"/>
        <w:autoSpaceDN w:val="0"/>
        <w:adjustRightInd w:val="0"/>
        <w:spacing w:line="360" w:lineRule="auto"/>
        <w:ind w:firstLine="40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与</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在合同订立及履行过程中形成的与本合同有关的文件均构成合同文件组成部分，与本合同具有相同的法律效力。</w:t>
      </w:r>
    </w:p>
    <w:p>
      <w:pPr>
        <w:pStyle w:val="133"/>
        <w:numPr>
          <w:ilvl w:val="0"/>
          <w:numId w:val="13"/>
        </w:numPr>
        <w:autoSpaceDE w:val="0"/>
        <w:autoSpaceDN w:val="0"/>
        <w:adjustRightInd w:val="0"/>
        <w:spacing w:line="360" w:lineRule="auto"/>
        <w:ind w:firstLine="40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上述各项合同文件包括合同当事人就该项合同文件所作出的补充或修改，补充或修改的文件与本合同内容有冲突的，若属于同一类内容的文件，以最新签署的文件为准。专用合同条款及其附件须经合同当事人签字或盖章方能生效。</w:t>
      </w:r>
    </w:p>
    <w:p>
      <w:pPr>
        <w:spacing w:line="360" w:lineRule="auto"/>
        <w:ind w:firstLine="482"/>
        <w:rPr>
          <w:rFonts w:hint="eastAsia" w:ascii="仿宋" w:hAnsi="仿宋" w:eastAsia="仿宋" w:cs="仿宋"/>
          <w:b/>
          <w:bCs/>
          <w:color w:val="auto"/>
          <w:szCs w:val="21"/>
          <w:highlight w:val="none"/>
        </w:rPr>
      </w:pPr>
      <w:bookmarkStart w:id="110" w:name="_Toc351203487"/>
      <w:r>
        <w:rPr>
          <w:rFonts w:hint="eastAsia" w:ascii="仿宋" w:hAnsi="仿宋" w:eastAsia="仿宋" w:cs="仿宋"/>
          <w:b/>
          <w:bCs/>
          <w:color w:val="auto"/>
          <w:szCs w:val="21"/>
          <w:highlight w:val="none"/>
        </w:rPr>
        <w:t>七、承诺</w:t>
      </w:r>
      <w:bookmarkEnd w:id="110"/>
    </w:p>
    <w:p>
      <w:pPr>
        <w:pStyle w:val="133"/>
        <w:numPr>
          <w:ilvl w:val="0"/>
          <w:numId w:val="14"/>
        </w:numPr>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eastAsia="zh-CN"/>
        </w:rPr>
        <w:t>甲方</w:t>
      </w:r>
      <w:r>
        <w:rPr>
          <w:rFonts w:hint="eastAsia" w:ascii="仿宋" w:hAnsi="仿宋" w:eastAsia="仿宋" w:cs="仿宋"/>
          <w:bCs/>
          <w:color w:val="auto"/>
          <w:szCs w:val="21"/>
          <w:highlight w:val="none"/>
        </w:rPr>
        <w:t>承诺按照法律规定履行项目审批手续、筹集工程建设资金并在验收合格后按照合同约定的期限和方式向</w:t>
      </w:r>
      <w:r>
        <w:rPr>
          <w:rFonts w:hint="eastAsia" w:ascii="仿宋" w:hAnsi="仿宋" w:eastAsia="仿宋" w:cs="仿宋"/>
          <w:bCs/>
          <w:color w:val="auto"/>
          <w:szCs w:val="21"/>
          <w:highlight w:val="none"/>
          <w:lang w:eastAsia="zh-CN"/>
        </w:rPr>
        <w:t>乙方</w:t>
      </w:r>
      <w:r>
        <w:rPr>
          <w:rFonts w:hint="eastAsia" w:ascii="仿宋" w:hAnsi="仿宋" w:eastAsia="仿宋" w:cs="仿宋"/>
          <w:bCs/>
          <w:color w:val="auto"/>
          <w:szCs w:val="21"/>
          <w:highlight w:val="none"/>
        </w:rPr>
        <w:t>支付合同价款。</w:t>
      </w:r>
    </w:p>
    <w:p>
      <w:pPr>
        <w:pStyle w:val="133"/>
        <w:numPr>
          <w:ilvl w:val="0"/>
          <w:numId w:val="14"/>
        </w:numPr>
        <w:spacing w:line="360" w:lineRule="auto"/>
        <w:ind w:firstLine="400" w:firstLineChars="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eastAsia="zh-CN"/>
        </w:rPr>
        <w:t>乙方</w:t>
      </w:r>
      <w:r>
        <w:rPr>
          <w:rFonts w:hint="eastAsia" w:ascii="仿宋" w:hAnsi="仿宋" w:eastAsia="仿宋" w:cs="仿宋"/>
          <w:bCs/>
          <w:color w:val="auto"/>
          <w:szCs w:val="21"/>
          <w:highlight w:val="none"/>
        </w:rPr>
        <w:t>承诺按照法律规定及本合同约定组织完成工程施工，确保工程质量和安全，不进行转包及</w:t>
      </w:r>
      <w:r>
        <w:rPr>
          <w:rFonts w:hint="eastAsia" w:ascii="仿宋" w:hAnsi="仿宋" w:eastAsia="仿宋" w:cs="仿宋"/>
          <w:bCs/>
          <w:color w:val="auto"/>
          <w:szCs w:val="21"/>
          <w:highlight w:val="none"/>
          <w:lang w:val="en-US" w:eastAsia="zh-CN"/>
        </w:rPr>
        <w:t>违反法律规定、合同约定</w:t>
      </w:r>
      <w:r>
        <w:rPr>
          <w:rFonts w:hint="eastAsia" w:ascii="仿宋" w:hAnsi="仿宋" w:eastAsia="仿宋" w:cs="仿宋"/>
          <w:bCs/>
          <w:color w:val="auto"/>
          <w:szCs w:val="21"/>
          <w:highlight w:val="none"/>
        </w:rPr>
        <w:t>进行分包，并在缺陷责任期及保修期内承担相应的工程维修责任，在本合同约定的时间内完成工程维修。</w:t>
      </w:r>
    </w:p>
    <w:p>
      <w:pPr>
        <w:pStyle w:val="133"/>
        <w:numPr>
          <w:ilvl w:val="0"/>
          <w:numId w:val="14"/>
        </w:numPr>
        <w:spacing w:line="360" w:lineRule="auto"/>
        <w:ind w:firstLine="400" w:firstLineChars="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eastAsia="zh-CN"/>
        </w:rPr>
        <w:t>甲方</w:t>
      </w:r>
      <w:r>
        <w:rPr>
          <w:rFonts w:hint="eastAsia" w:ascii="仿宋" w:hAnsi="仿宋" w:eastAsia="仿宋" w:cs="仿宋"/>
          <w:bCs/>
          <w:color w:val="auto"/>
          <w:szCs w:val="21"/>
          <w:highlight w:val="none"/>
        </w:rPr>
        <w:t>和</w:t>
      </w:r>
      <w:r>
        <w:rPr>
          <w:rFonts w:hint="eastAsia" w:ascii="仿宋" w:hAnsi="仿宋" w:eastAsia="仿宋" w:cs="仿宋"/>
          <w:bCs/>
          <w:color w:val="auto"/>
          <w:szCs w:val="21"/>
          <w:highlight w:val="none"/>
          <w:lang w:eastAsia="zh-CN"/>
        </w:rPr>
        <w:t>乙方</w:t>
      </w:r>
      <w:r>
        <w:rPr>
          <w:rFonts w:hint="eastAsia" w:ascii="仿宋" w:hAnsi="仿宋" w:eastAsia="仿宋" w:cs="仿宋"/>
          <w:bCs/>
          <w:color w:val="auto"/>
          <w:szCs w:val="21"/>
          <w:highlight w:val="none"/>
        </w:rPr>
        <w:t>通过招投标形式签订合同的，双方理解并承诺不再就同一工程另行签订与</w:t>
      </w:r>
      <w:r>
        <w:rPr>
          <w:rFonts w:hint="eastAsia" w:ascii="仿宋" w:hAnsi="仿宋" w:eastAsia="仿宋" w:cs="仿宋"/>
          <w:bCs/>
          <w:color w:val="auto"/>
          <w:szCs w:val="21"/>
          <w:highlight w:val="none"/>
          <w:lang w:val="en-US" w:eastAsia="zh-CN"/>
        </w:rPr>
        <w:t>本</w:t>
      </w:r>
      <w:r>
        <w:rPr>
          <w:rFonts w:hint="eastAsia" w:ascii="仿宋" w:hAnsi="仿宋" w:eastAsia="仿宋" w:cs="仿宋"/>
          <w:bCs/>
          <w:color w:val="auto"/>
          <w:szCs w:val="21"/>
          <w:highlight w:val="none"/>
        </w:rPr>
        <w:t>合同实质性内容相背离的协议。</w:t>
      </w:r>
    </w:p>
    <w:p>
      <w:pPr>
        <w:spacing w:line="360" w:lineRule="auto"/>
        <w:ind w:firstLine="482"/>
        <w:rPr>
          <w:rFonts w:hint="eastAsia" w:ascii="仿宋" w:hAnsi="仿宋" w:eastAsia="仿宋" w:cs="仿宋"/>
          <w:b/>
          <w:bCs/>
          <w:color w:val="auto"/>
          <w:szCs w:val="21"/>
          <w:highlight w:val="none"/>
        </w:rPr>
      </w:pPr>
      <w:bookmarkStart w:id="111" w:name="_Toc351203488"/>
      <w:r>
        <w:rPr>
          <w:rFonts w:hint="eastAsia" w:ascii="仿宋" w:hAnsi="仿宋" w:eastAsia="仿宋" w:cs="仿宋"/>
          <w:b/>
          <w:bCs/>
          <w:color w:val="auto"/>
          <w:szCs w:val="21"/>
          <w:highlight w:val="none"/>
        </w:rPr>
        <w:t>八、词语含义</w:t>
      </w:r>
      <w:bookmarkEnd w:id="111"/>
    </w:p>
    <w:p>
      <w:pPr>
        <w:pStyle w:val="133"/>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本协议书中词语含义与第二部分通用合同条款中赋予的含义相同。</w:t>
      </w:r>
    </w:p>
    <w:p>
      <w:pPr>
        <w:spacing w:line="360" w:lineRule="auto"/>
        <w:ind w:firstLine="482"/>
        <w:rPr>
          <w:rFonts w:hint="eastAsia" w:ascii="仿宋" w:hAnsi="仿宋" w:eastAsia="仿宋" w:cs="仿宋"/>
          <w:b/>
          <w:bCs/>
          <w:color w:val="auto"/>
          <w:szCs w:val="21"/>
          <w:highlight w:val="none"/>
        </w:rPr>
      </w:pPr>
      <w:bookmarkStart w:id="112" w:name="_Toc351203489"/>
      <w:r>
        <w:rPr>
          <w:rFonts w:hint="eastAsia" w:ascii="仿宋" w:hAnsi="仿宋" w:eastAsia="仿宋" w:cs="仿宋"/>
          <w:b/>
          <w:bCs/>
          <w:color w:val="auto"/>
          <w:szCs w:val="21"/>
          <w:highlight w:val="none"/>
        </w:rPr>
        <w:t>九、签订时间</w:t>
      </w:r>
      <w:bookmarkEnd w:id="112"/>
    </w:p>
    <w:p>
      <w:pPr>
        <w:pStyle w:val="133"/>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本合同于</w:t>
      </w:r>
      <w:r>
        <w:rPr>
          <w:rFonts w:hint="eastAsia" w:ascii="仿宋" w:hAnsi="仿宋" w:eastAsia="仿宋" w:cs="仿宋"/>
          <w:bCs/>
          <w:color w:val="auto"/>
          <w:szCs w:val="21"/>
          <w:highlight w:val="none"/>
          <w:u w:val="single"/>
        </w:rPr>
        <w:t xml:space="preserve">      </w:t>
      </w:r>
      <w:r>
        <w:rPr>
          <w:rFonts w:hint="eastAsia" w:ascii="仿宋" w:hAnsi="仿宋" w:eastAsia="仿宋" w:cs="仿宋"/>
          <w:bCs/>
          <w:color w:val="auto"/>
          <w:szCs w:val="21"/>
          <w:highlight w:val="none"/>
        </w:rPr>
        <w:t>年</w:t>
      </w:r>
      <w:r>
        <w:rPr>
          <w:rFonts w:hint="eastAsia" w:ascii="仿宋" w:hAnsi="仿宋" w:eastAsia="仿宋" w:cs="仿宋"/>
          <w:bCs/>
          <w:color w:val="auto"/>
          <w:szCs w:val="21"/>
          <w:highlight w:val="none"/>
          <w:u w:val="single"/>
        </w:rPr>
        <w:t xml:space="preserve">    </w:t>
      </w:r>
      <w:r>
        <w:rPr>
          <w:rFonts w:hint="eastAsia" w:ascii="仿宋" w:hAnsi="仿宋" w:eastAsia="仿宋" w:cs="仿宋"/>
          <w:bCs/>
          <w:color w:val="auto"/>
          <w:szCs w:val="21"/>
          <w:highlight w:val="none"/>
        </w:rPr>
        <w:t>月</w:t>
      </w:r>
      <w:r>
        <w:rPr>
          <w:rFonts w:hint="eastAsia" w:ascii="仿宋" w:hAnsi="仿宋" w:eastAsia="仿宋" w:cs="仿宋"/>
          <w:bCs/>
          <w:color w:val="auto"/>
          <w:szCs w:val="21"/>
          <w:highlight w:val="none"/>
          <w:u w:val="single"/>
        </w:rPr>
        <w:t xml:space="preserve">    </w:t>
      </w:r>
      <w:r>
        <w:rPr>
          <w:rFonts w:hint="eastAsia" w:ascii="仿宋" w:hAnsi="仿宋" w:eastAsia="仿宋" w:cs="仿宋"/>
          <w:bCs/>
          <w:color w:val="auto"/>
          <w:szCs w:val="21"/>
          <w:highlight w:val="none"/>
        </w:rPr>
        <w:t>日签订。</w:t>
      </w:r>
    </w:p>
    <w:p>
      <w:pPr>
        <w:spacing w:line="360" w:lineRule="auto"/>
        <w:ind w:firstLine="482"/>
        <w:rPr>
          <w:rFonts w:hint="eastAsia" w:ascii="仿宋" w:hAnsi="仿宋" w:eastAsia="仿宋" w:cs="仿宋"/>
          <w:b/>
          <w:bCs/>
          <w:color w:val="auto"/>
          <w:szCs w:val="21"/>
          <w:highlight w:val="none"/>
        </w:rPr>
      </w:pPr>
      <w:bookmarkStart w:id="113" w:name="_Toc351203490"/>
      <w:r>
        <w:rPr>
          <w:rFonts w:hint="eastAsia" w:ascii="仿宋" w:hAnsi="仿宋" w:eastAsia="仿宋" w:cs="仿宋"/>
          <w:b/>
          <w:bCs/>
          <w:color w:val="auto"/>
          <w:szCs w:val="21"/>
          <w:highlight w:val="none"/>
        </w:rPr>
        <w:t>十、签订地点</w:t>
      </w:r>
      <w:bookmarkEnd w:id="113"/>
    </w:p>
    <w:p>
      <w:pPr>
        <w:pStyle w:val="133"/>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本合同在</w:t>
      </w:r>
      <w:r>
        <w:rPr>
          <w:rFonts w:hint="eastAsia" w:ascii="仿宋" w:hAnsi="仿宋" w:eastAsia="仿宋" w:cs="仿宋"/>
          <w:bCs/>
          <w:color w:val="auto"/>
          <w:szCs w:val="21"/>
          <w:highlight w:val="none"/>
          <w:u w:val="single"/>
        </w:rPr>
        <w:t xml:space="preserve">   杭州市</w:t>
      </w:r>
      <w:r>
        <w:rPr>
          <w:rFonts w:hint="eastAsia" w:ascii="仿宋" w:hAnsi="仿宋" w:eastAsia="仿宋" w:cs="仿宋"/>
          <w:bCs/>
          <w:color w:val="auto"/>
          <w:szCs w:val="21"/>
          <w:highlight w:val="none"/>
          <w:u w:val="single"/>
          <w:lang w:val="en-US" w:eastAsia="zh-CN"/>
        </w:rPr>
        <w:t>拱墅区</w:t>
      </w:r>
      <w:r>
        <w:rPr>
          <w:rFonts w:hint="eastAsia" w:ascii="仿宋" w:hAnsi="仿宋" w:eastAsia="仿宋" w:cs="仿宋"/>
          <w:bCs/>
          <w:color w:val="auto"/>
          <w:szCs w:val="21"/>
          <w:highlight w:val="none"/>
          <w:u w:val="single"/>
        </w:rPr>
        <w:t xml:space="preserve">莫干山路1411号  </w:t>
      </w:r>
      <w:r>
        <w:rPr>
          <w:rFonts w:hint="eastAsia" w:ascii="仿宋" w:hAnsi="仿宋" w:eastAsia="仿宋" w:cs="仿宋"/>
          <w:bCs/>
          <w:color w:val="auto"/>
          <w:szCs w:val="21"/>
          <w:highlight w:val="none"/>
        </w:rPr>
        <w:t>签订。</w:t>
      </w:r>
    </w:p>
    <w:p>
      <w:pPr>
        <w:spacing w:line="360" w:lineRule="auto"/>
        <w:ind w:firstLine="482"/>
        <w:rPr>
          <w:rFonts w:hint="eastAsia" w:ascii="仿宋" w:hAnsi="仿宋" w:eastAsia="仿宋" w:cs="仿宋"/>
          <w:b/>
          <w:bCs/>
          <w:color w:val="auto"/>
          <w:szCs w:val="21"/>
          <w:highlight w:val="none"/>
        </w:rPr>
      </w:pPr>
      <w:bookmarkStart w:id="114" w:name="_Toc351203491"/>
      <w:r>
        <w:rPr>
          <w:rFonts w:hint="eastAsia" w:ascii="仿宋" w:hAnsi="仿宋" w:eastAsia="仿宋" w:cs="仿宋"/>
          <w:b/>
          <w:bCs/>
          <w:color w:val="auto"/>
          <w:szCs w:val="21"/>
          <w:highlight w:val="none"/>
        </w:rPr>
        <w:t>十一、补充协议</w:t>
      </w:r>
      <w:bookmarkEnd w:id="114"/>
    </w:p>
    <w:p>
      <w:pPr>
        <w:pStyle w:val="133"/>
        <w:spacing w:line="360" w:lineRule="auto"/>
        <w:ind w:firstLine="420" w:firstLineChars="200"/>
        <w:rPr>
          <w:rFonts w:hint="eastAsia" w:ascii="仿宋" w:hAnsi="仿宋" w:eastAsia="仿宋" w:cs="仿宋"/>
          <w:b/>
          <w:bCs/>
          <w:color w:val="auto"/>
          <w:szCs w:val="21"/>
          <w:highlight w:val="none"/>
        </w:rPr>
      </w:pPr>
      <w:r>
        <w:rPr>
          <w:rFonts w:hint="eastAsia" w:ascii="仿宋" w:hAnsi="仿宋" w:eastAsia="仿宋" w:cs="仿宋"/>
          <w:bCs/>
          <w:color w:val="auto"/>
          <w:szCs w:val="21"/>
          <w:highlight w:val="none"/>
        </w:rPr>
        <w:t>本合同未尽事宜，合同当事人可以另行签订书面补充协议，补充协议经该合同双方当事人签字盖章生效后被视为是合同的组成部分。</w:t>
      </w:r>
    </w:p>
    <w:p>
      <w:pPr>
        <w:spacing w:line="360" w:lineRule="auto"/>
        <w:ind w:firstLine="482"/>
        <w:rPr>
          <w:rFonts w:hint="eastAsia" w:ascii="仿宋" w:hAnsi="仿宋" w:eastAsia="仿宋" w:cs="仿宋"/>
          <w:b/>
          <w:bCs/>
          <w:color w:val="auto"/>
          <w:szCs w:val="21"/>
          <w:highlight w:val="none"/>
        </w:rPr>
      </w:pPr>
      <w:bookmarkStart w:id="115" w:name="_Toc351203492"/>
      <w:r>
        <w:rPr>
          <w:rFonts w:hint="eastAsia" w:ascii="仿宋" w:hAnsi="仿宋" w:eastAsia="仿宋" w:cs="仿宋"/>
          <w:b/>
          <w:bCs/>
          <w:color w:val="auto"/>
          <w:szCs w:val="21"/>
          <w:highlight w:val="none"/>
        </w:rPr>
        <w:t>十二、合同生效</w:t>
      </w:r>
      <w:bookmarkEnd w:id="115"/>
    </w:p>
    <w:p>
      <w:pPr>
        <w:pStyle w:val="133"/>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本合同自</w:t>
      </w:r>
      <w:r>
        <w:rPr>
          <w:rFonts w:hint="eastAsia" w:ascii="仿宋" w:hAnsi="仿宋" w:eastAsia="仿宋" w:cs="仿宋"/>
          <w:bCs/>
          <w:color w:val="auto"/>
          <w:szCs w:val="21"/>
          <w:highlight w:val="none"/>
          <w:u w:val="single"/>
        </w:rPr>
        <w:t xml:space="preserve">   双方签字盖章后     </w:t>
      </w:r>
      <w:r>
        <w:rPr>
          <w:rFonts w:hint="eastAsia" w:ascii="仿宋" w:hAnsi="仿宋" w:eastAsia="仿宋" w:cs="仿宋"/>
          <w:bCs/>
          <w:color w:val="auto"/>
          <w:szCs w:val="21"/>
          <w:highlight w:val="none"/>
        </w:rPr>
        <w:t>生效。</w:t>
      </w:r>
    </w:p>
    <w:p>
      <w:pPr>
        <w:spacing w:line="360" w:lineRule="auto"/>
        <w:ind w:firstLine="482"/>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十三、其他</w:t>
      </w:r>
    </w:p>
    <w:p>
      <w:pPr>
        <w:pStyle w:val="133"/>
        <w:numPr>
          <w:ilvl w:val="0"/>
          <w:numId w:val="15"/>
        </w:numPr>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本</w:t>
      </w:r>
      <w:r>
        <w:rPr>
          <w:rFonts w:hint="eastAsia" w:ascii="仿宋" w:hAnsi="仿宋" w:eastAsia="仿宋" w:cs="仿宋"/>
          <w:bCs/>
          <w:color w:val="auto"/>
          <w:szCs w:val="21"/>
          <w:highlight w:val="none"/>
          <w:lang w:val="zh-CN"/>
        </w:rPr>
        <w:t>合同经双方法定代表人或授权代表签字并加盖单位公章后生效。但是，</w:t>
      </w:r>
      <w:r>
        <w:rPr>
          <w:rFonts w:hint="eastAsia" w:ascii="仿宋" w:hAnsi="仿宋" w:eastAsia="仿宋" w:cs="仿宋"/>
          <w:bCs/>
          <w:color w:val="auto"/>
          <w:szCs w:val="21"/>
          <w:highlight w:val="none"/>
        </w:rPr>
        <w:t>本合同成立的有效性必须建立在承认、认可、执行该标项竞争性磋商文件和投标文件的基础之上的，本合同与竞争性磋商文件和投标文件或其他合同文件如有冲突，则以最有利于</w:t>
      </w:r>
      <w:r>
        <w:rPr>
          <w:rFonts w:hint="eastAsia" w:ascii="仿宋" w:hAnsi="仿宋" w:eastAsia="仿宋" w:cs="仿宋"/>
          <w:bCs/>
          <w:color w:val="auto"/>
          <w:szCs w:val="21"/>
          <w:highlight w:val="none"/>
          <w:lang w:eastAsia="zh-CN"/>
        </w:rPr>
        <w:t>甲方</w:t>
      </w:r>
      <w:r>
        <w:rPr>
          <w:rFonts w:hint="eastAsia" w:ascii="仿宋" w:hAnsi="仿宋" w:eastAsia="仿宋" w:cs="仿宋"/>
          <w:bCs/>
          <w:color w:val="auto"/>
          <w:szCs w:val="21"/>
          <w:highlight w:val="none"/>
        </w:rPr>
        <w:t>的内容为准。</w:t>
      </w:r>
    </w:p>
    <w:p>
      <w:pPr>
        <w:pStyle w:val="133"/>
        <w:numPr>
          <w:ilvl w:val="0"/>
          <w:numId w:val="15"/>
        </w:numPr>
        <w:spacing w:line="360" w:lineRule="auto"/>
        <w:ind w:firstLine="400" w:firstLineChars="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如在施工过程当中，实际施工时间超过本合同约定工期时间，</w:t>
      </w:r>
      <w:r>
        <w:rPr>
          <w:rFonts w:hint="eastAsia" w:ascii="仿宋" w:hAnsi="仿宋" w:eastAsia="仿宋" w:cs="仿宋"/>
          <w:bCs/>
          <w:color w:val="auto"/>
          <w:szCs w:val="21"/>
          <w:highlight w:val="none"/>
          <w:lang w:eastAsia="zh-CN"/>
        </w:rPr>
        <w:t>甲方</w:t>
      </w:r>
      <w:r>
        <w:rPr>
          <w:rFonts w:hint="eastAsia" w:ascii="仿宋" w:hAnsi="仿宋" w:eastAsia="仿宋" w:cs="仿宋"/>
          <w:bCs/>
          <w:color w:val="auto"/>
          <w:szCs w:val="21"/>
          <w:highlight w:val="none"/>
        </w:rPr>
        <w:t>有权无条件终止施工合同，按</w:t>
      </w:r>
      <w:r>
        <w:rPr>
          <w:rFonts w:hint="eastAsia" w:ascii="仿宋" w:hAnsi="仿宋" w:eastAsia="仿宋" w:cs="仿宋"/>
          <w:bCs/>
          <w:color w:val="auto"/>
          <w:szCs w:val="21"/>
          <w:highlight w:val="none"/>
          <w:lang w:eastAsia="zh-CN"/>
        </w:rPr>
        <w:t>乙方</w:t>
      </w:r>
      <w:r>
        <w:rPr>
          <w:rFonts w:hint="eastAsia" w:ascii="仿宋" w:hAnsi="仿宋" w:eastAsia="仿宋" w:cs="仿宋"/>
          <w:bCs/>
          <w:color w:val="auto"/>
          <w:szCs w:val="21"/>
          <w:highlight w:val="none"/>
        </w:rPr>
        <w:t>实际已完成的工程量进行结算，实际已完成的工程量以工程审计结果为准，</w:t>
      </w:r>
      <w:r>
        <w:rPr>
          <w:rFonts w:hint="eastAsia" w:ascii="仿宋" w:hAnsi="仿宋" w:eastAsia="仿宋" w:cs="仿宋"/>
          <w:bCs/>
          <w:color w:val="auto"/>
          <w:szCs w:val="21"/>
          <w:highlight w:val="none"/>
          <w:lang w:eastAsia="zh-CN"/>
        </w:rPr>
        <w:t>甲方</w:t>
      </w:r>
      <w:r>
        <w:rPr>
          <w:rFonts w:hint="eastAsia" w:ascii="仿宋" w:hAnsi="仿宋" w:eastAsia="仿宋" w:cs="仿宋"/>
          <w:bCs/>
          <w:color w:val="auto"/>
          <w:szCs w:val="21"/>
          <w:highlight w:val="none"/>
        </w:rPr>
        <w:t>支付价款按工程审计价的60%结算支付给</w:t>
      </w:r>
      <w:r>
        <w:rPr>
          <w:rFonts w:hint="eastAsia" w:ascii="仿宋" w:hAnsi="仿宋" w:eastAsia="仿宋" w:cs="仿宋"/>
          <w:bCs/>
          <w:color w:val="auto"/>
          <w:szCs w:val="21"/>
          <w:highlight w:val="none"/>
          <w:lang w:eastAsia="zh-CN"/>
        </w:rPr>
        <w:t>乙方</w:t>
      </w:r>
      <w:r>
        <w:rPr>
          <w:rFonts w:hint="eastAsia" w:ascii="仿宋" w:hAnsi="仿宋" w:eastAsia="仿宋" w:cs="仿宋"/>
          <w:bCs/>
          <w:color w:val="auto"/>
          <w:szCs w:val="21"/>
          <w:highlight w:val="none"/>
        </w:rPr>
        <w:t>。如有工程对接费用产生，则由</w:t>
      </w:r>
      <w:r>
        <w:rPr>
          <w:rFonts w:hint="eastAsia" w:ascii="仿宋" w:hAnsi="仿宋" w:eastAsia="仿宋" w:cs="仿宋"/>
          <w:bCs/>
          <w:color w:val="auto"/>
          <w:szCs w:val="21"/>
          <w:highlight w:val="none"/>
          <w:lang w:eastAsia="zh-CN"/>
        </w:rPr>
        <w:t>乙方</w:t>
      </w:r>
      <w:r>
        <w:rPr>
          <w:rFonts w:hint="eastAsia" w:ascii="仿宋" w:hAnsi="仿宋" w:eastAsia="仿宋" w:cs="仿宋"/>
          <w:bCs/>
          <w:color w:val="auto"/>
          <w:szCs w:val="21"/>
          <w:highlight w:val="none"/>
        </w:rPr>
        <w:t>承担</w:t>
      </w:r>
      <w:r>
        <w:rPr>
          <w:rFonts w:hint="eastAsia" w:ascii="仿宋" w:hAnsi="仿宋" w:eastAsia="仿宋" w:cs="仿宋"/>
          <w:bCs/>
          <w:color w:val="auto"/>
          <w:szCs w:val="21"/>
          <w:highlight w:val="none"/>
          <w:u w:val="none"/>
        </w:rPr>
        <w:t>。</w:t>
      </w:r>
    </w:p>
    <w:p>
      <w:pPr>
        <w:pStyle w:val="133"/>
        <w:numPr>
          <w:ilvl w:val="0"/>
          <w:numId w:val="15"/>
        </w:numPr>
        <w:spacing w:line="360" w:lineRule="auto"/>
        <w:ind w:firstLine="400" w:firstLineChars="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若无法在约定时间内完成施工，需按照合同约定，扣除</w:t>
      </w:r>
      <w:r>
        <w:rPr>
          <w:rFonts w:hint="eastAsia" w:ascii="仿宋" w:hAnsi="仿宋" w:eastAsia="仿宋" w:cs="仿宋"/>
          <w:bCs/>
          <w:color w:val="auto"/>
          <w:szCs w:val="21"/>
          <w:highlight w:val="none"/>
          <w:lang w:eastAsia="zh-CN"/>
        </w:rPr>
        <w:t>乙方</w:t>
      </w:r>
      <w:r>
        <w:rPr>
          <w:rFonts w:hint="eastAsia" w:ascii="仿宋" w:hAnsi="仿宋" w:eastAsia="仿宋" w:cs="仿宋"/>
          <w:bCs/>
          <w:color w:val="auto"/>
          <w:szCs w:val="21"/>
          <w:highlight w:val="none"/>
        </w:rPr>
        <w:t>工期违约部分的金额；因本工程超过约定时间而产生的一切给</w:t>
      </w:r>
      <w:r>
        <w:rPr>
          <w:rFonts w:hint="eastAsia" w:ascii="仿宋" w:hAnsi="仿宋" w:eastAsia="仿宋" w:cs="仿宋"/>
          <w:bCs/>
          <w:color w:val="auto"/>
          <w:szCs w:val="21"/>
          <w:highlight w:val="none"/>
          <w:lang w:eastAsia="zh-CN"/>
        </w:rPr>
        <w:t>甲方</w:t>
      </w:r>
      <w:r>
        <w:rPr>
          <w:rFonts w:hint="eastAsia" w:ascii="仿宋" w:hAnsi="仿宋" w:eastAsia="仿宋" w:cs="仿宋"/>
          <w:bCs/>
          <w:color w:val="auto"/>
          <w:szCs w:val="21"/>
          <w:highlight w:val="none"/>
        </w:rPr>
        <w:t>带来的额外损失，由</w:t>
      </w:r>
      <w:r>
        <w:rPr>
          <w:rFonts w:hint="eastAsia" w:ascii="仿宋" w:hAnsi="仿宋" w:eastAsia="仿宋" w:cs="仿宋"/>
          <w:bCs/>
          <w:color w:val="auto"/>
          <w:szCs w:val="21"/>
          <w:highlight w:val="none"/>
          <w:lang w:eastAsia="zh-CN"/>
        </w:rPr>
        <w:t>乙方</w:t>
      </w:r>
      <w:r>
        <w:rPr>
          <w:rFonts w:hint="eastAsia" w:ascii="仿宋" w:hAnsi="仿宋" w:eastAsia="仿宋" w:cs="仿宋"/>
          <w:bCs/>
          <w:color w:val="auto"/>
          <w:szCs w:val="21"/>
          <w:highlight w:val="none"/>
        </w:rPr>
        <w:t>向</w:t>
      </w:r>
      <w:r>
        <w:rPr>
          <w:rFonts w:hint="eastAsia" w:ascii="仿宋" w:hAnsi="仿宋" w:eastAsia="仿宋" w:cs="仿宋"/>
          <w:bCs/>
          <w:color w:val="auto"/>
          <w:szCs w:val="21"/>
          <w:highlight w:val="none"/>
          <w:lang w:eastAsia="zh-CN"/>
        </w:rPr>
        <w:t>甲方</w:t>
      </w:r>
      <w:r>
        <w:rPr>
          <w:rFonts w:hint="eastAsia" w:ascii="仿宋" w:hAnsi="仿宋" w:eastAsia="仿宋" w:cs="仿宋"/>
          <w:bCs/>
          <w:color w:val="auto"/>
          <w:szCs w:val="21"/>
          <w:highlight w:val="none"/>
        </w:rPr>
        <w:t>进行赔偿；</w:t>
      </w:r>
    </w:p>
    <w:p>
      <w:pPr>
        <w:pStyle w:val="133"/>
        <w:numPr>
          <w:ilvl w:val="0"/>
          <w:numId w:val="15"/>
        </w:numPr>
        <w:spacing w:line="360" w:lineRule="auto"/>
        <w:ind w:firstLine="400" w:firstLineChars="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由于该工程有高空、高危作业的内容，</w:t>
      </w:r>
      <w:r>
        <w:rPr>
          <w:rFonts w:hint="eastAsia" w:ascii="仿宋" w:hAnsi="仿宋" w:eastAsia="仿宋" w:cs="仿宋"/>
          <w:bCs/>
          <w:color w:val="auto"/>
          <w:szCs w:val="21"/>
          <w:highlight w:val="none"/>
          <w:lang w:eastAsia="zh-CN"/>
        </w:rPr>
        <w:t>乙方</w:t>
      </w:r>
      <w:r>
        <w:rPr>
          <w:rFonts w:hint="eastAsia" w:ascii="仿宋" w:hAnsi="仿宋" w:eastAsia="仿宋" w:cs="仿宋"/>
          <w:bCs/>
          <w:color w:val="auto"/>
          <w:szCs w:val="21"/>
          <w:highlight w:val="none"/>
        </w:rPr>
        <w:t>在开工前必须向正规保险公司购买足额与该工程相关保险（包括但是不限于民工工伤保险、危险作业意外伤害保险等），并将该保险单复印件交给</w:t>
      </w:r>
      <w:r>
        <w:rPr>
          <w:rFonts w:hint="eastAsia" w:ascii="仿宋" w:hAnsi="仿宋" w:eastAsia="仿宋" w:cs="仿宋"/>
          <w:bCs/>
          <w:color w:val="auto"/>
          <w:szCs w:val="21"/>
          <w:highlight w:val="none"/>
          <w:lang w:eastAsia="zh-CN"/>
        </w:rPr>
        <w:t>甲方</w:t>
      </w:r>
      <w:r>
        <w:rPr>
          <w:rFonts w:hint="eastAsia" w:ascii="仿宋" w:hAnsi="仿宋" w:eastAsia="仿宋" w:cs="仿宋"/>
          <w:bCs/>
          <w:color w:val="auto"/>
          <w:szCs w:val="21"/>
          <w:highlight w:val="none"/>
        </w:rPr>
        <w:t>，方可开始施工，保险费用已包含在本合同价款内。</w:t>
      </w:r>
    </w:p>
    <w:p>
      <w:pPr>
        <w:spacing w:line="360" w:lineRule="auto"/>
        <w:ind w:firstLine="482"/>
        <w:rPr>
          <w:rFonts w:hint="eastAsia" w:ascii="仿宋" w:hAnsi="仿宋" w:eastAsia="仿宋" w:cs="仿宋"/>
          <w:b/>
          <w:bCs/>
          <w:color w:val="auto"/>
          <w:szCs w:val="21"/>
          <w:highlight w:val="none"/>
        </w:rPr>
      </w:pPr>
      <w:bookmarkStart w:id="116" w:name="_Toc351203493"/>
      <w:r>
        <w:rPr>
          <w:rFonts w:hint="eastAsia" w:ascii="仿宋" w:hAnsi="仿宋" w:eastAsia="仿宋" w:cs="仿宋"/>
          <w:b/>
          <w:bCs/>
          <w:color w:val="auto"/>
          <w:szCs w:val="21"/>
          <w:highlight w:val="none"/>
        </w:rPr>
        <w:t>十四、合同份数</w:t>
      </w:r>
      <w:bookmarkEnd w:id="116"/>
    </w:p>
    <w:p>
      <w:pPr>
        <w:pStyle w:val="133"/>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本合同一式</w:t>
      </w:r>
      <w:r>
        <w:rPr>
          <w:rFonts w:hint="eastAsia" w:ascii="仿宋" w:hAnsi="仿宋" w:eastAsia="仿宋" w:cs="仿宋"/>
          <w:bCs/>
          <w:color w:val="auto"/>
          <w:szCs w:val="21"/>
          <w:highlight w:val="none"/>
          <w:u w:val="single"/>
        </w:rPr>
        <w:t>捌</w:t>
      </w:r>
      <w:r>
        <w:rPr>
          <w:rFonts w:hint="eastAsia" w:ascii="仿宋" w:hAnsi="仿宋" w:eastAsia="仿宋" w:cs="仿宋"/>
          <w:bCs/>
          <w:color w:val="auto"/>
          <w:szCs w:val="21"/>
          <w:highlight w:val="none"/>
        </w:rPr>
        <w:t>份，均具有同等法律效力，</w:t>
      </w:r>
      <w:r>
        <w:rPr>
          <w:rFonts w:hint="eastAsia" w:ascii="仿宋" w:hAnsi="仿宋" w:eastAsia="仿宋" w:cs="仿宋"/>
          <w:bCs/>
          <w:color w:val="auto"/>
          <w:szCs w:val="21"/>
          <w:highlight w:val="none"/>
          <w:lang w:eastAsia="zh-CN"/>
        </w:rPr>
        <w:t>甲方</w:t>
      </w:r>
      <w:r>
        <w:rPr>
          <w:rFonts w:hint="eastAsia" w:ascii="仿宋" w:hAnsi="仿宋" w:eastAsia="仿宋" w:cs="仿宋"/>
          <w:bCs/>
          <w:color w:val="auto"/>
          <w:szCs w:val="21"/>
          <w:highlight w:val="none"/>
        </w:rPr>
        <w:t>执</w:t>
      </w:r>
      <w:r>
        <w:rPr>
          <w:rFonts w:hint="eastAsia" w:ascii="仿宋" w:hAnsi="仿宋" w:eastAsia="仿宋" w:cs="仿宋"/>
          <w:bCs/>
          <w:color w:val="auto"/>
          <w:szCs w:val="21"/>
          <w:highlight w:val="none"/>
          <w:u w:val="single"/>
        </w:rPr>
        <w:t>伍</w:t>
      </w:r>
      <w:r>
        <w:rPr>
          <w:rFonts w:hint="eastAsia" w:ascii="仿宋" w:hAnsi="仿宋" w:eastAsia="仿宋" w:cs="仿宋"/>
          <w:bCs/>
          <w:color w:val="auto"/>
          <w:szCs w:val="21"/>
          <w:highlight w:val="none"/>
        </w:rPr>
        <w:t>份，</w:t>
      </w:r>
      <w:r>
        <w:rPr>
          <w:rFonts w:hint="eastAsia" w:ascii="仿宋" w:hAnsi="仿宋" w:eastAsia="仿宋" w:cs="仿宋"/>
          <w:bCs/>
          <w:color w:val="auto"/>
          <w:szCs w:val="21"/>
          <w:highlight w:val="none"/>
          <w:lang w:eastAsia="zh-CN"/>
        </w:rPr>
        <w:t>乙方</w:t>
      </w:r>
      <w:r>
        <w:rPr>
          <w:rFonts w:hint="eastAsia" w:ascii="仿宋" w:hAnsi="仿宋" w:eastAsia="仿宋" w:cs="仿宋"/>
          <w:bCs/>
          <w:color w:val="auto"/>
          <w:szCs w:val="21"/>
          <w:highlight w:val="none"/>
        </w:rPr>
        <w:t>执</w:t>
      </w:r>
      <w:r>
        <w:rPr>
          <w:rFonts w:hint="eastAsia" w:ascii="仿宋" w:hAnsi="仿宋" w:eastAsia="仿宋" w:cs="仿宋"/>
          <w:bCs/>
          <w:color w:val="auto"/>
          <w:szCs w:val="21"/>
          <w:highlight w:val="none"/>
          <w:u w:val="single"/>
        </w:rPr>
        <w:t>贰</w:t>
      </w:r>
      <w:r>
        <w:rPr>
          <w:rFonts w:hint="eastAsia" w:ascii="仿宋" w:hAnsi="仿宋" w:eastAsia="仿宋" w:cs="仿宋"/>
          <w:bCs/>
          <w:color w:val="auto"/>
          <w:szCs w:val="21"/>
          <w:highlight w:val="none"/>
        </w:rPr>
        <w:t>份，监理人执</w:t>
      </w:r>
      <w:r>
        <w:rPr>
          <w:rFonts w:hint="eastAsia" w:ascii="仿宋" w:hAnsi="仿宋" w:eastAsia="仿宋" w:cs="仿宋"/>
          <w:bCs/>
          <w:color w:val="auto"/>
          <w:szCs w:val="21"/>
          <w:highlight w:val="none"/>
          <w:u w:val="single"/>
        </w:rPr>
        <w:t xml:space="preserve"> 壹 </w:t>
      </w:r>
      <w:r>
        <w:rPr>
          <w:rFonts w:hint="eastAsia" w:ascii="仿宋" w:hAnsi="仿宋" w:eastAsia="仿宋" w:cs="仿宋"/>
          <w:bCs/>
          <w:color w:val="auto"/>
          <w:szCs w:val="21"/>
          <w:highlight w:val="none"/>
        </w:rPr>
        <w:t>份。</w:t>
      </w:r>
    </w:p>
    <w:p>
      <w:pPr>
        <w:pStyle w:val="133"/>
        <w:spacing w:line="360" w:lineRule="auto"/>
        <w:ind w:firstLine="480"/>
        <w:rPr>
          <w:rFonts w:hint="eastAsia" w:ascii="仿宋" w:hAnsi="仿宋" w:eastAsia="仿宋" w:cs="仿宋"/>
          <w:bCs/>
          <w:color w:val="auto"/>
          <w:sz w:val="24"/>
          <w:szCs w:val="24"/>
          <w:highlight w:val="none"/>
        </w:rPr>
      </w:pPr>
    </w:p>
    <w:p>
      <w:pPr>
        <w:pStyle w:val="133"/>
        <w:spacing w:line="360" w:lineRule="auto"/>
        <w:rPr>
          <w:rFonts w:hint="eastAsia" w:ascii="仿宋" w:hAnsi="仿宋" w:eastAsia="仿宋" w:cs="仿宋"/>
          <w:bCs/>
          <w:color w:val="auto"/>
          <w:sz w:val="24"/>
          <w:szCs w:val="24"/>
          <w:highlight w:val="none"/>
        </w:rPr>
      </w:pPr>
    </w:p>
    <w:p>
      <w:pPr>
        <w:pStyle w:val="133"/>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 xml:space="preserve">：  (公章)                           </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  (公章)</w:t>
      </w:r>
    </w:p>
    <w:p>
      <w:pPr>
        <w:pStyle w:val="133"/>
        <w:spacing w:line="360" w:lineRule="auto"/>
        <w:ind w:firstLine="48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                                 </w:t>
      </w:r>
    </w:p>
    <w:p>
      <w:pPr>
        <w:pStyle w:val="133"/>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法定代表人或其委托代理人：                法定代表人或其委托代理人：</w:t>
      </w:r>
    </w:p>
    <w:p>
      <w:pPr>
        <w:pStyle w:val="133"/>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（签字）                                  （签字）</w:t>
      </w:r>
    </w:p>
    <w:p>
      <w:pPr>
        <w:pStyle w:val="133"/>
        <w:spacing w:line="360" w:lineRule="auto"/>
        <w:ind w:firstLine="480"/>
        <w:rPr>
          <w:rFonts w:hint="eastAsia" w:ascii="仿宋" w:hAnsi="仿宋" w:eastAsia="仿宋" w:cs="仿宋"/>
          <w:color w:val="auto"/>
          <w:szCs w:val="21"/>
          <w:highlight w:val="none"/>
          <w:u w:val="single"/>
        </w:rPr>
      </w:pPr>
    </w:p>
    <w:p>
      <w:pPr>
        <w:pStyle w:val="133"/>
        <w:tabs>
          <w:tab w:val="left" w:pos="4410"/>
        </w:tabs>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组织机构代码：</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组织机构代码：</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pPr>
        <w:pStyle w:val="133"/>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  址：</w:t>
      </w:r>
      <w:r>
        <w:rPr>
          <w:rFonts w:hint="eastAsia" w:ascii="仿宋" w:hAnsi="仿宋" w:eastAsia="仿宋" w:cs="仿宋"/>
          <w:color w:val="auto"/>
          <w:szCs w:val="21"/>
          <w:highlight w:val="none"/>
          <w:u w:val="single"/>
        </w:rPr>
        <w:t xml:space="preserve"> 杭州市莫干山路1411号   </w:t>
      </w:r>
      <w:r>
        <w:rPr>
          <w:rFonts w:hint="eastAsia" w:ascii="仿宋" w:hAnsi="仿宋" w:eastAsia="仿宋" w:cs="仿宋"/>
          <w:color w:val="auto"/>
          <w:szCs w:val="21"/>
          <w:highlight w:val="none"/>
        </w:rPr>
        <w:t xml:space="preserve">       地  址：</w:t>
      </w:r>
      <w:r>
        <w:rPr>
          <w:rFonts w:hint="eastAsia" w:ascii="仿宋" w:hAnsi="仿宋" w:eastAsia="仿宋" w:cs="仿宋"/>
          <w:color w:val="auto"/>
          <w:sz w:val="18"/>
          <w:szCs w:val="18"/>
          <w:highlight w:val="none"/>
          <w:u w:val="single"/>
        </w:rPr>
        <w:t xml:space="preserve">                               </w:t>
      </w:r>
    </w:p>
    <w:p>
      <w:pPr>
        <w:pStyle w:val="133"/>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邮政编码：</w:t>
      </w:r>
      <w:r>
        <w:rPr>
          <w:rFonts w:hint="eastAsia" w:ascii="仿宋" w:hAnsi="仿宋" w:eastAsia="仿宋" w:cs="仿宋"/>
          <w:color w:val="auto"/>
          <w:szCs w:val="21"/>
          <w:highlight w:val="none"/>
          <w:u w:val="single"/>
        </w:rPr>
        <w:t xml:space="preserve">       310015          </w:t>
      </w:r>
      <w:r>
        <w:rPr>
          <w:rFonts w:hint="eastAsia" w:ascii="仿宋" w:hAnsi="仿宋" w:eastAsia="仿宋" w:cs="仿宋"/>
          <w:color w:val="auto"/>
          <w:szCs w:val="21"/>
          <w:highlight w:val="none"/>
        </w:rPr>
        <w:t xml:space="preserve">       邮政编码：</w:t>
      </w:r>
      <w:r>
        <w:rPr>
          <w:rFonts w:hint="eastAsia" w:ascii="仿宋" w:hAnsi="仿宋" w:eastAsia="仿宋" w:cs="仿宋"/>
          <w:color w:val="auto"/>
          <w:szCs w:val="21"/>
          <w:highlight w:val="none"/>
          <w:u w:val="single"/>
        </w:rPr>
        <w:t xml:space="preserve">                      </w:t>
      </w:r>
    </w:p>
    <w:p>
      <w:pPr>
        <w:pStyle w:val="133"/>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 xml:space="preserve">       法定代表人：</w:t>
      </w:r>
      <w:r>
        <w:rPr>
          <w:rFonts w:hint="eastAsia" w:ascii="仿宋" w:hAnsi="仿宋" w:eastAsia="仿宋" w:cs="仿宋"/>
          <w:color w:val="auto"/>
          <w:szCs w:val="21"/>
          <w:highlight w:val="none"/>
          <w:u w:val="single"/>
        </w:rPr>
        <w:t xml:space="preserve">                     </w:t>
      </w:r>
    </w:p>
    <w:p>
      <w:pPr>
        <w:pStyle w:val="133"/>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委托代理人：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委托代理人：</w:t>
      </w:r>
      <w:r>
        <w:rPr>
          <w:rFonts w:hint="eastAsia" w:ascii="仿宋" w:hAnsi="仿宋" w:eastAsia="仿宋" w:cs="仿宋"/>
          <w:color w:val="auto"/>
          <w:szCs w:val="21"/>
          <w:highlight w:val="none"/>
          <w:u w:val="single"/>
        </w:rPr>
        <w:t xml:space="preserve">                         </w:t>
      </w:r>
    </w:p>
    <w:p>
      <w:pPr>
        <w:pStyle w:val="133"/>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  话：</w:t>
      </w:r>
      <w:r>
        <w:rPr>
          <w:rFonts w:hint="eastAsia" w:ascii="仿宋" w:hAnsi="仿宋" w:eastAsia="仿宋" w:cs="仿宋"/>
          <w:color w:val="auto"/>
          <w:szCs w:val="21"/>
          <w:highlight w:val="none"/>
          <w:u w:val="single"/>
        </w:rPr>
        <w:t xml:space="preserve">    0571-88473176        </w:t>
      </w:r>
      <w:r>
        <w:rPr>
          <w:rFonts w:hint="eastAsia" w:ascii="仿宋" w:hAnsi="仿宋" w:eastAsia="仿宋" w:cs="仿宋"/>
          <w:color w:val="auto"/>
          <w:szCs w:val="21"/>
          <w:highlight w:val="none"/>
        </w:rPr>
        <w:t xml:space="preserve">       电  话：</w:t>
      </w:r>
      <w:r>
        <w:rPr>
          <w:rFonts w:hint="eastAsia" w:ascii="仿宋" w:hAnsi="仿宋" w:eastAsia="仿宋" w:cs="仿宋"/>
          <w:color w:val="auto"/>
          <w:szCs w:val="21"/>
          <w:highlight w:val="none"/>
          <w:u w:val="single"/>
        </w:rPr>
        <w:t xml:space="preserve">                    </w:t>
      </w:r>
    </w:p>
    <w:p>
      <w:pPr>
        <w:pStyle w:val="133"/>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传  真：</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 xml:space="preserve">         传  真：</w:t>
      </w:r>
      <w:r>
        <w:rPr>
          <w:rFonts w:hint="eastAsia" w:ascii="仿宋" w:hAnsi="仿宋" w:eastAsia="仿宋" w:cs="仿宋"/>
          <w:color w:val="auto"/>
          <w:szCs w:val="21"/>
          <w:highlight w:val="none"/>
          <w:u w:val="single"/>
        </w:rPr>
        <w:t xml:space="preserve">                     </w:t>
      </w:r>
    </w:p>
    <w:p>
      <w:pPr>
        <w:pStyle w:val="133"/>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电子信箱：</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电子信箱：</w:t>
      </w:r>
      <w:r>
        <w:rPr>
          <w:rFonts w:hint="eastAsia" w:ascii="仿宋" w:hAnsi="仿宋" w:eastAsia="仿宋" w:cs="仿宋"/>
          <w:color w:val="auto"/>
          <w:szCs w:val="21"/>
          <w:highlight w:val="none"/>
          <w:u w:val="single"/>
        </w:rPr>
        <w:t xml:space="preserve">                   </w:t>
      </w:r>
    </w:p>
    <w:p>
      <w:pPr>
        <w:pStyle w:val="133"/>
        <w:spacing w:line="360" w:lineRule="auto"/>
        <w:ind w:left="420" w:leftChars="200" w:firstLine="56" w:firstLineChars="27"/>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开户银行：</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开户银行：</w:t>
      </w:r>
      <w:r>
        <w:rPr>
          <w:rFonts w:hint="eastAsia" w:ascii="仿宋" w:hAnsi="仿宋" w:eastAsia="仿宋" w:cs="仿宋"/>
          <w:color w:val="auto"/>
          <w:szCs w:val="21"/>
          <w:highlight w:val="none"/>
          <w:u w:val="single"/>
        </w:rPr>
        <w:t xml:space="preserve">                    </w:t>
      </w:r>
    </w:p>
    <w:p>
      <w:pPr>
        <w:pStyle w:val="133"/>
        <w:spacing w:line="360" w:lineRule="auto"/>
        <w:ind w:firstLine="48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账  号：</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账  号：</w:t>
      </w:r>
      <w:r>
        <w:rPr>
          <w:rFonts w:hint="eastAsia" w:ascii="仿宋" w:hAnsi="仿宋" w:eastAsia="仿宋" w:cs="仿宋"/>
          <w:color w:val="auto"/>
          <w:szCs w:val="21"/>
          <w:highlight w:val="none"/>
          <w:u w:val="single"/>
        </w:rPr>
        <w:t xml:space="preserve">                           </w:t>
      </w:r>
    </w:p>
    <w:p>
      <w:pPr>
        <w:spacing w:line="400" w:lineRule="atLeast"/>
        <w:ind w:firstLine="570"/>
        <w:rPr>
          <w:rFonts w:hint="eastAsia" w:ascii="仿宋" w:hAnsi="仿宋" w:eastAsia="仿宋" w:cs="仿宋"/>
          <w:color w:val="auto"/>
          <w:szCs w:val="21"/>
          <w:highlight w:val="none"/>
        </w:rPr>
      </w:pPr>
    </w:p>
    <w:p>
      <w:pPr>
        <w:spacing w:line="400" w:lineRule="atLeast"/>
        <w:rPr>
          <w:rFonts w:hint="eastAsia" w:ascii="仿宋" w:hAnsi="仿宋" w:eastAsia="仿宋" w:cs="仿宋"/>
          <w:color w:val="auto"/>
          <w:szCs w:val="21"/>
          <w:highlight w:val="none"/>
        </w:rPr>
      </w:pPr>
    </w:p>
    <w:p>
      <w:pPr>
        <w:snapToGrid w:val="0"/>
        <w:spacing w:line="360" w:lineRule="auto"/>
        <w:jc w:val="center"/>
        <w:rPr>
          <w:rFonts w:hint="eastAsia" w:ascii="仿宋" w:hAnsi="仿宋" w:eastAsia="仿宋" w:cs="仿宋"/>
          <w:b/>
          <w:bCs/>
          <w:color w:val="auto"/>
          <w:szCs w:val="28"/>
          <w:highlight w:val="none"/>
        </w:rPr>
      </w:pPr>
    </w:p>
    <w:p>
      <w:pPr>
        <w:snapToGrid w:val="0"/>
        <w:spacing w:line="360" w:lineRule="auto"/>
        <w:jc w:val="center"/>
        <w:rPr>
          <w:rFonts w:hint="eastAsia" w:ascii="仿宋" w:hAnsi="仿宋" w:eastAsia="仿宋" w:cs="仿宋"/>
          <w:b/>
          <w:bCs/>
          <w:color w:val="auto"/>
          <w:szCs w:val="21"/>
          <w:highlight w:val="none"/>
        </w:rPr>
      </w:pPr>
    </w:p>
    <w:p>
      <w:pPr>
        <w:pStyle w:val="30"/>
        <w:snapToGrid w:val="0"/>
        <w:spacing w:line="360" w:lineRule="auto"/>
        <w:rPr>
          <w:rFonts w:hint="eastAsia" w:ascii="仿宋" w:hAnsi="仿宋" w:eastAsia="仿宋" w:cs="仿宋"/>
          <w:b/>
          <w:bCs/>
          <w:color w:val="auto"/>
          <w:sz w:val="24"/>
          <w:szCs w:val="24"/>
          <w:highlight w:val="none"/>
        </w:rPr>
      </w:pPr>
    </w:p>
    <w:p>
      <w:pPr>
        <w:pStyle w:val="30"/>
        <w:snapToGrid w:val="0"/>
        <w:spacing w:line="360" w:lineRule="auto"/>
        <w:rPr>
          <w:rFonts w:hint="eastAsia" w:ascii="仿宋" w:hAnsi="仿宋" w:eastAsia="仿宋" w:cs="仿宋"/>
          <w:b/>
          <w:bCs/>
          <w:color w:val="auto"/>
          <w:sz w:val="24"/>
          <w:szCs w:val="24"/>
          <w:highlight w:val="none"/>
        </w:rPr>
      </w:pPr>
    </w:p>
    <w:p>
      <w:pPr>
        <w:pStyle w:val="30"/>
        <w:snapToGrid w:val="0"/>
        <w:spacing w:line="360" w:lineRule="auto"/>
        <w:rPr>
          <w:rFonts w:hint="eastAsia" w:ascii="仿宋" w:hAnsi="仿宋" w:eastAsia="仿宋" w:cs="仿宋"/>
          <w:b/>
          <w:bCs/>
          <w:color w:val="auto"/>
          <w:sz w:val="24"/>
          <w:szCs w:val="24"/>
          <w:highlight w:val="none"/>
        </w:rPr>
      </w:pPr>
    </w:p>
    <w:p>
      <w:pPr>
        <w:pStyle w:val="30"/>
        <w:snapToGrid w:val="0"/>
        <w:spacing w:line="360" w:lineRule="auto"/>
        <w:rPr>
          <w:rFonts w:hint="eastAsia" w:ascii="仿宋" w:hAnsi="仿宋" w:eastAsia="仿宋" w:cs="仿宋"/>
          <w:b/>
          <w:bCs/>
          <w:color w:val="auto"/>
          <w:sz w:val="24"/>
          <w:szCs w:val="24"/>
          <w:highlight w:val="none"/>
        </w:rPr>
      </w:pPr>
    </w:p>
    <w:p>
      <w:pPr>
        <w:pStyle w:val="30"/>
        <w:snapToGrid w:val="0"/>
        <w:spacing w:line="360" w:lineRule="auto"/>
        <w:rPr>
          <w:rFonts w:hint="eastAsia" w:ascii="仿宋" w:hAnsi="仿宋" w:eastAsia="仿宋" w:cs="仿宋"/>
          <w:b/>
          <w:bCs/>
          <w:color w:val="auto"/>
          <w:sz w:val="24"/>
          <w:szCs w:val="24"/>
          <w:highlight w:val="none"/>
        </w:rPr>
      </w:pPr>
    </w:p>
    <w:p>
      <w:pPr>
        <w:pStyle w:val="30"/>
        <w:snapToGrid w:val="0"/>
        <w:spacing w:line="360" w:lineRule="auto"/>
        <w:rPr>
          <w:rFonts w:hint="eastAsia" w:ascii="仿宋" w:hAnsi="仿宋" w:eastAsia="仿宋" w:cs="仿宋"/>
          <w:b/>
          <w:bCs/>
          <w:color w:val="auto"/>
          <w:sz w:val="24"/>
          <w:szCs w:val="24"/>
          <w:highlight w:val="none"/>
        </w:rPr>
      </w:pPr>
    </w:p>
    <w:p>
      <w:pPr>
        <w:pStyle w:val="30"/>
        <w:snapToGrid w:val="0"/>
        <w:spacing w:line="360" w:lineRule="auto"/>
        <w:rPr>
          <w:rFonts w:hint="eastAsia" w:ascii="仿宋" w:hAnsi="仿宋" w:eastAsia="仿宋" w:cs="仿宋"/>
          <w:b/>
          <w:bCs/>
          <w:color w:val="auto"/>
          <w:sz w:val="24"/>
          <w:szCs w:val="24"/>
          <w:highlight w:val="none"/>
        </w:rPr>
      </w:pP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rPr>
          <w:rFonts w:hint="eastAsia"/>
          <w:color w:val="auto"/>
          <w:highlight w:val="non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 第二部分 通用条款（略)</w:t>
      </w:r>
      <w:bookmarkStart w:id="117" w:name="_Toc10977"/>
      <w:bookmarkEnd w:id="117"/>
    </w:p>
    <w:p>
      <w:pPr>
        <w:spacing w:line="400" w:lineRule="exact"/>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通用条款详见（GF—2017—0201）。</w:t>
      </w: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bCs/>
          <w:color w:val="auto"/>
          <w:highlight w:val="none"/>
        </w:rPr>
        <w:br w:type="page"/>
      </w:r>
      <w:r>
        <w:rPr>
          <w:rFonts w:hint="eastAsia" w:ascii="仿宋" w:hAnsi="仿宋" w:eastAsia="仿宋" w:cs="仿宋"/>
          <w:b/>
          <w:color w:val="auto"/>
          <w:sz w:val="32"/>
          <w:szCs w:val="32"/>
          <w:highlight w:val="none"/>
        </w:rPr>
        <w:t>第三部分 专用合同条款</w:t>
      </w:r>
    </w:p>
    <w:p>
      <w:pPr>
        <w:spacing w:line="360" w:lineRule="auto"/>
        <w:ind w:firstLine="480"/>
        <w:rPr>
          <w:rFonts w:hint="eastAsia" w:ascii="仿宋" w:hAnsi="仿宋" w:eastAsia="仿宋" w:cs="仿宋"/>
          <w:color w:val="auto"/>
          <w:szCs w:val="21"/>
          <w:highlight w:val="none"/>
        </w:rPr>
      </w:pPr>
      <w:bookmarkStart w:id="118" w:name="_Toc2793"/>
      <w:bookmarkEnd w:id="118"/>
      <w:bookmarkStart w:id="119" w:name="_Toc351203633"/>
      <w:r>
        <w:rPr>
          <w:rFonts w:hint="eastAsia" w:ascii="仿宋" w:hAnsi="仿宋" w:eastAsia="仿宋" w:cs="仿宋"/>
          <w:color w:val="auto"/>
          <w:szCs w:val="21"/>
          <w:highlight w:val="none"/>
        </w:rPr>
        <w:t>1</w:t>
      </w:r>
      <w:bookmarkStart w:id="120" w:name="_Toc297048342"/>
      <w:bookmarkStart w:id="121" w:name="_Toc296890984"/>
      <w:bookmarkStart w:id="122" w:name="_Toc296891196"/>
      <w:bookmarkStart w:id="123" w:name="_Toc292559361"/>
      <w:bookmarkStart w:id="124" w:name="_Toc296347155"/>
      <w:bookmarkStart w:id="125" w:name="_Toc292559866"/>
      <w:bookmarkStart w:id="126" w:name="_Toc296346657"/>
      <w:bookmarkStart w:id="127" w:name="_Toc297120456"/>
      <w:bookmarkStart w:id="128" w:name="_Toc296944495"/>
      <w:bookmarkStart w:id="129" w:name="_Toc296503156"/>
      <w:r>
        <w:rPr>
          <w:rFonts w:hint="eastAsia" w:ascii="仿宋" w:hAnsi="仿宋" w:eastAsia="仿宋" w:cs="仿宋"/>
          <w:color w:val="auto"/>
          <w:szCs w:val="21"/>
          <w:highlight w:val="none"/>
        </w:rPr>
        <w:t>. 一般约定</w:t>
      </w:r>
      <w:bookmarkEnd w:id="119"/>
    </w:p>
    <w:bookmarkEnd w:id="120"/>
    <w:bookmarkEnd w:id="121"/>
    <w:bookmarkEnd w:id="122"/>
    <w:bookmarkEnd w:id="123"/>
    <w:bookmarkEnd w:id="124"/>
    <w:bookmarkEnd w:id="125"/>
    <w:bookmarkEnd w:id="126"/>
    <w:bookmarkEnd w:id="127"/>
    <w:bookmarkEnd w:id="128"/>
    <w:bookmarkEnd w:id="129"/>
    <w:p>
      <w:pPr>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 词语定义与解释</w:t>
      </w:r>
    </w:p>
    <w:p>
      <w:pPr>
        <w:pStyle w:val="133"/>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1.1.1合同</w:t>
      </w:r>
    </w:p>
    <w:p>
      <w:pPr>
        <w:pStyle w:val="133"/>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1.1.1.10其他合同文件包括：</w:t>
      </w:r>
    </w:p>
    <w:p>
      <w:pPr>
        <w:pStyle w:val="133"/>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u w:val="single"/>
        </w:rPr>
        <w:t>（1）本合同协议书；（2）成交通知书；（3）磋商文件及采购补充文件；（4）磋商响应文件（包括询标记录）；（5）本合同专用条款；（6）本合同通用条款；（7）标准、规范及有关技术文件；（8）图纸；（9）工程量清单；（10）工程报价书</w:t>
      </w:r>
    </w:p>
    <w:p>
      <w:pPr>
        <w:pStyle w:val="133"/>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1.1.2 合同当事人及其他相关方</w:t>
      </w:r>
    </w:p>
    <w:p>
      <w:pPr>
        <w:pStyle w:val="133"/>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1.1.2.</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监理人：</w:t>
      </w:r>
    </w:p>
    <w:p>
      <w:pPr>
        <w:pStyle w:val="133"/>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由</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聘请的监理公司指派具有监理资质的监理人负责本项目的监制。</w:t>
      </w:r>
    </w:p>
    <w:p>
      <w:pPr>
        <w:pStyle w:val="133"/>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 xml:space="preserve"> 设计人：</w:t>
      </w:r>
    </w:p>
    <w:p>
      <w:pPr>
        <w:pStyle w:val="133"/>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    称：</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pStyle w:val="133"/>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资质类别和等级：</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pStyle w:val="133"/>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pStyle w:val="133"/>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电子信箱：</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pStyle w:val="133"/>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通信地址：</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pStyle w:val="133"/>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1.1.3 工程和设备</w:t>
      </w:r>
    </w:p>
    <w:p>
      <w:pPr>
        <w:pStyle w:val="133"/>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1.1.3.</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 xml:space="preserve"> 作为施工现场组成部分的其他场所包括：</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pStyle w:val="133"/>
        <w:spacing w:line="360"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1.1.3.</w:t>
      </w: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 xml:space="preserve"> 永久占地包括：</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kern w:val="0"/>
          <w:szCs w:val="21"/>
          <w:highlight w:val="none"/>
        </w:rPr>
        <w:t>。</w:t>
      </w:r>
    </w:p>
    <w:p>
      <w:pPr>
        <w:pStyle w:val="133"/>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1.1.3.</w:t>
      </w:r>
      <w:r>
        <w:rPr>
          <w:rFonts w:hint="eastAsia" w:ascii="仿宋" w:hAnsi="仿宋" w:eastAsia="仿宋" w:cs="仿宋"/>
          <w:color w:val="auto"/>
          <w:kern w:val="0"/>
          <w:szCs w:val="21"/>
          <w:highlight w:val="none"/>
          <w:lang w:val="en-US" w:eastAsia="zh-CN"/>
        </w:rPr>
        <w:t>3</w:t>
      </w:r>
      <w:r>
        <w:rPr>
          <w:rFonts w:hint="eastAsia" w:ascii="仿宋" w:hAnsi="仿宋" w:eastAsia="仿宋" w:cs="仿宋"/>
          <w:color w:val="auto"/>
          <w:kern w:val="0"/>
          <w:szCs w:val="21"/>
          <w:highlight w:val="none"/>
        </w:rPr>
        <w:t xml:space="preserve"> 临时占地包括：</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kern w:val="0"/>
          <w:szCs w:val="21"/>
          <w:highlight w:val="none"/>
        </w:rPr>
        <w:t>。</w:t>
      </w:r>
    </w:p>
    <w:p>
      <w:pPr>
        <w:pStyle w:val="133"/>
        <w:spacing w:after="120"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 xml:space="preserve">法律 </w:t>
      </w:r>
    </w:p>
    <w:p>
      <w:pPr>
        <w:pStyle w:val="133"/>
        <w:autoSpaceDE w:val="0"/>
        <w:autoSpaceDN w:val="0"/>
        <w:adjustRightInd w:val="0"/>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适用于合同的其他规范性文件：</w:t>
      </w:r>
      <w:r>
        <w:rPr>
          <w:rFonts w:hint="eastAsia" w:ascii="仿宋" w:hAnsi="仿宋" w:eastAsia="仿宋" w:cs="仿宋"/>
          <w:color w:val="auto"/>
          <w:szCs w:val="21"/>
          <w:highlight w:val="none"/>
          <w:u w:val="single"/>
        </w:rPr>
        <w:t xml:space="preserve">《中华人民共和国建筑法》、《中华人民共和国民法典》、《中华人民共和国政府采购法》及国家、浙江省、杭州市现行的其它法律、行政法规。 </w:t>
      </w:r>
    </w:p>
    <w:p>
      <w:pPr>
        <w:pStyle w:val="133"/>
        <w:spacing w:after="120"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 xml:space="preserve"> 标准和规范</w:t>
      </w:r>
    </w:p>
    <w:p>
      <w:pPr>
        <w:pStyle w:val="133"/>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.1适用于工程的标准规范包括：</w:t>
      </w:r>
      <w:r>
        <w:rPr>
          <w:rFonts w:hint="eastAsia" w:ascii="仿宋" w:hAnsi="仿宋" w:eastAsia="仿宋" w:cs="仿宋"/>
          <w:color w:val="auto"/>
          <w:szCs w:val="21"/>
          <w:highlight w:val="none"/>
          <w:u w:val="single"/>
        </w:rPr>
        <w:t>（1）国家及地方现行的设计规范；（2）国家及地方现行的施工规范；（3）国家及地方现行的验收规范；（4）国家及地方现行的质量验评标准；（5）国家及地方现行施工验收及施工安全技术规范；（6）国家、浙江省、杭州市颁布的其他标准及文件。上述规范标准，如有不一致的，均以严格的标准为优先。在合同签署生效后，如果上述标准规范及文件作了修改或新的规范标准被颁布实施，若修改后或新的规范标准更加严格的，则</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应遵守上述修改后或新颁布的规范标准</w:t>
      </w:r>
      <w:r>
        <w:rPr>
          <w:rFonts w:hint="eastAsia" w:ascii="仿宋" w:hAnsi="仿宋" w:eastAsia="仿宋" w:cs="仿宋"/>
          <w:color w:val="auto"/>
          <w:szCs w:val="21"/>
          <w:highlight w:val="none"/>
        </w:rPr>
        <w:t>。</w:t>
      </w:r>
    </w:p>
    <w:p>
      <w:pPr>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 xml:space="preserve">.2 </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提供国外标准、规范的名称：</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pStyle w:val="133"/>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甲方</w:t>
      </w:r>
      <w:r>
        <w:rPr>
          <w:rFonts w:hint="eastAsia" w:ascii="仿宋" w:hAnsi="仿宋" w:eastAsia="仿宋" w:cs="仿宋"/>
          <w:color w:val="auto"/>
          <w:kern w:val="0"/>
          <w:szCs w:val="21"/>
          <w:highlight w:val="none"/>
        </w:rPr>
        <w:t>提供国外标准、规范的份数：</w:t>
      </w:r>
      <w:r>
        <w:rPr>
          <w:rFonts w:hint="eastAsia" w:ascii="仿宋" w:hAnsi="仿宋" w:eastAsia="仿宋" w:cs="仿宋"/>
          <w:color w:val="auto"/>
          <w:kern w:val="0"/>
          <w:szCs w:val="21"/>
          <w:highlight w:val="none"/>
          <w:u w:val="single"/>
        </w:rPr>
        <w:t xml:space="preserve">          /            </w:t>
      </w:r>
      <w:r>
        <w:rPr>
          <w:rFonts w:hint="eastAsia" w:ascii="仿宋" w:hAnsi="仿宋" w:eastAsia="仿宋" w:cs="仿宋"/>
          <w:color w:val="auto"/>
          <w:kern w:val="0"/>
          <w:szCs w:val="21"/>
          <w:highlight w:val="none"/>
        </w:rPr>
        <w:t>；</w:t>
      </w:r>
    </w:p>
    <w:p>
      <w:pPr>
        <w:pStyle w:val="133"/>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eastAsia="zh-CN"/>
        </w:rPr>
        <w:t>甲方</w:t>
      </w:r>
      <w:r>
        <w:rPr>
          <w:rFonts w:hint="eastAsia" w:ascii="仿宋" w:hAnsi="仿宋" w:eastAsia="仿宋" w:cs="仿宋"/>
          <w:color w:val="auto"/>
          <w:kern w:val="0"/>
          <w:szCs w:val="21"/>
          <w:highlight w:val="none"/>
        </w:rPr>
        <w:t>提供国外标准、规范的名称：</w:t>
      </w:r>
      <w:r>
        <w:rPr>
          <w:rFonts w:hint="eastAsia" w:ascii="仿宋" w:hAnsi="仿宋" w:eastAsia="仿宋" w:cs="仿宋"/>
          <w:color w:val="auto"/>
          <w:kern w:val="0"/>
          <w:szCs w:val="21"/>
          <w:highlight w:val="none"/>
          <w:u w:val="single"/>
        </w:rPr>
        <w:t xml:space="preserve">            /          </w:t>
      </w:r>
      <w:r>
        <w:rPr>
          <w:rFonts w:hint="eastAsia" w:ascii="仿宋" w:hAnsi="仿宋" w:eastAsia="仿宋" w:cs="仿宋"/>
          <w:color w:val="auto"/>
          <w:kern w:val="0"/>
          <w:szCs w:val="21"/>
          <w:highlight w:val="none"/>
        </w:rPr>
        <w:t>。</w:t>
      </w:r>
    </w:p>
    <w:p>
      <w:pPr>
        <w:pStyle w:val="133"/>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对工程的技术标准和功能要求的特殊要求：</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 xml:space="preserve"> 合同文件的优先顺序</w:t>
      </w:r>
    </w:p>
    <w:p>
      <w:pPr>
        <w:pStyle w:val="133"/>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合同文件组成及优先顺序为：</w:t>
      </w:r>
    </w:p>
    <w:p>
      <w:pPr>
        <w:pStyle w:val="133"/>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（1）本合同协议书；</w:t>
      </w:r>
    </w:p>
    <w:p>
      <w:pPr>
        <w:pStyle w:val="133"/>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（2）中标通知书；</w:t>
      </w:r>
    </w:p>
    <w:p>
      <w:pPr>
        <w:pStyle w:val="133"/>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（3）投标函及其附录（如果有）；</w:t>
      </w:r>
    </w:p>
    <w:p>
      <w:pPr>
        <w:pStyle w:val="133"/>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（4）本合同专用条款及其附件；</w:t>
      </w:r>
    </w:p>
    <w:p>
      <w:pPr>
        <w:pStyle w:val="133"/>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（5）本合同通用条款；</w:t>
      </w:r>
    </w:p>
    <w:p>
      <w:pPr>
        <w:pStyle w:val="133"/>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（6）标准、规范及有关技术文件。</w:t>
      </w:r>
    </w:p>
    <w:p>
      <w:pPr>
        <w:pStyle w:val="133"/>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（7）图纸；</w:t>
      </w:r>
    </w:p>
    <w:p>
      <w:pPr>
        <w:pStyle w:val="133"/>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（8）询标纪要及承诺书（如果有）；</w:t>
      </w:r>
    </w:p>
    <w:p>
      <w:pPr>
        <w:pStyle w:val="133"/>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（9）投标书（含商务标书及技术标书）及附件；</w:t>
      </w:r>
    </w:p>
    <w:p>
      <w:pPr>
        <w:pStyle w:val="133"/>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（10）招标文件及招标答疑；</w:t>
      </w:r>
    </w:p>
    <w:p>
      <w:pPr>
        <w:pStyle w:val="133"/>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（11）其他合同文件。</w:t>
      </w:r>
    </w:p>
    <w:p>
      <w:pPr>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 xml:space="preserve"> 图纸和</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文件</w:t>
      </w:r>
      <w:r>
        <w:rPr>
          <w:rFonts w:hint="eastAsia" w:ascii="仿宋" w:hAnsi="仿宋" w:eastAsia="仿宋" w:cs="仿宋"/>
          <w:color w:val="auto"/>
          <w:szCs w:val="21"/>
          <w:highlight w:val="none"/>
        </w:rPr>
        <w:tab/>
      </w:r>
    </w:p>
    <w:p>
      <w:pPr>
        <w:pStyle w:val="133"/>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.1 图纸的提供</w:t>
      </w:r>
    </w:p>
    <w:p>
      <w:pPr>
        <w:pStyle w:val="133"/>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向</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提供图纸的期限：</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pPr>
        <w:pStyle w:val="133"/>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向</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提供图纸的数量：</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pPr>
        <w:pStyle w:val="133"/>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向</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提供图纸的内容：</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pStyle w:val="133"/>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文件</w:t>
      </w:r>
    </w:p>
    <w:p>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在开工前7日内编制好施工图预算和施工材料预算，以书面形式送</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审查；</w:t>
      </w:r>
    </w:p>
    <w:p>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除上述文件外还需按照</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要求的时间向</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提供施工进度计划、施工记录（施工日记）、隐蔽工程验收通知、竣工验收报告；</w:t>
      </w:r>
    </w:p>
    <w:p>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lang w:val="en-US" w:eastAsia="zh-CN"/>
        </w:rPr>
        <w:t>应</w:t>
      </w:r>
      <w:r>
        <w:rPr>
          <w:rFonts w:hint="eastAsia" w:ascii="仿宋" w:hAnsi="仿宋" w:eastAsia="仿宋" w:cs="仿宋"/>
          <w:color w:val="auto"/>
          <w:szCs w:val="21"/>
          <w:highlight w:val="none"/>
        </w:rPr>
        <w:t>在每月20日前向</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提供次月施工计划及当月工程进度统计报表、工程事故报告以及提出应由</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提供的材料、设备计划；</w:t>
      </w:r>
    </w:p>
    <w:p>
      <w:pPr>
        <w:adjustRightInd w:val="0"/>
        <w:snapToGrid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提供的文件的期限为：按照上述</w:t>
      </w:r>
      <w:r>
        <w:rPr>
          <w:rFonts w:hint="eastAsia" w:ascii="仿宋" w:hAnsi="仿宋" w:eastAsia="仿宋" w:cs="仿宋"/>
          <w:color w:val="auto"/>
          <w:szCs w:val="21"/>
          <w:highlight w:val="none"/>
          <w:u w:val="single"/>
        </w:rPr>
        <w:t>条款约定提供</w:t>
      </w:r>
      <w:r>
        <w:rPr>
          <w:rFonts w:hint="eastAsia" w:ascii="仿宋" w:hAnsi="仿宋" w:eastAsia="仿宋" w:cs="仿宋"/>
          <w:color w:val="auto"/>
          <w:szCs w:val="21"/>
          <w:highlight w:val="none"/>
        </w:rPr>
        <w:t>；</w:t>
      </w:r>
    </w:p>
    <w:p>
      <w:pPr>
        <w:adjustRightInd w:val="0"/>
        <w:snapToGrid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提供的文件的数量为：</w:t>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pPr>
        <w:adjustRightInd w:val="0"/>
        <w:snapToGrid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提供的文件的形式为：</w:t>
      </w:r>
      <w:r>
        <w:rPr>
          <w:rFonts w:hint="eastAsia" w:ascii="仿宋" w:hAnsi="仿宋" w:eastAsia="仿宋" w:cs="仿宋"/>
          <w:color w:val="auto"/>
          <w:szCs w:val="21"/>
          <w:highlight w:val="none"/>
          <w:u w:val="single"/>
        </w:rPr>
        <w:t>纸质、电子版</w:t>
      </w:r>
      <w:r>
        <w:rPr>
          <w:rFonts w:hint="eastAsia" w:ascii="仿宋" w:hAnsi="仿宋" w:eastAsia="仿宋" w:cs="仿宋"/>
          <w:color w:val="auto"/>
          <w:szCs w:val="21"/>
          <w:highlight w:val="none"/>
        </w:rPr>
        <w:t>；</w:t>
      </w:r>
    </w:p>
    <w:p>
      <w:pPr>
        <w:pStyle w:val="133"/>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审批</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文件的期限：</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pStyle w:val="133"/>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 xml:space="preserve"> 现场图纸准备：</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 xml:space="preserve">。 </w:t>
      </w:r>
    </w:p>
    <w:p>
      <w:pPr>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 xml:space="preserve"> 联络</w:t>
      </w:r>
    </w:p>
    <w:p>
      <w:pPr>
        <w:pStyle w:val="133"/>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r>
        <w:rPr>
          <w:rFonts w:hint="eastAsia" w:ascii="仿宋" w:hAnsi="仿宋" w:eastAsia="仿宋" w:cs="仿宋"/>
          <w:color w:val="auto"/>
          <w:kern w:val="0"/>
          <w:szCs w:val="21"/>
          <w:highlight w:val="none"/>
          <w:lang w:val="en-US" w:eastAsia="zh-CN"/>
        </w:rPr>
        <w:t>6</w:t>
      </w:r>
      <w:r>
        <w:rPr>
          <w:rFonts w:hint="eastAsia" w:ascii="仿宋" w:hAnsi="仿宋" w:eastAsia="仿宋" w:cs="仿宋"/>
          <w:color w:val="auto"/>
          <w:kern w:val="0"/>
          <w:szCs w:val="21"/>
          <w:highlight w:val="none"/>
        </w:rPr>
        <w:t>.1</w:t>
      </w:r>
      <w:r>
        <w:rPr>
          <w:rFonts w:hint="eastAsia" w:ascii="仿宋" w:hAnsi="仿宋" w:eastAsia="仿宋" w:cs="仿宋"/>
          <w:color w:val="auto"/>
          <w:kern w:val="0"/>
          <w:szCs w:val="21"/>
          <w:highlight w:val="none"/>
          <w:lang w:eastAsia="zh-CN"/>
        </w:rPr>
        <w:t>甲方</w:t>
      </w:r>
      <w:r>
        <w:rPr>
          <w:rFonts w:hint="eastAsia" w:ascii="仿宋" w:hAnsi="仿宋" w:eastAsia="仿宋" w:cs="仿宋"/>
          <w:color w:val="auto"/>
          <w:kern w:val="0"/>
          <w:szCs w:val="21"/>
          <w:highlight w:val="none"/>
        </w:rPr>
        <w:t>和</w:t>
      </w:r>
      <w:r>
        <w:rPr>
          <w:rFonts w:hint="eastAsia" w:ascii="仿宋" w:hAnsi="仿宋" w:eastAsia="仿宋" w:cs="仿宋"/>
          <w:color w:val="auto"/>
          <w:kern w:val="0"/>
          <w:szCs w:val="21"/>
          <w:highlight w:val="none"/>
          <w:lang w:eastAsia="zh-CN"/>
        </w:rPr>
        <w:t>乙方</w:t>
      </w:r>
      <w:r>
        <w:rPr>
          <w:rFonts w:hint="eastAsia" w:ascii="仿宋" w:hAnsi="仿宋" w:eastAsia="仿宋" w:cs="仿宋"/>
          <w:color w:val="auto"/>
          <w:kern w:val="0"/>
          <w:szCs w:val="21"/>
          <w:highlight w:val="none"/>
        </w:rPr>
        <w:t>应当在合同签订</w:t>
      </w:r>
      <w:r>
        <w:rPr>
          <w:rFonts w:hint="eastAsia" w:ascii="仿宋" w:hAnsi="仿宋" w:eastAsia="仿宋" w:cs="仿宋"/>
          <w:color w:val="auto"/>
          <w:szCs w:val="21"/>
          <w:highlight w:val="none"/>
          <w:u w:val="single"/>
        </w:rPr>
        <w:t xml:space="preserve">7  </w:t>
      </w:r>
      <w:r>
        <w:rPr>
          <w:rFonts w:hint="eastAsia" w:ascii="仿宋" w:hAnsi="仿宋" w:eastAsia="仿宋" w:cs="仿宋"/>
          <w:color w:val="auto"/>
          <w:kern w:val="0"/>
          <w:szCs w:val="21"/>
          <w:highlight w:val="none"/>
        </w:rPr>
        <w:t>天内将与合同有关的通知、批准、证明、证书、指示、指令、要求、请求、同意、意见、确定和决定等书面函件送达对方当事人。</w:t>
      </w:r>
    </w:p>
    <w:p>
      <w:pPr>
        <w:pStyle w:val="133"/>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r>
        <w:rPr>
          <w:rFonts w:hint="eastAsia" w:ascii="仿宋" w:hAnsi="仿宋" w:eastAsia="仿宋" w:cs="仿宋"/>
          <w:color w:val="auto"/>
          <w:kern w:val="0"/>
          <w:szCs w:val="21"/>
          <w:highlight w:val="none"/>
          <w:lang w:val="en-US" w:eastAsia="zh-CN"/>
        </w:rPr>
        <w:t>6</w:t>
      </w:r>
      <w:r>
        <w:rPr>
          <w:rFonts w:hint="eastAsia" w:ascii="仿宋" w:hAnsi="仿宋" w:eastAsia="仿宋" w:cs="仿宋"/>
          <w:color w:val="auto"/>
          <w:kern w:val="0"/>
          <w:szCs w:val="21"/>
          <w:highlight w:val="none"/>
        </w:rPr>
        <w:t xml:space="preserve">.2 </w:t>
      </w:r>
      <w:r>
        <w:rPr>
          <w:rFonts w:hint="eastAsia" w:ascii="仿宋" w:hAnsi="仿宋" w:eastAsia="仿宋" w:cs="仿宋"/>
          <w:color w:val="auto"/>
          <w:kern w:val="0"/>
          <w:szCs w:val="21"/>
          <w:highlight w:val="none"/>
          <w:lang w:eastAsia="zh-CN"/>
        </w:rPr>
        <w:t>甲方</w:t>
      </w:r>
      <w:r>
        <w:rPr>
          <w:rFonts w:hint="eastAsia" w:ascii="仿宋" w:hAnsi="仿宋" w:eastAsia="仿宋" w:cs="仿宋"/>
          <w:color w:val="auto"/>
          <w:kern w:val="0"/>
          <w:szCs w:val="21"/>
          <w:highlight w:val="none"/>
        </w:rPr>
        <w:t>接收文件的地点：</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kern w:val="0"/>
          <w:szCs w:val="21"/>
          <w:highlight w:val="none"/>
        </w:rPr>
        <w:t>；</w:t>
      </w:r>
    </w:p>
    <w:p>
      <w:pPr>
        <w:pStyle w:val="133"/>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甲方</w:t>
      </w:r>
      <w:r>
        <w:rPr>
          <w:rFonts w:hint="eastAsia" w:ascii="仿宋" w:hAnsi="仿宋" w:eastAsia="仿宋" w:cs="仿宋"/>
          <w:color w:val="auto"/>
          <w:kern w:val="0"/>
          <w:szCs w:val="21"/>
          <w:highlight w:val="none"/>
        </w:rPr>
        <w:t>指定的接收人为：</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kern w:val="0"/>
          <w:szCs w:val="21"/>
          <w:highlight w:val="none"/>
        </w:rPr>
        <w:t>。</w:t>
      </w:r>
    </w:p>
    <w:p>
      <w:pPr>
        <w:pStyle w:val="133"/>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乙方</w:t>
      </w:r>
      <w:r>
        <w:rPr>
          <w:rFonts w:hint="eastAsia" w:ascii="仿宋" w:hAnsi="仿宋" w:eastAsia="仿宋" w:cs="仿宋"/>
          <w:color w:val="auto"/>
          <w:kern w:val="0"/>
          <w:szCs w:val="21"/>
          <w:highlight w:val="none"/>
        </w:rPr>
        <w:t>接收文件的地点：</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kern w:val="0"/>
          <w:szCs w:val="21"/>
          <w:highlight w:val="none"/>
        </w:rPr>
        <w:t>；</w:t>
      </w:r>
    </w:p>
    <w:p>
      <w:pPr>
        <w:pStyle w:val="133"/>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乙方</w:t>
      </w:r>
      <w:r>
        <w:rPr>
          <w:rFonts w:hint="eastAsia" w:ascii="仿宋" w:hAnsi="仿宋" w:eastAsia="仿宋" w:cs="仿宋"/>
          <w:color w:val="auto"/>
          <w:kern w:val="0"/>
          <w:szCs w:val="21"/>
          <w:highlight w:val="none"/>
        </w:rPr>
        <w:t>指定的接收人为：</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kern w:val="0"/>
          <w:szCs w:val="21"/>
          <w:highlight w:val="none"/>
        </w:rPr>
        <w:t>。</w:t>
      </w:r>
    </w:p>
    <w:p>
      <w:pPr>
        <w:pStyle w:val="133"/>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监理人接收文件的地点：</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kern w:val="0"/>
          <w:szCs w:val="21"/>
          <w:highlight w:val="none"/>
        </w:rPr>
        <w:t>；</w:t>
      </w:r>
    </w:p>
    <w:p>
      <w:pPr>
        <w:pStyle w:val="133"/>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监理人指定的接收人为：</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kern w:val="0"/>
          <w:szCs w:val="21"/>
          <w:highlight w:val="none"/>
        </w:rPr>
        <w:t>。</w:t>
      </w:r>
    </w:p>
    <w:p>
      <w:pPr>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 xml:space="preserve"> 交通运输</w:t>
      </w:r>
    </w:p>
    <w:p>
      <w:pPr>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bookmarkStart w:id="130" w:name="_Toc318581155"/>
      <w:bookmarkStart w:id="131" w:name="_Toc304295521"/>
      <w:bookmarkStart w:id="132" w:name="_Toc303539100"/>
      <w:bookmarkStart w:id="133" w:name="_Toc300934943"/>
      <w:bookmarkStart w:id="134" w:name="_Toc312677986"/>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.1 出入现场的权利</w:t>
      </w:r>
    </w:p>
    <w:p>
      <w:pPr>
        <w:pStyle w:val="133"/>
        <w:spacing w:line="360" w:lineRule="auto"/>
        <w:ind w:left="596" w:leftChars="284"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关于出入现场的权利的约定：</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车辆进出现场按</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相关规定执行</w:t>
      </w:r>
      <w:r>
        <w:rPr>
          <w:rFonts w:hint="eastAsia" w:ascii="仿宋" w:hAnsi="仿宋" w:eastAsia="仿宋" w:cs="仿宋"/>
          <w:color w:val="auto"/>
          <w:szCs w:val="21"/>
          <w:highlight w:val="none"/>
        </w:rPr>
        <w:t>。</w:t>
      </w:r>
    </w:p>
    <w:bookmarkEnd w:id="130"/>
    <w:bookmarkEnd w:id="131"/>
    <w:bookmarkEnd w:id="132"/>
    <w:bookmarkEnd w:id="133"/>
    <w:bookmarkEnd w:id="134"/>
    <w:p>
      <w:pPr>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bookmarkStart w:id="135" w:name="_Toc312677987"/>
      <w:bookmarkStart w:id="136" w:name="_Toc304295522"/>
      <w:bookmarkStart w:id="137" w:name="_Toc318581156"/>
      <w:bookmarkStart w:id="138" w:name="_Toc303539101"/>
      <w:bookmarkStart w:id="139" w:name="_Toc300934944"/>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 xml:space="preserve"> 场内交通</w:t>
      </w:r>
    </w:p>
    <w:p>
      <w:pPr>
        <w:pStyle w:val="133"/>
        <w:spacing w:line="360"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关于场外交通和场内交通的边界的约定：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pStyle w:val="133"/>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向</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免费提供满足工程施工需要的场内道路和交通设施的约定：</w:t>
      </w:r>
      <w:r>
        <w:rPr>
          <w:rFonts w:hint="eastAsia" w:ascii="仿宋" w:hAnsi="仿宋" w:eastAsia="仿宋" w:cs="仿宋"/>
          <w:color w:val="auto"/>
          <w:szCs w:val="21"/>
          <w:highlight w:val="none"/>
          <w:u w:val="single"/>
        </w:rPr>
        <w:t>利用现有的场内道路和交通设施，</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不另行新建；如需新建，</w:t>
      </w:r>
      <w:r>
        <w:rPr>
          <w:rFonts w:hint="eastAsia" w:ascii="仿宋" w:hAnsi="仿宋" w:eastAsia="仿宋" w:cs="仿宋"/>
          <w:color w:val="auto"/>
          <w:szCs w:val="21"/>
          <w:highlight w:val="none"/>
          <w:u w:val="single"/>
          <w:lang w:val="en-US" w:eastAsia="zh-CN"/>
        </w:rPr>
        <w:t>经甲方同意后，</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lang w:val="en-US" w:eastAsia="zh-CN"/>
        </w:rPr>
        <w:t>可</w:t>
      </w:r>
      <w:r>
        <w:rPr>
          <w:rFonts w:hint="eastAsia" w:ascii="仿宋" w:hAnsi="仿宋" w:eastAsia="仿宋" w:cs="仿宋"/>
          <w:color w:val="auto"/>
          <w:szCs w:val="21"/>
          <w:highlight w:val="none"/>
          <w:u w:val="single"/>
        </w:rPr>
        <w:t>自行建设，并承担所有相关费用，</w:t>
      </w:r>
      <w:r>
        <w:rPr>
          <w:rFonts w:hint="eastAsia" w:ascii="仿宋" w:hAnsi="仿宋" w:eastAsia="仿宋" w:cs="仿宋"/>
          <w:color w:val="auto"/>
          <w:szCs w:val="21"/>
          <w:highlight w:val="none"/>
          <w:u w:val="single"/>
          <w:lang w:val="en-US" w:eastAsia="zh-CN"/>
        </w:rPr>
        <w:t>且</w:t>
      </w:r>
      <w:r>
        <w:rPr>
          <w:rFonts w:hint="eastAsia" w:ascii="仿宋" w:hAnsi="仿宋" w:eastAsia="仿宋" w:cs="仿宋"/>
          <w:color w:val="auto"/>
          <w:szCs w:val="21"/>
          <w:highlight w:val="none"/>
          <w:u w:val="single"/>
        </w:rPr>
        <w:t>不得影响</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正常工作</w:t>
      </w:r>
      <w:r>
        <w:rPr>
          <w:rFonts w:hint="eastAsia" w:ascii="仿宋" w:hAnsi="仿宋" w:eastAsia="仿宋" w:cs="仿宋"/>
          <w:color w:val="auto"/>
          <w:szCs w:val="21"/>
          <w:highlight w:val="none"/>
          <w:u w:val="single"/>
          <w:lang w:eastAsia="zh-CN"/>
        </w:rPr>
        <w:t>。</w:t>
      </w:r>
      <w:r>
        <w:rPr>
          <w:rFonts w:hint="eastAsia" w:ascii="仿宋" w:hAnsi="仿宋" w:eastAsia="仿宋" w:cs="仿宋"/>
          <w:color w:val="auto"/>
          <w:szCs w:val="21"/>
          <w:highlight w:val="none"/>
          <w:u w:val="single"/>
          <w:lang w:val="en-US" w:eastAsia="zh-CN"/>
        </w:rPr>
        <w:t>本合同工程验收合格后，乙方须将场内道路和交通设施恢复，无法恢复或对甲方造成损失的，乙方承担相应赔偿责任。</w:t>
      </w:r>
      <w:bookmarkEnd w:id="135"/>
      <w:bookmarkEnd w:id="136"/>
      <w:bookmarkEnd w:id="137"/>
      <w:bookmarkEnd w:id="138"/>
      <w:bookmarkEnd w:id="139"/>
      <w:bookmarkStart w:id="140" w:name="_Toc318581157"/>
    </w:p>
    <w:p>
      <w:pPr>
        <w:pStyle w:val="133"/>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超大件和超重件的运输</w:t>
      </w:r>
    </w:p>
    <w:p>
      <w:pPr>
        <w:pStyle w:val="133"/>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运输超大件或超重件所需的道路和桥梁临时加固改造费用和其他有关费用由</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在报价中综合考虑，并承担相应所有费用</w:t>
      </w:r>
      <w:r>
        <w:rPr>
          <w:rFonts w:hint="eastAsia" w:ascii="仿宋" w:hAnsi="仿宋" w:eastAsia="仿宋" w:cs="仿宋"/>
          <w:color w:val="auto"/>
          <w:szCs w:val="21"/>
          <w:highlight w:val="none"/>
        </w:rPr>
        <w:t>。</w:t>
      </w:r>
    </w:p>
    <w:bookmarkEnd w:id="140"/>
    <w:p>
      <w:pPr>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 xml:space="preserve"> 知识产权</w:t>
      </w:r>
    </w:p>
    <w:p>
      <w:pPr>
        <w:pStyle w:val="133"/>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.1关于</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提供给</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的图纸、</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为实施工程自行编制或委托编制的技术规范以及反映</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关于合同要求或其他类似性质的文件的著作权的归属：</w:t>
      </w:r>
      <w:r>
        <w:rPr>
          <w:rFonts w:hint="eastAsia" w:ascii="仿宋" w:hAnsi="仿宋" w:eastAsia="仿宋" w:cs="仿宋"/>
          <w:color w:val="auto"/>
          <w:szCs w:val="21"/>
          <w:highlight w:val="none"/>
          <w:u w:val="single"/>
        </w:rPr>
        <w:t xml:space="preserve">按通用条款执行  </w:t>
      </w:r>
      <w:r>
        <w:rPr>
          <w:rFonts w:hint="eastAsia" w:ascii="仿宋" w:hAnsi="仿宋" w:eastAsia="仿宋" w:cs="仿宋"/>
          <w:color w:val="auto"/>
          <w:szCs w:val="21"/>
          <w:highlight w:val="none"/>
        </w:rPr>
        <w:t>。</w:t>
      </w:r>
    </w:p>
    <w:p>
      <w:pPr>
        <w:spacing w:line="360" w:lineRule="auto"/>
        <w:ind w:firstLine="48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关于</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提供的上述文件的使用限制的要求：</w:t>
      </w:r>
      <w:r>
        <w:rPr>
          <w:rFonts w:hint="eastAsia" w:ascii="仿宋" w:hAnsi="仿宋" w:eastAsia="仿宋" w:cs="仿宋"/>
          <w:color w:val="auto"/>
          <w:szCs w:val="21"/>
          <w:highlight w:val="none"/>
          <w:u w:val="single"/>
        </w:rPr>
        <w:t xml:space="preserve"> 按通用条款执行  。</w:t>
      </w:r>
    </w:p>
    <w:p>
      <w:pPr>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.2 关于</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为实施工程所编制文件的著作权的归属</w:t>
      </w:r>
      <w:r>
        <w:rPr>
          <w:rFonts w:hint="eastAsia" w:ascii="仿宋" w:hAnsi="仿宋" w:eastAsia="仿宋" w:cs="仿宋"/>
          <w:color w:val="auto"/>
          <w:szCs w:val="21"/>
          <w:highlight w:val="none"/>
          <w:u w:val="single"/>
        </w:rPr>
        <w:t xml:space="preserve"> 按通用条款执行</w:t>
      </w:r>
      <w:r>
        <w:rPr>
          <w:rFonts w:hint="eastAsia" w:ascii="仿宋" w:hAnsi="仿宋" w:eastAsia="仿宋" w:cs="仿宋"/>
          <w:color w:val="auto"/>
          <w:szCs w:val="21"/>
          <w:highlight w:val="none"/>
        </w:rPr>
        <w:t>。</w:t>
      </w:r>
    </w:p>
    <w:p>
      <w:pPr>
        <w:pStyle w:val="133"/>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提供的上述文件的使用限制的要求：</w:t>
      </w:r>
      <w:r>
        <w:rPr>
          <w:rFonts w:hint="eastAsia" w:ascii="仿宋" w:hAnsi="仿宋" w:eastAsia="仿宋" w:cs="仿宋"/>
          <w:color w:val="auto"/>
          <w:szCs w:val="21"/>
          <w:highlight w:val="none"/>
          <w:u w:val="single"/>
        </w:rPr>
        <w:t xml:space="preserve">按通用条款执行  </w:t>
      </w:r>
      <w:r>
        <w:rPr>
          <w:rFonts w:hint="eastAsia" w:ascii="仿宋" w:hAnsi="仿宋" w:eastAsia="仿宋" w:cs="仿宋"/>
          <w:color w:val="auto"/>
          <w:szCs w:val="21"/>
          <w:highlight w:val="none"/>
        </w:rPr>
        <w:t>。</w:t>
      </w:r>
    </w:p>
    <w:p>
      <w:pPr>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 xml:space="preserve">.3 </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在施工过程中所采用的专利、专有技术、技术秘密的使用费的承担方式：</w:t>
      </w:r>
      <w:r>
        <w:rPr>
          <w:rFonts w:hint="eastAsia" w:ascii="仿宋" w:hAnsi="仿宋" w:eastAsia="仿宋" w:cs="仿宋"/>
          <w:color w:val="auto"/>
          <w:szCs w:val="21"/>
          <w:highlight w:val="none"/>
          <w:u w:val="single"/>
        </w:rPr>
        <w:t>由</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自行承担，上述费用已包含在合同价款中，</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不另行支付；</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在使用材料、施工设备、工程设备或采用施工工艺时，因侵犯他人的专利权或其他知识产权所引起的损害赔偿责任及所有相关费用，由</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全额承担</w:t>
      </w:r>
      <w:r>
        <w:rPr>
          <w:rFonts w:hint="eastAsia" w:ascii="仿宋" w:hAnsi="仿宋" w:eastAsia="仿宋" w:cs="仿宋"/>
          <w:color w:val="auto"/>
          <w:szCs w:val="21"/>
          <w:highlight w:val="none"/>
          <w:u w:val="single"/>
          <w:lang w:eastAsia="zh-CN"/>
        </w:rPr>
        <w:t>；</w:t>
      </w:r>
      <w:r>
        <w:rPr>
          <w:rFonts w:hint="eastAsia" w:ascii="仿宋" w:hAnsi="仿宋" w:eastAsia="仿宋" w:cs="仿宋"/>
          <w:color w:val="auto"/>
          <w:szCs w:val="21"/>
          <w:highlight w:val="none"/>
          <w:u w:val="single"/>
          <w:lang w:val="en-US" w:eastAsia="zh-CN"/>
        </w:rPr>
        <w:t>若甲方先行向他人承担了相关费用，甲方有权向乙方追偿，并要求乙方承担甲方因追偿上述费用所支出的合理开销（包括但不限于诉讼费、律师费、差旅费、交通费等）</w:t>
      </w:r>
      <w:r>
        <w:rPr>
          <w:rFonts w:hint="eastAsia" w:ascii="仿宋" w:hAnsi="仿宋" w:eastAsia="仿宋" w:cs="仿宋"/>
          <w:color w:val="auto"/>
          <w:szCs w:val="21"/>
          <w:highlight w:val="none"/>
          <w:u w:val="single"/>
        </w:rPr>
        <w:t>。</w:t>
      </w:r>
    </w:p>
    <w:p>
      <w:pPr>
        <w:pStyle w:val="133"/>
        <w:spacing w:after="120"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工程量清单错误的修正</w:t>
      </w:r>
    </w:p>
    <w:p>
      <w:pPr>
        <w:pStyle w:val="133"/>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（1）出现工程量清单错误时，</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是否有权调整合同价格：</w:t>
      </w:r>
      <w:r>
        <w:rPr>
          <w:rFonts w:hint="eastAsia" w:ascii="仿宋" w:hAnsi="仿宋" w:eastAsia="仿宋" w:cs="仿宋"/>
          <w:color w:val="auto"/>
          <w:szCs w:val="21"/>
          <w:highlight w:val="none"/>
          <w:u w:val="single"/>
        </w:rPr>
        <w:t xml:space="preserve">   是   </w:t>
      </w:r>
      <w:r>
        <w:rPr>
          <w:rFonts w:hint="eastAsia" w:ascii="仿宋" w:hAnsi="仿宋" w:eastAsia="仿宋" w:cs="仿宋"/>
          <w:color w:val="auto"/>
          <w:kern w:val="0"/>
          <w:szCs w:val="21"/>
          <w:highlight w:val="none"/>
        </w:rPr>
        <w:t>。</w:t>
      </w:r>
    </w:p>
    <w:p>
      <w:pPr>
        <w:pStyle w:val="133"/>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（2）允许调整合同价格的工程量偏差范围：</w:t>
      </w:r>
      <w:r>
        <w:rPr>
          <w:rFonts w:hint="eastAsia" w:ascii="仿宋" w:hAnsi="仿宋" w:eastAsia="仿宋" w:cs="仿宋"/>
          <w:color w:val="auto"/>
          <w:szCs w:val="21"/>
          <w:highlight w:val="none"/>
          <w:u w:val="single"/>
        </w:rPr>
        <w:t xml:space="preserve">经合同双方、审计确认后签字盖章确认后按实际情况调整  </w:t>
      </w:r>
      <w:r>
        <w:rPr>
          <w:rFonts w:hint="eastAsia" w:ascii="仿宋" w:hAnsi="仿宋" w:eastAsia="仿宋" w:cs="仿宋"/>
          <w:color w:val="auto"/>
          <w:kern w:val="0"/>
          <w:szCs w:val="21"/>
          <w:highlight w:val="none"/>
        </w:rPr>
        <w:t>。</w:t>
      </w:r>
    </w:p>
    <w:p>
      <w:pPr>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2. 施工现场、施工条件和基础资料的提供</w:t>
      </w:r>
    </w:p>
    <w:p>
      <w:pPr>
        <w:pStyle w:val="133"/>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2.1 提供施工现场</w:t>
      </w:r>
    </w:p>
    <w:p>
      <w:pPr>
        <w:pStyle w:val="133"/>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向</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移交施工现场的期限要求：</w:t>
      </w:r>
      <w:r>
        <w:rPr>
          <w:rFonts w:hint="eastAsia" w:ascii="仿宋" w:hAnsi="仿宋" w:eastAsia="仿宋" w:cs="仿宋"/>
          <w:color w:val="auto"/>
          <w:szCs w:val="21"/>
          <w:highlight w:val="none"/>
          <w:u w:val="single"/>
        </w:rPr>
        <w:t xml:space="preserve">开工前7天  </w:t>
      </w:r>
      <w:r>
        <w:rPr>
          <w:rFonts w:hint="eastAsia" w:ascii="仿宋" w:hAnsi="仿宋" w:eastAsia="仿宋" w:cs="仿宋"/>
          <w:color w:val="auto"/>
          <w:szCs w:val="21"/>
          <w:highlight w:val="none"/>
        </w:rPr>
        <w:t>。</w:t>
      </w:r>
    </w:p>
    <w:p>
      <w:pPr>
        <w:pStyle w:val="133"/>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 提供施工条件</w:t>
      </w:r>
    </w:p>
    <w:p>
      <w:pPr>
        <w:pStyle w:val="133"/>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应负责提供施工所需要的条件，包括：</w:t>
      </w:r>
    </w:p>
    <w:p>
      <w:pPr>
        <w:pStyle w:val="133"/>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提供</w:t>
      </w:r>
      <w:r>
        <w:rPr>
          <w:rFonts w:hint="eastAsia" w:ascii="仿宋" w:hAnsi="仿宋" w:eastAsia="仿宋" w:cs="仿宋"/>
          <w:color w:val="auto"/>
          <w:szCs w:val="21"/>
          <w:highlight w:val="none"/>
          <w:u w:val="single"/>
        </w:rPr>
        <w:t>施工场地具备施工条件的要求及完成的时间：场地已具备施工条件。</w:t>
      </w:r>
    </w:p>
    <w:p>
      <w:pPr>
        <w:pStyle w:val="133"/>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u w:val="single"/>
        </w:rPr>
        <w:t>施工所需的水、电、通讯线路接至施工场地的时间、地点和供应要求：临时用电设施由</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自行办理（包括用电申请），包括临电设施的建设和场内线路的铺设（包括但不限于变压器、电缆、桥架、配电箱、电表等），并由</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承担相应费用（该费用包含在合同价款中），</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提供必要的配合；临时用水设施由</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自行办理，临时用水的接入和接口至场地各区域的管线、阀门由</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负责供货安装，并由</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承担相应费用（该费用包含在合同价款中）。施工期间用水、用电装表计量，计量装置及相关费用由</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自行承担，</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每月按照水电部门确认的水电计价标准和相应度数计算、确认水电费并向水电部门按实缴纳（该费用包含在合同价款中）。电讯线路接引和使用费用由</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自理（该费用包含在合同价款中）。通讯线路由</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自行解决（该费用包含在合同价款中）。上述未涉及到的部分以及施工期间断水、断电、停水、停电所需的备用水源、电源由</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自行解决，有关费用已计入合同价款中。</w:t>
      </w:r>
    </w:p>
    <w:p>
      <w:pPr>
        <w:pStyle w:val="133"/>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u w:val="single"/>
        </w:rPr>
        <w:t>施工围墙区域内场地布置由</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自行考虑，</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无法提供其他临时用地（包括临时堆场、临时宿舍搭建和停车场地），围墙区域内场地不足部分由</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自行考虑，并自行承担相应费用（该费用包含在合同价款中）。</w:t>
      </w:r>
    </w:p>
    <w:p>
      <w:pPr>
        <w:pStyle w:val="133"/>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（4）</w:t>
      </w:r>
      <w:r>
        <w:rPr>
          <w:rFonts w:hint="eastAsia" w:ascii="仿宋" w:hAnsi="仿宋" w:eastAsia="仿宋" w:cs="仿宋"/>
          <w:color w:val="auto"/>
          <w:szCs w:val="21"/>
          <w:highlight w:val="none"/>
          <w:u w:val="single"/>
        </w:rPr>
        <w:t>现场与外部市政道路的连接线由</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负责建设并承担相应费用（该费用包含在合同价款中），该连接线在施工期间由</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承担维护、管理责任并承担相应费用（该费用包含在合同价款中）；如因工程需要临时占用红线外场地及市政道路，由</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自行向有关部门进行协调并负责办理审批手续，并由</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自行承担由此产生的全部费用（该费用包含在合同价款中）。</w:t>
      </w:r>
    </w:p>
    <w:p>
      <w:pPr>
        <w:pStyle w:val="133"/>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（5）</w:t>
      </w:r>
      <w:r>
        <w:rPr>
          <w:rFonts w:hint="eastAsia" w:ascii="仿宋" w:hAnsi="仿宋" w:eastAsia="仿宋" w:cs="仿宋"/>
          <w:color w:val="auto"/>
          <w:szCs w:val="21"/>
          <w:highlight w:val="none"/>
          <w:u w:val="single"/>
        </w:rPr>
        <w:t>双方约定</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应做的其他工作：由双方协商解决，双方应密切配合，共同完成本工程。</w:t>
      </w:r>
      <w:r>
        <w:rPr>
          <w:rFonts w:hint="eastAsia" w:ascii="仿宋" w:hAnsi="仿宋" w:eastAsia="仿宋" w:cs="仿宋"/>
          <w:color w:val="auto"/>
          <w:szCs w:val="21"/>
          <w:highlight w:val="none"/>
        </w:rPr>
        <w:t>。</w:t>
      </w:r>
    </w:p>
    <w:p>
      <w:pPr>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2.3 资金来源证明及支付担保</w:t>
      </w:r>
    </w:p>
    <w:p>
      <w:pPr>
        <w:pStyle w:val="133"/>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提供资金来源证明的期限要求：</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pStyle w:val="133"/>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是否提供支付担保：</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pStyle w:val="133"/>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提供支付担保的形式：</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spacing w:line="360" w:lineRule="auto"/>
        <w:ind w:firstLine="480"/>
        <w:rPr>
          <w:rFonts w:hint="eastAsia" w:ascii="仿宋" w:hAnsi="仿宋" w:eastAsia="仿宋" w:cs="仿宋"/>
          <w:color w:val="auto"/>
          <w:szCs w:val="21"/>
          <w:highlight w:val="none"/>
          <w:lang w:eastAsia="zh-CN"/>
        </w:rPr>
      </w:pPr>
      <w:bookmarkStart w:id="141" w:name="_Toc351203635"/>
      <w:r>
        <w:rPr>
          <w:rFonts w:hint="eastAsia" w:ascii="仿宋" w:hAnsi="仿宋" w:eastAsia="仿宋" w:cs="仿宋"/>
          <w:color w:val="auto"/>
          <w:szCs w:val="21"/>
          <w:highlight w:val="none"/>
        </w:rPr>
        <w:t>3</w:t>
      </w:r>
      <w:bookmarkStart w:id="142" w:name="_Toc297120458"/>
      <w:bookmarkStart w:id="143" w:name="_Toc297048344"/>
      <w:bookmarkStart w:id="144" w:name="_Toc296347157"/>
      <w:bookmarkStart w:id="145" w:name="_Toc292559868"/>
      <w:bookmarkStart w:id="146" w:name="_Toc296891198"/>
      <w:bookmarkStart w:id="147" w:name="_Toc296890986"/>
      <w:bookmarkStart w:id="148" w:name="_Toc296503158"/>
      <w:bookmarkStart w:id="149" w:name="_Toc296944497"/>
      <w:bookmarkStart w:id="150" w:name="_Toc292559363"/>
      <w:bookmarkStart w:id="151" w:name="_Toc296346659"/>
      <w:r>
        <w:rPr>
          <w:rFonts w:hint="eastAsia" w:ascii="仿宋" w:hAnsi="仿宋" w:eastAsia="仿宋" w:cs="仿宋"/>
          <w:color w:val="auto"/>
          <w:szCs w:val="21"/>
          <w:highlight w:val="none"/>
        </w:rPr>
        <w:t xml:space="preserve">. </w:t>
      </w:r>
      <w:bookmarkEnd w:id="141"/>
      <w:r>
        <w:rPr>
          <w:rFonts w:hint="eastAsia" w:ascii="仿宋" w:hAnsi="仿宋" w:eastAsia="仿宋" w:cs="仿宋"/>
          <w:color w:val="auto"/>
          <w:szCs w:val="21"/>
          <w:highlight w:val="none"/>
          <w:lang w:eastAsia="zh-CN"/>
        </w:rPr>
        <w:t>乙方</w:t>
      </w:r>
    </w:p>
    <w:bookmarkEnd w:id="142"/>
    <w:bookmarkEnd w:id="143"/>
    <w:bookmarkEnd w:id="144"/>
    <w:bookmarkEnd w:id="145"/>
    <w:bookmarkEnd w:id="146"/>
    <w:bookmarkEnd w:id="147"/>
    <w:bookmarkEnd w:id="148"/>
    <w:bookmarkEnd w:id="149"/>
    <w:bookmarkEnd w:id="150"/>
    <w:bookmarkEnd w:id="151"/>
    <w:p>
      <w:pPr>
        <w:pStyle w:val="133"/>
        <w:spacing w:after="120"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3.1 </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的一般义务</w:t>
      </w:r>
    </w:p>
    <w:p>
      <w:pPr>
        <w:pStyle w:val="133"/>
        <w:numPr>
          <w:ilvl w:val="0"/>
          <w:numId w:val="16"/>
        </w:numPr>
        <w:spacing w:line="360" w:lineRule="auto"/>
        <w:ind w:left="0" w:firstLine="420" w:firstLineChars="200"/>
        <w:jc w:val="lef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提交的竣工资料的内容：</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收集整理自身承包部分的竣工档案，并汇总</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总承包管理范围内独立分包（包括发、</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联合单独招标的）的专业施工单位移交的竣工档案（含竣工图、影像资料、及资料扫描件），按相关规定和要求整理立卷。竣工档案质量必须符合浙江省、杭州市等档案管理机构的验收存档标准。</w:t>
      </w:r>
    </w:p>
    <w:p>
      <w:pPr>
        <w:pStyle w:val="133"/>
        <w:numPr>
          <w:ilvl w:val="0"/>
          <w:numId w:val="16"/>
        </w:numPr>
        <w:spacing w:line="360" w:lineRule="auto"/>
        <w:ind w:left="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需要提交的竣工资料套数：</w:t>
      </w:r>
      <w:r>
        <w:rPr>
          <w:rFonts w:hint="eastAsia" w:ascii="仿宋" w:hAnsi="仿宋" w:eastAsia="仿宋" w:cs="仿宋"/>
          <w:color w:val="auto"/>
          <w:szCs w:val="21"/>
          <w:highlight w:val="none"/>
          <w:u w:val="single"/>
        </w:rPr>
        <w:t xml:space="preserve"> 完整、规范、准确、系统的工程竣工档案（含竣工图、影像档案、及资料扫描件）一式4套，及电子光盘4套    </w:t>
      </w:r>
      <w:r>
        <w:rPr>
          <w:rFonts w:hint="eastAsia" w:ascii="仿宋" w:hAnsi="仿宋" w:eastAsia="仿宋" w:cs="仿宋"/>
          <w:color w:val="auto"/>
          <w:szCs w:val="21"/>
          <w:highlight w:val="none"/>
        </w:rPr>
        <w:t>。</w:t>
      </w:r>
    </w:p>
    <w:p>
      <w:pPr>
        <w:numPr>
          <w:ilvl w:val="0"/>
          <w:numId w:val="16"/>
        </w:numPr>
        <w:spacing w:line="360" w:lineRule="auto"/>
        <w:ind w:left="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提交的竣工资料的费用承担：</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 xml:space="preserve">承担      </w:t>
      </w:r>
      <w:r>
        <w:rPr>
          <w:rFonts w:hint="eastAsia" w:ascii="仿宋" w:hAnsi="仿宋" w:eastAsia="仿宋" w:cs="仿宋"/>
          <w:color w:val="auto"/>
          <w:szCs w:val="21"/>
          <w:highlight w:val="none"/>
        </w:rPr>
        <w:t>。</w:t>
      </w:r>
    </w:p>
    <w:p>
      <w:pPr>
        <w:numPr>
          <w:ilvl w:val="0"/>
          <w:numId w:val="16"/>
        </w:numPr>
        <w:spacing w:line="360" w:lineRule="auto"/>
        <w:ind w:left="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提交的竣工资料内容包括：</w:t>
      </w:r>
      <w:r>
        <w:rPr>
          <w:rFonts w:hint="eastAsia" w:ascii="仿宋" w:hAnsi="仿宋" w:eastAsia="仿宋" w:cs="仿宋"/>
          <w:color w:val="auto"/>
          <w:szCs w:val="21"/>
          <w:highlight w:val="none"/>
          <w:u w:val="single"/>
        </w:rPr>
        <w:t xml:space="preserve"> ①开竣工报告、施工组织设计、安全施工组织设计、技术交底、材料报验记录、隐蔽工程验收记录、分部分项工程验收记录、相关检测报告（上述资料需装订成册）；②工程结算书、经</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签发的工程变更联系单（上述资料需装订成册）；③竣工图</w:t>
      </w:r>
      <w:r>
        <w:rPr>
          <w:rFonts w:hint="eastAsia" w:ascii="仿宋" w:hAnsi="仿宋" w:eastAsia="仿宋" w:cs="仿宋"/>
          <w:color w:val="auto"/>
          <w:szCs w:val="21"/>
          <w:highlight w:val="none"/>
          <w:u w:val="none"/>
        </w:rPr>
        <w:t xml:space="preserve">等  </w:t>
      </w:r>
      <w:r>
        <w:rPr>
          <w:rFonts w:hint="eastAsia" w:ascii="仿宋" w:hAnsi="仿宋" w:eastAsia="仿宋" w:cs="仿宋"/>
          <w:color w:val="auto"/>
          <w:szCs w:val="21"/>
          <w:highlight w:val="none"/>
        </w:rPr>
        <w:t>。</w:t>
      </w:r>
    </w:p>
    <w:p>
      <w:pPr>
        <w:numPr>
          <w:ilvl w:val="0"/>
          <w:numId w:val="16"/>
        </w:numPr>
        <w:spacing w:line="360" w:lineRule="auto"/>
        <w:ind w:left="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提交的竣工资料移交时间：                。</w:t>
      </w:r>
    </w:p>
    <w:p>
      <w:pPr>
        <w:numPr>
          <w:ilvl w:val="0"/>
          <w:numId w:val="16"/>
        </w:numPr>
        <w:spacing w:line="360" w:lineRule="auto"/>
        <w:ind w:left="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提交的竣工资料形式要求：</w:t>
      </w:r>
      <w:r>
        <w:rPr>
          <w:rFonts w:hint="eastAsia" w:ascii="仿宋" w:hAnsi="仿宋" w:eastAsia="仿宋" w:cs="仿宋"/>
          <w:color w:val="auto"/>
          <w:szCs w:val="21"/>
          <w:highlight w:val="none"/>
          <w:u w:val="single"/>
        </w:rPr>
        <w:t xml:space="preserve">    纸质文件和电子文件   </w:t>
      </w:r>
      <w:r>
        <w:rPr>
          <w:rFonts w:hint="eastAsia" w:ascii="仿宋" w:hAnsi="仿宋" w:eastAsia="仿宋" w:cs="仿宋"/>
          <w:color w:val="auto"/>
          <w:szCs w:val="21"/>
          <w:highlight w:val="none"/>
        </w:rPr>
        <w:t>。</w:t>
      </w:r>
    </w:p>
    <w:p>
      <w:pPr>
        <w:numPr>
          <w:ilvl w:val="0"/>
          <w:numId w:val="16"/>
        </w:numPr>
        <w:spacing w:line="360" w:lineRule="auto"/>
        <w:ind w:left="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应履行的其他义务：</w:t>
      </w:r>
    </w:p>
    <w:p>
      <w:pPr>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a.</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在工程实施期间应对</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提供的各项水电设施等进行必要的保护，相关费用已含在合同报价中。若由于</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未能妥善保护给上述设施造成损坏或给</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造成的损失由</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承担全部赔偿责任。</w:t>
      </w:r>
    </w:p>
    <w:p>
      <w:pPr>
        <w:spacing w:line="360" w:lineRule="auto"/>
        <w:ind w:firstLine="48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b.协助并提示</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避免合同文件各个部分之间的差异可能给工程带来的任何损失是</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的义务，</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故意隐瞒或不及时向</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通报此类较为明显的差异，</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应自费纠正或消除此类差异给工程带来的影响。</w:t>
      </w:r>
    </w:p>
    <w:p>
      <w:pPr>
        <w:spacing w:line="360" w:lineRule="auto"/>
        <w:ind w:firstLine="48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c.</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在施工中，有责任配合</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或</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委托的有关单位进行本工程有关的设备安装、调试工作，上述产生的费用由</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承担。</w:t>
      </w:r>
    </w:p>
    <w:p>
      <w:pPr>
        <w:spacing w:line="360" w:lineRule="auto"/>
        <w:ind w:firstLine="48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d.</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在施工过程中必须遵守浙江省拱宸强制隔离戒毒所的相关规定并接受</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的管理，如由于</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因违反</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规定或不接受浙江省拱宸强制隔离戒毒所的管理，导致施工不能正常进行，由此引起的损失，由</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自行承担。</w:t>
      </w:r>
    </w:p>
    <w:p>
      <w:pPr>
        <w:spacing w:line="360" w:lineRule="auto"/>
        <w:ind w:firstLine="48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e.</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有责任维护</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的社会形象，若由于</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的安全、文明施工</w:t>
      </w:r>
      <w:r>
        <w:rPr>
          <w:rFonts w:hint="eastAsia" w:ascii="仿宋" w:hAnsi="仿宋" w:eastAsia="仿宋" w:cs="仿宋"/>
          <w:color w:val="auto"/>
          <w:szCs w:val="21"/>
          <w:highlight w:val="none"/>
          <w:u w:val="single"/>
          <w:lang w:val="en-US" w:eastAsia="zh-CN"/>
        </w:rPr>
        <w:t>等</w:t>
      </w:r>
      <w:r>
        <w:rPr>
          <w:rFonts w:hint="eastAsia" w:ascii="仿宋" w:hAnsi="仿宋" w:eastAsia="仿宋" w:cs="仿宋"/>
          <w:color w:val="auto"/>
          <w:szCs w:val="21"/>
          <w:highlight w:val="none"/>
          <w:u w:val="single"/>
        </w:rPr>
        <w:t>问题而造成</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被他人索赔，应由</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承担赔偿责任，若</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先向他人进行赔偿，</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保留向</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 xml:space="preserve">索赔的权利。 </w:t>
      </w:r>
    </w:p>
    <w:p>
      <w:pPr>
        <w:pStyle w:val="133"/>
        <w:spacing w:after="120"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3.2 项目经理</w:t>
      </w:r>
    </w:p>
    <w:p>
      <w:pPr>
        <w:pStyle w:val="133"/>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3.2.1 </w:t>
      </w:r>
      <w:r>
        <w:rPr>
          <w:rFonts w:hint="eastAsia" w:ascii="仿宋" w:hAnsi="仿宋" w:eastAsia="仿宋" w:cs="仿宋"/>
          <w:color w:val="auto"/>
          <w:szCs w:val="21"/>
          <w:highlight w:val="none"/>
        </w:rPr>
        <w:t>项目经理：</w:t>
      </w:r>
    </w:p>
    <w:p>
      <w:pPr>
        <w:pStyle w:val="133"/>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    名：</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pPr>
        <w:pStyle w:val="133"/>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身份证号：</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pPr>
        <w:pStyle w:val="133"/>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建造师执业资格等级：</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pPr>
        <w:pStyle w:val="133"/>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建造师注册证书号：</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pPr>
        <w:pStyle w:val="133"/>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建造师执业印章号：</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pPr>
        <w:pStyle w:val="133"/>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安全生产考核合格证书号：</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pPr>
        <w:pStyle w:val="133"/>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pPr>
        <w:pStyle w:val="133"/>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电子信箱：</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pPr>
        <w:pStyle w:val="133"/>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通信地址：</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pPr>
        <w:pStyle w:val="133"/>
        <w:numPr>
          <w:ilvl w:val="0"/>
          <w:numId w:val="17"/>
        </w:numPr>
        <w:spacing w:line="360" w:lineRule="auto"/>
        <w:ind w:left="420" w:leftChars="200" w:firstLine="0" w:firstLineChars="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对项目经理的授权范围如下：</w:t>
      </w:r>
      <w:r>
        <w:rPr>
          <w:rFonts w:hint="eastAsia" w:ascii="仿宋" w:hAnsi="仿宋" w:eastAsia="仿宋" w:cs="仿宋"/>
          <w:color w:val="auto"/>
          <w:szCs w:val="21"/>
          <w:highlight w:val="none"/>
          <w:u w:val="single"/>
        </w:rPr>
        <w:t>项目经理需对本工程质量、安全、进度、成本、文</w:t>
      </w:r>
    </w:p>
    <w:p>
      <w:pPr>
        <w:pStyle w:val="133"/>
        <w:numPr>
          <w:ilvl w:val="255"/>
          <w:numId w:val="0"/>
        </w:numPr>
        <w:spacing w:line="360" w:lineRule="auto"/>
        <w:ind w:firstLine="0" w:firstLineChars="0"/>
        <w:jc w:val="left"/>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u w:val="single"/>
        </w:rPr>
        <w:t>明施工等全权负责，在开工日期7天前，</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应将其委托的项目经理的授权范围明细以书面形式送交</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 xml:space="preserve">和监理人 </w:t>
      </w:r>
      <w:r>
        <w:rPr>
          <w:rFonts w:hint="eastAsia" w:ascii="仿宋" w:hAnsi="仿宋" w:eastAsia="仿宋" w:cs="仿宋"/>
          <w:color w:val="auto"/>
          <w:szCs w:val="21"/>
          <w:highlight w:val="none"/>
        </w:rPr>
        <w:t>。</w:t>
      </w:r>
    </w:p>
    <w:p>
      <w:pPr>
        <w:pStyle w:val="133"/>
        <w:numPr>
          <w:ilvl w:val="255"/>
          <w:numId w:val="0"/>
        </w:numPr>
        <w:spacing w:line="360" w:lineRule="auto"/>
        <w:ind w:left="420" w:leftChars="200" w:firstLine="0" w:firstLineChars="0"/>
        <w:jc w:val="left"/>
        <w:rPr>
          <w:rFonts w:hint="eastAsia" w:ascii="仿宋" w:hAnsi="仿宋" w:eastAsia="仿宋" w:cs="仿宋"/>
          <w:color w:val="auto"/>
          <w:szCs w:val="21"/>
          <w:highlight w:val="none"/>
          <w:u w:val="single"/>
        </w:rPr>
      </w:pPr>
      <w:r>
        <w:rPr>
          <w:rFonts w:hint="eastAsia" w:ascii="仿宋" w:hAnsi="仿宋" w:eastAsia="仿宋" w:cs="仿宋"/>
          <w:color w:val="auto"/>
          <w:kern w:val="0"/>
          <w:szCs w:val="21"/>
          <w:highlight w:val="none"/>
        </w:rPr>
        <w:t>（2）关于项目经理每日在施工现场的时间要求：</w:t>
      </w:r>
      <w:r>
        <w:rPr>
          <w:rFonts w:hint="eastAsia" w:ascii="仿宋" w:hAnsi="仿宋" w:eastAsia="仿宋" w:cs="仿宋"/>
          <w:color w:val="auto"/>
          <w:szCs w:val="21"/>
          <w:highlight w:val="none"/>
          <w:u w:val="single"/>
        </w:rPr>
        <w:t>到位率为75%（按每月23天，每天工作</w:t>
      </w:r>
    </w:p>
    <w:p>
      <w:pPr>
        <w:pStyle w:val="133"/>
        <w:numPr>
          <w:ilvl w:val="255"/>
          <w:numId w:val="0"/>
        </w:numPr>
        <w:spacing w:line="360" w:lineRule="auto"/>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8小时考勤），</w:t>
      </w:r>
      <w:r>
        <w:rPr>
          <w:rFonts w:hint="eastAsia" w:ascii="仿宋" w:hAnsi="仿宋" w:eastAsia="仿宋" w:cs="仿宋"/>
          <w:color w:val="auto"/>
          <w:szCs w:val="21"/>
          <w:highlight w:val="none"/>
          <w:u w:val="single"/>
          <w:lang w:val="en-US" w:eastAsia="zh-CN"/>
        </w:rPr>
        <w:t>进行</w:t>
      </w:r>
      <w:r>
        <w:rPr>
          <w:rFonts w:hint="eastAsia" w:ascii="仿宋" w:hAnsi="仿宋" w:eastAsia="仿宋" w:cs="仿宋"/>
          <w:color w:val="auto"/>
          <w:szCs w:val="21"/>
          <w:highlight w:val="none"/>
          <w:u w:val="single"/>
        </w:rPr>
        <w:t>重要施工工序或环节时项目经理、技术负责人等必须同时到场。如有特殊情况无法到岗的，须提前安排好相关工作，并以书面方式报告给</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、监理人审批，经</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、监理人同意后方可，项目经理需保持手机24小时开机，并必须应</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、监理人要求随时到</w:t>
      </w:r>
      <w:r>
        <w:rPr>
          <w:rFonts w:hint="eastAsia" w:ascii="仿宋" w:hAnsi="仿宋" w:eastAsia="仿宋" w:cs="仿宋"/>
          <w:color w:val="auto"/>
          <w:szCs w:val="21"/>
          <w:highlight w:val="none"/>
        </w:rPr>
        <w:t>。</w:t>
      </w:r>
    </w:p>
    <w:p>
      <w:pPr>
        <w:pStyle w:val="133"/>
        <w:numPr>
          <w:ilvl w:val="255"/>
          <w:numId w:val="0"/>
        </w:numPr>
        <w:spacing w:line="360" w:lineRule="auto"/>
        <w:ind w:left="420" w:leftChars="200" w:firstLine="0" w:firstLineChars="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乙方</w:t>
      </w:r>
      <w:r>
        <w:rPr>
          <w:rFonts w:hint="eastAsia" w:ascii="仿宋" w:hAnsi="仿宋" w:eastAsia="仿宋" w:cs="仿宋"/>
          <w:color w:val="auto"/>
          <w:kern w:val="0"/>
          <w:szCs w:val="21"/>
          <w:highlight w:val="none"/>
        </w:rPr>
        <w:t>未提交项目经理的劳动合同或者没有为项目经理缴纳社会保险证明的应承</w:t>
      </w:r>
    </w:p>
    <w:p>
      <w:pPr>
        <w:pStyle w:val="133"/>
        <w:numPr>
          <w:ilvl w:val="255"/>
          <w:numId w:val="0"/>
        </w:numPr>
        <w:spacing w:line="360" w:lineRule="auto"/>
        <w:ind w:firstLine="0" w:firstLineChars="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担违约责任：</w:t>
      </w:r>
      <w:r>
        <w:rPr>
          <w:rFonts w:hint="eastAsia" w:ascii="仿宋" w:hAnsi="仿宋" w:eastAsia="仿宋" w:cs="仿宋"/>
          <w:color w:val="auto"/>
          <w:kern w:val="0"/>
          <w:szCs w:val="21"/>
          <w:highlight w:val="none"/>
          <w:u w:val="none"/>
        </w:rPr>
        <w:t xml:space="preserve"> </w:t>
      </w:r>
      <w:r>
        <w:rPr>
          <w:rFonts w:hint="eastAsia" w:ascii="仿宋" w:hAnsi="仿宋" w:eastAsia="仿宋" w:cs="仿宋"/>
          <w:color w:val="auto"/>
          <w:kern w:val="0"/>
          <w:szCs w:val="21"/>
          <w:highlight w:val="none"/>
          <w:u w:val="none"/>
          <w:lang w:eastAsia="zh-CN"/>
        </w:rPr>
        <w:t>甲方</w:t>
      </w:r>
      <w:r>
        <w:rPr>
          <w:rFonts w:hint="eastAsia" w:ascii="仿宋" w:hAnsi="仿宋" w:eastAsia="仿宋" w:cs="仿宋"/>
          <w:color w:val="auto"/>
          <w:kern w:val="0"/>
          <w:szCs w:val="21"/>
          <w:highlight w:val="none"/>
          <w:u w:val="none"/>
        </w:rPr>
        <w:t>有权要求终止合同并由要求</w:t>
      </w:r>
      <w:r>
        <w:rPr>
          <w:rFonts w:hint="eastAsia" w:ascii="仿宋" w:hAnsi="仿宋" w:eastAsia="仿宋" w:cs="仿宋"/>
          <w:color w:val="auto"/>
          <w:kern w:val="0"/>
          <w:szCs w:val="21"/>
          <w:highlight w:val="none"/>
          <w:u w:val="none"/>
          <w:lang w:eastAsia="zh-CN"/>
        </w:rPr>
        <w:t>乙方</w:t>
      </w:r>
      <w:r>
        <w:rPr>
          <w:rFonts w:hint="eastAsia" w:ascii="仿宋" w:hAnsi="仿宋" w:eastAsia="仿宋" w:cs="仿宋"/>
          <w:color w:val="auto"/>
          <w:kern w:val="0"/>
          <w:szCs w:val="21"/>
          <w:highlight w:val="none"/>
          <w:u w:val="none"/>
        </w:rPr>
        <w:t>赔偿由此造成的一切损失</w:t>
      </w:r>
      <w:r>
        <w:rPr>
          <w:rFonts w:hint="eastAsia" w:ascii="仿宋" w:hAnsi="仿宋" w:eastAsia="仿宋" w:cs="仿宋"/>
          <w:color w:val="auto"/>
          <w:szCs w:val="21"/>
          <w:highlight w:val="none"/>
        </w:rPr>
        <w:t>。</w:t>
      </w:r>
    </w:p>
    <w:p>
      <w:pPr>
        <w:pStyle w:val="133"/>
        <w:numPr>
          <w:ilvl w:val="0"/>
          <w:numId w:val="18"/>
        </w:numPr>
        <w:spacing w:line="360" w:lineRule="auto"/>
        <w:ind w:left="420" w:leftChars="200"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项目经理未经批准，擅自离开施工现场的违约责任：</w:t>
      </w:r>
      <w:r>
        <w:rPr>
          <w:rFonts w:hint="eastAsia" w:ascii="仿宋" w:hAnsi="仿宋" w:eastAsia="仿宋" w:cs="仿宋"/>
          <w:color w:val="auto"/>
          <w:szCs w:val="21"/>
          <w:highlight w:val="none"/>
          <w:u w:val="none"/>
        </w:rPr>
        <w:t xml:space="preserve"> 若项目经理未经批准，擅自</w:t>
      </w:r>
      <w:r>
        <w:rPr>
          <w:rFonts w:hint="eastAsia" w:ascii="仿宋" w:hAnsi="仿宋" w:eastAsia="仿宋" w:cs="仿宋"/>
          <w:color w:val="auto"/>
          <w:szCs w:val="21"/>
          <w:highlight w:val="none"/>
        </w:rPr>
        <w:t>离</w:t>
      </w:r>
      <w:r>
        <w:rPr>
          <w:rFonts w:hint="eastAsia" w:ascii="仿宋" w:hAnsi="仿宋" w:eastAsia="仿宋" w:cs="仿宋"/>
          <w:color w:val="auto"/>
          <w:szCs w:val="21"/>
          <w:highlight w:val="none"/>
          <w:u w:val="none"/>
        </w:rPr>
        <w:t>开</w:t>
      </w:r>
    </w:p>
    <w:p>
      <w:pPr>
        <w:pStyle w:val="133"/>
        <w:numPr>
          <w:ilvl w:val="255"/>
          <w:numId w:val="0"/>
        </w:numPr>
        <w:spacing w:line="360" w:lineRule="auto"/>
        <w:ind w:firstLine="0" w:firstLineChars="0"/>
        <w:jc w:val="left"/>
        <w:rPr>
          <w:rFonts w:hint="eastAsia" w:ascii="仿宋" w:hAnsi="仿宋" w:eastAsia="仿宋" w:cs="仿宋"/>
          <w:color w:val="auto"/>
          <w:szCs w:val="21"/>
          <w:highlight w:val="none"/>
          <w:u w:val="none"/>
        </w:rPr>
      </w:pPr>
      <w:r>
        <w:rPr>
          <w:rFonts w:hint="eastAsia" w:ascii="仿宋" w:hAnsi="仿宋" w:eastAsia="仿宋" w:cs="仿宋"/>
          <w:color w:val="auto"/>
          <w:szCs w:val="21"/>
          <w:highlight w:val="none"/>
          <w:u w:val="none"/>
        </w:rPr>
        <w:t>施工现场，导致工程质量、进度不能满足本项目要求的，按人民币1000元/次从结算款中扣除违约金</w:t>
      </w:r>
      <w:r>
        <w:rPr>
          <w:rFonts w:hint="eastAsia" w:ascii="仿宋" w:hAnsi="仿宋" w:eastAsia="仿宋" w:cs="仿宋"/>
          <w:color w:val="auto"/>
          <w:szCs w:val="21"/>
          <w:highlight w:val="none"/>
        </w:rPr>
        <w:t>。</w:t>
      </w:r>
    </w:p>
    <w:p>
      <w:pPr>
        <w:pStyle w:val="133"/>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3.2.3 </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擅自更换项目经理的违约责任：</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在施工期间不准擅自更换项目经理，因特殊情况或者项目经理不能胜任本项目工作要求更换的项目经理的，须经</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同意。</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擅自更换项目经理的将被视为</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违约，按照10000元/人次在结算款中扣除违约金 </w:t>
      </w:r>
      <w:r>
        <w:rPr>
          <w:rFonts w:hint="eastAsia" w:ascii="仿宋" w:hAnsi="仿宋" w:eastAsia="仿宋" w:cs="仿宋"/>
          <w:color w:val="auto"/>
          <w:szCs w:val="21"/>
          <w:highlight w:val="none"/>
        </w:rPr>
        <w:t>。</w:t>
      </w:r>
    </w:p>
    <w:p>
      <w:pPr>
        <w:spacing w:line="360" w:lineRule="auto"/>
        <w:ind w:firstLine="48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3.2.4 </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在特殊情况发生后无正当理由拒绝更换项目经理的违约责任：</w:t>
      </w:r>
      <w:r>
        <w:rPr>
          <w:rFonts w:hint="eastAsia" w:ascii="仿宋" w:hAnsi="仿宋" w:eastAsia="仿宋" w:cs="仿宋"/>
          <w:color w:val="auto"/>
          <w:szCs w:val="21"/>
          <w:highlight w:val="none"/>
          <w:u w:val="single"/>
        </w:rPr>
        <w:t>因项目经理不能胜任本项目工作，</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要求更换，</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无正当理由拒绝更换的，将被视为</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违约，并按照5000元/人次在结算款中扣除违约金。</w:t>
      </w:r>
    </w:p>
    <w:p>
      <w:pPr>
        <w:pStyle w:val="133"/>
        <w:spacing w:after="120"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3.3 </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人员</w:t>
      </w:r>
    </w:p>
    <w:p>
      <w:pPr>
        <w:pStyle w:val="133"/>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3.3.1 </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提交项目管理机构及施工现场管理人员安排报告的期限：</w:t>
      </w:r>
      <w:r>
        <w:rPr>
          <w:rFonts w:hint="eastAsia" w:ascii="仿宋" w:hAnsi="仿宋" w:eastAsia="仿宋" w:cs="仿宋"/>
          <w:color w:val="auto"/>
          <w:szCs w:val="21"/>
          <w:highlight w:val="none"/>
          <w:u w:val="single"/>
        </w:rPr>
        <w:t xml:space="preserve"> 合同签订后7天内 </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u w:val="single"/>
        </w:rPr>
      </w:pPr>
      <w:bookmarkStart w:id="152" w:name="_Toc267251491"/>
      <w:bookmarkStart w:id="153" w:name="_Toc267251503"/>
      <w:bookmarkStart w:id="154" w:name="_Toc351203650"/>
      <w:bookmarkStart w:id="155" w:name="_Toc267251511"/>
      <w:bookmarkStart w:id="156" w:name="_Toc267251506"/>
      <w:bookmarkStart w:id="157" w:name="_Toc267251510"/>
      <w:bookmarkStart w:id="158" w:name="_Toc267251501"/>
      <w:bookmarkStart w:id="159" w:name="_Toc267251514"/>
      <w:bookmarkStart w:id="160" w:name="_Toc267251493"/>
      <w:bookmarkStart w:id="161" w:name="_Toc267251494"/>
      <w:bookmarkStart w:id="162" w:name="_Toc267251507"/>
      <w:bookmarkStart w:id="163" w:name="_Toc267251513"/>
      <w:bookmarkStart w:id="164" w:name="_Toc267251492"/>
      <w:bookmarkStart w:id="165" w:name="_Toc267251504"/>
      <w:bookmarkStart w:id="166" w:name="_Toc267251509"/>
      <w:bookmarkStart w:id="167" w:name="_Toc267251497"/>
      <w:bookmarkStart w:id="168" w:name="_Toc267251498"/>
      <w:bookmarkStart w:id="169" w:name="_Toc267251499"/>
      <w:bookmarkStart w:id="170" w:name="_Toc267251495"/>
      <w:bookmarkStart w:id="171" w:name="_Toc267251496"/>
      <w:bookmarkStart w:id="172" w:name="_Toc280868718"/>
      <w:bookmarkStart w:id="173" w:name="_Toc267251508"/>
      <w:bookmarkStart w:id="174" w:name="_Toc267251502"/>
      <w:bookmarkStart w:id="175" w:name="_Toc267251515"/>
      <w:r>
        <w:rPr>
          <w:rFonts w:hint="eastAsia" w:ascii="仿宋" w:hAnsi="仿宋" w:eastAsia="仿宋" w:cs="仿宋"/>
          <w:color w:val="auto"/>
          <w:szCs w:val="21"/>
          <w:highlight w:val="none"/>
        </w:rPr>
        <w:t xml:space="preserve">3.3.2 </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无正当理由拒绝撤换主要施工管理人员的违约责任：</w:t>
      </w:r>
      <w:r>
        <w:rPr>
          <w:rFonts w:hint="eastAsia" w:ascii="仿宋" w:hAnsi="仿宋" w:eastAsia="仿宋" w:cs="仿宋"/>
          <w:color w:val="auto"/>
          <w:szCs w:val="21"/>
          <w:highlight w:val="none"/>
          <w:u w:val="single"/>
        </w:rPr>
        <w:t>因主要施工管理人员不能胜任本项目工作，</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要求更换的，</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无正当理由拒绝更换的，将被视为</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违约，按照5000元/人次在结算款中扣除违约金。撤换后的主要施工管理人员不得低于原主要施工管理人员的数量、注册执业资格、管理经验，否则</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有权要求终止合同合同并要求</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赔偿相关损失。</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3.3.3 </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主要施工管理人员离开施工现场的批准要求：</w:t>
      </w:r>
      <w:r>
        <w:rPr>
          <w:rFonts w:hint="eastAsia" w:ascii="仿宋" w:hAnsi="仿宋" w:eastAsia="仿宋" w:cs="仿宋"/>
          <w:color w:val="auto"/>
          <w:szCs w:val="21"/>
          <w:highlight w:val="none"/>
          <w:u w:val="single"/>
        </w:rPr>
        <w:t xml:space="preserve">   /    。</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3.3.4</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擅自更换主要施工管理人员的违约责任：</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在施工期间不准任意更换主要施工管理人员，特殊情况要求更换的，须经</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同意。</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擅自更换技术负责人、施工员的将被视为</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违约，按照5000元/人次在结算款中扣除违约金。</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主要施工管理人员擅自离开施工现场的违约责任：</w:t>
      </w:r>
      <w:r>
        <w:rPr>
          <w:rFonts w:hint="eastAsia" w:ascii="仿宋" w:hAnsi="仿宋" w:eastAsia="仿宋" w:cs="仿宋"/>
          <w:color w:val="auto"/>
          <w:szCs w:val="21"/>
          <w:highlight w:val="none"/>
          <w:u w:val="single"/>
        </w:rPr>
        <w:t>若因主要施工管理人员擅自离开施工现场，导致施工无法正常进行的，按3000元人民币/人次在结算款中扣除违约金。</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 xml:space="preserve"> 分包</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.1 分包的一般约定</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禁止分包的工程包括：</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主体结构、关键性工作的范围：</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.2分包的确定</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允许分包的专业工程包括：</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其他关于分包的约定：</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 xml:space="preserve"> 分包合同价款</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关于分包合同价款支付的约定：</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 xml:space="preserve"> 工程照管与成品、半成品保护</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负责照管工程及工程相关的材料、工程设备的起始时间：</w:t>
      </w:r>
      <w:r>
        <w:rPr>
          <w:rFonts w:hint="eastAsia" w:ascii="仿宋" w:hAnsi="仿宋" w:eastAsia="仿宋" w:cs="仿宋"/>
          <w:color w:val="auto"/>
          <w:szCs w:val="21"/>
          <w:highlight w:val="none"/>
          <w:u w:val="single"/>
        </w:rPr>
        <w:t>自</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向</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移交施工现场之日起至</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向</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颁发接收证书之日止</w:t>
      </w:r>
      <w:r>
        <w:rPr>
          <w:rFonts w:hint="eastAsia" w:ascii="仿宋" w:hAnsi="仿宋" w:eastAsia="仿宋" w:cs="仿宋"/>
          <w:color w:val="auto"/>
          <w:szCs w:val="21"/>
          <w:highlight w:val="none"/>
        </w:rPr>
        <w:t xml:space="preserve">。 </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 xml:space="preserve"> 履约担保</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是否提供履约担保：</w:t>
      </w:r>
      <w:r>
        <w:rPr>
          <w:rFonts w:hint="eastAsia" w:ascii="仿宋" w:hAnsi="仿宋" w:eastAsia="仿宋" w:cs="仿宋"/>
          <w:color w:val="auto"/>
          <w:szCs w:val="21"/>
          <w:highlight w:val="none"/>
          <w:u w:val="single"/>
        </w:rPr>
        <w:t xml:space="preserve"> 是 </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提供履约担保的形式、金额及期限的：</w:t>
      </w:r>
      <w:r>
        <w:rPr>
          <w:rFonts w:hint="eastAsia" w:ascii="仿宋" w:hAnsi="仿宋" w:eastAsia="仿宋" w:cs="仿宋"/>
          <w:color w:val="auto"/>
          <w:szCs w:val="21"/>
          <w:highlight w:val="none"/>
          <w:u w:val="single"/>
        </w:rPr>
        <w:t>担保方式为以转账、支票、汇票、本票或者金融机构、担保机构等出具的保函等形式；担保额度为合同价的</w:t>
      </w:r>
      <w:r>
        <w:rPr>
          <w:rFonts w:hint="eastAsia" w:ascii="仿宋" w:hAnsi="仿宋" w:eastAsia="仿宋" w:cs="仿宋"/>
          <w:color w:val="auto"/>
          <w:szCs w:val="21"/>
          <w:highlight w:val="none"/>
          <w:u w:val="single"/>
          <w:lang w:val="en-US" w:eastAsia="zh-CN"/>
        </w:rPr>
        <w:t>1</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在合同协议签订后7天内，按合同规定向</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提交履约保证金</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i w:val="0"/>
          <w:iCs w:val="0"/>
          <w:caps w:val="0"/>
          <w:color w:val="auto"/>
          <w:spacing w:val="0"/>
          <w:sz w:val="9"/>
          <w:szCs w:val="9"/>
          <w:highlight w:val="none"/>
          <w:shd w:val="clear" w:fill="C9E7FF"/>
        </w:rPr>
      </w:pPr>
      <w:r>
        <w:rPr>
          <w:rFonts w:hint="eastAsia" w:ascii="仿宋" w:hAnsi="仿宋" w:eastAsia="仿宋" w:cs="仿宋"/>
          <w:color w:val="auto"/>
          <w:szCs w:val="21"/>
          <w:highlight w:val="none"/>
          <w:u w:val="single"/>
        </w:rPr>
        <w:t>（3）工期担保占履约担保金的30%的比重，质量担保占履约担保金的40%的比重，人员及设备到位率担保占履约担保金的10%的比重，文明施工、环境保护、安全生产担保占履约担保金的20%的比重。如</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不能按磋商承诺或本合同要求履约，</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将有权扣除相应甚至全部履约保证金。履约保证金扣除后，</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须马上补缴齐合同约定的履约保证金。如履约违约金不够扣除并且</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没有及时补齐履约保证金</w:t>
      </w:r>
      <w:r>
        <w:rPr>
          <w:rFonts w:hint="eastAsia" w:ascii="仿宋" w:hAnsi="仿宋" w:eastAsia="仿宋" w:cs="仿宋"/>
          <w:color w:val="auto"/>
          <w:szCs w:val="21"/>
          <w:highlight w:val="none"/>
          <w:u w:val="single"/>
          <w:lang w:eastAsia="zh-CN"/>
        </w:rPr>
        <w:t>（</w:t>
      </w:r>
      <w:r>
        <w:rPr>
          <w:rFonts w:hint="eastAsia" w:ascii="仿宋" w:hAnsi="仿宋" w:eastAsia="仿宋" w:cs="仿宋"/>
          <w:color w:val="auto"/>
          <w:szCs w:val="21"/>
          <w:highlight w:val="none"/>
          <w:u w:val="single"/>
          <w:lang w:val="en-US" w:eastAsia="zh-CN"/>
        </w:rPr>
        <w:t>不超合同价款的1%</w:t>
      </w:r>
      <w:r>
        <w:rPr>
          <w:rFonts w:hint="eastAsia" w:ascii="仿宋" w:hAnsi="仿宋" w:eastAsia="仿宋" w:cs="仿宋"/>
          <w:color w:val="auto"/>
          <w:szCs w:val="21"/>
          <w:highlight w:val="none"/>
          <w:u w:val="single"/>
          <w:lang w:eastAsia="zh-CN"/>
        </w:rPr>
        <w:t>）</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有权单方面将违约款项直接从工程款里面扣除。实际施工时间超出施工工期的，每超过1天，</w:t>
      </w:r>
      <w:r>
        <w:rPr>
          <w:rFonts w:hint="eastAsia" w:ascii="仿宋" w:hAnsi="仿宋" w:eastAsia="仿宋" w:cs="仿宋"/>
          <w:color w:val="auto"/>
          <w:szCs w:val="21"/>
          <w:highlight w:val="none"/>
          <w:u w:val="single"/>
          <w:lang w:eastAsia="zh-CN"/>
        </w:rPr>
        <w:t>甲方</w:t>
      </w:r>
      <w:r>
        <w:rPr>
          <w:rFonts w:hint="eastAsia" w:ascii="仿宋" w:hAnsi="仿宋" w:eastAsia="仿宋" w:cs="仿宋"/>
          <w:i w:val="0"/>
          <w:iCs w:val="0"/>
          <w:caps w:val="0"/>
          <w:color w:val="auto"/>
          <w:spacing w:val="0"/>
          <w:sz w:val="21"/>
          <w:szCs w:val="21"/>
          <w:highlight w:val="none"/>
          <w:u w:val="single"/>
          <w:shd w:val="clear" w:fill="auto"/>
        </w:rPr>
        <w:t>有权从履约保证金中扣除合同总价款的千分之三作为违约金，直至全部履约保证金及工程款扣完。</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（4）</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在施工过程当中应当遵守</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内部的各项规章制度，须做好文明施工、安全生产、防疫的各项要求，如有违反，每发现一次</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均有权从履约保证金中扣除1000元人民币，直至全部履约保证金及工程款扣完。如造成其他损害后果，</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须负全部责任和赔偿</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在工程竣工验收合格后10天内，向</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全额无息返还；</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应保证履约担保在工程竣工验收前持续有效。</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（6）非因</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原因导致的工期延长，</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需继续提供履约担保，所增加的费用由</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承担。</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4. 监理人</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4.1监理人的一般规定</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（1）关于监理人的监理内容：</w:t>
      </w:r>
      <w:r>
        <w:rPr>
          <w:rFonts w:hint="eastAsia" w:ascii="仿宋" w:hAnsi="仿宋" w:eastAsia="仿宋" w:cs="仿宋"/>
          <w:color w:val="auto"/>
          <w:szCs w:val="21"/>
          <w:highlight w:val="none"/>
          <w:u w:val="single"/>
        </w:rPr>
        <w:t>根据</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授权、监理合同、监理规范及法律规定，控制监理范围内工程建设的投资、工期、工程质量和安全，进行工程建设合同管理，协调</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、各参建单位之间的工作关系。并根据国家、地方相关法律、法规、工程建设批文、合同、施工规范、验收规范等对工程进行全过程监理。</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（2）关于监理人的监理权限：</w:t>
      </w:r>
      <w:r>
        <w:rPr>
          <w:rFonts w:hint="eastAsia" w:ascii="仿宋" w:hAnsi="仿宋" w:eastAsia="仿宋" w:cs="仿宋"/>
          <w:color w:val="auto"/>
          <w:szCs w:val="21"/>
          <w:highlight w:val="none"/>
          <w:u w:val="single"/>
        </w:rPr>
        <w:t>按委托的监理合同规定，全过程负责质量、进度、投资三控制及核实工程量、安全管理、合同管理、信息管理，执行《建设工程监理规范》GB50319-2013规定的总监工程师应履行的职责，①对施工方案、施工组织、进度的确认权；②与施工有关的协作单位的组织协调权；③对工程开工、停工、复工的签发权；④对工程使用的材料的检验权；⑤施工质量、施工安全的监督权；⑥对工程进度的检查监督权；⑦在工程承包合同约定的工程价格范围内对工程款的支付的审核和签证权；⑧对工程违约事件的确认权；⑨对施工方不称职人员调换的建议权；⑩在保修期内对施工单位的维修具有督促权。但监理人无权修改合同，且无权减轻或免除合同约定的</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的任何责任与义务。上述③、⑦、⑨需要取得</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批准才能行使职权。上述涉及设计变更、工期顺延、材料价格、用材、追加工程款、索赔的处理等可能影响工程价款或工期的签证，必须经</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书面同意签字盖章才有效</w:t>
      </w:r>
      <w:r>
        <w:rPr>
          <w:rFonts w:hint="eastAsia" w:ascii="仿宋" w:hAnsi="仿宋" w:eastAsia="仿宋" w:cs="仿宋"/>
          <w:color w:val="auto"/>
          <w:szCs w:val="21"/>
          <w:highlight w:val="none"/>
        </w:rPr>
        <w:t xml:space="preserve"> 。</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（3）关于监理人在施工现场的办公场所、生活场所的提供和费用承担的约定：</w:t>
      </w:r>
      <w:r>
        <w:rPr>
          <w:rFonts w:hint="eastAsia" w:ascii="仿宋" w:hAnsi="仿宋" w:eastAsia="仿宋" w:cs="仿宋"/>
          <w:color w:val="auto"/>
          <w:szCs w:val="21"/>
          <w:highlight w:val="none"/>
          <w:u w:val="single"/>
        </w:rPr>
        <w:t>/</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4.2 监理人员</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总监理工程师：</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姓    名：</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职    务：</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监理工程师执业资格证书号：</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u w:val="single"/>
        </w:rPr>
        <w:t xml:space="preserve">             </w:t>
      </w:r>
      <w:r>
        <w:rPr>
          <w:rFonts w:hint="eastAsia" w:ascii="仿宋" w:hAnsi="仿宋" w:eastAsia="仿宋" w:cs="仿宋"/>
          <w:b/>
          <w:bCs/>
          <w:color w:val="auto"/>
          <w:szCs w:val="21"/>
          <w:highlight w:val="none"/>
          <w:u w:val="single"/>
        </w:rPr>
        <w:t xml:space="preserve">             </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电子信箱：</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通信地址：</w:t>
      </w:r>
      <w:r>
        <w:rPr>
          <w:rFonts w:hint="eastAsia" w:ascii="仿宋" w:hAnsi="仿宋" w:eastAsia="仿宋" w:cs="仿宋"/>
          <w:color w:val="auto"/>
          <w:szCs w:val="21"/>
          <w:highlight w:val="none"/>
          <w:u w:val="single"/>
        </w:rPr>
        <w:t xml:space="preserve">    </w:t>
      </w:r>
      <w:r>
        <w:rPr>
          <w:rFonts w:hint="eastAsia" w:ascii="仿宋" w:hAnsi="仿宋" w:eastAsia="仿宋" w:cs="仿宋"/>
          <w:b/>
          <w:bCs/>
          <w:color w:val="auto"/>
          <w:szCs w:val="21"/>
          <w:highlight w:val="none"/>
          <w:u w:val="single"/>
        </w:rPr>
        <w:t xml:space="preserve">                      /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关于监理人的其他约定：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4.4 商定或确定</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和</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不能通过协商达成一致意见时，</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授权监理人对以下事项进行确定：</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5. 工程质量</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5.1 质量要求</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（1）特殊质量标准和要求：</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（2）关于工程奖项的约定：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5.2 隐蔽工程检查</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提前通知监理人隐蔽工程检查的期限的约定：</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应在共同检查前48小时书面通知监理人检查，同时抄送</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及全过程审计单位，通知中应载明隐蔽检查的内容、时间和地点，并应附有自检记录和必要的检查资料。</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（2）监理人不能按时到场进行检查时，应提前</w:t>
      </w:r>
      <w:r>
        <w:rPr>
          <w:rFonts w:hint="eastAsia" w:ascii="仿宋" w:hAnsi="仿宋" w:eastAsia="仿宋" w:cs="仿宋"/>
          <w:color w:val="auto"/>
          <w:szCs w:val="21"/>
          <w:highlight w:val="none"/>
          <w:u w:val="single"/>
        </w:rPr>
        <w:t xml:space="preserve"> 24  </w:t>
      </w:r>
      <w:r>
        <w:rPr>
          <w:rFonts w:hint="eastAsia" w:ascii="仿宋" w:hAnsi="仿宋" w:eastAsia="仿宋" w:cs="仿宋"/>
          <w:color w:val="auto"/>
          <w:szCs w:val="21"/>
          <w:highlight w:val="none"/>
        </w:rPr>
        <w:t>小时提交书面延期要求</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且经甲方同意，否则承担相应违约责任</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（3）关于延期最长不得超过：</w:t>
      </w:r>
      <w:r>
        <w:rPr>
          <w:rFonts w:hint="eastAsia" w:ascii="仿宋" w:hAnsi="仿宋" w:eastAsia="仿宋" w:cs="仿宋"/>
          <w:color w:val="auto"/>
          <w:szCs w:val="21"/>
          <w:highlight w:val="none"/>
          <w:u w:val="single"/>
        </w:rPr>
        <w:t xml:space="preserve">  48  </w:t>
      </w:r>
      <w:r>
        <w:rPr>
          <w:rFonts w:hint="eastAsia" w:ascii="仿宋" w:hAnsi="仿宋" w:eastAsia="仿宋" w:cs="仿宋"/>
          <w:color w:val="auto"/>
          <w:szCs w:val="21"/>
          <w:highlight w:val="none"/>
        </w:rPr>
        <w:t>小时。</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6. 安全文明施工与环境保护</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6.1安全文明施工</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项目安全生产的达标目标及相应事项的约定：</w:t>
      </w:r>
      <w:r>
        <w:rPr>
          <w:rFonts w:hint="eastAsia" w:ascii="仿宋" w:hAnsi="仿宋" w:eastAsia="仿宋" w:cs="仿宋"/>
          <w:color w:val="auto"/>
          <w:szCs w:val="21"/>
          <w:highlight w:val="none"/>
          <w:u w:val="single"/>
        </w:rPr>
        <w:t>施工现场按照《建筑施工安全检查标准》（JGJ59-2011）评定达到“合格”标准。</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应严格按照“杭州市双标化工地”的要求组织施工，服从</w:t>
      </w:r>
      <w:r>
        <w:rPr>
          <w:rFonts w:hint="eastAsia" w:ascii="仿宋" w:hAnsi="仿宋" w:eastAsia="仿宋" w:cs="仿宋"/>
          <w:color w:val="auto"/>
          <w:szCs w:val="21"/>
          <w:highlight w:val="none"/>
          <w:u w:val="none"/>
        </w:rPr>
        <w:t>总包及发包</w:t>
      </w:r>
      <w:r>
        <w:rPr>
          <w:rFonts w:hint="eastAsia" w:ascii="仿宋" w:hAnsi="仿宋" w:eastAsia="仿宋" w:cs="仿宋"/>
          <w:color w:val="auto"/>
          <w:szCs w:val="21"/>
          <w:highlight w:val="none"/>
        </w:rPr>
        <w:t>单位管理，遵守工程建设安全文明施工的有关规定，认真落实各项安全保护措施及安全生产责任制，并随时接受</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或监理工程师及有关部门的监督检查。</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或监理工程师或有关部门如发现工程质量或环境保护、文明施工、安全施工达不到要求，第一次发现给予</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警告并责令整改，第二次发现</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应立即整改并向</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支付5000元人民币的违约金，三次及以上发现，每次</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按人民币10000元向</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 xml:space="preserve">支付违约金并扣除相应的费用。 </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应对进入施工现场的施工人员进行安全文明施工教育，持证上岗，配备必要的劳动保护用具，保证工程的施工安全和施工人员的人身安全。</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应强化安全意识、消防意识，抓好安全生产，消除安全隐患，杜绝事故发生，施工中若发生安全及人身事故均由</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自行负责处理，并承担全部费用。若发现有违反安全生产操作规范的，</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有权提出整改，</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必须按照</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要求整改到位。</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（4）安全施工所发生的费用</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已在投标报价中包含，发生重大伤亡事故或其他事故，</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应及时上报</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，并由</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承担全部赔偿责任。（非</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原因除外）。</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须与总承包单位签订施工安全管理协议，服从总包单位的监管。</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6.2 关于治安保卫的特别约定：</w:t>
      </w:r>
      <w:r>
        <w:rPr>
          <w:rFonts w:hint="eastAsia" w:ascii="仿宋" w:hAnsi="仿宋" w:eastAsia="仿宋" w:cs="仿宋"/>
          <w:color w:val="auto"/>
          <w:szCs w:val="21"/>
          <w:highlight w:val="none"/>
          <w:u w:val="single"/>
        </w:rPr>
        <w:t>按《杭州市建筑工程文明施工管理规定》执行。施工现场安全保卫工作由</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负责，</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配合，如由于</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未对安全文明施工采取必要的措施或因安全措施不力造成事故，由</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承担全部事故责任和发生的所有费用，包括给</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或其他单位造成的损失均由</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承担。</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关于编制施工场地治安管理计划的约定： </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应在工程开工7天前编制施工场地治安管理计划，并制定应对突发治安事件的紧急预案，报监理人及</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审核。</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6.3 文明施工</w:t>
      </w:r>
    </w:p>
    <w:p>
      <w:pPr>
        <w:adjustRightInd w:val="0"/>
        <w:snapToGrid w:val="0"/>
        <w:spacing w:line="360" w:lineRule="auto"/>
        <w:ind w:firstLine="411" w:firstLineChars="196"/>
        <w:jc w:val="lef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合同当事人对文明施工的要求：</w:t>
      </w:r>
    </w:p>
    <w:p>
      <w:pPr>
        <w:numPr>
          <w:ilvl w:val="0"/>
          <w:numId w:val="19"/>
        </w:numPr>
        <w:adjustRightInd w:val="0"/>
        <w:snapToGrid w:val="0"/>
        <w:spacing w:line="360" w:lineRule="auto"/>
        <w:ind w:firstLine="420" w:firstLineChars="200"/>
        <w:jc w:val="lef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承诺施工过程中遵守地方政府和有关部门对施工场地交通、环卫、安全和施工噪音等管理规定，并办理相关审批手续。</w:t>
      </w:r>
    </w:p>
    <w:p>
      <w:pPr>
        <w:numPr>
          <w:ilvl w:val="0"/>
          <w:numId w:val="19"/>
        </w:numPr>
        <w:adjustRightInd w:val="0"/>
        <w:snapToGrid w:val="0"/>
        <w:spacing w:line="360" w:lineRule="auto"/>
        <w:ind w:firstLine="420" w:firstLineChars="200"/>
        <w:jc w:val="lef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应采取有效措施尽量减小尘土和噪音污染，需要进行夜间作业时应经有关部门批准。</w:t>
      </w:r>
    </w:p>
    <w:p>
      <w:pPr>
        <w:numPr>
          <w:ilvl w:val="0"/>
          <w:numId w:val="19"/>
        </w:numPr>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szCs w:val="21"/>
          <w:highlight w:val="none"/>
          <w:u w:val="single"/>
        </w:rPr>
        <w:t>施工场地清洁卫生的要求：按《浙江省建筑安全文明施工标准化工地管理办法》要求实施，创“标化、文明、绿色”工地。达到建设部及杭州市统一规定与标准及双标化工地的有关要求。未达到要求被有关行政部门处罚的，由</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自行承担责任。工程竣工验收后15天内，</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必须按</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要求清理完现场所有垃圾、临时设施并承担相应费用。逾期不清理的，按工期逾期违约处理，施工场地清洁由</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代为处理，发生的费用及违约金在工程款中扣除，对</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留在施工现场内的财物损坏的，</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不承担赔偿责任。</w:t>
      </w:r>
    </w:p>
    <w:p>
      <w:pPr>
        <w:numPr>
          <w:ilvl w:val="0"/>
          <w:numId w:val="19"/>
        </w:numPr>
        <w:adjustRightInd w:val="0"/>
        <w:snapToGrid w:val="0"/>
        <w:spacing w:line="360" w:lineRule="auto"/>
        <w:ind w:firstLine="420" w:firstLineChars="200"/>
        <w:jc w:val="lef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其他：</w:t>
      </w:r>
    </w:p>
    <w:p>
      <w:pPr>
        <w:numPr>
          <w:ilvl w:val="255"/>
          <w:numId w:val="0"/>
        </w:numPr>
        <w:adjustRightInd w:val="0"/>
        <w:snapToGrid w:val="0"/>
        <w:spacing w:line="360" w:lineRule="auto"/>
        <w:ind w:left="420" w:leftChars="200" w:firstLine="0" w:firstLineChars="0"/>
        <w:jc w:val="lef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①</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应对进入施工现场的施工人员进行人员安全文明施工教育，配备必须的劳动保护用具，保证工程的施工安全和施工人员的人身安全。</w:t>
      </w:r>
    </w:p>
    <w:p>
      <w:pPr>
        <w:adjustRightInd w:val="0"/>
        <w:snapToGrid w:val="0"/>
        <w:spacing w:line="360" w:lineRule="auto"/>
        <w:ind w:firstLine="420" w:firstLineChars="200"/>
        <w:jc w:val="left"/>
        <w:rPr>
          <w:rFonts w:hint="eastAsia" w:ascii="仿宋" w:hAnsi="仿宋" w:eastAsia="仿宋" w:cs="仿宋"/>
          <w:color w:val="auto"/>
          <w:szCs w:val="21"/>
          <w:highlight w:val="none"/>
          <w:u w:val="single"/>
          <w:lang w:val="en-US" w:eastAsia="zh-CN"/>
        </w:rPr>
      </w:pPr>
      <w:r>
        <w:rPr>
          <w:rFonts w:hint="eastAsia" w:ascii="仿宋" w:hAnsi="仿宋" w:eastAsia="仿宋" w:cs="仿宋"/>
          <w:color w:val="auto"/>
          <w:szCs w:val="21"/>
          <w:highlight w:val="none"/>
          <w:u w:val="single"/>
        </w:rPr>
        <w:t>②</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应强化安全意识，抓好安全生产，杜绝事故发生，施工中若发生安全及人身事故均由</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自行负责处理，并承担全部费用。</w:t>
      </w:r>
      <w:r>
        <w:rPr>
          <w:rFonts w:hint="eastAsia" w:ascii="仿宋" w:hAnsi="仿宋" w:eastAsia="仿宋" w:cs="仿宋"/>
          <w:color w:val="auto"/>
          <w:szCs w:val="21"/>
          <w:highlight w:val="none"/>
          <w:u w:val="single"/>
          <w:lang w:val="en-US" w:eastAsia="zh-CN"/>
        </w:rPr>
        <w:t>若甲方先行向第三方承担了相关费用，甲方有权向乙方追偿并要求乙方承担甲方为维护自身合法权益所支出的合理费用（包括但不限于诉讼法、律师费、差旅费、交通费等）。</w:t>
      </w:r>
    </w:p>
    <w:p>
      <w:pPr>
        <w:adjustRightInd w:val="0"/>
        <w:snapToGrid w:val="0"/>
        <w:spacing w:line="360" w:lineRule="auto"/>
        <w:ind w:firstLine="420" w:firstLineChars="200"/>
        <w:jc w:val="lef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③</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或监理工程师有权对</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的安全施工状况进行检查，发现有违反安全施工情况的，有权提出整改要求，</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须</w:t>
      </w:r>
      <w:r>
        <w:rPr>
          <w:rFonts w:hint="eastAsia" w:ascii="仿宋" w:hAnsi="仿宋" w:eastAsia="仿宋" w:cs="仿宋"/>
          <w:color w:val="auto"/>
          <w:szCs w:val="21"/>
          <w:highlight w:val="none"/>
          <w:u w:val="single"/>
          <w:lang w:val="en-US" w:eastAsia="zh-CN"/>
        </w:rPr>
        <w:t>立即</w:t>
      </w:r>
      <w:r>
        <w:rPr>
          <w:rFonts w:hint="eastAsia" w:ascii="仿宋" w:hAnsi="仿宋" w:eastAsia="仿宋" w:cs="仿宋"/>
          <w:color w:val="auto"/>
          <w:szCs w:val="21"/>
          <w:highlight w:val="none"/>
          <w:u w:val="single"/>
        </w:rPr>
        <w:t>按要求进行整改。</w:t>
      </w:r>
    </w:p>
    <w:p>
      <w:pPr>
        <w:adjustRightInd w:val="0"/>
        <w:snapToGrid w:val="0"/>
        <w:spacing w:line="360" w:lineRule="auto"/>
        <w:ind w:firstLine="420" w:firstLineChars="200"/>
        <w:jc w:val="lef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④合同签订时，</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应与</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签订《安全施工责任书》，作为本合同附件。</w:t>
      </w:r>
    </w:p>
    <w:p>
      <w:pPr>
        <w:adjustRightInd w:val="0"/>
        <w:snapToGrid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⑤</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必须严格遵守和执行国家以及杭州市安全生产和劳动保护的有关规定，保证采取一切必要的安全预防措施，以防止</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的雇员、</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和工程师的职员及其他人员因</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的不当操作而受到伤害。在施工过程中由于</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原因而发生的人身伤亡、财产损失及其它一切事故，其责任全部由</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负责。</w:t>
      </w:r>
      <w:r>
        <w:rPr>
          <w:rFonts w:hint="eastAsia" w:ascii="仿宋" w:hAnsi="仿宋" w:eastAsia="仿宋" w:cs="仿宋"/>
          <w:color w:val="auto"/>
          <w:szCs w:val="21"/>
          <w:highlight w:val="none"/>
          <w:u w:val="single"/>
          <w:lang w:val="en-US" w:eastAsia="zh-CN"/>
        </w:rPr>
        <w:t>若甲方先行向第三方承担了相关费用，甲方有权向乙方追偿并要求乙方承担甲方为维护自身合法权益所支出的合理费用（包括但不限于诉讼法、律师费、差旅费、交通费等）。</w:t>
      </w:r>
    </w:p>
    <w:p>
      <w:pPr>
        <w:numPr>
          <w:ilvl w:val="0"/>
          <w:numId w:val="19"/>
        </w:numPr>
        <w:adjustRightInd w:val="0"/>
        <w:snapToGrid w:val="0"/>
        <w:spacing w:line="360" w:lineRule="auto"/>
        <w:ind w:firstLine="420" w:firstLineChars="200"/>
        <w:jc w:val="lef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上述手续办理费用约定如下：由</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承担。</w:t>
      </w:r>
    </w:p>
    <w:p>
      <w:pPr>
        <w:numPr>
          <w:ilvl w:val="0"/>
          <w:numId w:val="19"/>
        </w:numPr>
        <w:adjustRightInd w:val="0"/>
        <w:snapToGrid w:val="0"/>
        <w:spacing w:line="360" w:lineRule="auto"/>
        <w:ind w:firstLine="420" w:firstLineChars="200"/>
        <w:jc w:val="lef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 关于安全文明施工费支付比例和支付期限的约定：</w:t>
      </w:r>
      <w:r>
        <w:rPr>
          <w:rFonts w:hint="eastAsia" w:ascii="仿宋" w:hAnsi="仿宋" w:eastAsia="仿宋" w:cs="仿宋"/>
          <w:color w:val="auto"/>
          <w:szCs w:val="21"/>
          <w:highlight w:val="none"/>
          <w:u w:val="single"/>
        </w:rPr>
        <w:t>按《杭州市人民政府办公厅关于进一步规范杭州市建筑市场秩序强化建设工程质量安全管理的实施意见》（杭政办〔2011〕17 号）规定支付：对合同约定施工期限在1年以内的建设工程，建设单位应当在办理施工许可证前将不低于费用总额60%的安全防护、文明施工措施费用先行拨付给施工单位，剩余部分支付视相关措施的落实情况与进度款同期支付</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7. 工期和进度</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7.1 施工组织设计</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7.1.1 合同当事人约定的施工组织设计应包括的其他内容：</w:t>
      </w:r>
      <w:r>
        <w:rPr>
          <w:rFonts w:hint="eastAsia" w:ascii="仿宋" w:hAnsi="仿宋" w:eastAsia="仿宋" w:cs="仿宋"/>
          <w:color w:val="auto"/>
          <w:szCs w:val="21"/>
          <w:highlight w:val="none"/>
          <w:u w:val="single"/>
        </w:rPr>
        <w:t xml:space="preserve"> 按通用条款执行。</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7.1.2 施工组织设计的提交和修改</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提交详细施工组织设计的期限的约定：</w:t>
      </w:r>
      <w:r>
        <w:rPr>
          <w:rFonts w:hint="eastAsia" w:ascii="仿宋" w:hAnsi="仿宋" w:eastAsia="仿宋" w:cs="仿宋"/>
          <w:color w:val="auto"/>
          <w:szCs w:val="21"/>
          <w:highlight w:val="none"/>
          <w:u w:val="single"/>
        </w:rPr>
        <w:t xml:space="preserve">合同签订后3天内提供详细施工组织设计（施工方案）和进度计划 </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和监理人在收到详细的施工组织设计后确认或提出修改意见的期限</w:t>
      </w:r>
      <w:r>
        <w:rPr>
          <w:rFonts w:hint="eastAsia" w:ascii="仿宋" w:hAnsi="仿宋" w:eastAsia="仿宋" w:cs="仿宋"/>
          <w:color w:val="auto"/>
          <w:szCs w:val="21"/>
          <w:highlight w:val="none"/>
          <w:u w:val="single"/>
        </w:rPr>
        <w:t>：收到该计划后的14天内审查同意或提出修改意见。</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提出修改意见的，</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应按照</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提出的修改意见实施</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7.2 施工进度计划</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7.2.1 施工进度计划的修订</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和监理人在收到修订的施工进度计划后确认或提出修改意见的期限：</w:t>
      </w:r>
      <w:r>
        <w:rPr>
          <w:rFonts w:hint="eastAsia" w:ascii="仿宋" w:hAnsi="仿宋" w:eastAsia="仿宋" w:cs="仿宋"/>
          <w:color w:val="auto"/>
          <w:szCs w:val="21"/>
          <w:highlight w:val="none"/>
          <w:u w:val="single"/>
        </w:rPr>
        <w:t>收到该计划后的14天内审查同意或提出修改意见。</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提出修改意见的，</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应按照</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提出的修改意见实施</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7.3 开工</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7.3.1 开工准备</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（1）关于</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提交工程开工报审表的期限：</w:t>
      </w:r>
      <w:r>
        <w:rPr>
          <w:rFonts w:hint="eastAsia" w:ascii="仿宋" w:hAnsi="仿宋" w:eastAsia="仿宋" w:cs="仿宋"/>
          <w:color w:val="auto"/>
          <w:szCs w:val="21"/>
          <w:highlight w:val="none"/>
          <w:u w:val="single"/>
        </w:rPr>
        <w:t xml:space="preserve">   不得晚于距开工时间7天前    </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（2）关于</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应完成的其他开工准备工作及期限：</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应在开工7天前按照法律规定获得工程施工所需的许可</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（3）关于</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应完成的其他开工准备工作及期限：</w:t>
      </w:r>
      <w:r>
        <w:rPr>
          <w:rFonts w:hint="eastAsia" w:ascii="仿宋" w:hAnsi="仿宋" w:eastAsia="仿宋" w:cs="仿宋"/>
          <w:color w:val="auto"/>
          <w:szCs w:val="21"/>
          <w:highlight w:val="none"/>
          <w:u w:val="single"/>
        </w:rPr>
        <w:t xml:space="preserve"> 开工7天前落实按施工进度计划正常施工所需的施工道路、临时设施、材料、工程设备、施工设备、施工人员等,配合协作</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取得相关工程施工所需的许可</w:t>
      </w:r>
      <w:r>
        <w:rPr>
          <w:rFonts w:hint="eastAsia" w:ascii="仿宋" w:hAnsi="仿宋" w:eastAsia="仿宋" w:cs="仿宋"/>
          <w:color w:val="auto"/>
          <w:szCs w:val="21"/>
          <w:highlight w:val="none"/>
        </w:rPr>
        <w:t xml:space="preserve"> 。     </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7.3.2开工通知</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因</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原因造成监理人未能在计划开工日期之日起</w:t>
      </w:r>
      <w:r>
        <w:rPr>
          <w:rFonts w:hint="eastAsia" w:ascii="仿宋" w:hAnsi="仿宋" w:eastAsia="仿宋" w:cs="仿宋"/>
          <w:color w:val="auto"/>
          <w:szCs w:val="21"/>
          <w:highlight w:val="none"/>
          <w:u w:val="single"/>
        </w:rPr>
        <w:t xml:space="preserve"> 60 </w:t>
      </w:r>
      <w:r>
        <w:rPr>
          <w:rFonts w:hint="eastAsia" w:ascii="仿宋" w:hAnsi="仿宋" w:eastAsia="仿宋" w:cs="仿宋"/>
          <w:color w:val="auto"/>
          <w:szCs w:val="21"/>
          <w:highlight w:val="none"/>
        </w:rPr>
        <w:t>天内发出开工通知的，</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有权提出价格调整要求，或者解除合同。</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7.4 测量放线</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7.4.1</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通过监理人向</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提供测量基准点、基准线和水准点及其书面资料的期限：</w:t>
      </w:r>
      <w:r>
        <w:rPr>
          <w:rFonts w:hint="eastAsia" w:ascii="仿宋" w:hAnsi="仿宋" w:eastAsia="仿宋" w:cs="仿宋"/>
          <w:color w:val="auto"/>
          <w:szCs w:val="21"/>
          <w:highlight w:val="none"/>
          <w:u w:val="single"/>
        </w:rPr>
        <w:t xml:space="preserve"> 开工日期7天前，由</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以书面形式提供给</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，并进行现场交验。</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7.5 工期延误</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7.5.1 因</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原因导致工期延误</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（1）因</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原因导致工期延误的情形：</w:t>
      </w:r>
      <w:r>
        <w:rPr>
          <w:rFonts w:hint="eastAsia" w:ascii="仿宋" w:hAnsi="仿宋" w:eastAsia="仿宋" w:cs="仿宋"/>
          <w:color w:val="auto"/>
          <w:szCs w:val="21"/>
          <w:highlight w:val="none"/>
          <w:u w:val="single"/>
        </w:rPr>
        <w:t>①重大设计变更引起的工期延误</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②其他： /  </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（2）双方约定工期顺延的其他情况：</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按协议条款约定的开工日期开始施工，具体开、停和复工的时间以</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（或监理单位）的签证为准。如因工程前期滞后、重大设计变更而影响施工关键线路进度，工期顺延由</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申请监理审核后报</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签证为准。除经监理和</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联系单签证同意外，工期一律不得顺延。</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在磋商时已充分考虑各项因素（包括但不限于周边环境、停电停水、物价波动、气候因素等）影响，保证工程连续施工，以上费用已含在</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合同价款中。凡由于</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造成的工期延误，工期不能顺延，由此引起的赶工措施等费用增加均由</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自行承担。因非</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原因导致的工期延误，经</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确认，工期相应顺延，但费用不予补偿</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7.5.2 因</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原因导致工期延误</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（1）因</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原因造成工期延误，逾期竣工违约金的计算方法为：</w:t>
      </w:r>
      <w:r>
        <w:rPr>
          <w:rFonts w:hint="eastAsia" w:ascii="仿宋" w:hAnsi="仿宋" w:eastAsia="仿宋" w:cs="仿宋"/>
          <w:color w:val="auto"/>
          <w:szCs w:val="21"/>
          <w:highlight w:val="none"/>
          <w:u w:val="single"/>
        </w:rPr>
        <w:t xml:space="preserve"> 因</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原因工程不能按合同约定工期竣工，</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应向</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支付违约金，每延期一日，</w:t>
      </w:r>
      <w:r>
        <w:rPr>
          <w:rFonts w:hint="eastAsia" w:ascii="仿宋" w:hAnsi="仿宋" w:eastAsia="仿宋" w:cs="仿宋"/>
          <w:color w:val="auto"/>
          <w:szCs w:val="21"/>
          <w:highlight w:val="none"/>
          <w:u w:val="single"/>
          <w:lang w:val="en-US" w:eastAsia="zh-CN"/>
        </w:rPr>
        <w:t>乙方应</w:t>
      </w:r>
      <w:r>
        <w:rPr>
          <w:rFonts w:hint="eastAsia" w:ascii="仿宋" w:hAnsi="仿宋" w:eastAsia="仿宋" w:cs="仿宋"/>
          <w:i w:val="0"/>
          <w:iCs w:val="0"/>
          <w:caps w:val="0"/>
          <w:color w:val="auto"/>
          <w:spacing w:val="0"/>
          <w:sz w:val="21"/>
          <w:szCs w:val="21"/>
          <w:highlight w:val="none"/>
          <w:u w:val="single"/>
          <w:shd w:val="clear" w:fill="auto"/>
        </w:rPr>
        <w:t>向</w:t>
      </w:r>
      <w:r>
        <w:rPr>
          <w:rFonts w:hint="eastAsia" w:ascii="仿宋" w:hAnsi="仿宋" w:eastAsia="仿宋" w:cs="仿宋"/>
          <w:i w:val="0"/>
          <w:iCs w:val="0"/>
          <w:caps w:val="0"/>
          <w:color w:val="auto"/>
          <w:spacing w:val="0"/>
          <w:sz w:val="21"/>
          <w:szCs w:val="21"/>
          <w:highlight w:val="none"/>
          <w:u w:val="single"/>
          <w:shd w:val="clear"/>
          <w:lang w:val="en-US" w:eastAsia="zh-CN"/>
        </w:rPr>
        <w:t>甲方</w:t>
      </w:r>
      <w:r>
        <w:rPr>
          <w:rFonts w:hint="eastAsia" w:ascii="仿宋" w:hAnsi="仿宋" w:eastAsia="仿宋" w:cs="仿宋"/>
          <w:i w:val="0"/>
          <w:iCs w:val="0"/>
          <w:caps w:val="0"/>
          <w:color w:val="auto"/>
          <w:spacing w:val="0"/>
          <w:sz w:val="21"/>
          <w:szCs w:val="21"/>
          <w:highlight w:val="none"/>
          <w:u w:val="single"/>
          <w:shd w:val="clear" w:fill="auto"/>
        </w:rPr>
        <w:t>支付合同总价千分之三的违约金，</w:t>
      </w:r>
      <w:r>
        <w:rPr>
          <w:rFonts w:hint="eastAsia" w:ascii="仿宋" w:hAnsi="仿宋" w:eastAsia="仿宋" w:cs="仿宋"/>
          <w:i w:val="0"/>
          <w:iCs w:val="0"/>
          <w:caps w:val="0"/>
          <w:color w:val="auto"/>
          <w:spacing w:val="0"/>
          <w:sz w:val="21"/>
          <w:szCs w:val="21"/>
          <w:highlight w:val="none"/>
          <w:u w:val="single"/>
          <w:shd w:val="clear"/>
          <w:lang w:val="en-US" w:eastAsia="zh-CN"/>
        </w:rPr>
        <w:t>甲方</w:t>
      </w:r>
      <w:r>
        <w:rPr>
          <w:rFonts w:hint="eastAsia" w:ascii="仿宋" w:hAnsi="仿宋" w:eastAsia="仿宋" w:cs="仿宋"/>
          <w:i w:val="0"/>
          <w:iCs w:val="0"/>
          <w:caps w:val="0"/>
          <w:color w:val="auto"/>
          <w:spacing w:val="0"/>
          <w:sz w:val="21"/>
          <w:szCs w:val="21"/>
          <w:highlight w:val="none"/>
          <w:u w:val="single"/>
          <w:shd w:val="clear" w:fill="auto"/>
        </w:rPr>
        <w:t>有权从履约保证金中优先扣除违约金，若违约金超出</w:t>
      </w:r>
      <w:r>
        <w:rPr>
          <w:rFonts w:hint="eastAsia" w:ascii="仿宋" w:hAnsi="仿宋" w:eastAsia="仿宋" w:cs="仿宋"/>
          <w:i w:val="0"/>
          <w:iCs w:val="0"/>
          <w:caps w:val="0"/>
          <w:color w:val="auto"/>
          <w:spacing w:val="0"/>
          <w:sz w:val="21"/>
          <w:szCs w:val="21"/>
          <w:highlight w:val="none"/>
          <w:u w:val="single"/>
          <w:shd w:val="clear"/>
          <w:lang w:val="en-US" w:eastAsia="zh-CN"/>
        </w:rPr>
        <w:t>乙方</w:t>
      </w:r>
      <w:r>
        <w:rPr>
          <w:rFonts w:hint="eastAsia" w:ascii="仿宋" w:hAnsi="仿宋" w:eastAsia="仿宋" w:cs="仿宋"/>
          <w:i w:val="0"/>
          <w:iCs w:val="0"/>
          <w:caps w:val="0"/>
          <w:color w:val="auto"/>
          <w:spacing w:val="0"/>
          <w:sz w:val="21"/>
          <w:szCs w:val="21"/>
          <w:highlight w:val="none"/>
          <w:u w:val="single"/>
          <w:shd w:val="clear" w:fill="auto"/>
        </w:rPr>
        <w:t>履约保证金的，则</w:t>
      </w:r>
      <w:r>
        <w:rPr>
          <w:rFonts w:hint="eastAsia" w:ascii="仿宋" w:hAnsi="仿宋" w:eastAsia="仿宋" w:cs="仿宋"/>
          <w:i w:val="0"/>
          <w:iCs w:val="0"/>
          <w:caps w:val="0"/>
          <w:color w:val="auto"/>
          <w:spacing w:val="0"/>
          <w:sz w:val="21"/>
          <w:szCs w:val="21"/>
          <w:highlight w:val="none"/>
          <w:u w:val="single"/>
          <w:shd w:val="clear"/>
          <w:lang w:val="en-US" w:eastAsia="zh-CN"/>
        </w:rPr>
        <w:t>甲方</w:t>
      </w:r>
      <w:r>
        <w:rPr>
          <w:rFonts w:hint="eastAsia" w:ascii="仿宋" w:hAnsi="仿宋" w:eastAsia="仿宋" w:cs="仿宋"/>
          <w:i w:val="0"/>
          <w:iCs w:val="0"/>
          <w:caps w:val="0"/>
          <w:color w:val="auto"/>
          <w:spacing w:val="0"/>
          <w:sz w:val="21"/>
          <w:szCs w:val="21"/>
          <w:highlight w:val="none"/>
          <w:u w:val="single"/>
          <w:shd w:val="clear" w:fill="auto"/>
        </w:rPr>
        <w:t>有权从工程款中扣除相应违约金</w:t>
      </w:r>
      <w:r>
        <w:rPr>
          <w:rFonts w:hint="eastAsia" w:ascii="仿宋" w:hAnsi="仿宋" w:eastAsia="仿宋" w:cs="仿宋"/>
          <w:color w:val="auto"/>
          <w:szCs w:val="21"/>
          <w:highlight w:val="none"/>
          <w:u w:val="single"/>
        </w:rPr>
        <w:t>，最高违约金不超过合同总价30%。如因</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自身原因造成工期严重滞后（指滞后合同工期30%以上），又无明显改进措施的，</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有权要求</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无条件退场，并承担由此产生的各方一切损失，同时，</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也有权安排其他施工队伍进场施工，费用经审核后从</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合同价款中扣除，由此给</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造成损失的，损失费用同时扣除</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（2）因</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原因造成工期延误，逾期竣工违约金的上限：</w:t>
      </w:r>
      <w:r>
        <w:rPr>
          <w:rFonts w:hint="eastAsia" w:ascii="仿宋" w:hAnsi="仿宋" w:eastAsia="仿宋" w:cs="仿宋"/>
          <w:color w:val="auto"/>
          <w:szCs w:val="21"/>
          <w:highlight w:val="none"/>
          <w:u w:val="single"/>
        </w:rPr>
        <w:t>无</w:t>
      </w:r>
      <w:r>
        <w:rPr>
          <w:rFonts w:hint="eastAsia" w:ascii="仿宋" w:hAnsi="仿宋" w:eastAsia="仿宋" w:cs="仿宋"/>
          <w:color w:val="auto"/>
          <w:szCs w:val="21"/>
          <w:highlight w:val="none"/>
        </w:rPr>
        <w:t xml:space="preserve"> 。</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7.6 不利物质条件</w:t>
      </w:r>
    </w:p>
    <w:p>
      <w:pPr>
        <w:widowControl/>
        <w:adjustRightInd w:val="0"/>
        <w:snapToGrid w:val="0"/>
        <w:spacing w:line="360" w:lineRule="auto"/>
        <w:ind w:firstLine="475"/>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不利物质条件的其他情形和有关约定：</w:t>
      </w:r>
    </w:p>
    <w:p>
      <w:pPr>
        <w:widowControl/>
        <w:adjustRightInd w:val="0"/>
        <w:snapToGrid w:val="0"/>
        <w:spacing w:line="360" w:lineRule="auto"/>
        <w:ind w:firstLine="475"/>
        <w:jc w:val="lef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 xml:space="preserve">（1）施工场地周围地下管线：    /          </w:t>
      </w:r>
      <w:r>
        <w:rPr>
          <w:rFonts w:hint="eastAsia" w:ascii="仿宋" w:hAnsi="仿宋" w:eastAsia="仿宋" w:cs="仿宋"/>
          <w:color w:val="auto"/>
          <w:szCs w:val="21"/>
          <w:highlight w:val="none"/>
        </w:rPr>
        <w:t>；</w:t>
      </w:r>
    </w:p>
    <w:p>
      <w:pPr>
        <w:widowControl/>
        <w:adjustRightInd w:val="0"/>
        <w:snapToGrid w:val="0"/>
        <w:spacing w:line="360" w:lineRule="auto"/>
        <w:ind w:firstLine="475"/>
        <w:jc w:val="lef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 xml:space="preserve">（2）地下障碍物和污染物：     /           </w:t>
      </w:r>
      <w:r>
        <w:rPr>
          <w:rFonts w:hint="eastAsia" w:ascii="仿宋" w:hAnsi="仿宋" w:eastAsia="仿宋" w:cs="仿宋"/>
          <w:color w:val="auto"/>
          <w:szCs w:val="21"/>
          <w:highlight w:val="none"/>
        </w:rPr>
        <w:t>；</w:t>
      </w:r>
    </w:p>
    <w:p>
      <w:pPr>
        <w:widowControl/>
        <w:adjustRightInd w:val="0"/>
        <w:snapToGrid w:val="0"/>
        <w:spacing w:line="360" w:lineRule="auto"/>
        <w:ind w:firstLine="475"/>
        <w:jc w:val="lef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 xml:space="preserve">（3）邻近建筑物、构筑物的保护要求：    /  </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（4）其他：一周内非</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 xml:space="preserve">原因停水、停电造成停工累计超过 8 小时  </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7.7异常恶劣的气候条件</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和</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同意以下情形视为异常恶劣的气候条件：</w:t>
      </w:r>
    </w:p>
    <w:p>
      <w:pPr>
        <w:numPr>
          <w:ilvl w:val="0"/>
          <w:numId w:val="20"/>
        </w:num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日最高气温达到40度及以上的天；</w:t>
      </w:r>
    </w:p>
    <w:p>
      <w:pPr>
        <w:numPr>
          <w:ilvl w:val="0"/>
          <w:numId w:val="20"/>
        </w:num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启动台风橙色及以上预警的天气；</w:t>
      </w:r>
    </w:p>
    <w:p>
      <w:pPr>
        <w:numPr>
          <w:ilvl w:val="0"/>
          <w:numId w:val="20"/>
        </w:num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启动防汛预案级以上相应的天气；</w:t>
      </w:r>
    </w:p>
    <w:p>
      <w:pPr>
        <w:numPr>
          <w:ilvl w:val="0"/>
          <w:numId w:val="20"/>
        </w:num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启动防冻预案一级响应的天气；</w:t>
      </w:r>
    </w:p>
    <w:p>
      <w:pPr>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（5）以上以相应权威部门发布信息为准</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7.8 提前竣工</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7.8.1提前竣工的奖励：</w:t>
      </w:r>
      <w:r>
        <w:rPr>
          <w:rFonts w:hint="eastAsia" w:ascii="仿宋" w:hAnsi="仿宋" w:eastAsia="仿宋" w:cs="仿宋"/>
          <w:color w:val="auto"/>
          <w:szCs w:val="21"/>
          <w:highlight w:val="none"/>
          <w:u w:val="single"/>
        </w:rPr>
        <w:t xml:space="preserve">        无             </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8. 材料与设备</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8.1 </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采购材料与工程设备</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（1）材料设备采购应根据招标文件、设计文件和国家有关规定的具体要求进行采购，所有材料应选用具有一定生产规模和市场信誉好的制造商的产品，产品需经</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和</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委托的监理单位确认后方可采购，否则，因此引起的一切后果都由</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自行承担；所有材料均应有合格证和质保书、国家规定的认证证书、报告、符合国家规定的技术标准和本工程质量要求，并且须经</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委托的监理单位或具有相应资质的检测机构检测合格后才能使用，但该检测仅为初步质量检验，并不免除</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的产品质量保证责任；当</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选定的材料质量达不到预期质量目标要求时，</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有权要求</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立即进行更换，更换的费用由</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承担；若使用不合格材料或不符合本工程质量要求的材料施工，一经发现，</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或监理有权制止使用并要求</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无偿负责更换，停工、返工或解除合同，并要求</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赔偿损失。</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（2）无论</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和</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委托的监理单位是否发现和制止，由于使用不合格材料或不符合工程质量目标要求的材料施工后所引起的一切责任均由</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lang w:val="en-US" w:eastAsia="zh-CN"/>
        </w:rPr>
        <w:t>自行承担</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8.2材料与工程设备的保管与使用</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供应的材料设备的保管费用的承担：</w:t>
      </w:r>
      <w:r>
        <w:rPr>
          <w:rFonts w:hint="eastAsia" w:ascii="仿宋" w:hAnsi="仿宋" w:eastAsia="仿宋" w:cs="仿宋"/>
          <w:color w:val="auto"/>
          <w:szCs w:val="21"/>
          <w:highlight w:val="none"/>
          <w:u w:val="single"/>
        </w:rPr>
        <w:t>由</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承担</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8.3样品</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8.3.1 样品的报送与封存</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需要</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报送样品的材料或工程设备，样品的种类、名称、规格、数量要求：</w:t>
      </w:r>
      <w:r>
        <w:rPr>
          <w:rFonts w:hint="eastAsia" w:ascii="仿宋" w:hAnsi="仿宋" w:eastAsia="仿宋" w:cs="仿宋"/>
          <w:color w:val="auto"/>
          <w:szCs w:val="21"/>
          <w:highlight w:val="none"/>
          <w:u w:val="single"/>
        </w:rPr>
        <w:t>采购前由</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确认</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8.4 施工设备和临时设施</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 </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提供的施工设备和临时设施</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（2）关于修建临时设施费用承担的约定：</w:t>
      </w:r>
      <w:r>
        <w:rPr>
          <w:rFonts w:hint="eastAsia" w:ascii="仿宋" w:hAnsi="仿宋" w:eastAsia="仿宋" w:cs="仿宋"/>
          <w:color w:val="auto"/>
          <w:szCs w:val="21"/>
          <w:highlight w:val="none"/>
          <w:u w:val="single"/>
        </w:rPr>
        <w:t xml:space="preserve">   由</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 xml:space="preserve">承担    </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9. 试验与检验</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9.1试验设备与试验人员</w:t>
      </w:r>
    </w:p>
    <w:p>
      <w:pPr>
        <w:adjustRightInd w:val="0"/>
        <w:snapToGrid w:val="0"/>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9.1.1 试验设备</w:t>
      </w:r>
    </w:p>
    <w:p>
      <w:pPr>
        <w:adjustRightInd w:val="0"/>
        <w:snapToGrid w:val="0"/>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（1）施工现场需要配置的试验场所：</w:t>
      </w:r>
      <w:r>
        <w:rPr>
          <w:rFonts w:hint="eastAsia" w:ascii="仿宋" w:hAnsi="仿宋" w:eastAsia="仿宋" w:cs="仿宋"/>
          <w:color w:val="auto"/>
          <w:szCs w:val="21"/>
          <w:highlight w:val="none"/>
          <w:u w:val="single"/>
        </w:rPr>
        <w:t xml:space="preserve">    按有关规定      </w:t>
      </w:r>
      <w:r>
        <w:rPr>
          <w:rFonts w:hint="eastAsia" w:ascii="仿宋" w:hAnsi="仿宋" w:eastAsia="仿宋" w:cs="仿宋"/>
          <w:color w:val="auto"/>
          <w:szCs w:val="21"/>
          <w:highlight w:val="none"/>
        </w:rPr>
        <w:t xml:space="preserve">。 </w:t>
      </w:r>
    </w:p>
    <w:p>
      <w:pPr>
        <w:adjustRightInd w:val="0"/>
        <w:snapToGrid w:val="0"/>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（2）施工现场需要配备的试验设备：</w:t>
      </w:r>
      <w:r>
        <w:rPr>
          <w:rFonts w:hint="eastAsia" w:ascii="仿宋" w:hAnsi="仿宋" w:eastAsia="仿宋" w:cs="仿宋"/>
          <w:color w:val="auto"/>
          <w:szCs w:val="21"/>
          <w:highlight w:val="none"/>
          <w:u w:val="single"/>
        </w:rPr>
        <w:t xml:space="preserve">     按有关规定     </w:t>
      </w:r>
      <w:r>
        <w:rPr>
          <w:rFonts w:hint="eastAsia" w:ascii="仿宋" w:hAnsi="仿宋" w:eastAsia="仿宋" w:cs="仿宋"/>
          <w:color w:val="auto"/>
          <w:szCs w:val="21"/>
          <w:highlight w:val="none"/>
        </w:rPr>
        <w:t>。</w:t>
      </w:r>
    </w:p>
    <w:p>
      <w:pPr>
        <w:adjustRightInd w:val="0"/>
        <w:snapToGrid w:val="0"/>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（3）施工现场需要具备的其他试验条件：</w:t>
      </w:r>
      <w:r>
        <w:rPr>
          <w:rFonts w:hint="eastAsia" w:ascii="仿宋" w:hAnsi="仿宋" w:eastAsia="仿宋" w:cs="仿宋"/>
          <w:color w:val="auto"/>
          <w:szCs w:val="21"/>
          <w:highlight w:val="none"/>
          <w:u w:val="single"/>
        </w:rPr>
        <w:t xml:space="preserve">   按有关规定    </w:t>
      </w:r>
      <w:r>
        <w:rPr>
          <w:rFonts w:hint="eastAsia" w:ascii="仿宋" w:hAnsi="仿宋" w:eastAsia="仿宋" w:cs="仿宋"/>
          <w:color w:val="auto"/>
          <w:szCs w:val="21"/>
          <w:highlight w:val="none"/>
        </w:rPr>
        <w:t>。</w:t>
      </w:r>
    </w:p>
    <w:p>
      <w:pPr>
        <w:adjustRightInd w:val="0"/>
        <w:snapToGrid w:val="0"/>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9.2材料、工程设备和工程的试验和检验</w:t>
      </w:r>
    </w:p>
    <w:p>
      <w:pPr>
        <w:adjustRightInd w:val="0"/>
        <w:snapToGrid w:val="0"/>
        <w:spacing w:line="360" w:lineRule="auto"/>
        <w:ind w:firstLine="396" w:firstLineChars="18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（1）试验、检测单位资质条件约定：</w:t>
      </w:r>
      <w:r>
        <w:rPr>
          <w:rFonts w:hint="eastAsia" w:ascii="仿宋" w:hAnsi="仿宋" w:eastAsia="仿宋" w:cs="仿宋"/>
          <w:color w:val="auto"/>
          <w:szCs w:val="21"/>
          <w:highlight w:val="none"/>
          <w:u w:val="single"/>
        </w:rPr>
        <w:t xml:space="preserve">    按有关规定       </w:t>
      </w:r>
      <w:r>
        <w:rPr>
          <w:rFonts w:hint="eastAsia" w:ascii="仿宋" w:hAnsi="仿宋" w:eastAsia="仿宋" w:cs="仿宋"/>
          <w:color w:val="auto"/>
          <w:szCs w:val="21"/>
          <w:highlight w:val="none"/>
        </w:rPr>
        <w:t>。</w:t>
      </w:r>
    </w:p>
    <w:p>
      <w:pPr>
        <w:adjustRightInd w:val="0"/>
        <w:snapToGrid w:val="0"/>
        <w:spacing w:line="360" w:lineRule="auto"/>
        <w:ind w:firstLine="396" w:firstLineChars="18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（2）试验、检测单位选择约定：</w:t>
      </w:r>
      <w:r>
        <w:rPr>
          <w:rFonts w:hint="eastAsia" w:ascii="仿宋" w:hAnsi="仿宋" w:eastAsia="仿宋" w:cs="仿宋"/>
          <w:color w:val="auto"/>
          <w:szCs w:val="21"/>
          <w:highlight w:val="none"/>
          <w:u w:val="single"/>
        </w:rPr>
        <w:t xml:space="preserve">  按有关规定 </w:t>
      </w:r>
      <w:r>
        <w:rPr>
          <w:rFonts w:hint="eastAsia" w:ascii="仿宋" w:hAnsi="仿宋" w:eastAsia="仿宋" w:cs="仿宋"/>
          <w:color w:val="auto"/>
          <w:szCs w:val="21"/>
          <w:highlight w:val="none"/>
        </w:rPr>
        <w:t>。</w:t>
      </w:r>
    </w:p>
    <w:p>
      <w:pPr>
        <w:adjustRightInd w:val="0"/>
        <w:snapToGrid w:val="0"/>
        <w:spacing w:line="360" w:lineRule="auto"/>
        <w:ind w:firstLine="396" w:firstLineChars="18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（3）试验、检测费用约定：</w:t>
      </w:r>
      <w:r>
        <w:rPr>
          <w:rFonts w:hint="eastAsia" w:ascii="仿宋" w:hAnsi="仿宋" w:eastAsia="仿宋" w:cs="仿宋"/>
          <w:color w:val="auto"/>
          <w:szCs w:val="21"/>
          <w:highlight w:val="none"/>
          <w:u w:val="single"/>
        </w:rPr>
        <w:t>按有关规定，但如因</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原因导致试验、检测不合格的，</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应无条件返工直至检测合格为止，因此产生的检测相关费用及造成的损失均由</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承担</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9.3 现场工艺试验 </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现场工艺试验的有关约定：</w:t>
      </w:r>
      <w:r>
        <w:rPr>
          <w:rFonts w:hint="eastAsia" w:ascii="仿宋" w:hAnsi="仿宋" w:eastAsia="仿宋" w:cs="仿宋"/>
          <w:color w:val="auto"/>
          <w:szCs w:val="21"/>
          <w:highlight w:val="none"/>
          <w:u w:val="single"/>
        </w:rPr>
        <w:t>所有试验费用</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已在投标报价中包含</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10. 变更</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10.1变更的范围</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关于变更的范围的约定：</w:t>
      </w:r>
      <w:r>
        <w:rPr>
          <w:rFonts w:hint="eastAsia" w:ascii="仿宋" w:hAnsi="仿宋" w:eastAsia="仿宋" w:cs="仿宋"/>
          <w:color w:val="auto"/>
          <w:szCs w:val="21"/>
          <w:highlight w:val="none"/>
          <w:u w:val="single"/>
        </w:rPr>
        <w:t xml:space="preserve">按通用条款10.1条执行 </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10.2 变更估价</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10.2.1 变更估价原则</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关于变更估价的约定：</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u w:val="single"/>
        </w:rPr>
        <w:t>已标价工程量清单或预算书有相同项目的，按照相同项目单价确定</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u w:val="single"/>
        </w:rPr>
        <w:t>已标价工程量清单或预算书中无相同项目，但有类似项目的，参照类似项目的单价确定</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u w:val="single"/>
        </w:rPr>
        <w:t>已标价工程量清单或预算书中无相同项目及类似项目单价的，其单价的确定，按以下约定</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①</w:t>
      </w:r>
      <w:r>
        <w:rPr>
          <w:rFonts w:hint="eastAsia" w:ascii="仿宋" w:hAnsi="仿宋" w:eastAsia="仿宋" w:cs="仿宋"/>
          <w:color w:val="auto"/>
          <w:szCs w:val="21"/>
          <w:highlight w:val="none"/>
          <w:u w:val="single"/>
        </w:rPr>
        <w:t>清单项目中项目特征或工程内容发生部分变更的，应以原综合单价为基础，仅就变更部分相应定额子目调整综合单价。材料变化的仅调整材料编制期信息价的差价（无信息价的按实施期市场价之差价，价差由</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根据实际情况提出后，经监理人、</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确认后报审计单位审核）。最终单价由项目结算审核单位确定</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②</w:t>
      </w:r>
      <w:r>
        <w:rPr>
          <w:rFonts w:hint="eastAsia" w:ascii="仿宋" w:hAnsi="仿宋" w:eastAsia="仿宋" w:cs="仿宋"/>
          <w:color w:val="auto"/>
          <w:szCs w:val="21"/>
          <w:highlight w:val="none"/>
          <w:u w:val="single"/>
        </w:rPr>
        <w:t>合同中没有适用或类似工程项目单价的：套用浙江省2018版预算定额和费用定额或现行相应专业定额，综合费用按相应类别工程费率的下限计取，施工组织措施费不另计算，规费、税金、农民工工伤保险按投标口径执行；材料价格有投标价的执行投标价，无投标价的执行合同工期前80%的信息价算术平均值，对当地信息价正刊没有公布的材料，</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应在充分市场询价基础上，参照同期同类材料市场价格水平拟定合理价格上报，监理人、</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审核后执行，最终价格由项目结算审核单位确定；当零星工程发生签证台班数量，机械单价有投标价的执行投标价，无投标价的执行预算定额单价；按照上述方法计算的直接费+规费+税金</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（4）</w:t>
      </w:r>
      <w:r>
        <w:rPr>
          <w:rFonts w:hint="eastAsia" w:ascii="仿宋" w:hAnsi="仿宋" w:eastAsia="仿宋" w:cs="仿宋"/>
          <w:color w:val="auto"/>
          <w:szCs w:val="21"/>
          <w:highlight w:val="none"/>
          <w:u w:val="single"/>
        </w:rPr>
        <w:t>工程量清单错误和（或）设计变更导致实际完成的工程量与已标价工程量清单或预算书中列明的该项目工程量的变化幅度超过以下情况的，其超出变动幅度以外部分的单价允许调整：凡合价金额占合同总价2%及以上的分部分项清单项目，其工程量增加或减少超过本项目工程数量15%及以上时，</w:t>
      </w:r>
      <w:r>
        <w:rPr>
          <w:rFonts w:hint="eastAsia" w:ascii="仿宋" w:hAnsi="仿宋" w:eastAsia="仿宋" w:cs="仿宋"/>
          <w:color w:val="auto"/>
          <w:szCs w:val="21"/>
          <w:highlight w:val="none"/>
        </w:rPr>
        <w:t>或</w:t>
      </w:r>
      <w:r>
        <w:rPr>
          <w:rFonts w:hint="eastAsia" w:ascii="仿宋" w:hAnsi="仿宋" w:eastAsia="仿宋" w:cs="仿宋"/>
          <w:color w:val="auto"/>
          <w:szCs w:val="21"/>
          <w:highlight w:val="none"/>
          <w:u w:val="single"/>
        </w:rPr>
        <w:t>者合价金额占合同总价不到2%的分部分项清单项目，但其工程量增加或减少超过本项目工程数量25%以上时。仅工程量偏差超过上述变化幅度之外变动部分的相应单价允许调整，调整方法按以下方式约定：</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应以投标文件的定额水平、优惠率作为依据进行组价【优惠率=1-投标总价（扣除暂列金、暂估价）/招标控制价（扣除暂列金、暂估价）】，经监理人、过程审计单位、</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审核批准后执行。最终调整情况由项目结算审计确定</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各类变更和现场签证，要严格按照国家和工程建设管理相关规定。设计变更由设计单位出具正式修改通知书，并出修改图纸或联系单，经监理及其他相关方审核后，报</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认可，</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予以实施。若因特殊原因，</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或监理人要求</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对变更内容先予以实施，则</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须在工程变更实施完后5天内会同监理工程师完成“工程量变更计量单及费用”，否则视为该项变更不涉及费用变更。</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签发的联系单，</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应在</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签发后14天内上报“工程量变更计量单及费用”,如未按要求提交,</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可理解为本次变更不涉及费用。</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应按月上报累计变更清单及费用汇总表</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10.3</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的合理化建议</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（1）监理人审查</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合理化建议的期限：</w:t>
      </w:r>
      <w:r>
        <w:rPr>
          <w:rFonts w:hint="eastAsia" w:ascii="仿宋" w:hAnsi="仿宋" w:eastAsia="仿宋" w:cs="仿宋"/>
          <w:color w:val="auto"/>
          <w:szCs w:val="21"/>
          <w:highlight w:val="none"/>
          <w:u w:val="single"/>
        </w:rPr>
        <w:t>监理人应在收到</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提交的合理化建议后7天内审查完毕并报送</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，发现其中存在技术上的缺陷，应通知</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修改</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审批</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合理化建议的期限：</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应在收到监理人报送的合理化建议后7天内审批完毕。</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提出的合理化建议降低了合同价格或者提高了工程经济效益的奖励的方法和金额为：</w:t>
      </w:r>
      <w:r>
        <w:rPr>
          <w:rFonts w:hint="eastAsia" w:ascii="仿宋" w:hAnsi="仿宋" w:eastAsia="仿宋" w:cs="仿宋"/>
          <w:color w:val="auto"/>
          <w:szCs w:val="21"/>
          <w:highlight w:val="none"/>
          <w:u w:val="single"/>
        </w:rPr>
        <w:t xml:space="preserve">     / 。</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10.4 暂估价</w:t>
      </w:r>
    </w:p>
    <w:p>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暂估价材料和工程设备的明细详见附件11：《暂估价一览表》。</w:t>
      </w:r>
    </w:p>
    <w:p>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10.4.1依法必须招标的暂估价项目</w:t>
      </w:r>
    </w:p>
    <w:p>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对于依法必须招标的暂估价项目的确认和批准采取第</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种方式确定。</w:t>
      </w:r>
    </w:p>
    <w:p>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10.4.2不属于依法必须招标的暂估价项目</w:t>
      </w:r>
    </w:p>
    <w:p>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对于不属于依法必须招标的暂估价项目的确认和批准采取第</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种方式确定。</w:t>
      </w:r>
    </w:p>
    <w:p>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第3种方式：</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直接实施的暂估价项目</w:t>
      </w:r>
    </w:p>
    <w:p>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直接实施的暂估价项目的约定：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10.8暂列金额</w:t>
      </w:r>
    </w:p>
    <w:p>
      <w:pPr>
        <w:autoSpaceDE w:val="0"/>
        <w:autoSpaceDN w:val="0"/>
        <w:adjustRightInd w:val="0"/>
        <w:spacing w:line="360" w:lineRule="auto"/>
        <w:ind w:firstLine="420" w:firstLineChars="200"/>
        <w:jc w:val="lef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合同当事人关于暂列金额使用的约定：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11. 价格调整</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11.1 市场价格波动引起的调整</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市场价格波动是否调整合同价格的约定：</w:t>
      </w:r>
      <w:r>
        <w:rPr>
          <w:rFonts w:hint="eastAsia" w:ascii="仿宋" w:hAnsi="仿宋" w:eastAsia="仿宋" w:cs="仿宋"/>
          <w:color w:val="auto"/>
          <w:szCs w:val="21"/>
          <w:highlight w:val="none"/>
          <w:u w:val="single"/>
        </w:rPr>
        <w:t xml:space="preserve">   是     。 </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因市场价格波动调整合同价格，采用以下第 </w:t>
      </w:r>
      <w:r>
        <w:rPr>
          <w:rFonts w:hint="eastAsia" w:ascii="仿宋" w:hAnsi="仿宋" w:eastAsia="仿宋" w:cs="仿宋"/>
          <w:color w:val="auto"/>
          <w:szCs w:val="21"/>
          <w:highlight w:val="none"/>
          <w:u w:val="single"/>
        </w:rPr>
        <w:t xml:space="preserve"> 3 </w:t>
      </w:r>
      <w:r>
        <w:rPr>
          <w:rFonts w:hint="eastAsia" w:ascii="仿宋" w:hAnsi="仿宋" w:eastAsia="仿宋" w:cs="仿宋"/>
          <w:color w:val="auto"/>
          <w:szCs w:val="21"/>
          <w:highlight w:val="none"/>
        </w:rPr>
        <w:t xml:space="preserve"> 种方式对合同价格进行调整：</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第1种方式：采用价格指数进行价格调整。</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关于各可调因子、定值和变值权重，以及基本价格指数及其来源的约定：</w:t>
      </w:r>
      <w:r>
        <w:rPr>
          <w:rFonts w:hint="eastAsia" w:ascii="仿宋" w:hAnsi="仿宋" w:eastAsia="仿宋" w:cs="仿宋"/>
          <w:color w:val="auto"/>
          <w:szCs w:val="21"/>
          <w:highlight w:val="none"/>
          <w:u w:val="single"/>
        </w:rPr>
        <w:t xml:space="preserve">    /         ；</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第2种方式：采用造价信息进行价格调整。</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第3种方式：</w:t>
      </w:r>
      <w:r>
        <w:rPr>
          <w:rFonts w:hint="eastAsia" w:ascii="仿宋" w:hAnsi="仿宋" w:eastAsia="仿宋" w:cs="仿宋"/>
          <w:color w:val="auto"/>
          <w:szCs w:val="21"/>
          <w:highlight w:val="none"/>
          <w:u w:val="single"/>
        </w:rPr>
        <w:t>采用政策性文件进行价格调整</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（2）关于基准价格的约定：</w:t>
      </w:r>
      <w:r>
        <w:rPr>
          <w:rFonts w:hint="eastAsia" w:ascii="仿宋" w:hAnsi="仿宋" w:eastAsia="仿宋" w:cs="仿宋"/>
          <w:color w:val="auto"/>
          <w:szCs w:val="21"/>
          <w:highlight w:val="none"/>
          <w:u w:val="single"/>
        </w:rPr>
        <w:t xml:space="preserve">         /                。</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专用合同条款①</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在已标价工程量清单或预算书中载明的材料单价低于基准价格的：专用合同条款合同履行期间材料单价涨幅以基准价格为基础超过</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时，或材料单价跌幅以已标价工程量清单或预算书中载明材料单价为基础超过</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时，其超过部分据实调整。</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②</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在已标价工程量清单或预算书中载明的材料单价高于基准价格的：专用合同条款合同履行期间材料单价跌幅以基准价格为基础超过</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时，材料单价涨幅以已标价工程量清单或预算书中载明材料单价为基础超过</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时，其超过部分据实调整。</w:t>
      </w:r>
    </w:p>
    <w:p>
      <w:pPr>
        <w:spacing w:line="360" w:lineRule="auto"/>
        <w:ind w:firstLine="424" w:firstLineChars="202"/>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③</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在已标价工程量清单或预算书中载明的材料单价等于基准单价的：专用合同条款合同履行期间材料单价涨跌幅以基准单价为基础超过</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时，其超过部分据实调整。</w:t>
      </w:r>
    </w:p>
    <w:p>
      <w:pPr>
        <w:spacing w:line="360" w:lineRule="auto"/>
        <w:ind w:firstLine="420" w:firstLineChars="200"/>
        <w:jc w:val="lef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政府投资工程因市场价格波动引起的调整：</w:t>
      </w:r>
      <w:r>
        <w:rPr>
          <w:rFonts w:hint="eastAsia" w:ascii="仿宋" w:hAnsi="仿宋" w:eastAsia="仿宋" w:cs="仿宋"/>
          <w:color w:val="auto"/>
          <w:szCs w:val="21"/>
          <w:highlight w:val="none"/>
          <w:u w:val="single"/>
        </w:rPr>
        <w:t>按《关于进一步加强杭州市建设工程市场要素价格动态管理的指导意见》(杭建市发〔2018）579号)文执行。</w:t>
      </w:r>
    </w:p>
    <w:p>
      <w:pPr>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其中：</w:t>
      </w:r>
    </w:p>
    <w:p>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1、风险范围及幅度的约定：</w:t>
      </w:r>
    </w:p>
    <w:p>
      <w:pPr>
        <w:widowControl/>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（1）人工价格风险幅度为5%；</w:t>
      </w:r>
    </w:p>
    <w:p>
      <w:pPr>
        <w:widowControl/>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（2）单种规格材料价格风险幅度为5%；</w:t>
      </w:r>
    </w:p>
    <w:p>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2、材料价款动态调整结算方式采用以下</w:t>
      </w:r>
      <w:r>
        <w:rPr>
          <w:rFonts w:hint="eastAsia" w:ascii="仿宋" w:hAnsi="仿宋" w:eastAsia="仿宋" w:cs="仿宋"/>
          <w:color w:val="auto"/>
          <w:szCs w:val="21"/>
          <w:highlight w:val="none"/>
          <w:u w:val="single"/>
        </w:rPr>
        <w:t xml:space="preserve"> 第（3）种方式 </w:t>
      </w:r>
      <w:r>
        <w:rPr>
          <w:rFonts w:hint="eastAsia" w:ascii="仿宋" w:hAnsi="仿宋" w:eastAsia="仿宋" w:cs="仿宋"/>
          <w:color w:val="auto"/>
          <w:szCs w:val="21"/>
          <w:highlight w:val="none"/>
        </w:rPr>
        <w:t>约定：</w:t>
      </w:r>
    </w:p>
    <w:p>
      <w:pPr>
        <w:spacing w:line="360" w:lineRule="auto"/>
        <w:ind w:firstLine="420" w:firstLineChars="200"/>
        <w:jc w:val="lef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第（1）种方式：按时间进度分段结算： /  。</w:t>
      </w:r>
    </w:p>
    <w:p>
      <w:pPr>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第（2）种方式：按工程形象部位(目标)分段结算：/  。</w:t>
      </w:r>
    </w:p>
    <w:p>
      <w:pPr>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 xml:space="preserve">第（3）种方式：竣工后一次性结算调价。 </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12. 合同价格、计量与支付</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12.1 合同价格形式</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12.1.1、单价合同。</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综合单价包含的风险范围：</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（1）应由</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承担的工、料、机在投标编制期或预算书编制期与合同实施期间所发生的市场价格波动（除本合同11.1款约定的调整外）。</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（2）其他：①定额、标准、费率及相关政策规范（非强制性文件）调整；②技术规范要求的费用应包括在投标报价中； ③所有招标文件或工程量清单已明示要求报价的内容而</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未予报价的，将被认为包含在合同总价中，结算时合同价款将不予调整。工程量清单未描述到，但又是完成分项工程必须有的工作内容或施工规范要求的工作内容，均应包括在总价内； ④</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对工程现场环境以及</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提供的招标文件、图纸等资料作出错误的推论、理解而导致报价失误，属于</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风险，结算时合同价款将不予调整； ⑤投标报价中组织措施和技术措施报价无论工程量及招标范围如何调整，均不予调整，实行包干价；⑥实际施工时，材料设备在</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提供的备选品牌之间发生的品牌变更，则原投标材料、设备单价不予调整（低于投标价的按实际价格计）；⑦</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应充分考虑总包及各分包之间配合要求工作面交替施工引起的窝工情况，上述情况在工程结算时</w:t>
      </w:r>
      <w:r>
        <w:rPr>
          <w:rFonts w:hint="eastAsia" w:ascii="仿宋" w:hAnsi="仿宋" w:eastAsia="仿宋" w:cs="仿宋"/>
          <w:color w:val="auto"/>
          <w:szCs w:val="21"/>
          <w:highlight w:val="none"/>
          <w:u w:val="single"/>
        </w:rPr>
        <w:softHyphen/>
      </w:r>
      <w:r>
        <w:rPr>
          <w:rFonts w:hint="eastAsia" w:ascii="仿宋" w:hAnsi="仿宋" w:eastAsia="仿宋" w:cs="仿宋"/>
          <w:color w:val="auto"/>
          <w:szCs w:val="21"/>
          <w:highlight w:val="none"/>
          <w:u w:val="single"/>
        </w:rPr>
        <w:t>不作调整；⑧国家政策变化及一个有经验的</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应预计的可能发生的其他费用；⑨投标文件商务报价中项目特征相同的子目综合单价应一致，如有不一致的，则结算时按照就低不就高的原则结算；⑩施工期间停水、停电引起的工期延误或自备水电造成的费用增加；</w:t>
      </w:r>
      <w:r>
        <w:rPr>
          <w:rFonts w:hint="eastAsia" w:ascii="仿宋" w:hAnsi="仿宋" w:eastAsia="仿宋" w:cs="仿宋"/>
          <w:color w:val="auto"/>
          <w:szCs w:val="21"/>
          <w:highlight w:val="none"/>
          <w:u w:val="single"/>
        </w:rPr>
        <w:fldChar w:fldCharType="begin"/>
      </w:r>
      <w:r>
        <w:rPr>
          <w:rFonts w:hint="eastAsia" w:ascii="仿宋" w:hAnsi="仿宋" w:eastAsia="仿宋" w:cs="仿宋"/>
          <w:color w:val="auto"/>
          <w:szCs w:val="21"/>
          <w:highlight w:val="none"/>
          <w:u w:val="single"/>
        </w:rPr>
        <w:instrText xml:space="preserve"> eq \o\ac(</w:instrText>
      </w:r>
      <w:r>
        <w:rPr>
          <w:rFonts w:hint="eastAsia" w:ascii="仿宋" w:hAnsi="仿宋" w:eastAsia="仿宋" w:cs="仿宋"/>
          <w:color w:val="auto"/>
          <w:position w:val="-4"/>
          <w:sz w:val="31"/>
          <w:szCs w:val="21"/>
          <w:highlight w:val="none"/>
          <w:u w:val="single"/>
        </w:rPr>
        <w:instrText xml:space="preserve">○</w:instrText>
      </w:r>
      <w:r>
        <w:rPr>
          <w:rFonts w:hint="eastAsia" w:ascii="仿宋" w:hAnsi="仿宋" w:eastAsia="仿宋" w:cs="仿宋"/>
          <w:color w:val="auto"/>
          <w:szCs w:val="21"/>
          <w:highlight w:val="none"/>
          <w:u w:val="single"/>
        </w:rPr>
        <w:instrText xml:space="preserve">,11)</w:instrText>
      </w:r>
      <w:r>
        <w:rPr>
          <w:rFonts w:hint="eastAsia" w:ascii="仿宋" w:hAnsi="仿宋" w:eastAsia="仿宋" w:cs="仿宋"/>
          <w:color w:val="auto"/>
          <w:szCs w:val="21"/>
          <w:highlight w:val="none"/>
          <w:u w:val="single"/>
        </w:rPr>
        <w:fldChar w:fldCharType="end"/>
      </w:r>
      <w:r>
        <w:rPr>
          <w:rFonts w:hint="eastAsia" w:ascii="仿宋" w:hAnsi="仿宋" w:eastAsia="仿宋" w:cs="仿宋"/>
          <w:color w:val="auto"/>
          <w:szCs w:val="21"/>
          <w:highlight w:val="none"/>
          <w:u w:val="single"/>
        </w:rPr>
        <w:t>其他施工过程中可能存在的风险均包含在风险范围内。</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（3）风险费用的计算方法：</w:t>
      </w:r>
      <w:r>
        <w:rPr>
          <w:rFonts w:hint="eastAsia" w:ascii="仿宋" w:hAnsi="仿宋" w:eastAsia="仿宋" w:cs="仿宋"/>
          <w:color w:val="auto"/>
          <w:szCs w:val="21"/>
          <w:highlight w:val="none"/>
          <w:u w:val="single"/>
        </w:rPr>
        <w:t>以上风险费用已包含在签约合同价款中，不再另行计取。</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（4）风险范围以外合同价格的调整方法：</w:t>
      </w:r>
      <w:r>
        <w:rPr>
          <w:rFonts w:hint="eastAsia" w:ascii="仿宋" w:hAnsi="仿宋" w:eastAsia="仿宋" w:cs="仿宋"/>
          <w:color w:val="auto"/>
          <w:szCs w:val="21"/>
          <w:highlight w:val="none"/>
          <w:u w:val="single"/>
        </w:rPr>
        <w:t>市场价格波动引起的调整按本合同11.1约定执行。其他：1）实物工程量数量按实调整。2）变更估价按本合同10.4.1 的约定计算。</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12.1.2、总价合同。</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（1）总价包含的风险范围：</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（2）风险费用的计算方法：</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（3）风险范围以外合同价格的调整方法：</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12.1.3、其他价格方式：</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 xml:space="preserve"> 。</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12.2 预付款</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12.2.1 预付款的支付</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（1）预付款支付比例或金额：</w:t>
      </w:r>
      <w:r>
        <w:rPr>
          <w:rFonts w:hint="eastAsia" w:ascii="仿宋" w:hAnsi="仿宋" w:eastAsia="仿宋" w:cs="仿宋"/>
          <w:color w:val="auto"/>
          <w:szCs w:val="21"/>
          <w:highlight w:val="none"/>
          <w:u w:val="single"/>
        </w:rPr>
        <w:t>合同金额的</w:t>
      </w:r>
      <w:r>
        <w:rPr>
          <w:rFonts w:hint="eastAsia" w:ascii="仿宋" w:hAnsi="仿宋" w:eastAsia="仿宋" w:cs="仿宋"/>
          <w:color w:val="auto"/>
          <w:szCs w:val="21"/>
          <w:highlight w:val="none"/>
          <w:u w:val="single"/>
          <w:lang w:val="en-US" w:eastAsia="zh-CN"/>
        </w:rPr>
        <w:t>4</w:t>
      </w:r>
      <w:r>
        <w:rPr>
          <w:rFonts w:hint="eastAsia" w:ascii="仿宋" w:hAnsi="仿宋" w:eastAsia="仿宋" w:cs="仿宋"/>
          <w:color w:val="auto"/>
          <w:szCs w:val="21"/>
          <w:highlight w:val="none"/>
          <w:u w:val="single"/>
        </w:rPr>
        <w:t xml:space="preserve">0% </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（2）预付款支付期限：</w:t>
      </w:r>
      <w:bookmarkStart w:id="176" w:name="_Hlk101185079"/>
      <w:r>
        <w:rPr>
          <w:rFonts w:hint="eastAsia" w:ascii="仿宋" w:hAnsi="仿宋" w:eastAsia="仿宋" w:cs="仿宋"/>
          <w:color w:val="auto"/>
          <w:szCs w:val="21"/>
          <w:highlight w:val="none"/>
          <w:u w:val="single"/>
        </w:rPr>
        <w:t>在</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提供预付款保函或其他担保措施后，合同生效及开工令发出后7个工作日内</w:t>
      </w:r>
      <w:bookmarkEnd w:id="176"/>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（3）预付款扣回的方式：</w:t>
      </w:r>
      <w:r>
        <w:rPr>
          <w:rFonts w:hint="eastAsia" w:ascii="仿宋" w:hAnsi="仿宋" w:eastAsia="仿宋" w:cs="仿宋"/>
          <w:color w:val="auto"/>
          <w:szCs w:val="21"/>
          <w:highlight w:val="none"/>
          <w:u w:val="single"/>
        </w:rPr>
        <w:t>转为进度款，不再扣回</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12.2.2 预付款担保</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提交预付款担保的期限：</w:t>
      </w:r>
      <w:r>
        <w:rPr>
          <w:rFonts w:hint="eastAsia" w:ascii="仿宋" w:hAnsi="仿宋" w:eastAsia="仿宋" w:cs="仿宋"/>
          <w:color w:val="auto"/>
          <w:szCs w:val="21"/>
          <w:highlight w:val="none"/>
          <w:u w:val="single"/>
        </w:rPr>
        <w:t xml:space="preserve">   合同生效及开工令发出后7天内      </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（2）预付款担保的形式为：</w:t>
      </w:r>
      <w:r>
        <w:rPr>
          <w:rFonts w:hint="eastAsia" w:ascii="仿宋" w:hAnsi="仿宋" w:eastAsia="仿宋" w:cs="仿宋"/>
          <w:color w:val="auto"/>
          <w:szCs w:val="21"/>
          <w:highlight w:val="none"/>
          <w:u w:val="single"/>
        </w:rPr>
        <w:t xml:space="preserve"> 以银行、保险公司等金融机构出具的预付款保函或其他担保措施 </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12.3 计量</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12.3.1 计量原则</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工程量计算规则：</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按国家标准工程量计算规范及省级行业主管部门颁布的补充规定执行。暂定工程量、清单项目的数量偏差及变更的工程量应根据设计图纸及其变更、变更联系单，按有关工程量计算规则计算确定，并经监理人、</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或其委托的全过程跟踪审计单位审定确认。</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12.3.2 计量周期</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关于计量周期的约定：</w:t>
      </w:r>
      <w:r>
        <w:rPr>
          <w:rFonts w:hint="eastAsia" w:ascii="仿宋" w:hAnsi="仿宋" w:eastAsia="仿宋" w:cs="仿宋"/>
          <w:color w:val="auto"/>
          <w:szCs w:val="21"/>
          <w:highlight w:val="none"/>
          <w:u w:val="single"/>
        </w:rPr>
        <w:t>按进度计量</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12.3.3 单价合同的计量</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关于单价合同计量的约定：</w:t>
      </w:r>
      <w:r>
        <w:rPr>
          <w:rFonts w:hint="eastAsia" w:ascii="仿宋" w:hAnsi="仿宋" w:eastAsia="仿宋" w:cs="仿宋"/>
          <w:color w:val="auto"/>
          <w:szCs w:val="21"/>
          <w:highlight w:val="none"/>
          <w:u w:val="single"/>
        </w:rPr>
        <w:t>按通用条款执行</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12.3.4 总价合同的计量</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关于总价合同计量的约定：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12.3.5总价合同采用支付分解表计量支付的，是否适用第12.3.4 项〔总价合同的计量〕约定进行计量：</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12.3.6 其他价格形式合同的计量</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其他价格形式的计量方式和程序：</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12.4 工程进度款支付</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12.4.1 付款周期</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关于付款周期的约定：</w:t>
      </w:r>
    </w:p>
    <w:p>
      <w:pPr>
        <w:numPr>
          <w:ilvl w:val="0"/>
          <w:numId w:val="21"/>
        </w:num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合同生效后7个工作日内，</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向</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提交银行、保险公司等金融机构出具的预付款保函或其他担保措施，金额为合同价的</w:t>
      </w:r>
      <w:r>
        <w:rPr>
          <w:rFonts w:hint="eastAsia" w:ascii="仿宋" w:hAnsi="仿宋" w:eastAsia="仿宋" w:cs="仿宋"/>
          <w:color w:val="auto"/>
          <w:szCs w:val="21"/>
          <w:highlight w:val="none"/>
          <w:u w:val="single"/>
          <w:lang w:val="en-US" w:eastAsia="zh-CN"/>
        </w:rPr>
        <w:t>4</w:t>
      </w:r>
      <w:r>
        <w:rPr>
          <w:rFonts w:hint="eastAsia" w:ascii="仿宋" w:hAnsi="仿宋" w:eastAsia="仿宋" w:cs="仿宋"/>
          <w:color w:val="auto"/>
          <w:szCs w:val="21"/>
          <w:highlight w:val="none"/>
          <w:u w:val="single"/>
        </w:rPr>
        <w:t>0%，保函期限</w:t>
      </w:r>
      <w:r>
        <w:rPr>
          <w:rFonts w:hint="eastAsia" w:ascii="仿宋" w:hAnsi="仿宋" w:eastAsia="仿宋" w:cs="仿宋"/>
          <w:color w:val="auto"/>
          <w:szCs w:val="21"/>
          <w:highlight w:val="none"/>
          <w:u w:val="single"/>
          <w:lang w:val="en-US" w:eastAsia="zh-CN"/>
        </w:rPr>
        <w:t>叁</w:t>
      </w:r>
      <w:r>
        <w:rPr>
          <w:rFonts w:hint="eastAsia" w:ascii="仿宋" w:hAnsi="仿宋" w:eastAsia="仿宋" w:cs="仿宋"/>
          <w:color w:val="auto"/>
          <w:szCs w:val="21"/>
          <w:highlight w:val="none"/>
          <w:u w:val="single"/>
        </w:rPr>
        <w:t>个月。</w:t>
      </w:r>
    </w:p>
    <w:p>
      <w:pPr>
        <w:numPr>
          <w:ilvl w:val="0"/>
          <w:numId w:val="21"/>
        </w:num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合同生效及开工令发出后7个工作日内，在</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提供预付款保函或其他担保措施后，</w:t>
      </w:r>
      <w:r>
        <w:rPr>
          <w:rFonts w:hint="eastAsia" w:ascii="仿宋" w:hAnsi="仿宋" w:eastAsia="仿宋" w:cs="仿宋"/>
          <w:color w:val="auto"/>
          <w:szCs w:val="21"/>
          <w:highlight w:val="none"/>
          <w:u w:val="single"/>
          <w:lang w:val="en-US" w:eastAsia="zh-CN"/>
        </w:rPr>
        <w:t>甲方</w:t>
      </w:r>
      <w:r>
        <w:rPr>
          <w:rFonts w:hint="eastAsia" w:ascii="仿宋" w:hAnsi="仿宋" w:eastAsia="仿宋" w:cs="仿宋"/>
          <w:color w:val="auto"/>
          <w:szCs w:val="21"/>
          <w:highlight w:val="none"/>
          <w:u w:val="single"/>
        </w:rPr>
        <w:t>向</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支付合同总价金额</w:t>
      </w:r>
      <w:r>
        <w:rPr>
          <w:rFonts w:hint="eastAsia" w:ascii="仿宋" w:hAnsi="仿宋" w:eastAsia="仿宋" w:cs="仿宋"/>
          <w:color w:val="auto"/>
          <w:szCs w:val="21"/>
          <w:highlight w:val="none"/>
          <w:u w:val="single"/>
          <w:lang w:val="en-US" w:eastAsia="zh-CN"/>
        </w:rPr>
        <w:t>4</w:t>
      </w:r>
      <w:r>
        <w:rPr>
          <w:rFonts w:hint="eastAsia" w:ascii="仿宋" w:hAnsi="仿宋" w:eastAsia="仿宋" w:cs="仿宋"/>
          <w:color w:val="auto"/>
          <w:szCs w:val="21"/>
          <w:highlight w:val="none"/>
          <w:u w:val="single"/>
        </w:rPr>
        <w:t>0％的预付款</w:t>
      </w:r>
      <w:r>
        <w:rPr>
          <w:rFonts w:hint="eastAsia" w:ascii="仿宋" w:hAnsi="仿宋" w:eastAsia="仿宋" w:cs="仿宋"/>
          <w:color w:val="auto"/>
          <w:szCs w:val="21"/>
          <w:highlight w:val="none"/>
        </w:rPr>
        <w:t>；</w:t>
      </w:r>
    </w:p>
    <w:p>
      <w:pPr>
        <w:numPr>
          <w:ilvl w:val="0"/>
          <w:numId w:val="21"/>
        </w:num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lang w:val="zh-CN"/>
        </w:rPr>
        <w:t>全部工程竣工验收合格后，</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lang w:val="zh-CN"/>
        </w:rPr>
        <w:t>支付</w:t>
      </w:r>
      <w:r>
        <w:rPr>
          <w:rFonts w:hint="eastAsia" w:ascii="仿宋" w:hAnsi="仿宋" w:eastAsia="仿宋" w:cs="仿宋"/>
          <w:color w:val="auto"/>
          <w:szCs w:val="21"/>
          <w:highlight w:val="none"/>
          <w:u w:val="single"/>
          <w:lang w:val="en-US" w:eastAsia="zh-CN"/>
        </w:rPr>
        <w:t>至</w:t>
      </w:r>
      <w:r>
        <w:rPr>
          <w:rFonts w:hint="eastAsia" w:ascii="仿宋" w:hAnsi="仿宋" w:eastAsia="仿宋" w:cs="仿宋"/>
          <w:color w:val="auto"/>
          <w:szCs w:val="21"/>
          <w:highlight w:val="none"/>
          <w:u w:val="single"/>
          <w:lang w:val="zh-CN"/>
        </w:rPr>
        <w:t>合同总额的</w:t>
      </w:r>
      <w:r>
        <w:rPr>
          <w:rFonts w:hint="eastAsia" w:ascii="仿宋" w:hAnsi="仿宋" w:eastAsia="仿宋" w:cs="仿宋"/>
          <w:color w:val="auto"/>
          <w:szCs w:val="21"/>
          <w:highlight w:val="none"/>
          <w:u w:val="single"/>
          <w:lang w:val="en-US" w:eastAsia="zh-CN"/>
        </w:rPr>
        <w:t>85</w:t>
      </w:r>
      <w:r>
        <w:rPr>
          <w:rFonts w:hint="eastAsia" w:ascii="仿宋" w:hAnsi="仿宋" w:eastAsia="仿宋" w:cs="仿宋"/>
          <w:color w:val="auto"/>
          <w:szCs w:val="21"/>
          <w:highlight w:val="none"/>
          <w:u w:val="single"/>
          <w:lang w:val="zh-CN"/>
        </w:rPr>
        <w:t>%</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lang w:val="zh-CN"/>
        </w:rPr>
        <w:t>；</w:t>
      </w:r>
    </w:p>
    <w:p>
      <w:pPr>
        <w:numPr>
          <w:ilvl w:val="0"/>
          <w:numId w:val="21"/>
        </w:numPr>
        <w:spacing w:line="360" w:lineRule="auto"/>
        <w:ind w:firstLine="424" w:firstLineChars="202"/>
        <w:rPr>
          <w:rFonts w:hint="eastAsia" w:ascii="仿宋" w:hAnsi="仿宋" w:eastAsia="仿宋" w:cs="仿宋"/>
          <w:color w:val="auto"/>
          <w:szCs w:val="21"/>
          <w:highlight w:val="none"/>
          <w:u w:val="single"/>
          <w:lang w:val="zh-CN"/>
        </w:rPr>
      </w:pPr>
      <w:r>
        <w:rPr>
          <w:rFonts w:hint="eastAsia" w:ascii="仿宋" w:hAnsi="仿宋" w:eastAsia="仿宋" w:cs="仿宋"/>
          <w:color w:val="auto"/>
          <w:szCs w:val="21"/>
          <w:highlight w:val="none"/>
          <w:u w:val="single"/>
          <w:lang w:val="zh-CN"/>
        </w:rPr>
        <w:t>审计完成后10个工作日内</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lang w:val="zh-CN"/>
        </w:rPr>
        <w:t>支付至工程审计价</w:t>
      </w:r>
      <w:r>
        <w:rPr>
          <w:rFonts w:hint="eastAsia" w:ascii="仿宋" w:hAnsi="仿宋" w:eastAsia="仿宋" w:cs="仿宋"/>
          <w:color w:val="auto"/>
          <w:szCs w:val="21"/>
          <w:highlight w:val="none"/>
          <w:u w:val="single"/>
        </w:rPr>
        <w:t>的100%。</w:t>
      </w:r>
      <w:r>
        <w:rPr>
          <w:rFonts w:hint="eastAsia" w:ascii="仿宋" w:hAnsi="仿宋" w:eastAsia="仿宋" w:cs="仿宋"/>
          <w:color w:val="auto"/>
          <w:szCs w:val="21"/>
          <w:highlight w:val="none"/>
          <w:u w:val="single"/>
          <w:lang w:val="zh-CN"/>
        </w:rPr>
        <w:t>竣工结算审定后</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lang w:val="zh-CN"/>
        </w:rPr>
        <w:t>向</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lang w:val="zh-CN"/>
        </w:rPr>
        <w:t>缴纳审定价的1.5%作为质量保修金（采用保函形式缴纳，保函有效期为竣工验收合格之日起2年），质保期满后</w:t>
      </w:r>
      <w:r>
        <w:rPr>
          <w:rFonts w:hint="eastAsia" w:ascii="仿宋" w:hAnsi="仿宋" w:eastAsia="仿宋" w:cs="仿宋"/>
          <w:color w:val="auto"/>
          <w:szCs w:val="21"/>
          <w:highlight w:val="none"/>
          <w:u w:val="single"/>
          <w:lang w:val="en-US" w:eastAsia="zh-CN"/>
        </w:rPr>
        <w:t>甲方</w:t>
      </w:r>
      <w:r>
        <w:rPr>
          <w:rFonts w:hint="eastAsia" w:ascii="仿宋" w:hAnsi="仿宋" w:eastAsia="仿宋" w:cs="仿宋"/>
          <w:color w:val="auto"/>
          <w:szCs w:val="21"/>
          <w:highlight w:val="none"/>
          <w:u w:val="single"/>
          <w:lang w:val="zh-CN"/>
        </w:rPr>
        <w:t>无息退还质量保障金（保函）；</w:t>
      </w:r>
    </w:p>
    <w:p>
      <w:pPr>
        <w:numPr>
          <w:ilvl w:val="0"/>
          <w:numId w:val="21"/>
        </w:num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缺陷责任期为竣工验收合格后 24 个月，缺陷责任期内出现质量问题，</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应负责维修，并承担鉴定及维修费用。如</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不维修也不承担费用，</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可从保证金中扣除，费用超出保证金额的，</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可向</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进行索赔；</w:t>
      </w:r>
    </w:p>
    <w:p>
      <w:pPr>
        <w:numPr>
          <w:ilvl w:val="0"/>
          <w:numId w:val="21"/>
        </w:numPr>
        <w:spacing w:line="360" w:lineRule="auto"/>
        <w:ind w:firstLine="424" w:firstLineChars="202"/>
        <w:rPr>
          <w:rFonts w:hint="eastAsia" w:ascii="仿宋" w:hAnsi="仿宋" w:eastAsia="仿宋" w:cs="仿宋"/>
          <w:color w:val="auto"/>
          <w:szCs w:val="21"/>
          <w:highlight w:val="none"/>
          <w:u w:val="single"/>
          <w:lang w:val="zh-CN"/>
        </w:rPr>
      </w:pP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lang w:val="zh-CN"/>
        </w:rPr>
        <w:t>应向</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lang w:val="zh-CN"/>
        </w:rPr>
        <w:t>提供相应的正规发票，</w:t>
      </w:r>
      <w:r>
        <w:rPr>
          <w:rFonts w:hint="eastAsia" w:ascii="仿宋" w:hAnsi="仿宋" w:eastAsia="仿宋" w:cs="仿宋"/>
          <w:color w:val="auto"/>
          <w:szCs w:val="21"/>
          <w:highlight w:val="none"/>
          <w:u w:val="single"/>
          <w:lang w:val="en-US" w:eastAsia="zh-CN"/>
        </w:rPr>
        <w:t>甲方在收到乙方发票之日起7个工作日内向乙方付款，</w:t>
      </w:r>
      <w:r>
        <w:rPr>
          <w:rFonts w:hint="eastAsia" w:ascii="仿宋" w:hAnsi="仿宋" w:eastAsia="仿宋" w:cs="仿宋"/>
          <w:color w:val="auto"/>
          <w:szCs w:val="21"/>
          <w:highlight w:val="none"/>
          <w:u w:val="single"/>
          <w:lang w:val="zh-CN"/>
        </w:rPr>
        <w:t>否则</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lang w:val="zh-CN"/>
        </w:rPr>
        <w:t>有权拒绝付款并不承担任何违约责任，且有权</w:t>
      </w:r>
      <w:r>
        <w:rPr>
          <w:rFonts w:hint="eastAsia" w:ascii="仿宋" w:hAnsi="仿宋" w:eastAsia="仿宋" w:cs="仿宋"/>
          <w:color w:val="auto"/>
          <w:szCs w:val="21"/>
          <w:highlight w:val="none"/>
          <w:u w:val="single"/>
        </w:rPr>
        <w:t>要</w:t>
      </w:r>
      <w:r>
        <w:rPr>
          <w:rFonts w:hint="eastAsia" w:ascii="仿宋" w:hAnsi="仿宋" w:eastAsia="仿宋" w:cs="仿宋"/>
          <w:color w:val="auto"/>
          <w:szCs w:val="21"/>
          <w:highlight w:val="none"/>
          <w:u w:val="single"/>
          <w:lang w:val="zh-CN"/>
        </w:rPr>
        <w:t>求</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lang w:val="zh-CN"/>
        </w:rPr>
        <w:t>继续履行本合同项下义务。</w:t>
      </w:r>
    </w:p>
    <w:p>
      <w:pPr>
        <w:numPr>
          <w:ilvl w:val="0"/>
          <w:numId w:val="21"/>
        </w:num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必须按时支付民工工资，并且</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有监督的权利，如果</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未按规定支付，</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有权直接从工程结算款中扣除该费用，用于直接支付民工工资，由此造成的后果与损失应由</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承担。因</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拒付民工工资，致使发生矛盾冲突，造成</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工作秩序受到不利影响的，视为</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迟延履行义务，应依据本合同专用条款第7.5.2之规定承担迟延履行的违约责任。</w:t>
      </w:r>
    </w:p>
    <w:p>
      <w:pPr>
        <w:numPr>
          <w:ilvl w:val="0"/>
          <w:numId w:val="21"/>
        </w:numPr>
        <w:spacing w:line="360" w:lineRule="auto"/>
        <w:ind w:firstLine="424" w:firstLineChars="202"/>
        <w:rPr>
          <w:rFonts w:hint="eastAsia" w:ascii="仿宋" w:hAnsi="仿宋" w:eastAsia="仿宋" w:cs="仿宋"/>
          <w:color w:val="auto"/>
          <w:highlight w:val="none"/>
        </w:rPr>
      </w:pPr>
      <w:r>
        <w:rPr>
          <w:rFonts w:hint="eastAsia" w:ascii="仿宋" w:hAnsi="仿宋" w:eastAsia="仿宋" w:cs="仿宋"/>
          <w:color w:val="auto"/>
          <w:szCs w:val="21"/>
          <w:highlight w:val="none"/>
          <w:u w:val="single"/>
        </w:rPr>
        <w:t>审计完成后10个工作日内，</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需向</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支付2‰的工程审计价作为水电等使用费用</w:t>
      </w:r>
      <w:r>
        <w:rPr>
          <w:rFonts w:hint="eastAsia" w:ascii="仿宋" w:hAnsi="仿宋" w:eastAsia="仿宋" w:cs="仿宋"/>
          <w:color w:val="auto"/>
          <w:szCs w:val="21"/>
          <w:highlight w:val="none"/>
          <w:u w:val="single"/>
          <w:lang w:val="zh-CN"/>
        </w:rPr>
        <w:t>。</w:t>
      </w:r>
    </w:p>
    <w:p>
      <w:pPr>
        <w:numPr>
          <w:ilvl w:val="0"/>
          <w:numId w:val="21"/>
        </w:num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lang w:val="zh-CN"/>
        </w:rPr>
        <w:t>上述款项支付均不计息</w:t>
      </w:r>
      <w:r>
        <w:rPr>
          <w:rFonts w:hint="eastAsia" w:ascii="仿宋" w:hAnsi="仿宋" w:eastAsia="仿宋" w:cs="仿宋"/>
          <w:color w:val="auto"/>
          <w:szCs w:val="21"/>
          <w:highlight w:val="none"/>
          <w:lang w:val="zh-CN"/>
        </w:rPr>
        <w:t>。</w:t>
      </w:r>
    </w:p>
    <w:p>
      <w:pPr>
        <w:numPr>
          <w:ilvl w:val="0"/>
          <w:numId w:val="21"/>
        </w:num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工程款支付前</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需要向</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提供相应增值税专用发票，提供发票后付款。</w:t>
      </w:r>
    </w:p>
    <w:p>
      <w:pPr>
        <w:numPr>
          <w:ilvl w:val="0"/>
          <w:numId w:val="21"/>
        </w:numPr>
        <w:spacing w:line="360" w:lineRule="auto"/>
        <w:ind w:firstLine="424" w:firstLineChars="202"/>
        <w:rPr>
          <w:rFonts w:hint="eastAsia" w:ascii="仿宋" w:hAnsi="仿宋" w:eastAsia="仿宋" w:cs="仿宋"/>
          <w:color w:val="auto"/>
          <w:highlight w:val="none"/>
        </w:rPr>
      </w:pPr>
      <w:r>
        <w:rPr>
          <w:rFonts w:hint="eastAsia" w:ascii="仿宋" w:hAnsi="仿宋" w:eastAsia="仿宋" w:cs="仿宋"/>
          <w:color w:val="auto"/>
          <w:szCs w:val="21"/>
          <w:highlight w:val="none"/>
          <w:u w:val="single"/>
        </w:rPr>
        <w:t>上述各项费用的每笔款项支付前，</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必须提供收款单位与本合同签订单位一致的正规、等额、合法、有效的工程发票，否则</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有权拒绝付款并不承担逾期付款的违约责任。</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12.4.2 进度付款申请单的编制</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关于进度付款申请单编制的约定：</w:t>
      </w:r>
      <w:r>
        <w:rPr>
          <w:rFonts w:hint="eastAsia" w:ascii="仿宋" w:hAnsi="仿宋" w:eastAsia="仿宋" w:cs="仿宋"/>
          <w:color w:val="auto"/>
          <w:szCs w:val="21"/>
          <w:highlight w:val="none"/>
          <w:u w:val="single"/>
        </w:rPr>
        <w:t>按通用条款执行。</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12.4.3 进度付款申请单的提交</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（1）单价合同进度付款申请单提交的约定：</w:t>
      </w:r>
      <w:r>
        <w:rPr>
          <w:rFonts w:hint="eastAsia" w:ascii="仿宋" w:hAnsi="仿宋" w:eastAsia="仿宋" w:cs="仿宋"/>
          <w:color w:val="auto"/>
          <w:szCs w:val="21"/>
          <w:highlight w:val="none"/>
          <w:u w:val="single"/>
        </w:rPr>
        <w:t>按通用条款执行</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（2）总价合同进度付款申请单提交的约定：</w:t>
      </w:r>
      <w:r>
        <w:rPr>
          <w:rFonts w:hint="eastAsia" w:ascii="仿宋" w:hAnsi="仿宋" w:eastAsia="仿宋" w:cs="仿宋"/>
          <w:color w:val="auto"/>
          <w:szCs w:val="21"/>
          <w:highlight w:val="none"/>
          <w:u w:val="single"/>
        </w:rPr>
        <w:t xml:space="preserve">        /       。</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（3）其他价格形式合同进度付款申请单提交的约定：</w:t>
      </w:r>
      <w:r>
        <w:rPr>
          <w:rFonts w:hint="eastAsia" w:ascii="仿宋" w:hAnsi="仿宋" w:eastAsia="仿宋" w:cs="仿宋"/>
          <w:color w:val="auto"/>
          <w:szCs w:val="21"/>
          <w:highlight w:val="none"/>
          <w:u w:val="single"/>
        </w:rPr>
        <w:t xml:space="preserve">       /       。</w:t>
      </w:r>
    </w:p>
    <w:p>
      <w:pPr>
        <w:adjustRightInd w:val="0"/>
        <w:snapToGrid w:val="0"/>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12.4.4 进度款审核和支付</w:t>
      </w:r>
    </w:p>
    <w:p>
      <w:pPr>
        <w:adjustRightInd w:val="0"/>
        <w:snapToGrid w:val="0"/>
        <w:spacing w:line="360" w:lineRule="auto"/>
        <w:ind w:firstLine="420" w:firstLineChars="200"/>
        <w:jc w:val="lef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（1）监理人审查并报送</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的期限：</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adjustRightInd w:val="0"/>
        <w:snapToGrid w:val="0"/>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完成审批并签发进度款支付证书的期限：</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adjustRightInd w:val="0"/>
        <w:snapToGrid w:val="0"/>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支付进度款的期限：</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adjustRightInd w:val="0"/>
        <w:snapToGrid w:val="0"/>
        <w:spacing w:line="360" w:lineRule="auto"/>
        <w:ind w:firstLine="525" w:firstLineChars="25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逾期支付进度款的违约金的计算方式：</w:t>
      </w:r>
      <w:r>
        <w:rPr>
          <w:rFonts w:hint="eastAsia" w:ascii="仿宋" w:hAnsi="仿宋" w:eastAsia="仿宋" w:cs="仿宋"/>
          <w:color w:val="auto"/>
          <w:szCs w:val="21"/>
          <w:highlight w:val="none"/>
          <w:u w:val="single"/>
        </w:rPr>
        <w:t xml:space="preserve">   不承担违约责任</w:t>
      </w:r>
      <w:r>
        <w:rPr>
          <w:rFonts w:hint="eastAsia" w:ascii="仿宋" w:hAnsi="仿宋" w:eastAsia="仿宋" w:cs="仿宋"/>
          <w:color w:val="auto"/>
          <w:szCs w:val="21"/>
          <w:highlight w:val="none"/>
        </w:rPr>
        <w:t>。</w:t>
      </w:r>
    </w:p>
    <w:p>
      <w:pPr>
        <w:adjustRightInd w:val="0"/>
        <w:snapToGrid w:val="0"/>
        <w:spacing w:line="360" w:lineRule="auto"/>
        <w:ind w:firstLine="525" w:firstLineChars="25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12.4.5 支付分解表的编制</w:t>
      </w:r>
    </w:p>
    <w:p>
      <w:pPr>
        <w:adjustRightInd w:val="0"/>
        <w:snapToGrid w:val="0"/>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（1）、总价合同支付分解表的编制与审批：</w:t>
      </w:r>
      <w:r>
        <w:rPr>
          <w:rFonts w:hint="eastAsia" w:ascii="仿宋" w:hAnsi="仿宋" w:eastAsia="仿宋" w:cs="仿宋"/>
          <w:color w:val="auto"/>
          <w:szCs w:val="21"/>
          <w:highlight w:val="none"/>
          <w:u w:val="single"/>
        </w:rPr>
        <w:t xml:space="preserve">按通用合同条款约定 </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（2）、单价合同的总价项目支付分解表的编制与审批：</w:t>
      </w:r>
      <w:r>
        <w:rPr>
          <w:rFonts w:hint="eastAsia" w:ascii="仿宋" w:hAnsi="仿宋" w:eastAsia="仿宋" w:cs="仿宋"/>
          <w:color w:val="auto"/>
          <w:szCs w:val="21"/>
          <w:highlight w:val="none"/>
          <w:u w:val="single"/>
        </w:rPr>
        <w:t xml:space="preserve">按通用合同条款约定 </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13. 验收和工程试车</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13.1 分部分项工程验收</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13.1.</w:t>
      </w:r>
      <w:r>
        <w:rPr>
          <w:rFonts w:hint="eastAsia" w:ascii="仿宋" w:hAnsi="仿宋" w:eastAsia="仿宋" w:cs="仿宋"/>
          <w:color w:val="auto"/>
          <w:szCs w:val="21"/>
          <w:highlight w:val="none"/>
          <w:u w:val="none"/>
        </w:rPr>
        <w:t>1</w:t>
      </w:r>
      <w:r>
        <w:rPr>
          <w:rFonts w:hint="eastAsia" w:ascii="仿宋" w:hAnsi="仿宋" w:eastAsia="仿宋" w:cs="仿宋"/>
          <w:color w:val="auto"/>
          <w:szCs w:val="21"/>
          <w:highlight w:val="none"/>
        </w:rPr>
        <w:t>监理人不能按时进行验收时，应提前24小时向</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提交书面延期要求。</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13.1.2关于延期最长不得超过：</w:t>
      </w:r>
      <w:r>
        <w:rPr>
          <w:rFonts w:hint="eastAsia" w:ascii="仿宋" w:hAnsi="仿宋" w:eastAsia="仿宋" w:cs="仿宋"/>
          <w:color w:val="auto"/>
          <w:szCs w:val="21"/>
          <w:highlight w:val="none"/>
          <w:u w:val="single"/>
        </w:rPr>
        <w:t xml:space="preserve">  48  </w:t>
      </w:r>
      <w:r>
        <w:rPr>
          <w:rFonts w:hint="eastAsia" w:ascii="仿宋" w:hAnsi="仿宋" w:eastAsia="仿宋" w:cs="仿宋"/>
          <w:color w:val="auto"/>
          <w:szCs w:val="21"/>
          <w:highlight w:val="none"/>
        </w:rPr>
        <w:t>小时。</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13.2 竣工验收</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13.2.1竣工验收程序</w:t>
      </w:r>
    </w:p>
    <w:p>
      <w:pPr>
        <w:pStyle w:val="30"/>
        <w:adjustRightInd w:val="0"/>
        <w:snapToGrid w:val="0"/>
        <w:spacing w:line="360" w:lineRule="auto"/>
        <w:ind w:firstLine="420" w:firstLineChars="20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（1）关于竣工验收程序的约定：</w:t>
      </w:r>
      <w:r>
        <w:rPr>
          <w:rFonts w:hint="eastAsia" w:ascii="仿宋" w:hAnsi="仿宋" w:eastAsia="仿宋" w:cs="仿宋"/>
          <w:color w:val="auto"/>
          <w:sz w:val="21"/>
          <w:szCs w:val="21"/>
          <w:highlight w:val="none"/>
          <w:u w:val="single"/>
        </w:rPr>
        <w:t>按通用合同条款约定和政府有关规定</w:t>
      </w:r>
      <w:r>
        <w:rPr>
          <w:rFonts w:hint="eastAsia" w:ascii="仿宋" w:hAnsi="仿宋" w:eastAsia="仿宋" w:cs="仿宋"/>
          <w:b/>
          <w:bCs/>
          <w:color w:val="auto"/>
          <w:sz w:val="21"/>
          <w:szCs w:val="21"/>
          <w:highlight w:val="none"/>
        </w:rPr>
        <w:t>。</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（2）竣工验收前十天</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向</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提供竣工图、竣工资料及竣工验收报告，一式五份，并附光盘。</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收到</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提交的竣工验收报告及竣工验收资料后，认为工程尚不具备竣工验收条件或</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提交人竣工验收资料不完整的，有权不组织竣工验收，直至工程符合工程竣工验收条件或竣工验收资料完整。若工程验收时，竣工验收资料尚不完整，或不完全符合主管部门要求的，工程竣工验收通过后，</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仍应按要求提交完整的符合要求的竣工资料。</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应在</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指定的时间内向</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提供符合存档备案要求的竣工图、竣工资料及竣工验收报告等，并有义务配合</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将该些资料存档备案，否则，每逾期一天，</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应按照人民币1000元向</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支付违约金，且</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有权拒付工程款。</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13.2.2移交、接收全部与部分工程</w:t>
      </w:r>
    </w:p>
    <w:p>
      <w:pPr>
        <w:adjustRightInd w:val="0"/>
        <w:snapToGrid w:val="0"/>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向</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移交工程的期限：</w:t>
      </w:r>
      <w:r>
        <w:rPr>
          <w:rFonts w:hint="eastAsia" w:ascii="仿宋" w:hAnsi="仿宋" w:eastAsia="仿宋" w:cs="仿宋"/>
          <w:color w:val="auto"/>
          <w:szCs w:val="21"/>
          <w:highlight w:val="none"/>
          <w:u w:val="single"/>
        </w:rPr>
        <w:t xml:space="preserve"> 不得迟于验收合格日后十五天 </w:t>
      </w:r>
      <w:r>
        <w:rPr>
          <w:rFonts w:hint="eastAsia" w:ascii="仿宋" w:hAnsi="仿宋" w:eastAsia="仿宋" w:cs="仿宋"/>
          <w:color w:val="auto"/>
          <w:szCs w:val="21"/>
          <w:highlight w:val="none"/>
        </w:rPr>
        <w:t>。</w:t>
      </w:r>
    </w:p>
    <w:p>
      <w:pPr>
        <w:adjustRightInd w:val="0"/>
        <w:snapToGrid w:val="0"/>
        <w:spacing w:line="360" w:lineRule="auto"/>
        <w:ind w:firstLine="420" w:firstLineChars="200"/>
        <w:jc w:val="lef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未按本合同约定接收全部或部分工程的，违约金的计算方法为：</w:t>
      </w:r>
      <w:r>
        <w:rPr>
          <w:rFonts w:hint="eastAsia" w:ascii="仿宋" w:hAnsi="仿宋" w:eastAsia="仿宋" w:cs="仿宋"/>
          <w:color w:val="auto"/>
          <w:szCs w:val="21"/>
          <w:highlight w:val="none"/>
          <w:u w:val="single"/>
        </w:rPr>
        <w:t xml:space="preserve"> 按政府有关规定。</w:t>
      </w:r>
    </w:p>
    <w:p>
      <w:pPr>
        <w:adjustRightInd w:val="0"/>
        <w:snapToGrid w:val="0"/>
        <w:spacing w:line="360" w:lineRule="auto"/>
        <w:ind w:firstLine="420" w:firstLineChars="200"/>
        <w:jc w:val="lef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未按时移交工程的，违约金的计算方法为：</w:t>
      </w:r>
      <w:r>
        <w:rPr>
          <w:rFonts w:hint="eastAsia" w:ascii="仿宋" w:hAnsi="仿宋" w:eastAsia="仿宋" w:cs="仿宋"/>
          <w:color w:val="auto"/>
          <w:szCs w:val="21"/>
          <w:highlight w:val="none"/>
          <w:u w:val="single"/>
        </w:rPr>
        <w:t>本工程竣工后严禁“三拖”（拖竣工验收、拖竣工资料、拖工程移交）。否则</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有权依据监理人出具的鉴定结论书，自行组织有关部门验收，并提出整改意见。</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必须严格按要求整改，并承担整改费用；如</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拒绝按</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提出的要求整改，</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有权另请他人整改，由此发生的整改费用从未付工程款中扣除，不足部分</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有权向</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追偿。当验收通过后具备交付使用条件时，</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不得以任何借口拒绝移交工程，否则，</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有权直接接收全部已完工和未完工的工程，由此发生的一切后果，由</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负责</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13.3 工程试车</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13.3.1 试车程序</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工程试车内容：</w:t>
      </w:r>
      <w:r>
        <w:rPr>
          <w:rFonts w:hint="eastAsia" w:ascii="仿宋" w:hAnsi="仿宋" w:eastAsia="仿宋" w:cs="仿宋"/>
          <w:color w:val="auto"/>
          <w:szCs w:val="21"/>
          <w:highlight w:val="none"/>
          <w:u w:val="single"/>
        </w:rPr>
        <w:t>试车内容应与</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承包范围相一致，试车费用由</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承担。</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（1）单机无负荷试车费用由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承担；</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（2）无负荷联动试车费用由</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承担。</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13.3.2 投料试车</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关于投料试车相关事项的约定：</w:t>
      </w:r>
      <w:r>
        <w:rPr>
          <w:rFonts w:hint="eastAsia" w:ascii="仿宋" w:hAnsi="仿宋" w:eastAsia="仿宋" w:cs="仿宋"/>
          <w:color w:val="auto"/>
          <w:szCs w:val="21"/>
          <w:highlight w:val="none"/>
          <w:u w:val="single"/>
        </w:rPr>
        <w:t xml:space="preserve">  /  。</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13.4 竣工退场</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13.4.1 竣工退场</w:t>
      </w:r>
    </w:p>
    <w:p>
      <w:pPr>
        <w:pStyle w:val="30"/>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乙方</w:t>
      </w:r>
      <w:r>
        <w:rPr>
          <w:rFonts w:hint="eastAsia" w:ascii="仿宋" w:hAnsi="仿宋" w:eastAsia="仿宋" w:cs="仿宋"/>
          <w:color w:val="auto"/>
          <w:sz w:val="21"/>
          <w:szCs w:val="21"/>
          <w:highlight w:val="none"/>
        </w:rPr>
        <w:t>完成竣工退场的期限：</w:t>
      </w:r>
      <w:r>
        <w:rPr>
          <w:rFonts w:hint="eastAsia" w:ascii="仿宋" w:hAnsi="仿宋" w:eastAsia="仿宋" w:cs="仿宋"/>
          <w:color w:val="auto"/>
          <w:sz w:val="21"/>
          <w:szCs w:val="21"/>
          <w:highlight w:val="none"/>
          <w:u w:val="single"/>
        </w:rPr>
        <w:t xml:space="preserve"> 竣工验收通过10天内  </w:t>
      </w:r>
      <w:r>
        <w:rPr>
          <w:rFonts w:hint="eastAsia" w:ascii="仿宋" w:hAnsi="仿宋" w:eastAsia="仿宋" w:cs="仿宋"/>
          <w:color w:val="auto"/>
          <w:sz w:val="21"/>
          <w:szCs w:val="21"/>
          <w:highlight w:val="none"/>
        </w:rPr>
        <w:t>。</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（2）竣工退场其他要求：</w:t>
      </w:r>
      <w:r>
        <w:rPr>
          <w:rFonts w:hint="eastAsia" w:ascii="仿宋" w:hAnsi="仿宋" w:eastAsia="仿宋" w:cs="仿宋"/>
          <w:color w:val="auto"/>
          <w:szCs w:val="21"/>
          <w:highlight w:val="none"/>
          <w:u w:val="single"/>
        </w:rPr>
        <w:t>及时清理施工现场（土地红线）内或明显属于本工程所有的成品、半成品材料、施工机具、少渣土及建筑垃圾等，符合项目正常使用要求。及时清理场地内、场地外以本工程施工名义搭设的施工临时设施、建（构）筑物，并恢复原样。</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14. 竣工结算</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14.1 竣工结算申请</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提交竣工结算申请单的期限：</w:t>
      </w:r>
      <w:r>
        <w:rPr>
          <w:rFonts w:hint="eastAsia" w:ascii="仿宋" w:hAnsi="仿宋" w:eastAsia="仿宋" w:cs="仿宋"/>
          <w:color w:val="auto"/>
          <w:szCs w:val="21"/>
          <w:highlight w:val="none"/>
          <w:u w:val="single"/>
        </w:rPr>
        <w:t>在收到工程接收证书后30天内。</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（2）竣工结算申请单应包括的内容：</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提交竣工结算申请单应当符合浙江省建设工程造价咨询成果操作规程关于结算技术文件的规定格式要求和合同通用条款的要求。</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提交竣工结算申请单应当同时附有经监理工程师确认完整的工程竣工验收资料移交清单和工程合同履行文件移交清单。</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14.2 竣工结算审核</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审批竣工结算申请单的期限：</w:t>
      </w:r>
      <w:r>
        <w:rPr>
          <w:rFonts w:hint="eastAsia" w:ascii="仿宋" w:hAnsi="仿宋" w:eastAsia="仿宋" w:cs="仿宋"/>
          <w:color w:val="auto"/>
          <w:szCs w:val="21"/>
          <w:highlight w:val="none"/>
          <w:u w:val="single"/>
        </w:rPr>
        <w:t>在签发竣工付款证书后的14天内。</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完成竣工付款的期限：</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书面通知</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开具收款发票，在收到发票后7天内支付。</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（3）关于竣工付款证书异议部分复核的方式和程序：</w:t>
      </w:r>
      <w:r>
        <w:rPr>
          <w:rFonts w:hint="eastAsia" w:ascii="仿宋" w:hAnsi="仿宋" w:eastAsia="仿宋" w:cs="仿宋"/>
          <w:color w:val="auto"/>
          <w:szCs w:val="21"/>
          <w:highlight w:val="none"/>
          <w:u w:val="single"/>
        </w:rPr>
        <w:t>按本合同通用条款执行。</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14.3 最终结清</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14.3.1 最终结清申请单</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提交最终结清申请单的份数：</w:t>
      </w:r>
      <w:r>
        <w:rPr>
          <w:rFonts w:hint="eastAsia" w:ascii="仿宋" w:hAnsi="仿宋" w:eastAsia="仿宋" w:cs="仿宋"/>
          <w:color w:val="auto"/>
          <w:szCs w:val="21"/>
          <w:highlight w:val="none"/>
          <w:u w:val="single"/>
        </w:rPr>
        <w:t xml:space="preserve">    8份   。</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提交最终结算申请单的期限：</w:t>
      </w:r>
      <w:r>
        <w:rPr>
          <w:rFonts w:hint="eastAsia" w:ascii="仿宋" w:hAnsi="仿宋" w:eastAsia="仿宋" w:cs="仿宋"/>
          <w:color w:val="auto"/>
          <w:szCs w:val="21"/>
          <w:highlight w:val="none"/>
          <w:u w:val="single"/>
        </w:rPr>
        <w:t xml:space="preserve">   缺陷责任期终止证书颁发后7天内   </w:t>
      </w:r>
      <w:r>
        <w:rPr>
          <w:rFonts w:hint="eastAsia" w:ascii="仿宋" w:hAnsi="仿宋" w:eastAsia="仿宋" w:cs="仿宋"/>
          <w:color w:val="auto"/>
          <w:szCs w:val="21"/>
          <w:highlight w:val="none"/>
        </w:rPr>
        <w:t xml:space="preserve">。 </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14.3.2 最终结清证书和支付</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完成最终结清申请单的审批并颁发最终结清证书的期限：</w:t>
      </w:r>
      <w:r>
        <w:rPr>
          <w:rFonts w:hint="eastAsia" w:ascii="仿宋" w:hAnsi="仿宋" w:eastAsia="仿宋" w:cs="仿宋"/>
          <w:color w:val="auto"/>
          <w:szCs w:val="21"/>
          <w:highlight w:val="none"/>
          <w:u w:val="single"/>
        </w:rPr>
        <w:t xml:space="preserve">  收到</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提交的最终结清申请单后7天内完成审批。</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完成支付的期限：</w:t>
      </w:r>
      <w:r>
        <w:rPr>
          <w:rFonts w:hint="eastAsia" w:ascii="仿宋" w:hAnsi="仿宋" w:eastAsia="仿宋" w:cs="仿宋"/>
          <w:color w:val="auto"/>
          <w:szCs w:val="21"/>
          <w:highlight w:val="none"/>
          <w:u w:val="single"/>
        </w:rPr>
        <w:t xml:space="preserve"> 颁发最终结清证书后7天内启动支付程序。</w:t>
      </w:r>
      <w:r>
        <w:rPr>
          <w:rFonts w:hint="eastAsia" w:ascii="仿宋" w:hAnsi="仿宋" w:eastAsia="仿宋" w:cs="仿宋"/>
          <w:color w:val="auto"/>
          <w:szCs w:val="21"/>
          <w:highlight w:val="none"/>
        </w:rPr>
        <w:t xml:space="preserve"> </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15. 缺陷责任期与保修</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15.1缺陷责任期</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缺陷责任期的具体期限：</w:t>
      </w:r>
      <w:r>
        <w:rPr>
          <w:rFonts w:hint="eastAsia" w:ascii="仿宋" w:hAnsi="仿宋" w:eastAsia="仿宋" w:cs="仿宋"/>
          <w:color w:val="auto"/>
          <w:szCs w:val="21"/>
          <w:highlight w:val="none"/>
          <w:u w:val="single"/>
        </w:rPr>
        <w:t xml:space="preserve">    工程竣工验收合格之日起24个月     。</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15.2 质量保证金</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关于是否扣留质量保证金的约定：</w:t>
      </w:r>
      <w:r>
        <w:rPr>
          <w:rFonts w:hint="eastAsia" w:ascii="仿宋" w:hAnsi="仿宋" w:eastAsia="仿宋" w:cs="仿宋"/>
          <w:color w:val="auto"/>
          <w:szCs w:val="21"/>
          <w:highlight w:val="none"/>
          <w:u w:val="single"/>
        </w:rPr>
        <w:t xml:space="preserve">  是  。</w:t>
      </w:r>
    </w:p>
    <w:p>
      <w:pPr>
        <w:adjustRightInd w:val="0"/>
        <w:snapToGrid w:val="0"/>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15.2.1 </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提供质量保证金的方式</w:t>
      </w:r>
    </w:p>
    <w:p>
      <w:pPr>
        <w:adjustRightInd w:val="0"/>
        <w:snapToGrid w:val="0"/>
        <w:spacing w:line="36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质量保证金采用以下第</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3</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种方式：</w:t>
      </w:r>
    </w:p>
    <w:p>
      <w:pPr>
        <w:autoSpaceDE w:val="0"/>
        <w:autoSpaceDN w:val="0"/>
        <w:adjustRightInd w:val="0"/>
        <w:snapToGrid w:val="0"/>
        <w:spacing w:line="36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（1）质量保证金保函，保证金额为：</w:t>
      </w:r>
      <w:r>
        <w:rPr>
          <w:rFonts w:hint="eastAsia" w:ascii="仿宋" w:hAnsi="仿宋" w:eastAsia="仿宋" w:cs="仿宋"/>
          <w:color w:val="auto"/>
          <w:szCs w:val="21"/>
          <w:highlight w:val="none"/>
          <w:u w:val="single"/>
        </w:rPr>
        <w:t xml:space="preserve"> 审定价的1.5% </w:t>
      </w:r>
      <w:r>
        <w:rPr>
          <w:rFonts w:hint="eastAsia" w:ascii="仿宋" w:hAnsi="仿宋" w:eastAsia="仿宋" w:cs="仿宋"/>
          <w:color w:val="auto"/>
          <w:szCs w:val="21"/>
          <w:highlight w:val="none"/>
        </w:rPr>
        <w:t xml:space="preserve">； </w:t>
      </w:r>
    </w:p>
    <w:p>
      <w:pPr>
        <w:autoSpaceDE w:val="0"/>
        <w:autoSpaceDN w:val="0"/>
        <w:adjustRightInd w:val="0"/>
        <w:snapToGrid w:val="0"/>
        <w:spacing w:line="36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的审定结算价；</w:t>
      </w:r>
    </w:p>
    <w:p>
      <w:pPr>
        <w:autoSpaceDE w:val="0"/>
        <w:autoSpaceDN w:val="0"/>
        <w:adjustRightInd w:val="0"/>
        <w:snapToGrid w:val="0"/>
        <w:spacing w:line="36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（3）其他方式:</w:t>
      </w:r>
      <w:r>
        <w:rPr>
          <w:rFonts w:hint="eastAsia" w:ascii="仿宋" w:hAnsi="仿宋" w:eastAsia="仿宋" w:cs="仿宋"/>
          <w:color w:val="auto"/>
          <w:szCs w:val="21"/>
          <w:highlight w:val="none"/>
          <w:u w:val="single"/>
          <w:lang w:val="en-US" w:eastAsia="zh-CN"/>
        </w:rPr>
        <w:t xml:space="preserve">   /  </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15.3保修</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15.3.1 保修责任</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工程保修期为： 详见工程质量保修书。</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（1）本项目保修期执行《建设工程质量管理条例》及浙江省、杭州市相关保修规定。</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（2）本工程保修期《工程质量保修书》所约定的期间，保修期始于项目正式竣工验收合格的日期。在保修期内</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应无偿对项目进行修理。</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15.3.2修复通知</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收到保修通知并到达工程现场的合理时间：</w:t>
      </w:r>
      <w:bookmarkStart w:id="177" w:name="_Toc32454"/>
      <w:bookmarkEnd w:id="177"/>
      <w:r>
        <w:rPr>
          <w:rFonts w:hint="eastAsia" w:ascii="仿宋" w:hAnsi="仿宋" w:eastAsia="仿宋" w:cs="仿宋"/>
          <w:color w:val="auto"/>
          <w:szCs w:val="21"/>
          <w:highlight w:val="none"/>
          <w:u w:val="single"/>
        </w:rPr>
        <w:t xml:space="preserve"> 一般情况24小时内，紧急情况2小时内（一般情况或紧急情况判断标准以</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通知为准）。</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（1）在保修期内，</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接到</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指令后，应及时赶到现场并采取切实可行的措施进行抢险抢修，完成相关维修工作内容，否则</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有权采取一切措施自行完成，相关费用由</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承担，并扣罚该分部工程质量保证金。</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（2）若因</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未及时安排维修人员到场进行维修，</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有权向</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索赔，且由此所造成的一切损失由</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负责。</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16. 违约</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16.1 </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违约</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16.1.1</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违约的情形</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违约的其他情形：</w:t>
      </w:r>
      <w:r>
        <w:rPr>
          <w:rFonts w:hint="eastAsia" w:ascii="仿宋" w:hAnsi="仿宋" w:eastAsia="仿宋" w:cs="仿宋"/>
          <w:color w:val="auto"/>
          <w:szCs w:val="21"/>
          <w:highlight w:val="none"/>
          <w:u w:val="single"/>
        </w:rPr>
        <w:t xml:space="preserve">  按通用条款。  </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16.1.2 </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违约的责任</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违约责任的承担方式和计算方法：</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（1）因</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原因未能在计划开工日期前7天内下达开工通知的违约责任：</w:t>
      </w:r>
      <w:r>
        <w:rPr>
          <w:rFonts w:hint="eastAsia" w:ascii="仿宋" w:hAnsi="仿宋" w:eastAsia="仿宋" w:cs="仿宋"/>
          <w:color w:val="auto"/>
          <w:szCs w:val="21"/>
          <w:highlight w:val="none"/>
          <w:u w:val="single"/>
        </w:rPr>
        <w:t xml:space="preserve"> 双方另行确定</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（2）因</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原因未能按合同约定支付合同价款的，应承担违约责任。</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违反第10.1款〔变更的范围〕第（2）项约定，自行实施被取消的工作或转由他人实施的违约责任：</w:t>
      </w:r>
      <w:r>
        <w:rPr>
          <w:rFonts w:hint="eastAsia" w:ascii="仿宋" w:hAnsi="仿宋" w:eastAsia="仿宋" w:cs="仿宋"/>
          <w:color w:val="auto"/>
          <w:szCs w:val="21"/>
          <w:highlight w:val="none"/>
          <w:u w:val="single"/>
        </w:rPr>
        <w:t xml:space="preserve">根据项目价值双方另行协商   </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提供的材料、工程设备的规格、数量或质量不符合合同约定，或因</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原因导致交货日期延误或交货地点变更等情况的违约责任：</w:t>
      </w:r>
      <w:r>
        <w:rPr>
          <w:rFonts w:hint="eastAsia" w:ascii="仿宋" w:hAnsi="仿宋" w:eastAsia="仿宋" w:cs="仿宋"/>
          <w:color w:val="auto"/>
          <w:szCs w:val="21"/>
          <w:highlight w:val="none"/>
          <w:u w:val="single"/>
        </w:rPr>
        <w:t>双方另行确定</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（5）因</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违反合同约定造成暂停施工的违约责任：</w:t>
      </w:r>
      <w:r>
        <w:rPr>
          <w:rFonts w:hint="eastAsia" w:ascii="仿宋" w:hAnsi="仿宋" w:eastAsia="仿宋" w:cs="仿宋"/>
          <w:color w:val="auto"/>
          <w:szCs w:val="21"/>
          <w:highlight w:val="none"/>
          <w:u w:val="single"/>
        </w:rPr>
        <w:t>双方另行确定</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（6）</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无正当理由没有在约定期限内发出复工指示，导致</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无法复工的违约责任：</w:t>
      </w:r>
      <w:r>
        <w:rPr>
          <w:rFonts w:hint="eastAsia" w:ascii="仿宋" w:hAnsi="仿宋" w:eastAsia="仿宋" w:cs="仿宋"/>
          <w:color w:val="auto"/>
          <w:szCs w:val="21"/>
          <w:highlight w:val="none"/>
          <w:u w:val="single"/>
        </w:rPr>
        <w:t>双方另行确定</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（7）其他：</w:t>
      </w:r>
      <w:r>
        <w:rPr>
          <w:rFonts w:hint="eastAsia" w:ascii="仿宋" w:hAnsi="仿宋" w:eastAsia="仿宋" w:cs="仿宋"/>
          <w:color w:val="auto"/>
          <w:szCs w:val="21"/>
          <w:highlight w:val="none"/>
          <w:u w:val="single"/>
        </w:rPr>
        <w:t>与工期有抵触的材料设备等延误，</w:t>
      </w:r>
      <w:r>
        <w:rPr>
          <w:rFonts w:hint="eastAsia" w:ascii="仿宋" w:hAnsi="仿宋" w:eastAsia="仿宋" w:cs="仿宋"/>
          <w:color w:val="auto"/>
          <w:highlight w:val="none"/>
          <w:u w:val="single"/>
          <w:lang w:val="en-US" w:eastAsia="zh-CN"/>
        </w:rPr>
        <w:t>乙方</w:t>
      </w:r>
      <w:r>
        <w:rPr>
          <w:rFonts w:hint="eastAsia" w:ascii="仿宋" w:hAnsi="仿宋" w:eastAsia="仿宋" w:cs="仿宋"/>
          <w:color w:val="auto"/>
          <w:szCs w:val="21"/>
          <w:highlight w:val="none"/>
          <w:u w:val="single"/>
        </w:rPr>
        <w:t>应承担工期延误责任</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16.2 </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违约</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16.2.1 </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违约的情形</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违约的其他情形：</w:t>
      </w:r>
      <w:r>
        <w:rPr>
          <w:rFonts w:hint="eastAsia" w:ascii="仿宋" w:hAnsi="仿宋" w:eastAsia="仿宋" w:cs="仿宋"/>
          <w:color w:val="auto"/>
          <w:szCs w:val="21"/>
          <w:highlight w:val="none"/>
          <w:u w:val="single"/>
        </w:rPr>
        <w:t xml:space="preserve"> / </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16.2.2</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违约的责任</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违约责任的承担方式和计算方法：以支付违约金形式直至解除合同，具体计算方法为：</w:t>
      </w:r>
    </w:p>
    <w:p>
      <w:pPr>
        <w:numPr>
          <w:ilvl w:val="0"/>
          <w:numId w:val="22"/>
        </w:num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违反合同约定进行转包或违法分包的，视为合同违约，必须无条件纠正。</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相应的违约金为10000元/次</w:t>
      </w:r>
      <w:r>
        <w:rPr>
          <w:rFonts w:hint="eastAsia" w:ascii="仿宋" w:hAnsi="仿宋" w:eastAsia="仿宋" w:cs="仿宋"/>
          <w:color w:val="auto"/>
          <w:szCs w:val="21"/>
          <w:highlight w:val="none"/>
        </w:rPr>
        <w:t>；</w:t>
      </w:r>
    </w:p>
    <w:p>
      <w:pPr>
        <w:numPr>
          <w:ilvl w:val="0"/>
          <w:numId w:val="22"/>
        </w:num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负责施工需要的所有主材和辅材及工程设备，违反合同约定采购和使用不合格的材料和工程设备的，</w:t>
      </w:r>
      <w:r>
        <w:rPr>
          <w:rFonts w:hint="eastAsia" w:ascii="仿宋" w:hAnsi="仿宋" w:eastAsia="仿宋" w:cs="仿宋"/>
          <w:color w:val="auto"/>
          <w:szCs w:val="21"/>
          <w:highlight w:val="none"/>
          <w:u w:val="single"/>
          <w:lang w:val="en-US" w:eastAsia="zh-CN"/>
        </w:rPr>
        <w:t>乙方</w:t>
      </w:r>
      <w:r>
        <w:rPr>
          <w:rFonts w:hint="eastAsia" w:ascii="仿宋" w:hAnsi="仿宋" w:eastAsia="仿宋" w:cs="仿宋"/>
          <w:color w:val="auto"/>
          <w:szCs w:val="21"/>
          <w:highlight w:val="none"/>
          <w:u w:val="single"/>
        </w:rPr>
        <w:t>必须无条件更换及承担相应费用。</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相应的违约金为5000元/次</w:t>
      </w:r>
      <w:r>
        <w:rPr>
          <w:rFonts w:hint="eastAsia" w:ascii="仿宋" w:hAnsi="仿宋" w:eastAsia="仿宋" w:cs="仿宋"/>
          <w:color w:val="auto"/>
          <w:szCs w:val="21"/>
          <w:highlight w:val="none"/>
        </w:rPr>
        <w:t>；</w:t>
      </w:r>
    </w:p>
    <w:p>
      <w:pPr>
        <w:numPr>
          <w:ilvl w:val="0"/>
          <w:numId w:val="22"/>
        </w:num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因</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原因导致工程质量不符合合同要求的，每次扣罚相应履约保证金的20%，待竣工验收时，质量未达到磋商文件要求或无法通过竣工验收的，</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负责返修，直至达到要求，并扣罚全部相应履约保证金</w:t>
      </w:r>
      <w:r>
        <w:rPr>
          <w:rFonts w:hint="eastAsia" w:ascii="仿宋" w:hAnsi="仿宋" w:eastAsia="仿宋" w:cs="仿宋"/>
          <w:color w:val="auto"/>
          <w:szCs w:val="21"/>
          <w:highlight w:val="none"/>
        </w:rPr>
        <w:t>；</w:t>
      </w:r>
    </w:p>
    <w:p>
      <w:pPr>
        <w:numPr>
          <w:ilvl w:val="0"/>
          <w:numId w:val="22"/>
        </w:num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违反材料与设备专用于工程的约定的，未经批准，私自将按照合同约定进入施工现场的材料或设备撤离施工现场的。</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相应的违约金为1000元/次</w:t>
      </w:r>
      <w:r>
        <w:rPr>
          <w:rFonts w:hint="eastAsia" w:ascii="仿宋" w:hAnsi="仿宋" w:eastAsia="仿宋" w:cs="仿宋"/>
          <w:color w:val="auto"/>
          <w:szCs w:val="21"/>
          <w:highlight w:val="none"/>
        </w:rPr>
        <w:t>；</w:t>
      </w:r>
    </w:p>
    <w:p>
      <w:pPr>
        <w:numPr>
          <w:ilvl w:val="0"/>
          <w:numId w:val="22"/>
        </w:num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未能按施工进度计划及时完成合同约定的工作，造成工期延误的，每延误一天，扣罚原合同款的万分之二，但扣罚总额最多不超过工程合同款的百分之三</w:t>
      </w:r>
      <w:r>
        <w:rPr>
          <w:rFonts w:hint="eastAsia" w:ascii="仿宋" w:hAnsi="仿宋" w:eastAsia="仿宋" w:cs="仿宋"/>
          <w:color w:val="auto"/>
          <w:szCs w:val="21"/>
          <w:highlight w:val="none"/>
        </w:rPr>
        <w:t>；</w:t>
      </w:r>
    </w:p>
    <w:p>
      <w:pPr>
        <w:numPr>
          <w:ilvl w:val="0"/>
          <w:numId w:val="22"/>
        </w:num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在缺陷责任期及保修期内，未能在合理期限内对工程缺陷进行修复，或拒绝按</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要求进行修复的；</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有权另行委托施工单位进行修理或更换，费用从质量保修金中扣除，除非该缺陷是由于人为破坏或合同规定的不可抗因素造成的损坏</w:t>
      </w:r>
      <w:r>
        <w:rPr>
          <w:rFonts w:hint="eastAsia" w:ascii="仿宋" w:hAnsi="仿宋" w:eastAsia="仿宋" w:cs="仿宋"/>
          <w:color w:val="auto"/>
          <w:szCs w:val="21"/>
          <w:highlight w:val="none"/>
        </w:rPr>
        <w:t>；</w:t>
      </w:r>
    </w:p>
    <w:p>
      <w:pPr>
        <w:numPr>
          <w:ilvl w:val="0"/>
          <w:numId w:val="22"/>
        </w:num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明确表示或者以其行为表明不履行合同义务的，</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有权将该工程指定其他单位施工，其发生费用由</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承担</w:t>
      </w:r>
      <w:r>
        <w:rPr>
          <w:rFonts w:hint="eastAsia" w:ascii="仿宋" w:hAnsi="仿宋" w:eastAsia="仿宋" w:cs="仿宋"/>
          <w:color w:val="auto"/>
          <w:szCs w:val="21"/>
          <w:highlight w:val="none"/>
        </w:rPr>
        <w:t>；</w:t>
      </w:r>
    </w:p>
    <w:p>
      <w:pPr>
        <w:pStyle w:val="2"/>
        <w:numPr>
          <w:ilvl w:val="0"/>
          <w:numId w:val="22"/>
        </w:numPr>
        <w:tabs>
          <w:tab w:val="left" w:pos="0"/>
          <w:tab w:val="left" w:pos="390"/>
        </w:tabs>
        <w:autoSpaceDE/>
        <w:autoSpaceDN/>
        <w:snapToGrid/>
        <w:spacing w:line="360" w:lineRule="auto"/>
        <w:ind w:firstLine="424" w:firstLineChars="202"/>
        <w:rPr>
          <w:rFonts w:hint="eastAsia" w:ascii="仿宋" w:hAnsi="仿宋" w:eastAsia="仿宋" w:cs="仿宋"/>
          <w:color w:val="auto"/>
          <w:kern w:val="2"/>
          <w:sz w:val="21"/>
          <w:szCs w:val="21"/>
          <w:highlight w:val="none"/>
          <w:u w:val="single"/>
        </w:rPr>
      </w:pPr>
      <w:r>
        <w:rPr>
          <w:rFonts w:hint="eastAsia" w:ascii="仿宋" w:hAnsi="仿宋" w:eastAsia="仿宋" w:cs="仿宋"/>
          <w:color w:val="auto"/>
          <w:kern w:val="2"/>
          <w:sz w:val="21"/>
          <w:szCs w:val="21"/>
          <w:highlight w:val="none"/>
          <w:u w:val="single"/>
        </w:rPr>
        <w:t>若发生安全事故，一切责任由</w:t>
      </w:r>
      <w:r>
        <w:rPr>
          <w:rFonts w:hint="eastAsia" w:ascii="仿宋" w:hAnsi="仿宋" w:eastAsia="仿宋" w:cs="仿宋"/>
          <w:color w:val="auto"/>
          <w:kern w:val="2"/>
          <w:sz w:val="21"/>
          <w:szCs w:val="21"/>
          <w:highlight w:val="none"/>
          <w:u w:val="single"/>
          <w:lang w:eastAsia="zh-CN"/>
        </w:rPr>
        <w:t>乙方</w:t>
      </w:r>
      <w:r>
        <w:rPr>
          <w:rFonts w:hint="eastAsia" w:ascii="仿宋" w:hAnsi="仿宋" w:eastAsia="仿宋" w:cs="仿宋"/>
          <w:color w:val="auto"/>
          <w:kern w:val="2"/>
          <w:sz w:val="21"/>
          <w:szCs w:val="21"/>
          <w:highlight w:val="none"/>
          <w:u w:val="single"/>
        </w:rPr>
        <w:t>承担，若发生安全生产重大责任事故，扣罚13%的履约保证金，并承担由此给</w:t>
      </w:r>
      <w:r>
        <w:rPr>
          <w:rFonts w:hint="eastAsia" w:ascii="仿宋" w:hAnsi="仿宋" w:eastAsia="仿宋" w:cs="仿宋"/>
          <w:color w:val="auto"/>
          <w:kern w:val="2"/>
          <w:sz w:val="21"/>
          <w:szCs w:val="21"/>
          <w:highlight w:val="none"/>
          <w:u w:val="single"/>
          <w:lang w:eastAsia="zh-CN"/>
        </w:rPr>
        <w:t>甲方</w:t>
      </w:r>
      <w:r>
        <w:rPr>
          <w:rFonts w:hint="eastAsia" w:ascii="仿宋" w:hAnsi="仿宋" w:eastAsia="仿宋" w:cs="仿宋"/>
          <w:color w:val="auto"/>
          <w:kern w:val="2"/>
          <w:sz w:val="21"/>
          <w:szCs w:val="21"/>
          <w:highlight w:val="none"/>
          <w:u w:val="single"/>
        </w:rPr>
        <w:t>造成的损失，该损失包括但不限于因工程延期造成的损失，给第三人造成的损失、</w:t>
      </w:r>
      <w:r>
        <w:rPr>
          <w:rFonts w:hint="eastAsia" w:ascii="仿宋" w:hAnsi="仿宋" w:eastAsia="仿宋" w:cs="仿宋"/>
          <w:color w:val="auto"/>
          <w:kern w:val="2"/>
          <w:sz w:val="21"/>
          <w:szCs w:val="21"/>
          <w:highlight w:val="none"/>
          <w:u w:val="single"/>
          <w:lang w:eastAsia="zh-CN"/>
        </w:rPr>
        <w:t>甲方</w:t>
      </w:r>
      <w:r>
        <w:rPr>
          <w:rFonts w:hint="eastAsia" w:ascii="仿宋" w:hAnsi="仿宋" w:eastAsia="仿宋" w:cs="仿宋"/>
          <w:color w:val="auto"/>
          <w:kern w:val="2"/>
          <w:sz w:val="21"/>
          <w:szCs w:val="21"/>
          <w:highlight w:val="none"/>
          <w:u w:val="single"/>
        </w:rPr>
        <w:t>社会形象受损的损失等；</w:t>
      </w:r>
    </w:p>
    <w:p>
      <w:pPr>
        <w:pStyle w:val="3"/>
        <w:numPr>
          <w:ilvl w:val="0"/>
          <w:numId w:val="22"/>
        </w:numPr>
        <w:spacing w:line="360" w:lineRule="auto"/>
        <w:ind w:firstLine="424" w:firstLineChars="202"/>
        <w:rPr>
          <w:rFonts w:hint="eastAsia" w:ascii="仿宋" w:hAnsi="仿宋" w:eastAsia="仿宋" w:cs="仿宋"/>
          <w:color w:val="auto"/>
          <w:kern w:val="2"/>
          <w:sz w:val="21"/>
          <w:szCs w:val="21"/>
          <w:highlight w:val="none"/>
          <w:u w:val="single"/>
        </w:rPr>
      </w:pPr>
      <w:r>
        <w:rPr>
          <w:rFonts w:hint="eastAsia" w:ascii="仿宋" w:hAnsi="仿宋" w:eastAsia="仿宋" w:cs="仿宋"/>
          <w:color w:val="auto"/>
          <w:kern w:val="2"/>
          <w:sz w:val="21"/>
          <w:szCs w:val="21"/>
          <w:highlight w:val="none"/>
          <w:u w:val="single"/>
        </w:rPr>
        <w:t>在合同实施中，因</w:t>
      </w:r>
      <w:r>
        <w:rPr>
          <w:rFonts w:hint="eastAsia" w:ascii="仿宋" w:hAnsi="仿宋" w:eastAsia="仿宋" w:cs="仿宋"/>
          <w:color w:val="auto"/>
          <w:kern w:val="2"/>
          <w:sz w:val="21"/>
          <w:szCs w:val="21"/>
          <w:highlight w:val="none"/>
          <w:u w:val="single"/>
          <w:lang w:eastAsia="zh-CN"/>
        </w:rPr>
        <w:t>乙方</w:t>
      </w:r>
      <w:r>
        <w:rPr>
          <w:rFonts w:hint="eastAsia" w:ascii="仿宋" w:hAnsi="仿宋" w:eastAsia="仿宋" w:cs="仿宋"/>
          <w:color w:val="auto"/>
          <w:kern w:val="2"/>
          <w:sz w:val="21"/>
          <w:szCs w:val="21"/>
          <w:highlight w:val="none"/>
          <w:u w:val="single"/>
        </w:rPr>
        <w:t>现场管理混乱，工程质量、进度和现场文明施工、安全生产达不到预定计划，</w:t>
      </w:r>
      <w:r>
        <w:rPr>
          <w:rFonts w:hint="eastAsia" w:ascii="仿宋" w:hAnsi="仿宋" w:eastAsia="仿宋" w:cs="仿宋"/>
          <w:color w:val="auto"/>
          <w:kern w:val="2"/>
          <w:sz w:val="21"/>
          <w:szCs w:val="21"/>
          <w:highlight w:val="none"/>
          <w:u w:val="single"/>
          <w:lang w:eastAsia="zh-CN"/>
        </w:rPr>
        <w:t>甲方</w:t>
      </w:r>
      <w:r>
        <w:rPr>
          <w:rFonts w:hint="eastAsia" w:ascii="仿宋" w:hAnsi="仿宋" w:eastAsia="仿宋" w:cs="仿宋"/>
          <w:color w:val="auto"/>
          <w:kern w:val="2"/>
          <w:sz w:val="21"/>
          <w:szCs w:val="21"/>
          <w:highlight w:val="none"/>
          <w:u w:val="single"/>
        </w:rPr>
        <w:t>有权要求调整充实力量，</w:t>
      </w:r>
      <w:r>
        <w:rPr>
          <w:rFonts w:hint="eastAsia" w:ascii="仿宋" w:hAnsi="仿宋" w:eastAsia="仿宋" w:cs="仿宋"/>
          <w:color w:val="auto"/>
          <w:kern w:val="2"/>
          <w:sz w:val="21"/>
          <w:szCs w:val="21"/>
          <w:highlight w:val="none"/>
          <w:u w:val="single"/>
          <w:lang w:eastAsia="zh-CN"/>
        </w:rPr>
        <w:t>乙方</w:t>
      </w:r>
      <w:r>
        <w:rPr>
          <w:rFonts w:hint="eastAsia" w:ascii="仿宋" w:hAnsi="仿宋" w:eastAsia="仿宋" w:cs="仿宋"/>
          <w:color w:val="auto"/>
          <w:kern w:val="2"/>
          <w:sz w:val="21"/>
          <w:szCs w:val="21"/>
          <w:highlight w:val="none"/>
          <w:u w:val="single"/>
        </w:rPr>
        <w:t>必须无条件接受；当上述措施无效或者</w:t>
      </w:r>
      <w:r>
        <w:rPr>
          <w:rFonts w:hint="eastAsia" w:ascii="仿宋" w:hAnsi="仿宋" w:eastAsia="仿宋" w:cs="仿宋"/>
          <w:color w:val="auto"/>
          <w:kern w:val="2"/>
          <w:sz w:val="21"/>
          <w:szCs w:val="21"/>
          <w:highlight w:val="none"/>
          <w:u w:val="single"/>
          <w:lang w:eastAsia="zh-CN"/>
        </w:rPr>
        <w:t>乙方</w:t>
      </w:r>
      <w:r>
        <w:rPr>
          <w:rFonts w:hint="eastAsia" w:ascii="仿宋" w:hAnsi="仿宋" w:eastAsia="仿宋" w:cs="仿宋"/>
          <w:color w:val="auto"/>
          <w:kern w:val="2"/>
          <w:sz w:val="21"/>
          <w:szCs w:val="21"/>
          <w:highlight w:val="none"/>
          <w:u w:val="single"/>
        </w:rPr>
        <w:t>拒绝时，扣罚2%的履约保证金，直至终止合同，并承担由此引起的一系列经济损失；</w:t>
      </w:r>
    </w:p>
    <w:p>
      <w:pPr>
        <w:numPr>
          <w:ilvl w:val="0"/>
          <w:numId w:val="22"/>
        </w:numPr>
        <w:spacing w:line="360" w:lineRule="auto"/>
        <w:ind w:firstLine="424" w:firstLineChars="202"/>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rPr>
        <w:t>如果</w:t>
      </w:r>
      <w:r>
        <w:rPr>
          <w:rFonts w:hint="eastAsia" w:ascii="仿宋" w:hAnsi="仿宋" w:eastAsia="仿宋" w:cs="仿宋"/>
          <w:color w:val="auto"/>
          <w:sz w:val="21"/>
          <w:szCs w:val="21"/>
          <w:highlight w:val="none"/>
          <w:u w:val="single"/>
          <w:lang w:eastAsia="zh-CN"/>
        </w:rPr>
        <w:t>乙方</w:t>
      </w:r>
      <w:r>
        <w:rPr>
          <w:rFonts w:hint="eastAsia" w:ascii="仿宋" w:hAnsi="仿宋" w:eastAsia="仿宋" w:cs="仿宋"/>
          <w:color w:val="auto"/>
          <w:sz w:val="21"/>
          <w:szCs w:val="21"/>
          <w:highlight w:val="none"/>
          <w:u w:val="single"/>
        </w:rPr>
        <w:t>故意拖延工期累计达到30天以上，</w:t>
      </w:r>
      <w:r>
        <w:rPr>
          <w:rFonts w:hint="eastAsia" w:ascii="仿宋" w:hAnsi="仿宋" w:eastAsia="仿宋" w:cs="仿宋"/>
          <w:color w:val="auto"/>
          <w:sz w:val="21"/>
          <w:szCs w:val="21"/>
          <w:highlight w:val="none"/>
          <w:u w:val="single"/>
          <w:lang w:eastAsia="zh-CN"/>
        </w:rPr>
        <w:t>甲方</w:t>
      </w:r>
      <w:r>
        <w:rPr>
          <w:rFonts w:hint="eastAsia" w:ascii="仿宋" w:hAnsi="仿宋" w:eastAsia="仿宋" w:cs="仿宋"/>
          <w:color w:val="auto"/>
          <w:sz w:val="21"/>
          <w:szCs w:val="21"/>
          <w:highlight w:val="none"/>
          <w:u w:val="single"/>
        </w:rPr>
        <w:t>有权单方终止合同，并扣罚</w:t>
      </w:r>
      <w:r>
        <w:rPr>
          <w:rFonts w:hint="eastAsia" w:ascii="仿宋" w:hAnsi="仿宋" w:eastAsia="仿宋" w:cs="仿宋"/>
          <w:color w:val="auto"/>
          <w:sz w:val="21"/>
          <w:szCs w:val="21"/>
          <w:highlight w:val="none"/>
          <w:u w:val="single"/>
          <w:lang w:eastAsia="zh-CN"/>
        </w:rPr>
        <w:t>乙方</w:t>
      </w:r>
      <w:r>
        <w:rPr>
          <w:rFonts w:hint="eastAsia" w:ascii="仿宋" w:hAnsi="仿宋" w:eastAsia="仿宋" w:cs="仿宋"/>
          <w:color w:val="auto"/>
          <w:sz w:val="21"/>
          <w:szCs w:val="21"/>
          <w:highlight w:val="none"/>
          <w:u w:val="single"/>
        </w:rPr>
        <w:t>全部履约保证金。造成其他损失的，</w:t>
      </w:r>
      <w:r>
        <w:rPr>
          <w:rFonts w:hint="eastAsia" w:ascii="仿宋" w:hAnsi="仿宋" w:eastAsia="仿宋" w:cs="仿宋"/>
          <w:color w:val="auto"/>
          <w:sz w:val="21"/>
          <w:szCs w:val="21"/>
          <w:highlight w:val="none"/>
          <w:u w:val="single"/>
          <w:lang w:eastAsia="zh-CN"/>
        </w:rPr>
        <w:t>甲方</w:t>
      </w:r>
      <w:r>
        <w:rPr>
          <w:rFonts w:hint="eastAsia" w:ascii="仿宋" w:hAnsi="仿宋" w:eastAsia="仿宋" w:cs="仿宋"/>
          <w:color w:val="auto"/>
          <w:sz w:val="21"/>
          <w:szCs w:val="21"/>
          <w:highlight w:val="none"/>
          <w:u w:val="single"/>
        </w:rPr>
        <w:t>保留追偿的权利；</w:t>
      </w:r>
    </w:p>
    <w:p>
      <w:pPr>
        <w:spacing w:line="360" w:lineRule="auto"/>
        <w:ind w:firstLine="424" w:firstLineChars="202"/>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16.2.3 因</w:t>
      </w:r>
      <w:r>
        <w:rPr>
          <w:rFonts w:hint="eastAsia" w:ascii="仿宋" w:hAnsi="仿宋" w:eastAsia="仿宋" w:cs="仿宋"/>
          <w:color w:val="auto"/>
          <w:sz w:val="21"/>
          <w:szCs w:val="21"/>
          <w:highlight w:val="none"/>
          <w:lang w:eastAsia="zh-CN"/>
        </w:rPr>
        <w:t>乙方</w:t>
      </w:r>
      <w:r>
        <w:rPr>
          <w:rFonts w:hint="eastAsia" w:ascii="仿宋" w:hAnsi="仿宋" w:eastAsia="仿宋" w:cs="仿宋"/>
          <w:color w:val="auto"/>
          <w:sz w:val="21"/>
          <w:szCs w:val="21"/>
          <w:highlight w:val="none"/>
        </w:rPr>
        <w:t>违约解除合同</w:t>
      </w:r>
    </w:p>
    <w:p>
      <w:pPr>
        <w:spacing w:line="360" w:lineRule="auto"/>
        <w:ind w:firstLine="424" w:firstLineChars="202"/>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关于</w:t>
      </w:r>
      <w:r>
        <w:rPr>
          <w:rFonts w:hint="eastAsia" w:ascii="仿宋" w:hAnsi="仿宋" w:eastAsia="仿宋" w:cs="仿宋"/>
          <w:color w:val="auto"/>
          <w:sz w:val="21"/>
          <w:szCs w:val="21"/>
          <w:highlight w:val="none"/>
          <w:lang w:eastAsia="zh-CN"/>
        </w:rPr>
        <w:t>乙方</w:t>
      </w:r>
      <w:r>
        <w:rPr>
          <w:rFonts w:hint="eastAsia" w:ascii="仿宋" w:hAnsi="仿宋" w:eastAsia="仿宋" w:cs="仿宋"/>
          <w:color w:val="auto"/>
          <w:sz w:val="21"/>
          <w:szCs w:val="21"/>
          <w:highlight w:val="none"/>
        </w:rPr>
        <w:t>违约解除合同的特别约定：</w:t>
      </w:r>
    </w:p>
    <w:p>
      <w:pPr>
        <w:spacing w:line="360" w:lineRule="auto"/>
        <w:ind w:firstLine="424" w:firstLineChars="202"/>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乙方</w:t>
      </w:r>
      <w:r>
        <w:rPr>
          <w:rFonts w:hint="eastAsia" w:ascii="仿宋" w:hAnsi="仿宋" w:eastAsia="仿宋" w:cs="仿宋"/>
          <w:color w:val="auto"/>
          <w:sz w:val="21"/>
          <w:szCs w:val="21"/>
          <w:highlight w:val="none"/>
        </w:rPr>
        <w:t>违反合同约定进行转包或违法分包的，</w:t>
      </w:r>
      <w:r>
        <w:rPr>
          <w:rFonts w:hint="eastAsia" w:ascii="仿宋" w:hAnsi="仿宋" w:eastAsia="仿宋" w:cs="仿宋"/>
          <w:color w:val="auto"/>
          <w:sz w:val="21"/>
          <w:szCs w:val="21"/>
          <w:highlight w:val="none"/>
          <w:lang w:eastAsia="zh-CN"/>
        </w:rPr>
        <w:t>甲方</w:t>
      </w:r>
      <w:r>
        <w:rPr>
          <w:rFonts w:hint="eastAsia" w:ascii="仿宋" w:hAnsi="仿宋" w:eastAsia="仿宋" w:cs="仿宋"/>
          <w:color w:val="auto"/>
          <w:sz w:val="21"/>
          <w:szCs w:val="21"/>
          <w:highlight w:val="none"/>
        </w:rPr>
        <w:t>有权无条件解除合同并保留追究</w:t>
      </w:r>
      <w:r>
        <w:rPr>
          <w:rFonts w:hint="eastAsia" w:ascii="仿宋" w:hAnsi="仿宋" w:eastAsia="仿宋" w:cs="仿宋"/>
          <w:color w:val="auto"/>
          <w:sz w:val="21"/>
          <w:szCs w:val="21"/>
          <w:highlight w:val="none"/>
          <w:lang w:eastAsia="zh-CN"/>
        </w:rPr>
        <w:t>乙方</w:t>
      </w:r>
      <w:r>
        <w:rPr>
          <w:rFonts w:hint="eastAsia" w:ascii="仿宋" w:hAnsi="仿宋" w:eastAsia="仿宋" w:cs="仿宋"/>
          <w:color w:val="auto"/>
          <w:sz w:val="21"/>
          <w:szCs w:val="21"/>
          <w:highlight w:val="none"/>
        </w:rPr>
        <w:t>法律责任的权利。</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明确表示或者其行为表明不履行合同主要义务的，除了应承担由此给</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带来的损失外，</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有权无条件解除合同并保留追究</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法律责任的权利。</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（3）因</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原因停工或延期累计工期达到</w:t>
      </w:r>
      <w:r>
        <w:rPr>
          <w:rFonts w:hint="eastAsia" w:ascii="仿宋" w:hAnsi="仿宋" w:eastAsia="仿宋" w:cs="仿宋"/>
          <w:color w:val="auto"/>
          <w:szCs w:val="21"/>
          <w:highlight w:val="none"/>
          <w:u w:val="single"/>
        </w:rPr>
        <w:t>60</w:t>
      </w:r>
      <w:r>
        <w:rPr>
          <w:rFonts w:hint="eastAsia" w:ascii="仿宋" w:hAnsi="仿宋" w:eastAsia="仿宋" w:cs="仿宋"/>
          <w:color w:val="auto"/>
          <w:szCs w:val="21"/>
          <w:highlight w:val="none"/>
        </w:rPr>
        <w:t>天以上的，</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除扣罚履约保证金外还有权解除合同。</w:t>
      </w:r>
    </w:p>
    <w:p>
      <w:pPr>
        <w:spacing w:line="360" w:lineRule="auto"/>
        <w:ind w:firstLine="424" w:firstLineChars="202"/>
        <w:rPr>
          <w:rFonts w:hint="eastAsia" w:ascii="仿宋" w:hAnsi="仿宋" w:eastAsia="仿宋" w:cs="仿宋"/>
          <w:color w:val="auto"/>
          <w:highlight w:val="none"/>
        </w:rPr>
      </w:pPr>
      <w:r>
        <w:rPr>
          <w:rFonts w:hint="eastAsia" w:ascii="仿宋" w:hAnsi="仿宋" w:eastAsia="仿宋" w:cs="仿宋"/>
          <w:color w:val="auto"/>
          <w:szCs w:val="21"/>
          <w:highlight w:val="none"/>
        </w:rPr>
        <w:t>（4）专用条款规定的其他违约解除合同的情形。</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继续使用</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在施工现场的材料、设备、临时工程、</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文件和由</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或以其名义编制的其他文件的费用承担方式：</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承担    。</w:t>
      </w:r>
    </w:p>
    <w:p>
      <w:pPr>
        <w:pStyle w:val="2"/>
        <w:tabs>
          <w:tab w:val="left" w:pos="0"/>
          <w:tab w:val="left" w:pos="390"/>
        </w:tabs>
        <w:rPr>
          <w:rFonts w:hint="eastAsia" w:ascii="仿宋" w:hAnsi="仿宋" w:eastAsia="仿宋" w:cs="仿宋"/>
          <w:color w:val="auto"/>
          <w:highlight w:val="none"/>
        </w:rPr>
      </w:pP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17. 不可抗力 </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17.1 不可抗力的确认</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除通用合同条款约定的不可抗力事件之外，视为不可抗力的其他情形：</w:t>
      </w:r>
      <w:r>
        <w:rPr>
          <w:rFonts w:hint="eastAsia" w:ascii="仿宋" w:hAnsi="仿宋" w:eastAsia="仿宋" w:cs="仿宋"/>
          <w:color w:val="auto"/>
          <w:szCs w:val="21"/>
          <w:highlight w:val="none"/>
          <w:u w:val="single"/>
        </w:rPr>
        <w:t>/。</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17.</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 xml:space="preserve"> 因不可抗力解除合同</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因不可抗力解除合同后，</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应在商定或确定</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应支付款项后</w:t>
      </w:r>
      <w:r>
        <w:rPr>
          <w:rFonts w:hint="eastAsia" w:ascii="仿宋" w:hAnsi="仿宋" w:eastAsia="仿宋" w:cs="仿宋"/>
          <w:color w:val="auto"/>
          <w:szCs w:val="21"/>
          <w:highlight w:val="none"/>
          <w:u w:val="single"/>
        </w:rPr>
        <w:t xml:space="preserve"> 90 天</w:t>
      </w:r>
      <w:r>
        <w:rPr>
          <w:rFonts w:hint="eastAsia" w:ascii="仿宋" w:hAnsi="仿宋" w:eastAsia="仿宋" w:cs="仿宋"/>
          <w:color w:val="auto"/>
          <w:szCs w:val="21"/>
          <w:highlight w:val="none"/>
        </w:rPr>
        <w:t>内完成款项的支付。</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18. 保险</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18.1 工程保险</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关于工程保险的特别约定：</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委托</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以发、承包双方共同名义投保建筑工程一切险、安装工程一切险，费用已包含在总价内；</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应当为建设工程和施工场地内的自有人员、设备及第三方生命财产办理保险并支付保险费用，费用已包含在总价内；质（安）监部门要求的意外伤害保险，因未办理保险所造成</w:t>
      </w:r>
      <w:r>
        <w:rPr>
          <w:rFonts w:hint="eastAsia" w:ascii="仿宋" w:hAnsi="仿宋" w:eastAsia="仿宋" w:cs="仿宋"/>
          <w:color w:val="auto"/>
          <w:szCs w:val="21"/>
          <w:highlight w:val="none"/>
          <w:u w:val="single"/>
          <w:lang w:eastAsia="zh-CN"/>
        </w:rPr>
        <w:t>甲方</w:t>
      </w:r>
      <w:r>
        <w:rPr>
          <w:rFonts w:hint="eastAsia" w:ascii="仿宋" w:hAnsi="仿宋" w:eastAsia="仿宋" w:cs="仿宋"/>
          <w:color w:val="auto"/>
          <w:szCs w:val="21"/>
          <w:highlight w:val="none"/>
          <w:u w:val="single"/>
        </w:rPr>
        <w:t>的损失，</w:t>
      </w:r>
      <w:r>
        <w:rPr>
          <w:rFonts w:hint="eastAsia" w:ascii="仿宋" w:hAnsi="仿宋" w:eastAsia="仿宋" w:cs="仿宋"/>
          <w:color w:val="auto"/>
          <w:szCs w:val="21"/>
          <w:highlight w:val="none"/>
          <w:u w:val="single"/>
          <w:lang w:eastAsia="zh-CN"/>
        </w:rPr>
        <w:t>乙方</w:t>
      </w:r>
      <w:r>
        <w:rPr>
          <w:rFonts w:hint="eastAsia" w:ascii="仿宋" w:hAnsi="仿宋" w:eastAsia="仿宋" w:cs="仿宋"/>
          <w:color w:val="auto"/>
          <w:szCs w:val="21"/>
          <w:highlight w:val="none"/>
          <w:u w:val="single"/>
        </w:rPr>
        <w:t>自行承担赔偿责任</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18.</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 xml:space="preserve"> 其他保险</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关于其他保险的约定：</w:t>
      </w:r>
      <w:r>
        <w:rPr>
          <w:rFonts w:hint="eastAsia" w:ascii="仿宋" w:hAnsi="仿宋" w:eastAsia="仿宋" w:cs="仿宋"/>
          <w:color w:val="auto"/>
          <w:szCs w:val="21"/>
          <w:highlight w:val="none"/>
          <w:u w:val="single"/>
        </w:rPr>
        <w:t xml:space="preserve">   /     。</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是否应为其施工设备等办理财产保险：</w:t>
      </w:r>
      <w:r>
        <w:rPr>
          <w:rFonts w:hint="eastAsia" w:ascii="仿宋" w:hAnsi="仿宋" w:eastAsia="仿宋" w:cs="仿宋"/>
          <w:color w:val="auto"/>
          <w:szCs w:val="21"/>
          <w:highlight w:val="none"/>
          <w:u w:val="single"/>
        </w:rPr>
        <w:t xml:space="preserve">           是            </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18.</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 xml:space="preserve"> 通知义务</w:t>
      </w:r>
    </w:p>
    <w:p>
      <w:pPr>
        <w:spacing w:line="360" w:lineRule="auto"/>
        <w:ind w:firstLine="424" w:firstLineChars="20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关于变更保险合同时的通知义务的约定：</w:t>
      </w:r>
      <w:r>
        <w:rPr>
          <w:rFonts w:hint="eastAsia" w:ascii="仿宋" w:hAnsi="仿宋" w:eastAsia="仿宋" w:cs="仿宋"/>
          <w:color w:val="auto"/>
          <w:szCs w:val="21"/>
          <w:highlight w:val="none"/>
          <w:u w:val="single"/>
        </w:rPr>
        <w:t>按通用条款执行 。</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19. 争议解决</w:t>
      </w:r>
    </w:p>
    <w:p>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19.1争议评审</w:t>
      </w:r>
    </w:p>
    <w:p>
      <w:pPr>
        <w:adjustRightInd w:val="0"/>
        <w:snapToGrid w:val="0"/>
        <w:spacing w:line="360" w:lineRule="auto"/>
        <w:ind w:left="149" w:leftChars="71" w:firstLine="315" w:firstLineChars="150"/>
        <w:jc w:val="lef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合同当事人是否同意将工程争议提交争议评审小组决定：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 xml:space="preserve">。  </w:t>
      </w:r>
    </w:p>
    <w:p>
      <w:pPr>
        <w:adjustRightInd w:val="0"/>
        <w:snapToGrid w:val="0"/>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19.1.1 争议评审小组的确定</w:t>
      </w:r>
    </w:p>
    <w:p>
      <w:pPr>
        <w:adjustRightInd w:val="0"/>
        <w:snapToGrid w:val="0"/>
        <w:spacing w:line="360" w:lineRule="auto"/>
        <w:ind w:firstLine="420" w:firstLineChars="200"/>
        <w:jc w:val="lef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争议评审小组成员的确定：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adjustRightInd w:val="0"/>
        <w:snapToGrid w:val="0"/>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选定争议评审员的期限：</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adjustRightInd w:val="0"/>
        <w:snapToGrid w:val="0"/>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争议评审小组成员的报酬承担方式：</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adjustRightInd w:val="0"/>
        <w:snapToGrid w:val="0"/>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其他事项的约定：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autoSpaceDE w:val="0"/>
        <w:autoSpaceDN w:val="0"/>
        <w:adjustRightInd w:val="0"/>
        <w:snapToGrid w:val="0"/>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19.1.2争议评审小组的决定</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合同当事人关于本项的约定：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20 仲裁或诉讼</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因合同及合同有关事项发生的争议，按下列第 </w:t>
      </w:r>
      <w:r>
        <w:rPr>
          <w:rFonts w:hint="eastAsia" w:ascii="仿宋" w:hAnsi="仿宋" w:eastAsia="仿宋" w:cs="仿宋"/>
          <w:color w:val="auto"/>
          <w:szCs w:val="21"/>
          <w:highlight w:val="none"/>
          <w:u w:val="single"/>
        </w:rPr>
        <w:t xml:space="preserve">（2）  </w:t>
      </w:r>
      <w:r>
        <w:rPr>
          <w:rFonts w:hint="eastAsia" w:ascii="仿宋" w:hAnsi="仿宋" w:eastAsia="仿宋" w:cs="仿宋"/>
          <w:color w:val="auto"/>
          <w:szCs w:val="21"/>
          <w:highlight w:val="none"/>
        </w:rPr>
        <w:t>种方式解决：</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（1）向 </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仲裁委员会申请仲裁；</w:t>
      </w:r>
    </w:p>
    <w:p>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（2）向 </w:t>
      </w:r>
      <w:r>
        <w:rPr>
          <w:rFonts w:hint="eastAsia" w:ascii="仿宋" w:hAnsi="仿宋" w:eastAsia="仿宋" w:cs="仿宋"/>
          <w:color w:val="auto"/>
          <w:szCs w:val="21"/>
          <w:highlight w:val="none"/>
          <w:u w:val="single"/>
        </w:rPr>
        <w:t xml:space="preserve"> 杭州市拱墅区 </w:t>
      </w:r>
      <w:r>
        <w:rPr>
          <w:rFonts w:hint="eastAsia" w:ascii="仿宋" w:hAnsi="仿宋" w:eastAsia="仿宋" w:cs="仿宋"/>
          <w:color w:val="auto"/>
          <w:szCs w:val="21"/>
          <w:highlight w:val="none"/>
        </w:rPr>
        <w:t>人民法院起诉。</w:t>
      </w:r>
    </w:p>
    <w:p>
      <w:pPr>
        <w:spacing w:line="360" w:lineRule="auto"/>
        <w:ind w:firstLine="424" w:firstLineChars="202"/>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21其它补充约定</w:t>
      </w:r>
    </w:p>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Pr>
        <w:spacing w:line="360" w:lineRule="auto"/>
        <w:ind w:firstLine="482"/>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rPr>
        <w:t>21.1</w:t>
      </w:r>
      <w:r>
        <w:rPr>
          <w:rFonts w:hint="eastAsia" w:ascii="仿宋" w:hAnsi="仿宋" w:eastAsia="仿宋" w:cs="仿宋"/>
          <w:b/>
          <w:color w:val="auto"/>
          <w:szCs w:val="21"/>
          <w:highlight w:val="none"/>
          <w:u w:val="single"/>
          <w:lang w:eastAsia="zh-CN"/>
        </w:rPr>
        <w:t>乙方</w:t>
      </w:r>
      <w:r>
        <w:rPr>
          <w:rFonts w:hint="eastAsia" w:ascii="仿宋" w:hAnsi="仿宋" w:eastAsia="仿宋" w:cs="仿宋"/>
          <w:b/>
          <w:color w:val="auto"/>
          <w:szCs w:val="21"/>
          <w:highlight w:val="none"/>
          <w:u w:val="single"/>
        </w:rPr>
        <w:t>严格按合同条款、施工图纸及设计说明文件（如有）、施工验收规范、国家和省市的有关质量验收标准，精心组织施工，确保工程质量达到国家合格验收标准。承办人应详细编制施工方案，详细叙述关键部位的质量保证措施，并在磋商响应文件中对质量目标进行承诺</w:t>
      </w:r>
      <w:r>
        <w:rPr>
          <w:rFonts w:hint="eastAsia" w:ascii="仿宋" w:hAnsi="仿宋" w:eastAsia="仿宋" w:cs="仿宋"/>
          <w:b/>
          <w:color w:val="auto"/>
          <w:szCs w:val="21"/>
          <w:highlight w:val="none"/>
        </w:rPr>
        <w:t>。</w:t>
      </w:r>
    </w:p>
    <w:p>
      <w:pPr>
        <w:pStyle w:val="30"/>
        <w:spacing w:line="360" w:lineRule="auto"/>
        <w:ind w:firstLine="482"/>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工程经各方验收，质量未达到合同约定“合格”标准的，由</w:t>
      </w:r>
      <w:r>
        <w:rPr>
          <w:rFonts w:hint="eastAsia" w:ascii="仿宋" w:hAnsi="仿宋" w:eastAsia="仿宋" w:cs="仿宋"/>
          <w:b/>
          <w:color w:val="auto"/>
          <w:sz w:val="21"/>
          <w:szCs w:val="21"/>
          <w:highlight w:val="none"/>
          <w:u w:val="single"/>
          <w:lang w:eastAsia="zh-CN"/>
        </w:rPr>
        <w:t>乙方</w:t>
      </w:r>
      <w:r>
        <w:rPr>
          <w:rFonts w:hint="eastAsia" w:ascii="仿宋" w:hAnsi="仿宋" w:eastAsia="仿宋" w:cs="仿宋"/>
          <w:b/>
          <w:color w:val="auto"/>
          <w:sz w:val="21"/>
          <w:szCs w:val="21"/>
          <w:highlight w:val="none"/>
          <w:u w:val="single"/>
        </w:rPr>
        <w:t>负责整改直至通过验收，</w:t>
      </w:r>
      <w:r>
        <w:rPr>
          <w:rFonts w:hint="eastAsia" w:ascii="仿宋" w:hAnsi="仿宋" w:eastAsia="仿宋" w:cs="仿宋"/>
          <w:b/>
          <w:color w:val="auto"/>
          <w:sz w:val="21"/>
          <w:szCs w:val="21"/>
          <w:highlight w:val="none"/>
          <w:u w:val="single"/>
          <w:lang w:eastAsia="zh-CN"/>
        </w:rPr>
        <w:t>乙方</w:t>
      </w:r>
      <w:r>
        <w:rPr>
          <w:rFonts w:hint="eastAsia" w:ascii="仿宋" w:hAnsi="仿宋" w:eastAsia="仿宋" w:cs="仿宋"/>
          <w:b/>
          <w:color w:val="auto"/>
          <w:sz w:val="21"/>
          <w:szCs w:val="21"/>
          <w:highlight w:val="none"/>
          <w:u w:val="single"/>
        </w:rPr>
        <w:t>承担由此产生的所有费用及给</w:t>
      </w:r>
      <w:r>
        <w:rPr>
          <w:rFonts w:hint="eastAsia" w:ascii="仿宋" w:hAnsi="仿宋" w:eastAsia="仿宋" w:cs="仿宋"/>
          <w:b/>
          <w:color w:val="auto"/>
          <w:sz w:val="21"/>
          <w:szCs w:val="21"/>
          <w:highlight w:val="none"/>
          <w:u w:val="single"/>
          <w:lang w:eastAsia="zh-CN"/>
        </w:rPr>
        <w:t>甲方</w:t>
      </w:r>
      <w:r>
        <w:rPr>
          <w:rFonts w:hint="eastAsia" w:ascii="仿宋" w:hAnsi="仿宋" w:eastAsia="仿宋" w:cs="仿宋"/>
          <w:b/>
          <w:color w:val="auto"/>
          <w:sz w:val="21"/>
          <w:szCs w:val="21"/>
          <w:highlight w:val="none"/>
          <w:u w:val="single"/>
        </w:rPr>
        <w:t>造成的损失，且工期不予顺延；工程经过</w:t>
      </w:r>
      <w:r>
        <w:rPr>
          <w:rFonts w:hint="eastAsia" w:ascii="仿宋" w:hAnsi="仿宋" w:eastAsia="仿宋" w:cs="仿宋"/>
          <w:b/>
          <w:color w:val="auto"/>
          <w:sz w:val="21"/>
          <w:szCs w:val="21"/>
          <w:highlight w:val="none"/>
          <w:u w:val="single"/>
          <w:lang w:eastAsia="zh-CN"/>
        </w:rPr>
        <w:t>乙方</w:t>
      </w:r>
      <w:r>
        <w:rPr>
          <w:rFonts w:hint="eastAsia" w:ascii="仿宋" w:hAnsi="仿宋" w:eastAsia="仿宋" w:cs="仿宋"/>
          <w:b/>
          <w:color w:val="auto"/>
          <w:sz w:val="21"/>
          <w:szCs w:val="21"/>
          <w:highlight w:val="none"/>
          <w:u w:val="single"/>
        </w:rPr>
        <w:t>的全面整改后，经各方验收仍然未达到合同约定“合格”标准的，</w:t>
      </w:r>
      <w:r>
        <w:rPr>
          <w:rFonts w:hint="eastAsia" w:ascii="仿宋" w:hAnsi="仿宋" w:eastAsia="仿宋" w:cs="仿宋"/>
          <w:b/>
          <w:color w:val="auto"/>
          <w:sz w:val="21"/>
          <w:szCs w:val="21"/>
          <w:highlight w:val="none"/>
          <w:u w:val="single"/>
          <w:lang w:eastAsia="zh-CN"/>
        </w:rPr>
        <w:t>乙方</w:t>
      </w:r>
      <w:r>
        <w:rPr>
          <w:rFonts w:hint="eastAsia" w:ascii="仿宋" w:hAnsi="仿宋" w:eastAsia="仿宋" w:cs="仿宋"/>
          <w:b/>
          <w:color w:val="auto"/>
          <w:sz w:val="21"/>
          <w:szCs w:val="21"/>
          <w:highlight w:val="none"/>
          <w:u w:val="single"/>
        </w:rPr>
        <w:t>必须按工程总造价的5%向</w:t>
      </w:r>
      <w:r>
        <w:rPr>
          <w:rFonts w:hint="eastAsia" w:ascii="仿宋" w:hAnsi="仿宋" w:eastAsia="仿宋" w:cs="仿宋"/>
          <w:b/>
          <w:color w:val="auto"/>
          <w:sz w:val="21"/>
          <w:szCs w:val="21"/>
          <w:highlight w:val="none"/>
          <w:u w:val="single"/>
          <w:lang w:eastAsia="zh-CN"/>
        </w:rPr>
        <w:t>甲方</w:t>
      </w:r>
      <w:r>
        <w:rPr>
          <w:rFonts w:hint="eastAsia" w:ascii="仿宋" w:hAnsi="仿宋" w:eastAsia="仿宋" w:cs="仿宋"/>
          <w:b/>
          <w:color w:val="auto"/>
          <w:sz w:val="21"/>
          <w:szCs w:val="21"/>
          <w:highlight w:val="none"/>
          <w:u w:val="single"/>
        </w:rPr>
        <w:t>支付违约金，该违约金从履约保证金及工程款中扣除。若</w:t>
      </w:r>
      <w:r>
        <w:rPr>
          <w:rFonts w:hint="eastAsia" w:ascii="仿宋" w:hAnsi="仿宋" w:eastAsia="仿宋" w:cs="仿宋"/>
          <w:b/>
          <w:color w:val="auto"/>
          <w:sz w:val="21"/>
          <w:szCs w:val="21"/>
          <w:highlight w:val="none"/>
          <w:u w:val="single"/>
          <w:lang w:eastAsia="zh-CN"/>
        </w:rPr>
        <w:t>乙方</w:t>
      </w:r>
      <w:r>
        <w:rPr>
          <w:rFonts w:hint="eastAsia" w:ascii="仿宋" w:hAnsi="仿宋" w:eastAsia="仿宋" w:cs="仿宋"/>
          <w:b/>
          <w:color w:val="auto"/>
          <w:sz w:val="21"/>
          <w:szCs w:val="21"/>
          <w:highlight w:val="none"/>
          <w:u w:val="single"/>
        </w:rPr>
        <w:t>不按</w:t>
      </w:r>
      <w:r>
        <w:rPr>
          <w:rFonts w:hint="eastAsia" w:ascii="仿宋" w:hAnsi="仿宋" w:eastAsia="仿宋" w:cs="仿宋"/>
          <w:b/>
          <w:color w:val="auto"/>
          <w:sz w:val="21"/>
          <w:szCs w:val="21"/>
          <w:highlight w:val="none"/>
          <w:u w:val="single"/>
          <w:lang w:eastAsia="zh-CN"/>
        </w:rPr>
        <w:t>甲方</w:t>
      </w:r>
      <w:r>
        <w:rPr>
          <w:rFonts w:hint="eastAsia" w:ascii="仿宋" w:hAnsi="仿宋" w:eastAsia="仿宋" w:cs="仿宋"/>
          <w:b/>
          <w:color w:val="auto"/>
          <w:sz w:val="21"/>
          <w:szCs w:val="21"/>
          <w:highlight w:val="none"/>
          <w:u w:val="single"/>
        </w:rPr>
        <w:t>要求整改的，</w:t>
      </w:r>
      <w:r>
        <w:rPr>
          <w:rFonts w:hint="eastAsia" w:ascii="仿宋" w:hAnsi="仿宋" w:eastAsia="仿宋" w:cs="仿宋"/>
          <w:b/>
          <w:color w:val="auto"/>
          <w:sz w:val="21"/>
          <w:szCs w:val="21"/>
          <w:highlight w:val="none"/>
          <w:u w:val="single"/>
          <w:lang w:eastAsia="zh-CN"/>
        </w:rPr>
        <w:t>甲方</w:t>
      </w:r>
      <w:r>
        <w:rPr>
          <w:rFonts w:hint="eastAsia" w:ascii="仿宋" w:hAnsi="仿宋" w:eastAsia="仿宋" w:cs="仿宋"/>
          <w:b/>
          <w:color w:val="auto"/>
          <w:sz w:val="21"/>
          <w:szCs w:val="21"/>
          <w:highlight w:val="none"/>
          <w:u w:val="single"/>
        </w:rPr>
        <w:t>有权委托第三方进行整改，整改费用由</w:t>
      </w:r>
      <w:r>
        <w:rPr>
          <w:rFonts w:hint="eastAsia" w:ascii="仿宋" w:hAnsi="仿宋" w:eastAsia="仿宋" w:cs="仿宋"/>
          <w:b/>
          <w:color w:val="auto"/>
          <w:sz w:val="21"/>
          <w:szCs w:val="21"/>
          <w:highlight w:val="none"/>
          <w:u w:val="single"/>
          <w:lang w:eastAsia="zh-CN"/>
        </w:rPr>
        <w:t>乙方</w:t>
      </w:r>
      <w:r>
        <w:rPr>
          <w:rFonts w:hint="eastAsia" w:ascii="仿宋" w:hAnsi="仿宋" w:eastAsia="仿宋" w:cs="仿宋"/>
          <w:b/>
          <w:color w:val="auto"/>
          <w:sz w:val="21"/>
          <w:szCs w:val="21"/>
          <w:highlight w:val="none"/>
          <w:u w:val="single"/>
        </w:rPr>
        <w:t>承担，在工程款中扣除。</w:t>
      </w:r>
      <w:r>
        <w:rPr>
          <w:rFonts w:hint="eastAsia" w:ascii="仿宋" w:hAnsi="仿宋" w:eastAsia="仿宋" w:cs="仿宋"/>
          <w:b/>
          <w:color w:val="auto"/>
          <w:sz w:val="21"/>
          <w:szCs w:val="21"/>
          <w:highlight w:val="none"/>
          <w:u w:val="single"/>
          <w:lang w:eastAsia="zh-CN"/>
        </w:rPr>
        <w:t>甲方</w:t>
      </w:r>
      <w:r>
        <w:rPr>
          <w:rFonts w:hint="eastAsia" w:ascii="仿宋" w:hAnsi="仿宋" w:eastAsia="仿宋" w:cs="仿宋"/>
          <w:b/>
          <w:color w:val="auto"/>
          <w:sz w:val="21"/>
          <w:szCs w:val="21"/>
          <w:highlight w:val="none"/>
          <w:u w:val="single"/>
        </w:rPr>
        <w:t>委托第三方整改不能免除</w:t>
      </w:r>
      <w:r>
        <w:rPr>
          <w:rFonts w:hint="eastAsia" w:ascii="仿宋" w:hAnsi="仿宋" w:eastAsia="仿宋" w:cs="仿宋"/>
          <w:b/>
          <w:color w:val="auto"/>
          <w:sz w:val="21"/>
          <w:szCs w:val="21"/>
          <w:highlight w:val="none"/>
          <w:u w:val="single"/>
          <w:lang w:eastAsia="zh-CN"/>
        </w:rPr>
        <w:t>乙方</w:t>
      </w:r>
      <w:r>
        <w:rPr>
          <w:rFonts w:hint="eastAsia" w:ascii="仿宋" w:hAnsi="仿宋" w:eastAsia="仿宋" w:cs="仿宋"/>
          <w:b/>
          <w:color w:val="auto"/>
          <w:sz w:val="21"/>
          <w:szCs w:val="21"/>
          <w:highlight w:val="none"/>
          <w:u w:val="single"/>
        </w:rPr>
        <w:t>根据合同约定应当承担的工程维修责任</w:t>
      </w:r>
      <w:r>
        <w:rPr>
          <w:rFonts w:hint="eastAsia" w:ascii="仿宋" w:hAnsi="仿宋" w:eastAsia="仿宋" w:cs="仿宋"/>
          <w:b/>
          <w:color w:val="auto"/>
          <w:sz w:val="21"/>
          <w:szCs w:val="21"/>
          <w:highlight w:val="none"/>
        </w:rPr>
        <w:t>。</w:t>
      </w:r>
    </w:p>
    <w:p>
      <w:pPr>
        <w:pStyle w:val="30"/>
        <w:spacing w:line="360" w:lineRule="auto"/>
        <w:ind w:firstLine="482"/>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21.2 工期要求的其他约定</w:t>
      </w:r>
    </w:p>
    <w:p>
      <w:pPr>
        <w:pStyle w:val="30"/>
        <w:spacing w:line="360" w:lineRule="auto"/>
        <w:ind w:firstLine="482"/>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rPr>
        <w:t>21.2.1</w:t>
      </w:r>
      <w:r>
        <w:rPr>
          <w:rFonts w:hint="eastAsia" w:ascii="仿宋" w:hAnsi="仿宋" w:eastAsia="仿宋" w:cs="仿宋"/>
          <w:b/>
          <w:color w:val="auto"/>
          <w:sz w:val="21"/>
          <w:szCs w:val="21"/>
          <w:highlight w:val="none"/>
          <w:u w:val="single"/>
        </w:rPr>
        <w:t>如</w:t>
      </w:r>
      <w:r>
        <w:rPr>
          <w:rFonts w:hint="eastAsia" w:ascii="仿宋" w:hAnsi="仿宋" w:eastAsia="仿宋" w:cs="仿宋"/>
          <w:b/>
          <w:color w:val="auto"/>
          <w:sz w:val="21"/>
          <w:szCs w:val="21"/>
          <w:highlight w:val="none"/>
          <w:u w:val="single"/>
          <w:lang w:eastAsia="zh-CN"/>
        </w:rPr>
        <w:t>乙方</w:t>
      </w:r>
      <w:r>
        <w:rPr>
          <w:rFonts w:hint="eastAsia" w:ascii="仿宋" w:hAnsi="仿宋" w:eastAsia="仿宋" w:cs="仿宋"/>
          <w:b/>
          <w:color w:val="auto"/>
          <w:sz w:val="21"/>
          <w:szCs w:val="21"/>
          <w:highlight w:val="none"/>
          <w:u w:val="single"/>
        </w:rPr>
        <w:t>认为发生了可顺延工期情形的，应及时通知</w:t>
      </w:r>
      <w:r>
        <w:rPr>
          <w:rFonts w:hint="eastAsia" w:ascii="仿宋" w:hAnsi="仿宋" w:eastAsia="仿宋" w:cs="仿宋"/>
          <w:b/>
          <w:color w:val="auto"/>
          <w:sz w:val="21"/>
          <w:szCs w:val="21"/>
          <w:highlight w:val="none"/>
          <w:u w:val="single"/>
          <w:lang w:eastAsia="zh-CN"/>
        </w:rPr>
        <w:t>甲方</w:t>
      </w:r>
      <w:r>
        <w:rPr>
          <w:rFonts w:hint="eastAsia" w:ascii="仿宋" w:hAnsi="仿宋" w:eastAsia="仿宋" w:cs="仿宋"/>
          <w:b/>
          <w:color w:val="auto"/>
          <w:sz w:val="21"/>
          <w:szCs w:val="21"/>
          <w:highlight w:val="none"/>
          <w:u w:val="single"/>
        </w:rPr>
        <w:t>，</w:t>
      </w:r>
      <w:r>
        <w:rPr>
          <w:rFonts w:hint="eastAsia" w:ascii="仿宋" w:hAnsi="仿宋" w:eastAsia="仿宋" w:cs="仿宋"/>
          <w:b/>
          <w:color w:val="auto"/>
          <w:sz w:val="21"/>
          <w:szCs w:val="21"/>
          <w:highlight w:val="none"/>
          <w:u w:val="single"/>
          <w:lang w:eastAsia="zh-CN"/>
        </w:rPr>
        <w:t>甲方</w:t>
      </w:r>
      <w:r>
        <w:rPr>
          <w:rFonts w:hint="eastAsia" w:ascii="仿宋" w:hAnsi="仿宋" w:eastAsia="仿宋" w:cs="仿宋"/>
          <w:b/>
          <w:color w:val="auto"/>
          <w:sz w:val="21"/>
          <w:szCs w:val="21"/>
          <w:highlight w:val="none"/>
          <w:u w:val="single"/>
        </w:rPr>
        <w:t>视实际发生情况决定是否给予工期顺延。</w:t>
      </w:r>
      <w:r>
        <w:rPr>
          <w:rFonts w:hint="eastAsia" w:ascii="仿宋" w:hAnsi="仿宋" w:eastAsia="仿宋" w:cs="仿宋"/>
          <w:b/>
          <w:color w:val="auto"/>
          <w:sz w:val="21"/>
          <w:szCs w:val="21"/>
          <w:highlight w:val="none"/>
          <w:u w:val="single"/>
          <w:lang w:eastAsia="zh-CN"/>
        </w:rPr>
        <w:t>甲方</w:t>
      </w:r>
      <w:r>
        <w:rPr>
          <w:rFonts w:hint="eastAsia" w:ascii="仿宋" w:hAnsi="仿宋" w:eastAsia="仿宋" w:cs="仿宋"/>
          <w:b/>
          <w:color w:val="auto"/>
          <w:sz w:val="21"/>
          <w:szCs w:val="21"/>
          <w:highlight w:val="none"/>
          <w:u w:val="single"/>
        </w:rPr>
        <w:t>认为发生情况未达到</w:t>
      </w:r>
      <w:r>
        <w:rPr>
          <w:rFonts w:hint="eastAsia" w:ascii="仿宋" w:hAnsi="仿宋" w:eastAsia="仿宋" w:cs="仿宋"/>
          <w:b/>
          <w:color w:val="auto"/>
          <w:sz w:val="21"/>
          <w:szCs w:val="21"/>
          <w:highlight w:val="none"/>
          <w:u w:val="single"/>
          <w:lang w:val="en-US" w:eastAsia="zh-CN"/>
        </w:rPr>
        <w:t>可顺延</w:t>
      </w:r>
      <w:r>
        <w:rPr>
          <w:rFonts w:hint="eastAsia" w:ascii="仿宋" w:hAnsi="仿宋" w:eastAsia="仿宋" w:cs="仿宋"/>
          <w:b/>
          <w:color w:val="auto"/>
          <w:sz w:val="21"/>
          <w:szCs w:val="21"/>
          <w:highlight w:val="none"/>
          <w:u w:val="single"/>
        </w:rPr>
        <w:t>条件</w:t>
      </w:r>
      <w:r>
        <w:rPr>
          <w:rFonts w:hint="eastAsia" w:ascii="仿宋" w:hAnsi="仿宋" w:eastAsia="仿宋" w:cs="仿宋"/>
          <w:b/>
          <w:color w:val="auto"/>
          <w:sz w:val="21"/>
          <w:szCs w:val="21"/>
          <w:highlight w:val="none"/>
          <w:u w:val="single"/>
          <w:lang w:eastAsia="zh-CN"/>
        </w:rPr>
        <w:t>的</w:t>
      </w:r>
      <w:r>
        <w:rPr>
          <w:rFonts w:hint="eastAsia" w:ascii="仿宋" w:hAnsi="仿宋" w:eastAsia="仿宋" w:cs="仿宋"/>
          <w:b/>
          <w:color w:val="auto"/>
          <w:sz w:val="21"/>
          <w:szCs w:val="21"/>
          <w:highlight w:val="none"/>
          <w:u w:val="single"/>
        </w:rPr>
        <w:t>，工期不予以顺延</w:t>
      </w:r>
      <w:r>
        <w:rPr>
          <w:rFonts w:hint="eastAsia" w:ascii="仿宋" w:hAnsi="仿宋" w:eastAsia="仿宋" w:cs="仿宋"/>
          <w:b/>
          <w:color w:val="auto"/>
          <w:sz w:val="21"/>
          <w:szCs w:val="21"/>
          <w:highlight w:val="none"/>
        </w:rPr>
        <w:t>。</w:t>
      </w:r>
    </w:p>
    <w:p>
      <w:pPr>
        <w:spacing w:line="360" w:lineRule="auto"/>
        <w:ind w:firstLine="411" w:firstLineChars="196"/>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21.3人员到位要求的其他约定</w:t>
      </w:r>
    </w:p>
    <w:p>
      <w:pPr>
        <w:pStyle w:val="30"/>
        <w:spacing w:line="360" w:lineRule="auto"/>
        <w:ind w:firstLine="420" w:firstLineChars="200"/>
        <w:rPr>
          <w:rFonts w:hint="eastAsia" w:ascii="仿宋" w:hAnsi="仿宋" w:eastAsia="仿宋" w:cs="仿宋"/>
          <w:color w:val="auto"/>
          <w:sz w:val="21"/>
          <w:szCs w:val="21"/>
          <w:highlight w:val="none"/>
          <w:u w:val="single"/>
        </w:rPr>
      </w:pPr>
      <w:r>
        <w:rPr>
          <w:rFonts w:hint="eastAsia" w:ascii="仿宋" w:hAnsi="仿宋" w:eastAsia="仿宋" w:cs="仿宋"/>
          <w:b/>
          <w:color w:val="auto"/>
          <w:sz w:val="21"/>
          <w:szCs w:val="21"/>
          <w:highlight w:val="none"/>
        </w:rPr>
        <w:t>21.3.1</w:t>
      </w:r>
      <w:r>
        <w:rPr>
          <w:rFonts w:hint="eastAsia" w:ascii="仿宋" w:hAnsi="仿宋" w:eastAsia="仿宋" w:cs="仿宋"/>
          <w:b/>
          <w:color w:val="auto"/>
          <w:sz w:val="21"/>
          <w:szCs w:val="21"/>
          <w:highlight w:val="none"/>
          <w:u w:val="single"/>
          <w:lang w:eastAsia="zh-CN"/>
        </w:rPr>
        <w:t>乙方</w:t>
      </w:r>
      <w:r>
        <w:rPr>
          <w:rFonts w:hint="eastAsia" w:ascii="仿宋" w:hAnsi="仿宋" w:eastAsia="仿宋" w:cs="仿宋"/>
          <w:b/>
          <w:color w:val="auto"/>
          <w:sz w:val="21"/>
          <w:szCs w:val="21"/>
          <w:highlight w:val="none"/>
          <w:u w:val="single"/>
        </w:rPr>
        <w:t>在磋商响应文件中承诺的管理人员（项目经理、技术负责人、施工员、安全员、质检员、材料员）配备数量应满足本工程管理的需要和相应规范、文件要求，且必须到位，在施工期间不准更换，特殊情况要求更换的项目经理的，须经</w:t>
      </w:r>
      <w:r>
        <w:rPr>
          <w:rFonts w:hint="eastAsia" w:ascii="仿宋" w:hAnsi="仿宋" w:eastAsia="仿宋" w:cs="仿宋"/>
          <w:b/>
          <w:color w:val="auto"/>
          <w:sz w:val="21"/>
          <w:szCs w:val="21"/>
          <w:highlight w:val="none"/>
          <w:u w:val="single"/>
          <w:lang w:eastAsia="zh-CN"/>
        </w:rPr>
        <w:t>甲方</w:t>
      </w:r>
      <w:r>
        <w:rPr>
          <w:rFonts w:hint="eastAsia" w:ascii="仿宋" w:hAnsi="仿宋" w:eastAsia="仿宋" w:cs="仿宋"/>
          <w:b/>
          <w:color w:val="auto"/>
          <w:sz w:val="21"/>
          <w:szCs w:val="21"/>
          <w:highlight w:val="none"/>
          <w:u w:val="single"/>
        </w:rPr>
        <w:t>同意并报监管部门认可备案，更换其他项目管理成员须经</w:t>
      </w:r>
      <w:r>
        <w:rPr>
          <w:rFonts w:hint="eastAsia" w:ascii="仿宋" w:hAnsi="仿宋" w:eastAsia="仿宋" w:cs="仿宋"/>
          <w:b/>
          <w:color w:val="auto"/>
          <w:sz w:val="21"/>
          <w:szCs w:val="21"/>
          <w:highlight w:val="none"/>
          <w:u w:val="single"/>
          <w:lang w:eastAsia="zh-CN"/>
        </w:rPr>
        <w:t>甲方</w:t>
      </w:r>
      <w:r>
        <w:rPr>
          <w:rFonts w:hint="eastAsia" w:ascii="仿宋" w:hAnsi="仿宋" w:eastAsia="仿宋" w:cs="仿宋"/>
          <w:b/>
          <w:color w:val="auto"/>
          <w:sz w:val="21"/>
          <w:szCs w:val="21"/>
          <w:highlight w:val="none"/>
          <w:u w:val="single"/>
        </w:rPr>
        <w:t>认可。下述情况视为</w:t>
      </w:r>
      <w:r>
        <w:rPr>
          <w:rFonts w:hint="eastAsia" w:ascii="仿宋" w:hAnsi="仿宋" w:eastAsia="仿宋" w:cs="仿宋"/>
          <w:b/>
          <w:color w:val="auto"/>
          <w:sz w:val="21"/>
          <w:szCs w:val="21"/>
          <w:highlight w:val="none"/>
          <w:u w:val="single"/>
          <w:lang w:eastAsia="zh-CN"/>
        </w:rPr>
        <w:t>乙方</w:t>
      </w:r>
      <w:r>
        <w:rPr>
          <w:rFonts w:hint="eastAsia" w:ascii="仿宋" w:hAnsi="仿宋" w:eastAsia="仿宋" w:cs="仿宋"/>
          <w:b/>
          <w:color w:val="auto"/>
          <w:sz w:val="21"/>
          <w:szCs w:val="21"/>
          <w:highlight w:val="none"/>
          <w:u w:val="single"/>
        </w:rPr>
        <w:t>违约，</w:t>
      </w:r>
      <w:r>
        <w:rPr>
          <w:rFonts w:hint="eastAsia" w:ascii="仿宋" w:hAnsi="仿宋" w:eastAsia="仿宋" w:cs="仿宋"/>
          <w:b/>
          <w:color w:val="auto"/>
          <w:sz w:val="21"/>
          <w:szCs w:val="21"/>
          <w:highlight w:val="none"/>
          <w:u w:val="single"/>
          <w:lang w:eastAsia="zh-CN"/>
        </w:rPr>
        <w:t>甲方</w:t>
      </w:r>
      <w:r>
        <w:rPr>
          <w:rFonts w:hint="eastAsia" w:ascii="仿宋" w:hAnsi="仿宋" w:eastAsia="仿宋" w:cs="仿宋"/>
          <w:b/>
          <w:color w:val="auto"/>
          <w:sz w:val="21"/>
          <w:szCs w:val="21"/>
          <w:highlight w:val="none"/>
          <w:u w:val="single"/>
        </w:rPr>
        <w:t>按以下标准进行违约处理：若擅自更换项目经理，违约金为10000元人民币/次；若擅自更换技术负责人、施工员，违约金为5000元人民币/次/人；若擅自更换安全员、质检员、材料员，违约金为3000元人民币/次/人。</w:t>
      </w:r>
    </w:p>
    <w:p>
      <w:pPr>
        <w:pStyle w:val="30"/>
        <w:spacing w:line="360" w:lineRule="auto"/>
        <w:ind w:firstLine="482"/>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在磋商响应文件中需对管理人员的出勤率（项目经理、技术负责人要求不低于80%，施工员、安全员、质检员、材料员要求不低于100%）作出承诺及约定。若项目经理出勤率不足磋商承诺，</w:t>
      </w:r>
      <w:r>
        <w:rPr>
          <w:rFonts w:hint="eastAsia" w:ascii="仿宋" w:hAnsi="仿宋" w:eastAsia="仿宋" w:cs="仿宋"/>
          <w:b/>
          <w:color w:val="auto"/>
          <w:sz w:val="21"/>
          <w:szCs w:val="21"/>
          <w:highlight w:val="none"/>
          <w:u w:val="single"/>
          <w:lang w:eastAsia="zh-CN"/>
        </w:rPr>
        <w:t>乙方</w:t>
      </w:r>
      <w:r>
        <w:rPr>
          <w:rFonts w:hint="eastAsia" w:ascii="仿宋" w:hAnsi="仿宋" w:eastAsia="仿宋" w:cs="仿宋"/>
          <w:b/>
          <w:color w:val="auto"/>
          <w:sz w:val="21"/>
          <w:szCs w:val="21"/>
          <w:highlight w:val="none"/>
          <w:u w:val="single"/>
        </w:rPr>
        <w:t>应向</w:t>
      </w:r>
      <w:r>
        <w:rPr>
          <w:rFonts w:hint="eastAsia" w:ascii="仿宋" w:hAnsi="仿宋" w:eastAsia="仿宋" w:cs="仿宋"/>
          <w:b/>
          <w:color w:val="auto"/>
          <w:sz w:val="21"/>
          <w:szCs w:val="21"/>
          <w:highlight w:val="none"/>
          <w:u w:val="single"/>
          <w:lang w:eastAsia="zh-CN"/>
        </w:rPr>
        <w:t>甲方</w:t>
      </w:r>
      <w:r>
        <w:rPr>
          <w:rFonts w:hint="eastAsia" w:ascii="仿宋" w:hAnsi="仿宋" w:eastAsia="仿宋" w:cs="仿宋"/>
          <w:b/>
          <w:color w:val="auto"/>
          <w:sz w:val="21"/>
          <w:szCs w:val="21"/>
          <w:highlight w:val="none"/>
          <w:u w:val="single"/>
        </w:rPr>
        <w:t>支付违约金为2000元人民币/天；若技术负责人、施工员出勤率不足磋商承诺，</w:t>
      </w:r>
      <w:r>
        <w:rPr>
          <w:rFonts w:hint="eastAsia" w:ascii="仿宋" w:hAnsi="仿宋" w:eastAsia="仿宋" w:cs="仿宋"/>
          <w:b/>
          <w:color w:val="auto"/>
          <w:sz w:val="21"/>
          <w:szCs w:val="21"/>
          <w:highlight w:val="none"/>
          <w:u w:val="single"/>
          <w:lang w:eastAsia="zh-CN"/>
        </w:rPr>
        <w:t>乙方</w:t>
      </w:r>
      <w:r>
        <w:rPr>
          <w:rFonts w:hint="eastAsia" w:ascii="仿宋" w:hAnsi="仿宋" w:eastAsia="仿宋" w:cs="仿宋"/>
          <w:b/>
          <w:color w:val="auto"/>
          <w:sz w:val="21"/>
          <w:szCs w:val="21"/>
          <w:highlight w:val="none"/>
          <w:u w:val="single"/>
        </w:rPr>
        <w:t>应向</w:t>
      </w:r>
      <w:r>
        <w:rPr>
          <w:rFonts w:hint="eastAsia" w:ascii="仿宋" w:hAnsi="仿宋" w:eastAsia="仿宋" w:cs="仿宋"/>
          <w:b/>
          <w:color w:val="auto"/>
          <w:sz w:val="21"/>
          <w:szCs w:val="21"/>
          <w:highlight w:val="none"/>
          <w:u w:val="single"/>
          <w:lang w:eastAsia="zh-CN"/>
        </w:rPr>
        <w:t>甲方</w:t>
      </w:r>
      <w:r>
        <w:rPr>
          <w:rFonts w:hint="eastAsia" w:ascii="仿宋" w:hAnsi="仿宋" w:eastAsia="仿宋" w:cs="仿宋"/>
          <w:b/>
          <w:color w:val="auto"/>
          <w:sz w:val="21"/>
          <w:szCs w:val="21"/>
          <w:highlight w:val="none"/>
          <w:u w:val="single"/>
        </w:rPr>
        <w:t>支付违约金为1000元人民币/天/人；安全员、质检员、材料员出勤率不足磋商承诺，</w:t>
      </w:r>
      <w:r>
        <w:rPr>
          <w:rFonts w:hint="eastAsia" w:ascii="仿宋" w:hAnsi="仿宋" w:eastAsia="仿宋" w:cs="仿宋"/>
          <w:b/>
          <w:color w:val="auto"/>
          <w:sz w:val="21"/>
          <w:szCs w:val="21"/>
          <w:highlight w:val="none"/>
          <w:u w:val="single"/>
          <w:lang w:eastAsia="zh-CN"/>
        </w:rPr>
        <w:t>乙方</w:t>
      </w:r>
      <w:r>
        <w:rPr>
          <w:rFonts w:hint="eastAsia" w:ascii="仿宋" w:hAnsi="仿宋" w:eastAsia="仿宋" w:cs="仿宋"/>
          <w:b/>
          <w:color w:val="auto"/>
          <w:sz w:val="21"/>
          <w:szCs w:val="21"/>
          <w:highlight w:val="none"/>
          <w:u w:val="single"/>
        </w:rPr>
        <w:t>应向</w:t>
      </w:r>
      <w:r>
        <w:rPr>
          <w:rFonts w:hint="eastAsia" w:ascii="仿宋" w:hAnsi="仿宋" w:eastAsia="仿宋" w:cs="仿宋"/>
          <w:b/>
          <w:color w:val="auto"/>
          <w:sz w:val="21"/>
          <w:szCs w:val="21"/>
          <w:highlight w:val="none"/>
          <w:u w:val="single"/>
          <w:lang w:eastAsia="zh-CN"/>
        </w:rPr>
        <w:t>甲方</w:t>
      </w:r>
      <w:r>
        <w:rPr>
          <w:rFonts w:hint="eastAsia" w:ascii="仿宋" w:hAnsi="仿宋" w:eastAsia="仿宋" w:cs="仿宋"/>
          <w:b/>
          <w:color w:val="auto"/>
          <w:sz w:val="21"/>
          <w:szCs w:val="21"/>
          <w:highlight w:val="none"/>
          <w:u w:val="single"/>
        </w:rPr>
        <w:t>支付违约金500元人民币/天/人（出勤率按照为每月30天，每日工作时间8小时考勤）</w:t>
      </w:r>
      <w:r>
        <w:rPr>
          <w:rFonts w:hint="eastAsia" w:ascii="仿宋" w:hAnsi="仿宋" w:eastAsia="仿宋" w:cs="仿宋"/>
          <w:b/>
          <w:color w:val="auto"/>
          <w:sz w:val="21"/>
          <w:szCs w:val="21"/>
          <w:highlight w:val="none"/>
        </w:rPr>
        <w:t>。</w:t>
      </w:r>
    </w:p>
    <w:p>
      <w:pPr>
        <w:spacing w:line="360" w:lineRule="auto"/>
        <w:ind w:firstLine="411" w:firstLineChars="196"/>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21.4合同价款的其他约定</w:t>
      </w:r>
    </w:p>
    <w:p>
      <w:pPr>
        <w:spacing w:line="360" w:lineRule="auto"/>
        <w:ind w:firstLine="420" w:firstLineChars="200"/>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rPr>
        <w:t xml:space="preserve">21.4.1 </w:t>
      </w:r>
      <w:r>
        <w:rPr>
          <w:rFonts w:hint="eastAsia" w:ascii="仿宋" w:hAnsi="仿宋" w:eastAsia="仿宋" w:cs="仿宋"/>
          <w:b/>
          <w:color w:val="auto"/>
          <w:szCs w:val="21"/>
          <w:highlight w:val="none"/>
          <w:u w:val="single"/>
          <w:lang w:eastAsia="zh-CN"/>
        </w:rPr>
        <w:t>乙方</w:t>
      </w:r>
      <w:r>
        <w:rPr>
          <w:rFonts w:hint="eastAsia" w:ascii="仿宋" w:hAnsi="仿宋" w:eastAsia="仿宋" w:cs="仿宋"/>
          <w:b/>
          <w:color w:val="auto"/>
          <w:szCs w:val="21"/>
          <w:highlight w:val="none"/>
          <w:u w:val="single"/>
        </w:rPr>
        <w:t>所报的规费中必须包含危险作业意外伤害保险费用，否则当损害情况发生时所发生的所有费用由</w:t>
      </w:r>
      <w:r>
        <w:rPr>
          <w:rFonts w:hint="eastAsia" w:ascii="仿宋" w:hAnsi="仿宋" w:eastAsia="仿宋" w:cs="仿宋"/>
          <w:b/>
          <w:color w:val="auto"/>
          <w:szCs w:val="21"/>
          <w:highlight w:val="none"/>
          <w:u w:val="single"/>
          <w:lang w:eastAsia="zh-CN"/>
        </w:rPr>
        <w:t>乙方</w:t>
      </w:r>
      <w:r>
        <w:rPr>
          <w:rFonts w:hint="eastAsia" w:ascii="仿宋" w:hAnsi="仿宋" w:eastAsia="仿宋" w:cs="仿宋"/>
          <w:b/>
          <w:color w:val="auto"/>
          <w:szCs w:val="21"/>
          <w:highlight w:val="none"/>
          <w:u w:val="single"/>
        </w:rPr>
        <w:t>承担</w:t>
      </w:r>
      <w:r>
        <w:rPr>
          <w:rFonts w:hint="eastAsia" w:ascii="仿宋" w:hAnsi="仿宋" w:eastAsia="仿宋" w:cs="仿宋"/>
          <w:b/>
          <w:color w:val="auto"/>
          <w:szCs w:val="21"/>
          <w:highlight w:val="none"/>
        </w:rPr>
        <w:t>。</w:t>
      </w:r>
    </w:p>
    <w:p>
      <w:pPr>
        <w:spacing w:line="360" w:lineRule="auto"/>
        <w:ind w:firstLine="420" w:firstLineChars="200"/>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rPr>
        <w:t>21.4.2</w:t>
      </w:r>
      <w:r>
        <w:rPr>
          <w:rFonts w:hint="eastAsia" w:ascii="仿宋" w:hAnsi="仿宋" w:eastAsia="仿宋" w:cs="仿宋"/>
          <w:b/>
          <w:color w:val="auto"/>
          <w:szCs w:val="21"/>
          <w:highlight w:val="none"/>
          <w:u w:val="single"/>
        </w:rPr>
        <w:t>磋商报价必须与施工组织设计相一致，对施工组织设计的内容未在磋商报价中体现的均视同</w:t>
      </w:r>
      <w:r>
        <w:rPr>
          <w:rFonts w:hint="eastAsia" w:ascii="仿宋" w:hAnsi="仿宋" w:eastAsia="仿宋" w:cs="仿宋"/>
          <w:b/>
          <w:color w:val="auto"/>
          <w:szCs w:val="21"/>
          <w:highlight w:val="none"/>
          <w:u w:val="single"/>
          <w:lang w:eastAsia="zh-CN"/>
        </w:rPr>
        <w:t>乙方</w:t>
      </w:r>
      <w:r>
        <w:rPr>
          <w:rFonts w:hint="eastAsia" w:ascii="仿宋" w:hAnsi="仿宋" w:eastAsia="仿宋" w:cs="仿宋"/>
          <w:b/>
          <w:color w:val="auto"/>
          <w:szCs w:val="21"/>
          <w:highlight w:val="none"/>
          <w:u w:val="single"/>
        </w:rPr>
        <w:t>自行承担。施工期间由于</w:t>
      </w:r>
      <w:r>
        <w:rPr>
          <w:rFonts w:hint="eastAsia" w:ascii="仿宋" w:hAnsi="仿宋" w:eastAsia="仿宋" w:cs="仿宋"/>
          <w:b/>
          <w:color w:val="auto"/>
          <w:szCs w:val="21"/>
          <w:highlight w:val="none"/>
          <w:u w:val="single"/>
          <w:lang w:eastAsia="zh-CN"/>
        </w:rPr>
        <w:t>乙方</w:t>
      </w:r>
      <w:r>
        <w:rPr>
          <w:rFonts w:hint="eastAsia" w:ascii="仿宋" w:hAnsi="仿宋" w:eastAsia="仿宋" w:cs="仿宋"/>
          <w:b/>
          <w:color w:val="auto"/>
          <w:szCs w:val="21"/>
          <w:highlight w:val="none"/>
          <w:u w:val="single"/>
        </w:rPr>
        <w:t>原因造成施工方案的更改，所增加的工程费用及工期一概不予调整，属施工技术组织措施失误造成的费用及延误工期均由</w:t>
      </w:r>
      <w:r>
        <w:rPr>
          <w:rFonts w:hint="eastAsia" w:ascii="仿宋" w:hAnsi="仿宋" w:eastAsia="仿宋" w:cs="仿宋"/>
          <w:b/>
          <w:color w:val="auto"/>
          <w:szCs w:val="21"/>
          <w:highlight w:val="none"/>
          <w:u w:val="single"/>
          <w:lang w:eastAsia="zh-CN"/>
        </w:rPr>
        <w:t>乙方</w:t>
      </w:r>
      <w:r>
        <w:rPr>
          <w:rFonts w:hint="eastAsia" w:ascii="仿宋" w:hAnsi="仿宋" w:eastAsia="仿宋" w:cs="仿宋"/>
          <w:b/>
          <w:color w:val="auto"/>
          <w:szCs w:val="21"/>
          <w:highlight w:val="none"/>
          <w:u w:val="single"/>
        </w:rPr>
        <w:t>承担</w:t>
      </w:r>
      <w:r>
        <w:rPr>
          <w:rFonts w:hint="eastAsia" w:ascii="仿宋" w:hAnsi="仿宋" w:eastAsia="仿宋" w:cs="仿宋"/>
          <w:b/>
          <w:color w:val="auto"/>
          <w:szCs w:val="21"/>
          <w:highlight w:val="none"/>
        </w:rPr>
        <w:t>。</w:t>
      </w:r>
    </w:p>
    <w:p>
      <w:pPr>
        <w:pStyle w:val="30"/>
        <w:spacing w:line="360" w:lineRule="auto"/>
        <w:ind w:firstLine="420" w:firstLineChars="200"/>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rPr>
        <w:t>21.4.3</w:t>
      </w:r>
      <w:r>
        <w:rPr>
          <w:rFonts w:hint="eastAsia" w:ascii="仿宋" w:hAnsi="仿宋" w:eastAsia="仿宋" w:cs="仿宋"/>
          <w:b/>
          <w:color w:val="auto"/>
          <w:sz w:val="21"/>
          <w:szCs w:val="21"/>
          <w:highlight w:val="none"/>
          <w:u w:val="single"/>
        </w:rPr>
        <w:t>“施工技术措施项目清单”中的技术措施费提供工程数量的，数量按实调整。按“项”报价的为费用包干项目</w:t>
      </w:r>
      <w:r>
        <w:rPr>
          <w:rFonts w:hint="eastAsia" w:ascii="仿宋" w:hAnsi="仿宋" w:eastAsia="仿宋" w:cs="仿宋"/>
          <w:b/>
          <w:color w:val="auto"/>
          <w:sz w:val="21"/>
          <w:szCs w:val="21"/>
          <w:highlight w:val="none"/>
        </w:rPr>
        <w:t>。</w:t>
      </w:r>
    </w:p>
    <w:p>
      <w:pPr>
        <w:pStyle w:val="30"/>
        <w:spacing w:line="360" w:lineRule="auto"/>
        <w:ind w:firstLine="482"/>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21.5其他方面的约定</w:t>
      </w:r>
    </w:p>
    <w:p>
      <w:pPr>
        <w:spacing w:line="360" w:lineRule="auto"/>
        <w:ind w:firstLine="411" w:firstLineChars="196"/>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rPr>
        <w:t>21.5.1</w:t>
      </w:r>
      <w:r>
        <w:rPr>
          <w:rFonts w:hint="eastAsia" w:ascii="仿宋" w:hAnsi="仿宋" w:eastAsia="仿宋" w:cs="仿宋"/>
          <w:b/>
          <w:color w:val="auto"/>
          <w:szCs w:val="21"/>
          <w:highlight w:val="none"/>
          <w:u w:val="single"/>
        </w:rPr>
        <w:t>当</w:t>
      </w:r>
      <w:r>
        <w:rPr>
          <w:rFonts w:hint="eastAsia" w:ascii="仿宋" w:hAnsi="仿宋" w:eastAsia="仿宋" w:cs="仿宋"/>
          <w:b/>
          <w:color w:val="auto"/>
          <w:szCs w:val="21"/>
          <w:highlight w:val="none"/>
          <w:u w:val="single"/>
          <w:lang w:eastAsia="zh-CN"/>
        </w:rPr>
        <w:t>乙方</w:t>
      </w:r>
      <w:r>
        <w:rPr>
          <w:rFonts w:hint="eastAsia" w:ascii="仿宋" w:hAnsi="仿宋" w:eastAsia="仿宋" w:cs="仿宋"/>
          <w:b/>
          <w:color w:val="auto"/>
          <w:szCs w:val="21"/>
          <w:highlight w:val="none"/>
          <w:u w:val="single"/>
        </w:rPr>
        <w:t>未按合同约定履行义务，造成质量低下、进度迟缓、管理混乱或将成交项目转让（转包给他人），</w:t>
      </w:r>
      <w:r>
        <w:rPr>
          <w:rFonts w:hint="eastAsia" w:ascii="仿宋" w:hAnsi="仿宋" w:eastAsia="仿宋" w:cs="仿宋"/>
          <w:b/>
          <w:color w:val="auto"/>
          <w:szCs w:val="21"/>
          <w:highlight w:val="none"/>
          <w:u w:val="single"/>
          <w:lang w:eastAsia="zh-CN"/>
        </w:rPr>
        <w:t>甲方</w:t>
      </w:r>
      <w:r>
        <w:rPr>
          <w:rFonts w:hint="eastAsia" w:ascii="仿宋" w:hAnsi="仿宋" w:eastAsia="仿宋" w:cs="仿宋"/>
          <w:b/>
          <w:color w:val="auto"/>
          <w:szCs w:val="21"/>
          <w:highlight w:val="none"/>
          <w:u w:val="single"/>
        </w:rPr>
        <w:t>有权解除合同并没收履约保证金，如给</w:t>
      </w:r>
      <w:r>
        <w:rPr>
          <w:rFonts w:hint="eastAsia" w:ascii="仿宋" w:hAnsi="仿宋" w:eastAsia="仿宋" w:cs="仿宋"/>
          <w:b/>
          <w:color w:val="auto"/>
          <w:szCs w:val="21"/>
          <w:highlight w:val="none"/>
          <w:u w:val="single"/>
          <w:lang w:eastAsia="zh-CN"/>
        </w:rPr>
        <w:t>甲方</w:t>
      </w:r>
      <w:r>
        <w:rPr>
          <w:rFonts w:hint="eastAsia" w:ascii="仿宋" w:hAnsi="仿宋" w:eastAsia="仿宋" w:cs="仿宋"/>
          <w:b/>
          <w:color w:val="auto"/>
          <w:szCs w:val="21"/>
          <w:highlight w:val="none"/>
          <w:u w:val="single"/>
        </w:rPr>
        <w:t>造成的损失超过保证金数额的</w:t>
      </w:r>
      <w:r>
        <w:rPr>
          <w:rFonts w:hint="eastAsia" w:ascii="仿宋" w:hAnsi="仿宋" w:eastAsia="仿宋" w:cs="仿宋"/>
          <w:b/>
          <w:color w:val="auto"/>
          <w:szCs w:val="21"/>
          <w:highlight w:val="none"/>
          <w:u w:val="single"/>
          <w:lang w:val="en-US" w:eastAsia="zh-CN"/>
        </w:rPr>
        <w:t>则以甲方的实际损失为准予以赔偿</w:t>
      </w:r>
      <w:r>
        <w:rPr>
          <w:rFonts w:hint="eastAsia" w:ascii="仿宋" w:hAnsi="仿宋" w:eastAsia="仿宋" w:cs="仿宋"/>
          <w:b/>
          <w:color w:val="auto"/>
          <w:szCs w:val="21"/>
          <w:highlight w:val="none"/>
          <w:u w:val="single"/>
        </w:rPr>
        <w:t>，并依法承担相应的法律责任</w:t>
      </w:r>
      <w:r>
        <w:rPr>
          <w:rFonts w:hint="eastAsia" w:ascii="仿宋" w:hAnsi="仿宋" w:eastAsia="仿宋" w:cs="仿宋"/>
          <w:b/>
          <w:color w:val="auto"/>
          <w:szCs w:val="21"/>
          <w:highlight w:val="none"/>
        </w:rPr>
        <w:t>；</w:t>
      </w:r>
    </w:p>
    <w:p>
      <w:pPr>
        <w:spacing w:line="360" w:lineRule="auto"/>
        <w:ind w:firstLine="411" w:firstLineChars="196"/>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rPr>
        <w:t>21.5.2</w:t>
      </w:r>
      <w:r>
        <w:rPr>
          <w:rFonts w:hint="eastAsia" w:ascii="仿宋" w:hAnsi="仿宋" w:eastAsia="仿宋" w:cs="仿宋"/>
          <w:b/>
          <w:color w:val="auto"/>
          <w:szCs w:val="21"/>
          <w:highlight w:val="none"/>
          <w:u w:val="single"/>
          <w:lang w:eastAsia="zh-CN"/>
        </w:rPr>
        <w:t>乙方</w:t>
      </w:r>
      <w:r>
        <w:rPr>
          <w:rFonts w:hint="eastAsia" w:ascii="仿宋" w:hAnsi="仿宋" w:eastAsia="仿宋" w:cs="仿宋"/>
          <w:b/>
          <w:color w:val="auto"/>
          <w:szCs w:val="21"/>
          <w:highlight w:val="none"/>
          <w:u w:val="single"/>
        </w:rPr>
        <w:t>应确保工人工资的及时支付，如不及时支付，视作</w:t>
      </w:r>
      <w:r>
        <w:rPr>
          <w:rFonts w:hint="eastAsia" w:ascii="仿宋" w:hAnsi="仿宋" w:eastAsia="仿宋" w:cs="仿宋"/>
          <w:b/>
          <w:color w:val="auto"/>
          <w:szCs w:val="21"/>
          <w:highlight w:val="none"/>
          <w:u w:val="single"/>
          <w:lang w:eastAsia="zh-CN"/>
        </w:rPr>
        <w:t>乙方</w:t>
      </w:r>
      <w:r>
        <w:rPr>
          <w:rFonts w:hint="eastAsia" w:ascii="仿宋" w:hAnsi="仿宋" w:eastAsia="仿宋" w:cs="仿宋"/>
          <w:b/>
          <w:color w:val="auto"/>
          <w:szCs w:val="21"/>
          <w:highlight w:val="none"/>
          <w:u w:val="single"/>
        </w:rPr>
        <w:t>违约，</w:t>
      </w:r>
      <w:r>
        <w:rPr>
          <w:rFonts w:hint="eastAsia" w:ascii="仿宋" w:hAnsi="仿宋" w:eastAsia="仿宋" w:cs="仿宋"/>
          <w:b/>
          <w:color w:val="auto"/>
          <w:szCs w:val="21"/>
          <w:highlight w:val="none"/>
          <w:u w:val="single"/>
          <w:lang w:eastAsia="zh-CN"/>
        </w:rPr>
        <w:t>乙方</w:t>
      </w:r>
      <w:r>
        <w:rPr>
          <w:rFonts w:hint="eastAsia" w:ascii="仿宋" w:hAnsi="仿宋" w:eastAsia="仿宋" w:cs="仿宋"/>
          <w:b/>
          <w:color w:val="auto"/>
          <w:szCs w:val="21"/>
          <w:highlight w:val="none"/>
          <w:u w:val="single"/>
        </w:rPr>
        <w:t>应按合同价款的1%向</w:t>
      </w:r>
      <w:r>
        <w:rPr>
          <w:rFonts w:hint="eastAsia" w:ascii="仿宋" w:hAnsi="仿宋" w:eastAsia="仿宋" w:cs="仿宋"/>
          <w:b/>
          <w:color w:val="auto"/>
          <w:szCs w:val="21"/>
          <w:highlight w:val="none"/>
          <w:u w:val="single"/>
          <w:lang w:eastAsia="zh-CN"/>
        </w:rPr>
        <w:t>甲方</w:t>
      </w:r>
      <w:r>
        <w:rPr>
          <w:rFonts w:hint="eastAsia" w:ascii="仿宋" w:hAnsi="仿宋" w:eastAsia="仿宋" w:cs="仿宋"/>
          <w:b/>
          <w:color w:val="auto"/>
          <w:szCs w:val="21"/>
          <w:highlight w:val="none"/>
          <w:u w:val="single"/>
        </w:rPr>
        <w:t>支付违约金且由此造成的后果与损失应由</w:t>
      </w:r>
      <w:r>
        <w:rPr>
          <w:rFonts w:hint="eastAsia" w:ascii="仿宋" w:hAnsi="仿宋" w:eastAsia="仿宋" w:cs="仿宋"/>
          <w:b/>
          <w:color w:val="auto"/>
          <w:szCs w:val="21"/>
          <w:highlight w:val="none"/>
          <w:u w:val="single"/>
          <w:lang w:eastAsia="zh-CN"/>
        </w:rPr>
        <w:t>乙方</w:t>
      </w:r>
      <w:r>
        <w:rPr>
          <w:rFonts w:hint="eastAsia" w:ascii="仿宋" w:hAnsi="仿宋" w:eastAsia="仿宋" w:cs="仿宋"/>
          <w:b/>
          <w:color w:val="auto"/>
          <w:szCs w:val="21"/>
          <w:highlight w:val="none"/>
          <w:u w:val="single"/>
        </w:rPr>
        <w:t>自行承担，同时，</w:t>
      </w:r>
      <w:r>
        <w:rPr>
          <w:rFonts w:hint="eastAsia" w:ascii="仿宋" w:hAnsi="仿宋" w:eastAsia="仿宋" w:cs="仿宋"/>
          <w:b/>
          <w:color w:val="auto"/>
          <w:szCs w:val="21"/>
          <w:highlight w:val="none"/>
          <w:u w:val="single"/>
          <w:lang w:eastAsia="zh-CN"/>
        </w:rPr>
        <w:t>甲方</w:t>
      </w:r>
      <w:r>
        <w:rPr>
          <w:rFonts w:hint="eastAsia" w:ascii="仿宋" w:hAnsi="仿宋" w:eastAsia="仿宋" w:cs="仿宋"/>
          <w:b/>
          <w:color w:val="auto"/>
          <w:szCs w:val="21"/>
          <w:highlight w:val="none"/>
          <w:u w:val="single"/>
        </w:rPr>
        <w:t>有权在工程款中扣除相应费用代为支付工人工资</w:t>
      </w:r>
      <w:r>
        <w:rPr>
          <w:rFonts w:hint="eastAsia" w:ascii="仿宋" w:hAnsi="仿宋" w:eastAsia="仿宋" w:cs="仿宋"/>
          <w:b/>
          <w:color w:val="auto"/>
          <w:szCs w:val="21"/>
          <w:highlight w:val="none"/>
        </w:rPr>
        <w:t>。</w:t>
      </w:r>
    </w:p>
    <w:p>
      <w:pPr>
        <w:pStyle w:val="30"/>
        <w:spacing w:line="360" w:lineRule="auto"/>
        <w:ind w:firstLine="482"/>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rPr>
        <w:t>21.5.3</w:t>
      </w:r>
      <w:r>
        <w:rPr>
          <w:rFonts w:hint="eastAsia" w:ascii="仿宋" w:hAnsi="仿宋" w:eastAsia="仿宋" w:cs="仿宋"/>
          <w:b/>
          <w:color w:val="auto"/>
          <w:sz w:val="21"/>
          <w:szCs w:val="21"/>
          <w:highlight w:val="none"/>
          <w:u w:val="single"/>
        </w:rPr>
        <w:t>工程竣工验收通过后3日内，</w:t>
      </w:r>
      <w:r>
        <w:rPr>
          <w:rFonts w:hint="eastAsia" w:ascii="仿宋" w:hAnsi="仿宋" w:eastAsia="仿宋" w:cs="仿宋"/>
          <w:b/>
          <w:color w:val="auto"/>
          <w:sz w:val="21"/>
          <w:szCs w:val="21"/>
          <w:highlight w:val="none"/>
          <w:u w:val="single"/>
          <w:lang w:eastAsia="zh-CN"/>
        </w:rPr>
        <w:t>乙方</w:t>
      </w:r>
      <w:r>
        <w:rPr>
          <w:rFonts w:hint="eastAsia" w:ascii="仿宋" w:hAnsi="仿宋" w:eastAsia="仿宋" w:cs="仿宋"/>
          <w:b/>
          <w:color w:val="auto"/>
          <w:sz w:val="21"/>
          <w:szCs w:val="21"/>
          <w:highlight w:val="none"/>
          <w:u w:val="single"/>
        </w:rPr>
        <w:t>须向</w:t>
      </w:r>
      <w:r>
        <w:rPr>
          <w:rFonts w:hint="eastAsia" w:ascii="仿宋" w:hAnsi="仿宋" w:eastAsia="仿宋" w:cs="仿宋"/>
          <w:b/>
          <w:color w:val="auto"/>
          <w:sz w:val="21"/>
          <w:szCs w:val="21"/>
          <w:highlight w:val="none"/>
          <w:u w:val="single"/>
          <w:lang w:eastAsia="zh-CN"/>
        </w:rPr>
        <w:t>甲方</w:t>
      </w:r>
      <w:r>
        <w:rPr>
          <w:rFonts w:hint="eastAsia" w:ascii="仿宋" w:hAnsi="仿宋" w:eastAsia="仿宋" w:cs="仿宋"/>
          <w:b/>
          <w:color w:val="auto"/>
          <w:sz w:val="21"/>
          <w:szCs w:val="21"/>
          <w:highlight w:val="none"/>
          <w:u w:val="single"/>
        </w:rPr>
        <w:t>移交全部工程，逾期移交的，每逾期一日，按人民币5000元向</w:t>
      </w:r>
      <w:r>
        <w:rPr>
          <w:rFonts w:hint="eastAsia" w:ascii="仿宋" w:hAnsi="仿宋" w:eastAsia="仿宋" w:cs="仿宋"/>
          <w:b/>
          <w:color w:val="auto"/>
          <w:sz w:val="21"/>
          <w:szCs w:val="21"/>
          <w:highlight w:val="none"/>
          <w:u w:val="single"/>
          <w:lang w:eastAsia="zh-CN"/>
        </w:rPr>
        <w:t>甲方</w:t>
      </w:r>
      <w:r>
        <w:rPr>
          <w:rFonts w:hint="eastAsia" w:ascii="仿宋" w:hAnsi="仿宋" w:eastAsia="仿宋" w:cs="仿宋"/>
          <w:b/>
          <w:color w:val="auto"/>
          <w:sz w:val="21"/>
          <w:szCs w:val="21"/>
          <w:highlight w:val="none"/>
          <w:u w:val="single"/>
        </w:rPr>
        <w:t>支付违约金，因逾期交付工程给</w:t>
      </w:r>
      <w:r>
        <w:rPr>
          <w:rFonts w:hint="eastAsia" w:ascii="仿宋" w:hAnsi="仿宋" w:eastAsia="仿宋" w:cs="仿宋"/>
          <w:b/>
          <w:color w:val="auto"/>
          <w:sz w:val="21"/>
          <w:szCs w:val="21"/>
          <w:highlight w:val="none"/>
          <w:u w:val="single"/>
          <w:lang w:eastAsia="zh-CN"/>
        </w:rPr>
        <w:t>甲方</w:t>
      </w:r>
      <w:r>
        <w:rPr>
          <w:rFonts w:hint="eastAsia" w:ascii="仿宋" w:hAnsi="仿宋" w:eastAsia="仿宋" w:cs="仿宋"/>
          <w:b/>
          <w:color w:val="auto"/>
          <w:sz w:val="21"/>
          <w:szCs w:val="21"/>
          <w:highlight w:val="none"/>
          <w:u w:val="single"/>
        </w:rPr>
        <w:t>造成经济损失的，赔偿损失。同时，</w:t>
      </w:r>
      <w:r>
        <w:rPr>
          <w:rFonts w:hint="eastAsia" w:ascii="仿宋" w:hAnsi="仿宋" w:eastAsia="仿宋" w:cs="仿宋"/>
          <w:b/>
          <w:color w:val="auto"/>
          <w:sz w:val="21"/>
          <w:szCs w:val="21"/>
          <w:highlight w:val="none"/>
          <w:u w:val="single"/>
          <w:lang w:eastAsia="zh-CN"/>
        </w:rPr>
        <w:t>乙方</w:t>
      </w:r>
      <w:r>
        <w:rPr>
          <w:rFonts w:hint="eastAsia" w:ascii="仿宋" w:hAnsi="仿宋" w:eastAsia="仿宋" w:cs="仿宋"/>
          <w:b/>
          <w:color w:val="auto"/>
          <w:sz w:val="21"/>
          <w:szCs w:val="21"/>
          <w:highlight w:val="none"/>
          <w:u w:val="single"/>
        </w:rPr>
        <w:t>移交所有工程之前，</w:t>
      </w:r>
      <w:r>
        <w:rPr>
          <w:rFonts w:hint="eastAsia" w:ascii="仿宋" w:hAnsi="仿宋" w:eastAsia="仿宋" w:cs="仿宋"/>
          <w:b/>
          <w:color w:val="auto"/>
          <w:sz w:val="21"/>
          <w:szCs w:val="21"/>
          <w:highlight w:val="none"/>
          <w:u w:val="single"/>
          <w:lang w:eastAsia="zh-CN"/>
        </w:rPr>
        <w:t>甲方</w:t>
      </w:r>
      <w:r>
        <w:rPr>
          <w:rFonts w:hint="eastAsia" w:ascii="仿宋" w:hAnsi="仿宋" w:eastAsia="仿宋" w:cs="仿宋"/>
          <w:b/>
          <w:color w:val="auto"/>
          <w:sz w:val="21"/>
          <w:szCs w:val="21"/>
          <w:highlight w:val="none"/>
          <w:u w:val="single"/>
        </w:rPr>
        <w:t>有权拒绝结算、支付工程款</w:t>
      </w:r>
      <w:r>
        <w:rPr>
          <w:rFonts w:hint="eastAsia" w:ascii="仿宋" w:hAnsi="仿宋" w:eastAsia="仿宋" w:cs="仿宋"/>
          <w:b/>
          <w:color w:val="auto"/>
          <w:sz w:val="21"/>
          <w:szCs w:val="21"/>
          <w:highlight w:val="none"/>
        </w:rPr>
        <w:t>；</w:t>
      </w:r>
    </w:p>
    <w:p>
      <w:pPr>
        <w:adjustRightInd w:val="0"/>
        <w:snapToGrid w:val="0"/>
        <w:spacing w:line="360" w:lineRule="auto"/>
        <w:ind w:firstLine="482"/>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rPr>
        <w:t>21.5.4</w:t>
      </w:r>
      <w:r>
        <w:rPr>
          <w:rFonts w:hint="eastAsia" w:ascii="仿宋" w:hAnsi="仿宋" w:eastAsia="仿宋" w:cs="仿宋"/>
          <w:b/>
          <w:color w:val="auto"/>
          <w:szCs w:val="21"/>
          <w:highlight w:val="none"/>
          <w:u w:val="single"/>
        </w:rPr>
        <w:t>因</w:t>
      </w:r>
      <w:r>
        <w:rPr>
          <w:rFonts w:hint="eastAsia" w:ascii="仿宋" w:hAnsi="仿宋" w:eastAsia="仿宋" w:cs="仿宋"/>
          <w:b/>
          <w:color w:val="auto"/>
          <w:szCs w:val="21"/>
          <w:highlight w:val="none"/>
          <w:u w:val="single"/>
          <w:lang w:eastAsia="zh-CN"/>
        </w:rPr>
        <w:t>甲方</w:t>
      </w:r>
      <w:r>
        <w:rPr>
          <w:rFonts w:hint="eastAsia" w:ascii="仿宋" w:hAnsi="仿宋" w:eastAsia="仿宋" w:cs="仿宋"/>
          <w:b/>
          <w:color w:val="auto"/>
          <w:szCs w:val="21"/>
          <w:highlight w:val="none"/>
          <w:u w:val="single"/>
        </w:rPr>
        <w:t>单位性质的特殊性，</w:t>
      </w:r>
      <w:r>
        <w:rPr>
          <w:rFonts w:hint="eastAsia" w:ascii="仿宋" w:hAnsi="仿宋" w:eastAsia="仿宋" w:cs="仿宋"/>
          <w:b/>
          <w:color w:val="auto"/>
          <w:szCs w:val="21"/>
          <w:highlight w:val="none"/>
          <w:u w:val="single"/>
          <w:lang w:eastAsia="zh-CN"/>
        </w:rPr>
        <w:t>乙方</w:t>
      </w:r>
      <w:r>
        <w:rPr>
          <w:rFonts w:hint="eastAsia" w:ascii="仿宋" w:hAnsi="仿宋" w:eastAsia="仿宋" w:cs="仿宋"/>
          <w:b/>
          <w:color w:val="auto"/>
          <w:szCs w:val="21"/>
          <w:highlight w:val="none"/>
          <w:u w:val="single"/>
        </w:rPr>
        <w:t>应无条件地严格遵守</w:t>
      </w:r>
      <w:r>
        <w:rPr>
          <w:rFonts w:hint="eastAsia" w:ascii="仿宋" w:hAnsi="仿宋" w:eastAsia="仿宋" w:cs="仿宋"/>
          <w:b/>
          <w:color w:val="auto"/>
          <w:szCs w:val="21"/>
          <w:highlight w:val="none"/>
          <w:u w:val="single"/>
          <w:lang w:eastAsia="zh-CN"/>
        </w:rPr>
        <w:t>甲方</w:t>
      </w:r>
      <w:r>
        <w:rPr>
          <w:rFonts w:hint="eastAsia" w:ascii="仿宋" w:hAnsi="仿宋" w:eastAsia="仿宋" w:cs="仿宋"/>
          <w:b/>
          <w:color w:val="auto"/>
          <w:szCs w:val="21"/>
          <w:highlight w:val="none"/>
          <w:u w:val="single"/>
        </w:rPr>
        <w:t>的规章制度，严禁</w:t>
      </w:r>
      <w:r>
        <w:rPr>
          <w:rFonts w:hint="eastAsia" w:ascii="仿宋" w:hAnsi="仿宋" w:eastAsia="仿宋" w:cs="仿宋"/>
          <w:b/>
          <w:color w:val="auto"/>
          <w:szCs w:val="21"/>
          <w:highlight w:val="none"/>
          <w:u w:val="single"/>
          <w:lang w:eastAsia="zh-CN"/>
        </w:rPr>
        <w:t>乙方</w:t>
      </w:r>
      <w:r>
        <w:rPr>
          <w:rFonts w:hint="eastAsia" w:ascii="仿宋" w:hAnsi="仿宋" w:eastAsia="仿宋" w:cs="仿宋"/>
          <w:b/>
          <w:color w:val="auto"/>
          <w:szCs w:val="21"/>
          <w:highlight w:val="none"/>
          <w:u w:val="single"/>
        </w:rPr>
        <w:t>所派人员将违禁品带入所有区域内，严禁给</w:t>
      </w:r>
      <w:r>
        <w:rPr>
          <w:rFonts w:hint="eastAsia" w:ascii="仿宋" w:hAnsi="仿宋" w:eastAsia="仿宋" w:cs="仿宋"/>
          <w:b/>
          <w:color w:val="auto"/>
          <w:szCs w:val="21"/>
          <w:highlight w:val="none"/>
          <w:u w:val="single"/>
          <w:lang w:val="en-US" w:eastAsia="zh-CN"/>
        </w:rPr>
        <w:t>任何</w:t>
      </w:r>
      <w:r>
        <w:rPr>
          <w:rFonts w:hint="eastAsia" w:ascii="仿宋" w:hAnsi="仿宋" w:eastAsia="仿宋" w:cs="仿宋"/>
          <w:b/>
          <w:color w:val="auto"/>
          <w:szCs w:val="21"/>
          <w:highlight w:val="none"/>
          <w:u w:val="single"/>
        </w:rPr>
        <w:t>（戒毒）人员传带任何物品，违者将禁止进入</w:t>
      </w:r>
      <w:r>
        <w:rPr>
          <w:rFonts w:hint="eastAsia" w:ascii="仿宋" w:hAnsi="仿宋" w:eastAsia="仿宋" w:cs="仿宋"/>
          <w:b/>
          <w:color w:val="auto"/>
          <w:szCs w:val="21"/>
          <w:highlight w:val="none"/>
          <w:u w:val="single"/>
          <w:lang w:eastAsia="zh-CN"/>
        </w:rPr>
        <w:t>甲方</w:t>
      </w:r>
      <w:r>
        <w:rPr>
          <w:rFonts w:hint="eastAsia" w:ascii="仿宋" w:hAnsi="仿宋" w:eastAsia="仿宋" w:cs="仿宋"/>
          <w:b/>
          <w:color w:val="auto"/>
          <w:szCs w:val="21"/>
          <w:highlight w:val="none"/>
          <w:u w:val="single"/>
        </w:rPr>
        <w:t>所区，发现或查获一次扣罚合同价款1%；第二次发现或查获扣罚合同价款2%，并停工整顿；第三次发现或查获扣罚合同价款3%，并停工整顿，同时</w:t>
      </w:r>
      <w:r>
        <w:rPr>
          <w:rFonts w:hint="eastAsia" w:ascii="仿宋" w:hAnsi="仿宋" w:eastAsia="仿宋" w:cs="仿宋"/>
          <w:b/>
          <w:color w:val="auto"/>
          <w:szCs w:val="21"/>
          <w:highlight w:val="none"/>
          <w:u w:val="single"/>
          <w:lang w:eastAsia="zh-CN"/>
        </w:rPr>
        <w:t>甲方</w:t>
      </w:r>
      <w:r>
        <w:rPr>
          <w:rFonts w:hint="eastAsia" w:ascii="仿宋" w:hAnsi="仿宋" w:eastAsia="仿宋" w:cs="仿宋"/>
          <w:b/>
          <w:color w:val="auto"/>
          <w:szCs w:val="21"/>
          <w:highlight w:val="none"/>
          <w:u w:val="single"/>
        </w:rPr>
        <w:t>有权解除合同；如造成严重后果则承担相应的法律责任。(违禁物品包括：香烟、打火机、火柴、酒类、通讯工具、电子类产品、刀具、尖锐物、绳索、梯子、衣物、现金、信件、光盘等音像制品、毒品、任何药品、书籍等危害戒毒场所安全的物品）</w:t>
      </w:r>
      <w:r>
        <w:rPr>
          <w:rFonts w:hint="eastAsia" w:ascii="仿宋" w:hAnsi="仿宋" w:eastAsia="仿宋" w:cs="仿宋"/>
          <w:b/>
          <w:color w:val="auto"/>
          <w:szCs w:val="21"/>
          <w:highlight w:val="none"/>
        </w:rPr>
        <w:t>。</w:t>
      </w:r>
    </w:p>
    <w:p>
      <w:pPr>
        <w:autoSpaceDE w:val="0"/>
        <w:autoSpaceDN w:val="0"/>
        <w:adjustRightInd w:val="0"/>
        <w:spacing w:line="360" w:lineRule="auto"/>
        <w:ind w:right="105" w:rightChars="50" w:firstLine="482"/>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21.5.5</w:t>
      </w:r>
      <w:r>
        <w:rPr>
          <w:rFonts w:hint="eastAsia" w:ascii="仿宋" w:hAnsi="仿宋" w:eastAsia="仿宋" w:cs="仿宋"/>
          <w:b/>
          <w:color w:val="auto"/>
          <w:szCs w:val="21"/>
          <w:highlight w:val="none"/>
          <w:u w:val="single"/>
          <w:lang w:eastAsia="zh-CN"/>
        </w:rPr>
        <w:t>乙方</w:t>
      </w:r>
      <w:r>
        <w:rPr>
          <w:rFonts w:hint="eastAsia" w:ascii="仿宋" w:hAnsi="仿宋" w:eastAsia="仿宋" w:cs="仿宋"/>
          <w:b/>
          <w:color w:val="auto"/>
          <w:szCs w:val="21"/>
          <w:highlight w:val="none"/>
          <w:u w:val="single"/>
        </w:rPr>
        <w:t>负责提供施工过程中需要的主材、辅材等所有材料、工程设备及搬运，施工过程中损坏其他设施等物</w:t>
      </w:r>
      <w:r>
        <w:rPr>
          <w:rFonts w:hint="eastAsia" w:ascii="仿宋" w:hAnsi="仿宋" w:eastAsia="仿宋" w:cs="仿宋"/>
          <w:b/>
          <w:color w:val="auto"/>
          <w:szCs w:val="21"/>
          <w:highlight w:val="none"/>
          <w:u w:val="single"/>
          <w:lang w:val="en-US" w:eastAsia="zh-CN"/>
        </w:rPr>
        <w:t>品的责任</w:t>
      </w:r>
      <w:r>
        <w:rPr>
          <w:rFonts w:hint="eastAsia" w:ascii="仿宋" w:hAnsi="仿宋" w:eastAsia="仿宋" w:cs="仿宋"/>
          <w:b/>
          <w:color w:val="auto"/>
          <w:szCs w:val="21"/>
          <w:highlight w:val="none"/>
          <w:u w:val="single"/>
        </w:rPr>
        <w:t>由</w:t>
      </w:r>
      <w:r>
        <w:rPr>
          <w:rFonts w:hint="eastAsia" w:ascii="仿宋" w:hAnsi="仿宋" w:eastAsia="仿宋" w:cs="仿宋"/>
          <w:b/>
          <w:color w:val="auto"/>
          <w:szCs w:val="21"/>
          <w:highlight w:val="none"/>
          <w:u w:val="single"/>
          <w:lang w:eastAsia="zh-CN"/>
        </w:rPr>
        <w:t>乙方</w:t>
      </w:r>
      <w:r>
        <w:rPr>
          <w:rFonts w:hint="eastAsia" w:ascii="仿宋" w:hAnsi="仿宋" w:eastAsia="仿宋" w:cs="仿宋"/>
          <w:b/>
          <w:color w:val="auto"/>
          <w:szCs w:val="21"/>
          <w:highlight w:val="none"/>
          <w:u w:val="single"/>
        </w:rPr>
        <w:t>负责</w:t>
      </w:r>
      <w:r>
        <w:rPr>
          <w:rFonts w:hint="eastAsia" w:ascii="仿宋" w:hAnsi="仿宋" w:eastAsia="仿宋" w:cs="仿宋"/>
          <w:b/>
          <w:color w:val="auto"/>
          <w:szCs w:val="21"/>
          <w:highlight w:val="none"/>
        </w:rPr>
        <w:t>；</w:t>
      </w:r>
    </w:p>
    <w:p>
      <w:pPr>
        <w:autoSpaceDE w:val="0"/>
        <w:autoSpaceDN w:val="0"/>
        <w:adjustRightInd w:val="0"/>
        <w:spacing w:line="360" w:lineRule="auto"/>
        <w:ind w:right="105" w:rightChars="50" w:firstLine="482"/>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rPr>
        <w:t>21.5.6</w:t>
      </w:r>
      <w:r>
        <w:rPr>
          <w:rFonts w:hint="eastAsia" w:ascii="仿宋" w:hAnsi="仿宋" w:eastAsia="仿宋" w:cs="仿宋"/>
          <w:b/>
          <w:color w:val="auto"/>
          <w:szCs w:val="21"/>
          <w:highlight w:val="none"/>
          <w:u w:val="single"/>
        </w:rPr>
        <w:t>由于</w:t>
      </w:r>
      <w:r>
        <w:rPr>
          <w:rFonts w:hint="eastAsia" w:ascii="仿宋" w:hAnsi="仿宋" w:eastAsia="仿宋" w:cs="仿宋"/>
          <w:b/>
          <w:color w:val="auto"/>
          <w:szCs w:val="21"/>
          <w:highlight w:val="none"/>
          <w:u w:val="single"/>
          <w:lang w:eastAsia="zh-CN"/>
        </w:rPr>
        <w:t>乙方</w:t>
      </w:r>
      <w:r>
        <w:rPr>
          <w:rFonts w:hint="eastAsia" w:ascii="仿宋" w:hAnsi="仿宋" w:eastAsia="仿宋" w:cs="仿宋"/>
          <w:b/>
          <w:color w:val="auto"/>
          <w:szCs w:val="21"/>
          <w:highlight w:val="none"/>
          <w:u w:val="single"/>
        </w:rPr>
        <w:t>违章操作出现安全事故的，发现或查获一次扣罚合同价款1%；第二次发现或查获扣罚合同价款2%，并停工整顿；第三次发现或查获扣罚合同价款3%，并停工整顿，同时</w:t>
      </w:r>
      <w:r>
        <w:rPr>
          <w:rFonts w:hint="eastAsia" w:ascii="仿宋" w:hAnsi="仿宋" w:eastAsia="仿宋" w:cs="仿宋"/>
          <w:b/>
          <w:color w:val="auto"/>
          <w:szCs w:val="21"/>
          <w:highlight w:val="none"/>
          <w:u w:val="single"/>
          <w:lang w:eastAsia="zh-CN"/>
        </w:rPr>
        <w:t>甲方</w:t>
      </w:r>
      <w:r>
        <w:rPr>
          <w:rFonts w:hint="eastAsia" w:ascii="仿宋" w:hAnsi="仿宋" w:eastAsia="仿宋" w:cs="仿宋"/>
          <w:b/>
          <w:color w:val="auto"/>
          <w:szCs w:val="21"/>
          <w:highlight w:val="none"/>
          <w:u w:val="single"/>
        </w:rPr>
        <w:t>有权解除合同；如造成严重后果则承担相应的法律责任</w:t>
      </w:r>
      <w:r>
        <w:rPr>
          <w:rFonts w:hint="eastAsia" w:ascii="仿宋" w:hAnsi="仿宋" w:eastAsia="仿宋" w:cs="仿宋"/>
          <w:b/>
          <w:color w:val="auto"/>
          <w:szCs w:val="21"/>
          <w:highlight w:val="none"/>
        </w:rPr>
        <w:t>。</w:t>
      </w:r>
    </w:p>
    <w:p>
      <w:pPr>
        <w:autoSpaceDE w:val="0"/>
        <w:autoSpaceDN w:val="0"/>
        <w:adjustRightInd w:val="0"/>
        <w:spacing w:line="360" w:lineRule="auto"/>
        <w:ind w:right="105" w:rightChars="50" w:firstLine="482"/>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rPr>
        <w:t>21.5.7</w:t>
      </w:r>
      <w:r>
        <w:rPr>
          <w:rFonts w:hint="eastAsia" w:ascii="仿宋" w:hAnsi="仿宋" w:eastAsia="仿宋" w:cs="仿宋"/>
          <w:b/>
          <w:color w:val="auto"/>
          <w:szCs w:val="21"/>
          <w:highlight w:val="none"/>
          <w:u w:val="single"/>
          <w:lang w:eastAsia="zh-CN"/>
        </w:rPr>
        <w:t>乙方</w:t>
      </w:r>
      <w:r>
        <w:rPr>
          <w:rFonts w:hint="eastAsia" w:ascii="仿宋" w:hAnsi="仿宋" w:eastAsia="仿宋" w:cs="仿宋"/>
          <w:b/>
          <w:color w:val="auto"/>
          <w:szCs w:val="21"/>
          <w:highlight w:val="none"/>
          <w:u w:val="single"/>
        </w:rPr>
        <w:t>进入所有区域的施工的人员必须服从</w:t>
      </w:r>
      <w:r>
        <w:rPr>
          <w:rFonts w:hint="eastAsia" w:ascii="仿宋" w:hAnsi="仿宋" w:eastAsia="仿宋" w:cs="仿宋"/>
          <w:b/>
          <w:color w:val="auto"/>
          <w:szCs w:val="21"/>
          <w:highlight w:val="none"/>
          <w:u w:val="single"/>
          <w:lang w:eastAsia="zh-CN"/>
        </w:rPr>
        <w:t>甲方</w:t>
      </w:r>
      <w:r>
        <w:rPr>
          <w:rFonts w:hint="eastAsia" w:ascii="仿宋" w:hAnsi="仿宋" w:eastAsia="仿宋" w:cs="仿宋"/>
          <w:b/>
          <w:color w:val="auto"/>
          <w:szCs w:val="21"/>
          <w:highlight w:val="none"/>
          <w:u w:val="single"/>
        </w:rPr>
        <w:t>工作人员指挥，不得离开指定工作区域；当日施工结束离开时须将建筑垃圾等带走，</w:t>
      </w:r>
      <w:r>
        <w:rPr>
          <w:rFonts w:hint="eastAsia" w:ascii="仿宋" w:hAnsi="仿宋" w:eastAsia="仿宋" w:cs="仿宋"/>
          <w:b/>
          <w:color w:val="auto"/>
          <w:szCs w:val="21"/>
          <w:highlight w:val="none"/>
          <w:u w:val="single"/>
          <w:lang w:val="en-US" w:eastAsia="zh-CN"/>
        </w:rPr>
        <w:t>若不遵循上述约定，第一次</w:t>
      </w:r>
      <w:r>
        <w:rPr>
          <w:rFonts w:hint="eastAsia" w:ascii="仿宋" w:hAnsi="仿宋" w:eastAsia="仿宋" w:cs="仿宋"/>
          <w:b/>
          <w:color w:val="auto"/>
          <w:szCs w:val="21"/>
          <w:highlight w:val="none"/>
          <w:u w:val="single"/>
        </w:rPr>
        <w:t>发现或查获扣罚合同价款1%；第二次发现或查获扣罚合同价款2%，并停工整顿；第三次发现或查获扣罚合同价款3%，并停工整顿，同时</w:t>
      </w:r>
      <w:r>
        <w:rPr>
          <w:rFonts w:hint="eastAsia" w:ascii="仿宋" w:hAnsi="仿宋" w:eastAsia="仿宋" w:cs="仿宋"/>
          <w:b/>
          <w:color w:val="auto"/>
          <w:szCs w:val="21"/>
          <w:highlight w:val="none"/>
          <w:u w:val="single"/>
          <w:lang w:eastAsia="zh-CN"/>
        </w:rPr>
        <w:t>甲方</w:t>
      </w:r>
      <w:r>
        <w:rPr>
          <w:rFonts w:hint="eastAsia" w:ascii="仿宋" w:hAnsi="仿宋" w:eastAsia="仿宋" w:cs="仿宋"/>
          <w:b/>
          <w:color w:val="auto"/>
          <w:szCs w:val="21"/>
          <w:highlight w:val="none"/>
          <w:u w:val="single"/>
        </w:rPr>
        <w:t>有权解除合同；如造成严重后果则承担相应的法律责任</w:t>
      </w:r>
      <w:r>
        <w:rPr>
          <w:rFonts w:hint="eastAsia" w:ascii="仿宋" w:hAnsi="仿宋" w:eastAsia="仿宋" w:cs="仿宋"/>
          <w:b/>
          <w:color w:val="auto"/>
          <w:szCs w:val="21"/>
          <w:highlight w:val="none"/>
        </w:rPr>
        <w:t>。</w:t>
      </w:r>
    </w:p>
    <w:p>
      <w:pPr>
        <w:pStyle w:val="30"/>
        <w:spacing w:line="360" w:lineRule="auto"/>
        <w:ind w:firstLine="482"/>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21.6 磋商响应文件的充分性</w:t>
      </w:r>
    </w:p>
    <w:p>
      <w:pPr>
        <w:pStyle w:val="688"/>
        <w:spacing w:line="360" w:lineRule="auto"/>
        <w:ind w:firstLine="422"/>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u w:val="single"/>
          <w:lang w:eastAsia="zh-CN"/>
        </w:rPr>
        <w:t>乙方</w:t>
      </w:r>
      <w:r>
        <w:rPr>
          <w:rFonts w:hint="eastAsia" w:ascii="仿宋" w:hAnsi="仿宋" w:eastAsia="仿宋" w:cs="仿宋"/>
          <w:b/>
          <w:color w:val="auto"/>
          <w:szCs w:val="21"/>
          <w:highlight w:val="none"/>
          <w:u w:val="single"/>
        </w:rPr>
        <w:t>已经认真研究了</w:t>
      </w:r>
      <w:r>
        <w:rPr>
          <w:rFonts w:hint="eastAsia" w:ascii="仿宋" w:hAnsi="仿宋" w:eastAsia="仿宋" w:cs="仿宋"/>
          <w:b/>
          <w:color w:val="auto"/>
          <w:szCs w:val="21"/>
          <w:highlight w:val="none"/>
          <w:u w:val="single"/>
          <w:lang w:eastAsia="zh-CN"/>
        </w:rPr>
        <w:t>甲方</w:t>
      </w:r>
      <w:r>
        <w:rPr>
          <w:rFonts w:hint="eastAsia" w:ascii="仿宋" w:hAnsi="仿宋" w:eastAsia="仿宋" w:cs="仿宋"/>
          <w:b/>
          <w:color w:val="auto"/>
          <w:szCs w:val="21"/>
          <w:highlight w:val="none"/>
          <w:u w:val="single"/>
        </w:rPr>
        <w:t>提供的合同文件，对任何有可能存在的问题已经得到</w:t>
      </w:r>
      <w:r>
        <w:rPr>
          <w:rFonts w:hint="eastAsia" w:ascii="仿宋" w:hAnsi="仿宋" w:eastAsia="仿宋" w:cs="仿宋"/>
          <w:b/>
          <w:color w:val="auto"/>
          <w:szCs w:val="21"/>
          <w:highlight w:val="none"/>
          <w:u w:val="single"/>
          <w:lang w:eastAsia="zh-CN"/>
        </w:rPr>
        <w:t>甲方</w:t>
      </w:r>
      <w:r>
        <w:rPr>
          <w:rFonts w:hint="eastAsia" w:ascii="仿宋" w:hAnsi="仿宋" w:eastAsia="仿宋" w:cs="仿宋"/>
          <w:b/>
          <w:color w:val="auto"/>
          <w:szCs w:val="21"/>
          <w:highlight w:val="none"/>
          <w:u w:val="single"/>
        </w:rPr>
        <w:t>的澄清和解答，并对由合同文件所定义的</w:t>
      </w:r>
      <w:r>
        <w:rPr>
          <w:rFonts w:hint="eastAsia" w:ascii="仿宋" w:hAnsi="仿宋" w:eastAsia="仿宋" w:cs="仿宋"/>
          <w:b/>
          <w:color w:val="auto"/>
          <w:szCs w:val="21"/>
          <w:highlight w:val="none"/>
          <w:u w:val="single"/>
          <w:lang w:eastAsia="zh-CN"/>
        </w:rPr>
        <w:t>乙方</w:t>
      </w:r>
      <w:r>
        <w:rPr>
          <w:rFonts w:hint="eastAsia" w:ascii="仿宋" w:hAnsi="仿宋" w:eastAsia="仿宋" w:cs="仿宋"/>
          <w:b/>
          <w:color w:val="auto"/>
          <w:szCs w:val="21"/>
          <w:highlight w:val="none"/>
          <w:u w:val="single"/>
        </w:rPr>
        <w:t>合同工作内容达到彻底和充分的理解，并已将这种理解全部反映到</w:t>
      </w:r>
      <w:r>
        <w:rPr>
          <w:rFonts w:hint="eastAsia" w:ascii="仿宋" w:hAnsi="仿宋" w:eastAsia="仿宋" w:cs="仿宋"/>
          <w:b/>
          <w:color w:val="auto"/>
          <w:szCs w:val="21"/>
          <w:highlight w:val="none"/>
          <w:u w:val="single"/>
          <w:lang w:eastAsia="zh-CN"/>
        </w:rPr>
        <w:t>乙方</w:t>
      </w:r>
      <w:r>
        <w:rPr>
          <w:rFonts w:hint="eastAsia" w:ascii="仿宋" w:hAnsi="仿宋" w:eastAsia="仿宋" w:cs="仿宋"/>
          <w:b/>
          <w:color w:val="auto"/>
          <w:szCs w:val="21"/>
          <w:highlight w:val="none"/>
          <w:u w:val="single"/>
        </w:rPr>
        <w:t>的磋商响应文件中</w:t>
      </w:r>
      <w:r>
        <w:rPr>
          <w:rFonts w:hint="eastAsia" w:ascii="仿宋" w:hAnsi="仿宋" w:eastAsia="仿宋" w:cs="仿宋"/>
          <w:b/>
          <w:color w:val="auto"/>
          <w:szCs w:val="21"/>
          <w:highlight w:val="none"/>
        </w:rPr>
        <w:t>。</w:t>
      </w:r>
    </w:p>
    <w:p>
      <w:pPr>
        <w:pStyle w:val="688"/>
        <w:spacing w:line="360" w:lineRule="auto"/>
        <w:ind w:firstLine="422"/>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rPr>
        <w:t>21.7</w:t>
      </w:r>
      <w:r>
        <w:rPr>
          <w:rFonts w:hint="eastAsia" w:ascii="仿宋" w:hAnsi="仿宋" w:eastAsia="仿宋" w:cs="仿宋"/>
          <w:b/>
          <w:color w:val="auto"/>
          <w:szCs w:val="21"/>
          <w:highlight w:val="none"/>
          <w:u w:val="single"/>
        </w:rPr>
        <w:t xml:space="preserve"> 本工程联系单签证均以</w:t>
      </w:r>
      <w:r>
        <w:rPr>
          <w:rFonts w:hint="eastAsia" w:ascii="仿宋" w:hAnsi="仿宋" w:eastAsia="仿宋" w:cs="仿宋"/>
          <w:b/>
          <w:color w:val="auto"/>
          <w:szCs w:val="21"/>
          <w:highlight w:val="none"/>
          <w:u w:val="single"/>
          <w:lang w:eastAsia="zh-CN"/>
        </w:rPr>
        <w:t>甲方</w:t>
      </w:r>
      <w:r>
        <w:rPr>
          <w:rFonts w:hint="eastAsia" w:ascii="仿宋" w:hAnsi="仿宋" w:eastAsia="仿宋" w:cs="仿宋"/>
          <w:b/>
          <w:color w:val="auto"/>
          <w:szCs w:val="21"/>
          <w:highlight w:val="none"/>
          <w:u w:val="single"/>
        </w:rPr>
        <w:t>公章为准，未加盖</w:t>
      </w:r>
      <w:r>
        <w:rPr>
          <w:rFonts w:hint="eastAsia" w:ascii="仿宋" w:hAnsi="仿宋" w:eastAsia="仿宋" w:cs="仿宋"/>
          <w:b/>
          <w:color w:val="auto"/>
          <w:szCs w:val="21"/>
          <w:highlight w:val="none"/>
          <w:u w:val="single"/>
          <w:lang w:eastAsia="zh-CN"/>
        </w:rPr>
        <w:t>甲方</w:t>
      </w:r>
      <w:r>
        <w:rPr>
          <w:rFonts w:hint="eastAsia" w:ascii="仿宋" w:hAnsi="仿宋" w:eastAsia="仿宋" w:cs="仿宋"/>
          <w:b/>
          <w:color w:val="auto"/>
          <w:szCs w:val="21"/>
          <w:highlight w:val="none"/>
          <w:u w:val="single"/>
        </w:rPr>
        <w:t>公章的均为无效签证</w:t>
      </w:r>
      <w:r>
        <w:rPr>
          <w:rFonts w:hint="eastAsia" w:ascii="仿宋" w:hAnsi="仿宋" w:eastAsia="仿宋" w:cs="仿宋"/>
          <w:b/>
          <w:color w:val="auto"/>
          <w:szCs w:val="21"/>
          <w:highlight w:val="none"/>
        </w:rPr>
        <w:t>。</w:t>
      </w:r>
    </w:p>
    <w:p>
      <w:pPr>
        <w:pStyle w:val="688"/>
        <w:spacing w:line="360" w:lineRule="auto"/>
        <w:ind w:firstLine="422"/>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rPr>
        <w:t xml:space="preserve">21.8 </w:t>
      </w:r>
      <w:r>
        <w:rPr>
          <w:rFonts w:hint="eastAsia" w:ascii="仿宋" w:hAnsi="仿宋" w:eastAsia="仿宋" w:cs="仿宋"/>
          <w:b/>
          <w:color w:val="auto"/>
          <w:szCs w:val="21"/>
          <w:highlight w:val="none"/>
          <w:u w:val="single"/>
        </w:rPr>
        <w:t>凡涉及设计变更需设计院出具联系单或施工图的，</w:t>
      </w:r>
      <w:r>
        <w:rPr>
          <w:rFonts w:hint="eastAsia" w:ascii="仿宋" w:hAnsi="仿宋" w:eastAsia="仿宋" w:cs="仿宋"/>
          <w:b/>
          <w:color w:val="auto"/>
          <w:szCs w:val="21"/>
          <w:highlight w:val="none"/>
          <w:u w:val="single"/>
          <w:lang w:eastAsia="zh-CN"/>
        </w:rPr>
        <w:t>乙方</w:t>
      </w:r>
      <w:r>
        <w:rPr>
          <w:rFonts w:hint="eastAsia" w:ascii="仿宋" w:hAnsi="仿宋" w:eastAsia="仿宋" w:cs="仿宋"/>
          <w:b/>
          <w:color w:val="auto"/>
          <w:szCs w:val="21"/>
          <w:highlight w:val="none"/>
          <w:u w:val="single"/>
        </w:rPr>
        <w:t>必须经</w:t>
      </w:r>
      <w:r>
        <w:rPr>
          <w:rFonts w:hint="eastAsia" w:ascii="仿宋" w:hAnsi="仿宋" w:eastAsia="仿宋" w:cs="仿宋"/>
          <w:b/>
          <w:color w:val="auto"/>
          <w:szCs w:val="21"/>
          <w:highlight w:val="none"/>
          <w:u w:val="single"/>
          <w:lang w:eastAsia="zh-CN"/>
        </w:rPr>
        <w:t>甲方</w:t>
      </w:r>
      <w:r>
        <w:rPr>
          <w:rFonts w:hint="eastAsia" w:ascii="仿宋" w:hAnsi="仿宋" w:eastAsia="仿宋" w:cs="仿宋"/>
          <w:b/>
          <w:color w:val="auto"/>
          <w:szCs w:val="21"/>
          <w:highlight w:val="none"/>
          <w:u w:val="single"/>
        </w:rPr>
        <w:t>授权方可与设计院联系，</w:t>
      </w:r>
      <w:r>
        <w:rPr>
          <w:rFonts w:hint="eastAsia" w:ascii="仿宋" w:hAnsi="仿宋" w:eastAsia="仿宋" w:cs="仿宋"/>
          <w:b/>
          <w:color w:val="auto"/>
          <w:szCs w:val="21"/>
          <w:highlight w:val="none"/>
          <w:u w:val="single"/>
          <w:lang w:eastAsia="zh-CN"/>
        </w:rPr>
        <w:t>乙方</w:t>
      </w:r>
      <w:r>
        <w:rPr>
          <w:rFonts w:hint="eastAsia" w:ascii="仿宋" w:hAnsi="仿宋" w:eastAsia="仿宋" w:cs="仿宋"/>
          <w:b/>
          <w:color w:val="auto"/>
          <w:szCs w:val="21"/>
          <w:highlight w:val="none"/>
          <w:u w:val="single"/>
        </w:rPr>
        <w:t>不得与设计院单向联系，否则该设计签证无效</w:t>
      </w:r>
      <w:r>
        <w:rPr>
          <w:rFonts w:hint="eastAsia" w:ascii="仿宋" w:hAnsi="仿宋" w:eastAsia="仿宋" w:cs="仿宋"/>
          <w:b/>
          <w:color w:val="auto"/>
          <w:szCs w:val="21"/>
          <w:highlight w:val="none"/>
        </w:rPr>
        <w:t>。</w:t>
      </w:r>
    </w:p>
    <w:p>
      <w:pPr>
        <w:pStyle w:val="688"/>
        <w:spacing w:line="360" w:lineRule="auto"/>
        <w:ind w:firstLine="422"/>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rPr>
        <w:t>21.9</w:t>
      </w:r>
      <w:r>
        <w:rPr>
          <w:rFonts w:hint="eastAsia" w:ascii="仿宋" w:hAnsi="仿宋" w:eastAsia="仿宋" w:cs="仿宋"/>
          <w:b/>
          <w:color w:val="auto"/>
          <w:szCs w:val="21"/>
          <w:highlight w:val="none"/>
          <w:u w:val="single"/>
        </w:rPr>
        <w:t>本合同签订后，</w:t>
      </w:r>
      <w:r>
        <w:rPr>
          <w:rFonts w:hint="eastAsia" w:ascii="仿宋" w:hAnsi="仿宋" w:eastAsia="仿宋" w:cs="仿宋"/>
          <w:b/>
          <w:color w:val="auto"/>
          <w:szCs w:val="21"/>
          <w:highlight w:val="none"/>
          <w:u w:val="single"/>
          <w:lang w:eastAsia="zh-CN"/>
        </w:rPr>
        <w:t>甲方</w:t>
      </w:r>
      <w:r>
        <w:rPr>
          <w:rFonts w:hint="eastAsia" w:ascii="仿宋" w:hAnsi="仿宋" w:eastAsia="仿宋" w:cs="仿宋"/>
          <w:b/>
          <w:color w:val="auto"/>
          <w:szCs w:val="21"/>
          <w:highlight w:val="none"/>
          <w:u w:val="single"/>
        </w:rPr>
        <w:t>如发现存在以下情形之一的，有权</w:t>
      </w:r>
      <w:r>
        <w:rPr>
          <w:rFonts w:hint="eastAsia" w:ascii="仿宋" w:hAnsi="仿宋" w:eastAsia="仿宋" w:cs="仿宋"/>
          <w:b/>
          <w:color w:val="auto"/>
          <w:szCs w:val="21"/>
          <w:highlight w:val="none"/>
          <w:u w:val="single"/>
          <w:lang w:val="en-US" w:eastAsia="zh-CN"/>
        </w:rPr>
        <w:t>无条件</w:t>
      </w:r>
      <w:r>
        <w:rPr>
          <w:rFonts w:hint="eastAsia" w:ascii="仿宋" w:hAnsi="仿宋" w:eastAsia="仿宋" w:cs="仿宋"/>
          <w:b/>
          <w:color w:val="auto"/>
          <w:szCs w:val="21"/>
          <w:highlight w:val="none"/>
          <w:u w:val="single"/>
        </w:rPr>
        <w:t>解除本合同</w:t>
      </w:r>
      <w:r>
        <w:rPr>
          <w:rFonts w:hint="eastAsia" w:ascii="仿宋" w:hAnsi="仿宋" w:eastAsia="仿宋" w:cs="仿宋"/>
          <w:b/>
          <w:color w:val="auto"/>
          <w:szCs w:val="21"/>
          <w:highlight w:val="none"/>
        </w:rPr>
        <w:t>：</w:t>
      </w:r>
    </w:p>
    <w:p>
      <w:pPr>
        <w:pStyle w:val="688"/>
        <w:spacing w:line="360" w:lineRule="auto"/>
        <w:ind w:firstLine="422"/>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rPr>
        <w:t>21.9.1</w:t>
      </w:r>
      <w:r>
        <w:rPr>
          <w:rFonts w:hint="eastAsia" w:ascii="仿宋" w:hAnsi="仿宋" w:eastAsia="仿宋" w:cs="仿宋"/>
          <w:b/>
          <w:color w:val="auto"/>
          <w:szCs w:val="21"/>
          <w:highlight w:val="none"/>
          <w:u w:val="single"/>
        </w:rPr>
        <w:t>本合同签订前的招标磋商过程中未发现的错误，可能导致</w:t>
      </w:r>
      <w:r>
        <w:rPr>
          <w:rFonts w:hint="eastAsia" w:ascii="仿宋" w:hAnsi="仿宋" w:eastAsia="仿宋" w:cs="仿宋"/>
          <w:b/>
          <w:color w:val="auto"/>
          <w:szCs w:val="21"/>
          <w:highlight w:val="none"/>
          <w:u w:val="single"/>
          <w:lang w:eastAsia="zh-CN"/>
        </w:rPr>
        <w:t>乙方</w:t>
      </w:r>
      <w:r>
        <w:rPr>
          <w:rFonts w:hint="eastAsia" w:ascii="仿宋" w:hAnsi="仿宋" w:eastAsia="仿宋" w:cs="仿宋"/>
          <w:b/>
          <w:color w:val="auto"/>
          <w:szCs w:val="21"/>
          <w:highlight w:val="none"/>
          <w:u w:val="single"/>
        </w:rPr>
        <w:t>潜在获利，而</w:t>
      </w:r>
      <w:r>
        <w:rPr>
          <w:rFonts w:hint="eastAsia" w:ascii="仿宋" w:hAnsi="仿宋" w:eastAsia="仿宋" w:cs="仿宋"/>
          <w:b/>
          <w:color w:val="auto"/>
          <w:szCs w:val="21"/>
          <w:highlight w:val="none"/>
          <w:u w:val="single"/>
          <w:lang w:eastAsia="zh-CN"/>
        </w:rPr>
        <w:t>乙方</w:t>
      </w:r>
      <w:r>
        <w:rPr>
          <w:rFonts w:hint="eastAsia" w:ascii="仿宋" w:hAnsi="仿宋" w:eastAsia="仿宋" w:cs="仿宋"/>
          <w:b/>
          <w:color w:val="auto"/>
          <w:szCs w:val="21"/>
          <w:highlight w:val="none"/>
          <w:u w:val="single"/>
        </w:rPr>
        <w:t>在接到</w:t>
      </w:r>
      <w:r>
        <w:rPr>
          <w:rFonts w:hint="eastAsia" w:ascii="仿宋" w:hAnsi="仿宋" w:eastAsia="仿宋" w:cs="仿宋"/>
          <w:b/>
          <w:color w:val="auto"/>
          <w:szCs w:val="21"/>
          <w:highlight w:val="none"/>
          <w:u w:val="single"/>
          <w:lang w:eastAsia="zh-CN"/>
        </w:rPr>
        <w:t>甲方</w:t>
      </w:r>
      <w:r>
        <w:rPr>
          <w:rFonts w:hint="eastAsia" w:ascii="仿宋" w:hAnsi="仿宋" w:eastAsia="仿宋" w:cs="仿宋"/>
          <w:b/>
          <w:color w:val="auto"/>
          <w:szCs w:val="21"/>
          <w:highlight w:val="none"/>
          <w:u w:val="single"/>
        </w:rPr>
        <w:t>对本合同的相应修正要求后，在</w:t>
      </w:r>
      <w:r>
        <w:rPr>
          <w:rFonts w:hint="eastAsia" w:ascii="仿宋" w:hAnsi="仿宋" w:eastAsia="仿宋" w:cs="仿宋"/>
          <w:b/>
          <w:color w:val="auto"/>
          <w:szCs w:val="21"/>
          <w:highlight w:val="none"/>
          <w:u w:val="single"/>
          <w:lang w:eastAsia="zh-CN"/>
        </w:rPr>
        <w:t>甲方</w:t>
      </w:r>
      <w:r>
        <w:rPr>
          <w:rFonts w:hint="eastAsia" w:ascii="仿宋" w:hAnsi="仿宋" w:eastAsia="仿宋" w:cs="仿宋"/>
          <w:b/>
          <w:color w:val="auto"/>
          <w:szCs w:val="21"/>
          <w:highlight w:val="none"/>
          <w:u w:val="single"/>
        </w:rPr>
        <w:t>指定的期限内拒绝按要求予以修正的</w:t>
      </w:r>
      <w:r>
        <w:rPr>
          <w:rFonts w:hint="eastAsia" w:ascii="仿宋" w:hAnsi="仿宋" w:eastAsia="仿宋" w:cs="仿宋"/>
          <w:b/>
          <w:color w:val="auto"/>
          <w:szCs w:val="21"/>
          <w:highlight w:val="none"/>
        </w:rPr>
        <w:t>；</w:t>
      </w:r>
    </w:p>
    <w:p>
      <w:pPr>
        <w:pStyle w:val="688"/>
        <w:spacing w:line="360" w:lineRule="auto"/>
        <w:ind w:firstLine="422"/>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rPr>
        <w:t>21.9.2</w:t>
      </w:r>
      <w:r>
        <w:rPr>
          <w:rFonts w:hint="eastAsia" w:ascii="仿宋" w:hAnsi="仿宋" w:eastAsia="仿宋" w:cs="仿宋"/>
          <w:b/>
          <w:color w:val="auto"/>
          <w:szCs w:val="21"/>
          <w:highlight w:val="none"/>
          <w:u w:val="single"/>
          <w:lang w:eastAsia="zh-CN"/>
        </w:rPr>
        <w:t>乙方</w:t>
      </w:r>
      <w:r>
        <w:rPr>
          <w:rFonts w:hint="eastAsia" w:ascii="仿宋" w:hAnsi="仿宋" w:eastAsia="仿宋" w:cs="仿宋"/>
          <w:b/>
          <w:color w:val="auto"/>
          <w:szCs w:val="21"/>
          <w:highlight w:val="none"/>
          <w:u w:val="single"/>
        </w:rPr>
        <w:t>实施出借或借用他人资质；在磋商中实施虚假承诺、隐瞒或虚构事实等弄虚作假行为；有串通磋商；向采购人或磋商小组成员行贿等不正当行为</w:t>
      </w:r>
      <w:r>
        <w:rPr>
          <w:rFonts w:hint="eastAsia" w:ascii="仿宋" w:hAnsi="仿宋" w:eastAsia="仿宋" w:cs="仿宋"/>
          <w:b/>
          <w:color w:val="auto"/>
          <w:szCs w:val="21"/>
          <w:highlight w:val="none"/>
        </w:rPr>
        <w:t>；</w:t>
      </w:r>
    </w:p>
    <w:p>
      <w:pPr>
        <w:pStyle w:val="688"/>
        <w:spacing w:line="360" w:lineRule="auto"/>
        <w:ind w:firstLine="422"/>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rPr>
        <w:t>21.9.3</w:t>
      </w:r>
      <w:r>
        <w:rPr>
          <w:rFonts w:hint="eastAsia" w:ascii="仿宋" w:hAnsi="仿宋" w:eastAsia="仿宋" w:cs="仿宋"/>
          <w:b/>
          <w:color w:val="auto"/>
          <w:szCs w:val="21"/>
          <w:highlight w:val="none"/>
          <w:u w:val="single"/>
          <w:lang w:eastAsia="zh-CN"/>
        </w:rPr>
        <w:t>乙方</w:t>
      </w:r>
      <w:r>
        <w:rPr>
          <w:rFonts w:hint="eastAsia" w:ascii="仿宋" w:hAnsi="仿宋" w:eastAsia="仿宋" w:cs="仿宋"/>
          <w:b/>
          <w:color w:val="auto"/>
          <w:szCs w:val="21"/>
          <w:highlight w:val="none"/>
          <w:u w:val="single"/>
        </w:rPr>
        <w:t>正处于或将面临重大诉讼、仲裁，且</w:t>
      </w:r>
      <w:r>
        <w:rPr>
          <w:rFonts w:hint="eastAsia" w:ascii="仿宋" w:hAnsi="仿宋" w:eastAsia="仿宋" w:cs="仿宋"/>
          <w:b/>
          <w:color w:val="auto"/>
          <w:szCs w:val="21"/>
          <w:highlight w:val="none"/>
          <w:u w:val="single"/>
          <w:lang w:eastAsia="zh-CN"/>
        </w:rPr>
        <w:t>甲方</w:t>
      </w:r>
      <w:r>
        <w:rPr>
          <w:rFonts w:hint="eastAsia" w:ascii="仿宋" w:hAnsi="仿宋" w:eastAsia="仿宋" w:cs="仿宋"/>
          <w:b/>
          <w:color w:val="auto"/>
          <w:szCs w:val="21"/>
          <w:highlight w:val="none"/>
          <w:u w:val="single"/>
        </w:rPr>
        <w:t>认为该等情形对</w:t>
      </w:r>
      <w:r>
        <w:rPr>
          <w:rFonts w:hint="eastAsia" w:ascii="仿宋" w:hAnsi="仿宋" w:eastAsia="仿宋" w:cs="仿宋"/>
          <w:b/>
          <w:color w:val="auto"/>
          <w:szCs w:val="21"/>
          <w:highlight w:val="none"/>
          <w:u w:val="single"/>
          <w:lang w:eastAsia="zh-CN"/>
        </w:rPr>
        <w:t>乙方</w:t>
      </w:r>
      <w:r>
        <w:rPr>
          <w:rFonts w:hint="eastAsia" w:ascii="仿宋" w:hAnsi="仿宋" w:eastAsia="仿宋" w:cs="仿宋"/>
          <w:b/>
          <w:color w:val="auto"/>
          <w:szCs w:val="21"/>
          <w:highlight w:val="none"/>
          <w:u w:val="single"/>
        </w:rPr>
        <w:t>是否能全面履行磋商承诺存在重大不确定性的</w:t>
      </w:r>
      <w:r>
        <w:rPr>
          <w:rFonts w:hint="eastAsia" w:ascii="仿宋" w:hAnsi="仿宋" w:eastAsia="仿宋" w:cs="仿宋"/>
          <w:b/>
          <w:color w:val="auto"/>
          <w:szCs w:val="21"/>
          <w:highlight w:val="none"/>
        </w:rPr>
        <w:t xml:space="preserve">； </w:t>
      </w:r>
    </w:p>
    <w:p>
      <w:pPr>
        <w:pStyle w:val="688"/>
        <w:spacing w:line="360" w:lineRule="auto"/>
        <w:ind w:firstLine="422"/>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rPr>
        <w:t>21.9.4</w:t>
      </w:r>
      <w:r>
        <w:rPr>
          <w:rFonts w:hint="eastAsia" w:ascii="仿宋" w:hAnsi="仿宋" w:eastAsia="仿宋" w:cs="仿宋"/>
          <w:b/>
          <w:color w:val="auto"/>
          <w:szCs w:val="21"/>
          <w:highlight w:val="none"/>
          <w:u w:val="single"/>
          <w:lang w:eastAsia="zh-CN"/>
        </w:rPr>
        <w:t>乙方</w:t>
      </w:r>
      <w:r>
        <w:rPr>
          <w:rFonts w:hint="eastAsia" w:ascii="仿宋" w:hAnsi="仿宋" w:eastAsia="仿宋" w:cs="仿宋"/>
          <w:b/>
          <w:color w:val="auto"/>
          <w:szCs w:val="21"/>
          <w:highlight w:val="none"/>
          <w:u w:val="single"/>
        </w:rPr>
        <w:t>与本工程相关的应有资格、资质、认证或其他行政许可已被终止或中止或暂扣的；</w:t>
      </w:r>
    </w:p>
    <w:p>
      <w:pPr>
        <w:pStyle w:val="688"/>
        <w:spacing w:line="360" w:lineRule="auto"/>
        <w:ind w:firstLine="422"/>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u w:val="single"/>
        </w:rPr>
        <w:t>对</w:t>
      </w:r>
      <w:r>
        <w:rPr>
          <w:rFonts w:hint="eastAsia" w:ascii="仿宋" w:hAnsi="仿宋" w:eastAsia="仿宋" w:cs="仿宋"/>
          <w:b/>
          <w:color w:val="auto"/>
          <w:szCs w:val="21"/>
          <w:highlight w:val="none"/>
          <w:u w:val="single"/>
          <w:lang w:eastAsia="zh-CN"/>
        </w:rPr>
        <w:t>甲方</w:t>
      </w:r>
      <w:r>
        <w:rPr>
          <w:rFonts w:hint="eastAsia" w:ascii="仿宋" w:hAnsi="仿宋" w:eastAsia="仿宋" w:cs="仿宋"/>
          <w:b/>
          <w:color w:val="auto"/>
          <w:szCs w:val="21"/>
          <w:highlight w:val="none"/>
          <w:u w:val="single"/>
        </w:rPr>
        <w:t>按前述约定而解除本合同的，</w:t>
      </w:r>
      <w:r>
        <w:rPr>
          <w:rFonts w:hint="eastAsia" w:ascii="仿宋" w:hAnsi="仿宋" w:eastAsia="仿宋" w:cs="仿宋"/>
          <w:b/>
          <w:color w:val="auto"/>
          <w:szCs w:val="21"/>
          <w:highlight w:val="none"/>
          <w:u w:val="single"/>
          <w:lang w:eastAsia="zh-CN"/>
        </w:rPr>
        <w:t>乙方</w:t>
      </w:r>
      <w:r>
        <w:rPr>
          <w:rFonts w:hint="eastAsia" w:ascii="仿宋" w:hAnsi="仿宋" w:eastAsia="仿宋" w:cs="仿宋"/>
          <w:b/>
          <w:color w:val="auto"/>
          <w:szCs w:val="21"/>
          <w:highlight w:val="none"/>
          <w:u w:val="single"/>
        </w:rPr>
        <w:t>均予以接受并同意放弃和/或豁免采购人因此而可能对</w:t>
      </w:r>
      <w:r>
        <w:rPr>
          <w:rFonts w:hint="eastAsia" w:ascii="仿宋" w:hAnsi="仿宋" w:eastAsia="仿宋" w:cs="仿宋"/>
          <w:b/>
          <w:color w:val="auto"/>
          <w:szCs w:val="21"/>
          <w:highlight w:val="none"/>
          <w:u w:val="single"/>
          <w:lang w:eastAsia="zh-CN"/>
        </w:rPr>
        <w:t>乙方</w:t>
      </w:r>
      <w:r>
        <w:rPr>
          <w:rFonts w:hint="eastAsia" w:ascii="仿宋" w:hAnsi="仿宋" w:eastAsia="仿宋" w:cs="仿宋"/>
          <w:b/>
          <w:color w:val="auto"/>
          <w:szCs w:val="21"/>
          <w:highlight w:val="none"/>
          <w:u w:val="single"/>
        </w:rPr>
        <w:t>造成的现实和/或有损害的任何赔偿、补偿责任；</w:t>
      </w:r>
      <w:r>
        <w:rPr>
          <w:rFonts w:hint="eastAsia" w:ascii="仿宋" w:hAnsi="仿宋" w:eastAsia="仿宋" w:cs="仿宋"/>
          <w:b/>
          <w:color w:val="auto"/>
          <w:szCs w:val="21"/>
          <w:highlight w:val="none"/>
          <w:u w:val="single"/>
          <w:lang w:eastAsia="zh-CN"/>
        </w:rPr>
        <w:t>乙方</w:t>
      </w:r>
      <w:r>
        <w:rPr>
          <w:rFonts w:hint="eastAsia" w:ascii="仿宋" w:hAnsi="仿宋" w:eastAsia="仿宋" w:cs="仿宋"/>
          <w:b/>
          <w:color w:val="auto"/>
          <w:szCs w:val="21"/>
          <w:highlight w:val="none"/>
          <w:u w:val="single"/>
        </w:rPr>
        <w:t>因前述情形而导致本工程停工、窝工、发生质量事故等，造成</w:t>
      </w:r>
      <w:r>
        <w:rPr>
          <w:rFonts w:hint="eastAsia" w:ascii="仿宋" w:hAnsi="仿宋" w:eastAsia="仿宋" w:cs="仿宋"/>
          <w:b/>
          <w:color w:val="auto"/>
          <w:szCs w:val="21"/>
          <w:highlight w:val="none"/>
          <w:u w:val="single"/>
          <w:lang w:eastAsia="zh-CN"/>
        </w:rPr>
        <w:t>甲方</w:t>
      </w:r>
      <w:r>
        <w:rPr>
          <w:rFonts w:hint="eastAsia" w:ascii="仿宋" w:hAnsi="仿宋" w:eastAsia="仿宋" w:cs="仿宋"/>
          <w:b/>
          <w:color w:val="auto"/>
          <w:szCs w:val="21"/>
          <w:highlight w:val="none"/>
          <w:u w:val="single"/>
        </w:rPr>
        <w:t>损害的，应承担违约责任</w:t>
      </w:r>
      <w:r>
        <w:rPr>
          <w:rFonts w:hint="eastAsia" w:ascii="仿宋" w:hAnsi="仿宋" w:eastAsia="仿宋" w:cs="仿宋"/>
          <w:b/>
          <w:color w:val="auto"/>
          <w:szCs w:val="21"/>
          <w:highlight w:val="none"/>
        </w:rPr>
        <w:t>。</w:t>
      </w:r>
    </w:p>
    <w:p>
      <w:pPr>
        <w:pStyle w:val="30"/>
        <w:spacing w:line="360" w:lineRule="auto"/>
        <w:ind w:firstLine="482"/>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一旦</w:t>
      </w:r>
      <w:r>
        <w:rPr>
          <w:rFonts w:hint="eastAsia" w:ascii="仿宋" w:hAnsi="仿宋" w:eastAsia="仿宋" w:cs="仿宋"/>
          <w:b/>
          <w:color w:val="auto"/>
          <w:sz w:val="21"/>
          <w:szCs w:val="21"/>
          <w:highlight w:val="none"/>
          <w:u w:val="single"/>
          <w:lang w:eastAsia="zh-CN"/>
        </w:rPr>
        <w:t>甲方</w:t>
      </w:r>
      <w:r>
        <w:rPr>
          <w:rFonts w:hint="eastAsia" w:ascii="仿宋" w:hAnsi="仿宋" w:eastAsia="仿宋" w:cs="仿宋"/>
          <w:b/>
          <w:color w:val="auto"/>
          <w:sz w:val="21"/>
          <w:szCs w:val="21"/>
          <w:highlight w:val="none"/>
          <w:u w:val="single"/>
        </w:rPr>
        <w:t>所需，</w:t>
      </w:r>
      <w:r>
        <w:rPr>
          <w:rFonts w:hint="eastAsia" w:ascii="仿宋" w:hAnsi="仿宋" w:eastAsia="仿宋" w:cs="仿宋"/>
          <w:b/>
          <w:color w:val="auto"/>
          <w:sz w:val="21"/>
          <w:szCs w:val="21"/>
          <w:highlight w:val="none"/>
          <w:u w:val="single"/>
          <w:lang w:eastAsia="zh-CN"/>
        </w:rPr>
        <w:t>乙方</w:t>
      </w:r>
      <w:r>
        <w:rPr>
          <w:rFonts w:hint="eastAsia" w:ascii="仿宋" w:hAnsi="仿宋" w:eastAsia="仿宋" w:cs="仿宋"/>
          <w:b/>
          <w:color w:val="auto"/>
          <w:sz w:val="21"/>
          <w:szCs w:val="21"/>
          <w:highlight w:val="none"/>
          <w:u w:val="single"/>
        </w:rPr>
        <w:t>应按</w:t>
      </w:r>
      <w:r>
        <w:rPr>
          <w:rFonts w:hint="eastAsia" w:ascii="仿宋" w:hAnsi="仿宋" w:eastAsia="仿宋" w:cs="仿宋"/>
          <w:b/>
          <w:color w:val="auto"/>
          <w:sz w:val="21"/>
          <w:szCs w:val="21"/>
          <w:highlight w:val="none"/>
          <w:u w:val="single"/>
          <w:lang w:eastAsia="zh-CN"/>
        </w:rPr>
        <w:t>甲方</w:t>
      </w:r>
      <w:r>
        <w:rPr>
          <w:rFonts w:hint="eastAsia" w:ascii="仿宋" w:hAnsi="仿宋" w:eastAsia="仿宋" w:cs="仿宋"/>
          <w:b/>
          <w:color w:val="auto"/>
          <w:sz w:val="21"/>
          <w:szCs w:val="21"/>
          <w:highlight w:val="none"/>
          <w:u w:val="single"/>
        </w:rPr>
        <w:t>的要求补充提供</w:t>
      </w:r>
      <w:r>
        <w:rPr>
          <w:rFonts w:hint="eastAsia" w:ascii="仿宋" w:hAnsi="仿宋" w:eastAsia="仿宋" w:cs="仿宋"/>
          <w:b/>
          <w:color w:val="auto"/>
          <w:sz w:val="21"/>
          <w:szCs w:val="21"/>
          <w:highlight w:val="none"/>
          <w:u w:val="single"/>
          <w:lang w:eastAsia="zh-CN"/>
        </w:rPr>
        <w:t>甲方</w:t>
      </w:r>
      <w:r>
        <w:rPr>
          <w:rFonts w:hint="eastAsia" w:ascii="仿宋" w:hAnsi="仿宋" w:eastAsia="仿宋" w:cs="仿宋"/>
          <w:b/>
          <w:color w:val="auto"/>
          <w:sz w:val="21"/>
          <w:szCs w:val="21"/>
          <w:highlight w:val="none"/>
          <w:u w:val="single"/>
        </w:rPr>
        <w:t>所要求的有关资料，配合</w:t>
      </w:r>
      <w:r>
        <w:rPr>
          <w:rFonts w:hint="eastAsia" w:ascii="仿宋" w:hAnsi="仿宋" w:eastAsia="仿宋" w:cs="仿宋"/>
          <w:b/>
          <w:color w:val="auto"/>
          <w:sz w:val="21"/>
          <w:szCs w:val="21"/>
          <w:highlight w:val="none"/>
          <w:u w:val="single"/>
          <w:lang w:eastAsia="zh-CN"/>
        </w:rPr>
        <w:t>甲方</w:t>
      </w:r>
      <w:r>
        <w:rPr>
          <w:rFonts w:hint="eastAsia" w:ascii="仿宋" w:hAnsi="仿宋" w:eastAsia="仿宋" w:cs="仿宋"/>
          <w:b/>
          <w:color w:val="auto"/>
          <w:sz w:val="21"/>
          <w:szCs w:val="21"/>
          <w:highlight w:val="none"/>
          <w:u w:val="single"/>
        </w:rPr>
        <w:t>所要求的调查；有关资料或调查涉及</w:t>
      </w:r>
      <w:r>
        <w:rPr>
          <w:rFonts w:hint="eastAsia" w:ascii="仿宋" w:hAnsi="仿宋" w:eastAsia="仿宋" w:cs="仿宋"/>
          <w:b/>
          <w:color w:val="auto"/>
          <w:sz w:val="21"/>
          <w:szCs w:val="21"/>
          <w:highlight w:val="none"/>
          <w:u w:val="single"/>
          <w:lang w:eastAsia="zh-CN"/>
        </w:rPr>
        <w:t>乙方</w:t>
      </w:r>
      <w:r>
        <w:rPr>
          <w:rFonts w:hint="eastAsia" w:ascii="仿宋" w:hAnsi="仿宋" w:eastAsia="仿宋" w:cs="仿宋"/>
          <w:b/>
          <w:color w:val="auto"/>
          <w:sz w:val="21"/>
          <w:szCs w:val="21"/>
          <w:highlight w:val="none"/>
          <w:u w:val="single"/>
        </w:rPr>
        <w:t>商业秘密的，</w:t>
      </w:r>
      <w:r>
        <w:rPr>
          <w:rFonts w:hint="eastAsia" w:ascii="仿宋" w:hAnsi="仿宋" w:eastAsia="仿宋" w:cs="仿宋"/>
          <w:b/>
          <w:color w:val="auto"/>
          <w:sz w:val="21"/>
          <w:szCs w:val="21"/>
          <w:highlight w:val="none"/>
          <w:u w:val="single"/>
          <w:lang w:eastAsia="zh-CN"/>
        </w:rPr>
        <w:t>乙方</w:t>
      </w:r>
      <w:r>
        <w:rPr>
          <w:rFonts w:hint="eastAsia" w:ascii="仿宋" w:hAnsi="仿宋" w:eastAsia="仿宋" w:cs="仿宋"/>
          <w:b/>
          <w:color w:val="auto"/>
          <w:sz w:val="21"/>
          <w:szCs w:val="21"/>
          <w:highlight w:val="none"/>
          <w:u w:val="single"/>
        </w:rPr>
        <w:t>应向</w:t>
      </w:r>
      <w:r>
        <w:rPr>
          <w:rFonts w:hint="eastAsia" w:ascii="仿宋" w:hAnsi="仿宋" w:eastAsia="仿宋" w:cs="仿宋"/>
          <w:b/>
          <w:color w:val="auto"/>
          <w:sz w:val="21"/>
          <w:szCs w:val="21"/>
          <w:highlight w:val="none"/>
          <w:u w:val="single"/>
          <w:lang w:eastAsia="zh-CN"/>
        </w:rPr>
        <w:t>甲方</w:t>
      </w:r>
      <w:r>
        <w:rPr>
          <w:rFonts w:hint="eastAsia" w:ascii="仿宋" w:hAnsi="仿宋" w:eastAsia="仿宋" w:cs="仿宋"/>
          <w:b/>
          <w:color w:val="auto"/>
          <w:sz w:val="21"/>
          <w:szCs w:val="21"/>
          <w:highlight w:val="none"/>
          <w:u w:val="single"/>
        </w:rPr>
        <w:t>说明情况，</w:t>
      </w:r>
      <w:r>
        <w:rPr>
          <w:rFonts w:hint="eastAsia" w:ascii="仿宋" w:hAnsi="仿宋" w:eastAsia="仿宋" w:cs="仿宋"/>
          <w:b/>
          <w:color w:val="auto"/>
          <w:sz w:val="21"/>
          <w:szCs w:val="21"/>
          <w:highlight w:val="none"/>
          <w:u w:val="single"/>
          <w:lang w:eastAsia="zh-CN"/>
        </w:rPr>
        <w:t>甲方</w:t>
      </w:r>
      <w:r>
        <w:rPr>
          <w:rFonts w:hint="eastAsia" w:ascii="仿宋" w:hAnsi="仿宋" w:eastAsia="仿宋" w:cs="仿宋"/>
          <w:b/>
          <w:color w:val="auto"/>
          <w:sz w:val="21"/>
          <w:szCs w:val="21"/>
          <w:highlight w:val="none"/>
          <w:u w:val="single"/>
        </w:rPr>
        <w:t>知悉该等商业秘密后应予严格保密；有关资料或调查涉及国家机密而依法不得向</w:t>
      </w:r>
      <w:r>
        <w:rPr>
          <w:rFonts w:hint="eastAsia" w:ascii="仿宋" w:hAnsi="仿宋" w:eastAsia="仿宋" w:cs="仿宋"/>
          <w:b/>
          <w:color w:val="auto"/>
          <w:sz w:val="21"/>
          <w:szCs w:val="21"/>
          <w:highlight w:val="none"/>
          <w:u w:val="single"/>
          <w:lang w:eastAsia="zh-CN"/>
        </w:rPr>
        <w:t>甲方</w:t>
      </w:r>
      <w:r>
        <w:rPr>
          <w:rFonts w:hint="eastAsia" w:ascii="仿宋" w:hAnsi="仿宋" w:eastAsia="仿宋" w:cs="仿宋"/>
          <w:b/>
          <w:color w:val="auto"/>
          <w:sz w:val="21"/>
          <w:szCs w:val="21"/>
          <w:highlight w:val="none"/>
          <w:u w:val="single"/>
        </w:rPr>
        <w:t>公开的，</w:t>
      </w:r>
      <w:r>
        <w:rPr>
          <w:rFonts w:hint="eastAsia" w:ascii="仿宋" w:hAnsi="仿宋" w:eastAsia="仿宋" w:cs="仿宋"/>
          <w:b/>
          <w:color w:val="auto"/>
          <w:sz w:val="21"/>
          <w:szCs w:val="21"/>
          <w:highlight w:val="none"/>
          <w:u w:val="single"/>
          <w:lang w:eastAsia="zh-CN"/>
        </w:rPr>
        <w:t>乙方</w:t>
      </w:r>
      <w:r>
        <w:rPr>
          <w:rFonts w:hint="eastAsia" w:ascii="仿宋" w:hAnsi="仿宋" w:eastAsia="仿宋" w:cs="仿宋"/>
          <w:b/>
          <w:color w:val="auto"/>
          <w:sz w:val="21"/>
          <w:szCs w:val="21"/>
          <w:highlight w:val="none"/>
          <w:u w:val="single"/>
        </w:rPr>
        <w:t>应向</w:t>
      </w:r>
      <w:r>
        <w:rPr>
          <w:rFonts w:hint="eastAsia" w:ascii="仿宋" w:hAnsi="仿宋" w:eastAsia="仿宋" w:cs="仿宋"/>
          <w:b/>
          <w:color w:val="auto"/>
          <w:sz w:val="21"/>
          <w:szCs w:val="21"/>
          <w:highlight w:val="none"/>
          <w:u w:val="single"/>
          <w:lang w:eastAsia="zh-CN"/>
        </w:rPr>
        <w:t>甲方</w:t>
      </w:r>
      <w:r>
        <w:rPr>
          <w:rFonts w:hint="eastAsia" w:ascii="仿宋" w:hAnsi="仿宋" w:eastAsia="仿宋" w:cs="仿宋"/>
          <w:b/>
          <w:color w:val="auto"/>
          <w:sz w:val="21"/>
          <w:szCs w:val="21"/>
          <w:highlight w:val="none"/>
          <w:u w:val="single"/>
        </w:rPr>
        <w:t>提供履行国家机密监管、保障职责的有关行政主管部门的书面证明或意见</w:t>
      </w:r>
      <w:r>
        <w:rPr>
          <w:rFonts w:hint="eastAsia" w:ascii="仿宋" w:hAnsi="仿宋" w:eastAsia="仿宋" w:cs="仿宋"/>
          <w:b/>
          <w:color w:val="auto"/>
          <w:sz w:val="21"/>
          <w:szCs w:val="21"/>
          <w:highlight w:val="none"/>
        </w:rPr>
        <w:t>。</w:t>
      </w:r>
    </w:p>
    <w:p>
      <w:pPr>
        <w:pStyle w:val="688"/>
        <w:spacing w:line="360" w:lineRule="auto"/>
        <w:ind w:firstLine="422"/>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21.10 施工现场管理</w:t>
      </w:r>
    </w:p>
    <w:p>
      <w:pPr>
        <w:pStyle w:val="688"/>
        <w:spacing w:line="360" w:lineRule="auto"/>
        <w:ind w:firstLine="422"/>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rPr>
        <w:t>21.10.1</w:t>
      </w:r>
      <w:r>
        <w:rPr>
          <w:rFonts w:hint="eastAsia" w:ascii="仿宋" w:hAnsi="仿宋" w:eastAsia="仿宋" w:cs="仿宋"/>
          <w:b/>
          <w:color w:val="auto"/>
          <w:szCs w:val="21"/>
          <w:highlight w:val="none"/>
          <w:u w:val="single"/>
        </w:rPr>
        <w:t>施工现场严禁吸烟或动用明火。</w:t>
      </w:r>
    </w:p>
    <w:p>
      <w:pPr>
        <w:pStyle w:val="688"/>
        <w:spacing w:line="360" w:lineRule="auto"/>
        <w:ind w:firstLine="422"/>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rPr>
        <w:t>21.10.2</w:t>
      </w:r>
      <w:r>
        <w:rPr>
          <w:rFonts w:hint="eastAsia" w:ascii="仿宋" w:hAnsi="仿宋" w:eastAsia="仿宋" w:cs="仿宋"/>
          <w:b/>
          <w:color w:val="auto"/>
          <w:szCs w:val="21"/>
          <w:highlight w:val="none"/>
          <w:u w:val="single"/>
        </w:rPr>
        <w:t>不得在施工现场打架斗殴，大小便需到指定地点。下班最后离场人员应切断全场所有电源，确保安全用电万无一失。</w:t>
      </w:r>
    </w:p>
    <w:p>
      <w:pPr>
        <w:pStyle w:val="688"/>
        <w:spacing w:line="360" w:lineRule="auto"/>
        <w:ind w:firstLine="422"/>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rPr>
        <w:t>21.10.3</w:t>
      </w:r>
      <w:r>
        <w:rPr>
          <w:rFonts w:hint="eastAsia" w:ascii="仿宋" w:hAnsi="仿宋" w:eastAsia="仿宋" w:cs="仿宋"/>
          <w:b/>
          <w:color w:val="auto"/>
          <w:szCs w:val="21"/>
          <w:highlight w:val="none"/>
          <w:u w:val="single"/>
        </w:rPr>
        <w:t>在有明火或有易燃易爆物作业处，必需配备</w:t>
      </w:r>
      <w:r>
        <w:rPr>
          <w:rFonts w:hint="eastAsia" w:ascii="仿宋" w:hAnsi="仿宋" w:eastAsia="仿宋" w:cs="仿宋"/>
          <w:b/>
          <w:color w:val="auto"/>
          <w:szCs w:val="21"/>
          <w:highlight w:val="none"/>
          <w:u w:val="single"/>
          <w:lang w:val="en-US" w:eastAsia="zh-CN"/>
        </w:rPr>
        <w:t>足够数量的</w:t>
      </w:r>
      <w:r>
        <w:rPr>
          <w:rFonts w:hint="eastAsia" w:ascii="仿宋" w:hAnsi="仿宋" w:eastAsia="仿宋" w:cs="仿宋"/>
          <w:b/>
          <w:color w:val="auto"/>
          <w:szCs w:val="21"/>
          <w:highlight w:val="none"/>
          <w:u w:val="single"/>
        </w:rPr>
        <w:t>手提式灭火器。</w:t>
      </w:r>
    </w:p>
    <w:p>
      <w:pPr>
        <w:pStyle w:val="688"/>
        <w:spacing w:line="360" w:lineRule="auto"/>
        <w:ind w:firstLine="422"/>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rPr>
        <w:t>21.10.4</w:t>
      </w:r>
      <w:r>
        <w:rPr>
          <w:rFonts w:hint="eastAsia" w:ascii="仿宋" w:hAnsi="仿宋" w:eastAsia="仿宋" w:cs="仿宋"/>
          <w:b/>
          <w:color w:val="auto"/>
          <w:szCs w:val="21"/>
          <w:highlight w:val="none"/>
          <w:u w:val="single"/>
        </w:rPr>
        <w:t>用电严禁私拉乱接，施工现场的临时用电，须由专业电工接驳，如施工用电超荷致使电箱功率失衡，应立即停止使用，并立刻进行调整，经调整完毕后方可恢复施工。</w:t>
      </w:r>
    </w:p>
    <w:p>
      <w:pPr>
        <w:pStyle w:val="688"/>
        <w:spacing w:line="360" w:lineRule="auto"/>
        <w:ind w:firstLine="422"/>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rPr>
        <w:t>21.10.5</w:t>
      </w:r>
      <w:r>
        <w:rPr>
          <w:rFonts w:hint="eastAsia" w:ascii="仿宋" w:hAnsi="仿宋" w:eastAsia="仿宋" w:cs="仿宋"/>
          <w:b/>
          <w:color w:val="auto"/>
          <w:szCs w:val="21"/>
          <w:highlight w:val="none"/>
          <w:u w:val="single"/>
        </w:rPr>
        <w:t>各施工工种的支路开关箱，统一由</w:t>
      </w:r>
      <w:r>
        <w:rPr>
          <w:rFonts w:hint="eastAsia" w:ascii="仿宋" w:hAnsi="仿宋" w:eastAsia="仿宋" w:cs="仿宋"/>
          <w:b/>
          <w:color w:val="auto"/>
          <w:szCs w:val="21"/>
          <w:highlight w:val="none"/>
          <w:u w:val="single"/>
          <w:lang w:eastAsia="zh-CN"/>
        </w:rPr>
        <w:t>甲方</w:t>
      </w:r>
      <w:r>
        <w:rPr>
          <w:rFonts w:hint="eastAsia" w:ascii="仿宋" w:hAnsi="仿宋" w:eastAsia="仿宋" w:cs="仿宋"/>
          <w:b/>
          <w:color w:val="auto"/>
          <w:szCs w:val="21"/>
          <w:highlight w:val="none"/>
          <w:u w:val="single"/>
        </w:rPr>
        <w:t>值班电工接驳，并分接到各工作段，开关箱的拉线要接到接线端上，严禁接在其他地方。</w:t>
      </w:r>
    </w:p>
    <w:p>
      <w:pPr>
        <w:pStyle w:val="688"/>
        <w:spacing w:line="360" w:lineRule="auto"/>
        <w:ind w:firstLine="422"/>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rPr>
        <w:t>21.10.6</w:t>
      </w:r>
      <w:r>
        <w:rPr>
          <w:rFonts w:hint="eastAsia" w:ascii="仿宋" w:hAnsi="仿宋" w:eastAsia="仿宋" w:cs="仿宋"/>
          <w:b/>
          <w:color w:val="auto"/>
          <w:szCs w:val="21"/>
          <w:highlight w:val="none"/>
          <w:u w:val="single"/>
        </w:rPr>
        <w:t>特种作业人员必须持证上岗。</w:t>
      </w:r>
    </w:p>
    <w:p>
      <w:pPr>
        <w:pStyle w:val="688"/>
        <w:spacing w:line="360" w:lineRule="auto"/>
        <w:ind w:firstLine="422"/>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rPr>
        <w:t>21.10.7</w:t>
      </w:r>
      <w:r>
        <w:rPr>
          <w:rFonts w:hint="eastAsia" w:ascii="仿宋" w:hAnsi="仿宋" w:eastAsia="仿宋" w:cs="仿宋"/>
          <w:b/>
          <w:color w:val="auto"/>
          <w:szCs w:val="21"/>
          <w:highlight w:val="none"/>
          <w:u w:val="single"/>
        </w:rPr>
        <w:t>施工现场严禁使用碘钨灯，一般照明应采用带安全网罩的灯，且不得使用裸露电线作为电源线，并由专业电工接驳。对放有易燃物品的室内应设置防爆灯，并配置足够的灭火设备。</w:t>
      </w:r>
    </w:p>
    <w:p>
      <w:pPr>
        <w:pStyle w:val="688"/>
        <w:spacing w:line="360" w:lineRule="auto"/>
        <w:ind w:firstLine="422"/>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rPr>
        <w:t>21.10.8</w:t>
      </w:r>
      <w:r>
        <w:rPr>
          <w:rFonts w:hint="eastAsia" w:ascii="仿宋" w:hAnsi="仿宋" w:eastAsia="仿宋" w:cs="仿宋"/>
          <w:b/>
          <w:color w:val="auto"/>
          <w:szCs w:val="21"/>
          <w:highlight w:val="none"/>
          <w:u w:val="single"/>
        </w:rPr>
        <w:t>严禁使用与施工无关的电器，包括但不限于电炉，电饭煲，爆炒锅等。</w:t>
      </w:r>
    </w:p>
    <w:p>
      <w:pPr>
        <w:pStyle w:val="688"/>
        <w:spacing w:line="360" w:lineRule="auto"/>
        <w:ind w:firstLine="422"/>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rPr>
        <w:t>21.10.9</w:t>
      </w:r>
      <w:r>
        <w:rPr>
          <w:rFonts w:hint="eastAsia" w:ascii="仿宋" w:hAnsi="仿宋" w:eastAsia="仿宋" w:cs="仿宋"/>
          <w:b/>
          <w:color w:val="auto"/>
          <w:szCs w:val="21"/>
          <w:highlight w:val="none"/>
          <w:u w:val="single"/>
        </w:rPr>
        <w:t>电动工具必须安全接地，施工现场任何区域不得有裸露导线。拆、装临时用电须由专业电工操作。</w:t>
      </w:r>
    </w:p>
    <w:p>
      <w:pPr>
        <w:pStyle w:val="688"/>
        <w:spacing w:line="360" w:lineRule="auto"/>
        <w:ind w:firstLine="422"/>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rPr>
        <w:t>21.10.10</w:t>
      </w:r>
      <w:r>
        <w:rPr>
          <w:rFonts w:hint="eastAsia" w:ascii="仿宋" w:hAnsi="仿宋" w:eastAsia="仿宋" w:cs="仿宋"/>
          <w:b/>
          <w:color w:val="auto"/>
          <w:szCs w:val="21"/>
          <w:highlight w:val="none"/>
          <w:u w:val="single"/>
        </w:rPr>
        <w:t>上道工序检验不合格者，严禁进行下道工序施工。</w:t>
      </w:r>
    </w:p>
    <w:p>
      <w:pPr>
        <w:pStyle w:val="688"/>
        <w:spacing w:line="360" w:lineRule="auto"/>
        <w:ind w:firstLine="422"/>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rPr>
        <w:t>21.10.11所有人员</w:t>
      </w:r>
      <w:r>
        <w:rPr>
          <w:rFonts w:hint="eastAsia" w:ascii="仿宋" w:hAnsi="仿宋" w:eastAsia="仿宋" w:cs="仿宋"/>
          <w:b/>
          <w:color w:val="auto"/>
          <w:szCs w:val="21"/>
          <w:highlight w:val="none"/>
          <w:u w:val="single"/>
        </w:rPr>
        <w:t>严禁赤脚</w:t>
      </w:r>
      <w:r>
        <w:rPr>
          <w:rFonts w:hint="eastAsia" w:ascii="仿宋" w:hAnsi="仿宋" w:eastAsia="仿宋" w:cs="仿宋"/>
          <w:b/>
          <w:color w:val="auto"/>
          <w:szCs w:val="21"/>
          <w:highlight w:val="none"/>
          <w:u w:val="single"/>
          <w:lang w:eastAsia="zh-CN"/>
        </w:rPr>
        <w:t>、</w:t>
      </w:r>
      <w:r>
        <w:rPr>
          <w:rFonts w:hint="eastAsia" w:ascii="仿宋" w:hAnsi="仿宋" w:eastAsia="仿宋" w:cs="仿宋"/>
          <w:b/>
          <w:color w:val="auto"/>
          <w:szCs w:val="21"/>
          <w:highlight w:val="none"/>
          <w:u w:val="single"/>
        </w:rPr>
        <w:t>穿拖鞋进入施工现场。</w:t>
      </w:r>
    </w:p>
    <w:p>
      <w:pPr>
        <w:pStyle w:val="688"/>
        <w:spacing w:line="360" w:lineRule="auto"/>
        <w:ind w:firstLine="422"/>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rPr>
        <w:t>21.10.12</w:t>
      </w:r>
      <w:r>
        <w:rPr>
          <w:rFonts w:hint="eastAsia" w:ascii="仿宋" w:hAnsi="仿宋" w:eastAsia="仿宋" w:cs="仿宋"/>
          <w:b/>
          <w:color w:val="auto"/>
          <w:szCs w:val="21"/>
          <w:highlight w:val="none"/>
          <w:u w:val="single"/>
        </w:rPr>
        <w:t>登高操作人员进行登高作业前须事先检查登高设施、工具的安全性能是否合格,保护措施是否到位，登高操作人员的技术要领必须熟练。登高作业时需系安全带，并现场有专人监护。木架凳和人字梯使用之前必须检查确保牢固后方可使用。</w:t>
      </w:r>
    </w:p>
    <w:p>
      <w:pPr>
        <w:pStyle w:val="688"/>
        <w:spacing w:line="360" w:lineRule="auto"/>
        <w:ind w:firstLine="422"/>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rPr>
        <w:t>21.10.13</w:t>
      </w:r>
      <w:r>
        <w:rPr>
          <w:rFonts w:hint="eastAsia" w:ascii="仿宋" w:hAnsi="仿宋" w:eastAsia="仿宋" w:cs="仿宋"/>
          <w:b/>
          <w:color w:val="auto"/>
          <w:szCs w:val="21"/>
          <w:highlight w:val="none"/>
          <w:u w:val="single"/>
        </w:rPr>
        <w:t>施工时注意文明用语，尊重</w:t>
      </w:r>
      <w:r>
        <w:rPr>
          <w:rFonts w:hint="eastAsia" w:ascii="仿宋" w:hAnsi="仿宋" w:eastAsia="仿宋" w:cs="仿宋"/>
          <w:b/>
          <w:color w:val="auto"/>
          <w:szCs w:val="21"/>
          <w:highlight w:val="none"/>
          <w:u w:val="single"/>
          <w:lang w:eastAsia="zh-CN"/>
        </w:rPr>
        <w:t>甲方</w:t>
      </w:r>
      <w:r>
        <w:rPr>
          <w:rFonts w:hint="eastAsia" w:ascii="仿宋" w:hAnsi="仿宋" w:eastAsia="仿宋" w:cs="仿宋"/>
          <w:b/>
          <w:color w:val="auto"/>
          <w:szCs w:val="21"/>
          <w:highlight w:val="none"/>
          <w:u w:val="single"/>
        </w:rPr>
        <w:t>的意见和建议，不得发生顶撞或冲突；爱护</w:t>
      </w:r>
      <w:r>
        <w:rPr>
          <w:rFonts w:hint="eastAsia" w:ascii="仿宋" w:hAnsi="仿宋" w:eastAsia="仿宋" w:cs="仿宋"/>
          <w:b/>
          <w:color w:val="auto"/>
          <w:szCs w:val="21"/>
          <w:highlight w:val="none"/>
          <w:u w:val="single"/>
          <w:lang w:eastAsia="zh-CN"/>
        </w:rPr>
        <w:t>甲方</w:t>
      </w:r>
      <w:r>
        <w:rPr>
          <w:rFonts w:hint="eastAsia" w:ascii="仿宋" w:hAnsi="仿宋" w:eastAsia="仿宋" w:cs="仿宋"/>
          <w:b/>
          <w:color w:val="auto"/>
          <w:szCs w:val="21"/>
          <w:highlight w:val="none"/>
          <w:u w:val="single"/>
        </w:rPr>
        <w:t>的设施，爱护成品物，不得损坏。不得向</w:t>
      </w:r>
      <w:r>
        <w:rPr>
          <w:rFonts w:hint="eastAsia" w:ascii="仿宋" w:hAnsi="仿宋" w:eastAsia="仿宋" w:cs="仿宋"/>
          <w:b/>
          <w:color w:val="auto"/>
          <w:szCs w:val="21"/>
          <w:highlight w:val="none"/>
          <w:u w:val="single"/>
          <w:lang w:eastAsia="zh-CN"/>
        </w:rPr>
        <w:t>甲方</w:t>
      </w:r>
      <w:r>
        <w:rPr>
          <w:rFonts w:hint="eastAsia" w:ascii="仿宋" w:hAnsi="仿宋" w:eastAsia="仿宋" w:cs="仿宋"/>
          <w:b/>
          <w:color w:val="auto"/>
          <w:szCs w:val="21"/>
          <w:highlight w:val="none"/>
          <w:u w:val="single"/>
        </w:rPr>
        <w:t>索要物品，不得向</w:t>
      </w:r>
      <w:r>
        <w:rPr>
          <w:rFonts w:hint="eastAsia" w:ascii="仿宋" w:hAnsi="仿宋" w:eastAsia="仿宋" w:cs="仿宋"/>
          <w:b/>
          <w:color w:val="auto"/>
          <w:szCs w:val="21"/>
          <w:highlight w:val="none"/>
          <w:u w:val="single"/>
          <w:lang w:eastAsia="zh-CN"/>
        </w:rPr>
        <w:t>甲方</w:t>
      </w:r>
      <w:r>
        <w:rPr>
          <w:rFonts w:hint="eastAsia" w:ascii="仿宋" w:hAnsi="仿宋" w:eastAsia="仿宋" w:cs="仿宋"/>
          <w:b/>
          <w:color w:val="auto"/>
          <w:szCs w:val="21"/>
          <w:highlight w:val="none"/>
          <w:u w:val="single"/>
        </w:rPr>
        <w:t>提出无理要求，更不得偷窃或私自使用</w:t>
      </w:r>
      <w:r>
        <w:rPr>
          <w:rFonts w:hint="eastAsia" w:ascii="仿宋" w:hAnsi="仿宋" w:eastAsia="仿宋" w:cs="仿宋"/>
          <w:b/>
          <w:color w:val="auto"/>
          <w:szCs w:val="21"/>
          <w:highlight w:val="none"/>
          <w:u w:val="single"/>
          <w:lang w:eastAsia="zh-CN"/>
        </w:rPr>
        <w:t>甲方</w:t>
      </w:r>
      <w:r>
        <w:rPr>
          <w:rFonts w:hint="eastAsia" w:ascii="仿宋" w:hAnsi="仿宋" w:eastAsia="仿宋" w:cs="仿宋"/>
          <w:b/>
          <w:color w:val="auto"/>
          <w:szCs w:val="21"/>
          <w:highlight w:val="none"/>
          <w:u w:val="single"/>
        </w:rPr>
        <w:t>物品。</w:t>
      </w:r>
    </w:p>
    <w:p>
      <w:pPr>
        <w:pStyle w:val="688"/>
        <w:spacing w:line="360" w:lineRule="auto"/>
        <w:ind w:firstLine="422"/>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rPr>
        <w:t>21.10.14</w:t>
      </w:r>
      <w:r>
        <w:rPr>
          <w:rFonts w:hint="eastAsia" w:ascii="仿宋" w:hAnsi="仿宋" w:eastAsia="仿宋" w:cs="仿宋"/>
          <w:b/>
          <w:color w:val="auto"/>
          <w:szCs w:val="21"/>
          <w:highlight w:val="none"/>
          <w:u w:val="single"/>
        </w:rPr>
        <w:t>现场施工要严格遵守国家有关施工工艺操作规范，绝不允许偷工减料，一经发现，立即除名并追究其相关责任。</w:t>
      </w:r>
    </w:p>
    <w:p>
      <w:pPr>
        <w:pStyle w:val="688"/>
        <w:spacing w:line="360" w:lineRule="auto"/>
        <w:ind w:firstLine="422"/>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rPr>
        <w:t>21.10.15</w:t>
      </w:r>
      <w:r>
        <w:rPr>
          <w:rFonts w:hint="eastAsia" w:ascii="仿宋" w:hAnsi="仿宋" w:eastAsia="仿宋" w:cs="仿宋"/>
          <w:b/>
          <w:color w:val="auto"/>
          <w:szCs w:val="21"/>
          <w:highlight w:val="none"/>
          <w:u w:val="single"/>
        </w:rPr>
        <w:t>施工方须保证施工现场的环境卫生，卫生间保持清洁，不得有垃圾杂物、积水；材料摆放应有条不紊，用料须分门别类堆放整齐,置于干爽地段，严禁假冒伪劣材料进入施工现场，施工垃圾应及时清理，外运到甲方指定地点，每日施工完毕，须清理施工现场，做到无垃圾堆积。</w:t>
      </w:r>
    </w:p>
    <w:p>
      <w:pPr>
        <w:pStyle w:val="688"/>
        <w:spacing w:line="360" w:lineRule="auto"/>
        <w:ind w:firstLine="422"/>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u w:val="single"/>
        </w:rPr>
        <w:t>若因违反本合同条例发生重大责任事故以及由此造成的一切损失均由责任人承担，</w:t>
      </w:r>
      <w:r>
        <w:rPr>
          <w:rFonts w:hint="eastAsia" w:ascii="仿宋" w:hAnsi="仿宋" w:eastAsia="仿宋" w:cs="仿宋"/>
          <w:b/>
          <w:color w:val="auto"/>
          <w:szCs w:val="21"/>
          <w:highlight w:val="none"/>
          <w:u w:val="single"/>
          <w:lang w:eastAsia="zh-CN"/>
        </w:rPr>
        <w:t>甲方</w:t>
      </w:r>
      <w:r>
        <w:rPr>
          <w:rFonts w:hint="eastAsia" w:ascii="仿宋" w:hAnsi="仿宋" w:eastAsia="仿宋" w:cs="仿宋"/>
          <w:b/>
          <w:color w:val="auto"/>
          <w:szCs w:val="21"/>
          <w:highlight w:val="none"/>
          <w:u w:val="single"/>
        </w:rPr>
        <w:t>将追究责任人的无限责任。</w:t>
      </w:r>
    </w:p>
    <w:p>
      <w:pPr>
        <w:spacing w:line="360" w:lineRule="auto"/>
        <w:ind w:firstLine="420"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21.11</w:t>
      </w:r>
      <w:r>
        <w:rPr>
          <w:rFonts w:hint="eastAsia" w:ascii="仿宋" w:hAnsi="仿宋" w:eastAsia="仿宋" w:cs="仿宋"/>
          <w:b/>
          <w:bCs/>
          <w:color w:val="auto"/>
          <w:szCs w:val="21"/>
          <w:highlight w:val="none"/>
          <w:u w:val="single"/>
        </w:rPr>
        <w:t>合同履行过程中，经双方协商一致变更、补充本合同内容的，不受本条款限制，补充合同或工程联系单等内容与本合同内容不一致的，以补充合同内容为准</w:t>
      </w:r>
      <w:r>
        <w:rPr>
          <w:rFonts w:hint="eastAsia" w:ascii="仿宋" w:hAnsi="仿宋" w:eastAsia="仿宋" w:cs="仿宋"/>
          <w:b/>
          <w:bCs/>
          <w:color w:val="auto"/>
          <w:szCs w:val="21"/>
          <w:highlight w:val="none"/>
        </w:rPr>
        <w:t>。</w:t>
      </w:r>
    </w:p>
    <w:p>
      <w:pPr>
        <w:spacing w:line="360" w:lineRule="auto"/>
        <w:ind w:firstLine="420" w:firstLineChars="200"/>
        <w:rPr>
          <w:rFonts w:hint="eastAsia" w:ascii="仿宋" w:hAnsi="仿宋" w:eastAsia="仿宋" w:cs="仿宋"/>
          <w:b/>
          <w:bCs/>
          <w:color w:val="auto"/>
          <w:szCs w:val="21"/>
          <w:highlight w:val="none"/>
        </w:rPr>
      </w:pPr>
    </w:p>
    <w:p>
      <w:pPr>
        <w:pStyle w:val="3"/>
        <w:rPr>
          <w:rFonts w:hint="eastAsia" w:ascii="仿宋" w:hAnsi="仿宋" w:eastAsia="仿宋" w:cs="仿宋"/>
          <w:color w:val="auto"/>
          <w:highlight w:val="none"/>
        </w:rPr>
        <w:sectPr>
          <w:pgSz w:w="11906" w:h="16838"/>
          <w:pgMar w:top="1418" w:right="1531" w:bottom="1418" w:left="1554" w:header="851" w:footer="992" w:gutter="0"/>
          <w:cols w:space="720" w:num="1"/>
          <w:titlePg/>
          <w:docGrid w:type="linesAndChars" w:linePitch="312" w:charSpace="0"/>
        </w:sectPr>
      </w:pPr>
    </w:p>
    <w:p>
      <w:pPr>
        <w:spacing w:line="400" w:lineRule="exact"/>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附件</w:t>
      </w:r>
    </w:p>
    <w:p>
      <w:pPr>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协议书附件：</w:t>
      </w:r>
    </w:p>
    <w:p>
      <w:pPr>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附件1：工程质量保修书</w:t>
      </w:r>
    </w:p>
    <w:p>
      <w:pPr>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附件2：</w:t>
      </w:r>
      <w:r>
        <w:rPr>
          <w:rFonts w:hint="eastAsia" w:ascii="仿宋" w:hAnsi="仿宋" w:eastAsia="仿宋" w:cs="仿宋"/>
          <w:color w:val="auto"/>
          <w:spacing w:val="19"/>
          <w:szCs w:val="21"/>
          <w:highlight w:val="none"/>
        </w:rPr>
        <w:t>工程建设项目廉政责任书</w:t>
      </w:r>
    </w:p>
    <w:p>
      <w:pPr>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附件3：建筑施工现场安全生产责任书</w:t>
      </w:r>
    </w:p>
    <w:p>
      <w:pPr>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附件4：承诺书</w:t>
      </w:r>
    </w:p>
    <w:p>
      <w:pPr>
        <w:spacing w:line="360" w:lineRule="auto"/>
        <w:jc w:val="left"/>
        <w:rPr>
          <w:rFonts w:hint="eastAsia" w:ascii="仿宋" w:hAnsi="仿宋" w:eastAsia="仿宋" w:cs="仿宋"/>
          <w:b/>
          <w:color w:val="auto"/>
          <w:szCs w:val="21"/>
          <w:highlight w:val="none"/>
        </w:rPr>
        <w:sectPr>
          <w:footerReference r:id="rId9" w:type="first"/>
          <w:headerReference r:id="rId6" w:type="default"/>
          <w:footerReference r:id="rId7" w:type="default"/>
          <w:footerReference r:id="rId8" w:type="even"/>
          <w:pgSz w:w="11906" w:h="16838"/>
          <w:pgMar w:top="1418" w:right="1555" w:bottom="1418" w:left="1531" w:header="851" w:footer="992" w:gutter="0"/>
          <w:cols w:space="720" w:num="1"/>
          <w:titlePg/>
          <w:docGrid w:type="lines" w:linePitch="312" w:charSpace="0"/>
        </w:sectPr>
      </w:pP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附件1：    </w:t>
      </w:r>
    </w:p>
    <w:p>
      <w:pPr>
        <w:spacing w:before="120" w:beforeLines="50" w:after="120" w:afterLines="50"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工程质量保修书</w:t>
      </w:r>
    </w:p>
    <w:p>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（全称）：</w:t>
      </w:r>
      <w:r>
        <w:rPr>
          <w:rFonts w:hint="eastAsia" w:ascii="仿宋" w:hAnsi="仿宋" w:eastAsia="仿宋" w:cs="仿宋"/>
          <w:color w:val="auto"/>
          <w:szCs w:val="21"/>
          <w:highlight w:val="none"/>
          <w:u w:val="single"/>
        </w:rPr>
        <w:t>浙江省拱宸强制隔离戒毒所</w:t>
      </w:r>
    </w:p>
    <w:p>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（全称）：</w:t>
      </w:r>
      <w:r>
        <w:rPr>
          <w:rFonts w:hint="eastAsia" w:ascii="仿宋" w:hAnsi="仿宋" w:eastAsia="仿宋" w:cs="仿宋"/>
          <w:color w:val="auto"/>
          <w:szCs w:val="21"/>
          <w:highlight w:val="none"/>
          <w:u w:val="single"/>
        </w:rPr>
        <w:t xml:space="preserve">                  </w:t>
      </w:r>
    </w:p>
    <w:p>
      <w:pPr>
        <w:spacing w:line="400" w:lineRule="exact"/>
        <w:rPr>
          <w:rFonts w:hint="eastAsia" w:ascii="仿宋" w:hAnsi="仿宋" w:eastAsia="仿宋" w:cs="仿宋"/>
          <w:color w:val="auto"/>
          <w:szCs w:val="21"/>
          <w:highlight w:val="none"/>
        </w:rPr>
      </w:pPr>
    </w:p>
    <w:p>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和</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根据《中华人民共和国建筑法》和《建设工程质量管理条例》，经协商一致就</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省拱宸所戒毒法治基地配套项目标一</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（工程全称）签订工程质量保修书。</w:t>
      </w:r>
    </w:p>
    <w:p>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一、工程质量保修范围和内容</w:t>
      </w:r>
    </w:p>
    <w:p>
      <w:pPr>
        <w:numPr>
          <w:ilvl w:val="0"/>
          <w:numId w:val="23"/>
        </w:num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在质量保修期内，按照有关法律规定和合同约定，承担工程质量保修责任。</w:t>
      </w:r>
    </w:p>
    <w:p>
      <w:pPr>
        <w:numPr>
          <w:ilvl w:val="0"/>
          <w:numId w:val="23"/>
        </w:num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仿宋" w:hAnsi="仿宋" w:eastAsia="仿宋" w:cs="仿宋"/>
          <w:color w:val="auto"/>
          <w:szCs w:val="21"/>
          <w:highlight w:val="none"/>
          <w:u w:val="single"/>
          <w:lang w:val="en-US" w:eastAsia="zh-CN"/>
        </w:rPr>
        <w:t>省拱宸所戒毒法治基地配套项目标一</w:t>
      </w:r>
      <w:r>
        <w:rPr>
          <w:rFonts w:hint="eastAsia" w:ascii="仿宋" w:hAnsi="仿宋" w:eastAsia="仿宋" w:cs="仿宋"/>
          <w:color w:val="auto"/>
          <w:szCs w:val="21"/>
          <w:highlight w:val="none"/>
          <w:u w:val="single"/>
        </w:rPr>
        <w:t xml:space="preserve">全部内容。  </w:t>
      </w:r>
    </w:p>
    <w:p>
      <w:pPr>
        <w:spacing w:line="400" w:lineRule="exact"/>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　　</w:t>
      </w:r>
      <w:r>
        <w:rPr>
          <w:rFonts w:hint="eastAsia" w:ascii="仿宋" w:hAnsi="仿宋" w:eastAsia="仿宋" w:cs="仿宋"/>
          <w:color w:val="auto"/>
          <w:szCs w:val="21"/>
          <w:highlight w:val="none"/>
        </w:rPr>
        <w:t>二、质量保修期</w:t>
      </w:r>
    </w:p>
    <w:p>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根据《建设工程质量管理条例》及有关规定，工程的质量保修期如下：</w:t>
      </w:r>
    </w:p>
    <w:p>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1．地基基础工程和主体结构工程为设计文件规定的工程合理使用年限；</w:t>
      </w:r>
    </w:p>
    <w:p>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2．屋面防水工程、有防水要求的卫生间、房间和外墙面的防渗为</w:t>
      </w:r>
      <w:r>
        <w:rPr>
          <w:rFonts w:hint="eastAsia" w:ascii="仿宋" w:hAnsi="仿宋" w:eastAsia="仿宋" w:cs="仿宋"/>
          <w:color w:val="auto"/>
          <w:szCs w:val="21"/>
          <w:highlight w:val="none"/>
          <w:u w:val="single"/>
        </w:rPr>
        <w:t xml:space="preserve"> 8 </w:t>
      </w:r>
      <w:r>
        <w:rPr>
          <w:rFonts w:hint="eastAsia" w:ascii="仿宋" w:hAnsi="仿宋" w:eastAsia="仿宋" w:cs="仿宋"/>
          <w:color w:val="auto"/>
          <w:szCs w:val="21"/>
          <w:highlight w:val="none"/>
        </w:rPr>
        <w:t>年；（注：浙江省实施《中华人民共和国消费者权益保护法》办法规定该项目保修期为捌年）；</w:t>
      </w:r>
    </w:p>
    <w:p>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3．装修工程为</w:t>
      </w:r>
      <w:r>
        <w:rPr>
          <w:rFonts w:hint="eastAsia" w:ascii="仿宋" w:hAnsi="仿宋" w:eastAsia="仿宋" w:cs="仿宋"/>
          <w:color w:val="auto"/>
          <w:szCs w:val="21"/>
          <w:highlight w:val="none"/>
          <w:u w:val="single"/>
        </w:rPr>
        <w:t xml:space="preserve">  2 </w:t>
      </w:r>
      <w:r>
        <w:rPr>
          <w:rFonts w:hint="eastAsia" w:ascii="仿宋" w:hAnsi="仿宋" w:eastAsia="仿宋" w:cs="仿宋"/>
          <w:color w:val="auto"/>
          <w:szCs w:val="21"/>
          <w:highlight w:val="none"/>
        </w:rPr>
        <w:t>年；</w:t>
      </w:r>
    </w:p>
    <w:p>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4．电气管线、给排水管道、设备安装工程为</w:t>
      </w:r>
      <w:r>
        <w:rPr>
          <w:rFonts w:hint="eastAsia" w:ascii="仿宋" w:hAnsi="仿宋" w:eastAsia="仿宋" w:cs="仿宋"/>
          <w:color w:val="auto"/>
          <w:szCs w:val="21"/>
          <w:highlight w:val="none"/>
          <w:u w:val="single"/>
        </w:rPr>
        <w:t xml:space="preserve"> 2 </w:t>
      </w:r>
      <w:r>
        <w:rPr>
          <w:rFonts w:hint="eastAsia" w:ascii="仿宋" w:hAnsi="仿宋" w:eastAsia="仿宋" w:cs="仿宋"/>
          <w:color w:val="auto"/>
          <w:szCs w:val="21"/>
          <w:highlight w:val="none"/>
        </w:rPr>
        <w:t>年；</w:t>
      </w:r>
    </w:p>
    <w:p>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5．供热与供冷系统为</w:t>
      </w:r>
      <w:r>
        <w:rPr>
          <w:rFonts w:hint="eastAsia" w:ascii="仿宋" w:hAnsi="仿宋" w:eastAsia="仿宋" w:cs="仿宋"/>
          <w:color w:val="auto"/>
          <w:szCs w:val="21"/>
          <w:highlight w:val="none"/>
          <w:u w:val="single"/>
        </w:rPr>
        <w:t xml:space="preserve">     2   </w:t>
      </w:r>
      <w:r>
        <w:rPr>
          <w:rFonts w:hint="eastAsia" w:ascii="仿宋" w:hAnsi="仿宋" w:eastAsia="仿宋" w:cs="仿宋"/>
          <w:color w:val="auto"/>
          <w:szCs w:val="21"/>
          <w:highlight w:val="none"/>
        </w:rPr>
        <w:t>个采暖期、供冷期；</w:t>
      </w:r>
    </w:p>
    <w:p>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6．住宅小区内的给排水设施、道路等配套工程为</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年；</w:t>
      </w:r>
    </w:p>
    <w:p>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7．其他项目保修期限约定如下：</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2年</w:t>
      </w:r>
      <w:r>
        <w:rPr>
          <w:rFonts w:hint="eastAsia" w:ascii="仿宋" w:hAnsi="仿宋" w:eastAsia="仿宋" w:cs="仿宋"/>
          <w:color w:val="auto"/>
          <w:szCs w:val="21"/>
          <w:highlight w:val="none"/>
          <w:u w:val="single"/>
        </w:rPr>
        <w:t xml:space="preserve">  </w:t>
      </w:r>
    </w:p>
    <w:p>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质量保修期自工程竣工验收合格之日起计算。</w:t>
      </w:r>
    </w:p>
    <w:p>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三、缺陷责任期</w:t>
      </w:r>
    </w:p>
    <w:p>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工程缺陷责任期为</w:t>
      </w:r>
      <w:r>
        <w:rPr>
          <w:rFonts w:hint="eastAsia" w:ascii="仿宋" w:hAnsi="仿宋" w:eastAsia="仿宋" w:cs="仿宋"/>
          <w:color w:val="auto"/>
          <w:szCs w:val="21"/>
          <w:highlight w:val="none"/>
          <w:u w:val="single"/>
        </w:rPr>
        <w:t xml:space="preserve">  24 </w:t>
      </w:r>
      <w:r>
        <w:rPr>
          <w:rFonts w:hint="eastAsia" w:ascii="仿宋" w:hAnsi="仿宋" w:eastAsia="仿宋" w:cs="仿宋"/>
          <w:color w:val="auto"/>
          <w:szCs w:val="21"/>
          <w:highlight w:val="none"/>
        </w:rPr>
        <w:t>个月，缺陷责任期自工程竣工验收合格之日起计算。单位工程先于全部工程进行验收，单位工程缺陷责任期自单位工程验收合格之日起算。</w:t>
      </w:r>
    </w:p>
    <w:p>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缺陷责任期终止后，</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应退还剩余的质量保证金（无息）。</w:t>
      </w:r>
    </w:p>
    <w:p>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四、质量保修责任</w:t>
      </w:r>
    </w:p>
    <w:p>
      <w:pPr>
        <w:spacing w:line="400" w:lineRule="exact"/>
        <w:ind w:firstLine="504" w:firstLineChars="24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1．属于保修范围、内容的项目，</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应当在接到保修通知之日起7天内派人保修。</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不在约定期限内派人保修的，</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可以委托他人修理。</w:t>
      </w:r>
    </w:p>
    <w:p>
      <w:pPr>
        <w:spacing w:line="400" w:lineRule="exact"/>
        <w:ind w:left="105" w:leftChars="50" w:firstLine="430" w:firstLineChars="205"/>
        <w:rPr>
          <w:rFonts w:hint="eastAsia" w:ascii="仿宋" w:hAnsi="仿宋" w:eastAsia="仿宋" w:cs="仿宋"/>
          <w:color w:val="auto"/>
          <w:szCs w:val="21"/>
          <w:highlight w:val="none"/>
        </w:rPr>
      </w:pPr>
      <w:r>
        <w:rPr>
          <w:rFonts w:hint="eastAsia" w:ascii="仿宋" w:hAnsi="仿宋" w:eastAsia="仿宋" w:cs="仿宋"/>
          <w:color w:val="auto"/>
          <w:szCs w:val="21"/>
          <w:highlight w:val="none"/>
        </w:rPr>
        <w:t>2．发生紧急事故需抢修的，</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在接到事故通知后，应当立即到达事故现场抢修。</w:t>
      </w:r>
    </w:p>
    <w:p>
      <w:pPr>
        <w:spacing w:line="400" w:lineRule="exact"/>
        <w:ind w:left="105" w:leftChars="50" w:firstLine="430" w:firstLineChars="205"/>
        <w:rPr>
          <w:rFonts w:hint="eastAsia" w:ascii="仿宋" w:hAnsi="仿宋" w:eastAsia="仿宋" w:cs="仿宋"/>
          <w:color w:val="auto"/>
          <w:szCs w:val="21"/>
          <w:highlight w:val="none"/>
        </w:rPr>
      </w:pPr>
      <w:r>
        <w:rPr>
          <w:rFonts w:hint="eastAsia" w:ascii="仿宋" w:hAnsi="仿宋" w:eastAsia="仿宋" w:cs="仿宋"/>
          <w:color w:val="auto"/>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实施保修。</w:t>
      </w:r>
    </w:p>
    <w:p>
      <w:pPr>
        <w:spacing w:line="400" w:lineRule="exact"/>
        <w:ind w:left="420" w:leftChars="200" w:firstLine="105" w:firstLineChars="50"/>
        <w:rPr>
          <w:rFonts w:hint="eastAsia" w:ascii="仿宋" w:hAnsi="仿宋" w:eastAsia="仿宋" w:cs="仿宋"/>
          <w:color w:val="auto"/>
          <w:szCs w:val="21"/>
          <w:highlight w:val="none"/>
        </w:rPr>
      </w:pPr>
      <w:r>
        <w:rPr>
          <w:rFonts w:hint="eastAsia" w:ascii="仿宋" w:hAnsi="仿宋" w:eastAsia="仿宋" w:cs="仿宋"/>
          <w:color w:val="auto"/>
          <w:szCs w:val="21"/>
          <w:highlight w:val="none"/>
        </w:rPr>
        <w:t>4．质量保修完成后，由</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组织验收。</w:t>
      </w:r>
    </w:p>
    <w:p>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五、保修费用</w:t>
      </w:r>
    </w:p>
    <w:p>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保修费用由造成质量缺陷的责任方承担。</w:t>
      </w:r>
    </w:p>
    <w:p>
      <w:pPr>
        <w:spacing w:line="400" w:lineRule="exact"/>
        <w:ind w:firstLine="422" w:firstLineChars="200"/>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rPr>
        <w:t>六</w:t>
      </w:r>
      <w:r>
        <w:rPr>
          <w:rFonts w:hint="eastAsia" w:ascii="仿宋" w:hAnsi="仿宋" w:eastAsia="仿宋" w:cs="仿宋"/>
          <w:color w:val="auto"/>
          <w:szCs w:val="21"/>
          <w:highlight w:val="none"/>
        </w:rPr>
        <w:t>、双方约定的其他工程质量保修事项：</w:t>
      </w:r>
      <w:r>
        <w:rPr>
          <w:rFonts w:hint="eastAsia" w:ascii="仿宋" w:hAnsi="仿宋" w:eastAsia="仿宋" w:cs="仿宋"/>
          <w:b/>
          <w:color w:val="auto"/>
          <w:szCs w:val="21"/>
          <w:highlight w:val="none"/>
          <w:u w:val="single"/>
        </w:rPr>
        <w:t>工程质量保修金在工程竣工验收合格2年后扣除相应的扣款（由于</w:t>
      </w:r>
      <w:r>
        <w:rPr>
          <w:rFonts w:hint="eastAsia" w:ascii="仿宋" w:hAnsi="仿宋" w:eastAsia="仿宋" w:cs="仿宋"/>
          <w:b/>
          <w:color w:val="auto"/>
          <w:szCs w:val="21"/>
          <w:highlight w:val="none"/>
          <w:u w:val="single"/>
          <w:lang w:eastAsia="zh-CN"/>
        </w:rPr>
        <w:t>乙方</w:t>
      </w:r>
      <w:r>
        <w:rPr>
          <w:rFonts w:hint="eastAsia" w:ascii="仿宋" w:hAnsi="仿宋" w:eastAsia="仿宋" w:cs="仿宋"/>
          <w:b/>
          <w:color w:val="auto"/>
          <w:szCs w:val="21"/>
          <w:highlight w:val="none"/>
          <w:u w:val="single"/>
        </w:rPr>
        <w:t>维修不及时而</w:t>
      </w:r>
      <w:r>
        <w:rPr>
          <w:rFonts w:hint="eastAsia" w:ascii="仿宋" w:hAnsi="仿宋" w:eastAsia="仿宋" w:cs="仿宋"/>
          <w:b/>
          <w:color w:val="auto"/>
          <w:szCs w:val="21"/>
          <w:highlight w:val="none"/>
          <w:u w:val="single"/>
          <w:lang w:eastAsia="zh-CN"/>
        </w:rPr>
        <w:t>甲方</w:t>
      </w:r>
      <w:r>
        <w:rPr>
          <w:rFonts w:hint="eastAsia" w:ascii="仿宋" w:hAnsi="仿宋" w:eastAsia="仿宋" w:cs="仿宋"/>
          <w:b/>
          <w:color w:val="auto"/>
          <w:szCs w:val="21"/>
          <w:highlight w:val="none"/>
          <w:u w:val="single"/>
        </w:rPr>
        <w:t>自行维修的费用）后结清余款（无息）。</w:t>
      </w:r>
    </w:p>
    <w:p>
      <w:pPr>
        <w:spacing w:line="400" w:lineRule="exact"/>
        <w:ind w:firstLine="600"/>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u w:val="single"/>
          <w:lang w:eastAsia="zh-CN"/>
        </w:rPr>
        <w:t>甲方</w:t>
      </w:r>
      <w:r>
        <w:rPr>
          <w:rFonts w:hint="eastAsia" w:ascii="仿宋" w:hAnsi="仿宋" w:eastAsia="仿宋" w:cs="仿宋"/>
          <w:b/>
          <w:color w:val="auto"/>
          <w:szCs w:val="21"/>
          <w:highlight w:val="none"/>
          <w:u w:val="single"/>
        </w:rPr>
        <w:t>在保修期内发现质量问题并通知</w:t>
      </w:r>
      <w:r>
        <w:rPr>
          <w:rFonts w:hint="eastAsia" w:ascii="仿宋" w:hAnsi="仿宋" w:eastAsia="仿宋" w:cs="仿宋"/>
          <w:b/>
          <w:color w:val="auto"/>
          <w:szCs w:val="21"/>
          <w:highlight w:val="none"/>
          <w:u w:val="single"/>
          <w:lang w:eastAsia="zh-CN"/>
        </w:rPr>
        <w:t>乙方</w:t>
      </w:r>
      <w:r>
        <w:rPr>
          <w:rFonts w:hint="eastAsia" w:ascii="仿宋" w:hAnsi="仿宋" w:eastAsia="仿宋" w:cs="仿宋"/>
          <w:b/>
          <w:color w:val="auto"/>
          <w:szCs w:val="21"/>
          <w:highlight w:val="none"/>
          <w:u w:val="single"/>
        </w:rPr>
        <w:t>，</w:t>
      </w:r>
      <w:r>
        <w:rPr>
          <w:rFonts w:hint="eastAsia" w:ascii="仿宋" w:hAnsi="仿宋" w:eastAsia="仿宋" w:cs="仿宋"/>
          <w:b/>
          <w:color w:val="auto"/>
          <w:szCs w:val="21"/>
          <w:highlight w:val="none"/>
          <w:u w:val="single"/>
          <w:lang w:eastAsia="zh-CN"/>
        </w:rPr>
        <w:t>乙方</w:t>
      </w:r>
      <w:r>
        <w:rPr>
          <w:rFonts w:hint="eastAsia" w:ascii="仿宋" w:hAnsi="仿宋" w:eastAsia="仿宋" w:cs="仿宋"/>
          <w:b/>
          <w:color w:val="auto"/>
          <w:szCs w:val="21"/>
          <w:highlight w:val="none"/>
          <w:u w:val="single"/>
        </w:rPr>
        <w:t>应及时派专业人员进行维修，并承担鉴定及维修费用，如</w:t>
      </w:r>
      <w:r>
        <w:rPr>
          <w:rFonts w:hint="eastAsia" w:ascii="仿宋" w:hAnsi="仿宋" w:eastAsia="仿宋" w:cs="仿宋"/>
          <w:b/>
          <w:color w:val="auto"/>
          <w:szCs w:val="21"/>
          <w:highlight w:val="none"/>
          <w:u w:val="single"/>
          <w:lang w:eastAsia="zh-CN"/>
        </w:rPr>
        <w:t>乙方</w:t>
      </w:r>
      <w:r>
        <w:rPr>
          <w:rFonts w:hint="eastAsia" w:ascii="仿宋" w:hAnsi="仿宋" w:eastAsia="仿宋" w:cs="仿宋"/>
          <w:b/>
          <w:color w:val="auto"/>
          <w:szCs w:val="21"/>
          <w:highlight w:val="none"/>
          <w:u w:val="single"/>
        </w:rPr>
        <w:t>未及时派专业人员进行维修，</w:t>
      </w:r>
      <w:r>
        <w:rPr>
          <w:rFonts w:hint="eastAsia" w:ascii="仿宋" w:hAnsi="仿宋" w:eastAsia="仿宋" w:cs="仿宋"/>
          <w:b/>
          <w:color w:val="auto"/>
          <w:szCs w:val="21"/>
          <w:highlight w:val="none"/>
          <w:u w:val="single"/>
          <w:lang w:eastAsia="zh-CN"/>
        </w:rPr>
        <w:t>甲方</w:t>
      </w:r>
      <w:r>
        <w:rPr>
          <w:rFonts w:hint="eastAsia" w:ascii="仿宋" w:hAnsi="仿宋" w:eastAsia="仿宋" w:cs="仿宋"/>
          <w:b/>
          <w:color w:val="auto"/>
          <w:szCs w:val="21"/>
          <w:highlight w:val="none"/>
          <w:u w:val="single"/>
        </w:rPr>
        <w:t>有权请其他人进行维修，由此产生的费用将从</w:t>
      </w:r>
      <w:r>
        <w:rPr>
          <w:rFonts w:hint="eastAsia" w:ascii="仿宋" w:hAnsi="仿宋" w:eastAsia="仿宋" w:cs="仿宋"/>
          <w:b/>
          <w:color w:val="auto"/>
          <w:szCs w:val="21"/>
          <w:highlight w:val="none"/>
          <w:u w:val="single"/>
          <w:lang w:eastAsia="zh-CN"/>
        </w:rPr>
        <w:t>乙方</w:t>
      </w:r>
      <w:r>
        <w:rPr>
          <w:rFonts w:hint="eastAsia" w:ascii="仿宋" w:hAnsi="仿宋" w:eastAsia="仿宋" w:cs="仿宋"/>
          <w:b/>
          <w:color w:val="auto"/>
          <w:szCs w:val="21"/>
          <w:highlight w:val="none"/>
          <w:u w:val="single"/>
        </w:rPr>
        <w:t>的质量保证金中予以扣除，同时</w:t>
      </w:r>
      <w:r>
        <w:rPr>
          <w:rFonts w:hint="eastAsia" w:ascii="仿宋" w:hAnsi="仿宋" w:eastAsia="仿宋" w:cs="仿宋"/>
          <w:b/>
          <w:color w:val="auto"/>
          <w:szCs w:val="21"/>
          <w:highlight w:val="none"/>
          <w:u w:val="single"/>
          <w:lang w:eastAsia="zh-CN"/>
        </w:rPr>
        <w:t>乙方</w:t>
      </w:r>
      <w:r>
        <w:rPr>
          <w:rFonts w:hint="eastAsia" w:ascii="仿宋" w:hAnsi="仿宋" w:eastAsia="仿宋" w:cs="仿宋"/>
          <w:b/>
          <w:color w:val="auto"/>
          <w:szCs w:val="21"/>
          <w:highlight w:val="none"/>
          <w:u w:val="single"/>
        </w:rPr>
        <w:t>将承担因维修延误给</w:t>
      </w:r>
      <w:r>
        <w:rPr>
          <w:rFonts w:hint="eastAsia" w:ascii="仿宋" w:hAnsi="仿宋" w:eastAsia="仿宋" w:cs="仿宋"/>
          <w:b/>
          <w:color w:val="auto"/>
          <w:szCs w:val="21"/>
          <w:highlight w:val="none"/>
          <w:u w:val="single"/>
          <w:lang w:eastAsia="zh-CN"/>
        </w:rPr>
        <w:t>甲方</w:t>
      </w:r>
      <w:r>
        <w:rPr>
          <w:rFonts w:hint="eastAsia" w:ascii="仿宋" w:hAnsi="仿宋" w:eastAsia="仿宋" w:cs="仿宋"/>
          <w:b/>
          <w:color w:val="auto"/>
          <w:szCs w:val="21"/>
          <w:highlight w:val="none"/>
          <w:u w:val="single"/>
        </w:rPr>
        <w:t>造成的一切损失。</w:t>
      </w:r>
    </w:p>
    <w:p>
      <w:pPr>
        <w:spacing w:line="400" w:lineRule="exact"/>
        <w:ind w:firstLine="399" w:firstLineChars="190"/>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工程质量保修书由</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在工程竣工验收前共同签署，作为施工合同附件，其有效期限至保修期满。</w:t>
      </w:r>
    </w:p>
    <w:p>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(公章)：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(公章)：</w:t>
      </w:r>
      <w:r>
        <w:rPr>
          <w:rFonts w:hint="eastAsia" w:ascii="仿宋" w:hAnsi="仿宋" w:eastAsia="仿宋" w:cs="仿宋"/>
          <w:color w:val="auto"/>
          <w:szCs w:val="21"/>
          <w:highlight w:val="none"/>
          <w:u w:val="single"/>
        </w:rPr>
        <w:t xml:space="preserve">                     </w:t>
      </w:r>
    </w:p>
    <w:p>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  址：</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地  址：</w:t>
      </w:r>
      <w:r>
        <w:rPr>
          <w:rFonts w:hint="eastAsia" w:ascii="仿宋" w:hAnsi="仿宋" w:eastAsia="仿宋" w:cs="仿宋"/>
          <w:color w:val="auto"/>
          <w:szCs w:val="21"/>
          <w:highlight w:val="none"/>
          <w:u w:val="single"/>
        </w:rPr>
        <w:t xml:space="preserve">                           </w:t>
      </w:r>
    </w:p>
    <w:p>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法定代表人(签字)：</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法定代表人(签字)：</w:t>
      </w:r>
      <w:r>
        <w:rPr>
          <w:rFonts w:hint="eastAsia" w:ascii="仿宋" w:hAnsi="仿宋" w:eastAsia="仿宋" w:cs="仿宋"/>
          <w:color w:val="auto"/>
          <w:szCs w:val="21"/>
          <w:highlight w:val="none"/>
          <w:u w:val="single"/>
        </w:rPr>
        <w:t xml:space="preserve">                 </w:t>
      </w:r>
    </w:p>
    <w:p>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委托代理人(签字)：</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委托代理人(签字)：</w:t>
      </w:r>
      <w:r>
        <w:rPr>
          <w:rFonts w:hint="eastAsia" w:ascii="仿宋" w:hAnsi="仿宋" w:eastAsia="仿宋" w:cs="仿宋"/>
          <w:color w:val="auto"/>
          <w:szCs w:val="21"/>
          <w:highlight w:val="none"/>
          <w:u w:val="single"/>
        </w:rPr>
        <w:t xml:space="preserve">                 </w:t>
      </w:r>
    </w:p>
    <w:p>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  话：</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电  话：</w:t>
      </w:r>
      <w:r>
        <w:rPr>
          <w:rFonts w:hint="eastAsia" w:ascii="仿宋" w:hAnsi="仿宋" w:eastAsia="仿宋" w:cs="仿宋"/>
          <w:color w:val="auto"/>
          <w:szCs w:val="21"/>
          <w:highlight w:val="none"/>
          <w:u w:val="single"/>
        </w:rPr>
        <w:t xml:space="preserve">                           </w:t>
      </w:r>
    </w:p>
    <w:p>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传  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传  真：</w:t>
      </w:r>
      <w:r>
        <w:rPr>
          <w:rFonts w:hint="eastAsia" w:ascii="仿宋" w:hAnsi="仿宋" w:eastAsia="仿宋" w:cs="仿宋"/>
          <w:color w:val="auto"/>
          <w:szCs w:val="21"/>
          <w:highlight w:val="none"/>
          <w:u w:val="single"/>
        </w:rPr>
        <w:t xml:space="preserve">                           </w:t>
      </w:r>
    </w:p>
    <w:p>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开户银行：</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开户银行：</w:t>
      </w:r>
      <w:r>
        <w:rPr>
          <w:rFonts w:hint="eastAsia" w:ascii="仿宋" w:hAnsi="仿宋" w:eastAsia="仿宋" w:cs="仿宋"/>
          <w:color w:val="auto"/>
          <w:szCs w:val="21"/>
          <w:highlight w:val="none"/>
          <w:u w:val="single"/>
        </w:rPr>
        <w:t xml:space="preserve">                         </w:t>
      </w:r>
    </w:p>
    <w:p>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账  号</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账  号：</w:t>
      </w:r>
      <w:r>
        <w:rPr>
          <w:rFonts w:hint="eastAsia" w:ascii="仿宋" w:hAnsi="仿宋" w:eastAsia="仿宋" w:cs="仿宋"/>
          <w:color w:val="auto"/>
          <w:szCs w:val="21"/>
          <w:highlight w:val="none"/>
          <w:u w:val="single"/>
        </w:rPr>
        <w:t xml:space="preserve">                           </w:t>
      </w:r>
    </w:p>
    <w:p>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邮政编码：</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邮政编码：</w:t>
      </w:r>
      <w:r>
        <w:rPr>
          <w:rFonts w:hint="eastAsia" w:ascii="仿宋" w:hAnsi="仿宋" w:eastAsia="仿宋" w:cs="仿宋"/>
          <w:color w:val="auto"/>
          <w:szCs w:val="21"/>
          <w:highlight w:val="none"/>
          <w:u w:val="single"/>
        </w:rPr>
        <w:t xml:space="preserve">                         </w:t>
      </w:r>
    </w:p>
    <w:p>
      <w:pPr>
        <w:spacing w:line="400" w:lineRule="exact"/>
        <w:ind w:firstLine="211" w:firstLineChars="100"/>
        <w:rPr>
          <w:rFonts w:hint="eastAsia" w:ascii="仿宋" w:hAnsi="仿宋" w:eastAsia="仿宋" w:cs="仿宋"/>
          <w:color w:val="auto"/>
          <w:sz w:val="24"/>
          <w:szCs w:val="24"/>
          <w:highlight w:val="none"/>
        </w:rPr>
      </w:pPr>
      <w:r>
        <w:rPr>
          <w:rFonts w:hint="eastAsia" w:ascii="仿宋" w:hAnsi="仿宋" w:eastAsia="仿宋" w:cs="仿宋"/>
          <w:b/>
          <w:color w:val="auto"/>
          <w:szCs w:val="21"/>
          <w:highlight w:val="none"/>
        </w:rPr>
        <w:br w:type="page"/>
      </w:r>
      <w:r>
        <w:rPr>
          <w:rFonts w:hint="eastAsia" w:ascii="仿宋" w:hAnsi="仿宋" w:eastAsia="仿宋" w:cs="仿宋"/>
          <w:color w:val="auto"/>
          <w:sz w:val="24"/>
          <w:szCs w:val="24"/>
          <w:highlight w:val="none"/>
        </w:rPr>
        <w:t>附</w:t>
      </w:r>
      <w:bookmarkStart w:id="178" w:name="_Toc296346729"/>
      <w:bookmarkStart w:id="179" w:name="_Toc296891056"/>
      <w:bookmarkStart w:id="180" w:name="_Toc267261699"/>
      <w:bookmarkStart w:id="181" w:name="_Toc296347227"/>
      <w:bookmarkStart w:id="182" w:name="_Toc296944567"/>
      <w:bookmarkStart w:id="183" w:name="_Toc296503228"/>
      <w:bookmarkStart w:id="184" w:name="_Toc296891268"/>
      <w:r>
        <w:rPr>
          <w:rFonts w:hint="eastAsia" w:ascii="仿宋" w:hAnsi="仿宋" w:eastAsia="仿宋" w:cs="仿宋"/>
          <w:color w:val="auto"/>
          <w:sz w:val="24"/>
          <w:szCs w:val="24"/>
          <w:highlight w:val="none"/>
        </w:rPr>
        <w:t>件2：</w:t>
      </w:r>
    </w:p>
    <w:bookmarkEnd w:id="178"/>
    <w:bookmarkEnd w:id="179"/>
    <w:bookmarkEnd w:id="180"/>
    <w:bookmarkEnd w:id="181"/>
    <w:bookmarkEnd w:id="182"/>
    <w:bookmarkEnd w:id="183"/>
    <w:bookmarkEnd w:id="184"/>
    <w:p>
      <w:pPr>
        <w:spacing w:line="360" w:lineRule="auto"/>
        <w:jc w:val="center"/>
        <w:rPr>
          <w:rFonts w:hint="eastAsia" w:ascii="仿宋" w:hAnsi="仿宋" w:eastAsia="仿宋" w:cs="仿宋"/>
          <w:color w:val="auto"/>
          <w:spacing w:val="19"/>
          <w:sz w:val="28"/>
          <w:szCs w:val="28"/>
          <w:highlight w:val="none"/>
        </w:rPr>
      </w:pPr>
      <w:r>
        <w:rPr>
          <w:rFonts w:hint="eastAsia" w:ascii="仿宋" w:hAnsi="仿宋" w:eastAsia="仿宋" w:cs="仿宋"/>
          <w:b/>
          <w:bCs/>
          <w:color w:val="auto"/>
          <w:spacing w:val="19"/>
          <w:sz w:val="28"/>
          <w:szCs w:val="28"/>
          <w:highlight w:val="none"/>
        </w:rPr>
        <w:t>工程建设项目廉政责任书</w:t>
      </w:r>
    </w:p>
    <w:p>
      <w:pPr>
        <w:adjustRightInd w:val="0"/>
        <w:snapToGrid w:val="0"/>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工程项目名称：</w:t>
      </w:r>
      <w:r>
        <w:rPr>
          <w:rFonts w:hint="eastAsia" w:ascii="仿宋" w:hAnsi="仿宋" w:eastAsia="仿宋" w:cs="仿宋"/>
          <w:color w:val="auto"/>
          <w:szCs w:val="21"/>
          <w:highlight w:val="none"/>
          <w:u w:val="single"/>
          <w:lang w:val="en-US" w:eastAsia="zh-CN"/>
        </w:rPr>
        <w:t>省拱宸所戒毒法治基地配套项目标一</w:t>
      </w:r>
      <w:r>
        <w:rPr>
          <w:rFonts w:hint="eastAsia" w:ascii="仿宋" w:hAnsi="仿宋" w:eastAsia="仿宋" w:cs="仿宋"/>
          <w:color w:val="auto"/>
          <w:szCs w:val="21"/>
          <w:highlight w:val="none"/>
          <w:u w:val="single"/>
        </w:rPr>
        <w:t xml:space="preserve"> </w:t>
      </w:r>
    </w:p>
    <w:p>
      <w:pPr>
        <w:adjustRightInd w:val="0"/>
        <w:snapToGrid w:val="0"/>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工程项目地址：</w:t>
      </w:r>
      <w:r>
        <w:rPr>
          <w:rFonts w:hint="eastAsia" w:ascii="仿宋" w:hAnsi="仿宋" w:eastAsia="仿宋" w:cs="仿宋"/>
          <w:bCs/>
          <w:color w:val="auto"/>
          <w:szCs w:val="21"/>
          <w:highlight w:val="none"/>
          <w:u w:val="single"/>
        </w:rPr>
        <w:t>杭州市拱墅区莫干山路1411号</w:t>
      </w:r>
    </w:p>
    <w:p>
      <w:pPr>
        <w:adjustRightInd w:val="0"/>
        <w:snapToGrid w:val="0"/>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建设单位（</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浙江省拱宸强制隔离戒毒所</w:t>
      </w:r>
    </w:p>
    <w:p>
      <w:pPr>
        <w:adjustRightInd w:val="0"/>
        <w:snapToGrid w:val="0"/>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施工单位（</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w:t>
      </w:r>
    </w:p>
    <w:p>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为加强工程建设中的廉政建设，规范工程建设项目承发包双方的各项活动，防止发生各种谋取不正当的利益的违法违纪行为，保护国家、集体和当事人的合法权益，根据国家有关工程建设的法律法规和廉政建设责任制规定，特订立本廉政责任书。</w:t>
      </w:r>
    </w:p>
    <w:p>
      <w:pPr>
        <w:tabs>
          <w:tab w:val="left" w:pos="1665"/>
        </w:tabs>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一、甲乙双方的责任</w:t>
      </w:r>
    </w:p>
    <w:p>
      <w:pPr>
        <w:tabs>
          <w:tab w:val="left" w:pos="0"/>
          <w:tab w:val="left" w:pos="840"/>
          <w:tab w:val="left" w:pos="993"/>
        </w:tabs>
        <w:adjustRightInd w:val="0"/>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（一）应严格遵守国家关于市场准入、项目招标投标、工程建设、施工安装和市场活动等有关法律、法规，相关政策，以及廉政建设的各项规定、</w:t>
      </w:r>
    </w:p>
    <w:p>
      <w:pPr>
        <w:tabs>
          <w:tab w:val="left" w:pos="0"/>
          <w:tab w:val="left" w:pos="840"/>
          <w:tab w:val="left" w:pos="993"/>
        </w:tabs>
        <w:adjustRightInd w:val="0"/>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（二）严格执行建设工程项目承</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发包合同文件，自觉按合同办事。</w:t>
      </w:r>
    </w:p>
    <w:p>
      <w:pPr>
        <w:tabs>
          <w:tab w:val="left" w:pos="0"/>
          <w:tab w:val="left" w:pos="840"/>
          <w:tab w:val="left" w:pos="993"/>
        </w:tabs>
        <w:adjustRightInd w:val="0"/>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（三）业务活动必须坚持公开、公平、公正、诚信、透明的原则（除法律法规另有规定外），不得为获取不正当的利益，损害国家、集体和对方的利益，不得违反工程建设管理、施工安装的规章制度。</w:t>
      </w:r>
    </w:p>
    <w:p>
      <w:pPr>
        <w:tabs>
          <w:tab w:val="left" w:pos="0"/>
          <w:tab w:val="left" w:pos="840"/>
          <w:tab w:val="left" w:pos="993"/>
        </w:tabs>
        <w:adjustRightInd w:val="0"/>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（四）发现对方在业务活动中有违规、违纪、违法行为的，应及时提醒对方，情节严重的，应向其上级主管部门或纪检监察、司法等有关机关举报。</w:t>
      </w:r>
    </w:p>
    <w:p>
      <w:pPr>
        <w:numPr>
          <w:ilvl w:val="0"/>
          <w:numId w:val="24"/>
        </w:numPr>
        <w:tabs>
          <w:tab w:val="left" w:pos="993"/>
        </w:tabs>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的责任</w:t>
      </w:r>
    </w:p>
    <w:p>
      <w:pPr>
        <w:tabs>
          <w:tab w:val="left" w:pos="0"/>
          <w:tab w:val="left" w:pos="851"/>
        </w:tabs>
        <w:adjustRightInd w:val="0"/>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（一）明确</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单位项目负责人为本项目廉政工程建设的</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第一负责人。</w:t>
      </w:r>
    </w:p>
    <w:p>
      <w:pPr>
        <w:tabs>
          <w:tab w:val="left" w:pos="0"/>
        </w:tabs>
        <w:adjustRightInd w:val="0"/>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（二）不准向</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和相关单位索要或接受回扣、礼金、有价证券、贵重物品和好处费、感谢费等。</w:t>
      </w:r>
    </w:p>
    <w:p>
      <w:pPr>
        <w:tabs>
          <w:tab w:val="left" w:pos="0"/>
          <w:tab w:val="left" w:pos="851"/>
        </w:tabs>
        <w:adjustRightInd w:val="0"/>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（三）不准在</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和相关单位报销任何应由</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或个人支付的费用。</w:t>
      </w:r>
    </w:p>
    <w:p>
      <w:pPr>
        <w:tabs>
          <w:tab w:val="left" w:pos="0"/>
        </w:tabs>
        <w:adjustRightInd w:val="0"/>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（四）不准要求、暗示和接受</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和相关单位为个人装修住房、婚丧嫁娶、配偶子女的工作安排以及出国（境）、旅游等提供方便。</w:t>
      </w:r>
    </w:p>
    <w:p>
      <w:pPr>
        <w:tabs>
          <w:tab w:val="left" w:pos="0"/>
          <w:tab w:val="left" w:pos="851"/>
          <w:tab w:val="left" w:pos="1134"/>
        </w:tabs>
        <w:adjustRightInd w:val="0"/>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（五）不准参加</w:t>
      </w:r>
      <w:r>
        <w:rPr>
          <w:rFonts w:hint="eastAsia" w:ascii="仿宋" w:hAnsi="仿宋" w:eastAsia="仿宋" w:cs="仿宋"/>
          <w:color w:val="auto"/>
          <w:szCs w:val="21"/>
          <w:highlight w:val="none"/>
          <w:lang w:val="en-US" w:eastAsia="zh-CN"/>
        </w:rPr>
        <w:t>有</w:t>
      </w:r>
      <w:r>
        <w:rPr>
          <w:rFonts w:hint="eastAsia" w:ascii="仿宋" w:hAnsi="仿宋" w:eastAsia="仿宋" w:cs="仿宋"/>
          <w:color w:val="auto"/>
          <w:szCs w:val="21"/>
          <w:highlight w:val="none"/>
        </w:rPr>
        <w:t>可能影响工程执行公务的</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和相关单位的宴请和健身、娱乐等活动。</w:t>
      </w:r>
    </w:p>
    <w:p>
      <w:pPr>
        <w:tabs>
          <w:tab w:val="left" w:pos="0"/>
        </w:tabs>
        <w:adjustRightInd w:val="0"/>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（六）不准向</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介绍或为配偶、子女、亲属参与同</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项目工程施工合同有关的设备、材料、工程分包、劳务等经济活动。不得以任何理由向</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和相关单位推荐分包单位和要求</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购买项目工程施工合同规定以外的材料、设备等。</w:t>
      </w:r>
    </w:p>
    <w:p>
      <w:pPr>
        <w:adjustRightInd w:val="0"/>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三、</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的责任</w:t>
      </w:r>
    </w:p>
    <w:p>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应与</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保持正常的业务交往，按照有关法律法规和程序开展业务工作，严格执行工程建设的有关方针、政策，尤其是有关建筑施工安装的强制性标准和规范，并遵守以下规定：</w:t>
      </w:r>
    </w:p>
    <w:p>
      <w:pPr>
        <w:numPr>
          <w:ilvl w:val="0"/>
          <w:numId w:val="25"/>
        </w:numPr>
        <w:tabs>
          <w:tab w:val="left" w:pos="0"/>
          <w:tab w:val="left" w:pos="825"/>
        </w:tabs>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明确</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单位的项目负责人为本项目廉政工程建设的第一责任人。</w:t>
      </w:r>
    </w:p>
    <w:p>
      <w:pPr>
        <w:numPr>
          <w:ilvl w:val="0"/>
          <w:numId w:val="25"/>
        </w:numPr>
        <w:tabs>
          <w:tab w:val="left" w:pos="0"/>
          <w:tab w:val="left" w:pos="825"/>
        </w:tabs>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不准以任何理由向</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、相关单位及其工作人员索要、接受或赠送礼金、有价证券、贵重物品和回扣、好处费、感谢费等。</w:t>
      </w:r>
    </w:p>
    <w:p>
      <w:pPr>
        <w:numPr>
          <w:ilvl w:val="0"/>
          <w:numId w:val="25"/>
        </w:numPr>
        <w:tabs>
          <w:tab w:val="left" w:pos="0"/>
          <w:tab w:val="left" w:pos="825"/>
          <w:tab w:val="left" w:pos="1134"/>
        </w:tabs>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不准以任何理由为</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和相关单位报销应由对方或个人支付的费用。</w:t>
      </w:r>
    </w:p>
    <w:p>
      <w:pPr>
        <w:numPr>
          <w:ilvl w:val="0"/>
          <w:numId w:val="25"/>
        </w:numPr>
        <w:tabs>
          <w:tab w:val="left" w:pos="0"/>
          <w:tab w:val="left" w:pos="825"/>
          <w:tab w:val="left" w:pos="1134"/>
        </w:tabs>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不准接受或暗示为</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、相关单位或个人装修住房、婚丧嫁娶、配偶子女的工作安排以及出国（境）、旅游等提供方便。</w:t>
      </w:r>
    </w:p>
    <w:p>
      <w:pPr>
        <w:numPr>
          <w:ilvl w:val="0"/>
          <w:numId w:val="25"/>
        </w:numPr>
        <w:tabs>
          <w:tab w:val="left" w:pos="0"/>
          <w:tab w:val="left" w:pos="1134"/>
        </w:tabs>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不准以任何理由为</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、相关单位或个人组织有可能影响公正执行公务的宴请和健身、娱乐等活动。</w:t>
      </w:r>
    </w:p>
    <w:p>
      <w:pPr>
        <w:tabs>
          <w:tab w:val="left" w:pos="900"/>
        </w:tabs>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四、违约责任</w:t>
      </w:r>
    </w:p>
    <w:p>
      <w:pPr>
        <w:numPr>
          <w:ilvl w:val="0"/>
          <w:numId w:val="26"/>
        </w:numPr>
        <w:tabs>
          <w:tab w:val="left" w:pos="0"/>
          <w:tab w:val="left" w:pos="1134"/>
        </w:tabs>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工作人员有违反本责任书第一、二条责任行为的，按照管理权限，依据有关法律法规和规定给予党纪、政纪处分或组织处理；涉嫌犯罪的，移交司法机关追究刑事责任；给</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单位造成经济损失的应予以赔偿。</w:t>
      </w:r>
    </w:p>
    <w:p>
      <w:pPr>
        <w:numPr>
          <w:ilvl w:val="0"/>
          <w:numId w:val="26"/>
        </w:numPr>
        <w:tabs>
          <w:tab w:val="left" w:pos="0"/>
          <w:tab w:val="left" w:pos="1134"/>
        </w:tabs>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工作人员有违反本责任书第一、三条责任行为的，按照管理权限，依据有关法律法规和规定给予党纪、政纪处分或组织处理；涉嫌犯罪的，移交司法机关追究刑事责任；给</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单位造成经济损失的应予以赔偿。</w:t>
      </w:r>
    </w:p>
    <w:p>
      <w:pPr>
        <w:tabs>
          <w:tab w:val="left" w:pos="0"/>
        </w:tabs>
        <w:adjustRightInd w:val="0"/>
        <w:snapToGrid w:val="0"/>
        <w:spacing w:line="360" w:lineRule="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 xml:space="preserve"> 五、本责任书作为工程施工合同的附件，与工程施工合同具有同等法律效力。经双方签署后立即生效。</w:t>
      </w:r>
    </w:p>
    <w:p>
      <w:pPr>
        <w:adjustRightInd w:val="0"/>
        <w:snapToGrid w:val="0"/>
        <w:spacing w:line="360" w:lineRule="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 xml:space="preserve">    六、本责任书的有效期为双方签署之日起至该工程项目竣工验收合格时止。</w:t>
      </w:r>
    </w:p>
    <w:p>
      <w:pPr>
        <w:tabs>
          <w:tab w:val="left" w:pos="0"/>
        </w:tabs>
        <w:adjustRightInd w:val="0"/>
        <w:snapToGrid w:val="0"/>
        <w:spacing w:line="360" w:lineRule="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 xml:space="preserve">    七、本责任书一式</w:t>
      </w:r>
      <w:r>
        <w:rPr>
          <w:rFonts w:hint="eastAsia" w:ascii="仿宋" w:hAnsi="仿宋" w:eastAsia="仿宋" w:cs="仿宋"/>
          <w:bCs/>
          <w:color w:val="auto"/>
          <w:szCs w:val="21"/>
          <w:highlight w:val="none"/>
          <w:u w:val="single"/>
        </w:rPr>
        <w:t xml:space="preserve"> 捌</w:t>
      </w:r>
      <w:r>
        <w:rPr>
          <w:rFonts w:hint="eastAsia" w:ascii="仿宋" w:hAnsi="仿宋" w:eastAsia="仿宋" w:cs="仿宋"/>
          <w:bCs/>
          <w:color w:val="auto"/>
          <w:szCs w:val="21"/>
          <w:highlight w:val="none"/>
        </w:rPr>
        <w:t>份，由</w:t>
      </w:r>
      <w:r>
        <w:rPr>
          <w:rFonts w:hint="eastAsia" w:ascii="仿宋" w:hAnsi="仿宋" w:eastAsia="仿宋" w:cs="仿宋"/>
          <w:bCs/>
          <w:color w:val="auto"/>
          <w:szCs w:val="21"/>
          <w:highlight w:val="none"/>
          <w:lang w:eastAsia="zh-CN"/>
        </w:rPr>
        <w:t>甲方</w:t>
      </w:r>
      <w:r>
        <w:rPr>
          <w:rFonts w:hint="eastAsia" w:ascii="仿宋" w:hAnsi="仿宋" w:eastAsia="仿宋" w:cs="仿宋"/>
          <w:bCs/>
          <w:color w:val="auto"/>
          <w:szCs w:val="21"/>
          <w:highlight w:val="none"/>
        </w:rPr>
        <w:t>执</w:t>
      </w:r>
      <w:r>
        <w:rPr>
          <w:rFonts w:hint="eastAsia" w:ascii="仿宋" w:hAnsi="仿宋" w:eastAsia="仿宋" w:cs="仿宋"/>
          <w:bCs/>
          <w:color w:val="auto"/>
          <w:szCs w:val="21"/>
          <w:highlight w:val="none"/>
          <w:u w:val="single"/>
        </w:rPr>
        <w:t xml:space="preserve"> 伍 </w:t>
      </w:r>
      <w:r>
        <w:rPr>
          <w:rFonts w:hint="eastAsia" w:ascii="仿宋" w:hAnsi="仿宋" w:eastAsia="仿宋" w:cs="仿宋"/>
          <w:bCs/>
          <w:color w:val="auto"/>
          <w:szCs w:val="21"/>
          <w:highlight w:val="none"/>
        </w:rPr>
        <w:t>份、施工执</w:t>
      </w:r>
      <w:r>
        <w:rPr>
          <w:rFonts w:hint="eastAsia" w:ascii="仿宋" w:hAnsi="仿宋" w:eastAsia="仿宋" w:cs="仿宋"/>
          <w:bCs/>
          <w:color w:val="auto"/>
          <w:szCs w:val="21"/>
          <w:highlight w:val="none"/>
          <w:u w:val="single"/>
        </w:rPr>
        <w:t>贰</w:t>
      </w:r>
      <w:r>
        <w:rPr>
          <w:rFonts w:hint="eastAsia" w:ascii="仿宋" w:hAnsi="仿宋" w:eastAsia="仿宋" w:cs="仿宋"/>
          <w:bCs/>
          <w:color w:val="auto"/>
          <w:szCs w:val="21"/>
          <w:highlight w:val="none"/>
        </w:rPr>
        <w:t>份，监理执</w:t>
      </w:r>
      <w:r>
        <w:rPr>
          <w:rFonts w:hint="eastAsia" w:ascii="仿宋" w:hAnsi="仿宋" w:eastAsia="仿宋" w:cs="仿宋"/>
          <w:bCs/>
          <w:color w:val="auto"/>
          <w:szCs w:val="21"/>
          <w:highlight w:val="none"/>
          <w:u w:val="single"/>
        </w:rPr>
        <w:t>壹</w:t>
      </w:r>
      <w:r>
        <w:rPr>
          <w:rFonts w:hint="eastAsia" w:ascii="仿宋" w:hAnsi="仿宋" w:eastAsia="仿宋" w:cs="仿宋"/>
          <w:bCs/>
          <w:color w:val="auto"/>
          <w:szCs w:val="21"/>
          <w:highlight w:val="none"/>
        </w:rPr>
        <w:t>份。</w:t>
      </w:r>
    </w:p>
    <w:p>
      <w:pPr>
        <w:adjustRightInd w:val="0"/>
        <w:snapToGrid w:val="0"/>
        <w:spacing w:line="360" w:lineRule="auto"/>
        <w:ind w:firstLine="420" w:firstLineChars="200"/>
        <w:rPr>
          <w:rFonts w:hint="eastAsia" w:ascii="仿宋" w:hAnsi="仿宋" w:eastAsia="仿宋" w:cs="仿宋"/>
          <w:color w:val="auto"/>
          <w:szCs w:val="21"/>
          <w:highlight w:val="none"/>
        </w:rPr>
      </w:pPr>
    </w:p>
    <w:p>
      <w:pPr>
        <w:adjustRightInd w:val="0"/>
        <w:snapToGrid w:val="0"/>
        <w:spacing w:line="360" w:lineRule="auto"/>
        <w:ind w:firstLine="420" w:firstLineChars="200"/>
        <w:rPr>
          <w:rFonts w:hint="eastAsia" w:ascii="仿宋" w:hAnsi="仿宋" w:eastAsia="仿宋" w:cs="仿宋"/>
          <w:color w:val="auto"/>
          <w:szCs w:val="21"/>
          <w:highlight w:val="none"/>
        </w:rPr>
      </w:pPr>
    </w:p>
    <w:p>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 xml:space="preserve">单位：（盖章）                   </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 xml:space="preserve">单位（盖章） </w:t>
      </w:r>
    </w:p>
    <w:p>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pPr>
        <w:adjustRightInd w:val="0"/>
        <w:snapToGrid w:val="0"/>
        <w:spacing w:line="360" w:lineRule="auto"/>
        <w:ind w:firstLine="420" w:firstLineChars="200"/>
        <w:rPr>
          <w:rFonts w:hint="eastAsia" w:ascii="仿宋" w:hAnsi="仿宋" w:eastAsia="仿宋" w:cs="仿宋"/>
          <w:color w:val="auto"/>
          <w:szCs w:val="21"/>
          <w:highlight w:val="none"/>
        </w:rPr>
      </w:pPr>
    </w:p>
    <w:p>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法定代表人（盖章）：                 </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法定代表人（盖章）：</w:t>
      </w:r>
    </w:p>
    <w:p>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pPr>
        <w:adjustRightInd w:val="0"/>
        <w:snapToGrid w:val="0"/>
        <w:spacing w:line="360" w:lineRule="auto"/>
        <w:ind w:firstLine="420" w:firstLineChars="200"/>
        <w:rPr>
          <w:rFonts w:hint="eastAsia" w:ascii="仿宋" w:hAnsi="仿宋" w:eastAsia="仿宋" w:cs="仿宋"/>
          <w:color w:val="auto"/>
          <w:szCs w:val="21"/>
          <w:highlight w:val="none"/>
        </w:rPr>
      </w:pPr>
    </w:p>
    <w:p>
      <w:pPr>
        <w:adjustRightInd w:val="0"/>
        <w:snapToGrid w:val="0"/>
        <w:spacing w:line="360" w:lineRule="auto"/>
        <w:ind w:firstLine="420" w:firstLineChars="200"/>
        <w:rPr>
          <w:rFonts w:hint="eastAsia" w:ascii="仿宋" w:hAnsi="仿宋" w:eastAsia="仿宋" w:cs="仿宋"/>
          <w:color w:val="auto"/>
          <w:szCs w:val="21"/>
          <w:highlight w:val="none"/>
        </w:rPr>
      </w:pPr>
    </w:p>
    <w:p>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委托代理人：                        </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 xml:space="preserve"> 委托代理人：                          </w:t>
      </w:r>
    </w:p>
    <w:p>
      <w:pPr>
        <w:adjustRightInd w:val="0"/>
        <w:snapToGrid w:val="0"/>
        <w:spacing w:line="360" w:lineRule="auto"/>
        <w:ind w:firstLine="420" w:firstLineChars="200"/>
        <w:rPr>
          <w:rFonts w:hint="eastAsia" w:ascii="仿宋" w:hAnsi="仿宋" w:eastAsia="仿宋" w:cs="仿宋"/>
          <w:color w:val="auto"/>
          <w:szCs w:val="21"/>
          <w:highlight w:val="none"/>
        </w:rPr>
      </w:pPr>
    </w:p>
    <w:p>
      <w:pPr>
        <w:adjustRightInd w:val="0"/>
        <w:snapToGrid w:val="0"/>
        <w:spacing w:line="360" w:lineRule="auto"/>
        <w:ind w:firstLine="1260" w:firstLineChars="600"/>
        <w:rPr>
          <w:rFonts w:hint="eastAsia" w:ascii="仿宋" w:hAnsi="仿宋" w:eastAsia="仿宋" w:cs="仿宋"/>
          <w:color w:val="auto"/>
          <w:szCs w:val="21"/>
          <w:highlight w:val="none"/>
        </w:rPr>
        <w:sectPr>
          <w:headerReference r:id="rId12" w:type="first"/>
          <w:footerReference r:id="rId15" w:type="first"/>
          <w:headerReference r:id="rId10" w:type="default"/>
          <w:footerReference r:id="rId13" w:type="default"/>
          <w:headerReference r:id="rId11" w:type="even"/>
          <w:footerReference r:id="rId14" w:type="even"/>
          <w:pgSz w:w="11907" w:h="16840"/>
          <w:pgMar w:top="1304" w:right="1304" w:bottom="1304" w:left="1304" w:header="851" w:footer="992" w:gutter="0"/>
          <w:cols w:space="720" w:num="1"/>
          <w:docGrid w:linePitch="312" w:charSpace="0"/>
        </w:sectPr>
      </w:pPr>
      <w:r>
        <w:rPr>
          <w:rFonts w:hint="eastAsia" w:ascii="仿宋" w:hAnsi="仿宋" w:eastAsia="仿宋" w:cs="仿宋"/>
          <w:color w:val="auto"/>
          <w:szCs w:val="21"/>
          <w:highlight w:val="none"/>
        </w:rPr>
        <w:t xml:space="preserve">年     月     日                  </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年     月     日</w:t>
      </w:r>
    </w:p>
    <w:p>
      <w:pPr>
        <w:rPr>
          <w:rFonts w:hint="eastAsia" w:ascii="仿宋" w:hAnsi="仿宋" w:eastAsia="仿宋" w:cs="仿宋"/>
          <w:color w:val="auto"/>
          <w:highlight w:val="none"/>
        </w:rPr>
      </w:pPr>
      <w:r>
        <w:rPr>
          <w:rFonts w:hint="eastAsia" w:ascii="仿宋" w:hAnsi="仿宋" w:eastAsia="仿宋" w:cs="仿宋"/>
          <w:color w:val="auto"/>
          <w:highlight w:val="none"/>
        </w:rPr>
        <w:t>附件3：</w:t>
      </w:r>
    </w:p>
    <w:p>
      <w:pPr>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建筑施工现场安全生产责任书</w:t>
      </w:r>
    </w:p>
    <w:tbl>
      <w:tblPr>
        <w:tblStyle w:val="61"/>
        <w:tblW w:w="8520" w:type="dxa"/>
        <w:jc w:val="center"/>
        <w:tblLayout w:type="fixed"/>
        <w:tblCellMar>
          <w:top w:w="0" w:type="dxa"/>
          <w:left w:w="108" w:type="dxa"/>
          <w:bottom w:w="0" w:type="dxa"/>
          <w:right w:w="108" w:type="dxa"/>
        </w:tblCellMar>
      </w:tblPr>
      <w:tblGrid>
        <w:gridCol w:w="4038"/>
        <w:gridCol w:w="2311"/>
        <w:gridCol w:w="2171"/>
      </w:tblGrid>
      <w:tr>
        <w:tblPrEx>
          <w:tblCellMar>
            <w:top w:w="0" w:type="dxa"/>
            <w:left w:w="108" w:type="dxa"/>
            <w:bottom w:w="0" w:type="dxa"/>
            <w:right w:w="108" w:type="dxa"/>
          </w:tblCellMar>
        </w:tblPrEx>
        <w:trPr>
          <w:trHeight w:val="739" w:hRule="atLeast"/>
          <w:jc w:val="center"/>
        </w:trPr>
        <w:tc>
          <w:tcPr>
            <w:tcW w:w="8520"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工程名称：</w:t>
            </w:r>
            <w:r>
              <w:rPr>
                <w:rFonts w:hint="eastAsia" w:ascii="仿宋" w:hAnsi="仿宋" w:eastAsia="仿宋" w:cs="仿宋"/>
                <w:color w:val="auto"/>
                <w:szCs w:val="21"/>
                <w:highlight w:val="none"/>
                <w:u w:val="single"/>
                <w:lang w:val="en-US" w:eastAsia="zh-CN"/>
              </w:rPr>
              <w:t>省拱宸所戒毒法治基地配套项目标一</w:t>
            </w:r>
            <w:r>
              <w:rPr>
                <w:rFonts w:hint="eastAsia" w:ascii="仿宋" w:hAnsi="仿宋" w:eastAsia="仿宋" w:cs="仿宋"/>
                <w:color w:val="auto"/>
                <w:szCs w:val="21"/>
                <w:highlight w:val="none"/>
                <w:u w:val="single"/>
              </w:rPr>
              <w:t xml:space="preserve"> </w:t>
            </w:r>
          </w:p>
        </w:tc>
      </w:tr>
      <w:tr>
        <w:tblPrEx>
          <w:tblCellMar>
            <w:top w:w="0" w:type="dxa"/>
            <w:left w:w="108" w:type="dxa"/>
            <w:bottom w:w="0" w:type="dxa"/>
            <w:right w:w="108" w:type="dxa"/>
          </w:tblCellMar>
        </w:tblPrEx>
        <w:trPr>
          <w:trHeight w:val="1398" w:hRule="atLeast"/>
          <w:jc w:val="center"/>
        </w:trPr>
        <w:tc>
          <w:tcPr>
            <w:tcW w:w="4038"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施工单位（责任单位）：</w:t>
            </w:r>
          </w:p>
          <w:p>
            <w:pPr>
              <w:spacing w:line="360" w:lineRule="auto"/>
              <w:rPr>
                <w:rFonts w:hint="eastAsia" w:ascii="仿宋" w:hAnsi="仿宋" w:eastAsia="仿宋" w:cs="仿宋"/>
                <w:color w:val="auto"/>
                <w:szCs w:val="21"/>
                <w:highlight w:val="none"/>
              </w:rPr>
            </w:pPr>
          </w:p>
          <w:p>
            <w:pPr>
              <w:spacing w:line="360" w:lineRule="auto"/>
              <w:rPr>
                <w:rFonts w:hint="eastAsia" w:ascii="仿宋" w:hAnsi="仿宋" w:eastAsia="仿宋" w:cs="仿宋"/>
                <w:color w:val="auto"/>
                <w:szCs w:val="21"/>
                <w:highlight w:val="none"/>
              </w:rPr>
            </w:pPr>
          </w:p>
          <w:p>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（公章）</w:t>
            </w:r>
          </w:p>
        </w:tc>
        <w:tc>
          <w:tcPr>
            <w:tcW w:w="4482" w:type="dxa"/>
            <w:gridSpan w:val="2"/>
            <w:tcBorders>
              <w:top w:val="single" w:color="000000" w:sz="4" w:space="0"/>
              <w:left w:val="single" w:color="000000" w:sz="4" w:space="0"/>
              <w:bottom w:val="single" w:color="000000" w:sz="4" w:space="0"/>
              <w:right w:val="single" w:color="000000" w:sz="4" w:space="0"/>
            </w:tcBorders>
          </w:tcPr>
          <w:p>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监理单位（责任单位）：</w:t>
            </w:r>
          </w:p>
          <w:p>
            <w:pPr>
              <w:spacing w:line="360" w:lineRule="auto"/>
              <w:rPr>
                <w:rFonts w:hint="eastAsia" w:ascii="仿宋" w:hAnsi="仿宋" w:eastAsia="仿宋" w:cs="仿宋"/>
                <w:color w:val="auto"/>
                <w:szCs w:val="21"/>
                <w:highlight w:val="none"/>
              </w:rPr>
            </w:pPr>
          </w:p>
          <w:p>
            <w:pPr>
              <w:spacing w:line="360" w:lineRule="auto"/>
              <w:rPr>
                <w:rFonts w:hint="eastAsia" w:ascii="仿宋" w:hAnsi="仿宋" w:eastAsia="仿宋" w:cs="仿宋"/>
                <w:color w:val="auto"/>
                <w:szCs w:val="21"/>
                <w:highlight w:val="none"/>
              </w:rPr>
            </w:pPr>
          </w:p>
          <w:p>
            <w:pPr>
              <w:spacing w:line="360" w:lineRule="auto"/>
              <w:ind w:left="2940" w:hanging="294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（公章）</w:t>
            </w:r>
          </w:p>
        </w:tc>
      </w:tr>
      <w:tr>
        <w:tblPrEx>
          <w:tblCellMar>
            <w:top w:w="0" w:type="dxa"/>
            <w:left w:w="108" w:type="dxa"/>
            <w:bottom w:w="0" w:type="dxa"/>
            <w:right w:w="108" w:type="dxa"/>
          </w:tblCellMar>
        </w:tblPrEx>
        <w:trPr>
          <w:trHeight w:val="1073" w:hRule="atLeast"/>
          <w:jc w:val="center"/>
        </w:trPr>
        <w:tc>
          <w:tcPr>
            <w:tcW w:w="4038"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施工单位法人代表签名：  </w:t>
            </w:r>
          </w:p>
          <w:p>
            <w:pPr>
              <w:spacing w:line="360" w:lineRule="auto"/>
              <w:rPr>
                <w:rFonts w:hint="eastAsia" w:ascii="仿宋" w:hAnsi="仿宋" w:eastAsia="仿宋" w:cs="仿宋"/>
                <w:color w:val="auto"/>
                <w:szCs w:val="21"/>
                <w:highlight w:val="none"/>
              </w:rPr>
            </w:pPr>
          </w:p>
          <w:p>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年  月    日</w:t>
            </w:r>
          </w:p>
        </w:tc>
        <w:tc>
          <w:tcPr>
            <w:tcW w:w="2311"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项目经理签名：</w:t>
            </w:r>
          </w:p>
          <w:p>
            <w:pPr>
              <w:spacing w:line="360" w:lineRule="auto"/>
              <w:rPr>
                <w:rFonts w:hint="eastAsia" w:ascii="仿宋" w:hAnsi="仿宋" w:eastAsia="仿宋" w:cs="仿宋"/>
                <w:color w:val="auto"/>
                <w:szCs w:val="21"/>
                <w:highlight w:val="none"/>
              </w:rPr>
            </w:pPr>
          </w:p>
          <w:p>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年 月  日</w:t>
            </w:r>
          </w:p>
        </w:tc>
        <w:tc>
          <w:tcPr>
            <w:tcW w:w="2171"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安全员签名：</w:t>
            </w:r>
          </w:p>
          <w:p>
            <w:pPr>
              <w:spacing w:line="360" w:lineRule="auto"/>
              <w:rPr>
                <w:rFonts w:hint="eastAsia" w:ascii="仿宋" w:hAnsi="仿宋" w:eastAsia="仿宋" w:cs="仿宋"/>
                <w:color w:val="auto"/>
                <w:szCs w:val="21"/>
                <w:highlight w:val="none"/>
              </w:rPr>
            </w:pPr>
          </w:p>
          <w:p>
            <w:pPr>
              <w:spacing w:line="360" w:lineRule="auto"/>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年  月  日</w:t>
            </w:r>
          </w:p>
        </w:tc>
      </w:tr>
      <w:tr>
        <w:tblPrEx>
          <w:tblCellMar>
            <w:top w:w="0" w:type="dxa"/>
            <w:left w:w="108" w:type="dxa"/>
            <w:bottom w:w="0" w:type="dxa"/>
            <w:right w:w="108" w:type="dxa"/>
          </w:tblCellMar>
        </w:tblPrEx>
        <w:trPr>
          <w:trHeight w:val="1058" w:hRule="atLeast"/>
          <w:jc w:val="center"/>
        </w:trPr>
        <w:tc>
          <w:tcPr>
            <w:tcW w:w="4038" w:type="dxa"/>
            <w:tcBorders>
              <w:top w:val="single" w:color="000000" w:sz="4" w:space="0"/>
              <w:left w:val="single" w:color="000000" w:sz="4" w:space="0"/>
              <w:bottom w:val="single" w:color="000000" w:sz="4" w:space="0"/>
              <w:right w:val="single" w:color="auto" w:sz="4" w:space="0"/>
            </w:tcBorders>
          </w:tcPr>
          <w:p>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监理单位法人代表签名：  </w:t>
            </w:r>
          </w:p>
          <w:p>
            <w:pPr>
              <w:spacing w:line="360" w:lineRule="auto"/>
              <w:rPr>
                <w:rFonts w:hint="eastAsia" w:ascii="仿宋" w:hAnsi="仿宋" w:eastAsia="仿宋" w:cs="仿宋"/>
                <w:color w:val="auto"/>
                <w:szCs w:val="21"/>
                <w:highlight w:val="none"/>
              </w:rPr>
            </w:pPr>
          </w:p>
          <w:p>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年   月    日</w:t>
            </w:r>
          </w:p>
        </w:tc>
        <w:tc>
          <w:tcPr>
            <w:tcW w:w="4482" w:type="dxa"/>
            <w:gridSpan w:val="2"/>
            <w:tcBorders>
              <w:top w:val="single" w:color="000000" w:sz="4" w:space="0"/>
              <w:left w:val="single" w:color="auto" w:sz="4" w:space="0"/>
              <w:bottom w:val="single" w:color="000000" w:sz="4" w:space="0"/>
              <w:right w:val="single" w:color="000000" w:sz="4" w:space="0"/>
            </w:tcBorders>
          </w:tcPr>
          <w:p>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项目总监签名：</w:t>
            </w:r>
          </w:p>
          <w:p>
            <w:pPr>
              <w:spacing w:line="360" w:lineRule="auto"/>
              <w:rPr>
                <w:rFonts w:hint="eastAsia" w:ascii="仿宋" w:hAnsi="仿宋" w:eastAsia="仿宋" w:cs="仿宋"/>
                <w:color w:val="auto"/>
                <w:szCs w:val="21"/>
                <w:highlight w:val="none"/>
              </w:rPr>
            </w:pPr>
          </w:p>
          <w:p>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年 月  日</w:t>
            </w:r>
          </w:p>
        </w:tc>
      </w:tr>
      <w:tr>
        <w:tblPrEx>
          <w:tblCellMar>
            <w:top w:w="0" w:type="dxa"/>
            <w:left w:w="108" w:type="dxa"/>
            <w:bottom w:w="0" w:type="dxa"/>
            <w:right w:w="108" w:type="dxa"/>
          </w:tblCellMar>
        </w:tblPrEx>
        <w:trPr>
          <w:trHeight w:val="1477" w:hRule="atLeast"/>
          <w:jc w:val="center"/>
        </w:trPr>
        <w:tc>
          <w:tcPr>
            <w:tcW w:w="8520" w:type="dxa"/>
            <w:gridSpan w:val="3"/>
            <w:tcBorders>
              <w:top w:val="single" w:color="000000" w:sz="4" w:space="0"/>
              <w:left w:val="single" w:color="000000" w:sz="4" w:space="0"/>
              <w:bottom w:val="single" w:color="000000" w:sz="4" w:space="0"/>
              <w:right w:val="single" w:color="000000" w:sz="4" w:space="0"/>
            </w:tcBorders>
          </w:tcPr>
          <w:p>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建设单位（监督检查单位）：</w:t>
            </w:r>
          </w:p>
          <w:p>
            <w:pPr>
              <w:spacing w:line="360" w:lineRule="auto"/>
              <w:rPr>
                <w:rFonts w:hint="eastAsia" w:ascii="仿宋" w:hAnsi="仿宋" w:eastAsia="仿宋" w:cs="仿宋"/>
                <w:color w:val="auto"/>
                <w:szCs w:val="21"/>
                <w:highlight w:val="none"/>
              </w:rPr>
            </w:pPr>
          </w:p>
          <w:p>
            <w:pPr>
              <w:spacing w:line="360" w:lineRule="auto"/>
              <w:ind w:left="1552" w:leftChars="739" w:firstLine="1890" w:firstLineChars="9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（公章）</w:t>
            </w:r>
          </w:p>
          <w:p>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年       月      日</w:t>
            </w:r>
          </w:p>
        </w:tc>
      </w:tr>
    </w:tbl>
    <w:p>
      <w:pPr>
        <w:adjustRightInd w:val="0"/>
        <w:snapToGrid w:val="0"/>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为加强建筑工程的安全监督管理、维护建筑施工现场的正常秩序、确保施工安全和工程质量，根据《中华人民共和国建筑法》、《中华人民共和国安全生产法》和《建设工程安全生产管理条例》及《浙江省建筑业管理条例》等制定本安全质量责任书。要求施工单位与监理单位在工程施工过程中严格遵守，认真履行责任。</w:t>
      </w:r>
    </w:p>
    <w:p>
      <w:pPr>
        <w:adjustRightInd w:val="0"/>
        <w:snapToGrid w:val="0"/>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本责任书具体要求如下：</w:t>
      </w:r>
    </w:p>
    <w:p>
      <w:pPr>
        <w:adjustRightInd w:val="0"/>
        <w:snapToGrid w:val="0"/>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要认真贯彻“安全第一、预防为主”综合治理的方针，遵守《中华人民共和国安全生产法》、《建设工程安全生产管理条例》等相关法律法规，严格按照JGJ59—99《建筑施工安全检查标准》执行，明确以公司主要负责人为建筑施工现场安全生产第一责任人，建立健全生产管理责任制。逐级签定安全责任书、明确各自职责，并付诸实施，防止伤亡和其他安全事故的发生。</w:t>
      </w:r>
    </w:p>
    <w:p>
      <w:pPr>
        <w:adjustRightInd w:val="0"/>
        <w:snapToGrid w:val="0"/>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二、施工单位必须做到以下安全生产管理工作：</w:t>
      </w:r>
    </w:p>
    <w:p>
      <w:pPr>
        <w:adjustRightInd w:val="0"/>
        <w:snapToGrid w:val="0"/>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1、施工单位负责落实安全生产责任制和各项安全生产规章制度，操作规程，建立健全工程项目的安全保证体系，做好安全台账。</w:t>
      </w:r>
    </w:p>
    <w:p>
      <w:pPr>
        <w:adjustRightInd w:val="0"/>
        <w:snapToGrid w:val="0"/>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2、施工单位负责建立与承建工程相适应的现场安全管理机构，配备足够的专职安全管理人员；项目经理、安全员应经建设行政主管部门安全管理能力考核合格、持证上岗；</w:t>
      </w:r>
    </w:p>
    <w:p>
      <w:pPr>
        <w:adjustRightInd w:val="0"/>
        <w:snapToGrid w:val="0"/>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3、施工单位必须按照经审核批准的施工组织设计或专项施工方案组织施工；</w:t>
      </w:r>
    </w:p>
    <w:p>
      <w:pPr>
        <w:adjustRightInd w:val="0"/>
        <w:snapToGrid w:val="0"/>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4、施工单位负责组织施工现场开展安全生产活动，按规定对在建工程进行定期和专项的安全检查，并对工人进行三级安全教育和安全技术交底。</w:t>
      </w:r>
    </w:p>
    <w:p>
      <w:pPr>
        <w:adjustRightInd w:val="0"/>
        <w:snapToGrid w:val="0"/>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5、施工现场作业人员必须经培训合格上岗，且至少每年接受一次安全生产培训考核；特种作业人员持《特种作业操作证》上岗。</w:t>
      </w:r>
    </w:p>
    <w:p>
      <w:pPr>
        <w:adjustRightInd w:val="0"/>
        <w:snapToGrid w:val="0"/>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6、施工单位在工程开工前应制定工程项目施工安全事故应急救援预案并报监理备案，发生事故后，应按规定向建设行政主管部门及其他有关部门报告；</w:t>
      </w:r>
    </w:p>
    <w:p>
      <w:pPr>
        <w:tabs>
          <w:tab w:val="left" w:pos="2688"/>
        </w:tabs>
        <w:adjustRightInd w:val="0"/>
        <w:snapToGrid w:val="0"/>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7、施工单位在工程开工前，须根据本项目的特点，针对施工过程中危险性较大的施工作业点、施工作业面确定施工安全的重大危险源，并制定监控办法。监控办法应经企业技术负责人审批后报监理单位、建设单位审核批准实施。</w:t>
      </w:r>
    </w:p>
    <w:p>
      <w:pPr>
        <w:adjustRightInd w:val="0"/>
        <w:snapToGrid w:val="0"/>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8、凡是在建设工程施工现场使用的起重机械设备和整体提升脚手架、摸板等自升式架设设施应在法定检测机构检测合格后30日内，持有关资料到建设工程施工安全监督机构进行登记，并报监理备案。</w:t>
      </w:r>
    </w:p>
    <w:p>
      <w:pPr>
        <w:adjustRightInd w:val="0"/>
        <w:snapToGrid w:val="0"/>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9、深基坑、大型钢结构吊装、地下暗挖、高大模板等危险性较大的工程的专项施工方案应按相关规定经专家论证、审查。并严格按经论证、审查合格后的专项施工方案组织实施，相关资料报监理备案。</w:t>
      </w:r>
    </w:p>
    <w:p>
      <w:pPr>
        <w:adjustRightInd w:val="0"/>
        <w:snapToGrid w:val="0"/>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10、施工现场扬尘治理和文明施工必须符合“杭州市文明工地创建标准”的相关要求。</w:t>
      </w:r>
    </w:p>
    <w:p>
      <w:pPr>
        <w:adjustRightInd w:val="0"/>
        <w:snapToGrid w:val="0"/>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三、监理单位应当做到以下安全生产监督管理工作：</w:t>
      </w:r>
    </w:p>
    <w:p>
      <w:pPr>
        <w:adjustRightInd w:val="0"/>
        <w:snapToGrid w:val="0"/>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1、工程监理单位应当审查施工组织中的安全技术措施或者专项施工方案是否符合工程建设强制性标准。对于不符合安全要求或存在隐患的，须及时函告施工单位，责令其整改。</w:t>
      </w:r>
    </w:p>
    <w:p>
      <w:pPr>
        <w:adjustRightInd w:val="0"/>
        <w:snapToGrid w:val="0"/>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2、监理单位在实施监理过程中，发现存在安全事故隐患的，应当要求施工单位整改；情况严重的，应当要求施工单位暂时停止施工，并及时报告建设单位，施工单位拒不整改或者不停止施工的，监理单位应当及时向有关主管部门汇报。</w:t>
      </w:r>
    </w:p>
    <w:p>
      <w:pPr>
        <w:adjustRightInd w:val="0"/>
        <w:snapToGrid w:val="0"/>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3、监理单位应当按照法律、法规和工程建设强制性标准实施监理，履行监理职责，监督施工单位做好安全管理工作，对是施工方上报的安全台账和各项安全专项方案等资料进行备案，对工程项目的安全生产承担监理责任。</w:t>
      </w:r>
    </w:p>
    <w:p>
      <w:pPr>
        <w:adjustRightInd w:val="0"/>
        <w:snapToGrid w:val="0"/>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四、对违反本责任书所规定责任的，按国家相关法律，法规的规定予以处罚；构成犯罪的，依法追究刑事责任。</w:t>
      </w:r>
    </w:p>
    <w:p>
      <w:pPr>
        <w:adjustRightInd w:val="0"/>
        <w:snapToGrid w:val="0"/>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该责任书从签字之日起生效，有效期至工程竣工验收之日结束。</w:t>
      </w:r>
    </w:p>
    <w:p>
      <w:pPr>
        <w:pStyle w:val="30"/>
        <w:spacing w:line="360" w:lineRule="auto"/>
        <w:ind w:firstLine="420" w:firstLineChars="200"/>
        <w:rPr>
          <w:rFonts w:hint="eastAsia" w:ascii="仿宋" w:hAnsi="仿宋" w:eastAsia="仿宋" w:cs="仿宋"/>
          <w:color w:val="auto"/>
          <w:sz w:val="21"/>
          <w:szCs w:val="21"/>
          <w:highlight w:val="none"/>
          <w:u w:val="single"/>
        </w:rPr>
        <w:sectPr>
          <w:pgSz w:w="11907" w:h="16840"/>
          <w:pgMar w:top="1304" w:right="1304" w:bottom="1304" w:left="1304" w:header="851" w:footer="992" w:gutter="0"/>
          <w:cols w:space="720" w:num="1"/>
          <w:docGrid w:linePitch="312" w:charSpace="0"/>
        </w:sectPr>
      </w:pPr>
      <w:r>
        <w:rPr>
          <w:rFonts w:hint="eastAsia" w:ascii="仿宋" w:hAnsi="仿宋" w:eastAsia="仿宋" w:cs="仿宋"/>
          <w:color w:val="auto"/>
          <w:sz w:val="21"/>
          <w:szCs w:val="21"/>
          <w:highlight w:val="none"/>
        </w:rPr>
        <w:t>责任书份数约定份数：</w:t>
      </w:r>
      <w:r>
        <w:rPr>
          <w:rFonts w:hint="eastAsia" w:ascii="仿宋" w:hAnsi="仿宋" w:eastAsia="仿宋" w:cs="仿宋"/>
          <w:color w:val="auto"/>
          <w:sz w:val="21"/>
          <w:szCs w:val="21"/>
          <w:highlight w:val="none"/>
          <w:u w:val="single"/>
        </w:rPr>
        <w:t>一式捌份，建设执伍份、施工执贰份，监理执壹份。</w:t>
      </w:r>
    </w:p>
    <w:p>
      <w:pPr>
        <w:rPr>
          <w:rFonts w:hint="eastAsia" w:ascii="仿宋" w:hAnsi="仿宋" w:eastAsia="仿宋" w:cs="仿宋"/>
          <w:color w:val="auto"/>
          <w:highlight w:val="none"/>
        </w:rPr>
      </w:pPr>
      <w:r>
        <w:rPr>
          <w:rFonts w:hint="eastAsia" w:ascii="仿宋" w:hAnsi="仿宋" w:eastAsia="仿宋" w:cs="仿宋"/>
          <w:color w:val="auto"/>
          <w:highlight w:val="none"/>
        </w:rPr>
        <w:t>附件4：</w:t>
      </w:r>
    </w:p>
    <w:p>
      <w:pPr>
        <w:tabs>
          <w:tab w:val="left" w:pos="8505"/>
        </w:tabs>
        <w:spacing w:line="360" w:lineRule="auto"/>
        <w:ind w:right="116"/>
        <w:jc w:val="center"/>
        <w:rPr>
          <w:rFonts w:hint="eastAsia" w:ascii="仿宋" w:hAnsi="仿宋" w:eastAsia="仿宋" w:cs="仿宋"/>
          <w:b/>
          <w:bCs/>
          <w:color w:val="auto"/>
          <w:spacing w:val="1"/>
          <w:sz w:val="28"/>
          <w:szCs w:val="28"/>
          <w:highlight w:val="none"/>
        </w:rPr>
      </w:pPr>
    </w:p>
    <w:p>
      <w:pPr>
        <w:tabs>
          <w:tab w:val="left" w:pos="8505"/>
        </w:tabs>
        <w:spacing w:line="360" w:lineRule="auto"/>
        <w:ind w:right="116"/>
        <w:jc w:val="center"/>
        <w:rPr>
          <w:rFonts w:hint="eastAsia" w:ascii="仿宋" w:hAnsi="仿宋" w:eastAsia="仿宋" w:cs="仿宋"/>
          <w:b/>
          <w:bCs/>
          <w:color w:val="auto"/>
          <w:spacing w:val="1"/>
          <w:sz w:val="28"/>
          <w:szCs w:val="28"/>
          <w:highlight w:val="none"/>
        </w:rPr>
      </w:pPr>
    </w:p>
    <w:p>
      <w:pPr>
        <w:tabs>
          <w:tab w:val="left" w:pos="8505"/>
        </w:tabs>
        <w:spacing w:line="360" w:lineRule="auto"/>
        <w:ind w:right="116"/>
        <w:jc w:val="center"/>
        <w:rPr>
          <w:rFonts w:hint="eastAsia" w:ascii="仿宋" w:hAnsi="仿宋" w:eastAsia="仿宋" w:cs="仿宋"/>
          <w:b/>
          <w:bCs/>
          <w:color w:val="auto"/>
          <w:spacing w:val="1"/>
          <w:sz w:val="28"/>
          <w:szCs w:val="28"/>
          <w:highlight w:val="none"/>
        </w:rPr>
      </w:pPr>
      <w:r>
        <w:rPr>
          <w:rFonts w:hint="eastAsia" w:ascii="仿宋" w:hAnsi="仿宋" w:eastAsia="仿宋" w:cs="仿宋"/>
          <w:b/>
          <w:bCs/>
          <w:color w:val="auto"/>
          <w:spacing w:val="1"/>
          <w:sz w:val="28"/>
          <w:szCs w:val="28"/>
          <w:highlight w:val="none"/>
        </w:rPr>
        <w:t>承诺书</w:t>
      </w:r>
    </w:p>
    <w:p>
      <w:pPr>
        <w:pStyle w:val="3"/>
        <w:rPr>
          <w:rFonts w:hint="eastAsia" w:ascii="仿宋" w:hAnsi="仿宋" w:eastAsia="仿宋" w:cs="仿宋"/>
          <w:color w:val="auto"/>
          <w:highlight w:val="none"/>
        </w:rPr>
      </w:pPr>
    </w:p>
    <w:p>
      <w:pPr>
        <w:tabs>
          <w:tab w:val="left" w:pos="8505"/>
        </w:tabs>
        <w:snapToGrid w:val="0"/>
        <w:spacing w:line="360" w:lineRule="auto"/>
        <w:ind w:firstLine="424" w:firstLineChars="200"/>
        <w:jc w:val="left"/>
        <w:rPr>
          <w:rFonts w:hint="eastAsia" w:ascii="仿宋" w:hAnsi="仿宋" w:eastAsia="仿宋" w:cs="仿宋"/>
          <w:color w:val="auto"/>
          <w:spacing w:val="1"/>
          <w:szCs w:val="21"/>
          <w:highlight w:val="none"/>
        </w:rPr>
      </w:pPr>
      <w:r>
        <w:rPr>
          <w:rFonts w:hint="eastAsia" w:ascii="仿宋" w:hAnsi="仿宋" w:eastAsia="仿宋" w:cs="仿宋"/>
          <w:color w:val="auto"/>
          <w:spacing w:val="1"/>
          <w:szCs w:val="21"/>
          <w:highlight w:val="none"/>
        </w:rPr>
        <w:t>为进一步严肃施工管理期间人员车辆和安全生产相关纪律,本单位现作出如下承诺：</w:t>
      </w:r>
    </w:p>
    <w:p>
      <w:pPr>
        <w:snapToGrid w:val="0"/>
        <w:spacing w:line="360" w:lineRule="auto"/>
        <w:ind w:firstLine="422" w:firstLineChars="200"/>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一、施工现场管理要求</w:t>
      </w:r>
    </w:p>
    <w:p>
      <w:pPr>
        <w:numPr>
          <w:ilvl w:val="0"/>
          <w:numId w:val="27"/>
        </w:numPr>
        <w:snapToGrid w:val="0"/>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工具管理：施工前统计好施工工具，制作工具清单，进入施工前由门岗管理人员统一清点登记，施工结束后门岗管理人员再次清点后带出</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保证当日施工结束后施工现场无工具滞留</w:t>
      </w:r>
      <w:r>
        <w:rPr>
          <w:rFonts w:hint="eastAsia" w:ascii="仿宋" w:hAnsi="仿宋" w:eastAsia="仿宋" w:cs="仿宋"/>
          <w:color w:val="auto"/>
          <w:szCs w:val="21"/>
          <w:highlight w:val="none"/>
        </w:rPr>
        <w:t>。</w:t>
      </w:r>
    </w:p>
    <w:p>
      <w:pPr>
        <w:numPr>
          <w:ilvl w:val="0"/>
          <w:numId w:val="27"/>
        </w:numPr>
        <w:snapToGrid w:val="0"/>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施工人员管理：施工前应清点施工人员，施工结束后再次核对人数</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保证当日施工结束后无人员滞留</w:t>
      </w:r>
      <w:r>
        <w:rPr>
          <w:rFonts w:hint="eastAsia" w:ascii="仿宋" w:hAnsi="仿宋" w:eastAsia="仿宋" w:cs="仿宋"/>
          <w:color w:val="auto"/>
          <w:szCs w:val="21"/>
          <w:highlight w:val="none"/>
        </w:rPr>
        <w:t>。</w:t>
      </w:r>
    </w:p>
    <w:p>
      <w:pPr>
        <w:numPr>
          <w:ilvl w:val="0"/>
          <w:numId w:val="27"/>
        </w:numPr>
        <w:snapToGrid w:val="0"/>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车辆管理：特种车辆，普通车辆要求当天进出，不得停留厂内。运输配件及工具的电动三轮车、手推车必须停靠管理区内指定位置，上锁管理，钥匙由现场管理人员</w:t>
      </w:r>
      <w:r>
        <w:rPr>
          <w:rFonts w:hint="eastAsia" w:ascii="仿宋" w:hAnsi="仿宋" w:eastAsia="仿宋" w:cs="仿宋"/>
          <w:color w:val="auto"/>
          <w:szCs w:val="21"/>
          <w:highlight w:val="none"/>
          <w:lang w:val="en-US" w:eastAsia="zh-CN"/>
        </w:rPr>
        <w:t>妥善</w:t>
      </w:r>
      <w:r>
        <w:rPr>
          <w:rFonts w:hint="eastAsia" w:ascii="仿宋" w:hAnsi="仿宋" w:eastAsia="仿宋" w:cs="仿宋"/>
          <w:color w:val="auto"/>
          <w:szCs w:val="21"/>
          <w:highlight w:val="none"/>
        </w:rPr>
        <w:t>保管。</w:t>
      </w:r>
    </w:p>
    <w:p>
      <w:pPr>
        <w:numPr>
          <w:ilvl w:val="0"/>
          <w:numId w:val="27"/>
        </w:numPr>
        <w:snapToGrid w:val="0"/>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施工要求：隐蔽工程施工需及时通知</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项目管理人员，拍照留底，做好记录</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经</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项目管理人员</w:t>
      </w:r>
      <w:r>
        <w:rPr>
          <w:rFonts w:hint="eastAsia" w:ascii="仿宋" w:hAnsi="仿宋" w:eastAsia="仿宋" w:cs="仿宋"/>
          <w:color w:val="auto"/>
          <w:szCs w:val="21"/>
          <w:highlight w:val="none"/>
          <w:lang w:val="en-US" w:eastAsia="zh-CN"/>
        </w:rPr>
        <w:t>同意后开始/继续施工</w:t>
      </w:r>
      <w:r>
        <w:rPr>
          <w:rFonts w:hint="eastAsia" w:ascii="仿宋" w:hAnsi="仿宋" w:eastAsia="仿宋" w:cs="仿宋"/>
          <w:color w:val="auto"/>
          <w:szCs w:val="21"/>
          <w:highlight w:val="none"/>
        </w:rPr>
        <w:t>。</w:t>
      </w:r>
    </w:p>
    <w:p>
      <w:pPr>
        <w:numPr>
          <w:ilvl w:val="0"/>
          <w:numId w:val="27"/>
        </w:numPr>
        <w:snapToGrid w:val="0"/>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凡涉及中午午休（12点至13点半）以及夜间21点之后的施工时，须注意控制好噪音，以免影响他人休息。</w:t>
      </w:r>
    </w:p>
    <w:p>
      <w:pPr>
        <w:snapToGrid w:val="0"/>
        <w:spacing w:line="360" w:lineRule="auto"/>
        <w:ind w:firstLine="422" w:firstLineChars="200"/>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二、</w:t>
      </w:r>
      <w:r>
        <w:rPr>
          <w:rFonts w:hint="eastAsia" w:ascii="仿宋" w:hAnsi="仿宋" w:eastAsia="仿宋" w:cs="仿宋"/>
          <w:b/>
          <w:bCs/>
          <w:color w:val="auto"/>
          <w:szCs w:val="21"/>
          <w:highlight w:val="none"/>
          <w:lang w:eastAsia="zh-CN"/>
        </w:rPr>
        <w:t>甲方</w:t>
      </w:r>
      <w:r>
        <w:rPr>
          <w:rFonts w:hint="eastAsia" w:ascii="仿宋" w:hAnsi="仿宋" w:eastAsia="仿宋" w:cs="仿宋"/>
          <w:b/>
          <w:bCs/>
          <w:color w:val="auto"/>
          <w:szCs w:val="21"/>
          <w:highlight w:val="none"/>
        </w:rPr>
        <w:t>管理区安全要求</w:t>
      </w:r>
    </w:p>
    <w:p>
      <w:pPr>
        <w:numPr>
          <w:ilvl w:val="0"/>
          <w:numId w:val="28"/>
        </w:numPr>
        <w:snapToGrid w:val="0"/>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严禁携带违禁品及未经审批的违规品、危险品。禁止私自与管理区戒毒人员接触，禁止为管理区戒毒人员传递、捎带物品、信息。</w:t>
      </w:r>
    </w:p>
    <w:p>
      <w:pPr>
        <w:numPr>
          <w:ilvl w:val="0"/>
          <w:numId w:val="28"/>
        </w:numPr>
        <w:snapToGrid w:val="0"/>
        <w:spacing w:line="360" w:lineRule="auto"/>
        <w:ind w:firstLine="424" w:firstLineChars="200"/>
        <w:jc w:val="left"/>
        <w:rPr>
          <w:rFonts w:hint="eastAsia" w:ascii="仿宋" w:hAnsi="仿宋" w:eastAsia="仿宋" w:cs="仿宋"/>
          <w:color w:val="auto"/>
          <w:szCs w:val="21"/>
          <w:highlight w:val="none"/>
        </w:rPr>
      </w:pPr>
      <w:r>
        <w:rPr>
          <w:rFonts w:hint="eastAsia" w:ascii="仿宋" w:hAnsi="仿宋" w:eastAsia="仿宋" w:cs="仿宋"/>
          <w:color w:val="auto"/>
          <w:spacing w:val="1"/>
          <w:szCs w:val="21"/>
          <w:highlight w:val="none"/>
        </w:rPr>
        <w:t>施工人员不得在戒毒所任何区域</w:t>
      </w:r>
      <w:r>
        <w:rPr>
          <w:rFonts w:hint="eastAsia" w:ascii="仿宋" w:hAnsi="仿宋" w:eastAsia="仿宋" w:cs="仿宋"/>
          <w:color w:val="auto"/>
          <w:spacing w:val="1"/>
          <w:szCs w:val="21"/>
          <w:highlight w:val="none"/>
          <w:lang w:val="en-US" w:eastAsia="zh-CN"/>
        </w:rPr>
        <w:t>有</w:t>
      </w:r>
      <w:r>
        <w:rPr>
          <w:rFonts w:hint="eastAsia" w:ascii="仿宋" w:hAnsi="仿宋" w:eastAsia="仿宋" w:cs="仿宋"/>
          <w:color w:val="auto"/>
          <w:spacing w:val="1"/>
          <w:szCs w:val="21"/>
          <w:highlight w:val="none"/>
        </w:rPr>
        <w:t>拍照、摄像等任何信息记录的行为。</w:t>
      </w:r>
    </w:p>
    <w:p>
      <w:pPr>
        <w:numPr>
          <w:ilvl w:val="0"/>
          <w:numId w:val="28"/>
        </w:numPr>
        <w:snapToGrid w:val="0"/>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因施工造成</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其他设施损坏的，应及时维修完整并承担相关费用。</w:t>
      </w:r>
    </w:p>
    <w:p>
      <w:pPr>
        <w:numPr>
          <w:ilvl w:val="0"/>
          <w:numId w:val="28"/>
        </w:numPr>
        <w:snapToGrid w:val="0"/>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违反有关</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所内管理规定和要求的处理办法：人员违反上述内容之规定的，第1次给予所属口头警告并扣保证金1000元；第2次扣保证金2000元，并将该施工人员列入黑名单，禁止进入管理区内施工。</w:t>
      </w:r>
    </w:p>
    <w:p>
      <w:pPr>
        <w:spacing w:line="360" w:lineRule="auto"/>
        <w:jc w:val="left"/>
        <w:rPr>
          <w:rFonts w:hint="eastAsia" w:ascii="仿宋" w:hAnsi="仿宋" w:eastAsia="仿宋" w:cs="仿宋"/>
          <w:color w:val="auto"/>
          <w:szCs w:val="21"/>
          <w:highlight w:val="none"/>
        </w:rPr>
      </w:pPr>
    </w:p>
    <w:p>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pPr>
        <w:spacing w:line="360" w:lineRule="auto"/>
        <w:ind w:firstLine="5670" w:firstLineChars="27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承诺人： </w:t>
      </w:r>
    </w:p>
    <w:p>
      <w:pPr>
        <w:jc w:val="right"/>
        <w:rPr>
          <w:rFonts w:hint="eastAsia" w:ascii="仿宋" w:hAnsi="仿宋" w:eastAsia="仿宋" w:cs="仿宋"/>
          <w:color w:val="auto"/>
          <w:highlight w:val="none"/>
        </w:rPr>
      </w:pPr>
      <w:r>
        <w:rPr>
          <w:rFonts w:hint="eastAsia" w:ascii="仿宋" w:hAnsi="仿宋" w:eastAsia="仿宋" w:cs="仿宋"/>
          <w:color w:val="auto"/>
          <w:szCs w:val="21"/>
          <w:highlight w:val="none"/>
        </w:rPr>
        <w:t xml:space="preserve">              承诺时间：202</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年  月   日</w:t>
      </w:r>
    </w:p>
    <w:p>
      <w:pPr>
        <w:jc w:val="right"/>
        <w:rPr>
          <w:rFonts w:hint="eastAsia" w:ascii="仿宋" w:hAnsi="仿宋" w:eastAsia="仿宋" w:cs="仿宋"/>
          <w:color w:val="auto"/>
          <w:highlight w:val="none"/>
        </w:rPr>
      </w:pPr>
    </w:p>
    <w:p>
      <w:pPr>
        <w:rPr>
          <w:rFonts w:hint="eastAsia" w:ascii="仿宋" w:hAnsi="仿宋" w:eastAsia="仿宋" w:cs="仿宋"/>
          <w:color w:val="auto"/>
          <w:highlight w:val="none"/>
        </w:rPr>
      </w:pPr>
    </w:p>
    <w:p>
      <w:pPr>
        <w:pageBreakBefore w:val="0"/>
        <w:widowControl w:val="0"/>
        <w:kinsoku/>
        <w:wordWrap/>
        <w:overflowPunct/>
        <w:topLinePunct w:val="0"/>
        <w:autoSpaceDE/>
        <w:autoSpaceDN/>
        <w:bidi w:val="0"/>
        <w:adjustRightInd/>
        <w:snapToGrid/>
        <w:spacing w:line="240" w:lineRule="auto"/>
        <w:jc w:val="right"/>
        <w:textAlignment w:val="auto"/>
        <w:rPr>
          <w:rFonts w:hint="eastAsia" w:ascii="仿宋" w:hAnsi="仿宋" w:eastAsia="仿宋" w:cs="仿宋"/>
          <w:color w:val="auto"/>
          <w:sz w:val="21"/>
          <w:szCs w:val="21"/>
          <w:highlight w:val="none"/>
          <w:lang w:val="en-US"/>
        </w:rPr>
      </w:pPr>
    </w:p>
    <w:p>
      <w:pPr>
        <w:pageBreakBefore w:val="0"/>
        <w:widowControl w:val="0"/>
        <w:kinsoku/>
        <w:wordWrap/>
        <w:overflowPunct/>
        <w:topLinePunct w:val="0"/>
        <w:autoSpaceDE/>
        <w:autoSpaceDN/>
        <w:bidi w:val="0"/>
        <w:adjustRightInd/>
        <w:snapToGrid/>
        <w:spacing w:line="240" w:lineRule="auto"/>
        <w:jc w:val="right"/>
        <w:textAlignment w:val="auto"/>
        <w:rPr>
          <w:rFonts w:hint="eastAsia" w:ascii="仿宋" w:hAnsi="仿宋" w:eastAsia="仿宋" w:cs="仿宋"/>
          <w:color w:val="auto"/>
          <w:highlight w:val="none"/>
          <w:lang w:val="en-US"/>
        </w:rPr>
      </w:pPr>
    </w:p>
    <w:p>
      <w:pPr>
        <w:autoSpaceDN w:val="0"/>
        <w:snapToGrid w:val="0"/>
        <w:spacing w:line="360" w:lineRule="auto"/>
        <w:ind w:left="238"/>
        <w:jc w:val="center"/>
        <w:outlineLvl w:val="0"/>
        <w:rPr>
          <w:rFonts w:hint="eastAsia" w:ascii="仿宋" w:hAnsi="仿宋" w:eastAsia="仿宋" w:cs="宋体"/>
          <w:b/>
          <w:color w:val="auto"/>
          <w:sz w:val="32"/>
          <w:szCs w:val="32"/>
          <w:highlight w:val="none"/>
        </w:rPr>
      </w:pPr>
      <w:r>
        <w:rPr>
          <w:rFonts w:hint="eastAsia" w:ascii="仿宋" w:hAnsi="仿宋" w:eastAsia="仿宋" w:cs="仿宋"/>
          <w:bCs/>
          <w:color w:val="auto"/>
          <w:sz w:val="24"/>
          <w:szCs w:val="24"/>
          <w:highlight w:val="none"/>
        </w:rPr>
        <w:br w:type="page"/>
      </w:r>
      <w:bookmarkStart w:id="185" w:name="_Toc351203642"/>
      <w:bookmarkEnd w:id="185"/>
      <w:r>
        <w:rPr>
          <w:rFonts w:hint="eastAsia" w:ascii="仿宋" w:hAnsi="仿宋" w:eastAsia="仿宋" w:cs="宋体"/>
          <w:b/>
          <w:color w:val="auto"/>
          <w:sz w:val="32"/>
          <w:szCs w:val="32"/>
          <w:highlight w:val="none"/>
        </w:rPr>
        <w:t>第六章 响应文件格式</w:t>
      </w:r>
      <w:bookmarkEnd w:id="99"/>
    </w:p>
    <w:p>
      <w:pPr>
        <w:autoSpaceDN w:val="0"/>
        <w:snapToGrid w:val="0"/>
        <w:spacing w:line="360" w:lineRule="auto"/>
        <w:rPr>
          <w:rFonts w:ascii="仿宋" w:hAnsi="仿宋" w:eastAsia="仿宋" w:cs="宋体"/>
          <w:color w:val="auto"/>
          <w:sz w:val="24"/>
          <w:szCs w:val="24"/>
          <w:highlight w:val="none"/>
        </w:rPr>
      </w:pPr>
    </w:p>
    <w:p>
      <w:pPr>
        <w:keepNext/>
        <w:keepLines/>
        <w:autoSpaceDN w:val="0"/>
        <w:spacing w:before="260" w:after="260" w:line="415" w:lineRule="auto"/>
        <w:outlineLvl w:val="1"/>
        <w:rPr>
          <w:rFonts w:ascii="仿宋" w:hAnsi="仿宋" w:eastAsia="仿宋" w:cs="Times New Roman"/>
          <w:b/>
          <w:bCs/>
          <w:color w:val="auto"/>
          <w:sz w:val="32"/>
          <w:szCs w:val="32"/>
          <w:highlight w:val="none"/>
        </w:rPr>
      </w:pPr>
      <w:bookmarkStart w:id="186" w:name="_Toc1935"/>
      <w:r>
        <w:rPr>
          <w:rFonts w:hint="eastAsia" w:ascii="仿宋" w:hAnsi="仿宋" w:eastAsia="仿宋" w:cs="Times New Roman"/>
          <w:b/>
          <w:bCs/>
          <w:color w:val="auto"/>
          <w:sz w:val="32"/>
          <w:szCs w:val="32"/>
          <w:highlight w:val="none"/>
        </w:rPr>
        <w:t>一、资格文件部分格式</w:t>
      </w:r>
      <w:bookmarkEnd w:id="186"/>
    </w:p>
    <w:p>
      <w:pPr>
        <w:autoSpaceDE w:val="0"/>
        <w:autoSpaceDN w:val="0"/>
        <w:adjustRightInd w:val="0"/>
        <w:spacing w:line="480" w:lineRule="auto"/>
        <w:ind w:left="1050" w:leftChars="500"/>
        <w:jc w:val="left"/>
        <w:rPr>
          <w:rFonts w:ascii="仿宋" w:hAnsi="仿宋" w:eastAsia="仿宋" w:cs="Times New Roman"/>
          <w:b/>
          <w:bCs/>
          <w:color w:val="auto"/>
          <w:sz w:val="32"/>
          <w:szCs w:val="32"/>
          <w:highlight w:val="none"/>
        </w:rPr>
      </w:pPr>
    </w:p>
    <w:p>
      <w:pPr>
        <w:tabs>
          <w:tab w:val="left" w:pos="2580"/>
          <w:tab w:val="left" w:pos="5940"/>
        </w:tabs>
        <w:autoSpaceDE w:val="0"/>
        <w:autoSpaceDN w:val="0"/>
        <w:adjustRightInd w:val="0"/>
        <w:spacing w:line="360" w:lineRule="auto"/>
        <w:ind w:right="-20"/>
        <w:rPr>
          <w:rFonts w:ascii="仿宋" w:hAnsi="仿宋" w:eastAsia="仿宋" w:cs="Times New Roman"/>
          <w:color w:val="auto"/>
          <w:kern w:val="0"/>
          <w:sz w:val="28"/>
          <w:szCs w:val="24"/>
          <w:highlight w:val="none"/>
        </w:rPr>
      </w:pPr>
    </w:p>
    <w:p>
      <w:pPr>
        <w:autoSpaceDE w:val="0"/>
        <w:autoSpaceDN w:val="0"/>
        <w:adjustRightInd w:val="0"/>
        <w:spacing w:line="480" w:lineRule="auto"/>
        <w:ind w:left="1050" w:leftChars="500"/>
        <w:jc w:val="left"/>
        <w:rPr>
          <w:rFonts w:ascii="仿宋" w:hAnsi="仿宋" w:eastAsia="仿宋" w:cs="华文中宋"/>
          <w:color w:val="auto"/>
          <w:kern w:val="0"/>
          <w:sz w:val="30"/>
          <w:szCs w:val="30"/>
          <w:highlight w:val="none"/>
          <w:u w:val="single"/>
        </w:rPr>
      </w:pPr>
      <w:r>
        <w:rPr>
          <w:rFonts w:hint="eastAsia" w:ascii="仿宋" w:hAnsi="仿宋" w:eastAsia="仿宋" w:cs="华文中宋"/>
          <w:color w:val="auto"/>
          <w:sz w:val="30"/>
          <w:szCs w:val="30"/>
          <w:highlight w:val="none"/>
        </w:rPr>
        <w:t>项目名称：</w:t>
      </w:r>
    </w:p>
    <w:p>
      <w:pPr>
        <w:widowControl/>
        <w:autoSpaceDN w:val="0"/>
        <w:ind w:left="2550"/>
        <w:rPr>
          <w:rFonts w:ascii="仿宋" w:hAnsi="仿宋" w:eastAsia="仿宋" w:cs="Times New Roman"/>
          <w:color w:val="auto"/>
          <w:kern w:val="0"/>
          <w:highlight w:val="none"/>
        </w:rPr>
      </w:pPr>
    </w:p>
    <w:p>
      <w:pPr>
        <w:tabs>
          <w:tab w:val="left" w:pos="2580"/>
          <w:tab w:val="left" w:pos="5940"/>
        </w:tabs>
        <w:autoSpaceDE w:val="0"/>
        <w:autoSpaceDN w:val="0"/>
        <w:adjustRightInd w:val="0"/>
        <w:snapToGrid w:val="0"/>
        <w:spacing w:line="360" w:lineRule="auto"/>
        <w:ind w:right="-20" w:firstLine="1050" w:firstLineChars="350"/>
        <w:rPr>
          <w:rFonts w:ascii="仿宋" w:hAnsi="仿宋" w:eastAsia="仿宋" w:cs="华文中宋"/>
          <w:color w:val="auto"/>
          <w:kern w:val="0"/>
          <w:sz w:val="30"/>
          <w:szCs w:val="30"/>
          <w:highlight w:val="none"/>
          <w:u w:val="single"/>
        </w:rPr>
      </w:pPr>
      <w:r>
        <w:rPr>
          <w:rFonts w:hint="eastAsia" w:ascii="仿宋" w:hAnsi="仿宋" w:eastAsia="仿宋" w:cs="华文中宋"/>
          <w:color w:val="auto"/>
          <w:kern w:val="0"/>
          <w:sz w:val="30"/>
          <w:szCs w:val="30"/>
          <w:highlight w:val="none"/>
        </w:rPr>
        <w:t>项目编号：</w:t>
      </w:r>
    </w:p>
    <w:p>
      <w:pPr>
        <w:autoSpaceDE w:val="0"/>
        <w:autoSpaceDN w:val="0"/>
        <w:adjustRightInd w:val="0"/>
        <w:jc w:val="left"/>
        <w:rPr>
          <w:rFonts w:ascii="仿宋" w:hAnsi="仿宋" w:eastAsia="仿宋" w:cs="..ì."/>
          <w:color w:val="auto"/>
          <w:kern w:val="0"/>
          <w:sz w:val="24"/>
          <w:szCs w:val="24"/>
          <w:highlight w:val="none"/>
        </w:rPr>
      </w:pPr>
    </w:p>
    <w:p>
      <w:pPr>
        <w:widowControl/>
        <w:autoSpaceDN w:val="0"/>
        <w:ind w:left="2550"/>
        <w:rPr>
          <w:rFonts w:ascii="仿宋" w:hAnsi="仿宋" w:eastAsia="仿宋" w:cs="Times New Roman"/>
          <w:color w:val="auto"/>
          <w:kern w:val="0"/>
          <w:highlight w:val="none"/>
        </w:rPr>
      </w:pPr>
    </w:p>
    <w:p>
      <w:pPr>
        <w:tabs>
          <w:tab w:val="left" w:pos="1805"/>
          <w:tab w:val="left" w:pos="5360"/>
        </w:tabs>
        <w:autoSpaceDE w:val="0"/>
        <w:autoSpaceDN w:val="0"/>
        <w:adjustRightInd w:val="0"/>
        <w:snapToGrid w:val="0"/>
        <w:spacing w:line="360" w:lineRule="auto"/>
        <w:ind w:right="-20"/>
        <w:jc w:val="center"/>
        <w:rPr>
          <w:rFonts w:ascii="仿宋" w:hAnsi="仿宋" w:eastAsia="仿宋" w:cs="Times New Roman"/>
          <w:color w:val="auto"/>
          <w:kern w:val="0"/>
          <w:sz w:val="72"/>
          <w:szCs w:val="24"/>
          <w:highlight w:val="none"/>
        </w:rPr>
      </w:pPr>
      <w:r>
        <w:rPr>
          <w:rFonts w:hint="eastAsia" w:ascii="仿宋" w:hAnsi="仿宋" w:eastAsia="仿宋" w:cs="Times New Roman"/>
          <w:color w:val="auto"/>
          <w:kern w:val="0"/>
          <w:sz w:val="72"/>
          <w:szCs w:val="24"/>
          <w:highlight w:val="none"/>
        </w:rPr>
        <w:t>响应文件</w:t>
      </w:r>
    </w:p>
    <w:p>
      <w:pPr>
        <w:tabs>
          <w:tab w:val="left" w:pos="1805"/>
          <w:tab w:val="left" w:pos="5360"/>
        </w:tabs>
        <w:autoSpaceDE w:val="0"/>
        <w:autoSpaceDN w:val="0"/>
        <w:adjustRightInd w:val="0"/>
        <w:snapToGrid w:val="0"/>
        <w:spacing w:line="360" w:lineRule="auto"/>
        <w:ind w:right="-20"/>
        <w:jc w:val="center"/>
        <w:rPr>
          <w:rFonts w:ascii="仿宋" w:hAnsi="仿宋" w:eastAsia="仿宋" w:cs="Times New Roman"/>
          <w:color w:val="auto"/>
          <w:kern w:val="0"/>
          <w:sz w:val="72"/>
          <w:szCs w:val="24"/>
          <w:highlight w:val="none"/>
        </w:rPr>
      </w:pPr>
      <w:r>
        <w:rPr>
          <w:rFonts w:hint="eastAsia" w:ascii="仿宋" w:hAnsi="仿宋" w:eastAsia="仿宋" w:cs="Times New Roman"/>
          <w:color w:val="auto"/>
          <w:kern w:val="0"/>
          <w:sz w:val="72"/>
          <w:szCs w:val="24"/>
          <w:highlight w:val="none"/>
        </w:rPr>
        <w:t>（资格文件）</w:t>
      </w:r>
    </w:p>
    <w:p>
      <w:pPr>
        <w:autoSpaceDE w:val="0"/>
        <w:autoSpaceDN w:val="0"/>
        <w:adjustRightInd w:val="0"/>
        <w:snapToGrid w:val="0"/>
        <w:spacing w:line="360" w:lineRule="auto"/>
        <w:jc w:val="left"/>
        <w:rPr>
          <w:rFonts w:ascii="仿宋" w:hAnsi="仿宋" w:eastAsia="仿宋" w:cs="Times New Roman"/>
          <w:color w:val="auto"/>
          <w:kern w:val="0"/>
          <w:sz w:val="20"/>
          <w:szCs w:val="24"/>
          <w:highlight w:val="none"/>
        </w:rPr>
      </w:pPr>
    </w:p>
    <w:p>
      <w:pPr>
        <w:autoSpaceDE w:val="0"/>
        <w:autoSpaceDN w:val="0"/>
        <w:adjustRightInd w:val="0"/>
        <w:snapToGrid w:val="0"/>
        <w:spacing w:line="360" w:lineRule="auto"/>
        <w:jc w:val="left"/>
        <w:rPr>
          <w:rFonts w:ascii="仿宋" w:hAnsi="仿宋" w:eastAsia="仿宋" w:cs="Times New Roman"/>
          <w:color w:val="auto"/>
          <w:kern w:val="0"/>
          <w:sz w:val="20"/>
          <w:szCs w:val="24"/>
          <w:highlight w:val="none"/>
        </w:rPr>
      </w:pPr>
    </w:p>
    <w:p>
      <w:pPr>
        <w:autoSpaceDE w:val="0"/>
        <w:autoSpaceDN w:val="0"/>
        <w:adjustRightInd w:val="0"/>
        <w:snapToGrid w:val="0"/>
        <w:spacing w:line="480" w:lineRule="auto"/>
        <w:ind w:firstLine="840" w:firstLineChars="300"/>
        <w:jc w:val="left"/>
        <w:rPr>
          <w:rFonts w:ascii="仿宋" w:hAnsi="仿宋" w:eastAsia="仿宋" w:cs="..ì."/>
          <w:color w:val="auto"/>
          <w:kern w:val="0"/>
          <w:sz w:val="28"/>
          <w:szCs w:val="24"/>
          <w:highlight w:val="none"/>
        </w:rPr>
      </w:pPr>
      <w:r>
        <w:rPr>
          <w:rFonts w:hint="eastAsia" w:ascii="仿宋" w:hAnsi="仿宋" w:eastAsia="仿宋" w:cs="..ì."/>
          <w:color w:val="auto"/>
          <w:sz w:val="28"/>
          <w:szCs w:val="24"/>
          <w:highlight w:val="none"/>
        </w:rPr>
        <w:t>磋商响应供应商</w:t>
      </w:r>
      <w:r>
        <w:rPr>
          <w:rFonts w:hint="eastAsia" w:ascii="仿宋" w:hAnsi="仿宋" w:eastAsia="仿宋" w:cs="..ì."/>
          <w:b/>
          <w:bCs/>
          <w:color w:val="auto"/>
          <w:sz w:val="28"/>
          <w:szCs w:val="24"/>
          <w:highlight w:val="none"/>
        </w:rPr>
        <w:t>（盖章）</w:t>
      </w:r>
      <w:r>
        <w:rPr>
          <w:rFonts w:hint="eastAsia" w:ascii="仿宋" w:hAnsi="仿宋" w:eastAsia="仿宋" w:cs="..ì."/>
          <w:color w:val="auto"/>
          <w:sz w:val="28"/>
          <w:szCs w:val="24"/>
          <w:highlight w:val="none"/>
        </w:rPr>
        <w:t>：</w:t>
      </w:r>
    </w:p>
    <w:p>
      <w:pPr>
        <w:autoSpaceDE w:val="0"/>
        <w:autoSpaceDN w:val="0"/>
        <w:adjustRightInd w:val="0"/>
        <w:snapToGrid w:val="0"/>
        <w:spacing w:line="480" w:lineRule="auto"/>
        <w:ind w:firstLine="840" w:firstLineChars="300"/>
        <w:jc w:val="left"/>
        <w:rPr>
          <w:rFonts w:ascii="仿宋" w:hAnsi="仿宋" w:eastAsia="仿宋" w:cs="..ì."/>
          <w:color w:val="auto"/>
          <w:sz w:val="28"/>
          <w:szCs w:val="24"/>
          <w:highlight w:val="none"/>
        </w:rPr>
      </w:pPr>
      <w:r>
        <w:rPr>
          <w:rFonts w:hint="eastAsia" w:ascii="仿宋" w:hAnsi="仿宋" w:eastAsia="仿宋" w:cs="..ì."/>
          <w:color w:val="auto"/>
          <w:sz w:val="28"/>
          <w:szCs w:val="24"/>
          <w:highlight w:val="none"/>
        </w:rPr>
        <w:t>磋商响应供应商地址：</w:t>
      </w:r>
    </w:p>
    <w:p>
      <w:pPr>
        <w:autoSpaceDE w:val="0"/>
        <w:autoSpaceDN w:val="0"/>
        <w:adjustRightInd w:val="0"/>
        <w:snapToGrid w:val="0"/>
        <w:spacing w:line="480" w:lineRule="auto"/>
        <w:ind w:firstLine="840" w:firstLineChars="300"/>
        <w:jc w:val="left"/>
        <w:rPr>
          <w:rFonts w:ascii="仿宋" w:hAnsi="仿宋" w:eastAsia="仿宋" w:cs="..ì."/>
          <w:color w:val="auto"/>
          <w:sz w:val="24"/>
          <w:szCs w:val="24"/>
          <w:highlight w:val="none"/>
        </w:rPr>
      </w:pPr>
      <w:r>
        <w:rPr>
          <w:rFonts w:hint="eastAsia" w:ascii="仿宋" w:hAnsi="仿宋" w:eastAsia="仿宋" w:cs="..ì."/>
          <w:color w:val="auto"/>
          <w:sz w:val="28"/>
          <w:szCs w:val="24"/>
          <w:highlight w:val="none"/>
        </w:rPr>
        <w:t>磋商响应供应商联系电话：</w:t>
      </w:r>
    </w:p>
    <w:p>
      <w:pPr>
        <w:tabs>
          <w:tab w:val="left" w:pos="6080"/>
          <w:tab w:val="left" w:pos="6640"/>
        </w:tabs>
        <w:autoSpaceDE w:val="0"/>
        <w:autoSpaceDN w:val="0"/>
        <w:adjustRightInd w:val="0"/>
        <w:snapToGrid w:val="0"/>
        <w:spacing w:line="480" w:lineRule="auto"/>
        <w:ind w:left="774" w:right="403"/>
        <w:jc w:val="left"/>
        <w:rPr>
          <w:rFonts w:ascii="仿宋" w:hAnsi="仿宋" w:eastAsia="仿宋" w:cs="Times New Roman"/>
          <w:color w:val="auto"/>
          <w:kern w:val="0"/>
          <w:sz w:val="28"/>
          <w:szCs w:val="24"/>
          <w:highlight w:val="none"/>
        </w:rPr>
      </w:pPr>
    </w:p>
    <w:p>
      <w:pPr>
        <w:tabs>
          <w:tab w:val="left" w:pos="3280"/>
          <w:tab w:val="left" w:pos="4680"/>
          <w:tab w:val="left" w:pos="6080"/>
        </w:tabs>
        <w:autoSpaceDE w:val="0"/>
        <w:autoSpaceDN w:val="0"/>
        <w:adjustRightInd w:val="0"/>
        <w:snapToGrid w:val="0"/>
        <w:spacing w:line="360" w:lineRule="auto"/>
        <w:ind w:right="-20"/>
        <w:jc w:val="center"/>
        <w:rPr>
          <w:rFonts w:ascii="仿宋" w:hAnsi="仿宋" w:eastAsia="仿宋" w:cs="Times New Roman"/>
          <w:color w:val="auto"/>
          <w:szCs w:val="24"/>
          <w:highlight w:val="none"/>
        </w:rPr>
      </w:pPr>
      <w:r>
        <w:rPr>
          <w:rFonts w:hint="eastAsia" w:ascii="仿宋" w:hAnsi="仿宋" w:eastAsia="仿宋" w:cs="Times New Roman"/>
          <w:color w:val="auto"/>
          <w:kern w:val="0"/>
          <w:sz w:val="28"/>
          <w:szCs w:val="24"/>
          <w:highlight w:val="none"/>
        </w:rPr>
        <w:t>年  月  日</w:t>
      </w:r>
    </w:p>
    <w:p>
      <w:pPr>
        <w:autoSpaceDN w:val="0"/>
        <w:spacing w:line="360" w:lineRule="auto"/>
        <w:ind w:firstLine="420" w:firstLineChars="200"/>
        <w:rPr>
          <w:rFonts w:ascii="仿宋" w:hAnsi="仿宋" w:eastAsia="仿宋" w:cs="Times New Roman"/>
          <w:color w:val="auto"/>
          <w:szCs w:val="24"/>
          <w:highlight w:val="none"/>
        </w:rPr>
      </w:pPr>
    </w:p>
    <w:p>
      <w:pPr>
        <w:keepNext/>
        <w:keepLines/>
        <w:autoSpaceDN w:val="0"/>
        <w:spacing w:line="376" w:lineRule="auto"/>
        <w:jc w:val="left"/>
        <w:outlineLvl w:val="4"/>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 xml:space="preserve"> </w:t>
      </w:r>
      <w:r>
        <w:rPr>
          <w:rFonts w:hint="eastAsia" w:ascii="华文中宋" w:hAnsi="华文中宋" w:eastAsia="宋体" w:cs="Times New Roman"/>
          <w:b/>
          <w:bCs/>
          <w:color w:val="auto"/>
          <w:kern w:val="0"/>
          <w:sz w:val="28"/>
          <w:szCs w:val="28"/>
          <w:highlight w:val="none"/>
        </w:rPr>
        <w:t>▲1-1 符合“申请人的资格要求”第1条规定的证明文件</w:t>
      </w:r>
    </w:p>
    <w:p>
      <w:pPr>
        <w:keepNext/>
        <w:keepLines/>
        <w:autoSpaceDN w:val="0"/>
        <w:spacing w:before="280" w:after="290" w:line="374" w:lineRule="auto"/>
        <w:ind w:firstLine="480"/>
        <w:jc w:val="left"/>
        <w:outlineLvl w:val="3"/>
        <w:rPr>
          <w:rFonts w:ascii="仿宋" w:hAnsi="仿宋" w:eastAsia="仿宋" w:cs="华文中宋"/>
          <w:b/>
          <w:bCs/>
          <w:color w:val="auto"/>
          <w:kern w:val="0"/>
          <w:sz w:val="28"/>
          <w:szCs w:val="28"/>
          <w:highlight w:val="none"/>
        </w:rPr>
      </w:pPr>
      <w:bookmarkStart w:id="187" w:name="_Hlk96934705"/>
      <w:r>
        <w:rPr>
          <w:rFonts w:hint="eastAsia" w:ascii="仿宋" w:hAnsi="仿宋" w:eastAsia="仿宋" w:cs="Times New Roman"/>
          <w:color w:val="auto"/>
          <w:kern w:val="0"/>
          <w:sz w:val="28"/>
          <w:szCs w:val="28"/>
          <w:highlight w:val="none"/>
        </w:rPr>
        <w:t>▲</w:t>
      </w:r>
      <w:bookmarkEnd w:id="187"/>
      <w:r>
        <w:rPr>
          <w:rFonts w:hint="eastAsia" w:ascii="仿宋" w:hAnsi="仿宋" w:eastAsia="仿宋" w:cs="华文中宋"/>
          <w:b/>
          <w:bCs/>
          <w:color w:val="auto"/>
          <w:kern w:val="0"/>
          <w:sz w:val="28"/>
          <w:szCs w:val="28"/>
          <w:highlight w:val="none"/>
        </w:rPr>
        <w:t>（1）资格承诺函</w:t>
      </w:r>
    </w:p>
    <w:p>
      <w:pPr>
        <w:autoSpaceDN w:val="0"/>
        <w:spacing w:line="360" w:lineRule="auto"/>
        <w:jc w:val="center"/>
        <w:rPr>
          <w:rFonts w:ascii="仿宋" w:hAnsi="仿宋" w:eastAsia="仿宋" w:cs="Times New Roman"/>
          <w:b/>
          <w:color w:val="auto"/>
          <w:sz w:val="36"/>
          <w:szCs w:val="36"/>
          <w:highlight w:val="none"/>
        </w:rPr>
      </w:pPr>
      <w:r>
        <w:rPr>
          <w:rFonts w:hint="eastAsia" w:ascii="仿宋" w:hAnsi="仿宋" w:eastAsia="仿宋" w:cs="Times New Roman"/>
          <w:b/>
          <w:color w:val="auto"/>
          <w:sz w:val="36"/>
          <w:szCs w:val="36"/>
          <w:highlight w:val="none"/>
        </w:rPr>
        <w:t>资格承诺函（联合体各方均须提供）</w:t>
      </w:r>
    </w:p>
    <w:p>
      <w:pPr>
        <w:autoSpaceDN w:val="0"/>
        <w:spacing w:line="360" w:lineRule="auto"/>
        <w:rPr>
          <w:rFonts w:ascii="仿宋" w:hAnsi="仿宋" w:eastAsia="仿宋" w:cs="Arial"/>
          <w:color w:val="auto"/>
          <w:kern w:val="0"/>
          <w:sz w:val="24"/>
          <w:szCs w:val="24"/>
          <w:highlight w:val="none"/>
        </w:rPr>
      </w:pPr>
      <w:r>
        <w:rPr>
          <w:rFonts w:hint="eastAsia" w:ascii="仿宋" w:hAnsi="仿宋" w:eastAsia="仿宋" w:cs="Arial"/>
          <w:b/>
          <w:color w:val="auto"/>
          <w:kern w:val="0"/>
          <w:sz w:val="24"/>
          <w:szCs w:val="24"/>
          <w:highlight w:val="none"/>
          <w:u w:val="single"/>
          <w:lang w:eastAsia="zh-CN"/>
        </w:rPr>
        <w:t>浙江省拱宸强制隔离戒毒所</w:t>
      </w:r>
      <w:r>
        <w:rPr>
          <w:rFonts w:hint="eastAsia" w:ascii="仿宋" w:hAnsi="仿宋" w:eastAsia="仿宋" w:cs="Arial"/>
          <w:b/>
          <w:color w:val="auto"/>
          <w:kern w:val="0"/>
          <w:sz w:val="24"/>
          <w:szCs w:val="24"/>
          <w:highlight w:val="none"/>
          <w:u w:val="single"/>
        </w:rPr>
        <w:t>、浙江豪圣建设项目管理有限公司</w:t>
      </w:r>
      <w:r>
        <w:rPr>
          <w:rFonts w:hint="eastAsia" w:ascii="仿宋" w:hAnsi="仿宋" w:eastAsia="仿宋" w:cs="Arial"/>
          <w:b/>
          <w:color w:val="auto"/>
          <w:kern w:val="0"/>
          <w:sz w:val="24"/>
          <w:szCs w:val="24"/>
          <w:highlight w:val="none"/>
        </w:rPr>
        <w:t>：</w:t>
      </w:r>
    </w:p>
    <w:p>
      <w:pPr>
        <w:autoSpaceDN w:val="0"/>
        <w:spacing w:line="360" w:lineRule="auto"/>
        <w:ind w:firstLine="482" w:firstLineChars="200"/>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我方参加</w:t>
      </w:r>
      <w:r>
        <w:rPr>
          <w:rFonts w:hint="eastAsia" w:ascii="仿宋" w:hAnsi="仿宋" w:eastAsia="仿宋" w:cs="Arial"/>
          <w:b/>
          <w:color w:val="auto"/>
          <w:kern w:val="0"/>
          <w:sz w:val="24"/>
          <w:szCs w:val="24"/>
          <w:highlight w:val="none"/>
          <w:u w:val="single"/>
          <w:lang w:eastAsia="zh-CN"/>
        </w:rPr>
        <w:t>省拱宸所戒毒法治基地配套项目标一</w:t>
      </w:r>
      <w:r>
        <w:rPr>
          <w:rFonts w:hint="eastAsia" w:ascii="仿宋" w:hAnsi="仿宋" w:eastAsia="仿宋" w:cs="Arial"/>
          <w:b/>
          <w:color w:val="auto"/>
          <w:kern w:val="0"/>
          <w:sz w:val="24"/>
          <w:szCs w:val="24"/>
          <w:highlight w:val="none"/>
          <w:u w:val="single"/>
        </w:rPr>
        <w:t>（项目编号：</w:t>
      </w:r>
      <w:r>
        <w:rPr>
          <w:rFonts w:hint="eastAsia" w:ascii="仿宋" w:hAnsi="仿宋" w:eastAsia="仿宋" w:cs="Arial"/>
          <w:b/>
          <w:color w:val="auto"/>
          <w:kern w:val="0"/>
          <w:sz w:val="24"/>
          <w:szCs w:val="24"/>
          <w:highlight w:val="none"/>
          <w:u w:val="single"/>
          <w:lang w:eastAsia="zh-CN"/>
        </w:rPr>
        <w:t>HSZB-2024-329</w:t>
      </w:r>
      <w:r>
        <w:rPr>
          <w:rFonts w:hint="eastAsia" w:ascii="仿宋" w:hAnsi="仿宋" w:eastAsia="仿宋" w:cs="Arial"/>
          <w:b/>
          <w:color w:val="auto"/>
          <w:kern w:val="0"/>
          <w:sz w:val="24"/>
          <w:szCs w:val="24"/>
          <w:highlight w:val="none"/>
          <w:u w:val="single"/>
        </w:rPr>
        <w:t>）</w:t>
      </w:r>
      <w:r>
        <w:rPr>
          <w:rFonts w:hint="eastAsia" w:ascii="仿宋" w:hAnsi="仿宋" w:eastAsia="仿宋" w:cs="Arial"/>
          <w:b/>
          <w:color w:val="auto"/>
          <w:kern w:val="0"/>
          <w:sz w:val="24"/>
          <w:szCs w:val="24"/>
          <w:highlight w:val="none"/>
        </w:rPr>
        <w:t>的政府采购活动，依据采购文件相关规定，郑重承诺如下：</w:t>
      </w:r>
    </w:p>
    <w:p>
      <w:pPr>
        <w:autoSpaceDN w:val="0"/>
        <w:spacing w:line="360" w:lineRule="auto"/>
        <w:ind w:firstLine="480" w:firstLineChars="200"/>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（1）我方具有独立承担民事责任的能力；</w:t>
      </w:r>
    </w:p>
    <w:p>
      <w:pPr>
        <w:autoSpaceDN w:val="0"/>
        <w:spacing w:line="360" w:lineRule="auto"/>
        <w:ind w:firstLine="480" w:firstLineChars="200"/>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（2）我方具有良好的商业信誉和健全的财务会计制度；</w:t>
      </w:r>
    </w:p>
    <w:p>
      <w:pPr>
        <w:autoSpaceDN w:val="0"/>
        <w:spacing w:line="360" w:lineRule="auto"/>
        <w:ind w:firstLine="480" w:firstLineChars="200"/>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（3）我方具有履行本项目合同所必需的设备和专业技术能力；</w:t>
      </w:r>
    </w:p>
    <w:p>
      <w:pPr>
        <w:autoSpaceDN w:val="0"/>
        <w:spacing w:line="360" w:lineRule="auto"/>
        <w:ind w:firstLine="480" w:firstLineChars="200"/>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（4）我方有依法缴纳税收和社会保障资金的良好记录；</w:t>
      </w:r>
    </w:p>
    <w:p>
      <w:pPr>
        <w:autoSpaceDN w:val="0"/>
        <w:spacing w:line="360" w:lineRule="auto"/>
        <w:ind w:firstLine="480" w:firstLineChars="200"/>
        <w:rPr>
          <w:rFonts w:ascii="仿宋" w:hAnsi="仿宋" w:eastAsia="仿宋" w:cs="Arial"/>
          <w:color w:val="auto"/>
          <w:sz w:val="24"/>
          <w:szCs w:val="24"/>
          <w:highlight w:val="none"/>
        </w:rPr>
      </w:pPr>
      <w:r>
        <w:rPr>
          <w:rFonts w:hint="eastAsia" w:ascii="仿宋" w:hAnsi="仿宋" w:eastAsia="仿宋" w:cs="Arial"/>
          <w:color w:val="auto"/>
          <w:kern w:val="0"/>
          <w:sz w:val="24"/>
          <w:szCs w:val="24"/>
          <w:highlight w:val="none"/>
        </w:rPr>
        <w:t>（5）我方在参加本次政府采购活动前三年内，经营活动中没有重大违法记录（具体包括：没有因违法经营受到刑事处罚，没有被责令停产停业、被吊销许可证或者执照、被处以较大数额罚款等行政处罚，没有因被列为失信被执行人、</w:t>
      </w:r>
      <w:r>
        <w:rPr>
          <w:rFonts w:hint="eastAsia" w:ascii="仿宋" w:hAnsi="仿宋" w:eastAsia="仿宋" w:cs="Arial"/>
          <w:color w:val="auto"/>
          <w:kern w:val="0"/>
          <w:sz w:val="24"/>
          <w:szCs w:val="24"/>
          <w:highlight w:val="none"/>
          <w:lang w:eastAsia="zh-CN"/>
        </w:rPr>
        <w:t>重大税收违法失信主体</w:t>
      </w:r>
      <w:r>
        <w:rPr>
          <w:rFonts w:hint="eastAsia" w:ascii="仿宋" w:hAnsi="仿宋" w:eastAsia="仿宋" w:cs="Arial"/>
          <w:color w:val="auto"/>
          <w:kern w:val="0"/>
          <w:sz w:val="24"/>
          <w:szCs w:val="24"/>
          <w:highlight w:val="none"/>
        </w:rPr>
        <w:t>、政府采购严重违法失信行为记录名单及其他不符合《中华人民共和国政府采购法》第二十二条规定条件而被限制参加政府采购，没有因违法经营被禁止参加政府采购活动的期限未满情形）</w:t>
      </w:r>
      <w:r>
        <w:rPr>
          <w:rFonts w:hint="eastAsia" w:ascii="仿宋" w:hAnsi="仿宋" w:eastAsia="仿宋" w:cs="Arial"/>
          <w:color w:val="auto"/>
          <w:sz w:val="24"/>
          <w:szCs w:val="24"/>
          <w:highlight w:val="none"/>
        </w:rPr>
        <w:t>；</w:t>
      </w:r>
    </w:p>
    <w:p>
      <w:pPr>
        <w:autoSpaceDN w:val="0"/>
        <w:spacing w:line="360" w:lineRule="auto"/>
        <w:ind w:firstLine="480" w:firstLineChars="200"/>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（6）我方符合法律、行政法规规定的其他条件；</w:t>
      </w:r>
    </w:p>
    <w:p>
      <w:pPr>
        <w:autoSpaceDN w:val="0"/>
        <w:spacing w:line="360" w:lineRule="auto"/>
        <w:ind w:firstLine="480" w:firstLineChars="200"/>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（7）</w:t>
      </w:r>
      <w:r>
        <w:rPr>
          <w:rFonts w:hint="eastAsia" w:ascii="仿宋" w:hAnsi="仿宋" w:eastAsia="仿宋" w:cs="Arial"/>
          <w:color w:val="auto"/>
          <w:kern w:val="0"/>
          <w:sz w:val="24"/>
          <w:szCs w:val="24"/>
          <w:highlight w:val="none"/>
        </w:rPr>
        <w:t>我方在投标文件递交前，未被“信用中国”（www.creditchina.gov.cn）、“中国政府采购网”（www.ccgp.gov.cn）列入失信被执行人名单、</w:t>
      </w:r>
      <w:r>
        <w:rPr>
          <w:rFonts w:hint="eastAsia" w:ascii="仿宋" w:hAnsi="仿宋" w:eastAsia="仿宋" w:cs="Arial"/>
          <w:color w:val="auto"/>
          <w:kern w:val="0"/>
          <w:sz w:val="24"/>
          <w:szCs w:val="24"/>
          <w:highlight w:val="none"/>
          <w:lang w:eastAsia="zh-CN"/>
        </w:rPr>
        <w:t>重大税收违法失信主体</w:t>
      </w:r>
      <w:r>
        <w:rPr>
          <w:rFonts w:hint="eastAsia" w:ascii="仿宋" w:hAnsi="仿宋" w:eastAsia="仿宋" w:cs="Arial"/>
          <w:color w:val="auto"/>
          <w:kern w:val="0"/>
          <w:sz w:val="24"/>
          <w:szCs w:val="24"/>
          <w:highlight w:val="none"/>
        </w:rPr>
        <w:t>、政府采购严重违法失信行为记录名单（我方的信用信息记录以采购人或采购代理机构统一查询的结果为准）。</w:t>
      </w:r>
    </w:p>
    <w:p>
      <w:pPr>
        <w:autoSpaceDN w:val="0"/>
        <w:spacing w:line="360" w:lineRule="auto"/>
        <w:ind w:firstLine="482" w:firstLineChars="200"/>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以上承诺如有虚假或隐瞒，采购人可取消我方任何资格（投标/中标/签订合同），我方对此无任何异议，并愿意承担一切后果和责任。</w:t>
      </w:r>
    </w:p>
    <w:p>
      <w:pPr>
        <w:autoSpaceDN w:val="0"/>
        <w:spacing w:line="360" w:lineRule="auto"/>
        <w:ind w:firstLine="480" w:firstLineChars="200"/>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特此承诺</w:t>
      </w:r>
    </w:p>
    <w:p>
      <w:pPr>
        <w:autoSpaceDN w:val="0"/>
        <w:spacing w:line="360" w:lineRule="auto"/>
        <w:ind w:firstLine="480" w:firstLineChars="200"/>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投标供应商名称（盖章）：__________________________________</w:t>
      </w:r>
    </w:p>
    <w:p>
      <w:pPr>
        <w:autoSpaceDN w:val="0"/>
        <w:spacing w:line="360" w:lineRule="auto"/>
        <w:ind w:firstLine="480" w:firstLineChars="200"/>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日期：________年____月____日</w:t>
      </w:r>
    </w:p>
    <w:p>
      <w:pPr>
        <w:autoSpaceDN w:val="0"/>
        <w:adjustRightInd w:val="0"/>
        <w:snapToGrid w:val="0"/>
        <w:spacing w:line="480" w:lineRule="auto"/>
        <w:rPr>
          <w:rFonts w:ascii="仿宋" w:hAnsi="仿宋" w:eastAsia="仿宋" w:cs="Times New Roman"/>
          <w:b/>
          <w:bCs/>
          <w:color w:val="auto"/>
          <w:sz w:val="24"/>
          <w:szCs w:val="24"/>
          <w:highlight w:val="none"/>
        </w:rPr>
      </w:pPr>
    </w:p>
    <w:p>
      <w:pPr>
        <w:autoSpaceDN w:val="0"/>
        <w:adjustRightInd w:val="0"/>
        <w:snapToGrid w:val="0"/>
        <w:spacing w:line="480" w:lineRule="auto"/>
        <w:rPr>
          <w:rFonts w:ascii="仿宋" w:hAnsi="仿宋" w:eastAsia="仿宋" w:cs="Times New Roman"/>
          <w:b/>
          <w:bCs/>
          <w:color w:val="auto"/>
          <w:sz w:val="24"/>
          <w:szCs w:val="24"/>
          <w:highlight w:val="none"/>
        </w:rPr>
      </w:pPr>
      <w:r>
        <w:rPr>
          <w:rFonts w:hint="eastAsia" w:ascii="仿宋" w:hAnsi="仿宋" w:eastAsia="仿宋" w:cs="Times New Roman"/>
          <w:b/>
          <w:color w:val="auto"/>
          <w:sz w:val="28"/>
          <w:szCs w:val="28"/>
          <w:highlight w:val="none"/>
        </w:rPr>
        <w:t>▲（2）营业执照（或其他同类证明文件）</w:t>
      </w:r>
    </w:p>
    <w:p>
      <w:pPr>
        <w:autoSpaceDN w:val="0"/>
        <w:adjustRightInd w:val="0"/>
        <w:snapToGrid w:val="0"/>
        <w:spacing w:line="480" w:lineRule="auto"/>
        <w:jc w:val="center"/>
        <w:rPr>
          <w:rFonts w:ascii="仿宋" w:hAnsi="仿宋" w:eastAsia="仿宋" w:cs="Times New Roman"/>
          <w:b/>
          <w:color w:val="auto"/>
          <w:sz w:val="36"/>
          <w:szCs w:val="36"/>
          <w:highlight w:val="none"/>
        </w:rPr>
      </w:pPr>
      <w:r>
        <w:rPr>
          <w:rFonts w:hint="eastAsia" w:ascii="仿宋" w:hAnsi="仿宋" w:eastAsia="仿宋" w:cs="Times New Roman"/>
          <w:b/>
          <w:color w:val="auto"/>
          <w:sz w:val="36"/>
          <w:szCs w:val="36"/>
          <w:highlight w:val="none"/>
        </w:rPr>
        <w:t>▲营业执照等证明文件</w:t>
      </w:r>
    </w:p>
    <w:tbl>
      <w:tblPr>
        <w:tblStyle w:val="61"/>
        <w:tblW w:w="9150"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50"/>
      </w:tblGrid>
      <w:tr>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565" w:hRule="atLeast"/>
        </w:trPr>
        <w:tc>
          <w:tcPr>
            <w:tcW w:w="9146" w:type="dxa"/>
            <w:tcBorders>
              <w:top w:val="dotDash" w:color="BFBFBF" w:sz="4" w:space="0"/>
              <w:left w:val="dotDash" w:color="BFBFBF" w:sz="4" w:space="0"/>
              <w:bottom w:val="dotDash" w:color="BFBFBF" w:sz="4" w:space="0"/>
              <w:right w:val="dotDash" w:color="BFBFBF" w:sz="4" w:space="0"/>
            </w:tcBorders>
            <w:noWrap/>
            <w:vAlign w:val="center"/>
          </w:tcPr>
          <w:p>
            <w:pPr>
              <w:autoSpaceDN w:val="0"/>
              <w:spacing w:line="360" w:lineRule="auto"/>
              <w:jc w:val="left"/>
              <w:rPr>
                <w:rFonts w:ascii="仿宋" w:hAnsi="仿宋" w:eastAsia="仿宋" w:cs="Times New Roman"/>
                <w:b/>
                <w:color w:val="auto"/>
                <w:sz w:val="28"/>
                <w:szCs w:val="24"/>
                <w:highlight w:val="none"/>
              </w:rPr>
            </w:pPr>
            <w:r>
              <w:rPr>
                <w:rFonts w:hint="eastAsia" w:ascii="仿宋" w:hAnsi="仿宋" w:eastAsia="仿宋" w:cs="Times New Roman"/>
                <w:b/>
                <w:color w:val="auto"/>
                <w:sz w:val="28"/>
                <w:szCs w:val="24"/>
                <w:highlight w:val="none"/>
              </w:rPr>
              <w:t>证明材料：</w:t>
            </w:r>
            <w:r>
              <w:rPr>
                <w:rFonts w:hint="eastAsia" w:ascii="仿宋" w:hAnsi="仿宋" w:eastAsia="仿宋" w:cs="Times New Roman"/>
                <w:b/>
                <w:color w:val="auto"/>
                <w:sz w:val="28"/>
                <w:szCs w:val="24"/>
                <w:highlight w:val="none"/>
                <w:u w:val="single"/>
              </w:rPr>
              <w:t>营业执照（或事业单位法人证书或执业许可证或自然人有效身份证明）</w:t>
            </w:r>
            <w:r>
              <w:rPr>
                <w:rFonts w:hint="eastAsia" w:ascii="仿宋" w:hAnsi="仿宋" w:eastAsia="仿宋" w:cs="Times New Roman"/>
                <w:color w:val="auto"/>
                <w:sz w:val="28"/>
                <w:szCs w:val="24"/>
                <w:highlight w:val="none"/>
              </w:rPr>
              <w:t>（提供扫描件加盖磋商响应供应商公章）</w:t>
            </w:r>
            <w:r>
              <w:rPr>
                <w:rFonts w:hint="eastAsia" w:ascii="仿宋" w:hAnsi="仿宋" w:eastAsia="仿宋" w:cs="Times New Roman"/>
                <w:color w:val="auto"/>
                <w:sz w:val="24"/>
                <w:szCs w:val="24"/>
                <w:highlight w:val="none"/>
              </w:rPr>
              <w:t>。</w:t>
            </w:r>
          </w:p>
          <w:p>
            <w:pPr>
              <w:autoSpaceDN w:val="0"/>
              <w:spacing w:line="360" w:lineRule="auto"/>
              <w:jc w:val="left"/>
              <w:rPr>
                <w:rFonts w:ascii="仿宋" w:hAnsi="仿宋" w:eastAsia="仿宋" w:cs="Times New Roman"/>
                <w:i/>
                <w:color w:val="auto"/>
                <w:sz w:val="24"/>
                <w:szCs w:val="24"/>
                <w:highlight w:val="none"/>
              </w:rPr>
            </w:pPr>
          </w:p>
          <w:p>
            <w:pPr>
              <w:autoSpaceDN w:val="0"/>
              <w:spacing w:line="360" w:lineRule="auto"/>
              <w:jc w:val="left"/>
              <w:rPr>
                <w:rFonts w:ascii="仿宋" w:hAnsi="仿宋" w:eastAsia="仿宋" w:cs="Times New Roman"/>
                <w:b/>
                <w:i/>
                <w:color w:val="auto"/>
                <w:sz w:val="28"/>
                <w:szCs w:val="24"/>
                <w:highlight w:val="none"/>
              </w:rPr>
            </w:pPr>
            <w:r>
              <w:rPr>
                <w:rFonts w:hint="eastAsia" w:ascii="仿宋" w:hAnsi="仿宋" w:eastAsia="仿宋" w:cs="Times New Roman"/>
                <w:b/>
                <w:i/>
                <w:color w:val="auto"/>
                <w:sz w:val="28"/>
                <w:szCs w:val="24"/>
                <w:highlight w:val="none"/>
              </w:rPr>
              <w:t>提示和说明：</w:t>
            </w:r>
          </w:p>
          <w:p>
            <w:pPr>
              <w:autoSpaceDN w:val="0"/>
              <w:spacing w:line="360" w:lineRule="auto"/>
              <w:ind w:firstLine="369" w:firstLineChars="132"/>
              <w:jc w:val="left"/>
              <w:rPr>
                <w:rFonts w:ascii="仿宋" w:hAnsi="仿宋" w:eastAsia="仿宋" w:cs="Times New Roman"/>
                <w:color w:val="auto"/>
                <w:sz w:val="28"/>
                <w:szCs w:val="24"/>
                <w:highlight w:val="none"/>
              </w:rPr>
            </w:pPr>
            <w:r>
              <w:rPr>
                <w:rFonts w:hint="eastAsia" w:ascii="仿宋" w:hAnsi="仿宋" w:eastAsia="仿宋" w:cs="Times New Roman"/>
                <w:color w:val="auto"/>
                <w:sz w:val="28"/>
                <w:szCs w:val="24"/>
                <w:highlight w:val="none"/>
              </w:rPr>
              <w:t>a.投标供应商为企业或个体工商户的，提供有效的“营业执照”；投标供应商为事业单位的，提供有效的“事业单位法人证书”；投标供应商为非企业专业服务机构的，提供执业许可证等证明文件；投标供应商为自然人（中国公民）的，提供个人有效身份证明文件。</w:t>
            </w:r>
          </w:p>
          <w:p>
            <w:pPr>
              <w:autoSpaceDN w:val="0"/>
              <w:spacing w:line="360" w:lineRule="auto"/>
              <w:ind w:firstLine="422" w:firstLineChars="151"/>
              <w:jc w:val="left"/>
              <w:rPr>
                <w:rFonts w:ascii="仿宋" w:hAnsi="仿宋" w:eastAsia="仿宋" w:cs="Times New Roman"/>
                <w:color w:val="auto"/>
                <w:sz w:val="28"/>
                <w:szCs w:val="24"/>
                <w:highlight w:val="none"/>
              </w:rPr>
            </w:pPr>
            <w:r>
              <w:rPr>
                <w:rFonts w:hint="eastAsia" w:ascii="仿宋" w:hAnsi="仿宋" w:eastAsia="仿宋" w:cs="Times New Roman"/>
                <w:color w:val="auto"/>
                <w:sz w:val="28"/>
                <w:szCs w:val="24"/>
                <w:highlight w:val="none"/>
              </w:rPr>
              <w:t>b.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扫描件加盖投标供应商公章），以证明其具备实际承担责任的能力和法定的缔结合同能力。</w:t>
            </w:r>
          </w:p>
          <w:p>
            <w:pPr>
              <w:keepNext/>
              <w:keepLines/>
              <w:autoSpaceDN w:val="0"/>
              <w:spacing w:before="260" w:after="260" w:line="415" w:lineRule="auto"/>
              <w:ind w:firstLine="281"/>
              <w:outlineLvl w:val="2"/>
              <w:rPr>
                <w:rFonts w:ascii="仿宋" w:hAnsi="仿宋" w:eastAsia="仿宋" w:cs="Times New Roman"/>
                <w:b/>
                <w:bCs/>
                <w:i/>
                <w:color w:val="auto"/>
                <w:kern w:val="0"/>
                <w:sz w:val="32"/>
                <w:szCs w:val="32"/>
                <w:highlight w:val="none"/>
              </w:rPr>
            </w:pPr>
            <w:r>
              <w:rPr>
                <w:rFonts w:hint="eastAsia" w:ascii="仿宋" w:hAnsi="仿宋" w:eastAsia="仿宋" w:cs="Arial"/>
                <w:b/>
                <w:bCs/>
                <w:color w:val="auto"/>
                <w:kern w:val="0"/>
                <w:sz w:val="32"/>
                <w:szCs w:val="24"/>
                <w:highlight w:val="none"/>
              </w:rPr>
              <w:t>c.</w:t>
            </w:r>
            <w:r>
              <w:rPr>
                <w:rFonts w:hint="eastAsia" w:ascii="仿宋" w:hAnsi="仿宋" w:eastAsia="仿宋" w:cs="Arial"/>
                <w:b/>
                <w:bCs/>
                <w:color w:val="auto"/>
                <w:kern w:val="0"/>
                <w:sz w:val="32"/>
                <w:szCs w:val="24"/>
                <w:highlight w:val="none"/>
                <w:u w:val="single"/>
              </w:rPr>
              <w:t>供应商为联合体的，联合体各方均须提供</w:t>
            </w:r>
            <w:r>
              <w:rPr>
                <w:rFonts w:hint="eastAsia" w:ascii="仿宋" w:hAnsi="仿宋" w:eastAsia="仿宋" w:cs="Arial"/>
                <w:b/>
                <w:bCs/>
                <w:color w:val="auto"/>
                <w:kern w:val="0"/>
                <w:sz w:val="32"/>
                <w:szCs w:val="24"/>
                <w:highlight w:val="none"/>
              </w:rPr>
              <w:t>。</w:t>
            </w:r>
          </w:p>
        </w:tc>
      </w:tr>
    </w:tbl>
    <w:p>
      <w:pPr>
        <w:autoSpaceDN w:val="0"/>
        <w:adjustRightInd w:val="0"/>
        <w:snapToGrid w:val="0"/>
        <w:spacing w:line="480" w:lineRule="auto"/>
        <w:rPr>
          <w:rFonts w:ascii="Times New Roman" w:hAnsi="Times New Roman" w:eastAsia="宋体" w:cs="Times New Roman"/>
          <w:color w:val="auto"/>
          <w:szCs w:val="24"/>
          <w:highlight w:val="none"/>
        </w:rPr>
      </w:pPr>
    </w:p>
    <w:p>
      <w:pPr>
        <w:autoSpaceDN w:val="0"/>
        <w:adjustRightInd w:val="0"/>
        <w:snapToGrid w:val="0"/>
        <w:spacing w:line="480" w:lineRule="auto"/>
        <w:rPr>
          <w:rFonts w:ascii="Times New Roman" w:hAnsi="Times New Roman" w:eastAsia="宋体" w:cs="Times New Roman"/>
          <w:color w:val="auto"/>
          <w:szCs w:val="24"/>
          <w:highlight w:val="none"/>
        </w:rPr>
      </w:pPr>
    </w:p>
    <w:p>
      <w:pPr>
        <w:widowControl/>
        <w:autoSpaceDE w:val="0"/>
        <w:autoSpaceDN w:val="0"/>
        <w:spacing w:before="120" w:beforeLines="50" w:after="120" w:afterLines="50" w:line="300" w:lineRule="auto"/>
        <w:ind w:firstLine="281" w:firstLineChars="100"/>
        <w:outlineLvl w:val="2"/>
        <w:rPr>
          <w:rFonts w:hint="eastAsia" w:ascii="仿宋" w:hAnsi="仿宋" w:eastAsia="仿宋" w:cs="Times New Roman"/>
          <w:b/>
          <w:bCs/>
          <w:color w:val="auto"/>
          <w:kern w:val="0"/>
          <w:sz w:val="28"/>
          <w:szCs w:val="28"/>
          <w:highlight w:val="none"/>
        </w:rPr>
      </w:pPr>
    </w:p>
    <w:p>
      <w:pPr>
        <w:widowControl/>
        <w:autoSpaceDE w:val="0"/>
        <w:autoSpaceDN w:val="0"/>
        <w:spacing w:before="120" w:beforeLines="50" w:after="120" w:afterLines="50" w:line="300" w:lineRule="auto"/>
        <w:ind w:firstLine="281" w:firstLineChars="100"/>
        <w:outlineLvl w:val="2"/>
        <w:rPr>
          <w:rFonts w:hint="eastAsia" w:ascii="华文中宋" w:hAnsi="华文中宋" w:eastAsia="宋体" w:cs="Times New Roman"/>
          <w:bCs/>
          <w:color w:val="auto"/>
          <w:kern w:val="0"/>
          <w:sz w:val="28"/>
          <w:szCs w:val="28"/>
          <w:highlight w:val="none"/>
        </w:rPr>
      </w:pPr>
      <w:r>
        <w:rPr>
          <w:rFonts w:hint="eastAsia" w:ascii="仿宋" w:hAnsi="仿宋" w:eastAsia="仿宋" w:cs="Times New Roman"/>
          <w:b/>
          <w:bCs/>
          <w:color w:val="auto"/>
          <w:kern w:val="0"/>
          <w:sz w:val="28"/>
          <w:szCs w:val="28"/>
          <w:highlight w:val="none"/>
        </w:rPr>
        <w:t>▲1-</w:t>
      </w:r>
      <w:r>
        <w:rPr>
          <w:rFonts w:hint="eastAsia" w:ascii="仿宋" w:hAnsi="仿宋" w:eastAsia="仿宋" w:cs="Times New Roman"/>
          <w:b/>
          <w:bCs/>
          <w:color w:val="auto"/>
          <w:kern w:val="0"/>
          <w:sz w:val="28"/>
          <w:szCs w:val="28"/>
          <w:highlight w:val="none"/>
          <w:lang w:val="en-US" w:eastAsia="zh-CN"/>
        </w:rPr>
        <w:t>2</w:t>
      </w:r>
      <w:r>
        <w:rPr>
          <w:rFonts w:hint="eastAsia" w:ascii="华文中宋" w:hAnsi="华文中宋" w:eastAsia="宋体" w:cs="Times New Roman"/>
          <w:bCs/>
          <w:color w:val="auto"/>
          <w:kern w:val="0"/>
          <w:sz w:val="28"/>
          <w:szCs w:val="28"/>
          <w:highlight w:val="none"/>
        </w:rPr>
        <w:t>符合“申请人的资格要求”第2条“落实政府采购政策需满足的资格要求”规定的证明文件</w:t>
      </w:r>
    </w:p>
    <w:p>
      <w:pPr>
        <w:autoSpaceDN w:val="0"/>
        <w:spacing w:line="312" w:lineRule="auto"/>
        <w:jc w:val="center"/>
        <w:rPr>
          <w:rFonts w:ascii="仿宋" w:hAnsi="仿宋" w:eastAsia="仿宋" w:cs="Times New Roman"/>
          <w:b/>
          <w:color w:val="auto"/>
          <w:sz w:val="36"/>
          <w:szCs w:val="36"/>
          <w:highlight w:val="none"/>
        </w:rPr>
      </w:pPr>
      <w:r>
        <w:rPr>
          <w:rFonts w:hint="eastAsia" w:ascii="仿宋" w:hAnsi="仿宋" w:eastAsia="仿宋" w:cs="Times New Roman"/>
          <w:b/>
          <w:color w:val="auto"/>
          <w:sz w:val="36"/>
          <w:szCs w:val="36"/>
          <w:highlight w:val="none"/>
        </w:rPr>
        <w:t>▲中小企业声明函</w:t>
      </w:r>
    </w:p>
    <w:p>
      <w:pPr>
        <w:widowControl/>
        <w:autoSpaceDN w:val="0"/>
        <w:spacing w:before="60" w:after="60" w:line="312" w:lineRule="auto"/>
        <w:ind w:firstLine="560" w:firstLineChars="200"/>
        <w:jc w:val="left"/>
        <w:rPr>
          <w:rFonts w:ascii="仿宋" w:hAnsi="仿宋" w:eastAsia="仿宋" w:cs="Arial"/>
          <w:color w:val="auto"/>
          <w:kern w:val="0"/>
          <w:sz w:val="28"/>
          <w:szCs w:val="28"/>
          <w:highlight w:val="none"/>
        </w:rPr>
      </w:pPr>
      <w:r>
        <w:rPr>
          <w:rFonts w:hint="eastAsia" w:ascii="仿宋" w:hAnsi="仿宋" w:eastAsia="仿宋" w:cs="Arial"/>
          <w:color w:val="auto"/>
          <w:kern w:val="0"/>
          <w:sz w:val="28"/>
          <w:szCs w:val="28"/>
          <w:highlight w:val="none"/>
        </w:rPr>
        <w:t>本公司郑重声明，根据《政府采购促进中小企业发展管理办法》（财库﹝2020﹞46 号）的规定，本公司参加</w:t>
      </w:r>
      <w:r>
        <w:rPr>
          <w:rFonts w:hint="eastAsia" w:ascii="仿宋" w:hAnsi="仿宋" w:eastAsia="仿宋" w:cs="Arial"/>
          <w:b/>
          <w:bCs/>
          <w:color w:val="auto"/>
          <w:kern w:val="0"/>
          <w:sz w:val="28"/>
          <w:szCs w:val="28"/>
          <w:highlight w:val="none"/>
          <w:u w:val="single"/>
          <w:lang w:eastAsia="zh-CN"/>
        </w:rPr>
        <w:t>浙江省拱宸强制隔离戒毒所</w:t>
      </w:r>
      <w:r>
        <w:rPr>
          <w:rFonts w:hint="eastAsia" w:ascii="仿宋" w:hAnsi="仿宋" w:eastAsia="仿宋" w:cs="Arial"/>
          <w:color w:val="auto"/>
          <w:kern w:val="0"/>
          <w:sz w:val="28"/>
          <w:szCs w:val="28"/>
          <w:highlight w:val="none"/>
        </w:rPr>
        <w:t>的</w:t>
      </w:r>
      <w:r>
        <w:rPr>
          <w:rFonts w:hint="eastAsia" w:ascii="仿宋" w:hAnsi="仿宋" w:eastAsia="仿宋" w:cs="Arial"/>
          <w:b/>
          <w:bCs/>
          <w:color w:val="auto"/>
          <w:kern w:val="0"/>
          <w:sz w:val="28"/>
          <w:szCs w:val="28"/>
          <w:highlight w:val="none"/>
          <w:u w:val="single"/>
          <w:lang w:eastAsia="zh-CN"/>
        </w:rPr>
        <w:t>省拱宸所戒毒法治基地配套项目标一</w:t>
      </w:r>
      <w:r>
        <w:rPr>
          <w:rFonts w:hint="eastAsia" w:ascii="仿宋" w:hAnsi="仿宋" w:eastAsia="仿宋" w:cs="Arial"/>
          <w:color w:val="auto"/>
          <w:kern w:val="0"/>
          <w:sz w:val="28"/>
          <w:szCs w:val="28"/>
          <w:highlight w:val="none"/>
        </w:rPr>
        <w:t>采购活动，工程的施工单位全部为符合政策要求的中小企业。企业具体情况如下：</w:t>
      </w:r>
    </w:p>
    <w:p>
      <w:pPr>
        <w:widowControl/>
        <w:autoSpaceDN w:val="0"/>
        <w:spacing w:before="60" w:after="60" w:line="312" w:lineRule="auto"/>
        <w:ind w:firstLine="560" w:firstLineChars="20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1</w:t>
      </w:r>
      <w:bookmarkStart w:id="188" w:name="_Hlk97721535"/>
      <w:r>
        <w:rPr>
          <w:rFonts w:hint="eastAsia" w:ascii="仿宋" w:hAnsi="仿宋" w:eastAsia="仿宋" w:cs="宋体"/>
          <w:color w:val="auto"/>
          <w:kern w:val="0"/>
          <w:sz w:val="28"/>
          <w:szCs w:val="28"/>
          <w:highlight w:val="none"/>
        </w:rPr>
        <w:t>.</w:t>
      </w:r>
      <w:bookmarkEnd w:id="188"/>
      <w:r>
        <w:rPr>
          <w:rFonts w:hint="eastAsia" w:ascii="仿宋" w:hAnsi="仿宋" w:eastAsia="仿宋" w:cs="宋体"/>
          <w:b/>
          <w:bCs/>
          <w:i/>
          <w:iCs/>
          <w:color w:val="auto"/>
          <w:sz w:val="28"/>
          <w:szCs w:val="28"/>
          <w:highlight w:val="none"/>
          <w:u w:val="single"/>
        </w:rPr>
        <w:t xml:space="preserve"> （标的名称）</w:t>
      </w:r>
      <w:r>
        <w:rPr>
          <w:rFonts w:hint="eastAsia" w:ascii="仿宋" w:hAnsi="仿宋" w:eastAsia="仿宋" w:cs="宋体"/>
          <w:color w:val="auto"/>
          <w:kern w:val="0"/>
          <w:sz w:val="28"/>
          <w:szCs w:val="28"/>
          <w:highlight w:val="none"/>
        </w:rPr>
        <w:t>，属于</w:t>
      </w:r>
      <w:r>
        <w:rPr>
          <w:rFonts w:hint="eastAsia" w:ascii="仿宋" w:hAnsi="仿宋" w:eastAsia="仿宋" w:cs="宋体"/>
          <w:b/>
          <w:bCs/>
          <w:i/>
          <w:iCs/>
          <w:color w:val="auto"/>
          <w:kern w:val="0"/>
          <w:sz w:val="28"/>
          <w:szCs w:val="28"/>
          <w:highlight w:val="none"/>
          <w:u w:val="single"/>
        </w:rPr>
        <w:t>建筑业</w:t>
      </w:r>
      <w:r>
        <w:rPr>
          <w:rFonts w:hint="eastAsia" w:ascii="仿宋" w:hAnsi="仿宋" w:eastAsia="仿宋" w:cs="宋体"/>
          <w:color w:val="auto"/>
          <w:kern w:val="0"/>
          <w:sz w:val="28"/>
          <w:szCs w:val="28"/>
          <w:highlight w:val="none"/>
        </w:rPr>
        <w:t>；承建（承接）企业为</w:t>
      </w:r>
      <w:r>
        <w:rPr>
          <w:rFonts w:hint="eastAsia" w:ascii="仿宋" w:hAnsi="仿宋" w:eastAsia="仿宋" w:cs="宋体"/>
          <w:i/>
          <w:iCs/>
          <w:color w:val="auto"/>
          <w:kern w:val="0"/>
          <w:sz w:val="28"/>
          <w:szCs w:val="28"/>
          <w:highlight w:val="none"/>
          <w:u w:val="single"/>
        </w:rPr>
        <w:t>（企业名称）</w:t>
      </w:r>
      <w:r>
        <w:rPr>
          <w:rFonts w:hint="eastAsia" w:ascii="仿宋" w:hAnsi="仿宋" w:eastAsia="仿宋" w:cs="宋体"/>
          <w:color w:val="auto"/>
          <w:kern w:val="0"/>
          <w:sz w:val="28"/>
          <w:szCs w:val="28"/>
          <w:highlight w:val="none"/>
        </w:rPr>
        <w:t>，从业人员</w:t>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u w:val="single"/>
        </w:rPr>
        <w:tab/>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rPr>
        <w:t>人，营业收入为</w:t>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u w:val="single"/>
        </w:rPr>
        <w:tab/>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rPr>
        <w:t>万元，资产总额为</w:t>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u w:val="single"/>
        </w:rPr>
        <w:tab/>
      </w:r>
      <w:r>
        <w:rPr>
          <w:rFonts w:hint="eastAsia" w:ascii="仿宋" w:hAnsi="仿宋" w:eastAsia="仿宋" w:cs="宋体"/>
          <w:color w:val="auto"/>
          <w:kern w:val="0"/>
          <w:sz w:val="28"/>
          <w:szCs w:val="28"/>
          <w:highlight w:val="none"/>
        </w:rPr>
        <w:t>万元，属于</w:t>
      </w:r>
      <w:r>
        <w:rPr>
          <w:rFonts w:hint="eastAsia" w:ascii="仿宋" w:hAnsi="仿宋" w:eastAsia="仿宋" w:cs="宋体"/>
          <w:i/>
          <w:iCs/>
          <w:color w:val="auto"/>
          <w:kern w:val="0"/>
          <w:sz w:val="28"/>
          <w:szCs w:val="28"/>
          <w:highlight w:val="none"/>
          <w:u w:val="single"/>
        </w:rPr>
        <w:t>（中型企业、小型企业、微型企业）</w:t>
      </w:r>
      <w:r>
        <w:rPr>
          <w:rFonts w:hint="eastAsia" w:ascii="仿宋" w:hAnsi="仿宋" w:eastAsia="仿宋" w:cs="宋体"/>
          <w:color w:val="auto"/>
          <w:kern w:val="0"/>
          <w:sz w:val="28"/>
          <w:szCs w:val="28"/>
          <w:highlight w:val="none"/>
        </w:rPr>
        <w:t>；</w:t>
      </w:r>
    </w:p>
    <w:p>
      <w:pPr>
        <w:widowControl/>
        <w:autoSpaceDN w:val="0"/>
        <w:spacing w:before="60" w:after="60" w:line="312" w:lineRule="auto"/>
        <w:ind w:firstLine="560" w:firstLineChars="20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2.</w:t>
      </w:r>
      <w:r>
        <w:rPr>
          <w:rFonts w:hint="eastAsia" w:ascii="仿宋" w:hAnsi="仿宋" w:eastAsia="仿宋" w:cs="宋体"/>
          <w:b/>
          <w:bCs/>
          <w:i/>
          <w:iCs/>
          <w:color w:val="auto"/>
          <w:sz w:val="28"/>
          <w:szCs w:val="28"/>
          <w:highlight w:val="none"/>
          <w:u w:val="single"/>
        </w:rPr>
        <w:t xml:space="preserve"> （标的名称）</w:t>
      </w:r>
      <w:r>
        <w:rPr>
          <w:rFonts w:hint="eastAsia" w:ascii="仿宋" w:hAnsi="仿宋" w:eastAsia="仿宋" w:cs="宋体"/>
          <w:color w:val="auto"/>
          <w:kern w:val="0"/>
          <w:sz w:val="28"/>
          <w:szCs w:val="28"/>
          <w:highlight w:val="none"/>
        </w:rPr>
        <w:t>，属于</w:t>
      </w:r>
      <w:r>
        <w:rPr>
          <w:rFonts w:hint="eastAsia" w:ascii="仿宋" w:hAnsi="仿宋" w:eastAsia="仿宋" w:cs="宋体"/>
          <w:b/>
          <w:bCs/>
          <w:i/>
          <w:iCs/>
          <w:color w:val="auto"/>
          <w:kern w:val="0"/>
          <w:sz w:val="28"/>
          <w:szCs w:val="28"/>
          <w:highlight w:val="none"/>
          <w:u w:val="single"/>
        </w:rPr>
        <w:t>建筑业</w:t>
      </w:r>
      <w:r>
        <w:rPr>
          <w:rFonts w:hint="eastAsia" w:ascii="仿宋" w:hAnsi="仿宋" w:eastAsia="仿宋" w:cs="宋体"/>
          <w:color w:val="auto"/>
          <w:kern w:val="0"/>
          <w:sz w:val="28"/>
          <w:szCs w:val="28"/>
          <w:highlight w:val="none"/>
        </w:rPr>
        <w:t>；承建（承接）企业为</w:t>
      </w:r>
      <w:r>
        <w:rPr>
          <w:rFonts w:hint="eastAsia" w:ascii="仿宋" w:hAnsi="仿宋" w:eastAsia="仿宋" w:cs="宋体"/>
          <w:i/>
          <w:iCs/>
          <w:color w:val="auto"/>
          <w:kern w:val="0"/>
          <w:sz w:val="28"/>
          <w:szCs w:val="28"/>
          <w:highlight w:val="none"/>
          <w:u w:val="single"/>
        </w:rPr>
        <w:t>（企业名称）</w:t>
      </w:r>
      <w:r>
        <w:rPr>
          <w:rFonts w:hint="eastAsia" w:ascii="仿宋" w:hAnsi="仿宋" w:eastAsia="仿宋" w:cs="宋体"/>
          <w:color w:val="auto"/>
          <w:kern w:val="0"/>
          <w:sz w:val="28"/>
          <w:szCs w:val="28"/>
          <w:highlight w:val="none"/>
        </w:rPr>
        <w:t>，从业人员</w:t>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u w:val="single"/>
        </w:rPr>
        <w:tab/>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rPr>
        <w:t>人，营业收入为</w:t>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u w:val="single"/>
        </w:rPr>
        <w:tab/>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rPr>
        <w:t>万元，资产总额为</w:t>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u w:val="single"/>
        </w:rPr>
        <w:tab/>
      </w:r>
      <w:r>
        <w:rPr>
          <w:rFonts w:hint="eastAsia" w:ascii="仿宋" w:hAnsi="仿宋" w:eastAsia="仿宋" w:cs="宋体"/>
          <w:color w:val="auto"/>
          <w:kern w:val="0"/>
          <w:sz w:val="28"/>
          <w:szCs w:val="28"/>
          <w:highlight w:val="none"/>
        </w:rPr>
        <w:t>万元，属于</w:t>
      </w:r>
      <w:r>
        <w:rPr>
          <w:rFonts w:hint="eastAsia" w:ascii="仿宋" w:hAnsi="仿宋" w:eastAsia="仿宋" w:cs="宋体"/>
          <w:i/>
          <w:iCs/>
          <w:color w:val="auto"/>
          <w:kern w:val="0"/>
          <w:sz w:val="28"/>
          <w:szCs w:val="28"/>
          <w:highlight w:val="none"/>
          <w:u w:val="single"/>
        </w:rPr>
        <w:t>（中型企业、小型企业、微型企业）</w:t>
      </w:r>
      <w:r>
        <w:rPr>
          <w:rFonts w:hint="eastAsia" w:ascii="仿宋" w:hAnsi="仿宋" w:eastAsia="仿宋" w:cs="宋体"/>
          <w:color w:val="auto"/>
          <w:kern w:val="0"/>
          <w:sz w:val="28"/>
          <w:szCs w:val="28"/>
          <w:highlight w:val="none"/>
        </w:rPr>
        <w:t>；</w:t>
      </w:r>
    </w:p>
    <w:p>
      <w:pPr>
        <w:widowControl/>
        <w:autoSpaceDN w:val="0"/>
        <w:spacing w:before="60" w:after="60" w:line="312" w:lineRule="auto"/>
        <w:ind w:firstLine="560" w:firstLineChars="20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w:t>
      </w:r>
    </w:p>
    <w:p>
      <w:pPr>
        <w:autoSpaceDN w:val="0"/>
        <w:spacing w:line="360" w:lineRule="auto"/>
        <w:ind w:firstLine="565" w:firstLineChars="202"/>
        <w:jc w:val="left"/>
        <w:rPr>
          <w:rFonts w:ascii="仿宋" w:hAnsi="仿宋" w:eastAsia="仿宋" w:cs="Arial"/>
          <w:color w:val="auto"/>
          <w:kern w:val="0"/>
          <w:sz w:val="28"/>
          <w:szCs w:val="28"/>
          <w:highlight w:val="none"/>
        </w:rPr>
      </w:pPr>
      <w:r>
        <w:rPr>
          <w:rFonts w:hint="eastAsia" w:ascii="仿宋" w:hAnsi="仿宋" w:eastAsia="仿宋" w:cs="Arial"/>
          <w:color w:val="auto"/>
          <w:kern w:val="0"/>
          <w:sz w:val="28"/>
          <w:szCs w:val="28"/>
          <w:highlight w:val="none"/>
        </w:rPr>
        <w:t>以上企业，不属于大企业的分支机构，不存在控股股东为大企业的情形，也不存在与大企业的负责人为同一人的情形。</w:t>
      </w:r>
    </w:p>
    <w:p>
      <w:pPr>
        <w:autoSpaceDN w:val="0"/>
        <w:spacing w:line="360" w:lineRule="auto"/>
        <w:ind w:firstLine="565" w:firstLineChars="202"/>
        <w:jc w:val="left"/>
        <w:rPr>
          <w:rFonts w:ascii="仿宋" w:hAnsi="仿宋" w:eastAsia="仿宋" w:cs="Arial"/>
          <w:color w:val="auto"/>
          <w:kern w:val="0"/>
          <w:sz w:val="28"/>
          <w:szCs w:val="28"/>
          <w:highlight w:val="none"/>
        </w:rPr>
      </w:pPr>
      <w:r>
        <w:rPr>
          <w:rFonts w:hint="eastAsia" w:ascii="仿宋" w:hAnsi="仿宋" w:eastAsia="仿宋" w:cs="Arial"/>
          <w:color w:val="auto"/>
          <w:kern w:val="0"/>
          <w:sz w:val="28"/>
          <w:szCs w:val="28"/>
          <w:highlight w:val="none"/>
        </w:rPr>
        <w:t>本企业对上述声明内容的真实性负责。如有虚假，将依法承担相应责任。</w:t>
      </w:r>
    </w:p>
    <w:p>
      <w:pPr>
        <w:autoSpaceDN w:val="0"/>
        <w:spacing w:line="360" w:lineRule="auto"/>
        <w:ind w:left="3570" w:leftChars="1700" w:firstLine="565" w:firstLineChars="202"/>
        <w:jc w:val="left"/>
        <w:rPr>
          <w:rFonts w:ascii="仿宋" w:hAnsi="仿宋" w:eastAsia="仿宋" w:cs="Arial"/>
          <w:color w:val="auto"/>
          <w:kern w:val="0"/>
          <w:sz w:val="28"/>
          <w:szCs w:val="28"/>
          <w:highlight w:val="none"/>
        </w:rPr>
      </w:pPr>
      <w:r>
        <w:rPr>
          <w:rFonts w:hint="eastAsia" w:ascii="仿宋" w:hAnsi="仿宋" w:eastAsia="仿宋" w:cs="Arial"/>
          <w:color w:val="auto"/>
          <w:kern w:val="0"/>
          <w:sz w:val="28"/>
          <w:szCs w:val="28"/>
          <w:highlight w:val="none"/>
        </w:rPr>
        <w:t>企业名称（盖章）：</w:t>
      </w:r>
    </w:p>
    <w:p>
      <w:pPr>
        <w:autoSpaceDN w:val="0"/>
        <w:spacing w:line="360" w:lineRule="auto"/>
        <w:ind w:left="3570" w:leftChars="1700" w:firstLine="565" w:firstLineChars="202"/>
        <w:jc w:val="left"/>
        <w:rPr>
          <w:rFonts w:ascii="仿宋" w:hAnsi="仿宋" w:eastAsia="仿宋" w:cs="Arial"/>
          <w:color w:val="auto"/>
          <w:kern w:val="0"/>
          <w:sz w:val="28"/>
          <w:szCs w:val="28"/>
          <w:highlight w:val="none"/>
        </w:rPr>
      </w:pPr>
      <w:r>
        <w:rPr>
          <w:rFonts w:hint="eastAsia" w:ascii="仿宋" w:hAnsi="仿宋" w:eastAsia="仿宋" w:cs="Arial"/>
          <w:color w:val="auto"/>
          <w:kern w:val="0"/>
          <w:sz w:val="28"/>
          <w:szCs w:val="28"/>
          <w:highlight w:val="none"/>
        </w:rPr>
        <w:t>日期：</w:t>
      </w:r>
    </w:p>
    <w:p>
      <w:pPr>
        <w:widowControl/>
        <w:autoSpaceDE w:val="0"/>
        <w:autoSpaceDN w:val="0"/>
        <w:snapToGrid w:val="0"/>
        <w:spacing w:before="120" w:line="400" w:lineRule="atLeast"/>
        <w:ind w:firstLine="570"/>
        <w:textAlignment w:val="bottom"/>
        <w:rPr>
          <w:rFonts w:ascii="仿宋" w:hAnsi="仿宋" w:eastAsia="仿宋" w:cs="仿宋"/>
          <w:b/>
          <w:bCs/>
          <w:color w:val="auto"/>
          <w:kern w:val="0"/>
          <w:sz w:val="24"/>
          <w:szCs w:val="20"/>
          <w:highlight w:val="none"/>
        </w:rPr>
      </w:pPr>
      <w:r>
        <w:rPr>
          <w:rFonts w:hint="eastAsia" w:ascii="仿宋" w:hAnsi="仿宋" w:eastAsia="仿宋" w:cs="仿宋"/>
          <w:b/>
          <w:bCs/>
          <w:color w:val="auto"/>
          <w:kern w:val="0"/>
          <w:sz w:val="24"/>
          <w:szCs w:val="20"/>
          <w:highlight w:val="none"/>
        </w:rPr>
        <w:t>备注：1、从业人员、营业收入、资产总额填报上一年度数据，无上一年度数据的新成立企业可不填报。</w:t>
      </w:r>
    </w:p>
    <w:p>
      <w:pPr>
        <w:widowControl/>
        <w:autoSpaceDE w:val="0"/>
        <w:autoSpaceDN w:val="0"/>
        <w:snapToGrid w:val="0"/>
        <w:spacing w:before="120" w:line="400" w:lineRule="atLeast"/>
        <w:ind w:firstLine="570"/>
        <w:textAlignment w:val="bottom"/>
        <w:rPr>
          <w:rFonts w:ascii="仿宋" w:hAnsi="仿宋" w:eastAsia="仿宋" w:cs="仿宋"/>
          <w:b/>
          <w:bCs/>
          <w:color w:val="auto"/>
          <w:kern w:val="0"/>
          <w:sz w:val="24"/>
          <w:szCs w:val="20"/>
          <w:highlight w:val="none"/>
        </w:rPr>
      </w:pPr>
    </w:p>
    <w:p>
      <w:pPr>
        <w:widowControl/>
        <w:autoSpaceDE w:val="0"/>
        <w:autoSpaceDN w:val="0"/>
        <w:snapToGrid w:val="0"/>
        <w:spacing w:before="120" w:line="400" w:lineRule="atLeast"/>
        <w:ind w:firstLine="570"/>
        <w:textAlignment w:val="bottom"/>
        <w:rPr>
          <w:rFonts w:ascii="仿宋" w:hAnsi="仿宋" w:eastAsia="仿宋" w:cs="仿宋"/>
          <w:b/>
          <w:bCs/>
          <w:color w:val="auto"/>
          <w:kern w:val="0"/>
          <w:sz w:val="24"/>
          <w:szCs w:val="20"/>
          <w:highlight w:val="none"/>
        </w:rPr>
      </w:pPr>
    </w:p>
    <w:p>
      <w:pPr>
        <w:autoSpaceDN w:val="0"/>
        <w:spacing w:line="312" w:lineRule="auto"/>
        <w:rPr>
          <w:rFonts w:ascii="仿宋" w:hAnsi="仿宋" w:eastAsia="仿宋" w:cs="Times New Roman"/>
          <w:b/>
          <w:color w:val="auto"/>
          <w:sz w:val="36"/>
          <w:szCs w:val="36"/>
          <w:highlight w:val="none"/>
        </w:rPr>
      </w:pPr>
    </w:p>
    <w:p>
      <w:pPr>
        <w:autoSpaceDN w:val="0"/>
        <w:spacing w:line="312" w:lineRule="auto"/>
        <w:rPr>
          <w:rFonts w:ascii="仿宋" w:hAnsi="仿宋" w:eastAsia="仿宋" w:cs="Times New Roman"/>
          <w:b/>
          <w:color w:val="auto"/>
          <w:sz w:val="28"/>
          <w:szCs w:val="28"/>
          <w:highlight w:val="none"/>
        </w:rPr>
      </w:pPr>
    </w:p>
    <w:p>
      <w:pPr>
        <w:autoSpaceDN w:val="0"/>
        <w:spacing w:line="312" w:lineRule="auto"/>
        <w:rPr>
          <w:rFonts w:hint="eastAsia" w:ascii="仿宋" w:hAnsi="仿宋" w:eastAsia="仿宋" w:cs="Times New Roman"/>
          <w:b/>
          <w:color w:val="auto"/>
          <w:sz w:val="28"/>
          <w:szCs w:val="28"/>
          <w:highlight w:val="none"/>
        </w:rPr>
      </w:pPr>
    </w:p>
    <w:p>
      <w:pPr>
        <w:autoSpaceDN w:val="0"/>
        <w:spacing w:line="312" w:lineRule="auto"/>
        <w:rPr>
          <w:rFonts w:ascii="仿宋" w:hAnsi="仿宋" w:eastAsia="仿宋" w:cs="Times New Roman"/>
          <w:b/>
          <w:color w:val="auto"/>
          <w:sz w:val="28"/>
          <w:szCs w:val="28"/>
          <w:highlight w:val="none"/>
        </w:rPr>
      </w:pPr>
      <w:r>
        <w:rPr>
          <w:rFonts w:hint="eastAsia" w:ascii="仿宋" w:hAnsi="仿宋" w:eastAsia="仿宋" w:cs="Times New Roman"/>
          <w:b/>
          <w:color w:val="auto"/>
          <w:sz w:val="28"/>
          <w:szCs w:val="28"/>
          <w:highlight w:val="none"/>
          <w:lang w:eastAsia="zh-CN"/>
        </w:rPr>
        <w:t>（</w:t>
      </w:r>
      <w:r>
        <w:rPr>
          <w:rFonts w:hint="eastAsia" w:ascii="仿宋" w:hAnsi="仿宋" w:eastAsia="仿宋" w:cs="Times New Roman"/>
          <w:b/>
          <w:color w:val="auto"/>
          <w:sz w:val="28"/>
          <w:szCs w:val="28"/>
          <w:highlight w:val="none"/>
          <w:lang w:val="en-US" w:eastAsia="zh-CN"/>
        </w:rPr>
        <w:t>1</w:t>
      </w:r>
      <w:r>
        <w:rPr>
          <w:rFonts w:hint="eastAsia" w:ascii="仿宋" w:hAnsi="仿宋" w:eastAsia="仿宋" w:cs="Times New Roman"/>
          <w:b/>
          <w:color w:val="auto"/>
          <w:sz w:val="28"/>
          <w:szCs w:val="28"/>
          <w:highlight w:val="none"/>
          <w:lang w:eastAsia="zh-CN"/>
        </w:rPr>
        <w:t>）</w:t>
      </w:r>
      <w:r>
        <w:rPr>
          <w:rFonts w:hint="eastAsia" w:ascii="仿宋" w:hAnsi="仿宋" w:eastAsia="仿宋" w:cs="Times New Roman"/>
          <w:b/>
          <w:color w:val="auto"/>
          <w:sz w:val="28"/>
          <w:szCs w:val="28"/>
          <w:highlight w:val="none"/>
        </w:rPr>
        <w:t>残疾人福利性单位声明函</w:t>
      </w:r>
      <w:bookmarkStart w:id="189" w:name="_Hlk97621277"/>
      <w:r>
        <w:rPr>
          <w:rFonts w:hint="eastAsia" w:ascii="仿宋" w:hAnsi="仿宋" w:eastAsia="仿宋" w:cs="Times New Roman"/>
          <w:b/>
          <w:color w:val="auto"/>
          <w:sz w:val="28"/>
          <w:szCs w:val="28"/>
          <w:highlight w:val="none"/>
        </w:rPr>
        <w:t>（如是）</w:t>
      </w:r>
      <w:bookmarkEnd w:id="189"/>
    </w:p>
    <w:p>
      <w:pPr>
        <w:autoSpaceDN w:val="0"/>
        <w:spacing w:before="240" w:line="360" w:lineRule="auto"/>
        <w:jc w:val="center"/>
        <w:rPr>
          <w:rFonts w:ascii="仿宋" w:hAnsi="仿宋" w:eastAsia="仿宋" w:cs="Times New Roman"/>
          <w:b/>
          <w:color w:val="auto"/>
          <w:spacing w:val="6"/>
          <w:sz w:val="32"/>
          <w:szCs w:val="32"/>
          <w:highlight w:val="none"/>
        </w:rPr>
      </w:pPr>
      <w:r>
        <w:rPr>
          <w:rFonts w:hint="eastAsia" w:ascii="仿宋" w:hAnsi="仿宋" w:eastAsia="仿宋" w:cs="Times New Roman"/>
          <w:b/>
          <w:color w:val="auto"/>
          <w:sz w:val="32"/>
          <w:szCs w:val="32"/>
          <w:highlight w:val="none"/>
        </w:rPr>
        <w:t>残疾人福利性单位声明函</w:t>
      </w:r>
    </w:p>
    <w:p>
      <w:pPr>
        <w:autoSpaceDN w:val="0"/>
        <w:spacing w:line="360" w:lineRule="auto"/>
        <w:ind w:firstLine="584" w:firstLineChars="200"/>
        <w:rPr>
          <w:rFonts w:ascii="仿宋" w:hAnsi="仿宋" w:eastAsia="仿宋" w:cs="Times New Roman"/>
          <w:color w:val="auto"/>
          <w:spacing w:val="6"/>
          <w:sz w:val="28"/>
          <w:szCs w:val="24"/>
          <w:highlight w:val="none"/>
        </w:rPr>
      </w:pPr>
      <w:r>
        <w:rPr>
          <w:rFonts w:hint="eastAsia" w:ascii="仿宋" w:hAnsi="仿宋" w:eastAsia="仿宋" w:cs="Times New Roman"/>
          <w:color w:val="auto"/>
          <w:spacing w:val="6"/>
          <w:sz w:val="28"/>
          <w:szCs w:val="24"/>
          <w:highlight w:val="none"/>
        </w:rPr>
        <w:t>本单位郑重声明，根据《财政部 民政部 中国残疾人联合会关于促进残疾人就业政府采购政策的通知》（财库</w:t>
      </w:r>
      <w:r>
        <w:rPr>
          <w:rFonts w:hint="eastAsia" w:ascii="仿宋" w:hAnsi="仿宋" w:eastAsia="仿宋" w:cs="Times New Roman"/>
          <w:color w:val="auto"/>
          <w:sz w:val="28"/>
          <w:szCs w:val="24"/>
          <w:highlight w:val="none"/>
        </w:rPr>
        <w:t>〔2017〕141</w:t>
      </w:r>
      <w:r>
        <w:rPr>
          <w:rFonts w:hint="eastAsia" w:ascii="仿宋" w:hAnsi="仿宋" w:eastAsia="仿宋" w:cs="Times New Roman"/>
          <w:color w:val="auto"/>
          <w:spacing w:val="6"/>
          <w:sz w:val="28"/>
          <w:szCs w:val="24"/>
          <w:highlight w:val="none"/>
        </w:rPr>
        <w:t>号）的规定，本单位为符合条件的残疾人福利性单位，且本单位参加</w:t>
      </w:r>
      <w:r>
        <w:rPr>
          <w:rFonts w:hint="eastAsia" w:ascii="仿宋" w:hAnsi="仿宋" w:eastAsia="仿宋" w:cs="宋体"/>
          <w:b/>
          <w:bCs/>
          <w:color w:val="auto"/>
          <w:kern w:val="0"/>
          <w:sz w:val="28"/>
          <w:szCs w:val="28"/>
          <w:highlight w:val="none"/>
          <w:u w:val="single"/>
          <w:lang w:eastAsia="zh-CN"/>
        </w:rPr>
        <w:t>省拱宸所戒毒法治基地配套项目标一</w:t>
      </w:r>
      <w:r>
        <w:rPr>
          <w:rFonts w:hint="eastAsia" w:ascii="仿宋" w:hAnsi="仿宋" w:eastAsia="仿宋" w:cs="宋体"/>
          <w:b/>
          <w:bCs/>
          <w:color w:val="auto"/>
          <w:kern w:val="0"/>
          <w:sz w:val="28"/>
          <w:szCs w:val="28"/>
          <w:highlight w:val="none"/>
          <w:u w:val="single"/>
        </w:rPr>
        <w:t>（项目编号：</w:t>
      </w:r>
      <w:r>
        <w:rPr>
          <w:rFonts w:hint="eastAsia" w:ascii="仿宋" w:hAnsi="仿宋" w:eastAsia="仿宋" w:cs="宋体"/>
          <w:b/>
          <w:bCs/>
          <w:color w:val="auto"/>
          <w:kern w:val="0"/>
          <w:sz w:val="28"/>
          <w:szCs w:val="28"/>
          <w:highlight w:val="none"/>
          <w:u w:val="single"/>
          <w:lang w:eastAsia="zh-CN"/>
        </w:rPr>
        <w:t>HSZB-2024-329</w:t>
      </w:r>
      <w:r>
        <w:rPr>
          <w:rFonts w:hint="eastAsia" w:ascii="仿宋" w:hAnsi="仿宋" w:eastAsia="仿宋" w:cs="宋体"/>
          <w:b/>
          <w:bCs/>
          <w:color w:val="auto"/>
          <w:kern w:val="0"/>
          <w:sz w:val="28"/>
          <w:szCs w:val="28"/>
          <w:highlight w:val="none"/>
          <w:u w:val="single"/>
        </w:rPr>
        <w:t>）</w:t>
      </w:r>
      <w:r>
        <w:rPr>
          <w:rFonts w:hint="eastAsia" w:ascii="仿宋" w:hAnsi="仿宋" w:eastAsia="仿宋" w:cs="Times New Roman"/>
          <w:color w:val="auto"/>
          <w:spacing w:val="6"/>
          <w:sz w:val="28"/>
          <w:szCs w:val="24"/>
          <w:highlight w:val="none"/>
        </w:rPr>
        <w:t>的采购活动，由本单位承担工程。</w:t>
      </w:r>
    </w:p>
    <w:p>
      <w:pPr>
        <w:autoSpaceDN w:val="0"/>
        <w:spacing w:line="360" w:lineRule="auto"/>
        <w:ind w:firstLine="584" w:firstLineChars="200"/>
        <w:rPr>
          <w:rFonts w:ascii="仿宋" w:hAnsi="仿宋" w:eastAsia="仿宋" w:cs="Times New Roman"/>
          <w:color w:val="auto"/>
          <w:spacing w:val="6"/>
          <w:sz w:val="28"/>
          <w:szCs w:val="24"/>
          <w:highlight w:val="none"/>
        </w:rPr>
      </w:pPr>
      <w:r>
        <w:rPr>
          <w:rFonts w:hint="eastAsia" w:ascii="仿宋" w:hAnsi="仿宋" w:eastAsia="仿宋" w:cs="Times New Roman"/>
          <w:color w:val="auto"/>
          <w:spacing w:val="6"/>
          <w:sz w:val="28"/>
          <w:szCs w:val="24"/>
          <w:highlight w:val="none"/>
        </w:rPr>
        <w:t>本单位对上述声明的真实性负责。如有虚假，将依法承担相应责任。</w:t>
      </w:r>
    </w:p>
    <w:p>
      <w:pPr>
        <w:widowControl/>
        <w:autoSpaceDE w:val="0"/>
        <w:autoSpaceDN w:val="0"/>
        <w:snapToGrid w:val="0"/>
        <w:spacing w:before="120" w:line="400" w:lineRule="atLeast"/>
        <w:ind w:firstLine="570"/>
        <w:textAlignment w:val="bottom"/>
        <w:rPr>
          <w:rFonts w:ascii="宋体" w:hAnsi="Calibri" w:eastAsia="宋体" w:cs="Times New Roman"/>
          <w:color w:val="auto"/>
          <w:kern w:val="0"/>
          <w:sz w:val="24"/>
          <w:szCs w:val="20"/>
          <w:highlight w:val="none"/>
        </w:rPr>
      </w:pPr>
    </w:p>
    <w:p>
      <w:pPr>
        <w:autoSpaceDN w:val="0"/>
        <w:spacing w:line="360" w:lineRule="auto"/>
        <w:ind w:firstLine="504" w:firstLineChars="200"/>
        <w:rPr>
          <w:rFonts w:ascii="仿宋" w:hAnsi="仿宋" w:eastAsia="仿宋" w:cs="Times New Roman"/>
          <w:color w:val="auto"/>
          <w:spacing w:val="6"/>
          <w:sz w:val="24"/>
          <w:szCs w:val="24"/>
          <w:highlight w:val="none"/>
        </w:rPr>
      </w:pPr>
    </w:p>
    <w:p>
      <w:pPr>
        <w:autoSpaceDN w:val="0"/>
        <w:spacing w:line="360" w:lineRule="auto"/>
        <w:ind w:firstLine="504" w:firstLineChars="200"/>
        <w:rPr>
          <w:rFonts w:ascii="仿宋" w:hAnsi="仿宋" w:eastAsia="仿宋" w:cs="Times New Roman"/>
          <w:color w:val="auto"/>
          <w:spacing w:val="6"/>
          <w:sz w:val="24"/>
          <w:szCs w:val="24"/>
          <w:highlight w:val="none"/>
        </w:rPr>
      </w:pPr>
    </w:p>
    <w:p>
      <w:pPr>
        <w:tabs>
          <w:tab w:val="left" w:pos="4860"/>
        </w:tabs>
        <w:autoSpaceDN w:val="0"/>
        <w:spacing w:line="360" w:lineRule="auto"/>
        <w:ind w:right="1560"/>
        <w:jc w:val="left"/>
        <w:rPr>
          <w:rFonts w:ascii="仿宋" w:hAnsi="仿宋" w:eastAsia="仿宋" w:cs="Times New Roman"/>
          <w:color w:val="auto"/>
          <w:spacing w:val="6"/>
          <w:sz w:val="28"/>
          <w:szCs w:val="24"/>
          <w:highlight w:val="none"/>
        </w:rPr>
      </w:pPr>
      <w:r>
        <w:rPr>
          <w:rFonts w:hint="eastAsia" w:ascii="仿宋" w:hAnsi="仿宋" w:eastAsia="仿宋" w:cs="Times New Roman"/>
          <w:color w:val="auto"/>
          <w:spacing w:val="6"/>
          <w:sz w:val="28"/>
          <w:szCs w:val="24"/>
          <w:highlight w:val="none"/>
        </w:rPr>
        <w:t>单位名称（盖章）：</w:t>
      </w:r>
      <w:r>
        <w:rPr>
          <w:rFonts w:hint="eastAsia" w:ascii="仿宋" w:hAnsi="仿宋" w:eastAsia="仿宋" w:cs="Arial"/>
          <w:color w:val="auto"/>
          <w:w w:val="90"/>
          <w:kern w:val="0"/>
          <w:sz w:val="28"/>
          <w:szCs w:val="24"/>
          <w:highlight w:val="none"/>
        </w:rPr>
        <w:t>__________________________________</w:t>
      </w:r>
    </w:p>
    <w:p>
      <w:pPr>
        <w:autoSpaceDN w:val="0"/>
        <w:spacing w:line="360" w:lineRule="auto"/>
        <w:rPr>
          <w:rFonts w:ascii="仿宋" w:hAnsi="仿宋" w:eastAsia="仿宋" w:cs="Arial"/>
          <w:color w:val="auto"/>
          <w:w w:val="90"/>
          <w:kern w:val="0"/>
          <w:sz w:val="28"/>
          <w:szCs w:val="24"/>
          <w:highlight w:val="none"/>
        </w:rPr>
      </w:pPr>
      <w:r>
        <w:rPr>
          <w:rFonts w:hint="eastAsia" w:ascii="仿宋" w:hAnsi="仿宋" w:eastAsia="仿宋" w:cs="Times New Roman"/>
          <w:color w:val="auto"/>
          <w:spacing w:val="6"/>
          <w:sz w:val="28"/>
          <w:szCs w:val="24"/>
          <w:highlight w:val="none"/>
        </w:rPr>
        <w:t>日期：</w:t>
      </w:r>
      <w:r>
        <w:rPr>
          <w:rFonts w:hint="eastAsia" w:ascii="仿宋" w:hAnsi="仿宋" w:eastAsia="仿宋" w:cs="Arial"/>
          <w:color w:val="auto"/>
          <w:w w:val="90"/>
          <w:kern w:val="0"/>
          <w:sz w:val="28"/>
          <w:szCs w:val="24"/>
          <w:highlight w:val="none"/>
        </w:rPr>
        <w:t>____________________________________________</w:t>
      </w:r>
    </w:p>
    <w:p>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备注：（1）符合《财政部、民政部、中国残疾人联合会关于促进残疾人就业政府采购政策的通知》（财库[2017]141号）规定的残疾人福利性单位，在全部提供本单位制造的货物（由本单位承担工程/提供服务）或者提供其他残疾人福利性单位制造的货物（不包括使用非残疾人福利性单位注册商标的货物）参加本政府采购活动时，视同小型、微型企业。</w:t>
      </w:r>
    </w:p>
    <w:p>
      <w:pPr>
        <w:autoSpaceDN w:val="0"/>
        <w:spacing w:line="360" w:lineRule="auto"/>
        <w:ind w:firstLine="482" w:firstLineChars="200"/>
        <w:rPr>
          <w:rFonts w:ascii="仿宋" w:hAnsi="仿宋" w:eastAsia="仿宋" w:cs="Times New Roman"/>
          <w:b/>
          <w:bCs/>
          <w:color w:val="auto"/>
          <w:sz w:val="24"/>
          <w:szCs w:val="20"/>
          <w:highlight w:val="none"/>
        </w:rPr>
      </w:pPr>
      <w:r>
        <w:rPr>
          <w:rFonts w:hint="eastAsia" w:ascii="仿宋" w:hAnsi="仿宋" w:eastAsia="仿宋" w:cs="Times New Roman"/>
          <w:b/>
          <w:bCs/>
          <w:color w:val="auto"/>
          <w:sz w:val="24"/>
          <w:szCs w:val="20"/>
          <w:highlight w:val="none"/>
        </w:rPr>
        <w:t>（2）残疾人福利性单位证明材料：残疾人福利性单位声明函，如提供其他残疾人福利性单位制造的货物，还须同时提供该企业的残疾人福利性单位声明函。</w:t>
      </w:r>
    </w:p>
    <w:p>
      <w:pPr>
        <w:keepNext/>
        <w:keepLines/>
        <w:autoSpaceDN w:val="0"/>
        <w:spacing w:line="360" w:lineRule="auto"/>
        <w:jc w:val="left"/>
        <w:outlineLvl w:val="3"/>
        <w:rPr>
          <w:rFonts w:ascii="仿宋" w:hAnsi="仿宋" w:eastAsia="仿宋" w:cs="Times New Roman"/>
          <w:b/>
          <w:bCs/>
          <w:color w:val="auto"/>
          <w:sz w:val="28"/>
          <w:szCs w:val="28"/>
          <w:highlight w:val="none"/>
        </w:rPr>
      </w:pPr>
      <w:r>
        <w:rPr>
          <w:rFonts w:hint="eastAsia" w:ascii="华文中宋" w:hAnsi="华文中宋" w:eastAsia="华文中宋" w:cs="Times New Roman"/>
          <w:b/>
          <w:bCs/>
          <w:color w:val="auto"/>
          <w:sz w:val="28"/>
          <w:szCs w:val="28"/>
          <w:highlight w:val="none"/>
        </w:rPr>
        <w:br w:type="page"/>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lang w:eastAsia="zh-CN"/>
        </w:rPr>
        <w:t>）</w:t>
      </w:r>
      <w:r>
        <w:rPr>
          <w:rFonts w:hint="eastAsia" w:ascii="仿宋" w:hAnsi="仿宋" w:eastAsia="仿宋" w:cs="Times New Roman"/>
          <w:b/>
          <w:bCs/>
          <w:color w:val="auto"/>
          <w:sz w:val="28"/>
          <w:szCs w:val="28"/>
          <w:highlight w:val="none"/>
        </w:rPr>
        <w:t>监狱企业证明文件（如是）</w:t>
      </w:r>
    </w:p>
    <w:p>
      <w:pPr>
        <w:autoSpaceDN w:val="0"/>
        <w:spacing w:before="240" w:line="360" w:lineRule="auto"/>
        <w:jc w:val="center"/>
        <w:rPr>
          <w:rFonts w:ascii="仿宋" w:hAnsi="仿宋" w:eastAsia="仿宋" w:cs="Times New Roman"/>
          <w:b/>
          <w:color w:val="auto"/>
          <w:sz w:val="32"/>
          <w:szCs w:val="32"/>
          <w:highlight w:val="none"/>
        </w:rPr>
      </w:pPr>
      <w:r>
        <w:rPr>
          <w:rFonts w:hint="eastAsia" w:ascii="仿宋" w:hAnsi="仿宋" w:eastAsia="仿宋" w:cs="Times New Roman"/>
          <w:b/>
          <w:color w:val="auto"/>
          <w:sz w:val="32"/>
          <w:szCs w:val="32"/>
          <w:highlight w:val="none"/>
        </w:rPr>
        <w:t>监狱企业证明文件</w:t>
      </w:r>
    </w:p>
    <w:tbl>
      <w:tblPr>
        <w:tblStyle w:val="61"/>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7642" w:hRule="atLeast"/>
        </w:trPr>
        <w:tc>
          <w:tcPr>
            <w:tcW w:w="9037" w:type="dxa"/>
            <w:tcBorders>
              <w:top w:val="dotDash" w:color="000000" w:sz="4" w:space="0"/>
              <w:left w:val="dotDash" w:color="000000" w:sz="4" w:space="0"/>
              <w:bottom w:val="dotDash" w:color="000000" w:sz="4" w:space="0"/>
              <w:right w:val="dotDash" w:color="000000" w:sz="4" w:space="0"/>
            </w:tcBorders>
            <w:vAlign w:val="center"/>
          </w:tcPr>
          <w:p>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备注:（1）根据《关于政府采购支持监狱企业发展有关问题的通知》（财库[2014]68号）的规定，符合规定要求的供应商视同为小型和微型企业。</w:t>
            </w:r>
          </w:p>
          <w:p>
            <w:pPr>
              <w:autoSpaceDN w:val="0"/>
              <w:spacing w:line="360" w:lineRule="auto"/>
              <w:ind w:firstLine="426" w:firstLineChars="177"/>
              <w:rPr>
                <w:rFonts w:ascii="仿宋" w:hAnsi="仿宋" w:eastAsia="仿宋" w:cs="Arial"/>
                <w:b/>
                <w:i/>
                <w:color w:val="auto"/>
                <w:kern w:val="0"/>
                <w:sz w:val="28"/>
                <w:szCs w:val="24"/>
                <w:highlight w:val="none"/>
              </w:rPr>
            </w:pPr>
            <w:r>
              <w:rPr>
                <w:rFonts w:hint="eastAsia" w:ascii="仿宋" w:hAnsi="仿宋" w:eastAsia="仿宋" w:cs="Times New Roman"/>
                <w:b/>
                <w:color w:val="auto"/>
                <w:sz w:val="24"/>
                <w:szCs w:val="20"/>
                <w:highlight w:val="none"/>
              </w:rPr>
              <w:t>（2）监狱企业证明文件：省级或以上监狱管理局、戒毒管理局（含新疆生产建设兵团）出具的属于监狱企业的证明文件，如提供其他监狱企业制造的货物，还须同时提供该企业为监狱企业的证明文件。提供扫描件加盖磋商响应供应商公章</w:t>
            </w:r>
          </w:p>
        </w:tc>
      </w:tr>
    </w:tbl>
    <w:p>
      <w:pPr>
        <w:widowControl/>
        <w:jc w:val="left"/>
        <w:rPr>
          <w:rFonts w:ascii="仿宋_GB2312" w:hAnsi="仿宋" w:eastAsia="仿宋_GB2312" w:cs="仿宋_GB2312"/>
          <w:color w:val="auto"/>
          <w:kern w:val="0"/>
          <w:sz w:val="24"/>
          <w:szCs w:val="20"/>
          <w:highlight w:val="none"/>
        </w:rPr>
        <w:sectPr>
          <w:headerReference r:id="rId16" w:type="default"/>
          <w:footerReference r:id="rId17" w:type="default"/>
          <w:pgSz w:w="11910" w:h="16840"/>
          <w:pgMar w:top="1418" w:right="1418" w:bottom="1418" w:left="1418" w:header="851" w:footer="1077" w:gutter="0"/>
          <w:cols w:space="720" w:num="1"/>
          <w:docGrid w:linePitch="286" w:charSpace="0"/>
        </w:sectPr>
      </w:pPr>
    </w:p>
    <w:p>
      <w:pPr>
        <w:widowControl/>
        <w:autoSpaceDE w:val="0"/>
        <w:autoSpaceDN w:val="0"/>
        <w:spacing w:before="120" w:beforeLines="50" w:after="120" w:afterLines="50" w:line="300" w:lineRule="auto"/>
        <w:ind w:firstLine="281" w:firstLineChars="100"/>
        <w:outlineLvl w:val="2"/>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▲1-3符合“申请人的资格要求”第3条“本项目的特定资格要求”的证明文件</w:t>
      </w:r>
    </w:p>
    <w:tbl>
      <w:tblPr>
        <w:tblStyle w:val="61"/>
        <w:tblW w:w="9045"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45"/>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1295" w:hRule="atLeast"/>
        </w:trPr>
        <w:tc>
          <w:tcPr>
            <w:tcW w:w="9040" w:type="dxa"/>
            <w:tcBorders>
              <w:top w:val="dotDash" w:color="000000" w:sz="4" w:space="0"/>
              <w:left w:val="dotDash" w:color="000000" w:sz="4" w:space="0"/>
              <w:bottom w:val="dotDash" w:color="000000" w:sz="4" w:space="0"/>
              <w:right w:val="dotDash" w:color="000000" w:sz="4" w:space="0"/>
            </w:tcBorders>
            <w:vAlign w:val="center"/>
          </w:tcPr>
          <w:p>
            <w:pPr>
              <w:autoSpaceDN w:val="0"/>
              <w:spacing w:line="360" w:lineRule="auto"/>
              <w:ind w:firstLine="703" w:firstLineChars="250"/>
              <w:rPr>
                <w:rFonts w:ascii="仿宋" w:hAnsi="仿宋" w:eastAsia="仿宋" w:cs="Times New Roman"/>
                <w:b/>
                <w:color w:val="auto"/>
                <w:sz w:val="28"/>
                <w:szCs w:val="24"/>
                <w:highlight w:val="none"/>
              </w:rPr>
            </w:pPr>
            <w:r>
              <w:rPr>
                <w:rFonts w:hint="eastAsia" w:ascii="仿宋" w:hAnsi="仿宋" w:eastAsia="仿宋" w:cs="Times New Roman"/>
                <w:b/>
                <w:color w:val="auto"/>
                <w:sz w:val="28"/>
                <w:szCs w:val="24"/>
                <w:highlight w:val="none"/>
              </w:rPr>
              <w:t>（1）▲</w:t>
            </w:r>
            <w:r>
              <w:rPr>
                <w:rFonts w:hint="eastAsia" w:ascii="仿宋" w:hAnsi="仿宋" w:eastAsia="仿宋" w:cs="Times New Roman"/>
                <w:b/>
                <w:color w:val="auto"/>
                <w:sz w:val="28"/>
                <w:szCs w:val="24"/>
                <w:highlight w:val="none"/>
                <w:lang w:val="en-US" w:eastAsia="zh-CN"/>
              </w:rPr>
              <w:t>具备市政公用工程施工总承包三级及以资质</w:t>
            </w:r>
            <w:r>
              <w:rPr>
                <w:rFonts w:hint="eastAsia" w:ascii="仿宋" w:hAnsi="仿宋" w:eastAsia="仿宋" w:cs="Times New Roman"/>
                <w:b/>
                <w:color w:val="auto"/>
                <w:sz w:val="28"/>
                <w:szCs w:val="24"/>
                <w:highlight w:val="none"/>
              </w:rPr>
              <w:t>（扫描件加盖磋商响应供应商公章）；</w:t>
            </w:r>
          </w:p>
          <w:p>
            <w:pPr>
              <w:autoSpaceDN w:val="0"/>
              <w:spacing w:line="360" w:lineRule="auto"/>
              <w:ind w:firstLine="703" w:firstLineChars="250"/>
              <w:rPr>
                <w:rFonts w:ascii="仿宋" w:hAnsi="仿宋" w:eastAsia="仿宋" w:cs="Times New Roman"/>
                <w:b/>
                <w:color w:val="auto"/>
                <w:sz w:val="28"/>
                <w:szCs w:val="24"/>
                <w:highlight w:val="none"/>
              </w:rPr>
            </w:pPr>
            <w:r>
              <w:rPr>
                <w:rFonts w:hint="eastAsia" w:ascii="仿宋" w:hAnsi="仿宋" w:eastAsia="仿宋" w:cs="Times New Roman"/>
                <w:b/>
                <w:color w:val="auto"/>
                <w:sz w:val="28"/>
                <w:szCs w:val="24"/>
                <w:highlight w:val="none"/>
              </w:rPr>
              <w:t>（2）▲企业《安全生产许可证》证书（扫描件加盖磋商响应供应商公章）；</w:t>
            </w:r>
          </w:p>
          <w:p>
            <w:pPr>
              <w:autoSpaceDN w:val="0"/>
              <w:spacing w:line="360" w:lineRule="auto"/>
              <w:ind w:firstLine="703" w:firstLineChars="250"/>
              <w:rPr>
                <w:rFonts w:ascii="仿宋" w:hAnsi="仿宋" w:eastAsia="仿宋" w:cs="Times New Roman"/>
                <w:b/>
                <w:color w:val="auto"/>
                <w:sz w:val="28"/>
                <w:szCs w:val="24"/>
                <w:highlight w:val="none"/>
              </w:rPr>
            </w:pPr>
            <w:r>
              <w:rPr>
                <w:rFonts w:hint="eastAsia" w:ascii="仿宋" w:hAnsi="仿宋" w:eastAsia="仿宋" w:cs="Times New Roman"/>
                <w:b/>
                <w:color w:val="auto"/>
                <w:sz w:val="28"/>
                <w:szCs w:val="24"/>
                <w:highlight w:val="none"/>
              </w:rPr>
              <w:t>（3）▲有效的《联合投标协议书》（仅联合体须提供）（格式附后）；</w:t>
            </w:r>
          </w:p>
          <w:p>
            <w:pPr>
              <w:autoSpaceDN w:val="0"/>
              <w:snapToGrid w:val="0"/>
              <w:spacing w:line="360" w:lineRule="auto"/>
              <w:ind w:firstLine="703" w:firstLineChars="250"/>
              <w:rPr>
                <w:rFonts w:ascii="仿宋" w:hAnsi="仿宋" w:eastAsia="仿宋" w:cs="Times New Roman"/>
                <w:b/>
                <w:color w:val="auto"/>
                <w:sz w:val="28"/>
                <w:szCs w:val="24"/>
                <w:highlight w:val="none"/>
              </w:rPr>
            </w:pPr>
            <w:r>
              <w:rPr>
                <w:rFonts w:hint="eastAsia" w:ascii="仿宋" w:hAnsi="仿宋" w:eastAsia="仿宋" w:cs="Times New Roman"/>
                <w:b/>
                <w:color w:val="auto"/>
                <w:sz w:val="28"/>
                <w:szCs w:val="24"/>
                <w:highlight w:val="none"/>
              </w:rPr>
              <w:t>（4）▲有效的《分包意向协议》（仅分包须提供）（格式附后）。</w:t>
            </w:r>
          </w:p>
          <w:p>
            <w:pPr>
              <w:keepNext/>
              <w:keepLines/>
              <w:autoSpaceDN w:val="0"/>
              <w:spacing w:before="360" w:beforeLines="150" w:line="360" w:lineRule="auto"/>
              <w:ind w:firstLine="562" w:firstLineChars="200"/>
              <w:outlineLvl w:val="1"/>
              <w:rPr>
                <w:rFonts w:ascii="仿宋" w:hAnsi="仿宋" w:eastAsia="仿宋" w:cs="Times New Roman"/>
                <w:b/>
                <w:color w:val="auto"/>
                <w:sz w:val="28"/>
                <w:szCs w:val="24"/>
                <w:highlight w:val="none"/>
              </w:rPr>
            </w:pPr>
          </w:p>
          <w:p>
            <w:pPr>
              <w:autoSpaceDN w:val="0"/>
              <w:spacing w:line="360" w:lineRule="auto"/>
              <w:ind w:firstLine="703" w:firstLineChars="250"/>
              <w:rPr>
                <w:rFonts w:ascii="仿宋" w:hAnsi="仿宋" w:eastAsia="仿宋" w:cs="Times New Roman"/>
                <w:b/>
                <w:color w:val="auto"/>
                <w:sz w:val="28"/>
                <w:szCs w:val="24"/>
                <w:highlight w:val="none"/>
              </w:rPr>
            </w:pPr>
          </w:p>
          <w:p>
            <w:pPr>
              <w:keepNext/>
              <w:keepLines/>
              <w:autoSpaceDN w:val="0"/>
              <w:spacing w:before="360" w:beforeLines="150" w:line="360" w:lineRule="auto"/>
              <w:ind w:firstLine="562" w:firstLineChars="200"/>
              <w:outlineLvl w:val="1"/>
              <w:rPr>
                <w:rFonts w:ascii="仿宋" w:hAnsi="仿宋" w:eastAsia="仿宋" w:cs="Times New Roman"/>
                <w:b/>
                <w:color w:val="auto"/>
                <w:sz w:val="28"/>
                <w:szCs w:val="24"/>
                <w:highlight w:val="none"/>
              </w:rPr>
            </w:pPr>
          </w:p>
        </w:tc>
      </w:tr>
    </w:tbl>
    <w:p>
      <w:pPr>
        <w:widowControl/>
        <w:spacing w:line="360" w:lineRule="auto"/>
        <w:jc w:val="left"/>
        <w:rPr>
          <w:rFonts w:ascii="Cambria" w:hAnsi="Cambria" w:eastAsia="华文中宋" w:cs="Times New Roman"/>
          <w:b/>
          <w:bCs/>
          <w:color w:val="auto"/>
          <w:kern w:val="0"/>
          <w:sz w:val="28"/>
          <w:szCs w:val="28"/>
          <w:highlight w:val="none"/>
        </w:rPr>
        <w:sectPr>
          <w:headerReference r:id="rId18" w:type="default"/>
          <w:footerReference r:id="rId19" w:type="default"/>
          <w:pgSz w:w="11906" w:h="16838"/>
          <w:pgMar w:top="1440" w:right="1416" w:bottom="1440" w:left="1560" w:header="851" w:footer="1077" w:gutter="0"/>
          <w:cols w:space="720" w:num="1"/>
          <w:docGrid w:linePitch="286" w:charSpace="0"/>
        </w:sectPr>
      </w:pPr>
    </w:p>
    <w:p>
      <w:pPr>
        <w:keepNext/>
        <w:keepLines/>
        <w:autoSpaceDN w:val="0"/>
        <w:spacing w:line="360" w:lineRule="auto"/>
        <w:jc w:val="left"/>
        <w:outlineLvl w:val="3"/>
        <w:rPr>
          <w:rFonts w:ascii="仿宋" w:hAnsi="仿宋" w:eastAsia="仿宋" w:cs="Times New Roman"/>
          <w:b/>
          <w:bCs/>
          <w:color w:val="auto"/>
          <w:sz w:val="28"/>
          <w:szCs w:val="28"/>
          <w:highlight w:val="none"/>
        </w:rPr>
      </w:pPr>
      <w:r>
        <w:rPr>
          <w:rFonts w:hint="eastAsia" w:ascii="仿宋" w:hAnsi="仿宋" w:eastAsia="仿宋" w:cs="Times New Roman"/>
          <w:b/>
          <w:bCs/>
          <w:color w:val="auto"/>
          <w:sz w:val="28"/>
          <w:szCs w:val="28"/>
          <w:highlight w:val="none"/>
        </w:rPr>
        <w:t>▲1-</w:t>
      </w:r>
      <w:bookmarkStart w:id="190" w:name="_Hlk106785996"/>
      <w:r>
        <w:rPr>
          <w:rFonts w:hint="eastAsia" w:ascii="仿宋" w:hAnsi="仿宋" w:eastAsia="仿宋" w:cs="Times New Roman"/>
          <w:b/>
          <w:bCs/>
          <w:color w:val="auto"/>
          <w:sz w:val="28"/>
          <w:szCs w:val="28"/>
          <w:highlight w:val="none"/>
          <w:lang w:val="en-US" w:eastAsia="zh-CN"/>
        </w:rPr>
        <w:t>4</w:t>
      </w:r>
      <w:r>
        <w:rPr>
          <w:rFonts w:hint="eastAsia" w:ascii="仿宋" w:hAnsi="仿宋" w:eastAsia="仿宋" w:cs="Times New Roman"/>
          <w:b/>
          <w:bCs/>
          <w:color w:val="auto"/>
          <w:sz w:val="28"/>
          <w:szCs w:val="28"/>
          <w:highlight w:val="none"/>
        </w:rPr>
        <w:t>联</w:t>
      </w:r>
      <w:bookmarkEnd w:id="190"/>
      <w:r>
        <w:rPr>
          <w:rFonts w:hint="eastAsia" w:ascii="仿宋" w:hAnsi="仿宋" w:eastAsia="仿宋" w:cs="Times New Roman"/>
          <w:b/>
          <w:bCs/>
          <w:color w:val="auto"/>
          <w:sz w:val="28"/>
          <w:szCs w:val="28"/>
          <w:highlight w:val="none"/>
        </w:rPr>
        <w:t>合投标协议书</w:t>
      </w:r>
    </w:p>
    <w:p>
      <w:pPr>
        <w:widowControl/>
        <w:autoSpaceDN w:val="0"/>
        <w:spacing w:line="360" w:lineRule="auto"/>
        <w:jc w:val="center"/>
        <w:rPr>
          <w:rFonts w:ascii="仿宋" w:hAnsi="仿宋" w:eastAsia="仿宋" w:cs="Arial"/>
          <w:b/>
          <w:color w:val="auto"/>
          <w:w w:val="80"/>
          <w:kern w:val="0"/>
          <w:sz w:val="32"/>
          <w:szCs w:val="32"/>
          <w:highlight w:val="none"/>
        </w:rPr>
      </w:pPr>
      <w:bookmarkStart w:id="191" w:name="_Hlk106785969"/>
      <w:r>
        <w:rPr>
          <w:rFonts w:hint="eastAsia" w:ascii="仿宋" w:hAnsi="仿宋" w:eastAsia="仿宋" w:cs="Times New Roman"/>
          <w:b/>
          <w:color w:val="auto"/>
          <w:sz w:val="32"/>
          <w:szCs w:val="32"/>
          <w:highlight w:val="none"/>
        </w:rPr>
        <w:t>▲</w:t>
      </w:r>
      <w:bookmarkEnd w:id="191"/>
      <w:r>
        <w:rPr>
          <w:rFonts w:hint="eastAsia" w:ascii="仿宋" w:hAnsi="仿宋" w:eastAsia="仿宋" w:cs="Times New Roman"/>
          <w:b/>
          <w:color w:val="auto"/>
          <w:sz w:val="32"/>
          <w:szCs w:val="32"/>
          <w:highlight w:val="none"/>
        </w:rPr>
        <w:t>联合投标协议书（仅联合体适用）</w:t>
      </w:r>
    </w:p>
    <w:p>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kern w:val="0"/>
          <w:sz w:val="24"/>
          <w:szCs w:val="24"/>
          <w:highlight w:val="none"/>
        </w:rPr>
        <w:t>_________</w:t>
      </w:r>
      <w:r>
        <w:rPr>
          <w:rFonts w:hint="eastAsia" w:ascii="仿宋" w:hAnsi="仿宋" w:eastAsia="仿宋" w:cs="Arial"/>
          <w:color w:val="auto"/>
          <w:sz w:val="24"/>
          <w:szCs w:val="24"/>
          <w:highlight w:val="none"/>
          <w:u w:val="single"/>
        </w:rPr>
        <w:t>（联合体各方全称）</w:t>
      </w:r>
      <w:r>
        <w:rPr>
          <w:rFonts w:hint="eastAsia" w:ascii="仿宋" w:hAnsi="仿宋" w:eastAsia="仿宋" w:cs="Arial"/>
          <w:color w:val="auto"/>
          <w:kern w:val="0"/>
          <w:sz w:val="24"/>
          <w:szCs w:val="24"/>
          <w:highlight w:val="none"/>
        </w:rPr>
        <w:t>_______</w:t>
      </w:r>
      <w:r>
        <w:rPr>
          <w:rFonts w:hint="eastAsia" w:ascii="仿宋" w:hAnsi="仿宋" w:eastAsia="仿宋" w:cs="Arial"/>
          <w:color w:val="auto"/>
          <w:sz w:val="24"/>
          <w:szCs w:val="24"/>
          <w:highlight w:val="none"/>
        </w:rPr>
        <w:t>自愿组成联合体，以一个供应商的身份参加</w:t>
      </w:r>
      <w:bookmarkStart w:id="192" w:name="_Hlk106698985"/>
      <w:r>
        <w:rPr>
          <w:rFonts w:hint="eastAsia" w:ascii="仿宋" w:hAnsi="仿宋" w:eastAsia="仿宋" w:cs="Arial"/>
          <w:b/>
          <w:color w:val="auto"/>
          <w:kern w:val="0"/>
          <w:sz w:val="24"/>
          <w:szCs w:val="24"/>
          <w:highlight w:val="none"/>
          <w:u w:val="single"/>
          <w:lang w:eastAsia="zh-CN"/>
        </w:rPr>
        <w:t>省拱宸所戒毒法治基地配套项目标一</w:t>
      </w:r>
      <w:r>
        <w:rPr>
          <w:rFonts w:hint="eastAsia" w:ascii="仿宋" w:hAnsi="仿宋" w:eastAsia="仿宋" w:cs="Arial"/>
          <w:b/>
          <w:color w:val="auto"/>
          <w:kern w:val="0"/>
          <w:sz w:val="24"/>
          <w:szCs w:val="24"/>
          <w:highlight w:val="none"/>
          <w:u w:val="single"/>
        </w:rPr>
        <w:t>（项目编号：</w:t>
      </w:r>
      <w:r>
        <w:rPr>
          <w:rFonts w:hint="eastAsia" w:ascii="仿宋" w:hAnsi="仿宋" w:eastAsia="仿宋" w:cs="Arial"/>
          <w:b/>
          <w:color w:val="auto"/>
          <w:kern w:val="0"/>
          <w:sz w:val="24"/>
          <w:szCs w:val="24"/>
          <w:highlight w:val="none"/>
          <w:u w:val="single"/>
          <w:lang w:eastAsia="zh-CN"/>
        </w:rPr>
        <w:t>HSZB-2024-329</w:t>
      </w:r>
      <w:r>
        <w:rPr>
          <w:rFonts w:hint="eastAsia" w:ascii="仿宋" w:hAnsi="仿宋" w:eastAsia="仿宋" w:cs="Arial"/>
          <w:b/>
          <w:color w:val="auto"/>
          <w:kern w:val="0"/>
          <w:sz w:val="24"/>
          <w:szCs w:val="24"/>
          <w:highlight w:val="none"/>
          <w:u w:val="single"/>
        </w:rPr>
        <w:t>）</w:t>
      </w:r>
      <w:bookmarkEnd w:id="192"/>
      <w:r>
        <w:rPr>
          <w:rFonts w:hint="eastAsia" w:ascii="仿宋" w:hAnsi="仿宋" w:eastAsia="仿宋" w:cs="Arial"/>
          <w:color w:val="auto"/>
          <w:kern w:val="0"/>
          <w:sz w:val="24"/>
          <w:szCs w:val="24"/>
          <w:highlight w:val="none"/>
        </w:rPr>
        <w:t>的</w:t>
      </w:r>
      <w:r>
        <w:rPr>
          <w:rFonts w:hint="eastAsia" w:ascii="仿宋" w:hAnsi="仿宋" w:eastAsia="仿宋" w:cs="Arial"/>
          <w:color w:val="auto"/>
          <w:sz w:val="24"/>
          <w:szCs w:val="24"/>
          <w:highlight w:val="none"/>
        </w:rPr>
        <w:t>政府采购活动。现就有关联合投标（响应）事宜订立协议如下：</w:t>
      </w:r>
    </w:p>
    <w:p>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1、</w:t>
      </w:r>
      <w:r>
        <w:rPr>
          <w:rFonts w:hint="eastAsia" w:ascii="仿宋" w:hAnsi="仿宋" w:eastAsia="仿宋" w:cs="Arial"/>
          <w:color w:val="auto"/>
          <w:kern w:val="0"/>
          <w:sz w:val="24"/>
          <w:szCs w:val="24"/>
          <w:highlight w:val="none"/>
        </w:rPr>
        <w:t>_________</w:t>
      </w:r>
      <w:r>
        <w:rPr>
          <w:rFonts w:hint="eastAsia" w:ascii="仿宋" w:hAnsi="仿宋" w:eastAsia="仿宋" w:cs="Arial"/>
          <w:color w:val="auto"/>
          <w:sz w:val="24"/>
          <w:szCs w:val="24"/>
          <w:highlight w:val="none"/>
          <w:u w:val="single"/>
        </w:rPr>
        <w:t>（联合体牵头方全称）</w:t>
      </w:r>
      <w:r>
        <w:rPr>
          <w:rFonts w:hint="eastAsia" w:ascii="仿宋" w:hAnsi="仿宋" w:eastAsia="仿宋" w:cs="Arial"/>
          <w:color w:val="auto"/>
          <w:kern w:val="0"/>
          <w:sz w:val="24"/>
          <w:szCs w:val="24"/>
          <w:highlight w:val="none"/>
        </w:rPr>
        <w:t>_____________</w:t>
      </w:r>
      <w:r>
        <w:rPr>
          <w:rFonts w:hint="eastAsia" w:ascii="仿宋" w:hAnsi="仿宋" w:eastAsia="仿宋" w:cs="Arial"/>
          <w:color w:val="auto"/>
          <w:sz w:val="24"/>
          <w:szCs w:val="24"/>
          <w:highlight w:val="none"/>
        </w:rPr>
        <w:t>为联合体的牵头方，</w:t>
      </w:r>
      <w:r>
        <w:rPr>
          <w:rFonts w:hint="eastAsia" w:ascii="仿宋" w:hAnsi="仿宋" w:eastAsia="仿宋" w:cs="Arial"/>
          <w:color w:val="auto"/>
          <w:kern w:val="0"/>
          <w:sz w:val="24"/>
          <w:szCs w:val="24"/>
          <w:highlight w:val="none"/>
        </w:rPr>
        <w:t>_________</w:t>
      </w:r>
      <w:r>
        <w:rPr>
          <w:rFonts w:hint="eastAsia" w:ascii="仿宋" w:hAnsi="仿宋" w:eastAsia="仿宋" w:cs="Arial"/>
          <w:color w:val="auto"/>
          <w:sz w:val="24"/>
          <w:szCs w:val="24"/>
          <w:highlight w:val="none"/>
          <w:u w:val="single"/>
        </w:rPr>
        <w:t>（联合体成员放全称）</w:t>
      </w:r>
      <w:r>
        <w:rPr>
          <w:rFonts w:hint="eastAsia" w:ascii="仿宋" w:hAnsi="仿宋" w:eastAsia="仿宋" w:cs="Arial"/>
          <w:color w:val="auto"/>
          <w:kern w:val="0"/>
          <w:sz w:val="24"/>
          <w:szCs w:val="24"/>
          <w:highlight w:val="none"/>
        </w:rPr>
        <w:t>_______________</w:t>
      </w:r>
      <w:r>
        <w:rPr>
          <w:rFonts w:hint="eastAsia" w:ascii="仿宋" w:hAnsi="仿宋" w:eastAsia="仿宋" w:cs="Arial"/>
          <w:color w:val="auto"/>
          <w:sz w:val="24"/>
          <w:szCs w:val="24"/>
          <w:highlight w:val="none"/>
        </w:rPr>
        <w:t>为联合体的成员方；</w:t>
      </w:r>
    </w:p>
    <w:p>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2、联合体内部有关事项规定如下：</w:t>
      </w:r>
    </w:p>
    <w:p>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（1）由牵头方代表本联合体与采购人联系，负责协调工作。</w:t>
      </w:r>
    </w:p>
    <w:p>
      <w:pPr>
        <w:autoSpaceDN w:val="0"/>
        <w:spacing w:line="360" w:lineRule="auto"/>
        <w:ind w:firstLine="465" w:firstLineChars="193"/>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2）磋商响应工作由联合体中的牵头方负责，由各方组成的磋商响应小组具体实施；联合体中的牵头方代表联合体办理磋商响应事宜，联合体牵头方在响应文件及磋商过程中的所有承诺均代表了联合体各成员的真实意愿。</w:t>
      </w:r>
    </w:p>
    <w:p>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（3）联合体将严格按照磋商文件的各项要求，递交响应文件，切实执行一切合同文件，共同承担合同规定的一切义务和责任，同时按照内部职责的划分，承担自身所负的责任和风险，在法律上承担连带责任。</w:t>
      </w:r>
    </w:p>
    <w:p>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（4）如中标（成交），联合体内部将遵守以下规定：</w:t>
      </w:r>
    </w:p>
    <w:p>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a．联合体牵头方和成员方共同与采购人签订采购合同，并就中标成交项目向采购人负责有连带的和各自的法律责任；</w:t>
      </w:r>
    </w:p>
    <w:p>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b．联合体牵头方代表联合体成员接收采购人的指令、指示和通知，并且在整个合同实施过程中的全部事宜（包括合同款支付）均由联合体牵头方负责；</w:t>
      </w:r>
    </w:p>
    <w:p>
      <w:pPr>
        <w:autoSpaceDN w:val="0"/>
        <w:spacing w:line="360" w:lineRule="auto"/>
        <w:ind w:firstLine="465" w:firstLineChars="193"/>
        <w:jc w:val="left"/>
        <w:rPr>
          <w:rFonts w:ascii="仿宋" w:hAnsi="仿宋" w:eastAsia="仿宋" w:cs="Arial"/>
          <w:color w:val="auto"/>
          <w:sz w:val="24"/>
          <w:szCs w:val="24"/>
          <w:highlight w:val="none"/>
        </w:rPr>
      </w:pPr>
      <w:r>
        <w:rPr>
          <w:rFonts w:hint="eastAsia" w:ascii="仿宋" w:hAnsi="仿宋" w:eastAsia="仿宋" w:cs="Arial"/>
          <w:b/>
          <w:color w:val="auto"/>
          <w:sz w:val="24"/>
          <w:szCs w:val="24"/>
          <w:highlight w:val="none"/>
        </w:rPr>
        <w:t>c．联合体各方承担的工作和义务详细安排如下：</w:t>
      </w:r>
    </w:p>
    <w:p>
      <w:pPr>
        <w:autoSpaceDN w:val="0"/>
        <w:spacing w:line="360" w:lineRule="auto"/>
        <w:jc w:val="left"/>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____________________________________________________________________________________________________________________________________________________</w:t>
      </w:r>
    </w:p>
    <w:p>
      <w:pPr>
        <w:autoSpaceDN w:val="0"/>
        <w:spacing w:line="360" w:lineRule="auto"/>
        <w:ind w:firstLine="465" w:firstLineChars="193"/>
        <w:jc w:val="left"/>
        <w:rPr>
          <w:rFonts w:ascii="仿宋" w:hAnsi="仿宋" w:eastAsia="仿宋" w:cs="Arial"/>
          <w:color w:val="auto"/>
          <w:sz w:val="24"/>
          <w:szCs w:val="24"/>
          <w:highlight w:val="none"/>
        </w:rPr>
      </w:pPr>
      <w:r>
        <w:rPr>
          <w:rFonts w:hint="eastAsia" w:ascii="仿宋" w:hAnsi="仿宋" w:eastAsia="仿宋" w:cs="Arial"/>
          <w:b/>
          <w:color w:val="auto"/>
          <w:sz w:val="24"/>
          <w:szCs w:val="24"/>
          <w:highlight w:val="none"/>
        </w:rPr>
        <w:t>（5）投标（响应）工作和联合体在中标（成交）后工程实施过程中的有关费用按各自承担的工作量分摊，具体说明如下：</w:t>
      </w:r>
      <w:r>
        <w:rPr>
          <w:rFonts w:hint="eastAsia" w:ascii="仿宋" w:hAnsi="仿宋" w:eastAsia="仿宋" w:cs="Arial"/>
          <w:color w:val="auto"/>
          <w:sz w:val="24"/>
          <w:szCs w:val="24"/>
          <w:highlight w:val="none"/>
        </w:rPr>
        <w:t>_______________________________________________________________</w:t>
      </w:r>
    </w:p>
    <w:p>
      <w:pPr>
        <w:autoSpaceDN w:val="0"/>
        <w:spacing w:line="360" w:lineRule="auto"/>
        <w:ind w:firstLine="465" w:firstLineChars="193"/>
        <w:jc w:val="left"/>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（6）如中标（成交），采购代理服务费支付承诺如下：</w:t>
      </w:r>
      <w:r>
        <w:rPr>
          <w:rFonts w:hint="eastAsia" w:ascii="仿宋" w:hAnsi="仿宋" w:eastAsia="仿宋" w:cs="Arial"/>
          <w:color w:val="auto"/>
          <w:sz w:val="24"/>
          <w:szCs w:val="24"/>
          <w:highlight w:val="none"/>
        </w:rPr>
        <w:t>_______________________________________________________________</w:t>
      </w:r>
    </w:p>
    <w:p>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3、我们承诺各成员不再以自己的名义单独投标（响应），也不再与其他供应商组成联合体参加本项目的投标（响应）。</w:t>
      </w:r>
    </w:p>
    <w:p>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4、本协议书自签署之日起生效，在上述（4）a所述的合同书规定的期限之后自行失效；如中标（成交）后，联合体内部另有协议的，联合体牵头方应将该协议书送交业主。</w:t>
      </w:r>
    </w:p>
    <w:p>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5、本协议书正本一式△份，投标时使用△份，联合体成员各△份，如中标（成交）送采购人△份；副本一式△份，联合体成员各执△份。</w:t>
      </w:r>
    </w:p>
    <w:p>
      <w:pPr>
        <w:autoSpaceDN w:val="0"/>
        <w:spacing w:line="360" w:lineRule="auto"/>
        <w:ind w:firstLine="463" w:firstLineChars="193"/>
        <w:rPr>
          <w:rFonts w:ascii="仿宋" w:hAnsi="仿宋" w:eastAsia="仿宋" w:cs="Arial"/>
          <w:color w:val="auto"/>
          <w:sz w:val="24"/>
          <w:szCs w:val="24"/>
          <w:highlight w:val="none"/>
        </w:rPr>
      </w:pPr>
    </w:p>
    <w:p>
      <w:pPr>
        <w:widowControl/>
        <w:autoSpaceDN w:val="0"/>
        <w:spacing w:line="360" w:lineRule="auto"/>
        <w:rPr>
          <w:rFonts w:ascii="仿宋" w:hAnsi="仿宋" w:eastAsia="仿宋" w:cs="Arial"/>
          <w:color w:val="auto"/>
          <w:sz w:val="24"/>
          <w:szCs w:val="24"/>
          <w:highlight w:val="none"/>
        </w:rPr>
      </w:pPr>
    </w:p>
    <w:p>
      <w:pPr>
        <w:widowControl/>
        <w:autoSpaceDN w:val="0"/>
        <w:spacing w:line="360" w:lineRule="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单位名称（盖章）：                     单位名称（盖章）：</w:t>
      </w:r>
    </w:p>
    <w:p>
      <w:pPr>
        <w:widowControl/>
        <w:autoSpaceDN w:val="0"/>
        <w:spacing w:line="360" w:lineRule="auto"/>
        <w:rPr>
          <w:rFonts w:ascii="仿宋" w:hAnsi="仿宋" w:eastAsia="仿宋" w:cs="Arial"/>
          <w:color w:val="auto"/>
          <w:sz w:val="22"/>
          <w:szCs w:val="24"/>
          <w:highlight w:val="none"/>
        </w:rPr>
      </w:pPr>
      <w:r>
        <w:rPr>
          <w:rFonts w:hint="eastAsia" w:ascii="仿宋" w:hAnsi="仿宋" w:eastAsia="仿宋" w:cs="Arial"/>
          <w:color w:val="auto"/>
          <w:sz w:val="22"/>
          <w:szCs w:val="24"/>
          <w:highlight w:val="none"/>
        </w:rPr>
        <w:t>地址：                                     地址：</w:t>
      </w:r>
    </w:p>
    <w:p>
      <w:pPr>
        <w:widowControl/>
        <w:autoSpaceDN w:val="0"/>
        <w:spacing w:line="360" w:lineRule="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法定代表人或授权代表（签字或盖章）：   法定代表人或授权代表（签字或盖章）：</w:t>
      </w:r>
    </w:p>
    <w:p>
      <w:pPr>
        <w:widowControl/>
        <w:autoSpaceDN w:val="0"/>
        <w:spacing w:line="360" w:lineRule="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 xml:space="preserve">联系方式：                             联系方式：                          </w:t>
      </w:r>
    </w:p>
    <w:p>
      <w:pPr>
        <w:widowControl/>
        <w:autoSpaceDN w:val="0"/>
        <w:spacing w:line="360" w:lineRule="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协议签订时间：                         协议签订时间：</w:t>
      </w:r>
    </w:p>
    <w:p>
      <w:pPr>
        <w:autoSpaceDN w:val="0"/>
        <w:spacing w:line="360" w:lineRule="auto"/>
        <w:ind w:firstLine="463" w:firstLineChars="193"/>
        <w:rPr>
          <w:rFonts w:ascii="仿宋" w:hAnsi="仿宋" w:eastAsia="仿宋" w:cs="Arial"/>
          <w:color w:val="auto"/>
          <w:sz w:val="24"/>
          <w:szCs w:val="24"/>
          <w:highlight w:val="none"/>
        </w:rPr>
      </w:pPr>
    </w:p>
    <w:p>
      <w:pPr>
        <w:autoSpaceDN w:val="0"/>
        <w:spacing w:line="360" w:lineRule="auto"/>
        <w:ind w:firstLine="463" w:firstLineChars="193"/>
        <w:rPr>
          <w:rFonts w:ascii="仿宋" w:hAnsi="仿宋" w:eastAsia="仿宋" w:cs="Arial"/>
          <w:color w:val="auto"/>
          <w:sz w:val="24"/>
          <w:szCs w:val="24"/>
          <w:highlight w:val="none"/>
        </w:rPr>
      </w:pPr>
    </w:p>
    <w:p>
      <w:pPr>
        <w:autoSpaceDN w:val="0"/>
        <w:spacing w:line="360" w:lineRule="auto"/>
        <w:ind w:firstLine="463" w:firstLineChars="193"/>
        <w:rPr>
          <w:rFonts w:ascii="仿宋" w:hAnsi="仿宋" w:eastAsia="仿宋" w:cs="Arial"/>
          <w:color w:val="auto"/>
          <w:sz w:val="24"/>
          <w:szCs w:val="24"/>
          <w:highlight w:val="none"/>
        </w:rPr>
      </w:pPr>
    </w:p>
    <w:p>
      <w:pPr>
        <w:autoSpaceDN w:val="0"/>
        <w:spacing w:line="360" w:lineRule="auto"/>
        <w:ind w:firstLine="463" w:firstLineChars="193"/>
        <w:rPr>
          <w:rFonts w:ascii="仿宋" w:hAnsi="仿宋" w:eastAsia="仿宋" w:cs="Arial"/>
          <w:color w:val="auto"/>
          <w:sz w:val="24"/>
          <w:szCs w:val="24"/>
          <w:highlight w:val="none"/>
        </w:rPr>
      </w:pPr>
    </w:p>
    <w:p>
      <w:pPr>
        <w:autoSpaceDN w:val="0"/>
        <w:spacing w:line="360" w:lineRule="auto"/>
        <w:ind w:firstLine="463" w:firstLineChars="193"/>
        <w:rPr>
          <w:rFonts w:ascii="仿宋" w:hAnsi="仿宋" w:eastAsia="仿宋" w:cs="Arial"/>
          <w:color w:val="auto"/>
          <w:sz w:val="24"/>
          <w:szCs w:val="24"/>
          <w:highlight w:val="none"/>
        </w:rPr>
      </w:pPr>
    </w:p>
    <w:p>
      <w:pPr>
        <w:autoSpaceDN w:val="0"/>
        <w:spacing w:line="360" w:lineRule="auto"/>
        <w:ind w:firstLine="463" w:firstLineChars="193"/>
        <w:rPr>
          <w:rFonts w:ascii="仿宋" w:hAnsi="仿宋" w:eastAsia="仿宋" w:cs="Arial"/>
          <w:color w:val="auto"/>
          <w:sz w:val="24"/>
          <w:szCs w:val="24"/>
          <w:highlight w:val="none"/>
        </w:rPr>
      </w:pPr>
    </w:p>
    <w:p>
      <w:pPr>
        <w:autoSpaceDN w:val="0"/>
        <w:spacing w:line="360" w:lineRule="auto"/>
        <w:ind w:firstLine="463" w:firstLineChars="193"/>
        <w:rPr>
          <w:rFonts w:ascii="仿宋" w:hAnsi="仿宋" w:eastAsia="仿宋" w:cs="Arial"/>
          <w:color w:val="auto"/>
          <w:sz w:val="24"/>
          <w:szCs w:val="24"/>
          <w:highlight w:val="none"/>
        </w:rPr>
      </w:pPr>
    </w:p>
    <w:p>
      <w:pPr>
        <w:autoSpaceDN w:val="0"/>
        <w:spacing w:line="360" w:lineRule="auto"/>
        <w:ind w:firstLine="463" w:firstLineChars="193"/>
        <w:rPr>
          <w:rFonts w:ascii="仿宋" w:hAnsi="仿宋" w:eastAsia="仿宋" w:cs="Arial"/>
          <w:color w:val="auto"/>
          <w:sz w:val="24"/>
          <w:szCs w:val="24"/>
          <w:highlight w:val="none"/>
        </w:rPr>
      </w:pPr>
    </w:p>
    <w:p>
      <w:pPr>
        <w:autoSpaceDN w:val="0"/>
        <w:spacing w:line="360" w:lineRule="auto"/>
        <w:ind w:firstLine="463" w:firstLineChars="193"/>
        <w:rPr>
          <w:rFonts w:ascii="仿宋" w:hAnsi="仿宋" w:eastAsia="仿宋" w:cs="Arial"/>
          <w:color w:val="auto"/>
          <w:sz w:val="24"/>
          <w:szCs w:val="24"/>
          <w:highlight w:val="none"/>
        </w:rPr>
      </w:pPr>
    </w:p>
    <w:p>
      <w:pPr>
        <w:autoSpaceDN w:val="0"/>
        <w:spacing w:line="360" w:lineRule="auto"/>
        <w:ind w:firstLine="463" w:firstLineChars="193"/>
        <w:rPr>
          <w:rFonts w:ascii="仿宋" w:hAnsi="仿宋" w:eastAsia="仿宋" w:cs="Arial"/>
          <w:color w:val="auto"/>
          <w:sz w:val="24"/>
          <w:szCs w:val="24"/>
          <w:highlight w:val="none"/>
        </w:rPr>
      </w:pPr>
    </w:p>
    <w:p>
      <w:pPr>
        <w:autoSpaceDN w:val="0"/>
        <w:spacing w:line="360" w:lineRule="auto"/>
        <w:ind w:firstLine="463" w:firstLineChars="193"/>
        <w:rPr>
          <w:rFonts w:ascii="仿宋" w:hAnsi="仿宋" w:eastAsia="仿宋" w:cs="Arial"/>
          <w:color w:val="auto"/>
          <w:sz w:val="24"/>
          <w:szCs w:val="24"/>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360" w:lineRule="auto"/>
        <w:ind w:firstLine="463" w:firstLineChars="193"/>
        <w:rPr>
          <w:rFonts w:ascii="仿宋" w:hAnsi="仿宋" w:eastAsia="仿宋" w:cs="Arial"/>
          <w:color w:val="auto"/>
          <w:sz w:val="24"/>
          <w:szCs w:val="24"/>
          <w:highlight w:val="none"/>
        </w:rPr>
      </w:pPr>
    </w:p>
    <w:p>
      <w:pP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br w:type="page"/>
      </w:r>
    </w:p>
    <w:p>
      <w:pPr>
        <w:pStyle w:val="77"/>
        <w:rPr>
          <w:color w:val="auto"/>
          <w:highlight w:val="none"/>
        </w:rPr>
      </w:pPr>
    </w:p>
    <w:p>
      <w:pPr>
        <w:keepNext/>
        <w:keepLines/>
        <w:autoSpaceDN w:val="0"/>
        <w:spacing w:line="360" w:lineRule="auto"/>
        <w:jc w:val="left"/>
        <w:outlineLvl w:val="3"/>
        <w:rPr>
          <w:rFonts w:ascii="仿宋" w:hAnsi="仿宋" w:eastAsia="仿宋" w:cs="Times New Roman"/>
          <w:b/>
          <w:bCs/>
          <w:color w:val="auto"/>
          <w:sz w:val="28"/>
          <w:szCs w:val="28"/>
          <w:highlight w:val="none"/>
        </w:rPr>
      </w:pPr>
      <w:r>
        <w:rPr>
          <w:rFonts w:hint="eastAsia" w:ascii="仿宋" w:hAnsi="仿宋" w:eastAsia="仿宋" w:cs="Times New Roman"/>
          <w:b/>
          <w:bCs/>
          <w:color w:val="auto"/>
          <w:sz w:val="28"/>
          <w:szCs w:val="28"/>
          <w:highlight w:val="none"/>
        </w:rPr>
        <w:t>▲1-</w:t>
      </w:r>
      <w:r>
        <w:rPr>
          <w:rFonts w:hint="eastAsia" w:ascii="仿宋" w:hAnsi="仿宋" w:eastAsia="仿宋" w:cs="Times New Roman"/>
          <w:b/>
          <w:bCs/>
          <w:color w:val="auto"/>
          <w:sz w:val="28"/>
          <w:szCs w:val="28"/>
          <w:highlight w:val="none"/>
          <w:lang w:val="en-US" w:eastAsia="zh-CN"/>
        </w:rPr>
        <w:t>5</w:t>
      </w:r>
      <w:r>
        <w:rPr>
          <w:rFonts w:hint="eastAsia" w:ascii="仿宋" w:hAnsi="仿宋" w:eastAsia="仿宋" w:cs="Times New Roman"/>
          <w:b/>
          <w:bCs/>
          <w:color w:val="auto"/>
          <w:sz w:val="28"/>
          <w:szCs w:val="28"/>
          <w:highlight w:val="none"/>
        </w:rPr>
        <w:t>分包意向协议</w:t>
      </w:r>
    </w:p>
    <w:p>
      <w:pPr>
        <w:widowControl/>
        <w:autoSpaceDN w:val="0"/>
        <w:spacing w:line="360" w:lineRule="auto"/>
        <w:jc w:val="center"/>
        <w:rPr>
          <w:rFonts w:ascii="仿宋" w:hAnsi="仿宋" w:eastAsia="仿宋" w:cs="Arial"/>
          <w:b/>
          <w:color w:val="auto"/>
          <w:w w:val="80"/>
          <w:kern w:val="0"/>
          <w:sz w:val="32"/>
          <w:szCs w:val="32"/>
          <w:highlight w:val="none"/>
        </w:rPr>
      </w:pPr>
      <w:r>
        <w:rPr>
          <w:rFonts w:hint="eastAsia" w:ascii="仿宋" w:hAnsi="仿宋" w:eastAsia="仿宋" w:cs="Times New Roman"/>
          <w:b/>
          <w:color w:val="auto"/>
          <w:sz w:val="32"/>
          <w:szCs w:val="32"/>
          <w:highlight w:val="none"/>
        </w:rPr>
        <w:t>▲分包意向协议（仅分包适用）</w:t>
      </w:r>
    </w:p>
    <w:p>
      <w:pPr>
        <w:autoSpaceDN w:val="0"/>
        <w:spacing w:line="360" w:lineRule="auto"/>
        <w:ind w:firstLine="465" w:firstLineChars="193"/>
        <w:jc w:val="left"/>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（成交后以分包方式履行合同的，提供分包意向协议；采购人不同意分包或者磋商响应公寓成交后不以分包方式履行合同的，则不需要提供。）</w:t>
      </w:r>
    </w:p>
    <w:p>
      <w:pPr>
        <w:autoSpaceDN w:val="0"/>
        <w:spacing w:line="360" w:lineRule="auto"/>
        <w:ind w:firstLine="463" w:firstLineChars="193"/>
        <w:rPr>
          <w:rFonts w:ascii="仿宋" w:hAnsi="仿宋" w:eastAsia="仿宋" w:cs="Arial"/>
          <w:color w:val="auto"/>
          <w:sz w:val="24"/>
          <w:szCs w:val="24"/>
          <w:highlight w:val="none"/>
          <w:lang w:val="zh-CN"/>
        </w:rPr>
      </w:pPr>
      <w:r>
        <w:rPr>
          <w:rFonts w:hint="eastAsia" w:ascii="仿宋" w:hAnsi="仿宋" w:eastAsia="仿宋" w:cs="Arial"/>
          <w:color w:val="auto"/>
          <w:sz w:val="24"/>
          <w:szCs w:val="24"/>
          <w:highlight w:val="none"/>
          <w:u w:val="single"/>
        </w:rPr>
        <w:t>（磋商响应供应商名称）</w:t>
      </w:r>
      <w:r>
        <w:rPr>
          <w:rFonts w:hint="eastAsia" w:ascii="仿宋" w:hAnsi="仿宋" w:eastAsia="仿宋" w:cs="Arial"/>
          <w:color w:val="auto"/>
          <w:sz w:val="24"/>
          <w:szCs w:val="24"/>
          <w:highlight w:val="none"/>
          <w:lang w:val="zh-CN"/>
        </w:rPr>
        <w:t>若成为</w:t>
      </w:r>
      <w:r>
        <w:rPr>
          <w:rFonts w:hint="eastAsia" w:ascii="仿宋" w:hAnsi="仿宋" w:eastAsia="仿宋" w:cs="Arial"/>
          <w:b/>
          <w:color w:val="auto"/>
          <w:kern w:val="0"/>
          <w:sz w:val="24"/>
          <w:szCs w:val="24"/>
          <w:highlight w:val="none"/>
          <w:u w:val="single"/>
          <w:lang w:eastAsia="zh-CN"/>
        </w:rPr>
        <w:t>省拱宸所戒毒法治基地配套项目标一</w:t>
      </w:r>
      <w:r>
        <w:rPr>
          <w:rFonts w:hint="eastAsia" w:ascii="仿宋" w:hAnsi="仿宋" w:eastAsia="仿宋" w:cs="Arial"/>
          <w:b/>
          <w:color w:val="auto"/>
          <w:kern w:val="0"/>
          <w:sz w:val="24"/>
          <w:szCs w:val="24"/>
          <w:highlight w:val="none"/>
          <w:u w:val="single"/>
        </w:rPr>
        <w:t>（项目编号：</w:t>
      </w:r>
      <w:r>
        <w:rPr>
          <w:rFonts w:hint="eastAsia" w:ascii="仿宋" w:hAnsi="仿宋" w:eastAsia="仿宋" w:cs="Arial"/>
          <w:b/>
          <w:color w:val="auto"/>
          <w:kern w:val="0"/>
          <w:sz w:val="24"/>
          <w:szCs w:val="24"/>
          <w:highlight w:val="none"/>
          <w:u w:val="single"/>
          <w:lang w:eastAsia="zh-CN"/>
        </w:rPr>
        <w:t>HSZB-2024-329</w:t>
      </w:r>
      <w:r>
        <w:rPr>
          <w:rFonts w:hint="eastAsia" w:ascii="仿宋" w:hAnsi="仿宋" w:eastAsia="仿宋" w:cs="Arial"/>
          <w:b/>
          <w:color w:val="auto"/>
          <w:kern w:val="0"/>
          <w:sz w:val="24"/>
          <w:szCs w:val="24"/>
          <w:highlight w:val="none"/>
          <w:u w:val="single"/>
        </w:rPr>
        <w:t>）</w:t>
      </w:r>
      <w:r>
        <w:rPr>
          <w:rFonts w:hint="eastAsia" w:ascii="仿宋" w:hAnsi="仿宋" w:eastAsia="仿宋" w:cs="Arial"/>
          <w:color w:val="auto"/>
          <w:sz w:val="24"/>
          <w:szCs w:val="24"/>
          <w:highlight w:val="none"/>
          <w:lang w:val="zh-CN"/>
        </w:rPr>
        <w:t>的</w:t>
      </w:r>
      <w:r>
        <w:rPr>
          <w:rFonts w:hint="eastAsia" w:ascii="仿宋" w:hAnsi="仿宋" w:eastAsia="仿宋" w:cs="Arial"/>
          <w:color w:val="auto"/>
          <w:sz w:val="24"/>
          <w:szCs w:val="24"/>
          <w:highlight w:val="none"/>
        </w:rPr>
        <w:t>成交</w:t>
      </w:r>
      <w:r>
        <w:rPr>
          <w:rFonts w:hint="eastAsia" w:ascii="仿宋" w:hAnsi="仿宋" w:eastAsia="仿宋" w:cs="Arial"/>
          <w:color w:val="auto"/>
          <w:sz w:val="24"/>
          <w:szCs w:val="24"/>
          <w:highlight w:val="none"/>
          <w:lang w:val="zh-CN"/>
        </w:rPr>
        <w:t>供应商，将依法采取分包方式履行合同。</w:t>
      </w:r>
      <w:r>
        <w:rPr>
          <w:rFonts w:hint="eastAsia" w:ascii="仿宋" w:hAnsi="仿宋" w:eastAsia="仿宋" w:cs="Arial"/>
          <w:b/>
          <w:bCs/>
          <w:color w:val="auto"/>
          <w:sz w:val="24"/>
          <w:szCs w:val="24"/>
          <w:highlight w:val="none"/>
          <w:u w:val="single"/>
        </w:rPr>
        <w:t>（磋商响应供应商名称）</w:t>
      </w:r>
      <w:r>
        <w:rPr>
          <w:rFonts w:hint="eastAsia" w:ascii="仿宋" w:hAnsi="仿宋" w:eastAsia="仿宋" w:cs="Arial"/>
          <w:color w:val="auto"/>
          <w:sz w:val="24"/>
          <w:szCs w:val="24"/>
          <w:highlight w:val="none"/>
        </w:rPr>
        <w:t>与</w:t>
      </w:r>
      <w:r>
        <w:rPr>
          <w:rFonts w:hint="eastAsia" w:ascii="仿宋" w:hAnsi="仿宋" w:eastAsia="仿宋" w:cs="Arial"/>
          <w:b/>
          <w:bCs/>
          <w:color w:val="auto"/>
          <w:sz w:val="24"/>
          <w:szCs w:val="24"/>
          <w:highlight w:val="none"/>
          <w:u w:val="single"/>
        </w:rPr>
        <w:t>（所有分包供应商名称）</w:t>
      </w:r>
      <w:r>
        <w:rPr>
          <w:rFonts w:hint="eastAsia" w:ascii="仿宋" w:hAnsi="仿宋" w:eastAsia="仿宋" w:cs="Arial"/>
          <w:color w:val="auto"/>
          <w:sz w:val="24"/>
          <w:szCs w:val="24"/>
          <w:highlight w:val="none"/>
        </w:rPr>
        <w:t>达成分包意向协议</w:t>
      </w:r>
      <w:r>
        <w:rPr>
          <w:rFonts w:hint="eastAsia" w:ascii="仿宋" w:hAnsi="仿宋" w:eastAsia="仿宋" w:cs="Arial"/>
          <w:color w:val="auto"/>
          <w:sz w:val="24"/>
          <w:szCs w:val="24"/>
          <w:highlight w:val="none"/>
          <w:lang w:val="zh-CN"/>
        </w:rPr>
        <w:t xml:space="preserve">。 </w:t>
      </w:r>
    </w:p>
    <w:p>
      <w:pPr>
        <w:autoSpaceDN w:val="0"/>
        <w:spacing w:line="360" w:lineRule="auto"/>
        <w:ind w:firstLine="463" w:firstLineChars="193"/>
        <w:rPr>
          <w:rFonts w:ascii="仿宋" w:hAnsi="仿宋" w:eastAsia="仿宋" w:cs="Arial"/>
          <w:color w:val="auto"/>
          <w:sz w:val="24"/>
          <w:szCs w:val="24"/>
          <w:highlight w:val="none"/>
          <w:lang w:val="zh-CN"/>
        </w:rPr>
      </w:pPr>
      <w:r>
        <w:rPr>
          <w:rFonts w:hint="eastAsia" w:ascii="仿宋" w:hAnsi="仿宋" w:eastAsia="仿宋" w:cs="Arial"/>
          <w:color w:val="auto"/>
          <w:sz w:val="24"/>
          <w:szCs w:val="24"/>
          <w:highlight w:val="none"/>
          <w:lang w:val="zh-CN"/>
        </w:rPr>
        <w:t>一、分包标的及数量</w:t>
      </w:r>
    </w:p>
    <w:p>
      <w:pPr>
        <w:autoSpaceDN w:val="0"/>
        <w:spacing w:line="360" w:lineRule="auto"/>
        <w:ind w:firstLine="465" w:firstLineChars="193"/>
        <w:rPr>
          <w:rFonts w:ascii="仿宋" w:hAnsi="仿宋" w:eastAsia="仿宋" w:cs="Arial"/>
          <w:color w:val="auto"/>
          <w:sz w:val="24"/>
          <w:szCs w:val="24"/>
          <w:highlight w:val="none"/>
          <w:lang w:val="zh-CN"/>
        </w:rPr>
      </w:pPr>
      <w:r>
        <w:rPr>
          <w:rFonts w:hint="eastAsia" w:ascii="仿宋" w:hAnsi="仿宋" w:eastAsia="仿宋" w:cs="Arial"/>
          <w:b/>
          <w:bCs/>
          <w:color w:val="auto"/>
          <w:sz w:val="24"/>
          <w:szCs w:val="24"/>
          <w:highlight w:val="none"/>
          <w:u w:val="single"/>
        </w:rPr>
        <w:t>（磋商响应供应商名称）</w:t>
      </w:r>
      <w:r>
        <w:rPr>
          <w:rFonts w:hint="eastAsia" w:ascii="仿宋" w:hAnsi="仿宋" w:eastAsia="仿宋" w:cs="Arial"/>
          <w:color w:val="auto"/>
          <w:sz w:val="24"/>
          <w:szCs w:val="24"/>
          <w:highlight w:val="none"/>
          <w:lang w:val="zh-CN"/>
        </w:rPr>
        <w:t>将</w:t>
      </w:r>
      <w:r>
        <w:rPr>
          <w:rFonts w:hint="eastAsia" w:ascii="仿宋" w:hAnsi="仿宋" w:eastAsia="仿宋" w:cs="Arial"/>
          <w:b/>
          <w:bCs/>
          <w:color w:val="auto"/>
          <w:sz w:val="24"/>
          <w:szCs w:val="24"/>
          <w:highlight w:val="none"/>
          <w:u w:val="single"/>
        </w:rPr>
        <w:t xml:space="preserve">   XX工作内容   </w:t>
      </w:r>
      <w:r>
        <w:rPr>
          <w:rFonts w:hint="eastAsia" w:ascii="仿宋" w:hAnsi="仿宋" w:eastAsia="仿宋" w:cs="Arial"/>
          <w:color w:val="auto"/>
          <w:sz w:val="24"/>
          <w:szCs w:val="24"/>
          <w:highlight w:val="none"/>
        </w:rPr>
        <w:t>分包给</w:t>
      </w:r>
      <w:r>
        <w:rPr>
          <w:rFonts w:hint="eastAsia" w:ascii="仿宋" w:hAnsi="仿宋" w:eastAsia="仿宋" w:cs="Arial"/>
          <w:b/>
          <w:bCs/>
          <w:color w:val="auto"/>
          <w:sz w:val="24"/>
          <w:szCs w:val="24"/>
          <w:highlight w:val="none"/>
          <w:u w:val="single"/>
        </w:rPr>
        <w:t>（某分包供应商名称）</w:t>
      </w:r>
      <w:r>
        <w:rPr>
          <w:rFonts w:hint="eastAsia" w:ascii="仿宋" w:hAnsi="仿宋" w:eastAsia="仿宋" w:cs="Arial"/>
          <w:color w:val="auto"/>
          <w:sz w:val="24"/>
          <w:szCs w:val="24"/>
          <w:highlight w:val="none"/>
          <w:lang w:val="zh-CN"/>
        </w:rPr>
        <w:t>，</w:t>
      </w:r>
      <w:r>
        <w:rPr>
          <w:rFonts w:hint="eastAsia" w:ascii="仿宋" w:hAnsi="仿宋" w:eastAsia="仿宋" w:cs="Arial"/>
          <w:b/>
          <w:bCs/>
          <w:color w:val="auto"/>
          <w:sz w:val="24"/>
          <w:szCs w:val="24"/>
          <w:highlight w:val="none"/>
          <w:u w:val="single"/>
        </w:rPr>
        <w:t>（某分包供应商名称）</w:t>
      </w:r>
      <w:r>
        <w:rPr>
          <w:rFonts w:hint="eastAsia" w:ascii="仿宋" w:hAnsi="仿宋" w:eastAsia="仿宋" w:cs="Arial"/>
          <w:color w:val="auto"/>
          <w:sz w:val="24"/>
          <w:szCs w:val="24"/>
          <w:highlight w:val="none"/>
        </w:rPr>
        <w:t>，</w:t>
      </w:r>
      <w:r>
        <w:rPr>
          <w:rFonts w:hint="eastAsia" w:ascii="仿宋" w:hAnsi="仿宋" w:eastAsia="仿宋" w:cs="Arial"/>
          <w:color w:val="auto"/>
          <w:sz w:val="24"/>
          <w:szCs w:val="24"/>
          <w:highlight w:val="none"/>
          <w:lang w:val="zh-CN"/>
        </w:rPr>
        <w:t>具备承</w:t>
      </w:r>
      <w:r>
        <w:rPr>
          <w:rFonts w:hint="eastAsia" w:ascii="仿宋" w:hAnsi="仿宋" w:eastAsia="仿宋" w:cs="Arial"/>
          <w:color w:val="auto"/>
          <w:sz w:val="24"/>
          <w:szCs w:val="24"/>
          <w:highlight w:val="none"/>
        </w:rPr>
        <w:t>担</w:t>
      </w:r>
      <w:r>
        <w:rPr>
          <w:rFonts w:hint="eastAsia" w:ascii="仿宋" w:hAnsi="仿宋" w:eastAsia="仿宋" w:cs="Arial"/>
          <w:b/>
          <w:bCs/>
          <w:color w:val="auto"/>
          <w:sz w:val="24"/>
          <w:szCs w:val="24"/>
          <w:highlight w:val="none"/>
          <w:u w:val="single"/>
          <w:lang w:val="zh-CN"/>
        </w:rPr>
        <w:t>XX工作内容</w:t>
      </w:r>
      <w:r>
        <w:rPr>
          <w:rFonts w:hint="eastAsia" w:ascii="仿宋" w:hAnsi="仿宋" w:eastAsia="仿宋" w:cs="Arial"/>
          <w:color w:val="auto"/>
          <w:sz w:val="24"/>
          <w:szCs w:val="24"/>
          <w:highlight w:val="none"/>
          <w:lang w:val="zh-CN"/>
        </w:rPr>
        <w:t>相应资质条件且不得再次分包；</w:t>
      </w:r>
    </w:p>
    <w:p>
      <w:pPr>
        <w:autoSpaceDN w:val="0"/>
        <w:spacing w:line="360" w:lineRule="auto"/>
        <w:ind w:firstLine="463" w:firstLineChars="193"/>
        <w:rPr>
          <w:rFonts w:ascii="仿宋" w:hAnsi="仿宋" w:eastAsia="仿宋" w:cs="Arial"/>
          <w:color w:val="auto"/>
          <w:sz w:val="24"/>
          <w:szCs w:val="24"/>
          <w:highlight w:val="none"/>
          <w:lang w:val="zh-CN"/>
        </w:rPr>
      </w:pPr>
      <w:r>
        <w:rPr>
          <w:rFonts w:hint="eastAsia" w:ascii="仿宋" w:hAnsi="仿宋" w:eastAsia="仿宋" w:cs="Arial"/>
          <w:color w:val="auto"/>
          <w:sz w:val="24"/>
          <w:szCs w:val="24"/>
          <w:highlight w:val="none"/>
        </w:rPr>
        <w:t>二、</w:t>
      </w:r>
      <w:r>
        <w:rPr>
          <w:rFonts w:hint="eastAsia" w:ascii="仿宋" w:hAnsi="仿宋" w:eastAsia="仿宋" w:cs="Arial"/>
          <w:color w:val="auto"/>
          <w:sz w:val="24"/>
          <w:szCs w:val="24"/>
          <w:highlight w:val="none"/>
          <w:lang w:val="zh-CN"/>
        </w:rPr>
        <w:t>分包工作履行期限、地点、方式</w:t>
      </w:r>
    </w:p>
    <w:p>
      <w:pPr>
        <w:autoSpaceDN w:val="0"/>
        <w:spacing w:line="360" w:lineRule="auto"/>
        <w:rPr>
          <w:rFonts w:ascii="Times New Roman" w:hAnsi="Times New Roman" w:eastAsia="仿宋" w:cs="Times New Roman"/>
          <w:color w:val="auto"/>
          <w:szCs w:val="24"/>
          <w:highlight w:val="none"/>
        </w:rPr>
      </w:pPr>
      <w:r>
        <w:rPr>
          <w:rFonts w:hint="eastAsia" w:ascii="仿宋" w:hAnsi="仿宋" w:eastAsia="仿宋" w:cs="Arial"/>
          <w:color w:val="auto"/>
          <w:sz w:val="24"/>
          <w:szCs w:val="24"/>
          <w:highlight w:val="none"/>
        </w:rPr>
        <w:t xml:space="preserve">___________________________________________________________________    </w:t>
      </w:r>
    </w:p>
    <w:p>
      <w:pPr>
        <w:autoSpaceDN w:val="0"/>
        <w:spacing w:line="360" w:lineRule="auto"/>
        <w:ind w:firstLine="463" w:firstLineChars="193"/>
        <w:rPr>
          <w:rFonts w:ascii="Times New Roman" w:hAnsi="Times New Roman" w:eastAsia="宋体" w:cs="Times New Roman"/>
          <w:color w:val="auto"/>
          <w:szCs w:val="24"/>
          <w:highlight w:val="none"/>
          <w:lang w:val="zh-CN"/>
        </w:rPr>
      </w:pPr>
      <w:r>
        <w:rPr>
          <w:rFonts w:hint="eastAsia" w:ascii="仿宋_GB2312" w:hAnsi="仿宋" w:eastAsia="仿宋_GB2312" w:cs="仿宋_GB2312"/>
          <w:color w:val="auto"/>
          <w:kern w:val="0"/>
          <w:sz w:val="24"/>
          <w:szCs w:val="24"/>
          <w:highlight w:val="none"/>
        </w:rPr>
        <w:t>三、</w:t>
      </w:r>
      <w:r>
        <w:rPr>
          <w:rFonts w:hint="eastAsia" w:ascii="仿宋_GB2312" w:hAnsi="仿宋" w:eastAsia="仿宋_GB2312" w:cs="仿宋_GB2312"/>
          <w:color w:val="auto"/>
          <w:kern w:val="0"/>
          <w:sz w:val="24"/>
          <w:szCs w:val="24"/>
          <w:highlight w:val="none"/>
          <w:lang w:val="zh-CN"/>
        </w:rPr>
        <w:t>质量</w:t>
      </w:r>
    </w:p>
    <w:p>
      <w:pPr>
        <w:autoSpaceDN w:val="0"/>
        <w:snapToGrid w:val="0"/>
        <w:spacing w:line="360" w:lineRule="auto"/>
        <w:rPr>
          <w:rFonts w:ascii="Times New Roman" w:hAnsi="Times New Roman" w:eastAsia="宋体" w:cs="Times New Roman"/>
          <w:color w:val="auto"/>
          <w:szCs w:val="24"/>
          <w:highlight w:val="none"/>
          <w:lang w:val="zh-CN"/>
        </w:rPr>
      </w:pPr>
      <w:r>
        <w:rPr>
          <w:rFonts w:hint="eastAsia" w:ascii="仿宋" w:hAnsi="仿宋" w:eastAsia="仿宋" w:cs="Arial"/>
          <w:color w:val="auto"/>
          <w:sz w:val="24"/>
          <w:szCs w:val="24"/>
          <w:highlight w:val="none"/>
        </w:rPr>
        <w:t>___________________________________________________________________</w:t>
      </w:r>
    </w:p>
    <w:p>
      <w:pPr>
        <w:autoSpaceDN w:val="0"/>
        <w:spacing w:line="360" w:lineRule="auto"/>
        <w:ind w:firstLine="463" w:firstLineChars="193"/>
        <w:rPr>
          <w:rFonts w:ascii="Times New Roman" w:hAnsi="Times New Roman" w:eastAsia="宋体" w:cs="Times New Roman"/>
          <w:color w:val="auto"/>
          <w:szCs w:val="24"/>
          <w:highlight w:val="none"/>
          <w:lang w:val="zh-CN"/>
        </w:rPr>
      </w:pPr>
      <w:r>
        <w:rPr>
          <w:rFonts w:hint="eastAsia" w:ascii="仿宋_GB2312" w:hAnsi="仿宋" w:eastAsia="仿宋_GB2312" w:cs="仿宋_GB2312"/>
          <w:color w:val="auto"/>
          <w:kern w:val="0"/>
          <w:sz w:val="24"/>
          <w:szCs w:val="24"/>
          <w:highlight w:val="none"/>
        </w:rPr>
        <w:t>四、</w:t>
      </w:r>
      <w:r>
        <w:rPr>
          <w:rFonts w:hint="eastAsia" w:ascii="仿宋_GB2312" w:hAnsi="仿宋" w:eastAsia="仿宋_GB2312" w:cs="仿宋_GB2312"/>
          <w:color w:val="auto"/>
          <w:kern w:val="0"/>
          <w:sz w:val="24"/>
          <w:szCs w:val="24"/>
          <w:highlight w:val="none"/>
          <w:lang w:val="zh-CN"/>
        </w:rPr>
        <w:t>价款或者报酬</w:t>
      </w:r>
    </w:p>
    <w:p>
      <w:pPr>
        <w:autoSpaceDN w:val="0"/>
        <w:snapToGrid w:val="0"/>
        <w:spacing w:line="360" w:lineRule="auto"/>
        <w:rPr>
          <w:rFonts w:ascii="Times New Roman" w:hAnsi="Times New Roman" w:eastAsia="宋体" w:cs="Times New Roman"/>
          <w:color w:val="auto"/>
          <w:szCs w:val="24"/>
          <w:highlight w:val="none"/>
          <w:lang w:val="zh-CN"/>
        </w:rPr>
      </w:pPr>
      <w:r>
        <w:rPr>
          <w:rFonts w:hint="eastAsia" w:ascii="仿宋" w:hAnsi="仿宋" w:eastAsia="仿宋" w:cs="Arial"/>
          <w:color w:val="auto"/>
          <w:sz w:val="24"/>
          <w:szCs w:val="24"/>
          <w:highlight w:val="none"/>
        </w:rPr>
        <w:t>____________________________________________________________________</w:t>
      </w:r>
    </w:p>
    <w:p>
      <w:pPr>
        <w:autoSpaceDN w:val="0"/>
        <w:spacing w:line="360" w:lineRule="auto"/>
        <w:ind w:firstLine="463" w:firstLineChars="193"/>
        <w:rPr>
          <w:rFonts w:ascii="Times New Roman" w:hAnsi="Times New Roman" w:eastAsia="宋体" w:cs="Times New Roman"/>
          <w:color w:val="auto"/>
          <w:szCs w:val="24"/>
          <w:highlight w:val="none"/>
          <w:lang w:val="zh-CN"/>
        </w:rPr>
      </w:pPr>
      <w:r>
        <w:rPr>
          <w:rFonts w:hint="eastAsia" w:ascii="仿宋_GB2312" w:hAnsi="仿宋" w:eastAsia="仿宋_GB2312" w:cs="仿宋_GB2312"/>
          <w:color w:val="auto"/>
          <w:kern w:val="0"/>
          <w:sz w:val="24"/>
          <w:szCs w:val="24"/>
          <w:highlight w:val="none"/>
        </w:rPr>
        <w:t>五、</w:t>
      </w:r>
      <w:r>
        <w:rPr>
          <w:rFonts w:hint="eastAsia" w:ascii="仿宋_GB2312" w:hAnsi="仿宋" w:eastAsia="仿宋_GB2312" w:cs="仿宋_GB2312"/>
          <w:color w:val="auto"/>
          <w:kern w:val="0"/>
          <w:sz w:val="24"/>
          <w:szCs w:val="24"/>
          <w:highlight w:val="none"/>
          <w:lang w:val="zh-CN"/>
        </w:rPr>
        <w:t>违约责任</w:t>
      </w:r>
    </w:p>
    <w:p>
      <w:pPr>
        <w:autoSpaceDN w:val="0"/>
        <w:snapToGrid w:val="0"/>
        <w:spacing w:line="360" w:lineRule="auto"/>
        <w:rPr>
          <w:rFonts w:ascii="Times New Roman" w:hAnsi="Times New Roman" w:eastAsia="宋体" w:cs="Times New Roman"/>
          <w:color w:val="auto"/>
          <w:szCs w:val="24"/>
          <w:highlight w:val="none"/>
          <w:lang w:val="zh-CN"/>
        </w:rPr>
      </w:pPr>
      <w:r>
        <w:rPr>
          <w:rFonts w:hint="eastAsia" w:ascii="仿宋" w:hAnsi="仿宋" w:eastAsia="仿宋" w:cs="Arial"/>
          <w:color w:val="auto"/>
          <w:sz w:val="24"/>
          <w:szCs w:val="24"/>
          <w:highlight w:val="none"/>
        </w:rPr>
        <w:t>_____________________________________________________________________</w:t>
      </w:r>
    </w:p>
    <w:p>
      <w:pPr>
        <w:autoSpaceDN w:val="0"/>
        <w:spacing w:line="360" w:lineRule="auto"/>
        <w:ind w:firstLine="463" w:firstLineChars="193"/>
        <w:rPr>
          <w:rFonts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rPr>
        <w:t>六、</w:t>
      </w:r>
      <w:r>
        <w:rPr>
          <w:rFonts w:hint="eastAsia" w:ascii="仿宋_GB2312" w:hAnsi="仿宋" w:eastAsia="仿宋_GB2312" w:cs="仿宋_GB2312"/>
          <w:color w:val="auto"/>
          <w:kern w:val="0"/>
          <w:sz w:val="24"/>
          <w:szCs w:val="24"/>
          <w:highlight w:val="none"/>
          <w:lang w:val="zh-CN"/>
        </w:rPr>
        <w:t>争议解决的办法</w:t>
      </w:r>
    </w:p>
    <w:p>
      <w:pPr>
        <w:autoSpaceDN w:val="0"/>
        <w:snapToGrid w:val="0"/>
        <w:spacing w:line="360" w:lineRule="auto"/>
        <w:rPr>
          <w:rFonts w:ascii="仿宋_GB2312" w:hAnsi="仿宋" w:eastAsia="仿宋_GB2312" w:cs="仿宋_GB2312"/>
          <w:color w:val="auto"/>
          <w:kern w:val="0"/>
          <w:sz w:val="24"/>
          <w:szCs w:val="24"/>
          <w:highlight w:val="none"/>
          <w:lang w:val="zh-CN"/>
        </w:rPr>
      </w:pPr>
      <w:r>
        <w:rPr>
          <w:rFonts w:hint="eastAsia" w:ascii="仿宋" w:hAnsi="仿宋" w:eastAsia="仿宋" w:cs="Arial"/>
          <w:color w:val="auto"/>
          <w:sz w:val="24"/>
          <w:szCs w:val="24"/>
          <w:highlight w:val="none"/>
        </w:rPr>
        <w:t xml:space="preserve">____________________________________________________________________                                                                            </w:t>
      </w:r>
      <w:r>
        <w:rPr>
          <w:rFonts w:hint="eastAsia" w:ascii="仿宋_GB2312" w:hAnsi="仿宋" w:eastAsia="仿宋_GB2312" w:cs="Times New Roman"/>
          <w:color w:val="auto"/>
          <w:szCs w:val="24"/>
          <w:highlight w:val="none"/>
          <w:u w:val="single"/>
        </w:rPr>
        <w:t xml:space="preserve">  </w:t>
      </w:r>
    </w:p>
    <w:p>
      <w:pPr>
        <w:autoSpaceDN w:val="0"/>
        <w:spacing w:line="360" w:lineRule="auto"/>
        <w:ind w:firstLine="463" w:firstLineChars="193"/>
        <w:rPr>
          <w:rFonts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rPr>
        <w:t>七、</w:t>
      </w:r>
      <w:r>
        <w:rPr>
          <w:rFonts w:hint="eastAsia" w:ascii="仿宋_GB2312" w:hAnsi="仿宋" w:eastAsia="仿宋_GB2312" w:cs="仿宋_GB2312"/>
          <w:color w:val="auto"/>
          <w:kern w:val="0"/>
          <w:sz w:val="24"/>
          <w:szCs w:val="24"/>
          <w:highlight w:val="none"/>
          <w:lang w:val="zh-CN"/>
        </w:rPr>
        <w:t>其他</w:t>
      </w:r>
    </w:p>
    <w:p>
      <w:pPr>
        <w:autoSpaceDN w:val="0"/>
        <w:snapToGrid w:val="0"/>
        <w:spacing w:line="360" w:lineRule="auto"/>
        <w:ind w:left="5760" w:hanging="5760" w:hangingChars="2400"/>
        <w:rPr>
          <w:rFonts w:ascii="仿宋_GB2312" w:hAnsi="仿宋" w:eastAsia="仿宋_GB2312" w:cs="仿宋_GB2312"/>
          <w:color w:val="auto"/>
          <w:kern w:val="0"/>
          <w:sz w:val="24"/>
          <w:szCs w:val="24"/>
          <w:highlight w:val="none"/>
          <w:lang w:val="zh-CN"/>
        </w:rPr>
      </w:pPr>
      <w:r>
        <w:rPr>
          <w:rFonts w:hint="eastAsia" w:ascii="仿宋" w:hAnsi="仿宋" w:eastAsia="仿宋" w:cs="Arial"/>
          <w:color w:val="auto"/>
          <w:sz w:val="24"/>
          <w:szCs w:val="24"/>
          <w:highlight w:val="none"/>
        </w:rPr>
        <w:t>____________________________________________________________________</w:t>
      </w:r>
      <w:r>
        <w:rPr>
          <w:rFonts w:hint="eastAsia" w:ascii="仿宋_GB2312" w:hAnsi="仿宋" w:eastAsia="仿宋_GB2312" w:cs="仿宋_GB2312"/>
          <w:color w:val="auto"/>
          <w:kern w:val="0"/>
          <w:sz w:val="24"/>
          <w:szCs w:val="24"/>
          <w:highlight w:val="none"/>
          <w:lang w:val="zh-CN"/>
        </w:rPr>
        <w:t xml:space="preserve">                        </w:t>
      </w:r>
      <w:r>
        <w:rPr>
          <w:rFonts w:hint="eastAsia" w:ascii="仿宋_GB2312" w:hAnsi="仿宋" w:eastAsia="仿宋_GB2312" w:cs="仿宋_GB2312"/>
          <w:color w:val="auto"/>
          <w:kern w:val="0"/>
          <w:sz w:val="24"/>
          <w:szCs w:val="24"/>
          <w:highlight w:val="none"/>
        </w:rPr>
        <w:t>磋商响应供应商</w:t>
      </w:r>
      <w:r>
        <w:rPr>
          <w:rFonts w:hint="eastAsia" w:ascii="仿宋_GB2312" w:hAnsi="仿宋" w:eastAsia="仿宋_GB2312" w:cs="仿宋_GB2312"/>
          <w:color w:val="auto"/>
          <w:kern w:val="0"/>
          <w:sz w:val="24"/>
          <w:szCs w:val="24"/>
          <w:highlight w:val="none"/>
          <w:lang w:val="zh-CN"/>
        </w:rPr>
        <w:t>(</w:t>
      </w:r>
      <w:r>
        <w:rPr>
          <w:rFonts w:hint="eastAsia" w:ascii="仿宋_GB2312" w:hAnsi="仿宋" w:eastAsia="仿宋_GB2312" w:cs="仿宋_GB2312"/>
          <w:color w:val="auto"/>
          <w:kern w:val="0"/>
          <w:sz w:val="24"/>
          <w:szCs w:val="24"/>
          <w:highlight w:val="none"/>
        </w:rPr>
        <w:t>盖章</w:t>
      </w:r>
      <w:r>
        <w:rPr>
          <w:rFonts w:hint="eastAsia" w:ascii="仿宋_GB2312" w:hAnsi="仿宋" w:eastAsia="仿宋_GB2312" w:cs="仿宋_GB2312"/>
          <w:color w:val="auto"/>
          <w:kern w:val="0"/>
          <w:sz w:val="24"/>
          <w:szCs w:val="24"/>
          <w:highlight w:val="none"/>
          <w:lang w:val="zh-CN"/>
        </w:rPr>
        <w:t>)：</w:t>
      </w:r>
    </w:p>
    <w:p>
      <w:pPr>
        <w:autoSpaceDN w:val="0"/>
        <w:snapToGrid w:val="0"/>
        <w:spacing w:line="360" w:lineRule="auto"/>
        <w:ind w:firstLine="5640" w:firstLineChars="2350"/>
        <w:rPr>
          <w:rFonts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分包供应商名称（</w:t>
      </w:r>
      <w:r>
        <w:rPr>
          <w:rFonts w:hint="eastAsia" w:ascii="仿宋_GB2312" w:hAnsi="仿宋" w:eastAsia="仿宋_GB2312" w:cs="仿宋_GB2312"/>
          <w:color w:val="auto"/>
          <w:kern w:val="0"/>
          <w:sz w:val="24"/>
          <w:szCs w:val="24"/>
          <w:highlight w:val="none"/>
        </w:rPr>
        <w:t>盖章</w:t>
      </w:r>
      <w:r>
        <w:rPr>
          <w:rFonts w:hint="eastAsia" w:ascii="仿宋_GB2312" w:hAnsi="仿宋" w:eastAsia="仿宋_GB2312" w:cs="仿宋_GB2312"/>
          <w:color w:val="auto"/>
          <w:kern w:val="0"/>
          <w:sz w:val="24"/>
          <w:szCs w:val="24"/>
          <w:highlight w:val="none"/>
          <w:lang w:val="zh-CN"/>
        </w:rPr>
        <w:t>）：</w:t>
      </w:r>
    </w:p>
    <w:p>
      <w:pPr>
        <w:autoSpaceDN w:val="0"/>
        <w:spacing w:line="360" w:lineRule="auto"/>
        <w:jc w:val="center"/>
        <w:rPr>
          <w:rFonts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 xml:space="preserve">                                        日期：  年  月   日</w:t>
      </w:r>
    </w:p>
    <w:p>
      <w:pPr>
        <w:autoSpaceDN w:val="0"/>
        <w:spacing w:line="360" w:lineRule="auto"/>
        <w:ind w:firstLine="463" w:firstLineChars="193"/>
        <w:rPr>
          <w:rFonts w:ascii="仿宋" w:hAnsi="仿宋" w:eastAsia="仿宋" w:cs="Arial"/>
          <w:color w:val="auto"/>
          <w:sz w:val="24"/>
          <w:szCs w:val="24"/>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rPr>
          <w:rFonts w:ascii="仿宋" w:hAnsi="仿宋" w:eastAsia="仿宋" w:cs="Times New Roman"/>
          <w:b/>
          <w:bCs/>
          <w:color w:val="auto"/>
          <w:sz w:val="32"/>
          <w:szCs w:val="32"/>
          <w:highlight w:val="none"/>
        </w:rPr>
      </w:pPr>
      <w:bookmarkStart w:id="193" w:name="_Toc96947080"/>
      <w:r>
        <w:rPr>
          <w:rFonts w:hint="eastAsia" w:ascii="仿宋" w:hAnsi="仿宋" w:eastAsia="仿宋" w:cs="Times New Roman"/>
          <w:b/>
          <w:bCs/>
          <w:color w:val="auto"/>
          <w:sz w:val="32"/>
          <w:szCs w:val="32"/>
          <w:highlight w:val="none"/>
        </w:rPr>
        <w:br w:type="page"/>
      </w:r>
    </w:p>
    <w:p>
      <w:pPr>
        <w:keepNext/>
        <w:keepLines/>
        <w:autoSpaceDN w:val="0"/>
        <w:spacing w:before="260" w:after="260" w:line="415" w:lineRule="auto"/>
        <w:outlineLvl w:val="1"/>
        <w:rPr>
          <w:rFonts w:ascii="仿宋" w:hAnsi="仿宋" w:eastAsia="仿宋" w:cs="Times New Roman"/>
          <w:b/>
          <w:bCs/>
          <w:color w:val="auto"/>
          <w:sz w:val="32"/>
          <w:szCs w:val="32"/>
          <w:highlight w:val="none"/>
        </w:rPr>
      </w:pPr>
      <w:bookmarkStart w:id="194" w:name="_Toc16209"/>
      <w:r>
        <w:rPr>
          <w:rFonts w:hint="eastAsia" w:ascii="仿宋" w:hAnsi="仿宋" w:eastAsia="仿宋" w:cs="Times New Roman"/>
          <w:b/>
          <w:bCs/>
          <w:color w:val="auto"/>
          <w:sz w:val="32"/>
          <w:szCs w:val="32"/>
          <w:highlight w:val="none"/>
        </w:rPr>
        <w:t>二、商务技术文件部分格式</w:t>
      </w:r>
      <w:bookmarkEnd w:id="193"/>
      <w:bookmarkEnd w:id="194"/>
    </w:p>
    <w:p>
      <w:pPr>
        <w:tabs>
          <w:tab w:val="left" w:pos="2580"/>
          <w:tab w:val="left" w:pos="5940"/>
        </w:tabs>
        <w:autoSpaceDE w:val="0"/>
        <w:autoSpaceDN w:val="0"/>
        <w:adjustRightInd w:val="0"/>
        <w:spacing w:line="360" w:lineRule="auto"/>
        <w:ind w:right="-20"/>
        <w:rPr>
          <w:rFonts w:ascii="仿宋" w:hAnsi="仿宋" w:eastAsia="仿宋" w:cs="Times New Roman"/>
          <w:color w:val="auto"/>
          <w:kern w:val="0"/>
          <w:sz w:val="28"/>
          <w:szCs w:val="24"/>
          <w:highlight w:val="none"/>
        </w:rPr>
      </w:pPr>
    </w:p>
    <w:p>
      <w:pPr>
        <w:tabs>
          <w:tab w:val="left" w:pos="2580"/>
          <w:tab w:val="left" w:pos="5940"/>
        </w:tabs>
        <w:autoSpaceDE w:val="0"/>
        <w:autoSpaceDN w:val="0"/>
        <w:adjustRightInd w:val="0"/>
        <w:snapToGrid w:val="0"/>
        <w:spacing w:line="360" w:lineRule="auto"/>
        <w:rPr>
          <w:rFonts w:ascii="仿宋" w:hAnsi="仿宋" w:eastAsia="仿宋" w:cs="Times New Roman"/>
          <w:color w:val="auto"/>
          <w:kern w:val="0"/>
          <w:sz w:val="28"/>
          <w:szCs w:val="24"/>
          <w:highlight w:val="none"/>
        </w:rPr>
      </w:pPr>
    </w:p>
    <w:p>
      <w:pPr>
        <w:tabs>
          <w:tab w:val="left" w:pos="2580"/>
          <w:tab w:val="left" w:pos="5940"/>
        </w:tabs>
        <w:autoSpaceDE w:val="0"/>
        <w:autoSpaceDN w:val="0"/>
        <w:adjustRightInd w:val="0"/>
        <w:snapToGrid w:val="0"/>
        <w:spacing w:line="360" w:lineRule="auto"/>
        <w:ind w:left="945" w:leftChars="450"/>
        <w:rPr>
          <w:rFonts w:ascii="仿宋" w:hAnsi="仿宋" w:eastAsia="仿宋" w:cs="Times New Roman"/>
          <w:color w:val="auto"/>
          <w:kern w:val="0"/>
          <w:sz w:val="28"/>
          <w:szCs w:val="24"/>
          <w:highlight w:val="none"/>
          <w:u w:val="single"/>
        </w:rPr>
      </w:pPr>
      <w:r>
        <w:rPr>
          <w:rFonts w:hint="eastAsia" w:ascii="仿宋" w:hAnsi="仿宋" w:eastAsia="仿宋" w:cs="Times New Roman"/>
          <w:color w:val="auto"/>
          <w:kern w:val="0"/>
          <w:sz w:val="28"/>
          <w:szCs w:val="24"/>
          <w:highlight w:val="none"/>
        </w:rPr>
        <w:t xml:space="preserve">项目名称： </w:t>
      </w:r>
    </w:p>
    <w:p>
      <w:pPr>
        <w:tabs>
          <w:tab w:val="left" w:pos="2580"/>
          <w:tab w:val="left" w:pos="5940"/>
        </w:tabs>
        <w:autoSpaceDE w:val="0"/>
        <w:autoSpaceDN w:val="0"/>
        <w:adjustRightInd w:val="0"/>
        <w:snapToGrid w:val="0"/>
        <w:spacing w:line="360" w:lineRule="auto"/>
        <w:ind w:right="-20" w:firstLine="980" w:firstLineChars="350"/>
        <w:rPr>
          <w:rFonts w:ascii="仿宋" w:hAnsi="仿宋" w:eastAsia="仿宋" w:cs="Times New Roman"/>
          <w:color w:val="auto"/>
          <w:kern w:val="0"/>
          <w:sz w:val="28"/>
          <w:szCs w:val="24"/>
          <w:highlight w:val="none"/>
        </w:rPr>
      </w:pPr>
    </w:p>
    <w:p>
      <w:pPr>
        <w:tabs>
          <w:tab w:val="left" w:pos="2580"/>
          <w:tab w:val="left" w:pos="5940"/>
        </w:tabs>
        <w:autoSpaceDE w:val="0"/>
        <w:autoSpaceDN w:val="0"/>
        <w:adjustRightInd w:val="0"/>
        <w:snapToGrid w:val="0"/>
        <w:spacing w:line="360" w:lineRule="auto"/>
        <w:ind w:right="-20" w:firstLine="980" w:firstLineChars="350"/>
        <w:rPr>
          <w:rFonts w:ascii="仿宋" w:hAnsi="仿宋" w:eastAsia="仿宋" w:cs="Times New Roman"/>
          <w:b/>
          <w:bCs/>
          <w:color w:val="auto"/>
          <w:kern w:val="0"/>
          <w:sz w:val="32"/>
          <w:szCs w:val="32"/>
          <w:highlight w:val="none"/>
          <w:u w:val="single"/>
        </w:rPr>
      </w:pPr>
      <w:r>
        <w:rPr>
          <w:rFonts w:hint="eastAsia" w:ascii="仿宋" w:hAnsi="仿宋" w:eastAsia="仿宋" w:cs="Times New Roman"/>
          <w:color w:val="auto"/>
          <w:kern w:val="0"/>
          <w:sz w:val="28"/>
          <w:szCs w:val="24"/>
          <w:highlight w:val="none"/>
        </w:rPr>
        <w:t xml:space="preserve">项目编号： </w:t>
      </w:r>
    </w:p>
    <w:p>
      <w:pPr>
        <w:autoSpaceDE w:val="0"/>
        <w:autoSpaceDN w:val="0"/>
        <w:adjustRightInd w:val="0"/>
        <w:snapToGrid w:val="0"/>
        <w:spacing w:line="360" w:lineRule="auto"/>
        <w:jc w:val="left"/>
        <w:rPr>
          <w:rFonts w:ascii="仿宋" w:hAnsi="仿宋" w:eastAsia="仿宋" w:cs="Times New Roman"/>
          <w:color w:val="auto"/>
          <w:kern w:val="0"/>
          <w:sz w:val="24"/>
          <w:szCs w:val="24"/>
          <w:highlight w:val="none"/>
        </w:rPr>
      </w:pPr>
    </w:p>
    <w:p>
      <w:pPr>
        <w:autoSpaceDE w:val="0"/>
        <w:autoSpaceDN w:val="0"/>
        <w:adjustRightInd w:val="0"/>
        <w:snapToGrid w:val="0"/>
        <w:spacing w:line="360" w:lineRule="auto"/>
        <w:jc w:val="left"/>
        <w:rPr>
          <w:rFonts w:ascii="仿宋" w:hAnsi="仿宋" w:eastAsia="仿宋" w:cs="Times New Roman"/>
          <w:color w:val="auto"/>
          <w:kern w:val="0"/>
          <w:sz w:val="24"/>
          <w:szCs w:val="24"/>
          <w:highlight w:val="none"/>
        </w:rPr>
      </w:pPr>
    </w:p>
    <w:p>
      <w:pPr>
        <w:tabs>
          <w:tab w:val="left" w:pos="1805"/>
          <w:tab w:val="left" w:pos="5360"/>
        </w:tabs>
        <w:autoSpaceDE w:val="0"/>
        <w:autoSpaceDN w:val="0"/>
        <w:adjustRightInd w:val="0"/>
        <w:snapToGrid w:val="0"/>
        <w:spacing w:line="360" w:lineRule="auto"/>
        <w:ind w:right="-20"/>
        <w:jc w:val="center"/>
        <w:rPr>
          <w:rFonts w:ascii="仿宋" w:hAnsi="仿宋" w:eastAsia="仿宋" w:cs="Times New Roman"/>
          <w:color w:val="auto"/>
          <w:kern w:val="0"/>
          <w:sz w:val="72"/>
          <w:szCs w:val="24"/>
          <w:highlight w:val="none"/>
        </w:rPr>
      </w:pPr>
      <w:r>
        <w:rPr>
          <w:rFonts w:hint="eastAsia" w:ascii="仿宋" w:hAnsi="仿宋" w:eastAsia="仿宋" w:cs="Times New Roman"/>
          <w:color w:val="auto"/>
          <w:kern w:val="0"/>
          <w:sz w:val="72"/>
          <w:szCs w:val="24"/>
          <w:highlight w:val="none"/>
        </w:rPr>
        <w:t>响应文件</w:t>
      </w:r>
    </w:p>
    <w:p>
      <w:pPr>
        <w:tabs>
          <w:tab w:val="left" w:pos="1805"/>
          <w:tab w:val="left" w:pos="5360"/>
        </w:tabs>
        <w:autoSpaceDE w:val="0"/>
        <w:autoSpaceDN w:val="0"/>
        <w:adjustRightInd w:val="0"/>
        <w:snapToGrid w:val="0"/>
        <w:spacing w:line="360" w:lineRule="auto"/>
        <w:ind w:right="-20"/>
        <w:jc w:val="center"/>
        <w:rPr>
          <w:rFonts w:ascii="仿宋" w:hAnsi="仿宋" w:eastAsia="仿宋" w:cs="Times New Roman"/>
          <w:color w:val="auto"/>
          <w:kern w:val="0"/>
          <w:sz w:val="16"/>
          <w:szCs w:val="24"/>
          <w:highlight w:val="none"/>
        </w:rPr>
      </w:pPr>
      <w:r>
        <w:rPr>
          <w:rFonts w:hint="eastAsia" w:ascii="仿宋" w:hAnsi="仿宋" w:eastAsia="仿宋" w:cs="Times New Roman"/>
          <w:color w:val="auto"/>
          <w:kern w:val="0"/>
          <w:sz w:val="72"/>
          <w:szCs w:val="24"/>
          <w:highlight w:val="none"/>
        </w:rPr>
        <w:t>（商务技术文件）</w:t>
      </w:r>
    </w:p>
    <w:p>
      <w:pPr>
        <w:autoSpaceDE w:val="0"/>
        <w:autoSpaceDN w:val="0"/>
        <w:adjustRightInd w:val="0"/>
        <w:snapToGrid w:val="0"/>
        <w:spacing w:line="360" w:lineRule="auto"/>
        <w:jc w:val="left"/>
        <w:rPr>
          <w:rFonts w:ascii="仿宋" w:hAnsi="仿宋" w:eastAsia="仿宋" w:cs="Times New Roman"/>
          <w:color w:val="auto"/>
          <w:kern w:val="0"/>
          <w:sz w:val="20"/>
          <w:szCs w:val="24"/>
          <w:highlight w:val="none"/>
        </w:rPr>
      </w:pPr>
    </w:p>
    <w:p>
      <w:pPr>
        <w:autoSpaceDE w:val="0"/>
        <w:autoSpaceDN w:val="0"/>
        <w:adjustRightInd w:val="0"/>
        <w:snapToGrid w:val="0"/>
        <w:spacing w:line="360" w:lineRule="auto"/>
        <w:jc w:val="left"/>
        <w:rPr>
          <w:rFonts w:ascii="仿宋" w:hAnsi="仿宋" w:eastAsia="仿宋" w:cs="Times New Roman"/>
          <w:color w:val="auto"/>
          <w:kern w:val="0"/>
          <w:sz w:val="20"/>
          <w:szCs w:val="24"/>
          <w:highlight w:val="none"/>
        </w:rPr>
      </w:pPr>
    </w:p>
    <w:p>
      <w:pPr>
        <w:autoSpaceDE w:val="0"/>
        <w:autoSpaceDN w:val="0"/>
        <w:adjustRightInd w:val="0"/>
        <w:snapToGrid w:val="0"/>
        <w:spacing w:line="360" w:lineRule="auto"/>
        <w:jc w:val="left"/>
        <w:rPr>
          <w:rFonts w:ascii="仿宋" w:hAnsi="仿宋" w:eastAsia="仿宋" w:cs="Times New Roman"/>
          <w:color w:val="auto"/>
          <w:kern w:val="0"/>
          <w:sz w:val="20"/>
          <w:szCs w:val="24"/>
          <w:highlight w:val="none"/>
        </w:rPr>
      </w:pPr>
    </w:p>
    <w:p>
      <w:pPr>
        <w:autoSpaceDE w:val="0"/>
        <w:autoSpaceDN w:val="0"/>
        <w:adjustRightInd w:val="0"/>
        <w:spacing w:line="360" w:lineRule="auto"/>
        <w:ind w:firstLine="840" w:firstLineChars="300"/>
        <w:jc w:val="left"/>
        <w:rPr>
          <w:rFonts w:ascii="仿宋" w:hAnsi="仿宋" w:eastAsia="仿宋" w:cs="..ì."/>
          <w:color w:val="auto"/>
          <w:kern w:val="0"/>
          <w:sz w:val="28"/>
          <w:szCs w:val="24"/>
          <w:highlight w:val="none"/>
        </w:rPr>
      </w:pPr>
      <w:r>
        <w:rPr>
          <w:rFonts w:hint="eastAsia" w:ascii="仿宋" w:hAnsi="仿宋" w:eastAsia="仿宋" w:cs="..ì."/>
          <w:color w:val="auto"/>
          <w:sz w:val="28"/>
          <w:szCs w:val="24"/>
          <w:highlight w:val="none"/>
        </w:rPr>
        <w:t>磋商响应供应商（盖章）：</w:t>
      </w:r>
    </w:p>
    <w:p>
      <w:pPr>
        <w:autoSpaceDE w:val="0"/>
        <w:autoSpaceDN w:val="0"/>
        <w:adjustRightInd w:val="0"/>
        <w:spacing w:line="360" w:lineRule="auto"/>
        <w:ind w:firstLine="840" w:firstLineChars="300"/>
        <w:jc w:val="left"/>
        <w:rPr>
          <w:rFonts w:ascii="仿宋" w:hAnsi="仿宋" w:eastAsia="仿宋" w:cs="..ì."/>
          <w:color w:val="auto"/>
          <w:sz w:val="28"/>
          <w:szCs w:val="24"/>
          <w:highlight w:val="none"/>
        </w:rPr>
      </w:pPr>
      <w:r>
        <w:rPr>
          <w:rFonts w:hint="eastAsia" w:ascii="仿宋" w:hAnsi="仿宋" w:eastAsia="仿宋" w:cs="..ì."/>
          <w:color w:val="auto"/>
          <w:sz w:val="28"/>
          <w:szCs w:val="24"/>
          <w:highlight w:val="none"/>
        </w:rPr>
        <w:t>磋商响应供应商地址：</w:t>
      </w:r>
    </w:p>
    <w:p>
      <w:pPr>
        <w:autoSpaceDE w:val="0"/>
        <w:autoSpaceDN w:val="0"/>
        <w:adjustRightInd w:val="0"/>
        <w:spacing w:line="360" w:lineRule="auto"/>
        <w:ind w:firstLine="840" w:firstLineChars="300"/>
        <w:jc w:val="left"/>
        <w:rPr>
          <w:rFonts w:ascii="仿宋" w:hAnsi="仿宋" w:eastAsia="仿宋" w:cs="..ì."/>
          <w:color w:val="auto"/>
          <w:sz w:val="28"/>
          <w:szCs w:val="24"/>
          <w:highlight w:val="none"/>
          <w:u w:val="single"/>
        </w:rPr>
      </w:pPr>
      <w:r>
        <w:rPr>
          <w:rFonts w:hint="eastAsia" w:ascii="仿宋" w:hAnsi="仿宋" w:eastAsia="仿宋" w:cs="..ì."/>
          <w:color w:val="auto"/>
          <w:sz w:val="28"/>
          <w:szCs w:val="24"/>
          <w:highlight w:val="none"/>
        </w:rPr>
        <w:t>磋商响应供应商联系电话：</w:t>
      </w:r>
    </w:p>
    <w:p>
      <w:pPr>
        <w:tabs>
          <w:tab w:val="left" w:pos="6080"/>
          <w:tab w:val="left" w:pos="6640"/>
        </w:tabs>
        <w:autoSpaceDE w:val="0"/>
        <w:autoSpaceDN w:val="0"/>
        <w:adjustRightInd w:val="0"/>
        <w:snapToGrid w:val="0"/>
        <w:spacing w:line="360" w:lineRule="auto"/>
        <w:ind w:left="774" w:right="403"/>
        <w:jc w:val="left"/>
        <w:rPr>
          <w:rFonts w:ascii="仿宋" w:hAnsi="仿宋" w:eastAsia="仿宋" w:cs="Times New Roman"/>
          <w:color w:val="auto"/>
          <w:kern w:val="0"/>
          <w:sz w:val="28"/>
          <w:szCs w:val="24"/>
          <w:highlight w:val="none"/>
        </w:rPr>
      </w:pPr>
    </w:p>
    <w:p>
      <w:pPr>
        <w:tabs>
          <w:tab w:val="left" w:pos="3280"/>
          <w:tab w:val="left" w:pos="4680"/>
          <w:tab w:val="left" w:pos="6080"/>
        </w:tabs>
        <w:autoSpaceDE w:val="0"/>
        <w:autoSpaceDN w:val="0"/>
        <w:adjustRightInd w:val="0"/>
        <w:snapToGrid w:val="0"/>
        <w:spacing w:line="360" w:lineRule="auto"/>
        <w:ind w:right="-20"/>
        <w:jc w:val="center"/>
        <w:rPr>
          <w:rFonts w:ascii="仿宋" w:hAnsi="仿宋" w:eastAsia="仿宋" w:cs="Times New Roman"/>
          <w:color w:val="auto"/>
          <w:kern w:val="0"/>
          <w:sz w:val="28"/>
          <w:szCs w:val="24"/>
          <w:highlight w:val="none"/>
        </w:rPr>
      </w:pPr>
      <w:r>
        <w:rPr>
          <w:rFonts w:hint="eastAsia" w:ascii="仿宋" w:hAnsi="仿宋" w:eastAsia="仿宋" w:cs="Times New Roman"/>
          <w:color w:val="auto"/>
          <w:kern w:val="0"/>
          <w:sz w:val="28"/>
          <w:szCs w:val="24"/>
          <w:highlight w:val="none"/>
        </w:rPr>
        <w:t>年 月 日</w:t>
      </w:r>
    </w:p>
    <w:p>
      <w:pPr>
        <w:autoSpaceDN w:val="0"/>
        <w:spacing w:line="360" w:lineRule="auto"/>
        <w:rPr>
          <w:rFonts w:ascii="仿宋" w:hAnsi="仿宋" w:eastAsia="仿宋" w:cs="Times New Roman"/>
          <w:color w:val="auto"/>
          <w:szCs w:val="24"/>
          <w:highlight w:val="none"/>
        </w:rPr>
      </w:pPr>
      <w:r>
        <w:rPr>
          <w:rFonts w:hint="eastAsia" w:ascii="仿宋" w:hAnsi="仿宋" w:eastAsia="仿宋" w:cs="Times New Roman"/>
          <w:color w:val="auto"/>
          <w:szCs w:val="24"/>
          <w:highlight w:val="none"/>
        </w:rPr>
        <w:br w:type="page"/>
      </w:r>
    </w:p>
    <w:p>
      <w:pPr>
        <w:keepNext/>
        <w:keepLines/>
        <w:autoSpaceDN w:val="0"/>
        <w:spacing w:before="120" w:beforeLines="50" w:after="120" w:afterLines="50" w:line="360" w:lineRule="auto"/>
        <w:ind w:firstLine="281" w:firstLineChars="100"/>
        <w:jc w:val="left"/>
        <w:outlineLvl w:val="2"/>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2-1 ▲关于投标文件所有内容真实有效的承诺函</w:t>
      </w:r>
    </w:p>
    <w:p>
      <w:pPr>
        <w:autoSpaceDN w:val="0"/>
        <w:spacing w:line="360" w:lineRule="auto"/>
        <w:jc w:val="center"/>
        <w:rPr>
          <w:rFonts w:ascii="华文中宋" w:hAnsi="华文中宋" w:eastAsia="华文中宋" w:cs="Arial"/>
          <w:b/>
          <w:color w:val="auto"/>
          <w:kern w:val="0"/>
          <w:sz w:val="36"/>
          <w:szCs w:val="32"/>
          <w:highlight w:val="none"/>
        </w:rPr>
      </w:pPr>
    </w:p>
    <w:p>
      <w:pPr>
        <w:autoSpaceDN w:val="0"/>
        <w:spacing w:line="360" w:lineRule="auto"/>
        <w:jc w:val="center"/>
        <w:rPr>
          <w:rFonts w:ascii="微软雅黑" w:hAnsi="微软雅黑" w:eastAsia="微软雅黑" w:cs="Times New Roman"/>
          <w:b/>
          <w:color w:val="auto"/>
          <w:sz w:val="32"/>
          <w:szCs w:val="32"/>
          <w:highlight w:val="none"/>
        </w:rPr>
      </w:pPr>
      <w:r>
        <w:rPr>
          <w:rFonts w:hint="eastAsia" w:ascii="仿宋" w:hAnsi="仿宋" w:eastAsia="仿宋" w:cs="Times New Roman"/>
          <w:b/>
          <w:color w:val="auto"/>
          <w:sz w:val="32"/>
          <w:szCs w:val="32"/>
          <w:highlight w:val="none"/>
        </w:rPr>
        <w:t>关于投标文件所有内容真实、有效的承诺函</w:t>
      </w:r>
    </w:p>
    <w:p>
      <w:pPr>
        <w:autoSpaceDN w:val="0"/>
        <w:spacing w:line="360" w:lineRule="auto"/>
        <w:rPr>
          <w:rFonts w:ascii="Arial" w:hAnsi="新宋体" w:eastAsia="新宋体" w:cs="Arial"/>
          <w:b/>
          <w:color w:val="auto"/>
          <w:kern w:val="0"/>
          <w:sz w:val="28"/>
          <w:szCs w:val="28"/>
          <w:highlight w:val="none"/>
          <w:u w:val="single"/>
        </w:rPr>
      </w:pPr>
    </w:p>
    <w:p>
      <w:pPr>
        <w:autoSpaceDN w:val="0"/>
        <w:spacing w:line="360" w:lineRule="auto"/>
        <w:rPr>
          <w:rFonts w:ascii="仿宋" w:hAnsi="仿宋" w:eastAsia="仿宋" w:cs="Arial"/>
          <w:b/>
          <w:color w:val="auto"/>
          <w:kern w:val="0"/>
          <w:sz w:val="32"/>
          <w:szCs w:val="28"/>
          <w:highlight w:val="none"/>
          <w:u w:val="single"/>
        </w:rPr>
      </w:pPr>
      <w:bookmarkStart w:id="195" w:name="_Hlk96945497"/>
      <w:r>
        <w:rPr>
          <w:rFonts w:hint="eastAsia" w:ascii="仿宋" w:hAnsi="仿宋" w:eastAsia="仿宋" w:cs="Arial"/>
          <w:b/>
          <w:color w:val="auto"/>
          <w:w w:val="90"/>
          <w:kern w:val="0"/>
          <w:sz w:val="28"/>
          <w:highlight w:val="none"/>
          <w:u w:val="single"/>
          <w:lang w:eastAsia="zh-CN"/>
        </w:rPr>
        <w:t>浙江省拱宸强制隔离戒毒所</w:t>
      </w:r>
      <w:r>
        <w:rPr>
          <w:rFonts w:hint="eastAsia" w:ascii="仿宋" w:hAnsi="仿宋" w:eastAsia="仿宋" w:cs="Arial"/>
          <w:b/>
          <w:color w:val="auto"/>
          <w:w w:val="90"/>
          <w:kern w:val="0"/>
          <w:sz w:val="28"/>
          <w:highlight w:val="none"/>
          <w:u w:val="single"/>
        </w:rPr>
        <w:t>、浙江豪圣建设项目管理有限公司</w:t>
      </w:r>
      <w:r>
        <w:rPr>
          <w:rFonts w:hint="eastAsia" w:ascii="仿宋" w:hAnsi="仿宋" w:eastAsia="仿宋" w:cs="Arial"/>
          <w:b/>
          <w:color w:val="auto"/>
          <w:w w:val="90"/>
          <w:kern w:val="0"/>
          <w:sz w:val="28"/>
          <w:highlight w:val="none"/>
        </w:rPr>
        <w:t>：</w:t>
      </w:r>
    </w:p>
    <w:bookmarkEnd w:id="195"/>
    <w:p>
      <w:pPr>
        <w:autoSpaceDN w:val="0"/>
        <w:spacing w:line="360" w:lineRule="auto"/>
        <w:rPr>
          <w:rFonts w:ascii="仿宋" w:hAnsi="仿宋" w:eastAsia="仿宋" w:cs="Arial"/>
          <w:color w:val="auto"/>
          <w:kern w:val="0"/>
          <w:sz w:val="32"/>
          <w:szCs w:val="28"/>
          <w:highlight w:val="none"/>
        </w:rPr>
      </w:pPr>
    </w:p>
    <w:p>
      <w:pPr>
        <w:autoSpaceDN w:val="0"/>
        <w:spacing w:line="360" w:lineRule="auto"/>
        <w:ind w:firstLine="560" w:firstLineChars="200"/>
        <w:rPr>
          <w:rFonts w:ascii="仿宋" w:hAnsi="仿宋" w:eastAsia="仿宋" w:cs="Arial"/>
          <w:color w:val="auto"/>
          <w:kern w:val="0"/>
          <w:sz w:val="28"/>
          <w:highlight w:val="none"/>
        </w:rPr>
      </w:pPr>
      <w:r>
        <w:rPr>
          <w:rFonts w:hint="eastAsia" w:ascii="仿宋" w:hAnsi="仿宋" w:eastAsia="仿宋" w:cs="Arial"/>
          <w:color w:val="auto"/>
          <w:kern w:val="0"/>
          <w:sz w:val="28"/>
          <w:highlight w:val="none"/>
        </w:rPr>
        <w:t>我</w:t>
      </w:r>
      <w:r>
        <w:rPr>
          <w:rFonts w:hint="eastAsia" w:ascii="仿宋" w:hAnsi="仿宋" w:eastAsia="仿宋" w:cs="Arial"/>
          <w:color w:val="auto"/>
          <w:kern w:val="0"/>
          <w:sz w:val="28"/>
          <w:szCs w:val="28"/>
          <w:highlight w:val="none"/>
        </w:rPr>
        <w:t>方</w:t>
      </w:r>
      <w:r>
        <w:rPr>
          <w:rFonts w:hint="eastAsia" w:ascii="仿宋" w:hAnsi="仿宋" w:eastAsia="仿宋" w:cs="Arial"/>
          <w:color w:val="auto"/>
          <w:kern w:val="0"/>
          <w:sz w:val="28"/>
          <w:highlight w:val="none"/>
        </w:rPr>
        <w:t>参加</w:t>
      </w:r>
      <w:r>
        <w:rPr>
          <w:rFonts w:hint="eastAsia" w:ascii="仿宋" w:hAnsi="仿宋" w:eastAsia="仿宋" w:cs="Arial"/>
          <w:b/>
          <w:color w:val="auto"/>
          <w:kern w:val="0"/>
          <w:sz w:val="28"/>
          <w:highlight w:val="none"/>
          <w:u w:val="single"/>
          <w:lang w:eastAsia="zh-CN"/>
        </w:rPr>
        <w:t>省拱宸所戒毒法治基地配套项目标一</w:t>
      </w:r>
      <w:r>
        <w:rPr>
          <w:rFonts w:hint="eastAsia" w:ascii="仿宋" w:hAnsi="仿宋" w:eastAsia="仿宋" w:cs="Arial"/>
          <w:b/>
          <w:color w:val="auto"/>
          <w:kern w:val="0"/>
          <w:sz w:val="28"/>
          <w:highlight w:val="none"/>
          <w:u w:val="single"/>
        </w:rPr>
        <w:t>（项目编号：</w:t>
      </w:r>
      <w:r>
        <w:rPr>
          <w:rFonts w:hint="eastAsia" w:ascii="仿宋" w:hAnsi="仿宋" w:eastAsia="仿宋" w:cs="Arial"/>
          <w:b/>
          <w:color w:val="auto"/>
          <w:kern w:val="0"/>
          <w:sz w:val="28"/>
          <w:highlight w:val="none"/>
          <w:u w:val="single"/>
          <w:lang w:eastAsia="zh-CN"/>
        </w:rPr>
        <w:t>HSZB-2024-329</w:t>
      </w:r>
      <w:r>
        <w:rPr>
          <w:rFonts w:hint="eastAsia" w:ascii="仿宋" w:hAnsi="仿宋" w:eastAsia="仿宋" w:cs="Arial"/>
          <w:b/>
          <w:color w:val="auto"/>
          <w:kern w:val="0"/>
          <w:sz w:val="28"/>
          <w:highlight w:val="none"/>
          <w:u w:val="single"/>
        </w:rPr>
        <w:t>）</w:t>
      </w:r>
      <w:r>
        <w:rPr>
          <w:rFonts w:hint="eastAsia" w:ascii="仿宋" w:hAnsi="仿宋" w:eastAsia="仿宋" w:cs="Arial"/>
          <w:color w:val="auto"/>
          <w:kern w:val="0"/>
          <w:sz w:val="28"/>
          <w:highlight w:val="none"/>
        </w:rPr>
        <w:t>的政府采购活动中所提交的投标文件（包括资格文件、商务技术文件、报价文件）所有内容真实、有效，不存在虚假响应、资料造假等行为。如有虚假，采购人可取消我方任何资格（投标/谈判/中标（成交）/签订合同），我方对此无任何异议，并愿意承担一切后果和责任。</w:t>
      </w:r>
    </w:p>
    <w:p>
      <w:pPr>
        <w:autoSpaceDN w:val="0"/>
        <w:spacing w:line="360" w:lineRule="auto"/>
        <w:ind w:firstLine="560" w:firstLineChars="200"/>
        <w:rPr>
          <w:rFonts w:ascii="仿宋" w:hAnsi="仿宋" w:eastAsia="仿宋" w:cs="Arial"/>
          <w:color w:val="auto"/>
          <w:kern w:val="0"/>
          <w:sz w:val="28"/>
          <w:highlight w:val="none"/>
        </w:rPr>
      </w:pPr>
    </w:p>
    <w:p>
      <w:pPr>
        <w:autoSpaceDN w:val="0"/>
        <w:spacing w:line="360" w:lineRule="auto"/>
        <w:ind w:firstLine="560" w:firstLineChars="200"/>
        <w:rPr>
          <w:rFonts w:ascii="仿宋" w:hAnsi="仿宋" w:eastAsia="仿宋" w:cs="Arial"/>
          <w:color w:val="auto"/>
          <w:kern w:val="0"/>
          <w:sz w:val="22"/>
          <w:highlight w:val="none"/>
        </w:rPr>
      </w:pPr>
      <w:r>
        <w:rPr>
          <w:rFonts w:hint="eastAsia" w:ascii="仿宋" w:hAnsi="仿宋" w:eastAsia="仿宋" w:cs="Arial"/>
          <w:color w:val="auto"/>
          <w:kern w:val="0"/>
          <w:sz w:val="28"/>
          <w:highlight w:val="none"/>
        </w:rPr>
        <w:t>特此</w:t>
      </w:r>
      <w:r>
        <w:rPr>
          <w:rFonts w:hint="eastAsia" w:ascii="仿宋" w:hAnsi="仿宋" w:eastAsia="仿宋" w:cs="Arial"/>
          <w:color w:val="auto"/>
          <w:kern w:val="0"/>
          <w:sz w:val="28"/>
          <w:szCs w:val="28"/>
          <w:highlight w:val="none"/>
        </w:rPr>
        <w:t>承诺</w:t>
      </w:r>
      <w:r>
        <w:rPr>
          <w:rFonts w:hint="eastAsia" w:ascii="仿宋" w:hAnsi="仿宋" w:eastAsia="仿宋" w:cs="Arial"/>
          <w:color w:val="auto"/>
          <w:kern w:val="0"/>
          <w:sz w:val="28"/>
          <w:highlight w:val="none"/>
        </w:rPr>
        <w:t>！</w:t>
      </w:r>
    </w:p>
    <w:p>
      <w:pPr>
        <w:autoSpaceDN w:val="0"/>
        <w:spacing w:line="360" w:lineRule="auto"/>
        <w:ind w:firstLine="420" w:firstLineChars="200"/>
        <w:rPr>
          <w:rFonts w:ascii="仿宋" w:hAnsi="仿宋" w:eastAsia="仿宋" w:cs="Arial"/>
          <w:color w:val="auto"/>
          <w:kern w:val="0"/>
          <w:highlight w:val="none"/>
        </w:rPr>
      </w:pPr>
    </w:p>
    <w:p>
      <w:pPr>
        <w:autoSpaceDN w:val="0"/>
        <w:snapToGrid w:val="0"/>
        <w:spacing w:line="360" w:lineRule="auto"/>
        <w:ind w:left="567" w:leftChars="270"/>
        <w:rPr>
          <w:rFonts w:ascii="仿宋" w:hAnsi="仿宋" w:eastAsia="仿宋" w:cs="Arial"/>
          <w:color w:val="auto"/>
          <w:w w:val="90"/>
          <w:kern w:val="0"/>
          <w:sz w:val="28"/>
          <w:szCs w:val="28"/>
          <w:highlight w:val="none"/>
        </w:rPr>
      </w:pPr>
      <w:r>
        <w:rPr>
          <w:rFonts w:hint="eastAsia" w:ascii="仿宋" w:hAnsi="仿宋" w:eastAsia="仿宋" w:cs="Arial"/>
          <w:color w:val="auto"/>
          <w:sz w:val="28"/>
          <w:szCs w:val="28"/>
          <w:highlight w:val="none"/>
        </w:rPr>
        <w:t>投标供应商名称（盖章）：</w:t>
      </w:r>
      <w:r>
        <w:rPr>
          <w:rFonts w:hint="eastAsia" w:ascii="仿宋" w:hAnsi="仿宋" w:eastAsia="仿宋" w:cs="Arial"/>
          <w:color w:val="auto"/>
          <w:w w:val="90"/>
          <w:kern w:val="0"/>
          <w:sz w:val="28"/>
          <w:szCs w:val="28"/>
          <w:highlight w:val="none"/>
        </w:rPr>
        <w:t>__________________________________</w:t>
      </w:r>
    </w:p>
    <w:p>
      <w:pPr>
        <w:autoSpaceDN w:val="0"/>
        <w:snapToGrid w:val="0"/>
        <w:spacing w:line="360" w:lineRule="auto"/>
        <w:ind w:left="567" w:leftChars="270"/>
        <w:rPr>
          <w:rFonts w:ascii="仿宋" w:hAnsi="仿宋" w:eastAsia="仿宋" w:cs="Arial"/>
          <w:color w:val="auto"/>
          <w:sz w:val="28"/>
          <w:szCs w:val="28"/>
          <w:highlight w:val="none"/>
        </w:rPr>
      </w:pPr>
    </w:p>
    <w:p>
      <w:pPr>
        <w:autoSpaceDN w:val="0"/>
        <w:snapToGrid w:val="0"/>
        <w:spacing w:line="360" w:lineRule="auto"/>
        <w:ind w:left="567" w:leftChars="270"/>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日期：________年____月____日</w:t>
      </w:r>
    </w:p>
    <w:p>
      <w:pPr>
        <w:autoSpaceDN w:val="0"/>
        <w:snapToGrid w:val="0"/>
        <w:spacing w:line="360" w:lineRule="auto"/>
        <w:ind w:left="567" w:leftChars="270"/>
        <w:rPr>
          <w:rFonts w:ascii="仿宋" w:hAnsi="仿宋" w:eastAsia="仿宋" w:cs="Times New Roman"/>
          <w:color w:val="auto"/>
          <w:szCs w:val="24"/>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keepNext/>
        <w:keepLines/>
        <w:autoSpaceDN w:val="0"/>
        <w:spacing w:before="260" w:after="260" w:line="415" w:lineRule="auto"/>
        <w:ind w:firstLine="280"/>
        <w:jc w:val="center"/>
        <w:outlineLvl w:val="2"/>
        <w:rPr>
          <w:rFonts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32"/>
          <w:highlight w:val="none"/>
        </w:rPr>
        <w:t>▲ 2-2.法定代表人资格证明书</w:t>
      </w:r>
    </w:p>
    <w:p>
      <w:pPr>
        <w:autoSpaceDN w:val="0"/>
        <w:adjustRightInd w:val="0"/>
        <w:spacing w:before="120" w:beforeLines="50" w:after="120" w:afterLines="50" w:line="360" w:lineRule="auto"/>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u w:val="single"/>
          <w:lang w:eastAsia="zh-CN"/>
        </w:rPr>
        <w:t>浙江省拱宸强制隔离戒毒所</w:t>
      </w:r>
      <w:r>
        <w:rPr>
          <w:rFonts w:hint="eastAsia" w:ascii="仿宋" w:hAnsi="仿宋" w:eastAsia="仿宋" w:cs="Times New Roman"/>
          <w:color w:val="auto"/>
          <w:kern w:val="0"/>
          <w:sz w:val="24"/>
          <w:szCs w:val="24"/>
          <w:highlight w:val="none"/>
          <w:u w:val="single"/>
        </w:rPr>
        <w:t>、浙江豪圣建设项目管理有限公司</w:t>
      </w:r>
      <w:r>
        <w:rPr>
          <w:rFonts w:hint="eastAsia" w:ascii="仿宋" w:hAnsi="仿宋" w:eastAsia="仿宋" w:cs="Times New Roman"/>
          <w:color w:val="auto"/>
          <w:kern w:val="0"/>
          <w:sz w:val="24"/>
          <w:szCs w:val="24"/>
          <w:highlight w:val="none"/>
        </w:rPr>
        <w:t>：</w:t>
      </w:r>
    </w:p>
    <w:p>
      <w:pPr>
        <w:autoSpaceDN w:val="0"/>
        <w:adjustRightInd w:val="0"/>
        <w:spacing w:line="360" w:lineRule="auto"/>
        <w:ind w:firstLine="549" w:firstLineChars="237"/>
        <w:rPr>
          <w:rFonts w:ascii="仿宋" w:hAnsi="仿宋" w:eastAsia="仿宋" w:cs="Times New Roman"/>
          <w:snapToGrid w:val="0"/>
          <w:color w:val="auto"/>
          <w:spacing w:val="-4"/>
          <w:kern w:val="0"/>
          <w:sz w:val="24"/>
          <w:szCs w:val="24"/>
          <w:highlight w:val="none"/>
        </w:rPr>
      </w:pPr>
      <w:r>
        <w:rPr>
          <w:rFonts w:hint="eastAsia" w:ascii="仿宋" w:hAnsi="仿宋" w:eastAsia="仿宋" w:cs="Times New Roman"/>
          <w:snapToGrid w:val="0"/>
          <w:color w:val="auto"/>
          <w:spacing w:val="-4"/>
          <w:kern w:val="0"/>
          <w:sz w:val="24"/>
          <w:szCs w:val="24"/>
          <w:highlight w:val="none"/>
          <w:u w:val="single"/>
        </w:rPr>
        <w:t>（姓名）</w:t>
      </w:r>
      <w:r>
        <w:rPr>
          <w:rFonts w:hint="eastAsia" w:ascii="仿宋" w:hAnsi="仿宋" w:eastAsia="仿宋" w:cs="Times New Roman"/>
          <w:snapToGrid w:val="0"/>
          <w:color w:val="auto"/>
          <w:spacing w:val="-4"/>
          <w:kern w:val="0"/>
          <w:sz w:val="24"/>
          <w:szCs w:val="24"/>
          <w:highlight w:val="none"/>
        </w:rPr>
        <w:t>系</w:t>
      </w:r>
      <w:r>
        <w:rPr>
          <w:rFonts w:hint="eastAsia" w:ascii="仿宋" w:hAnsi="仿宋" w:eastAsia="仿宋" w:cs="Times New Roman"/>
          <w:snapToGrid w:val="0"/>
          <w:color w:val="auto"/>
          <w:spacing w:val="-4"/>
          <w:kern w:val="0"/>
          <w:sz w:val="24"/>
          <w:szCs w:val="24"/>
          <w:highlight w:val="none"/>
          <w:u w:val="single"/>
        </w:rPr>
        <w:t>（单位名称）</w:t>
      </w:r>
      <w:r>
        <w:rPr>
          <w:rFonts w:hint="eastAsia" w:ascii="仿宋" w:hAnsi="仿宋" w:eastAsia="仿宋" w:cs="Times New Roman"/>
          <w:snapToGrid w:val="0"/>
          <w:color w:val="auto"/>
          <w:spacing w:val="-4"/>
          <w:kern w:val="0"/>
          <w:sz w:val="24"/>
          <w:szCs w:val="24"/>
          <w:highlight w:val="none"/>
        </w:rPr>
        <w:t>的法定代表人，</w:t>
      </w:r>
      <w:r>
        <w:rPr>
          <w:rFonts w:hint="eastAsia" w:ascii="仿宋" w:hAnsi="仿宋" w:eastAsia="仿宋" w:cs="Times New Roman"/>
          <w:snapToGrid w:val="0"/>
          <w:color w:val="auto"/>
          <w:spacing w:val="-4"/>
          <w:kern w:val="0"/>
          <w:sz w:val="24"/>
          <w:szCs w:val="24"/>
          <w:highlight w:val="none"/>
          <w:u w:val="single"/>
        </w:rPr>
        <w:t>（身份证号）</w:t>
      </w:r>
      <w:r>
        <w:rPr>
          <w:rFonts w:hint="eastAsia" w:ascii="仿宋" w:hAnsi="仿宋" w:eastAsia="仿宋" w:cs="Times New Roman"/>
          <w:snapToGrid w:val="0"/>
          <w:color w:val="auto"/>
          <w:spacing w:val="-4"/>
          <w:kern w:val="0"/>
          <w:sz w:val="24"/>
          <w:szCs w:val="24"/>
          <w:highlight w:val="none"/>
        </w:rPr>
        <w:t>。</w:t>
      </w:r>
    </w:p>
    <w:p>
      <w:pPr>
        <w:autoSpaceDN w:val="0"/>
        <w:adjustRightInd w:val="0"/>
        <w:spacing w:line="360" w:lineRule="auto"/>
        <w:ind w:firstLine="464" w:firstLineChars="200"/>
        <w:rPr>
          <w:rFonts w:ascii="仿宋" w:hAnsi="仿宋" w:eastAsia="仿宋" w:cs="Times New Roman"/>
          <w:snapToGrid w:val="0"/>
          <w:color w:val="auto"/>
          <w:spacing w:val="-4"/>
          <w:kern w:val="0"/>
          <w:sz w:val="24"/>
          <w:szCs w:val="24"/>
          <w:highlight w:val="none"/>
        </w:rPr>
      </w:pPr>
      <w:r>
        <w:rPr>
          <w:rFonts w:hint="eastAsia" w:ascii="仿宋" w:hAnsi="仿宋" w:eastAsia="仿宋" w:cs="Times New Roman"/>
          <w:snapToGrid w:val="0"/>
          <w:color w:val="auto"/>
          <w:spacing w:val="-4"/>
          <w:kern w:val="0"/>
          <w:sz w:val="24"/>
          <w:szCs w:val="24"/>
          <w:highlight w:val="none"/>
        </w:rPr>
        <w:t>特此证明。</w:t>
      </w:r>
    </w:p>
    <w:p>
      <w:pPr>
        <w:autoSpaceDN w:val="0"/>
        <w:adjustRightInd w:val="0"/>
        <w:spacing w:line="360" w:lineRule="auto"/>
        <w:ind w:firstLine="464" w:firstLineChars="200"/>
        <w:rPr>
          <w:rFonts w:ascii="仿宋" w:hAnsi="仿宋" w:eastAsia="仿宋" w:cs="Times New Roman"/>
          <w:snapToGrid w:val="0"/>
          <w:color w:val="auto"/>
          <w:spacing w:val="-4"/>
          <w:kern w:val="0"/>
          <w:sz w:val="24"/>
          <w:szCs w:val="24"/>
          <w:highlight w:val="none"/>
        </w:rPr>
      </w:pPr>
      <w:r>
        <w:rPr>
          <w:rFonts w:hint="eastAsia" w:ascii="仿宋" w:hAnsi="仿宋" w:eastAsia="仿宋" w:cs="Times New Roman"/>
          <w:snapToGrid w:val="0"/>
          <w:color w:val="auto"/>
          <w:spacing w:val="-4"/>
          <w:kern w:val="0"/>
          <w:sz w:val="24"/>
          <w:szCs w:val="24"/>
          <w:highlight w:val="none"/>
        </w:rPr>
        <w:t>磋商响应供应商（盖章）：</w:t>
      </w:r>
    </w:p>
    <w:p>
      <w:pPr>
        <w:autoSpaceDN w:val="0"/>
        <w:adjustRightInd w:val="0"/>
        <w:snapToGrid w:val="0"/>
        <w:spacing w:line="360" w:lineRule="auto"/>
        <w:ind w:firstLine="480" w:firstLineChars="200"/>
        <w:rPr>
          <w:rFonts w:ascii="仿宋" w:hAnsi="仿宋" w:eastAsia="仿宋" w:cs="Times New Roman"/>
          <w:snapToGrid w:val="0"/>
          <w:color w:val="auto"/>
          <w:kern w:val="0"/>
          <w:sz w:val="24"/>
          <w:szCs w:val="24"/>
          <w:highlight w:val="none"/>
        </w:rPr>
      </w:pPr>
      <w:r>
        <w:rPr>
          <w:rFonts w:hint="eastAsia" w:ascii="仿宋" w:hAnsi="仿宋" w:eastAsia="仿宋" w:cs="Times New Roman"/>
          <w:snapToGrid w:val="0"/>
          <w:color w:val="auto"/>
          <w:kern w:val="0"/>
          <w:sz w:val="24"/>
          <w:szCs w:val="24"/>
          <w:highlight w:val="none"/>
        </w:rPr>
        <w:t>日期：</w:t>
      </w:r>
    </w:p>
    <w:p>
      <w:pPr>
        <w:autoSpaceDN w:val="0"/>
        <w:adjustRightInd w:val="0"/>
        <w:snapToGrid w:val="0"/>
        <w:spacing w:line="360" w:lineRule="auto"/>
        <w:ind w:firstLine="480" w:firstLineChars="200"/>
        <w:rPr>
          <w:rFonts w:ascii="仿宋" w:hAnsi="仿宋" w:eastAsia="仿宋" w:cs="Times New Roman"/>
          <w:snapToGrid w:val="0"/>
          <w:color w:val="auto"/>
          <w:kern w:val="0"/>
          <w:sz w:val="24"/>
          <w:szCs w:val="24"/>
          <w:highlight w:val="none"/>
        </w:rPr>
      </w:pPr>
      <w:r>
        <w:rPr>
          <w:rFonts w:hint="eastAsia" w:ascii="仿宋" w:hAnsi="仿宋" w:eastAsia="仿宋" w:cs="Times New Roman"/>
          <w:snapToGrid w:val="0"/>
          <w:color w:val="auto"/>
          <w:kern w:val="0"/>
          <w:sz w:val="24"/>
          <w:szCs w:val="24"/>
          <w:highlight w:val="none"/>
        </w:rPr>
        <w:t>附：法定代表人联系方式及身份证扫描件</w:t>
      </w:r>
    </w:p>
    <w:p>
      <w:pPr>
        <w:autoSpaceDN w:val="0"/>
        <w:adjustRightInd w:val="0"/>
        <w:snapToGrid w:val="0"/>
        <w:spacing w:line="360" w:lineRule="auto"/>
        <w:ind w:firstLine="482" w:firstLineChars="200"/>
        <w:rPr>
          <w:rFonts w:ascii="仿宋" w:hAnsi="仿宋" w:eastAsia="仿宋" w:cs="Times New Roman"/>
          <w:color w:val="auto"/>
          <w:sz w:val="24"/>
          <w:szCs w:val="24"/>
          <w:highlight w:val="none"/>
        </w:rPr>
      </w:pPr>
      <w:r>
        <w:rPr>
          <w:rFonts w:hint="eastAsia" w:ascii="仿宋" w:hAnsi="仿宋" w:eastAsia="仿宋" w:cs="Times New Roman"/>
          <w:b/>
          <w:snapToGrid w:val="0"/>
          <w:color w:val="auto"/>
          <w:kern w:val="0"/>
          <w:sz w:val="24"/>
          <w:szCs w:val="24"/>
          <w:highlight w:val="none"/>
        </w:rPr>
        <w:t>注：法定代表人直接签署磋商响应文件并参加投标的，在磋商响应文件中出具此资格证明书及身份证扫描件。</w:t>
      </w:r>
    </w:p>
    <w:p>
      <w:pPr>
        <w:keepNext/>
        <w:keepLines/>
        <w:autoSpaceDN w:val="0"/>
        <w:spacing w:before="260" w:after="260" w:line="415" w:lineRule="auto"/>
        <w:ind w:firstLine="240"/>
        <w:outlineLvl w:val="2"/>
        <w:rPr>
          <w:rFonts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32"/>
          <w:highlight w:val="none"/>
        </w:rPr>
        <w:t>▲ 2-3.法定代表人授权委托书</w:t>
      </w:r>
    </w:p>
    <w:p>
      <w:pPr>
        <w:autoSpaceDN w:val="0"/>
        <w:adjustRightInd w:val="0"/>
        <w:spacing w:before="120" w:beforeLines="50" w:after="120" w:afterLines="50" w:line="360" w:lineRule="auto"/>
        <w:ind w:firstLine="480" w:firstLineChars="200"/>
        <w:rPr>
          <w:rFonts w:ascii="仿宋" w:hAnsi="仿宋" w:eastAsia="仿宋" w:cs="Times New Roman"/>
          <w:color w:val="auto"/>
          <w:kern w:val="0"/>
          <w:sz w:val="24"/>
          <w:szCs w:val="24"/>
          <w:highlight w:val="none"/>
          <w:u w:val="single"/>
        </w:rPr>
      </w:pPr>
      <w:r>
        <w:rPr>
          <w:rFonts w:hint="eastAsia" w:ascii="仿宋" w:hAnsi="仿宋" w:eastAsia="仿宋" w:cs="Times New Roman"/>
          <w:color w:val="auto"/>
          <w:kern w:val="0"/>
          <w:sz w:val="24"/>
          <w:szCs w:val="24"/>
          <w:highlight w:val="none"/>
          <w:u w:val="single"/>
          <w:lang w:eastAsia="zh-CN"/>
        </w:rPr>
        <w:t>浙江省拱宸强制隔离戒毒所</w:t>
      </w:r>
      <w:r>
        <w:rPr>
          <w:rFonts w:hint="eastAsia" w:ascii="仿宋" w:hAnsi="仿宋" w:eastAsia="仿宋" w:cs="Times New Roman"/>
          <w:color w:val="auto"/>
          <w:kern w:val="0"/>
          <w:sz w:val="24"/>
          <w:szCs w:val="24"/>
          <w:highlight w:val="none"/>
          <w:u w:val="single"/>
        </w:rPr>
        <w:t>：</w:t>
      </w:r>
    </w:p>
    <w:p>
      <w:pPr>
        <w:autoSpaceDN w:val="0"/>
        <w:adjustRightInd w:val="0"/>
        <w:spacing w:before="120" w:beforeLines="50" w:after="120" w:afterLines="50"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u w:val="single"/>
        </w:rPr>
        <w:t xml:space="preserve">                                      </w:t>
      </w:r>
      <w:r>
        <w:rPr>
          <w:rFonts w:hint="eastAsia" w:ascii="仿宋" w:hAnsi="仿宋" w:eastAsia="仿宋" w:cs="Times New Roman"/>
          <w:color w:val="auto"/>
          <w:kern w:val="0"/>
          <w:sz w:val="24"/>
          <w:szCs w:val="24"/>
          <w:highlight w:val="none"/>
        </w:rPr>
        <w:t>：</w:t>
      </w:r>
    </w:p>
    <w:p>
      <w:pPr>
        <w:autoSpaceDN w:val="0"/>
        <w:spacing w:before="120" w:beforeLines="50" w:after="120" w:afterLines="50"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我以</w:t>
      </w:r>
      <w:r>
        <w:rPr>
          <w:rFonts w:hint="eastAsia" w:ascii="仿宋" w:hAnsi="仿宋" w:eastAsia="仿宋" w:cs="Times New Roman"/>
          <w:color w:val="auto"/>
          <w:kern w:val="0"/>
          <w:sz w:val="24"/>
          <w:szCs w:val="24"/>
          <w:highlight w:val="none"/>
          <w:u w:val="single"/>
        </w:rPr>
        <w:t>（磋商响应供应商全称）</w:t>
      </w:r>
      <w:r>
        <w:rPr>
          <w:rFonts w:hint="eastAsia" w:ascii="仿宋" w:hAnsi="仿宋" w:eastAsia="仿宋" w:cs="Times New Roman"/>
          <w:color w:val="auto"/>
          <w:kern w:val="0"/>
          <w:sz w:val="24"/>
          <w:szCs w:val="24"/>
          <w:highlight w:val="none"/>
        </w:rPr>
        <w:t>法定代表人的身份授权</w:t>
      </w:r>
      <w:r>
        <w:rPr>
          <w:rFonts w:hint="eastAsia" w:ascii="仿宋" w:hAnsi="仿宋" w:eastAsia="仿宋" w:cs="Times New Roman"/>
          <w:color w:val="auto"/>
          <w:kern w:val="0"/>
          <w:sz w:val="24"/>
          <w:szCs w:val="24"/>
          <w:highlight w:val="none"/>
          <w:u w:val="single"/>
        </w:rPr>
        <w:t>（全权代表姓名）</w:t>
      </w:r>
      <w:r>
        <w:rPr>
          <w:rFonts w:hint="eastAsia" w:ascii="仿宋" w:hAnsi="仿宋" w:eastAsia="仿宋" w:cs="Times New Roman"/>
          <w:color w:val="auto"/>
          <w:kern w:val="0"/>
          <w:sz w:val="24"/>
          <w:szCs w:val="24"/>
          <w:highlight w:val="none"/>
        </w:rPr>
        <w:t>，为我单位的全权代表，参加贵单位组织的                                    的采购，签署本项目相关磋商响应文件并全权处理磋商活动中的一切事宜。我单位承认全权代表做出的与本项目采购活动有关的全部行为。</w:t>
      </w:r>
    </w:p>
    <w:p>
      <w:pPr>
        <w:autoSpaceDN w:val="0"/>
        <w:spacing w:before="120" w:beforeLines="50" w:after="120" w:afterLines="50"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磋商响应供应商全称（盖单位公章）：</w:t>
      </w:r>
    </w:p>
    <w:p>
      <w:pPr>
        <w:autoSpaceDN w:val="0"/>
        <w:spacing w:before="120" w:beforeLines="50" w:after="120" w:afterLines="50"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法定代表人（签字或盖章）：</w:t>
      </w:r>
    </w:p>
    <w:p>
      <w:pPr>
        <w:autoSpaceDN w:val="0"/>
        <w:spacing w:before="120" w:beforeLines="50" w:after="120" w:afterLines="50" w:line="360" w:lineRule="auto"/>
        <w:ind w:firstLine="48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附：</w:t>
      </w:r>
    </w:p>
    <w:p>
      <w:pPr>
        <w:autoSpaceDN w:val="0"/>
        <w:spacing w:before="120" w:beforeLines="50" w:after="120" w:afterLines="50" w:line="360" w:lineRule="auto"/>
        <w:ind w:firstLine="48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全权代表姓名：职务：电话：</w:t>
      </w:r>
    </w:p>
    <w:p>
      <w:pPr>
        <w:autoSpaceDN w:val="0"/>
        <w:spacing w:line="360" w:lineRule="auto"/>
        <w:ind w:firstLine="482" w:firstLineChars="200"/>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全权代表身份证扫描件：</w:t>
      </w:r>
    </w:p>
    <w:p>
      <w:pPr>
        <w:autoSpaceDN w:val="0"/>
        <w:spacing w:line="360" w:lineRule="auto"/>
        <w:ind w:firstLine="482" w:firstLineChars="200"/>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注：法定代表人授权其公司员工签署及参加响应的，在磋商响应文件中同时出具法定代表人资格证明书及此授权书，并附身份证扫描件。</w:t>
      </w:r>
    </w:p>
    <w:p>
      <w:pPr>
        <w:autoSpaceDN w:val="0"/>
        <w:spacing w:line="360" w:lineRule="auto"/>
        <w:ind w:firstLine="482" w:firstLineChars="200"/>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磋商响应文件格式中所提到的供应商代表是指以上两文件确定的签署人员。</w:t>
      </w:r>
    </w:p>
    <w:p>
      <w:pPr>
        <w:autoSpaceDN w:val="0"/>
        <w:spacing w:line="360" w:lineRule="auto"/>
        <w:ind w:firstLine="482" w:firstLineChars="200"/>
        <w:rPr>
          <w:rFonts w:ascii="仿宋" w:hAnsi="仿宋" w:eastAsia="仿宋" w:cs="Times New Roman"/>
          <w:color w:val="auto"/>
          <w:sz w:val="24"/>
          <w:szCs w:val="24"/>
          <w:highlight w:val="none"/>
        </w:rPr>
      </w:pPr>
      <w:r>
        <w:rPr>
          <w:rFonts w:hint="eastAsia" w:ascii="仿宋" w:hAnsi="仿宋" w:eastAsia="仿宋" w:cs="Times New Roman"/>
          <w:b/>
          <w:color w:val="auto"/>
          <w:sz w:val="24"/>
          <w:szCs w:val="24"/>
          <w:highlight w:val="none"/>
        </w:rPr>
        <w:t>如参加磋商并在磋商过程中签署文件的人员与磋商响应供应商代表不一致，须另行提供授权书。</w:t>
      </w:r>
    </w:p>
    <w:p>
      <w:pPr>
        <w:widowControl/>
        <w:spacing w:line="360" w:lineRule="auto"/>
        <w:jc w:val="left"/>
        <w:rPr>
          <w:rFonts w:ascii="仿宋" w:hAnsi="仿宋" w:eastAsia="仿宋" w:cs="Times New Roman"/>
          <w:color w:val="auto"/>
          <w:szCs w:val="21"/>
          <w:highlight w:val="none"/>
        </w:rPr>
        <w:sectPr>
          <w:pgSz w:w="11906" w:h="16838"/>
          <w:pgMar w:top="1247" w:right="1247" w:bottom="1247" w:left="1247" w:header="851" w:footer="1077" w:gutter="0"/>
          <w:cols w:space="720" w:num="1"/>
          <w:docGrid w:linePitch="286" w:charSpace="0"/>
        </w:sectPr>
      </w:pPr>
    </w:p>
    <w:p>
      <w:pPr>
        <w:keepNext/>
        <w:keepLines/>
        <w:autoSpaceDN w:val="0"/>
        <w:spacing w:before="260" w:after="260" w:line="415" w:lineRule="auto"/>
        <w:outlineLvl w:val="2"/>
        <w:rPr>
          <w:rFonts w:ascii="仿宋" w:hAnsi="仿宋" w:eastAsia="仿宋" w:cs="Times New Roman"/>
          <w:b/>
          <w:bCs/>
          <w:color w:val="auto"/>
          <w:kern w:val="0"/>
          <w:sz w:val="28"/>
          <w:szCs w:val="28"/>
          <w:highlight w:val="none"/>
        </w:rPr>
      </w:pPr>
      <w:bookmarkStart w:id="196" w:name="_Toc358842834"/>
      <w:r>
        <w:rPr>
          <w:rFonts w:hint="eastAsia" w:ascii="仿宋" w:hAnsi="仿宋" w:eastAsia="仿宋" w:cs="Times New Roman"/>
          <w:b/>
          <w:bCs/>
          <w:color w:val="auto"/>
          <w:kern w:val="0"/>
          <w:sz w:val="28"/>
          <w:szCs w:val="28"/>
          <w:highlight w:val="none"/>
        </w:rPr>
        <w:t>2-4.磋商响应供应商履约能力评价证明材料</w:t>
      </w:r>
    </w:p>
    <w:p>
      <w:pPr>
        <w:autoSpaceDN w:val="0"/>
        <w:spacing w:line="360" w:lineRule="auto"/>
        <w:jc w:val="center"/>
        <w:rPr>
          <w:rFonts w:ascii="仿宋" w:hAnsi="仿宋" w:eastAsia="仿宋" w:cs="Times New Roman"/>
          <w:b/>
          <w:color w:val="auto"/>
          <w:kern w:val="0"/>
          <w:sz w:val="44"/>
          <w:szCs w:val="28"/>
          <w:highlight w:val="none"/>
        </w:rPr>
      </w:pPr>
      <w:r>
        <w:rPr>
          <w:rFonts w:hint="eastAsia" w:ascii="仿宋" w:hAnsi="仿宋" w:eastAsia="仿宋" w:cs="Times New Roman"/>
          <w:b/>
          <w:color w:val="auto"/>
          <w:kern w:val="0"/>
          <w:sz w:val="44"/>
          <w:szCs w:val="28"/>
          <w:highlight w:val="none"/>
        </w:rPr>
        <w:t>磋商响应供应商履约能力评价证明材料</w:t>
      </w:r>
    </w:p>
    <w:tbl>
      <w:tblPr>
        <w:tblStyle w:val="61"/>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9775" w:hRule="atLeast"/>
        </w:trPr>
        <w:tc>
          <w:tcPr>
            <w:tcW w:w="9037" w:type="dxa"/>
            <w:tcBorders>
              <w:top w:val="dotDash" w:color="000000" w:sz="4" w:space="0"/>
              <w:left w:val="dotDash" w:color="000000" w:sz="4" w:space="0"/>
              <w:bottom w:val="dotDash" w:color="000000" w:sz="4" w:space="0"/>
              <w:right w:val="dotDash" w:color="000000" w:sz="4" w:space="0"/>
            </w:tcBorders>
            <w:vAlign w:val="center"/>
          </w:tcPr>
          <w:p>
            <w:pPr>
              <w:autoSpaceDN w:val="0"/>
              <w:spacing w:line="360" w:lineRule="auto"/>
              <w:jc w:val="center"/>
              <w:rPr>
                <w:rFonts w:ascii="仿宋" w:hAnsi="仿宋" w:eastAsia="仿宋" w:cs="Arial"/>
                <w:i/>
                <w:color w:val="auto"/>
                <w:kern w:val="0"/>
                <w:sz w:val="36"/>
                <w:highlight w:val="none"/>
              </w:rPr>
            </w:pPr>
            <w:r>
              <w:rPr>
                <w:rFonts w:hint="eastAsia" w:ascii="仿宋" w:hAnsi="仿宋" w:eastAsia="仿宋" w:cs="Arial"/>
                <w:i/>
                <w:color w:val="auto"/>
                <w:kern w:val="0"/>
                <w:sz w:val="36"/>
                <w:highlight w:val="none"/>
              </w:rPr>
              <w:t>对照评分要求提供</w:t>
            </w:r>
          </w:p>
          <w:p>
            <w:pPr>
              <w:autoSpaceDN w:val="0"/>
              <w:spacing w:line="360" w:lineRule="auto"/>
              <w:jc w:val="center"/>
              <w:rPr>
                <w:rFonts w:ascii="Arial" w:hAnsi="新宋体" w:eastAsia="新宋体" w:cs="Arial"/>
                <w:i/>
                <w:color w:val="auto"/>
                <w:sz w:val="32"/>
                <w:szCs w:val="21"/>
                <w:highlight w:val="none"/>
              </w:rPr>
            </w:pPr>
            <w:r>
              <w:rPr>
                <w:rFonts w:hint="eastAsia" w:ascii="仿宋" w:hAnsi="仿宋" w:eastAsia="仿宋" w:cs="Arial"/>
                <w:i/>
                <w:color w:val="auto"/>
                <w:kern w:val="0"/>
                <w:sz w:val="36"/>
                <w:highlight w:val="none"/>
              </w:rPr>
              <w:t>（加盖磋商响应供应商公章，否则视为未提供）</w:t>
            </w:r>
          </w:p>
        </w:tc>
      </w:tr>
    </w:tbl>
    <w:p>
      <w:pPr>
        <w:tabs>
          <w:tab w:val="left" w:pos="720"/>
        </w:tabs>
        <w:autoSpaceDN w:val="0"/>
        <w:spacing w:line="440" w:lineRule="exact"/>
        <w:ind w:firstLine="420" w:firstLineChars="200"/>
        <w:rPr>
          <w:rFonts w:ascii="仿宋" w:hAnsi="仿宋" w:eastAsia="仿宋" w:cs="Times New Roman"/>
          <w:color w:val="auto"/>
          <w:szCs w:val="24"/>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keepNext/>
        <w:keepLines/>
        <w:autoSpaceDN w:val="0"/>
        <w:spacing w:before="260" w:after="260" w:line="415" w:lineRule="auto"/>
        <w:outlineLvl w:val="2"/>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2-5.磋商响应供应商类似项目业绩情况</w:t>
      </w:r>
    </w:p>
    <w:p>
      <w:pPr>
        <w:autoSpaceDN w:val="0"/>
        <w:spacing w:line="360" w:lineRule="auto"/>
        <w:jc w:val="center"/>
        <w:rPr>
          <w:rFonts w:ascii="仿宋" w:hAnsi="仿宋" w:eastAsia="仿宋" w:cs="Times New Roman"/>
          <w:b/>
          <w:color w:val="auto"/>
          <w:kern w:val="0"/>
          <w:sz w:val="32"/>
          <w:szCs w:val="32"/>
          <w:highlight w:val="none"/>
        </w:rPr>
      </w:pPr>
      <w:r>
        <w:rPr>
          <w:rFonts w:hint="eastAsia" w:ascii="仿宋" w:hAnsi="仿宋" w:eastAsia="仿宋" w:cs="Times New Roman"/>
          <w:b/>
          <w:color w:val="auto"/>
          <w:kern w:val="0"/>
          <w:sz w:val="32"/>
          <w:szCs w:val="32"/>
          <w:highlight w:val="none"/>
        </w:rPr>
        <w:t>磋商响应供应商类似业绩表及证明材料</w:t>
      </w:r>
    </w:p>
    <w:p>
      <w:pPr>
        <w:autoSpaceDN w:val="0"/>
        <w:spacing w:line="360" w:lineRule="auto"/>
        <w:rPr>
          <w:rFonts w:ascii="仿宋" w:hAnsi="仿宋" w:eastAsia="仿宋" w:cs="Times New Roman"/>
          <w:b/>
          <w:color w:val="auto"/>
          <w:sz w:val="24"/>
          <w:szCs w:val="24"/>
          <w:highlight w:val="none"/>
          <w:u w:val="single"/>
        </w:rPr>
      </w:pPr>
      <w:r>
        <w:rPr>
          <w:rFonts w:hint="eastAsia" w:ascii="仿宋" w:hAnsi="仿宋" w:eastAsia="仿宋" w:cs="Times New Roman"/>
          <w:b/>
          <w:color w:val="auto"/>
          <w:sz w:val="24"/>
          <w:szCs w:val="24"/>
          <w:highlight w:val="none"/>
        </w:rPr>
        <w:t>项目名称：</w:t>
      </w:r>
      <w:r>
        <w:rPr>
          <w:rFonts w:hint="eastAsia" w:ascii="仿宋" w:hAnsi="仿宋" w:eastAsia="仿宋" w:cs="Times New Roman"/>
          <w:b/>
          <w:color w:val="auto"/>
          <w:sz w:val="24"/>
          <w:szCs w:val="24"/>
          <w:highlight w:val="none"/>
          <w:u w:val="single"/>
        </w:rPr>
        <w:t xml:space="preserve">                    </w:t>
      </w:r>
    </w:p>
    <w:p>
      <w:pPr>
        <w:autoSpaceDN w:val="0"/>
        <w:spacing w:line="360" w:lineRule="auto"/>
        <w:rPr>
          <w:rFonts w:ascii="仿宋" w:hAnsi="仿宋" w:eastAsia="仿宋" w:cs="Times New Roman"/>
          <w:color w:val="auto"/>
          <w:kern w:val="0"/>
          <w:sz w:val="24"/>
          <w:szCs w:val="24"/>
          <w:highlight w:val="none"/>
          <w:u w:val="single"/>
        </w:rPr>
      </w:pPr>
      <w:r>
        <w:rPr>
          <w:rFonts w:hint="eastAsia" w:ascii="仿宋" w:hAnsi="仿宋" w:eastAsia="仿宋" w:cs="Times New Roman"/>
          <w:b/>
          <w:color w:val="auto"/>
          <w:sz w:val="24"/>
          <w:szCs w:val="24"/>
          <w:highlight w:val="none"/>
        </w:rPr>
        <w:t>项目编号：</w:t>
      </w:r>
      <w:r>
        <w:rPr>
          <w:rFonts w:hint="eastAsia" w:ascii="仿宋" w:hAnsi="仿宋" w:eastAsia="仿宋" w:cs="Times New Roman"/>
          <w:b/>
          <w:color w:val="auto"/>
          <w:sz w:val="24"/>
          <w:szCs w:val="24"/>
          <w:highlight w:val="none"/>
          <w:u w:val="single"/>
        </w:rPr>
        <w:t xml:space="preserve">                   </w:t>
      </w:r>
    </w:p>
    <w:tbl>
      <w:tblPr>
        <w:tblStyle w:val="61"/>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1559"/>
        <w:gridCol w:w="1275"/>
        <w:gridCol w:w="1134"/>
        <w:gridCol w:w="1134"/>
        <w:gridCol w:w="99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序号</w:t>
            </w: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甲方单位</w:t>
            </w: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项目名称</w:t>
            </w: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合同金额</w:t>
            </w: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合同主要内容</w:t>
            </w: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合同签订时间</w:t>
            </w: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甲方联系人</w:t>
            </w: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甲方联系电话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r>
    </w:tbl>
    <w:p>
      <w:pPr>
        <w:autoSpaceDN w:val="0"/>
        <w:spacing w:line="360"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备注：</w:t>
      </w:r>
    </w:p>
    <w:p>
      <w:pPr>
        <w:autoSpaceDN w:val="0"/>
        <w:spacing w:line="360" w:lineRule="auto"/>
        <w:rPr>
          <w:rFonts w:ascii="仿宋" w:hAnsi="仿宋" w:eastAsia="仿宋" w:cs="Times New Roman"/>
          <w:b/>
          <w:color w:val="auto"/>
          <w:w w:val="90"/>
          <w:kern w:val="0"/>
          <w:sz w:val="24"/>
          <w:szCs w:val="24"/>
          <w:highlight w:val="none"/>
        </w:rPr>
      </w:pPr>
      <w:r>
        <w:rPr>
          <w:rFonts w:hint="eastAsia" w:ascii="仿宋" w:hAnsi="仿宋" w:eastAsia="仿宋" w:cs="Times New Roman"/>
          <w:b/>
          <w:color w:val="auto"/>
          <w:sz w:val="24"/>
          <w:szCs w:val="24"/>
          <w:highlight w:val="none"/>
        </w:rPr>
        <w:t>（1）后附证明材料，</w:t>
      </w:r>
      <w:r>
        <w:rPr>
          <w:rFonts w:hint="eastAsia" w:ascii="仿宋" w:hAnsi="仿宋" w:eastAsia="仿宋" w:cs="Times New Roman"/>
          <w:b/>
          <w:color w:val="auto"/>
          <w:w w:val="90"/>
          <w:kern w:val="0"/>
          <w:sz w:val="24"/>
          <w:szCs w:val="24"/>
          <w:highlight w:val="none"/>
        </w:rPr>
        <w:t>证明材料详见评审办法要求。</w:t>
      </w:r>
    </w:p>
    <w:p>
      <w:pPr>
        <w:autoSpaceDN w:val="0"/>
        <w:spacing w:line="360" w:lineRule="auto"/>
        <w:rPr>
          <w:rFonts w:ascii="仿宋" w:hAnsi="仿宋" w:eastAsia="仿宋" w:cs="Times New Roman"/>
          <w:b/>
          <w:color w:val="auto"/>
          <w:sz w:val="24"/>
          <w:szCs w:val="24"/>
          <w:highlight w:val="none"/>
        </w:rPr>
      </w:pPr>
      <w:r>
        <w:rPr>
          <w:rFonts w:hint="eastAsia" w:ascii="仿宋" w:hAnsi="仿宋" w:eastAsia="仿宋" w:cs="Times New Roman"/>
          <w:b/>
          <w:color w:val="auto"/>
          <w:kern w:val="0"/>
          <w:sz w:val="24"/>
          <w:szCs w:val="24"/>
          <w:highlight w:val="none"/>
        </w:rPr>
        <w:t>（2）没有类似业绩的，此表可以不提供。</w:t>
      </w:r>
    </w:p>
    <w:p>
      <w:pPr>
        <w:autoSpaceDN w:val="0"/>
        <w:spacing w:line="360" w:lineRule="auto"/>
        <w:rPr>
          <w:rFonts w:ascii="仿宋" w:hAnsi="仿宋" w:eastAsia="仿宋" w:cs="Times New Roman"/>
          <w:color w:val="auto"/>
          <w:sz w:val="24"/>
          <w:szCs w:val="24"/>
          <w:highlight w:val="none"/>
        </w:rPr>
      </w:pPr>
    </w:p>
    <w:p>
      <w:pPr>
        <w:autoSpaceDN w:val="0"/>
        <w:snapToGrid w:val="0"/>
        <w:spacing w:line="360" w:lineRule="auto"/>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磋商响应供应商名称（盖章）：</w:t>
      </w:r>
      <w:r>
        <w:rPr>
          <w:rFonts w:hint="eastAsia" w:ascii="仿宋" w:hAnsi="仿宋" w:eastAsia="仿宋" w:cs="Times New Roman"/>
          <w:color w:val="auto"/>
          <w:w w:val="90"/>
          <w:kern w:val="0"/>
          <w:sz w:val="22"/>
          <w:highlight w:val="none"/>
        </w:rPr>
        <w:t>_______________________________</w:t>
      </w:r>
    </w:p>
    <w:p>
      <w:pPr>
        <w:autoSpaceDE w:val="0"/>
        <w:autoSpaceDN w:val="0"/>
        <w:adjustRightInd w:val="0"/>
        <w:spacing w:line="360" w:lineRule="auto"/>
        <w:jc w:val="left"/>
        <w:rPr>
          <w:rFonts w:ascii="仿宋" w:hAnsi="仿宋" w:eastAsia="仿宋" w:cs="Times New Roman"/>
          <w:color w:val="auto"/>
          <w:w w:val="90"/>
          <w:kern w:val="0"/>
          <w:sz w:val="22"/>
          <w:highlight w:val="none"/>
        </w:rPr>
      </w:pPr>
      <w:r>
        <w:rPr>
          <w:rFonts w:hint="eastAsia" w:ascii="仿宋" w:hAnsi="仿宋" w:eastAsia="仿宋" w:cs="Times New Roman"/>
          <w:color w:val="auto"/>
          <w:sz w:val="24"/>
          <w:szCs w:val="28"/>
          <w:highlight w:val="none"/>
        </w:rPr>
        <w:t>日期：</w:t>
      </w:r>
      <w:r>
        <w:rPr>
          <w:rFonts w:hint="eastAsia" w:ascii="仿宋" w:hAnsi="仿宋" w:eastAsia="仿宋" w:cs="Times New Roman"/>
          <w:color w:val="auto"/>
          <w:w w:val="90"/>
          <w:kern w:val="0"/>
          <w:sz w:val="22"/>
          <w:highlight w:val="none"/>
        </w:rPr>
        <w:t>_______________________________</w:t>
      </w:r>
    </w:p>
    <w:p>
      <w:pPr>
        <w:widowControl/>
        <w:spacing w:line="360" w:lineRule="auto"/>
        <w:jc w:val="left"/>
        <w:rPr>
          <w:rFonts w:ascii="仿宋" w:hAnsi="仿宋" w:eastAsia="仿宋" w:cs="Times New Roman"/>
          <w:color w:val="auto"/>
          <w:w w:val="90"/>
          <w:kern w:val="0"/>
          <w:sz w:val="22"/>
          <w:highlight w:val="none"/>
        </w:rPr>
        <w:sectPr>
          <w:pgSz w:w="11906" w:h="16838"/>
          <w:pgMar w:top="1440" w:right="1416" w:bottom="1440" w:left="1560" w:header="851" w:footer="1077" w:gutter="0"/>
          <w:cols w:space="720" w:num="1"/>
          <w:docGrid w:linePitch="286" w:charSpace="0"/>
        </w:sectPr>
      </w:pPr>
    </w:p>
    <w:p>
      <w:pPr>
        <w:keepNext/>
        <w:keepLines/>
        <w:autoSpaceDN w:val="0"/>
        <w:spacing w:before="260" w:after="260" w:line="415" w:lineRule="auto"/>
        <w:outlineLvl w:val="2"/>
        <w:rPr>
          <w:rFonts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32"/>
          <w:highlight w:val="none"/>
        </w:rPr>
        <w:t>▲2-6.拟派项目经理的</w:t>
      </w:r>
      <w:r>
        <w:rPr>
          <w:rFonts w:hint="eastAsia" w:ascii="仿宋" w:hAnsi="仿宋" w:eastAsia="仿宋" w:cs="Times New Roman"/>
          <w:b/>
          <w:bCs/>
          <w:color w:val="auto"/>
          <w:kern w:val="0"/>
          <w:sz w:val="32"/>
          <w:szCs w:val="32"/>
          <w:highlight w:val="none"/>
          <w:lang w:val="en-US" w:eastAsia="zh-CN"/>
        </w:rPr>
        <w:t>市政公用工程</w:t>
      </w:r>
      <w:r>
        <w:rPr>
          <w:rFonts w:hint="eastAsia" w:ascii="仿宋" w:hAnsi="仿宋" w:eastAsia="仿宋" w:cs="Times New Roman"/>
          <w:b/>
          <w:bCs/>
          <w:color w:val="auto"/>
          <w:kern w:val="0"/>
          <w:sz w:val="32"/>
          <w:szCs w:val="32"/>
          <w:highlight w:val="none"/>
        </w:rPr>
        <w:t>专业二级及以上建造师注册证书（扫描件加盖磋商响应供应商公章）；拟派项目经理的“三类人员”B类证书、拟派现场的安全专职管理员的施工现场安全生产专职管理人员“三类人员”C类证书（扫描件加盖磋商响应供应商公章）；</w:t>
      </w:r>
    </w:p>
    <w:p>
      <w:pPr>
        <w:rPr>
          <w:color w:val="auto"/>
          <w:highlight w:val="none"/>
        </w:rPr>
      </w:pPr>
    </w:p>
    <w:p>
      <w:pPr>
        <w:rPr>
          <w:color w:val="auto"/>
          <w:highlight w:val="none"/>
        </w:rPr>
      </w:pPr>
    </w:p>
    <w:p>
      <w:pPr>
        <w:rPr>
          <w:rFonts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32"/>
          <w:highlight w:val="none"/>
        </w:rPr>
        <w:br w:type="page"/>
      </w:r>
    </w:p>
    <w:p>
      <w:pPr>
        <w:keepNext/>
        <w:keepLines/>
        <w:autoSpaceDN w:val="0"/>
        <w:spacing w:before="260" w:after="260" w:line="415" w:lineRule="auto"/>
        <w:outlineLvl w:val="2"/>
        <w:rPr>
          <w:rFonts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32"/>
          <w:highlight w:val="none"/>
        </w:rPr>
        <w:t>2-7.拟派项目经理类似项目业绩情况</w:t>
      </w:r>
    </w:p>
    <w:p>
      <w:pPr>
        <w:autoSpaceDN w:val="0"/>
        <w:spacing w:line="360" w:lineRule="auto"/>
        <w:jc w:val="center"/>
        <w:rPr>
          <w:rFonts w:ascii="仿宋" w:hAnsi="仿宋" w:eastAsia="仿宋" w:cs="Times New Roman"/>
          <w:b/>
          <w:color w:val="auto"/>
          <w:kern w:val="0"/>
          <w:sz w:val="44"/>
          <w:szCs w:val="28"/>
          <w:highlight w:val="none"/>
        </w:rPr>
      </w:pPr>
      <w:r>
        <w:rPr>
          <w:rFonts w:hint="eastAsia" w:ascii="仿宋" w:hAnsi="仿宋" w:eastAsia="仿宋" w:cs="Times New Roman"/>
          <w:b/>
          <w:color w:val="auto"/>
          <w:kern w:val="0"/>
          <w:sz w:val="44"/>
          <w:szCs w:val="28"/>
          <w:highlight w:val="none"/>
        </w:rPr>
        <w:t>拟派项目经理类似业绩表及证明材料</w:t>
      </w:r>
    </w:p>
    <w:p>
      <w:pPr>
        <w:autoSpaceDN w:val="0"/>
        <w:spacing w:line="360"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项目名称：</w:t>
      </w:r>
      <w:r>
        <w:rPr>
          <w:rFonts w:hint="eastAsia" w:ascii="仿宋" w:hAnsi="仿宋" w:eastAsia="仿宋" w:cs="Times New Roman"/>
          <w:b/>
          <w:color w:val="auto"/>
          <w:sz w:val="24"/>
          <w:szCs w:val="24"/>
          <w:highlight w:val="none"/>
          <w:u w:val="single"/>
        </w:rPr>
        <w:t xml:space="preserve">                                </w:t>
      </w:r>
    </w:p>
    <w:p>
      <w:pPr>
        <w:autoSpaceDN w:val="0"/>
        <w:spacing w:line="360"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项目编号：</w:t>
      </w:r>
      <w:r>
        <w:rPr>
          <w:rFonts w:hint="eastAsia" w:ascii="仿宋" w:hAnsi="仿宋" w:eastAsia="仿宋" w:cs="Times New Roman"/>
          <w:b/>
          <w:color w:val="auto"/>
          <w:sz w:val="24"/>
          <w:szCs w:val="24"/>
          <w:highlight w:val="none"/>
          <w:u w:val="single"/>
        </w:rPr>
        <w:t xml:space="preserve">                                  </w:t>
      </w:r>
    </w:p>
    <w:tbl>
      <w:tblPr>
        <w:tblStyle w:val="61"/>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1559"/>
        <w:gridCol w:w="1275"/>
        <w:gridCol w:w="1134"/>
        <w:gridCol w:w="1134"/>
        <w:gridCol w:w="99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序号</w:t>
            </w: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甲方单位</w:t>
            </w: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项目名称</w:t>
            </w: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合同金额</w:t>
            </w: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合同主要内容</w:t>
            </w: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合同签订时间</w:t>
            </w: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甲方联系人</w:t>
            </w: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甲方联系电话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r>
    </w:tbl>
    <w:p>
      <w:pPr>
        <w:autoSpaceDN w:val="0"/>
        <w:spacing w:line="360"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备注：</w:t>
      </w:r>
    </w:p>
    <w:p>
      <w:pPr>
        <w:autoSpaceDN w:val="0"/>
        <w:spacing w:line="360" w:lineRule="auto"/>
        <w:rPr>
          <w:rFonts w:ascii="仿宋" w:hAnsi="仿宋" w:eastAsia="仿宋" w:cs="Times New Roman"/>
          <w:b/>
          <w:color w:val="auto"/>
          <w:w w:val="90"/>
          <w:kern w:val="0"/>
          <w:sz w:val="24"/>
          <w:szCs w:val="24"/>
          <w:highlight w:val="none"/>
        </w:rPr>
      </w:pPr>
      <w:r>
        <w:rPr>
          <w:rFonts w:hint="eastAsia" w:ascii="仿宋" w:hAnsi="仿宋" w:eastAsia="仿宋" w:cs="Times New Roman"/>
          <w:b/>
          <w:color w:val="auto"/>
          <w:sz w:val="24"/>
          <w:szCs w:val="24"/>
          <w:highlight w:val="none"/>
        </w:rPr>
        <w:t>（1）后附证明材料，</w:t>
      </w:r>
      <w:r>
        <w:rPr>
          <w:rFonts w:hint="eastAsia" w:ascii="仿宋" w:hAnsi="仿宋" w:eastAsia="仿宋" w:cs="Times New Roman"/>
          <w:b/>
          <w:color w:val="auto"/>
          <w:w w:val="90"/>
          <w:kern w:val="0"/>
          <w:sz w:val="24"/>
          <w:szCs w:val="24"/>
          <w:highlight w:val="none"/>
        </w:rPr>
        <w:t>证明材料详见评审办法要求。</w:t>
      </w:r>
    </w:p>
    <w:p>
      <w:pPr>
        <w:autoSpaceDN w:val="0"/>
        <w:spacing w:line="360" w:lineRule="auto"/>
        <w:rPr>
          <w:rFonts w:ascii="仿宋" w:hAnsi="仿宋" w:eastAsia="仿宋" w:cs="Times New Roman"/>
          <w:b/>
          <w:color w:val="auto"/>
          <w:sz w:val="24"/>
          <w:szCs w:val="24"/>
          <w:highlight w:val="none"/>
        </w:rPr>
      </w:pPr>
      <w:r>
        <w:rPr>
          <w:rFonts w:hint="eastAsia" w:ascii="仿宋" w:hAnsi="仿宋" w:eastAsia="仿宋" w:cs="Times New Roman"/>
          <w:b/>
          <w:color w:val="auto"/>
          <w:kern w:val="0"/>
          <w:sz w:val="24"/>
          <w:szCs w:val="24"/>
          <w:highlight w:val="none"/>
        </w:rPr>
        <w:t>（2）没有类似业绩的，此表可以不提供。</w:t>
      </w:r>
    </w:p>
    <w:p>
      <w:pPr>
        <w:autoSpaceDN w:val="0"/>
        <w:spacing w:line="360" w:lineRule="auto"/>
        <w:rPr>
          <w:rFonts w:ascii="仿宋" w:hAnsi="仿宋" w:eastAsia="仿宋" w:cs="Times New Roman"/>
          <w:color w:val="auto"/>
          <w:sz w:val="24"/>
          <w:szCs w:val="24"/>
          <w:highlight w:val="none"/>
        </w:rPr>
      </w:pPr>
    </w:p>
    <w:p>
      <w:pPr>
        <w:autoSpaceDN w:val="0"/>
        <w:snapToGrid w:val="0"/>
        <w:spacing w:line="360" w:lineRule="auto"/>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磋商响应供应商名称（盖章）：</w:t>
      </w:r>
      <w:r>
        <w:rPr>
          <w:rFonts w:hint="eastAsia" w:ascii="仿宋" w:hAnsi="仿宋" w:eastAsia="仿宋" w:cs="Times New Roman"/>
          <w:color w:val="auto"/>
          <w:w w:val="90"/>
          <w:kern w:val="0"/>
          <w:sz w:val="22"/>
          <w:highlight w:val="none"/>
        </w:rPr>
        <w:t>_______________________________</w:t>
      </w:r>
    </w:p>
    <w:p>
      <w:pPr>
        <w:autoSpaceDE w:val="0"/>
        <w:autoSpaceDN w:val="0"/>
        <w:adjustRightInd w:val="0"/>
        <w:spacing w:line="360" w:lineRule="auto"/>
        <w:jc w:val="left"/>
        <w:rPr>
          <w:rFonts w:ascii="仿宋" w:hAnsi="仿宋" w:eastAsia="仿宋" w:cs="Times New Roman"/>
          <w:color w:val="auto"/>
          <w:w w:val="90"/>
          <w:kern w:val="0"/>
          <w:sz w:val="22"/>
          <w:highlight w:val="none"/>
        </w:rPr>
      </w:pPr>
      <w:r>
        <w:rPr>
          <w:rFonts w:hint="eastAsia" w:ascii="仿宋" w:hAnsi="仿宋" w:eastAsia="仿宋" w:cs="Times New Roman"/>
          <w:color w:val="auto"/>
          <w:sz w:val="24"/>
          <w:szCs w:val="28"/>
          <w:highlight w:val="none"/>
        </w:rPr>
        <w:t>日期：</w:t>
      </w:r>
      <w:r>
        <w:rPr>
          <w:rFonts w:hint="eastAsia" w:ascii="仿宋" w:hAnsi="仿宋" w:eastAsia="仿宋" w:cs="Times New Roman"/>
          <w:color w:val="auto"/>
          <w:w w:val="90"/>
          <w:kern w:val="0"/>
          <w:sz w:val="22"/>
          <w:highlight w:val="none"/>
        </w:rPr>
        <w:t>_______________________________</w:t>
      </w:r>
    </w:p>
    <w:p>
      <w:pPr>
        <w:autoSpaceDE w:val="0"/>
        <w:autoSpaceDN w:val="0"/>
        <w:adjustRightInd w:val="0"/>
        <w:spacing w:line="360" w:lineRule="auto"/>
        <w:ind w:firstLine="420"/>
        <w:jc w:val="left"/>
        <w:rPr>
          <w:rFonts w:ascii="仿宋" w:hAnsi="仿宋" w:eastAsia="仿宋" w:cs="Times New Roman"/>
          <w:color w:val="auto"/>
          <w:w w:val="90"/>
          <w:kern w:val="0"/>
          <w:sz w:val="22"/>
          <w:highlight w:val="none"/>
        </w:rPr>
      </w:pPr>
    </w:p>
    <w:p>
      <w:pPr>
        <w:widowControl/>
        <w:spacing w:line="360" w:lineRule="auto"/>
        <w:jc w:val="left"/>
        <w:rPr>
          <w:rFonts w:ascii="仿宋" w:hAnsi="仿宋" w:eastAsia="仿宋" w:cs="Times New Roman"/>
          <w:color w:val="auto"/>
          <w:w w:val="90"/>
          <w:kern w:val="0"/>
          <w:sz w:val="22"/>
          <w:highlight w:val="none"/>
        </w:rPr>
        <w:sectPr>
          <w:pgSz w:w="11906" w:h="16838"/>
          <w:pgMar w:top="1440" w:right="1416" w:bottom="1440" w:left="1560" w:header="851" w:footer="1077" w:gutter="0"/>
          <w:pgNumType w:chapStyle="1"/>
          <w:cols w:space="720" w:num="1"/>
          <w:docGrid w:linePitch="286" w:charSpace="0"/>
        </w:sectPr>
      </w:pPr>
    </w:p>
    <w:p>
      <w:pPr>
        <w:keepNext/>
        <w:keepLines/>
        <w:autoSpaceDN w:val="0"/>
        <w:spacing w:before="260" w:after="260" w:line="415" w:lineRule="auto"/>
        <w:outlineLvl w:val="2"/>
        <w:rPr>
          <w:rFonts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32"/>
          <w:highlight w:val="none"/>
        </w:rPr>
        <w:t>2-8.商务技术偏离表</w:t>
      </w:r>
    </w:p>
    <w:p>
      <w:pPr>
        <w:autoSpaceDN w:val="0"/>
        <w:spacing w:line="360" w:lineRule="auto"/>
        <w:jc w:val="center"/>
        <w:rPr>
          <w:rFonts w:ascii="仿宋" w:hAnsi="仿宋" w:eastAsia="仿宋" w:cs="Times New Roman"/>
          <w:color w:val="auto"/>
          <w:szCs w:val="24"/>
          <w:highlight w:val="none"/>
        </w:rPr>
      </w:pPr>
      <w:r>
        <w:rPr>
          <w:rFonts w:hint="eastAsia" w:ascii="仿宋" w:hAnsi="仿宋" w:eastAsia="仿宋" w:cs="Times New Roman"/>
          <w:b/>
          <w:color w:val="auto"/>
          <w:kern w:val="0"/>
          <w:sz w:val="44"/>
          <w:szCs w:val="28"/>
          <w:highlight w:val="none"/>
        </w:rPr>
        <w:t>商务技术偏离表</w:t>
      </w:r>
    </w:p>
    <w:tbl>
      <w:tblPr>
        <w:tblStyle w:val="61"/>
        <w:tblW w:w="0" w:type="auto"/>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565"/>
        <w:gridCol w:w="2606"/>
        <w:gridCol w:w="1437"/>
        <w:gridCol w:w="1857"/>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21" w:type="dxa"/>
            <w:tcBorders>
              <w:top w:val="single" w:color="auto" w:sz="2" w:space="0"/>
              <w:left w:val="single" w:color="auto" w:sz="2"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序号</w:t>
            </w:r>
          </w:p>
        </w:tc>
        <w:tc>
          <w:tcPr>
            <w:tcW w:w="2565" w:type="dxa"/>
            <w:tcBorders>
              <w:top w:val="single" w:color="auto" w:sz="2"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磋商文件要求</w:t>
            </w:r>
          </w:p>
        </w:tc>
        <w:tc>
          <w:tcPr>
            <w:tcW w:w="2606" w:type="dxa"/>
            <w:tcBorders>
              <w:top w:val="single" w:color="auto" w:sz="2"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响应情况</w:t>
            </w:r>
          </w:p>
        </w:tc>
        <w:tc>
          <w:tcPr>
            <w:tcW w:w="1437" w:type="dxa"/>
            <w:tcBorders>
              <w:top w:val="single" w:color="auto" w:sz="2"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正/负偏离</w:t>
            </w:r>
          </w:p>
        </w:tc>
        <w:tc>
          <w:tcPr>
            <w:tcW w:w="1857" w:type="dxa"/>
            <w:tcBorders>
              <w:top w:val="single" w:color="auto" w:sz="2" w:space="0"/>
              <w:left w:val="single" w:color="auto" w:sz="4" w:space="0"/>
              <w:bottom w:val="single" w:color="auto" w:sz="4" w:space="0"/>
              <w:right w:val="single" w:color="auto" w:sz="2"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理由</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Cs/>
                <w:color w:val="auto"/>
                <w:kern w:val="0"/>
                <w:sz w:val="24"/>
                <w:szCs w:val="24"/>
                <w:highlight w:val="none"/>
              </w:rPr>
            </w:pPr>
            <w:r>
              <w:rPr>
                <w:rFonts w:hint="eastAsia" w:ascii="仿宋" w:hAnsi="仿宋" w:eastAsia="仿宋" w:cs="Times New Roman"/>
                <w:bCs/>
                <w:color w:val="auto"/>
                <w:kern w:val="0"/>
                <w:sz w:val="24"/>
                <w:szCs w:val="24"/>
                <w:highlight w:val="none"/>
              </w:rPr>
              <w:t>1</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Cs/>
                <w:color w:val="auto"/>
                <w:kern w:val="0"/>
                <w:sz w:val="24"/>
                <w:szCs w:val="24"/>
                <w:highlight w:val="none"/>
              </w:rPr>
            </w:pPr>
            <w:r>
              <w:rPr>
                <w:rFonts w:hint="eastAsia" w:ascii="仿宋" w:hAnsi="仿宋" w:eastAsia="仿宋" w:cs="Times New Roman"/>
                <w:bCs/>
                <w:color w:val="auto"/>
                <w:kern w:val="0"/>
                <w:sz w:val="24"/>
                <w:szCs w:val="24"/>
                <w:highlight w:val="none"/>
              </w:rPr>
              <w:t>2</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Cs/>
                <w:color w:val="auto"/>
                <w:kern w:val="0"/>
                <w:sz w:val="24"/>
                <w:szCs w:val="24"/>
                <w:highlight w:val="none"/>
              </w:rPr>
            </w:pPr>
            <w:r>
              <w:rPr>
                <w:rFonts w:hint="eastAsia" w:ascii="仿宋" w:hAnsi="仿宋" w:eastAsia="仿宋" w:cs="Times New Roman"/>
                <w:bCs/>
                <w:color w:val="auto"/>
                <w:kern w:val="0"/>
                <w:sz w:val="24"/>
                <w:szCs w:val="24"/>
                <w:highlight w:val="none"/>
              </w:rPr>
              <w:t>3</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2"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w:t>
            </w:r>
          </w:p>
        </w:tc>
        <w:tc>
          <w:tcPr>
            <w:tcW w:w="2565" w:type="dxa"/>
            <w:tcBorders>
              <w:top w:val="single" w:color="auto" w:sz="4" w:space="0"/>
              <w:left w:val="single" w:color="auto" w:sz="4" w:space="0"/>
              <w:bottom w:val="single" w:color="auto" w:sz="2"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2"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2"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2" w:space="0"/>
              <w:right w:val="single" w:color="auto" w:sz="2"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r>
    </w:tbl>
    <w:p>
      <w:pPr>
        <w:autoSpaceDN w:val="0"/>
        <w:spacing w:line="360" w:lineRule="auto"/>
        <w:rPr>
          <w:rFonts w:ascii="仿宋" w:hAnsi="仿宋" w:eastAsia="仿宋" w:cs="Times New Roman"/>
          <w:b/>
          <w:color w:val="auto"/>
          <w:w w:val="90"/>
          <w:kern w:val="0"/>
          <w:sz w:val="24"/>
          <w:szCs w:val="24"/>
          <w:highlight w:val="none"/>
          <w:lang w:val="zh-CN"/>
        </w:rPr>
      </w:pPr>
      <w:r>
        <w:rPr>
          <w:rFonts w:hint="eastAsia" w:ascii="仿宋" w:hAnsi="仿宋" w:eastAsia="仿宋" w:cs="Times New Roman"/>
          <w:b/>
          <w:color w:val="auto"/>
          <w:w w:val="90"/>
          <w:kern w:val="0"/>
          <w:sz w:val="24"/>
          <w:szCs w:val="24"/>
          <w:highlight w:val="none"/>
          <w:lang w:val="zh-CN"/>
        </w:rPr>
        <w:t>备注：根据磋商文件要求，如有偏离均应填写偏离表，不填写或未提供偏离表均视为无偏离且完全响应磋商文件要求。</w:t>
      </w:r>
    </w:p>
    <w:p>
      <w:pPr>
        <w:autoSpaceDN w:val="0"/>
        <w:rPr>
          <w:rFonts w:ascii="仿宋" w:hAnsi="仿宋" w:eastAsia="仿宋" w:cs="Times New Roman"/>
          <w:color w:val="auto"/>
          <w:szCs w:val="24"/>
          <w:highlight w:val="none"/>
        </w:rPr>
      </w:pPr>
    </w:p>
    <w:p>
      <w:pPr>
        <w:autoSpaceDE w:val="0"/>
        <w:autoSpaceDN w:val="0"/>
        <w:adjustRightInd w:val="0"/>
        <w:jc w:val="left"/>
        <w:rPr>
          <w:rFonts w:ascii="仿宋" w:hAnsi="仿宋" w:eastAsia="仿宋" w:cs="..ì."/>
          <w:color w:val="auto"/>
          <w:sz w:val="24"/>
          <w:szCs w:val="24"/>
          <w:highlight w:val="none"/>
        </w:rPr>
      </w:pPr>
    </w:p>
    <w:p>
      <w:pPr>
        <w:autoSpaceDN w:val="0"/>
        <w:snapToGrid w:val="0"/>
        <w:spacing w:line="360" w:lineRule="auto"/>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磋商响应供应商名称（盖章）：</w:t>
      </w:r>
      <w:r>
        <w:rPr>
          <w:rFonts w:hint="eastAsia" w:ascii="仿宋" w:hAnsi="仿宋" w:eastAsia="仿宋" w:cs="Times New Roman"/>
          <w:color w:val="auto"/>
          <w:w w:val="90"/>
          <w:kern w:val="0"/>
          <w:sz w:val="22"/>
          <w:highlight w:val="none"/>
        </w:rPr>
        <w:t>_______________________________</w:t>
      </w:r>
    </w:p>
    <w:p>
      <w:pPr>
        <w:autoSpaceDE w:val="0"/>
        <w:autoSpaceDN w:val="0"/>
        <w:adjustRightInd w:val="0"/>
        <w:spacing w:line="360" w:lineRule="auto"/>
        <w:jc w:val="left"/>
        <w:rPr>
          <w:rFonts w:ascii="仿宋" w:hAnsi="仿宋" w:eastAsia="仿宋" w:cs="Times New Roman"/>
          <w:color w:val="auto"/>
          <w:w w:val="90"/>
          <w:kern w:val="0"/>
          <w:sz w:val="22"/>
          <w:highlight w:val="none"/>
        </w:rPr>
      </w:pPr>
      <w:r>
        <w:rPr>
          <w:rFonts w:hint="eastAsia" w:ascii="仿宋" w:hAnsi="仿宋" w:eastAsia="仿宋" w:cs="Times New Roman"/>
          <w:color w:val="auto"/>
          <w:sz w:val="24"/>
          <w:szCs w:val="28"/>
          <w:highlight w:val="none"/>
        </w:rPr>
        <w:t>日期：</w:t>
      </w:r>
      <w:r>
        <w:rPr>
          <w:rFonts w:hint="eastAsia" w:ascii="仿宋" w:hAnsi="仿宋" w:eastAsia="仿宋" w:cs="Times New Roman"/>
          <w:color w:val="auto"/>
          <w:w w:val="90"/>
          <w:kern w:val="0"/>
          <w:sz w:val="22"/>
          <w:highlight w:val="none"/>
        </w:rPr>
        <w:t>_______________________________</w:t>
      </w:r>
    </w:p>
    <w:p>
      <w:pPr>
        <w:widowControl/>
        <w:jc w:val="left"/>
        <w:rPr>
          <w:rFonts w:ascii="仿宋" w:hAnsi="仿宋" w:eastAsia="仿宋" w:cs="Times New Roman"/>
          <w:color w:val="auto"/>
          <w:kern w:val="0"/>
          <w:highlight w:val="none"/>
        </w:rPr>
        <w:sectPr>
          <w:pgSz w:w="11906" w:h="16838"/>
          <w:pgMar w:top="1440" w:right="1416" w:bottom="1440" w:left="1560" w:header="851" w:footer="1077" w:gutter="0"/>
          <w:cols w:space="720" w:num="1"/>
          <w:docGrid w:linePitch="286" w:charSpace="0"/>
        </w:sectPr>
      </w:pPr>
    </w:p>
    <w:p>
      <w:pPr>
        <w:keepNext/>
        <w:keepLines/>
        <w:autoSpaceDN w:val="0"/>
        <w:spacing w:before="260" w:after="260" w:line="415" w:lineRule="auto"/>
        <w:outlineLvl w:val="2"/>
        <w:rPr>
          <w:rFonts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32"/>
          <w:highlight w:val="none"/>
        </w:rPr>
        <w:t>2-9.施工组织设计</w:t>
      </w:r>
    </w:p>
    <w:p>
      <w:pPr>
        <w:tabs>
          <w:tab w:val="left" w:pos="720"/>
        </w:tabs>
        <w:autoSpaceDN w:val="0"/>
        <w:spacing w:line="440" w:lineRule="exact"/>
        <w:ind w:firstLine="440" w:firstLineChars="200"/>
        <w:rPr>
          <w:rFonts w:ascii="仿宋" w:hAnsi="仿宋" w:eastAsia="仿宋" w:cs="Times New Roman"/>
          <w:color w:val="auto"/>
          <w:sz w:val="22"/>
          <w:highlight w:val="none"/>
        </w:rPr>
      </w:pPr>
      <w:r>
        <w:rPr>
          <w:rFonts w:hint="eastAsia" w:ascii="仿宋" w:hAnsi="仿宋" w:eastAsia="仿宋" w:cs="Times New Roman"/>
          <w:color w:val="auto"/>
          <w:sz w:val="22"/>
          <w:highlight w:val="none"/>
        </w:rPr>
        <w:t xml:space="preserve">1. </w:t>
      </w:r>
      <w:r>
        <w:rPr>
          <w:rFonts w:hint="eastAsia" w:ascii="仿宋" w:hAnsi="仿宋" w:eastAsia="仿宋" w:cs="Times New Roman"/>
          <w:color w:val="auto"/>
          <w:sz w:val="22"/>
          <w:highlight w:val="none"/>
        </w:rPr>
        <w:tab/>
      </w:r>
      <w:r>
        <w:rPr>
          <w:rFonts w:hint="eastAsia" w:ascii="仿宋" w:hAnsi="仿宋" w:eastAsia="仿宋" w:cs="Times New Roman"/>
          <w:color w:val="auto"/>
          <w:sz w:val="22"/>
          <w:highlight w:val="none"/>
        </w:rPr>
        <w:t>磋商响应供应商编制施工组织设计的要求：编制时应采用文字并结合图表形式说明施工方法；拟投入的主要施工设备情况、拟配备的试验和检测仪器设备情况、劳动力计划等；结合工程特点提出切实可行的工程质量、安全生产、文明施工、工程进度、技术组织措施、成品保护方案（防尘、防潮措施等），同时应对关键工序、复杂环节重点提出相应技术措施，如冬雨季施工技术、减少噪音、降低环境污染、地下管线及其他地上地下设施的保护加固措施等。</w:t>
      </w:r>
    </w:p>
    <w:p>
      <w:pPr>
        <w:tabs>
          <w:tab w:val="left" w:pos="720"/>
        </w:tabs>
        <w:autoSpaceDN w:val="0"/>
        <w:spacing w:line="440" w:lineRule="exact"/>
        <w:ind w:firstLine="440" w:firstLineChars="200"/>
        <w:rPr>
          <w:rFonts w:ascii="仿宋" w:hAnsi="仿宋" w:eastAsia="仿宋" w:cs="Times New Roman"/>
          <w:color w:val="auto"/>
          <w:sz w:val="22"/>
          <w:highlight w:val="none"/>
        </w:rPr>
      </w:pPr>
      <w:r>
        <w:rPr>
          <w:rFonts w:hint="eastAsia" w:ascii="仿宋" w:hAnsi="仿宋" w:eastAsia="仿宋" w:cs="Times New Roman"/>
          <w:color w:val="auto"/>
          <w:sz w:val="22"/>
          <w:highlight w:val="none"/>
        </w:rPr>
        <w:t xml:space="preserve">2. </w:t>
      </w:r>
      <w:r>
        <w:rPr>
          <w:rFonts w:hint="eastAsia" w:ascii="仿宋" w:hAnsi="仿宋" w:eastAsia="仿宋" w:cs="Times New Roman"/>
          <w:color w:val="auto"/>
          <w:sz w:val="22"/>
          <w:highlight w:val="none"/>
        </w:rPr>
        <w:tab/>
      </w:r>
      <w:r>
        <w:rPr>
          <w:rFonts w:hint="eastAsia" w:ascii="仿宋" w:hAnsi="仿宋" w:eastAsia="仿宋" w:cs="Times New Roman"/>
          <w:color w:val="auto"/>
          <w:sz w:val="22"/>
          <w:highlight w:val="none"/>
        </w:rPr>
        <w:t>施工组织设计除采用文字表述外可附下列图表，图表及格式要求附后。</w:t>
      </w:r>
    </w:p>
    <w:p>
      <w:pPr>
        <w:tabs>
          <w:tab w:val="left" w:pos="720"/>
        </w:tabs>
        <w:autoSpaceDN w:val="0"/>
        <w:spacing w:line="440" w:lineRule="exact"/>
        <w:ind w:firstLine="792" w:firstLineChars="360"/>
        <w:rPr>
          <w:rFonts w:ascii="仿宋" w:hAnsi="仿宋" w:eastAsia="仿宋" w:cs="Times New Roman"/>
          <w:color w:val="auto"/>
          <w:sz w:val="22"/>
          <w:highlight w:val="none"/>
        </w:rPr>
      </w:pPr>
      <w:r>
        <w:rPr>
          <w:rFonts w:hint="eastAsia" w:ascii="仿宋" w:hAnsi="仿宋" w:eastAsia="仿宋" w:cs="Times New Roman"/>
          <w:color w:val="auto"/>
          <w:sz w:val="22"/>
          <w:highlight w:val="none"/>
        </w:rPr>
        <w:t>附表一  拟投入的主要施工设备表</w:t>
      </w:r>
    </w:p>
    <w:p>
      <w:pPr>
        <w:tabs>
          <w:tab w:val="left" w:pos="720"/>
        </w:tabs>
        <w:autoSpaceDN w:val="0"/>
        <w:spacing w:line="440" w:lineRule="exact"/>
        <w:ind w:firstLine="792" w:firstLineChars="360"/>
        <w:rPr>
          <w:rFonts w:ascii="仿宋" w:hAnsi="仿宋" w:eastAsia="仿宋" w:cs="Times New Roman"/>
          <w:color w:val="auto"/>
          <w:sz w:val="22"/>
          <w:highlight w:val="none"/>
        </w:rPr>
      </w:pPr>
      <w:r>
        <w:rPr>
          <w:rFonts w:hint="eastAsia" w:ascii="仿宋" w:hAnsi="仿宋" w:eastAsia="仿宋" w:cs="Times New Roman"/>
          <w:color w:val="auto"/>
          <w:sz w:val="22"/>
          <w:highlight w:val="none"/>
        </w:rPr>
        <w:t>附表二  拟配备的试验和检测仪器设备表</w:t>
      </w:r>
    </w:p>
    <w:p>
      <w:pPr>
        <w:tabs>
          <w:tab w:val="left" w:pos="720"/>
        </w:tabs>
        <w:autoSpaceDN w:val="0"/>
        <w:spacing w:line="440" w:lineRule="exact"/>
        <w:ind w:firstLine="792" w:firstLineChars="360"/>
        <w:rPr>
          <w:rFonts w:ascii="仿宋" w:hAnsi="仿宋" w:eastAsia="仿宋" w:cs="Times New Roman"/>
          <w:color w:val="auto"/>
          <w:sz w:val="22"/>
          <w:highlight w:val="none"/>
        </w:rPr>
      </w:pPr>
      <w:r>
        <w:rPr>
          <w:rFonts w:hint="eastAsia" w:ascii="仿宋" w:hAnsi="仿宋" w:eastAsia="仿宋" w:cs="Times New Roman"/>
          <w:color w:val="auto"/>
          <w:sz w:val="22"/>
          <w:highlight w:val="none"/>
        </w:rPr>
        <w:t>附表三  项目管理班子配备情况表</w:t>
      </w:r>
    </w:p>
    <w:p>
      <w:pPr>
        <w:tabs>
          <w:tab w:val="left" w:pos="720"/>
        </w:tabs>
        <w:autoSpaceDN w:val="0"/>
        <w:spacing w:line="440" w:lineRule="exact"/>
        <w:ind w:firstLine="792" w:firstLineChars="360"/>
        <w:rPr>
          <w:rFonts w:ascii="仿宋" w:hAnsi="仿宋" w:eastAsia="仿宋" w:cs="Times New Roman"/>
          <w:color w:val="auto"/>
          <w:sz w:val="22"/>
          <w:highlight w:val="none"/>
        </w:rPr>
      </w:pPr>
      <w:r>
        <w:rPr>
          <w:rFonts w:hint="eastAsia" w:ascii="仿宋" w:hAnsi="仿宋" w:eastAsia="仿宋" w:cs="Times New Roman"/>
          <w:color w:val="auto"/>
          <w:sz w:val="22"/>
          <w:highlight w:val="none"/>
        </w:rPr>
        <w:t>附表四、项目经理简历表</w:t>
      </w:r>
    </w:p>
    <w:p>
      <w:pPr>
        <w:tabs>
          <w:tab w:val="left" w:pos="720"/>
        </w:tabs>
        <w:autoSpaceDN w:val="0"/>
        <w:spacing w:line="440" w:lineRule="exact"/>
        <w:ind w:firstLine="792" w:firstLineChars="360"/>
        <w:rPr>
          <w:rFonts w:ascii="仿宋" w:hAnsi="仿宋" w:eastAsia="仿宋" w:cs="Times New Roman"/>
          <w:color w:val="auto"/>
          <w:sz w:val="22"/>
          <w:highlight w:val="none"/>
        </w:rPr>
      </w:pPr>
      <w:r>
        <w:rPr>
          <w:rFonts w:hint="eastAsia" w:ascii="仿宋" w:hAnsi="仿宋" w:eastAsia="仿宋" w:cs="Times New Roman"/>
          <w:color w:val="auto"/>
          <w:sz w:val="22"/>
          <w:highlight w:val="none"/>
        </w:rPr>
        <w:t>附表五、技术负责人简历表</w:t>
      </w:r>
    </w:p>
    <w:p>
      <w:pPr>
        <w:tabs>
          <w:tab w:val="left" w:pos="720"/>
        </w:tabs>
        <w:autoSpaceDN w:val="0"/>
        <w:spacing w:line="440" w:lineRule="exact"/>
        <w:ind w:firstLine="792" w:firstLineChars="360"/>
        <w:rPr>
          <w:rFonts w:ascii="仿宋" w:hAnsi="仿宋" w:eastAsia="仿宋" w:cs="Times New Roman"/>
          <w:color w:val="auto"/>
          <w:sz w:val="22"/>
          <w:highlight w:val="none"/>
        </w:rPr>
      </w:pPr>
      <w:r>
        <w:rPr>
          <w:rFonts w:hint="eastAsia" w:ascii="仿宋" w:hAnsi="仿宋" w:eastAsia="仿宋" w:cs="Times New Roman"/>
          <w:color w:val="auto"/>
          <w:sz w:val="22"/>
          <w:highlight w:val="none"/>
        </w:rPr>
        <w:t>附表六：计划开、竣工日期和施工进度网络图</w:t>
      </w:r>
    </w:p>
    <w:p>
      <w:pPr>
        <w:tabs>
          <w:tab w:val="left" w:pos="720"/>
        </w:tabs>
        <w:autoSpaceDN w:val="0"/>
        <w:spacing w:line="440" w:lineRule="exact"/>
        <w:jc w:val="left"/>
        <w:rPr>
          <w:rFonts w:ascii="仿宋" w:hAnsi="仿宋" w:eastAsia="仿宋" w:cs="Times New Roman"/>
          <w:color w:val="auto"/>
          <w:sz w:val="22"/>
          <w:highlight w:val="none"/>
        </w:rPr>
      </w:pPr>
      <w:bookmarkStart w:id="197" w:name="_Toc152045797"/>
      <w:bookmarkStart w:id="198" w:name="_Toc179632817"/>
      <w:bookmarkStart w:id="199" w:name="_Toc144974865"/>
      <w:bookmarkStart w:id="200" w:name="_Toc246392155"/>
      <w:bookmarkStart w:id="201" w:name="_Toc152042586"/>
      <w:r>
        <w:rPr>
          <w:rFonts w:hint="eastAsia" w:ascii="仿宋" w:hAnsi="仿宋" w:eastAsia="仿宋" w:cs="Times New Roman"/>
          <w:b/>
          <w:bCs/>
          <w:color w:val="auto"/>
          <w:sz w:val="22"/>
          <w:highlight w:val="none"/>
        </w:rPr>
        <w:t>附表一：拟投入的主要施工设备表</w:t>
      </w:r>
      <w:bookmarkEnd w:id="197"/>
      <w:bookmarkEnd w:id="198"/>
      <w:bookmarkEnd w:id="199"/>
      <w:bookmarkEnd w:id="200"/>
      <w:bookmarkEnd w:id="201"/>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107"/>
        <w:gridCol w:w="776"/>
        <w:gridCol w:w="802"/>
        <w:gridCol w:w="684"/>
        <w:gridCol w:w="754"/>
        <w:gridCol w:w="1098"/>
        <w:gridCol w:w="892"/>
        <w:gridCol w:w="1035"/>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681"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rPr>
                <w:rFonts w:ascii="仿宋" w:hAnsi="仿宋" w:eastAsia="仿宋" w:cs="Times New Roman"/>
                <w:color w:val="auto"/>
                <w:sz w:val="22"/>
                <w:highlight w:val="none"/>
              </w:rPr>
            </w:pPr>
            <w:r>
              <w:rPr>
                <w:rFonts w:hint="eastAsia" w:ascii="仿宋" w:hAnsi="仿宋" w:eastAsia="仿宋" w:cs="Times New Roman"/>
                <w:color w:val="auto"/>
                <w:sz w:val="22"/>
                <w:highlight w:val="none"/>
              </w:rPr>
              <w:t>序号</w:t>
            </w:r>
          </w:p>
        </w:tc>
        <w:tc>
          <w:tcPr>
            <w:tcW w:w="1107"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设备名称</w:t>
            </w:r>
          </w:p>
        </w:tc>
        <w:tc>
          <w:tcPr>
            <w:tcW w:w="776"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型号</w:t>
            </w:r>
          </w:p>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规格</w:t>
            </w:r>
          </w:p>
        </w:tc>
        <w:tc>
          <w:tcPr>
            <w:tcW w:w="80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数量</w:t>
            </w:r>
          </w:p>
        </w:tc>
        <w:tc>
          <w:tcPr>
            <w:tcW w:w="684"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国别</w:t>
            </w:r>
          </w:p>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产地</w:t>
            </w:r>
          </w:p>
        </w:tc>
        <w:tc>
          <w:tcPr>
            <w:tcW w:w="754"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制造</w:t>
            </w:r>
          </w:p>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年份</w:t>
            </w:r>
          </w:p>
        </w:tc>
        <w:tc>
          <w:tcPr>
            <w:tcW w:w="1098"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额定功率（KW）</w:t>
            </w:r>
          </w:p>
        </w:tc>
        <w:tc>
          <w:tcPr>
            <w:tcW w:w="89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生产</w:t>
            </w:r>
          </w:p>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能力</w:t>
            </w:r>
          </w:p>
        </w:tc>
        <w:tc>
          <w:tcPr>
            <w:tcW w:w="1035"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用于施工部位</w:t>
            </w:r>
          </w:p>
        </w:tc>
        <w:tc>
          <w:tcPr>
            <w:tcW w:w="699"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81"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107"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776"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80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684"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754"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098"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89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035"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699"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81"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107"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776"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80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684"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754"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098"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89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035"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699"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81"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107"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776"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80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684"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754"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098"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89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035"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699"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r>
    </w:tbl>
    <w:p>
      <w:pPr>
        <w:autoSpaceDN w:val="0"/>
        <w:spacing w:line="440" w:lineRule="exact"/>
        <w:rPr>
          <w:rFonts w:ascii="仿宋" w:hAnsi="仿宋" w:eastAsia="仿宋" w:cs="Times New Roman"/>
          <w:color w:val="auto"/>
          <w:sz w:val="22"/>
          <w:highlight w:val="none"/>
        </w:rPr>
      </w:pPr>
    </w:p>
    <w:p>
      <w:pPr>
        <w:tabs>
          <w:tab w:val="left" w:pos="720"/>
        </w:tabs>
        <w:autoSpaceDN w:val="0"/>
        <w:spacing w:line="440" w:lineRule="exact"/>
        <w:jc w:val="left"/>
        <w:rPr>
          <w:rFonts w:ascii="仿宋" w:hAnsi="仿宋" w:eastAsia="仿宋" w:cs="Times New Roman"/>
          <w:b/>
          <w:bCs/>
          <w:color w:val="auto"/>
          <w:sz w:val="22"/>
          <w:highlight w:val="none"/>
        </w:rPr>
      </w:pPr>
      <w:bookmarkStart w:id="202" w:name="_Toc246392156"/>
      <w:bookmarkStart w:id="203" w:name="_Toc152045798"/>
      <w:bookmarkStart w:id="204" w:name="_Toc144974866"/>
      <w:bookmarkStart w:id="205" w:name="_Toc179632818"/>
      <w:bookmarkStart w:id="206" w:name="_Toc152042587"/>
      <w:r>
        <w:rPr>
          <w:rFonts w:hint="eastAsia" w:ascii="仿宋" w:hAnsi="仿宋" w:eastAsia="仿宋" w:cs="Times New Roman"/>
          <w:b/>
          <w:bCs/>
          <w:color w:val="auto"/>
          <w:sz w:val="22"/>
          <w:highlight w:val="none"/>
        </w:rPr>
        <w:t>附表二：拟配备的试验和检测仪器设备表</w:t>
      </w:r>
      <w:bookmarkEnd w:id="202"/>
      <w:bookmarkEnd w:id="203"/>
      <w:bookmarkEnd w:id="204"/>
      <w:bookmarkEnd w:id="205"/>
      <w:bookmarkEnd w:id="206"/>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177"/>
        <w:gridCol w:w="822"/>
        <w:gridCol w:w="1073"/>
        <w:gridCol w:w="727"/>
        <w:gridCol w:w="800"/>
        <w:gridCol w:w="1312"/>
        <w:gridCol w:w="1151"/>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24"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rPr>
                <w:rFonts w:ascii="仿宋" w:hAnsi="仿宋" w:eastAsia="仿宋" w:cs="Times New Roman"/>
                <w:color w:val="auto"/>
                <w:sz w:val="22"/>
                <w:highlight w:val="none"/>
              </w:rPr>
            </w:pPr>
            <w:r>
              <w:rPr>
                <w:rFonts w:hint="eastAsia" w:ascii="仿宋" w:hAnsi="仿宋" w:eastAsia="仿宋" w:cs="Times New Roman"/>
                <w:color w:val="auto"/>
                <w:sz w:val="22"/>
                <w:highlight w:val="none"/>
              </w:rPr>
              <w:t>序号</w:t>
            </w:r>
          </w:p>
        </w:tc>
        <w:tc>
          <w:tcPr>
            <w:tcW w:w="1177"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仪器设备名称</w:t>
            </w:r>
          </w:p>
        </w:tc>
        <w:tc>
          <w:tcPr>
            <w:tcW w:w="82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型号</w:t>
            </w:r>
          </w:p>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规格</w:t>
            </w:r>
          </w:p>
        </w:tc>
        <w:tc>
          <w:tcPr>
            <w:tcW w:w="107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数量</w:t>
            </w:r>
          </w:p>
        </w:tc>
        <w:tc>
          <w:tcPr>
            <w:tcW w:w="727"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国别</w:t>
            </w:r>
          </w:p>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产地</w:t>
            </w:r>
          </w:p>
        </w:tc>
        <w:tc>
          <w:tcPr>
            <w:tcW w:w="800"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制造</w:t>
            </w:r>
          </w:p>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年份</w:t>
            </w:r>
          </w:p>
        </w:tc>
        <w:tc>
          <w:tcPr>
            <w:tcW w:w="131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已使用台时数</w:t>
            </w:r>
          </w:p>
        </w:tc>
        <w:tc>
          <w:tcPr>
            <w:tcW w:w="1151"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用途</w:t>
            </w:r>
          </w:p>
        </w:tc>
        <w:tc>
          <w:tcPr>
            <w:tcW w:w="74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4"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177"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82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07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727"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800"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31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151"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74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4"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177"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82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07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727"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800"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31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151"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74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4"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177"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82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07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727"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800"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31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151"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74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24"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177"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82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07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727"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800"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31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151"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74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r>
    </w:tbl>
    <w:p>
      <w:pPr>
        <w:autoSpaceDN w:val="0"/>
        <w:spacing w:line="440" w:lineRule="exact"/>
        <w:rPr>
          <w:rFonts w:ascii="仿宋" w:hAnsi="仿宋" w:eastAsia="仿宋" w:cs="Times New Roman"/>
          <w:color w:val="auto"/>
          <w:sz w:val="22"/>
          <w:highlight w:val="none"/>
        </w:rPr>
      </w:pPr>
    </w:p>
    <w:p>
      <w:pPr>
        <w:autoSpaceDN w:val="0"/>
        <w:spacing w:line="440" w:lineRule="exact"/>
        <w:rPr>
          <w:rFonts w:ascii="仿宋" w:hAnsi="仿宋" w:eastAsia="仿宋" w:cs="Times New Roman"/>
          <w:b/>
          <w:bCs/>
          <w:color w:val="auto"/>
          <w:sz w:val="22"/>
          <w:highlight w:val="none"/>
        </w:rPr>
      </w:pPr>
      <w:r>
        <w:rPr>
          <w:rFonts w:hint="eastAsia" w:ascii="仿宋" w:hAnsi="仿宋" w:eastAsia="仿宋" w:cs="Times New Roman"/>
          <w:b/>
          <w:bCs/>
          <w:color w:val="auto"/>
          <w:sz w:val="22"/>
          <w:highlight w:val="none"/>
        </w:rPr>
        <w:br w:type="page"/>
      </w:r>
      <w:r>
        <w:rPr>
          <w:rFonts w:hint="eastAsia" w:ascii="仿宋" w:hAnsi="仿宋" w:eastAsia="仿宋" w:cs="Times New Roman"/>
          <w:b/>
          <w:bCs/>
          <w:color w:val="auto"/>
          <w:sz w:val="22"/>
          <w:highlight w:val="none"/>
        </w:rPr>
        <w:t>附表三、</w:t>
      </w:r>
      <w:r>
        <w:rPr>
          <w:rFonts w:hint="eastAsia" w:ascii="仿宋" w:hAnsi="仿宋" w:eastAsia="仿宋" w:cs="Times New Roman"/>
          <w:b/>
          <w:bCs/>
          <w:color w:val="auto"/>
          <w:kern w:val="0"/>
          <w:sz w:val="22"/>
          <w:highlight w:val="none"/>
        </w:rPr>
        <w:t>项目管理班子配备情况表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20"/>
        <w:gridCol w:w="720"/>
        <w:gridCol w:w="888"/>
        <w:gridCol w:w="888"/>
        <w:gridCol w:w="888"/>
        <w:gridCol w:w="888"/>
        <w:gridCol w:w="1488"/>
        <w:gridCol w:w="889"/>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restart"/>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职务</w:t>
            </w:r>
          </w:p>
        </w:tc>
        <w:tc>
          <w:tcPr>
            <w:tcW w:w="720" w:type="dxa"/>
            <w:vMerge w:val="restart"/>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姓名</w:t>
            </w:r>
          </w:p>
        </w:tc>
        <w:tc>
          <w:tcPr>
            <w:tcW w:w="720" w:type="dxa"/>
            <w:vMerge w:val="restart"/>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职称</w:t>
            </w:r>
          </w:p>
        </w:tc>
        <w:tc>
          <w:tcPr>
            <w:tcW w:w="5040" w:type="dxa"/>
            <w:gridSpan w:val="5"/>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上岗资格证明</w:t>
            </w:r>
          </w:p>
        </w:tc>
        <w:tc>
          <w:tcPr>
            <w:tcW w:w="1800" w:type="dxa"/>
            <w:gridSpan w:val="2"/>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已承担在建工程情况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auto"/>
                <w:kern w:val="0"/>
                <w:sz w:val="22"/>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auto"/>
                <w:kern w:val="0"/>
                <w:sz w:val="22"/>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证书</w:t>
            </w:r>
          </w:p>
          <w:p>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名称</w:t>
            </w:r>
          </w:p>
        </w:tc>
        <w:tc>
          <w:tcPr>
            <w:tcW w:w="888"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级别</w:t>
            </w:r>
          </w:p>
        </w:tc>
        <w:tc>
          <w:tcPr>
            <w:tcW w:w="888"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证号</w:t>
            </w:r>
          </w:p>
        </w:tc>
        <w:tc>
          <w:tcPr>
            <w:tcW w:w="888"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专业</w:t>
            </w:r>
          </w:p>
        </w:tc>
        <w:tc>
          <w:tcPr>
            <w:tcW w:w="1488"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原服务单位</w:t>
            </w:r>
          </w:p>
        </w:tc>
        <w:tc>
          <w:tcPr>
            <w:tcW w:w="88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项目数</w:t>
            </w:r>
          </w:p>
        </w:tc>
        <w:tc>
          <w:tcPr>
            <w:tcW w:w="911"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72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72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9"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91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72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72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9"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91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72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72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9"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91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72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72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9"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91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atLeast"/>
        </w:trPr>
        <w:tc>
          <w:tcPr>
            <w:tcW w:w="8928" w:type="dxa"/>
            <w:gridSpan w:val="10"/>
            <w:tcBorders>
              <w:top w:val="single" w:color="auto" w:sz="4" w:space="0"/>
              <w:left w:val="single" w:color="auto" w:sz="4" w:space="0"/>
              <w:bottom w:val="single" w:color="auto" w:sz="4" w:space="0"/>
              <w:right w:val="single" w:color="auto" w:sz="4" w:space="0"/>
            </w:tcBorders>
            <w:noWrap/>
          </w:tcPr>
          <w:p>
            <w:pPr>
              <w:autoSpaceDN w:val="0"/>
              <w:spacing w:line="360" w:lineRule="auto"/>
              <w:ind w:firstLine="495" w:firstLineChars="225"/>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本工程一旦我单位成交，将实行项目经理负责制，并配备上述项目管理班子。上述填报内容真实，若不真实，愿按有关规定接受处理。项目管理班子机构设置、职责分工等情况另附资料说明。</w:t>
            </w:r>
          </w:p>
        </w:tc>
      </w:tr>
    </w:tbl>
    <w:p>
      <w:pPr>
        <w:autoSpaceDN w:val="0"/>
        <w:spacing w:line="440" w:lineRule="exact"/>
        <w:rPr>
          <w:rFonts w:ascii="仿宋" w:hAnsi="仿宋" w:eastAsia="仿宋" w:cs="Times New Roman"/>
          <w:b/>
          <w:bCs/>
          <w:color w:val="auto"/>
          <w:sz w:val="22"/>
          <w:highlight w:val="none"/>
        </w:rPr>
      </w:pPr>
    </w:p>
    <w:p>
      <w:pPr>
        <w:autoSpaceDN w:val="0"/>
        <w:spacing w:line="440" w:lineRule="exact"/>
        <w:rPr>
          <w:rFonts w:ascii="仿宋" w:hAnsi="仿宋" w:eastAsia="仿宋" w:cs="Times New Roman"/>
          <w:b/>
          <w:bCs/>
          <w:color w:val="auto"/>
          <w:sz w:val="22"/>
          <w:highlight w:val="none"/>
        </w:rPr>
      </w:pPr>
      <w:r>
        <w:rPr>
          <w:rFonts w:hint="eastAsia" w:ascii="仿宋" w:hAnsi="仿宋" w:eastAsia="仿宋" w:cs="Times New Roman"/>
          <w:b/>
          <w:bCs/>
          <w:color w:val="auto"/>
          <w:sz w:val="22"/>
          <w:highlight w:val="none"/>
        </w:rPr>
        <w:t>附表四、</w:t>
      </w:r>
      <w:r>
        <w:rPr>
          <w:rFonts w:hint="eastAsia" w:ascii="仿宋" w:hAnsi="仿宋" w:eastAsia="仿宋" w:cs="Times New Roman"/>
          <w:b/>
          <w:bCs/>
          <w:color w:val="auto"/>
          <w:kern w:val="0"/>
          <w:sz w:val="22"/>
          <w:highlight w:val="none"/>
        </w:rPr>
        <w:t>项目经理简历表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姓名</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性别</w:t>
            </w: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年龄</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职务</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职称</w:t>
            </w: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学历</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参加工作时间</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p>
        </w:tc>
        <w:tc>
          <w:tcPr>
            <w:tcW w:w="3089" w:type="dxa"/>
            <w:gridSpan w:val="2"/>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从事项目经理年限</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项目经理资格证书编号</w:t>
            </w:r>
          </w:p>
        </w:tc>
        <w:tc>
          <w:tcPr>
            <w:tcW w:w="6050" w:type="dxa"/>
            <w:gridSpan w:val="4"/>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10" w:type="dxa"/>
            <w:gridSpan w:val="6"/>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建设单位</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项目名称</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建设规模</w:t>
            </w: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开、竣工日期</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在建或已完</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r>
    </w:tbl>
    <w:p>
      <w:pPr>
        <w:autoSpaceDN w:val="0"/>
        <w:spacing w:line="360" w:lineRule="auto"/>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备注：后附项目经理注册证书、B证、职称证等</w:t>
      </w:r>
    </w:p>
    <w:p>
      <w:pPr>
        <w:autoSpaceDN w:val="0"/>
        <w:spacing w:line="360" w:lineRule="auto"/>
        <w:jc w:val="left"/>
        <w:rPr>
          <w:rFonts w:ascii="仿宋" w:hAnsi="仿宋" w:eastAsia="仿宋" w:cs="Times New Roman"/>
          <w:b/>
          <w:bCs/>
          <w:color w:val="auto"/>
          <w:kern w:val="0"/>
          <w:sz w:val="22"/>
          <w:highlight w:val="none"/>
        </w:rPr>
      </w:pPr>
      <w:r>
        <w:rPr>
          <w:rFonts w:hint="eastAsia" w:ascii="仿宋" w:hAnsi="仿宋" w:eastAsia="仿宋" w:cs="Times New Roman"/>
          <w:color w:val="auto"/>
          <w:sz w:val="22"/>
          <w:highlight w:val="none"/>
        </w:rPr>
        <w:br w:type="page"/>
      </w:r>
      <w:r>
        <w:rPr>
          <w:rFonts w:hint="eastAsia" w:ascii="仿宋" w:hAnsi="仿宋" w:eastAsia="仿宋" w:cs="Times New Roman"/>
          <w:b/>
          <w:bCs/>
          <w:color w:val="auto"/>
          <w:sz w:val="22"/>
          <w:highlight w:val="none"/>
        </w:rPr>
        <w:t>附表五、</w:t>
      </w:r>
      <w:r>
        <w:rPr>
          <w:rFonts w:hint="eastAsia" w:ascii="仿宋" w:hAnsi="仿宋" w:eastAsia="仿宋" w:cs="Times New Roman"/>
          <w:b/>
          <w:bCs/>
          <w:color w:val="auto"/>
          <w:kern w:val="0"/>
          <w:sz w:val="22"/>
          <w:highlight w:val="none"/>
        </w:rPr>
        <w:t>技术负责人简历表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姓名</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性别</w:t>
            </w: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年龄</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职务</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职称</w:t>
            </w: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学历</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参加工作时间</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p>
        </w:tc>
        <w:tc>
          <w:tcPr>
            <w:tcW w:w="3089" w:type="dxa"/>
            <w:gridSpan w:val="2"/>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从事技术负责人年限</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资格证书名称及编号</w:t>
            </w:r>
          </w:p>
        </w:tc>
        <w:tc>
          <w:tcPr>
            <w:tcW w:w="6050" w:type="dxa"/>
            <w:gridSpan w:val="4"/>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10" w:type="dxa"/>
            <w:gridSpan w:val="6"/>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建设单位</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项目名称</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建设规模</w:t>
            </w: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开、竣工日期</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在建或已完</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r>
    </w:tbl>
    <w:p>
      <w:pPr>
        <w:autoSpaceDN w:val="0"/>
        <w:spacing w:line="360" w:lineRule="auto"/>
        <w:rPr>
          <w:rFonts w:ascii="仿宋" w:hAnsi="仿宋" w:eastAsia="仿宋" w:cs="Times New Roman"/>
          <w:b/>
          <w:bCs/>
          <w:color w:val="auto"/>
          <w:kern w:val="0"/>
          <w:sz w:val="22"/>
          <w:highlight w:val="none"/>
        </w:rPr>
      </w:pPr>
    </w:p>
    <w:p>
      <w:pPr>
        <w:tabs>
          <w:tab w:val="left" w:pos="720"/>
        </w:tabs>
        <w:autoSpaceDN w:val="0"/>
        <w:spacing w:line="440" w:lineRule="exact"/>
        <w:jc w:val="left"/>
        <w:rPr>
          <w:rFonts w:ascii="仿宋" w:hAnsi="仿宋" w:eastAsia="仿宋" w:cs="Times New Roman"/>
          <w:b/>
          <w:bCs/>
          <w:color w:val="auto"/>
          <w:sz w:val="22"/>
          <w:highlight w:val="none"/>
        </w:rPr>
      </w:pPr>
      <w:bookmarkStart w:id="207" w:name="_Toc152042588"/>
      <w:bookmarkStart w:id="208" w:name="_Toc246392157"/>
      <w:bookmarkStart w:id="209" w:name="_Toc152045799"/>
      <w:bookmarkStart w:id="210" w:name="_Toc144974867"/>
      <w:bookmarkStart w:id="211" w:name="_Toc179632819"/>
      <w:r>
        <w:rPr>
          <w:rFonts w:hint="eastAsia" w:ascii="仿宋" w:hAnsi="仿宋" w:eastAsia="仿宋" w:cs="Times New Roman"/>
          <w:b/>
          <w:bCs/>
          <w:color w:val="auto"/>
          <w:sz w:val="22"/>
          <w:highlight w:val="none"/>
        </w:rPr>
        <w:t>附表五：劳动力计划表</w:t>
      </w:r>
      <w:bookmarkEnd w:id="207"/>
      <w:bookmarkEnd w:id="208"/>
      <w:bookmarkEnd w:id="209"/>
      <w:bookmarkEnd w:id="210"/>
      <w:bookmarkEnd w:id="211"/>
    </w:p>
    <w:p>
      <w:pPr>
        <w:autoSpaceDN w:val="0"/>
        <w:spacing w:line="440" w:lineRule="exact"/>
        <w:ind w:right="410"/>
        <w:jc w:val="right"/>
        <w:rPr>
          <w:rFonts w:ascii="仿宋" w:hAnsi="仿宋" w:eastAsia="仿宋" w:cs="Times New Roman"/>
          <w:color w:val="auto"/>
          <w:sz w:val="22"/>
          <w:highlight w:val="none"/>
        </w:rPr>
      </w:pPr>
      <w:r>
        <w:rPr>
          <w:rFonts w:hint="eastAsia" w:ascii="仿宋" w:hAnsi="仿宋" w:eastAsia="仿宋" w:cs="Times New Roman"/>
          <w:color w:val="auto"/>
          <w:sz w:val="22"/>
          <w:highlight w:val="none"/>
        </w:rPr>
        <w:t>单位：人</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872"/>
        <w:gridCol w:w="1133"/>
        <w:gridCol w:w="1133"/>
        <w:gridCol w:w="875"/>
        <w:gridCol w:w="1133"/>
        <w:gridCol w:w="1133"/>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工种</w:t>
            </w:r>
          </w:p>
        </w:tc>
        <w:tc>
          <w:tcPr>
            <w:tcW w:w="7622" w:type="dxa"/>
            <w:gridSpan w:val="7"/>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87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875"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34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87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875"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34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87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875"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34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87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875"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34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87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875"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34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r>
    </w:tbl>
    <w:p>
      <w:pPr>
        <w:topLinePunct/>
        <w:autoSpaceDN w:val="0"/>
        <w:spacing w:line="440" w:lineRule="exact"/>
        <w:jc w:val="center"/>
        <w:rPr>
          <w:rFonts w:ascii="仿宋" w:hAnsi="仿宋" w:eastAsia="仿宋" w:cs="Times New Roman"/>
          <w:color w:val="auto"/>
          <w:sz w:val="22"/>
          <w:highlight w:val="none"/>
        </w:rPr>
      </w:pPr>
    </w:p>
    <w:p>
      <w:pPr>
        <w:tabs>
          <w:tab w:val="left" w:pos="720"/>
        </w:tabs>
        <w:autoSpaceDN w:val="0"/>
        <w:spacing w:line="440" w:lineRule="exact"/>
        <w:jc w:val="left"/>
        <w:rPr>
          <w:rFonts w:ascii="仿宋" w:hAnsi="仿宋" w:eastAsia="仿宋" w:cs="Times New Roman"/>
          <w:b/>
          <w:bCs/>
          <w:color w:val="auto"/>
          <w:sz w:val="22"/>
          <w:highlight w:val="none"/>
        </w:rPr>
      </w:pPr>
      <w:bookmarkStart w:id="212" w:name="_Toc152042589"/>
      <w:bookmarkStart w:id="213" w:name="_Toc246392158"/>
      <w:bookmarkStart w:id="214" w:name="_Toc152045800"/>
      <w:bookmarkStart w:id="215" w:name="_Toc179632820"/>
      <w:bookmarkStart w:id="216" w:name="_Toc144974868"/>
      <w:r>
        <w:rPr>
          <w:rFonts w:hint="eastAsia" w:ascii="仿宋" w:hAnsi="仿宋" w:eastAsia="仿宋" w:cs="Times New Roman"/>
          <w:b/>
          <w:bCs/>
          <w:color w:val="auto"/>
          <w:sz w:val="22"/>
          <w:highlight w:val="none"/>
        </w:rPr>
        <w:t>附表六：计划开、竣工日期和施工进度网络图</w:t>
      </w:r>
      <w:bookmarkEnd w:id="212"/>
      <w:bookmarkEnd w:id="213"/>
      <w:bookmarkEnd w:id="214"/>
      <w:bookmarkEnd w:id="215"/>
      <w:bookmarkEnd w:id="216"/>
    </w:p>
    <w:p>
      <w:pPr>
        <w:autoSpaceDN w:val="0"/>
        <w:spacing w:line="440" w:lineRule="exact"/>
        <w:rPr>
          <w:rFonts w:ascii="仿宋" w:hAnsi="仿宋" w:eastAsia="仿宋" w:cs="Times New Roman"/>
          <w:color w:val="auto"/>
          <w:sz w:val="22"/>
          <w:highlight w:val="none"/>
        </w:rPr>
      </w:pPr>
    </w:p>
    <w:p>
      <w:pPr>
        <w:autoSpaceDN w:val="0"/>
        <w:spacing w:line="440" w:lineRule="exact"/>
        <w:ind w:firstLine="440" w:firstLineChars="200"/>
        <w:rPr>
          <w:rFonts w:ascii="仿宋" w:hAnsi="仿宋" w:eastAsia="仿宋" w:cs="Times New Roman"/>
          <w:color w:val="auto"/>
          <w:sz w:val="22"/>
          <w:highlight w:val="none"/>
        </w:rPr>
      </w:pPr>
      <w:r>
        <w:rPr>
          <w:rFonts w:hint="eastAsia" w:ascii="仿宋" w:hAnsi="仿宋" w:eastAsia="仿宋" w:cs="Times New Roman"/>
          <w:color w:val="auto"/>
          <w:sz w:val="22"/>
          <w:highlight w:val="none"/>
        </w:rPr>
        <w:t>1. 磋商响应供应商应递交施工进度网络图或施工进度表，说明按磋商文件要求的计划工期进行施工的各个关键日期。</w:t>
      </w:r>
    </w:p>
    <w:p>
      <w:pPr>
        <w:autoSpaceDN w:val="0"/>
        <w:spacing w:line="440" w:lineRule="exact"/>
        <w:ind w:firstLine="440" w:firstLineChars="200"/>
        <w:rPr>
          <w:rFonts w:ascii="仿宋" w:hAnsi="仿宋" w:eastAsia="仿宋" w:cs="Times New Roman"/>
          <w:color w:val="auto"/>
          <w:sz w:val="22"/>
          <w:highlight w:val="none"/>
        </w:rPr>
      </w:pPr>
      <w:r>
        <w:rPr>
          <w:rFonts w:hint="eastAsia" w:ascii="仿宋" w:hAnsi="仿宋" w:eastAsia="仿宋" w:cs="Times New Roman"/>
          <w:color w:val="auto"/>
          <w:sz w:val="22"/>
          <w:highlight w:val="none"/>
        </w:rPr>
        <w:t>2. 施工进度表可采用网络图（或横道图）表示。</w:t>
      </w:r>
    </w:p>
    <w:p>
      <w:pPr>
        <w:widowControl/>
        <w:spacing w:line="415" w:lineRule="auto"/>
        <w:jc w:val="left"/>
        <w:rPr>
          <w:rFonts w:ascii="仿宋" w:hAnsi="仿宋" w:eastAsia="仿宋" w:cs="Times New Roman"/>
          <w:b/>
          <w:bCs/>
          <w:color w:val="auto"/>
          <w:kern w:val="0"/>
          <w:sz w:val="22"/>
          <w:highlight w:val="none"/>
        </w:rPr>
        <w:sectPr>
          <w:pgSz w:w="11906" w:h="16838"/>
          <w:pgMar w:top="1440" w:right="1416" w:bottom="1440" w:left="1560" w:header="851" w:footer="1077" w:gutter="0"/>
          <w:cols w:space="720" w:num="1"/>
          <w:docGrid w:linePitch="286" w:charSpace="0"/>
        </w:sectPr>
      </w:pPr>
    </w:p>
    <w:p>
      <w:pPr>
        <w:keepNext/>
        <w:keepLines/>
        <w:autoSpaceDN w:val="0"/>
        <w:spacing w:before="260" w:after="260" w:line="415" w:lineRule="auto"/>
        <w:outlineLvl w:val="2"/>
        <w:rPr>
          <w:rFonts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32"/>
          <w:highlight w:val="none"/>
        </w:rPr>
        <w:t>2-10. 技术（服务）方案</w:t>
      </w:r>
    </w:p>
    <w:p>
      <w:pPr>
        <w:autoSpaceDN w:val="0"/>
        <w:spacing w:line="360" w:lineRule="auto"/>
        <w:jc w:val="center"/>
        <w:rPr>
          <w:rFonts w:ascii="仿宋" w:hAnsi="仿宋" w:eastAsia="仿宋" w:cs="Times New Roman"/>
          <w:b/>
          <w:color w:val="auto"/>
          <w:kern w:val="0"/>
          <w:sz w:val="32"/>
          <w:szCs w:val="32"/>
          <w:highlight w:val="none"/>
        </w:rPr>
      </w:pPr>
      <w:r>
        <w:rPr>
          <w:rFonts w:hint="eastAsia" w:ascii="仿宋" w:hAnsi="仿宋" w:eastAsia="仿宋" w:cs="Times New Roman"/>
          <w:b/>
          <w:color w:val="auto"/>
          <w:kern w:val="0"/>
          <w:sz w:val="32"/>
          <w:szCs w:val="32"/>
          <w:highlight w:val="none"/>
        </w:rPr>
        <w:t>技术（服务）方案</w:t>
      </w:r>
    </w:p>
    <w:p>
      <w:pPr>
        <w:autoSpaceDN w:val="0"/>
        <w:spacing w:line="360" w:lineRule="auto"/>
        <w:rPr>
          <w:rFonts w:ascii="Times New Roman" w:hAnsi="Times New Roman" w:eastAsia="仿宋" w:cs="Times New Roman"/>
          <w:b/>
          <w:color w:val="auto"/>
          <w:sz w:val="24"/>
          <w:szCs w:val="24"/>
          <w:highlight w:val="none"/>
          <w:u w:val="single"/>
        </w:rPr>
      </w:pPr>
      <w:r>
        <w:rPr>
          <w:rFonts w:hint="eastAsia" w:ascii="Times New Roman" w:hAnsi="Times New Roman" w:eastAsia="仿宋" w:cs="Times New Roman"/>
          <w:b/>
          <w:color w:val="auto"/>
          <w:sz w:val="24"/>
          <w:szCs w:val="24"/>
          <w:highlight w:val="none"/>
        </w:rPr>
        <w:t>项目名称：</w:t>
      </w:r>
      <w:r>
        <w:rPr>
          <w:rFonts w:hint="eastAsia" w:ascii="仿宋" w:hAnsi="仿宋" w:eastAsia="仿宋" w:cs="Arial"/>
          <w:b/>
          <w:color w:val="auto"/>
          <w:sz w:val="24"/>
          <w:szCs w:val="24"/>
          <w:highlight w:val="none"/>
          <w:u w:val="single"/>
        </w:rPr>
        <w:t xml:space="preserve">                             </w:t>
      </w:r>
    </w:p>
    <w:p>
      <w:pPr>
        <w:autoSpaceDN w:val="0"/>
        <w:spacing w:line="360" w:lineRule="auto"/>
        <w:rPr>
          <w:rFonts w:ascii="Times New Roman" w:hAnsi="Times New Roman" w:eastAsia="仿宋" w:cs="Times New Roman"/>
          <w:color w:val="auto"/>
          <w:sz w:val="24"/>
          <w:szCs w:val="24"/>
          <w:highlight w:val="none"/>
        </w:rPr>
      </w:pPr>
      <w:r>
        <w:rPr>
          <w:rFonts w:hint="eastAsia" w:ascii="Times New Roman" w:hAnsi="Times New Roman" w:eastAsia="仿宋" w:cs="Times New Roman"/>
          <w:b/>
          <w:color w:val="auto"/>
          <w:sz w:val="24"/>
          <w:szCs w:val="24"/>
          <w:highlight w:val="none"/>
        </w:rPr>
        <w:t>项目编号：</w:t>
      </w:r>
      <w:r>
        <w:rPr>
          <w:rFonts w:hint="eastAsia" w:ascii="仿宋" w:hAnsi="仿宋" w:eastAsia="仿宋" w:cs="Arial"/>
          <w:b/>
          <w:color w:val="auto"/>
          <w:sz w:val="24"/>
          <w:szCs w:val="24"/>
          <w:highlight w:val="none"/>
          <w:u w:val="single"/>
        </w:rPr>
        <w:t xml:space="preserve">                            </w:t>
      </w:r>
    </w:p>
    <w:tbl>
      <w:tblPr>
        <w:tblStyle w:val="61"/>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994" w:hRule="atLeast"/>
        </w:trPr>
        <w:tc>
          <w:tcPr>
            <w:tcW w:w="9145" w:type="dxa"/>
            <w:tcBorders>
              <w:top w:val="dotDash" w:color="D9D9D9" w:sz="4" w:space="0"/>
              <w:left w:val="dotDash" w:color="D9D9D9" w:sz="4" w:space="0"/>
              <w:bottom w:val="dotDash" w:color="D9D9D9" w:sz="4" w:space="0"/>
              <w:right w:val="dotDash" w:color="D9D9D9" w:sz="4" w:space="0"/>
            </w:tcBorders>
            <w:noWrap/>
          </w:tcPr>
          <w:p>
            <w:pPr>
              <w:autoSpaceDN w:val="0"/>
              <w:spacing w:line="360" w:lineRule="auto"/>
              <w:rPr>
                <w:rFonts w:ascii="Times New Roman" w:hAnsi="Times New Roman" w:eastAsia="仿宋" w:cs="Times New Roman"/>
                <w:color w:val="auto"/>
                <w:sz w:val="24"/>
                <w:szCs w:val="24"/>
                <w:highlight w:val="none"/>
              </w:rPr>
            </w:pPr>
            <w:r>
              <w:rPr>
                <w:rFonts w:hint="eastAsia" w:ascii="仿宋" w:hAnsi="仿宋" w:eastAsia="仿宋" w:cs="Times New Roman"/>
                <w:b/>
                <w:color w:val="auto"/>
                <w:sz w:val="24"/>
                <w:szCs w:val="24"/>
                <w:highlight w:val="none"/>
              </w:rPr>
              <w:t>自行对照评审细则，但不仅限于。</w:t>
            </w:r>
          </w:p>
        </w:tc>
      </w:tr>
    </w:tbl>
    <w:p>
      <w:pPr>
        <w:autoSpaceDN w:val="0"/>
        <w:spacing w:line="360" w:lineRule="auto"/>
        <w:rPr>
          <w:rFonts w:ascii="仿宋" w:hAnsi="仿宋" w:eastAsia="仿宋" w:cs="Times New Roman"/>
          <w:color w:val="auto"/>
          <w:szCs w:val="24"/>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keepNext/>
        <w:keepLines/>
        <w:autoSpaceDN w:val="0"/>
        <w:spacing w:before="260" w:after="260" w:line="415" w:lineRule="auto"/>
        <w:outlineLvl w:val="2"/>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2-11. 节能、环保产品证明材料</w:t>
      </w:r>
    </w:p>
    <w:p>
      <w:pPr>
        <w:autoSpaceDN w:val="0"/>
        <w:spacing w:line="360" w:lineRule="auto"/>
        <w:jc w:val="center"/>
        <w:rPr>
          <w:rFonts w:ascii="仿宋" w:hAnsi="仿宋" w:eastAsia="仿宋" w:cs="Times New Roman"/>
          <w:b/>
          <w:color w:val="auto"/>
          <w:sz w:val="32"/>
          <w:szCs w:val="32"/>
          <w:highlight w:val="none"/>
        </w:rPr>
      </w:pPr>
      <w:r>
        <w:rPr>
          <w:rFonts w:hint="eastAsia" w:ascii="仿宋" w:hAnsi="仿宋" w:eastAsia="仿宋" w:cs="Times New Roman"/>
          <w:b/>
          <w:color w:val="auto"/>
          <w:sz w:val="32"/>
          <w:szCs w:val="32"/>
          <w:highlight w:val="none"/>
        </w:rPr>
        <w:t>节能、环保产品证明材料</w:t>
      </w:r>
    </w:p>
    <w:p>
      <w:pPr>
        <w:autoSpaceDN w:val="0"/>
        <w:spacing w:line="360" w:lineRule="auto"/>
        <w:rPr>
          <w:rFonts w:ascii="仿宋" w:hAnsi="仿宋" w:eastAsia="仿宋" w:cs="Times New Roman"/>
          <w:color w:val="auto"/>
          <w:sz w:val="24"/>
          <w:highlight w:val="none"/>
        </w:rPr>
      </w:pPr>
      <w:r>
        <w:rPr>
          <w:rFonts w:hint="eastAsia" w:ascii="仿宋" w:hAnsi="仿宋" w:eastAsia="仿宋" w:cs="Times New Roman"/>
          <w:color w:val="auto"/>
          <w:sz w:val="24"/>
          <w:highlight w:val="none"/>
        </w:rPr>
        <w:t>项目名称：</w:t>
      </w:r>
      <w:r>
        <w:rPr>
          <w:rFonts w:hint="eastAsia" w:ascii="仿宋" w:hAnsi="仿宋" w:eastAsia="仿宋" w:cs="Times New Roman"/>
          <w:color w:val="auto"/>
          <w:sz w:val="24"/>
          <w:highlight w:val="none"/>
          <w:u w:val="single"/>
        </w:rPr>
        <w:t xml:space="preserve">                                </w:t>
      </w:r>
    </w:p>
    <w:p>
      <w:pPr>
        <w:autoSpaceDN w:val="0"/>
        <w:spacing w:line="360" w:lineRule="auto"/>
        <w:rPr>
          <w:rFonts w:ascii="仿宋" w:hAnsi="仿宋" w:eastAsia="仿宋" w:cs="Times New Roman"/>
          <w:color w:val="auto"/>
          <w:kern w:val="0"/>
          <w:sz w:val="24"/>
          <w:highlight w:val="none"/>
          <w:u w:val="single"/>
        </w:rPr>
      </w:pPr>
      <w:r>
        <w:rPr>
          <w:rFonts w:hint="eastAsia" w:ascii="仿宋" w:hAnsi="仿宋" w:eastAsia="仿宋" w:cs="Times New Roman"/>
          <w:color w:val="auto"/>
          <w:sz w:val="24"/>
          <w:highlight w:val="none"/>
        </w:rPr>
        <w:t>项目编号：</w:t>
      </w:r>
      <w:r>
        <w:rPr>
          <w:rFonts w:hint="eastAsia" w:ascii="仿宋" w:hAnsi="仿宋" w:eastAsia="仿宋" w:cs="Times New Roman"/>
          <w:color w:val="auto"/>
          <w:kern w:val="0"/>
          <w:sz w:val="24"/>
          <w:highlight w:val="none"/>
          <w:u w:val="single"/>
        </w:rPr>
        <w:t xml:space="preserve">                                 </w:t>
      </w:r>
    </w:p>
    <w:p>
      <w:pPr>
        <w:autoSpaceDN w:val="0"/>
        <w:spacing w:line="360" w:lineRule="auto"/>
        <w:rPr>
          <w:rFonts w:ascii="仿宋" w:hAnsi="仿宋" w:eastAsia="仿宋" w:cs="Times New Roman"/>
          <w:color w:val="auto"/>
          <w:sz w:val="24"/>
          <w:highlight w:val="none"/>
        </w:rPr>
      </w:pPr>
    </w:p>
    <w:p>
      <w:pPr>
        <w:autoSpaceDN w:val="0"/>
        <w:spacing w:line="360" w:lineRule="auto"/>
        <w:rPr>
          <w:rFonts w:ascii="仿宋" w:hAnsi="仿宋" w:eastAsia="仿宋" w:cs="Times New Roman"/>
          <w:color w:val="auto"/>
          <w:sz w:val="24"/>
          <w:highlight w:val="none"/>
        </w:rPr>
      </w:pPr>
    </w:p>
    <w:p>
      <w:pPr>
        <w:autoSpaceDN w:val="0"/>
        <w:spacing w:line="360" w:lineRule="auto"/>
        <w:rPr>
          <w:rFonts w:ascii="仿宋" w:hAnsi="仿宋" w:eastAsia="仿宋" w:cs="Times New Roman"/>
          <w:color w:val="auto"/>
          <w:sz w:val="24"/>
          <w:highlight w:val="none"/>
        </w:rPr>
      </w:pPr>
    </w:p>
    <w:p>
      <w:pPr>
        <w:autoSpaceDN w:val="0"/>
        <w:spacing w:line="360" w:lineRule="auto"/>
        <w:rPr>
          <w:rFonts w:ascii="仿宋" w:hAnsi="仿宋" w:eastAsia="仿宋" w:cs="Times New Roman"/>
          <w:color w:val="auto"/>
          <w:sz w:val="24"/>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napToGrid w:val="0"/>
        <w:spacing w:line="360" w:lineRule="auto"/>
        <w:ind w:firstLine="1920" w:firstLineChars="800"/>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磋商响应供应商名称（盖章）：</w:t>
      </w:r>
      <w:r>
        <w:rPr>
          <w:rFonts w:hint="eastAsia" w:ascii="仿宋" w:hAnsi="仿宋" w:eastAsia="仿宋" w:cs="Times New Roman"/>
          <w:color w:val="auto"/>
          <w:w w:val="90"/>
          <w:kern w:val="0"/>
          <w:sz w:val="22"/>
          <w:highlight w:val="none"/>
        </w:rPr>
        <w:t>_______________________________</w:t>
      </w:r>
    </w:p>
    <w:p>
      <w:pPr>
        <w:autoSpaceDN w:val="0"/>
        <w:spacing w:line="360" w:lineRule="auto"/>
        <w:ind w:firstLine="1920" w:firstLineChars="800"/>
        <w:rPr>
          <w:rFonts w:ascii="仿宋" w:hAnsi="仿宋" w:eastAsia="仿宋" w:cs="Times New Roman"/>
          <w:color w:val="auto"/>
          <w:sz w:val="22"/>
          <w:highlight w:val="none"/>
        </w:rPr>
      </w:pPr>
      <w:r>
        <w:rPr>
          <w:rFonts w:hint="eastAsia" w:ascii="仿宋" w:hAnsi="仿宋" w:eastAsia="仿宋" w:cs="Times New Roman"/>
          <w:color w:val="auto"/>
          <w:sz w:val="24"/>
          <w:szCs w:val="28"/>
          <w:highlight w:val="none"/>
        </w:rPr>
        <w:t>日期：</w:t>
      </w:r>
      <w:r>
        <w:rPr>
          <w:rFonts w:hint="eastAsia" w:ascii="仿宋" w:hAnsi="仿宋" w:eastAsia="仿宋" w:cs="Times New Roman"/>
          <w:color w:val="auto"/>
          <w:w w:val="90"/>
          <w:kern w:val="0"/>
          <w:sz w:val="22"/>
          <w:highlight w:val="none"/>
        </w:rPr>
        <w:t>_______________________________</w:t>
      </w:r>
    </w:p>
    <w:p>
      <w:pPr>
        <w:keepNext/>
        <w:keepLines/>
        <w:autoSpaceDN w:val="0"/>
        <w:snapToGrid w:val="0"/>
        <w:spacing w:line="412" w:lineRule="auto"/>
        <w:outlineLvl w:val="2"/>
        <w:rPr>
          <w:rFonts w:ascii="仿宋" w:hAnsi="仿宋" w:eastAsia="仿宋" w:cs="Times New Roman"/>
          <w:b/>
          <w:bCs/>
          <w:color w:val="auto"/>
          <w:kern w:val="0"/>
          <w:sz w:val="28"/>
          <w:szCs w:val="28"/>
          <w:highlight w:val="none"/>
        </w:rPr>
      </w:pPr>
      <w:r>
        <w:rPr>
          <w:rFonts w:hint="eastAsia" w:ascii="仿宋" w:hAnsi="仿宋" w:eastAsia="仿宋" w:cs="Times New Roman"/>
          <w:color w:val="auto"/>
          <w:kern w:val="0"/>
          <w:sz w:val="22"/>
          <w:highlight w:val="none"/>
        </w:rPr>
        <w:br w:type="page"/>
      </w:r>
      <w:bookmarkEnd w:id="196"/>
      <w:r>
        <w:rPr>
          <w:rFonts w:hint="eastAsia" w:ascii="仿宋" w:hAnsi="仿宋" w:eastAsia="仿宋" w:cs="Times New Roman"/>
          <w:b/>
          <w:bCs/>
          <w:color w:val="auto"/>
          <w:kern w:val="0"/>
          <w:sz w:val="28"/>
          <w:szCs w:val="28"/>
          <w:highlight w:val="none"/>
        </w:rPr>
        <w:t>2-12.主要材料推荐品牌（如有）</w:t>
      </w:r>
    </w:p>
    <w:p>
      <w:pPr>
        <w:autoSpaceDN w:val="0"/>
        <w:adjustRightInd w:val="0"/>
        <w:snapToGrid w:val="0"/>
        <w:spacing w:line="324" w:lineRule="auto"/>
        <w:jc w:val="center"/>
        <w:rPr>
          <w:rFonts w:ascii="仿宋" w:hAnsi="仿宋" w:eastAsia="仿宋" w:cs="Times New Roman"/>
          <w:b/>
          <w:color w:val="auto"/>
          <w:sz w:val="32"/>
          <w:szCs w:val="32"/>
          <w:highlight w:val="none"/>
        </w:rPr>
      </w:pPr>
      <w:r>
        <w:rPr>
          <w:rFonts w:hint="eastAsia" w:ascii="仿宋" w:hAnsi="仿宋" w:eastAsia="仿宋" w:cs="Times New Roman"/>
          <w:b/>
          <w:color w:val="auto"/>
          <w:sz w:val="32"/>
          <w:szCs w:val="32"/>
          <w:highlight w:val="none"/>
        </w:rPr>
        <w:t>主要材料推荐品牌</w:t>
      </w:r>
    </w:p>
    <w:p>
      <w:pPr>
        <w:autoSpaceDN w:val="0"/>
        <w:spacing w:line="324" w:lineRule="auto"/>
        <w:rPr>
          <w:rFonts w:ascii="仿宋" w:hAnsi="仿宋" w:eastAsia="仿宋" w:cs="Times New Roman"/>
          <w:color w:val="auto"/>
          <w:sz w:val="24"/>
          <w:highlight w:val="none"/>
        </w:rPr>
      </w:pPr>
      <w:r>
        <w:rPr>
          <w:rFonts w:hint="eastAsia" w:ascii="仿宋" w:hAnsi="仿宋" w:eastAsia="仿宋" w:cs="Times New Roman"/>
          <w:color w:val="auto"/>
          <w:sz w:val="24"/>
          <w:highlight w:val="none"/>
        </w:rPr>
        <w:t>项目名称：</w:t>
      </w:r>
      <w:r>
        <w:rPr>
          <w:rFonts w:hint="eastAsia" w:ascii="仿宋" w:hAnsi="仿宋" w:eastAsia="仿宋" w:cs="Times New Roman"/>
          <w:color w:val="auto"/>
          <w:sz w:val="24"/>
          <w:highlight w:val="none"/>
          <w:u w:val="single"/>
        </w:rPr>
        <w:t xml:space="preserve">                                </w:t>
      </w:r>
    </w:p>
    <w:p>
      <w:pPr>
        <w:autoSpaceDN w:val="0"/>
        <w:spacing w:line="324" w:lineRule="auto"/>
        <w:rPr>
          <w:rFonts w:ascii="仿宋" w:hAnsi="仿宋" w:eastAsia="仿宋" w:cs="Times New Roman"/>
          <w:color w:val="auto"/>
          <w:kern w:val="0"/>
          <w:sz w:val="24"/>
          <w:highlight w:val="none"/>
          <w:u w:val="single"/>
        </w:rPr>
      </w:pPr>
      <w:r>
        <w:rPr>
          <w:rFonts w:hint="eastAsia" w:ascii="仿宋" w:hAnsi="仿宋" w:eastAsia="仿宋" w:cs="Times New Roman"/>
          <w:color w:val="auto"/>
          <w:sz w:val="24"/>
          <w:highlight w:val="none"/>
        </w:rPr>
        <w:t>项目编号：</w:t>
      </w:r>
      <w:r>
        <w:rPr>
          <w:rFonts w:hint="eastAsia" w:ascii="仿宋" w:hAnsi="仿宋" w:eastAsia="仿宋" w:cs="Times New Roman"/>
          <w:color w:val="auto"/>
          <w:kern w:val="0"/>
          <w:sz w:val="24"/>
          <w:highlight w:val="none"/>
          <w:u w:val="single"/>
        </w:rPr>
        <w:t xml:space="preserve">                                </w:t>
      </w:r>
    </w:p>
    <w:tbl>
      <w:tblPr>
        <w:tblStyle w:val="61"/>
        <w:tblW w:w="8789" w:type="dxa"/>
        <w:jc w:val="center"/>
        <w:tblLayout w:type="fixed"/>
        <w:tblCellMar>
          <w:top w:w="0" w:type="dxa"/>
          <w:left w:w="10" w:type="dxa"/>
          <w:bottom w:w="0" w:type="dxa"/>
          <w:right w:w="10" w:type="dxa"/>
        </w:tblCellMar>
      </w:tblPr>
      <w:tblGrid>
        <w:gridCol w:w="846"/>
        <w:gridCol w:w="1984"/>
        <w:gridCol w:w="3124"/>
        <w:gridCol w:w="2835"/>
      </w:tblGrid>
      <w:tr>
        <w:tblPrEx>
          <w:tblCellMar>
            <w:top w:w="0" w:type="dxa"/>
            <w:left w:w="10" w:type="dxa"/>
            <w:bottom w:w="0" w:type="dxa"/>
            <w:right w:w="10" w:type="dxa"/>
          </w:tblCellMar>
        </w:tblPrEx>
        <w:trPr>
          <w:trHeight w:val="625"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材料名称</w:t>
            </w: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推荐品牌或制造商</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备注</w:t>
            </w: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widowControl/>
              <w:snapToGrid w:val="0"/>
              <w:jc w:val="center"/>
              <w:textAlignment w:val="center"/>
              <w:rPr>
                <w:rFonts w:ascii="仿宋" w:hAnsi="仿宋" w:eastAsia="仿宋" w:cs="仿宋"/>
                <w:bCs/>
                <w:color w:val="auto"/>
                <w:sz w:val="24"/>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widowControl/>
              <w:snapToGrid w:val="0"/>
              <w:jc w:val="center"/>
              <w:textAlignment w:val="center"/>
              <w:rPr>
                <w:rFonts w:ascii="仿宋" w:hAnsi="仿宋" w:eastAsia="仿宋" w:cs="仿宋"/>
                <w:bCs/>
                <w:color w:val="auto"/>
                <w:sz w:val="24"/>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widowControl/>
              <w:snapToGrid w:val="0"/>
              <w:jc w:val="center"/>
              <w:textAlignment w:val="center"/>
              <w:rPr>
                <w:rFonts w:ascii="仿宋" w:hAnsi="仿宋" w:eastAsia="仿宋" w:cs="仿宋"/>
                <w:bCs/>
                <w:color w:val="auto"/>
                <w:kern w:val="0"/>
                <w:sz w:val="24"/>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widowControl/>
              <w:snapToGrid w:val="0"/>
              <w:jc w:val="center"/>
              <w:textAlignment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widowControl/>
              <w:snapToGrid w:val="0"/>
              <w:jc w:val="center"/>
              <w:textAlignment w:val="center"/>
              <w:rPr>
                <w:rFonts w:ascii="仿宋" w:hAnsi="仿宋" w:eastAsia="仿宋" w:cs="仿宋"/>
                <w:bCs/>
                <w:color w:val="auto"/>
                <w:kern w:val="0"/>
                <w:sz w:val="24"/>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widowControl/>
              <w:snapToGrid w:val="0"/>
              <w:jc w:val="center"/>
              <w:textAlignment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widowControl/>
              <w:snapToGrid w:val="0"/>
              <w:jc w:val="center"/>
              <w:textAlignment w:val="center"/>
              <w:rPr>
                <w:rFonts w:ascii="仿宋" w:hAnsi="仿宋" w:eastAsia="仿宋" w:cs="仿宋"/>
                <w:bCs/>
                <w:color w:val="auto"/>
                <w:kern w:val="0"/>
                <w:sz w:val="24"/>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widowControl/>
              <w:snapToGrid w:val="0"/>
              <w:jc w:val="center"/>
              <w:textAlignment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17</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18</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19</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b/>
                <w:bCs/>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b/>
                <w:bCs/>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b/>
                <w:bCs/>
                <w:color w:val="auto"/>
                <w:szCs w:val="21"/>
                <w:highlight w:val="none"/>
              </w:rPr>
            </w:pPr>
          </w:p>
        </w:tc>
      </w:tr>
    </w:tbl>
    <w:p>
      <w:pPr>
        <w:snapToGrid w:val="0"/>
        <w:spacing w:line="360" w:lineRule="auto"/>
        <w:jc w:val="left"/>
        <w:rPr>
          <w:rFonts w:ascii="宋体" w:hAnsi="宋体" w:eastAsia="宋体" w:cs="Times New Roman"/>
          <w:color w:val="auto"/>
          <w:sz w:val="24"/>
          <w:szCs w:val="24"/>
          <w:highlight w:val="none"/>
          <w:u w:val="single"/>
        </w:rPr>
      </w:pPr>
    </w:p>
    <w:p>
      <w:pPr>
        <w:autoSpaceDN w:val="0"/>
        <w:adjustRightInd w:val="0"/>
        <w:snapToGrid w:val="0"/>
        <w:spacing w:line="324" w:lineRule="auto"/>
        <w:ind w:left="-283" w:leftChars="-135" w:right="-334" w:rightChars="-159"/>
        <w:rPr>
          <w:rFonts w:ascii="仿宋" w:hAnsi="仿宋" w:eastAsia="仿宋" w:cs="仿宋"/>
          <w:b/>
          <w:color w:val="auto"/>
          <w:sz w:val="22"/>
          <w:highlight w:val="none"/>
        </w:rPr>
      </w:pPr>
      <w:r>
        <w:rPr>
          <w:rFonts w:hint="eastAsia" w:ascii="仿宋" w:hAnsi="仿宋" w:eastAsia="仿宋" w:cs="仿宋"/>
          <w:color w:val="auto"/>
          <w:kern w:val="0"/>
          <w:sz w:val="22"/>
          <w:highlight w:val="none"/>
        </w:rPr>
        <w:t>注：</w:t>
      </w:r>
      <w:r>
        <w:rPr>
          <w:rFonts w:hint="eastAsia" w:ascii="仿宋" w:hAnsi="仿宋" w:eastAsia="仿宋" w:cs="仿宋"/>
          <w:b/>
          <w:color w:val="auto"/>
          <w:kern w:val="0"/>
          <w:sz w:val="22"/>
          <w:highlight w:val="none"/>
        </w:rPr>
        <w:t>①磋商响应供应商可在“备选品牌、厂家”选择一项填写在“投标品牌”一栏中，如在此表“备选品牌、厂家”之外选择的，需要在“投标品牌”一栏中注明所选品牌</w:t>
      </w:r>
      <w:r>
        <w:rPr>
          <w:rFonts w:hint="eastAsia" w:ascii="仿宋" w:hAnsi="仿宋" w:eastAsia="仿宋" w:cs="仿宋"/>
          <w:b/>
          <w:color w:val="auto"/>
          <w:sz w:val="22"/>
          <w:highlight w:val="none"/>
        </w:rPr>
        <w:t>。</w:t>
      </w:r>
    </w:p>
    <w:p>
      <w:pPr>
        <w:autoSpaceDN w:val="0"/>
        <w:adjustRightInd w:val="0"/>
        <w:snapToGrid w:val="0"/>
        <w:spacing w:line="324" w:lineRule="auto"/>
        <w:ind w:left="-283" w:leftChars="-135" w:right="-334" w:rightChars="-159" w:firstLine="330" w:firstLineChars="150"/>
        <w:rPr>
          <w:rFonts w:ascii="仿宋" w:hAnsi="仿宋" w:eastAsia="仿宋" w:cs="仿宋"/>
          <w:b/>
          <w:color w:val="auto"/>
          <w:sz w:val="22"/>
          <w:highlight w:val="none"/>
        </w:rPr>
      </w:pPr>
      <w:r>
        <w:rPr>
          <w:rFonts w:hint="eastAsia" w:ascii="仿宋" w:hAnsi="仿宋" w:eastAsia="仿宋" w:cs="仿宋"/>
          <w:color w:val="auto"/>
          <w:sz w:val="22"/>
          <w:highlight w:val="none"/>
        </w:rPr>
        <w:t>②</w:t>
      </w:r>
      <w:r>
        <w:rPr>
          <w:rFonts w:hint="eastAsia" w:ascii="仿宋" w:hAnsi="仿宋" w:eastAsia="仿宋" w:cs="仿宋"/>
          <w:b/>
          <w:color w:val="auto"/>
          <w:sz w:val="22"/>
          <w:highlight w:val="none"/>
          <w:u w:val="single"/>
        </w:rPr>
        <w:t>磋商文件中对主要材料设备品牌、厂家、规格、型号有推荐的，磋商响应供应商应采用并选用其中高档产品，或选用与采购人推荐的品牌相当及以上的中高档产品，如磋商响应供应商所选材料设备的材质、规格、颜色、档次与磋商文件及施工图纸要求的存在明显差别，或虽按磋商文件推荐的材料品牌选择但该材料因某种原因停产或其他原因而不能供应的，则实际施工过程中采购人有权在磋商文件推荐的材料品牌中自行确定，且投标价格不予调整</w:t>
      </w:r>
      <w:r>
        <w:rPr>
          <w:rFonts w:hint="eastAsia" w:ascii="仿宋" w:hAnsi="仿宋" w:eastAsia="仿宋" w:cs="仿宋"/>
          <w:b/>
          <w:color w:val="auto"/>
          <w:sz w:val="22"/>
          <w:highlight w:val="none"/>
        </w:rPr>
        <w:t>。</w:t>
      </w:r>
    </w:p>
    <w:p>
      <w:pPr>
        <w:tabs>
          <w:tab w:val="left" w:pos="0"/>
        </w:tabs>
        <w:autoSpaceDN w:val="0"/>
        <w:spacing w:before="120" w:after="120" w:line="324" w:lineRule="auto"/>
        <w:ind w:left="-283" w:leftChars="-135" w:right="-334" w:rightChars="-159" w:firstLine="330" w:firstLineChars="150"/>
        <w:rPr>
          <w:rFonts w:ascii="仿宋" w:hAnsi="仿宋" w:eastAsia="仿宋" w:cs="仿宋"/>
          <w:b/>
          <w:color w:val="auto"/>
          <w:kern w:val="0"/>
          <w:sz w:val="22"/>
          <w:highlight w:val="none"/>
        </w:rPr>
      </w:pPr>
      <w:r>
        <w:rPr>
          <w:rFonts w:hint="eastAsia" w:ascii="仿宋" w:hAnsi="仿宋" w:eastAsia="仿宋" w:cs="仿宋"/>
          <w:color w:val="auto"/>
          <w:kern w:val="0"/>
          <w:sz w:val="22"/>
          <w:highlight w:val="none"/>
        </w:rPr>
        <w:t>③</w:t>
      </w:r>
      <w:r>
        <w:rPr>
          <w:rFonts w:hint="eastAsia" w:ascii="仿宋" w:hAnsi="仿宋" w:eastAsia="仿宋" w:cs="仿宋"/>
          <w:b/>
          <w:color w:val="auto"/>
          <w:kern w:val="0"/>
          <w:sz w:val="22"/>
          <w:highlight w:val="none"/>
        </w:rPr>
        <w:t>磋商文件中对材料的品牌、规格、型号没有具体规定的，由磋商响应供应商按磋商文件及施工图的要求按中高档进行磋商报价，并在“表1-6 主要材料价格表“的备注一栏里注明所选材料设备的品牌、规格、型号，若磋商响应供应商没有进行注明的，则采购人有权指定品牌，磋商价格不调整。</w:t>
      </w:r>
    </w:p>
    <w:p>
      <w:pPr>
        <w:tabs>
          <w:tab w:val="left" w:pos="0"/>
        </w:tabs>
        <w:autoSpaceDN w:val="0"/>
        <w:spacing w:before="120" w:after="120" w:line="324" w:lineRule="auto"/>
        <w:ind w:left="-283" w:leftChars="-135" w:right="-334" w:rightChars="-159" w:firstLine="331" w:firstLineChars="150"/>
        <w:rPr>
          <w:rFonts w:ascii="仿宋" w:hAnsi="仿宋" w:eastAsia="仿宋" w:cs="仿宋"/>
          <w:color w:val="auto"/>
          <w:kern w:val="0"/>
          <w:sz w:val="22"/>
          <w:highlight w:val="none"/>
        </w:rPr>
      </w:pPr>
      <w:r>
        <w:rPr>
          <w:rFonts w:hint="eastAsia" w:ascii="仿宋" w:hAnsi="仿宋" w:eastAsia="仿宋" w:cs="仿宋"/>
          <w:b/>
          <w:color w:val="auto"/>
          <w:kern w:val="0"/>
          <w:sz w:val="22"/>
          <w:highlight w:val="none"/>
        </w:rPr>
        <w:t>④发包人有权根据实际情况在发包人推荐的供应商（厂家）或品牌范围内进行调整，承包人须接受调整，并不得因此而要求调价</w:t>
      </w:r>
      <w:r>
        <w:rPr>
          <w:rFonts w:hint="eastAsia" w:ascii="仿宋" w:hAnsi="仿宋" w:eastAsia="仿宋" w:cs="仿宋"/>
          <w:color w:val="auto"/>
          <w:kern w:val="0"/>
          <w:sz w:val="22"/>
          <w:highlight w:val="none"/>
        </w:rPr>
        <w:t>。</w:t>
      </w:r>
    </w:p>
    <w:p>
      <w:pPr>
        <w:tabs>
          <w:tab w:val="left" w:pos="0"/>
        </w:tabs>
        <w:autoSpaceDN w:val="0"/>
        <w:spacing w:before="120" w:after="120" w:line="324" w:lineRule="auto"/>
        <w:ind w:left="-283" w:leftChars="-135" w:right="-334" w:rightChars="-159" w:firstLine="331" w:firstLineChars="150"/>
        <w:rPr>
          <w:rFonts w:ascii="仿宋" w:hAnsi="仿宋" w:eastAsia="仿宋" w:cs="仿宋"/>
          <w:b/>
          <w:color w:val="auto"/>
          <w:kern w:val="0"/>
          <w:sz w:val="22"/>
          <w:highlight w:val="none"/>
        </w:rPr>
      </w:pPr>
      <w:r>
        <w:rPr>
          <w:rFonts w:hint="eastAsia" w:ascii="仿宋" w:hAnsi="仿宋" w:eastAsia="仿宋" w:cs="仿宋"/>
          <w:b/>
          <w:color w:val="auto"/>
          <w:kern w:val="0"/>
          <w:sz w:val="22"/>
          <w:highlight w:val="none"/>
        </w:rPr>
        <w:t>⑤若磋商响应供应商未明确品牌，采购人将在此表 “推荐品牌或厂家”中指定品牌及型号，磋商报价不予调整。</w:t>
      </w:r>
    </w:p>
    <w:p>
      <w:pPr>
        <w:shd w:val="clear" w:color="auto" w:fill="FFFFFF"/>
        <w:autoSpaceDN w:val="0"/>
        <w:spacing w:line="324" w:lineRule="auto"/>
        <w:ind w:left="-283" w:leftChars="-135" w:right="-334" w:rightChars="-159" w:firstLine="331" w:firstLineChars="150"/>
        <w:rPr>
          <w:rFonts w:ascii="仿宋" w:hAnsi="仿宋" w:eastAsia="仿宋" w:cs="仿宋"/>
          <w:color w:val="auto"/>
          <w:szCs w:val="24"/>
          <w:highlight w:val="none"/>
        </w:rPr>
      </w:pPr>
      <w:r>
        <w:rPr>
          <w:rFonts w:hint="eastAsia" w:ascii="仿宋" w:hAnsi="仿宋" w:eastAsia="仿宋" w:cs="仿宋"/>
          <w:b/>
          <w:color w:val="auto"/>
          <w:kern w:val="0"/>
          <w:sz w:val="22"/>
          <w:highlight w:val="none"/>
        </w:rPr>
        <w:t>⑥</w:t>
      </w:r>
      <w:r>
        <w:rPr>
          <w:rFonts w:hint="eastAsia" w:ascii="仿宋" w:hAnsi="仿宋" w:eastAsia="仿宋" w:cs="仿宋"/>
          <w:b/>
          <w:color w:val="auto"/>
          <w:kern w:val="0"/>
          <w:sz w:val="22"/>
          <w:highlight w:val="none"/>
          <w:u w:val="single"/>
        </w:rPr>
        <w:t>请将本表放置在商务技术文件中最后一页。若磋商响应文件未按要求放置或未填写，磋商小组可能做出不利于该磋商响应供应商的评审。</w:t>
      </w:r>
    </w:p>
    <w:p>
      <w:pPr>
        <w:widowControl/>
        <w:spacing w:line="415" w:lineRule="auto"/>
        <w:jc w:val="left"/>
        <w:rPr>
          <w:rFonts w:ascii="仿宋" w:hAnsi="仿宋" w:eastAsia="仿宋" w:cs="仿宋"/>
          <w:b/>
          <w:bCs/>
          <w:color w:val="auto"/>
          <w:sz w:val="32"/>
          <w:szCs w:val="32"/>
          <w:highlight w:val="none"/>
        </w:rPr>
        <w:sectPr>
          <w:pgSz w:w="11906" w:h="16838"/>
          <w:pgMar w:top="1440" w:right="1416" w:bottom="1440" w:left="1560" w:header="851" w:footer="1077" w:gutter="0"/>
          <w:cols w:space="720" w:num="1"/>
          <w:docGrid w:linePitch="286" w:charSpace="0"/>
        </w:sectPr>
      </w:pPr>
    </w:p>
    <w:p>
      <w:pPr>
        <w:keepNext/>
        <w:keepLines/>
        <w:autoSpaceDN w:val="0"/>
        <w:spacing w:before="260" w:after="260" w:line="415" w:lineRule="auto"/>
        <w:outlineLvl w:val="2"/>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2-13.其他资料</w:t>
      </w:r>
    </w:p>
    <w:p>
      <w:pPr>
        <w:autoSpaceDN w:val="0"/>
        <w:spacing w:line="360" w:lineRule="auto"/>
        <w:jc w:val="center"/>
        <w:rPr>
          <w:rFonts w:ascii="仿宋" w:hAnsi="仿宋" w:eastAsia="仿宋" w:cs="Times New Roman"/>
          <w:b/>
          <w:color w:val="auto"/>
          <w:sz w:val="32"/>
          <w:szCs w:val="32"/>
          <w:highlight w:val="none"/>
        </w:rPr>
      </w:pPr>
      <w:r>
        <w:rPr>
          <w:rFonts w:hint="eastAsia" w:ascii="仿宋" w:hAnsi="仿宋" w:eastAsia="仿宋" w:cs="Times New Roman"/>
          <w:b/>
          <w:color w:val="auto"/>
          <w:sz w:val="32"/>
          <w:szCs w:val="32"/>
          <w:highlight w:val="none"/>
        </w:rPr>
        <w:t>其他资料</w:t>
      </w:r>
    </w:p>
    <w:p>
      <w:pPr>
        <w:autoSpaceDN w:val="0"/>
        <w:spacing w:line="360" w:lineRule="auto"/>
        <w:rPr>
          <w:rFonts w:ascii="仿宋" w:hAnsi="仿宋" w:eastAsia="仿宋" w:cs="Times New Roman"/>
          <w:color w:val="auto"/>
          <w:kern w:val="0"/>
          <w:sz w:val="22"/>
          <w:highlight w:val="none"/>
          <w:u w:val="single"/>
        </w:rPr>
      </w:pPr>
      <w:r>
        <w:rPr>
          <w:rFonts w:hint="eastAsia" w:ascii="仿宋" w:hAnsi="仿宋" w:eastAsia="仿宋" w:cs="Times New Roman"/>
          <w:color w:val="auto"/>
          <w:sz w:val="24"/>
          <w:highlight w:val="none"/>
        </w:rPr>
        <w:t>项目名称：</w:t>
      </w:r>
      <w:r>
        <w:rPr>
          <w:rFonts w:hint="eastAsia" w:ascii="仿宋" w:hAnsi="仿宋" w:eastAsia="仿宋" w:cs="Times New Roman"/>
          <w:color w:val="auto"/>
          <w:kern w:val="0"/>
          <w:sz w:val="22"/>
          <w:highlight w:val="none"/>
          <w:u w:val="single"/>
        </w:rPr>
        <w:t xml:space="preserve">                                                </w:t>
      </w:r>
    </w:p>
    <w:p>
      <w:pPr>
        <w:autoSpaceDN w:val="0"/>
        <w:spacing w:line="360" w:lineRule="auto"/>
        <w:rPr>
          <w:rFonts w:ascii="仿宋" w:hAnsi="仿宋" w:eastAsia="仿宋" w:cs="Times New Roman"/>
          <w:color w:val="auto"/>
          <w:kern w:val="0"/>
          <w:sz w:val="24"/>
          <w:highlight w:val="none"/>
          <w:u w:val="single"/>
        </w:rPr>
      </w:pPr>
      <w:r>
        <w:rPr>
          <w:rFonts w:hint="eastAsia" w:ascii="仿宋" w:hAnsi="仿宋" w:eastAsia="仿宋" w:cs="Times New Roman"/>
          <w:color w:val="auto"/>
          <w:sz w:val="24"/>
          <w:highlight w:val="none"/>
        </w:rPr>
        <w:t>项目编号：</w:t>
      </w:r>
      <w:r>
        <w:rPr>
          <w:rFonts w:hint="eastAsia" w:ascii="仿宋" w:hAnsi="仿宋" w:eastAsia="仿宋" w:cs="Times New Roman"/>
          <w:color w:val="auto"/>
          <w:kern w:val="0"/>
          <w:sz w:val="24"/>
          <w:highlight w:val="none"/>
          <w:u w:val="single"/>
        </w:rPr>
        <w:t xml:space="preserve">                               </w:t>
      </w:r>
    </w:p>
    <w:tbl>
      <w:tblPr>
        <w:tblStyle w:val="61"/>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834" w:hRule="atLeast"/>
        </w:trPr>
        <w:tc>
          <w:tcPr>
            <w:tcW w:w="9145" w:type="dxa"/>
            <w:tcBorders>
              <w:top w:val="dotDash" w:color="D9D9D9" w:sz="4" w:space="0"/>
              <w:left w:val="dotDash" w:color="D9D9D9" w:sz="4" w:space="0"/>
              <w:bottom w:val="dotDash" w:color="D9D9D9" w:sz="4" w:space="0"/>
              <w:right w:val="dotDash" w:color="D9D9D9" w:sz="4" w:space="0"/>
            </w:tcBorders>
            <w:noWrap/>
          </w:tcPr>
          <w:p>
            <w:pPr>
              <w:autoSpaceDN w:val="0"/>
              <w:spacing w:line="360" w:lineRule="auto"/>
              <w:rPr>
                <w:rFonts w:ascii="仿宋" w:hAnsi="仿宋" w:eastAsia="仿宋" w:cs="Times New Roman"/>
                <w:color w:val="auto"/>
                <w:sz w:val="22"/>
                <w:szCs w:val="21"/>
                <w:highlight w:val="none"/>
              </w:rPr>
            </w:pPr>
          </w:p>
        </w:tc>
      </w:tr>
    </w:tbl>
    <w:p>
      <w:pPr>
        <w:autoSpaceDN w:val="0"/>
        <w:snapToGrid w:val="0"/>
        <w:spacing w:line="360" w:lineRule="auto"/>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磋商响应供应商名称（盖章）：</w:t>
      </w:r>
      <w:r>
        <w:rPr>
          <w:rFonts w:hint="eastAsia" w:ascii="仿宋" w:hAnsi="仿宋" w:eastAsia="仿宋" w:cs="Times New Roman"/>
          <w:color w:val="auto"/>
          <w:w w:val="90"/>
          <w:kern w:val="0"/>
          <w:sz w:val="22"/>
          <w:highlight w:val="none"/>
        </w:rPr>
        <w:t>_______________________________</w:t>
      </w:r>
    </w:p>
    <w:p>
      <w:pPr>
        <w:autoSpaceDN w:val="0"/>
        <w:spacing w:line="360" w:lineRule="auto"/>
        <w:rPr>
          <w:rFonts w:ascii="仿宋" w:hAnsi="仿宋" w:eastAsia="仿宋" w:cs="Times New Roman"/>
          <w:color w:val="auto"/>
          <w:w w:val="90"/>
          <w:kern w:val="0"/>
          <w:sz w:val="22"/>
          <w:highlight w:val="none"/>
        </w:rPr>
      </w:pPr>
      <w:r>
        <w:rPr>
          <w:rFonts w:hint="eastAsia" w:ascii="仿宋" w:hAnsi="仿宋" w:eastAsia="仿宋" w:cs="Times New Roman"/>
          <w:color w:val="auto"/>
          <w:sz w:val="24"/>
          <w:szCs w:val="28"/>
          <w:highlight w:val="none"/>
        </w:rPr>
        <w:t>日期：</w:t>
      </w:r>
      <w:r>
        <w:rPr>
          <w:rFonts w:hint="eastAsia" w:ascii="仿宋" w:hAnsi="仿宋" w:eastAsia="仿宋" w:cs="Times New Roman"/>
          <w:color w:val="auto"/>
          <w:w w:val="90"/>
          <w:kern w:val="0"/>
          <w:sz w:val="22"/>
          <w:highlight w:val="none"/>
        </w:rPr>
        <w:t>_______________________________</w:t>
      </w:r>
    </w:p>
    <w:p>
      <w:pPr>
        <w:autoSpaceDN w:val="0"/>
        <w:rPr>
          <w:rFonts w:ascii="Times New Roman" w:hAnsi="Times New Roman" w:eastAsia="宋体" w:cs="Times New Roman"/>
          <w:color w:val="auto"/>
          <w:szCs w:val="24"/>
          <w:highlight w:val="none"/>
        </w:rPr>
      </w:pPr>
    </w:p>
    <w:p>
      <w:pPr>
        <w:autoSpaceDN w:val="0"/>
        <w:rPr>
          <w:rFonts w:ascii="Times New Roman" w:hAnsi="Times New Roman" w:eastAsia="宋体" w:cs="Times New Roman"/>
          <w:color w:val="auto"/>
          <w:szCs w:val="24"/>
          <w:highlight w:val="none"/>
        </w:rPr>
      </w:pPr>
    </w:p>
    <w:p>
      <w:pPr>
        <w:rPr>
          <w:color w:val="auto"/>
          <w:highlight w:val="none"/>
        </w:rPr>
      </w:pPr>
    </w:p>
    <w:p>
      <w:pPr>
        <w:autoSpaceDN w:val="0"/>
        <w:rPr>
          <w:rFonts w:ascii="Times New Roman" w:hAnsi="Times New Roman" w:eastAsia="宋体" w:cs="Times New Roman"/>
          <w:color w:val="auto"/>
          <w:szCs w:val="24"/>
          <w:highlight w:val="none"/>
        </w:rPr>
      </w:pPr>
    </w:p>
    <w:p>
      <w:pPr>
        <w:keepNext/>
        <w:keepLines/>
        <w:autoSpaceDN w:val="0"/>
        <w:spacing w:before="260" w:after="260" w:line="415" w:lineRule="auto"/>
        <w:outlineLvl w:val="1"/>
        <w:rPr>
          <w:rFonts w:ascii="仿宋" w:hAnsi="仿宋" w:eastAsia="仿宋" w:cs="Times New Roman"/>
          <w:b/>
          <w:bCs/>
          <w:color w:val="auto"/>
          <w:sz w:val="32"/>
          <w:szCs w:val="32"/>
          <w:highlight w:val="none"/>
        </w:rPr>
      </w:pPr>
      <w:bookmarkStart w:id="217" w:name="_Toc11526"/>
      <w:bookmarkStart w:id="218" w:name="_Toc96947081"/>
      <w:r>
        <w:rPr>
          <w:rFonts w:hint="eastAsia" w:ascii="仿宋" w:hAnsi="仿宋" w:eastAsia="仿宋" w:cs="Times New Roman"/>
          <w:b/>
          <w:bCs/>
          <w:color w:val="auto"/>
          <w:sz w:val="32"/>
          <w:szCs w:val="32"/>
          <w:highlight w:val="none"/>
        </w:rPr>
        <w:t>三、报价文件部分格式</w:t>
      </w:r>
      <w:bookmarkEnd w:id="217"/>
      <w:bookmarkEnd w:id="218"/>
    </w:p>
    <w:p>
      <w:pPr>
        <w:autoSpaceDN w:val="0"/>
        <w:rPr>
          <w:rFonts w:ascii="Times New Roman" w:hAnsi="Times New Roman" w:eastAsia="宋体" w:cs="Times New Roman"/>
          <w:color w:val="auto"/>
          <w:szCs w:val="24"/>
          <w:highlight w:val="none"/>
        </w:rPr>
      </w:pPr>
    </w:p>
    <w:p>
      <w:pPr>
        <w:autoSpaceDN w:val="0"/>
        <w:adjustRightInd w:val="0"/>
        <w:snapToGrid w:val="0"/>
        <w:spacing w:line="480" w:lineRule="auto"/>
        <w:ind w:left="2345" w:leftChars="450" w:hanging="1400" w:hangingChars="500"/>
        <w:jc w:val="left"/>
        <w:rPr>
          <w:rFonts w:ascii="仿宋" w:hAnsi="仿宋" w:eastAsia="仿宋" w:cs="Times New Roman"/>
          <w:color w:val="auto"/>
          <w:kern w:val="0"/>
          <w:sz w:val="28"/>
          <w:szCs w:val="28"/>
          <w:highlight w:val="none"/>
        </w:rPr>
      </w:pPr>
    </w:p>
    <w:p>
      <w:pPr>
        <w:autoSpaceDN w:val="0"/>
        <w:adjustRightInd w:val="0"/>
        <w:snapToGrid w:val="0"/>
        <w:spacing w:line="480" w:lineRule="auto"/>
        <w:ind w:left="2345" w:leftChars="450" w:hanging="1400" w:hangingChars="500"/>
        <w:jc w:val="left"/>
        <w:rPr>
          <w:rFonts w:ascii="仿宋" w:hAnsi="仿宋" w:eastAsia="仿宋" w:cs="Times New Roman"/>
          <w:color w:val="auto"/>
          <w:kern w:val="0"/>
          <w:sz w:val="28"/>
          <w:szCs w:val="28"/>
          <w:highlight w:val="none"/>
        </w:rPr>
      </w:pPr>
    </w:p>
    <w:p>
      <w:pPr>
        <w:autoSpaceDN w:val="0"/>
        <w:adjustRightInd w:val="0"/>
        <w:snapToGrid w:val="0"/>
        <w:spacing w:line="480" w:lineRule="auto"/>
        <w:ind w:left="2345" w:leftChars="450" w:hanging="1400" w:hangingChars="500"/>
        <w:jc w:val="left"/>
        <w:rPr>
          <w:rFonts w:hint="eastAsia" w:ascii="仿宋" w:hAnsi="仿宋" w:eastAsia="仿宋" w:cs="Times New Roman"/>
          <w:bCs/>
          <w:color w:val="auto"/>
          <w:sz w:val="28"/>
          <w:szCs w:val="28"/>
          <w:highlight w:val="none"/>
          <w:lang w:eastAsia="zh-CN"/>
        </w:rPr>
      </w:pPr>
      <w:r>
        <w:rPr>
          <w:rFonts w:hint="eastAsia" w:ascii="仿宋" w:hAnsi="仿宋" w:eastAsia="仿宋" w:cs="Times New Roman"/>
          <w:color w:val="auto"/>
          <w:kern w:val="0"/>
          <w:sz w:val="28"/>
          <w:szCs w:val="28"/>
          <w:highlight w:val="none"/>
        </w:rPr>
        <w:t>项目名称：</w:t>
      </w:r>
      <w:r>
        <w:rPr>
          <w:rFonts w:hint="eastAsia" w:ascii="仿宋" w:hAnsi="仿宋" w:eastAsia="仿宋" w:cs="Times New Roman"/>
          <w:bCs/>
          <w:color w:val="auto"/>
          <w:sz w:val="28"/>
          <w:szCs w:val="28"/>
          <w:highlight w:val="none"/>
          <w:lang w:eastAsia="zh-CN"/>
        </w:rPr>
        <w:t>省拱宸所戒毒法治基地配套项目标一</w:t>
      </w:r>
    </w:p>
    <w:p>
      <w:pPr>
        <w:tabs>
          <w:tab w:val="left" w:pos="2580"/>
          <w:tab w:val="left" w:pos="5940"/>
        </w:tabs>
        <w:autoSpaceDE w:val="0"/>
        <w:autoSpaceDN w:val="0"/>
        <w:adjustRightInd w:val="0"/>
        <w:snapToGrid w:val="0"/>
        <w:spacing w:line="360" w:lineRule="auto"/>
        <w:ind w:right="-20" w:firstLine="980" w:firstLineChars="350"/>
        <w:rPr>
          <w:rFonts w:ascii="仿宋" w:hAnsi="仿宋" w:eastAsia="仿宋" w:cs="Times New Roman"/>
          <w:b/>
          <w:bCs/>
          <w:color w:val="auto"/>
          <w:kern w:val="0"/>
          <w:sz w:val="28"/>
          <w:szCs w:val="28"/>
          <w:highlight w:val="none"/>
          <w:u w:val="single"/>
        </w:rPr>
      </w:pPr>
      <w:r>
        <w:rPr>
          <w:rFonts w:hint="eastAsia" w:ascii="仿宋" w:hAnsi="仿宋" w:eastAsia="仿宋" w:cs="Times New Roman"/>
          <w:color w:val="auto"/>
          <w:kern w:val="0"/>
          <w:sz w:val="28"/>
          <w:szCs w:val="28"/>
          <w:highlight w:val="none"/>
        </w:rPr>
        <w:t>项目编号：</w:t>
      </w:r>
    </w:p>
    <w:p>
      <w:pPr>
        <w:autoSpaceDE w:val="0"/>
        <w:autoSpaceDN w:val="0"/>
        <w:adjustRightInd w:val="0"/>
        <w:snapToGrid w:val="0"/>
        <w:spacing w:line="360" w:lineRule="auto"/>
        <w:jc w:val="left"/>
        <w:rPr>
          <w:rFonts w:ascii="仿宋" w:hAnsi="仿宋" w:eastAsia="仿宋" w:cs="Times New Roman"/>
          <w:color w:val="auto"/>
          <w:kern w:val="0"/>
          <w:sz w:val="28"/>
          <w:szCs w:val="28"/>
          <w:highlight w:val="none"/>
        </w:rPr>
      </w:pPr>
    </w:p>
    <w:p>
      <w:pPr>
        <w:autoSpaceDE w:val="0"/>
        <w:autoSpaceDN w:val="0"/>
        <w:adjustRightInd w:val="0"/>
        <w:snapToGrid w:val="0"/>
        <w:spacing w:line="360" w:lineRule="auto"/>
        <w:jc w:val="left"/>
        <w:rPr>
          <w:rFonts w:ascii="仿宋" w:hAnsi="仿宋" w:eastAsia="仿宋" w:cs="Times New Roman"/>
          <w:color w:val="auto"/>
          <w:kern w:val="0"/>
          <w:sz w:val="24"/>
          <w:szCs w:val="24"/>
          <w:highlight w:val="none"/>
        </w:rPr>
      </w:pPr>
    </w:p>
    <w:p>
      <w:pPr>
        <w:tabs>
          <w:tab w:val="left" w:pos="1805"/>
          <w:tab w:val="left" w:pos="5360"/>
        </w:tabs>
        <w:autoSpaceDE w:val="0"/>
        <w:autoSpaceDN w:val="0"/>
        <w:adjustRightInd w:val="0"/>
        <w:snapToGrid w:val="0"/>
        <w:spacing w:line="360" w:lineRule="auto"/>
        <w:ind w:right="-20"/>
        <w:jc w:val="center"/>
        <w:rPr>
          <w:rFonts w:ascii="仿宋" w:hAnsi="仿宋" w:eastAsia="仿宋" w:cs="Times New Roman"/>
          <w:color w:val="auto"/>
          <w:kern w:val="0"/>
          <w:sz w:val="72"/>
          <w:szCs w:val="24"/>
          <w:highlight w:val="none"/>
        </w:rPr>
      </w:pPr>
      <w:r>
        <w:rPr>
          <w:rFonts w:hint="eastAsia" w:ascii="仿宋" w:hAnsi="仿宋" w:eastAsia="仿宋" w:cs="Times New Roman"/>
          <w:color w:val="auto"/>
          <w:kern w:val="0"/>
          <w:sz w:val="72"/>
          <w:szCs w:val="24"/>
          <w:highlight w:val="none"/>
        </w:rPr>
        <w:t>响应文件</w:t>
      </w:r>
    </w:p>
    <w:p>
      <w:pPr>
        <w:tabs>
          <w:tab w:val="left" w:pos="1805"/>
          <w:tab w:val="left" w:pos="5360"/>
        </w:tabs>
        <w:autoSpaceDE w:val="0"/>
        <w:autoSpaceDN w:val="0"/>
        <w:adjustRightInd w:val="0"/>
        <w:snapToGrid w:val="0"/>
        <w:spacing w:line="360" w:lineRule="auto"/>
        <w:ind w:right="-20"/>
        <w:jc w:val="center"/>
        <w:rPr>
          <w:rFonts w:ascii="仿宋" w:hAnsi="仿宋" w:eastAsia="仿宋" w:cs="Times New Roman"/>
          <w:color w:val="auto"/>
          <w:kern w:val="0"/>
          <w:sz w:val="16"/>
          <w:szCs w:val="24"/>
          <w:highlight w:val="none"/>
        </w:rPr>
      </w:pPr>
      <w:r>
        <w:rPr>
          <w:rFonts w:hint="eastAsia" w:ascii="仿宋" w:hAnsi="仿宋" w:eastAsia="仿宋" w:cs="Times New Roman"/>
          <w:color w:val="auto"/>
          <w:kern w:val="0"/>
          <w:sz w:val="72"/>
          <w:szCs w:val="24"/>
          <w:highlight w:val="none"/>
        </w:rPr>
        <w:t>（报价文件）</w:t>
      </w:r>
    </w:p>
    <w:p>
      <w:pPr>
        <w:autoSpaceDE w:val="0"/>
        <w:autoSpaceDN w:val="0"/>
        <w:adjustRightInd w:val="0"/>
        <w:snapToGrid w:val="0"/>
        <w:spacing w:line="360" w:lineRule="auto"/>
        <w:jc w:val="left"/>
        <w:rPr>
          <w:rFonts w:ascii="仿宋" w:hAnsi="仿宋" w:eastAsia="仿宋" w:cs="Times New Roman"/>
          <w:color w:val="auto"/>
          <w:kern w:val="0"/>
          <w:sz w:val="20"/>
          <w:szCs w:val="24"/>
          <w:highlight w:val="none"/>
        </w:rPr>
      </w:pPr>
    </w:p>
    <w:p>
      <w:pPr>
        <w:autoSpaceDE w:val="0"/>
        <w:autoSpaceDN w:val="0"/>
        <w:adjustRightInd w:val="0"/>
        <w:snapToGrid w:val="0"/>
        <w:spacing w:line="360" w:lineRule="auto"/>
        <w:jc w:val="left"/>
        <w:rPr>
          <w:rFonts w:ascii="仿宋" w:hAnsi="仿宋" w:eastAsia="仿宋" w:cs="Times New Roman"/>
          <w:color w:val="auto"/>
          <w:kern w:val="0"/>
          <w:sz w:val="20"/>
          <w:szCs w:val="24"/>
          <w:highlight w:val="none"/>
        </w:rPr>
      </w:pPr>
    </w:p>
    <w:p>
      <w:pPr>
        <w:autoSpaceDE w:val="0"/>
        <w:autoSpaceDN w:val="0"/>
        <w:adjustRightInd w:val="0"/>
        <w:snapToGrid w:val="0"/>
        <w:spacing w:line="360" w:lineRule="auto"/>
        <w:jc w:val="left"/>
        <w:rPr>
          <w:rFonts w:ascii="仿宋" w:hAnsi="仿宋" w:eastAsia="仿宋" w:cs="Times New Roman"/>
          <w:color w:val="auto"/>
          <w:kern w:val="0"/>
          <w:sz w:val="20"/>
          <w:szCs w:val="24"/>
          <w:highlight w:val="none"/>
        </w:rPr>
      </w:pPr>
    </w:p>
    <w:p>
      <w:pPr>
        <w:autoSpaceDE w:val="0"/>
        <w:autoSpaceDN w:val="0"/>
        <w:adjustRightInd w:val="0"/>
        <w:spacing w:line="360" w:lineRule="auto"/>
        <w:ind w:firstLine="840" w:firstLineChars="300"/>
        <w:jc w:val="left"/>
        <w:rPr>
          <w:rFonts w:ascii="仿宋" w:hAnsi="仿宋" w:eastAsia="仿宋" w:cs="..ì."/>
          <w:color w:val="auto"/>
          <w:kern w:val="0"/>
          <w:sz w:val="28"/>
          <w:szCs w:val="24"/>
          <w:highlight w:val="none"/>
        </w:rPr>
      </w:pPr>
      <w:r>
        <w:rPr>
          <w:rFonts w:hint="eastAsia" w:ascii="仿宋" w:hAnsi="仿宋" w:eastAsia="仿宋" w:cs="..ì."/>
          <w:color w:val="auto"/>
          <w:sz w:val="28"/>
          <w:szCs w:val="24"/>
          <w:highlight w:val="none"/>
        </w:rPr>
        <w:t>磋商响应供应商（盖章）：</w:t>
      </w:r>
    </w:p>
    <w:p>
      <w:pPr>
        <w:autoSpaceDE w:val="0"/>
        <w:autoSpaceDN w:val="0"/>
        <w:adjustRightInd w:val="0"/>
        <w:spacing w:line="360" w:lineRule="auto"/>
        <w:ind w:firstLine="840" w:firstLineChars="300"/>
        <w:jc w:val="left"/>
        <w:rPr>
          <w:rFonts w:ascii="仿宋" w:hAnsi="仿宋" w:eastAsia="仿宋" w:cs="..ì."/>
          <w:color w:val="auto"/>
          <w:sz w:val="28"/>
          <w:szCs w:val="24"/>
          <w:highlight w:val="none"/>
        </w:rPr>
      </w:pPr>
      <w:r>
        <w:rPr>
          <w:rFonts w:hint="eastAsia" w:ascii="仿宋" w:hAnsi="仿宋" w:eastAsia="仿宋" w:cs="..ì."/>
          <w:color w:val="auto"/>
          <w:sz w:val="28"/>
          <w:szCs w:val="24"/>
          <w:highlight w:val="none"/>
        </w:rPr>
        <w:t>磋商响应供应商地址：</w:t>
      </w:r>
    </w:p>
    <w:p>
      <w:pPr>
        <w:autoSpaceDE w:val="0"/>
        <w:autoSpaceDN w:val="0"/>
        <w:adjustRightInd w:val="0"/>
        <w:spacing w:line="360" w:lineRule="auto"/>
        <w:ind w:firstLine="840" w:firstLineChars="300"/>
        <w:jc w:val="left"/>
        <w:rPr>
          <w:rFonts w:ascii="仿宋" w:hAnsi="仿宋" w:eastAsia="仿宋" w:cs="..ì."/>
          <w:color w:val="auto"/>
          <w:sz w:val="28"/>
          <w:szCs w:val="24"/>
          <w:highlight w:val="none"/>
          <w:u w:val="single"/>
        </w:rPr>
      </w:pPr>
      <w:r>
        <w:rPr>
          <w:rFonts w:hint="eastAsia" w:ascii="仿宋" w:hAnsi="仿宋" w:eastAsia="仿宋" w:cs="..ì."/>
          <w:color w:val="auto"/>
          <w:sz w:val="28"/>
          <w:szCs w:val="24"/>
          <w:highlight w:val="none"/>
        </w:rPr>
        <w:t>磋商响应供应商联系电话：</w:t>
      </w:r>
    </w:p>
    <w:p>
      <w:pPr>
        <w:tabs>
          <w:tab w:val="left" w:pos="6080"/>
          <w:tab w:val="left" w:pos="6640"/>
        </w:tabs>
        <w:autoSpaceDE w:val="0"/>
        <w:autoSpaceDN w:val="0"/>
        <w:adjustRightInd w:val="0"/>
        <w:snapToGrid w:val="0"/>
        <w:spacing w:line="360" w:lineRule="auto"/>
        <w:ind w:left="774" w:right="403"/>
        <w:jc w:val="left"/>
        <w:rPr>
          <w:rFonts w:ascii="仿宋" w:hAnsi="仿宋" w:eastAsia="仿宋" w:cs="Times New Roman"/>
          <w:color w:val="auto"/>
          <w:kern w:val="0"/>
          <w:sz w:val="28"/>
          <w:szCs w:val="24"/>
          <w:highlight w:val="none"/>
        </w:rPr>
      </w:pPr>
    </w:p>
    <w:p>
      <w:pPr>
        <w:tabs>
          <w:tab w:val="left" w:pos="3280"/>
          <w:tab w:val="left" w:pos="4680"/>
          <w:tab w:val="left" w:pos="6080"/>
        </w:tabs>
        <w:autoSpaceDE w:val="0"/>
        <w:autoSpaceDN w:val="0"/>
        <w:adjustRightInd w:val="0"/>
        <w:snapToGrid w:val="0"/>
        <w:spacing w:line="360" w:lineRule="auto"/>
        <w:ind w:right="-20"/>
        <w:jc w:val="center"/>
        <w:rPr>
          <w:rFonts w:ascii="仿宋" w:hAnsi="仿宋" w:eastAsia="仿宋" w:cs="Times New Roman"/>
          <w:color w:val="auto"/>
          <w:kern w:val="0"/>
          <w:sz w:val="28"/>
          <w:szCs w:val="24"/>
          <w:highlight w:val="none"/>
        </w:rPr>
      </w:pPr>
      <w:r>
        <w:rPr>
          <w:rFonts w:hint="eastAsia" w:ascii="仿宋" w:hAnsi="仿宋" w:eastAsia="仿宋" w:cs="Times New Roman"/>
          <w:color w:val="auto"/>
          <w:kern w:val="0"/>
          <w:sz w:val="28"/>
          <w:szCs w:val="24"/>
          <w:highlight w:val="none"/>
        </w:rPr>
        <w:t>年 月 日</w:t>
      </w:r>
    </w:p>
    <w:p>
      <w:pPr>
        <w:widowControl/>
        <w:jc w:val="left"/>
        <w:rPr>
          <w:rFonts w:ascii="仿宋" w:hAnsi="仿宋" w:eastAsia="仿宋" w:cs="Times New Roman"/>
          <w:color w:val="auto"/>
          <w:szCs w:val="24"/>
          <w:highlight w:val="none"/>
        </w:rPr>
        <w:sectPr>
          <w:pgSz w:w="11906" w:h="16838"/>
          <w:pgMar w:top="1440" w:right="1416" w:bottom="1440" w:left="1560" w:header="851" w:footer="1077" w:gutter="0"/>
          <w:cols w:space="720" w:num="1"/>
          <w:docGrid w:linePitch="286" w:charSpace="0"/>
        </w:sectPr>
      </w:pPr>
    </w:p>
    <w:p>
      <w:pPr>
        <w:keepNext/>
        <w:keepLines/>
        <w:autoSpaceDN w:val="0"/>
        <w:spacing w:before="260" w:after="260" w:line="415" w:lineRule="auto"/>
        <w:outlineLvl w:val="2"/>
        <w:rPr>
          <w:rFonts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28"/>
          <w:highlight w:val="none"/>
        </w:rPr>
        <w:t>（1）▲投标函</w:t>
      </w:r>
    </w:p>
    <w:p>
      <w:pPr>
        <w:keepNext/>
        <w:keepLines/>
        <w:autoSpaceDN w:val="0"/>
        <w:spacing w:before="260" w:after="260" w:line="415" w:lineRule="auto"/>
        <w:jc w:val="center"/>
        <w:outlineLvl w:val="2"/>
        <w:rPr>
          <w:rFonts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32"/>
          <w:highlight w:val="none"/>
        </w:rPr>
        <w:t>▲投标函</w:t>
      </w:r>
    </w:p>
    <w:p>
      <w:pPr>
        <w:autoSpaceDN w:val="0"/>
        <w:spacing w:after="312" w:afterLines="10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浙江省拱宸强制隔离戒毒所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autoSpaceDE w:val="0"/>
        <w:autoSpaceDN w:val="0"/>
        <w:adjustRightInd w:val="0"/>
        <w:spacing w:line="480" w:lineRule="auto"/>
        <w:ind w:firstLine="480" w:firstLineChars="200"/>
        <w:jc w:val="left"/>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1．我方已仔细研究了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施工磋商文件的全部内容，愿意以人民币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（大写）元（</w:t>
      </w:r>
      <w:r>
        <w:rPr>
          <w:rFonts w:ascii="Calibri" w:hAnsi="..ì." w:eastAsia="仿宋" w:cs="Calibri"/>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）的磋商总报价，工期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日历天， 项目经理：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，按合同约定实施和完成承包工程，修补工程中的任何缺陷，工程质量达到。</w:t>
      </w:r>
    </w:p>
    <w:p>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2．我方承诺磋商响应文件有效期</w:t>
      </w:r>
      <w:r>
        <w:rPr>
          <w:rFonts w:hint="eastAsia" w:ascii="仿宋" w:hAnsi="仿宋" w:eastAsia="仿宋" w:cs="仿宋"/>
          <w:color w:val="auto"/>
          <w:sz w:val="24"/>
          <w:szCs w:val="24"/>
          <w:highlight w:val="none"/>
          <w:lang w:val="en-US" w:eastAsia="zh-CN"/>
        </w:rPr>
        <w:t>为</w:t>
      </w:r>
      <w:r>
        <w:rPr>
          <w:rFonts w:hint="eastAsia" w:ascii="仿宋" w:hAnsi="仿宋" w:eastAsia="仿宋" w:cs="宋体"/>
          <w:color w:val="auto"/>
          <w:sz w:val="24"/>
          <w:szCs w:val="24"/>
          <w:highlight w:val="none"/>
        </w:rPr>
        <w:t>自响应文件递交截止时间起</w:t>
      </w:r>
      <w:r>
        <w:rPr>
          <w:rFonts w:hint="eastAsia" w:ascii="仿宋" w:hAnsi="仿宋" w:eastAsia="仿宋" w:cs="宋体"/>
          <w:color w:val="auto"/>
          <w:sz w:val="24"/>
          <w:szCs w:val="24"/>
          <w:highlight w:val="none"/>
          <w:u w:val="single"/>
        </w:rPr>
        <w:t>90</w:t>
      </w:r>
      <w:r>
        <w:rPr>
          <w:rFonts w:hint="eastAsia" w:ascii="仿宋" w:hAnsi="仿宋" w:eastAsia="仿宋" w:cs="宋体"/>
          <w:color w:val="auto"/>
          <w:sz w:val="24"/>
          <w:szCs w:val="24"/>
          <w:highlight w:val="none"/>
        </w:rPr>
        <w:t>天</w:t>
      </w:r>
      <w:r>
        <w:rPr>
          <w:rFonts w:hint="eastAsia" w:ascii="仿宋" w:hAnsi="仿宋" w:eastAsia="仿宋" w:cs="宋体"/>
          <w:color w:val="auto"/>
          <w:sz w:val="24"/>
          <w:szCs w:val="24"/>
          <w:highlight w:val="none"/>
          <w:lang w:eastAsia="zh-CN"/>
        </w:rPr>
        <w:t>，</w:t>
      </w:r>
      <w:r>
        <w:rPr>
          <w:rFonts w:hint="eastAsia" w:ascii="仿宋" w:hAnsi="仿宋" w:eastAsia="仿宋" w:cs="仿宋"/>
          <w:color w:val="auto"/>
          <w:sz w:val="24"/>
          <w:szCs w:val="24"/>
          <w:highlight w:val="none"/>
        </w:rPr>
        <w:t>在竞争性磋商有效期内不修改、撤销磋商响应文件。</w:t>
      </w:r>
    </w:p>
    <w:p>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3．如我方成交：</w:t>
      </w:r>
    </w:p>
    <w:p>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（1）我方承诺在收到成交通知书后，在成交通知书规定的期限内与你方签订合同。</w:t>
      </w:r>
    </w:p>
    <w:p>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（2）我方承诺按照磋商文件规定向你方递交预付款担保。</w:t>
      </w:r>
    </w:p>
    <w:p>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（3）我方承诺在合同约定的期限内完成并移交全部合同工程。</w:t>
      </w:r>
    </w:p>
    <w:p>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4．我方在此声明，所递交的磋商响应文件及有关资料内容完整、真实和准确。</w:t>
      </w:r>
    </w:p>
    <w:p>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5．（其他补充说明）。</w:t>
      </w:r>
    </w:p>
    <w:p>
      <w:pPr>
        <w:autoSpaceDN w:val="0"/>
        <w:spacing w:line="360" w:lineRule="auto"/>
        <w:ind w:firstLine="480" w:firstLineChars="200"/>
        <w:rPr>
          <w:rFonts w:ascii="仿宋" w:hAnsi="仿宋" w:eastAsia="仿宋" w:cs="Arial"/>
          <w:color w:val="auto"/>
          <w:kern w:val="0"/>
          <w:sz w:val="24"/>
          <w:szCs w:val="24"/>
          <w:highlight w:val="none"/>
        </w:rPr>
      </w:pPr>
      <w:r>
        <w:rPr>
          <w:rFonts w:hint="eastAsia" w:ascii="仿宋" w:hAnsi="仿宋" w:eastAsia="仿宋" w:cs="仿宋"/>
          <w:b/>
          <w:color w:val="auto"/>
          <w:sz w:val="24"/>
          <w:szCs w:val="24"/>
          <w:highlight w:val="none"/>
        </w:rPr>
        <w:t>说明：</w:t>
      </w:r>
      <w:r>
        <w:rPr>
          <w:rFonts w:hint="eastAsia" w:ascii="仿宋" w:hAnsi="仿宋" w:eastAsia="仿宋" w:cs="Arial"/>
          <w:b/>
          <w:color w:val="auto"/>
          <w:kern w:val="0"/>
          <w:sz w:val="24"/>
          <w:szCs w:val="24"/>
          <w:highlight w:val="none"/>
          <w:u w:val="single"/>
        </w:rPr>
        <w:t>磋商响应供应商在“政府采购云平台”进行标书关联时，在政采云系统上填报的投标报价（总价，元）金额与加密的报价文件中所列的投标报价（总价，元）金额不一致时，以加密的报价文件中所列的金额为准进行修正</w:t>
      </w:r>
      <w:r>
        <w:rPr>
          <w:rFonts w:hint="eastAsia" w:ascii="仿宋" w:hAnsi="仿宋" w:eastAsia="仿宋" w:cs="Arial"/>
          <w:b/>
          <w:color w:val="auto"/>
          <w:kern w:val="0"/>
          <w:sz w:val="24"/>
          <w:szCs w:val="24"/>
          <w:highlight w:val="none"/>
        </w:rPr>
        <w:t>。</w:t>
      </w:r>
    </w:p>
    <w:p>
      <w:pPr>
        <w:autoSpaceDN w:val="0"/>
        <w:spacing w:line="360" w:lineRule="auto"/>
        <w:rPr>
          <w:rFonts w:ascii="仿宋" w:hAnsi="仿宋" w:eastAsia="仿宋" w:cs="仿宋"/>
          <w:color w:val="auto"/>
          <w:sz w:val="24"/>
          <w:szCs w:val="24"/>
          <w:highlight w:val="none"/>
        </w:rPr>
      </w:pPr>
    </w:p>
    <w:p>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磋商响应供应商（盖章）：</w:t>
      </w:r>
    </w:p>
    <w:p>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p>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p>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p>
      <w:pPr>
        <w:autoSpaceDN w:val="0"/>
        <w:spacing w:line="360" w:lineRule="auto"/>
        <w:ind w:firstLine="7800" w:firstLineChars="3250"/>
        <w:jc w:val="left"/>
        <w:rPr>
          <w:rFonts w:ascii="仿宋" w:hAnsi="仿宋" w:eastAsia="仿宋" w:cs="Times New Roman"/>
          <w:b/>
          <w:bCs/>
          <w:color w:val="auto"/>
          <w:sz w:val="22"/>
          <w:highlight w:val="none"/>
        </w:rPr>
      </w:pPr>
      <w:r>
        <w:rPr>
          <w:rFonts w:hint="eastAsia" w:ascii="仿宋" w:hAnsi="仿宋" w:eastAsia="仿宋" w:cs="仿宋"/>
          <w:color w:val="auto"/>
          <w:sz w:val="24"/>
          <w:szCs w:val="24"/>
          <w:highlight w:val="none"/>
        </w:rPr>
        <w:t>年 月 日</w:t>
      </w:r>
    </w:p>
    <w:p>
      <w:pPr>
        <w:autoSpaceDN w:val="0"/>
        <w:spacing w:line="360" w:lineRule="auto"/>
        <w:ind w:firstLine="440" w:firstLineChars="200"/>
        <w:rPr>
          <w:rFonts w:ascii="仿宋" w:hAnsi="仿宋" w:eastAsia="仿宋" w:cs="Times New Roman"/>
          <w:b/>
          <w:bCs/>
          <w:color w:val="auto"/>
          <w:sz w:val="22"/>
          <w:highlight w:val="none"/>
        </w:rPr>
      </w:pPr>
    </w:p>
    <w:p>
      <w:pPr>
        <w:tabs>
          <w:tab w:val="center" w:pos="4755"/>
          <w:tab w:val="right" w:pos="9070"/>
        </w:tabs>
        <w:autoSpaceDN w:val="0"/>
        <w:spacing w:line="440" w:lineRule="exact"/>
        <w:ind w:firstLine="160" w:firstLineChars="50"/>
        <w:rPr>
          <w:rFonts w:hint="eastAsia" w:ascii="仿宋" w:hAnsi="仿宋" w:eastAsia="仿宋" w:cs="Times New Roman"/>
          <w:b/>
          <w:bCs/>
          <w:color w:val="auto"/>
          <w:sz w:val="22"/>
          <w:highlight w:val="none"/>
        </w:rPr>
      </w:pPr>
      <w:r>
        <w:rPr>
          <w:rFonts w:hint="eastAsia" w:ascii="仿宋" w:hAnsi="仿宋" w:eastAsia="仿宋" w:cs="Times New Roman"/>
          <w:b/>
          <w:bCs/>
          <w:color w:val="auto"/>
          <w:kern w:val="0"/>
          <w:sz w:val="32"/>
          <w:szCs w:val="24"/>
          <w:highlight w:val="none"/>
        </w:rPr>
        <w:t>（2）工程量清单及计价表式</w:t>
      </w:r>
    </w:p>
    <w:p>
      <w:pPr>
        <w:tabs>
          <w:tab w:val="center" w:pos="4755"/>
          <w:tab w:val="right" w:pos="9070"/>
        </w:tabs>
        <w:autoSpaceDN w:val="0"/>
        <w:spacing w:line="440" w:lineRule="exact"/>
        <w:ind w:firstLine="110" w:firstLineChars="50"/>
        <w:rPr>
          <w:rFonts w:ascii="仿宋" w:hAnsi="仿宋" w:eastAsia="仿宋" w:cs="Times New Roman"/>
          <w:color w:val="auto"/>
          <w:kern w:val="0"/>
          <w:sz w:val="22"/>
          <w:highlight w:val="none"/>
        </w:rPr>
      </w:pPr>
      <w:r>
        <w:rPr>
          <w:rFonts w:hint="eastAsia" w:ascii="仿宋" w:hAnsi="仿宋" w:eastAsia="仿宋" w:cs="Times New Roman"/>
          <w:b/>
          <w:bCs/>
          <w:color w:val="auto"/>
          <w:sz w:val="22"/>
          <w:highlight w:val="none"/>
        </w:rPr>
        <w:t>格式一：</w:t>
      </w:r>
    </w:p>
    <w:p>
      <w:pPr>
        <w:tabs>
          <w:tab w:val="right" w:pos="0"/>
          <w:tab w:val="center" w:pos="4755"/>
        </w:tabs>
        <w:autoSpaceDN w:val="0"/>
        <w:spacing w:before="100" w:beforeAutospacing="1" w:after="100" w:afterAutospacing="1" w:line="440" w:lineRule="exact"/>
        <w:ind w:firstLine="220" w:firstLineChars="100"/>
        <w:rPr>
          <w:rFonts w:ascii="仿宋" w:hAnsi="仿宋" w:eastAsia="仿宋" w:cs="Times New Roman"/>
          <w:color w:val="auto"/>
          <w:kern w:val="0"/>
          <w:sz w:val="22"/>
          <w:highlight w:val="none"/>
        </w:rPr>
      </w:pPr>
    </w:p>
    <w:p>
      <w:pPr>
        <w:keepNext/>
        <w:keepLines/>
        <w:autoSpaceDN w:val="0"/>
        <w:spacing w:before="280" w:after="290" w:line="374" w:lineRule="auto"/>
        <w:jc w:val="center"/>
        <w:outlineLvl w:val="3"/>
        <w:rPr>
          <w:rFonts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32"/>
          <w:highlight w:val="none"/>
        </w:rPr>
        <w:t>磋商总价</w:t>
      </w:r>
    </w:p>
    <w:p>
      <w:pPr>
        <w:widowControl/>
        <w:tabs>
          <w:tab w:val="center" w:pos="4755"/>
          <w:tab w:val="right" w:pos="9070"/>
        </w:tabs>
        <w:autoSpaceDN w:val="0"/>
        <w:spacing w:before="100" w:beforeAutospacing="1" w:after="100" w:afterAutospacing="1"/>
        <w:ind w:firstLine="220" w:firstLineChars="100"/>
        <w:jc w:val="center"/>
        <w:rPr>
          <w:rFonts w:ascii="仿宋" w:hAnsi="仿宋" w:eastAsia="仿宋" w:cs="Times New Roman"/>
          <w:color w:val="auto"/>
          <w:kern w:val="0"/>
          <w:sz w:val="22"/>
          <w:highlight w:val="none"/>
        </w:rPr>
      </w:pPr>
    </w:p>
    <w:p>
      <w:pPr>
        <w:widowControl/>
        <w:tabs>
          <w:tab w:val="center" w:pos="4755"/>
          <w:tab w:val="right" w:pos="9070"/>
        </w:tabs>
        <w:autoSpaceDN w:val="0"/>
        <w:spacing w:after="100" w:afterAutospacing="1"/>
        <w:ind w:left="1260" w:leftChars="600"/>
        <w:jc w:val="left"/>
        <w:rPr>
          <w:rFonts w:ascii="仿宋" w:hAnsi="仿宋" w:eastAsia="仿宋" w:cs="Times New Roman"/>
          <w:color w:val="auto"/>
          <w:kern w:val="0"/>
          <w:sz w:val="28"/>
          <w:szCs w:val="28"/>
          <w:highlight w:val="none"/>
          <w:u w:val="single"/>
        </w:rPr>
      </w:pPr>
      <w:r>
        <w:rPr>
          <w:rFonts w:hint="eastAsia" w:ascii="仿宋" w:hAnsi="仿宋" w:eastAsia="仿宋" w:cs="Times New Roman"/>
          <w:color w:val="auto"/>
          <w:kern w:val="0"/>
          <w:sz w:val="28"/>
          <w:szCs w:val="28"/>
          <w:highlight w:val="none"/>
        </w:rPr>
        <w:t>采 购 人：</w:t>
      </w:r>
      <w:r>
        <w:rPr>
          <w:rFonts w:hint="eastAsia" w:ascii="仿宋" w:hAnsi="仿宋" w:eastAsia="仿宋" w:cs="Times New Roman"/>
          <w:color w:val="auto"/>
          <w:kern w:val="0"/>
          <w:sz w:val="28"/>
          <w:szCs w:val="28"/>
          <w:highlight w:val="none"/>
          <w:u w:val="single"/>
        </w:rPr>
        <w:t xml:space="preserve">                                </w:t>
      </w:r>
    </w:p>
    <w:p>
      <w:pPr>
        <w:widowControl/>
        <w:tabs>
          <w:tab w:val="center" w:pos="4755"/>
          <w:tab w:val="right" w:pos="9070"/>
        </w:tabs>
        <w:autoSpaceDN w:val="0"/>
        <w:spacing w:after="100" w:afterAutospacing="1"/>
        <w:ind w:left="1260" w:leftChars="600"/>
        <w:jc w:val="left"/>
        <w:rPr>
          <w:rFonts w:ascii="仿宋" w:hAnsi="仿宋" w:eastAsia="仿宋" w:cs="Times New Roman"/>
          <w:color w:val="auto"/>
          <w:kern w:val="0"/>
          <w:sz w:val="28"/>
          <w:szCs w:val="28"/>
          <w:highlight w:val="none"/>
        </w:rPr>
      </w:pPr>
      <w:r>
        <w:rPr>
          <w:rFonts w:hint="eastAsia" w:ascii="仿宋" w:hAnsi="仿宋" w:eastAsia="仿宋" w:cs="Times New Roman"/>
          <w:color w:val="auto"/>
          <w:kern w:val="0"/>
          <w:sz w:val="28"/>
          <w:szCs w:val="28"/>
          <w:highlight w:val="none"/>
        </w:rPr>
        <w:t>项目名称：</w:t>
      </w:r>
      <w:r>
        <w:rPr>
          <w:rFonts w:hint="eastAsia" w:ascii="仿宋" w:hAnsi="仿宋" w:eastAsia="仿宋" w:cs="Times New Roman"/>
          <w:color w:val="auto"/>
          <w:kern w:val="0"/>
          <w:sz w:val="28"/>
          <w:szCs w:val="28"/>
          <w:highlight w:val="none"/>
          <w:u w:val="single"/>
        </w:rPr>
        <w:t xml:space="preserve">                                </w:t>
      </w:r>
    </w:p>
    <w:p>
      <w:pPr>
        <w:widowControl/>
        <w:tabs>
          <w:tab w:val="center" w:pos="4755"/>
          <w:tab w:val="right" w:pos="9070"/>
        </w:tabs>
        <w:autoSpaceDN w:val="0"/>
        <w:spacing w:after="100" w:afterAutospacing="1"/>
        <w:ind w:left="1260" w:leftChars="600"/>
        <w:jc w:val="left"/>
        <w:rPr>
          <w:rFonts w:ascii="仿宋" w:hAnsi="仿宋" w:eastAsia="仿宋" w:cs="Times New Roman"/>
          <w:color w:val="auto"/>
          <w:kern w:val="0"/>
          <w:sz w:val="28"/>
          <w:szCs w:val="28"/>
          <w:highlight w:val="none"/>
          <w:u w:val="single"/>
        </w:rPr>
      </w:pPr>
      <w:r>
        <w:rPr>
          <w:rFonts w:hint="eastAsia" w:ascii="仿宋" w:hAnsi="仿宋" w:eastAsia="仿宋" w:cs="Times New Roman"/>
          <w:color w:val="auto"/>
          <w:kern w:val="0"/>
          <w:sz w:val="28"/>
          <w:szCs w:val="28"/>
          <w:highlight w:val="none"/>
        </w:rPr>
        <w:t>磋商总价（小写）：</w:t>
      </w:r>
      <w:r>
        <w:rPr>
          <w:rFonts w:hint="eastAsia" w:ascii="仿宋" w:hAnsi="仿宋" w:eastAsia="仿宋" w:cs="Times New Roman"/>
          <w:color w:val="auto"/>
          <w:kern w:val="0"/>
          <w:sz w:val="28"/>
          <w:szCs w:val="28"/>
          <w:highlight w:val="none"/>
          <w:u w:val="single"/>
        </w:rPr>
        <w:t xml:space="preserve">                        </w:t>
      </w:r>
    </w:p>
    <w:p>
      <w:pPr>
        <w:widowControl/>
        <w:tabs>
          <w:tab w:val="center" w:pos="4755"/>
          <w:tab w:val="right" w:pos="9070"/>
        </w:tabs>
        <w:autoSpaceDN w:val="0"/>
        <w:spacing w:after="100" w:afterAutospacing="1"/>
        <w:ind w:left="2415" w:leftChars="1150"/>
        <w:jc w:val="left"/>
        <w:rPr>
          <w:rFonts w:ascii="仿宋" w:hAnsi="仿宋" w:eastAsia="仿宋" w:cs="Times New Roman"/>
          <w:color w:val="auto"/>
          <w:kern w:val="0"/>
          <w:sz w:val="28"/>
          <w:szCs w:val="28"/>
          <w:highlight w:val="none"/>
        </w:rPr>
      </w:pPr>
      <w:r>
        <w:rPr>
          <w:rFonts w:hint="eastAsia" w:ascii="仿宋" w:hAnsi="仿宋" w:eastAsia="仿宋" w:cs="Times New Roman"/>
          <w:color w:val="auto"/>
          <w:kern w:val="0"/>
          <w:sz w:val="28"/>
          <w:szCs w:val="28"/>
          <w:highlight w:val="none"/>
        </w:rPr>
        <w:t>（大写）：</w:t>
      </w:r>
      <w:r>
        <w:rPr>
          <w:rFonts w:hint="eastAsia" w:ascii="仿宋" w:hAnsi="仿宋" w:eastAsia="仿宋" w:cs="Times New Roman"/>
          <w:color w:val="auto"/>
          <w:kern w:val="0"/>
          <w:sz w:val="28"/>
          <w:szCs w:val="28"/>
          <w:highlight w:val="none"/>
          <w:u w:val="single"/>
        </w:rPr>
        <w:t xml:space="preserve">                        </w:t>
      </w:r>
    </w:p>
    <w:p>
      <w:pPr>
        <w:widowControl/>
        <w:tabs>
          <w:tab w:val="center" w:pos="4755"/>
          <w:tab w:val="right" w:pos="9070"/>
        </w:tabs>
        <w:autoSpaceDN w:val="0"/>
        <w:spacing w:after="100" w:afterAutospacing="1"/>
        <w:ind w:left="1260" w:leftChars="600"/>
        <w:rPr>
          <w:rFonts w:ascii="仿宋" w:hAnsi="仿宋" w:eastAsia="仿宋" w:cs="Times New Roman"/>
          <w:color w:val="auto"/>
          <w:kern w:val="0"/>
          <w:sz w:val="28"/>
          <w:szCs w:val="28"/>
          <w:highlight w:val="none"/>
        </w:rPr>
      </w:pPr>
      <w:r>
        <w:rPr>
          <w:rFonts w:hint="eastAsia" w:ascii="仿宋" w:hAnsi="仿宋" w:eastAsia="仿宋" w:cs="Times New Roman"/>
          <w:color w:val="auto"/>
          <w:kern w:val="0"/>
          <w:sz w:val="28"/>
          <w:szCs w:val="28"/>
          <w:highlight w:val="none"/>
        </w:rPr>
        <w:t>供应商：</w:t>
      </w:r>
      <w:r>
        <w:rPr>
          <w:rFonts w:hint="eastAsia" w:ascii="仿宋" w:hAnsi="仿宋" w:eastAsia="仿宋" w:cs="Times New Roman"/>
          <w:color w:val="auto"/>
          <w:kern w:val="0"/>
          <w:sz w:val="28"/>
          <w:szCs w:val="28"/>
          <w:highlight w:val="none"/>
          <w:u w:val="single"/>
        </w:rPr>
        <w:t xml:space="preserve">                                  </w:t>
      </w:r>
      <w:r>
        <w:rPr>
          <w:rFonts w:hint="eastAsia" w:ascii="仿宋" w:hAnsi="仿宋" w:eastAsia="仿宋" w:cs="Times New Roman"/>
          <w:color w:val="auto"/>
          <w:kern w:val="0"/>
          <w:sz w:val="28"/>
          <w:szCs w:val="28"/>
          <w:highlight w:val="none"/>
        </w:rPr>
        <w:t>（单位盖章）</w:t>
      </w:r>
    </w:p>
    <w:p>
      <w:pPr>
        <w:widowControl/>
        <w:autoSpaceDN w:val="0"/>
        <w:spacing w:after="100" w:line="720" w:lineRule="auto"/>
        <w:ind w:left="1260" w:leftChars="600"/>
        <w:rPr>
          <w:rFonts w:ascii="仿宋" w:hAnsi="仿宋" w:eastAsia="仿宋" w:cs="Times New Roman"/>
          <w:color w:val="auto"/>
          <w:kern w:val="0"/>
          <w:sz w:val="28"/>
          <w:szCs w:val="28"/>
          <w:highlight w:val="none"/>
        </w:rPr>
      </w:pPr>
      <w:r>
        <w:rPr>
          <w:rFonts w:hint="eastAsia" w:ascii="仿宋" w:hAnsi="仿宋" w:eastAsia="仿宋" w:cs="Times New Roman"/>
          <w:color w:val="auto"/>
          <w:kern w:val="0"/>
          <w:sz w:val="28"/>
          <w:szCs w:val="28"/>
          <w:highlight w:val="none"/>
        </w:rPr>
        <w:t>法定代表人：</w:t>
      </w:r>
      <w:r>
        <w:rPr>
          <w:rFonts w:hint="eastAsia" w:ascii="仿宋" w:hAnsi="仿宋" w:eastAsia="仿宋" w:cs="Times New Roman"/>
          <w:color w:val="auto"/>
          <w:kern w:val="0"/>
          <w:sz w:val="28"/>
          <w:szCs w:val="28"/>
          <w:highlight w:val="none"/>
          <w:u w:val="single"/>
        </w:rPr>
        <w:t xml:space="preserve">                              </w:t>
      </w:r>
      <w:r>
        <w:rPr>
          <w:rFonts w:hint="eastAsia" w:ascii="仿宋" w:hAnsi="仿宋" w:eastAsia="仿宋" w:cs="Times New Roman"/>
          <w:color w:val="auto"/>
          <w:kern w:val="0"/>
          <w:sz w:val="28"/>
          <w:szCs w:val="28"/>
          <w:highlight w:val="none"/>
        </w:rPr>
        <w:t>（签字或盖章）</w:t>
      </w:r>
    </w:p>
    <w:p>
      <w:pPr>
        <w:widowControl/>
        <w:tabs>
          <w:tab w:val="center" w:pos="4755"/>
          <w:tab w:val="right" w:pos="9070"/>
        </w:tabs>
        <w:autoSpaceDN w:val="0"/>
        <w:spacing w:after="100" w:afterAutospacing="1" w:line="720" w:lineRule="auto"/>
        <w:ind w:left="1260" w:leftChars="600"/>
        <w:rPr>
          <w:rFonts w:ascii="仿宋" w:hAnsi="仿宋" w:eastAsia="仿宋" w:cs="Times New Roman"/>
          <w:color w:val="auto"/>
          <w:kern w:val="0"/>
          <w:sz w:val="28"/>
          <w:szCs w:val="28"/>
          <w:highlight w:val="none"/>
        </w:rPr>
      </w:pPr>
      <w:r>
        <w:rPr>
          <w:rFonts w:hint="eastAsia" w:ascii="仿宋" w:hAnsi="仿宋" w:eastAsia="仿宋" w:cs="Times New Roman"/>
          <w:color w:val="auto"/>
          <w:kern w:val="0"/>
          <w:sz w:val="28"/>
          <w:szCs w:val="28"/>
          <w:highlight w:val="none"/>
        </w:rPr>
        <w:t>编制人员：</w:t>
      </w:r>
      <w:r>
        <w:rPr>
          <w:rFonts w:ascii="Calibri" w:hAnsi="Calibri" w:eastAsia="仿宋" w:cs="Calibri"/>
          <w:color w:val="auto"/>
          <w:sz w:val="28"/>
          <w:szCs w:val="28"/>
          <w:highlight w:val="none"/>
          <w:u w:val="single"/>
        </w:rPr>
        <w:t>                       </w:t>
      </w:r>
      <w:r>
        <w:rPr>
          <w:rFonts w:hint="eastAsia" w:ascii="仿宋" w:hAnsi="仿宋" w:eastAsia="仿宋" w:cs="Times New Roman"/>
          <w:color w:val="auto"/>
          <w:sz w:val="28"/>
          <w:szCs w:val="28"/>
          <w:highlight w:val="none"/>
          <w:u w:val="single"/>
        </w:rPr>
        <w:t xml:space="preserve">                    </w:t>
      </w:r>
      <w:r>
        <w:rPr>
          <w:rFonts w:ascii="Calibri" w:hAnsi="Calibri" w:eastAsia="仿宋" w:cs="Calibri"/>
          <w:color w:val="auto"/>
          <w:sz w:val="28"/>
          <w:szCs w:val="28"/>
          <w:highlight w:val="none"/>
          <w:u w:val="single"/>
        </w:rPr>
        <w:t>  </w:t>
      </w:r>
      <w:r>
        <w:rPr>
          <w:rFonts w:hint="eastAsia" w:ascii="仿宋" w:hAnsi="仿宋" w:eastAsia="仿宋" w:cs="Times New Roman"/>
          <w:color w:val="auto"/>
          <w:kern w:val="0"/>
          <w:sz w:val="28"/>
          <w:szCs w:val="28"/>
          <w:highlight w:val="none"/>
        </w:rPr>
        <w:t>（签字或盖章）</w:t>
      </w:r>
    </w:p>
    <w:p>
      <w:pPr>
        <w:widowControl/>
        <w:tabs>
          <w:tab w:val="center" w:pos="4755"/>
          <w:tab w:val="right" w:pos="9070"/>
        </w:tabs>
        <w:autoSpaceDN w:val="0"/>
        <w:spacing w:line="400" w:lineRule="exact"/>
        <w:ind w:left="1260" w:leftChars="600"/>
        <w:rPr>
          <w:rFonts w:ascii="仿宋" w:hAnsi="仿宋" w:eastAsia="仿宋" w:cs="Times New Roman"/>
          <w:b/>
          <w:color w:val="auto"/>
          <w:kern w:val="0"/>
          <w:sz w:val="28"/>
          <w:szCs w:val="28"/>
          <w:highlight w:val="none"/>
        </w:rPr>
      </w:pPr>
      <w:r>
        <w:rPr>
          <w:rFonts w:hint="eastAsia" w:ascii="仿宋" w:hAnsi="仿宋" w:eastAsia="仿宋" w:cs="Times New Roman"/>
          <w:color w:val="auto"/>
          <w:kern w:val="0"/>
          <w:sz w:val="28"/>
          <w:szCs w:val="28"/>
          <w:highlight w:val="none"/>
        </w:rPr>
        <w:t>编制时间：</w:t>
      </w:r>
      <w:r>
        <w:rPr>
          <w:rFonts w:ascii="Calibri" w:hAnsi="Calibri" w:eastAsia="仿宋" w:cs="Calibri"/>
          <w:color w:val="auto"/>
          <w:sz w:val="28"/>
          <w:szCs w:val="28"/>
          <w:highlight w:val="none"/>
          <w:u w:val="single"/>
        </w:rPr>
        <w:t>              </w:t>
      </w:r>
      <w:r>
        <w:rPr>
          <w:rFonts w:hint="eastAsia" w:ascii="仿宋" w:hAnsi="仿宋" w:eastAsia="仿宋" w:cs="Times New Roman"/>
          <w:color w:val="auto"/>
          <w:sz w:val="28"/>
          <w:szCs w:val="28"/>
          <w:highlight w:val="none"/>
          <w:u w:val="single"/>
        </w:rPr>
        <w:t xml:space="preserve">                </w:t>
      </w:r>
      <w:r>
        <w:rPr>
          <w:rFonts w:ascii="Calibri" w:hAnsi="Calibri" w:eastAsia="仿宋" w:cs="Calibri"/>
          <w:color w:val="auto"/>
          <w:sz w:val="28"/>
          <w:szCs w:val="28"/>
          <w:highlight w:val="none"/>
          <w:u w:val="single"/>
        </w:rPr>
        <w:t>     </w:t>
      </w:r>
      <w:r>
        <w:rPr>
          <w:rFonts w:hint="eastAsia" w:ascii="仿宋" w:hAnsi="仿宋" w:eastAsia="仿宋" w:cs="Times New Roman"/>
          <w:color w:val="auto"/>
          <w:sz w:val="28"/>
          <w:szCs w:val="28"/>
          <w:highlight w:val="none"/>
          <w:u w:val="single"/>
        </w:rPr>
        <w:t xml:space="preserve">   </w:t>
      </w:r>
      <w:r>
        <w:rPr>
          <w:rFonts w:ascii="Calibri" w:hAnsi="Calibri" w:eastAsia="仿宋" w:cs="Calibri"/>
          <w:color w:val="auto"/>
          <w:sz w:val="28"/>
          <w:szCs w:val="28"/>
          <w:highlight w:val="none"/>
          <w:u w:val="single"/>
        </w:rPr>
        <w:t>  </w:t>
      </w:r>
      <w:r>
        <w:rPr>
          <w:rFonts w:hint="eastAsia" w:ascii="仿宋" w:hAnsi="仿宋" w:eastAsia="仿宋" w:cs="Times New Roman"/>
          <w:color w:val="auto"/>
          <w:kern w:val="0"/>
          <w:sz w:val="28"/>
          <w:szCs w:val="28"/>
          <w:highlight w:val="none"/>
          <w:u w:val="single"/>
        </w:rPr>
        <w:t xml:space="preserve"> </w:t>
      </w:r>
      <w:r>
        <w:rPr>
          <w:rFonts w:ascii="Calibri" w:hAnsi="Calibri" w:eastAsia="仿宋" w:cs="Calibri"/>
          <w:color w:val="auto"/>
          <w:sz w:val="28"/>
          <w:szCs w:val="28"/>
          <w:highlight w:val="none"/>
          <w:u w:val="single"/>
        </w:rPr>
        <w:t>      </w:t>
      </w:r>
    </w:p>
    <w:p>
      <w:pPr>
        <w:keepNext/>
        <w:keepLines/>
        <w:autoSpaceDN w:val="0"/>
        <w:spacing w:before="280" w:after="290" w:line="374" w:lineRule="auto"/>
        <w:jc w:val="center"/>
        <w:outlineLvl w:val="3"/>
        <w:rPr>
          <w:rFonts w:ascii="仿宋" w:hAnsi="仿宋" w:eastAsia="仿宋" w:cs="Times New Roman"/>
          <w:bCs/>
          <w:color w:val="auto"/>
          <w:kern w:val="0"/>
          <w:sz w:val="22"/>
          <w:highlight w:val="none"/>
        </w:rPr>
      </w:pPr>
      <w:r>
        <w:rPr>
          <w:rFonts w:hint="eastAsia" w:ascii="仿宋" w:hAnsi="仿宋" w:eastAsia="仿宋" w:cs="Times New Roman"/>
          <w:color w:val="auto"/>
          <w:kern w:val="0"/>
          <w:sz w:val="22"/>
          <w:highlight w:val="none"/>
        </w:rPr>
        <w:br w:type="page"/>
      </w:r>
      <w:r>
        <w:rPr>
          <w:rFonts w:hint="eastAsia" w:ascii="仿宋" w:hAnsi="仿宋" w:eastAsia="仿宋" w:cs="Times New Roman"/>
          <w:b/>
          <w:bCs/>
          <w:color w:val="auto"/>
          <w:kern w:val="0"/>
          <w:sz w:val="28"/>
          <w:szCs w:val="28"/>
          <w:highlight w:val="none"/>
        </w:rPr>
        <w:t>工程量清单报价说明</w:t>
      </w:r>
    </w:p>
    <w:p>
      <w:pPr>
        <w:autoSpaceDN w:val="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9" w:hRule="atLeast"/>
          <w:jc w:val="center"/>
        </w:trPr>
        <w:tc>
          <w:tcPr>
            <w:tcW w:w="928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Times New Roman"/>
                <w:color w:val="auto"/>
                <w:sz w:val="24"/>
                <w:szCs w:val="24"/>
                <w:highlight w:val="none"/>
              </w:rPr>
            </w:pPr>
          </w:p>
        </w:tc>
      </w:tr>
    </w:tbl>
    <w:p>
      <w:pPr>
        <w:autoSpaceDN w:val="0"/>
        <w:ind w:firstLine="240" w:firstLineChars="1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磋商响应供应商：（盖章）</w:t>
      </w:r>
    </w:p>
    <w:p>
      <w:pPr>
        <w:keepNext/>
        <w:keepLines/>
        <w:autoSpaceDN w:val="0"/>
        <w:spacing w:before="280" w:after="290" w:line="374" w:lineRule="auto"/>
        <w:jc w:val="center"/>
        <w:outlineLvl w:val="3"/>
        <w:rPr>
          <w:rFonts w:ascii="仿宋" w:hAnsi="仿宋" w:eastAsia="仿宋" w:cs="Times New Roman"/>
          <w:bCs/>
          <w:color w:val="auto"/>
          <w:kern w:val="0"/>
          <w:sz w:val="22"/>
          <w:highlight w:val="none"/>
        </w:rPr>
      </w:pPr>
      <w:r>
        <w:rPr>
          <w:rFonts w:hint="eastAsia" w:ascii="仿宋" w:hAnsi="仿宋" w:eastAsia="仿宋" w:cs="Times New Roman"/>
          <w:color w:val="auto"/>
          <w:kern w:val="0"/>
          <w:sz w:val="22"/>
          <w:highlight w:val="none"/>
        </w:rPr>
        <w:br w:type="page"/>
      </w:r>
      <w:r>
        <w:rPr>
          <w:rFonts w:hint="eastAsia" w:ascii="仿宋" w:hAnsi="仿宋" w:eastAsia="仿宋" w:cs="Times New Roman"/>
          <w:b/>
          <w:bCs/>
          <w:color w:val="auto"/>
          <w:kern w:val="0"/>
          <w:sz w:val="28"/>
          <w:szCs w:val="28"/>
          <w:highlight w:val="none"/>
        </w:rPr>
        <w:t>表1-1-1  工程项目报价汇总表</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6300"/>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6300"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内容</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单位工程费合计</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（单位工程1，如1号楼）</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（单位工程2）</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color w:val="auto"/>
                <w:sz w:val="24"/>
                <w:szCs w:val="24"/>
                <w:highlight w:val="none"/>
              </w:rPr>
            </w:pP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color w:val="auto"/>
                <w:sz w:val="24"/>
                <w:szCs w:val="24"/>
                <w:highlight w:val="none"/>
              </w:rPr>
            </w:pP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color w:val="auto"/>
                <w:sz w:val="24"/>
                <w:szCs w:val="24"/>
                <w:highlight w:val="none"/>
              </w:rPr>
            </w:pP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color w:val="auto"/>
                <w:sz w:val="24"/>
                <w:szCs w:val="24"/>
                <w:highlight w:val="none"/>
              </w:rPr>
            </w:pP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未纳入单位工程费的其他费用[（一）+（二）+（三）+（四）]</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整体措施项目清单（1+2）</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组织措施项目清单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技术措施项目清单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整体其他项目清单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整体措施项目规费</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税金 {[（一）+（二）+（三）]*费率}</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tcPr>
          <w:p>
            <w:pPr>
              <w:widowControl/>
              <w:tabs>
                <w:tab w:val="center" w:pos="4755"/>
                <w:tab w:val="right" w:pos="9070"/>
              </w:tabs>
              <w:autoSpaceDN w:val="0"/>
              <w:spacing w:before="100" w:beforeAutospacing="1" w:after="100" w:afterAutospacing="1"/>
              <w:jc w:val="left"/>
              <w:rPr>
                <w:rFonts w:ascii="仿宋" w:hAnsi="仿宋" w:eastAsia="仿宋" w:cs="仿宋"/>
                <w:color w:val="auto"/>
                <w:sz w:val="24"/>
                <w:szCs w:val="24"/>
                <w:highlight w:val="none"/>
              </w:rPr>
            </w:pP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总报价 [一 + 二 ]</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总报价（大写）：</w:t>
            </w:r>
          </w:p>
        </w:tc>
      </w:tr>
    </w:tbl>
    <w:p>
      <w:pPr>
        <w:widowControl/>
        <w:tabs>
          <w:tab w:val="center" w:pos="4755"/>
          <w:tab w:val="right" w:pos="9070"/>
        </w:tabs>
        <w:autoSpaceDN w:val="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注：1.本表适用于：（1）有2个及以上单位工程的群体项目的总报价汇总；（2）单位工程发包且有2个及以上专业工程分部分项工程量清单的采购项目总报价汇总。本表应在表1-1-2基础上汇总。</w:t>
      </w:r>
    </w:p>
    <w:p>
      <w:pPr>
        <w:widowControl/>
        <w:tabs>
          <w:tab w:val="center" w:pos="4755"/>
          <w:tab w:val="right" w:pos="9070"/>
        </w:tabs>
        <w:autoSpaceDN w:val="0"/>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2．本表中的整体项目措施清单报价指根据采购人要求和项目特点应从采购项目整体上考虑的措施项目报价。</w:t>
      </w:r>
    </w:p>
    <w:p>
      <w:pPr>
        <w:widowControl/>
        <w:tabs>
          <w:tab w:val="center" w:pos="4755"/>
          <w:tab w:val="right" w:pos="9070"/>
        </w:tabs>
        <w:autoSpaceDN w:val="0"/>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3．本表中的整体其他项目清单报价指根据采购人要求需按采购项目整体考虑的其他项目清单报价。</w:t>
      </w:r>
    </w:p>
    <w:p>
      <w:pPr>
        <w:widowControl/>
        <w:tabs>
          <w:tab w:val="center" w:pos="4755"/>
          <w:tab w:val="right" w:pos="9070"/>
        </w:tabs>
        <w:autoSpaceDN w:val="0"/>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4．本表中的规费指整体措施清单项目应计取的规费。</w:t>
      </w:r>
    </w:p>
    <w:p>
      <w:pPr>
        <w:widowControl/>
        <w:tabs>
          <w:tab w:val="center" w:pos="4755"/>
          <w:tab w:val="right" w:pos="9070"/>
        </w:tabs>
        <w:autoSpaceDN w:val="0"/>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5．本表中的税金指未纳入单位工程费的整体措施项目清单、其他项目清单以及相应规费等费用应计取的税金。</w:t>
      </w:r>
    </w:p>
    <w:p>
      <w:pPr>
        <w:autoSpaceDN w:val="0"/>
        <w:rPr>
          <w:rFonts w:ascii="仿宋" w:hAnsi="仿宋" w:eastAsia="仿宋" w:cs="仿宋"/>
          <w:color w:val="auto"/>
          <w:sz w:val="24"/>
          <w:szCs w:val="24"/>
          <w:highlight w:val="none"/>
        </w:rPr>
      </w:pP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磋商响应供应商（盖章）：</w:t>
      </w:r>
    </w:p>
    <w:p>
      <w:pPr>
        <w:widowControl/>
        <w:spacing w:beforeAutospacing="1" w:afterAutospacing="1"/>
        <w:jc w:val="left"/>
        <w:rPr>
          <w:rFonts w:ascii="仿宋" w:hAnsi="仿宋" w:eastAsia="仿宋" w:cs="Times New Roman"/>
          <w:color w:val="auto"/>
          <w:sz w:val="22"/>
          <w:highlight w:val="none"/>
        </w:rPr>
        <w:sectPr>
          <w:headerReference r:id="rId20" w:type="default"/>
          <w:footerReference r:id="rId21" w:type="default"/>
          <w:pgSz w:w="11906" w:h="16838"/>
          <w:pgMar w:top="1361" w:right="1191" w:bottom="1361" w:left="1411" w:header="851" w:footer="1077" w:gutter="0"/>
          <w:cols w:space="720" w:num="1"/>
          <w:docGrid w:type="linesAndChars" w:linePitch="312" w:charSpace="0"/>
        </w:sectPr>
      </w:pPr>
    </w:p>
    <w:p>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表1-1-2 单位工程报价汇总表</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单位项目名称：</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3601"/>
        <w:gridCol w:w="1441"/>
        <w:gridCol w:w="1912"/>
        <w:gridCol w:w="38"/>
        <w:gridCol w:w="1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601"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内     容</w:t>
            </w:r>
          </w:p>
        </w:tc>
        <w:tc>
          <w:tcPr>
            <w:tcW w:w="1441"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报价合计</w:t>
            </w:r>
          </w:p>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c>
          <w:tcPr>
            <w:tcW w:w="1950" w:type="dxa"/>
            <w:gridSpan w:val="2"/>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（清单号）</w:t>
            </w:r>
          </w:p>
        </w:tc>
        <w:tc>
          <w:tcPr>
            <w:tcW w:w="174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36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(专业工程1)</w:t>
            </w:r>
          </w:p>
        </w:tc>
        <w:tc>
          <w:tcPr>
            <w:tcW w:w="174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(专业工程2)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36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分部分项工程量清单</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36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措施项目清单（1+2）</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6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组织措施项目清单</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6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技术措施项目清单</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p>
        </w:tc>
        <w:tc>
          <w:tcPr>
            <w:tcW w:w="36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其他项目清单</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Times New Roman" w:hAnsi="Times New Roman" w:eastAsia="宋体" w:cs="Times New Roman"/>
                <w:color w:val="auto"/>
                <w:szCs w:val="24"/>
                <w:highlight w:val="none"/>
              </w:rPr>
              <mc:AlternateContent>
                <mc:Choice Requires="wps">
                  <w:drawing>
                    <wp:anchor distT="0" distB="0" distL="114300" distR="114300" simplePos="0" relativeHeight="251659264" behindDoc="0" locked="0" layoutInCell="1" allowOverlap="1">
                      <wp:simplePos x="0" y="0"/>
                      <wp:positionH relativeFrom="column">
                        <wp:posOffset>822960</wp:posOffset>
                      </wp:positionH>
                      <wp:positionV relativeFrom="paragraph">
                        <wp:posOffset>6985</wp:posOffset>
                      </wp:positionV>
                      <wp:extent cx="2355850" cy="284480"/>
                      <wp:effectExtent l="0" t="0" r="25400" b="2032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H="1">
                                <a:off x="0" y="0"/>
                                <a:ext cx="2355850" cy="284480"/>
                              </a:xfrm>
                              <a:prstGeom prst="line">
                                <a:avLst/>
                              </a:prstGeom>
                              <a:noFill/>
                              <a:ln w="6350">
                                <a:solidFill>
                                  <a:srgbClr val="000000"/>
                                </a:solidFill>
                                <a:round/>
                              </a:ln>
                            </wps:spPr>
                            <wps:bodyPr/>
                          </wps:wsp>
                        </a:graphicData>
                      </a:graphic>
                    </wp:anchor>
                  </w:drawing>
                </mc:Choice>
                <mc:Fallback>
                  <w:pict>
                    <v:line id="_x0000_s1026" o:spid="_x0000_s1026" o:spt="20" style="position:absolute;left:0pt;flip:x;margin-left:64.8pt;margin-top:0.55pt;height:22.4pt;width:185.5pt;z-index:251659264;mso-width-relative:page;mso-height-relative:page;" filled="f" stroked="t" coordsize="21600,21600" o:gfxdata="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DyAznYAAAACAEAAA8AAAAAAAAAAQAgAAAAIgAAAGRycy9kb3ducmV2LnhtbFBLAQIUABQA&#10;AAAIAIdO4kBtruHv8AEAALkDAAAOAAAAAAAAAAEAIAAAACcBAABkcnMvZTJvRG9jLnhtbFBLBQYA&#10;AAAABgAGAFkBAACJBQAAAAA=&#10;">
                      <v:fill on="f" focussize="0,0"/>
                      <v:stroke weight="0.5pt" color="#000000" joinstyle="round"/>
                      <v:imagedata o:title=""/>
                      <o:lock v:ext="edit" aspectratio="f"/>
                    </v:line>
                  </w:pict>
                </mc:Fallback>
              </mc:AlternateContent>
            </w:r>
          </w:p>
        </w:tc>
        <w:tc>
          <w:tcPr>
            <w:tcW w:w="3699" w:type="dxa"/>
            <w:gridSpan w:val="3"/>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p>
        </w:tc>
        <w:tc>
          <w:tcPr>
            <w:tcW w:w="36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规费</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c>
          <w:tcPr>
            <w:tcW w:w="191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c>
          <w:tcPr>
            <w:tcW w:w="1787"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五</w:t>
            </w:r>
          </w:p>
        </w:tc>
        <w:tc>
          <w:tcPr>
            <w:tcW w:w="36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税金[（一+二+三+四）*费率]</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c>
          <w:tcPr>
            <w:tcW w:w="3699"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六</w:t>
            </w:r>
          </w:p>
        </w:tc>
        <w:tc>
          <w:tcPr>
            <w:tcW w:w="36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总报价（一+二+三+四+五）</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c>
          <w:tcPr>
            <w:tcW w:w="723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8" w:type="dxa"/>
            <w:gridSpan w:val="6"/>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总报价(大写):</w:t>
            </w:r>
          </w:p>
        </w:tc>
      </w:tr>
    </w:tbl>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注:本表适用于：</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（1）只有1个专业工程分部分项工程量清单的单位工程发包项目的报价汇总；</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（2）其余采购项目的单位工程报价汇总。</w:t>
      </w:r>
    </w:p>
    <w:p>
      <w:pPr>
        <w:autoSpaceDN w:val="0"/>
        <w:rPr>
          <w:rFonts w:ascii="仿宋" w:hAnsi="仿宋" w:eastAsia="仿宋" w:cs="仿宋"/>
          <w:color w:val="auto"/>
          <w:sz w:val="24"/>
          <w:szCs w:val="24"/>
          <w:highlight w:val="none"/>
        </w:rPr>
      </w:pP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磋商响应供应商（盖章）：</w:t>
      </w:r>
    </w:p>
    <w:p>
      <w:pPr>
        <w:widowControl/>
        <w:spacing w:beforeAutospacing="1" w:afterAutospacing="1"/>
        <w:jc w:val="left"/>
        <w:rPr>
          <w:rFonts w:ascii="仿宋" w:hAnsi="仿宋" w:eastAsia="仿宋" w:cs="仿宋"/>
          <w:color w:val="auto"/>
          <w:sz w:val="24"/>
          <w:szCs w:val="24"/>
          <w:highlight w:val="none"/>
        </w:rPr>
        <w:sectPr>
          <w:pgSz w:w="11906" w:h="16838"/>
          <w:pgMar w:top="1614" w:right="1191" w:bottom="1361" w:left="1191" w:header="851" w:footer="1134" w:gutter="0"/>
          <w:cols w:space="720" w:num="1"/>
          <w:docGrid w:type="linesAndChars" w:linePitch="312" w:charSpace="0"/>
        </w:sectPr>
      </w:pPr>
    </w:p>
    <w:p>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表1-2  分部分项工程量清单及计价表(  号清单)</w:t>
      </w:r>
    </w:p>
    <w:p>
      <w:pPr>
        <w:autoSpaceDN w:val="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单位工程及专业项目名称: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4"/>
        <w:gridCol w:w="1341"/>
        <w:gridCol w:w="1450"/>
        <w:gridCol w:w="1450"/>
        <w:gridCol w:w="1450"/>
        <w:gridCol w:w="1270"/>
        <w:gridCol w:w="983"/>
        <w:gridCol w:w="834"/>
        <w:gridCol w:w="1227"/>
        <w:gridCol w:w="1227"/>
        <w:gridCol w:w="1230"/>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21"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35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项目编码</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项目特征</w:t>
            </w:r>
          </w:p>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描述</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计量单位</w:t>
            </w:r>
          </w:p>
        </w:tc>
        <w:tc>
          <w:tcPr>
            <w:tcW w:w="1270"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工程量</w:t>
            </w:r>
          </w:p>
        </w:tc>
        <w:tc>
          <w:tcPr>
            <w:tcW w:w="983"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综合单价</w:t>
            </w:r>
          </w:p>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c>
          <w:tcPr>
            <w:tcW w:w="834"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合价</w:t>
            </w:r>
          </w:p>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c>
          <w:tcPr>
            <w:tcW w:w="3684" w:type="dxa"/>
            <w:gridSpan w:val="3"/>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其中</w:t>
            </w:r>
          </w:p>
        </w:tc>
        <w:tc>
          <w:tcPr>
            <w:tcW w:w="1035"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7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269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2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9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8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人工费</w:t>
            </w: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机械费</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管理费</w:t>
            </w:r>
          </w:p>
        </w:tc>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3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27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98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779" w:type="dxa"/>
            <w:gridSpan w:val="8"/>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    计</w:t>
            </w:r>
          </w:p>
        </w:tc>
        <w:tc>
          <w:tcPr>
            <w:tcW w:w="8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bl>
    <w:p>
      <w:pPr>
        <w:autoSpaceDN w:val="0"/>
        <w:rPr>
          <w:rFonts w:ascii="仿宋" w:hAnsi="仿宋" w:eastAsia="仿宋" w:cs="仿宋"/>
          <w:color w:val="auto"/>
          <w:sz w:val="24"/>
          <w:szCs w:val="24"/>
          <w:highlight w:val="none"/>
        </w:rPr>
      </w:pP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注：表中（1）～〔6）栏由采购人提供内容，（7）栏由采购人按需提出要求，如采购人需要磋商响应供应商提供清单项目综合单价的计算分析和工料机分析，请在（7）备注中明确。</w:t>
      </w:r>
    </w:p>
    <w:p>
      <w:pPr>
        <w:widowControl/>
        <w:spacing w:beforeAutospacing="1" w:afterAutospacing="1"/>
        <w:jc w:val="left"/>
        <w:rPr>
          <w:rFonts w:ascii="仿宋" w:hAnsi="仿宋" w:eastAsia="仿宋" w:cs="仿宋"/>
          <w:color w:val="auto"/>
          <w:sz w:val="24"/>
          <w:szCs w:val="24"/>
          <w:highlight w:val="none"/>
        </w:rPr>
        <w:sectPr>
          <w:pgSz w:w="16838" w:h="11906" w:orient="landscape"/>
          <w:pgMar w:top="1191" w:right="1361" w:bottom="1191" w:left="1814" w:header="851" w:footer="1247" w:gutter="0"/>
          <w:cols w:space="720" w:num="1"/>
          <w:docGrid w:type="lines" w:linePitch="312" w:charSpace="0"/>
        </w:sectPr>
      </w:pPr>
    </w:p>
    <w:p>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表1-3-A  组织措施项目（整体）清单及计价表</w:t>
      </w:r>
    </w:p>
    <w:p>
      <w:pPr>
        <w:autoSpaceDN w:val="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3086"/>
        <w:gridCol w:w="1103"/>
        <w:gridCol w:w="1103"/>
        <w:gridCol w:w="1471"/>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5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08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  目  名  称</w:t>
            </w:r>
          </w:p>
        </w:tc>
        <w:tc>
          <w:tcPr>
            <w:tcW w:w="110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10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金  额(元)</w:t>
            </w:r>
          </w:p>
        </w:tc>
        <w:tc>
          <w:tcPr>
            <w:tcW w:w="202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1" w:hRule="atLeast"/>
        </w:trPr>
        <w:tc>
          <w:tcPr>
            <w:tcW w:w="957"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p>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p>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二</w:t>
            </w:r>
          </w:p>
          <w:p>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1</w:t>
            </w:r>
          </w:p>
          <w:p>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2</w:t>
            </w:r>
          </w:p>
          <w:p>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3</w:t>
            </w:r>
          </w:p>
          <w:p>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4</w:t>
            </w:r>
          </w:p>
        </w:tc>
        <w:tc>
          <w:tcPr>
            <w:tcW w:w="3086"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adjustRightInd w:val="0"/>
              <w:spacing w:before="100" w:beforeAutospacing="1" w:after="100" w:afterAutospacing="1"/>
              <w:jc w:val="center"/>
              <w:rPr>
                <w:rFonts w:ascii="仿宋" w:hAnsi="仿宋" w:eastAsia="仿宋" w:cs="仿宋"/>
                <w:color w:val="auto"/>
                <w:spacing w:val="-16"/>
                <w:sz w:val="24"/>
                <w:szCs w:val="24"/>
                <w:highlight w:val="none"/>
              </w:rPr>
            </w:pPr>
          </w:p>
          <w:p>
            <w:pPr>
              <w:widowControl/>
              <w:tabs>
                <w:tab w:val="center" w:pos="4755"/>
                <w:tab w:val="right" w:pos="9070"/>
              </w:tabs>
              <w:autoSpaceDN w:val="0"/>
              <w:adjustRightInd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安全文明施工措施项目</w:t>
            </w:r>
          </w:p>
          <w:p>
            <w:pPr>
              <w:widowControl/>
              <w:tabs>
                <w:tab w:val="center" w:pos="4755"/>
                <w:tab w:val="right" w:pos="9070"/>
              </w:tabs>
              <w:autoSpaceDN w:val="0"/>
              <w:adjustRightInd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其他组织措施项目</w:t>
            </w:r>
          </w:p>
          <w:p>
            <w:pPr>
              <w:widowControl/>
              <w:tabs>
                <w:tab w:val="center" w:pos="4755"/>
                <w:tab w:val="right" w:pos="9070"/>
              </w:tabs>
              <w:autoSpaceDN w:val="0"/>
              <w:adjustRightInd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提前竣工增加费</w:t>
            </w:r>
          </w:p>
          <w:p>
            <w:pPr>
              <w:widowControl/>
              <w:tabs>
                <w:tab w:val="center" w:pos="4755"/>
                <w:tab w:val="right" w:pos="9070"/>
              </w:tabs>
              <w:autoSpaceDN w:val="0"/>
              <w:adjustRightInd w:val="0"/>
              <w:spacing w:before="100" w:beforeAutospacing="1" w:after="100" w:afterAutospacing="1"/>
              <w:rPr>
                <w:rFonts w:ascii="仿宋" w:hAnsi="仿宋" w:eastAsia="仿宋" w:cs="仿宋"/>
                <w:color w:val="auto"/>
                <w:spacing w:val="-16"/>
                <w:sz w:val="24"/>
                <w:szCs w:val="24"/>
                <w:highlight w:val="none"/>
              </w:rPr>
            </w:pPr>
            <w:r>
              <w:rPr>
                <w:rFonts w:hint="eastAsia" w:ascii="仿宋" w:hAnsi="仿宋" w:eastAsia="仿宋" w:cs="仿宋"/>
                <w:color w:val="auto"/>
                <w:spacing w:val="-16"/>
                <w:sz w:val="24"/>
                <w:szCs w:val="24"/>
                <w:highlight w:val="none"/>
              </w:rPr>
              <w:t>二次搬运费</w:t>
            </w:r>
          </w:p>
          <w:p>
            <w:pPr>
              <w:widowControl/>
              <w:tabs>
                <w:tab w:val="center" w:pos="4755"/>
                <w:tab w:val="right" w:pos="9070"/>
              </w:tabs>
              <w:autoSpaceDN w:val="0"/>
              <w:adjustRightInd w:val="0"/>
              <w:spacing w:before="100" w:beforeAutospacing="1" w:after="100" w:afterAutospacing="1"/>
              <w:rPr>
                <w:rFonts w:ascii="仿宋" w:hAnsi="仿宋" w:eastAsia="仿宋" w:cs="仿宋"/>
                <w:color w:val="auto"/>
                <w:spacing w:val="-16"/>
                <w:sz w:val="24"/>
                <w:szCs w:val="24"/>
                <w:highlight w:val="none"/>
              </w:rPr>
            </w:pPr>
            <w:r>
              <w:rPr>
                <w:rFonts w:hint="eastAsia" w:ascii="仿宋" w:hAnsi="仿宋" w:eastAsia="仿宋" w:cs="仿宋"/>
                <w:color w:val="auto"/>
                <w:spacing w:val="-16"/>
                <w:sz w:val="24"/>
                <w:szCs w:val="24"/>
                <w:highlight w:val="none"/>
              </w:rPr>
              <w:t>冬雨季施工增加费</w:t>
            </w:r>
          </w:p>
          <w:p>
            <w:pPr>
              <w:widowControl/>
              <w:tabs>
                <w:tab w:val="center" w:pos="4755"/>
                <w:tab w:val="right" w:pos="9070"/>
              </w:tabs>
              <w:autoSpaceDN w:val="0"/>
              <w:adjustRightInd w:val="0"/>
              <w:spacing w:before="100" w:beforeAutospacing="1" w:after="100" w:afterAutospacing="1"/>
              <w:rPr>
                <w:rFonts w:ascii="仿宋" w:hAnsi="仿宋" w:eastAsia="仿宋" w:cs="仿宋"/>
                <w:color w:val="auto"/>
                <w:spacing w:val="-16"/>
                <w:sz w:val="24"/>
                <w:szCs w:val="24"/>
                <w:highlight w:val="none"/>
              </w:rPr>
            </w:pPr>
            <w:r>
              <w:rPr>
                <w:rFonts w:hint="eastAsia" w:ascii="仿宋" w:hAnsi="仿宋" w:eastAsia="仿宋" w:cs="仿宋"/>
                <w:color w:val="auto"/>
                <w:spacing w:val="-16"/>
                <w:sz w:val="24"/>
                <w:szCs w:val="24"/>
                <w:highlight w:val="none"/>
              </w:rPr>
              <w:t>行车、行人干扰增加费</w:t>
            </w:r>
          </w:p>
        </w:tc>
        <w:tc>
          <w:tcPr>
            <w:tcW w:w="1103"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103"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20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p>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提供分析清单（表1-3-A-1）</w:t>
            </w:r>
          </w:p>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249" w:type="dxa"/>
            <w:gridSpan w:val="4"/>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147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p>
        </w:tc>
        <w:tc>
          <w:tcPr>
            <w:tcW w:w="20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p>
        </w:tc>
      </w:tr>
    </w:tbl>
    <w:p>
      <w:pPr>
        <w:autoSpaceDN w:val="0"/>
        <w:rPr>
          <w:rFonts w:ascii="仿宋" w:hAnsi="仿宋" w:eastAsia="仿宋" w:cs="Times New Roman"/>
          <w:color w:val="auto"/>
          <w:sz w:val="22"/>
          <w:highlight w:val="none"/>
        </w:rPr>
      </w:pPr>
    </w:p>
    <w:p>
      <w:pPr>
        <w:widowControl/>
        <w:tabs>
          <w:tab w:val="center" w:pos="4755"/>
          <w:tab w:val="right" w:pos="9070"/>
        </w:tabs>
        <w:autoSpaceDN w:val="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注：1.表中列项供参考，（1）、（2）栏由采购人提供，供应商可按工程实际作补充。</w:t>
      </w:r>
    </w:p>
    <w:p>
      <w:pPr>
        <w:widowControl/>
        <w:tabs>
          <w:tab w:val="center" w:pos="4755"/>
          <w:tab w:val="right" w:pos="9070"/>
        </w:tabs>
        <w:autoSpaceDN w:val="0"/>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措施项目应分整体措施项目和专业工程措施项目，安全文明施工措施项目（包括环境保护、文明施工、安全施工、临时设施）以及工程定位复测费应按采购项目整体报价，其他组织措施项目由供应商根据工程实际自行决定按整体项目还是按专业工程清单报价（专业工程组织措施项目清单见表1-3-B）。</w:t>
      </w:r>
    </w:p>
    <w:p>
      <w:pPr>
        <w:widowControl/>
        <w:tabs>
          <w:tab w:val="center" w:pos="4755"/>
          <w:tab w:val="right" w:pos="9070"/>
        </w:tabs>
        <w:autoSpaceDN w:val="0"/>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 专业工程组织措施项目清单表1-3-B中已报价的组织措施费不得与整体组织措施项目清单表1-3-A中的其他组织措施项目重复报价。</w:t>
      </w:r>
    </w:p>
    <w:p>
      <w:pPr>
        <w:keepNext/>
        <w:keepLines/>
        <w:autoSpaceDN w:val="0"/>
        <w:spacing w:before="280" w:after="290" w:line="374" w:lineRule="auto"/>
        <w:jc w:val="center"/>
        <w:outlineLvl w:val="3"/>
        <w:rPr>
          <w:rFonts w:ascii="仿宋" w:hAnsi="仿宋" w:eastAsia="仿宋" w:cs="Times New Roman"/>
          <w:bCs/>
          <w:color w:val="auto"/>
          <w:kern w:val="0"/>
          <w:sz w:val="22"/>
          <w:highlight w:val="none"/>
        </w:rPr>
      </w:pPr>
      <w:r>
        <w:rPr>
          <w:rFonts w:hint="eastAsia" w:ascii="仿宋" w:hAnsi="仿宋" w:eastAsia="仿宋" w:cs="Times New Roman"/>
          <w:color w:val="auto"/>
          <w:kern w:val="0"/>
          <w:sz w:val="22"/>
          <w:highlight w:val="none"/>
        </w:rPr>
        <w:br w:type="page"/>
      </w:r>
      <w:r>
        <w:rPr>
          <w:rFonts w:hint="eastAsia" w:ascii="仿宋" w:hAnsi="仿宋" w:eastAsia="仿宋" w:cs="Times New Roman"/>
          <w:b/>
          <w:bCs/>
          <w:color w:val="auto"/>
          <w:kern w:val="0"/>
          <w:sz w:val="28"/>
          <w:szCs w:val="28"/>
          <w:highlight w:val="none"/>
        </w:rPr>
        <w:t>表1-3-B  组织措施项目（专业工程）清单及计价表</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单位工程及专业项目名称：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156"/>
        <w:gridCol w:w="1068"/>
        <w:gridCol w:w="929"/>
        <w:gridCol w:w="1806"/>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15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  目  名  称</w:t>
            </w:r>
          </w:p>
        </w:tc>
        <w:tc>
          <w:tcPr>
            <w:tcW w:w="1068"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92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金  额(元)</w:t>
            </w:r>
          </w:p>
        </w:tc>
        <w:tc>
          <w:tcPr>
            <w:tcW w:w="183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3" w:hRule="atLeast"/>
        </w:trPr>
        <w:tc>
          <w:tcPr>
            <w:tcW w:w="95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p>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1</w:t>
            </w:r>
          </w:p>
          <w:p>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2</w:t>
            </w:r>
          </w:p>
          <w:p>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3</w:t>
            </w:r>
          </w:p>
          <w:p>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4</w:t>
            </w:r>
          </w:p>
          <w:p>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p>
          <w:p>
            <w:pPr>
              <w:widowControl/>
              <w:tabs>
                <w:tab w:val="center" w:pos="4755"/>
                <w:tab w:val="right" w:pos="9070"/>
              </w:tabs>
              <w:autoSpaceDN w:val="0"/>
              <w:spacing w:before="100" w:beforeAutospacing="1" w:after="100" w:afterAutospacing="1"/>
              <w:rPr>
                <w:rFonts w:ascii="仿宋" w:hAnsi="仿宋" w:eastAsia="仿宋" w:cs="仿宋"/>
                <w:color w:val="auto"/>
                <w:position w:val="-6"/>
                <w:sz w:val="24"/>
                <w:szCs w:val="24"/>
                <w:highlight w:val="none"/>
              </w:rPr>
            </w:pPr>
          </w:p>
          <w:p>
            <w:pPr>
              <w:widowControl/>
              <w:tabs>
                <w:tab w:val="center" w:pos="4755"/>
                <w:tab w:val="right" w:pos="9070"/>
              </w:tabs>
              <w:autoSpaceDN w:val="0"/>
              <w:spacing w:before="100" w:beforeAutospacing="1" w:after="100" w:afterAutospacing="1"/>
              <w:rPr>
                <w:rFonts w:ascii="仿宋" w:hAnsi="仿宋" w:eastAsia="仿宋" w:cs="仿宋"/>
                <w:color w:val="auto"/>
                <w:position w:val="-6"/>
                <w:sz w:val="24"/>
                <w:szCs w:val="24"/>
                <w:highlight w:val="none"/>
              </w:rPr>
            </w:pPr>
          </w:p>
          <w:p>
            <w:pPr>
              <w:widowControl/>
              <w:tabs>
                <w:tab w:val="center" w:pos="4755"/>
                <w:tab w:val="right" w:pos="9070"/>
              </w:tabs>
              <w:autoSpaceDN w:val="0"/>
              <w:spacing w:before="100" w:beforeAutospacing="1" w:after="100" w:afterAutospacing="1"/>
              <w:rPr>
                <w:rFonts w:ascii="仿宋" w:hAnsi="仿宋" w:eastAsia="仿宋" w:cs="仿宋"/>
                <w:color w:val="auto"/>
                <w:position w:val="-6"/>
                <w:sz w:val="24"/>
                <w:szCs w:val="24"/>
                <w:highlight w:val="none"/>
              </w:rPr>
            </w:pPr>
          </w:p>
        </w:tc>
        <w:tc>
          <w:tcPr>
            <w:tcW w:w="3156"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adjustRightInd w:val="0"/>
              <w:spacing w:before="100" w:beforeAutospacing="1" w:after="100" w:afterAutospacing="1"/>
              <w:jc w:val="center"/>
              <w:rPr>
                <w:rFonts w:ascii="仿宋" w:hAnsi="仿宋" w:eastAsia="仿宋" w:cs="仿宋"/>
                <w:color w:val="auto"/>
                <w:spacing w:val="-16"/>
                <w:sz w:val="24"/>
                <w:szCs w:val="24"/>
                <w:highlight w:val="none"/>
              </w:rPr>
            </w:pPr>
            <w:r>
              <w:rPr>
                <w:rFonts w:hint="eastAsia" w:ascii="仿宋" w:hAnsi="仿宋" w:eastAsia="仿宋" w:cs="仿宋"/>
                <w:color w:val="auto"/>
                <w:spacing w:val="-16"/>
                <w:sz w:val="24"/>
                <w:szCs w:val="24"/>
                <w:highlight w:val="none"/>
              </w:rPr>
              <w:t>（2）</w:t>
            </w:r>
          </w:p>
          <w:p>
            <w:pPr>
              <w:widowControl/>
              <w:tabs>
                <w:tab w:val="center" w:pos="4755"/>
                <w:tab w:val="right" w:pos="9070"/>
              </w:tabs>
              <w:autoSpaceDN w:val="0"/>
              <w:adjustRightInd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提前竣工增加费</w:t>
            </w:r>
          </w:p>
          <w:p>
            <w:pPr>
              <w:widowControl/>
              <w:tabs>
                <w:tab w:val="center" w:pos="4755"/>
                <w:tab w:val="right" w:pos="9070"/>
              </w:tabs>
              <w:autoSpaceDN w:val="0"/>
              <w:adjustRightInd w:val="0"/>
              <w:spacing w:before="100" w:beforeAutospacing="1" w:after="100" w:afterAutospacing="1"/>
              <w:rPr>
                <w:rFonts w:ascii="仿宋" w:hAnsi="仿宋" w:eastAsia="仿宋" w:cs="仿宋"/>
                <w:color w:val="auto"/>
                <w:spacing w:val="-16"/>
                <w:sz w:val="24"/>
                <w:szCs w:val="24"/>
                <w:highlight w:val="none"/>
              </w:rPr>
            </w:pPr>
            <w:r>
              <w:rPr>
                <w:rFonts w:hint="eastAsia" w:ascii="仿宋" w:hAnsi="仿宋" w:eastAsia="仿宋" w:cs="仿宋"/>
                <w:color w:val="auto"/>
                <w:spacing w:val="-16"/>
                <w:sz w:val="24"/>
                <w:szCs w:val="24"/>
                <w:highlight w:val="none"/>
              </w:rPr>
              <w:t>二次搬运费</w:t>
            </w:r>
          </w:p>
          <w:p>
            <w:pPr>
              <w:widowControl/>
              <w:tabs>
                <w:tab w:val="center" w:pos="4755"/>
                <w:tab w:val="right" w:pos="9070"/>
              </w:tabs>
              <w:autoSpaceDN w:val="0"/>
              <w:adjustRightInd w:val="0"/>
              <w:spacing w:before="100" w:beforeAutospacing="1" w:after="100" w:afterAutospacing="1"/>
              <w:rPr>
                <w:rFonts w:ascii="仿宋" w:hAnsi="仿宋" w:eastAsia="仿宋" w:cs="仿宋"/>
                <w:color w:val="auto"/>
                <w:spacing w:val="-16"/>
                <w:sz w:val="24"/>
                <w:szCs w:val="24"/>
                <w:highlight w:val="none"/>
              </w:rPr>
            </w:pPr>
            <w:r>
              <w:rPr>
                <w:rFonts w:hint="eastAsia" w:ascii="仿宋" w:hAnsi="仿宋" w:eastAsia="仿宋" w:cs="仿宋"/>
                <w:color w:val="auto"/>
                <w:spacing w:val="-16"/>
                <w:sz w:val="24"/>
                <w:szCs w:val="24"/>
                <w:highlight w:val="none"/>
              </w:rPr>
              <w:t>冬雨季施工增加费</w:t>
            </w:r>
          </w:p>
          <w:p>
            <w:pPr>
              <w:widowControl/>
              <w:tabs>
                <w:tab w:val="center" w:pos="4755"/>
                <w:tab w:val="right" w:pos="9070"/>
              </w:tabs>
              <w:autoSpaceDN w:val="0"/>
              <w:adjustRightInd w:val="0"/>
              <w:spacing w:before="100" w:beforeAutospacing="1" w:after="100" w:afterAutospacing="1"/>
              <w:rPr>
                <w:rFonts w:ascii="仿宋" w:hAnsi="仿宋" w:eastAsia="仿宋" w:cs="仿宋"/>
                <w:color w:val="auto"/>
                <w:spacing w:val="-16"/>
                <w:sz w:val="24"/>
                <w:szCs w:val="24"/>
                <w:highlight w:val="none"/>
              </w:rPr>
            </w:pPr>
            <w:r>
              <w:rPr>
                <w:rFonts w:hint="eastAsia" w:ascii="仿宋" w:hAnsi="仿宋" w:eastAsia="仿宋" w:cs="仿宋"/>
                <w:color w:val="auto"/>
                <w:spacing w:val="-16"/>
                <w:sz w:val="24"/>
                <w:szCs w:val="24"/>
                <w:highlight w:val="none"/>
              </w:rPr>
              <w:t>行车、行人干扰增加费</w:t>
            </w:r>
          </w:p>
          <w:p>
            <w:pPr>
              <w:widowControl/>
              <w:tabs>
                <w:tab w:val="center" w:pos="4755"/>
                <w:tab w:val="right" w:pos="9070"/>
              </w:tabs>
              <w:autoSpaceDN w:val="0"/>
              <w:adjustRightInd w:val="0"/>
              <w:spacing w:before="100" w:beforeAutospacing="1" w:after="100" w:afterAutospacing="1"/>
              <w:rPr>
                <w:rFonts w:ascii="仿宋" w:hAnsi="仿宋" w:eastAsia="仿宋" w:cs="仿宋"/>
                <w:color w:val="auto"/>
                <w:spacing w:val="-16"/>
                <w:sz w:val="24"/>
                <w:szCs w:val="24"/>
                <w:highlight w:val="none"/>
              </w:rPr>
            </w:pPr>
          </w:p>
          <w:p>
            <w:pPr>
              <w:widowControl/>
              <w:tabs>
                <w:tab w:val="center" w:pos="4755"/>
                <w:tab w:val="right" w:pos="9070"/>
              </w:tabs>
              <w:autoSpaceDN w:val="0"/>
              <w:adjustRightInd w:val="0"/>
              <w:spacing w:before="100" w:beforeAutospacing="1" w:after="100" w:afterAutospacing="1"/>
              <w:rPr>
                <w:rFonts w:ascii="仿宋" w:hAnsi="仿宋" w:eastAsia="仿宋" w:cs="仿宋"/>
                <w:color w:val="auto"/>
                <w:spacing w:val="-16"/>
                <w:sz w:val="24"/>
                <w:szCs w:val="24"/>
                <w:highlight w:val="none"/>
              </w:rPr>
            </w:pPr>
          </w:p>
        </w:tc>
        <w:tc>
          <w:tcPr>
            <w:tcW w:w="1068"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2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83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p>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103" w:type="dxa"/>
            <w:gridSpan w:val="4"/>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1806"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p>
        </w:tc>
        <w:tc>
          <w:tcPr>
            <w:tcW w:w="183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p>
        </w:tc>
      </w:tr>
    </w:tbl>
    <w:p>
      <w:pPr>
        <w:widowControl/>
        <w:tabs>
          <w:tab w:val="center" w:pos="4755"/>
          <w:tab w:val="right" w:pos="9070"/>
        </w:tabs>
        <w:autoSpaceDN w:val="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注：1.表中列项供参考，（1）、（2）栏由采购人提供，供应商可按工程实际作补充。</w:t>
      </w:r>
    </w:p>
    <w:p>
      <w:pPr>
        <w:widowControl/>
        <w:tabs>
          <w:tab w:val="center" w:pos="4755"/>
          <w:tab w:val="right" w:pos="9070"/>
        </w:tabs>
        <w:autoSpaceDN w:val="0"/>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2．当采购项目为单位工程发包且只有1个分部分项工程量清单时，组织措施项目清单应按表1-3-A报价。</w:t>
      </w:r>
    </w:p>
    <w:p>
      <w:pPr>
        <w:widowControl/>
        <w:tabs>
          <w:tab w:val="center" w:pos="4755"/>
          <w:tab w:val="right" w:pos="9070"/>
        </w:tabs>
        <w:autoSpaceDN w:val="0"/>
        <w:rPr>
          <w:rFonts w:ascii="仿宋" w:hAnsi="仿宋" w:eastAsia="仿宋" w:cs="仿宋"/>
          <w:color w:val="auto"/>
          <w:sz w:val="24"/>
          <w:szCs w:val="24"/>
          <w:highlight w:val="none"/>
        </w:rPr>
      </w:pPr>
    </w:p>
    <w:p>
      <w:pPr>
        <w:widowControl/>
        <w:spacing w:beforeAutospacing="1" w:afterAutospacing="1"/>
        <w:jc w:val="left"/>
        <w:rPr>
          <w:rFonts w:ascii="仿宋" w:hAnsi="仿宋" w:eastAsia="仿宋" w:cs="Times New Roman"/>
          <w:color w:val="auto"/>
          <w:sz w:val="22"/>
          <w:highlight w:val="none"/>
        </w:rPr>
        <w:sectPr>
          <w:pgSz w:w="11906" w:h="16838"/>
          <w:pgMar w:top="1414" w:right="1191" w:bottom="1361" w:left="1191" w:header="851" w:footer="1077" w:gutter="0"/>
          <w:cols w:space="720" w:num="1"/>
          <w:docGrid w:type="lines" w:linePitch="312" w:charSpace="0"/>
        </w:sectPr>
      </w:pPr>
    </w:p>
    <w:p>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表1-3-C  技术措施项目清单及计价表</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单位工程及专业项目名称：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2"/>
        <w:gridCol w:w="1440"/>
        <w:gridCol w:w="1440"/>
        <w:gridCol w:w="1260"/>
        <w:gridCol w:w="1260"/>
        <w:gridCol w:w="1236"/>
        <w:gridCol w:w="1026"/>
        <w:gridCol w:w="1260"/>
        <w:gridCol w:w="1260"/>
        <w:gridCol w:w="6"/>
        <w:gridCol w:w="921"/>
        <w:gridCol w:w="921"/>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16" w:type="dxa"/>
            <w:vMerge w:val="restart"/>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72" w:type="dxa"/>
            <w:vMerge w:val="restart"/>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项目编码</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项目特征</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描述</w:t>
            </w:r>
          </w:p>
        </w:tc>
        <w:tc>
          <w:tcPr>
            <w:tcW w:w="1260" w:type="dxa"/>
            <w:vMerge w:val="restart"/>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计量单位</w:t>
            </w:r>
          </w:p>
        </w:tc>
        <w:tc>
          <w:tcPr>
            <w:tcW w:w="1260" w:type="dxa"/>
            <w:vMerge w:val="restart"/>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工程量</w:t>
            </w:r>
          </w:p>
        </w:tc>
        <w:tc>
          <w:tcPr>
            <w:tcW w:w="1236" w:type="dxa"/>
            <w:vMerge w:val="restart"/>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综合单价</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c>
          <w:tcPr>
            <w:tcW w:w="1026" w:type="dxa"/>
            <w:vMerge w:val="restart"/>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合价</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c>
          <w:tcPr>
            <w:tcW w:w="3447" w:type="dxa"/>
            <w:gridSpan w:val="4"/>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其中</w:t>
            </w:r>
          </w:p>
        </w:tc>
        <w:tc>
          <w:tcPr>
            <w:tcW w:w="927" w:type="dxa"/>
            <w:gridSpan w:val="2"/>
            <w:vMerge w:val="restart"/>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2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0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人工费</w:t>
            </w: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机械费</w:t>
            </w:r>
          </w:p>
        </w:tc>
        <w:tc>
          <w:tcPr>
            <w:tcW w:w="927" w:type="dxa"/>
            <w:gridSpan w:val="2"/>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管理费</w:t>
            </w:r>
          </w:p>
        </w:tc>
        <w:tc>
          <w:tcPr>
            <w:tcW w:w="107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8" w:hRule="atLeast"/>
        </w:trPr>
        <w:tc>
          <w:tcPr>
            <w:tcW w:w="8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272" w:type="dxa"/>
            <w:tcBorders>
              <w:top w:val="single" w:color="auto" w:sz="4" w:space="0"/>
              <w:left w:val="single" w:color="auto" w:sz="4" w:space="0"/>
              <w:bottom w:val="single" w:color="auto" w:sz="4" w:space="0"/>
              <w:right w:val="single" w:color="auto" w:sz="4" w:space="0"/>
            </w:tcBorders>
            <w:noWrap/>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440" w:type="dxa"/>
            <w:tcBorders>
              <w:top w:val="single" w:color="auto" w:sz="4" w:space="0"/>
              <w:left w:val="single" w:color="auto" w:sz="4" w:space="0"/>
              <w:bottom w:val="single" w:color="auto" w:sz="4" w:space="0"/>
              <w:right w:val="single" w:color="auto" w:sz="4" w:space="0"/>
            </w:tcBorders>
            <w:noWrap/>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440" w:type="dxa"/>
            <w:tcBorders>
              <w:top w:val="single" w:color="auto" w:sz="4" w:space="0"/>
              <w:left w:val="single" w:color="auto" w:sz="4" w:space="0"/>
              <w:bottom w:val="single" w:color="auto" w:sz="4" w:space="0"/>
              <w:right w:val="single" w:color="auto" w:sz="4" w:space="0"/>
            </w:tcBorders>
            <w:noWrap/>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260" w:type="dxa"/>
            <w:tcBorders>
              <w:top w:val="single" w:color="auto" w:sz="4" w:space="0"/>
              <w:left w:val="single" w:color="auto" w:sz="4" w:space="0"/>
              <w:bottom w:val="single" w:color="auto" w:sz="4" w:space="0"/>
              <w:right w:val="single" w:color="auto" w:sz="4" w:space="0"/>
            </w:tcBorders>
            <w:noWrap/>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大型机械设备进出场及安拆</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施工降水</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施工排水</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地下、地下设施或建筑物的临时保护措施</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4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模板</w:t>
            </w:r>
          </w:p>
        </w:tc>
        <w:tc>
          <w:tcPr>
            <w:tcW w:w="14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724" w:type="dxa"/>
            <w:gridSpan w:val="7"/>
            <w:tcBorders>
              <w:top w:val="nil"/>
              <w:left w:val="single" w:color="auto" w:sz="4" w:space="0"/>
              <w:bottom w:val="single" w:color="auto" w:sz="4" w:space="0"/>
              <w:right w:val="single" w:color="auto" w:sz="4" w:space="0"/>
            </w:tcBorders>
            <w:noWrap/>
            <w:vAlign w:val="center"/>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102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27" w:type="dxa"/>
            <w:gridSpan w:val="2"/>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27" w:type="dxa"/>
            <w:gridSpan w:val="2"/>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bl>
    <w:p>
      <w:pPr>
        <w:widowControl/>
        <w:tabs>
          <w:tab w:val="center" w:pos="4755"/>
          <w:tab w:val="right" w:pos="9070"/>
        </w:tabs>
        <w:autoSpaceDN w:val="0"/>
        <w:jc w:val="left"/>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注：1．本表适用于以“项”为单位计价和以“分部分项工程量清单项目综合单价”方式计价的技术措施项目。</w:t>
      </w:r>
    </w:p>
    <w:p>
      <w:pPr>
        <w:widowControl/>
        <w:tabs>
          <w:tab w:val="center" w:pos="4755"/>
          <w:tab w:val="right" w:pos="9070"/>
        </w:tabs>
        <w:autoSpaceDN w:val="0"/>
        <w:ind w:firstLine="300" w:firstLineChars="200"/>
        <w:jc w:val="left"/>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2．措施项目应分整体措施项目和专业工程措施项目。如应用于整体措施项目，表头中只须填报项目名称；如应用于专业工程措施项目，表头中应分别填写项目名称、单位工程及专业项目名称。</w:t>
      </w:r>
    </w:p>
    <w:p>
      <w:pPr>
        <w:widowControl/>
        <w:tabs>
          <w:tab w:val="center" w:pos="4755"/>
          <w:tab w:val="right" w:pos="9070"/>
        </w:tabs>
        <w:autoSpaceDN w:val="0"/>
        <w:ind w:firstLine="300" w:firstLineChars="200"/>
        <w:jc w:val="left"/>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3．以“分部分项工程量清单项目综合单价”方式计价的技术措施项目，表中第（1）～（5）栏由采购人提供；以“项”为单位计价的技术措施项目，表中第（4）栏项目特征不需要提供和填写。供应商根据施工方案对具体项目可作补充。</w:t>
      </w:r>
    </w:p>
    <w:p>
      <w:pPr>
        <w:widowControl/>
        <w:tabs>
          <w:tab w:val="center" w:pos="4755"/>
          <w:tab w:val="right" w:pos="9070"/>
        </w:tabs>
        <w:autoSpaceDN w:val="0"/>
        <w:jc w:val="left"/>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4．第（6）栏由采购人按需出要求，如采购人需要供应商提供清单项目综合单价的计算分析和工料机分析，请在备注中明确。</w:t>
      </w:r>
    </w:p>
    <w:p>
      <w:pPr>
        <w:widowControl/>
        <w:spacing w:beforeAutospacing="1" w:afterAutospacing="1"/>
        <w:jc w:val="left"/>
        <w:rPr>
          <w:rFonts w:ascii="仿宋" w:hAnsi="仿宋" w:eastAsia="仿宋" w:cs="Times New Roman"/>
          <w:color w:val="auto"/>
          <w:sz w:val="18"/>
          <w:szCs w:val="18"/>
          <w:highlight w:val="none"/>
        </w:rPr>
        <w:sectPr>
          <w:pgSz w:w="16838" w:h="11906" w:orient="landscape"/>
          <w:pgMar w:top="1191" w:right="1814" w:bottom="1191" w:left="1361" w:header="851" w:footer="1134" w:gutter="0"/>
          <w:cols w:space="720" w:num="1"/>
          <w:docGrid w:type="linesAndChars" w:linePitch="312" w:charSpace="0"/>
        </w:sectPr>
      </w:pPr>
    </w:p>
    <w:p>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表1-3-A-1  安全文明施工措施项目清单及计价表</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第 页共 页</w:t>
      </w:r>
    </w:p>
    <w:tbl>
      <w:tblPr>
        <w:tblStyle w:val="61"/>
        <w:tblW w:w="8775" w:type="dxa"/>
        <w:jc w:val="center"/>
        <w:tblLayout w:type="fixed"/>
        <w:tblCellMar>
          <w:top w:w="0" w:type="dxa"/>
          <w:left w:w="108" w:type="dxa"/>
          <w:bottom w:w="0" w:type="dxa"/>
          <w:right w:w="108" w:type="dxa"/>
        </w:tblCellMar>
      </w:tblPr>
      <w:tblGrid>
        <w:gridCol w:w="900"/>
        <w:gridCol w:w="2160"/>
        <w:gridCol w:w="647"/>
        <w:gridCol w:w="877"/>
        <w:gridCol w:w="877"/>
        <w:gridCol w:w="877"/>
        <w:gridCol w:w="2437"/>
      </w:tblGrid>
      <w:tr>
        <w:tblPrEx>
          <w:tblCellMar>
            <w:top w:w="0" w:type="dxa"/>
            <w:left w:w="108" w:type="dxa"/>
            <w:bottom w:w="0" w:type="dxa"/>
            <w:right w:w="108" w:type="dxa"/>
          </w:tblCellMar>
        </w:tblPrEx>
        <w:trPr>
          <w:cantSplit/>
          <w:trHeight w:val="340" w:hRule="atLeast"/>
          <w:tblHeader/>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措施项目名称</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单位</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数量</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单价（元）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合价（元）</w:t>
            </w: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备注</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color w:val="auto"/>
                <w:szCs w:val="21"/>
                <w:highlight w:val="none"/>
              </w:rPr>
              <w:t>（2）</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一</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安全施工措施项目</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（一）</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基本安全防护</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安全网</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安全平网</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平面面积</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密目式立网</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垂直立面</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防护栏杆</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按栏杆长度</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高处作业临边防护栏杆</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深基坑（槽）临边护栏</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其他防护栏杆</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防护门</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防护棚</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按防护面积</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通道防护棚</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井架防护棚</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升降机防护棚</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含人货两用升降机、货用</w:t>
            </w:r>
          </w:p>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升降机</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断头路阻挡墙</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3</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安全隔离网</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爆破工程</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对讲机</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（二）</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高处作业</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洞口水平隔离防护</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按洞口水平面积</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高压线安全措施</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起重设备防护措施</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楼层呼唤器</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其他高处作业安全防护</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（三）</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深基坑（槽）</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上下专用通道</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含安全爬梯</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基坑支护变形监测</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其他深基坑安全防护</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（四）</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脚手架</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水平隔离封闭设施</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其他脚手架安全防护</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（五）</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井架</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架体围护</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货用升降机操作室</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其他井架防护</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（六）</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消防器材、设施</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灭火器</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只</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消防水泵</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水枪、水带</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消防箱</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只</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消防立管</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危险品仓库搭建</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防雷设施</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（七）</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特殊工程安全措施</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特殊作业防护用品</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救生设施</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含救生衣、救生圈等</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防毒面具</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付</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有毒气体检测仪器</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其他特殊安全防护</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（八）</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安全标志</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安全警示标牌、标识</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警示灯</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处</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航标灯</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处</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通航要求</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其他安全标志</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（九）</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安全专项检测</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起重机械检测费</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塔吊、升降机等</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钢管、扣件检测费</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高处作业吊篮检测费</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防坠器专项检测费</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其他安全检测</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（十）</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智慧工地</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实名制信息采集及考勤设备、软件及管理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扬尘在线视频监测设备、软件及管理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远程高清视频监控设备、软件及管理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起重机械安全监控设备、软件及管理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其他管理设施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（十一）</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安全教育培训</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（十二）</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现场安全保卫</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（十三）</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其他安全施工措施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文明施工措施项目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围墙</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按标准设置</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大门、门楼</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标牌</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效果图</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彩钢板围档</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按标准设置</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地坪硬化</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其他文明施工措施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环境保护措施项目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含扬尘污染防治措施</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现场绿化</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防尘网布</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车辆冲洗设施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含洗车槽、自动冲洗或</w:t>
            </w:r>
          </w:p>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其他冲洗设备等</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喷淋设施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塔吊喷淋</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外架喷淋</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场地喷淋</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防尘雾炮</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其他扬尘控制费用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噪声控制费用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污水处理费用</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特殊工程要求</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车辆密封费用</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工地食堂油烟净化设备</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其他环境保护措施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临时设施措施项目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（一）</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办公用房</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生活用房</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宿舍</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食堂</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厕所</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浴室</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其他生活设施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休息场所、文化娱乐设施等</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生产用房（仓库）</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总配电箱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分配电箱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开关箱</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临时用电线路</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用电保护装置</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处</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发电机</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附近外电线路</w:t>
            </w:r>
          </w:p>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防护设施等</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（五）</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临时供水</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按管道长度</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（六）</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临时排水</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按管道长度</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（七）</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其他临时设施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5465"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合计</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bl>
    <w:p>
      <w:pPr>
        <w:autoSpaceDN w:val="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注：表中（1）～（3）栏由采购人根据具体工程特点提供，供应商可补充。安全文明施工措施项目及费用应按采购项目整体报价。</w:t>
      </w:r>
    </w:p>
    <w:p>
      <w:pPr>
        <w:keepNext/>
        <w:keepLines/>
        <w:autoSpaceDN w:val="0"/>
        <w:spacing w:before="280" w:after="290" w:line="374" w:lineRule="auto"/>
        <w:jc w:val="center"/>
        <w:outlineLvl w:val="3"/>
        <w:rPr>
          <w:rFonts w:ascii="仿宋" w:hAnsi="仿宋" w:eastAsia="仿宋" w:cs="Times New Roman"/>
          <w:bCs/>
          <w:color w:val="auto"/>
          <w:kern w:val="0"/>
          <w:sz w:val="22"/>
          <w:highlight w:val="none"/>
        </w:rPr>
      </w:pPr>
      <w:r>
        <w:rPr>
          <w:rFonts w:hint="eastAsia" w:ascii="仿宋" w:hAnsi="仿宋" w:eastAsia="仿宋" w:cs="Times New Roman"/>
          <w:color w:val="auto"/>
          <w:kern w:val="0"/>
          <w:sz w:val="22"/>
          <w:highlight w:val="none"/>
        </w:rPr>
        <w:br w:type="page"/>
      </w:r>
      <w:r>
        <w:rPr>
          <w:rFonts w:hint="eastAsia" w:ascii="仿宋" w:hAnsi="仿宋" w:eastAsia="仿宋" w:cs="Times New Roman"/>
          <w:b/>
          <w:bCs/>
          <w:color w:val="auto"/>
          <w:kern w:val="0"/>
          <w:sz w:val="28"/>
          <w:szCs w:val="28"/>
          <w:highlight w:val="none"/>
        </w:rPr>
        <w:t>1-4  其他项目清单及计价表</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687"/>
        <w:gridCol w:w="3178"/>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687"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3178"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金额(元)</w:t>
            </w:r>
          </w:p>
        </w:tc>
        <w:tc>
          <w:tcPr>
            <w:tcW w:w="2546"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68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暂列金额</w:t>
            </w:r>
          </w:p>
        </w:tc>
        <w:tc>
          <w:tcPr>
            <w:tcW w:w="3178" w:type="dxa"/>
            <w:tcBorders>
              <w:top w:val="single" w:color="auto" w:sz="4" w:space="0"/>
              <w:left w:val="single" w:color="auto" w:sz="4" w:space="0"/>
              <w:bottom w:val="single" w:color="auto" w:sz="4" w:space="0"/>
              <w:right w:val="single" w:color="auto" w:sz="4" w:space="0"/>
            </w:tcBorders>
            <w:noWrap/>
            <w:vAlign w:val="center"/>
          </w:tcPr>
          <w:p>
            <w:pPr>
              <w:widowControl/>
              <w:tabs>
                <w:tab w:val="left" w:pos="1000"/>
              </w:tabs>
              <w:autoSpaceDN w:val="0"/>
              <w:spacing w:before="100" w:beforeAutospacing="1" w:after="100" w:afterAutospacing="1"/>
              <w:jc w:val="center"/>
              <w:rPr>
                <w:rFonts w:ascii="仿宋" w:hAnsi="仿宋" w:eastAsia="仿宋" w:cs="仿宋"/>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pPr>
              <w:widowControl/>
              <w:tabs>
                <w:tab w:val="left" w:pos="1000"/>
              </w:tabs>
              <w:autoSpaceDN w:val="0"/>
              <w:spacing w:before="100" w:beforeAutospacing="1" w:after="100" w:afterAutospacing="1"/>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68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计日工</w:t>
            </w:r>
          </w:p>
        </w:tc>
        <w:tc>
          <w:tcPr>
            <w:tcW w:w="3178"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明细表详见1-4-1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68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总承包服务费</w:t>
            </w:r>
          </w:p>
        </w:tc>
        <w:tc>
          <w:tcPr>
            <w:tcW w:w="3178"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明细表详见1-4-2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68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标化工地增加费</w:t>
            </w:r>
          </w:p>
        </w:tc>
        <w:tc>
          <w:tcPr>
            <w:tcW w:w="3178"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暂列费用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68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优质工程增加费</w:t>
            </w:r>
          </w:p>
        </w:tc>
        <w:tc>
          <w:tcPr>
            <w:tcW w:w="3178"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暂列费用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268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31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2687"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31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r>
    </w:tbl>
    <w:p>
      <w:pPr>
        <w:keepNext/>
        <w:keepLines/>
        <w:autoSpaceDN w:val="0"/>
        <w:spacing w:before="280" w:after="290" w:line="374" w:lineRule="auto"/>
        <w:jc w:val="center"/>
        <w:outlineLvl w:val="3"/>
        <w:rPr>
          <w:rFonts w:ascii="仿宋" w:hAnsi="仿宋" w:eastAsia="仿宋" w:cs="Times New Roman"/>
          <w:bCs/>
          <w:color w:val="auto"/>
          <w:kern w:val="0"/>
          <w:sz w:val="22"/>
          <w:highlight w:val="none"/>
        </w:rPr>
      </w:pPr>
      <w:r>
        <w:rPr>
          <w:rFonts w:hint="eastAsia" w:ascii="仿宋" w:hAnsi="仿宋" w:eastAsia="仿宋" w:cs="Times New Roman"/>
          <w:color w:val="auto"/>
          <w:kern w:val="0"/>
          <w:sz w:val="22"/>
          <w:highlight w:val="none"/>
        </w:rPr>
        <w:br w:type="page"/>
      </w:r>
      <w:r>
        <w:rPr>
          <w:rFonts w:hint="eastAsia" w:ascii="仿宋" w:hAnsi="仿宋" w:eastAsia="仿宋" w:cs="Times New Roman"/>
          <w:b/>
          <w:bCs/>
          <w:color w:val="auto"/>
          <w:kern w:val="0"/>
          <w:sz w:val="28"/>
          <w:szCs w:val="28"/>
          <w:highlight w:val="none"/>
        </w:rPr>
        <w:t>表1-4-1  计日工表</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单位项目名称：                                                        第 页共 页</w:t>
      </w:r>
    </w:p>
    <w:tbl>
      <w:tblPr>
        <w:tblStyle w:val="61"/>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9"/>
        <w:gridCol w:w="2957"/>
        <w:gridCol w:w="1293"/>
        <w:gridCol w:w="1547"/>
        <w:gridCol w:w="1547"/>
        <w:gridCol w:w="154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8"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编号</w:t>
            </w:r>
          </w:p>
        </w:tc>
        <w:tc>
          <w:tcPr>
            <w:tcW w:w="2957" w:type="dxa"/>
            <w:tcBorders>
              <w:top w:val="single" w:color="auto" w:sz="8"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 目 名 称</w:t>
            </w:r>
          </w:p>
        </w:tc>
        <w:tc>
          <w:tcPr>
            <w:tcW w:w="1293" w:type="dxa"/>
            <w:tcBorders>
              <w:top w:val="single" w:color="auto" w:sz="8"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547" w:type="dxa"/>
            <w:tcBorders>
              <w:top w:val="single" w:color="auto" w:sz="8"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547" w:type="dxa"/>
            <w:tcBorders>
              <w:top w:val="single" w:color="auto" w:sz="8"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综合单价（元）</w:t>
            </w:r>
          </w:p>
        </w:tc>
        <w:tc>
          <w:tcPr>
            <w:tcW w:w="1547" w:type="dxa"/>
            <w:tcBorders>
              <w:top w:val="single" w:color="auto" w:sz="8"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合价（元）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29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29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    工</w:t>
            </w:r>
          </w:p>
        </w:tc>
        <w:tc>
          <w:tcPr>
            <w:tcW w:w="129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9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 工 小 计</w:t>
            </w: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29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材    料</w:t>
            </w:r>
          </w:p>
        </w:tc>
        <w:tc>
          <w:tcPr>
            <w:tcW w:w="129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9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材 料 小 计</w:t>
            </w: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p>
        </w:tc>
        <w:tc>
          <w:tcPr>
            <w:tcW w:w="29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施工机械</w:t>
            </w:r>
          </w:p>
        </w:tc>
        <w:tc>
          <w:tcPr>
            <w:tcW w:w="129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9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施工机械小计</w:t>
            </w: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3" w:type="dxa"/>
            <w:gridSpan w:val="5"/>
            <w:tcBorders>
              <w:top w:val="single" w:color="auto" w:sz="6" w:space="0"/>
              <w:left w:val="single" w:color="auto" w:sz="8" w:space="0"/>
              <w:bottom w:val="single" w:color="auto" w:sz="8"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    计</w:t>
            </w:r>
          </w:p>
        </w:tc>
        <w:tc>
          <w:tcPr>
            <w:tcW w:w="1547" w:type="dxa"/>
            <w:tcBorders>
              <w:top w:val="single" w:color="auto" w:sz="6" w:space="0"/>
              <w:left w:val="single" w:color="auto" w:sz="6" w:space="0"/>
              <w:bottom w:val="single" w:color="auto" w:sz="8" w:space="0"/>
              <w:right w:val="single" w:color="auto" w:sz="8" w:space="0"/>
            </w:tcBorders>
            <w:vAlign w:val="center"/>
          </w:tcPr>
          <w:p>
            <w:pPr>
              <w:tabs>
                <w:tab w:val="left" w:pos="3780"/>
              </w:tabs>
              <w:autoSpaceDN w:val="0"/>
              <w:jc w:val="center"/>
              <w:rPr>
                <w:rFonts w:ascii="仿宋" w:hAnsi="仿宋" w:eastAsia="仿宋" w:cs="仿宋"/>
                <w:color w:val="auto"/>
                <w:sz w:val="24"/>
                <w:szCs w:val="24"/>
                <w:highlight w:val="none"/>
              </w:rPr>
            </w:pPr>
          </w:p>
        </w:tc>
      </w:tr>
    </w:tbl>
    <w:p>
      <w:pPr>
        <w:widowControl/>
        <w:tabs>
          <w:tab w:val="center" w:pos="4755"/>
          <w:tab w:val="right" w:pos="9070"/>
        </w:tabs>
        <w:autoSpaceDN w:val="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注：表中（1）～（4）由采购人按需要提出，其中第（4）栏数量为暂定。</w:t>
      </w:r>
    </w:p>
    <w:p>
      <w:pPr>
        <w:keepNext/>
        <w:keepLines/>
        <w:autoSpaceDN w:val="0"/>
        <w:spacing w:before="280" w:after="290" w:line="374" w:lineRule="auto"/>
        <w:jc w:val="center"/>
        <w:outlineLvl w:val="3"/>
        <w:rPr>
          <w:rFonts w:ascii="仿宋" w:hAnsi="仿宋" w:eastAsia="仿宋" w:cs="Times New Roman"/>
          <w:b/>
          <w:bCs/>
          <w:color w:val="auto"/>
          <w:kern w:val="0"/>
          <w:sz w:val="22"/>
          <w:highlight w:val="none"/>
        </w:rPr>
      </w:pPr>
      <w:r>
        <w:rPr>
          <w:rFonts w:hint="eastAsia" w:ascii="仿宋" w:hAnsi="仿宋" w:eastAsia="仿宋" w:cs="Times New Roman"/>
          <w:color w:val="auto"/>
          <w:kern w:val="0"/>
          <w:sz w:val="22"/>
          <w:highlight w:val="none"/>
        </w:rPr>
        <w:br w:type="page"/>
      </w:r>
      <w:r>
        <w:rPr>
          <w:rFonts w:hint="eastAsia" w:ascii="仿宋" w:hAnsi="仿宋" w:eastAsia="仿宋" w:cs="Times New Roman"/>
          <w:b/>
          <w:bCs/>
          <w:color w:val="auto"/>
          <w:kern w:val="0"/>
          <w:sz w:val="28"/>
          <w:szCs w:val="28"/>
          <w:highlight w:val="none"/>
        </w:rPr>
        <w:t>1-4-2   总承包服务费项目及计价表</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第 页共 页</w:t>
      </w:r>
    </w:p>
    <w:tbl>
      <w:tblPr>
        <w:tblStyle w:val="61"/>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19"/>
        <w:gridCol w:w="2709"/>
        <w:gridCol w:w="1620"/>
        <w:gridCol w:w="1440"/>
        <w:gridCol w:w="1440"/>
        <w:gridCol w:w="144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8" w:space="0"/>
              <w:left w:val="single" w:color="auto" w:sz="8"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709" w:type="dxa"/>
            <w:tcBorders>
              <w:top w:val="single" w:color="auto" w:sz="8"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1620" w:type="dxa"/>
            <w:tcBorders>
              <w:top w:val="single" w:color="auto" w:sz="8"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项目价值（元）</w:t>
            </w:r>
          </w:p>
        </w:tc>
        <w:tc>
          <w:tcPr>
            <w:tcW w:w="1440" w:type="dxa"/>
            <w:tcBorders>
              <w:top w:val="single" w:color="auto" w:sz="8"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服务内容</w:t>
            </w:r>
          </w:p>
        </w:tc>
        <w:tc>
          <w:tcPr>
            <w:tcW w:w="1440" w:type="dxa"/>
            <w:tcBorders>
              <w:top w:val="single" w:color="auto" w:sz="8"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费率（%）</w:t>
            </w:r>
          </w:p>
        </w:tc>
        <w:tc>
          <w:tcPr>
            <w:tcW w:w="1440" w:type="dxa"/>
            <w:tcBorders>
              <w:top w:val="single" w:color="auto" w:sz="8" w:space="0"/>
              <w:left w:val="single" w:color="auto" w:sz="6" w:space="0"/>
              <w:bottom w:val="single" w:color="auto" w:sz="6" w:space="0"/>
              <w:right w:val="single" w:color="auto" w:sz="8"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发包人分包专业工程</w:t>
            </w: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发包人供应材料</w:t>
            </w: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8028" w:type="dxa"/>
            <w:gridSpan w:val="5"/>
            <w:tcBorders>
              <w:top w:val="single" w:color="auto" w:sz="6" w:space="0"/>
              <w:left w:val="single" w:color="auto" w:sz="8" w:space="0"/>
              <w:bottom w:val="single" w:color="auto" w:sz="8" w:space="0"/>
              <w:right w:val="single" w:color="auto" w:sz="6" w:space="0"/>
            </w:tcBorders>
            <w:noWrap/>
            <w:vAlign w:val="center"/>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1440" w:type="dxa"/>
            <w:tcBorders>
              <w:top w:val="single" w:color="auto" w:sz="6" w:space="0"/>
              <w:left w:val="single" w:color="auto" w:sz="6" w:space="0"/>
              <w:bottom w:val="single" w:color="auto" w:sz="8" w:space="0"/>
              <w:right w:val="single" w:color="auto" w:sz="8" w:space="0"/>
            </w:tcBorders>
            <w:noWrap/>
            <w:vAlign w:val="center"/>
          </w:tcPr>
          <w:p>
            <w:pPr>
              <w:autoSpaceDN w:val="0"/>
              <w:rPr>
                <w:rFonts w:ascii="仿宋" w:hAnsi="仿宋" w:eastAsia="仿宋" w:cs="仿宋"/>
                <w:color w:val="auto"/>
                <w:sz w:val="24"/>
                <w:szCs w:val="24"/>
                <w:highlight w:val="none"/>
              </w:rPr>
            </w:pPr>
          </w:p>
        </w:tc>
      </w:tr>
    </w:tbl>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注：表中（1）～（4）由采购人按需要提出。</w:t>
      </w:r>
    </w:p>
    <w:p>
      <w:pPr>
        <w:autoSpaceDN w:val="0"/>
        <w:rPr>
          <w:rFonts w:ascii="仿宋" w:hAnsi="仿宋" w:eastAsia="仿宋" w:cs="Times New Roman"/>
          <w:color w:val="auto"/>
          <w:sz w:val="22"/>
          <w:highlight w:val="none"/>
        </w:rPr>
      </w:pPr>
    </w:p>
    <w:p>
      <w:pPr>
        <w:keepNext/>
        <w:keepLines/>
        <w:autoSpaceDN w:val="0"/>
        <w:spacing w:before="280" w:after="290" w:line="374" w:lineRule="auto"/>
        <w:jc w:val="center"/>
        <w:outlineLvl w:val="3"/>
        <w:rPr>
          <w:rFonts w:ascii="仿宋" w:hAnsi="仿宋" w:eastAsia="仿宋" w:cs="Times New Roman"/>
          <w:bCs/>
          <w:color w:val="auto"/>
          <w:kern w:val="0"/>
          <w:sz w:val="22"/>
          <w:highlight w:val="none"/>
        </w:rPr>
      </w:pPr>
      <w:r>
        <w:rPr>
          <w:rFonts w:hint="eastAsia" w:ascii="仿宋" w:hAnsi="仿宋" w:eastAsia="仿宋" w:cs="Times New Roman"/>
          <w:color w:val="auto"/>
          <w:kern w:val="0"/>
          <w:sz w:val="22"/>
          <w:highlight w:val="none"/>
        </w:rPr>
        <w:br w:type="page"/>
      </w:r>
      <w:r>
        <w:rPr>
          <w:rFonts w:hint="eastAsia" w:ascii="仿宋" w:hAnsi="仿宋" w:eastAsia="仿宋" w:cs="Times New Roman"/>
          <w:b/>
          <w:bCs/>
          <w:color w:val="auto"/>
          <w:kern w:val="0"/>
          <w:sz w:val="28"/>
          <w:szCs w:val="28"/>
          <w:highlight w:val="none"/>
        </w:rPr>
        <w:t>表1-5  主要工日价格表</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3068"/>
        <w:gridCol w:w="1323"/>
        <w:gridCol w:w="1764"/>
        <w:gridCol w:w="2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06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工种</w:t>
            </w:r>
          </w:p>
        </w:tc>
        <w:tc>
          <w:tcPr>
            <w:tcW w:w="132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76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242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工日</w:t>
            </w: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bl>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注：本表（1）、（2）栏由采购人按需要提出。</w:t>
      </w:r>
    </w:p>
    <w:p>
      <w:pPr>
        <w:autoSpaceDN w:val="0"/>
        <w:rPr>
          <w:rFonts w:ascii="仿宋" w:hAnsi="仿宋" w:eastAsia="仿宋" w:cs="仿宋"/>
          <w:color w:val="auto"/>
          <w:sz w:val="24"/>
          <w:szCs w:val="24"/>
          <w:highlight w:val="none"/>
        </w:rPr>
      </w:pPr>
    </w:p>
    <w:p>
      <w:pPr>
        <w:autoSpaceDN w:val="0"/>
        <w:rPr>
          <w:rFonts w:ascii="仿宋" w:hAnsi="仿宋" w:eastAsia="仿宋" w:cs="仿宋"/>
          <w:color w:val="auto"/>
          <w:sz w:val="24"/>
          <w:szCs w:val="24"/>
          <w:highlight w:val="none"/>
        </w:rPr>
      </w:pPr>
    </w:p>
    <w:p>
      <w:pPr>
        <w:widowControl/>
        <w:spacing w:beforeAutospacing="1" w:afterAutospacing="1"/>
        <w:jc w:val="left"/>
        <w:rPr>
          <w:rFonts w:ascii="仿宋" w:hAnsi="仿宋" w:eastAsia="仿宋" w:cs="Times New Roman"/>
          <w:color w:val="auto"/>
          <w:sz w:val="22"/>
          <w:highlight w:val="none"/>
        </w:rPr>
        <w:sectPr>
          <w:pgSz w:w="11906" w:h="16838"/>
          <w:pgMar w:top="1361" w:right="1191" w:bottom="1361" w:left="1191" w:header="851" w:footer="1077" w:gutter="0"/>
          <w:cols w:space="720" w:num="1"/>
          <w:docGrid w:type="lines" w:linePitch="312" w:charSpace="0"/>
        </w:sectPr>
      </w:pPr>
    </w:p>
    <w:p>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表1-6  主要材料及设备价格表</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1800"/>
        <w:gridCol w:w="1260"/>
        <w:gridCol w:w="1260"/>
        <w:gridCol w:w="1044"/>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08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编码</w:t>
            </w:r>
          </w:p>
        </w:tc>
        <w:tc>
          <w:tcPr>
            <w:tcW w:w="180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材料或设备名称</w:t>
            </w: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04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单价（元）</w:t>
            </w: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8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0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04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bl>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注：1、表（1）（2）（3）（5）（6）栏由采购人按需要提出，磋商响应供应商可补充。</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2、本表的材料及设备包括原材料、燃料、构配件以及按规定应计入建筑安装工程造价的设备。</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3、采购人指定、提供或暂定的材料和设备，按杭州市工程量清单计价实施细则的规定填写。</w:t>
      </w:r>
    </w:p>
    <w:p>
      <w:pPr>
        <w:widowControl/>
        <w:spacing w:beforeAutospacing="1" w:afterAutospacing="1"/>
        <w:jc w:val="left"/>
        <w:rPr>
          <w:rFonts w:ascii="仿宋" w:hAnsi="仿宋" w:eastAsia="仿宋" w:cs="仿宋"/>
          <w:color w:val="auto"/>
          <w:sz w:val="24"/>
          <w:szCs w:val="24"/>
          <w:highlight w:val="none"/>
        </w:rPr>
        <w:sectPr>
          <w:pgSz w:w="11906" w:h="16838"/>
          <w:pgMar w:top="1614" w:right="1191" w:bottom="1361" w:left="1191" w:header="851" w:footer="1077" w:gutter="0"/>
          <w:cols w:space="720" w:num="1"/>
          <w:docGrid w:type="linesAndChars" w:linePitch="312" w:charSpace="0"/>
        </w:sectPr>
      </w:pPr>
    </w:p>
    <w:p>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表1-7  主要机械台班价格表</w:t>
      </w:r>
    </w:p>
    <w:p>
      <w:pPr>
        <w:autoSpaceDN w:val="0"/>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第 页共 页</w:t>
      </w:r>
    </w:p>
    <w:tbl>
      <w:tblPr>
        <w:tblStyle w:val="6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060"/>
        <w:gridCol w:w="1244"/>
        <w:gridCol w:w="126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0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机械设备名称</w:t>
            </w:r>
          </w:p>
        </w:tc>
        <w:tc>
          <w:tcPr>
            <w:tcW w:w="124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234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0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24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台班</w:t>
            </w: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bl>
    <w:p>
      <w:pPr>
        <w:autoSpaceDN w:val="0"/>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注：表（1）（2）由采购人按需要提出，磋商响应供应商可补充。</w:t>
      </w:r>
    </w:p>
    <w:p>
      <w:pPr>
        <w:autoSpaceDN w:val="0"/>
        <w:rPr>
          <w:rFonts w:ascii="仿宋" w:hAnsi="仿宋" w:eastAsia="仿宋" w:cs="Times New Roman"/>
          <w:color w:val="auto"/>
          <w:sz w:val="22"/>
          <w:highlight w:val="none"/>
        </w:rPr>
      </w:pPr>
    </w:p>
    <w:p>
      <w:pPr>
        <w:autoSpaceDN w:val="0"/>
        <w:rPr>
          <w:rFonts w:ascii="仿宋" w:hAnsi="仿宋" w:eastAsia="仿宋" w:cs="Times New Roman"/>
          <w:color w:val="auto"/>
          <w:sz w:val="22"/>
          <w:highlight w:val="none"/>
        </w:rPr>
      </w:pPr>
    </w:p>
    <w:p>
      <w:pPr>
        <w:autoSpaceDN w:val="0"/>
        <w:rPr>
          <w:rFonts w:ascii="仿宋" w:hAnsi="仿宋" w:eastAsia="仿宋" w:cs="Times New Roman"/>
          <w:color w:val="auto"/>
          <w:sz w:val="22"/>
          <w:highlight w:val="none"/>
        </w:rPr>
      </w:pPr>
    </w:p>
    <w:p>
      <w:pPr>
        <w:widowControl/>
        <w:spacing w:beforeAutospacing="1" w:afterAutospacing="1"/>
        <w:jc w:val="left"/>
        <w:rPr>
          <w:rFonts w:ascii="仿宋" w:hAnsi="仿宋" w:eastAsia="仿宋" w:cs="Times New Roman"/>
          <w:color w:val="auto"/>
          <w:sz w:val="22"/>
          <w:highlight w:val="none"/>
        </w:rPr>
        <w:sectPr>
          <w:pgSz w:w="11906" w:h="16838"/>
          <w:pgMar w:top="1614" w:right="1191" w:bottom="1361" w:left="1191" w:header="851" w:footer="1077" w:gutter="0"/>
          <w:cols w:space="720" w:num="1"/>
          <w:docGrid w:type="lines" w:linePitch="312" w:charSpace="0"/>
        </w:sectPr>
      </w:pPr>
    </w:p>
    <w:p>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表2-1  分部分项工程量清单综合单价分析表</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清单号：                                        第页共页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634"/>
        <w:gridCol w:w="1634"/>
        <w:gridCol w:w="909"/>
        <w:gridCol w:w="909"/>
        <w:gridCol w:w="1089"/>
        <w:gridCol w:w="1089"/>
        <w:gridCol w:w="1089"/>
        <w:gridCol w:w="1089"/>
        <w:gridCol w:w="909"/>
        <w:gridCol w:w="995"/>
        <w:gridCol w:w="909"/>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724"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634"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编号</w:t>
            </w:r>
          </w:p>
        </w:tc>
        <w:tc>
          <w:tcPr>
            <w:tcW w:w="1634"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909"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计量单位</w:t>
            </w:r>
          </w:p>
        </w:tc>
        <w:tc>
          <w:tcPr>
            <w:tcW w:w="909"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7169" w:type="dxa"/>
            <w:gridSpan w:val="7"/>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  合  单  价（元）</w:t>
            </w:r>
          </w:p>
        </w:tc>
        <w:tc>
          <w:tcPr>
            <w:tcW w:w="1353" w:type="dxa"/>
            <w:vMerge w:val="restart"/>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人工费</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材料费</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机械费</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管理费</w:t>
            </w:r>
          </w:p>
        </w:tc>
        <w:tc>
          <w:tcPr>
            <w:tcW w:w="90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利润</w:t>
            </w:r>
          </w:p>
        </w:tc>
        <w:tc>
          <w:tcPr>
            <w:tcW w:w="995"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风险费用</w:t>
            </w:r>
          </w:p>
        </w:tc>
        <w:tc>
          <w:tcPr>
            <w:tcW w:w="90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小计</w:t>
            </w:r>
          </w:p>
        </w:tc>
        <w:tc>
          <w:tcPr>
            <w:tcW w:w="16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ind w:firstLine="360" w:firstLineChars="150"/>
              <w:jc w:val="center"/>
              <w:rPr>
                <w:rFonts w:ascii="仿宋" w:hAnsi="仿宋" w:eastAsia="仿宋" w:cs="仿宋"/>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90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90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90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995"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90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ind w:firstLine="120" w:firstLineChars="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35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（清单编码）</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(清单名称)</w:t>
            </w: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（定额编号）</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（定额名称）</w:t>
            </w: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（清单编码）</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(清单名称)</w:t>
            </w: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（定额编号）</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（定额名称）</w:t>
            </w: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2979" w:type="dxa"/>
            <w:gridSpan w:val="1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  计</w:t>
            </w:r>
          </w:p>
        </w:tc>
        <w:tc>
          <w:tcPr>
            <w:tcW w:w="1353"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p>
        </w:tc>
      </w:tr>
    </w:tbl>
    <w:p>
      <w:pPr>
        <w:keepNext/>
        <w:keepLines/>
        <w:autoSpaceDN w:val="0"/>
        <w:spacing w:before="280" w:after="290" w:line="374" w:lineRule="auto"/>
        <w:jc w:val="center"/>
        <w:outlineLvl w:val="3"/>
        <w:rPr>
          <w:rFonts w:ascii="仿宋" w:hAnsi="仿宋" w:eastAsia="仿宋" w:cs="Times New Roman"/>
          <w:bCs/>
          <w:color w:val="auto"/>
          <w:kern w:val="0"/>
          <w:sz w:val="22"/>
          <w:highlight w:val="none"/>
        </w:rPr>
      </w:pPr>
      <w:r>
        <w:rPr>
          <w:rFonts w:hint="eastAsia" w:ascii="仿宋" w:hAnsi="仿宋" w:eastAsia="仿宋" w:cs="仿宋"/>
          <w:color w:val="auto"/>
          <w:kern w:val="0"/>
          <w:sz w:val="24"/>
          <w:szCs w:val="24"/>
          <w:highlight w:val="none"/>
        </w:rPr>
        <w:t>注：表（1）～（4）栏中的清单编号、清单名称、清单计量单位和数量由采购人按需要提出。</w:t>
      </w:r>
      <w:r>
        <w:rPr>
          <w:rFonts w:hint="eastAsia" w:ascii="仿宋" w:hAnsi="仿宋" w:eastAsia="仿宋" w:cs="仿宋"/>
          <w:b/>
          <w:bCs/>
          <w:color w:val="auto"/>
          <w:kern w:val="0"/>
          <w:sz w:val="24"/>
          <w:szCs w:val="24"/>
          <w:highlight w:val="none"/>
        </w:rPr>
        <w:br w:type="page"/>
      </w:r>
      <w:r>
        <w:rPr>
          <w:rFonts w:hint="eastAsia" w:ascii="仿宋" w:hAnsi="仿宋" w:eastAsia="仿宋" w:cs="Times New Roman"/>
          <w:b/>
          <w:bCs/>
          <w:color w:val="auto"/>
          <w:kern w:val="0"/>
          <w:sz w:val="28"/>
          <w:szCs w:val="28"/>
          <w:highlight w:val="none"/>
        </w:rPr>
        <w:t>表2-2  措施项目清单分析表</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单位项目名称：                                                                    第 页共 页</w:t>
      </w:r>
    </w:p>
    <w:tbl>
      <w:tblPr>
        <w:tblStyle w:val="61"/>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4"/>
        <w:gridCol w:w="1634"/>
        <w:gridCol w:w="1634"/>
        <w:gridCol w:w="857"/>
        <w:gridCol w:w="857"/>
        <w:gridCol w:w="1190"/>
        <w:gridCol w:w="1124"/>
        <w:gridCol w:w="1238"/>
        <w:gridCol w:w="1172"/>
        <w:gridCol w:w="820"/>
        <w:gridCol w:w="972"/>
        <w:gridCol w:w="843"/>
        <w:gridCol w:w="126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24" w:type="dxa"/>
            <w:vMerge w:val="restart"/>
            <w:tcBorders>
              <w:top w:val="single" w:color="auto" w:sz="8" w:space="0"/>
              <w:left w:val="single" w:color="auto" w:sz="8" w:space="0"/>
              <w:bottom w:val="single" w:color="auto" w:sz="6" w:space="0"/>
              <w:right w:val="single" w:color="auto" w:sz="6" w:space="0"/>
            </w:tcBorders>
            <w:vAlign w:val="center"/>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634" w:type="dxa"/>
            <w:vMerge w:val="restart"/>
            <w:tcBorders>
              <w:top w:val="single" w:color="auto" w:sz="8"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编号</w:t>
            </w:r>
          </w:p>
        </w:tc>
        <w:tc>
          <w:tcPr>
            <w:tcW w:w="1634" w:type="dxa"/>
            <w:vMerge w:val="restart"/>
            <w:tcBorders>
              <w:top w:val="single" w:color="auto" w:sz="8"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857" w:type="dxa"/>
            <w:vMerge w:val="restart"/>
            <w:tcBorders>
              <w:top w:val="single" w:color="auto" w:sz="8"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计量</w:t>
            </w:r>
          </w:p>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857" w:type="dxa"/>
            <w:vMerge w:val="restart"/>
            <w:tcBorders>
              <w:top w:val="single" w:color="auto" w:sz="8" w:space="0"/>
              <w:left w:val="single" w:color="auto" w:sz="6" w:space="0"/>
              <w:bottom w:val="single" w:color="auto" w:sz="6" w:space="0"/>
              <w:right w:val="single" w:color="auto" w:sz="6" w:space="0"/>
            </w:tcBorders>
            <w:vAlign w:val="center"/>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7359" w:type="dxa"/>
            <w:gridSpan w:val="7"/>
            <w:tcBorders>
              <w:top w:val="single" w:color="auto" w:sz="8" w:space="0"/>
              <w:left w:val="single" w:color="auto" w:sz="6" w:space="0"/>
              <w:bottom w:val="single" w:color="auto" w:sz="6" w:space="0"/>
              <w:right w:val="single" w:color="auto" w:sz="4" w:space="0"/>
            </w:tcBorders>
            <w:vAlign w:val="center"/>
          </w:tcPr>
          <w:p>
            <w:pPr>
              <w:tabs>
                <w:tab w:val="left" w:pos="3780"/>
              </w:tabs>
              <w:autoSpaceDN w:val="0"/>
              <w:ind w:firstLine="36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 合 单 价（元）</w:t>
            </w:r>
          </w:p>
        </w:tc>
        <w:tc>
          <w:tcPr>
            <w:tcW w:w="1267" w:type="dxa"/>
            <w:vMerge w:val="restart"/>
            <w:tcBorders>
              <w:top w:val="single" w:color="auto" w:sz="8" w:space="0"/>
              <w:left w:val="single" w:color="auto" w:sz="4" w:space="0"/>
              <w:bottom w:val="single" w:color="auto" w:sz="6" w:space="0"/>
              <w:right w:val="single" w:color="auto" w:sz="8"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300" w:type="dxa"/>
            <w:vMerge w:val="continue"/>
            <w:tcBorders>
              <w:top w:val="single" w:color="auto" w:sz="8" w:space="0"/>
              <w:left w:val="single" w:color="auto" w:sz="8" w:space="0"/>
              <w:bottom w:val="single" w:color="auto" w:sz="6" w:space="0"/>
              <w:right w:val="single" w:color="auto" w:sz="6" w:space="0"/>
            </w:tcBorders>
            <w:vAlign w:val="center"/>
          </w:tcPr>
          <w:p>
            <w:pPr>
              <w:widowControl/>
              <w:jc w:val="left"/>
              <w:rPr>
                <w:rFonts w:ascii="仿宋" w:hAnsi="仿宋" w:eastAsia="仿宋" w:cs="仿宋"/>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pPr>
              <w:widowControl/>
              <w:jc w:val="left"/>
              <w:rPr>
                <w:rFonts w:ascii="仿宋" w:hAnsi="仿宋" w:eastAsia="仿宋" w:cs="仿宋"/>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pPr>
              <w:widowControl/>
              <w:jc w:val="left"/>
              <w:rPr>
                <w:rFonts w:ascii="仿宋" w:hAnsi="仿宋" w:eastAsia="仿宋" w:cs="仿宋"/>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pPr>
              <w:widowControl/>
              <w:jc w:val="left"/>
              <w:rPr>
                <w:rFonts w:ascii="仿宋" w:hAnsi="仿宋" w:eastAsia="仿宋" w:cs="仿宋"/>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pPr>
              <w:widowControl/>
              <w:jc w:val="left"/>
              <w:rPr>
                <w:rFonts w:ascii="仿宋" w:hAnsi="仿宋" w:eastAsia="仿宋" w:cs="仿宋"/>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人工费</w:t>
            </w:r>
          </w:p>
        </w:tc>
        <w:tc>
          <w:tcPr>
            <w:tcW w:w="1124" w:type="dxa"/>
            <w:tcBorders>
              <w:top w:val="single" w:color="auto" w:sz="6" w:space="0"/>
              <w:left w:val="single" w:color="auto" w:sz="6" w:space="0"/>
              <w:bottom w:val="single" w:color="auto" w:sz="6" w:space="0"/>
              <w:right w:val="single" w:color="auto" w:sz="6" w:space="0"/>
            </w:tcBorders>
            <w:vAlign w:val="center"/>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材料费</w:t>
            </w:r>
          </w:p>
        </w:tc>
        <w:tc>
          <w:tcPr>
            <w:tcW w:w="1238"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机械费</w:t>
            </w:r>
          </w:p>
        </w:tc>
        <w:tc>
          <w:tcPr>
            <w:tcW w:w="1172" w:type="dxa"/>
            <w:tcBorders>
              <w:top w:val="single" w:color="auto" w:sz="6" w:space="0"/>
              <w:left w:val="single" w:color="auto" w:sz="6" w:space="0"/>
              <w:bottom w:val="single" w:color="auto" w:sz="6" w:space="0"/>
              <w:right w:val="single" w:color="auto" w:sz="6" w:space="0"/>
            </w:tcBorders>
            <w:vAlign w:val="center"/>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管理费</w:t>
            </w:r>
          </w:p>
        </w:tc>
        <w:tc>
          <w:tcPr>
            <w:tcW w:w="820" w:type="dxa"/>
            <w:tcBorders>
              <w:top w:val="single" w:color="auto" w:sz="6" w:space="0"/>
              <w:left w:val="single" w:color="auto" w:sz="6" w:space="0"/>
              <w:bottom w:val="single" w:color="auto" w:sz="6" w:space="0"/>
              <w:right w:val="single" w:color="auto" w:sz="6" w:space="0"/>
            </w:tcBorders>
            <w:vAlign w:val="center"/>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利润</w:t>
            </w:r>
          </w:p>
        </w:tc>
        <w:tc>
          <w:tcPr>
            <w:tcW w:w="9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spacing w:line="2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风险</w:t>
            </w:r>
          </w:p>
          <w:p>
            <w:pPr>
              <w:tabs>
                <w:tab w:val="left" w:pos="3780"/>
              </w:tabs>
              <w:autoSpaceDN w:val="0"/>
              <w:spacing w:line="2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费用</w:t>
            </w:r>
          </w:p>
        </w:tc>
        <w:tc>
          <w:tcPr>
            <w:tcW w:w="843" w:type="dxa"/>
            <w:tcBorders>
              <w:top w:val="single" w:color="auto" w:sz="6" w:space="0"/>
              <w:left w:val="single" w:color="auto" w:sz="6" w:space="0"/>
              <w:bottom w:val="single" w:color="auto" w:sz="6" w:space="0"/>
              <w:right w:val="single" w:color="auto" w:sz="4" w:space="0"/>
            </w:tcBorders>
            <w:vAlign w:val="center"/>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小计</w:t>
            </w:r>
          </w:p>
        </w:tc>
        <w:tc>
          <w:tcPr>
            <w:tcW w:w="1567" w:type="dxa"/>
            <w:vMerge w:val="continue"/>
            <w:tcBorders>
              <w:top w:val="single" w:color="auto" w:sz="8" w:space="0"/>
              <w:left w:val="single" w:color="auto" w:sz="4" w:space="0"/>
              <w:bottom w:val="single" w:color="auto" w:sz="6" w:space="0"/>
              <w:right w:val="single" w:color="auto" w:sz="8" w:space="0"/>
            </w:tcBorders>
            <w:vAlign w:val="center"/>
          </w:tcPr>
          <w:p>
            <w:pPr>
              <w:widowControl/>
              <w:jc w:val="left"/>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4"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857" w:type="dxa"/>
            <w:tcBorders>
              <w:top w:val="single" w:color="auto" w:sz="6" w:space="0"/>
              <w:left w:val="single" w:color="auto" w:sz="6" w:space="0"/>
              <w:bottom w:val="single" w:color="auto" w:sz="6" w:space="0"/>
              <w:right w:val="single" w:color="auto" w:sz="6"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857" w:type="dxa"/>
            <w:tcBorders>
              <w:top w:val="single" w:color="auto" w:sz="6" w:space="0"/>
              <w:left w:val="single" w:color="auto" w:sz="6" w:space="0"/>
              <w:bottom w:val="single" w:color="auto" w:sz="6" w:space="0"/>
              <w:right w:val="single" w:color="auto" w:sz="6"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190" w:type="dxa"/>
            <w:tcBorders>
              <w:top w:val="single" w:color="auto" w:sz="6" w:space="0"/>
              <w:left w:val="single" w:color="auto" w:sz="6" w:space="0"/>
              <w:bottom w:val="single" w:color="auto" w:sz="6" w:space="0"/>
              <w:right w:val="single" w:color="auto" w:sz="6"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124" w:type="dxa"/>
            <w:tcBorders>
              <w:top w:val="single" w:color="auto" w:sz="6" w:space="0"/>
              <w:left w:val="single" w:color="auto" w:sz="6" w:space="0"/>
              <w:bottom w:val="single" w:color="auto" w:sz="6" w:space="0"/>
              <w:right w:val="single" w:color="auto" w:sz="6"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238" w:type="dxa"/>
            <w:tcBorders>
              <w:top w:val="single" w:color="auto" w:sz="6" w:space="0"/>
              <w:left w:val="single" w:color="auto" w:sz="6" w:space="0"/>
              <w:bottom w:val="single" w:color="auto" w:sz="6" w:space="0"/>
              <w:right w:val="single" w:color="auto" w:sz="6" w:space="0"/>
            </w:tcBorders>
            <w:vAlign w:val="center"/>
          </w:tcPr>
          <w:p>
            <w:pPr>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172" w:type="dxa"/>
            <w:tcBorders>
              <w:top w:val="single" w:color="auto" w:sz="6" w:space="0"/>
              <w:left w:val="single" w:color="auto" w:sz="6" w:space="0"/>
              <w:bottom w:val="single" w:color="auto" w:sz="6" w:space="0"/>
              <w:right w:val="single" w:color="auto" w:sz="6" w:space="0"/>
            </w:tcBorders>
            <w:vAlign w:val="center"/>
          </w:tcPr>
          <w:p>
            <w:pPr>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820" w:type="dxa"/>
            <w:tcBorders>
              <w:top w:val="single" w:color="auto" w:sz="6" w:space="0"/>
              <w:left w:val="single" w:color="auto" w:sz="6" w:space="0"/>
              <w:bottom w:val="single" w:color="auto" w:sz="6" w:space="0"/>
              <w:right w:val="single" w:color="auto" w:sz="6" w:space="0"/>
            </w:tcBorders>
            <w:vAlign w:val="center"/>
          </w:tcPr>
          <w:p>
            <w:pPr>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972" w:type="dxa"/>
            <w:tcBorders>
              <w:top w:val="single" w:color="auto" w:sz="6" w:space="0"/>
              <w:left w:val="single" w:color="auto" w:sz="6" w:space="0"/>
              <w:bottom w:val="single" w:color="auto" w:sz="6" w:space="0"/>
              <w:right w:val="single" w:color="auto" w:sz="6"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843" w:type="dxa"/>
            <w:tcBorders>
              <w:top w:val="single" w:color="auto" w:sz="6" w:space="0"/>
              <w:left w:val="single" w:color="auto" w:sz="6" w:space="0"/>
              <w:bottom w:val="single" w:color="auto" w:sz="6" w:space="0"/>
              <w:right w:val="single" w:color="auto" w:sz="4" w:space="0"/>
            </w:tcBorders>
            <w:vAlign w:val="center"/>
          </w:tcPr>
          <w:p>
            <w:pPr>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267" w:type="dxa"/>
            <w:tcBorders>
              <w:top w:val="single" w:color="auto" w:sz="6" w:space="0"/>
              <w:left w:val="single" w:color="auto" w:sz="4" w:space="0"/>
              <w:bottom w:val="single" w:color="auto" w:sz="6" w:space="0"/>
              <w:right w:val="single" w:color="auto" w:sz="8"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(4）*(11）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4" w:type="dxa"/>
            <w:tcBorders>
              <w:top w:val="single" w:color="auto" w:sz="6" w:space="0"/>
              <w:left w:val="single" w:color="auto" w:sz="8" w:space="0"/>
              <w:bottom w:val="single" w:color="auto" w:sz="6" w:space="0"/>
              <w:right w:val="single" w:color="auto" w:sz="6" w:space="0"/>
            </w:tcBorders>
            <w:vAlign w:val="center"/>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（清单编码）</w:t>
            </w: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（清单名称）</w:t>
            </w: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843" w:type="dxa"/>
            <w:tcBorders>
              <w:top w:val="single" w:color="auto" w:sz="6" w:space="0"/>
              <w:left w:val="single" w:color="auto" w:sz="6" w:space="0"/>
              <w:bottom w:val="single" w:color="auto" w:sz="6" w:space="0"/>
              <w:right w:val="single" w:color="auto" w:sz="4"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267" w:type="dxa"/>
            <w:tcBorders>
              <w:top w:val="single" w:color="auto" w:sz="6" w:space="0"/>
              <w:left w:val="single" w:color="auto" w:sz="4" w:space="0"/>
              <w:bottom w:val="single" w:color="auto" w:sz="6" w:space="0"/>
              <w:right w:val="single" w:color="auto" w:sz="8"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724"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（定额编号）</w:t>
            </w: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（定额名称）</w:t>
            </w: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4" w:type="dxa"/>
            <w:tcBorders>
              <w:top w:val="single" w:color="auto" w:sz="6" w:space="0"/>
              <w:left w:val="single" w:color="auto" w:sz="8" w:space="0"/>
              <w:bottom w:val="single" w:color="auto" w:sz="6" w:space="0"/>
              <w:right w:val="single" w:color="auto" w:sz="6" w:space="0"/>
            </w:tcBorders>
            <w:vAlign w:val="center"/>
          </w:tcPr>
          <w:p>
            <w:pPr>
              <w:autoSpaceDN w:val="0"/>
              <w:jc w:val="center"/>
              <w:rPr>
                <w:rFonts w:ascii="仿宋" w:hAnsi="仿宋" w:eastAsia="仿宋" w:cs="仿宋"/>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4" w:type="dxa"/>
            <w:tcBorders>
              <w:top w:val="single" w:color="auto" w:sz="6" w:space="0"/>
              <w:left w:val="single" w:color="auto" w:sz="8" w:space="0"/>
              <w:bottom w:val="single" w:color="auto" w:sz="6" w:space="0"/>
              <w:right w:val="single" w:color="auto" w:sz="6" w:space="0"/>
            </w:tcBorders>
            <w:vAlign w:val="center"/>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（清单编码）</w:t>
            </w: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（清单名称）</w:t>
            </w: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724"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（定额编号）</w:t>
            </w: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（定额名称）</w:t>
            </w: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4" w:hRule="atLeast"/>
        </w:trPr>
        <w:tc>
          <w:tcPr>
            <w:tcW w:w="724"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13065" w:type="dxa"/>
            <w:gridSpan w:val="12"/>
            <w:tcBorders>
              <w:top w:val="single" w:color="auto" w:sz="6" w:space="0"/>
              <w:left w:val="single" w:color="auto" w:sz="8" w:space="0"/>
              <w:bottom w:val="single" w:color="auto" w:sz="8"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  计：</w:t>
            </w:r>
          </w:p>
        </w:tc>
        <w:tc>
          <w:tcPr>
            <w:tcW w:w="1267" w:type="dxa"/>
            <w:tcBorders>
              <w:top w:val="single" w:color="auto" w:sz="6" w:space="0"/>
              <w:left w:val="single" w:color="auto" w:sz="6" w:space="0"/>
              <w:bottom w:val="single" w:color="auto" w:sz="8" w:space="0"/>
              <w:right w:val="single" w:color="auto" w:sz="8"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r>
    </w:tbl>
    <w:p>
      <w:pPr>
        <w:widowControl/>
        <w:tabs>
          <w:tab w:val="center" w:pos="4755"/>
          <w:tab w:val="right" w:pos="9070"/>
        </w:tabs>
        <w:autoSpaceDN w:val="0"/>
        <w:rPr>
          <w:rFonts w:ascii="仿宋" w:hAnsi="仿宋" w:eastAsia="仿宋" w:cs="仿宋"/>
          <w:color w:val="auto"/>
          <w:sz w:val="24"/>
          <w:szCs w:val="24"/>
          <w:highlight w:val="none"/>
        </w:rPr>
      </w:pPr>
    </w:p>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注：表（1）、（2）栏中清单编号和措施项目清单名称由采购人按需要提出。</w:t>
      </w:r>
    </w:p>
    <w:p>
      <w:pPr>
        <w:widowControl/>
        <w:spacing w:beforeAutospacing="1" w:afterAutospacing="1"/>
        <w:jc w:val="left"/>
        <w:rPr>
          <w:rFonts w:ascii="仿宋" w:hAnsi="仿宋" w:eastAsia="仿宋" w:cs="仿宋"/>
          <w:color w:val="auto"/>
          <w:sz w:val="24"/>
          <w:szCs w:val="24"/>
          <w:highlight w:val="none"/>
        </w:rPr>
        <w:sectPr>
          <w:pgSz w:w="16838" w:h="11906" w:orient="landscape"/>
          <w:pgMar w:top="1418" w:right="1440" w:bottom="1418" w:left="1440" w:header="851" w:footer="1077" w:gutter="0"/>
          <w:cols w:space="720" w:num="1"/>
          <w:docGrid w:type="linesAndChars" w:linePitch="312" w:charSpace="0"/>
        </w:sectPr>
      </w:pPr>
    </w:p>
    <w:p>
      <w:pPr>
        <w:widowControl/>
        <w:tabs>
          <w:tab w:val="center" w:pos="4755"/>
          <w:tab w:val="right" w:pos="9070"/>
        </w:tabs>
        <w:autoSpaceDN w:val="0"/>
        <w:rPr>
          <w:rFonts w:ascii="仿宋" w:hAnsi="仿宋" w:eastAsia="仿宋" w:cs="仿宋"/>
          <w:color w:val="auto"/>
          <w:sz w:val="24"/>
          <w:szCs w:val="24"/>
          <w:highlight w:val="none"/>
        </w:rPr>
      </w:pPr>
    </w:p>
    <w:p>
      <w:pPr>
        <w:widowControl/>
        <w:spacing w:beforeAutospacing="1" w:afterAutospacing="1"/>
        <w:jc w:val="left"/>
        <w:rPr>
          <w:rFonts w:ascii="仿宋" w:hAnsi="仿宋" w:eastAsia="仿宋" w:cs="Times New Roman"/>
          <w:b/>
          <w:bCs/>
          <w:color w:val="auto"/>
          <w:kern w:val="0"/>
          <w:sz w:val="24"/>
          <w:szCs w:val="24"/>
          <w:highlight w:val="none"/>
        </w:rPr>
        <w:sectPr>
          <w:type w:val="continuous"/>
          <w:pgSz w:w="16838" w:h="11906" w:orient="landscape"/>
          <w:pgMar w:top="1418" w:right="1440" w:bottom="1418" w:left="1440" w:header="851" w:footer="992" w:gutter="0"/>
          <w:cols w:space="720" w:num="1"/>
          <w:docGrid w:type="linesAndChars" w:linePitch="312" w:charSpace="0"/>
        </w:sectPr>
      </w:pPr>
    </w:p>
    <w:p>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表2-3  综合单价工料机分析表</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项目编码:                                             计量单位：</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471"/>
        <w:gridCol w:w="1751"/>
        <w:gridCol w:w="1404"/>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名称及规格</w:t>
            </w:r>
          </w:p>
        </w:tc>
        <w:tc>
          <w:tcPr>
            <w:tcW w:w="1471"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3155"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795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4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人工</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一类</w:t>
            </w: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二类</w:t>
            </w: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三类</w:t>
            </w: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人工费小计</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center"/>
              <w:rPr>
                <w:rFonts w:ascii="仿宋" w:hAnsi="仿宋" w:eastAsia="仿宋" w:cs="仿宋"/>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主要</w:t>
            </w:r>
          </w:p>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材料</w:t>
            </w:r>
          </w:p>
        </w:tc>
        <w:tc>
          <w:tcPr>
            <w:tcW w:w="1226"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其他材料费</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材料费小计</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主要</w:t>
            </w:r>
          </w:p>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机械</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其他机械费</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机械费小计</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直接工程费(1+2+3)</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管理费</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利润</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风险费用</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综合单价（4+5+6+7）</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r>
    </w:tbl>
    <w:p>
      <w:pPr>
        <w:widowControl/>
        <w:tabs>
          <w:tab w:val="center" w:pos="4755"/>
          <w:tab w:val="right" w:pos="9070"/>
        </w:tabs>
        <w:autoSpaceDN w:val="0"/>
        <w:jc w:val="left"/>
        <w:rPr>
          <w:rFonts w:ascii="仿宋" w:hAnsi="仿宋" w:eastAsia="仿宋" w:cs="仿宋"/>
          <w:color w:val="auto"/>
          <w:sz w:val="24"/>
          <w:szCs w:val="24"/>
          <w:highlight w:val="none"/>
        </w:rPr>
      </w:pPr>
    </w:p>
    <w:p>
      <w:pPr>
        <w:widowControl/>
        <w:tabs>
          <w:tab w:val="center" w:pos="4755"/>
          <w:tab w:val="right" w:pos="9070"/>
        </w:tabs>
        <w:autoSpaceDN w:val="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注:本表由采购人按需要提出</w:t>
      </w:r>
    </w:p>
    <w:p>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color w:val="auto"/>
          <w:kern w:val="0"/>
          <w:sz w:val="24"/>
          <w:szCs w:val="28"/>
          <w:highlight w:val="none"/>
        </w:rPr>
        <w:br w:type="page"/>
      </w:r>
      <w:r>
        <w:rPr>
          <w:rFonts w:hint="eastAsia" w:ascii="仿宋" w:hAnsi="仿宋" w:eastAsia="仿宋" w:cs="Times New Roman"/>
          <w:b/>
          <w:bCs/>
          <w:color w:val="auto"/>
          <w:kern w:val="0"/>
          <w:sz w:val="28"/>
          <w:szCs w:val="28"/>
          <w:highlight w:val="none"/>
        </w:rPr>
        <w:t>表2-4  措施项目工料机分析表</w:t>
      </w:r>
    </w:p>
    <w:p>
      <w:pPr>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项目编码:                                            计量单位：</w:t>
      </w:r>
    </w:p>
    <w:p>
      <w:pPr>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577"/>
        <w:gridCol w:w="1751"/>
        <w:gridCol w:w="1402"/>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名称及规格</w:t>
            </w:r>
          </w:p>
        </w:tc>
        <w:tc>
          <w:tcPr>
            <w:tcW w:w="15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数量</w:t>
            </w:r>
          </w:p>
        </w:tc>
        <w:tc>
          <w:tcPr>
            <w:tcW w:w="3049"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highlight w:val="none"/>
              </w:rPr>
            </w:pPr>
          </w:p>
        </w:tc>
        <w:tc>
          <w:tcPr>
            <w:tcW w:w="80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highlight w:val="none"/>
              </w:rPr>
            </w:pPr>
          </w:p>
        </w:tc>
        <w:tc>
          <w:tcPr>
            <w:tcW w:w="15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highlight w:val="none"/>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单价</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人工</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一类</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二类</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三类</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ind w:firstLine="240" w:firstLineChars="10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1</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人工费小计</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主要材料</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highlight w:val="none"/>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其他材料费</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ind w:firstLine="240" w:firstLineChars="10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2</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材料费小计</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主要机械</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highlight w:val="none"/>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其他机械费</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3</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机械费小计</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4</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直接工程费(1+2+3)</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5</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管理费</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6</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利润</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7</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风险费用</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8</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合计（4+5+6+7）</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r>
    </w:tbl>
    <w:p>
      <w:pPr>
        <w:widowControl/>
        <w:tabs>
          <w:tab w:val="center" w:pos="4755"/>
          <w:tab w:val="right" w:pos="9070"/>
        </w:tabs>
        <w:autoSpaceDN w:val="0"/>
        <w:jc w:val="left"/>
        <w:rPr>
          <w:rFonts w:ascii="仿宋" w:hAnsi="仿宋" w:eastAsia="仿宋" w:cs="新宋体"/>
          <w:color w:val="auto"/>
          <w:sz w:val="24"/>
          <w:szCs w:val="24"/>
          <w:highlight w:val="none"/>
        </w:rPr>
      </w:pPr>
    </w:p>
    <w:p>
      <w:pPr>
        <w:autoSpaceDN w:val="0"/>
        <w:rPr>
          <w:rFonts w:ascii="仿宋" w:hAnsi="仿宋" w:eastAsia="仿宋" w:cs="Times New Roman"/>
          <w:color w:val="auto"/>
          <w:sz w:val="22"/>
          <w:highlight w:val="none"/>
        </w:rPr>
      </w:pPr>
      <w:r>
        <w:rPr>
          <w:rFonts w:hint="eastAsia" w:ascii="仿宋" w:hAnsi="仿宋" w:eastAsia="仿宋" w:cs="新宋体"/>
          <w:color w:val="auto"/>
          <w:sz w:val="24"/>
          <w:szCs w:val="24"/>
          <w:highlight w:val="none"/>
        </w:rPr>
        <w:t>注:本表由采购人按需要提出</w:t>
      </w:r>
      <w:r>
        <w:rPr>
          <w:rFonts w:hint="eastAsia" w:ascii="仿宋" w:hAnsi="仿宋" w:eastAsia="仿宋" w:cs="Times New Roman"/>
          <w:color w:val="auto"/>
          <w:sz w:val="22"/>
          <w:highlight w:val="none"/>
        </w:rPr>
        <w:br w:type="page"/>
      </w:r>
    </w:p>
    <w:p>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表2-5  现场监控、临时宿舍取暖降温费用分析表</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3365"/>
        <w:gridCol w:w="972"/>
        <w:gridCol w:w="1095"/>
        <w:gridCol w:w="1676"/>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36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费用名称</w:t>
            </w:r>
          </w:p>
        </w:tc>
        <w:tc>
          <w:tcPr>
            <w:tcW w:w="9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09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676"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单价（元）</w:t>
            </w:r>
          </w:p>
        </w:tc>
        <w:tc>
          <w:tcPr>
            <w:tcW w:w="149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97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bl>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注：本表为分析表，由磋商响应供应商根据市政府、市建设行政主管部门颁发的有关文件对于现场监控和现场民工宿舍空调的设置要求或标准规定进行相应数量和费用的报价。</w:t>
      </w:r>
    </w:p>
    <w:p>
      <w:pPr>
        <w:autoSpaceDN w:val="0"/>
        <w:spacing w:before="156" w:beforeLines="50" w:after="156" w:afterLines="50" w:line="400" w:lineRule="exact"/>
        <w:rPr>
          <w:rFonts w:ascii="宋体" w:hAnsi="Courier New" w:eastAsia="宋体" w:cs="Times New Roman"/>
          <w:color w:val="auto"/>
          <w:kern w:val="0"/>
          <w:sz w:val="24"/>
          <w:szCs w:val="24"/>
          <w:highlight w:val="none"/>
        </w:rPr>
      </w:pPr>
    </w:p>
    <w:p>
      <w:pPr>
        <w:autoSpaceDN w:val="0"/>
        <w:spacing w:before="156" w:beforeLines="50" w:after="156" w:afterLines="50" w:line="400" w:lineRule="exact"/>
        <w:rPr>
          <w:rFonts w:ascii="宋体" w:hAnsi="Courier New" w:eastAsia="宋体" w:cs="Times New Roman"/>
          <w:color w:val="auto"/>
          <w:kern w:val="0"/>
          <w:sz w:val="24"/>
          <w:szCs w:val="24"/>
          <w:highlight w:val="none"/>
        </w:rPr>
      </w:pPr>
    </w:p>
    <w:p>
      <w:pPr>
        <w:autoSpaceDN w:val="0"/>
        <w:spacing w:before="156" w:beforeLines="50" w:after="156" w:afterLines="50" w:line="400" w:lineRule="exact"/>
        <w:rPr>
          <w:rFonts w:ascii="宋体" w:hAnsi="Courier New" w:eastAsia="宋体" w:cs="Times New Roman"/>
          <w:color w:val="auto"/>
          <w:kern w:val="0"/>
          <w:sz w:val="24"/>
          <w:szCs w:val="24"/>
          <w:highlight w:val="none"/>
        </w:rPr>
      </w:pPr>
    </w:p>
    <w:p>
      <w:pPr>
        <w:autoSpaceDN w:val="0"/>
        <w:spacing w:before="156" w:beforeLines="50" w:after="156" w:afterLines="50" w:line="400" w:lineRule="exact"/>
        <w:rPr>
          <w:rFonts w:ascii="宋体" w:hAnsi="Courier New" w:eastAsia="宋体" w:cs="Times New Roman"/>
          <w:color w:val="auto"/>
          <w:kern w:val="0"/>
          <w:sz w:val="24"/>
          <w:szCs w:val="24"/>
          <w:highlight w:val="none"/>
        </w:rPr>
      </w:pPr>
    </w:p>
    <w:p>
      <w:pPr>
        <w:autoSpaceDN w:val="0"/>
        <w:spacing w:before="156" w:beforeLines="50" w:after="156" w:afterLines="50" w:line="400" w:lineRule="exact"/>
        <w:rPr>
          <w:rFonts w:hint="eastAsia" w:ascii="仿宋" w:hAnsi="仿宋" w:eastAsia="仿宋" w:cs="Times New Roman"/>
          <w:b/>
          <w:bCs/>
          <w:color w:val="auto"/>
          <w:kern w:val="0"/>
          <w:sz w:val="28"/>
          <w:szCs w:val="28"/>
          <w:highlight w:val="none"/>
        </w:rPr>
        <w:sectPr>
          <w:pgSz w:w="11906" w:h="16838"/>
          <w:pgMar w:top="1440" w:right="1800" w:bottom="1440" w:left="1800" w:header="851" w:footer="1077" w:gutter="0"/>
          <w:cols w:space="425" w:num="1"/>
          <w:docGrid w:type="lines" w:linePitch="312" w:charSpace="0"/>
        </w:sectPr>
      </w:pPr>
    </w:p>
    <w:p>
      <w:pPr>
        <w:pStyle w:val="2"/>
        <w:rPr>
          <w:rFonts w:hint="eastAsia" w:ascii="仿宋" w:hAnsi="仿宋" w:eastAsia="仿宋" w:cs="Times New Roman"/>
          <w:b/>
          <w:bCs/>
          <w:color w:val="auto"/>
          <w:kern w:val="0"/>
          <w:sz w:val="28"/>
          <w:szCs w:val="28"/>
          <w:highlight w:val="none"/>
          <w:lang w:val="en-US" w:eastAsia="zh-CN" w:bidi="ar-SA"/>
        </w:rPr>
      </w:pPr>
      <w:r>
        <w:rPr>
          <w:rFonts w:hint="eastAsia" w:ascii="仿宋" w:hAnsi="仿宋" w:eastAsia="仿宋" w:cs="Times New Roman"/>
          <w:b/>
          <w:bCs/>
          <w:color w:val="auto"/>
          <w:kern w:val="0"/>
          <w:sz w:val="28"/>
          <w:szCs w:val="28"/>
          <w:highlight w:val="none"/>
          <w:lang w:val="en-US" w:eastAsia="zh-CN" w:bidi="ar-SA"/>
        </w:rPr>
        <w:t>（3）报价情况说明（如果有）</w:t>
      </w:r>
    </w:p>
    <w:p>
      <w:pPr>
        <w:pStyle w:val="2"/>
        <w:rPr>
          <w:rFonts w:hint="eastAsia" w:ascii="仿宋" w:hAnsi="仿宋" w:eastAsia="仿宋" w:cs="Times New Roman"/>
          <w:b w:val="0"/>
          <w:bCs w:val="0"/>
          <w:color w:val="auto"/>
          <w:kern w:val="0"/>
          <w:sz w:val="24"/>
          <w:szCs w:val="24"/>
          <w:highlight w:val="none"/>
          <w:lang w:val="en-US" w:eastAsia="zh-CN" w:bidi="ar-SA"/>
        </w:rPr>
      </w:pPr>
      <w:r>
        <w:rPr>
          <w:rFonts w:hint="eastAsia" w:ascii="仿宋" w:hAnsi="仿宋" w:eastAsia="仿宋" w:cs="Times New Roman"/>
          <w:b w:val="0"/>
          <w:bCs w:val="0"/>
          <w:color w:val="auto"/>
          <w:kern w:val="0"/>
          <w:sz w:val="24"/>
          <w:szCs w:val="24"/>
          <w:highlight w:val="none"/>
          <w:lang w:val="en-US" w:eastAsia="zh-CN" w:bidi="ar-SA"/>
        </w:rPr>
        <w:t>（如供应商报价低于项目预算50%的，应当提交本文档，详细阐述不影响产品质量或者诚信履约的具体原因）</w:t>
      </w:r>
    </w:p>
    <w:p>
      <w:pPr>
        <w:rPr>
          <w:rFonts w:hint="eastAsia"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br w:type="page"/>
      </w:r>
    </w:p>
    <w:p>
      <w:pPr>
        <w:autoSpaceDN w:val="0"/>
        <w:spacing w:before="156" w:beforeLines="50" w:after="156" w:afterLines="50" w:line="400" w:lineRule="exact"/>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w:t>
      </w:r>
      <w:r>
        <w:rPr>
          <w:rFonts w:hint="eastAsia" w:ascii="仿宋" w:hAnsi="仿宋" w:eastAsia="仿宋" w:cs="Times New Roman"/>
          <w:b/>
          <w:bCs/>
          <w:color w:val="auto"/>
          <w:kern w:val="0"/>
          <w:sz w:val="28"/>
          <w:szCs w:val="28"/>
          <w:highlight w:val="none"/>
          <w:lang w:val="en-US" w:eastAsia="zh-CN"/>
        </w:rPr>
        <w:t>4</w:t>
      </w:r>
      <w:r>
        <w:rPr>
          <w:rFonts w:hint="eastAsia" w:ascii="仿宋" w:hAnsi="仿宋" w:eastAsia="仿宋" w:cs="Times New Roman"/>
          <w:b/>
          <w:bCs/>
          <w:color w:val="auto"/>
          <w:kern w:val="0"/>
          <w:sz w:val="28"/>
          <w:szCs w:val="28"/>
          <w:highlight w:val="none"/>
        </w:rPr>
        <w:t>）供应商认为其他需要提供的资料（如有）</w:t>
      </w:r>
    </w:p>
    <w:p>
      <w:pPr>
        <w:autoSpaceDN w:val="0"/>
        <w:spacing w:before="156" w:beforeLines="50" w:after="156" w:afterLines="50" w:line="400" w:lineRule="exact"/>
        <w:ind w:left="480"/>
        <w:rPr>
          <w:rFonts w:ascii="仿宋" w:hAnsi="仿宋" w:eastAsia="仿宋" w:cs="Times New Roman"/>
          <w:color w:val="auto"/>
          <w:kern w:val="0"/>
          <w:sz w:val="24"/>
          <w:szCs w:val="24"/>
          <w:highlight w:val="none"/>
        </w:rPr>
      </w:pPr>
    </w:p>
    <w:p>
      <w:pPr>
        <w:autoSpaceDN w:val="0"/>
        <w:spacing w:before="156" w:beforeLines="50" w:after="156" w:afterLines="50" w:line="400" w:lineRule="exact"/>
        <w:jc w:val="center"/>
        <w:rPr>
          <w:rFonts w:ascii="仿宋" w:hAnsi="仿宋" w:eastAsia="仿宋" w:cs="Times New Roman"/>
          <w:b/>
          <w:color w:val="auto"/>
          <w:kern w:val="0"/>
          <w:sz w:val="32"/>
          <w:szCs w:val="32"/>
          <w:highlight w:val="none"/>
        </w:rPr>
      </w:pPr>
      <w:r>
        <w:rPr>
          <w:rFonts w:hint="eastAsia" w:ascii="仿宋" w:hAnsi="仿宋" w:eastAsia="仿宋" w:cs="Times New Roman"/>
          <w:b/>
          <w:color w:val="auto"/>
          <w:kern w:val="0"/>
          <w:sz w:val="32"/>
          <w:szCs w:val="32"/>
          <w:highlight w:val="none"/>
        </w:rPr>
        <w:t>其他资料或说明</w:t>
      </w:r>
    </w:p>
    <w:tbl>
      <w:tblPr>
        <w:tblStyle w:val="61"/>
        <w:tblW w:w="9075"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75"/>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0036" w:hRule="atLeast"/>
        </w:trPr>
        <w:tc>
          <w:tcPr>
            <w:tcW w:w="9072" w:type="dxa"/>
            <w:tcBorders>
              <w:top w:val="dotDash" w:color="000000" w:sz="4" w:space="0"/>
              <w:left w:val="dotDash" w:color="000000" w:sz="4" w:space="0"/>
              <w:bottom w:val="dotDash" w:color="000000" w:sz="4" w:space="0"/>
              <w:right w:val="dotDash" w:color="000000" w:sz="4" w:space="0"/>
            </w:tcBorders>
            <w:vAlign w:val="center"/>
          </w:tcPr>
          <w:p>
            <w:pPr>
              <w:autoSpaceDN w:val="0"/>
              <w:spacing w:before="156" w:beforeLines="50" w:after="156" w:afterLines="50" w:line="400" w:lineRule="exact"/>
              <w:rPr>
                <w:rFonts w:ascii="仿宋" w:hAnsi="仿宋" w:eastAsia="仿宋" w:cs="Times New Roman"/>
                <w:b/>
                <w:bCs/>
                <w:color w:val="auto"/>
                <w:kern w:val="0"/>
                <w:sz w:val="24"/>
                <w:szCs w:val="24"/>
                <w:highlight w:val="none"/>
              </w:rPr>
            </w:pPr>
            <w:r>
              <w:rPr>
                <w:rFonts w:hint="eastAsia" w:ascii="仿宋" w:hAnsi="仿宋" w:eastAsia="仿宋" w:cs="Times New Roman"/>
                <w:b/>
                <w:bCs/>
                <w:color w:val="auto"/>
                <w:kern w:val="0"/>
                <w:sz w:val="24"/>
                <w:szCs w:val="24"/>
                <w:highlight w:val="none"/>
              </w:rPr>
              <w:t>（加盖公章，否则视为未提供）</w:t>
            </w:r>
          </w:p>
        </w:tc>
      </w:tr>
    </w:tbl>
    <w:p>
      <w:pPr>
        <w:autoSpaceDN w:val="0"/>
        <w:rPr>
          <w:rFonts w:ascii="Times New Roman" w:hAnsi="Times New Roman" w:eastAsia="宋体" w:cs="Times New Roman"/>
          <w:color w:val="auto"/>
          <w:szCs w:val="24"/>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rPr>
          <w:rFonts w:ascii="宋体" w:hAnsi="Courier New" w:eastAsia="宋体" w:cs="Times New Roman"/>
          <w:color w:val="auto"/>
          <w:spacing w:val="-4"/>
          <w:kern w:val="0"/>
          <w:sz w:val="18"/>
          <w:szCs w:val="20"/>
          <w:highlight w:val="none"/>
        </w:rPr>
      </w:pPr>
    </w:p>
    <w:p>
      <w:pPr>
        <w:autoSpaceDN w:val="0"/>
        <w:snapToGrid w:val="0"/>
        <w:spacing w:line="360" w:lineRule="auto"/>
        <w:ind w:left="238"/>
        <w:jc w:val="center"/>
        <w:outlineLvl w:val="0"/>
        <w:rPr>
          <w:rFonts w:ascii="仿宋" w:hAnsi="仿宋" w:eastAsia="仿宋" w:cs="宋体"/>
          <w:b/>
          <w:color w:val="auto"/>
          <w:sz w:val="32"/>
          <w:szCs w:val="32"/>
          <w:highlight w:val="none"/>
        </w:rPr>
      </w:pPr>
      <w:bookmarkStart w:id="219" w:name="_Toc5995"/>
      <w:r>
        <w:rPr>
          <w:rFonts w:hint="eastAsia" w:ascii="仿宋" w:hAnsi="仿宋" w:eastAsia="仿宋" w:cs="宋体"/>
          <w:b/>
          <w:color w:val="auto"/>
          <w:sz w:val="32"/>
          <w:szCs w:val="32"/>
          <w:highlight w:val="none"/>
        </w:rPr>
        <w:t>第七章 附件</w:t>
      </w:r>
      <w:bookmarkEnd w:id="219"/>
    </w:p>
    <w:p>
      <w:pPr>
        <w:autoSpaceDN w:val="0"/>
        <w:spacing w:line="360"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（以下相关文件及规定如与最新规定不一致的，以最新发布的为准）</w:t>
      </w:r>
    </w:p>
    <w:p>
      <w:pPr>
        <w:keepNext/>
        <w:keepLines/>
        <w:autoSpaceDN w:val="0"/>
        <w:spacing w:before="240" w:line="360" w:lineRule="auto"/>
        <w:jc w:val="left"/>
        <w:outlineLvl w:val="2"/>
        <w:rPr>
          <w:rFonts w:ascii="仿宋" w:hAnsi="仿宋" w:eastAsia="仿宋" w:cs="宋体"/>
          <w:b/>
          <w:bCs/>
          <w:color w:val="auto"/>
          <w:kern w:val="0"/>
          <w:sz w:val="24"/>
          <w:szCs w:val="24"/>
          <w:highlight w:val="none"/>
        </w:rPr>
      </w:pPr>
      <w:bookmarkStart w:id="220" w:name="_Toc4294377"/>
      <w:bookmarkStart w:id="221" w:name="_Toc7492525"/>
      <w:bookmarkStart w:id="222" w:name="_Toc17428251"/>
      <w:bookmarkStart w:id="223" w:name="_Toc7988472"/>
      <w:bookmarkStart w:id="224" w:name="_Toc17428346"/>
      <w:bookmarkStart w:id="225" w:name="_Toc24471815"/>
      <w:bookmarkStart w:id="226" w:name="_Toc20358289"/>
      <w:bookmarkStart w:id="227" w:name="_Toc7574702"/>
      <w:bookmarkStart w:id="228" w:name="_Toc10432455"/>
      <w:bookmarkStart w:id="229" w:name="_Toc7988418"/>
      <w:bookmarkStart w:id="230" w:name="_Toc7664194"/>
      <w:bookmarkStart w:id="231" w:name="_Toc7542913"/>
      <w:bookmarkStart w:id="232" w:name="_Toc7993638"/>
      <w:bookmarkStart w:id="233" w:name="_Toc25765007"/>
      <w:bookmarkStart w:id="234" w:name="_Toc7488756"/>
      <w:bookmarkStart w:id="235" w:name="_Toc8007002"/>
      <w:bookmarkStart w:id="236" w:name="_Toc7668947"/>
      <w:bookmarkStart w:id="237" w:name="_Toc7663594"/>
      <w:bookmarkStart w:id="238" w:name="_Toc522830351"/>
      <w:bookmarkStart w:id="239" w:name="_Toc522417531"/>
      <w:bookmarkStart w:id="240" w:name="_Toc4649580"/>
      <w:bookmarkStart w:id="241" w:name="_Toc532440701"/>
      <w:bookmarkStart w:id="242" w:name="_Toc2002574"/>
      <w:r>
        <w:rPr>
          <w:rFonts w:hint="eastAsia" w:ascii="仿宋" w:hAnsi="仿宋" w:eastAsia="仿宋" w:cs="宋体"/>
          <w:b/>
          <w:bCs/>
          <w:color w:val="auto"/>
          <w:kern w:val="0"/>
          <w:sz w:val="24"/>
          <w:szCs w:val="24"/>
          <w:highlight w:val="none"/>
        </w:rPr>
        <w:t>一、</w:t>
      </w:r>
      <w:bookmarkEnd w:id="220"/>
      <w:r>
        <w:rPr>
          <w:rFonts w:hint="eastAsia" w:ascii="仿宋" w:hAnsi="仿宋" w:eastAsia="仿宋" w:cs="宋体"/>
          <w:b/>
          <w:bCs/>
          <w:color w:val="auto"/>
          <w:kern w:val="0"/>
          <w:sz w:val="24"/>
          <w:szCs w:val="24"/>
          <w:highlight w:val="none"/>
        </w:rPr>
        <w:t>关于调整优化节能产品、环境标志产品政府采购执行机制的通知（财库[2019]9号）</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tbl>
      <w:tblPr>
        <w:tblStyle w:val="61"/>
        <w:tblW w:w="0" w:type="auto"/>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9145"/>
      </w:tblGrid>
      <w:tr>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PrEx>
        <w:tc>
          <w:tcPr>
            <w:tcW w:w="9145" w:type="dxa"/>
            <w:tcBorders>
              <w:top w:val="thinThickSmallGap" w:color="0070C0" w:sz="18" w:space="0"/>
              <w:left w:val="thinThickSmallGap" w:color="0070C0" w:sz="18" w:space="0"/>
              <w:bottom w:val="thinThickSmallGap" w:color="0070C0" w:sz="18" w:space="0"/>
              <w:right w:val="thinThickSmallGap" w:color="0070C0" w:sz="18" w:space="0"/>
            </w:tcBorders>
            <w:noWrap/>
          </w:tcPr>
          <w:p>
            <w:pPr>
              <w:autoSpaceDN w:val="0"/>
              <w:spacing w:line="360" w:lineRule="auto"/>
              <w:jc w:val="center"/>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财政部 发展改革委 生态环境部 市场监管总局</w:t>
            </w:r>
          </w:p>
          <w:p>
            <w:pPr>
              <w:autoSpaceDN w:val="0"/>
              <w:spacing w:line="360" w:lineRule="auto"/>
              <w:jc w:val="center"/>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关于调整优化节能产品、环境标志产品政府采购执行机制的通知</w:t>
            </w:r>
          </w:p>
          <w:p>
            <w:pPr>
              <w:autoSpaceDN w:val="0"/>
              <w:spacing w:line="360" w:lineRule="auto"/>
              <w:jc w:val="center"/>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财库〔2019〕9号</w:t>
            </w:r>
          </w:p>
          <w:p>
            <w:pPr>
              <w:autoSpaceDN w:val="0"/>
              <w:spacing w:line="360" w:lineRule="auto"/>
              <w:jc w:val="center"/>
              <w:rPr>
                <w:rFonts w:ascii="仿宋" w:hAnsi="仿宋" w:eastAsia="仿宋" w:cs="宋体"/>
                <w:b/>
                <w:color w:val="auto"/>
                <w:sz w:val="24"/>
                <w:szCs w:val="24"/>
                <w:highlight w:val="none"/>
              </w:rPr>
            </w:pPr>
          </w:p>
          <w:p>
            <w:pPr>
              <w:autoSpaceDN w:val="0"/>
              <w:spacing w:line="360" w:lineRule="auto"/>
              <w:ind w:firstLine="487"/>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有关中央预算单位，各省、自治区、直辖市、计划单列市财政厅（局）、发展改革委（经信委、工信委、工信厅、经信局）、生态环境厅（局）、市场监管部门，新疆生产建设兵团财政局、发展改革委、工信委、环境保护局、市场监管局：</w:t>
            </w:r>
          </w:p>
          <w:p>
            <w:pPr>
              <w:autoSpaceDN w:val="0"/>
              <w:spacing w:line="360" w:lineRule="auto"/>
              <w:ind w:firstLine="424" w:firstLineChars="177"/>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为落实“放管服”改革要求，完善政府绿色采购政策，简化节能（节水）产品、环境标志产品政府采购执行机制，优化供应商参与政府采购活动的市场环境，现就节能产品、环境标志产品政府采购有关事项通知如下：</w:t>
            </w:r>
          </w:p>
          <w:p>
            <w:pPr>
              <w:autoSpaceDN w:val="0"/>
              <w:spacing w:line="360" w:lineRule="auto"/>
              <w:ind w:firstLine="426" w:firstLineChars="177"/>
              <w:rPr>
                <w:rFonts w:ascii="仿宋" w:hAnsi="仿宋" w:eastAsia="仿宋" w:cs="宋体"/>
                <w:color w:val="auto"/>
                <w:sz w:val="24"/>
                <w:szCs w:val="24"/>
                <w:highlight w:val="none"/>
              </w:rPr>
            </w:pPr>
            <w:r>
              <w:rPr>
                <w:rFonts w:hint="eastAsia" w:ascii="仿宋" w:hAnsi="仿宋" w:eastAsia="仿宋" w:cs="宋体"/>
                <w:b/>
                <w:color w:val="auto"/>
                <w:sz w:val="24"/>
                <w:szCs w:val="24"/>
                <w:highlight w:val="none"/>
              </w:rPr>
              <w:t>一、对政府采购节能产品、环境标志产品实施品目清单管理。</w:t>
            </w:r>
            <w:r>
              <w:rPr>
                <w:rFonts w:hint="eastAsia" w:ascii="仿宋" w:hAnsi="仿宋" w:eastAsia="仿宋" w:cs="宋体"/>
                <w:color w:val="auto"/>
                <w:sz w:val="24"/>
                <w:szCs w:val="24"/>
                <w:highlight w:val="none"/>
              </w:rPr>
              <w:t>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pPr>
              <w:autoSpaceDN w:val="0"/>
              <w:spacing w:line="360" w:lineRule="auto"/>
              <w:ind w:firstLine="426" w:firstLineChars="177"/>
              <w:rPr>
                <w:rFonts w:ascii="仿宋" w:hAnsi="仿宋" w:eastAsia="仿宋" w:cs="宋体"/>
                <w:color w:val="auto"/>
                <w:sz w:val="24"/>
                <w:szCs w:val="24"/>
                <w:highlight w:val="none"/>
              </w:rPr>
            </w:pPr>
            <w:r>
              <w:rPr>
                <w:rFonts w:hint="eastAsia" w:ascii="仿宋" w:hAnsi="仿宋" w:eastAsia="仿宋" w:cs="宋体"/>
                <w:b/>
                <w:color w:val="auto"/>
                <w:sz w:val="24"/>
                <w:szCs w:val="24"/>
                <w:highlight w:val="none"/>
              </w:rPr>
              <w:t>二、依据品目清单和认证证书实施政府优先采购和强制采购。</w:t>
            </w:r>
            <w:r>
              <w:rPr>
                <w:rFonts w:hint="eastAsia" w:ascii="仿宋" w:hAnsi="仿宋" w:eastAsia="仿宋" w:cs="宋体"/>
                <w:color w:val="auto"/>
                <w:sz w:val="24"/>
                <w:szCs w:val="24"/>
                <w:highlight w:val="none"/>
              </w:rPr>
              <w:t>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autoSpaceDN w:val="0"/>
              <w:spacing w:line="360" w:lineRule="auto"/>
              <w:ind w:firstLine="426" w:firstLineChars="177"/>
              <w:rPr>
                <w:rFonts w:ascii="仿宋" w:hAnsi="仿宋" w:eastAsia="仿宋" w:cs="宋体"/>
                <w:color w:val="auto"/>
                <w:sz w:val="24"/>
                <w:szCs w:val="24"/>
                <w:highlight w:val="none"/>
              </w:rPr>
            </w:pPr>
            <w:r>
              <w:rPr>
                <w:rFonts w:hint="eastAsia" w:ascii="仿宋" w:hAnsi="仿宋" w:eastAsia="仿宋" w:cs="宋体"/>
                <w:b/>
                <w:color w:val="auto"/>
                <w:sz w:val="24"/>
                <w:szCs w:val="24"/>
                <w:highlight w:val="none"/>
              </w:rPr>
              <w:t>三、逐步扩大节能产品、环境标志产品认证机构范围。</w:t>
            </w:r>
            <w:r>
              <w:rPr>
                <w:rFonts w:hint="eastAsia" w:ascii="仿宋" w:hAnsi="仿宋" w:eastAsia="仿宋" w:cs="宋体"/>
                <w:color w:val="auto"/>
                <w:sz w:val="24"/>
                <w:szCs w:val="24"/>
                <w:highlight w:val="none"/>
              </w:rPr>
              <w:t>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pPr>
              <w:autoSpaceDN w:val="0"/>
              <w:spacing w:line="360" w:lineRule="auto"/>
              <w:ind w:firstLine="426" w:firstLineChars="177"/>
              <w:rPr>
                <w:rFonts w:ascii="仿宋" w:hAnsi="仿宋" w:eastAsia="仿宋" w:cs="宋体"/>
                <w:color w:val="auto"/>
                <w:sz w:val="24"/>
                <w:szCs w:val="24"/>
                <w:highlight w:val="none"/>
              </w:rPr>
            </w:pPr>
            <w:r>
              <w:rPr>
                <w:rFonts w:hint="eastAsia" w:ascii="仿宋" w:hAnsi="仿宋" w:eastAsia="仿宋" w:cs="宋体"/>
                <w:b/>
                <w:color w:val="auto"/>
                <w:sz w:val="24"/>
                <w:szCs w:val="24"/>
                <w:highlight w:val="none"/>
              </w:rPr>
              <w:t>四、发布认证机构和获证产品信息。</w:t>
            </w:r>
            <w:r>
              <w:rPr>
                <w:rFonts w:hint="eastAsia" w:ascii="仿宋" w:hAnsi="仿宋" w:eastAsia="仿宋" w:cs="宋体"/>
                <w:color w:val="auto"/>
                <w:sz w:val="24"/>
                <w:szCs w:val="24"/>
                <w:highlight w:val="none"/>
              </w:rPr>
              <w:t>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pPr>
              <w:autoSpaceDN w:val="0"/>
              <w:spacing w:line="360" w:lineRule="auto"/>
              <w:ind w:firstLine="426" w:firstLineChars="177"/>
              <w:rPr>
                <w:rFonts w:ascii="仿宋" w:hAnsi="仿宋" w:eastAsia="仿宋" w:cs="宋体"/>
                <w:color w:val="auto"/>
                <w:sz w:val="24"/>
                <w:szCs w:val="24"/>
                <w:highlight w:val="none"/>
              </w:rPr>
            </w:pPr>
            <w:r>
              <w:rPr>
                <w:rFonts w:hint="eastAsia" w:ascii="仿宋" w:hAnsi="仿宋" w:eastAsia="仿宋" w:cs="宋体"/>
                <w:b/>
                <w:color w:val="auto"/>
                <w:sz w:val="24"/>
                <w:szCs w:val="24"/>
                <w:highlight w:val="none"/>
              </w:rPr>
              <w:t>五、加大政府绿色采购力度。</w:t>
            </w:r>
            <w:r>
              <w:rPr>
                <w:rFonts w:hint="eastAsia" w:ascii="仿宋" w:hAnsi="仿宋" w:eastAsia="仿宋" w:cs="宋体"/>
                <w:color w:val="auto"/>
                <w:sz w:val="24"/>
                <w:szCs w:val="24"/>
                <w:highlight w:val="none"/>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autoSpaceDN w:val="0"/>
              <w:spacing w:line="360" w:lineRule="auto"/>
              <w:ind w:firstLine="426" w:firstLineChars="177"/>
              <w:rPr>
                <w:rFonts w:ascii="仿宋" w:hAnsi="仿宋" w:eastAsia="仿宋" w:cs="宋体"/>
                <w:color w:val="auto"/>
                <w:sz w:val="24"/>
                <w:szCs w:val="24"/>
                <w:highlight w:val="none"/>
              </w:rPr>
            </w:pPr>
            <w:r>
              <w:rPr>
                <w:rFonts w:hint="eastAsia" w:ascii="仿宋" w:hAnsi="仿宋" w:eastAsia="仿宋" w:cs="宋体"/>
                <w:b/>
                <w:color w:val="auto"/>
                <w:sz w:val="24"/>
                <w:szCs w:val="24"/>
                <w:highlight w:val="none"/>
              </w:rPr>
              <w:t>六、本通知自2019年4月1日起执行。</w:t>
            </w:r>
            <w:r>
              <w:rPr>
                <w:rFonts w:hint="eastAsia" w:ascii="仿宋" w:hAnsi="仿宋" w:eastAsia="仿宋" w:cs="宋体"/>
                <w:color w:val="auto"/>
                <w:sz w:val="24"/>
                <w:szCs w:val="24"/>
                <w:highlight w:val="none"/>
              </w:rPr>
              <w:t>《财政部 生态环境部关于调整公布第二十二期环境标志产品政府采购清单的通知》（财库〔2018〕70号）和《财政部 国家发展改革委关于调整公布第二十四期节能产品政府采购清单的通知》（财库〔2018〕73号）同时停止执行。</w:t>
            </w:r>
          </w:p>
          <w:p>
            <w:pPr>
              <w:autoSpaceDN w:val="0"/>
              <w:spacing w:line="360" w:lineRule="auto"/>
              <w:jc w:val="righ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财政部 发展改革委 生态环境部 市场监管总局</w:t>
            </w:r>
          </w:p>
          <w:p>
            <w:pPr>
              <w:autoSpaceDN w:val="0"/>
              <w:spacing w:line="360" w:lineRule="auto"/>
              <w:jc w:val="right"/>
              <w:rPr>
                <w:rFonts w:ascii="仿宋" w:hAnsi="仿宋" w:eastAsia="仿宋" w:cs="宋体"/>
                <w:color w:val="auto"/>
                <w:kern w:val="0"/>
                <w:sz w:val="24"/>
                <w:szCs w:val="24"/>
                <w:highlight w:val="none"/>
              </w:rPr>
            </w:pPr>
            <w:r>
              <w:rPr>
                <w:rFonts w:hint="eastAsia" w:ascii="仿宋" w:hAnsi="仿宋" w:eastAsia="仿宋" w:cs="宋体"/>
                <w:color w:val="auto"/>
                <w:sz w:val="24"/>
                <w:szCs w:val="24"/>
                <w:highlight w:val="none"/>
              </w:rPr>
              <w:t>2019年2月1日</w:t>
            </w:r>
          </w:p>
        </w:tc>
      </w:tr>
    </w:tbl>
    <w:p>
      <w:pPr>
        <w:widowControl/>
        <w:shd w:val="clear" w:color="auto" w:fill="FFFFFF"/>
        <w:autoSpaceDN w:val="0"/>
        <w:spacing w:line="360" w:lineRule="auto"/>
        <w:jc w:val="center"/>
        <w:textAlignment w:val="baseline"/>
        <w:rPr>
          <w:rFonts w:ascii="仿宋" w:hAnsi="仿宋" w:eastAsia="仿宋" w:cs="宋体"/>
          <w:color w:val="auto"/>
          <w:kern w:val="0"/>
          <w:sz w:val="24"/>
          <w:szCs w:val="24"/>
          <w:highlight w:val="none"/>
        </w:rPr>
      </w:pPr>
    </w:p>
    <w:p>
      <w:pPr>
        <w:widowControl/>
        <w:autoSpaceDN w:val="0"/>
        <w:spacing w:line="360" w:lineRule="auto"/>
        <w:jc w:val="right"/>
        <w:rPr>
          <w:rFonts w:ascii="仿宋" w:hAnsi="仿宋" w:eastAsia="仿宋" w:cs="宋体"/>
          <w:color w:val="auto"/>
          <w:kern w:val="0"/>
          <w:sz w:val="24"/>
          <w:szCs w:val="24"/>
          <w:highlight w:val="none"/>
        </w:rPr>
      </w:pPr>
    </w:p>
    <w:p>
      <w:pPr>
        <w:keepNext/>
        <w:keepLines/>
        <w:autoSpaceDN w:val="0"/>
        <w:spacing w:before="240" w:line="360" w:lineRule="auto"/>
        <w:jc w:val="left"/>
        <w:outlineLvl w:val="2"/>
        <w:rPr>
          <w:rFonts w:ascii="仿宋" w:hAnsi="仿宋" w:eastAsia="仿宋" w:cs="宋体"/>
          <w:b/>
          <w:bCs/>
          <w:color w:val="auto"/>
          <w:kern w:val="0"/>
          <w:sz w:val="24"/>
          <w:szCs w:val="24"/>
          <w:highlight w:val="none"/>
        </w:rPr>
      </w:pPr>
      <w:r>
        <w:rPr>
          <w:rFonts w:hint="eastAsia" w:ascii="仿宋" w:hAnsi="仿宋" w:eastAsia="仿宋" w:cs="宋体"/>
          <w:b/>
          <w:bCs/>
          <w:color w:val="auto"/>
          <w:kern w:val="0"/>
          <w:sz w:val="24"/>
          <w:szCs w:val="24"/>
          <w:highlight w:val="none"/>
        </w:rPr>
        <w:br w:type="page"/>
      </w:r>
      <w:bookmarkStart w:id="243" w:name="_Toc7663595"/>
      <w:bookmarkStart w:id="244" w:name="_Toc17428252"/>
      <w:bookmarkStart w:id="245" w:name="_Toc8007003"/>
      <w:bookmarkStart w:id="246" w:name="_Toc7988419"/>
      <w:bookmarkStart w:id="247" w:name="_Toc17428347"/>
      <w:bookmarkStart w:id="248" w:name="_Toc7492526"/>
      <w:bookmarkStart w:id="249" w:name="_Toc7668948"/>
      <w:bookmarkStart w:id="250" w:name="_Toc7993639"/>
      <w:bookmarkStart w:id="251" w:name="_Toc7664195"/>
      <w:bookmarkStart w:id="252" w:name="_Toc25765008"/>
      <w:bookmarkStart w:id="253" w:name="_Toc7542914"/>
      <w:bookmarkStart w:id="254" w:name="_Toc7574703"/>
      <w:bookmarkStart w:id="255" w:name="_Toc7988473"/>
      <w:bookmarkStart w:id="256" w:name="_Toc10432456"/>
      <w:bookmarkStart w:id="257" w:name="_Toc20358290"/>
      <w:bookmarkStart w:id="258" w:name="_Toc7488757"/>
      <w:bookmarkStart w:id="259" w:name="_Toc24471816"/>
      <w:r>
        <w:rPr>
          <w:rFonts w:hint="eastAsia" w:ascii="仿宋" w:hAnsi="仿宋" w:eastAsia="仿宋" w:cs="宋体"/>
          <w:b/>
          <w:bCs/>
          <w:color w:val="auto"/>
          <w:kern w:val="0"/>
          <w:sz w:val="24"/>
          <w:szCs w:val="24"/>
          <w:highlight w:val="none"/>
        </w:rPr>
        <w:t>二、关于印发节能产品政府采购品目清单的通知（财库〔2019〕19号）</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tbl>
      <w:tblPr>
        <w:tblStyle w:val="61"/>
        <w:tblW w:w="8970" w:type="dxa"/>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8970"/>
      </w:tblGrid>
      <w:tr>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c>
          <w:tcPr>
            <w:tcW w:w="8969" w:type="dxa"/>
            <w:tcBorders>
              <w:top w:val="thinThickSmallGap" w:color="0070C0" w:sz="18" w:space="0"/>
              <w:left w:val="thinThickSmallGap" w:color="0070C0" w:sz="18" w:space="0"/>
              <w:bottom w:val="thinThickSmallGap" w:color="0070C0" w:sz="18" w:space="0"/>
              <w:right w:val="thinThickSmallGap" w:color="0070C0" w:sz="18" w:space="0"/>
            </w:tcBorders>
            <w:noWrap/>
          </w:tcPr>
          <w:p>
            <w:pPr>
              <w:widowControl/>
              <w:autoSpaceDN w:val="0"/>
              <w:spacing w:line="360" w:lineRule="auto"/>
              <w:jc w:val="center"/>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关于印发节能产品政府采购品目清单的通知</w:t>
            </w:r>
          </w:p>
          <w:p>
            <w:pPr>
              <w:widowControl/>
              <w:autoSpaceDN w:val="0"/>
              <w:spacing w:line="360" w:lineRule="auto"/>
              <w:jc w:val="center"/>
              <w:rPr>
                <w:rFonts w:ascii="仿宋" w:hAnsi="仿宋" w:eastAsia="仿宋" w:cs="宋体"/>
                <w:color w:val="auto"/>
                <w:kern w:val="0"/>
                <w:sz w:val="24"/>
                <w:szCs w:val="24"/>
                <w:highlight w:val="none"/>
              </w:rPr>
            </w:pPr>
            <w:r>
              <w:rPr>
                <w:rFonts w:hint="eastAsia" w:ascii="仿宋" w:hAnsi="仿宋" w:eastAsia="仿宋" w:cs="宋体"/>
                <w:b/>
                <w:color w:val="auto"/>
                <w:kern w:val="0"/>
                <w:sz w:val="24"/>
                <w:szCs w:val="24"/>
                <w:highlight w:val="none"/>
              </w:rPr>
              <w:t>财库〔2019〕19号</w:t>
            </w:r>
          </w:p>
          <w:p>
            <w:pPr>
              <w:widowControl/>
              <w:autoSpaceDN w:val="0"/>
              <w:spacing w:line="360" w:lineRule="auto"/>
              <w:jc w:val="center"/>
              <w:rPr>
                <w:rFonts w:ascii="仿宋" w:hAnsi="仿宋" w:eastAsia="仿宋" w:cs="宋体"/>
                <w:color w:val="auto"/>
                <w:kern w:val="0"/>
                <w:sz w:val="24"/>
                <w:szCs w:val="24"/>
                <w:highlight w:val="none"/>
              </w:rPr>
            </w:pPr>
          </w:p>
          <w:p>
            <w:pPr>
              <w:widowControl/>
              <w:autoSpaceDN w:val="0"/>
              <w:spacing w:line="360" w:lineRule="auto"/>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有关中央预算单位，各省、自治区、直辖市、计划单列市财政厅（局）、发展改革委（经信委、工信委、工信厅、经信局），新疆生产建设兵团财政局、发展改革委：</w:t>
            </w:r>
          </w:p>
          <w:p>
            <w:pPr>
              <w:widowControl/>
              <w:autoSpaceDN w:val="0"/>
              <w:spacing w:line="360" w:lineRule="auto"/>
              <w:jc w:val="left"/>
              <w:rPr>
                <w:rFonts w:ascii="仿宋" w:hAnsi="仿宋" w:eastAsia="仿宋" w:cs="宋体"/>
                <w:color w:val="auto"/>
                <w:kern w:val="0"/>
                <w:sz w:val="24"/>
                <w:szCs w:val="24"/>
                <w:highlight w:val="none"/>
              </w:rPr>
            </w:pPr>
          </w:p>
          <w:p>
            <w:pPr>
              <w:widowControl/>
              <w:autoSpaceDN w:val="0"/>
              <w:spacing w:line="360" w:lineRule="auto"/>
              <w:ind w:firstLine="484" w:firstLineChars="202"/>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根据《财政部发展改革委</w:t>
            </w:r>
            <w:r>
              <w:rPr>
                <w:rFonts w:hint="eastAsia" w:ascii="宋体" w:hAnsi="宋体" w:eastAsia="仿宋" w:cs="宋体"/>
                <w:color w:val="auto"/>
                <w:kern w:val="0"/>
                <w:sz w:val="24"/>
                <w:szCs w:val="24"/>
                <w:highlight w:val="none"/>
              </w:rPr>
              <w:t> </w:t>
            </w:r>
            <w:r>
              <w:rPr>
                <w:rFonts w:hint="eastAsia" w:ascii="仿宋" w:hAnsi="仿宋" w:eastAsia="仿宋" w:cs="宋体"/>
                <w:color w:val="auto"/>
                <w:kern w:val="0"/>
                <w:sz w:val="24"/>
                <w:szCs w:val="24"/>
                <w:highlight w:val="none"/>
              </w:rPr>
              <w:t>生态环境部</w:t>
            </w:r>
            <w:r>
              <w:rPr>
                <w:rFonts w:hint="eastAsia" w:ascii="宋体" w:hAnsi="宋体" w:eastAsia="仿宋" w:cs="宋体"/>
                <w:color w:val="auto"/>
                <w:kern w:val="0"/>
                <w:sz w:val="24"/>
                <w:szCs w:val="24"/>
                <w:highlight w:val="none"/>
              </w:rPr>
              <w:t> </w:t>
            </w:r>
            <w:r>
              <w:rPr>
                <w:rFonts w:hint="eastAsia" w:ascii="仿宋" w:hAnsi="仿宋" w:eastAsia="仿宋" w:cs="宋体"/>
                <w:color w:val="auto"/>
                <w:kern w:val="0"/>
                <w:sz w:val="24"/>
                <w:szCs w:val="24"/>
                <w:highlight w:val="none"/>
              </w:rPr>
              <w:t>市场监管总局关于调整优化节能产品</w:t>
            </w:r>
            <w:r>
              <w:rPr>
                <w:rFonts w:hint="eastAsia" w:ascii="宋体" w:hAnsi="宋体" w:eastAsia="仿宋" w:cs="宋体"/>
                <w:color w:val="auto"/>
                <w:kern w:val="0"/>
                <w:sz w:val="24"/>
                <w:szCs w:val="24"/>
                <w:highlight w:val="none"/>
              </w:rPr>
              <w:t> </w:t>
            </w:r>
            <w:r>
              <w:rPr>
                <w:rFonts w:hint="eastAsia" w:ascii="仿宋" w:hAnsi="仿宋" w:eastAsia="仿宋" w:cs="宋体"/>
                <w:color w:val="auto"/>
                <w:kern w:val="0"/>
                <w:sz w:val="24"/>
                <w:szCs w:val="24"/>
                <w:highlight w:val="none"/>
              </w:rPr>
              <w:t>环境标志产品政府采购执行机制的通知》（财库〔2019〕9号），我们研究制定节能产品政府采购品目清单，现印发给你们，请遵照执行。</w:t>
            </w:r>
          </w:p>
          <w:p>
            <w:pPr>
              <w:widowControl/>
              <w:autoSpaceDN w:val="0"/>
              <w:spacing w:line="360" w:lineRule="auto"/>
              <w:jc w:val="left"/>
              <w:rPr>
                <w:rFonts w:ascii="仿宋" w:hAnsi="仿宋" w:eastAsia="仿宋" w:cs="宋体"/>
                <w:color w:val="auto"/>
                <w:kern w:val="0"/>
                <w:sz w:val="24"/>
                <w:szCs w:val="24"/>
                <w:highlight w:val="none"/>
              </w:rPr>
            </w:pPr>
          </w:p>
          <w:p>
            <w:pPr>
              <w:widowControl/>
              <w:autoSpaceDN w:val="0"/>
              <w:spacing w:line="360" w:lineRule="auto"/>
              <w:jc w:val="left"/>
              <w:rPr>
                <w:rFonts w:ascii="仿宋" w:hAnsi="仿宋" w:eastAsia="仿宋" w:cs="宋体"/>
                <w:color w:val="auto"/>
                <w:kern w:val="0"/>
                <w:sz w:val="24"/>
                <w:szCs w:val="24"/>
                <w:highlight w:val="none"/>
              </w:rPr>
            </w:pPr>
          </w:p>
          <w:p>
            <w:pPr>
              <w:widowControl/>
              <w:autoSpaceDN w:val="0"/>
              <w:spacing w:line="360" w:lineRule="auto"/>
              <w:jc w:val="left"/>
              <w:rPr>
                <w:rFonts w:ascii="仿宋" w:hAnsi="仿宋" w:eastAsia="仿宋" w:cs="宋体"/>
                <w:color w:val="auto"/>
                <w:kern w:val="0"/>
                <w:sz w:val="24"/>
                <w:szCs w:val="24"/>
                <w:highlight w:val="none"/>
              </w:rPr>
            </w:pPr>
          </w:p>
          <w:p>
            <w:pPr>
              <w:widowControl/>
              <w:autoSpaceDN w:val="0"/>
              <w:spacing w:line="360" w:lineRule="auto"/>
              <w:jc w:val="left"/>
              <w:rPr>
                <w:rFonts w:ascii="仿宋" w:hAnsi="仿宋" w:eastAsia="仿宋" w:cs="宋体"/>
                <w:color w:val="auto"/>
                <w:kern w:val="0"/>
                <w:sz w:val="24"/>
                <w:szCs w:val="24"/>
                <w:highlight w:val="none"/>
              </w:rPr>
            </w:pPr>
          </w:p>
          <w:p>
            <w:pPr>
              <w:widowControl/>
              <w:autoSpaceDN w:val="0"/>
              <w:spacing w:line="360" w:lineRule="auto"/>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附件：节能产品政府采购品目清单</w:t>
            </w:r>
          </w:p>
          <w:p>
            <w:pPr>
              <w:widowControl/>
              <w:autoSpaceDN w:val="0"/>
              <w:spacing w:line="360" w:lineRule="auto"/>
              <w:jc w:val="left"/>
              <w:rPr>
                <w:rFonts w:ascii="仿宋" w:hAnsi="仿宋" w:eastAsia="仿宋" w:cs="宋体"/>
                <w:color w:val="auto"/>
                <w:kern w:val="0"/>
                <w:sz w:val="24"/>
                <w:szCs w:val="24"/>
                <w:highlight w:val="none"/>
              </w:rPr>
            </w:pPr>
          </w:p>
          <w:p>
            <w:pPr>
              <w:widowControl/>
              <w:autoSpaceDN w:val="0"/>
              <w:spacing w:line="360" w:lineRule="auto"/>
              <w:jc w:val="left"/>
              <w:rPr>
                <w:rFonts w:ascii="仿宋" w:hAnsi="仿宋" w:eastAsia="仿宋" w:cs="宋体"/>
                <w:color w:val="auto"/>
                <w:kern w:val="0"/>
                <w:sz w:val="24"/>
                <w:szCs w:val="24"/>
                <w:highlight w:val="none"/>
              </w:rPr>
            </w:pPr>
          </w:p>
          <w:p>
            <w:pPr>
              <w:widowControl/>
              <w:autoSpaceDN w:val="0"/>
              <w:spacing w:line="360" w:lineRule="auto"/>
              <w:jc w:val="righ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财政部发展改革委</w:t>
            </w:r>
          </w:p>
          <w:p>
            <w:pPr>
              <w:widowControl/>
              <w:autoSpaceDN w:val="0"/>
              <w:spacing w:line="360" w:lineRule="auto"/>
              <w:jc w:val="right"/>
              <w:rPr>
                <w:rFonts w:ascii="仿宋" w:hAnsi="仿宋" w:eastAsia="仿宋" w:cs="宋体"/>
                <w:b/>
                <w:color w:val="auto"/>
                <w:kern w:val="0"/>
                <w:sz w:val="24"/>
                <w:szCs w:val="24"/>
                <w:highlight w:val="none"/>
              </w:rPr>
            </w:pPr>
            <w:r>
              <w:rPr>
                <w:rFonts w:hint="eastAsia" w:ascii="仿宋" w:hAnsi="仿宋" w:eastAsia="仿宋" w:cs="宋体"/>
                <w:color w:val="auto"/>
                <w:kern w:val="0"/>
                <w:sz w:val="24"/>
                <w:szCs w:val="24"/>
                <w:highlight w:val="none"/>
              </w:rPr>
              <w:t>2019年4月2日</w:t>
            </w:r>
          </w:p>
        </w:tc>
      </w:tr>
    </w:tbl>
    <w:p>
      <w:pPr>
        <w:keepNext/>
        <w:keepLines/>
        <w:autoSpaceDN w:val="0"/>
        <w:spacing w:before="240" w:line="360" w:lineRule="auto"/>
        <w:jc w:val="left"/>
        <w:outlineLvl w:val="3"/>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br w:type="page"/>
      </w:r>
      <w:r>
        <w:rPr>
          <w:rFonts w:hint="eastAsia" w:ascii="仿宋" w:hAnsi="仿宋" w:eastAsia="仿宋" w:cs="宋体"/>
          <w:b/>
          <w:bCs/>
          <w:color w:val="auto"/>
          <w:sz w:val="24"/>
          <w:szCs w:val="24"/>
          <w:highlight w:val="none"/>
        </w:rPr>
        <w:t>附：节能产品政府采购品目清单</w:t>
      </w:r>
    </w:p>
    <w:tbl>
      <w:tblPr>
        <w:tblStyle w:val="61"/>
        <w:tblW w:w="9390" w:type="dxa"/>
        <w:tblInd w:w="-295"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71"/>
        <w:gridCol w:w="1857"/>
        <w:gridCol w:w="2267"/>
        <w:gridCol w:w="1549"/>
        <w:gridCol w:w="3046"/>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672" w:type="dxa"/>
            <w:tcBorders>
              <w:top w:val="thinThickSmallGap" w:color="0070C0" w:sz="18" w:space="0"/>
              <w:left w:val="thinThickSmallGap" w:color="0070C0" w:sz="18" w:space="0"/>
              <w:bottom w:val="single" w:color="0070C0" w:sz="6" w:space="0"/>
              <w:right w:val="single" w:color="0070C0" w:sz="6" w:space="0"/>
            </w:tcBorders>
            <w:shd w:val="clear" w:color="auto" w:fill="DAEEF3"/>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品目序号</w:t>
            </w:r>
          </w:p>
        </w:tc>
        <w:tc>
          <w:tcPr>
            <w:tcW w:w="5676" w:type="dxa"/>
            <w:gridSpan w:val="3"/>
            <w:tcBorders>
              <w:top w:val="thinThickSmallGap" w:color="0070C0" w:sz="18" w:space="0"/>
              <w:left w:val="single" w:color="0070C0" w:sz="6" w:space="0"/>
              <w:bottom w:val="single" w:color="0070C0" w:sz="6" w:space="0"/>
              <w:right w:val="single" w:color="0070C0" w:sz="6" w:space="0"/>
            </w:tcBorders>
            <w:shd w:val="clear" w:color="auto" w:fill="DAEEF3"/>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名称</w:t>
            </w:r>
          </w:p>
        </w:tc>
        <w:tc>
          <w:tcPr>
            <w:tcW w:w="3048" w:type="dxa"/>
            <w:tcBorders>
              <w:top w:val="thinThickSmallGap" w:color="0070C0" w:sz="18" w:space="0"/>
              <w:left w:val="single" w:color="0070C0" w:sz="6" w:space="0"/>
              <w:bottom w:val="single" w:color="0070C0" w:sz="6" w:space="0"/>
              <w:right w:val="thickThinSmallGap" w:color="0070C0" w:sz="18" w:space="0"/>
            </w:tcBorders>
            <w:shd w:val="clear" w:color="auto" w:fill="DAEEF3"/>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依据的标准</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A020101计算机设备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A02010104台式计算机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A02010105便携式计算</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A02010107平板式微型计算机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A020106输入输出设备</w:t>
            </w: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A02010601打印设备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A0201060101喷墨打印机</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A0201060102激光打印机</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A0201060104针式打印机</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A02010604显示设备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A0201060401液晶显示器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《计算机显示器能效限定值及能效等级》（GB 21520）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A02010609图形图像输入设备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A0201060901扫描仪</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参照《复印机、打印机和传真机能效限定值及能效等级》（GB 21521中打印速度为 15 页/分的针式打印机相关要求</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3</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A020202投影仪</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《投影机能效限定值及能效等级（GB 32028）</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4</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A020204多功能一体机</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5</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A020519泵</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A02051901离心泵</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《清水离心泵能效限定值及节能评价值》（GB 19762）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6</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A020523制冷空调设备</w:t>
            </w: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A02052301制冷压缩机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冷水机组</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《冷水机组能效限定值及能效等级》（GB 19577），《低环境温度空气源热泵（冷水）机组能效限定值及能效等级》（GB 37480）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水源热泵机组</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《水（地）源热泵机组能效限定值及能效等级》（GB 30721）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溴化锂吸收式冷水机组</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《溴化锂吸收式冷水机组能效限定值及能效等级》（GB 29540）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A02052305 空调机组</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多联式空调（热泵）机组(制冷量&gt;14000W)</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《多联式空调（热泵）机组能效限定值及能源效率等级》（GB 21454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单元式空气调节机(制冷量&gt;14000W)</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《单元式空气调节机能效限定值及能效等级》（GB 19576）《风管送风式空调机组能效限定值及能效等级》（GB 37479）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A02052309 专用制冷、空调设备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机房空调</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《单元式空气调节机能效限定值及能效等级》（GB 19576）</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A02052399 其他制冷空调设备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冷却塔</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《机械通风冷却塔 第 1 部分：中小型开式冷却塔》（GB /T 7190.1）</w:t>
            </w:r>
          </w:p>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《机械通风冷却塔 第 2 部分：大型开式冷却塔》（GB /T 7190.2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7</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A020601电机</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《中小型三相异步电动机能效限定值及能效等级》（GB 18613）</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8</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A020602变压器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配电变压器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《三相配电变压器能效限定值及能效等级》（GB 20052）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9</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A020609 镇流器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管型荧光灯镇流器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《管形荧光灯镇流器能效限定值及能效等级》（GB 17896）</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10</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A020618 生活用电器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A0206180101 电冰箱</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《家用电冰箱耗电量限定值及能效等级》（GB</w:t>
            </w:r>
            <w:r>
              <w:rPr>
                <w:rFonts w:hint="eastAsia" w:ascii="仿宋" w:hAnsi="仿宋" w:eastAsia="仿宋" w:cs="宋体"/>
                <w:color w:val="auto"/>
                <w:w w:val="90"/>
                <w:sz w:val="24"/>
                <w:szCs w:val="24"/>
                <w:highlight w:val="none"/>
              </w:rPr>
              <w:tab/>
            </w:r>
            <w:r>
              <w:rPr>
                <w:rFonts w:hint="eastAsia" w:ascii="仿宋" w:hAnsi="仿宋" w:eastAsia="仿宋" w:cs="宋体"/>
                <w:color w:val="auto"/>
                <w:w w:val="90"/>
                <w:sz w:val="24"/>
                <w:szCs w:val="24"/>
                <w:highlight w:val="none"/>
              </w:rPr>
              <w:t>12021.2）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A0206180203 空调机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房间空气调节器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《转速可控型房间空气调节器能效限定值及能效等级》（GB21455-2013），待 2019 年修订发布后，按《房间空气调节器能效限定值及能效等级》（GB21455-2019</w:t>
            </w:r>
          </w:p>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实施。</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多联式空调（热泵）机组（制冷量≤ 14000W）</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《多联式空调（热泵）机组能效限定值及能源效率等级》（GB 21454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单元式空气调节机(制冷量≤14000W)</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《单元式空气调节机能效限定值及能源效率等级》（GB 19576）《风管送风式空调机组能效限定值及</w:t>
            </w:r>
          </w:p>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能效等级》（GB 37479）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A0206180301洗衣机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《电动洗衣机能效水效限定值及等级》（GB 12021.4）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A02061808 热水器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电热水器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《储水式电热水器能效限定值及能效等级》（GB</w:t>
            </w:r>
            <w:r>
              <w:rPr>
                <w:rFonts w:hint="eastAsia" w:ascii="仿宋" w:hAnsi="仿宋" w:eastAsia="仿宋" w:cs="宋体"/>
                <w:color w:val="auto"/>
                <w:w w:val="90"/>
                <w:sz w:val="24"/>
                <w:szCs w:val="24"/>
                <w:highlight w:val="none"/>
              </w:rPr>
              <w:tab/>
            </w:r>
            <w:r>
              <w:rPr>
                <w:rFonts w:hint="eastAsia" w:ascii="仿宋" w:hAnsi="仿宋" w:eastAsia="仿宋" w:cs="宋体"/>
                <w:color w:val="auto"/>
                <w:w w:val="90"/>
                <w:sz w:val="24"/>
                <w:szCs w:val="24"/>
                <w:highlight w:val="none"/>
              </w:rPr>
              <w:t>21519）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燃气热水器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《家用燃气快速热水器和燃气采暖热水炉能效限定值及能效等级（GB 20665）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热泵热水器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《热泵热水机（器）能效限定值及能效等级》（GB 29541）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太阳能热水系统</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《家用太阳能热水系统能效限定值及能效等级》（GB 26969）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11</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A020619 照明设备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普通照明用双端荧光灯</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《普通照明用双端荧光灯能效限定值及能效等级》（GB 19043）</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LED道路/隧道照明产品</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《道路和隧道照明用 LED 灯具能效限定值及能效等级》（GB 37478</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LED筒灯</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《室内照明用LED产品能效限定值及能效等级》（GB 30255）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普通照明用非定向自镇流LED灯</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《室内照明用 LED 产品能效限定值及能效等级》（GB 30255）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12</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A020910电视设备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A02091001普通电视设备（电视机）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《平板电视能效限定值及能效等级》（GB 24850）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13</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A020911视频设备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A02091107 视频监控设备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监视器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以射频信号为主要信号输入的监视器应符合《平板电视能效限定值及能效等级》（GB 24850），以数字信号为主要信号输入的监视器应符合《计算机显示器能效限定值及能效等级》（GB 21520）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14</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A031210饮食炊事机械</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商用燃气灶具</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15</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A060805便器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坐便器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《坐便器水效限定值及水效等级</w:t>
            </w:r>
          </w:p>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（GB 25502）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蹲便器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《蹲便器用水效率限定值及用水效率等级》（GB 30717）</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小便器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《小便器用水效率限定值及用水效率等级》（GB 28377）</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16</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A060806水嘴</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《水嘴用水效率限定值及用水效率等级》（GB 25501）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17</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A060807便器冲洗阀</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《便器冲洗阀用水效率限定值及用水效率等级》（GB 28379）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thickThinSmallGap" w:color="0070C0" w:sz="18"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18</w:t>
            </w:r>
          </w:p>
        </w:tc>
        <w:tc>
          <w:tcPr>
            <w:tcW w:w="1858" w:type="dxa"/>
            <w:tcBorders>
              <w:top w:val="single" w:color="0070C0" w:sz="6" w:space="0"/>
              <w:left w:val="single" w:color="0070C0" w:sz="6" w:space="0"/>
              <w:bottom w:val="thickThinSmallGap" w:color="0070C0" w:sz="18"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A060810淋浴器</w:t>
            </w:r>
          </w:p>
        </w:tc>
        <w:tc>
          <w:tcPr>
            <w:tcW w:w="2268" w:type="dxa"/>
            <w:tcBorders>
              <w:top w:val="single" w:color="0070C0" w:sz="6" w:space="0"/>
              <w:left w:val="single" w:color="0070C0" w:sz="6" w:space="0"/>
              <w:bottom w:val="thickThinSmallGap" w:color="0070C0" w:sz="18"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thickThinSmallGap" w:color="0070C0" w:sz="18"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thickThinSmallGap" w:color="0070C0" w:sz="18"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《淋浴器用水效率限定值及用水效率等级》（GB 28378）</w:t>
            </w:r>
          </w:p>
        </w:tc>
      </w:tr>
    </w:tbl>
    <w:p>
      <w:pPr>
        <w:autoSpaceDN w:val="0"/>
        <w:spacing w:line="360" w:lineRule="auto"/>
        <w:ind w:left="-850" w:leftChars="-405" w:right="-1050" w:rightChars="-500" w:firstLine="436" w:firstLineChars="201"/>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注：1、节能产品认证应依据相关国家标准的最新版本，依据国家标准中二级能效（水效）指标。</w:t>
      </w:r>
    </w:p>
    <w:p>
      <w:pPr>
        <w:autoSpaceDN w:val="0"/>
        <w:spacing w:line="360" w:lineRule="auto"/>
        <w:ind w:left="-850" w:leftChars="-405" w:right="-1050" w:rightChars="-500" w:firstLine="436" w:firstLineChars="201"/>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2、上述产品中认证标准发生变更的，依据原认证标准获得的、仍在有效期内的认证证书可使用至2019年6月1日。</w:t>
      </w:r>
    </w:p>
    <w:p>
      <w:pPr>
        <w:autoSpaceDN w:val="0"/>
        <w:spacing w:line="360" w:lineRule="auto"/>
        <w:ind w:left="-850" w:leftChars="-405" w:right="-1050" w:rightChars="-500" w:firstLine="436" w:firstLineChars="201"/>
        <w:rPr>
          <w:rFonts w:ascii="仿宋" w:hAnsi="仿宋" w:eastAsia="仿宋" w:cs="宋体"/>
          <w:color w:val="auto"/>
          <w:sz w:val="24"/>
          <w:szCs w:val="24"/>
          <w:highlight w:val="none"/>
        </w:rPr>
      </w:pPr>
      <w:r>
        <w:rPr>
          <w:rFonts w:hint="eastAsia" w:ascii="仿宋" w:hAnsi="仿宋" w:eastAsia="仿宋" w:cs="宋体"/>
          <w:b/>
          <w:color w:val="auto"/>
          <w:w w:val="90"/>
          <w:sz w:val="24"/>
          <w:szCs w:val="24"/>
          <w:highlight w:val="none"/>
        </w:rPr>
        <w:t>3、以“★”标注的为政府强制采购产品。</w:t>
      </w:r>
    </w:p>
    <w:p>
      <w:pPr>
        <w:keepNext/>
        <w:keepLines/>
        <w:autoSpaceDN w:val="0"/>
        <w:spacing w:before="240" w:line="360" w:lineRule="auto"/>
        <w:jc w:val="left"/>
        <w:outlineLvl w:val="2"/>
        <w:rPr>
          <w:rFonts w:ascii="仿宋" w:hAnsi="仿宋" w:eastAsia="仿宋" w:cs="宋体"/>
          <w:b/>
          <w:bCs/>
          <w:color w:val="auto"/>
          <w:kern w:val="0"/>
          <w:sz w:val="24"/>
          <w:szCs w:val="24"/>
          <w:highlight w:val="none"/>
        </w:rPr>
      </w:pPr>
      <w:r>
        <w:rPr>
          <w:rFonts w:hint="eastAsia" w:ascii="仿宋" w:hAnsi="仿宋" w:eastAsia="仿宋" w:cs="宋体"/>
          <w:b/>
          <w:bCs/>
          <w:color w:val="auto"/>
          <w:kern w:val="0"/>
          <w:sz w:val="24"/>
          <w:szCs w:val="24"/>
          <w:highlight w:val="none"/>
        </w:rPr>
        <w:br w:type="page"/>
      </w:r>
      <w:bookmarkStart w:id="260" w:name="_Toc7488758"/>
      <w:bookmarkStart w:id="261" w:name="_Toc7668949"/>
      <w:bookmarkStart w:id="262" w:name="_Toc7492527"/>
      <w:bookmarkStart w:id="263" w:name="_Toc17428348"/>
      <w:bookmarkStart w:id="264" w:name="_Toc7542915"/>
      <w:bookmarkStart w:id="265" w:name="_Toc17428253"/>
      <w:bookmarkStart w:id="266" w:name="_Toc10432457"/>
      <w:bookmarkStart w:id="267" w:name="_Toc7664196"/>
      <w:bookmarkStart w:id="268" w:name="_Toc7993640"/>
      <w:bookmarkStart w:id="269" w:name="_Toc20358291"/>
      <w:bookmarkStart w:id="270" w:name="_Toc7574704"/>
      <w:bookmarkStart w:id="271" w:name="_Toc8007004"/>
      <w:bookmarkStart w:id="272" w:name="_Toc7988474"/>
      <w:bookmarkStart w:id="273" w:name="_Toc7663596"/>
      <w:bookmarkStart w:id="274" w:name="_Toc7988420"/>
      <w:bookmarkStart w:id="275" w:name="_Toc24471817"/>
      <w:bookmarkStart w:id="276" w:name="_Toc25765009"/>
      <w:r>
        <w:rPr>
          <w:rFonts w:hint="eastAsia" w:ascii="仿宋" w:hAnsi="仿宋" w:eastAsia="仿宋" w:cs="宋体"/>
          <w:b/>
          <w:bCs/>
          <w:color w:val="auto"/>
          <w:kern w:val="0"/>
          <w:sz w:val="24"/>
          <w:szCs w:val="24"/>
          <w:highlight w:val="none"/>
        </w:rPr>
        <w:t>三、关于印发环境标志产品政府采购品目清单的通知（财库〔2019〕18号）</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pPr>
        <w:autoSpaceDN w:val="0"/>
        <w:jc w:val="center"/>
        <w:rPr>
          <w:rFonts w:ascii="仿宋" w:hAnsi="仿宋" w:eastAsia="仿宋" w:cs="宋体"/>
          <w:color w:val="auto"/>
          <w:kern w:val="0"/>
          <w:sz w:val="24"/>
          <w:szCs w:val="24"/>
          <w:highlight w:val="none"/>
        </w:rPr>
      </w:pPr>
    </w:p>
    <w:p>
      <w:pPr>
        <w:autoSpaceDN w:val="0"/>
        <w:jc w:val="center"/>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关于印发环境标志产品政府采购品目清单的通知</w:t>
      </w:r>
    </w:p>
    <w:p>
      <w:pPr>
        <w:autoSpaceDN w:val="0"/>
        <w:jc w:val="center"/>
        <w:rPr>
          <w:rFonts w:ascii="仿宋" w:hAnsi="仿宋" w:eastAsia="仿宋" w:cs="宋体"/>
          <w:color w:val="auto"/>
          <w:sz w:val="24"/>
          <w:szCs w:val="24"/>
          <w:highlight w:val="none"/>
        </w:rPr>
      </w:pPr>
      <w:r>
        <w:rPr>
          <w:rFonts w:hint="eastAsia" w:ascii="仿宋" w:hAnsi="仿宋" w:eastAsia="仿宋" w:cs="宋体"/>
          <w:b/>
          <w:color w:val="auto"/>
          <w:kern w:val="0"/>
          <w:sz w:val="24"/>
          <w:szCs w:val="24"/>
          <w:highlight w:val="none"/>
        </w:rPr>
        <w:t>财库〔2019〕18号</w:t>
      </w:r>
    </w:p>
    <w:p>
      <w:pPr>
        <w:autoSpaceDN w:val="0"/>
        <w:spacing w:line="360" w:lineRule="auto"/>
        <w:rPr>
          <w:rFonts w:ascii="仿宋" w:hAnsi="仿宋" w:eastAsia="仿宋" w:cs="宋体"/>
          <w:color w:val="auto"/>
          <w:kern w:val="0"/>
          <w:sz w:val="24"/>
          <w:szCs w:val="24"/>
          <w:highlight w:val="none"/>
        </w:rPr>
      </w:pPr>
    </w:p>
    <w:p>
      <w:pPr>
        <w:autoSpaceDN w:val="0"/>
        <w:spacing w:line="360" w:lineRule="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有关中央预算单位，各省、自治区、直辖市、计划单列市财政厅（局）、生态环境厅（局），新疆生产建设兵团财政局、环境保护局：</w:t>
      </w:r>
    </w:p>
    <w:p>
      <w:pPr>
        <w:autoSpaceDN w:val="0"/>
        <w:spacing w:line="360" w:lineRule="auto"/>
        <w:rPr>
          <w:rFonts w:ascii="仿宋" w:hAnsi="仿宋" w:eastAsia="仿宋" w:cs="宋体"/>
          <w:color w:val="auto"/>
          <w:kern w:val="0"/>
          <w:sz w:val="24"/>
          <w:szCs w:val="24"/>
          <w:highlight w:val="none"/>
        </w:rPr>
      </w:pPr>
    </w:p>
    <w:p>
      <w:pPr>
        <w:autoSpaceDN w:val="0"/>
        <w:spacing w:line="360" w:lineRule="auto"/>
        <w:ind w:firstLine="484" w:firstLineChars="202"/>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根据《财政部发展改革委 生态环境部 市场监管总局关于调整优化节能产品环境标志产品政府采购执行机制的通知》（财库〔2019〕9号），我们研究制定了环境标志产品政府采购品目清单，现印发给你们，请遵照执行。</w:t>
      </w:r>
    </w:p>
    <w:p>
      <w:pPr>
        <w:autoSpaceDN w:val="0"/>
        <w:spacing w:line="360" w:lineRule="auto"/>
        <w:ind w:firstLine="484" w:firstLineChars="202"/>
        <w:rPr>
          <w:rFonts w:ascii="仿宋" w:hAnsi="仿宋" w:eastAsia="仿宋" w:cs="宋体"/>
          <w:color w:val="auto"/>
          <w:kern w:val="0"/>
          <w:sz w:val="24"/>
          <w:szCs w:val="24"/>
          <w:highlight w:val="none"/>
        </w:rPr>
      </w:pPr>
    </w:p>
    <w:p>
      <w:pPr>
        <w:autoSpaceDN w:val="0"/>
        <w:spacing w:line="360" w:lineRule="auto"/>
        <w:ind w:firstLine="336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附件：环境标志产品政府采购品目清单</w:t>
      </w:r>
    </w:p>
    <w:p>
      <w:pPr>
        <w:autoSpaceDN w:val="0"/>
        <w:spacing w:line="360" w:lineRule="auto"/>
        <w:ind w:firstLine="3360"/>
        <w:rPr>
          <w:rFonts w:ascii="仿宋" w:hAnsi="仿宋" w:eastAsia="仿宋" w:cs="宋体"/>
          <w:color w:val="auto"/>
          <w:kern w:val="0"/>
          <w:sz w:val="24"/>
          <w:szCs w:val="24"/>
          <w:highlight w:val="none"/>
        </w:rPr>
      </w:pPr>
    </w:p>
    <w:p>
      <w:pPr>
        <w:autoSpaceDN w:val="0"/>
        <w:spacing w:line="360" w:lineRule="auto"/>
        <w:jc w:val="righ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财政部   生态环境部</w:t>
      </w:r>
    </w:p>
    <w:p>
      <w:pPr>
        <w:autoSpaceDN w:val="0"/>
        <w:spacing w:line="360" w:lineRule="auto"/>
        <w:jc w:val="righ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2019年3月29日</w:t>
      </w:r>
    </w:p>
    <w:p>
      <w:pPr>
        <w:keepNext/>
        <w:keepLines/>
        <w:autoSpaceDN w:val="0"/>
        <w:spacing w:before="240" w:line="360" w:lineRule="auto"/>
        <w:jc w:val="left"/>
        <w:outlineLvl w:val="3"/>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br w:type="page"/>
      </w:r>
      <w:r>
        <w:rPr>
          <w:rFonts w:hint="eastAsia" w:ascii="仿宋" w:hAnsi="仿宋" w:eastAsia="仿宋" w:cs="宋体"/>
          <w:b/>
          <w:bCs/>
          <w:color w:val="auto"/>
          <w:sz w:val="24"/>
          <w:szCs w:val="24"/>
          <w:highlight w:val="none"/>
        </w:rPr>
        <w:t>附：环境标志产品政府采购品目清单</w:t>
      </w:r>
    </w:p>
    <w:tbl>
      <w:tblPr>
        <w:tblStyle w:val="61"/>
        <w:tblW w:w="9555" w:type="dxa"/>
        <w:tblInd w:w="-459"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710"/>
        <w:gridCol w:w="1985"/>
        <w:gridCol w:w="2268"/>
        <w:gridCol w:w="1855"/>
        <w:gridCol w:w="2737"/>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709" w:type="dxa"/>
            <w:tcBorders>
              <w:top w:val="thinThickSmallGap" w:color="0070C0" w:sz="18" w:space="0"/>
              <w:left w:val="thinThickSmallGap" w:color="0070C0" w:sz="18" w:space="0"/>
              <w:bottom w:val="single" w:color="0070C0" w:sz="6" w:space="0"/>
              <w:right w:val="single" w:color="0070C0" w:sz="6" w:space="0"/>
            </w:tcBorders>
            <w:shd w:val="clear" w:color="auto" w:fill="DAEEF3"/>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品目序号</w:t>
            </w:r>
          </w:p>
        </w:tc>
        <w:tc>
          <w:tcPr>
            <w:tcW w:w="6108" w:type="dxa"/>
            <w:gridSpan w:val="3"/>
            <w:tcBorders>
              <w:top w:val="thinThickSmallGap" w:color="0070C0" w:sz="18" w:space="0"/>
              <w:left w:val="single" w:color="0070C0" w:sz="6" w:space="0"/>
              <w:bottom w:val="single" w:color="0070C0" w:sz="6" w:space="0"/>
              <w:right w:val="single" w:color="0070C0" w:sz="6" w:space="0"/>
            </w:tcBorders>
            <w:shd w:val="clear" w:color="auto" w:fill="DAEEF3"/>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名称</w:t>
            </w:r>
          </w:p>
        </w:tc>
        <w:tc>
          <w:tcPr>
            <w:tcW w:w="2736" w:type="dxa"/>
            <w:tcBorders>
              <w:top w:val="thinThickSmallGap" w:color="0070C0" w:sz="18" w:space="0"/>
              <w:left w:val="single" w:color="0070C0" w:sz="6" w:space="0"/>
              <w:bottom w:val="single" w:color="0070C0" w:sz="6" w:space="0"/>
              <w:right w:val="thickThinSmallGap" w:color="0070C0" w:sz="18" w:space="0"/>
            </w:tcBorders>
            <w:shd w:val="clear" w:color="auto" w:fill="DAEEF3"/>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依据的标准</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A020101计算机设备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A02010103服务器</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HJ2507网络服务器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A02010104台式计算机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A02010105便携式计算机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A02010107平板式微型计算机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A02010108网络计算机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A02010109计算机工作站</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A02010199其他计算机设备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A020106输入输出设备</w:t>
            </w: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A02010601打印设备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A0201060101喷墨打印机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A0201060102激光打印机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A0201060103热式打印机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A0201060104针式打印机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A02010604显示设备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A0201060401液晶显示器</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A0201060499其他显示器</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A02010609图形图像输入设备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A0201060901扫描仪</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HJ2517扫描仪</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3</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A020202投影仪</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HJ2516投影仪</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4</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A020201复印机</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HJ424数字式复印（包括多功能）设备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5</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A020204多功能一体机</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HJ424数字式复印（包括多功能）设备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6</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A020210文印设备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A02021001速印机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HJ472数字式一体化速印机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7</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A020301载货汽车（含自卸汽车）</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8</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A020305乘用车（轿车）</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A02030501轿车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A02030599其他乘用车（轿车）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9</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A020306客车</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A02030601小型客车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10</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A020307专用车辆</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A02030799其他专用汽车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11</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A020523制冷空调设备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A02052301制冷压缩机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HJ2531工商用制冷设备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A02052305空调机组</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HJ2531工商用制冷设备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A02052309专用制冷、空调设备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HJ2531工商用制冷设备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A020618生活用电器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A02061802空气调节电器</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A0206180203空调机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HJ2535房间空气调节器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A02061808热水器</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HJ/T362太阳能集热器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13</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A020619照明设备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A02061908室内照明灯具</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HJ2518照明光源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14</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A020810传真及数据数字通信设备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A02081001传真通信设备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15</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A020910 电视设备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A02091001普通电视设备（电视机）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HJ2506彩色电视广播接收机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A02091003特殊功能应用电视设备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HJ2506彩色电视广播接收机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16</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A0601床类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A060101钢木床类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A060104木制床类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A060199其他床类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17</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A0602台、桌类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A060201钢木台、桌类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A060205木制台、桌类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A060299其他台、桌类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18</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A0603椅凳类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A060301金属骨架为主的椅凳类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A060302木骨架为主的椅凳类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A060399其他椅凳类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19</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A0604沙发类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A060499其他沙发类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20</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A0605柜类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A060501木质柜类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A060503金属质柜类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A060599其他柜类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21</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A0606架类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A060601木质架类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A060602金属质架类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A0607屏风类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A060701木质屏风类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A060702金属质屏风类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23</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A060804水池</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HJ/T296卫生陶瓷</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24</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A060805便器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HJ/T296卫生陶瓷</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25</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A060806水嘴</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HJ/T411水嘴</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26</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A0609组合家具</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27</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A0610家用家具零配件</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28</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A0699其他家具</w:t>
            </w:r>
          </w:p>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用具</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29</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A070101棉、化纤纺织及印染原料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HJ2546纺织产品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30</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A090101复印纸（包括再生复印纸）</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HJ410文化用纸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31</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A090201鼓粉盒（包括再生鼓粉盒）</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32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A100203人造板</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A10020301胶合板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A10020302纤维板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A10020303刨花板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A10020304细木工板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A10020399其他人造板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33</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A100204二次加工材,相关板材</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A10020404人造板表面装饰板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HJ571人造板及其制品/HJ2540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A10020404人造板表面装饰板（地板）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HJ571人造板及其制品/HJ2540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34</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A100301水泥熟料及水泥</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A10030102水泥</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HJ2519水泥</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35</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A100303水泥混凝土制品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A10030301商品混凝土</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HJ/T412预拌混凝土</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36</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A100304纤维增强水泥制品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A10030402纤维增强硅酸钙板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A10030403无石棉纤维水泥制品</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37</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A100305轻质建筑材料及制品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A10030501石膏板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A10030503轻质隔墙条板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38</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A100307建筑陶瓷制品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A10030701瓷质砖</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HJ/T297陶瓷砖</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A10030704炻质砖</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HJ/T297陶瓷砖</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A10030705陶质砖</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HJ/T297陶瓷砖</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A10030799其他建筑陶瓷制品</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HJ/T297陶瓷砖</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39</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A100309建筑防水卷材及制品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A10030901沥青和改性沥青防水卷材</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HJ455防水卷材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A10030903自粘防水卷材</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HJ455防水卷材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A10030906 高分子防水卷（片）材</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HJ455防水卷材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40</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A100310隔热、隔音人造矿物材料及其制品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A10031001矿物绝热和吸声材料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A10031002矿物材料制品</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41</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A100601功能性建筑涂料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42</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A100399 其他非金属矿物制品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A10039901其他非金属建筑材料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HJ456刚性防水材料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43</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A100602墙面涂料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A10060202合成树脂乳液内墙涂料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A10060203合成树脂乳液外墙涂料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A10060299其他墙面涂料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44</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A100604防水涂料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A10060499其他防水涂料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45</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A100699其他建筑涂料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46</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A100701门、门槛</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 237塑料门窗/HJ459 木质门和钢质门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47</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A100702窗</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HJ/T237塑料门窗</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48</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A170108涂料（建筑涂料除外）</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49</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A170112密封用填料及类似品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HJ2541胶粘剂</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thickThinSmallGap" w:color="0070C0" w:sz="18"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50</w:t>
            </w:r>
          </w:p>
        </w:tc>
        <w:tc>
          <w:tcPr>
            <w:tcW w:w="1985" w:type="dxa"/>
            <w:tcBorders>
              <w:top w:val="single" w:color="0070C0" w:sz="6" w:space="0"/>
              <w:left w:val="single" w:color="0070C0" w:sz="6" w:space="0"/>
              <w:bottom w:val="thickThinSmallGap" w:color="0070C0" w:sz="18"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A180201塑料制品</w:t>
            </w:r>
          </w:p>
        </w:tc>
        <w:tc>
          <w:tcPr>
            <w:tcW w:w="2268" w:type="dxa"/>
            <w:tcBorders>
              <w:top w:val="single" w:color="0070C0" w:sz="6" w:space="0"/>
              <w:left w:val="single" w:color="0070C0" w:sz="6" w:space="0"/>
              <w:bottom w:val="thickThinSmallGap" w:color="0070C0" w:sz="18"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1855" w:type="dxa"/>
            <w:tcBorders>
              <w:top w:val="single" w:color="0070C0" w:sz="6" w:space="0"/>
              <w:left w:val="single" w:color="0070C0" w:sz="6" w:space="0"/>
              <w:bottom w:val="thickThinSmallGap" w:color="0070C0" w:sz="18"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thickThinSmallGap" w:color="0070C0" w:sz="18"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HJ/T226建筑用塑料管材/HJ/T231 再生塑料制品</w:t>
            </w:r>
          </w:p>
        </w:tc>
      </w:tr>
    </w:tbl>
    <w:p>
      <w:pPr>
        <w:autoSpaceDN w:val="0"/>
        <w:spacing w:line="360" w:lineRule="auto"/>
        <w:ind w:left="-850" w:leftChars="-405" w:right="-1050" w:rightChars="-500" w:firstLine="436" w:firstLineChars="201"/>
        <w:rPr>
          <w:rFonts w:ascii="仿宋" w:hAnsi="仿宋" w:eastAsia="仿宋" w:cs="宋体"/>
          <w:color w:val="auto"/>
          <w:kern w:val="0"/>
          <w:sz w:val="24"/>
          <w:szCs w:val="24"/>
          <w:highlight w:val="none"/>
        </w:rPr>
      </w:pPr>
      <w:r>
        <w:rPr>
          <w:rFonts w:hint="eastAsia" w:ascii="仿宋" w:hAnsi="仿宋" w:eastAsia="仿宋" w:cs="宋体"/>
          <w:b/>
          <w:color w:val="auto"/>
          <w:w w:val="90"/>
          <w:sz w:val="24"/>
          <w:szCs w:val="24"/>
          <w:highlight w:val="none"/>
        </w:rPr>
        <w:t>注：环境标志产品认证应依据相关标准的最新版本。</w:t>
      </w:r>
    </w:p>
    <w:p>
      <w:pPr>
        <w:keepNext/>
        <w:keepLines/>
        <w:autoSpaceDN w:val="0"/>
        <w:spacing w:before="240" w:line="360" w:lineRule="auto"/>
        <w:jc w:val="left"/>
        <w:outlineLvl w:val="2"/>
        <w:rPr>
          <w:rFonts w:ascii="仿宋" w:hAnsi="仿宋" w:eastAsia="仿宋" w:cs="宋体"/>
          <w:b/>
          <w:bCs/>
          <w:color w:val="auto"/>
          <w:kern w:val="0"/>
          <w:sz w:val="24"/>
          <w:szCs w:val="24"/>
          <w:highlight w:val="none"/>
        </w:rPr>
      </w:pPr>
      <w:r>
        <w:rPr>
          <w:rFonts w:hint="eastAsia" w:ascii="仿宋" w:hAnsi="仿宋" w:eastAsia="仿宋" w:cs="宋体"/>
          <w:b/>
          <w:bCs/>
          <w:color w:val="auto"/>
          <w:kern w:val="0"/>
          <w:sz w:val="24"/>
          <w:szCs w:val="24"/>
          <w:highlight w:val="none"/>
        </w:rPr>
        <w:br w:type="page"/>
      </w:r>
      <w:bookmarkStart w:id="277" w:name="_Toc17428349"/>
      <w:bookmarkStart w:id="278" w:name="_Toc7574705"/>
      <w:bookmarkStart w:id="279" w:name="_Toc7488759"/>
      <w:bookmarkStart w:id="280" w:name="_Toc8007005"/>
      <w:bookmarkStart w:id="281" w:name="_Toc24471818"/>
      <w:bookmarkStart w:id="282" w:name="_Toc7664197"/>
      <w:bookmarkStart w:id="283" w:name="_Toc17428254"/>
      <w:bookmarkStart w:id="284" w:name="_Toc7542916"/>
      <w:bookmarkStart w:id="285" w:name="_Toc7988421"/>
      <w:bookmarkStart w:id="286" w:name="_Toc25765010"/>
      <w:bookmarkStart w:id="287" w:name="_Toc7988475"/>
      <w:bookmarkStart w:id="288" w:name="_Toc10432458"/>
      <w:bookmarkStart w:id="289" w:name="_Toc7663597"/>
      <w:bookmarkStart w:id="290" w:name="_Toc20358292"/>
      <w:bookmarkStart w:id="291" w:name="_Toc7668950"/>
      <w:bookmarkStart w:id="292" w:name="_Toc7492528"/>
      <w:bookmarkStart w:id="293" w:name="_Toc7993641"/>
      <w:r>
        <w:rPr>
          <w:rFonts w:hint="eastAsia" w:ascii="仿宋" w:hAnsi="仿宋" w:eastAsia="仿宋" w:cs="宋体"/>
          <w:b/>
          <w:bCs/>
          <w:color w:val="auto"/>
          <w:kern w:val="0"/>
          <w:sz w:val="24"/>
          <w:szCs w:val="24"/>
          <w:highlight w:val="none"/>
        </w:rPr>
        <w:t>四、市场监管总局关于发布参与实施政府采购节能产品、环境标志产品认证机构名录的公告（2019年第16号）</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pPr>
        <w:widowControl/>
        <w:shd w:val="clear" w:color="auto" w:fill="FFFFFF"/>
        <w:autoSpaceDN w:val="0"/>
        <w:spacing w:before="68" w:after="299" w:line="360" w:lineRule="auto"/>
        <w:jc w:val="center"/>
        <w:textAlignment w:val="baseline"/>
        <w:rPr>
          <w:rFonts w:ascii="仿宋" w:hAnsi="仿宋" w:eastAsia="仿宋" w:cs="宋体"/>
          <w:b/>
          <w:color w:val="auto"/>
          <w:kern w:val="0"/>
          <w:sz w:val="24"/>
          <w:szCs w:val="24"/>
          <w:highlight w:val="none"/>
        </w:rPr>
      </w:pPr>
    </w:p>
    <w:p>
      <w:pPr>
        <w:widowControl/>
        <w:shd w:val="clear" w:color="auto" w:fill="FFFFFF"/>
        <w:autoSpaceDN w:val="0"/>
        <w:spacing w:before="68" w:after="299" w:line="360" w:lineRule="auto"/>
        <w:jc w:val="center"/>
        <w:textAlignment w:val="baseline"/>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市场监管总局关于发布参与实施政府采购节能产品、环境</w:t>
      </w:r>
    </w:p>
    <w:p>
      <w:pPr>
        <w:widowControl/>
        <w:shd w:val="clear" w:color="auto" w:fill="FFFFFF"/>
        <w:autoSpaceDN w:val="0"/>
        <w:spacing w:before="68" w:after="299" w:line="360" w:lineRule="auto"/>
        <w:jc w:val="center"/>
        <w:textAlignment w:val="baseline"/>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标志产品认证机构名录的公告</w:t>
      </w:r>
    </w:p>
    <w:p>
      <w:pPr>
        <w:widowControl/>
        <w:shd w:val="clear" w:color="auto" w:fill="FFFFFF"/>
        <w:autoSpaceDN w:val="0"/>
        <w:spacing w:before="68" w:after="299" w:line="360" w:lineRule="auto"/>
        <w:jc w:val="center"/>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2019年第16号</w:t>
      </w:r>
    </w:p>
    <w:p>
      <w:pPr>
        <w:widowControl/>
        <w:shd w:val="clear" w:color="auto" w:fill="FFFFFF"/>
        <w:autoSpaceDN w:val="0"/>
        <w:spacing w:before="68" w:after="299" w:line="360" w:lineRule="auto"/>
        <w:ind w:firstLine="424" w:firstLineChars="177"/>
        <w:jc w:val="left"/>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pPr>
        <w:widowControl/>
        <w:shd w:val="clear" w:color="auto" w:fill="FFFFFF"/>
        <w:autoSpaceDN w:val="0"/>
        <w:spacing w:before="68" w:after="299" w:line="360" w:lineRule="auto"/>
        <w:ind w:firstLine="424" w:firstLineChars="177"/>
        <w:jc w:val="left"/>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自本公告发布后，新增认证机构应尽快完成政府采购认证信息系统对接，对接完成后方可开展相关认证工作。</w:t>
      </w:r>
    </w:p>
    <w:p>
      <w:pPr>
        <w:widowControl/>
        <w:shd w:val="clear" w:color="auto" w:fill="FFFFFF"/>
        <w:autoSpaceDN w:val="0"/>
        <w:spacing w:before="68" w:after="299" w:line="360" w:lineRule="auto"/>
        <w:jc w:val="right"/>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市场监管总局</w:t>
      </w:r>
    </w:p>
    <w:p>
      <w:pPr>
        <w:widowControl/>
        <w:shd w:val="clear" w:color="auto" w:fill="FFFFFF"/>
        <w:autoSpaceDN w:val="0"/>
        <w:spacing w:before="68" w:after="299" w:line="360" w:lineRule="auto"/>
        <w:jc w:val="right"/>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2019年4月3日</w:t>
      </w:r>
    </w:p>
    <w:p>
      <w:pPr>
        <w:keepNext/>
        <w:keepLines/>
        <w:autoSpaceDN w:val="0"/>
        <w:spacing w:before="240" w:line="360" w:lineRule="auto"/>
        <w:jc w:val="left"/>
        <w:outlineLvl w:val="3"/>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br w:type="page"/>
      </w:r>
      <w:r>
        <w:rPr>
          <w:rFonts w:hint="eastAsia" w:ascii="仿宋" w:hAnsi="仿宋" w:eastAsia="仿宋" w:cs="宋体"/>
          <w:b/>
          <w:bCs/>
          <w:color w:val="auto"/>
          <w:sz w:val="24"/>
          <w:szCs w:val="24"/>
          <w:highlight w:val="none"/>
        </w:rPr>
        <w:t>附1：参与实施政府采购节能产品认证机构名录</w:t>
      </w:r>
    </w:p>
    <w:tbl>
      <w:tblPr>
        <w:tblStyle w:val="61"/>
        <w:tblW w:w="9090"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567"/>
        <w:gridCol w:w="1135"/>
        <w:gridCol w:w="1348"/>
        <w:gridCol w:w="1309"/>
        <w:gridCol w:w="1597"/>
        <w:gridCol w:w="3134"/>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568" w:type="dxa"/>
            <w:vMerge w:val="restart"/>
            <w:tcBorders>
              <w:top w:val="thinThickSmallGap" w:color="0070C0" w:sz="18" w:space="0"/>
              <w:left w:val="thinThickSmallGap" w:color="0070C0" w:sz="18"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b/>
                <w:color w:val="auto"/>
                <w:w w:val="90"/>
                <w:kern w:val="0"/>
                <w:sz w:val="24"/>
                <w:szCs w:val="24"/>
                <w:highlight w:val="none"/>
              </w:rPr>
            </w:pPr>
            <w:r>
              <w:rPr>
                <w:rFonts w:hint="eastAsia" w:ascii="仿宋" w:hAnsi="仿宋" w:eastAsia="仿宋" w:cs="宋体"/>
                <w:b/>
                <w:color w:val="auto"/>
                <w:w w:val="90"/>
                <w:kern w:val="0"/>
                <w:sz w:val="24"/>
                <w:szCs w:val="24"/>
                <w:highlight w:val="none"/>
              </w:rPr>
              <w:t>序号</w:t>
            </w:r>
          </w:p>
        </w:tc>
        <w:tc>
          <w:tcPr>
            <w:tcW w:w="2481" w:type="dxa"/>
            <w:gridSpan w:val="2"/>
            <w:tcBorders>
              <w:top w:val="thinThickSmallGap" w:color="0070C0" w:sz="18"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b/>
                <w:color w:val="auto"/>
                <w:w w:val="90"/>
                <w:kern w:val="0"/>
                <w:sz w:val="24"/>
                <w:szCs w:val="24"/>
                <w:highlight w:val="none"/>
              </w:rPr>
            </w:pPr>
            <w:r>
              <w:rPr>
                <w:rFonts w:hint="eastAsia" w:ascii="仿宋" w:hAnsi="仿宋" w:eastAsia="仿宋" w:cs="宋体"/>
                <w:b/>
                <w:color w:val="auto"/>
                <w:w w:val="90"/>
                <w:kern w:val="0"/>
                <w:sz w:val="24"/>
                <w:szCs w:val="24"/>
                <w:highlight w:val="none"/>
              </w:rPr>
              <w:t>一级目录</w:t>
            </w:r>
          </w:p>
        </w:tc>
        <w:tc>
          <w:tcPr>
            <w:tcW w:w="2904" w:type="dxa"/>
            <w:gridSpan w:val="2"/>
            <w:tcBorders>
              <w:top w:val="thinThickSmallGap" w:color="0070C0" w:sz="18"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b/>
                <w:color w:val="auto"/>
                <w:w w:val="90"/>
                <w:kern w:val="0"/>
                <w:sz w:val="24"/>
                <w:szCs w:val="24"/>
                <w:highlight w:val="none"/>
              </w:rPr>
            </w:pPr>
            <w:r>
              <w:rPr>
                <w:rFonts w:hint="eastAsia" w:ascii="仿宋" w:hAnsi="仿宋" w:eastAsia="仿宋" w:cs="宋体"/>
                <w:b/>
                <w:color w:val="auto"/>
                <w:w w:val="90"/>
                <w:kern w:val="0"/>
                <w:sz w:val="24"/>
                <w:szCs w:val="24"/>
                <w:highlight w:val="none"/>
              </w:rPr>
              <w:t>二级目录</w:t>
            </w:r>
          </w:p>
        </w:tc>
        <w:tc>
          <w:tcPr>
            <w:tcW w:w="3132" w:type="dxa"/>
            <w:vMerge w:val="restart"/>
            <w:tcBorders>
              <w:top w:val="thinThickSmallGap" w:color="0070C0" w:sz="18" w:space="0"/>
              <w:left w:val="single" w:color="0070C0" w:sz="6" w:space="0"/>
              <w:bottom w:val="single" w:color="0070C0" w:sz="6" w:space="0"/>
              <w:right w:val="thickThinSmallGap" w:color="0070C0" w:sz="18" w:space="0"/>
            </w:tcBorders>
            <w:shd w:val="clear" w:color="auto" w:fill="DAEEF3"/>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b/>
                <w:color w:val="auto"/>
                <w:w w:val="90"/>
                <w:kern w:val="0"/>
                <w:sz w:val="24"/>
                <w:szCs w:val="24"/>
                <w:highlight w:val="none"/>
              </w:rPr>
            </w:pPr>
            <w:r>
              <w:rPr>
                <w:rFonts w:hint="eastAsia" w:ascii="仿宋" w:hAnsi="仿宋" w:eastAsia="仿宋" w:cs="宋体"/>
                <w:b/>
                <w:color w:val="auto"/>
                <w:w w:val="90"/>
                <w:kern w:val="0"/>
                <w:sz w:val="24"/>
                <w:szCs w:val="24"/>
                <w:highlight w:val="none"/>
              </w:rPr>
              <w:t>认证机构名录</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568" w:type="dxa"/>
            <w:vMerge w:val="continue"/>
            <w:tcBorders>
              <w:top w:val="thinThickSmallGap" w:color="0070C0" w:sz="18"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b/>
                <w:color w:val="auto"/>
                <w:w w:val="90"/>
                <w:kern w:val="0"/>
                <w:sz w:val="24"/>
                <w:szCs w:val="24"/>
                <w:highlight w:val="none"/>
              </w:rPr>
            </w:pPr>
          </w:p>
        </w:tc>
        <w:tc>
          <w:tcPr>
            <w:tcW w:w="1134"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b/>
                <w:color w:val="auto"/>
                <w:w w:val="90"/>
                <w:kern w:val="0"/>
                <w:sz w:val="24"/>
                <w:szCs w:val="24"/>
                <w:highlight w:val="none"/>
              </w:rPr>
            </w:pPr>
            <w:r>
              <w:rPr>
                <w:rFonts w:hint="eastAsia" w:ascii="仿宋" w:hAnsi="仿宋" w:eastAsia="仿宋" w:cs="宋体"/>
                <w:b/>
                <w:color w:val="auto"/>
                <w:w w:val="90"/>
                <w:kern w:val="0"/>
                <w:sz w:val="24"/>
                <w:szCs w:val="24"/>
                <w:highlight w:val="none"/>
              </w:rPr>
              <w:t>产品代码</w:t>
            </w:r>
          </w:p>
        </w:tc>
        <w:tc>
          <w:tcPr>
            <w:tcW w:w="1347"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b/>
                <w:color w:val="auto"/>
                <w:w w:val="90"/>
                <w:kern w:val="0"/>
                <w:sz w:val="24"/>
                <w:szCs w:val="24"/>
                <w:highlight w:val="none"/>
              </w:rPr>
            </w:pPr>
            <w:r>
              <w:rPr>
                <w:rFonts w:hint="eastAsia" w:ascii="仿宋" w:hAnsi="仿宋" w:eastAsia="仿宋" w:cs="宋体"/>
                <w:b/>
                <w:color w:val="auto"/>
                <w:w w:val="90"/>
                <w:kern w:val="0"/>
                <w:sz w:val="24"/>
                <w:szCs w:val="24"/>
                <w:highlight w:val="none"/>
              </w:rPr>
              <w:t>产品名称</w:t>
            </w:r>
          </w:p>
        </w:tc>
        <w:tc>
          <w:tcPr>
            <w:tcW w:w="1308"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b/>
                <w:color w:val="auto"/>
                <w:w w:val="90"/>
                <w:kern w:val="0"/>
                <w:sz w:val="24"/>
                <w:szCs w:val="24"/>
                <w:highlight w:val="none"/>
              </w:rPr>
            </w:pPr>
            <w:r>
              <w:rPr>
                <w:rFonts w:hint="eastAsia" w:ascii="仿宋" w:hAnsi="仿宋" w:eastAsia="仿宋" w:cs="宋体"/>
                <w:b/>
                <w:color w:val="auto"/>
                <w:w w:val="90"/>
                <w:kern w:val="0"/>
                <w:sz w:val="24"/>
                <w:szCs w:val="24"/>
                <w:highlight w:val="none"/>
              </w:rPr>
              <w:t>产品代码</w:t>
            </w:r>
          </w:p>
        </w:tc>
        <w:tc>
          <w:tcPr>
            <w:tcW w:w="1596"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b/>
                <w:color w:val="auto"/>
                <w:w w:val="90"/>
                <w:kern w:val="0"/>
                <w:sz w:val="24"/>
                <w:szCs w:val="24"/>
                <w:highlight w:val="none"/>
              </w:rPr>
            </w:pPr>
            <w:r>
              <w:rPr>
                <w:rFonts w:hint="eastAsia" w:ascii="仿宋" w:hAnsi="仿宋" w:eastAsia="仿宋" w:cs="宋体"/>
                <w:b/>
                <w:color w:val="auto"/>
                <w:w w:val="90"/>
                <w:kern w:val="0"/>
                <w:sz w:val="24"/>
                <w:szCs w:val="24"/>
                <w:highlight w:val="none"/>
              </w:rPr>
              <w:t>产品名称</w:t>
            </w:r>
          </w:p>
        </w:tc>
        <w:tc>
          <w:tcPr>
            <w:tcW w:w="3132" w:type="dxa"/>
            <w:vMerge w:val="continue"/>
            <w:tcBorders>
              <w:top w:val="thinThickSmallGap" w:color="0070C0" w:sz="18"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b/>
                <w:color w:val="auto"/>
                <w:w w:val="90"/>
                <w:kern w:val="0"/>
                <w:sz w:val="24"/>
                <w:szCs w:val="24"/>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A020101</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计算机设备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A02010104</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台式计算机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北京赛西认证有限责任公司</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中国网络安全审查技术与认证中心</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广州赛宝认证中心服务有限公司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A02010105</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便携式计算机</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A02010107</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平板式微型计算机</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2</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A020106</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输入输出设备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A02010601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打印设备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A02010604</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显示设备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A02010609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图形图像输入设备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3</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A020202</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投影仪</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4</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A020204</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多功能一体机</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5</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A020519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泵</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A02051901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离心泵</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电能（北京）认证中心有限公司</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方圆标志认证集团有限公司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6</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A020523</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制冷空调设备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A02052301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制冷压缩机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威凯认证检测有限公司</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合肥通用机械产品认证有限公司</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北京中冷通质量认证中心有限公司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A02052305</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空调机组</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A02052309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专用制冷、空调设备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A02052399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其他制冷空调设备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7</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A020601</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电机</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威凯认证检测有限公司</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电能（北京）认证中心有限公司</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中国船级社质量认证公司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8</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A020602</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变压器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电能（北京）认证中心有限公司</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方圆标志认证集团有限公司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9</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A020609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镇流器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深圳市计量质量检测研究院</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中标合信（北京）认证有限公司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10</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A020618</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生活用电器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A0206180101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电冰箱</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威凯认证检测有限公司</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中家院（北京）检测认证有限公司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A0206180203</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空调机</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威凯认证检测有限公司</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中家院（北京）检测认证有限公司</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合肥通用机械产品认证有限公司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A0206180301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洗衣机</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威凯认证检测有限公司</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中家院（北京）检测认证有限公司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A02061808</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热水器</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威凯认证检测有限公司</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中家院（北京）检测认证有限公司</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合肥通用机械产品认证有限公司(范围仅限于“热泵热水器”)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11</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A020619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照明设备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深圳市计量质量检测研究院</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中标合信（北京）认证有限公司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12</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A020910</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电视设备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A02091001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普通电视设备（电视机）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北京泰瑞特认证有限责任公司</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广州赛宝认证中心服务有限公司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13</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A020911</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视频设备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A02091107</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视频监控设备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14</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A031210</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饮食炊事机械</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北京鉴衡认证中心</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中国市政工程华北设计研究总院有限公司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15</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A060805</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便器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vMerge w:val="restart"/>
            <w:tcBorders>
              <w:top w:val="single" w:color="0070C0" w:sz="6" w:space="0"/>
              <w:left w:val="single" w:color="0070C0" w:sz="6" w:space="0"/>
              <w:bottom w:val="thickThinSmallGap" w:color="0070C0" w:sz="18"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北京新华节水产品认证有限公司</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方圆标志认证集团有限公司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16</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A060806</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水嘴</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17</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A060807</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便器冲洗阀</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18</w:t>
            </w:r>
          </w:p>
        </w:tc>
        <w:tc>
          <w:tcPr>
            <w:tcW w:w="1134"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A060810</w:t>
            </w:r>
          </w:p>
        </w:tc>
        <w:tc>
          <w:tcPr>
            <w:tcW w:w="1347"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淋浴器</w:t>
            </w:r>
          </w:p>
        </w:tc>
        <w:tc>
          <w:tcPr>
            <w:tcW w:w="1308"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r>
    </w:tbl>
    <w:p>
      <w:pPr>
        <w:keepNext/>
        <w:keepLines/>
        <w:autoSpaceDN w:val="0"/>
        <w:spacing w:before="240" w:line="360" w:lineRule="auto"/>
        <w:jc w:val="left"/>
        <w:outlineLvl w:val="3"/>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附2：参与实施政府采购环境标志产品认证机构名录</w:t>
      </w:r>
    </w:p>
    <w:tbl>
      <w:tblPr>
        <w:tblStyle w:val="61"/>
        <w:tblW w:w="9105"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851"/>
        <w:gridCol w:w="2287"/>
        <w:gridCol w:w="5967"/>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851" w:type="dxa"/>
            <w:tcBorders>
              <w:top w:val="thinThickSmallGap" w:color="0070C0" w:sz="18" w:space="0"/>
              <w:left w:val="thinThickSmallGap" w:color="0070C0" w:sz="18" w:space="0"/>
              <w:bottom w:val="single" w:color="0070C0" w:sz="6" w:space="0"/>
              <w:right w:val="single" w:color="0070C0" w:sz="6" w:space="0"/>
            </w:tcBorders>
            <w:shd w:val="clear" w:color="auto" w:fill="FDE9D9"/>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序号</w:t>
            </w:r>
          </w:p>
        </w:tc>
        <w:tc>
          <w:tcPr>
            <w:tcW w:w="2288" w:type="dxa"/>
            <w:tcBorders>
              <w:top w:val="thinThickSmallGap" w:color="0070C0" w:sz="18" w:space="0"/>
              <w:left w:val="single" w:color="0070C0" w:sz="6" w:space="0"/>
              <w:bottom w:val="single" w:color="0070C0" w:sz="6" w:space="0"/>
              <w:right w:val="single" w:color="0070C0" w:sz="6" w:space="0"/>
            </w:tcBorders>
            <w:shd w:val="clear" w:color="auto" w:fill="FDE9D9"/>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目录</w:t>
            </w:r>
          </w:p>
        </w:tc>
        <w:tc>
          <w:tcPr>
            <w:tcW w:w="5970" w:type="dxa"/>
            <w:tcBorders>
              <w:top w:val="thinThickSmallGap" w:color="0070C0" w:sz="18" w:space="0"/>
              <w:left w:val="single" w:color="0070C0" w:sz="6" w:space="0"/>
              <w:bottom w:val="single" w:color="0070C0" w:sz="6" w:space="0"/>
              <w:right w:val="thickThinSmallGap" w:color="0070C0" w:sz="18" w:space="0"/>
            </w:tcBorders>
            <w:shd w:val="clear" w:color="auto" w:fill="FDE9D9"/>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认证机构名录</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851" w:type="dxa"/>
            <w:tcBorders>
              <w:top w:val="single" w:color="0070C0" w:sz="6" w:space="0"/>
              <w:left w:val="thinThickSmallGap" w:color="0070C0" w:sz="18"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w:t>
            </w:r>
          </w:p>
        </w:tc>
        <w:tc>
          <w:tcPr>
            <w:tcW w:w="2288"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环境标志产品</w:t>
            </w:r>
          </w:p>
        </w:tc>
        <w:tc>
          <w:tcPr>
            <w:tcW w:w="5970" w:type="dxa"/>
            <w:tcBorders>
              <w:top w:val="single" w:color="0070C0" w:sz="6" w:space="0"/>
              <w:left w:val="single" w:color="0070C0" w:sz="6" w:space="0"/>
              <w:bottom w:val="thickThinSmallGap" w:color="0070C0" w:sz="18"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中环联合（北京）认证中心有限公司</w:t>
            </w:r>
          </w:p>
          <w:p>
            <w:pPr>
              <w:widowControl/>
              <w:autoSpaceDN w:val="0"/>
              <w:spacing w:line="276" w:lineRule="auto"/>
              <w:jc w:val="left"/>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中标合信（北京）认证有限公司</w:t>
            </w:r>
          </w:p>
          <w:p>
            <w:pPr>
              <w:widowControl/>
              <w:autoSpaceDN w:val="0"/>
              <w:spacing w:line="276" w:lineRule="auto"/>
              <w:jc w:val="left"/>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中环协（北京）认证有限公司</w:t>
            </w:r>
          </w:p>
          <w:p>
            <w:pPr>
              <w:widowControl/>
              <w:autoSpaceDN w:val="0"/>
              <w:spacing w:line="276" w:lineRule="auto"/>
              <w:jc w:val="left"/>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天津华诚认证有限公司</w:t>
            </w:r>
          </w:p>
        </w:tc>
      </w:tr>
      <w:bookmarkEnd w:id="238"/>
      <w:bookmarkEnd w:id="239"/>
      <w:bookmarkEnd w:id="240"/>
      <w:bookmarkEnd w:id="241"/>
      <w:bookmarkEnd w:id="242"/>
    </w:tbl>
    <w:p>
      <w:pPr>
        <w:autoSpaceDN w:val="0"/>
        <w:rPr>
          <w:rFonts w:ascii="仿宋" w:hAnsi="仿宋" w:eastAsia="仿宋" w:cs="宋体"/>
          <w:b/>
          <w:bCs/>
          <w:color w:val="auto"/>
          <w:sz w:val="24"/>
          <w:szCs w:val="24"/>
          <w:highlight w:val="none"/>
        </w:rPr>
      </w:pPr>
    </w:p>
    <w:p>
      <w:pPr>
        <w:rPr>
          <w:rFonts w:ascii="Times New Roman" w:hAnsi="Times New Roman" w:eastAsia="宋体" w:cs="Times New Roman"/>
          <w:color w:val="auto"/>
          <w:szCs w:val="24"/>
          <w:highlight w:val="none"/>
        </w:rPr>
      </w:pPr>
    </w:p>
    <w:p>
      <w:pPr>
        <w:rPr>
          <w:rFonts w:ascii="Times New Roman" w:hAnsi="Times New Roman" w:eastAsia="宋体" w:cs="Times New Roman"/>
          <w:color w:val="auto"/>
          <w:szCs w:val="24"/>
          <w:highlight w:val="none"/>
        </w:rPr>
      </w:pPr>
    </w:p>
    <w:bookmarkEnd w:id="0"/>
    <w:p>
      <w:pPr>
        <w:rPr>
          <w:color w:val="auto"/>
          <w:highlight w:val="none"/>
        </w:rPr>
      </w:pPr>
    </w:p>
    <w:sectPr>
      <w:pgSz w:w="11906" w:h="16838"/>
      <w:pgMar w:top="1440" w:right="1800" w:bottom="1440" w:left="1800" w:header="851" w:footer="107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ヒラギノ角ゴ Pro W3">
    <w:altName w:val="微软雅黑"/>
    <w:panose1 w:val="00000000000000000000"/>
    <w:charset w:val="00"/>
    <w:family w:val="roman"/>
    <w:pitch w:val="default"/>
    <w:sig w:usb0="00000000" w:usb1="00000000" w:usb2="00000000" w:usb3="00000000" w:csb0="00040001" w:csb1="00000000"/>
  </w:font>
  <w:font w:name="..ì.">
    <w:altName w:val="宋体"/>
    <w:panose1 w:val="00000000000000000000"/>
    <w:charset w:val="86"/>
    <w:family w:val="roman"/>
    <w:pitch w:val="default"/>
    <w:sig w:usb0="00000000" w:usb1="00000000" w:usb2="00000000" w:usb3="00000000" w:csb0="00040001" w:csb1="00000000"/>
  </w:font>
  <w:font w:name="Calibri Bold">
    <w:altName w:val="Calibri"/>
    <w:panose1 w:val="020F0702030404030204"/>
    <w:charset w:val="00"/>
    <w:family w:val="roman"/>
    <w:pitch w:val="default"/>
    <w:sig w:usb0="00000000" w:usb1="00000000" w:usb2="00000000" w:usb3="00000000" w:csb0="00040001" w:csb1="00000000"/>
  </w:font>
  <w:font w:name="???|CS?o｡ﾀ?">
    <w:altName w:val="Yu Gothic"/>
    <w:panose1 w:val="00000000000000000000"/>
    <w:charset w:val="80"/>
    <w:family w:val="modern"/>
    <w:pitch w:val="default"/>
    <w:sig w:usb0="00000000" w:usb1="00000000" w:usb2="00000010" w:usb3="00000000" w:csb0="00020000" w:csb1="00000000"/>
  </w:font>
  <w:font w:name="??">
    <w:altName w:val="Times New Roman"/>
    <w:panose1 w:val="00000000000000000000"/>
    <w:charset w:val="00"/>
    <w:family w:val="moder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昆仑楷体">
    <w:altName w:val="黑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Bold">
    <w:altName w:val="Cambria"/>
    <w:panose1 w:val="02040803050406030204"/>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ˎ̥">
    <w:altName w:val="微软雅黑"/>
    <w:panose1 w:val="00000000000000000000"/>
    <w:charset w:val="00"/>
    <w:family w:val="roman"/>
    <w:pitch w:val="default"/>
    <w:sig w:usb0="00000000" w:usb1="00000000" w:usb2="00000000" w:usb3="00000000" w:csb0="00040001" w:csb1="00000000"/>
  </w:font>
  <w:font w:name="MS UI Gothic">
    <w:panose1 w:val="020B0600070205080204"/>
    <w:charset w:val="80"/>
    <w:family w:val="swiss"/>
    <w:pitch w:val="default"/>
    <w:sig w:usb0="E00002FF" w:usb1="6AC7FDFB" w:usb2="08000012" w:usb3="00000000" w:csb0="4002009F" w:csb1="DFD70000"/>
  </w:font>
  <w:font w:name="Microsoft YaHei UI">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8"/>
                          </w:pPr>
                          <w:r>
                            <w:fldChar w:fldCharType="begin"/>
                          </w:r>
                          <w:r>
                            <w:instrText xml:space="preserve"> PAGE  \* MERGEFORMAT </w:instrText>
                          </w:r>
                          <w:r>
                            <w:fldChar w:fldCharType="separate"/>
                          </w:r>
                          <w:r>
                            <w:t>56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pPr>
                      <w:pStyle w:val="38"/>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8"/>
                          </w:pPr>
                          <w:r>
                            <w:fldChar w:fldCharType="begin"/>
                          </w:r>
                          <w:r>
                            <w:instrText xml:space="preserve"> PAGE  \* MERGEFORMAT </w:instrText>
                          </w:r>
                          <w:r>
                            <w:fldChar w:fldCharType="separate"/>
                          </w:r>
                          <w:r>
                            <w:t>56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38"/>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8"/>
                          </w:pPr>
                          <w:r>
                            <w:fldChar w:fldCharType="begin"/>
                          </w:r>
                          <w:r>
                            <w:instrText xml:space="preserve"> PAGE  \* MERGEFORMAT </w:instrText>
                          </w:r>
                          <w:r>
                            <w:fldChar w:fldCharType="separate"/>
                          </w:r>
                          <w:r>
                            <w:t>56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pPr>
                      <w:pStyle w:val="38"/>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8"/>
                          </w:pPr>
                          <w:r>
                            <w:fldChar w:fldCharType="begin"/>
                          </w:r>
                          <w:r>
                            <w:instrText xml:space="preserve"> PAGE  \* MERGEFORMAT </w:instrText>
                          </w:r>
                          <w:r>
                            <w:fldChar w:fldCharType="separate"/>
                          </w:r>
                          <w:r>
                            <w:t>102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aX2ibLAQAAl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Wl9omywEAAJcDAAAOAAAAAAAAAAEAIAAAACIBAABkcnMv&#10;ZTJvRG9jLnhtbFBLBQYAAAAABgAGAFkBAABfBQAAAAA=&#10;">
              <v:fill on="f" focussize="0,0"/>
              <v:stroke on="f" weight="1.25pt"/>
              <v:imagedata o:title=""/>
              <o:lock v:ext="edit" aspectratio="f"/>
              <v:textbox inset="0mm,0mm,0mm,0mm" style="mso-fit-shape-to-text:t;">
                <w:txbxContent>
                  <w:p>
                    <w:pPr>
                      <w:pStyle w:val="38"/>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8"/>
      </w:rPr>
    </w:pPr>
    <w:r>
      <w:fldChar w:fldCharType="begin"/>
    </w:r>
    <w:r>
      <w:rPr>
        <w:rStyle w:val="68"/>
      </w:rPr>
      <w:instrText xml:space="preserve">PAGE  </w:instrText>
    </w:r>
    <w:r>
      <w:fldChar w:fldCharType="separate"/>
    </w:r>
    <w:r>
      <w:fldChar w:fldCharType="end"/>
    </w:r>
  </w:p>
  <w:p>
    <w:pPr>
      <w:pStyle w:val="3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jc w:val="center"/>
                          </w:pPr>
                          <w:r>
                            <w:fldChar w:fldCharType="begin"/>
                          </w:r>
                          <w:r>
                            <w:instrText xml:space="preserve"> PAGE  \* MERGEFORMAT </w:instrText>
                          </w:r>
                          <w:r>
                            <w:fldChar w:fldCharType="separate"/>
                          </w:r>
                          <w:r>
                            <w:t>49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GjeyTLAQAAl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rORyoO/PURsIXeWUCeouRjOK3ObdystxL9+znr8nz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ho3skywEAAJcDAAAOAAAAAAAAAAEAIAAAACIBAABkcnMv&#10;ZTJvRG9jLnhtbFBLBQYAAAAABgAGAFkBAABfBQAAAAA=&#10;">
              <v:fill on="f" focussize="0,0"/>
              <v:stroke on="f" weight="1.25pt"/>
              <v:imagedata o:title=""/>
              <o:lock v:ext="edit" aspectratio="f"/>
              <v:textbox inset="0mm,0mm,0mm,0mm" style="mso-fit-shape-to-text:t;">
                <w:txbxContent>
                  <w:p>
                    <w:pPr>
                      <w:jc w:val="center"/>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8"/>
                          </w:pPr>
                          <w:r>
                            <w:fldChar w:fldCharType="begin"/>
                          </w:r>
                          <w:r>
                            <w:instrText xml:space="preserve"> PAGE  \* MERGEFORMAT </w:instrText>
                          </w:r>
                          <w:r>
                            <w:fldChar w:fldCharType="separate"/>
                          </w:r>
                          <w:r>
                            <w:t>48</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TuusYBAACb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LZO66xgEAAJsDAAAOAAAAAAAAAAEAIAAAAB4BAABkcnMvZTJvRG9jLnht&#10;bFBLBQYAAAAABgAGAFkBAABWBQAAAAA=&#10;">
              <v:fill on="f" focussize="0,0"/>
              <v:stroke on="f"/>
              <v:imagedata o:title=""/>
              <o:lock v:ext="edit" aspectratio="f"/>
              <v:textbox inset="0mm,0mm,0mm,0mm" style="mso-fit-shape-to-text:t;">
                <w:txbxContent>
                  <w:p>
                    <w:pPr>
                      <w:pStyle w:val="38"/>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8"/>
      </w:rPr>
    </w:pPr>
    <w:r>
      <w:fldChar w:fldCharType="begin"/>
    </w:r>
    <w:r>
      <w:rPr>
        <w:rStyle w:val="68"/>
      </w:rPr>
      <w:instrText xml:space="preserve">PAGE  </w:instrText>
    </w:r>
    <w:r>
      <w:fldChar w:fldCharType="end"/>
    </w:r>
  </w:p>
  <w:p>
    <w:pPr>
      <w:pStyle w:val="3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w:fldChar w:fldCharType="begin"/>
    </w:r>
    <w:r>
      <w:rPr>
        <w:rStyle w:val="68"/>
      </w:rPr>
      <w:instrText xml:space="preserve"> PAGE </w:instrText>
    </w:r>
    <w:r>
      <w:fldChar w:fldCharType="separate"/>
    </w:r>
    <w:r>
      <w:rPr>
        <w:rStyle w:val="68"/>
      </w:rPr>
      <w:t>58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1"/>
      </w:pBdr>
      <w:tabs>
        <w:tab w:val="left" w:pos="1209"/>
        <w:tab w:val="clear" w:pos="4153"/>
      </w:tabs>
      <w:jc w:val="both"/>
    </w:pP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single" w:color="auto" w:sz="4" w:space="1"/>
      </w:pBdr>
      <w:tabs>
        <w:tab w:val="left" w:pos="1335"/>
        <w:tab w:val="clear" w:pos="4153"/>
        <w:tab w:val="clear" w:pos="8306"/>
      </w:tabs>
    </w:pPr>
    <w:r>
      <w:rPr>
        <w:rFonts w:hint="eastAsia" w:hAnsi="宋体" w:cs="宋体"/>
      </w:rPr>
      <w:t>浙江省拱宸强制隔离戒毒所指挥中心迁建装修改造招标文件</w:t>
    </w:r>
  </w:p>
  <w:p>
    <w:pPr>
      <w:pStyle w:val="39"/>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A97EE6"/>
    <w:multiLevelType w:val="singleLevel"/>
    <w:tmpl w:val="83A97EE6"/>
    <w:lvl w:ilvl="0" w:tentative="0">
      <w:start w:val="4"/>
      <w:numFmt w:val="decimal"/>
      <w:suff w:val="nothing"/>
      <w:lvlText w:val="（%1）"/>
      <w:lvlJc w:val="left"/>
    </w:lvl>
  </w:abstractNum>
  <w:abstractNum w:abstractNumId="1">
    <w:nsid w:val="9496A2F5"/>
    <w:multiLevelType w:val="singleLevel"/>
    <w:tmpl w:val="9496A2F5"/>
    <w:lvl w:ilvl="0" w:tentative="0">
      <w:start w:val="1"/>
      <w:numFmt w:val="decimal"/>
      <w:suff w:val="nothing"/>
      <w:lvlText w:val="%1．"/>
      <w:lvlJc w:val="left"/>
      <w:pPr>
        <w:ind w:left="0" w:firstLine="400"/>
      </w:pPr>
      <w:rPr>
        <w:rFonts w:hint="default"/>
      </w:rPr>
    </w:lvl>
  </w:abstractNum>
  <w:abstractNum w:abstractNumId="2">
    <w:nsid w:val="A7E69D64"/>
    <w:multiLevelType w:val="singleLevel"/>
    <w:tmpl w:val="A7E69D64"/>
    <w:lvl w:ilvl="0" w:tentative="0">
      <w:start w:val="6"/>
      <w:numFmt w:val="decimal"/>
      <w:lvlText w:val="%1."/>
      <w:lvlJc w:val="left"/>
      <w:pPr>
        <w:tabs>
          <w:tab w:val="left" w:pos="312"/>
        </w:tabs>
      </w:pPr>
    </w:lvl>
  </w:abstractNum>
  <w:abstractNum w:abstractNumId="3">
    <w:nsid w:val="B81936EF"/>
    <w:multiLevelType w:val="singleLevel"/>
    <w:tmpl w:val="B81936EF"/>
    <w:lvl w:ilvl="0" w:tentative="0">
      <w:start w:val="1"/>
      <w:numFmt w:val="decimal"/>
      <w:suff w:val="nothing"/>
      <w:lvlText w:val="%1．"/>
      <w:lvlJc w:val="left"/>
      <w:pPr>
        <w:ind w:left="0" w:firstLine="400"/>
      </w:pPr>
      <w:rPr>
        <w:rFonts w:hint="default"/>
      </w:rPr>
    </w:lvl>
  </w:abstractNum>
  <w:abstractNum w:abstractNumId="4">
    <w:nsid w:val="D91A6FAE"/>
    <w:multiLevelType w:val="singleLevel"/>
    <w:tmpl w:val="D91A6FAE"/>
    <w:lvl w:ilvl="0" w:tentative="0">
      <w:start w:val="1"/>
      <w:numFmt w:val="decimal"/>
      <w:suff w:val="nothing"/>
      <w:lvlText w:val="（%1）"/>
      <w:lvlJc w:val="left"/>
      <w:pPr>
        <w:ind w:left="0" w:firstLine="0"/>
      </w:pPr>
    </w:lvl>
  </w:abstractNum>
  <w:abstractNum w:abstractNumId="5">
    <w:nsid w:val="FFFFFF7E"/>
    <w:multiLevelType w:val="singleLevel"/>
    <w:tmpl w:val="FFFFFF7E"/>
    <w:lvl w:ilvl="0" w:tentative="0">
      <w:start w:val="1"/>
      <w:numFmt w:val="decimal"/>
      <w:pStyle w:val="24"/>
      <w:lvlText w:val="%1."/>
      <w:lvlJc w:val="left"/>
      <w:pPr>
        <w:tabs>
          <w:tab w:val="left" w:pos="1200"/>
        </w:tabs>
        <w:ind w:left="1200" w:hanging="360"/>
      </w:pPr>
    </w:lvl>
  </w:abstractNum>
  <w:abstractNum w:abstractNumId="6">
    <w:nsid w:val="004C1BFA"/>
    <w:multiLevelType w:val="multilevel"/>
    <w:tmpl w:val="004C1BFA"/>
    <w:lvl w:ilvl="0" w:tentative="0">
      <w:start w:val="1"/>
      <w:numFmt w:val="decimal"/>
      <w:pStyle w:val="358"/>
      <w:lvlText w:val="%1"/>
      <w:lvlJc w:val="left"/>
      <w:pPr>
        <w:ind w:left="704" w:hanging="420"/>
      </w:pPr>
      <w:rPr>
        <w:rFonts w:cs="Times New Roman"/>
      </w:rPr>
    </w:lvl>
    <w:lvl w:ilvl="1" w:tentative="0">
      <w:start w:val="1"/>
      <w:numFmt w:val="lowerLetter"/>
      <w:pStyle w:val="515"/>
      <w:lvlText w:val="%2)"/>
      <w:lvlJc w:val="left"/>
      <w:pPr>
        <w:ind w:left="1124" w:hanging="420"/>
      </w:pPr>
      <w:rPr>
        <w:rFonts w:cs="Times New Roman"/>
      </w:rPr>
    </w:lvl>
    <w:lvl w:ilvl="2" w:tentative="0">
      <w:start w:val="1"/>
      <w:numFmt w:val="lowerRoman"/>
      <w:lvlText w:val="%3."/>
      <w:lvlJc w:val="right"/>
      <w:pPr>
        <w:ind w:left="1544" w:hanging="420"/>
      </w:pPr>
      <w:rPr>
        <w:rFonts w:cs="Times New Roman"/>
      </w:rPr>
    </w:lvl>
    <w:lvl w:ilvl="3" w:tentative="0">
      <w:start w:val="1"/>
      <w:numFmt w:val="decimal"/>
      <w:lvlText w:val="%4."/>
      <w:lvlJc w:val="left"/>
      <w:pPr>
        <w:ind w:left="1964" w:hanging="420"/>
      </w:pPr>
      <w:rPr>
        <w:rFonts w:cs="Times New Roman"/>
      </w:rPr>
    </w:lvl>
    <w:lvl w:ilvl="4" w:tentative="0">
      <w:start w:val="1"/>
      <w:numFmt w:val="lowerLetter"/>
      <w:lvlText w:val="%5)"/>
      <w:lvlJc w:val="left"/>
      <w:pPr>
        <w:ind w:left="2384" w:hanging="420"/>
      </w:pPr>
      <w:rPr>
        <w:rFonts w:cs="Times New Roman"/>
      </w:rPr>
    </w:lvl>
    <w:lvl w:ilvl="5" w:tentative="0">
      <w:start w:val="1"/>
      <w:numFmt w:val="lowerRoman"/>
      <w:lvlText w:val="%6."/>
      <w:lvlJc w:val="right"/>
      <w:pPr>
        <w:ind w:left="2804" w:hanging="420"/>
      </w:pPr>
      <w:rPr>
        <w:rFonts w:cs="Times New Roman"/>
      </w:rPr>
    </w:lvl>
    <w:lvl w:ilvl="6" w:tentative="0">
      <w:start w:val="1"/>
      <w:numFmt w:val="decimal"/>
      <w:lvlText w:val="%7."/>
      <w:lvlJc w:val="left"/>
      <w:pPr>
        <w:ind w:left="3224" w:hanging="420"/>
      </w:pPr>
      <w:rPr>
        <w:rFonts w:cs="Times New Roman"/>
      </w:rPr>
    </w:lvl>
    <w:lvl w:ilvl="7" w:tentative="0">
      <w:start w:val="1"/>
      <w:numFmt w:val="lowerLetter"/>
      <w:lvlText w:val="%8)"/>
      <w:lvlJc w:val="left"/>
      <w:pPr>
        <w:ind w:left="3644" w:hanging="420"/>
      </w:pPr>
      <w:rPr>
        <w:rFonts w:cs="Times New Roman"/>
      </w:rPr>
    </w:lvl>
    <w:lvl w:ilvl="8" w:tentative="0">
      <w:start w:val="1"/>
      <w:numFmt w:val="lowerRoman"/>
      <w:lvlText w:val="%9."/>
      <w:lvlJc w:val="right"/>
      <w:pPr>
        <w:ind w:left="4064" w:hanging="420"/>
      </w:pPr>
      <w:rPr>
        <w:rFonts w:cs="Times New Roman"/>
      </w:rPr>
    </w:lvl>
  </w:abstractNum>
  <w:abstractNum w:abstractNumId="7">
    <w:nsid w:val="09890BCC"/>
    <w:multiLevelType w:val="multilevel"/>
    <w:tmpl w:val="09890BCC"/>
    <w:lvl w:ilvl="0" w:tentative="0">
      <w:start w:val="1"/>
      <w:numFmt w:val="decimal"/>
      <w:pStyle w:val="15"/>
      <w:lvlText w:val="%1．"/>
      <w:lvlJc w:val="left"/>
      <w:pPr>
        <w:tabs>
          <w:tab w:val="left" w:pos="900"/>
        </w:tabs>
        <w:ind w:left="900" w:hanging="720"/>
      </w:p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8">
    <w:nsid w:val="0B7E3989"/>
    <w:multiLevelType w:val="singleLevel"/>
    <w:tmpl w:val="0B7E3989"/>
    <w:lvl w:ilvl="0" w:tentative="0">
      <w:start w:val="1"/>
      <w:numFmt w:val="decimal"/>
      <w:lvlText w:val="(%1)"/>
      <w:lvlJc w:val="left"/>
      <w:pPr>
        <w:ind w:left="425" w:hanging="425"/>
      </w:pPr>
      <w:rPr>
        <w:rFonts w:hint="default"/>
      </w:rPr>
    </w:lvl>
  </w:abstractNum>
  <w:abstractNum w:abstractNumId="9">
    <w:nsid w:val="10E37B8B"/>
    <w:multiLevelType w:val="singleLevel"/>
    <w:tmpl w:val="10E37B8B"/>
    <w:lvl w:ilvl="0" w:tentative="0">
      <w:start w:val="1"/>
      <w:numFmt w:val="decimal"/>
      <w:suff w:val="nothing"/>
      <w:lvlText w:val="%1．"/>
      <w:lvlJc w:val="left"/>
      <w:pPr>
        <w:ind w:left="0" w:firstLine="400"/>
      </w:pPr>
      <w:rPr>
        <w:rFonts w:hint="default"/>
      </w:rPr>
    </w:lvl>
  </w:abstractNum>
  <w:abstractNum w:abstractNumId="10">
    <w:nsid w:val="120D21CC"/>
    <w:multiLevelType w:val="multilevel"/>
    <w:tmpl w:val="120D21CC"/>
    <w:lvl w:ilvl="0" w:tentative="0">
      <w:start w:val="1"/>
      <w:numFmt w:val="decimal"/>
      <w:pStyle w:val="228"/>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1">
    <w:nsid w:val="15CF6607"/>
    <w:multiLevelType w:val="singleLevel"/>
    <w:tmpl w:val="15CF6607"/>
    <w:lvl w:ilvl="0" w:tentative="0">
      <w:start w:val="1"/>
      <w:numFmt w:val="decimal"/>
      <w:suff w:val="nothing"/>
      <w:lvlText w:val="（%1）"/>
      <w:lvlJc w:val="left"/>
    </w:lvl>
  </w:abstractNum>
  <w:abstractNum w:abstractNumId="12">
    <w:nsid w:val="1D599B5B"/>
    <w:multiLevelType w:val="singleLevel"/>
    <w:tmpl w:val="1D599B5B"/>
    <w:lvl w:ilvl="0" w:tentative="0">
      <w:start w:val="1"/>
      <w:numFmt w:val="decimal"/>
      <w:suff w:val="nothing"/>
      <w:lvlText w:val="（%1）"/>
      <w:lvlJc w:val="left"/>
    </w:lvl>
  </w:abstractNum>
  <w:abstractNum w:abstractNumId="13">
    <w:nsid w:val="20132E7B"/>
    <w:multiLevelType w:val="singleLevel"/>
    <w:tmpl w:val="20132E7B"/>
    <w:lvl w:ilvl="0" w:tentative="0">
      <w:start w:val="1"/>
      <w:numFmt w:val="decimal"/>
      <w:suff w:val="nothing"/>
      <w:lvlText w:val="%1、"/>
      <w:lvlJc w:val="left"/>
    </w:lvl>
  </w:abstractNum>
  <w:abstractNum w:abstractNumId="14">
    <w:nsid w:val="2A531A22"/>
    <w:multiLevelType w:val="singleLevel"/>
    <w:tmpl w:val="2A531A22"/>
    <w:lvl w:ilvl="0" w:tentative="0">
      <w:start w:val="1"/>
      <w:numFmt w:val="decimal"/>
      <w:suff w:val="nothing"/>
      <w:lvlText w:val="%1．"/>
      <w:lvlJc w:val="left"/>
      <w:pPr>
        <w:ind w:left="0" w:firstLine="400"/>
      </w:pPr>
      <w:rPr>
        <w:rFonts w:hint="default"/>
      </w:rPr>
    </w:lvl>
  </w:abstractNum>
  <w:abstractNum w:abstractNumId="15">
    <w:nsid w:val="2E03608B"/>
    <w:multiLevelType w:val="singleLevel"/>
    <w:tmpl w:val="2E03608B"/>
    <w:lvl w:ilvl="0" w:tentative="0">
      <w:start w:val="1"/>
      <w:numFmt w:val="decimal"/>
      <w:suff w:val="nothing"/>
      <w:lvlText w:val="%1．"/>
      <w:lvlJc w:val="left"/>
      <w:pPr>
        <w:ind w:left="0" w:firstLine="400"/>
      </w:pPr>
      <w:rPr>
        <w:rFonts w:hint="default"/>
      </w:rPr>
    </w:lvl>
  </w:abstractNum>
  <w:abstractNum w:abstractNumId="16">
    <w:nsid w:val="37851814"/>
    <w:multiLevelType w:val="multilevel"/>
    <w:tmpl w:val="37851814"/>
    <w:lvl w:ilvl="0" w:tentative="0">
      <w:start w:val="1"/>
      <w:numFmt w:val="decimal"/>
      <w:pStyle w:val="236"/>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7">
    <w:nsid w:val="38D2A917"/>
    <w:multiLevelType w:val="singleLevel"/>
    <w:tmpl w:val="38D2A917"/>
    <w:lvl w:ilvl="0" w:tentative="0">
      <w:start w:val="2"/>
      <w:numFmt w:val="decimal"/>
      <w:lvlText w:val="%1."/>
      <w:lvlJc w:val="left"/>
      <w:pPr>
        <w:tabs>
          <w:tab w:val="left" w:pos="312"/>
        </w:tabs>
      </w:pPr>
    </w:lvl>
  </w:abstractNum>
  <w:abstractNum w:abstractNumId="18">
    <w:nsid w:val="4A1A0D7C"/>
    <w:multiLevelType w:val="singleLevel"/>
    <w:tmpl w:val="4A1A0D7C"/>
    <w:lvl w:ilvl="0" w:tentative="0">
      <w:start w:val="1"/>
      <w:numFmt w:val="decimal"/>
      <w:suff w:val="nothing"/>
      <w:lvlText w:val="%1．"/>
      <w:lvlJc w:val="left"/>
      <w:pPr>
        <w:ind w:left="0" w:firstLine="400"/>
      </w:pPr>
      <w:rPr>
        <w:rFonts w:hint="default"/>
      </w:rPr>
    </w:lvl>
  </w:abstractNum>
  <w:abstractNum w:abstractNumId="19">
    <w:nsid w:val="4A54255F"/>
    <w:multiLevelType w:val="singleLevel"/>
    <w:tmpl w:val="4A54255F"/>
    <w:lvl w:ilvl="0" w:tentative="0">
      <w:start w:val="1"/>
      <w:numFmt w:val="decimal"/>
      <w:suff w:val="nothing"/>
      <w:lvlText w:val="%1．"/>
      <w:lvlJc w:val="left"/>
      <w:pPr>
        <w:ind w:left="0" w:firstLine="400"/>
      </w:pPr>
      <w:rPr>
        <w:rFonts w:hint="default"/>
      </w:rPr>
    </w:lvl>
  </w:abstractNum>
  <w:abstractNum w:abstractNumId="20">
    <w:nsid w:val="54020BF1"/>
    <w:multiLevelType w:val="multilevel"/>
    <w:tmpl w:val="54020BF1"/>
    <w:lvl w:ilvl="0" w:tentative="0">
      <w:start w:val="1"/>
      <w:numFmt w:val="bullet"/>
      <w:lvlText w:val=""/>
      <w:lvlJc w:val="left"/>
      <w:pPr>
        <w:ind w:left="845" w:hanging="420"/>
      </w:pPr>
      <w:rPr>
        <w:rFonts w:hint="default" w:ascii="Wingdings" w:hAnsi="Wingdings"/>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21">
    <w:nsid w:val="55C10991"/>
    <w:multiLevelType w:val="singleLevel"/>
    <w:tmpl w:val="55C10991"/>
    <w:lvl w:ilvl="0" w:tentative="0">
      <w:start w:val="1"/>
      <w:numFmt w:val="decimal"/>
      <w:suff w:val="nothing"/>
      <w:lvlText w:val="（%1）"/>
      <w:lvlJc w:val="left"/>
    </w:lvl>
  </w:abstractNum>
  <w:abstractNum w:abstractNumId="22">
    <w:nsid w:val="55CC35DB"/>
    <w:multiLevelType w:val="multilevel"/>
    <w:tmpl w:val="55CC35DB"/>
    <w:lvl w:ilvl="0" w:tentative="0">
      <w:start w:val="1"/>
      <w:numFmt w:val="japaneseCounting"/>
      <w:lvlText w:val="（%1）"/>
      <w:lvlJc w:val="left"/>
    </w:lvl>
    <w:lvl w:ilvl="1" w:tentative="0">
      <w:start w:val="1"/>
      <w:numFmt w:val="lowerLetter"/>
      <w:lvlText w:val="%2)"/>
      <w:lvlJc w:val="left"/>
    </w:lvl>
    <w:lvl w:ilvl="2" w:tentative="0">
      <w:start w:val="1"/>
      <w:numFmt w:val="lowerRoman"/>
      <w:lvlText w:val="%3."/>
      <w:lvlJc w:val="left"/>
    </w:lvl>
    <w:lvl w:ilvl="3" w:tentative="0">
      <w:start w:val="1"/>
      <w:numFmt w:val="decimal"/>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abstractNum w:abstractNumId="23">
    <w:nsid w:val="55CC35E0"/>
    <w:multiLevelType w:val="multilevel"/>
    <w:tmpl w:val="55CC35E0"/>
    <w:lvl w:ilvl="0" w:tentative="0">
      <w:start w:val="1"/>
      <w:numFmt w:val="japaneseCounting"/>
      <w:lvlText w:val="（%1）"/>
      <w:lvlJc w:val="left"/>
      <w:rPr>
        <w:rFonts w:ascii="仿宋_GB2312" w:hAnsi="仿宋_GB2312"/>
      </w:rPr>
    </w:lvl>
    <w:lvl w:ilvl="1" w:tentative="0">
      <w:start w:val="1"/>
      <w:numFmt w:val="lowerLetter"/>
      <w:lvlText w:val="%2)"/>
      <w:lvlJc w:val="left"/>
    </w:lvl>
    <w:lvl w:ilvl="2" w:tentative="0">
      <w:start w:val="1"/>
      <w:numFmt w:val="lowerRoman"/>
      <w:lvlText w:val="%3."/>
      <w:lvlJc w:val="left"/>
    </w:lvl>
    <w:lvl w:ilvl="3" w:tentative="0">
      <w:start w:val="1"/>
      <w:numFmt w:val="decimal"/>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abstractNum w:abstractNumId="24">
    <w:nsid w:val="55CC35E2"/>
    <w:multiLevelType w:val="multilevel"/>
    <w:tmpl w:val="55CC35E2"/>
    <w:lvl w:ilvl="0" w:tentative="0">
      <w:start w:val="2"/>
      <w:numFmt w:val="japaneseCounting"/>
      <w:lvlText w:val="%1、"/>
      <w:lvlJc w:val="left"/>
    </w:lvl>
    <w:lvl w:ilvl="1" w:tentative="0">
      <w:start w:val="1"/>
      <w:numFmt w:val="lowerLetter"/>
      <w:lvlText w:val="%2)"/>
      <w:lvlJc w:val="left"/>
    </w:lvl>
    <w:lvl w:ilvl="2" w:tentative="0">
      <w:start w:val="1"/>
      <w:numFmt w:val="lowerRoman"/>
      <w:lvlText w:val="%3."/>
      <w:lvlJc w:val="left"/>
    </w:lvl>
    <w:lvl w:ilvl="3" w:tentative="0">
      <w:start w:val="1"/>
      <w:numFmt w:val="decimal"/>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abstractNum w:abstractNumId="25">
    <w:nsid w:val="5C675332"/>
    <w:multiLevelType w:val="singleLevel"/>
    <w:tmpl w:val="5C675332"/>
    <w:lvl w:ilvl="0" w:tentative="0">
      <w:start w:val="1"/>
      <w:numFmt w:val="decimal"/>
      <w:lvlText w:val="(%1)"/>
      <w:lvlJc w:val="left"/>
      <w:pPr>
        <w:ind w:left="425" w:hanging="425"/>
      </w:pPr>
      <w:rPr>
        <w:rFonts w:hint="default"/>
      </w:rPr>
    </w:lvl>
  </w:abstractNum>
  <w:abstractNum w:abstractNumId="26">
    <w:nsid w:val="5C6BC9F1"/>
    <w:multiLevelType w:val="singleLevel"/>
    <w:tmpl w:val="5C6BC9F1"/>
    <w:lvl w:ilvl="0" w:tentative="0">
      <w:start w:val="1"/>
      <w:numFmt w:val="decimal"/>
      <w:suff w:val="nothing"/>
      <w:lvlText w:val="%1．"/>
      <w:lvlJc w:val="left"/>
      <w:pPr>
        <w:ind w:left="0" w:firstLine="400"/>
      </w:pPr>
      <w:rPr>
        <w:rFonts w:hint="default"/>
      </w:rPr>
    </w:lvl>
  </w:abstractNum>
  <w:abstractNum w:abstractNumId="27">
    <w:nsid w:val="7308EDE6"/>
    <w:multiLevelType w:val="singleLevel"/>
    <w:tmpl w:val="7308EDE6"/>
    <w:lvl w:ilvl="0" w:tentative="0">
      <w:start w:val="1"/>
      <w:numFmt w:val="decimal"/>
      <w:suff w:val="nothing"/>
      <w:lvlText w:val="（%1）"/>
      <w:lvlJc w:val="left"/>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0"/>
  </w:num>
  <w:num w:numId="8">
    <w:abstractNumId w:val="4"/>
    <w:lvlOverride w:ilvl="0">
      <w:startOverride w:val="1"/>
    </w:lvlOverride>
  </w:num>
  <w:num w:numId="9">
    <w:abstractNumId w:val="2"/>
  </w:num>
  <w:num w:numId="10">
    <w:abstractNumId w:val="15"/>
  </w:num>
  <w:num w:numId="11">
    <w:abstractNumId w:val="17"/>
  </w:num>
  <w:num w:numId="12">
    <w:abstractNumId w:val="9"/>
  </w:num>
  <w:num w:numId="13">
    <w:abstractNumId w:val="18"/>
  </w:num>
  <w:num w:numId="14">
    <w:abstractNumId w:val="3"/>
  </w:num>
  <w:num w:numId="15">
    <w:abstractNumId w:val="26"/>
  </w:num>
  <w:num w:numId="16">
    <w:abstractNumId w:val="25"/>
  </w:num>
  <w:num w:numId="17">
    <w:abstractNumId w:val="12"/>
  </w:num>
  <w:num w:numId="18">
    <w:abstractNumId w:val="0"/>
  </w:num>
  <w:num w:numId="19">
    <w:abstractNumId w:val="8"/>
  </w:num>
  <w:num w:numId="20">
    <w:abstractNumId w:val="11"/>
  </w:num>
  <w:num w:numId="21">
    <w:abstractNumId w:val="27"/>
  </w:num>
  <w:num w:numId="22">
    <w:abstractNumId w:val="21"/>
  </w:num>
  <w:num w:numId="23">
    <w:abstractNumId w:val="19"/>
  </w:num>
  <w:num w:numId="24">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diYWVjYzNjM2Q3MDVlNWEzYWIwMjY4YzcyMTM0ZmUifQ=="/>
    <w:docVar w:name="KGWebUrl" w:val="http://oa.zjgsu.edu.cn/zftal-zhbgpt-web/common/weboffice/server.zf?jsessionid=0180535E626E8E8EEF3E916D91F78817"/>
  </w:docVars>
  <w:rsids>
    <w:rsidRoot w:val="00D910AE"/>
    <w:rsid w:val="00002EEF"/>
    <w:rsid w:val="000157C2"/>
    <w:rsid w:val="00016690"/>
    <w:rsid w:val="00016899"/>
    <w:rsid w:val="00077C14"/>
    <w:rsid w:val="000972F1"/>
    <w:rsid w:val="000B1A79"/>
    <w:rsid w:val="001707DE"/>
    <w:rsid w:val="001D1178"/>
    <w:rsid w:val="00285221"/>
    <w:rsid w:val="002859CB"/>
    <w:rsid w:val="00291450"/>
    <w:rsid w:val="002919D3"/>
    <w:rsid w:val="002D0769"/>
    <w:rsid w:val="002D2D7A"/>
    <w:rsid w:val="002E23A5"/>
    <w:rsid w:val="002E38E4"/>
    <w:rsid w:val="002E498B"/>
    <w:rsid w:val="002F6025"/>
    <w:rsid w:val="00300CEF"/>
    <w:rsid w:val="003111D3"/>
    <w:rsid w:val="00312FA4"/>
    <w:rsid w:val="00325C20"/>
    <w:rsid w:val="003330C1"/>
    <w:rsid w:val="00334336"/>
    <w:rsid w:val="0033586E"/>
    <w:rsid w:val="0039558B"/>
    <w:rsid w:val="003F2324"/>
    <w:rsid w:val="004A088A"/>
    <w:rsid w:val="004B1B73"/>
    <w:rsid w:val="004B2426"/>
    <w:rsid w:val="004C4A67"/>
    <w:rsid w:val="004C7A8C"/>
    <w:rsid w:val="004F254A"/>
    <w:rsid w:val="00525372"/>
    <w:rsid w:val="005262E4"/>
    <w:rsid w:val="0053232F"/>
    <w:rsid w:val="00537D02"/>
    <w:rsid w:val="005406B5"/>
    <w:rsid w:val="00564DE4"/>
    <w:rsid w:val="005A5F85"/>
    <w:rsid w:val="005F463E"/>
    <w:rsid w:val="00643D8C"/>
    <w:rsid w:val="00654633"/>
    <w:rsid w:val="006743ED"/>
    <w:rsid w:val="006A4548"/>
    <w:rsid w:val="006F3115"/>
    <w:rsid w:val="00731203"/>
    <w:rsid w:val="00737403"/>
    <w:rsid w:val="007379F9"/>
    <w:rsid w:val="00745D76"/>
    <w:rsid w:val="0075194C"/>
    <w:rsid w:val="00760FBA"/>
    <w:rsid w:val="00797333"/>
    <w:rsid w:val="007B74F5"/>
    <w:rsid w:val="007C54A4"/>
    <w:rsid w:val="007E2DFD"/>
    <w:rsid w:val="007F17FD"/>
    <w:rsid w:val="00874A74"/>
    <w:rsid w:val="0088277F"/>
    <w:rsid w:val="008943A5"/>
    <w:rsid w:val="008A75AC"/>
    <w:rsid w:val="008B600D"/>
    <w:rsid w:val="008D2F23"/>
    <w:rsid w:val="008F46A2"/>
    <w:rsid w:val="00913F68"/>
    <w:rsid w:val="009323A6"/>
    <w:rsid w:val="00A40F4E"/>
    <w:rsid w:val="00A442DC"/>
    <w:rsid w:val="00A66CA9"/>
    <w:rsid w:val="00B07FBC"/>
    <w:rsid w:val="00B206EC"/>
    <w:rsid w:val="00B2192F"/>
    <w:rsid w:val="00B233CB"/>
    <w:rsid w:val="00B30565"/>
    <w:rsid w:val="00B51557"/>
    <w:rsid w:val="00BB15C2"/>
    <w:rsid w:val="00BC5A20"/>
    <w:rsid w:val="00BD5FDD"/>
    <w:rsid w:val="00BE4569"/>
    <w:rsid w:val="00C00AEA"/>
    <w:rsid w:val="00C028EC"/>
    <w:rsid w:val="00C1091E"/>
    <w:rsid w:val="00C10BCA"/>
    <w:rsid w:val="00C23AB0"/>
    <w:rsid w:val="00C23CDE"/>
    <w:rsid w:val="00CB7A4E"/>
    <w:rsid w:val="00CC412C"/>
    <w:rsid w:val="00CE47CD"/>
    <w:rsid w:val="00D06BF0"/>
    <w:rsid w:val="00D11904"/>
    <w:rsid w:val="00D11B86"/>
    <w:rsid w:val="00D16AB6"/>
    <w:rsid w:val="00D257C5"/>
    <w:rsid w:val="00D27CC1"/>
    <w:rsid w:val="00D515DE"/>
    <w:rsid w:val="00D821B1"/>
    <w:rsid w:val="00D910AE"/>
    <w:rsid w:val="00DB4616"/>
    <w:rsid w:val="00DF083E"/>
    <w:rsid w:val="00DF29E0"/>
    <w:rsid w:val="00DF5F58"/>
    <w:rsid w:val="00E004F8"/>
    <w:rsid w:val="00E5189A"/>
    <w:rsid w:val="00E95B60"/>
    <w:rsid w:val="00EA058C"/>
    <w:rsid w:val="00EB0C27"/>
    <w:rsid w:val="00EE2410"/>
    <w:rsid w:val="00F03C16"/>
    <w:rsid w:val="00F133AA"/>
    <w:rsid w:val="00F46312"/>
    <w:rsid w:val="00F74272"/>
    <w:rsid w:val="00F85B13"/>
    <w:rsid w:val="00F93DAC"/>
    <w:rsid w:val="00FD0CC6"/>
    <w:rsid w:val="00FF7E52"/>
    <w:rsid w:val="01791910"/>
    <w:rsid w:val="01AF7562"/>
    <w:rsid w:val="01EE7C08"/>
    <w:rsid w:val="02356D6A"/>
    <w:rsid w:val="028B5F33"/>
    <w:rsid w:val="02925A61"/>
    <w:rsid w:val="02B96468"/>
    <w:rsid w:val="030B374D"/>
    <w:rsid w:val="0326440A"/>
    <w:rsid w:val="03443858"/>
    <w:rsid w:val="045E0932"/>
    <w:rsid w:val="048E122E"/>
    <w:rsid w:val="04D706D5"/>
    <w:rsid w:val="04E23328"/>
    <w:rsid w:val="05065269"/>
    <w:rsid w:val="050815FB"/>
    <w:rsid w:val="052D36E5"/>
    <w:rsid w:val="05EF03F3"/>
    <w:rsid w:val="0610493F"/>
    <w:rsid w:val="06147E59"/>
    <w:rsid w:val="062F6624"/>
    <w:rsid w:val="06541A9E"/>
    <w:rsid w:val="069F7DB0"/>
    <w:rsid w:val="06F2019A"/>
    <w:rsid w:val="07057522"/>
    <w:rsid w:val="071B5392"/>
    <w:rsid w:val="07224AC8"/>
    <w:rsid w:val="07807554"/>
    <w:rsid w:val="079925E1"/>
    <w:rsid w:val="07B54E60"/>
    <w:rsid w:val="07D94EB6"/>
    <w:rsid w:val="08B52B24"/>
    <w:rsid w:val="08FF6B9F"/>
    <w:rsid w:val="0949606C"/>
    <w:rsid w:val="0A3E36F7"/>
    <w:rsid w:val="0A5B6057"/>
    <w:rsid w:val="0A780FD3"/>
    <w:rsid w:val="0AE5389F"/>
    <w:rsid w:val="0AF3628F"/>
    <w:rsid w:val="0B064214"/>
    <w:rsid w:val="0B3C7C36"/>
    <w:rsid w:val="0B6F4B17"/>
    <w:rsid w:val="0BBC0505"/>
    <w:rsid w:val="0BE43E2A"/>
    <w:rsid w:val="0C6812D0"/>
    <w:rsid w:val="0C851169"/>
    <w:rsid w:val="0D311103"/>
    <w:rsid w:val="0D3E56CD"/>
    <w:rsid w:val="0D4E1EA3"/>
    <w:rsid w:val="0DD979BE"/>
    <w:rsid w:val="0E545297"/>
    <w:rsid w:val="0E9B1118"/>
    <w:rsid w:val="0F16329F"/>
    <w:rsid w:val="0F9A0092"/>
    <w:rsid w:val="101A2510"/>
    <w:rsid w:val="104B091B"/>
    <w:rsid w:val="10B72A0C"/>
    <w:rsid w:val="10BB15FD"/>
    <w:rsid w:val="1102547E"/>
    <w:rsid w:val="112C0073"/>
    <w:rsid w:val="1152290F"/>
    <w:rsid w:val="117A1879"/>
    <w:rsid w:val="118C512A"/>
    <w:rsid w:val="11F078CC"/>
    <w:rsid w:val="121B4BF4"/>
    <w:rsid w:val="126B56A9"/>
    <w:rsid w:val="13223BB5"/>
    <w:rsid w:val="133D418F"/>
    <w:rsid w:val="136F5004"/>
    <w:rsid w:val="13B567D8"/>
    <w:rsid w:val="13BD7245"/>
    <w:rsid w:val="14550A82"/>
    <w:rsid w:val="14884E2D"/>
    <w:rsid w:val="14BB6070"/>
    <w:rsid w:val="14D56A06"/>
    <w:rsid w:val="14EF3F6B"/>
    <w:rsid w:val="15712BD2"/>
    <w:rsid w:val="158F12AA"/>
    <w:rsid w:val="16414353"/>
    <w:rsid w:val="16A32D0B"/>
    <w:rsid w:val="17202216"/>
    <w:rsid w:val="17455FEB"/>
    <w:rsid w:val="17481711"/>
    <w:rsid w:val="18C748B7"/>
    <w:rsid w:val="18C80D5B"/>
    <w:rsid w:val="18CE20EA"/>
    <w:rsid w:val="18DA283C"/>
    <w:rsid w:val="18DC0495"/>
    <w:rsid w:val="19566367"/>
    <w:rsid w:val="19894F54"/>
    <w:rsid w:val="19BB441C"/>
    <w:rsid w:val="19D52777"/>
    <w:rsid w:val="1A4C776A"/>
    <w:rsid w:val="1AFC6E58"/>
    <w:rsid w:val="1B6F40B6"/>
    <w:rsid w:val="1BEA2178"/>
    <w:rsid w:val="1BEE6D2B"/>
    <w:rsid w:val="1C281B11"/>
    <w:rsid w:val="1C2C7DBA"/>
    <w:rsid w:val="1CE7377A"/>
    <w:rsid w:val="1D040DAB"/>
    <w:rsid w:val="1D7C655F"/>
    <w:rsid w:val="1D7D5FEC"/>
    <w:rsid w:val="1DF20628"/>
    <w:rsid w:val="1E1E36A6"/>
    <w:rsid w:val="1E4F5A7B"/>
    <w:rsid w:val="1E761FB4"/>
    <w:rsid w:val="1F371E52"/>
    <w:rsid w:val="1F427E7B"/>
    <w:rsid w:val="1FAE731F"/>
    <w:rsid w:val="1FF64A1D"/>
    <w:rsid w:val="2059498F"/>
    <w:rsid w:val="207D68CF"/>
    <w:rsid w:val="20904E15"/>
    <w:rsid w:val="21333432"/>
    <w:rsid w:val="217E4766"/>
    <w:rsid w:val="21D00C81"/>
    <w:rsid w:val="21D20555"/>
    <w:rsid w:val="21E8421C"/>
    <w:rsid w:val="223D3B7A"/>
    <w:rsid w:val="226E008B"/>
    <w:rsid w:val="22A54F0A"/>
    <w:rsid w:val="22E83DA8"/>
    <w:rsid w:val="22FC115A"/>
    <w:rsid w:val="23363471"/>
    <w:rsid w:val="23775858"/>
    <w:rsid w:val="238B1783"/>
    <w:rsid w:val="239F5281"/>
    <w:rsid w:val="23B73EFC"/>
    <w:rsid w:val="23CD2307"/>
    <w:rsid w:val="248F1CB6"/>
    <w:rsid w:val="24E76A0D"/>
    <w:rsid w:val="257874F3"/>
    <w:rsid w:val="25CA2314"/>
    <w:rsid w:val="265D4703"/>
    <w:rsid w:val="26704BBE"/>
    <w:rsid w:val="26794A16"/>
    <w:rsid w:val="26C64400"/>
    <w:rsid w:val="26E33204"/>
    <w:rsid w:val="26F1147D"/>
    <w:rsid w:val="27455C6D"/>
    <w:rsid w:val="27572D81"/>
    <w:rsid w:val="27B31110"/>
    <w:rsid w:val="27B33F58"/>
    <w:rsid w:val="27B8643F"/>
    <w:rsid w:val="27D1252F"/>
    <w:rsid w:val="28127A77"/>
    <w:rsid w:val="283E1BE5"/>
    <w:rsid w:val="285C501C"/>
    <w:rsid w:val="288F15D8"/>
    <w:rsid w:val="28996270"/>
    <w:rsid w:val="28C055AB"/>
    <w:rsid w:val="290A5ABA"/>
    <w:rsid w:val="29493E47"/>
    <w:rsid w:val="29534B10"/>
    <w:rsid w:val="2A3049B2"/>
    <w:rsid w:val="2A391AB9"/>
    <w:rsid w:val="2A4B17EC"/>
    <w:rsid w:val="2ACB0237"/>
    <w:rsid w:val="2B326508"/>
    <w:rsid w:val="2B856638"/>
    <w:rsid w:val="2BDE1B3D"/>
    <w:rsid w:val="2C2C73FB"/>
    <w:rsid w:val="2C4D184B"/>
    <w:rsid w:val="2C5F157F"/>
    <w:rsid w:val="2C730B86"/>
    <w:rsid w:val="2CB15A97"/>
    <w:rsid w:val="2CCB6BEF"/>
    <w:rsid w:val="2CD226C8"/>
    <w:rsid w:val="2D23435A"/>
    <w:rsid w:val="2D79220F"/>
    <w:rsid w:val="2EE43FBD"/>
    <w:rsid w:val="2F454A5C"/>
    <w:rsid w:val="2F741AF9"/>
    <w:rsid w:val="2FB054D4"/>
    <w:rsid w:val="30313232"/>
    <w:rsid w:val="306D4751"/>
    <w:rsid w:val="311F12DD"/>
    <w:rsid w:val="314C7B56"/>
    <w:rsid w:val="31501496"/>
    <w:rsid w:val="31BA3142"/>
    <w:rsid w:val="31D976DD"/>
    <w:rsid w:val="31ED3189"/>
    <w:rsid w:val="326A2A2B"/>
    <w:rsid w:val="32861A63"/>
    <w:rsid w:val="3291399D"/>
    <w:rsid w:val="329B4993"/>
    <w:rsid w:val="332664FB"/>
    <w:rsid w:val="33524AF4"/>
    <w:rsid w:val="33B163F4"/>
    <w:rsid w:val="343E1A7A"/>
    <w:rsid w:val="34A00986"/>
    <w:rsid w:val="34BD790F"/>
    <w:rsid w:val="350C7DCA"/>
    <w:rsid w:val="350E5DAF"/>
    <w:rsid w:val="352E1AEE"/>
    <w:rsid w:val="355879C5"/>
    <w:rsid w:val="35CC6F22"/>
    <w:rsid w:val="36015455"/>
    <w:rsid w:val="360B24B9"/>
    <w:rsid w:val="36127662"/>
    <w:rsid w:val="36335B90"/>
    <w:rsid w:val="364D6772"/>
    <w:rsid w:val="3666792F"/>
    <w:rsid w:val="367E6AA5"/>
    <w:rsid w:val="36857E34"/>
    <w:rsid w:val="36ED02CA"/>
    <w:rsid w:val="379B25D7"/>
    <w:rsid w:val="37B025A2"/>
    <w:rsid w:val="384004B6"/>
    <w:rsid w:val="388A3B36"/>
    <w:rsid w:val="389D2E4B"/>
    <w:rsid w:val="392B06F0"/>
    <w:rsid w:val="396B70C2"/>
    <w:rsid w:val="397B72CC"/>
    <w:rsid w:val="3995213C"/>
    <w:rsid w:val="39964C0C"/>
    <w:rsid w:val="3A2F2590"/>
    <w:rsid w:val="3A824DB6"/>
    <w:rsid w:val="3AD870A0"/>
    <w:rsid w:val="3B464036"/>
    <w:rsid w:val="3B5068F7"/>
    <w:rsid w:val="3B825382"/>
    <w:rsid w:val="3B842468"/>
    <w:rsid w:val="3B887743"/>
    <w:rsid w:val="3C2B135B"/>
    <w:rsid w:val="3C502C92"/>
    <w:rsid w:val="3CDB69FF"/>
    <w:rsid w:val="3CF47AC1"/>
    <w:rsid w:val="3D113ED7"/>
    <w:rsid w:val="3D9D1843"/>
    <w:rsid w:val="3DD26D7F"/>
    <w:rsid w:val="3DEB4A20"/>
    <w:rsid w:val="3E2148E6"/>
    <w:rsid w:val="3E98746E"/>
    <w:rsid w:val="3E9C3F6D"/>
    <w:rsid w:val="3FF73B50"/>
    <w:rsid w:val="40185F30"/>
    <w:rsid w:val="40750F19"/>
    <w:rsid w:val="40A47108"/>
    <w:rsid w:val="415154E2"/>
    <w:rsid w:val="41753E74"/>
    <w:rsid w:val="42022339"/>
    <w:rsid w:val="42843695"/>
    <w:rsid w:val="442742D8"/>
    <w:rsid w:val="447119F7"/>
    <w:rsid w:val="44832FFF"/>
    <w:rsid w:val="44B034E0"/>
    <w:rsid w:val="44B44E0C"/>
    <w:rsid w:val="44E06E90"/>
    <w:rsid w:val="44F87A23"/>
    <w:rsid w:val="45107462"/>
    <w:rsid w:val="45632161"/>
    <w:rsid w:val="457C0654"/>
    <w:rsid w:val="45B20519"/>
    <w:rsid w:val="45C3073F"/>
    <w:rsid w:val="45FB1C70"/>
    <w:rsid w:val="4654384D"/>
    <w:rsid w:val="466E4440"/>
    <w:rsid w:val="46853538"/>
    <w:rsid w:val="47512AB9"/>
    <w:rsid w:val="47527A52"/>
    <w:rsid w:val="478B5BE9"/>
    <w:rsid w:val="479F09BE"/>
    <w:rsid w:val="48074B4D"/>
    <w:rsid w:val="488A581A"/>
    <w:rsid w:val="48945CB4"/>
    <w:rsid w:val="48D72771"/>
    <w:rsid w:val="48ED216D"/>
    <w:rsid w:val="497C0A74"/>
    <w:rsid w:val="4A677B24"/>
    <w:rsid w:val="4A8174A6"/>
    <w:rsid w:val="4ABB5C20"/>
    <w:rsid w:val="4B3A44A1"/>
    <w:rsid w:val="4B712EE6"/>
    <w:rsid w:val="4B885FA4"/>
    <w:rsid w:val="4BB171F6"/>
    <w:rsid w:val="4BD05870"/>
    <w:rsid w:val="4C0B2731"/>
    <w:rsid w:val="4C186398"/>
    <w:rsid w:val="4C653BF0"/>
    <w:rsid w:val="4C984320"/>
    <w:rsid w:val="4C9B1D07"/>
    <w:rsid w:val="4D0B0C3B"/>
    <w:rsid w:val="4D730019"/>
    <w:rsid w:val="4DBC0187"/>
    <w:rsid w:val="4DED0341"/>
    <w:rsid w:val="4EE61313"/>
    <w:rsid w:val="4F0A0A7E"/>
    <w:rsid w:val="4F245FE4"/>
    <w:rsid w:val="4F552641"/>
    <w:rsid w:val="4FEB4D54"/>
    <w:rsid w:val="4FF04118"/>
    <w:rsid w:val="5023629C"/>
    <w:rsid w:val="5066262C"/>
    <w:rsid w:val="515B7CB7"/>
    <w:rsid w:val="51786173"/>
    <w:rsid w:val="52030738"/>
    <w:rsid w:val="520F39C4"/>
    <w:rsid w:val="528374C6"/>
    <w:rsid w:val="52911BE2"/>
    <w:rsid w:val="5299786A"/>
    <w:rsid w:val="52B24DB9"/>
    <w:rsid w:val="52E837CD"/>
    <w:rsid w:val="53220A8C"/>
    <w:rsid w:val="532742F5"/>
    <w:rsid w:val="53806B14"/>
    <w:rsid w:val="53B8319F"/>
    <w:rsid w:val="540006A2"/>
    <w:rsid w:val="54E81862"/>
    <w:rsid w:val="54F209D1"/>
    <w:rsid w:val="55164621"/>
    <w:rsid w:val="55A31CC2"/>
    <w:rsid w:val="565A63C6"/>
    <w:rsid w:val="57790E97"/>
    <w:rsid w:val="578F06BB"/>
    <w:rsid w:val="57BB325E"/>
    <w:rsid w:val="57C2283E"/>
    <w:rsid w:val="57C87729"/>
    <w:rsid w:val="57EB0029"/>
    <w:rsid w:val="57F450C3"/>
    <w:rsid w:val="581666E6"/>
    <w:rsid w:val="586121B4"/>
    <w:rsid w:val="58922210"/>
    <w:rsid w:val="589917F1"/>
    <w:rsid w:val="59314366"/>
    <w:rsid w:val="59525C4D"/>
    <w:rsid w:val="5A48414F"/>
    <w:rsid w:val="5A5C0D28"/>
    <w:rsid w:val="5B9A0D03"/>
    <w:rsid w:val="5BA81D4B"/>
    <w:rsid w:val="5BBA55DA"/>
    <w:rsid w:val="5C367B35"/>
    <w:rsid w:val="5C500B28"/>
    <w:rsid w:val="5C7C039B"/>
    <w:rsid w:val="5D135BC3"/>
    <w:rsid w:val="5D1C19D8"/>
    <w:rsid w:val="5D706898"/>
    <w:rsid w:val="5DD40BD5"/>
    <w:rsid w:val="5DED58A9"/>
    <w:rsid w:val="5E40270F"/>
    <w:rsid w:val="5EAB402C"/>
    <w:rsid w:val="5F437D21"/>
    <w:rsid w:val="5F867F04"/>
    <w:rsid w:val="60332A0B"/>
    <w:rsid w:val="60363DC9"/>
    <w:rsid w:val="605B5D36"/>
    <w:rsid w:val="60A76A75"/>
    <w:rsid w:val="60B44CEE"/>
    <w:rsid w:val="61176BE7"/>
    <w:rsid w:val="612D5657"/>
    <w:rsid w:val="61AE5BE1"/>
    <w:rsid w:val="61C7575E"/>
    <w:rsid w:val="61E82EA1"/>
    <w:rsid w:val="6257286F"/>
    <w:rsid w:val="62A72D5C"/>
    <w:rsid w:val="62BA151E"/>
    <w:rsid w:val="62C40459"/>
    <w:rsid w:val="62E10A89"/>
    <w:rsid w:val="63000BBC"/>
    <w:rsid w:val="633D0FCB"/>
    <w:rsid w:val="63CD05A1"/>
    <w:rsid w:val="63F26259"/>
    <w:rsid w:val="6458643A"/>
    <w:rsid w:val="64680C55"/>
    <w:rsid w:val="646C600B"/>
    <w:rsid w:val="64B17EC2"/>
    <w:rsid w:val="65C50B86"/>
    <w:rsid w:val="65C60DEB"/>
    <w:rsid w:val="67492C4F"/>
    <w:rsid w:val="674E1D56"/>
    <w:rsid w:val="6751773B"/>
    <w:rsid w:val="675635B6"/>
    <w:rsid w:val="676A4358"/>
    <w:rsid w:val="67803B7C"/>
    <w:rsid w:val="67AD4D09"/>
    <w:rsid w:val="680E2F36"/>
    <w:rsid w:val="68833924"/>
    <w:rsid w:val="696F0688"/>
    <w:rsid w:val="697469DA"/>
    <w:rsid w:val="6B00125C"/>
    <w:rsid w:val="6CC91B21"/>
    <w:rsid w:val="6CE8198E"/>
    <w:rsid w:val="6CEB5F3B"/>
    <w:rsid w:val="6CF46B9E"/>
    <w:rsid w:val="6D0D53A0"/>
    <w:rsid w:val="6D1159A2"/>
    <w:rsid w:val="6D14184B"/>
    <w:rsid w:val="6D2F407A"/>
    <w:rsid w:val="6D9E29F3"/>
    <w:rsid w:val="6E146DCC"/>
    <w:rsid w:val="6E4219E4"/>
    <w:rsid w:val="6F2F65B3"/>
    <w:rsid w:val="6F360946"/>
    <w:rsid w:val="6F4638FD"/>
    <w:rsid w:val="6F647FD2"/>
    <w:rsid w:val="6F9603E0"/>
    <w:rsid w:val="6FFB46E7"/>
    <w:rsid w:val="702A2EE5"/>
    <w:rsid w:val="70A82003"/>
    <w:rsid w:val="7105409D"/>
    <w:rsid w:val="715916C6"/>
    <w:rsid w:val="71883FDA"/>
    <w:rsid w:val="719170B1"/>
    <w:rsid w:val="71AF7A24"/>
    <w:rsid w:val="72895FDA"/>
    <w:rsid w:val="72E72D01"/>
    <w:rsid w:val="72E8213A"/>
    <w:rsid w:val="72F86626"/>
    <w:rsid w:val="73CF2113"/>
    <w:rsid w:val="73EF6311"/>
    <w:rsid w:val="74387CB8"/>
    <w:rsid w:val="74411194"/>
    <w:rsid w:val="74B44E65"/>
    <w:rsid w:val="74D97C69"/>
    <w:rsid w:val="74FD6465"/>
    <w:rsid w:val="75110BDA"/>
    <w:rsid w:val="758E71FE"/>
    <w:rsid w:val="75BD235C"/>
    <w:rsid w:val="75D141C0"/>
    <w:rsid w:val="75E17EDC"/>
    <w:rsid w:val="761A49D3"/>
    <w:rsid w:val="771816DB"/>
    <w:rsid w:val="772269FE"/>
    <w:rsid w:val="77297D8C"/>
    <w:rsid w:val="77335861"/>
    <w:rsid w:val="773724A9"/>
    <w:rsid w:val="776F1462"/>
    <w:rsid w:val="778253D8"/>
    <w:rsid w:val="778F7D17"/>
    <w:rsid w:val="779416A9"/>
    <w:rsid w:val="77E84A4C"/>
    <w:rsid w:val="78172511"/>
    <w:rsid w:val="78342545"/>
    <w:rsid w:val="789F75AD"/>
    <w:rsid w:val="78C049FB"/>
    <w:rsid w:val="78E734DC"/>
    <w:rsid w:val="79A56C45"/>
    <w:rsid w:val="79E47F9A"/>
    <w:rsid w:val="7A5E2B5E"/>
    <w:rsid w:val="7AC0574F"/>
    <w:rsid w:val="7AF63774"/>
    <w:rsid w:val="7B3B1E3C"/>
    <w:rsid w:val="7B6E00A7"/>
    <w:rsid w:val="7BD04C7A"/>
    <w:rsid w:val="7BFD3595"/>
    <w:rsid w:val="7C140119"/>
    <w:rsid w:val="7C217284"/>
    <w:rsid w:val="7C2211FF"/>
    <w:rsid w:val="7C3D41A1"/>
    <w:rsid w:val="7C502461"/>
    <w:rsid w:val="7C661E10"/>
    <w:rsid w:val="7CE72622"/>
    <w:rsid w:val="7DBA7990"/>
    <w:rsid w:val="7DD547CA"/>
    <w:rsid w:val="7E0230E5"/>
    <w:rsid w:val="7E1C41A7"/>
    <w:rsid w:val="7E953F59"/>
    <w:rsid w:val="7EA30424"/>
    <w:rsid w:val="7FE85121"/>
    <w:rsid w:val="7FEC5323"/>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uiPriority="99" w:name="index 6"/>
    <w:lsdException w:qFormat="1" w:unhideWhenUsed="0" w:uiPriority="0" w:semiHidden="0"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qFormat="1" w:uiPriority="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99" w:name="caption"/>
    <w:lsdException w:qFormat="1" w:uiPriority="99" w:name="table of figures"/>
    <w:lsdException w:uiPriority="99" w:name="envelope address"/>
    <w:lsdException w:uiPriority="99" w:name="envelope return"/>
    <w:lsdException w:qFormat="1" w:uiPriority="0" w:name="footnote reference"/>
    <w:lsdException w:qFormat="1" w:uiPriority="0" w:name="annotation reference"/>
    <w:lsdException w:uiPriority="99" w:name="line number"/>
    <w:lsdException w:qFormat="1" w:unhideWhenUsed="0" w:uiPriority="0" w:semiHidden="0" w:name="page number"/>
    <w:lsdException w:qFormat="1" w:uiPriority="0" w:name="endnote reference"/>
    <w:lsdException w:qFormat="1" w:uiPriority="99" w:name="endnote text"/>
    <w:lsdException w:uiPriority="99" w:name="table of authorities"/>
    <w:lsdException w:uiPriority="99" w:name="macro"/>
    <w:lsdException w:qFormat="1" w:uiPriority="99" w:name="toa heading"/>
    <w:lsdException w:qFormat="1" w:uiPriority="99" w:name="List"/>
    <w:lsdException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99" w:name="List Number 3"/>
    <w:lsdException w:uiPriority="99" w:name="List Number 4"/>
    <w:lsdException w:uiPriority="99" w:name="List Number 5"/>
    <w:lsdException w:qFormat="1" w:unhideWhenUsed="0" w:uiPriority="99" w:semiHidden="0" w:name="Title"/>
    <w:lsdException w:uiPriority="99" w:name="Closing"/>
    <w:lsdException w:qFormat="1"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iPriority="99" w:name="Date"/>
    <w:lsdException w:qFormat="1" w:uiPriority="99" w:name="Body Text First Indent"/>
    <w:lsdException w:uiPriority="99" w:name="Body Text First Indent 2"/>
    <w:lsdException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qFormat="1" w:uiPriority="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qFormat="1"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78"/>
    <w:autoRedefine/>
    <w:qFormat/>
    <w:uiPriority w:val="0"/>
    <w:pPr>
      <w:keepNext/>
      <w:jc w:val="center"/>
      <w:outlineLvl w:val="0"/>
    </w:pPr>
    <w:rPr>
      <w:rFonts w:ascii="Times New Roman" w:hAnsi="Times New Roman" w:eastAsia="宋体" w:cs="Times New Roman"/>
      <w:b/>
      <w:bCs/>
      <w:kern w:val="0"/>
      <w:sz w:val="24"/>
      <w:szCs w:val="24"/>
    </w:rPr>
  </w:style>
  <w:style w:type="paragraph" w:styleId="5">
    <w:name w:val="heading 2"/>
    <w:basedOn w:val="1"/>
    <w:next w:val="1"/>
    <w:link w:val="79"/>
    <w:autoRedefine/>
    <w:semiHidden/>
    <w:unhideWhenUsed/>
    <w:qFormat/>
    <w:uiPriority w:val="0"/>
    <w:pPr>
      <w:keepNext/>
      <w:keepLines/>
      <w:spacing w:before="260" w:after="260" w:line="415" w:lineRule="auto"/>
      <w:outlineLvl w:val="1"/>
    </w:pPr>
    <w:rPr>
      <w:rFonts w:ascii="等线 Light" w:hAnsi="等线 Light" w:eastAsia="等线 Light" w:cs="Times New Roman"/>
      <w:b/>
      <w:bCs/>
      <w:sz w:val="32"/>
      <w:szCs w:val="32"/>
    </w:rPr>
  </w:style>
  <w:style w:type="paragraph" w:styleId="6">
    <w:name w:val="heading 3"/>
    <w:basedOn w:val="1"/>
    <w:next w:val="1"/>
    <w:link w:val="80"/>
    <w:autoRedefine/>
    <w:semiHidden/>
    <w:unhideWhenUsed/>
    <w:qFormat/>
    <w:uiPriority w:val="0"/>
    <w:pPr>
      <w:keepNext/>
      <w:keepLines/>
      <w:spacing w:before="260" w:after="260" w:line="415" w:lineRule="auto"/>
      <w:outlineLvl w:val="2"/>
    </w:pPr>
    <w:rPr>
      <w:rFonts w:ascii="Times New Roman" w:hAnsi="Times New Roman" w:eastAsia="宋体" w:cs="Times New Roman"/>
      <w:b/>
      <w:bCs/>
      <w:kern w:val="0"/>
      <w:sz w:val="32"/>
      <w:szCs w:val="32"/>
    </w:rPr>
  </w:style>
  <w:style w:type="paragraph" w:styleId="7">
    <w:name w:val="heading 4"/>
    <w:basedOn w:val="1"/>
    <w:next w:val="1"/>
    <w:link w:val="81"/>
    <w:autoRedefine/>
    <w:semiHidden/>
    <w:unhideWhenUsed/>
    <w:qFormat/>
    <w:uiPriority w:val="0"/>
    <w:pPr>
      <w:keepNext/>
      <w:keepLines/>
      <w:spacing w:before="280" w:after="290" w:line="374" w:lineRule="auto"/>
      <w:outlineLvl w:val="3"/>
    </w:pPr>
    <w:rPr>
      <w:rFonts w:ascii="Arial" w:hAnsi="Arial" w:eastAsia="黑体" w:cs="Times New Roman"/>
      <w:b/>
      <w:bCs/>
      <w:kern w:val="0"/>
      <w:sz w:val="28"/>
      <w:szCs w:val="28"/>
    </w:rPr>
  </w:style>
  <w:style w:type="paragraph" w:styleId="8">
    <w:name w:val="heading 5"/>
    <w:basedOn w:val="1"/>
    <w:next w:val="1"/>
    <w:link w:val="82"/>
    <w:autoRedefine/>
    <w:semiHidden/>
    <w:unhideWhenUsed/>
    <w:qFormat/>
    <w:uiPriority w:val="0"/>
    <w:pPr>
      <w:keepNext/>
      <w:keepLines/>
      <w:spacing w:before="280" w:after="290" w:line="374" w:lineRule="auto"/>
      <w:outlineLvl w:val="4"/>
    </w:pPr>
    <w:rPr>
      <w:rFonts w:ascii="Times New Roman" w:hAnsi="Times New Roman" w:eastAsia="宋体" w:cs="Times New Roman"/>
      <w:b/>
      <w:bCs/>
      <w:kern w:val="0"/>
      <w:sz w:val="28"/>
      <w:szCs w:val="28"/>
    </w:rPr>
  </w:style>
  <w:style w:type="paragraph" w:styleId="9">
    <w:name w:val="heading 6"/>
    <w:next w:val="1"/>
    <w:link w:val="83"/>
    <w:autoRedefine/>
    <w:semiHidden/>
    <w:unhideWhenUsed/>
    <w:qFormat/>
    <w:uiPriority w:val="0"/>
    <w:pPr>
      <w:wordWrap w:val="0"/>
      <w:spacing w:after="160"/>
      <w:ind w:left="2000" w:hanging="400"/>
      <w:jc w:val="both"/>
      <w:outlineLvl w:val="5"/>
    </w:pPr>
    <w:rPr>
      <w:rFonts w:ascii="Times New Roman" w:hAnsi="Times New Roman" w:eastAsia="宋体" w:cs="Times New Roman"/>
      <w:b/>
      <w:sz w:val="21"/>
      <w:lang w:val="en-US" w:eastAsia="zh-CN" w:bidi="ar-SA"/>
    </w:rPr>
  </w:style>
  <w:style w:type="paragraph" w:styleId="10">
    <w:name w:val="heading 7"/>
    <w:next w:val="1"/>
    <w:link w:val="84"/>
    <w:autoRedefine/>
    <w:semiHidden/>
    <w:unhideWhenUsed/>
    <w:qFormat/>
    <w:uiPriority w:val="99"/>
    <w:pPr>
      <w:wordWrap w:val="0"/>
      <w:spacing w:after="160"/>
      <w:ind w:left="2200" w:hanging="400"/>
      <w:jc w:val="both"/>
      <w:outlineLvl w:val="6"/>
    </w:pPr>
    <w:rPr>
      <w:rFonts w:ascii="Times New Roman" w:hAnsi="Times New Roman" w:eastAsia="宋体" w:cs="Times New Roman"/>
      <w:sz w:val="21"/>
      <w:lang w:val="en-US" w:eastAsia="zh-CN" w:bidi="ar-SA"/>
    </w:rPr>
  </w:style>
  <w:style w:type="paragraph" w:styleId="11">
    <w:name w:val="heading 8"/>
    <w:next w:val="1"/>
    <w:link w:val="85"/>
    <w:autoRedefine/>
    <w:semiHidden/>
    <w:unhideWhenUsed/>
    <w:qFormat/>
    <w:uiPriority w:val="99"/>
    <w:pPr>
      <w:wordWrap w:val="0"/>
      <w:spacing w:after="160"/>
      <w:ind w:left="2400" w:hanging="400"/>
      <w:jc w:val="both"/>
      <w:outlineLvl w:val="7"/>
    </w:pPr>
    <w:rPr>
      <w:rFonts w:ascii="Times New Roman" w:hAnsi="Times New Roman" w:eastAsia="宋体" w:cs="Times New Roman"/>
      <w:sz w:val="21"/>
      <w:lang w:val="en-US" w:eastAsia="zh-CN" w:bidi="ar-SA"/>
    </w:rPr>
  </w:style>
  <w:style w:type="paragraph" w:styleId="12">
    <w:name w:val="heading 9"/>
    <w:basedOn w:val="1"/>
    <w:next w:val="1"/>
    <w:link w:val="86"/>
    <w:autoRedefine/>
    <w:semiHidden/>
    <w:unhideWhenUsed/>
    <w:qFormat/>
    <w:uiPriority w:val="99"/>
    <w:pPr>
      <w:keepNext/>
      <w:keepLines/>
      <w:spacing w:before="240" w:after="64" w:line="316" w:lineRule="auto"/>
      <w:outlineLvl w:val="8"/>
    </w:pPr>
    <w:rPr>
      <w:rFonts w:ascii="Arial" w:hAnsi="Arial" w:eastAsia="黑体" w:cs="Times New Roman"/>
      <w:kern w:val="0"/>
      <w:sz w:val="20"/>
      <w:szCs w:val="20"/>
    </w:rPr>
  </w:style>
  <w:style w:type="character" w:default="1" w:styleId="65">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autoRedefine/>
    <w:qFormat/>
    <w:uiPriority w:val="99"/>
    <w:pPr>
      <w:adjustRightInd w:val="0"/>
      <w:spacing w:line="420" w:lineRule="atLeast"/>
      <w:jc w:val="left"/>
    </w:pPr>
    <w:rPr>
      <w:rFonts w:ascii="Calibri" w:hAnsi="Calibri" w:eastAsia="宋体" w:cs="Times New Roman"/>
      <w:kern w:val="0"/>
      <w:szCs w:val="20"/>
    </w:rPr>
  </w:style>
  <w:style w:type="paragraph" w:styleId="3">
    <w:name w:val="Body Text"/>
    <w:basedOn w:val="1"/>
    <w:next w:val="1"/>
    <w:link w:val="97"/>
    <w:autoRedefine/>
    <w:semiHidden/>
    <w:unhideWhenUsed/>
    <w:qFormat/>
    <w:uiPriority w:val="99"/>
    <w:pPr>
      <w:spacing w:after="120"/>
    </w:pPr>
    <w:rPr>
      <w:rFonts w:ascii="Times New Roman" w:hAnsi="Times New Roman" w:eastAsia="宋体" w:cs="Times New Roman"/>
      <w:kern w:val="0"/>
      <w:sz w:val="28"/>
      <w:szCs w:val="24"/>
    </w:rPr>
  </w:style>
  <w:style w:type="paragraph" w:styleId="13">
    <w:name w:val="List 3"/>
    <w:basedOn w:val="1"/>
    <w:autoRedefine/>
    <w:semiHidden/>
    <w:unhideWhenUsed/>
    <w:qFormat/>
    <w:uiPriority w:val="99"/>
    <w:pPr>
      <w:ind w:left="100" w:leftChars="400" w:hanging="200" w:hangingChars="200"/>
    </w:pPr>
    <w:rPr>
      <w:rFonts w:ascii="Times New Roman" w:hAnsi="Times New Roman" w:eastAsia="宋体" w:cs="Times New Roman"/>
      <w:szCs w:val="20"/>
    </w:rPr>
  </w:style>
  <w:style w:type="paragraph" w:styleId="14">
    <w:name w:val="toc 7"/>
    <w:next w:val="1"/>
    <w:autoRedefine/>
    <w:semiHidden/>
    <w:unhideWhenUsed/>
    <w:qFormat/>
    <w:uiPriority w:val="99"/>
    <w:pPr>
      <w:wordWrap w:val="0"/>
      <w:ind w:left="2125"/>
      <w:jc w:val="both"/>
    </w:pPr>
    <w:rPr>
      <w:rFonts w:ascii="Times New Roman" w:hAnsi="Times New Roman" w:eastAsia="宋体" w:cs="Times New Roman"/>
      <w:sz w:val="21"/>
      <w:lang w:val="en-US" w:eastAsia="zh-CN" w:bidi="ar-SA"/>
    </w:rPr>
  </w:style>
  <w:style w:type="paragraph" w:styleId="15">
    <w:name w:val="List Number"/>
    <w:basedOn w:val="1"/>
    <w:autoRedefine/>
    <w:semiHidden/>
    <w:unhideWhenUsed/>
    <w:qFormat/>
    <w:uiPriority w:val="99"/>
    <w:pPr>
      <w:widowControl/>
      <w:numPr>
        <w:ilvl w:val="0"/>
        <w:numId w:val="1"/>
      </w:numPr>
      <w:spacing w:afterLines="50"/>
      <w:ind w:left="1800"/>
      <w:jc w:val="left"/>
    </w:pPr>
    <w:rPr>
      <w:rFonts w:ascii="Times New Roman" w:hAnsi="Times New Roman" w:eastAsia="宋体" w:cs="Times New Roman"/>
      <w:kern w:val="0"/>
      <w:sz w:val="24"/>
      <w:szCs w:val="20"/>
    </w:rPr>
  </w:style>
  <w:style w:type="paragraph" w:styleId="16">
    <w:name w:val="Normal Indent"/>
    <w:basedOn w:val="1"/>
    <w:link w:val="89"/>
    <w:autoRedefine/>
    <w:semiHidden/>
    <w:unhideWhenUsed/>
    <w:qFormat/>
    <w:uiPriority w:val="0"/>
    <w:pPr>
      <w:ind w:firstLine="420"/>
    </w:pPr>
  </w:style>
  <w:style w:type="paragraph" w:styleId="17">
    <w:name w:val="caption"/>
    <w:basedOn w:val="1"/>
    <w:next w:val="1"/>
    <w:autoRedefine/>
    <w:semiHidden/>
    <w:unhideWhenUsed/>
    <w:qFormat/>
    <w:uiPriority w:val="99"/>
    <w:pPr>
      <w:spacing w:before="152" w:after="160"/>
    </w:pPr>
    <w:rPr>
      <w:rFonts w:ascii="Arial" w:hAnsi="Arial" w:eastAsia="黑体" w:cs="Arial"/>
      <w:sz w:val="20"/>
      <w:szCs w:val="20"/>
    </w:rPr>
  </w:style>
  <w:style w:type="paragraph" w:styleId="18">
    <w:name w:val="index 5"/>
    <w:basedOn w:val="1"/>
    <w:next w:val="1"/>
    <w:autoRedefine/>
    <w:semiHidden/>
    <w:unhideWhenUsed/>
    <w:qFormat/>
    <w:uiPriority w:val="99"/>
    <w:pPr>
      <w:widowControl/>
      <w:spacing w:before="60" w:after="60"/>
      <w:ind w:left="1440"/>
    </w:pPr>
    <w:rPr>
      <w:rFonts w:ascii="Arial" w:hAnsi="Arial" w:eastAsia="宋体" w:cs="Arial"/>
      <w:kern w:val="0"/>
      <w:sz w:val="20"/>
      <w:szCs w:val="20"/>
      <w:lang w:val="en-GB" w:eastAsia="fr-FR"/>
    </w:rPr>
  </w:style>
  <w:style w:type="paragraph" w:styleId="19">
    <w:name w:val="Document Map"/>
    <w:basedOn w:val="1"/>
    <w:link w:val="106"/>
    <w:autoRedefine/>
    <w:semiHidden/>
    <w:unhideWhenUsed/>
    <w:qFormat/>
    <w:uiPriority w:val="99"/>
    <w:pPr>
      <w:shd w:val="clear" w:color="auto" w:fill="000080"/>
    </w:pPr>
    <w:rPr>
      <w:rFonts w:ascii="宋体" w:hAnsi="Times New Roman" w:eastAsia="宋体" w:cs="Times New Roman"/>
      <w:sz w:val="18"/>
      <w:szCs w:val="18"/>
    </w:rPr>
  </w:style>
  <w:style w:type="paragraph" w:styleId="20">
    <w:name w:val="toa heading"/>
    <w:basedOn w:val="1"/>
    <w:next w:val="1"/>
    <w:autoRedefine/>
    <w:semiHidden/>
    <w:unhideWhenUsed/>
    <w:qFormat/>
    <w:uiPriority w:val="99"/>
    <w:pPr>
      <w:spacing w:before="120"/>
    </w:pPr>
    <w:rPr>
      <w:rFonts w:ascii="Arial" w:hAnsi="Times New Roman" w:eastAsia="宋体" w:cs="Times New Roman"/>
      <w:kern w:val="0"/>
      <w:sz w:val="24"/>
      <w:szCs w:val="20"/>
    </w:rPr>
  </w:style>
  <w:style w:type="paragraph" w:styleId="21">
    <w:name w:val="annotation text"/>
    <w:basedOn w:val="1"/>
    <w:link w:val="711"/>
    <w:autoRedefine/>
    <w:semiHidden/>
    <w:unhideWhenUsed/>
    <w:qFormat/>
    <w:uiPriority w:val="99"/>
    <w:pPr>
      <w:jc w:val="left"/>
    </w:pPr>
    <w:rPr>
      <w:rFonts w:ascii="Times New Roman" w:hAnsi="Times New Roman" w:eastAsia="宋体" w:cs="Times New Roman"/>
      <w:kern w:val="0"/>
      <w:sz w:val="20"/>
      <w:szCs w:val="24"/>
    </w:rPr>
  </w:style>
  <w:style w:type="paragraph" w:styleId="22">
    <w:name w:val="Body Text 3"/>
    <w:basedOn w:val="1"/>
    <w:link w:val="103"/>
    <w:autoRedefine/>
    <w:semiHidden/>
    <w:unhideWhenUsed/>
    <w:qFormat/>
    <w:uiPriority w:val="99"/>
    <w:pPr>
      <w:snapToGrid w:val="0"/>
      <w:spacing w:before="50" w:after="50"/>
    </w:pPr>
    <w:rPr>
      <w:rFonts w:ascii="Times New Roman" w:hAnsi="宋体" w:eastAsia="仿宋_GB2312" w:cs="Times New Roman"/>
      <w:b/>
      <w:bCs/>
      <w:kern w:val="0"/>
      <w:sz w:val="24"/>
      <w:szCs w:val="20"/>
    </w:rPr>
  </w:style>
  <w:style w:type="paragraph" w:styleId="23">
    <w:name w:val="Body Text Indent"/>
    <w:basedOn w:val="1"/>
    <w:link w:val="98"/>
    <w:autoRedefine/>
    <w:semiHidden/>
    <w:unhideWhenUsed/>
    <w:qFormat/>
    <w:uiPriority w:val="99"/>
    <w:pPr>
      <w:spacing w:line="200" w:lineRule="exact"/>
      <w:ind w:firstLine="301"/>
    </w:pPr>
    <w:rPr>
      <w:rFonts w:ascii="宋体" w:hAnsi="Courier New" w:eastAsia="宋体" w:cs="Times New Roman"/>
      <w:spacing w:val="-4"/>
      <w:kern w:val="0"/>
      <w:sz w:val="18"/>
      <w:szCs w:val="20"/>
    </w:rPr>
  </w:style>
  <w:style w:type="paragraph" w:styleId="24">
    <w:name w:val="List Number 3"/>
    <w:basedOn w:val="1"/>
    <w:autoRedefine/>
    <w:semiHidden/>
    <w:unhideWhenUsed/>
    <w:qFormat/>
    <w:uiPriority w:val="99"/>
    <w:pPr>
      <w:numPr>
        <w:ilvl w:val="0"/>
        <w:numId w:val="2"/>
      </w:numPr>
    </w:pPr>
    <w:rPr>
      <w:rFonts w:ascii="Times New Roman" w:hAnsi="Times New Roman" w:eastAsia="宋体" w:cs="Times New Roman"/>
      <w:szCs w:val="24"/>
    </w:rPr>
  </w:style>
  <w:style w:type="paragraph" w:styleId="25">
    <w:name w:val="List 2"/>
    <w:basedOn w:val="1"/>
    <w:autoRedefine/>
    <w:semiHidden/>
    <w:unhideWhenUsed/>
    <w:qFormat/>
    <w:uiPriority w:val="99"/>
    <w:pPr>
      <w:ind w:left="100" w:leftChars="200" w:hanging="200" w:hangingChars="200"/>
    </w:pPr>
    <w:rPr>
      <w:rFonts w:ascii="Times New Roman" w:hAnsi="Times New Roman" w:eastAsia="宋体" w:cs="Times New Roman"/>
      <w:sz w:val="28"/>
      <w:szCs w:val="24"/>
    </w:rPr>
  </w:style>
  <w:style w:type="paragraph" w:styleId="26">
    <w:name w:val="Block Text"/>
    <w:basedOn w:val="1"/>
    <w:autoRedefine/>
    <w:semiHidden/>
    <w:unhideWhenUsed/>
    <w:qFormat/>
    <w:uiPriority w:val="99"/>
    <w:pPr>
      <w:adjustRightInd w:val="0"/>
      <w:ind w:left="420" w:right="33"/>
      <w:jc w:val="left"/>
    </w:pPr>
    <w:rPr>
      <w:rFonts w:ascii="Times New Roman" w:hAnsi="Times New Roman" w:eastAsia="宋体" w:cs="Times New Roman"/>
      <w:kern w:val="0"/>
      <w:sz w:val="24"/>
      <w:szCs w:val="20"/>
    </w:rPr>
  </w:style>
  <w:style w:type="paragraph" w:styleId="27">
    <w:name w:val="index 4"/>
    <w:basedOn w:val="1"/>
    <w:next w:val="1"/>
    <w:autoRedefine/>
    <w:semiHidden/>
    <w:unhideWhenUsed/>
    <w:qFormat/>
    <w:uiPriority w:val="99"/>
    <w:pPr>
      <w:ind w:left="600" w:leftChars="600"/>
    </w:pPr>
    <w:rPr>
      <w:rFonts w:ascii="Times New Roman" w:hAnsi="Times New Roman" w:eastAsia="宋体" w:cs="Times New Roman"/>
      <w:szCs w:val="24"/>
    </w:rPr>
  </w:style>
  <w:style w:type="paragraph" w:styleId="28">
    <w:name w:val="toc 5"/>
    <w:next w:val="1"/>
    <w:autoRedefine/>
    <w:semiHidden/>
    <w:unhideWhenUsed/>
    <w:qFormat/>
    <w:uiPriority w:val="99"/>
    <w:pPr>
      <w:wordWrap w:val="0"/>
      <w:ind w:left="1275"/>
      <w:jc w:val="both"/>
    </w:pPr>
    <w:rPr>
      <w:rFonts w:ascii="Times New Roman" w:hAnsi="Times New Roman" w:eastAsia="宋体" w:cs="Times New Roman"/>
      <w:sz w:val="21"/>
      <w:lang w:val="en-US" w:eastAsia="zh-CN" w:bidi="ar-SA"/>
    </w:rPr>
  </w:style>
  <w:style w:type="paragraph" w:styleId="29">
    <w:name w:val="toc 3"/>
    <w:basedOn w:val="1"/>
    <w:next w:val="1"/>
    <w:autoRedefine/>
    <w:semiHidden/>
    <w:unhideWhenUsed/>
    <w:qFormat/>
    <w:uiPriority w:val="39"/>
    <w:pPr>
      <w:ind w:left="840" w:leftChars="400"/>
    </w:pPr>
    <w:rPr>
      <w:rFonts w:ascii="Calibri" w:hAnsi="Calibri" w:eastAsia="宋体" w:cs="Times New Roman"/>
    </w:rPr>
  </w:style>
  <w:style w:type="paragraph" w:styleId="30">
    <w:name w:val="Plain Text"/>
    <w:basedOn w:val="1"/>
    <w:next w:val="31"/>
    <w:link w:val="107"/>
    <w:autoRedefine/>
    <w:semiHidden/>
    <w:unhideWhenUsed/>
    <w:qFormat/>
    <w:uiPriority w:val="99"/>
    <w:pPr>
      <w:spacing w:beforeLines="50" w:afterLines="50" w:line="400" w:lineRule="exact"/>
    </w:pPr>
    <w:rPr>
      <w:rFonts w:ascii="宋体" w:hAnsi="Courier New" w:eastAsia="宋体" w:cs="Times New Roman"/>
      <w:kern w:val="0"/>
      <w:sz w:val="24"/>
      <w:szCs w:val="24"/>
    </w:rPr>
  </w:style>
  <w:style w:type="paragraph" w:styleId="31">
    <w:name w:val="index 7"/>
    <w:basedOn w:val="1"/>
    <w:next w:val="1"/>
    <w:autoRedefine/>
    <w:qFormat/>
    <w:uiPriority w:val="0"/>
    <w:pPr>
      <w:ind w:left="1200" w:leftChars="1200"/>
    </w:pPr>
  </w:style>
  <w:style w:type="paragraph" w:styleId="32">
    <w:name w:val="toc 8"/>
    <w:next w:val="1"/>
    <w:autoRedefine/>
    <w:semiHidden/>
    <w:unhideWhenUsed/>
    <w:qFormat/>
    <w:uiPriority w:val="99"/>
    <w:pPr>
      <w:wordWrap w:val="0"/>
      <w:ind w:left="2550"/>
      <w:jc w:val="both"/>
    </w:pPr>
    <w:rPr>
      <w:rFonts w:ascii="Times New Roman" w:hAnsi="Times New Roman" w:eastAsia="宋体" w:cs="Times New Roman"/>
      <w:sz w:val="21"/>
      <w:lang w:val="en-US" w:eastAsia="zh-CN" w:bidi="ar-SA"/>
    </w:rPr>
  </w:style>
  <w:style w:type="paragraph" w:styleId="33">
    <w:name w:val="index 3"/>
    <w:basedOn w:val="1"/>
    <w:next w:val="1"/>
    <w:autoRedefine/>
    <w:semiHidden/>
    <w:unhideWhenUsed/>
    <w:qFormat/>
    <w:uiPriority w:val="99"/>
    <w:pPr>
      <w:ind w:left="400" w:leftChars="400"/>
    </w:pPr>
    <w:rPr>
      <w:rFonts w:ascii="宋体" w:hAnsi="Times New Roman" w:eastAsia="宋体" w:cs="Times New Roman"/>
      <w:sz w:val="24"/>
      <w:szCs w:val="20"/>
    </w:rPr>
  </w:style>
  <w:style w:type="paragraph" w:styleId="34">
    <w:name w:val="Date"/>
    <w:basedOn w:val="1"/>
    <w:next w:val="1"/>
    <w:link w:val="100"/>
    <w:autoRedefine/>
    <w:semiHidden/>
    <w:unhideWhenUsed/>
    <w:qFormat/>
    <w:uiPriority w:val="99"/>
    <w:pPr>
      <w:ind w:left="2500" w:leftChars="2500"/>
    </w:pPr>
    <w:rPr>
      <w:rFonts w:ascii="Times New Roman" w:hAnsi="Times New Roman" w:eastAsia="楷体_GB2312" w:cs="Times New Roman"/>
      <w:kern w:val="0"/>
      <w:sz w:val="32"/>
      <w:szCs w:val="20"/>
    </w:rPr>
  </w:style>
  <w:style w:type="paragraph" w:styleId="35">
    <w:name w:val="Body Text Indent 2"/>
    <w:basedOn w:val="1"/>
    <w:link w:val="104"/>
    <w:autoRedefine/>
    <w:semiHidden/>
    <w:unhideWhenUsed/>
    <w:qFormat/>
    <w:uiPriority w:val="99"/>
    <w:pPr>
      <w:snapToGrid w:val="0"/>
      <w:ind w:firstLine="542" w:firstLineChars="225"/>
    </w:pPr>
    <w:rPr>
      <w:rFonts w:ascii="仿宋_GB2312" w:hAnsi="宋体" w:eastAsia="宋体" w:cs="Times New Roman"/>
      <w:b/>
      <w:bCs/>
      <w:color w:val="000000"/>
      <w:kern w:val="0"/>
      <w:sz w:val="24"/>
      <w:szCs w:val="24"/>
    </w:rPr>
  </w:style>
  <w:style w:type="paragraph" w:styleId="36">
    <w:name w:val="endnote text"/>
    <w:basedOn w:val="1"/>
    <w:link w:val="94"/>
    <w:autoRedefine/>
    <w:semiHidden/>
    <w:unhideWhenUsed/>
    <w:qFormat/>
    <w:uiPriority w:val="99"/>
    <w:pPr>
      <w:snapToGrid w:val="0"/>
      <w:jc w:val="left"/>
    </w:pPr>
    <w:rPr>
      <w:rFonts w:ascii="Calibri" w:hAnsi="Calibri" w:eastAsia="宋体" w:cs="Times New Roman"/>
      <w:szCs w:val="20"/>
    </w:rPr>
  </w:style>
  <w:style w:type="paragraph" w:styleId="37">
    <w:name w:val="Balloon Text"/>
    <w:basedOn w:val="1"/>
    <w:link w:val="109"/>
    <w:autoRedefine/>
    <w:semiHidden/>
    <w:unhideWhenUsed/>
    <w:qFormat/>
    <w:uiPriority w:val="99"/>
    <w:rPr>
      <w:rFonts w:ascii="Times New Roman" w:hAnsi="Times New Roman" w:eastAsia="宋体" w:cs="Times New Roman"/>
      <w:kern w:val="0"/>
      <w:sz w:val="18"/>
      <w:szCs w:val="18"/>
    </w:rPr>
  </w:style>
  <w:style w:type="paragraph" w:styleId="38">
    <w:name w:val="footer"/>
    <w:basedOn w:val="1"/>
    <w:link w:val="93"/>
    <w:autoRedefine/>
    <w:unhideWhenUsed/>
    <w:qFormat/>
    <w:uiPriority w:val="99"/>
    <w:pPr>
      <w:tabs>
        <w:tab w:val="center" w:pos="4153"/>
        <w:tab w:val="right" w:pos="8306"/>
      </w:tabs>
      <w:snapToGrid w:val="0"/>
      <w:jc w:val="left"/>
    </w:pPr>
    <w:rPr>
      <w:rFonts w:ascii="Times New Roman" w:hAnsi="Times New Roman" w:eastAsia="黑体" w:cs="Times New Roman"/>
      <w:kern w:val="0"/>
      <w:sz w:val="18"/>
      <w:szCs w:val="18"/>
    </w:rPr>
  </w:style>
  <w:style w:type="paragraph" w:styleId="39">
    <w:name w:val="header"/>
    <w:basedOn w:val="1"/>
    <w:link w:val="92"/>
    <w:autoRedefine/>
    <w:unhideWhenUsed/>
    <w:qFormat/>
    <w:uiPriority w:val="99"/>
    <w:pPr>
      <w:pBdr>
        <w:bottom w:val="single" w:color="auto" w:sz="6" w:space="1"/>
      </w:pBdr>
      <w:tabs>
        <w:tab w:val="center" w:pos="4153"/>
        <w:tab w:val="right" w:pos="8306"/>
      </w:tabs>
      <w:snapToGrid w:val="0"/>
      <w:jc w:val="center"/>
    </w:pPr>
    <w:rPr>
      <w:rFonts w:ascii="Times New Roman" w:hAnsi="Times New Roman" w:eastAsia="仿宋_GB2312" w:cs="Times New Roman"/>
      <w:kern w:val="0"/>
      <w:sz w:val="18"/>
      <w:szCs w:val="20"/>
    </w:rPr>
  </w:style>
  <w:style w:type="paragraph" w:styleId="40">
    <w:name w:val="Signature"/>
    <w:basedOn w:val="1"/>
    <w:link w:val="96"/>
    <w:autoRedefine/>
    <w:semiHidden/>
    <w:unhideWhenUsed/>
    <w:qFormat/>
    <w:uiPriority w:val="99"/>
    <w:pPr>
      <w:widowControl/>
      <w:ind w:left="4252"/>
      <w:jc w:val="left"/>
    </w:pPr>
    <w:rPr>
      <w:rFonts w:ascii="Calibri" w:hAnsi="Calibri" w:eastAsia="宋体" w:cs="Times New Roman"/>
      <w:kern w:val="0"/>
      <w:sz w:val="24"/>
      <w:szCs w:val="20"/>
      <w:lang w:val="en-GB" w:eastAsia="en-US"/>
    </w:rPr>
  </w:style>
  <w:style w:type="paragraph" w:styleId="41">
    <w:name w:val="toc 1"/>
    <w:basedOn w:val="1"/>
    <w:next w:val="1"/>
    <w:autoRedefine/>
    <w:unhideWhenUsed/>
    <w:qFormat/>
    <w:uiPriority w:val="39"/>
    <w:rPr>
      <w:rFonts w:ascii="Times New Roman" w:hAnsi="Times New Roman" w:eastAsia="宋体" w:cs="Times New Roman"/>
      <w:szCs w:val="24"/>
    </w:rPr>
  </w:style>
  <w:style w:type="paragraph" w:styleId="42">
    <w:name w:val="toc 4"/>
    <w:next w:val="1"/>
    <w:autoRedefine/>
    <w:semiHidden/>
    <w:unhideWhenUsed/>
    <w:qFormat/>
    <w:uiPriority w:val="99"/>
    <w:pPr>
      <w:wordWrap w:val="0"/>
      <w:ind w:left="850"/>
      <w:jc w:val="both"/>
    </w:pPr>
    <w:rPr>
      <w:rFonts w:ascii="Times New Roman" w:hAnsi="Times New Roman" w:eastAsia="宋体" w:cs="Times New Roman"/>
      <w:sz w:val="21"/>
      <w:lang w:val="en-US" w:eastAsia="zh-CN" w:bidi="ar-SA"/>
    </w:rPr>
  </w:style>
  <w:style w:type="paragraph" w:styleId="43">
    <w:name w:val="Subtitle"/>
    <w:next w:val="1"/>
    <w:link w:val="99"/>
    <w:autoRedefine/>
    <w:qFormat/>
    <w:uiPriority w:val="99"/>
    <w:pPr>
      <w:wordWrap w:val="0"/>
      <w:spacing w:after="60"/>
      <w:jc w:val="center"/>
    </w:pPr>
    <w:rPr>
      <w:rFonts w:ascii="Times New Roman" w:hAnsi="Times New Roman" w:eastAsia="宋体" w:cs="Times New Roman"/>
      <w:sz w:val="24"/>
      <w:lang w:val="en-US" w:eastAsia="zh-CN" w:bidi="ar-SA"/>
    </w:rPr>
  </w:style>
  <w:style w:type="paragraph" w:styleId="44">
    <w:name w:val="List"/>
    <w:basedOn w:val="1"/>
    <w:autoRedefine/>
    <w:semiHidden/>
    <w:unhideWhenUsed/>
    <w:qFormat/>
    <w:uiPriority w:val="99"/>
    <w:pPr>
      <w:ind w:left="200" w:hanging="200" w:hangingChars="200"/>
    </w:pPr>
    <w:rPr>
      <w:rFonts w:ascii="Times New Roman" w:hAnsi="Times New Roman" w:eastAsia="宋体" w:cs="Times New Roman"/>
      <w:sz w:val="28"/>
      <w:szCs w:val="24"/>
    </w:rPr>
  </w:style>
  <w:style w:type="paragraph" w:styleId="45">
    <w:name w:val="footnote text"/>
    <w:basedOn w:val="1"/>
    <w:link w:val="90"/>
    <w:autoRedefine/>
    <w:semiHidden/>
    <w:unhideWhenUsed/>
    <w:qFormat/>
    <w:uiPriority w:val="99"/>
    <w:pPr>
      <w:snapToGrid w:val="0"/>
      <w:jc w:val="left"/>
    </w:pPr>
    <w:rPr>
      <w:rFonts w:ascii="Calibri" w:hAnsi="Calibri" w:eastAsia="宋体" w:cs="Times New Roman"/>
      <w:sz w:val="18"/>
      <w:szCs w:val="20"/>
    </w:rPr>
  </w:style>
  <w:style w:type="paragraph" w:styleId="46">
    <w:name w:val="toc 6"/>
    <w:basedOn w:val="1"/>
    <w:next w:val="1"/>
    <w:autoRedefine/>
    <w:semiHidden/>
    <w:unhideWhenUsed/>
    <w:qFormat/>
    <w:uiPriority w:val="99"/>
    <w:pPr>
      <w:wordWrap w:val="0"/>
      <w:ind w:left="1700"/>
    </w:pPr>
    <w:rPr>
      <w:rFonts w:ascii="Times New Roman" w:hAnsi="Times New Roman" w:eastAsia="宋体" w:cs="Times New Roman"/>
    </w:rPr>
  </w:style>
  <w:style w:type="paragraph" w:styleId="47">
    <w:name w:val="List 5"/>
    <w:basedOn w:val="1"/>
    <w:autoRedefine/>
    <w:semiHidden/>
    <w:unhideWhenUsed/>
    <w:qFormat/>
    <w:uiPriority w:val="99"/>
    <w:pPr>
      <w:ind w:left="2100" w:hanging="420"/>
    </w:pPr>
    <w:rPr>
      <w:rFonts w:ascii="Calibri" w:hAnsi="Calibri" w:eastAsia="楷体_GB2312" w:cs="Times New Roman"/>
      <w:sz w:val="32"/>
    </w:rPr>
  </w:style>
  <w:style w:type="paragraph" w:styleId="48">
    <w:name w:val="Body Text Indent 3"/>
    <w:basedOn w:val="1"/>
    <w:link w:val="105"/>
    <w:autoRedefine/>
    <w:semiHidden/>
    <w:unhideWhenUsed/>
    <w:qFormat/>
    <w:uiPriority w:val="99"/>
    <w:pPr>
      <w:snapToGrid w:val="0"/>
      <w:ind w:firstLine="480" w:firstLineChars="200"/>
      <w:jc w:val="left"/>
    </w:pPr>
    <w:rPr>
      <w:rFonts w:ascii="仿宋_GB2312" w:hAnsi="宋体" w:eastAsia="仿宋_GB2312" w:cs="Times New Roman"/>
      <w:color w:val="000000"/>
      <w:kern w:val="0"/>
      <w:sz w:val="24"/>
      <w:szCs w:val="24"/>
    </w:rPr>
  </w:style>
  <w:style w:type="paragraph" w:styleId="49">
    <w:name w:val="table of figures"/>
    <w:basedOn w:val="1"/>
    <w:next w:val="1"/>
    <w:autoRedefine/>
    <w:semiHidden/>
    <w:unhideWhenUsed/>
    <w:qFormat/>
    <w:uiPriority w:val="99"/>
    <w:pPr>
      <w:ind w:left="200" w:leftChars="200" w:hanging="200" w:hangingChars="200"/>
    </w:pPr>
    <w:rPr>
      <w:rFonts w:ascii="Times New Roman" w:hAnsi="Times New Roman" w:eastAsia="宋体" w:cs="Times New Roman"/>
      <w:szCs w:val="24"/>
    </w:rPr>
  </w:style>
  <w:style w:type="paragraph" w:styleId="50">
    <w:name w:val="toc 2"/>
    <w:basedOn w:val="1"/>
    <w:next w:val="1"/>
    <w:autoRedefine/>
    <w:unhideWhenUsed/>
    <w:qFormat/>
    <w:uiPriority w:val="39"/>
    <w:pPr>
      <w:ind w:left="420" w:leftChars="200"/>
    </w:pPr>
    <w:rPr>
      <w:rFonts w:ascii="Calibri" w:hAnsi="Calibri" w:eastAsia="宋体" w:cs="Times New Roman"/>
    </w:rPr>
  </w:style>
  <w:style w:type="paragraph" w:styleId="51">
    <w:name w:val="toc 9"/>
    <w:next w:val="1"/>
    <w:autoRedefine/>
    <w:semiHidden/>
    <w:unhideWhenUsed/>
    <w:qFormat/>
    <w:uiPriority w:val="99"/>
    <w:pPr>
      <w:wordWrap w:val="0"/>
      <w:ind w:left="2975"/>
      <w:jc w:val="both"/>
    </w:pPr>
    <w:rPr>
      <w:rFonts w:ascii="Times New Roman" w:hAnsi="Times New Roman" w:eastAsia="宋体" w:cs="Times New Roman"/>
      <w:sz w:val="21"/>
      <w:lang w:val="en-US" w:eastAsia="zh-CN" w:bidi="ar-SA"/>
    </w:rPr>
  </w:style>
  <w:style w:type="paragraph" w:styleId="52">
    <w:name w:val="Body Text 2"/>
    <w:basedOn w:val="1"/>
    <w:link w:val="102"/>
    <w:autoRedefine/>
    <w:semiHidden/>
    <w:unhideWhenUsed/>
    <w:qFormat/>
    <w:uiPriority w:val="99"/>
    <w:pPr>
      <w:widowControl/>
      <w:snapToGrid w:val="0"/>
      <w:spacing w:before="50" w:afterLines="50" w:line="400" w:lineRule="exact"/>
      <w:jc w:val="left"/>
    </w:pPr>
    <w:rPr>
      <w:rFonts w:ascii="宋体" w:hAnsi="宋体" w:eastAsia="宋体" w:cs="Times New Roman"/>
      <w:color w:val="000000"/>
      <w:kern w:val="0"/>
      <w:sz w:val="24"/>
      <w:szCs w:val="24"/>
    </w:rPr>
  </w:style>
  <w:style w:type="paragraph" w:styleId="53">
    <w:name w:val="List 4"/>
    <w:basedOn w:val="1"/>
    <w:autoRedefine/>
    <w:semiHidden/>
    <w:unhideWhenUsed/>
    <w:qFormat/>
    <w:uiPriority w:val="99"/>
    <w:pPr>
      <w:ind w:left="1680" w:hanging="420"/>
    </w:pPr>
    <w:rPr>
      <w:rFonts w:ascii="Calibri" w:hAnsi="Calibri" w:eastAsia="楷体_GB2312" w:cs="Times New Roman"/>
      <w:sz w:val="32"/>
    </w:rPr>
  </w:style>
  <w:style w:type="paragraph" w:styleId="54">
    <w:name w:val="HTML Preformatted"/>
    <w:basedOn w:val="1"/>
    <w:link w:val="87"/>
    <w:autoRedefine/>
    <w:semiHidden/>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55">
    <w:name w:val="Normal (Web)"/>
    <w:basedOn w:val="1"/>
    <w:autoRedefine/>
    <w:semiHidden/>
    <w:unhideWhenUsed/>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paragraph" w:styleId="56">
    <w:name w:val="index 1"/>
    <w:basedOn w:val="1"/>
    <w:next w:val="1"/>
    <w:autoRedefine/>
    <w:semiHidden/>
    <w:unhideWhenUsed/>
    <w:qFormat/>
    <w:uiPriority w:val="99"/>
    <w:pPr>
      <w:spacing w:line="220" w:lineRule="exact"/>
      <w:jc w:val="center"/>
    </w:pPr>
    <w:rPr>
      <w:rFonts w:ascii="仿宋_GB2312" w:hAnsi="Calibri" w:eastAsia="仿宋_GB2312" w:cs="Times New Roman"/>
      <w:szCs w:val="21"/>
    </w:rPr>
  </w:style>
  <w:style w:type="paragraph" w:styleId="57">
    <w:name w:val="index 2"/>
    <w:basedOn w:val="1"/>
    <w:next w:val="1"/>
    <w:autoRedefine/>
    <w:semiHidden/>
    <w:unhideWhenUsed/>
    <w:qFormat/>
    <w:uiPriority w:val="99"/>
    <w:pPr>
      <w:ind w:left="200" w:leftChars="200"/>
    </w:pPr>
    <w:rPr>
      <w:rFonts w:ascii="宋体" w:hAnsi="Times New Roman" w:eastAsia="宋体" w:cs="Times New Roman"/>
      <w:sz w:val="24"/>
      <w:szCs w:val="20"/>
    </w:rPr>
  </w:style>
  <w:style w:type="paragraph" w:styleId="58">
    <w:name w:val="Title"/>
    <w:basedOn w:val="1"/>
    <w:next w:val="1"/>
    <w:link w:val="95"/>
    <w:autoRedefine/>
    <w:qFormat/>
    <w:uiPriority w:val="99"/>
    <w:pPr>
      <w:spacing w:line="520" w:lineRule="exact"/>
      <w:jc w:val="center"/>
      <w:outlineLvl w:val="3"/>
    </w:pPr>
    <w:rPr>
      <w:rFonts w:ascii="Cambria" w:hAnsi="Cambria" w:eastAsia="宋体" w:cs="Times New Roman"/>
      <w:b/>
      <w:bCs/>
      <w:kern w:val="0"/>
      <w:sz w:val="28"/>
      <w:szCs w:val="32"/>
    </w:rPr>
  </w:style>
  <w:style w:type="paragraph" w:styleId="59">
    <w:name w:val="annotation subject"/>
    <w:basedOn w:val="21"/>
    <w:next w:val="21"/>
    <w:link w:val="108"/>
    <w:autoRedefine/>
    <w:semiHidden/>
    <w:unhideWhenUsed/>
    <w:qFormat/>
    <w:uiPriority w:val="99"/>
    <w:rPr>
      <w:b/>
      <w:bCs/>
      <w:szCs w:val="20"/>
    </w:rPr>
  </w:style>
  <w:style w:type="paragraph" w:styleId="60">
    <w:name w:val="Body Text First Indent"/>
    <w:basedOn w:val="3"/>
    <w:next w:val="1"/>
    <w:link w:val="101"/>
    <w:autoRedefine/>
    <w:semiHidden/>
    <w:unhideWhenUsed/>
    <w:qFormat/>
    <w:uiPriority w:val="99"/>
    <w:pPr>
      <w:ind w:firstLine="420" w:firstLineChars="100"/>
    </w:pPr>
    <w:rPr>
      <w:rFonts w:ascii="Calibri" w:hAnsi="Calibri"/>
      <w:sz w:val="21"/>
    </w:rPr>
  </w:style>
  <w:style w:type="table" w:styleId="62">
    <w:name w:val="Table Grid"/>
    <w:basedOn w:val="6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Theme"/>
    <w:basedOn w:val="61"/>
    <w:autoRedefine/>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Classic 1"/>
    <w:basedOn w:val="61"/>
    <w:autoRedefine/>
    <w:semiHidden/>
    <w:unhideWhenUsed/>
    <w:qFormat/>
    <w:uiPriority w:val="0"/>
    <w:pPr>
      <w:widowControl w:val="0"/>
      <w:jc w:val="both"/>
    </w:pPr>
    <w:tblPr>
      <w:tblBorders>
        <w:top w:val="single" w:color="000000" w:sz="12" w:space="0"/>
        <w:bottom w:val="single" w:color="000000" w:sz="12" w:space="0"/>
      </w:tblBorders>
    </w:tbl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rPr>
      <w:tblPr/>
      <w:tcPr>
        <w:tcBorders>
          <w:top w:val="nil"/>
          <w:left w:val="nil"/>
          <w:bottom w:val="nil"/>
          <w:right w:val="nil"/>
          <w:insideH w:val="nil"/>
          <w:insideV w:val="nil"/>
          <w:tl2br w:val="nil"/>
          <w:tr2bl w:val="nil"/>
        </w:tcBorders>
      </w:tcPr>
    </w:tblStylePr>
    <w:tblStylePr w:type="swCell">
      <w:rPr>
        <w:b/>
      </w:rPr>
      <w:tblPr/>
      <w:tcPr>
        <w:tcBorders>
          <w:top w:val="nil"/>
          <w:left w:val="nil"/>
          <w:bottom w:val="nil"/>
          <w:right w:val="nil"/>
          <w:insideH w:val="nil"/>
          <w:insideV w:val="nil"/>
          <w:tl2br w:val="nil"/>
          <w:tr2bl w:val="nil"/>
        </w:tcBorders>
      </w:tcPr>
    </w:tblStylePr>
  </w:style>
  <w:style w:type="character" w:styleId="66">
    <w:name w:val="Strong"/>
    <w:autoRedefine/>
    <w:qFormat/>
    <w:uiPriority w:val="22"/>
    <w:rPr>
      <w:rFonts w:hint="eastAsia" w:ascii="宋体" w:hAnsi="宋体" w:eastAsia="宋体"/>
      <w:b/>
      <w:bCs/>
      <w:kern w:val="2"/>
      <w:sz w:val="24"/>
      <w:szCs w:val="24"/>
      <w:lang w:val="en-US" w:eastAsia="zh-CN" w:bidi="ar-SA"/>
    </w:rPr>
  </w:style>
  <w:style w:type="character" w:styleId="67">
    <w:name w:val="endnote reference"/>
    <w:autoRedefine/>
    <w:semiHidden/>
    <w:unhideWhenUsed/>
    <w:qFormat/>
    <w:uiPriority w:val="0"/>
    <w:rPr>
      <w:vertAlign w:val="superscript"/>
    </w:rPr>
  </w:style>
  <w:style w:type="character" w:styleId="68">
    <w:name w:val="page number"/>
    <w:basedOn w:val="65"/>
    <w:autoRedefine/>
    <w:qFormat/>
    <w:uiPriority w:val="0"/>
  </w:style>
  <w:style w:type="character" w:styleId="69">
    <w:name w:val="FollowedHyperlink"/>
    <w:autoRedefine/>
    <w:semiHidden/>
    <w:unhideWhenUsed/>
    <w:qFormat/>
    <w:uiPriority w:val="0"/>
    <w:rPr>
      <w:rFonts w:hint="eastAsia" w:ascii="宋体" w:hAnsi="宋体" w:eastAsia="宋体"/>
      <w:color w:val="800080"/>
      <w:kern w:val="2"/>
      <w:sz w:val="24"/>
      <w:szCs w:val="24"/>
      <w:u w:val="single"/>
      <w:lang w:val="en-US" w:eastAsia="zh-CN" w:bidi="ar-SA"/>
    </w:rPr>
  </w:style>
  <w:style w:type="character" w:styleId="70">
    <w:name w:val="Emphasis"/>
    <w:autoRedefine/>
    <w:qFormat/>
    <w:uiPriority w:val="20"/>
    <w:rPr>
      <w:i/>
      <w:sz w:val="21"/>
    </w:rPr>
  </w:style>
  <w:style w:type="character" w:styleId="71">
    <w:name w:val="Hyperlink"/>
    <w:autoRedefine/>
    <w:unhideWhenUsed/>
    <w:qFormat/>
    <w:uiPriority w:val="99"/>
    <w:rPr>
      <w:color w:val="0000FF"/>
      <w:u w:val="single"/>
    </w:rPr>
  </w:style>
  <w:style w:type="character" w:styleId="72">
    <w:name w:val="annotation reference"/>
    <w:autoRedefine/>
    <w:semiHidden/>
    <w:unhideWhenUsed/>
    <w:qFormat/>
    <w:uiPriority w:val="0"/>
    <w:rPr>
      <w:rFonts w:hint="eastAsia" w:ascii="宋体" w:hAnsi="宋体" w:eastAsia="宋体"/>
      <w:kern w:val="2"/>
      <w:sz w:val="21"/>
      <w:szCs w:val="21"/>
      <w:lang w:val="en-US" w:eastAsia="zh-CN" w:bidi="ar-SA"/>
    </w:rPr>
  </w:style>
  <w:style w:type="character" w:styleId="73">
    <w:name w:val="footnote reference"/>
    <w:autoRedefine/>
    <w:semiHidden/>
    <w:unhideWhenUsed/>
    <w:qFormat/>
    <w:uiPriority w:val="0"/>
    <w:rPr>
      <w:vertAlign w:val="superscript"/>
    </w:rPr>
  </w:style>
  <w:style w:type="character" w:styleId="74">
    <w:name w:val="HTML Sample"/>
    <w:basedOn w:val="65"/>
    <w:semiHidden/>
    <w:unhideWhenUsed/>
    <w:uiPriority w:val="99"/>
    <w:rPr>
      <w:rFonts w:ascii="Courier New" w:hAnsi="Courier New"/>
    </w:rPr>
  </w:style>
  <w:style w:type="paragraph" w:customStyle="1" w:styleId="75">
    <w:name w:val="正文空2字"/>
    <w:basedOn w:val="76"/>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76">
    <w:name w:val="左对齐正文"/>
    <w:autoRedefine/>
    <w:qFormat/>
    <w:uiPriority w:val="99"/>
    <w:rPr>
      <w:rFonts w:ascii="Calibri" w:hAnsi="Calibri" w:eastAsia="仿宋_GB2312" w:cs="Calibri"/>
      <w:kern w:val="2"/>
      <w:sz w:val="32"/>
      <w:szCs w:val="32"/>
      <w:lang w:val="en-US" w:eastAsia="zh-CN" w:bidi="ar-SA"/>
    </w:rPr>
  </w:style>
  <w:style w:type="paragraph" w:customStyle="1" w:styleId="77">
    <w:name w:val="正文缩进1"/>
    <w:basedOn w:val="1"/>
    <w:autoRedefine/>
    <w:qFormat/>
    <w:uiPriority w:val="99"/>
    <w:pPr>
      <w:ind w:firstLine="420"/>
    </w:pPr>
    <w:rPr>
      <w:rFonts w:ascii="Times New Roman" w:hAnsi="Times New Roman" w:eastAsia="宋体" w:cs="Times New Roman"/>
      <w:kern w:val="0"/>
      <w:szCs w:val="20"/>
    </w:rPr>
  </w:style>
  <w:style w:type="character" w:customStyle="1" w:styleId="78">
    <w:name w:val="标题 1 字符"/>
    <w:basedOn w:val="65"/>
    <w:link w:val="4"/>
    <w:autoRedefine/>
    <w:qFormat/>
    <w:uiPriority w:val="0"/>
    <w:rPr>
      <w:rFonts w:ascii="Times New Roman" w:hAnsi="Times New Roman" w:eastAsia="宋体" w:cs="Times New Roman"/>
      <w:b/>
      <w:bCs/>
      <w:kern w:val="0"/>
      <w:sz w:val="24"/>
      <w:szCs w:val="24"/>
    </w:rPr>
  </w:style>
  <w:style w:type="character" w:customStyle="1" w:styleId="79">
    <w:name w:val="标题 2 字符"/>
    <w:basedOn w:val="65"/>
    <w:link w:val="5"/>
    <w:autoRedefine/>
    <w:semiHidden/>
    <w:qFormat/>
    <w:uiPriority w:val="0"/>
    <w:rPr>
      <w:rFonts w:ascii="等线 Light" w:hAnsi="等线 Light" w:eastAsia="等线 Light" w:cs="Times New Roman"/>
      <w:b/>
      <w:bCs/>
      <w:sz w:val="32"/>
      <w:szCs w:val="32"/>
    </w:rPr>
  </w:style>
  <w:style w:type="character" w:customStyle="1" w:styleId="80">
    <w:name w:val="标题 3 字符"/>
    <w:basedOn w:val="65"/>
    <w:link w:val="6"/>
    <w:autoRedefine/>
    <w:semiHidden/>
    <w:qFormat/>
    <w:uiPriority w:val="0"/>
    <w:rPr>
      <w:rFonts w:ascii="Times New Roman" w:hAnsi="Times New Roman" w:eastAsia="宋体" w:cs="Times New Roman"/>
      <w:b/>
      <w:bCs/>
      <w:kern w:val="0"/>
      <w:sz w:val="32"/>
      <w:szCs w:val="32"/>
    </w:rPr>
  </w:style>
  <w:style w:type="character" w:customStyle="1" w:styleId="81">
    <w:name w:val="标题 4 字符"/>
    <w:basedOn w:val="65"/>
    <w:link w:val="7"/>
    <w:autoRedefine/>
    <w:semiHidden/>
    <w:qFormat/>
    <w:uiPriority w:val="0"/>
    <w:rPr>
      <w:rFonts w:ascii="Arial" w:hAnsi="Arial" w:eastAsia="黑体" w:cs="Times New Roman"/>
      <w:b/>
      <w:bCs/>
      <w:kern w:val="0"/>
      <w:sz w:val="28"/>
      <w:szCs w:val="28"/>
    </w:rPr>
  </w:style>
  <w:style w:type="character" w:customStyle="1" w:styleId="82">
    <w:name w:val="标题 5 字符"/>
    <w:basedOn w:val="65"/>
    <w:link w:val="8"/>
    <w:autoRedefine/>
    <w:semiHidden/>
    <w:qFormat/>
    <w:uiPriority w:val="0"/>
    <w:rPr>
      <w:rFonts w:ascii="Times New Roman" w:hAnsi="Times New Roman" w:eastAsia="宋体" w:cs="Times New Roman"/>
      <w:b/>
      <w:bCs/>
      <w:kern w:val="0"/>
      <w:sz w:val="28"/>
      <w:szCs w:val="28"/>
    </w:rPr>
  </w:style>
  <w:style w:type="character" w:customStyle="1" w:styleId="83">
    <w:name w:val="标题 6 字符"/>
    <w:basedOn w:val="65"/>
    <w:link w:val="9"/>
    <w:autoRedefine/>
    <w:semiHidden/>
    <w:qFormat/>
    <w:uiPriority w:val="0"/>
    <w:rPr>
      <w:rFonts w:ascii="Times New Roman" w:hAnsi="Times New Roman" w:eastAsia="宋体" w:cs="Times New Roman"/>
      <w:b/>
      <w:kern w:val="0"/>
      <w:szCs w:val="20"/>
    </w:rPr>
  </w:style>
  <w:style w:type="character" w:customStyle="1" w:styleId="84">
    <w:name w:val="标题 7 字符"/>
    <w:basedOn w:val="65"/>
    <w:link w:val="10"/>
    <w:autoRedefine/>
    <w:semiHidden/>
    <w:qFormat/>
    <w:uiPriority w:val="99"/>
    <w:rPr>
      <w:rFonts w:ascii="Times New Roman" w:hAnsi="Times New Roman" w:eastAsia="宋体" w:cs="Times New Roman"/>
      <w:kern w:val="0"/>
      <w:szCs w:val="20"/>
    </w:rPr>
  </w:style>
  <w:style w:type="character" w:customStyle="1" w:styleId="85">
    <w:name w:val="标题 8 字符"/>
    <w:basedOn w:val="65"/>
    <w:link w:val="11"/>
    <w:autoRedefine/>
    <w:semiHidden/>
    <w:qFormat/>
    <w:uiPriority w:val="99"/>
    <w:rPr>
      <w:rFonts w:ascii="Times New Roman" w:hAnsi="Times New Roman" w:eastAsia="宋体" w:cs="Times New Roman"/>
      <w:kern w:val="0"/>
      <w:szCs w:val="20"/>
    </w:rPr>
  </w:style>
  <w:style w:type="character" w:customStyle="1" w:styleId="86">
    <w:name w:val="标题 9 字符"/>
    <w:basedOn w:val="65"/>
    <w:link w:val="12"/>
    <w:autoRedefine/>
    <w:semiHidden/>
    <w:qFormat/>
    <w:uiPriority w:val="99"/>
    <w:rPr>
      <w:rFonts w:ascii="Arial" w:hAnsi="Arial" w:eastAsia="黑体" w:cs="Times New Roman"/>
      <w:kern w:val="0"/>
      <w:sz w:val="20"/>
      <w:szCs w:val="20"/>
    </w:rPr>
  </w:style>
  <w:style w:type="character" w:customStyle="1" w:styleId="87">
    <w:name w:val="HTML 预设格式 字符"/>
    <w:basedOn w:val="65"/>
    <w:link w:val="54"/>
    <w:autoRedefine/>
    <w:semiHidden/>
    <w:qFormat/>
    <w:uiPriority w:val="0"/>
    <w:rPr>
      <w:rFonts w:ascii="宋体" w:hAnsi="宋体" w:eastAsia="宋体" w:cs="Times New Roman"/>
      <w:kern w:val="0"/>
      <w:sz w:val="24"/>
      <w:szCs w:val="24"/>
    </w:rPr>
  </w:style>
  <w:style w:type="paragraph" w:customStyle="1" w:styleId="88">
    <w:name w:val="msonormal"/>
    <w:basedOn w:val="1"/>
    <w:autoRedefine/>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character" w:customStyle="1" w:styleId="89">
    <w:name w:val="正文缩进 字符"/>
    <w:link w:val="16"/>
    <w:autoRedefine/>
    <w:semiHidden/>
    <w:qFormat/>
    <w:locked/>
    <w:uiPriority w:val="0"/>
  </w:style>
  <w:style w:type="character" w:customStyle="1" w:styleId="90">
    <w:name w:val="脚注文本 字符"/>
    <w:basedOn w:val="65"/>
    <w:link w:val="45"/>
    <w:autoRedefine/>
    <w:semiHidden/>
    <w:qFormat/>
    <w:uiPriority w:val="99"/>
    <w:rPr>
      <w:rFonts w:ascii="Calibri" w:hAnsi="Calibri" w:eastAsia="宋体" w:cs="Times New Roman"/>
      <w:sz w:val="18"/>
      <w:szCs w:val="20"/>
    </w:rPr>
  </w:style>
  <w:style w:type="character" w:customStyle="1" w:styleId="91">
    <w:name w:val="批注文字 字符"/>
    <w:basedOn w:val="65"/>
    <w:autoRedefine/>
    <w:semiHidden/>
    <w:qFormat/>
    <w:uiPriority w:val="0"/>
  </w:style>
  <w:style w:type="character" w:customStyle="1" w:styleId="92">
    <w:name w:val="页眉 字符"/>
    <w:basedOn w:val="65"/>
    <w:link w:val="39"/>
    <w:autoRedefine/>
    <w:qFormat/>
    <w:uiPriority w:val="99"/>
    <w:rPr>
      <w:rFonts w:ascii="Times New Roman" w:hAnsi="Times New Roman" w:eastAsia="仿宋_GB2312" w:cs="Times New Roman"/>
      <w:kern w:val="0"/>
      <w:sz w:val="18"/>
      <w:szCs w:val="20"/>
    </w:rPr>
  </w:style>
  <w:style w:type="character" w:customStyle="1" w:styleId="93">
    <w:name w:val="页脚 字符"/>
    <w:basedOn w:val="65"/>
    <w:link w:val="38"/>
    <w:autoRedefine/>
    <w:qFormat/>
    <w:uiPriority w:val="99"/>
    <w:rPr>
      <w:rFonts w:ascii="Times New Roman" w:hAnsi="Times New Roman" w:eastAsia="黑体" w:cs="Times New Roman"/>
      <w:kern w:val="0"/>
      <w:sz w:val="18"/>
      <w:szCs w:val="18"/>
    </w:rPr>
  </w:style>
  <w:style w:type="character" w:customStyle="1" w:styleId="94">
    <w:name w:val="尾注文本 字符"/>
    <w:basedOn w:val="65"/>
    <w:link w:val="36"/>
    <w:autoRedefine/>
    <w:semiHidden/>
    <w:qFormat/>
    <w:uiPriority w:val="99"/>
    <w:rPr>
      <w:rFonts w:ascii="Calibri" w:hAnsi="Calibri" w:eastAsia="宋体" w:cs="Times New Roman"/>
      <w:szCs w:val="20"/>
    </w:rPr>
  </w:style>
  <w:style w:type="character" w:customStyle="1" w:styleId="95">
    <w:name w:val="标题 字符"/>
    <w:basedOn w:val="65"/>
    <w:link w:val="58"/>
    <w:autoRedefine/>
    <w:qFormat/>
    <w:uiPriority w:val="99"/>
    <w:rPr>
      <w:rFonts w:ascii="Cambria" w:hAnsi="Cambria" w:eastAsia="宋体" w:cs="Times New Roman"/>
      <w:b/>
      <w:bCs/>
      <w:kern w:val="0"/>
      <w:sz w:val="28"/>
      <w:szCs w:val="32"/>
    </w:rPr>
  </w:style>
  <w:style w:type="character" w:customStyle="1" w:styleId="96">
    <w:name w:val="签名 字符"/>
    <w:basedOn w:val="65"/>
    <w:link w:val="40"/>
    <w:autoRedefine/>
    <w:semiHidden/>
    <w:qFormat/>
    <w:uiPriority w:val="99"/>
    <w:rPr>
      <w:rFonts w:ascii="Calibri" w:hAnsi="Calibri" w:eastAsia="宋体" w:cs="Times New Roman"/>
      <w:kern w:val="0"/>
      <w:sz w:val="24"/>
      <w:szCs w:val="20"/>
      <w:lang w:val="en-GB" w:eastAsia="en-US"/>
    </w:rPr>
  </w:style>
  <w:style w:type="character" w:customStyle="1" w:styleId="97">
    <w:name w:val="正文文本 字符"/>
    <w:basedOn w:val="65"/>
    <w:link w:val="3"/>
    <w:autoRedefine/>
    <w:semiHidden/>
    <w:qFormat/>
    <w:uiPriority w:val="99"/>
    <w:rPr>
      <w:rFonts w:ascii="Times New Roman" w:hAnsi="Times New Roman" w:eastAsia="宋体" w:cs="Times New Roman"/>
      <w:kern w:val="0"/>
      <w:sz w:val="28"/>
      <w:szCs w:val="24"/>
    </w:rPr>
  </w:style>
  <w:style w:type="character" w:customStyle="1" w:styleId="98">
    <w:name w:val="正文文本缩进 字符"/>
    <w:basedOn w:val="65"/>
    <w:link w:val="23"/>
    <w:autoRedefine/>
    <w:semiHidden/>
    <w:qFormat/>
    <w:uiPriority w:val="99"/>
    <w:rPr>
      <w:rFonts w:ascii="宋体" w:hAnsi="Courier New" w:eastAsia="宋体" w:cs="Times New Roman"/>
      <w:spacing w:val="-4"/>
      <w:kern w:val="0"/>
      <w:sz w:val="18"/>
      <w:szCs w:val="20"/>
    </w:rPr>
  </w:style>
  <w:style w:type="character" w:customStyle="1" w:styleId="99">
    <w:name w:val="副标题 字符"/>
    <w:basedOn w:val="65"/>
    <w:link w:val="43"/>
    <w:autoRedefine/>
    <w:qFormat/>
    <w:uiPriority w:val="99"/>
    <w:rPr>
      <w:rFonts w:ascii="Times New Roman" w:hAnsi="Times New Roman" w:eastAsia="宋体" w:cs="Times New Roman"/>
      <w:kern w:val="0"/>
      <w:sz w:val="24"/>
      <w:szCs w:val="20"/>
    </w:rPr>
  </w:style>
  <w:style w:type="character" w:customStyle="1" w:styleId="100">
    <w:name w:val="日期 字符"/>
    <w:basedOn w:val="65"/>
    <w:link w:val="34"/>
    <w:autoRedefine/>
    <w:semiHidden/>
    <w:qFormat/>
    <w:uiPriority w:val="99"/>
    <w:rPr>
      <w:rFonts w:ascii="Times New Roman" w:hAnsi="Times New Roman" w:eastAsia="楷体_GB2312" w:cs="Times New Roman"/>
      <w:kern w:val="0"/>
      <w:sz w:val="32"/>
      <w:szCs w:val="20"/>
    </w:rPr>
  </w:style>
  <w:style w:type="character" w:customStyle="1" w:styleId="101">
    <w:name w:val="正文文本首行缩进 字符"/>
    <w:basedOn w:val="97"/>
    <w:link w:val="60"/>
    <w:autoRedefine/>
    <w:semiHidden/>
    <w:qFormat/>
    <w:uiPriority w:val="99"/>
    <w:rPr>
      <w:rFonts w:ascii="Calibri" w:hAnsi="Calibri" w:eastAsia="宋体" w:cs="Times New Roman"/>
      <w:kern w:val="0"/>
      <w:sz w:val="28"/>
      <w:szCs w:val="24"/>
    </w:rPr>
  </w:style>
  <w:style w:type="character" w:customStyle="1" w:styleId="102">
    <w:name w:val="正文文本 2 字符"/>
    <w:basedOn w:val="65"/>
    <w:link w:val="52"/>
    <w:autoRedefine/>
    <w:semiHidden/>
    <w:qFormat/>
    <w:uiPriority w:val="99"/>
    <w:rPr>
      <w:rFonts w:ascii="宋体" w:hAnsi="宋体" w:eastAsia="宋体" w:cs="Times New Roman"/>
      <w:color w:val="000000"/>
      <w:kern w:val="0"/>
      <w:sz w:val="24"/>
      <w:szCs w:val="24"/>
    </w:rPr>
  </w:style>
  <w:style w:type="character" w:customStyle="1" w:styleId="103">
    <w:name w:val="正文文本 3 字符"/>
    <w:basedOn w:val="65"/>
    <w:link w:val="22"/>
    <w:autoRedefine/>
    <w:semiHidden/>
    <w:qFormat/>
    <w:uiPriority w:val="99"/>
    <w:rPr>
      <w:rFonts w:ascii="Times New Roman" w:hAnsi="宋体" w:eastAsia="仿宋_GB2312" w:cs="Times New Roman"/>
      <w:b/>
      <w:bCs/>
      <w:kern w:val="0"/>
      <w:sz w:val="24"/>
      <w:szCs w:val="20"/>
    </w:rPr>
  </w:style>
  <w:style w:type="character" w:customStyle="1" w:styleId="104">
    <w:name w:val="正文文本缩进 2 字符"/>
    <w:basedOn w:val="65"/>
    <w:link w:val="35"/>
    <w:autoRedefine/>
    <w:semiHidden/>
    <w:qFormat/>
    <w:uiPriority w:val="99"/>
    <w:rPr>
      <w:rFonts w:ascii="仿宋_GB2312" w:hAnsi="宋体" w:eastAsia="宋体" w:cs="Times New Roman"/>
      <w:b/>
      <w:bCs/>
      <w:color w:val="000000"/>
      <w:kern w:val="0"/>
      <w:sz w:val="24"/>
      <w:szCs w:val="24"/>
    </w:rPr>
  </w:style>
  <w:style w:type="character" w:customStyle="1" w:styleId="105">
    <w:name w:val="正文文本缩进 3 字符"/>
    <w:basedOn w:val="65"/>
    <w:link w:val="48"/>
    <w:autoRedefine/>
    <w:semiHidden/>
    <w:qFormat/>
    <w:uiPriority w:val="99"/>
    <w:rPr>
      <w:rFonts w:ascii="仿宋_GB2312" w:hAnsi="宋体" w:eastAsia="仿宋_GB2312" w:cs="Times New Roman"/>
      <w:color w:val="000000"/>
      <w:kern w:val="0"/>
      <w:sz w:val="24"/>
      <w:szCs w:val="24"/>
    </w:rPr>
  </w:style>
  <w:style w:type="character" w:customStyle="1" w:styleId="106">
    <w:name w:val="文档结构图 字符"/>
    <w:basedOn w:val="65"/>
    <w:link w:val="19"/>
    <w:autoRedefine/>
    <w:semiHidden/>
    <w:qFormat/>
    <w:uiPriority w:val="99"/>
    <w:rPr>
      <w:rFonts w:ascii="宋体" w:hAnsi="Times New Roman" w:eastAsia="宋体" w:cs="Times New Roman"/>
      <w:sz w:val="18"/>
      <w:szCs w:val="18"/>
      <w:shd w:val="clear" w:color="auto" w:fill="000080"/>
    </w:rPr>
  </w:style>
  <w:style w:type="character" w:customStyle="1" w:styleId="107">
    <w:name w:val="纯文本 字符"/>
    <w:basedOn w:val="65"/>
    <w:link w:val="30"/>
    <w:autoRedefine/>
    <w:semiHidden/>
    <w:qFormat/>
    <w:uiPriority w:val="99"/>
    <w:rPr>
      <w:rFonts w:ascii="宋体" w:hAnsi="Courier New" w:eastAsia="宋体" w:cs="Times New Roman"/>
      <w:kern w:val="0"/>
      <w:sz w:val="24"/>
      <w:szCs w:val="24"/>
    </w:rPr>
  </w:style>
  <w:style w:type="character" w:customStyle="1" w:styleId="108">
    <w:name w:val="批注主题 字符"/>
    <w:basedOn w:val="91"/>
    <w:link w:val="59"/>
    <w:autoRedefine/>
    <w:semiHidden/>
    <w:qFormat/>
    <w:uiPriority w:val="99"/>
    <w:rPr>
      <w:rFonts w:ascii="Times New Roman" w:hAnsi="Times New Roman" w:eastAsia="宋体" w:cs="Times New Roman"/>
      <w:b/>
      <w:bCs/>
      <w:kern w:val="0"/>
      <w:sz w:val="20"/>
      <w:szCs w:val="20"/>
    </w:rPr>
  </w:style>
  <w:style w:type="character" w:customStyle="1" w:styleId="109">
    <w:name w:val="批注框文本 字符"/>
    <w:basedOn w:val="65"/>
    <w:link w:val="37"/>
    <w:autoRedefine/>
    <w:semiHidden/>
    <w:qFormat/>
    <w:uiPriority w:val="99"/>
    <w:rPr>
      <w:rFonts w:ascii="Times New Roman" w:hAnsi="Times New Roman" w:eastAsia="宋体" w:cs="Times New Roman"/>
      <w:kern w:val="0"/>
      <w:sz w:val="18"/>
      <w:szCs w:val="18"/>
    </w:rPr>
  </w:style>
  <w:style w:type="paragraph" w:styleId="110">
    <w:name w:val="No Spacing"/>
    <w:autoRedefine/>
    <w:qFormat/>
    <w:uiPriority w:val="99"/>
    <w:rPr>
      <w:rFonts w:ascii="Calibri" w:hAnsi="Calibri" w:eastAsia="Times New Roman" w:cs="Times New Roman"/>
      <w:kern w:val="2"/>
      <w:sz w:val="22"/>
      <w:szCs w:val="22"/>
      <w:lang w:val="en-US" w:eastAsia="zh-CN" w:bidi="ar-SA"/>
    </w:rPr>
  </w:style>
  <w:style w:type="paragraph" w:customStyle="1" w:styleId="111">
    <w:name w:val="修订1"/>
    <w:autoRedefine/>
    <w:semiHidden/>
    <w:qFormat/>
    <w:uiPriority w:val="99"/>
    <w:rPr>
      <w:rFonts w:ascii="Times New Roman" w:hAnsi="Times New Roman" w:eastAsia="宋体" w:cs="Times New Roman"/>
      <w:kern w:val="2"/>
      <w:sz w:val="21"/>
      <w:szCs w:val="24"/>
      <w:lang w:val="en-US" w:eastAsia="zh-CN" w:bidi="ar-SA"/>
    </w:rPr>
  </w:style>
  <w:style w:type="paragraph" w:styleId="112">
    <w:name w:val="List Paragraph"/>
    <w:basedOn w:val="1"/>
    <w:autoRedefine/>
    <w:qFormat/>
    <w:uiPriority w:val="99"/>
    <w:pPr>
      <w:widowControl/>
      <w:ind w:left="720" w:firstLine="360"/>
      <w:contextualSpacing/>
      <w:jc w:val="left"/>
    </w:pPr>
    <w:rPr>
      <w:rFonts w:ascii="Calibri" w:hAnsi="Calibri" w:eastAsia="宋体" w:cs="Times New Roman"/>
      <w:kern w:val="0"/>
      <w:sz w:val="22"/>
      <w:lang w:eastAsia="en-US" w:bidi="en-US"/>
    </w:rPr>
  </w:style>
  <w:style w:type="paragraph" w:styleId="113">
    <w:name w:val="Quote"/>
    <w:next w:val="1"/>
    <w:link w:val="114"/>
    <w:autoRedefine/>
    <w:qFormat/>
    <w:uiPriority w:val="99"/>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114">
    <w:name w:val="引用 字符"/>
    <w:basedOn w:val="65"/>
    <w:link w:val="113"/>
    <w:autoRedefine/>
    <w:qFormat/>
    <w:uiPriority w:val="99"/>
    <w:rPr>
      <w:rFonts w:ascii="Times New Roman" w:hAnsi="Times New Roman" w:eastAsia="宋体" w:cs="Times New Roman"/>
      <w:i/>
      <w:kern w:val="0"/>
      <w:szCs w:val="20"/>
    </w:rPr>
  </w:style>
  <w:style w:type="paragraph" w:styleId="115">
    <w:name w:val="Intense Quote"/>
    <w:next w:val="1"/>
    <w:link w:val="116"/>
    <w:autoRedefine/>
    <w:qFormat/>
    <w:uiPriority w:val="99"/>
    <w:pPr>
      <w:wordWrap w:val="0"/>
      <w:spacing w:before="360" w:after="360"/>
      <w:ind w:left="950" w:right="950"/>
      <w:jc w:val="center"/>
    </w:pPr>
    <w:rPr>
      <w:rFonts w:ascii="Times New Roman" w:hAnsi="Times New Roman" w:eastAsia="宋体" w:cs="Times New Roman"/>
      <w:i/>
      <w:sz w:val="21"/>
      <w:lang w:val="en-US" w:eastAsia="zh-CN" w:bidi="ar-SA"/>
    </w:rPr>
  </w:style>
  <w:style w:type="character" w:customStyle="1" w:styleId="116">
    <w:name w:val="明显引用 字符"/>
    <w:basedOn w:val="65"/>
    <w:link w:val="115"/>
    <w:autoRedefine/>
    <w:qFormat/>
    <w:uiPriority w:val="99"/>
    <w:rPr>
      <w:rFonts w:ascii="Times New Roman" w:hAnsi="Times New Roman" w:eastAsia="宋体" w:cs="Times New Roman"/>
      <w:i/>
      <w:kern w:val="0"/>
      <w:szCs w:val="20"/>
    </w:rPr>
  </w:style>
  <w:style w:type="paragraph" w:customStyle="1" w:styleId="117">
    <w:name w:val="TOC 标题1"/>
    <w:next w:val="1"/>
    <w:autoRedefine/>
    <w:semiHidden/>
    <w:unhideWhenUsed/>
    <w:qFormat/>
    <w:uiPriority w:val="99"/>
    <w:pPr>
      <w:wordWrap w:val="0"/>
    </w:pPr>
    <w:rPr>
      <w:rFonts w:ascii="Times New Roman" w:hAnsi="Times New Roman" w:eastAsia="宋体" w:cs="Times New Roman"/>
      <w:sz w:val="32"/>
      <w:lang w:val="en-US" w:eastAsia="zh-CN" w:bidi="ar-SA"/>
    </w:rPr>
  </w:style>
  <w:style w:type="character" w:customStyle="1" w:styleId="118">
    <w:name w:val="List Paragraph Char"/>
    <w:link w:val="119"/>
    <w:autoRedefine/>
    <w:qFormat/>
    <w:locked/>
    <w:uiPriority w:val="0"/>
    <w:rPr>
      <w:szCs w:val="24"/>
    </w:rPr>
  </w:style>
  <w:style w:type="paragraph" w:customStyle="1" w:styleId="119">
    <w:name w:val="列表段落1"/>
    <w:basedOn w:val="1"/>
    <w:link w:val="118"/>
    <w:autoRedefine/>
    <w:qFormat/>
    <w:uiPriority w:val="0"/>
    <w:pPr>
      <w:ind w:firstLine="420" w:firstLineChars="200"/>
    </w:pPr>
    <w:rPr>
      <w:szCs w:val="24"/>
    </w:rPr>
  </w:style>
  <w:style w:type="character" w:customStyle="1" w:styleId="120">
    <w:name w:val="目录3 Char"/>
    <w:link w:val="121"/>
    <w:autoRedefine/>
    <w:qFormat/>
    <w:locked/>
    <w:uiPriority w:val="99"/>
    <w:rPr>
      <w:rFonts w:ascii="宋体" w:hAnsi="宋体" w:eastAsia="宋体"/>
      <w:b/>
      <w:sz w:val="24"/>
    </w:rPr>
  </w:style>
  <w:style w:type="paragraph" w:customStyle="1" w:styleId="121">
    <w:name w:val="目录3"/>
    <w:basedOn w:val="1"/>
    <w:link w:val="120"/>
    <w:autoRedefine/>
    <w:qFormat/>
    <w:uiPriority w:val="99"/>
    <w:pPr>
      <w:adjustRightInd w:val="0"/>
      <w:snapToGrid w:val="0"/>
      <w:jc w:val="left"/>
    </w:pPr>
    <w:rPr>
      <w:rFonts w:ascii="宋体" w:hAnsi="宋体" w:eastAsia="宋体"/>
      <w:b/>
      <w:sz w:val="24"/>
    </w:rPr>
  </w:style>
  <w:style w:type="paragraph" w:customStyle="1" w:styleId="122">
    <w:name w:val="正文_4"/>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23">
    <w:name w:val="正文_14"/>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24">
    <w:name w:val="无间隔 Char"/>
    <w:link w:val="125"/>
    <w:autoRedefine/>
    <w:qFormat/>
    <w:locked/>
    <w:uiPriority w:val="0"/>
    <w:rPr>
      <w:rFonts w:ascii="Times New Roman" w:hAnsi="Times New Roman" w:eastAsia="Times New Roman" w:cs="Times New Roman"/>
      <w:szCs w:val="24"/>
    </w:rPr>
  </w:style>
  <w:style w:type="paragraph" w:customStyle="1" w:styleId="125">
    <w:name w:val="无间隔1"/>
    <w:link w:val="124"/>
    <w:autoRedefine/>
    <w:qFormat/>
    <w:uiPriority w:val="0"/>
    <w:pPr>
      <w:widowControl w:val="0"/>
      <w:jc w:val="both"/>
    </w:pPr>
    <w:rPr>
      <w:rFonts w:ascii="Times New Roman" w:hAnsi="Times New Roman" w:eastAsia="Times New Roman" w:cs="Times New Roman"/>
      <w:kern w:val="2"/>
      <w:sz w:val="21"/>
      <w:szCs w:val="24"/>
      <w:lang w:val="en-US" w:eastAsia="zh-CN" w:bidi="ar-SA"/>
    </w:rPr>
  </w:style>
  <w:style w:type="character" w:customStyle="1" w:styleId="126">
    <w:name w:val="普通文字 Char Char_0"/>
    <w:link w:val="127"/>
    <w:autoRedefine/>
    <w:qFormat/>
    <w:locked/>
    <w:uiPriority w:val="0"/>
    <w:rPr>
      <w:rFonts w:ascii="Arial Unicode MS" w:hAnsi="Arial Unicode MS" w:eastAsia="ヒラギノ角ゴ Pro W3"/>
      <w:color w:val="000000"/>
    </w:rPr>
  </w:style>
  <w:style w:type="paragraph" w:customStyle="1" w:styleId="127">
    <w:name w:val="纯文本_0"/>
    <w:link w:val="126"/>
    <w:autoRedefine/>
    <w:qFormat/>
    <w:uiPriority w:val="0"/>
    <w:pPr>
      <w:widowControl w:val="0"/>
      <w:jc w:val="both"/>
    </w:pPr>
    <w:rPr>
      <w:rFonts w:ascii="Arial Unicode MS" w:hAnsi="Arial Unicode MS" w:eastAsia="ヒラギノ角ゴ Pro W3" w:cstheme="minorBidi"/>
      <w:color w:val="000000"/>
      <w:kern w:val="2"/>
      <w:sz w:val="21"/>
      <w:szCs w:val="22"/>
      <w:lang w:val="en-US" w:eastAsia="zh-CN" w:bidi="ar-SA"/>
    </w:rPr>
  </w:style>
  <w:style w:type="character" w:customStyle="1" w:styleId="128">
    <w:name w:val="样式1 Char Char"/>
    <w:link w:val="129"/>
    <w:autoRedefine/>
    <w:qFormat/>
    <w:locked/>
    <w:uiPriority w:val="0"/>
    <w:rPr>
      <w:rFonts w:ascii="宋体" w:hAnsi="宋体" w:eastAsia="宋体"/>
      <w:b/>
      <w:sz w:val="24"/>
    </w:rPr>
  </w:style>
  <w:style w:type="paragraph" w:customStyle="1" w:styleId="129">
    <w:name w:val="样式1"/>
    <w:basedOn w:val="1"/>
    <w:link w:val="128"/>
    <w:autoRedefine/>
    <w:qFormat/>
    <w:uiPriority w:val="0"/>
    <w:pPr>
      <w:spacing w:before="120" w:after="120" w:line="300" w:lineRule="auto"/>
    </w:pPr>
    <w:rPr>
      <w:rFonts w:ascii="宋体" w:hAnsi="宋体" w:eastAsia="宋体"/>
      <w:b/>
      <w:sz w:val="24"/>
    </w:rPr>
  </w:style>
  <w:style w:type="paragraph" w:customStyle="1" w:styleId="130">
    <w:name w:val="正文_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31">
    <w:name w:val="纯文本 Char_0"/>
    <w:link w:val="132"/>
    <w:autoRedefine/>
    <w:qFormat/>
    <w:locked/>
    <w:uiPriority w:val="0"/>
    <w:rPr>
      <w:rFonts w:ascii="宋体" w:hAnsi="宋体" w:eastAsia="ヒラギノ角ゴ Pro W3"/>
      <w:color w:val="000000"/>
    </w:rPr>
  </w:style>
  <w:style w:type="paragraph" w:customStyle="1" w:styleId="132">
    <w:name w:val="纯文本_1"/>
    <w:link w:val="131"/>
    <w:autoRedefine/>
    <w:qFormat/>
    <w:uiPriority w:val="0"/>
    <w:pPr>
      <w:widowControl w:val="0"/>
      <w:jc w:val="both"/>
    </w:pPr>
    <w:rPr>
      <w:rFonts w:ascii="宋体" w:hAnsi="宋体" w:eastAsia="ヒラギノ角ゴ Pro W3" w:cstheme="minorBidi"/>
      <w:color w:val="000000"/>
      <w:kern w:val="2"/>
      <w:sz w:val="21"/>
      <w:szCs w:val="22"/>
      <w:lang w:val="en-US" w:eastAsia="zh-CN" w:bidi="ar-SA"/>
    </w:rPr>
  </w:style>
  <w:style w:type="paragraph" w:customStyle="1" w:styleId="133">
    <w:name w:val="正文_0"/>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34">
    <w:name w:val="彩色网格 - 强调文字颜色 1 Char"/>
    <w:link w:val="135"/>
    <w:autoRedefine/>
    <w:qFormat/>
    <w:locked/>
    <w:uiPriority w:val="0"/>
    <w:rPr>
      <w:i/>
      <w:iCs/>
      <w:color w:val="000000"/>
    </w:rPr>
  </w:style>
  <w:style w:type="paragraph" w:customStyle="1" w:styleId="135">
    <w:name w:val="彩色网格 - 强调文字颜色 11"/>
    <w:basedOn w:val="1"/>
    <w:next w:val="1"/>
    <w:link w:val="134"/>
    <w:autoRedefine/>
    <w:qFormat/>
    <w:uiPriority w:val="0"/>
    <w:rPr>
      <w:i/>
      <w:iCs/>
      <w:color w:val="000000"/>
    </w:rPr>
  </w:style>
  <w:style w:type="character" w:customStyle="1" w:styleId="136">
    <w:name w:val="样式 纯文本普通文字 Char纯文本 Char Char普通文字纯文本 Char Char Char Char Char...6 Char Char"/>
    <w:link w:val="137"/>
    <w:autoRedefine/>
    <w:qFormat/>
    <w:locked/>
    <w:uiPriority w:val="0"/>
    <w:rPr>
      <w:rFonts w:ascii="宋体" w:hAnsi="Courier New" w:eastAsia="宋体"/>
      <w:color w:val="000000"/>
      <w:szCs w:val="21"/>
    </w:rPr>
  </w:style>
  <w:style w:type="paragraph" w:customStyle="1" w:styleId="137">
    <w:name w:val="样式 纯文本普通文字 Char纯文本 Char Char普通文字纯文本 Char Char Char Char Char...6"/>
    <w:basedOn w:val="30"/>
    <w:link w:val="136"/>
    <w:autoRedefine/>
    <w:qFormat/>
    <w:uiPriority w:val="0"/>
    <w:pPr>
      <w:spacing w:beforeLines="0" w:afterLines="0" w:line="240" w:lineRule="auto"/>
    </w:pPr>
    <w:rPr>
      <w:rFonts w:cstheme="minorBidi"/>
      <w:color w:val="000000"/>
      <w:kern w:val="2"/>
      <w:sz w:val="21"/>
      <w:szCs w:val="21"/>
    </w:rPr>
  </w:style>
  <w:style w:type="character" w:customStyle="1" w:styleId="138">
    <w:name w:val="引用 Char1"/>
    <w:link w:val="139"/>
    <w:autoRedefine/>
    <w:qFormat/>
    <w:locked/>
    <w:uiPriority w:val="0"/>
    <w:rPr>
      <w:i/>
      <w:iCs/>
      <w:color w:val="000000"/>
      <w:szCs w:val="24"/>
    </w:rPr>
  </w:style>
  <w:style w:type="paragraph" w:customStyle="1" w:styleId="139">
    <w:name w:val="引用1"/>
    <w:basedOn w:val="1"/>
    <w:next w:val="1"/>
    <w:link w:val="138"/>
    <w:autoRedefine/>
    <w:qFormat/>
    <w:uiPriority w:val="0"/>
    <w:rPr>
      <w:i/>
      <w:iCs/>
      <w:color w:val="000000"/>
      <w:szCs w:val="24"/>
    </w:rPr>
  </w:style>
  <w:style w:type="character" w:customStyle="1" w:styleId="140">
    <w:name w:val="标题4 Char Char"/>
    <w:link w:val="141"/>
    <w:autoRedefine/>
    <w:qFormat/>
    <w:locked/>
    <w:uiPriority w:val="0"/>
    <w:rPr>
      <w:rFonts w:ascii="Arial" w:hAnsi="Arial" w:cs="Arial"/>
      <w:b/>
      <w:bCs/>
      <w:sz w:val="24"/>
      <w:szCs w:val="32"/>
    </w:rPr>
  </w:style>
  <w:style w:type="paragraph" w:customStyle="1" w:styleId="141">
    <w:name w:val="标题4"/>
    <w:basedOn w:val="1"/>
    <w:link w:val="140"/>
    <w:autoRedefine/>
    <w:qFormat/>
    <w:uiPriority w:val="0"/>
    <w:rPr>
      <w:rFonts w:ascii="Arial" w:hAnsi="Arial" w:cs="Arial"/>
      <w:b/>
      <w:bCs/>
      <w:sz w:val="24"/>
      <w:szCs w:val="32"/>
    </w:rPr>
  </w:style>
  <w:style w:type="character" w:customStyle="1" w:styleId="142">
    <w:name w:val="明显引用 Char1"/>
    <w:link w:val="143"/>
    <w:autoRedefine/>
    <w:qFormat/>
    <w:locked/>
    <w:uiPriority w:val="0"/>
    <w:rPr>
      <w:b/>
      <w:bCs/>
      <w:i/>
      <w:iCs/>
      <w:color w:val="4F81BD"/>
      <w:szCs w:val="24"/>
    </w:rPr>
  </w:style>
  <w:style w:type="paragraph" w:customStyle="1" w:styleId="143">
    <w:name w:val="Intense Quote1"/>
    <w:basedOn w:val="1"/>
    <w:next w:val="1"/>
    <w:link w:val="142"/>
    <w:autoRedefine/>
    <w:qFormat/>
    <w:uiPriority w:val="0"/>
    <w:pPr>
      <w:pBdr>
        <w:bottom w:val="single" w:color="4F81BD" w:sz="4" w:space="4"/>
      </w:pBdr>
      <w:spacing w:before="200" w:after="280"/>
      <w:ind w:left="936" w:right="936"/>
    </w:pPr>
    <w:rPr>
      <w:b/>
      <w:bCs/>
      <w:i/>
      <w:iCs/>
      <w:color w:val="4F81BD"/>
      <w:szCs w:val="24"/>
    </w:rPr>
  </w:style>
  <w:style w:type="paragraph" w:customStyle="1" w:styleId="144">
    <w:name w:val="正文_1_1"/>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45">
    <w:name w:val="标题5 Char Char"/>
    <w:link w:val="146"/>
    <w:autoRedefine/>
    <w:qFormat/>
    <w:locked/>
    <w:uiPriority w:val="0"/>
    <w:rPr>
      <w:rFonts w:ascii="Arial" w:hAnsi="Arial" w:cs="Arial"/>
      <w:b/>
      <w:bCs/>
      <w:sz w:val="24"/>
      <w:szCs w:val="32"/>
    </w:rPr>
  </w:style>
  <w:style w:type="paragraph" w:customStyle="1" w:styleId="146">
    <w:name w:val="标题5"/>
    <w:basedOn w:val="6"/>
    <w:link w:val="145"/>
    <w:autoRedefine/>
    <w:qFormat/>
    <w:uiPriority w:val="0"/>
    <w:pPr>
      <w:spacing w:line="412" w:lineRule="auto"/>
    </w:pPr>
    <w:rPr>
      <w:rFonts w:ascii="Arial" w:hAnsi="Arial" w:cs="Arial" w:eastAsiaTheme="minorEastAsia"/>
      <w:kern w:val="2"/>
      <w:sz w:val="24"/>
    </w:rPr>
  </w:style>
  <w:style w:type="character" w:customStyle="1" w:styleId="147">
    <w:name w:val="正文文字4 Char1_0"/>
    <w:link w:val="148"/>
    <w:autoRedefine/>
    <w:qFormat/>
    <w:locked/>
    <w:uiPriority w:val="0"/>
  </w:style>
  <w:style w:type="paragraph" w:customStyle="1" w:styleId="148">
    <w:name w:val="正文文本缩进_0"/>
    <w:basedOn w:val="133"/>
    <w:link w:val="147"/>
    <w:autoRedefine/>
    <w:qFormat/>
    <w:uiPriority w:val="0"/>
    <w:pPr>
      <w:spacing w:after="120"/>
      <w:ind w:left="420" w:leftChars="200"/>
    </w:pPr>
    <w:rPr>
      <w:rFonts w:asciiTheme="minorHAnsi" w:hAnsiTheme="minorHAnsi" w:eastAsiaTheme="minorEastAsia" w:cstheme="minorBidi"/>
    </w:rPr>
  </w:style>
  <w:style w:type="character" w:customStyle="1" w:styleId="149">
    <w:name w:val="内文 Char Char"/>
    <w:link w:val="150"/>
    <w:autoRedefine/>
    <w:qFormat/>
    <w:locked/>
    <w:uiPriority w:val="0"/>
    <w:rPr>
      <w:rFonts w:ascii="Arial" w:hAnsi="Arial" w:eastAsia="Times New Roman" w:cs="Arial"/>
      <w:szCs w:val="24"/>
    </w:rPr>
  </w:style>
  <w:style w:type="paragraph" w:customStyle="1" w:styleId="150">
    <w:name w:val="内文"/>
    <w:link w:val="149"/>
    <w:autoRedefine/>
    <w:qFormat/>
    <w:uiPriority w:val="0"/>
    <w:pPr>
      <w:adjustRightInd w:val="0"/>
      <w:snapToGrid w:val="0"/>
      <w:spacing w:line="400" w:lineRule="exact"/>
      <w:ind w:firstLine="200" w:firstLineChars="200"/>
      <w:jc w:val="both"/>
    </w:pPr>
    <w:rPr>
      <w:rFonts w:ascii="Arial" w:hAnsi="Arial" w:eastAsia="Times New Roman" w:cs="Arial"/>
      <w:kern w:val="2"/>
      <w:sz w:val="21"/>
      <w:szCs w:val="24"/>
      <w:lang w:val="en-US" w:eastAsia="zh-CN" w:bidi="ar-SA"/>
    </w:rPr>
  </w:style>
  <w:style w:type="paragraph" w:customStyle="1" w:styleId="151">
    <w:name w:val="正文_3"/>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普通文字 Char Char_1"/>
    <w:link w:val="153"/>
    <w:autoRedefine/>
    <w:qFormat/>
    <w:locked/>
    <w:uiPriority w:val="0"/>
    <w:rPr>
      <w:rFonts w:ascii="宋体" w:hAnsi="Courier New" w:eastAsia="宋体"/>
      <w:szCs w:val="21"/>
    </w:rPr>
  </w:style>
  <w:style w:type="paragraph" w:customStyle="1" w:styleId="153">
    <w:name w:val="纯文本_1_0"/>
    <w:basedOn w:val="144"/>
    <w:link w:val="152"/>
    <w:autoRedefine/>
    <w:qFormat/>
    <w:uiPriority w:val="0"/>
    <w:rPr>
      <w:rFonts w:ascii="宋体" w:hAnsi="Courier New" w:cstheme="minorBidi"/>
      <w:szCs w:val="21"/>
    </w:rPr>
  </w:style>
  <w:style w:type="paragraph" w:customStyle="1" w:styleId="154">
    <w:name w:val="正文_2"/>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55">
    <w:name w:val="样式 正文文本 Char Char"/>
    <w:link w:val="156"/>
    <w:autoRedefine/>
    <w:qFormat/>
    <w:locked/>
    <w:uiPriority w:val="0"/>
    <w:rPr>
      <w:rFonts w:ascii="Arial" w:hAnsi="Arial" w:cs="Arial"/>
      <w:color w:val="000000"/>
    </w:rPr>
  </w:style>
  <w:style w:type="paragraph" w:customStyle="1" w:styleId="156">
    <w:name w:val="样式 正文文本"/>
    <w:basedOn w:val="1"/>
    <w:link w:val="155"/>
    <w:autoRedefine/>
    <w:qFormat/>
    <w:uiPriority w:val="0"/>
    <w:pPr>
      <w:adjustRightInd w:val="0"/>
      <w:snapToGrid w:val="0"/>
      <w:spacing w:line="400" w:lineRule="exact"/>
      <w:ind w:firstLine="200" w:firstLineChars="200"/>
    </w:pPr>
    <w:rPr>
      <w:rFonts w:ascii="Arial" w:hAnsi="Arial" w:cs="Arial"/>
      <w:color w:val="000000"/>
    </w:rPr>
  </w:style>
  <w:style w:type="character" w:customStyle="1" w:styleId="157">
    <w:name w:val="浅色底纹 - 强调文字颜色 2 Char"/>
    <w:link w:val="158"/>
    <w:autoRedefine/>
    <w:qFormat/>
    <w:locked/>
    <w:uiPriority w:val="0"/>
    <w:rPr>
      <w:b/>
      <w:bCs/>
      <w:i/>
      <w:iCs/>
      <w:color w:val="4F81BD"/>
    </w:rPr>
  </w:style>
  <w:style w:type="paragraph" w:customStyle="1" w:styleId="158">
    <w:name w:val="浅色底纹 - 强调文字颜色 21"/>
    <w:basedOn w:val="1"/>
    <w:next w:val="1"/>
    <w:link w:val="157"/>
    <w:autoRedefine/>
    <w:qFormat/>
    <w:uiPriority w:val="0"/>
    <w:pPr>
      <w:pBdr>
        <w:bottom w:val="single" w:color="4F81BD" w:sz="4" w:space="4"/>
      </w:pBdr>
      <w:spacing w:before="200" w:after="280"/>
      <w:ind w:left="936" w:right="936"/>
    </w:pPr>
    <w:rPr>
      <w:b/>
      <w:bCs/>
      <w:i/>
      <w:iCs/>
      <w:color w:val="4F81BD"/>
    </w:rPr>
  </w:style>
  <w:style w:type="character" w:customStyle="1" w:styleId="159">
    <w:name w:val="Intense Quote Char"/>
    <w:link w:val="160"/>
    <w:autoRedefine/>
    <w:qFormat/>
    <w:locked/>
    <w:uiPriority w:val="0"/>
    <w:rPr>
      <w:b/>
      <w:i/>
      <w:color w:val="4F81BD"/>
      <w:sz w:val="22"/>
    </w:rPr>
  </w:style>
  <w:style w:type="paragraph" w:customStyle="1" w:styleId="160">
    <w:name w:val="明显引用1"/>
    <w:basedOn w:val="1"/>
    <w:next w:val="1"/>
    <w:link w:val="159"/>
    <w:autoRedefine/>
    <w:qFormat/>
    <w:uiPriority w:val="0"/>
    <w:pPr>
      <w:pBdr>
        <w:bottom w:val="single" w:color="4F81BD" w:sz="4" w:space="4"/>
      </w:pBdr>
      <w:spacing w:before="200" w:after="280"/>
      <w:ind w:left="936" w:right="936"/>
    </w:pPr>
    <w:rPr>
      <w:b/>
      <w:i/>
      <w:color w:val="4F81BD"/>
      <w:sz w:val="22"/>
    </w:rPr>
  </w:style>
  <w:style w:type="character" w:customStyle="1" w:styleId="161">
    <w:name w:val="Default Char Char"/>
    <w:link w:val="162"/>
    <w:autoRedefine/>
    <w:qFormat/>
    <w:locked/>
    <w:uiPriority w:val="0"/>
    <w:rPr>
      <w:rFonts w:ascii="..ì." w:hAnsi="..ì." w:eastAsia="..ì." w:cs="..ì."/>
      <w:color w:val="000000"/>
      <w:sz w:val="24"/>
      <w:szCs w:val="24"/>
    </w:rPr>
  </w:style>
  <w:style w:type="paragraph" w:customStyle="1" w:styleId="162">
    <w:name w:val="Default"/>
    <w:link w:val="161"/>
    <w:autoRedefine/>
    <w:qFormat/>
    <w:uiPriority w:val="0"/>
    <w:pPr>
      <w:widowControl w:val="0"/>
      <w:autoSpaceDE w:val="0"/>
      <w:autoSpaceDN w:val="0"/>
      <w:adjustRightInd w:val="0"/>
    </w:pPr>
    <w:rPr>
      <w:rFonts w:ascii="..ì." w:hAnsi="..ì." w:eastAsia="..ì." w:cs="..ì."/>
      <w:color w:val="000000"/>
      <w:kern w:val="2"/>
      <w:sz w:val="24"/>
      <w:szCs w:val="24"/>
      <w:lang w:val="en-US" w:eastAsia="zh-CN" w:bidi="ar-SA"/>
    </w:rPr>
  </w:style>
  <w:style w:type="character" w:customStyle="1" w:styleId="163">
    <w:name w:val="Quote Char"/>
    <w:link w:val="164"/>
    <w:autoRedefine/>
    <w:qFormat/>
    <w:locked/>
    <w:uiPriority w:val="0"/>
    <w:rPr>
      <w:i/>
      <w:color w:val="000000"/>
      <w:sz w:val="22"/>
    </w:rPr>
  </w:style>
  <w:style w:type="paragraph" w:customStyle="1" w:styleId="164">
    <w:name w:val="引用11"/>
    <w:basedOn w:val="1"/>
    <w:next w:val="1"/>
    <w:link w:val="163"/>
    <w:autoRedefine/>
    <w:qFormat/>
    <w:uiPriority w:val="0"/>
    <w:rPr>
      <w:i/>
      <w:color w:val="000000"/>
      <w:sz w:val="22"/>
    </w:rPr>
  </w:style>
  <w:style w:type="character" w:customStyle="1" w:styleId="165">
    <w:name w:val="明显引用 Char"/>
    <w:link w:val="166"/>
    <w:autoRedefine/>
    <w:qFormat/>
    <w:locked/>
    <w:uiPriority w:val="0"/>
    <w:rPr>
      <w:b/>
      <w:bCs/>
      <w:i/>
      <w:iCs/>
      <w:color w:val="4F81BD"/>
    </w:rPr>
  </w:style>
  <w:style w:type="paragraph" w:customStyle="1" w:styleId="166">
    <w:name w:val="明显引用2"/>
    <w:basedOn w:val="1"/>
    <w:next w:val="1"/>
    <w:link w:val="165"/>
    <w:autoRedefine/>
    <w:qFormat/>
    <w:uiPriority w:val="0"/>
    <w:pPr>
      <w:pBdr>
        <w:bottom w:val="single" w:color="4F81BD" w:sz="4" w:space="4"/>
      </w:pBdr>
      <w:spacing w:before="200" w:after="280"/>
      <w:ind w:left="936" w:right="936"/>
    </w:pPr>
    <w:rPr>
      <w:b/>
      <w:bCs/>
      <w:i/>
      <w:iCs/>
      <w:color w:val="4F81BD"/>
    </w:rPr>
  </w:style>
  <w:style w:type="paragraph" w:customStyle="1" w:styleId="167">
    <w:name w:val="样式 标题 3 + (中文) 黑体 小四 非加粗 段前: 7.8 磅 段后: 0 磅 行距: 固定值 20 磅"/>
    <w:basedOn w:val="6"/>
    <w:autoRedefine/>
    <w:qFormat/>
    <w:uiPriority w:val="99"/>
    <w:pPr>
      <w:spacing w:before="0" w:after="0" w:line="400" w:lineRule="exact"/>
    </w:pPr>
    <w:rPr>
      <w:rFonts w:ascii="Calibri" w:hAnsi="Calibri" w:eastAsia="黑体" w:cs="宋体"/>
      <w:b w:val="0"/>
      <w:bCs w:val="0"/>
      <w:sz w:val="24"/>
      <w:szCs w:val="20"/>
    </w:rPr>
  </w:style>
  <w:style w:type="paragraph" w:customStyle="1" w:styleId="168">
    <w:name w:val="pa-1"/>
    <w:basedOn w:val="1"/>
    <w:autoRedefine/>
    <w:qFormat/>
    <w:uiPriority w:val="99"/>
    <w:pPr>
      <w:widowControl/>
      <w:spacing w:line="480" w:lineRule="atLeast"/>
      <w:jc w:val="center"/>
    </w:pPr>
    <w:rPr>
      <w:rFonts w:ascii="宋体" w:hAnsi="宋体" w:eastAsia="宋体" w:cs="宋体"/>
      <w:kern w:val="0"/>
      <w:sz w:val="24"/>
    </w:rPr>
  </w:style>
  <w:style w:type="paragraph" w:customStyle="1" w:styleId="169">
    <w:name w:val="ca-28"/>
    <w:basedOn w:val="1"/>
    <w:autoRedefine/>
    <w:qFormat/>
    <w:uiPriority w:val="99"/>
    <w:pPr>
      <w:widowControl/>
      <w:jc w:val="left"/>
    </w:pPr>
    <w:rPr>
      <w:rFonts w:ascii="宋体" w:hAnsi="宋体" w:eastAsia="宋体" w:cs="宋体"/>
      <w:color w:val="FF0000"/>
      <w:kern w:val="0"/>
      <w:szCs w:val="21"/>
    </w:rPr>
  </w:style>
  <w:style w:type="paragraph" w:customStyle="1" w:styleId="170">
    <w:name w:val="正文_2_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71">
    <w:name w:val="xl40"/>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172">
    <w:name w:val="pa-41"/>
    <w:basedOn w:val="1"/>
    <w:autoRedefine/>
    <w:qFormat/>
    <w:uiPriority w:val="99"/>
    <w:pPr>
      <w:widowControl/>
      <w:spacing w:line="280" w:lineRule="atLeast"/>
      <w:ind w:firstLine="420"/>
    </w:pPr>
    <w:rPr>
      <w:rFonts w:ascii="宋体" w:hAnsi="宋体" w:eastAsia="宋体" w:cs="宋体"/>
      <w:kern w:val="0"/>
      <w:sz w:val="24"/>
    </w:rPr>
  </w:style>
  <w:style w:type="paragraph" w:customStyle="1" w:styleId="173">
    <w:name w:val="pa-107"/>
    <w:basedOn w:val="1"/>
    <w:autoRedefine/>
    <w:qFormat/>
    <w:uiPriority w:val="99"/>
    <w:pPr>
      <w:widowControl/>
      <w:spacing w:line="720" w:lineRule="atLeast"/>
      <w:ind w:firstLine="3000"/>
    </w:pPr>
    <w:rPr>
      <w:rFonts w:ascii="宋体" w:hAnsi="宋体" w:eastAsia="宋体" w:cs="宋体"/>
      <w:kern w:val="0"/>
      <w:sz w:val="24"/>
    </w:rPr>
  </w:style>
  <w:style w:type="paragraph" w:customStyle="1" w:styleId="174">
    <w:name w:val="pa-131"/>
    <w:basedOn w:val="1"/>
    <w:autoRedefine/>
    <w:qFormat/>
    <w:uiPriority w:val="99"/>
    <w:pPr>
      <w:widowControl/>
      <w:spacing w:line="280" w:lineRule="atLeast"/>
      <w:jc w:val="left"/>
    </w:pPr>
    <w:rPr>
      <w:rFonts w:ascii="宋体" w:hAnsi="宋体" w:eastAsia="宋体" w:cs="宋体"/>
      <w:kern w:val="0"/>
      <w:sz w:val="24"/>
    </w:rPr>
  </w:style>
  <w:style w:type="paragraph" w:customStyle="1" w:styleId="175">
    <w:name w:val="p0"/>
    <w:basedOn w:val="1"/>
    <w:autoRedefine/>
    <w:qFormat/>
    <w:uiPriority w:val="99"/>
    <w:pPr>
      <w:widowControl/>
    </w:pPr>
    <w:rPr>
      <w:rFonts w:ascii="Times New Roman" w:hAnsi="Times New Roman" w:eastAsia="宋体" w:cs="Times New Roman"/>
      <w:kern w:val="0"/>
      <w:szCs w:val="21"/>
    </w:rPr>
  </w:style>
  <w:style w:type="paragraph" w:customStyle="1" w:styleId="176">
    <w:name w:val="正文_0_0"/>
    <w:autoRedefine/>
    <w:qFormat/>
    <w:uiPriority w:val="99"/>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177">
    <w:name w:val="标题 3_0"/>
    <w:next w:val="176"/>
    <w:autoRedefine/>
    <w:qFormat/>
    <w:uiPriority w:val="99"/>
    <w:pPr>
      <w:keepNext/>
      <w:keepLines/>
      <w:widowControl w:val="0"/>
      <w:spacing w:line="360" w:lineRule="auto"/>
      <w:jc w:val="both"/>
      <w:outlineLvl w:val="2"/>
    </w:pPr>
    <w:rPr>
      <w:rFonts w:ascii="Calibri Bold" w:hAnsi="Calibri Bold" w:eastAsia="ヒラギノ角ゴ Pro W3" w:cs="Times New Roman"/>
      <w:color w:val="000000"/>
      <w:kern w:val="2"/>
      <w:sz w:val="24"/>
      <w:lang w:val="en-US" w:eastAsia="zh-CN" w:bidi="ar-SA"/>
    </w:rPr>
  </w:style>
  <w:style w:type="paragraph" w:customStyle="1" w:styleId="178">
    <w:name w:val="xl38"/>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b/>
      <w:bCs/>
      <w:color w:val="000000"/>
      <w:kern w:val="0"/>
      <w:sz w:val="18"/>
      <w:szCs w:val="18"/>
    </w:rPr>
  </w:style>
  <w:style w:type="paragraph" w:customStyle="1" w:styleId="179">
    <w:name w:val="pa-129"/>
    <w:basedOn w:val="1"/>
    <w:autoRedefine/>
    <w:qFormat/>
    <w:uiPriority w:val="99"/>
    <w:pPr>
      <w:widowControl/>
      <w:spacing w:line="300" w:lineRule="atLeast"/>
    </w:pPr>
    <w:rPr>
      <w:rFonts w:ascii="宋体" w:hAnsi="宋体" w:eastAsia="宋体" w:cs="宋体"/>
      <w:kern w:val="0"/>
      <w:sz w:val="24"/>
    </w:rPr>
  </w:style>
  <w:style w:type="paragraph" w:customStyle="1" w:styleId="180">
    <w:name w:val="投标标题 2"/>
    <w:basedOn w:val="17"/>
    <w:autoRedefine/>
    <w:qFormat/>
    <w:uiPriority w:val="99"/>
    <w:pPr>
      <w:spacing w:before="0" w:after="0"/>
      <w:ind w:firstLine="6290" w:firstLineChars="2282"/>
    </w:pPr>
    <w:rPr>
      <w:rFonts w:ascii="Calibri" w:hAnsi="Calibri" w:cs="Times New Roman"/>
      <w:b/>
      <w:bCs/>
      <w:sz w:val="28"/>
      <w:szCs w:val="22"/>
    </w:rPr>
  </w:style>
  <w:style w:type="paragraph" w:customStyle="1" w:styleId="181">
    <w:name w:val="xl75"/>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182">
    <w:name w:val="Char Char Char Char"/>
    <w:basedOn w:val="1"/>
    <w:autoRedefine/>
    <w:qFormat/>
    <w:uiPriority w:val="99"/>
    <w:rPr>
      <w:rFonts w:ascii="Calibri" w:hAnsi="Calibri" w:eastAsia="宋体" w:cs="Times New Roman"/>
    </w:rPr>
  </w:style>
  <w:style w:type="paragraph" w:customStyle="1" w:styleId="183">
    <w:name w:val="pa-43"/>
    <w:basedOn w:val="1"/>
    <w:autoRedefine/>
    <w:qFormat/>
    <w:uiPriority w:val="99"/>
    <w:pPr>
      <w:widowControl/>
      <w:spacing w:line="280" w:lineRule="atLeast"/>
      <w:jc w:val="center"/>
    </w:pPr>
    <w:rPr>
      <w:rFonts w:ascii="宋体" w:hAnsi="宋体" w:eastAsia="宋体" w:cs="宋体"/>
      <w:kern w:val="0"/>
      <w:sz w:val="24"/>
    </w:rPr>
  </w:style>
  <w:style w:type="character" w:customStyle="1" w:styleId="184">
    <w:name w:val="内文正文 Char"/>
    <w:link w:val="185"/>
    <w:autoRedefine/>
    <w:qFormat/>
    <w:locked/>
    <w:uiPriority w:val="0"/>
    <w:rPr>
      <w:rFonts w:ascii="宋体" w:hAnsi="???|CS?o｡ﾀ?" w:eastAsia="宋体"/>
      <w:szCs w:val="28"/>
    </w:rPr>
  </w:style>
  <w:style w:type="paragraph" w:customStyle="1" w:styleId="185">
    <w:name w:val="内文正文"/>
    <w:basedOn w:val="30"/>
    <w:link w:val="184"/>
    <w:autoRedefine/>
    <w:qFormat/>
    <w:uiPriority w:val="0"/>
    <w:pPr>
      <w:autoSpaceDE w:val="0"/>
      <w:autoSpaceDN w:val="0"/>
      <w:ind w:firstLine="200" w:firstLineChars="200"/>
    </w:pPr>
    <w:rPr>
      <w:rFonts w:hAnsi="???|CS?o｡ﾀ?" w:cstheme="minorBidi"/>
      <w:kern w:val="2"/>
      <w:sz w:val="21"/>
      <w:szCs w:val="28"/>
    </w:rPr>
  </w:style>
  <w:style w:type="paragraph" w:customStyle="1" w:styleId="186">
    <w:name w:val="Normal_21"/>
    <w:autoRedefine/>
    <w:qFormat/>
    <w:uiPriority w:val="99"/>
    <w:rPr>
      <w:rFonts w:ascii="黑体" w:hAnsi="黑体" w:eastAsia="黑体" w:cs="Times New Roman"/>
      <w:b/>
      <w:sz w:val="32"/>
      <w:szCs w:val="24"/>
      <w:lang w:val="en-US" w:eastAsia="zh-CN" w:bidi="ar-SA"/>
    </w:rPr>
  </w:style>
  <w:style w:type="paragraph" w:customStyle="1" w:styleId="187">
    <w:name w:val="td-6"/>
    <w:basedOn w:val="1"/>
    <w:autoRedefine/>
    <w:qFormat/>
    <w:uiPriority w:val="99"/>
    <w:pPr>
      <w:widowControl/>
      <w:pBdr>
        <w:top w:val="single" w:color="000000" w:sz="12" w:space="0"/>
        <w:left w:val="single" w:color="000000" w:sz="4" w:space="4"/>
        <w:bottom w:val="single" w:color="000000" w:sz="4" w:space="0"/>
        <w:right w:val="single" w:color="000000" w:sz="12" w:space="0"/>
      </w:pBdr>
      <w:jc w:val="left"/>
    </w:pPr>
    <w:rPr>
      <w:rFonts w:ascii="宋体" w:hAnsi="宋体" w:eastAsia="宋体" w:cs="宋体"/>
      <w:kern w:val="0"/>
      <w:sz w:val="24"/>
    </w:rPr>
  </w:style>
  <w:style w:type="paragraph" w:customStyle="1" w:styleId="188">
    <w:name w:val="td-9"/>
    <w:basedOn w:val="1"/>
    <w:autoRedefine/>
    <w:qFormat/>
    <w:uiPriority w:val="99"/>
    <w:pPr>
      <w:widowControl/>
      <w:pBdr>
        <w:top w:val="single" w:color="000000" w:sz="4" w:space="0"/>
        <w:left w:val="single" w:color="000000" w:sz="12" w:space="4"/>
        <w:bottom w:val="single" w:color="000000" w:sz="12" w:space="0"/>
        <w:right w:val="single" w:color="000000" w:sz="4" w:space="0"/>
      </w:pBdr>
      <w:jc w:val="left"/>
    </w:pPr>
    <w:rPr>
      <w:rFonts w:ascii="宋体" w:hAnsi="宋体" w:eastAsia="宋体" w:cs="宋体"/>
      <w:kern w:val="0"/>
      <w:sz w:val="24"/>
    </w:rPr>
  </w:style>
  <w:style w:type="paragraph" w:customStyle="1" w:styleId="189">
    <w:name w:val="pa-11"/>
    <w:basedOn w:val="1"/>
    <w:autoRedefine/>
    <w:qFormat/>
    <w:uiPriority w:val="99"/>
    <w:pPr>
      <w:widowControl/>
      <w:spacing w:line="280" w:lineRule="atLeast"/>
    </w:pPr>
    <w:rPr>
      <w:rFonts w:ascii="宋体" w:hAnsi="宋体" w:eastAsia="宋体" w:cs="宋体"/>
      <w:kern w:val="0"/>
      <w:sz w:val="24"/>
    </w:rPr>
  </w:style>
  <w:style w:type="paragraph" w:customStyle="1" w:styleId="190">
    <w:name w:val="pa-97"/>
    <w:basedOn w:val="1"/>
    <w:autoRedefine/>
    <w:qFormat/>
    <w:uiPriority w:val="99"/>
    <w:pPr>
      <w:widowControl/>
      <w:spacing w:line="720" w:lineRule="atLeast"/>
    </w:pPr>
    <w:rPr>
      <w:rFonts w:ascii="宋体" w:hAnsi="宋体" w:eastAsia="宋体" w:cs="宋体"/>
      <w:kern w:val="0"/>
      <w:sz w:val="24"/>
    </w:rPr>
  </w:style>
  <w:style w:type="paragraph" w:customStyle="1" w:styleId="191">
    <w:name w:val="pa-23"/>
    <w:basedOn w:val="1"/>
    <w:autoRedefine/>
    <w:qFormat/>
    <w:uiPriority w:val="99"/>
    <w:pPr>
      <w:widowControl/>
      <w:spacing w:line="360" w:lineRule="atLeast"/>
      <w:ind w:firstLine="420"/>
    </w:pPr>
    <w:rPr>
      <w:rFonts w:ascii="宋体" w:hAnsi="宋体" w:eastAsia="宋体" w:cs="宋体"/>
      <w:kern w:val="0"/>
      <w:sz w:val="24"/>
    </w:rPr>
  </w:style>
  <w:style w:type="paragraph" w:customStyle="1" w:styleId="192">
    <w:name w:val="Char2 Char Char Char Char Char Char"/>
    <w:basedOn w:val="1"/>
    <w:autoRedefine/>
    <w:qFormat/>
    <w:uiPriority w:val="99"/>
    <w:pPr>
      <w:autoSpaceDE w:val="0"/>
      <w:autoSpaceDN w:val="0"/>
      <w:adjustRightInd w:val="0"/>
      <w:snapToGrid w:val="0"/>
      <w:spacing w:line="500" w:lineRule="exact"/>
      <w:ind w:firstLine="562" w:firstLineChars="200"/>
      <w:jc w:val="center"/>
    </w:pPr>
    <w:rPr>
      <w:rFonts w:ascii="Calibri" w:hAnsi="Calibri" w:eastAsia="仿宋_GB2312" w:cs="Times New Roman"/>
      <w:b/>
      <w:color w:val="000000"/>
      <w:sz w:val="28"/>
      <w:szCs w:val="28"/>
    </w:rPr>
  </w:style>
  <w:style w:type="paragraph" w:customStyle="1" w:styleId="193">
    <w:name w:val="ca-19"/>
    <w:basedOn w:val="1"/>
    <w:autoRedefine/>
    <w:qFormat/>
    <w:uiPriority w:val="99"/>
    <w:pPr>
      <w:widowControl/>
      <w:jc w:val="left"/>
    </w:pPr>
    <w:rPr>
      <w:rFonts w:ascii="Calibri" w:hAnsi="Calibri" w:eastAsia="宋体" w:cs="Times New Roman"/>
      <w:kern w:val="0"/>
      <w:sz w:val="18"/>
      <w:szCs w:val="18"/>
    </w:rPr>
  </w:style>
  <w:style w:type="paragraph" w:customStyle="1" w:styleId="194">
    <w:name w:val="正文，首行缩进:"/>
    <w:basedOn w:val="1"/>
    <w:autoRedefine/>
    <w:qFormat/>
    <w:uiPriority w:val="99"/>
    <w:pPr>
      <w:tabs>
        <w:tab w:val="left" w:pos="3376"/>
      </w:tabs>
      <w:spacing w:line="460" w:lineRule="exact"/>
      <w:ind w:firstLine="480" w:firstLineChars="200"/>
      <w:jc w:val="left"/>
    </w:pPr>
    <w:rPr>
      <w:rFonts w:ascii="宋体" w:hAnsi="宋体" w:eastAsia="宋体" w:cs="宋体"/>
      <w:sz w:val="24"/>
      <w:szCs w:val="20"/>
    </w:rPr>
  </w:style>
  <w:style w:type="paragraph" w:customStyle="1" w:styleId="195">
    <w:name w:val="Normal_18"/>
    <w:autoRedefine/>
    <w:qFormat/>
    <w:uiPriority w:val="99"/>
    <w:rPr>
      <w:rFonts w:ascii="黑体" w:hAnsi="黑体" w:eastAsia="黑体" w:cs="Times New Roman"/>
      <w:b/>
      <w:sz w:val="32"/>
      <w:szCs w:val="24"/>
      <w:lang w:val="en-US" w:eastAsia="zh-CN" w:bidi="ar-SA"/>
    </w:rPr>
  </w:style>
  <w:style w:type="paragraph" w:customStyle="1" w:styleId="196">
    <w:name w:val="pa-82"/>
    <w:basedOn w:val="1"/>
    <w:autoRedefine/>
    <w:qFormat/>
    <w:uiPriority w:val="99"/>
    <w:pPr>
      <w:widowControl/>
      <w:spacing w:line="480" w:lineRule="atLeast"/>
      <w:jc w:val="center"/>
    </w:pPr>
    <w:rPr>
      <w:rFonts w:ascii="宋体" w:hAnsi="宋体" w:eastAsia="宋体" w:cs="宋体"/>
      <w:kern w:val="0"/>
      <w:sz w:val="24"/>
    </w:rPr>
  </w:style>
  <w:style w:type="paragraph" w:customStyle="1" w:styleId="197">
    <w:name w:val="正文_1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98">
    <w:name w:val="pa-127"/>
    <w:basedOn w:val="1"/>
    <w:autoRedefine/>
    <w:qFormat/>
    <w:uiPriority w:val="99"/>
    <w:pPr>
      <w:widowControl/>
      <w:spacing w:line="480" w:lineRule="atLeast"/>
      <w:ind w:firstLine="960"/>
    </w:pPr>
    <w:rPr>
      <w:rFonts w:ascii="宋体" w:hAnsi="宋体" w:eastAsia="宋体" w:cs="宋体"/>
      <w:kern w:val="0"/>
      <w:sz w:val="24"/>
    </w:rPr>
  </w:style>
  <w:style w:type="paragraph" w:customStyle="1" w:styleId="199">
    <w:name w:val="默认段落字体 Para Char Char Char Char"/>
    <w:basedOn w:val="1"/>
    <w:autoRedefine/>
    <w:qFormat/>
    <w:uiPriority w:val="99"/>
    <w:rPr>
      <w:rFonts w:ascii="Times New Roman" w:hAnsi="Times New Roman" w:eastAsia="宋体" w:cs="Times New Roman"/>
      <w:spacing w:val="20"/>
      <w:sz w:val="28"/>
      <w:szCs w:val="21"/>
    </w:rPr>
  </w:style>
  <w:style w:type="paragraph" w:customStyle="1" w:styleId="200">
    <w:name w:val="td-1"/>
    <w:basedOn w:val="1"/>
    <w:autoRedefine/>
    <w:qFormat/>
    <w:uiPriority w:val="99"/>
    <w:pPr>
      <w:widowControl/>
      <w:pBdr>
        <w:top w:val="single" w:color="000000" w:sz="6" w:space="0"/>
        <w:left w:val="single" w:color="000000" w:sz="6" w:space="4"/>
        <w:bottom w:val="single" w:color="000000" w:sz="6" w:space="0"/>
        <w:right w:val="single" w:color="000000" w:sz="6" w:space="0"/>
      </w:pBdr>
      <w:jc w:val="left"/>
    </w:pPr>
    <w:rPr>
      <w:rFonts w:ascii="宋体" w:hAnsi="宋体" w:eastAsia="宋体" w:cs="宋体"/>
      <w:kern w:val="0"/>
      <w:sz w:val="24"/>
    </w:rPr>
  </w:style>
  <w:style w:type="paragraph" w:customStyle="1" w:styleId="201">
    <w:name w:val="页眉_0"/>
    <w:basedOn w:val="154"/>
    <w:autoRedefine/>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customStyle="1" w:styleId="202">
    <w:name w:val="pa-113"/>
    <w:basedOn w:val="1"/>
    <w:autoRedefine/>
    <w:qFormat/>
    <w:uiPriority w:val="99"/>
    <w:pPr>
      <w:widowControl/>
      <w:spacing w:line="360" w:lineRule="atLeast"/>
      <w:ind w:firstLine="2960"/>
    </w:pPr>
    <w:rPr>
      <w:rFonts w:ascii="宋体" w:hAnsi="宋体" w:eastAsia="宋体" w:cs="宋体"/>
      <w:kern w:val="0"/>
      <w:sz w:val="24"/>
    </w:rPr>
  </w:style>
  <w:style w:type="paragraph" w:customStyle="1" w:styleId="203">
    <w:name w:val="ca-1"/>
    <w:basedOn w:val="1"/>
    <w:autoRedefine/>
    <w:qFormat/>
    <w:uiPriority w:val="99"/>
    <w:pPr>
      <w:widowControl/>
      <w:jc w:val="left"/>
    </w:pPr>
    <w:rPr>
      <w:rFonts w:ascii="宋体" w:hAnsi="宋体" w:eastAsia="宋体" w:cs="宋体"/>
      <w:color w:val="000000"/>
      <w:spacing w:val="40"/>
      <w:kern w:val="0"/>
      <w:sz w:val="44"/>
      <w:szCs w:val="44"/>
    </w:rPr>
  </w:style>
  <w:style w:type="paragraph" w:customStyle="1" w:styleId="204">
    <w:name w:val="ca-2"/>
    <w:basedOn w:val="1"/>
    <w:autoRedefine/>
    <w:qFormat/>
    <w:uiPriority w:val="99"/>
    <w:pPr>
      <w:widowControl/>
      <w:jc w:val="left"/>
    </w:pPr>
    <w:rPr>
      <w:rFonts w:ascii="Calibri" w:hAnsi="Calibri" w:eastAsia="宋体" w:cs="Times New Roman"/>
      <w:color w:val="000000"/>
      <w:kern w:val="0"/>
      <w:sz w:val="36"/>
      <w:szCs w:val="36"/>
    </w:rPr>
  </w:style>
  <w:style w:type="paragraph" w:customStyle="1" w:styleId="205">
    <w:name w:val="ca-53"/>
    <w:basedOn w:val="1"/>
    <w:autoRedefine/>
    <w:qFormat/>
    <w:uiPriority w:val="99"/>
    <w:pPr>
      <w:widowControl/>
      <w:jc w:val="left"/>
    </w:pPr>
    <w:rPr>
      <w:rFonts w:ascii="Calibri" w:hAnsi="Calibri" w:eastAsia="宋体" w:cs="Times New Roman"/>
      <w:b/>
      <w:bCs/>
      <w:spacing w:val="-20"/>
      <w:kern w:val="0"/>
      <w:sz w:val="36"/>
      <w:szCs w:val="36"/>
    </w:rPr>
  </w:style>
  <w:style w:type="paragraph" w:customStyle="1" w:styleId="206">
    <w:name w:val="xl30"/>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207">
    <w:name w:val="xl34"/>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w:hAnsi="Arial" w:eastAsia="宋体" w:cs="Arial"/>
      <w:color w:val="000000"/>
      <w:kern w:val="0"/>
      <w:sz w:val="18"/>
      <w:szCs w:val="18"/>
    </w:rPr>
  </w:style>
  <w:style w:type="paragraph" w:customStyle="1" w:styleId="208">
    <w:name w:val="pa-90"/>
    <w:basedOn w:val="1"/>
    <w:autoRedefine/>
    <w:qFormat/>
    <w:uiPriority w:val="99"/>
    <w:pPr>
      <w:widowControl/>
      <w:spacing w:line="280" w:lineRule="atLeast"/>
    </w:pPr>
    <w:rPr>
      <w:rFonts w:ascii="宋体" w:hAnsi="宋体" w:eastAsia="宋体" w:cs="宋体"/>
      <w:kern w:val="0"/>
      <w:sz w:val="24"/>
    </w:rPr>
  </w:style>
  <w:style w:type="paragraph" w:customStyle="1" w:styleId="209">
    <w:name w:val="pa-47"/>
    <w:basedOn w:val="1"/>
    <w:autoRedefine/>
    <w:qFormat/>
    <w:uiPriority w:val="99"/>
    <w:pPr>
      <w:widowControl/>
      <w:spacing w:line="280" w:lineRule="atLeast"/>
      <w:ind w:firstLine="280"/>
      <w:jc w:val="center"/>
    </w:pPr>
    <w:rPr>
      <w:rFonts w:ascii="宋体" w:hAnsi="宋体" w:eastAsia="宋体" w:cs="宋体"/>
      <w:kern w:val="0"/>
      <w:sz w:val="24"/>
    </w:rPr>
  </w:style>
  <w:style w:type="paragraph" w:customStyle="1" w:styleId="210">
    <w:name w:val="pa-78"/>
    <w:basedOn w:val="1"/>
    <w:autoRedefine/>
    <w:qFormat/>
    <w:uiPriority w:val="99"/>
    <w:pPr>
      <w:widowControl/>
      <w:spacing w:line="340" w:lineRule="atLeast"/>
    </w:pPr>
    <w:rPr>
      <w:rFonts w:ascii="宋体" w:hAnsi="宋体" w:eastAsia="宋体" w:cs="宋体"/>
      <w:kern w:val="0"/>
      <w:sz w:val="24"/>
    </w:rPr>
  </w:style>
  <w:style w:type="paragraph" w:customStyle="1" w:styleId="211">
    <w:name w:val="Para-----"/>
    <w:autoRedefine/>
    <w:qFormat/>
    <w:uiPriority w:val="99"/>
    <w:pPr>
      <w:tabs>
        <w:tab w:val="left" w:pos="1152"/>
        <w:tab w:val="left" w:pos="1728"/>
        <w:tab w:val="left" w:pos="2304"/>
        <w:tab w:val="left" w:pos="3456"/>
        <w:tab w:val="left" w:pos="4032"/>
        <w:tab w:val="left" w:pos="4608"/>
        <w:tab w:val="left" w:pos="5184"/>
        <w:tab w:val="left" w:leader="underscore" w:pos="5760"/>
        <w:tab w:val="left" w:pos="6912"/>
        <w:tab w:val="left" w:pos="7488"/>
        <w:tab w:val="left" w:pos="8064"/>
        <w:tab w:val="left" w:pos="8640"/>
      </w:tabs>
      <w:spacing w:line="360" w:lineRule="auto"/>
      <w:ind w:left="1145"/>
    </w:pPr>
    <w:rPr>
      <w:rFonts w:ascii="Arial" w:hAnsi="Arial" w:eastAsia="宋体" w:cs="Arial"/>
      <w:lang w:val="en-US" w:eastAsia="zh-CN" w:bidi="ar-SA"/>
    </w:rPr>
  </w:style>
  <w:style w:type="paragraph" w:customStyle="1" w:styleId="212">
    <w:name w:val="pa-124"/>
    <w:basedOn w:val="1"/>
    <w:autoRedefine/>
    <w:qFormat/>
    <w:uiPriority w:val="99"/>
    <w:pPr>
      <w:widowControl/>
      <w:spacing w:line="760" w:lineRule="atLeast"/>
    </w:pPr>
    <w:rPr>
      <w:rFonts w:ascii="宋体" w:hAnsi="宋体" w:eastAsia="宋体" w:cs="宋体"/>
      <w:kern w:val="0"/>
      <w:sz w:val="24"/>
    </w:rPr>
  </w:style>
  <w:style w:type="paragraph" w:customStyle="1" w:styleId="213">
    <w:name w:val="pa-62"/>
    <w:basedOn w:val="1"/>
    <w:autoRedefine/>
    <w:qFormat/>
    <w:uiPriority w:val="99"/>
    <w:pPr>
      <w:widowControl/>
      <w:spacing w:line="360" w:lineRule="atLeast"/>
      <w:ind w:firstLine="420"/>
    </w:pPr>
    <w:rPr>
      <w:rFonts w:ascii="宋体" w:hAnsi="宋体" w:eastAsia="宋体" w:cs="宋体"/>
      <w:kern w:val="0"/>
      <w:sz w:val="24"/>
    </w:rPr>
  </w:style>
  <w:style w:type="paragraph" w:customStyle="1" w:styleId="214">
    <w:name w:val="正文1"/>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15">
    <w:name w:val="pa-24"/>
    <w:basedOn w:val="1"/>
    <w:autoRedefine/>
    <w:qFormat/>
    <w:uiPriority w:val="99"/>
    <w:pPr>
      <w:widowControl/>
      <w:spacing w:line="360" w:lineRule="atLeast"/>
      <w:ind w:firstLine="480"/>
    </w:pPr>
    <w:rPr>
      <w:rFonts w:ascii="宋体" w:hAnsi="宋体" w:eastAsia="宋体" w:cs="宋体"/>
      <w:kern w:val="0"/>
      <w:sz w:val="24"/>
    </w:rPr>
  </w:style>
  <w:style w:type="paragraph" w:customStyle="1" w:styleId="216">
    <w:name w:val="样式 正文缩进正文（首行缩进两字）特点ALT+Z表正文正文非缩进四号段1Normal Indent Char2..."/>
    <w:basedOn w:val="5"/>
    <w:next w:val="6"/>
    <w:autoRedefine/>
    <w:qFormat/>
    <w:uiPriority w:val="99"/>
    <w:pPr>
      <w:spacing w:before="240" w:after="120" w:line="400" w:lineRule="exact"/>
      <w:ind w:left="1140" w:hanging="630"/>
      <w:jc w:val="center"/>
    </w:pPr>
    <w:rPr>
      <w:rFonts w:ascii="宋体" w:hAnsi="宋体" w:eastAsia="宋体"/>
      <w:bCs w:val="0"/>
      <w:kern w:val="0"/>
      <w:sz w:val="24"/>
      <w:szCs w:val="20"/>
    </w:rPr>
  </w:style>
  <w:style w:type="paragraph" w:customStyle="1" w:styleId="217">
    <w:name w:val="Normal_0"/>
    <w:autoRedefine/>
    <w:qFormat/>
    <w:uiPriority w:val="99"/>
    <w:rPr>
      <w:rFonts w:ascii="黑体" w:hAnsi="黑体" w:eastAsia="黑体" w:cs="Times New Roman"/>
      <w:b/>
      <w:sz w:val="32"/>
      <w:szCs w:val="24"/>
      <w:lang w:val="en-US" w:eastAsia="zh-CN" w:bidi="ar-SA"/>
    </w:rPr>
  </w:style>
  <w:style w:type="paragraph" w:customStyle="1" w:styleId="218">
    <w:name w:val="pa-17"/>
    <w:basedOn w:val="1"/>
    <w:autoRedefine/>
    <w:qFormat/>
    <w:uiPriority w:val="99"/>
    <w:pPr>
      <w:widowControl/>
      <w:spacing w:line="240" w:lineRule="atLeast"/>
      <w:jc w:val="center"/>
    </w:pPr>
    <w:rPr>
      <w:rFonts w:ascii="宋体" w:hAnsi="宋体" w:eastAsia="宋体" w:cs="宋体"/>
      <w:kern w:val="0"/>
      <w:sz w:val="24"/>
    </w:rPr>
  </w:style>
  <w:style w:type="paragraph" w:customStyle="1" w:styleId="219">
    <w:name w:val="pa-12"/>
    <w:basedOn w:val="1"/>
    <w:autoRedefine/>
    <w:qFormat/>
    <w:uiPriority w:val="99"/>
    <w:pPr>
      <w:widowControl/>
      <w:spacing w:line="360" w:lineRule="atLeast"/>
    </w:pPr>
    <w:rPr>
      <w:rFonts w:ascii="宋体" w:hAnsi="宋体" w:eastAsia="宋体" w:cs="宋体"/>
      <w:kern w:val="0"/>
      <w:sz w:val="24"/>
    </w:rPr>
  </w:style>
  <w:style w:type="paragraph" w:customStyle="1" w:styleId="220">
    <w:name w:val="6'"/>
    <w:basedOn w:val="1"/>
    <w:autoRedefine/>
    <w:qFormat/>
    <w:uiPriority w:val="99"/>
    <w:pPr>
      <w:autoSpaceDE w:val="0"/>
      <w:autoSpaceDN w:val="0"/>
      <w:adjustRightInd w:val="0"/>
      <w:snapToGrid w:val="0"/>
      <w:spacing w:line="320" w:lineRule="exact"/>
      <w:jc w:val="center"/>
    </w:pPr>
    <w:rPr>
      <w:rFonts w:ascii="Calibri" w:hAnsi="Calibri" w:eastAsia="宋体" w:cs="Times New Roman"/>
      <w:spacing w:val="20"/>
      <w:kern w:val="28"/>
      <w:szCs w:val="20"/>
    </w:rPr>
  </w:style>
  <w:style w:type="paragraph" w:customStyle="1" w:styleId="221">
    <w:name w:val="pa-8"/>
    <w:basedOn w:val="1"/>
    <w:autoRedefine/>
    <w:qFormat/>
    <w:uiPriority w:val="99"/>
    <w:pPr>
      <w:widowControl/>
      <w:spacing w:line="360" w:lineRule="atLeast"/>
    </w:pPr>
    <w:rPr>
      <w:rFonts w:ascii="宋体" w:hAnsi="宋体" w:eastAsia="宋体" w:cs="宋体"/>
      <w:kern w:val="0"/>
      <w:sz w:val="24"/>
    </w:rPr>
  </w:style>
  <w:style w:type="paragraph" w:customStyle="1" w:styleId="222">
    <w:name w:val="样式 标题 1 + 黑体 三号 非加粗 居中 段前: 6 磅 段后: 6 磅 行距: 固定值 20 磅"/>
    <w:basedOn w:val="4"/>
    <w:autoRedefine/>
    <w:qFormat/>
    <w:uiPriority w:val="99"/>
    <w:pPr>
      <w:keepLines/>
      <w:spacing w:before="120" w:after="120" w:line="400" w:lineRule="exact"/>
    </w:pPr>
    <w:rPr>
      <w:rFonts w:ascii="黑体" w:hAnsi="黑体" w:eastAsia="黑体" w:cs="宋体"/>
      <w:b w:val="0"/>
      <w:bCs w:val="0"/>
      <w:kern w:val="44"/>
      <w:sz w:val="32"/>
      <w:szCs w:val="20"/>
    </w:rPr>
  </w:style>
  <w:style w:type="paragraph" w:customStyle="1" w:styleId="223">
    <w:name w:val="xl64"/>
    <w:basedOn w:val="1"/>
    <w:autoRedefine/>
    <w:qFormat/>
    <w:uiPriority w:val="99"/>
    <w:pPr>
      <w:widowControl/>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224">
    <w:name w:val="样式 样式 标题 3section:33l3Level 3 HeadH3heading 3h3Bold Headbh... + ... Char"/>
    <w:basedOn w:val="1"/>
    <w:autoRedefine/>
    <w:qFormat/>
    <w:uiPriority w:val="99"/>
    <w:pPr>
      <w:keepNext/>
      <w:keepLines/>
      <w:spacing w:beforeLines="50" w:line="360" w:lineRule="auto"/>
      <w:ind w:left="800" w:leftChars="400"/>
      <w:outlineLvl w:val="2"/>
    </w:pPr>
    <w:rPr>
      <w:rFonts w:ascii="宋体" w:hAnsi="宋体" w:eastAsia="宋体" w:cs="宋体"/>
      <w:b/>
      <w:bCs/>
      <w:color w:val="FF0000"/>
      <w:sz w:val="24"/>
    </w:rPr>
  </w:style>
  <w:style w:type="paragraph" w:customStyle="1" w:styleId="225">
    <w:name w:val="正文_3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6">
    <w:name w:val="pa-53"/>
    <w:basedOn w:val="1"/>
    <w:autoRedefine/>
    <w:qFormat/>
    <w:uiPriority w:val="99"/>
    <w:pPr>
      <w:widowControl/>
      <w:spacing w:line="280" w:lineRule="atLeast"/>
      <w:ind w:firstLine="100"/>
    </w:pPr>
    <w:rPr>
      <w:rFonts w:ascii="宋体" w:hAnsi="宋体" w:eastAsia="宋体" w:cs="宋体"/>
      <w:kern w:val="0"/>
      <w:sz w:val="24"/>
    </w:rPr>
  </w:style>
  <w:style w:type="paragraph" w:customStyle="1" w:styleId="227">
    <w:name w:val="空半行"/>
    <w:basedOn w:val="1"/>
    <w:autoRedefine/>
    <w:qFormat/>
    <w:uiPriority w:val="99"/>
    <w:pPr>
      <w:adjustRightInd w:val="0"/>
      <w:spacing w:line="120" w:lineRule="exact"/>
    </w:pPr>
    <w:rPr>
      <w:rFonts w:ascii="Times New Roman" w:hAnsi="Times New Roman" w:eastAsia="仿宋_GB2312" w:cs="Times New Roman"/>
      <w:color w:val="FFFFFF"/>
      <w:kern w:val="0"/>
      <w:sz w:val="30"/>
      <w:szCs w:val="20"/>
    </w:rPr>
  </w:style>
  <w:style w:type="paragraph" w:customStyle="1" w:styleId="228">
    <w:name w:val="Rechtliche Stellung Unterzeichner"/>
    <w:basedOn w:val="40"/>
    <w:autoRedefine/>
    <w:qFormat/>
    <w:uiPriority w:val="99"/>
    <w:pPr>
      <w:numPr>
        <w:ilvl w:val="0"/>
        <w:numId w:val="3"/>
      </w:numPr>
      <w:tabs>
        <w:tab w:val="left" w:pos="360"/>
        <w:tab w:val="left" w:pos="567"/>
        <w:tab w:val="left" w:pos="1134"/>
        <w:tab w:val="right" w:pos="9639"/>
      </w:tabs>
      <w:ind w:left="4252" w:firstLine="0"/>
      <w:jc w:val="both"/>
    </w:pPr>
    <w:rPr>
      <w:rFonts w:ascii="Arial" w:hAnsi="Arial"/>
      <w:lang w:val="de-DE" w:eastAsia="de-DE"/>
    </w:rPr>
  </w:style>
  <w:style w:type="paragraph" w:customStyle="1" w:styleId="229">
    <w:name w:val="pa-61"/>
    <w:basedOn w:val="1"/>
    <w:autoRedefine/>
    <w:qFormat/>
    <w:uiPriority w:val="99"/>
    <w:pPr>
      <w:widowControl/>
      <w:spacing w:line="240" w:lineRule="atLeast"/>
    </w:pPr>
    <w:rPr>
      <w:rFonts w:ascii="宋体" w:hAnsi="宋体" w:eastAsia="宋体" w:cs="宋体"/>
      <w:kern w:val="0"/>
      <w:sz w:val="24"/>
    </w:rPr>
  </w:style>
  <w:style w:type="paragraph" w:customStyle="1" w:styleId="230">
    <w:name w:val="pa-63"/>
    <w:basedOn w:val="1"/>
    <w:autoRedefine/>
    <w:qFormat/>
    <w:uiPriority w:val="99"/>
    <w:pPr>
      <w:widowControl/>
      <w:spacing w:line="360" w:lineRule="atLeast"/>
      <w:ind w:firstLine="300"/>
      <w:jc w:val="left"/>
    </w:pPr>
    <w:rPr>
      <w:rFonts w:ascii="宋体" w:hAnsi="宋体" w:eastAsia="宋体" w:cs="宋体"/>
      <w:kern w:val="0"/>
      <w:sz w:val="24"/>
    </w:rPr>
  </w:style>
  <w:style w:type="paragraph" w:customStyle="1" w:styleId="231">
    <w:name w:val="pa-30"/>
    <w:basedOn w:val="1"/>
    <w:autoRedefine/>
    <w:qFormat/>
    <w:uiPriority w:val="99"/>
    <w:pPr>
      <w:widowControl/>
      <w:spacing w:line="360" w:lineRule="atLeast"/>
      <w:ind w:firstLine="4100"/>
    </w:pPr>
    <w:rPr>
      <w:rFonts w:ascii="宋体" w:hAnsi="宋体" w:eastAsia="宋体" w:cs="宋体"/>
      <w:kern w:val="0"/>
      <w:sz w:val="24"/>
    </w:rPr>
  </w:style>
  <w:style w:type="paragraph" w:customStyle="1" w:styleId="232">
    <w:name w:val="BJ-Blob"/>
    <w:autoRedefine/>
    <w:qFormat/>
    <w:uiPriority w:val="99"/>
    <w:pPr>
      <w:tabs>
        <w:tab w:val="left" w:pos="360"/>
        <w:tab w:val="left" w:pos="900"/>
        <w:tab w:val="left" w:pos="1200"/>
      </w:tabs>
      <w:spacing w:before="40" w:after="40" w:line="360" w:lineRule="auto"/>
      <w:ind w:left="900" w:hanging="720"/>
      <w:jc w:val="both"/>
    </w:pPr>
    <w:rPr>
      <w:rFonts w:ascii="Arial" w:hAnsi="Arial" w:eastAsia="宋体" w:cs="Times New Roman"/>
      <w:sz w:val="24"/>
      <w:lang w:val="en-GB" w:eastAsia="de-DE" w:bidi="ar-SA"/>
    </w:rPr>
  </w:style>
  <w:style w:type="paragraph" w:customStyle="1" w:styleId="233">
    <w:name w:val="pa-96"/>
    <w:basedOn w:val="1"/>
    <w:autoRedefine/>
    <w:qFormat/>
    <w:uiPriority w:val="99"/>
    <w:pPr>
      <w:widowControl/>
      <w:spacing w:line="480" w:lineRule="atLeast"/>
    </w:pPr>
    <w:rPr>
      <w:rFonts w:ascii="宋体" w:hAnsi="宋体" w:eastAsia="宋体" w:cs="宋体"/>
      <w:kern w:val="0"/>
      <w:sz w:val="24"/>
    </w:rPr>
  </w:style>
  <w:style w:type="paragraph" w:customStyle="1" w:styleId="234">
    <w:name w:val="ca-14"/>
    <w:basedOn w:val="1"/>
    <w:autoRedefine/>
    <w:qFormat/>
    <w:uiPriority w:val="99"/>
    <w:pPr>
      <w:widowControl/>
      <w:jc w:val="left"/>
    </w:pPr>
    <w:rPr>
      <w:rFonts w:ascii="Calibri" w:hAnsi="Calibri" w:eastAsia="宋体" w:cs="Times New Roman"/>
      <w:color w:val="000000"/>
      <w:kern w:val="0"/>
      <w:sz w:val="24"/>
    </w:rPr>
  </w:style>
  <w:style w:type="paragraph" w:customStyle="1" w:styleId="235">
    <w:name w:val="Normal_8"/>
    <w:autoRedefine/>
    <w:qFormat/>
    <w:uiPriority w:val="99"/>
    <w:rPr>
      <w:rFonts w:ascii="黑体" w:hAnsi="黑体" w:eastAsia="黑体" w:cs="Times New Roman"/>
      <w:b/>
      <w:sz w:val="32"/>
      <w:szCs w:val="24"/>
      <w:lang w:val="en-US" w:eastAsia="zh-CN" w:bidi="ar-SA"/>
    </w:rPr>
  </w:style>
  <w:style w:type="paragraph" w:customStyle="1" w:styleId="236">
    <w:name w:val="BJ-01"/>
    <w:autoRedefine/>
    <w:qFormat/>
    <w:uiPriority w:val="99"/>
    <w:pPr>
      <w:numPr>
        <w:ilvl w:val="0"/>
        <w:numId w:val="4"/>
      </w:numPr>
      <w:tabs>
        <w:tab w:val="left" w:pos="567"/>
        <w:tab w:val="left" w:pos="1244"/>
      </w:tabs>
      <w:spacing w:before="240" w:line="360" w:lineRule="auto"/>
      <w:jc w:val="both"/>
    </w:pPr>
    <w:rPr>
      <w:rFonts w:ascii="Arial" w:hAnsi="Arial" w:eastAsia="宋体" w:cs="Times New Roman"/>
      <w:sz w:val="24"/>
      <w:lang w:val="en-GB" w:eastAsia="de-DE" w:bidi="ar-SA"/>
    </w:rPr>
  </w:style>
  <w:style w:type="paragraph" w:customStyle="1" w:styleId="237">
    <w:name w:val="pa-31"/>
    <w:basedOn w:val="1"/>
    <w:autoRedefine/>
    <w:qFormat/>
    <w:uiPriority w:val="99"/>
    <w:pPr>
      <w:widowControl/>
      <w:spacing w:line="240" w:lineRule="atLeast"/>
      <w:ind w:firstLine="420"/>
      <w:jc w:val="left"/>
    </w:pPr>
    <w:rPr>
      <w:rFonts w:ascii="宋体" w:hAnsi="宋体" w:eastAsia="宋体" w:cs="宋体"/>
      <w:kern w:val="0"/>
      <w:sz w:val="24"/>
    </w:rPr>
  </w:style>
  <w:style w:type="paragraph" w:customStyle="1" w:styleId="238">
    <w:name w:val="Normal_14"/>
    <w:autoRedefine/>
    <w:qFormat/>
    <w:uiPriority w:val="99"/>
    <w:rPr>
      <w:rFonts w:ascii="黑体" w:hAnsi="黑体" w:eastAsia="黑体" w:cs="Times New Roman"/>
      <w:b/>
      <w:sz w:val="32"/>
      <w:szCs w:val="24"/>
      <w:lang w:val="en-US" w:eastAsia="zh-CN" w:bidi="ar-SA"/>
    </w:rPr>
  </w:style>
  <w:style w:type="paragraph" w:customStyle="1" w:styleId="239">
    <w:name w:val="ca-21"/>
    <w:basedOn w:val="1"/>
    <w:autoRedefine/>
    <w:qFormat/>
    <w:uiPriority w:val="99"/>
    <w:pPr>
      <w:widowControl/>
      <w:jc w:val="left"/>
    </w:pPr>
    <w:rPr>
      <w:rFonts w:ascii="宋体" w:hAnsi="宋体" w:eastAsia="宋体" w:cs="宋体"/>
      <w:color w:val="000000"/>
      <w:kern w:val="0"/>
      <w:szCs w:val="21"/>
    </w:rPr>
  </w:style>
  <w:style w:type="paragraph" w:customStyle="1" w:styleId="240">
    <w:name w:val="样式 正文缩进正文（首行缩进两字）特点ALT+Z表正文正文非缩进四号段1Normal Indent Char2...1"/>
    <w:basedOn w:val="5"/>
    <w:autoRedefine/>
    <w:qFormat/>
    <w:uiPriority w:val="99"/>
    <w:pPr>
      <w:spacing w:before="1320" w:after="240" w:line="300" w:lineRule="auto"/>
      <w:jc w:val="center"/>
    </w:pPr>
    <w:rPr>
      <w:rFonts w:ascii="Arial" w:hAnsi="Arial" w:eastAsia="宋体"/>
      <w:bCs w:val="0"/>
      <w:kern w:val="0"/>
      <w:sz w:val="24"/>
      <w:szCs w:val="20"/>
    </w:rPr>
  </w:style>
  <w:style w:type="paragraph" w:customStyle="1" w:styleId="241">
    <w:name w:val="Normal_13"/>
    <w:autoRedefine/>
    <w:qFormat/>
    <w:uiPriority w:val="99"/>
    <w:rPr>
      <w:rFonts w:ascii="黑体" w:hAnsi="黑体" w:eastAsia="黑体" w:cs="Times New Roman"/>
      <w:b/>
      <w:sz w:val="32"/>
      <w:szCs w:val="24"/>
      <w:lang w:val="en-US" w:eastAsia="zh-CN" w:bidi="ar-SA"/>
    </w:rPr>
  </w:style>
  <w:style w:type="paragraph" w:customStyle="1" w:styleId="242">
    <w:name w:val="Normal_23"/>
    <w:autoRedefine/>
    <w:qFormat/>
    <w:uiPriority w:val="99"/>
    <w:rPr>
      <w:rFonts w:ascii="黑体" w:hAnsi="黑体" w:eastAsia="黑体" w:cs="Times New Roman"/>
      <w:b/>
      <w:sz w:val="32"/>
      <w:szCs w:val="24"/>
      <w:lang w:val="en-US" w:eastAsia="zh-CN" w:bidi="ar-SA"/>
    </w:rPr>
  </w:style>
  <w:style w:type="paragraph" w:customStyle="1" w:styleId="243">
    <w:name w:val="pa-83"/>
    <w:basedOn w:val="1"/>
    <w:autoRedefine/>
    <w:qFormat/>
    <w:uiPriority w:val="99"/>
    <w:pPr>
      <w:widowControl/>
      <w:spacing w:line="560" w:lineRule="atLeast"/>
      <w:jc w:val="center"/>
    </w:pPr>
    <w:rPr>
      <w:rFonts w:ascii="宋体" w:hAnsi="宋体" w:eastAsia="宋体" w:cs="宋体"/>
      <w:kern w:val="0"/>
      <w:sz w:val="24"/>
    </w:rPr>
  </w:style>
  <w:style w:type="paragraph" w:customStyle="1" w:styleId="244">
    <w:name w:val="Char Char1 Char"/>
    <w:basedOn w:val="1"/>
    <w:autoRedefine/>
    <w:qFormat/>
    <w:uiPriority w:val="99"/>
    <w:rPr>
      <w:rFonts w:ascii="Calibri" w:hAnsi="Calibri" w:eastAsia="宋体" w:cs="Times New Roman"/>
    </w:rPr>
  </w:style>
  <w:style w:type="paragraph" w:customStyle="1" w:styleId="245">
    <w:name w:val="Normal_4"/>
    <w:autoRedefine/>
    <w:qFormat/>
    <w:uiPriority w:val="99"/>
    <w:rPr>
      <w:rFonts w:ascii="黑体" w:hAnsi="黑体" w:eastAsia="黑体" w:cs="Times New Roman"/>
      <w:b/>
      <w:sz w:val="32"/>
      <w:szCs w:val="24"/>
      <w:lang w:val="en-US" w:eastAsia="zh-CN" w:bidi="ar-SA"/>
    </w:rPr>
  </w:style>
  <w:style w:type="paragraph" w:customStyle="1" w:styleId="246">
    <w:name w:val="pa-84"/>
    <w:basedOn w:val="1"/>
    <w:autoRedefine/>
    <w:qFormat/>
    <w:uiPriority w:val="99"/>
    <w:pPr>
      <w:widowControl/>
      <w:spacing w:line="480" w:lineRule="atLeast"/>
      <w:jc w:val="center"/>
    </w:pPr>
    <w:rPr>
      <w:rFonts w:ascii="宋体" w:hAnsi="宋体" w:eastAsia="宋体" w:cs="宋体"/>
      <w:kern w:val="0"/>
      <w:sz w:val="24"/>
    </w:rPr>
  </w:style>
  <w:style w:type="paragraph" w:customStyle="1" w:styleId="247">
    <w:name w:val="xl73"/>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48">
    <w:name w:val="ca-46"/>
    <w:basedOn w:val="1"/>
    <w:autoRedefine/>
    <w:qFormat/>
    <w:uiPriority w:val="99"/>
    <w:pPr>
      <w:widowControl/>
      <w:jc w:val="left"/>
    </w:pPr>
    <w:rPr>
      <w:rFonts w:ascii="宋体" w:hAnsi="宋体" w:eastAsia="宋体" w:cs="宋体"/>
      <w:color w:val="000000"/>
      <w:spacing w:val="-20"/>
      <w:kern w:val="0"/>
      <w:sz w:val="28"/>
      <w:szCs w:val="28"/>
    </w:rPr>
  </w:style>
  <w:style w:type="paragraph" w:customStyle="1" w:styleId="249">
    <w:name w:val="Normal_22"/>
    <w:autoRedefine/>
    <w:qFormat/>
    <w:uiPriority w:val="99"/>
    <w:rPr>
      <w:rFonts w:ascii="黑体" w:hAnsi="黑体" w:eastAsia="黑体" w:cs="Times New Roman"/>
      <w:b/>
      <w:sz w:val="32"/>
      <w:szCs w:val="24"/>
      <w:lang w:val="en-US" w:eastAsia="zh-CN" w:bidi="ar-SA"/>
    </w:rPr>
  </w:style>
  <w:style w:type="paragraph" w:customStyle="1" w:styleId="250">
    <w:name w:val="xl22"/>
    <w:basedOn w:val="1"/>
    <w:autoRedefine/>
    <w:qFormat/>
    <w:uiPriority w:val="99"/>
    <w:pPr>
      <w:widowControl/>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251">
    <w:name w:val="样式 标题 2 + Times New Roman 四号 非加粗 段前: 5 磅 段后: 0 磅 行距: 固定值 20..."/>
    <w:basedOn w:val="5"/>
    <w:autoRedefine/>
    <w:qFormat/>
    <w:uiPriority w:val="99"/>
    <w:pPr>
      <w:spacing w:before="100" w:after="0" w:line="400" w:lineRule="exact"/>
    </w:pPr>
    <w:rPr>
      <w:rFonts w:ascii="Times New Roman" w:hAnsi="Times New Roman" w:eastAsia="宋体" w:cs="宋体"/>
      <w:b w:val="0"/>
      <w:bCs w:val="0"/>
      <w:kern w:val="0"/>
      <w:sz w:val="28"/>
      <w:szCs w:val="20"/>
    </w:rPr>
  </w:style>
  <w:style w:type="paragraph" w:customStyle="1" w:styleId="252">
    <w:name w:val="ca-30"/>
    <w:basedOn w:val="1"/>
    <w:autoRedefine/>
    <w:qFormat/>
    <w:uiPriority w:val="99"/>
    <w:pPr>
      <w:widowControl/>
      <w:jc w:val="left"/>
    </w:pPr>
    <w:rPr>
      <w:rFonts w:ascii="??" w:hAnsi="??" w:eastAsia="宋体" w:cs="宋体"/>
      <w:color w:val="002060"/>
      <w:kern w:val="0"/>
      <w:szCs w:val="21"/>
    </w:rPr>
  </w:style>
  <w:style w:type="paragraph" w:customStyle="1" w:styleId="253">
    <w:name w:val="pa-13"/>
    <w:basedOn w:val="1"/>
    <w:autoRedefine/>
    <w:qFormat/>
    <w:uiPriority w:val="99"/>
    <w:pPr>
      <w:widowControl/>
      <w:spacing w:line="360" w:lineRule="atLeast"/>
    </w:pPr>
    <w:rPr>
      <w:rFonts w:ascii="宋体" w:hAnsi="宋体" w:eastAsia="宋体" w:cs="宋体"/>
      <w:kern w:val="0"/>
      <w:sz w:val="24"/>
    </w:rPr>
  </w:style>
  <w:style w:type="paragraph" w:customStyle="1" w:styleId="254">
    <w:name w:val="ca-47"/>
    <w:basedOn w:val="1"/>
    <w:autoRedefine/>
    <w:qFormat/>
    <w:uiPriority w:val="99"/>
    <w:pPr>
      <w:widowControl/>
      <w:jc w:val="left"/>
    </w:pPr>
    <w:rPr>
      <w:rFonts w:ascii="宋体" w:hAnsi="宋体" w:eastAsia="宋体" w:cs="宋体"/>
      <w:b/>
      <w:bCs/>
      <w:color w:val="000000"/>
      <w:spacing w:val="-20"/>
      <w:kern w:val="0"/>
      <w:sz w:val="24"/>
    </w:rPr>
  </w:style>
  <w:style w:type="paragraph" w:customStyle="1" w:styleId="255">
    <w:name w:val="pa-16"/>
    <w:basedOn w:val="1"/>
    <w:autoRedefine/>
    <w:qFormat/>
    <w:uiPriority w:val="99"/>
    <w:pPr>
      <w:widowControl/>
      <w:spacing w:line="240" w:lineRule="atLeast"/>
    </w:pPr>
    <w:rPr>
      <w:rFonts w:ascii="宋体" w:hAnsi="宋体" w:eastAsia="宋体" w:cs="宋体"/>
      <w:kern w:val="0"/>
      <w:sz w:val="24"/>
    </w:rPr>
  </w:style>
  <w:style w:type="paragraph" w:customStyle="1" w:styleId="256">
    <w:name w:val="Char Char Char Char Char Char"/>
    <w:basedOn w:val="1"/>
    <w:autoRedefine/>
    <w:qFormat/>
    <w:uiPriority w:val="99"/>
    <w:rPr>
      <w:rFonts w:ascii="仿宋_GB2312" w:hAnsi="Times New Roman" w:eastAsia="仿宋_GB2312" w:cs="Times New Roman"/>
      <w:b/>
      <w:sz w:val="32"/>
      <w:szCs w:val="32"/>
    </w:rPr>
  </w:style>
  <w:style w:type="paragraph" w:customStyle="1" w:styleId="257">
    <w:name w:val="td-7"/>
    <w:basedOn w:val="1"/>
    <w:autoRedefine/>
    <w:qFormat/>
    <w:uiPriority w:val="99"/>
    <w:pPr>
      <w:widowControl/>
      <w:pBdr>
        <w:top w:val="single" w:color="000000" w:sz="4" w:space="0"/>
        <w:left w:val="single" w:color="000000" w:sz="12" w:space="4"/>
        <w:bottom w:val="single" w:color="000000" w:sz="4" w:space="0"/>
        <w:right w:val="single" w:color="000000" w:sz="4" w:space="0"/>
      </w:pBdr>
      <w:jc w:val="left"/>
    </w:pPr>
    <w:rPr>
      <w:rFonts w:ascii="宋体" w:hAnsi="宋体" w:eastAsia="宋体" w:cs="宋体"/>
      <w:kern w:val="0"/>
      <w:sz w:val="24"/>
    </w:rPr>
  </w:style>
  <w:style w:type="paragraph" w:customStyle="1" w:styleId="258">
    <w:name w:val="ca-29"/>
    <w:basedOn w:val="1"/>
    <w:autoRedefine/>
    <w:qFormat/>
    <w:uiPriority w:val="99"/>
    <w:pPr>
      <w:widowControl/>
      <w:jc w:val="left"/>
    </w:pPr>
    <w:rPr>
      <w:rFonts w:ascii="宋体" w:hAnsi="宋体" w:eastAsia="宋体" w:cs="宋体"/>
      <w:color w:val="7030A0"/>
      <w:kern w:val="0"/>
      <w:szCs w:val="21"/>
    </w:rPr>
  </w:style>
  <w:style w:type="paragraph" w:customStyle="1" w:styleId="259">
    <w:name w:val="BJ-02-T"/>
    <w:autoRedefine/>
    <w:qFormat/>
    <w:uiPriority w:val="99"/>
    <w:pPr>
      <w:spacing w:before="120" w:line="360" w:lineRule="auto"/>
      <w:ind w:left="1985"/>
      <w:jc w:val="both"/>
    </w:pPr>
    <w:rPr>
      <w:rFonts w:ascii="Arial" w:hAnsi="Arial" w:eastAsia="宋体" w:cs="Times New Roman"/>
      <w:sz w:val="24"/>
      <w:lang w:val="en-GB" w:eastAsia="de-DE" w:bidi="ar-SA"/>
    </w:rPr>
  </w:style>
  <w:style w:type="paragraph" w:customStyle="1" w:styleId="260">
    <w:name w:val="Para----"/>
    <w:autoRedefine/>
    <w:qFormat/>
    <w:uiPriority w:val="99"/>
    <w:pPr>
      <w:keepNext/>
      <w:tabs>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line="360" w:lineRule="auto"/>
      <w:ind w:left="2880" w:hanging="360"/>
    </w:pPr>
    <w:rPr>
      <w:rFonts w:ascii="Arial" w:hAnsi="Arial" w:eastAsia="宋体" w:cs="Times New Roman"/>
      <w:lang w:val="en-US" w:eastAsia="en-US" w:bidi="ar-SA"/>
    </w:rPr>
  </w:style>
  <w:style w:type="paragraph" w:customStyle="1" w:styleId="261">
    <w:name w:val="pa-99"/>
    <w:basedOn w:val="1"/>
    <w:autoRedefine/>
    <w:qFormat/>
    <w:uiPriority w:val="99"/>
    <w:pPr>
      <w:widowControl/>
      <w:spacing w:line="300" w:lineRule="atLeast"/>
      <w:ind w:firstLine="520"/>
    </w:pPr>
    <w:rPr>
      <w:rFonts w:ascii="宋体" w:hAnsi="宋体" w:eastAsia="宋体" w:cs="宋体"/>
      <w:kern w:val="0"/>
      <w:sz w:val="24"/>
    </w:rPr>
  </w:style>
  <w:style w:type="paragraph" w:customStyle="1" w:styleId="262">
    <w:name w:val="样式 正文缩进正文（首行缩进两字）特点ALT+Z表正文正文非缩进四号段1Normal Indent Char2...2"/>
    <w:basedOn w:val="6"/>
    <w:autoRedefine/>
    <w:qFormat/>
    <w:uiPriority w:val="99"/>
    <w:pPr>
      <w:spacing w:before="360" w:after="120" w:line="360" w:lineRule="auto"/>
      <w:jc w:val="center"/>
    </w:pPr>
    <w:rPr>
      <w:rFonts w:ascii="宋体" w:hAnsi="宋体"/>
      <w:bCs w:val="0"/>
      <w:sz w:val="28"/>
      <w:szCs w:val="20"/>
    </w:rPr>
  </w:style>
  <w:style w:type="paragraph" w:customStyle="1" w:styleId="263">
    <w:name w:val="pa-141"/>
    <w:basedOn w:val="1"/>
    <w:autoRedefine/>
    <w:qFormat/>
    <w:uiPriority w:val="99"/>
    <w:pPr>
      <w:widowControl/>
      <w:spacing w:line="320" w:lineRule="atLeast"/>
      <w:jc w:val="right"/>
    </w:pPr>
    <w:rPr>
      <w:rFonts w:ascii="宋体" w:hAnsi="宋体" w:eastAsia="宋体" w:cs="宋体"/>
      <w:kern w:val="0"/>
      <w:sz w:val="24"/>
    </w:rPr>
  </w:style>
  <w:style w:type="paragraph" w:customStyle="1" w:styleId="264">
    <w:name w:val="pa-52"/>
    <w:basedOn w:val="1"/>
    <w:autoRedefine/>
    <w:qFormat/>
    <w:uiPriority w:val="99"/>
    <w:pPr>
      <w:widowControl/>
      <w:spacing w:line="276" w:lineRule="atLeast"/>
      <w:jc w:val="left"/>
    </w:pPr>
    <w:rPr>
      <w:rFonts w:ascii="宋体" w:hAnsi="宋体" w:eastAsia="宋体" w:cs="宋体"/>
      <w:kern w:val="0"/>
      <w:sz w:val="24"/>
    </w:rPr>
  </w:style>
  <w:style w:type="paragraph" w:customStyle="1" w:styleId="265">
    <w:name w:val="标题A"/>
    <w:basedOn w:val="4"/>
    <w:autoRedefine/>
    <w:qFormat/>
    <w:uiPriority w:val="99"/>
    <w:pPr>
      <w:keepLines/>
      <w:adjustRightInd w:val="0"/>
      <w:spacing w:before="100" w:beforeAutospacing="1" w:after="60"/>
    </w:pPr>
    <w:rPr>
      <w:rFonts w:ascii="Arial" w:hAnsi="Arial"/>
      <w:kern w:val="44"/>
      <w:sz w:val="28"/>
      <w:szCs w:val="44"/>
    </w:rPr>
  </w:style>
  <w:style w:type="paragraph" w:customStyle="1" w:styleId="266">
    <w:name w:val="Normal_19"/>
    <w:autoRedefine/>
    <w:qFormat/>
    <w:uiPriority w:val="99"/>
    <w:rPr>
      <w:rFonts w:ascii="黑体" w:hAnsi="黑体" w:eastAsia="黑体" w:cs="Times New Roman"/>
      <w:b/>
      <w:sz w:val="32"/>
      <w:szCs w:val="24"/>
      <w:lang w:val="en-US" w:eastAsia="zh-CN" w:bidi="ar-SA"/>
    </w:rPr>
  </w:style>
  <w:style w:type="paragraph" w:customStyle="1" w:styleId="267">
    <w:name w:val="纯文本_2"/>
    <w:basedOn w:val="1"/>
    <w:autoRedefine/>
    <w:qFormat/>
    <w:uiPriority w:val="99"/>
    <w:rPr>
      <w:rFonts w:ascii="宋体" w:hAnsi="Courier New" w:eastAsia="宋体" w:cs="Times New Roman"/>
      <w:szCs w:val="21"/>
    </w:rPr>
  </w:style>
  <w:style w:type="paragraph" w:customStyle="1" w:styleId="268">
    <w:name w:val="pa-80"/>
    <w:basedOn w:val="1"/>
    <w:autoRedefine/>
    <w:qFormat/>
    <w:uiPriority w:val="99"/>
    <w:pPr>
      <w:widowControl/>
      <w:spacing w:line="360" w:lineRule="atLeast"/>
    </w:pPr>
    <w:rPr>
      <w:rFonts w:ascii="宋体" w:hAnsi="宋体" w:eastAsia="宋体" w:cs="宋体"/>
      <w:kern w:val="0"/>
      <w:sz w:val="24"/>
    </w:rPr>
  </w:style>
  <w:style w:type="paragraph" w:customStyle="1" w:styleId="269">
    <w:name w:val="正文_9"/>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70">
    <w:name w:val="xl78"/>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71">
    <w:name w:val="ca-13"/>
    <w:basedOn w:val="1"/>
    <w:autoRedefine/>
    <w:qFormat/>
    <w:uiPriority w:val="99"/>
    <w:pPr>
      <w:widowControl/>
      <w:jc w:val="left"/>
    </w:pPr>
    <w:rPr>
      <w:rFonts w:ascii="宋体" w:hAnsi="宋体" w:eastAsia="宋体" w:cs="宋体"/>
      <w:color w:val="000000"/>
      <w:kern w:val="0"/>
      <w:sz w:val="32"/>
      <w:szCs w:val="32"/>
    </w:rPr>
  </w:style>
  <w:style w:type="paragraph" w:customStyle="1" w:styleId="272">
    <w:name w:val="正文_4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73">
    <w:name w:val="pa-20"/>
    <w:basedOn w:val="1"/>
    <w:autoRedefine/>
    <w:qFormat/>
    <w:uiPriority w:val="99"/>
    <w:pPr>
      <w:widowControl/>
      <w:spacing w:line="360" w:lineRule="atLeast"/>
      <w:jc w:val="left"/>
    </w:pPr>
    <w:rPr>
      <w:rFonts w:ascii="宋体" w:hAnsi="宋体" w:eastAsia="宋体" w:cs="宋体"/>
      <w:kern w:val="0"/>
      <w:sz w:val="24"/>
    </w:rPr>
  </w:style>
  <w:style w:type="paragraph" w:customStyle="1" w:styleId="274">
    <w:name w:val="Char_0"/>
    <w:basedOn w:val="1"/>
    <w:autoRedefine/>
    <w:qFormat/>
    <w:uiPriority w:val="99"/>
    <w:rPr>
      <w:rFonts w:ascii="Tahoma" w:hAnsi="Tahoma" w:eastAsia="宋体" w:cs="Times New Roman"/>
      <w:sz w:val="24"/>
      <w:szCs w:val="20"/>
    </w:rPr>
  </w:style>
  <w:style w:type="paragraph" w:customStyle="1" w:styleId="275">
    <w:name w:val="td-11"/>
    <w:basedOn w:val="1"/>
    <w:autoRedefine/>
    <w:qFormat/>
    <w:uiPriority w:val="99"/>
    <w:pPr>
      <w:widowControl/>
      <w:pBdr>
        <w:top w:val="single" w:color="000000" w:sz="4" w:space="0"/>
        <w:left w:val="single" w:color="000000" w:sz="4" w:space="4"/>
        <w:bottom w:val="single" w:color="000000" w:sz="12" w:space="0"/>
        <w:right w:val="single" w:color="000000" w:sz="12" w:space="0"/>
      </w:pBdr>
      <w:jc w:val="left"/>
    </w:pPr>
    <w:rPr>
      <w:rFonts w:ascii="宋体" w:hAnsi="宋体" w:eastAsia="宋体" w:cs="宋体"/>
      <w:kern w:val="0"/>
      <w:sz w:val="24"/>
    </w:rPr>
  </w:style>
  <w:style w:type="paragraph" w:customStyle="1" w:styleId="276">
    <w:name w:val="pa-100"/>
    <w:basedOn w:val="1"/>
    <w:autoRedefine/>
    <w:qFormat/>
    <w:uiPriority w:val="99"/>
    <w:pPr>
      <w:widowControl/>
      <w:spacing w:line="300" w:lineRule="atLeast"/>
    </w:pPr>
    <w:rPr>
      <w:rFonts w:ascii="宋体" w:hAnsi="宋体" w:eastAsia="宋体" w:cs="宋体"/>
      <w:kern w:val="0"/>
      <w:sz w:val="24"/>
    </w:rPr>
  </w:style>
  <w:style w:type="paragraph" w:customStyle="1" w:styleId="277">
    <w:name w:val="ca-49"/>
    <w:basedOn w:val="1"/>
    <w:autoRedefine/>
    <w:qFormat/>
    <w:uiPriority w:val="99"/>
    <w:pPr>
      <w:widowControl/>
      <w:jc w:val="left"/>
    </w:pPr>
    <w:rPr>
      <w:rFonts w:ascii="宋体" w:hAnsi="宋体" w:eastAsia="宋体" w:cs="宋体"/>
      <w:kern w:val="0"/>
      <w:sz w:val="32"/>
      <w:szCs w:val="32"/>
    </w:rPr>
  </w:style>
  <w:style w:type="character" w:customStyle="1" w:styleId="278">
    <w:name w:val="Blockquote Char"/>
    <w:link w:val="279"/>
    <w:autoRedefine/>
    <w:qFormat/>
    <w:locked/>
    <w:uiPriority w:val="0"/>
    <w:rPr>
      <w:rFonts w:ascii="Calibri" w:hAnsi="Calibri" w:cs="Calibri"/>
      <w:sz w:val="24"/>
    </w:rPr>
  </w:style>
  <w:style w:type="paragraph" w:customStyle="1" w:styleId="279">
    <w:name w:val="Blockquote"/>
    <w:basedOn w:val="1"/>
    <w:link w:val="278"/>
    <w:autoRedefine/>
    <w:qFormat/>
    <w:uiPriority w:val="0"/>
    <w:pPr>
      <w:autoSpaceDE w:val="0"/>
      <w:autoSpaceDN w:val="0"/>
      <w:adjustRightInd w:val="0"/>
      <w:spacing w:before="100" w:after="100"/>
      <w:ind w:left="360" w:right="360"/>
      <w:jc w:val="left"/>
    </w:pPr>
    <w:rPr>
      <w:rFonts w:ascii="Calibri" w:hAnsi="Calibri" w:cs="Calibri"/>
      <w:sz w:val="24"/>
    </w:rPr>
  </w:style>
  <w:style w:type="paragraph" w:customStyle="1" w:styleId="280">
    <w:name w:val="xl29"/>
    <w:basedOn w:val="1"/>
    <w:autoRedefine/>
    <w:qFormat/>
    <w:uiPriority w:val="99"/>
    <w:pPr>
      <w:widowControl/>
      <w:pBdr>
        <w:bottom w:val="single" w:color="auto" w:sz="4" w:space="0"/>
        <w:right w:val="single" w:color="auto" w:sz="4" w:space="0"/>
      </w:pBdr>
      <w:adjustRightInd w:val="0"/>
      <w:spacing w:before="100" w:beforeAutospacing="1" w:after="100" w:afterAutospacing="1" w:line="312" w:lineRule="atLeast"/>
    </w:pPr>
    <w:rPr>
      <w:rFonts w:ascii="宋体" w:hAnsi="宋体" w:eastAsia="宋体" w:cs="Times New Roman"/>
      <w:kern w:val="0"/>
      <w:sz w:val="24"/>
      <w:szCs w:val="20"/>
    </w:rPr>
  </w:style>
  <w:style w:type="paragraph" w:customStyle="1" w:styleId="281">
    <w:name w:val="自由格式"/>
    <w:autoRedefine/>
    <w:qFormat/>
    <w:uiPriority w:val="99"/>
    <w:rPr>
      <w:rFonts w:ascii="Times New Roman" w:hAnsi="Times New Roman" w:eastAsia="ヒラギノ角ゴ Pro W3" w:cs="Times New Roman"/>
      <w:color w:val="000000"/>
      <w:lang w:val="en-US" w:eastAsia="zh-CN" w:bidi="ar-SA"/>
    </w:rPr>
  </w:style>
  <w:style w:type="paragraph" w:customStyle="1" w:styleId="282">
    <w:name w:val="Normal_15"/>
    <w:autoRedefine/>
    <w:qFormat/>
    <w:uiPriority w:val="99"/>
    <w:rPr>
      <w:rFonts w:ascii="黑体" w:hAnsi="黑体" w:eastAsia="黑体" w:cs="Times New Roman"/>
      <w:b/>
      <w:sz w:val="32"/>
      <w:szCs w:val="24"/>
      <w:lang w:val="en-US" w:eastAsia="zh-CN" w:bidi="ar-SA"/>
    </w:rPr>
  </w:style>
  <w:style w:type="paragraph" w:customStyle="1" w:styleId="283">
    <w:name w:val="ca-45"/>
    <w:basedOn w:val="1"/>
    <w:autoRedefine/>
    <w:qFormat/>
    <w:uiPriority w:val="99"/>
    <w:pPr>
      <w:widowControl/>
      <w:jc w:val="left"/>
    </w:pPr>
    <w:rPr>
      <w:rFonts w:ascii="宋体" w:hAnsi="宋体" w:eastAsia="宋体" w:cs="宋体"/>
      <w:color w:val="000000"/>
      <w:kern w:val="0"/>
      <w:sz w:val="72"/>
      <w:szCs w:val="72"/>
    </w:rPr>
  </w:style>
  <w:style w:type="paragraph" w:customStyle="1" w:styleId="284">
    <w:name w:val="pa-27"/>
    <w:basedOn w:val="1"/>
    <w:autoRedefine/>
    <w:qFormat/>
    <w:uiPriority w:val="99"/>
    <w:pPr>
      <w:widowControl/>
      <w:spacing w:line="276" w:lineRule="atLeast"/>
      <w:ind w:firstLine="300"/>
    </w:pPr>
    <w:rPr>
      <w:rFonts w:ascii="宋体" w:hAnsi="宋体" w:eastAsia="宋体" w:cs="宋体"/>
      <w:kern w:val="0"/>
      <w:sz w:val="24"/>
    </w:rPr>
  </w:style>
  <w:style w:type="paragraph" w:customStyle="1" w:styleId="285">
    <w:name w:val="pa-40"/>
    <w:basedOn w:val="1"/>
    <w:autoRedefine/>
    <w:qFormat/>
    <w:uiPriority w:val="99"/>
    <w:pPr>
      <w:widowControl/>
      <w:spacing w:line="280" w:lineRule="atLeast"/>
    </w:pPr>
    <w:rPr>
      <w:rFonts w:ascii="宋体" w:hAnsi="宋体" w:eastAsia="宋体" w:cs="宋体"/>
      <w:kern w:val="0"/>
      <w:sz w:val="24"/>
    </w:rPr>
  </w:style>
  <w:style w:type="paragraph" w:customStyle="1" w:styleId="286">
    <w:name w:val="cjk"/>
    <w:basedOn w:val="1"/>
    <w:autoRedefine/>
    <w:qFormat/>
    <w:uiPriority w:val="99"/>
    <w:pPr>
      <w:widowControl/>
      <w:spacing w:line="480" w:lineRule="auto"/>
      <w:jc w:val="left"/>
    </w:pPr>
    <w:rPr>
      <w:rFonts w:ascii="宋体" w:hAnsi="宋体" w:eastAsia="宋体" w:cs="宋体"/>
      <w:kern w:val="0"/>
      <w:sz w:val="24"/>
    </w:rPr>
  </w:style>
  <w:style w:type="paragraph" w:customStyle="1" w:styleId="287">
    <w:name w:val="pa-2"/>
    <w:basedOn w:val="1"/>
    <w:autoRedefine/>
    <w:qFormat/>
    <w:uiPriority w:val="99"/>
    <w:pPr>
      <w:widowControl/>
      <w:spacing w:line="400" w:lineRule="atLeast"/>
      <w:jc w:val="center"/>
    </w:pPr>
    <w:rPr>
      <w:rFonts w:ascii="宋体" w:hAnsi="宋体" w:eastAsia="宋体" w:cs="宋体"/>
      <w:kern w:val="0"/>
      <w:sz w:val="24"/>
    </w:rPr>
  </w:style>
  <w:style w:type="paragraph" w:customStyle="1" w:styleId="288">
    <w:name w:val="pa-109"/>
    <w:basedOn w:val="1"/>
    <w:autoRedefine/>
    <w:qFormat/>
    <w:uiPriority w:val="99"/>
    <w:pPr>
      <w:widowControl/>
      <w:spacing w:line="280" w:lineRule="atLeast"/>
    </w:pPr>
    <w:rPr>
      <w:rFonts w:ascii="宋体" w:hAnsi="宋体" w:eastAsia="宋体" w:cs="宋体"/>
      <w:kern w:val="0"/>
      <w:sz w:val="24"/>
    </w:rPr>
  </w:style>
  <w:style w:type="paragraph" w:customStyle="1" w:styleId="289">
    <w:name w:val="pa-108"/>
    <w:basedOn w:val="1"/>
    <w:autoRedefine/>
    <w:qFormat/>
    <w:uiPriority w:val="99"/>
    <w:pPr>
      <w:widowControl/>
      <w:spacing w:line="280" w:lineRule="atLeast"/>
      <w:jc w:val="center"/>
    </w:pPr>
    <w:rPr>
      <w:rFonts w:ascii="宋体" w:hAnsi="宋体" w:eastAsia="宋体" w:cs="宋体"/>
      <w:kern w:val="0"/>
      <w:sz w:val="24"/>
    </w:rPr>
  </w:style>
  <w:style w:type="paragraph" w:customStyle="1" w:styleId="290">
    <w:name w:val="pa-104"/>
    <w:basedOn w:val="1"/>
    <w:autoRedefine/>
    <w:qFormat/>
    <w:uiPriority w:val="99"/>
    <w:pPr>
      <w:widowControl/>
      <w:spacing w:line="280" w:lineRule="atLeast"/>
      <w:ind w:firstLine="500"/>
      <w:jc w:val="left"/>
    </w:pPr>
    <w:rPr>
      <w:rFonts w:ascii="宋体" w:hAnsi="宋体" w:eastAsia="宋体" w:cs="宋体"/>
      <w:kern w:val="0"/>
      <w:sz w:val="24"/>
    </w:rPr>
  </w:style>
  <w:style w:type="paragraph" w:customStyle="1" w:styleId="291">
    <w:name w:val="标题 1_0"/>
    <w:next w:val="176"/>
    <w:autoRedefine/>
    <w:qFormat/>
    <w:uiPriority w:val="99"/>
    <w:pPr>
      <w:keepNext/>
      <w:keepLines/>
      <w:widowControl w:val="0"/>
      <w:spacing w:line="360" w:lineRule="auto"/>
      <w:jc w:val="both"/>
      <w:outlineLvl w:val="1"/>
    </w:pPr>
    <w:rPr>
      <w:rFonts w:ascii="Calibri Bold" w:hAnsi="Calibri Bold" w:eastAsia="ヒラギノ角ゴ Pro W3" w:cs="Times New Roman"/>
      <w:color w:val="000000"/>
      <w:kern w:val="44"/>
      <w:sz w:val="32"/>
      <w:lang w:val="en-US" w:eastAsia="zh-CN" w:bidi="ar-SA"/>
    </w:rPr>
  </w:style>
  <w:style w:type="paragraph" w:customStyle="1" w:styleId="292">
    <w:name w:val="BJ-01-T"/>
    <w:autoRedefine/>
    <w:qFormat/>
    <w:uiPriority w:val="99"/>
    <w:pPr>
      <w:spacing w:before="120" w:line="360" w:lineRule="auto"/>
      <w:ind w:left="1418"/>
      <w:jc w:val="both"/>
    </w:pPr>
    <w:rPr>
      <w:rFonts w:ascii="Arial" w:hAnsi="Arial" w:eastAsia="宋体" w:cs="Times New Roman"/>
      <w:sz w:val="24"/>
      <w:lang w:val="en-GB" w:eastAsia="de-DE" w:bidi="ar-SA"/>
    </w:rPr>
  </w:style>
  <w:style w:type="paragraph" w:customStyle="1" w:styleId="293">
    <w:name w:val="pa-37"/>
    <w:basedOn w:val="1"/>
    <w:autoRedefine/>
    <w:qFormat/>
    <w:uiPriority w:val="99"/>
    <w:pPr>
      <w:widowControl/>
      <w:spacing w:line="360" w:lineRule="atLeast"/>
      <w:ind w:firstLine="300"/>
    </w:pPr>
    <w:rPr>
      <w:rFonts w:ascii="宋体" w:hAnsi="宋体" w:eastAsia="宋体" w:cs="宋体"/>
      <w:kern w:val="0"/>
      <w:sz w:val="24"/>
    </w:rPr>
  </w:style>
  <w:style w:type="paragraph" w:customStyle="1" w:styleId="294">
    <w:name w:val="ca-42"/>
    <w:basedOn w:val="1"/>
    <w:autoRedefine/>
    <w:qFormat/>
    <w:uiPriority w:val="99"/>
    <w:pPr>
      <w:widowControl/>
      <w:jc w:val="left"/>
    </w:pPr>
    <w:rPr>
      <w:rFonts w:ascii="宋体" w:hAnsi="宋体" w:eastAsia="宋体" w:cs="宋体"/>
      <w:color w:val="000000"/>
      <w:kern w:val="0"/>
      <w:sz w:val="36"/>
      <w:szCs w:val="36"/>
    </w:rPr>
  </w:style>
  <w:style w:type="paragraph" w:customStyle="1" w:styleId="295">
    <w:name w:val="xl27"/>
    <w:basedOn w:val="1"/>
    <w:autoRedefine/>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296">
    <w:name w:val="Char Char1 Char_0"/>
    <w:basedOn w:val="1"/>
    <w:autoRedefine/>
    <w:qFormat/>
    <w:uiPriority w:val="99"/>
    <w:rPr>
      <w:rFonts w:ascii="Calibri" w:hAnsi="Calibri" w:eastAsia="宋体" w:cs="Times New Roman"/>
    </w:rPr>
  </w:style>
  <w:style w:type="paragraph" w:customStyle="1" w:styleId="297">
    <w:name w:val="pa-32"/>
    <w:basedOn w:val="1"/>
    <w:autoRedefine/>
    <w:qFormat/>
    <w:uiPriority w:val="99"/>
    <w:pPr>
      <w:widowControl/>
      <w:spacing w:line="360" w:lineRule="atLeast"/>
      <w:ind w:firstLine="520"/>
    </w:pPr>
    <w:rPr>
      <w:rFonts w:ascii="宋体" w:hAnsi="宋体" w:eastAsia="宋体" w:cs="宋体"/>
      <w:kern w:val="0"/>
      <w:sz w:val="24"/>
    </w:rPr>
  </w:style>
  <w:style w:type="paragraph" w:customStyle="1" w:styleId="298">
    <w:name w:val="td-4"/>
    <w:basedOn w:val="1"/>
    <w:autoRedefine/>
    <w:qFormat/>
    <w:uiPriority w:val="99"/>
    <w:pPr>
      <w:widowControl/>
      <w:pBdr>
        <w:top w:val="single" w:color="000000" w:sz="12" w:space="0"/>
        <w:left w:val="single" w:color="000000" w:sz="12" w:space="4"/>
        <w:bottom w:val="single" w:color="000000" w:sz="4" w:space="0"/>
        <w:right w:val="single" w:color="000000" w:sz="4" w:space="0"/>
      </w:pBdr>
      <w:jc w:val="left"/>
    </w:pPr>
    <w:rPr>
      <w:rFonts w:ascii="宋体" w:hAnsi="宋体" w:eastAsia="宋体" w:cs="宋体"/>
      <w:kern w:val="0"/>
      <w:sz w:val="24"/>
    </w:rPr>
  </w:style>
  <w:style w:type="paragraph" w:customStyle="1" w:styleId="299">
    <w:name w:val="pa-86"/>
    <w:basedOn w:val="1"/>
    <w:autoRedefine/>
    <w:qFormat/>
    <w:uiPriority w:val="99"/>
    <w:pPr>
      <w:widowControl/>
      <w:spacing w:line="320" w:lineRule="atLeast"/>
      <w:ind w:firstLine="560"/>
    </w:pPr>
    <w:rPr>
      <w:rFonts w:ascii="宋体" w:hAnsi="宋体" w:eastAsia="宋体" w:cs="宋体"/>
      <w:kern w:val="0"/>
      <w:sz w:val="24"/>
    </w:rPr>
  </w:style>
  <w:style w:type="paragraph" w:customStyle="1" w:styleId="300">
    <w:name w:val="ca-44"/>
    <w:basedOn w:val="1"/>
    <w:autoRedefine/>
    <w:qFormat/>
    <w:uiPriority w:val="99"/>
    <w:pPr>
      <w:widowControl/>
      <w:jc w:val="left"/>
    </w:pPr>
    <w:rPr>
      <w:rFonts w:ascii="宋体" w:hAnsi="宋体" w:eastAsia="宋体" w:cs="宋体"/>
      <w:color w:val="000000"/>
      <w:kern w:val="0"/>
      <w:sz w:val="52"/>
      <w:szCs w:val="52"/>
    </w:rPr>
  </w:style>
  <w:style w:type="paragraph" w:customStyle="1" w:styleId="301">
    <w:name w:val="段"/>
    <w:next w:val="1"/>
    <w:autoRedefine/>
    <w:qFormat/>
    <w:uiPriority w:val="99"/>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paragraph" w:customStyle="1" w:styleId="302">
    <w:name w:val="样式 标题 3h33rd level3l3CTLevel 3 Topic Headingsect1.2.3Hea..."/>
    <w:basedOn w:val="6"/>
    <w:autoRedefine/>
    <w:qFormat/>
    <w:uiPriority w:val="99"/>
    <w:pPr>
      <w:adjustRightInd w:val="0"/>
      <w:spacing w:before="0" w:beforeLines="50" w:after="0" w:afterLines="50" w:line="240" w:lineRule="atLeast"/>
      <w:ind w:left="180"/>
      <w:jc w:val="left"/>
    </w:pPr>
    <w:rPr>
      <w:rFonts w:ascii="宋体" w:hAnsi="宋体" w:cs="宋体"/>
      <w:sz w:val="24"/>
      <w:szCs w:val="20"/>
    </w:rPr>
  </w:style>
  <w:style w:type="paragraph" w:customStyle="1" w:styleId="303">
    <w:name w:val="ca-35"/>
    <w:basedOn w:val="1"/>
    <w:autoRedefine/>
    <w:qFormat/>
    <w:uiPriority w:val="99"/>
    <w:pPr>
      <w:widowControl/>
      <w:jc w:val="left"/>
    </w:pPr>
    <w:rPr>
      <w:rFonts w:ascii="Calibri" w:hAnsi="Calibri" w:eastAsia="宋体" w:cs="Times New Roman"/>
      <w:kern w:val="0"/>
      <w:sz w:val="10"/>
      <w:szCs w:val="10"/>
    </w:rPr>
  </w:style>
  <w:style w:type="paragraph" w:customStyle="1" w:styleId="304">
    <w:name w:val="pa-9"/>
    <w:basedOn w:val="1"/>
    <w:autoRedefine/>
    <w:qFormat/>
    <w:uiPriority w:val="99"/>
    <w:pPr>
      <w:widowControl/>
      <w:spacing w:line="360" w:lineRule="atLeast"/>
      <w:ind w:firstLine="900"/>
    </w:pPr>
    <w:rPr>
      <w:rFonts w:ascii="宋体" w:hAnsi="宋体" w:eastAsia="宋体" w:cs="宋体"/>
      <w:kern w:val="0"/>
      <w:sz w:val="24"/>
    </w:rPr>
  </w:style>
  <w:style w:type="paragraph" w:customStyle="1" w:styleId="305">
    <w:name w:val="xl37"/>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306">
    <w:name w:val="pa-28"/>
    <w:basedOn w:val="1"/>
    <w:autoRedefine/>
    <w:qFormat/>
    <w:uiPriority w:val="99"/>
    <w:pPr>
      <w:widowControl/>
      <w:spacing w:line="360" w:lineRule="atLeast"/>
      <w:ind w:firstLine="420"/>
      <w:jc w:val="left"/>
    </w:pPr>
    <w:rPr>
      <w:rFonts w:ascii="宋体" w:hAnsi="宋体" w:eastAsia="宋体" w:cs="宋体"/>
      <w:kern w:val="0"/>
      <w:sz w:val="24"/>
    </w:rPr>
  </w:style>
  <w:style w:type="paragraph" w:customStyle="1" w:styleId="307">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08">
    <w:name w:val="ca-43"/>
    <w:basedOn w:val="1"/>
    <w:autoRedefine/>
    <w:qFormat/>
    <w:uiPriority w:val="99"/>
    <w:pPr>
      <w:widowControl/>
      <w:jc w:val="left"/>
    </w:pPr>
    <w:rPr>
      <w:rFonts w:ascii="宋体" w:hAnsi="宋体" w:eastAsia="宋体" w:cs="宋体"/>
      <w:color w:val="000000"/>
      <w:kern w:val="0"/>
      <w:sz w:val="44"/>
      <w:szCs w:val="44"/>
    </w:rPr>
  </w:style>
  <w:style w:type="paragraph" w:customStyle="1" w:styleId="309">
    <w:name w:val="正文_6"/>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10">
    <w:name w:val="pa-71"/>
    <w:basedOn w:val="1"/>
    <w:autoRedefine/>
    <w:qFormat/>
    <w:uiPriority w:val="99"/>
    <w:pPr>
      <w:widowControl/>
      <w:spacing w:line="240" w:lineRule="atLeast"/>
      <w:ind w:firstLine="320"/>
    </w:pPr>
    <w:rPr>
      <w:rFonts w:ascii="宋体" w:hAnsi="宋体" w:eastAsia="宋体" w:cs="宋体"/>
      <w:kern w:val="0"/>
      <w:sz w:val="24"/>
    </w:rPr>
  </w:style>
  <w:style w:type="paragraph" w:customStyle="1" w:styleId="311">
    <w:name w:val="正文_2_0"/>
    <w:autoRedefine/>
    <w:qFormat/>
    <w:uiPriority w:val="99"/>
    <w:pPr>
      <w:widowControl w:val="0"/>
      <w:jc w:val="both"/>
    </w:pPr>
    <w:rPr>
      <w:rFonts w:ascii="Calibri" w:hAnsi="Calibri" w:eastAsia="ヒラギノ角ゴ Pro W3" w:cs="Times New Roman"/>
      <w:color w:val="000000"/>
      <w:kern w:val="2"/>
      <w:sz w:val="21"/>
      <w:lang w:val="en-US" w:eastAsia="zh-CN" w:bidi="ar-SA"/>
    </w:rPr>
  </w:style>
  <w:style w:type="paragraph" w:customStyle="1" w:styleId="312">
    <w:name w:val="ca-27"/>
    <w:basedOn w:val="1"/>
    <w:autoRedefine/>
    <w:qFormat/>
    <w:uiPriority w:val="99"/>
    <w:pPr>
      <w:widowControl/>
      <w:jc w:val="left"/>
    </w:pPr>
    <w:rPr>
      <w:rFonts w:ascii="宋体" w:hAnsi="宋体" w:eastAsia="宋体" w:cs="宋体"/>
      <w:b/>
      <w:bCs/>
      <w:color w:val="002060"/>
      <w:spacing w:val="-20"/>
      <w:kern w:val="0"/>
      <w:szCs w:val="21"/>
    </w:rPr>
  </w:style>
  <w:style w:type="paragraph" w:customStyle="1" w:styleId="313">
    <w:name w:val="样式 样式 样式1 + 首行缩进:  2 字符 + 首行缩进:  2 字符1"/>
    <w:basedOn w:val="1"/>
    <w:autoRedefine/>
    <w:qFormat/>
    <w:uiPriority w:val="99"/>
    <w:pPr>
      <w:spacing w:line="360" w:lineRule="exact"/>
      <w:ind w:firstLine="480" w:firstLineChars="200"/>
    </w:pPr>
    <w:rPr>
      <w:rFonts w:ascii="Arial" w:hAnsi="Arial" w:eastAsia="宋体" w:cs="Times New Roman"/>
      <w:szCs w:val="20"/>
    </w:rPr>
  </w:style>
  <w:style w:type="paragraph" w:customStyle="1" w:styleId="314">
    <w:name w:val="pa-26"/>
    <w:basedOn w:val="1"/>
    <w:autoRedefine/>
    <w:qFormat/>
    <w:uiPriority w:val="99"/>
    <w:pPr>
      <w:widowControl/>
      <w:spacing w:line="276" w:lineRule="atLeast"/>
      <w:ind w:firstLine="720"/>
    </w:pPr>
    <w:rPr>
      <w:rFonts w:ascii="宋体" w:hAnsi="宋体" w:eastAsia="宋体" w:cs="宋体"/>
      <w:kern w:val="0"/>
      <w:sz w:val="24"/>
    </w:rPr>
  </w:style>
  <w:style w:type="paragraph" w:customStyle="1" w:styleId="315">
    <w:name w:val="样式 标题 1 + 宋体 居中 段前: 48 磅 段后: 12 磅 行距: 1.5 倍行距"/>
    <w:basedOn w:val="4"/>
    <w:autoRedefine/>
    <w:qFormat/>
    <w:uiPriority w:val="99"/>
    <w:pPr>
      <w:keepLines/>
      <w:spacing w:before="1560" w:after="240" w:line="360" w:lineRule="auto"/>
    </w:pPr>
    <w:rPr>
      <w:rFonts w:ascii="宋体" w:hAnsi="宋体"/>
      <w:b w:val="0"/>
      <w:bCs w:val="0"/>
      <w:sz w:val="36"/>
      <w:szCs w:val="20"/>
    </w:rPr>
  </w:style>
  <w:style w:type="paragraph" w:customStyle="1" w:styleId="316">
    <w:name w:val="ca-24"/>
    <w:basedOn w:val="1"/>
    <w:autoRedefine/>
    <w:qFormat/>
    <w:uiPriority w:val="99"/>
    <w:pPr>
      <w:widowControl/>
      <w:jc w:val="left"/>
    </w:pPr>
    <w:rPr>
      <w:rFonts w:ascii="宋体" w:hAnsi="宋体" w:eastAsia="宋体" w:cs="宋体"/>
      <w:kern w:val="0"/>
      <w:sz w:val="24"/>
    </w:rPr>
  </w:style>
  <w:style w:type="paragraph" w:customStyle="1" w:styleId="317">
    <w:name w:val="pa-88"/>
    <w:basedOn w:val="1"/>
    <w:autoRedefine/>
    <w:qFormat/>
    <w:uiPriority w:val="99"/>
    <w:pPr>
      <w:widowControl/>
      <w:spacing w:line="320" w:lineRule="atLeast"/>
      <w:ind w:firstLine="480"/>
    </w:pPr>
    <w:rPr>
      <w:rFonts w:ascii="宋体" w:hAnsi="宋体" w:eastAsia="宋体" w:cs="宋体"/>
      <w:kern w:val="0"/>
      <w:sz w:val="24"/>
    </w:rPr>
  </w:style>
  <w:style w:type="paragraph" w:customStyle="1" w:styleId="318">
    <w:name w:val="xl43"/>
    <w:basedOn w:val="1"/>
    <w:autoRedefine/>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19">
    <w:name w:val="pa-128"/>
    <w:basedOn w:val="1"/>
    <w:autoRedefine/>
    <w:qFormat/>
    <w:uiPriority w:val="99"/>
    <w:pPr>
      <w:widowControl/>
      <w:spacing w:line="360" w:lineRule="atLeast"/>
      <w:jc w:val="center"/>
    </w:pPr>
    <w:rPr>
      <w:rFonts w:ascii="宋体" w:hAnsi="宋体" w:eastAsia="宋体" w:cs="宋体"/>
      <w:kern w:val="0"/>
      <w:sz w:val="24"/>
    </w:rPr>
  </w:style>
  <w:style w:type="paragraph" w:customStyle="1" w:styleId="320">
    <w:name w:val="pa-35"/>
    <w:basedOn w:val="1"/>
    <w:autoRedefine/>
    <w:qFormat/>
    <w:uiPriority w:val="99"/>
    <w:pPr>
      <w:widowControl/>
      <w:spacing w:line="360" w:lineRule="atLeast"/>
      <w:jc w:val="left"/>
    </w:pPr>
    <w:rPr>
      <w:rFonts w:ascii="宋体" w:hAnsi="宋体" w:eastAsia="宋体" w:cs="宋体"/>
      <w:kern w:val="0"/>
      <w:sz w:val="24"/>
    </w:rPr>
  </w:style>
  <w:style w:type="paragraph" w:customStyle="1" w:styleId="321">
    <w:name w:val="ca-9"/>
    <w:basedOn w:val="1"/>
    <w:autoRedefine/>
    <w:qFormat/>
    <w:uiPriority w:val="99"/>
    <w:pPr>
      <w:widowControl/>
      <w:jc w:val="left"/>
    </w:pPr>
    <w:rPr>
      <w:rFonts w:ascii="楷体_GB2312" w:hAnsi="宋体" w:eastAsia="楷体_GB2312" w:cs="宋体"/>
      <w:color w:val="000000"/>
      <w:spacing w:val="20"/>
      <w:kern w:val="0"/>
      <w:sz w:val="96"/>
      <w:szCs w:val="96"/>
    </w:rPr>
  </w:style>
  <w:style w:type="paragraph" w:customStyle="1" w:styleId="322">
    <w:name w:val="pa-118"/>
    <w:basedOn w:val="1"/>
    <w:autoRedefine/>
    <w:qFormat/>
    <w:uiPriority w:val="99"/>
    <w:pPr>
      <w:widowControl/>
      <w:spacing w:line="480" w:lineRule="atLeast"/>
      <w:ind w:firstLine="1440"/>
    </w:pPr>
    <w:rPr>
      <w:rFonts w:ascii="宋体" w:hAnsi="宋体" w:eastAsia="宋体" w:cs="宋体"/>
      <w:kern w:val="0"/>
      <w:sz w:val="24"/>
    </w:rPr>
  </w:style>
  <w:style w:type="paragraph" w:customStyle="1" w:styleId="323">
    <w:name w:val="pa-58"/>
    <w:basedOn w:val="1"/>
    <w:autoRedefine/>
    <w:qFormat/>
    <w:uiPriority w:val="99"/>
    <w:pPr>
      <w:widowControl/>
      <w:spacing w:line="300" w:lineRule="atLeast"/>
      <w:ind w:firstLine="300"/>
    </w:pPr>
    <w:rPr>
      <w:rFonts w:ascii="宋体" w:hAnsi="宋体" w:eastAsia="宋体" w:cs="宋体"/>
      <w:kern w:val="0"/>
      <w:sz w:val="24"/>
    </w:rPr>
  </w:style>
  <w:style w:type="paragraph" w:customStyle="1" w:styleId="324">
    <w:name w:val="pa-33"/>
    <w:basedOn w:val="1"/>
    <w:autoRedefine/>
    <w:qFormat/>
    <w:uiPriority w:val="99"/>
    <w:pPr>
      <w:widowControl/>
      <w:spacing w:line="360" w:lineRule="atLeast"/>
      <w:ind w:firstLine="440"/>
    </w:pPr>
    <w:rPr>
      <w:rFonts w:ascii="宋体" w:hAnsi="宋体" w:eastAsia="宋体" w:cs="宋体"/>
      <w:kern w:val="0"/>
      <w:sz w:val="24"/>
    </w:rPr>
  </w:style>
  <w:style w:type="paragraph" w:customStyle="1" w:styleId="325">
    <w:name w:val="pa-101"/>
    <w:basedOn w:val="1"/>
    <w:autoRedefine/>
    <w:qFormat/>
    <w:uiPriority w:val="99"/>
    <w:pPr>
      <w:widowControl/>
      <w:spacing w:line="360" w:lineRule="atLeast"/>
      <w:jc w:val="center"/>
    </w:pPr>
    <w:rPr>
      <w:rFonts w:ascii="宋体" w:hAnsi="宋体" w:eastAsia="宋体" w:cs="宋体"/>
      <w:kern w:val="0"/>
      <w:sz w:val="24"/>
    </w:rPr>
  </w:style>
  <w:style w:type="paragraph" w:customStyle="1" w:styleId="326">
    <w:name w:val="目录"/>
    <w:basedOn w:val="1"/>
    <w:autoRedefine/>
    <w:qFormat/>
    <w:uiPriority w:val="99"/>
    <w:pPr>
      <w:widowControl/>
      <w:jc w:val="center"/>
    </w:pPr>
    <w:rPr>
      <w:rFonts w:ascii="宋体" w:hAnsi="Calibri" w:eastAsia="宋体" w:cs="Times New Roman"/>
      <w:b/>
      <w:kern w:val="0"/>
      <w:sz w:val="36"/>
      <w:szCs w:val="20"/>
    </w:rPr>
  </w:style>
  <w:style w:type="paragraph" w:customStyle="1" w:styleId="327">
    <w:name w:val="t1"/>
    <w:basedOn w:val="1"/>
    <w:autoRedefine/>
    <w:qFormat/>
    <w:uiPriority w:val="99"/>
    <w:pPr>
      <w:widowControl/>
      <w:spacing w:line="280" w:lineRule="atLeast"/>
      <w:jc w:val="left"/>
    </w:pPr>
    <w:rPr>
      <w:rFonts w:ascii="Calibri" w:hAnsi="Calibri" w:eastAsia="宋体" w:cs="Times New Roman"/>
      <w:kern w:val="0"/>
      <w:sz w:val="24"/>
      <w:szCs w:val="20"/>
      <w:lang w:val="de-DE" w:eastAsia="de-DE"/>
    </w:rPr>
  </w:style>
  <w:style w:type="paragraph" w:customStyle="1" w:styleId="328">
    <w:name w:val="正文_8"/>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29">
    <w:name w:val="xl44"/>
    <w:basedOn w:val="1"/>
    <w:autoRedefine/>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30">
    <w:name w:val="pa-73"/>
    <w:basedOn w:val="1"/>
    <w:autoRedefine/>
    <w:qFormat/>
    <w:uiPriority w:val="99"/>
    <w:pPr>
      <w:widowControl/>
      <w:spacing w:line="360" w:lineRule="atLeast"/>
      <w:ind w:firstLine="640"/>
    </w:pPr>
    <w:rPr>
      <w:rFonts w:ascii="宋体" w:hAnsi="宋体" w:eastAsia="宋体" w:cs="宋体"/>
      <w:kern w:val="0"/>
      <w:sz w:val="24"/>
    </w:rPr>
  </w:style>
  <w:style w:type="paragraph" w:customStyle="1" w:styleId="331">
    <w:name w:val="pa-36"/>
    <w:basedOn w:val="1"/>
    <w:autoRedefine/>
    <w:qFormat/>
    <w:uiPriority w:val="99"/>
    <w:pPr>
      <w:widowControl/>
      <w:spacing w:line="360" w:lineRule="atLeast"/>
      <w:ind w:firstLine="3100"/>
      <w:jc w:val="left"/>
    </w:pPr>
    <w:rPr>
      <w:rFonts w:ascii="宋体" w:hAnsi="宋体" w:eastAsia="宋体" w:cs="宋体"/>
      <w:kern w:val="0"/>
      <w:sz w:val="24"/>
    </w:rPr>
  </w:style>
  <w:style w:type="paragraph" w:customStyle="1" w:styleId="332">
    <w:name w:val="pa-4"/>
    <w:basedOn w:val="1"/>
    <w:autoRedefine/>
    <w:qFormat/>
    <w:uiPriority w:val="99"/>
    <w:pPr>
      <w:widowControl/>
      <w:spacing w:line="360" w:lineRule="atLeast"/>
      <w:jc w:val="center"/>
    </w:pPr>
    <w:rPr>
      <w:rFonts w:ascii="宋体" w:hAnsi="宋体" w:eastAsia="宋体" w:cs="宋体"/>
      <w:kern w:val="0"/>
      <w:sz w:val="24"/>
    </w:rPr>
  </w:style>
  <w:style w:type="paragraph" w:customStyle="1" w:styleId="333">
    <w:name w:val="pa-56"/>
    <w:basedOn w:val="1"/>
    <w:autoRedefine/>
    <w:qFormat/>
    <w:uiPriority w:val="99"/>
    <w:pPr>
      <w:widowControl/>
      <w:spacing w:line="300" w:lineRule="atLeast"/>
      <w:ind w:firstLine="420"/>
    </w:pPr>
    <w:rPr>
      <w:rFonts w:ascii="宋体" w:hAnsi="宋体" w:eastAsia="宋体" w:cs="宋体"/>
      <w:kern w:val="0"/>
      <w:sz w:val="24"/>
    </w:rPr>
  </w:style>
  <w:style w:type="paragraph" w:customStyle="1" w:styleId="334">
    <w:name w:val="pa-67"/>
    <w:basedOn w:val="1"/>
    <w:autoRedefine/>
    <w:qFormat/>
    <w:uiPriority w:val="99"/>
    <w:pPr>
      <w:widowControl/>
      <w:spacing w:line="240" w:lineRule="atLeast"/>
      <w:ind w:firstLine="420"/>
      <w:jc w:val="left"/>
    </w:pPr>
    <w:rPr>
      <w:rFonts w:ascii="宋体" w:hAnsi="宋体" w:eastAsia="宋体" w:cs="宋体"/>
      <w:kern w:val="0"/>
      <w:sz w:val="24"/>
    </w:rPr>
  </w:style>
  <w:style w:type="paragraph" w:customStyle="1" w:styleId="335">
    <w:name w:val="pa-66"/>
    <w:basedOn w:val="1"/>
    <w:autoRedefine/>
    <w:qFormat/>
    <w:uiPriority w:val="99"/>
    <w:pPr>
      <w:widowControl/>
      <w:spacing w:line="240" w:lineRule="atLeast"/>
      <w:ind w:firstLine="200"/>
    </w:pPr>
    <w:rPr>
      <w:rFonts w:ascii="宋体" w:hAnsi="宋体" w:eastAsia="宋体" w:cs="宋体"/>
      <w:kern w:val="0"/>
      <w:sz w:val="24"/>
    </w:rPr>
  </w:style>
  <w:style w:type="paragraph" w:customStyle="1" w:styleId="336">
    <w:name w:val="pa-44"/>
    <w:basedOn w:val="1"/>
    <w:autoRedefine/>
    <w:qFormat/>
    <w:uiPriority w:val="99"/>
    <w:pPr>
      <w:widowControl/>
      <w:spacing w:line="360" w:lineRule="atLeast"/>
      <w:ind w:firstLine="420"/>
      <w:jc w:val="left"/>
    </w:pPr>
    <w:rPr>
      <w:rFonts w:ascii="宋体" w:hAnsi="宋体" w:eastAsia="宋体" w:cs="宋体"/>
      <w:kern w:val="0"/>
      <w:sz w:val="24"/>
    </w:rPr>
  </w:style>
  <w:style w:type="paragraph" w:customStyle="1" w:styleId="337">
    <w:name w:val="目录文字"/>
    <w:basedOn w:val="1"/>
    <w:autoRedefine/>
    <w:qFormat/>
    <w:uiPriority w:val="99"/>
    <w:pPr>
      <w:widowControl/>
      <w:spacing w:line="480" w:lineRule="auto"/>
      <w:jc w:val="left"/>
    </w:pPr>
    <w:rPr>
      <w:rFonts w:ascii="宋体" w:hAnsi="宋体" w:eastAsia="宋体" w:cs="Times New Roman"/>
      <w:kern w:val="0"/>
      <w:sz w:val="24"/>
      <w:szCs w:val="20"/>
    </w:rPr>
  </w:style>
  <w:style w:type="paragraph" w:customStyle="1" w:styleId="338">
    <w:name w:val="ca-15"/>
    <w:basedOn w:val="1"/>
    <w:autoRedefine/>
    <w:qFormat/>
    <w:uiPriority w:val="99"/>
    <w:pPr>
      <w:widowControl/>
      <w:jc w:val="left"/>
    </w:pPr>
    <w:rPr>
      <w:rFonts w:ascii="宋体" w:hAnsi="宋体" w:eastAsia="宋体" w:cs="宋体"/>
      <w:caps/>
      <w:color w:val="000000"/>
      <w:kern w:val="0"/>
      <w:sz w:val="24"/>
    </w:rPr>
  </w:style>
  <w:style w:type="paragraph" w:customStyle="1" w:styleId="339">
    <w:name w:val="CPara---"/>
    <w:autoRedefine/>
    <w:qFormat/>
    <w:uiPriority w:val="99"/>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1728"/>
    </w:pPr>
    <w:rPr>
      <w:rFonts w:ascii="Arial" w:hAnsi="Arial" w:eastAsia="宋体" w:cs="Times New Roman"/>
      <w:lang w:val="en-US" w:eastAsia="en-US" w:bidi="ar-SA"/>
    </w:rPr>
  </w:style>
  <w:style w:type="paragraph" w:customStyle="1" w:styleId="340">
    <w:name w:val="pa-122"/>
    <w:basedOn w:val="1"/>
    <w:autoRedefine/>
    <w:qFormat/>
    <w:uiPriority w:val="99"/>
    <w:pPr>
      <w:widowControl/>
      <w:spacing w:line="360" w:lineRule="atLeast"/>
      <w:jc w:val="center"/>
    </w:pPr>
    <w:rPr>
      <w:rFonts w:ascii="宋体" w:hAnsi="宋体" w:eastAsia="宋体" w:cs="宋体"/>
      <w:kern w:val="0"/>
      <w:sz w:val="24"/>
    </w:rPr>
  </w:style>
  <w:style w:type="paragraph" w:customStyle="1" w:styleId="341">
    <w:name w:val="pa-111"/>
    <w:basedOn w:val="1"/>
    <w:autoRedefine/>
    <w:qFormat/>
    <w:uiPriority w:val="99"/>
    <w:pPr>
      <w:widowControl/>
      <w:spacing w:line="280" w:lineRule="atLeast"/>
      <w:ind w:firstLine="480"/>
    </w:pPr>
    <w:rPr>
      <w:rFonts w:ascii="宋体" w:hAnsi="宋体" w:eastAsia="宋体" w:cs="宋体"/>
      <w:kern w:val="0"/>
      <w:sz w:val="24"/>
    </w:rPr>
  </w:style>
  <w:style w:type="paragraph" w:customStyle="1" w:styleId="342">
    <w:name w:val="默认段落字体 Para Char Char Char Char Char Char Char Char Char1 Char Char Char Char"/>
    <w:basedOn w:val="1"/>
    <w:autoRedefine/>
    <w:qFormat/>
    <w:uiPriority w:val="99"/>
    <w:rPr>
      <w:rFonts w:ascii="Tahoma" w:hAnsi="Tahoma" w:eastAsia="宋体" w:cs="Times New Roman"/>
      <w:sz w:val="24"/>
      <w:szCs w:val="20"/>
    </w:rPr>
  </w:style>
  <w:style w:type="paragraph" w:customStyle="1" w:styleId="343">
    <w:name w:val="td-10"/>
    <w:basedOn w:val="1"/>
    <w:autoRedefine/>
    <w:qFormat/>
    <w:uiPriority w:val="99"/>
    <w:pPr>
      <w:widowControl/>
      <w:pBdr>
        <w:top w:val="single" w:color="000000" w:sz="4" w:space="0"/>
        <w:left w:val="single" w:color="000000" w:sz="4" w:space="4"/>
        <w:bottom w:val="single" w:color="000000" w:sz="12" w:space="0"/>
        <w:right w:val="single" w:color="000000" w:sz="4" w:space="0"/>
      </w:pBdr>
      <w:jc w:val="left"/>
    </w:pPr>
    <w:rPr>
      <w:rFonts w:ascii="宋体" w:hAnsi="宋体" w:eastAsia="宋体" w:cs="宋体"/>
      <w:kern w:val="0"/>
      <w:sz w:val="24"/>
    </w:rPr>
  </w:style>
  <w:style w:type="paragraph" w:customStyle="1" w:styleId="344">
    <w:name w:val="pa-29"/>
    <w:basedOn w:val="1"/>
    <w:autoRedefine/>
    <w:qFormat/>
    <w:uiPriority w:val="99"/>
    <w:pPr>
      <w:widowControl/>
      <w:spacing w:line="360" w:lineRule="atLeast"/>
      <w:ind w:firstLine="2820"/>
    </w:pPr>
    <w:rPr>
      <w:rFonts w:ascii="宋体" w:hAnsi="宋体" w:eastAsia="宋体" w:cs="宋体"/>
      <w:kern w:val="0"/>
      <w:sz w:val="24"/>
    </w:rPr>
  </w:style>
  <w:style w:type="paragraph" w:customStyle="1" w:styleId="345">
    <w:name w:val="xl74"/>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w:hAnsi="Arial" w:eastAsia="宋体" w:cs="Arial"/>
      <w:color w:val="000000"/>
      <w:kern w:val="0"/>
      <w:sz w:val="18"/>
      <w:szCs w:val="18"/>
    </w:rPr>
  </w:style>
  <w:style w:type="paragraph" w:customStyle="1" w:styleId="346">
    <w:name w:val="ca-20"/>
    <w:basedOn w:val="1"/>
    <w:autoRedefine/>
    <w:qFormat/>
    <w:uiPriority w:val="99"/>
    <w:pPr>
      <w:widowControl/>
      <w:jc w:val="left"/>
    </w:pPr>
    <w:rPr>
      <w:rFonts w:ascii="??" w:hAnsi="??" w:eastAsia="宋体" w:cs="宋体"/>
      <w:color w:val="000000"/>
      <w:kern w:val="0"/>
      <w:sz w:val="18"/>
      <w:szCs w:val="18"/>
    </w:rPr>
  </w:style>
  <w:style w:type="paragraph" w:customStyle="1" w:styleId="347">
    <w:name w:val="Normal_10"/>
    <w:autoRedefine/>
    <w:qFormat/>
    <w:uiPriority w:val="99"/>
    <w:rPr>
      <w:rFonts w:ascii="黑体" w:hAnsi="黑体" w:eastAsia="黑体" w:cs="Times New Roman"/>
      <w:b/>
      <w:sz w:val="32"/>
      <w:szCs w:val="24"/>
      <w:lang w:val="en-US" w:eastAsia="zh-CN" w:bidi="ar-SA"/>
    </w:rPr>
  </w:style>
  <w:style w:type="paragraph" w:customStyle="1" w:styleId="348">
    <w:name w:val="ca-48"/>
    <w:basedOn w:val="1"/>
    <w:autoRedefine/>
    <w:qFormat/>
    <w:uiPriority w:val="99"/>
    <w:pPr>
      <w:widowControl/>
      <w:jc w:val="left"/>
    </w:pPr>
    <w:rPr>
      <w:rFonts w:ascii="宋体" w:hAnsi="宋体" w:eastAsia="宋体" w:cs="宋体"/>
      <w:color w:val="000000"/>
      <w:kern w:val="0"/>
      <w:sz w:val="26"/>
      <w:szCs w:val="26"/>
    </w:rPr>
  </w:style>
  <w:style w:type="paragraph" w:customStyle="1" w:styleId="349">
    <w:name w:val="pa-137"/>
    <w:basedOn w:val="1"/>
    <w:autoRedefine/>
    <w:qFormat/>
    <w:uiPriority w:val="99"/>
    <w:pPr>
      <w:widowControl/>
      <w:spacing w:line="480" w:lineRule="atLeast"/>
      <w:jc w:val="center"/>
    </w:pPr>
    <w:rPr>
      <w:rFonts w:ascii="宋体" w:hAnsi="宋体" w:eastAsia="宋体" w:cs="宋体"/>
      <w:kern w:val="0"/>
      <w:sz w:val="24"/>
    </w:rPr>
  </w:style>
  <w:style w:type="paragraph" w:customStyle="1" w:styleId="350">
    <w:name w:val="ca-33"/>
    <w:basedOn w:val="1"/>
    <w:autoRedefine/>
    <w:qFormat/>
    <w:uiPriority w:val="99"/>
    <w:pPr>
      <w:widowControl/>
      <w:jc w:val="left"/>
    </w:pPr>
    <w:rPr>
      <w:rFonts w:ascii="宋体" w:hAnsi="宋体" w:eastAsia="宋体" w:cs="宋体"/>
      <w:b/>
      <w:bCs/>
      <w:color w:val="002060"/>
      <w:spacing w:val="-20"/>
      <w:kern w:val="0"/>
      <w:sz w:val="20"/>
      <w:szCs w:val="20"/>
    </w:rPr>
  </w:style>
  <w:style w:type="paragraph" w:customStyle="1" w:styleId="351">
    <w:name w:val="pa-75"/>
    <w:basedOn w:val="1"/>
    <w:autoRedefine/>
    <w:qFormat/>
    <w:uiPriority w:val="99"/>
    <w:pPr>
      <w:widowControl/>
      <w:spacing w:line="300" w:lineRule="atLeast"/>
      <w:jc w:val="center"/>
    </w:pPr>
    <w:rPr>
      <w:rFonts w:ascii="宋体" w:hAnsi="宋体" w:eastAsia="宋体" w:cs="宋体"/>
      <w:kern w:val="0"/>
      <w:sz w:val="24"/>
    </w:rPr>
  </w:style>
  <w:style w:type="paragraph" w:customStyle="1" w:styleId="352">
    <w:name w:val="ca-16"/>
    <w:basedOn w:val="1"/>
    <w:autoRedefine/>
    <w:qFormat/>
    <w:uiPriority w:val="99"/>
    <w:pPr>
      <w:widowControl/>
      <w:jc w:val="left"/>
    </w:pPr>
    <w:rPr>
      <w:rFonts w:ascii="宋体" w:hAnsi="宋体" w:eastAsia="宋体" w:cs="宋体"/>
      <w:kern w:val="0"/>
      <w:sz w:val="24"/>
    </w:rPr>
  </w:style>
  <w:style w:type="character" w:customStyle="1" w:styleId="353">
    <w:name w:val="正文2 Char Char"/>
    <w:link w:val="354"/>
    <w:autoRedefine/>
    <w:qFormat/>
    <w:locked/>
    <w:uiPriority w:val="0"/>
    <w:rPr>
      <w:rFonts w:ascii="Arial" w:hAnsi="Arial" w:cs="宋体"/>
      <w:sz w:val="24"/>
    </w:rPr>
  </w:style>
  <w:style w:type="paragraph" w:customStyle="1" w:styleId="354">
    <w:name w:val="正文2"/>
    <w:basedOn w:val="1"/>
    <w:link w:val="353"/>
    <w:autoRedefine/>
    <w:qFormat/>
    <w:uiPriority w:val="0"/>
    <w:pPr>
      <w:spacing w:before="156" w:line="360" w:lineRule="auto"/>
      <w:ind w:firstLine="510" w:firstLineChars="200"/>
    </w:pPr>
    <w:rPr>
      <w:rFonts w:ascii="Arial" w:hAnsi="Arial" w:cs="宋体"/>
      <w:sz w:val="24"/>
    </w:rPr>
  </w:style>
  <w:style w:type="paragraph" w:customStyle="1" w:styleId="355">
    <w:name w:val="Char Char Char Char Char Char Char Char Char Char Char Char Char Char Char Char Char Char Char Char Char Char Char Char Char Char Char Char Char Char Char Char Char"/>
    <w:basedOn w:val="1"/>
    <w:autoRedefine/>
    <w:qFormat/>
    <w:uiPriority w:val="99"/>
    <w:pPr>
      <w:widowControl/>
      <w:spacing w:after="160" w:line="240" w:lineRule="exact"/>
      <w:jc w:val="left"/>
    </w:pPr>
    <w:rPr>
      <w:rFonts w:ascii="Verdana" w:hAnsi="Verdana" w:eastAsia="仿宋_GB2312" w:cs="Verdana"/>
      <w:kern w:val="0"/>
      <w:sz w:val="24"/>
      <w:lang w:eastAsia="en-US"/>
    </w:rPr>
  </w:style>
  <w:style w:type="paragraph" w:customStyle="1" w:styleId="356">
    <w:name w:val="BJ-02"/>
    <w:next w:val="30"/>
    <w:autoRedefine/>
    <w:qFormat/>
    <w:uiPriority w:val="99"/>
    <w:pPr>
      <w:tabs>
        <w:tab w:val="left" w:pos="900"/>
        <w:tab w:val="left" w:pos="1200"/>
        <w:tab w:val="left" w:pos="1985"/>
      </w:tabs>
      <w:spacing w:before="240" w:line="360" w:lineRule="auto"/>
      <w:ind w:left="1200" w:hanging="360"/>
      <w:jc w:val="both"/>
    </w:pPr>
    <w:rPr>
      <w:rFonts w:ascii="Arial" w:hAnsi="Arial" w:eastAsia="宋体" w:cs="Times New Roman"/>
      <w:sz w:val="24"/>
      <w:lang w:val="en-GB" w:eastAsia="de-DE" w:bidi="ar-SA"/>
    </w:rPr>
  </w:style>
  <w:style w:type="paragraph" w:customStyle="1" w:styleId="357">
    <w:name w:val="Char Char1 Char Char Char Char Char Char Char"/>
    <w:basedOn w:val="1"/>
    <w:autoRedefine/>
    <w:qFormat/>
    <w:uiPriority w:val="99"/>
    <w:pPr>
      <w:widowControl/>
      <w:spacing w:after="160" w:line="240" w:lineRule="exact"/>
      <w:jc w:val="left"/>
    </w:pPr>
    <w:rPr>
      <w:rFonts w:ascii="Calibri" w:hAnsi="Calibri" w:eastAsia="宋体" w:cs="Times New Roman"/>
      <w:szCs w:val="20"/>
    </w:rPr>
  </w:style>
  <w:style w:type="paragraph" w:customStyle="1" w:styleId="358">
    <w:name w:val="BJ-03"/>
    <w:autoRedefine/>
    <w:qFormat/>
    <w:uiPriority w:val="99"/>
    <w:pPr>
      <w:widowControl w:val="0"/>
      <w:numPr>
        <w:ilvl w:val="0"/>
        <w:numId w:val="5"/>
      </w:numPr>
      <w:tabs>
        <w:tab w:val="left" w:pos="1200"/>
        <w:tab w:val="left" w:pos="1440"/>
      </w:tabs>
      <w:spacing w:before="120" w:after="120" w:line="360" w:lineRule="auto"/>
      <w:jc w:val="both"/>
    </w:pPr>
    <w:rPr>
      <w:rFonts w:ascii="Arial" w:hAnsi="Arial" w:eastAsia="宋体" w:cs="Times New Roman"/>
      <w:sz w:val="24"/>
      <w:lang w:val="de-DE" w:eastAsia="de-DE" w:bidi="ar-SA"/>
    </w:rPr>
  </w:style>
  <w:style w:type="paragraph" w:customStyle="1" w:styleId="359">
    <w:name w:val="Normal_11"/>
    <w:autoRedefine/>
    <w:qFormat/>
    <w:uiPriority w:val="99"/>
    <w:rPr>
      <w:rFonts w:ascii="黑体" w:hAnsi="黑体" w:eastAsia="黑体" w:cs="Times New Roman"/>
      <w:b/>
      <w:sz w:val="32"/>
      <w:szCs w:val="24"/>
      <w:lang w:val="en-US" w:eastAsia="zh-CN" w:bidi="ar-SA"/>
    </w:rPr>
  </w:style>
  <w:style w:type="paragraph" w:customStyle="1" w:styleId="360">
    <w:name w:val="表内文字"/>
    <w:basedOn w:val="1"/>
    <w:autoRedefine/>
    <w:qFormat/>
    <w:uiPriority w:val="99"/>
    <w:pPr>
      <w:tabs>
        <w:tab w:val="left" w:pos="1418"/>
      </w:tabs>
      <w:spacing w:line="360" w:lineRule="auto"/>
      <w:jc w:val="center"/>
    </w:pPr>
    <w:rPr>
      <w:rFonts w:ascii="仿宋_GB2312" w:hAnsi="Times New Roman" w:eastAsia="仿宋_GB2312" w:cs="Times New Roman"/>
      <w:spacing w:val="-20"/>
      <w:kern w:val="0"/>
      <w:sz w:val="24"/>
      <w:szCs w:val="24"/>
    </w:rPr>
  </w:style>
  <w:style w:type="paragraph" w:customStyle="1" w:styleId="361">
    <w:name w:val="正文段"/>
    <w:basedOn w:val="1"/>
    <w:autoRedefine/>
    <w:qFormat/>
    <w:uiPriority w:val="99"/>
    <w:pPr>
      <w:widowControl/>
      <w:snapToGrid w:val="0"/>
      <w:spacing w:afterLines="50"/>
      <w:ind w:firstLine="200" w:firstLineChars="200"/>
    </w:pPr>
    <w:rPr>
      <w:rFonts w:ascii="Times New Roman" w:hAnsi="Times New Roman" w:eastAsia="宋体" w:cs="Times New Roman"/>
      <w:kern w:val="0"/>
      <w:sz w:val="24"/>
      <w:szCs w:val="20"/>
    </w:rPr>
  </w:style>
  <w:style w:type="paragraph" w:customStyle="1" w:styleId="362">
    <w:name w:val="Normal_2"/>
    <w:autoRedefine/>
    <w:qFormat/>
    <w:uiPriority w:val="99"/>
    <w:rPr>
      <w:rFonts w:ascii="黑体" w:hAnsi="黑体" w:eastAsia="黑体" w:cs="Times New Roman"/>
      <w:b/>
      <w:sz w:val="32"/>
      <w:szCs w:val="24"/>
      <w:lang w:val="en-US" w:eastAsia="zh-CN" w:bidi="ar-SA"/>
    </w:rPr>
  </w:style>
  <w:style w:type="paragraph" w:customStyle="1" w:styleId="363">
    <w:name w:val="正文_12"/>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64">
    <w:name w:val="Char1"/>
    <w:basedOn w:val="1"/>
    <w:autoRedefine/>
    <w:qFormat/>
    <w:uiPriority w:val="99"/>
    <w:rPr>
      <w:rFonts w:ascii="仿宋_GB2312" w:hAnsi="Times New Roman" w:eastAsia="仿宋_GB2312" w:cs="Times New Roman"/>
      <w:b/>
      <w:sz w:val="32"/>
      <w:szCs w:val="32"/>
    </w:rPr>
  </w:style>
  <w:style w:type="paragraph" w:customStyle="1" w:styleId="365">
    <w:name w:val="xl71"/>
    <w:basedOn w:val="1"/>
    <w:autoRedefine/>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66">
    <w:name w:val="pa-18"/>
    <w:basedOn w:val="1"/>
    <w:autoRedefine/>
    <w:qFormat/>
    <w:uiPriority w:val="99"/>
    <w:pPr>
      <w:widowControl/>
      <w:spacing w:line="240" w:lineRule="atLeast"/>
      <w:ind w:firstLine="20"/>
    </w:pPr>
    <w:rPr>
      <w:rFonts w:ascii="宋体" w:hAnsi="宋体" w:eastAsia="宋体" w:cs="宋体"/>
      <w:kern w:val="0"/>
      <w:sz w:val="24"/>
    </w:rPr>
  </w:style>
  <w:style w:type="paragraph" w:customStyle="1" w:styleId="367">
    <w:name w:val="font5"/>
    <w:basedOn w:val="1"/>
    <w:autoRedefine/>
    <w:qFormat/>
    <w:uiPriority w:val="99"/>
    <w:pPr>
      <w:widowControl/>
      <w:spacing w:before="100" w:beforeAutospacing="1" w:after="100" w:afterAutospacing="1"/>
      <w:jc w:val="left"/>
    </w:pPr>
    <w:rPr>
      <w:rFonts w:ascii="宋体" w:hAnsi="宋体" w:eastAsia="宋体" w:cs="Times New Roman"/>
      <w:kern w:val="0"/>
      <w:sz w:val="18"/>
      <w:szCs w:val="18"/>
    </w:rPr>
  </w:style>
  <w:style w:type="paragraph" w:customStyle="1" w:styleId="368">
    <w:name w:val="正文 A_0"/>
    <w:autoRedefine/>
    <w:qFormat/>
    <w:uiPriority w:val="99"/>
    <w:pPr>
      <w:widowControl w:val="0"/>
      <w:jc w:val="both"/>
    </w:pPr>
    <w:rPr>
      <w:rFonts w:ascii="Calibri" w:hAnsi="Calibri" w:eastAsia="ヒラギノ角ゴ Pro W3" w:cs="Times New Roman"/>
      <w:color w:val="000000"/>
      <w:kern w:val="2"/>
      <w:sz w:val="21"/>
      <w:lang w:val="en-US" w:eastAsia="zh-CN" w:bidi="ar-SA"/>
    </w:rPr>
  </w:style>
  <w:style w:type="paragraph" w:customStyle="1" w:styleId="369">
    <w:name w:val="Normal_6"/>
    <w:autoRedefine/>
    <w:qFormat/>
    <w:uiPriority w:val="99"/>
    <w:rPr>
      <w:rFonts w:ascii="黑体" w:hAnsi="黑体" w:eastAsia="黑体" w:cs="Times New Roman"/>
      <w:b/>
      <w:sz w:val="32"/>
      <w:szCs w:val="24"/>
      <w:lang w:val="en-US" w:eastAsia="zh-CN" w:bidi="ar-SA"/>
    </w:rPr>
  </w:style>
  <w:style w:type="paragraph" w:customStyle="1" w:styleId="370">
    <w:name w:val="pa-119"/>
    <w:basedOn w:val="1"/>
    <w:autoRedefine/>
    <w:qFormat/>
    <w:uiPriority w:val="99"/>
    <w:pPr>
      <w:widowControl/>
      <w:spacing w:line="420" w:lineRule="atLeast"/>
      <w:jc w:val="center"/>
    </w:pPr>
    <w:rPr>
      <w:rFonts w:ascii="宋体" w:hAnsi="宋体" w:eastAsia="宋体" w:cs="宋体"/>
      <w:kern w:val="0"/>
      <w:sz w:val="24"/>
    </w:rPr>
  </w:style>
  <w:style w:type="paragraph" w:customStyle="1" w:styleId="371">
    <w:name w:val="xl24"/>
    <w:basedOn w:val="1"/>
    <w:autoRedefine/>
    <w:qFormat/>
    <w:uiPriority w:val="99"/>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pPr>
    <w:rPr>
      <w:rFonts w:ascii="仿宋_GB2312" w:hAnsi="宋体" w:eastAsia="仿宋_GB2312" w:cs="Times New Roman"/>
      <w:kern w:val="0"/>
      <w:sz w:val="24"/>
      <w:szCs w:val="20"/>
    </w:rPr>
  </w:style>
  <w:style w:type="paragraph" w:customStyle="1" w:styleId="372">
    <w:name w:val="td-2"/>
    <w:basedOn w:val="1"/>
    <w:autoRedefine/>
    <w:qFormat/>
    <w:uiPriority w:val="99"/>
    <w:pPr>
      <w:widowControl/>
      <w:pBdr>
        <w:left w:val="single" w:color="000000" w:sz="6" w:space="4"/>
        <w:bottom w:val="single" w:color="000000" w:sz="6" w:space="0"/>
        <w:right w:val="single" w:color="000000" w:sz="6" w:space="0"/>
      </w:pBdr>
      <w:jc w:val="left"/>
    </w:pPr>
    <w:rPr>
      <w:rFonts w:ascii="宋体" w:hAnsi="宋体" w:eastAsia="宋体" w:cs="宋体"/>
      <w:kern w:val="0"/>
      <w:sz w:val="24"/>
    </w:rPr>
  </w:style>
  <w:style w:type="paragraph" w:customStyle="1" w:styleId="373">
    <w:name w:val="pa-10"/>
    <w:basedOn w:val="1"/>
    <w:autoRedefine/>
    <w:qFormat/>
    <w:uiPriority w:val="99"/>
    <w:pPr>
      <w:widowControl/>
      <w:spacing w:line="360" w:lineRule="atLeast"/>
      <w:ind w:firstLine="3220"/>
    </w:pPr>
    <w:rPr>
      <w:rFonts w:ascii="宋体" w:hAnsi="宋体" w:eastAsia="宋体" w:cs="宋体"/>
      <w:kern w:val="0"/>
      <w:sz w:val="24"/>
    </w:rPr>
  </w:style>
  <w:style w:type="paragraph" w:customStyle="1" w:styleId="374">
    <w:name w:val="表头"/>
    <w:basedOn w:val="1"/>
    <w:autoRedefine/>
    <w:qFormat/>
    <w:uiPriority w:val="99"/>
    <w:pPr>
      <w:spacing w:line="360" w:lineRule="auto"/>
      <w:jc w:val="center"/>
    </w:pPr>
    <w:rPr>
      <w:rFonts w:ascii="黑体" w:hAnsi="Calibri" w:eastAsia="黑体" w:cs="Times New Roman"/>
      <w:kern w:val="0"/>
      <w:sz w:val="24"/>
      <w:szCs w:val="20"/>
    </w:rPr>
  </w:style>
  <w:style w:type="paragraph" w:customStyle="1" w:styleId="375">
    <w:name w:val="pa-59"/>
    <w:basedOn w:val="1"/>
    <w:autoRedefine/>
    <w:qFormat/>
    <w:uiPriority w:val="99"/>
    <w:pPr>
      <w:widowControl/>
      <w:spacing w:line="360" w:lineRule="atLeast"/>
      <w:ind w:firstLine="200"/>
    </w:pPr>
    <w:rPr>
      <w:rFonts w:ascii="宋体" w:hAnsi="宋体" w:eastAsia="宋体" w:cs="宋体"/>
      <w:kern w:val="0"/>
      <w:sz w:val="24"/>
    </w:rPr>
  </w:style>
  <w:style w:type="paragraph" w:customStyle="1" w:styleId="376">
    <w:name w:val="Normal_7"/>
    <w:autoRedefine/>
    <w:qFormat/>
    <w:uiPriority w:val="99"/>
    <w:rPr>
      <w:rFonts w:ascii="黑体" w:hAnsi="黑体" w:eastAsia="黑体" w:cs="Times New Roman"/>
      <w:b/>
      <w:sz w:val="32"/>
      <w:szCs w:val="24"/>
      <w:lang w:val="en-US" w:eastAsia="zh-CN" w:bidi="ar-SA"/>
    </w:rPr>
  </w:style>
  <w:style w:type="paragraph" w:customStyle="1" w:styleId="377">
    <w:name w:val="pa-3"/>
    <w:basedOn w:val="1"/>
    <w:autoRedefine/>
    <w:qFormat/>
    <w:uiPriority w:val="99"/>
    <w:pPr>
      <w:widowControl/>
      <w:spacing w:line="520" w:lineRule="atLeast"/>
      <w:jc w:val="center"/>
    </w:pPr>
    <w:rPr>
      <w:rFonts w:ascii="宋体" w:hAnsi="宋体" w:eastAsia="宋体" w:cs="宋体"/>
      <w:kern w:val="0"/>
      <w:sz w:val="24"/>
    </w:rPr>
  </w:style>
  <w:style w:type="paragraph" w:customStyle="1" w:styleId="378">
    <w:name w:val="pa-19"/>
    <w:basedOn w:val="1"/>
    <w:autoRedefine/>
    <w:qFormat/>
    <w:uiPriority w:val="99"/>
    <w:pPr>
      <w:widowControl/>
      <w:spacing w:line="240" w:lineRule="atLeast"/>
      <w:ind w:firstLine="20"/>
      <w:jc w:val="left"/>
    </w:pPr>
    <w:rPr>
      <w:rFonts w:ascii="宋体" w:hAnsi="宋体" w:eastAsia="宋体" w:cs="宋体"/>
      <w:kern w:val="0"/>
      <w:sz w:val="24"/>
    </w:rPr>
  </w:style>
  <w:style w:type="paragraph" w:customStyle="1" w:styleId="379">
    <w:name w:val="ca-34"/>
    <w:basedOn w:val="1"/>
    <w:autoRedefine/>
    <w:qFormat/>
    <w:uiPriority w:val="99"/>
    <w:pPr>
      <w:widowControl/>
      <w:jc w:val="left"/>
    </w:pPr>
    <w:rPr>
      <w:rFonts w:ascii="宋体" w:hAnsi="宋体" w:eastAsia="宋体" w:cs="宋体"/>
      <w:color w:val="000000"/>
      <w:kern w:val="0"/>
      <w:sz w:val="20"/>
      <w:szCs w:val="20"/>
    </w:rPr>
  </w:style>
  <w:style w:type="paragraph" w:customStyle="1" w:styleId="380">
    <w:name w:val="pa-139"/>
    <w:basedOn w:val="1"/>
    <w:autoRedefine/>
    <w:qFormat/>
    <w:uiPriority w:val="99"/>
    <w:pPr>
      <w:widowControl/>
      <w:spacing w:line="320" w:lineRule="atLeast"/>
      <w:ind w:firstLine="280"/>
    </w:pPr>
    <w:rPr>
      <w:rFonts w:ascii="宋体" w:hAnsi="宋体" w:eastAsia="宋体" w:cs="宋体"/>
      <w:kern w:val="0"/>
      <w:sz w:val="24"/>
    </w:rPr>
  </w:style>
  <w:style w:type="paragraph" w:customStyle="1" w:styleId="381">
    <w:name w:val="Normal_24"/>
    <w:autoRedefine/>
    <w:qFormat/>
    <w:uiPriority w:val="99"/>
    <w:rPr>
      <w:rFonts w:ascii="黑体" w:hAnsi="黑体" w:eastAsia="黑体" w:cs="Times New Roman"/>
      <w:b/>
      <w:sz w:val="32"/>
      <w:szCs w:val="24"/>
      <w:lang w:val="en-US" w:eastAsia="zh-CN" w:bidi="ar-SA"/>
    </w:rPr>
  </w:style>
  <w:style w:type="paragraph" w:customStyle="1" w:styleId="382">
    <w:name w:val="xl31"/>
    <w:basedOn w:val="1"/>
    <w:next w:val="1"/>
    <w:autoRedefine/>
    <w:qFormat/>
    <w:uiPriority w:val="99"/>
    <w:pPr>
      <w:widowControl/>
      <w:spacing w:before="280" w:after="280"/>
      <w:jc w:val="center"/>
    </w:pPr>
    <w:rPr>
      <w:rFonts w:ascii="宋体" w:hAnsi="Times New Roman" w:eastAsia="宋体" w:cs="Times New Roman"/>
      <w:kern w:val="0"/>
      <w:sz w:val="20"/>
      <w:szCs w:val="20"/>
    </w:rPr>
  </w:style>
  <w:style w:type="paragraph" w:customStyle="1" w:styleId="383">
    <w:name w:val="正文_0_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4">
    <w:name w:val="pa-116"/>
    <w:basedOn w:val="1"/>
    <w:autoRedefine/>
    <w:qFormat/>
    <w:uiPriority w:val="99"/>
    <w:pPr>
      <w:widowControl/>
      <w:spacing w:line="480" w:lineRule="atLeast"/>
      <w:ind w:firstLine="200"/>
    </w:pPr>
    <w:rPr>
      <w:rFonts w:ascii="宋体" w:hAnsi="宋体" w:eastAsia="宋体" w:cs="宋体"/>
      <w:kern w:val="0"/>
      <w:sz w:val="24"/>
    </w:rPr>
  </w:style>
  <w:style w:type="paragraph" w:customStyle="1" w:styleId="385">
    <w:name w:val="CPara----"/>
    <w:autoRedefine/>
    <w:qFormat/>
    <w:uiPriority w:val="99"/>
    <w:pPr>
      <w:tabs>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20" w:lineRule="atLeast"/>
    </w:pPr>
    <w:rPr>
      <w:rFonts w:ascii="Arial" w:hAnsi="Arial" w:eastAsia="宋体" w:cs="Arial"/>
      <w:color w:val="000000"/>
      <w:lang w:val="de-CH" w:eastAsia="zh-CN" w:bidi="ar-SA"/>
    </w:rPr>
  </w:style>
  <w:style w:type="paragraph" w:customStyle="1" w:styleId="386">
    <w:name w:val="xl23"/>
    <w:basedOn w:val="1"/>
    <w:autoRedefine/>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44"/>
      <w:szCs w:val="44"/>
    </w:rPr>
  </w:style>
  <w:style w:type="paragraph" w:customStyle="1" w:styleId="387">
    <w:name w:val="默认段落字体 Para Char"/>
    <w:basedOn w:val="1"/>
    <w:autoRedefine/>
    <w:qFormat/>
    <w:uiPriority w:val="99"/>
    <w:pPr>
      <w:tabs>
        <w:tab w:val="left" w:pos="780"/>
      </w:tabs>
      <w:ind w:left="780" w:hanging="360"/>
    </w:pPr>
    <w:rPr>
      <w:rFonts w:ascii="Calibri" w:hAnsi="Calibri" w:eastAsia="宋体" w:cs="Times New Roman"/>
    </w:rPr>
  </w:style>
  <w:style w:type="paragraph" w:customStyle="1" w:styleId="388">
    <w:name w:val="ca-5"/>
    <w:basedOn w:val="1"/>
    <w:autoRedefine/>
    <w:qFormat/>
    <w:uiPriority w:val="99"/>
    <w:pPr>
      <w:widowControl/>
      <w:jc w:val="left"/>
    </w:pPr>
    <w:rPr>
      <w:rFonts w:ascii="宋体" w:hAnsi="宋体" w:eastAsia="宋体" w:cs="宋体"/>
      <w:b/>
      <w:bCs/>
      <w:color w:val="000000"/>
      <w:spacing w:val="40"/>
      <w:kern w:val="0"/>
      <w:sz w:val="48"/>
      <w:szCs w:val="48"/>
    </w:rPr>
  </w:style>
  <w:style w:type="paragraph" w:customStyle="1" w:styleId="389">
    <w:name w:val="pa-79"/>
    <w:basedOn w:val="1"/>
    <w:autoRedefine/>
    <w:qFormat/>
    <w:uiPriority w:val="99"/>
    <w:pPr>
      <w:widowControl/>
      <w:spacing w:line="360" w:lineRule="atLeast"/>
      <w:ind w:firstLine="3040"/>
      <w:jc w:val="left"/>
    </w:pPr>
    <w:rPr>
      <w:rFonts w:ascii="宋体" w:hAnsi="宋体" w:eastAsia="宋体" w:cs="宋体"/>
      <w:kern w:val="0"/>
      <w:sz w:val="24"/>
    </w:rPr>
  </w:style>
  <w:style w:type="paragraph" w:customStyle="1" w:styleId="390">
    <w:name w:val="ca-8"/>
    <w:basedOn w:val="1"/>
    <w:autoRedefine/>
    <w:qFormat/>
    <w:uiPriority w:val="99"/>
    <w:pPr>
      <w:widowControl/>
      <w:jc w:val="left"/>
    </w:pPr>
    <w:rPr>
      <w:rFonts w:ascii="宋体" w:hAnsi="宋体" w:eastAsia="宋体" w:cs="宋体"/>
      <w:color w:val="000000"/>
      <w:kern w:val="0"/>
      <w:sz w:val="28"/>
      <w:szCs w:val="28"/>
    </w:rPr>
  </w:style>
  <w:style w:type="paragraph" w:customStyle="1" w:styleId="391">
    <w:name w:val="ca-17"/>
    <w:basedOn w:val="1"/>
    <w:autoRedefine/>
    <w:qFormat/>
    <w:uiPriority w:val="99"/>
    <w:pPr>
      <w:widowControl/>
      <w:jc w:val="left"/>
    </w:pPr>
    <w:rPr>
      <w:rFonts w:ascii="Calibri" w:hAnsi="Calibri" w:eastAsia="宋体" w:cs="Times New Roman"/>
      <w:b/>
      <w:bCs/>
      <w:spacing w:val="-20"/>
      <w:kern w:val="0"/>
      <w:sz w:val="24"/>
    </w:rPr>
  </w:style>
  <w:style w:type="paragraph" w:customStyle="1" w:styleId="392">
    <w:name w:val="td-0"/>
    <w:basedOn w:val="1"/>
    <w:autoRedefine/>
    <w:qFormat/>
    <w:uiPriority w:val="99"/>
    <w:pPr>
      <w:widowControl/>
      <w:pBdr>
        <w:top w:val="single" w:color="000000" w:sz="4" w:space="0"/>
        <w:left w:val="single" w:color="000000" w:sz="4" w:space="4"/>
        <w:bottom w:val="single" w:color="000000" w:sz="4" w:space="0"/>
        <w:right w:val="single" w:color="000000" w:sz="4" w:space="0"/>
      </w:pBdr>
      <w:jc w:val="left"/>
    </w:pPr>
    <w:rPr>
      <w:rFonts w:ascii="宋体" w:hAnsi="宋体" w:eastAsia="宋体" w:cs="宋体"/>
      <w:kern w:val="0"/>
      <w:sz w:val="24"/>
    </w:rPr>
  </w:style>
  <w:style w:type="paragraph" w:customStyle="1" w:styleId="393">
    <w:name w:val="pa-51"/>
    <w:basedOn w:val="1"/>
    <w:autoRedefine/>
    <w:qFormat/>
    <w:uiPriority w:val="99"/>
    <w:pPr>
      <w:widowControl/>
      <w:spacing w:line="276" w:lineRule="atLeast"/>
      <w:jc w:val="center"/>
    </w:pPr>
    <w:rPr>
      <w:rFonts w:ascii="宋体" w:hAnsi="宋体" w:eastAsia="宋体" w:cs="宋体"/>
      <w:kern w:val="0"/>
      <w:sz w:val="24"/>
    </w:rPr>
  </w:style>
  <w:style w:type="paragraph" w:customStyle="1" w:styleId="394">
    <w:name w:val="Normal_12"/>
    <w:autoRedefine/>
    <w:qFormat/>
    <w:uiPriority w:val="99"/>
    <w:rPr>
      <w:rFonts w:ascii="黑体" w:hAnsi="黑体" w:eastAsia="黑体" w:cs="Times New Roman"/>
      <w:b/>
      <w:sz w:val="32"/>
      <w:szCs w:val="24"/>
      <w:lang w:val="en-US" w:eastAsia="zh-CN" w:bidi="ar-SA"/>
    </w:rPr>
  </w:style>
  <w:style w:type="paragraph" w:customStyle="1" w:styleId="395">
    <w:name w:val="Normal_5"/>
    <w:autoRedefine/>
    <w:qFormat/>
    <w:uiPriority w:val="99"/>
    <w:rPr>
      <w:rFonts w:ascii="黑体" w:hAnsi="黑体" w:eastAsia="黑体" w:cs="Times New Roman"/>
      <w:b/>
      <w:sz w:val="32"/>
      <w:szCs w:val="24"/>
      <w:lang w:val="en-US" w:eastAsia="zh-CN" w:bidi="ar-SA"/>
    </w:rPr>
  </w:style>
  <w:style w:type="paragraph" w:customStyle="1" w:styleId="396">
    <w:name w:val="pa-115"/>
    <w:basedOn w:val="1"/>
    <w:autoRedefine/>
    <w:qFormat/>
    <w:uiPriority w:val="99"/>
    <w:pPr>
      <w:widowControl/>
      <w:spacing w:line="480" w:lineRule="atLeast"/>
    </w:pPr>
    <w:rPr>
      <w:rFonts w:ascii="宋体" w:hAnsi="宋体" w:eastAsia="宋体" w:cs="宋体"/>
      <w:kern w:val="0"/>
      <w:sz w:val="24"/>
    </w:rPr>
  </w:style>
  <w:style w:type="paragraph" w:customStyle="1" w:styleId="397">
    <w:name w:val="ca-18"/>
    <w:basedOn w:val="1"/>
    <w:autoRedefine/>
    <w:qFormat/>
    <w:uiPriority w:val="99"/>
    <w:pPr>
      <w:widowControl/>
      <w:jc w:val="left"/>
    </w:pPr>
    <w:rPr>
      <w:rFonts w:ascii="宋体" w:hAnsi="宋体" w:eastAsia="宋体" w:cs="宋体"/>
      <w:color w:val="000000"/>
      <w:kern w:val="0"/>
      <w:sz w:val="18"/>
      <w:szCs w:val="18"/>
    </w:rPr>
  </w:style>
  <w:style w:type="paragraph" w:customStyle="1" w:styleId="398">
    <w:name w:val="Para---"/>
    <w:autoRedefine/>
    <w:qFormat/>
    <w:uiPriority w:val="99"/>
    <w:pPr>
      <w:keepNext/>
      <w:tabs>
        <w:tab w:val="left" w:pos="2160"/>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2160" w:hanging="360"/>
    </w:pPr>
    <w:rPr>
      <w:rFonts w:ascii="Arial" w:hAnsi="Arial" w:eastAsia="宋体" w:cs="Times New Roman"/>
      <w:lang w:val="en-US" w:eastAsia="en-US" w:bidi="ar-SA"/>
    </w:rPr>
  </w:style>
  <w:style w:type="paragraph" w:customStyle="1" w:styleId="399">
    <w:name w:val="xl41"/>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400">
    <w:name w:val="pa-77"/>
    <w:basedOn w:val="1"/>
    <w:autoRedefine/>
    <w:qFormat/>
    <w:uiPriority w:val="99"/>
    <w:pPr>
      <w:widowControl/>
      <w:spacing w:line="360" w:lineRule="atLeast"/>
    </w:pPr>
    <w:rPr>
      <w:rFonts w:ascii="宋体" w:hAnsi="宋体" w:eastAsia="宋体" w:cs="宋体"/>
      <w:kern w:val="0"/>
      <w:sz w:val="24"/>
    </w:rPr>
  </w:style>
  <w:style w:type="paragraph" w:customStyle="1" w:styleId="401">
    <w:name w:val="td-8"/>
    <w:basedOn w:val="1"/>
    <w:autoRedefine/>
    <w:qFormat/>
    <w:uiPriority w:val="99"/>
    <w:pPr>
      <w:widowControl/>
      <w:pBdr>
        <w:top w:val="single" w:color="000000" w:sz="4" w:space="0"/>
        <w:left w:val="single" w:color="000000" w:sz="4" w:space="4"/>
        <w:bottom w:val="single" w:color="000000" w:sz="4" w:space="0"/>
        <w:right w:val="single" w:color="000000" w:sz="12" w:space="0"/>
      </w:pBdr>
      <w:jc w:val="left"/>
    </w:pPr>
    <w:rPr>
      <w:rFonts w:ascii="宋体" w:hAnsi="宋体" w:eastAsia="宋体" w:cs="宋体"/>
      <w:kern w:val="0"/>
      <w:sz w:val="24"/>
    </w:rPr>
  </w:style>
  <w:style w:type="paragraph" w:customStyle="1" w:styleId="402">
    <w:name w:val="表格"/>
    <w:basedOn w:val="1"/>
    <w:autoRedefine/>
    <w:qFormat/>
    <w:uiPriority w:val="99"/>
    <w:pPr>
      <w:jc w:val="center"/>
    </w:pPr>
    <w:rPr>
      <w:rFonts w:ascii="华文细黑" w:hAnsi="华文细黑" w:eastAsia="宋体" w:cs="Times New Roman"/>
      <w:kern w:val="0"/>
      <w:szCs w:val="20"/>
    </w:rPr>
  </w:style>
  <w:style w:type="paragraph" w:customStyle="1" w:styleId="403">
    <w:name w:val="Divn"/>
    <w:autoRedefine/>
    <w:qFormat/>
    <w:uiPriority w:val="99"/>
    <w:pPr>
      <w:spacing w:line="360" w:lineRule="auto"/>
    </w:pPr>
    <w:rPr>
      <w:rFonts w:ascii="Arial" w:hAnsi="Arial" w:eastAsia="宋体" w:cs="Arial"/>
      <w:b/>
      <w:caps/>
      <w:u w:val="single"/>
      <w:lang w:val="en-US" w:eastAsia="zh-CN" w:bidi="ar-SA"/>
    </w:rPr>
  </w:style>
  <w:style w:type="paragraph" w:customStyle="1" w:styleId="404">
    <w:name w:val="Para-"/>
    <w:autoRedefine/>
    <w:qFormat/>
    <w:uiPriority w:val="99"/>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Arial" w:hAnsi="Arial" w:eastAsia="宋体" w:cs="Times New Roman"/>
      <w:lang w:val="en-US" w:eastAsia="en-US" w:bidi="ar-SA"/>
    </w:rPr>
  </w:style>
  <w:style w:type="paragraph" w:customStyle="1" w:styleId="405">
    <w:name w:val="Para--"/>
    <w:autoRedefine/>
    <w:qFormat/>
    <w:uiPriority w:val="99"/>
    <w:pPr>
      <w:keepNext/>
      <w:tabs>
        <w:tab w:val="left" w:pos="1440"/>
        <w:tab w:val="left" w:pos="1728"/>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1440" w:hanging="360"/>
    </w:pPr>
    <w:rPr>
      <w:rFonts w:ascii="Arial" w:hAnsi="Arial" w:eastAsia="宋体" w:cs="Times New Roman"/>
      <w:lang w:val="en-US" w:eastAsia="en-US" w:bidi="ar-SA"/>
    </w:rPr>
  </w:style>
  <w:style w:type="paragraph" w:customStyle="1" w:styleId="406">
    <w:name w:val="ca-38"/>
    <w:basedOn w:val="1"/>
    <w:autoRedefine/>
    <w:qFormat/>
    <w:uiPriority w:val="99"/>
    <w:pPr>
      <w:widowControl/>
      <w:jc w:val="left"/>
    </w:pPr>
    <w:rPr>
      <w:rFonts w:ascii="Calibri" w:hAnsi="Calibri" w:eastAsia="宋体" w:cs="Times New Roman"/>
      <w:b/>
      <w:bCs/>
      <w:spacing w:val="-20"/>
      <w:kern w:val="0"/>
      <w:szCs w:val="21"/>
    </w:rPr>
  </w:style>
  <w:style w:type="paragraph" w:customStyle="1" w:styleId="407">
    <w:name w:val="pa-68"/>
    <w:basedOn w:val="1"/>
    <w:autoRedefine/>
    <w:qFormat/>
    <w:uiPriority w:val="99"/>
    <w:pPr>
      <w:widowControl/>
      <w:spacing w:line="240" w:lineRule="atLeast"/>
      <w:ind w:firstLine="520"/>
    </w:pPr>
    <w:rPr>
      <w:rFonts w:ascii="宋体" w:hAnsi="宋体" w:eastAsia="宋体" w:cs="宋体"/>
      <w:kern w:val="0"/>
      <w:sz w:val="24"/>
    </w:rPr>
  </w:style>
  <w:style w:type="paragraph" w:customStyle="1" w:styleId="408">
    <w:name w:val="pa-121"/>
    <w:basedOn w:val="1"/>
    <w:autoRedefine/>
    <w:qFormat/>
    <w:uiPriority w:val="99"/>
    <w:pPr>
      <w:widowControl/>
      <w:spacing w:line="360" w:lineRule="atLeast"/>
      <w:jc w:val="center"/>
    </w:pPr>
    <w:rPr>
      <w:rFonts w:ascii="宋体" w:hAnsi="宋体" w:eastAsia="宋体" w:cs="宋体"/>
      <w:kern w:val="0"/>
      <w:sz w:val="24"/>
    </w:rPr>
  </w:style>
  <w:style w:type="paragraph" w:customStyle="1" w:styleId="409">
    <w:name w:val="xl25"/>
    <w:basedOn w:val="1"/>
    <w:autoRedefine/>
    <w:qFormat/>
    <w:uiPriority w:val="99"/>
    <w:pPr>
      <w:widowControl/>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410">
    <w:name w:val="ca-37"/>
    <w:basedOn w:val="1"/>
    <w:autoRedefine/>
    <w:qFormat/>
    <w:uiPriority w:val="99"/>
    <w:pPr>
      <w:widowControl/>
      <w:jc w:val="left"/>
    </w:pPr>
    <w:rPr>
      <w:rFonts w:ascii="宋体" w:hAnsi="宋体" w:eastAsia="宋体" w:cs="宋体"/>
      <w:color w:val="000000"/>
      <w:kern w:val="0"/>
      <w:szCs w:val="21"/>
    </w:rPr>
  </w:style>
  <w:style w:type="paragraph" w:customStyle="1" w:styleId="411">
    <w:name w:val="ca-26"/>
    <w:basedOn w:val="1"/>
    <w:autoRedefine/>
    <w:qFormat/>
    <w:uiPriority w:val="99"/>
    <w:pPr>
      <w:widowControl/>
      <w:jc w:val="left"/>
    </w:pPr>
    <w:rPr>
      <w:rFonts w:ascii="宋体" w:hAnsi="宋体" w:eastAsia="宋体" w:cs="宋体"/>
      <w:color w:val="002060"/>
      <w:kern w:val="0"/>
      <w:szCs w:val="21"/>
    </w:rPr>
  </w:style>
  <w:style w:type="paragraph" w:customStyle="1" w:styleId="412">
    <w:name w:val="pa-54"/>
    <w:basedOn w:val="1"/>
    <w:autoRedefine/>
    <w:qFormat/>
    <w:uiPriority w:val="99"/>
    <w:pPr>
      <w:widowControl/>
      <w:spacing w:line="280" w:lineRule="atLeast"/>
      <w:jc w:val="left"/>
    </w:pPr>
    <w:rPr>
      <w:rFonts w:ascii="宋体" w:hAnsi="宋体" w:eastAsia="宋体" w:cs="宋体"/>
      <w:kern w:val="0"/>
      <w:sz w:val="24"/>
    </w:rPr>
  </w:style>
  <w:style w:type="paragraph" w:customStyle="1" w:styleId="413">
    <w:name w:val="样式 正文缩进正文（首行缩进两字）特点ALT+Z表正文正文非缩进四号段1Normal Indent Char2...4"/>
    <w:basedOn w:val="23"/>
    <w:autoRedefine/>
    <w:qFormat/>
    <w:uiPriority w:val="99"/>
    <w:pPr>
      <w:spacing w:line="240" w:lineRule="auto"/>
      <w:ind w:firstLine="570"/>
    </w:pPr>
    <w:rPr>
      <w:rFonts w:ascii="Times New Roman" w:hAnsi="Times New Roman"/>
      <w:spacing w:val="0"/>
      <w:sz w:val="28"/>
    </w:rPr>
  </w:style>
  <w:style w:type="paragraph" w:customStyle="1" w:styleId="414">
    <w:name w:val="xl32"/>
    <w:basedOn w:val="1"/>
    <w:autoRedefine/>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15">
    <w:name w:val="pa-7"/>
    <w:basedOn w:val="1"/>
    <w:autoRedefine/>
    <w:qFormat/>
    <w:uiPriority w:val="99"/>
    <w:pPr>
      <w:widowControl/>
      <w:spacing w:line="400" w:lineRule="atLeast"/>
    </w:pPr>
    <w:rPr>
      <w:rFonts w:ascii="宋体" w:hAnsi="宋体" w:eastAsia="宋体" w:cs="宋体"/>
      <w:kern w:val="0"/>
      <w:sz w:val="24"/>
    </w:rPr>
  </w:style>
  <w:style w:type="paragraph" w:customStyle="1" w:styleId="416">
    <w:name w:val="Text---"/>
    <w:autoRedefine/>
    <w:qFormat/>
    <w:uiPriority w:val="99"/>
    <w:pPr>
      <w:keepNext/>
      <w:tabs>
        <w:tab w:val="left" w:pos="2304"/>
        <w:tab w:val="left" w:pos="2880"/>
        <w:tab w:val="left" w:pos="3456"/>
        <w:tab w:val="left" w:pos="4032"/>
        <w:tab w:val="left" w:pos="4608"/>
        <w:tab w:val="left" w:pos="5184"/>
        <w:tab w:val="left" w:pos="5760"/>
        <w:tab w:val="left" w:pos="6336"/>
        <w:tab w:val="left" w:pos="6912"/>
        <w:tab w:val="left" w:pos="7488"/>
        <w:tab w:val="left" w:pos="8064"/>
        <w:tab w:val="right" w:pos="8784"/>
      </w:tabs>
      <w:autoSpaceDE w:val="0"/>
      <w:autoSpaceDN w:val="0"/>
      <w:adjustRightInd w:val="0"/>
      <w:spacing w:before="100" w:beforeAutospacing="1" w:line="360" w:lineRule="auto"/>
      <w:ind w:left="1728"/>
    </w:pPr>
    <w:rPr>
      <w:rFonts w:ascii="Arial" w:hAnsi="Arial" w:eastAsia="宋体" w:cs="Times New Roman"/>
      <w:lang w:val="en-US" w:eastAsia="en-US" w:bidi="ar-SA"/>
    </w:rPr>
  </w:style>
  <w:style w:type="paragraph" w:customStyle="1" w:styleId="417">
    <w:name w:val="ca-32"/>
    <w:basedOn w:val="1"/>
    <w:autoRedefine/>
    <w:qFormat/>
    <w:uiPriority w:val="99"/>
    <w:pPr>
      <w:widowControl/>
      <w:jc w:val="left"/>
    </w:pPr>
    <w:rPr>
      <w:rFonts w:ascii="宋体" w:hAnsi="宋体" w:eastAsia="宋体" w:cs="宋体"/>
      <w:b/>
      <w:bCs/>
      <w:color w:val="C00000"/>
      <w:spacing w:val="-20"/>
      <w:kern w:val="0"/>
      <w:szCs w:val="21"/>
    </w:rPr>
  </w:style>
  <w:style w:type="paragraph" w:customStyle="1" w:styleId="418">
    <w:name w:val="pa-39"/>
    <w:basedOn w:val="1"/>
    <w:autoRedefine/>
    <w:qFormat/>
    <w:uiPriority w:val="99"/>
    <w:pPr>
      <w:widowControl/>
      <w:spacing w:line="360" w:lineRule="atLeast"/>
      <w:jc w:val="center"/>
    </w:pPr>
    <w:rPr>
      <w:rFonts w:ascii="宋体" w:hAnsi="宋体" w:eastAsia="宋体" w:cs="宋体"/>
      <w:kern w:val="0"/>
      <w:sz w:val="24"/>
    </w:rPr>
  </w:style>
  <w:style w:type="paragraph" w:customStyle="1" w:styleId="419">
    <w:name w:val="标准文本"/>
    <w:basedOn w:val="1"/>
    <w:next w:val="1"/>
    <w:autoRedefine/>
    <w:qFormat/>
    <w:uiPriority w:val="99"/>
    <w:pPr>
      <w:spacing w:line="360" w:lineRule="auto"/>
      <w:ind w:firstLine="480"/>
    </w:pPr>
    <w:rPr>
      <w:rFonts w:ascii="Arial" w:hAnsi="Times New Roman" w:eastAsia="宋体" w:cs="Times New Roman"/>
      <w:kern w:val="0"/>
      <w:sz w:val="24"/>
      <w:szCs w:val="20"/>
    </w:rPr>
  </w:style>
  <w:style w:type="paragraph" w:customStyle="1" w:styleId="420">
    <w:name w:val="ca-10"/>
    <w:basedOn w:val="1"/>
    <w:autoRedefine/>
    <w:qFormat/>
    <w:uiPriority w:val="99"/>
    <w:pPr>
      <w:widowControl/>
      <w:jc w:val="left"/>
    </w:pPr>
    <w:rPr>
      <w:rFonts w:ascii="Calibri" w:hAnsi="Calibri" w:eastAsia="宋体" w:cs="Times New Roman"/>
      <w:color w:val="000000"/>
      <w:kern w:val="0"/>
      <w:sz w:val="52"/>
      <w:szCs w:val="52"/>
    </w:rPr>
  </w:style>
  <w:style w:type="paragraph" w:customStyle="1" w:styleId="421">
    <w:name w:val="标题C"/>
    <w:basedOn w:val="6"/>
    <w:autoRedefine/>
    <w:qFormat/>
    <w:uiPriority w:val="99"/>
    <w:pPr>
      <w:adjustRightInd w:val="0"/>
      <w:spacing w:before="100" w:beforeAutospacing="1" w:after="100" w:afterAutospacing="1" w:line="240" w:lineRule="auto"/>
      <w:jc w:val="center"/>
    </w:pPr>
    <w:rPr>
      <w:sz w:val="24"/>
      <w:szCs w:val="24"/>
    </w:rPr>
  </w:style>
  <w:style w:type="paragraph" w:customStyle="1" w:styleId="422">
    <w:name w:val="pa-55"/>
    <w:basedOn w:val="1"/>
    <w:autoRedefine/>
    <w:qFormat/>
    <w:uiPriority w:val="99"/>
    <w:pPr>
      <w:widowControl/>
      <w:spacing w:line="300" w:lineRule="atLeast"/>
      <w:ind w:firstLine="480"/>
      <w:jc w:val="center"/>
    </w:pPr>
    <w:rPr>
      <w:rFonts w:ascii="宋体" w:hAnsi="宋体" w:eastAsia="宋体" w:cs="宋体"/>
      <w:kern w:val="0"/>
      <w:sz w:val="24"/>
    </w:rPr>
  </w:style>
  <w:style w:type="paragraph" w:customStyle="1" w:styleId="423">
    <w:name w:val="正文_1_0_0"/>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424">
    <w:name w:val="简单回函地址"/>
    <w:basedOn w:val="1"/>
    <w:autoRedefine/>
    <w:qFormat/>
    <w:uiPriority w:val="99"/>
    <w:pPr>
      <w:adjustRightInd w:val="0"/>
      <w:spacing w:line="312" w:lineRule="atLeast"/>
    </w:pPr>
    <w:rPr>
      <w:rFonts w:ascii="Times New Roman" w:hAnsi="Times New Roman" w:eastAsia="宋体" w:cs="Times New Roman"/>
      <w:kern w:val="0"/>
      <w:szCs w:val="20"/>
    </w:rPr>
  </w:style>
  <w:style w:type="paragraph" w:customStyle="1" w:styleId="425">
    <w:name w:val="pa-25"/>
    <w:basedOn w:val="1"/>
    <w:autoRedefine/>
    <w:qFormat/>
    <w:uiPriority w:val="99"/>
    <w:pPr>
      <w:widowControl/>
      <w:spacing w:line="360" w:lineRule="atLeast"/>
      <w:ind w:firstLine="480"/>
      <w:jc w:val="center"/>
    </w:pPr>
    <w:rPr>
      <w:rFonts w:ascii="宋体" w:hAnsi="宋体" w:eastAsia="宋体" w:cs="宋体"/>
      <w:kern w:val="0"/>
      <w:sz w:val="24"/>
    </w:rPr>
  </w:style>
  <w:style w:type="paragraph" w:customStyle="1" w:styleId="426">
    <w:name w:val="ca-12"/>
    <w:basedOn w:val="1"/>
    <w:autoRedefine/>
    <w:qFormat/>
    <w:uiPriority w:val="99"/>
    <w:pPr>
      <w:widowControl/>
      <w:jc w:val="left"/>
    </w:pPr>
    <w:rPr>
      <w:rFonts w:ascii="Calibri" w:hAnsi="Calibri" w:eastAsia="宋体" w:cs="Times New Roman"/>
      <w:color w:val="000000"/>
      <w:kern w:val="0"/>
      <w:sz w:val="32"/>
      <w:szCs w:val="32"/>
    </w:rPr>
  </w:style>
  <w:style w:type="paragraph" w:customStyle="1" w:styleId="427">
    <w:name w:val="pa-38"/>
    <w:basedOn w:val="1"/>
    <w:autoRedefine/>
    <w:qFormat/>
    <w:uiPriority w:val="99"/>
    <w:pPr>
      <w:widowControl/>
      <w:spacing w:line="360" w:lineRule="atLeast"/>
      <w:ind w:firstLine="520"/>
    </w:pPr>
    <w:rPr>
      <w:rFonts w:ascii="宋体" w:hAnsi="宋体" w:eastAsia="宋体" w:cs="宋体"/>
      <w:kern w:val="0"/>
      <w:sz w:val="24"/>
    </w:rPr>
  </w:style>
  <w:style w:type="paragraph" w:customStyle="1" w:styleId="428">
    <w:name w:val="Normal_20"/>
    <w:autoRedefine/>
    <w:qFormat/>
    <w:uiPriority w:val="99"/>
    <w:rPr>
      <w:rFonts w:ascii="黑体" w:hAnsi="黑体" w:eastAsia="黑体" w:cs="Times New Roman"/>
      <w:b/>
      <w:sz w:val="32"/>
      <w:szCs w:val="24"/>
      <w:lang w:val="en-US" w:eastAsia="zh-CN" w:bidi="ar-SA"/>
    </w:rPr>
  </w:style>
  <w:style w:type="paragraph" w:customStyle="1" w:styleId="429">
    <w:name w:val="pa-50"/>
    <w:basedOn w:val="1"/>
    <w:autoRedefine/>
    <w:qFormat/>
    <w:uiPriority w:val="99"/>
    <w:pPr>
      <w:widowControl/>
      <w:spacing w:line="280" w:lineRule="atLeast"/>
      <w:ind w:hanging="200"/>
      <w:jc w:val="center"/>
    </w:pPr>
    <w:rPr>
      <w:rFonts w:ascii="宋体" w:hAnsi="宋体" w:eastAsia="宋体" w:cs="宋体"/>
      <w:kern w:val="0"/>
      <w:sz w:val="24"/>
    </w:rPr>
  </w:style>
  <w:style w:type="paragraph" w:customStyle="1" w:styleId="430">
    <w:name w:val="Char Char1 Char Char Char Char Char Char Char Char Char Char"/>
    <w:basedOn w:val="1"/>
    <w:next w:val="1"/>
    <w:autoRedefine/>
    <w:qFormat/>
    <w:uiPriority w:val="99"/>
    <w:rPr>
      <w:rFonts w:ascii="Times New Roman" w:hAnsi="Times New Roman" w:eastAsia="宋体" w:cs="Times New Roman"/>
      <w:kern w:val="0"/>
      <w:szCs w:val="20"/>
    </w:rPr>
  </w:style>
  <w:style w:type="paragraph" w:customStyle="1" w:styleId="431">
    <w:name w:val="pa-133"/>
    <w:basedOn w:val="1"/>
    <w:autoRedefine/>
    <w:qFormat/>
    <w:uiPriority w:val="99"/>
    <w:pPr>
      <w:widowControl/>
      <w:spacing w:line="280" w:lineRule="atLeast"/>
      <w:jc w:val="left"/>
    </w:pPr>
    <w:rPr>
      <w:rFonts w:ascii="宋体" w:hAnsi="宋体" w:eastAsia="宋体" w:cs="宋体"/>
      <w:kern w:val="0"/>
      <w:sz w:val="24"/>
    </w:rPr>
  </w:style>
  <w:style w:type="paragraph" w:customStyle="1" w:styleId="432">
    <w:name w:val="xl33"/>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433">
    <w:name w:val="pa-22"/>
    <w:basedOn w:val="1"/>
    <w:autoRedefine/>
    <w:qFormat/>
    <w:uiPriority w:val="99"/>
    <w:pPr>
      <w:widowControl/>
      <w:spacing w:line="280" w:lineRule="atLeast"/>
      <w:ind w:firstLine="480"/>
    </w:pPr>
    <w:rPr>
      <w:rFonts w:ascii="宋体" w:hAnsi="宋体" w:eastAsia="宋体" w:cs="宋体"/>
      <w:kern w:val="0"/>
      <w:sz w:val="24"/>
    </w:rPr>
  </w:style>
  <w:style w:type="paragraph" w:customStyle="1" w:styleId="434">
    <w:name w:val="ca-7"/>
    <w:basedOn w:val="1"/>
    <w:autoRedefine/>
    <w:qFormat/>
    <w:uiPriority w:val="99"/>
    <w:pPr>
      <w:widowControl/>
      <w:jc w:val="left"/>
    </w:pPr>
    <w:rPr>
      <w:rFonts w:ascii="Calibri" w:hAnsi="Calibri" w:eastAsia="宋体" w:cs="Times New Roman"/>
      <w:color w:val="000000"/>
      <w:kern w:val="0"/>
      <w:sz w:val="28"/>
      <w:szCs w:val="28"/>
    </w:rPr>
  </w:style>
  <w:style w:type="paragraph" w:customStyle="1" w:styleId="435">
    <w:name w:val="ARTICLE"/>
    <w:autoRedefine/>
    <w:qFormat/>
    <w:uiPriority w:val="99"/>
    <w:pPr>
      <w:keepNext/>
      <w:keepLines/>
      <w:spacing w:before="100" w:beforeAutospacing="1" w:after="100" w:afterAutospacing="1" w:line="360" w:lineRule="auto"/>
    </w:pPr>
    <w:rPr>
      <w:rFonts w:ascii="Arial" w:hAnsi="Arial" w:eastAsia="宋体" w:cs="Arial"/>
      <w:caps/>
      <w:u w:val="single"/>
      <w:lang w:val="en-US" w:eastAsia="en-US" w:bidi="ar-SA"/>
    </w:rPr>
  </w:style>
  <w:style w:type="paragraph" w:customStyle="1" w:styleId="436">
    <w:name w:val="pa-110"/>
    <w:basedOn w:val="1"/>
    <w:autoRedefine/>
    <w:qFormat/>
    <w:uiPriority w:val="99"/>
    <w:pPr>
      <w:widowControl/>
      <w:spacing w:line="360" w:lineRule="atLeast"/>
      <w:jc w:val="center"/>
    </w:pPr>
    <w:rPr>
      <w:rFonts w:ascii="宋体" w:hAnsi="宋体" w:eastAsia="宋体" w:cs="宋体"/>
      <w:kern w:val="0"/>
      <w:sz w:val="24"/>
    </w:rPr>
  </w:style>
  <w:style w:type="paragraph" w:customStyle="1" w:styleId="437">
    <w:name w:val="xl39"/>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38">
    <w:name w:val="3"/>
    <w:basedOn w:val="1"/>
    <w:next w:val="1"/>
    <w:autoRedefine/>
    <w:qFormat/>
    <w:uiPriority w:val="99"/>
    <w:pPr>
      <w:spacing w:line="312" w:lineRule="atLeast"/>
      <w:ind w:left="1134" w:hanging="566"/>
    </w:pPr>
    <w:rPr>
      <w:rFonts w:ascii="昆仑楷体" w:hAnsi="Times New Roman" w:eastAsia="昆仑楷体" w:cs="Times New Roman"/>
      <w:kern w:val="0"/>
      <w:sz w:val="24"/>
      <w:szCs w:val="20"/>
    </w:rPr>
  </w:style>
  <w:style w:type="paragraph" w:customStyle="1" w:styleId="439">
    <w:name w:val="pa-103"/>
    <w:basedOn w:val="1"/>
    <w:autoRedefine/>
    <w:qFormat/>
    <w:uiPriority w:val="99"/>
    <w:pPr>
      <w:widowControl/>
      <w:spacing w:line="480" w:lineRule="atLeast"/>
      <w:ind w:firstLine="500"/>
      <w:jc w:val="left"/>
    </w:pPr>
    <w:rPr>
      <w:rFonts w:ascii="宋体" w:hAnsi="宋体" w:eastAsia="宋体" w:cs="宋体"/>
      <w:kern w:val="0"/>
      <w:sz w:val="24"/>
    </w:rPr>
  </w:style>
  <w:style w:type="paragraph" w:customStyle="1" w:styleId="440">
    <w:name w:val="xl68"/>
    <w:basedOn w:val="1"/>
    <w:autoRedefine/>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41">
    <w:name w:val="flNote"/>
    <w:basedOn w:val="1"/>
    <w:autoRedefine/>
    <w:qFormat/>
    <w:uiPriority w:val="99"/>
    <w:pPr>
      <w:adjustRightInd w:val="0"/>
      <w:spacing w:before="320" w:after="160" w:line="360" w:lineRule="atLeast"/>
      <w:jc w:val="center"/>
    </w:pPr>
    <w:rPr>
      <w:rFonts w:ascii="Arial" w:hAnsi="Times New Roman" w:eastAsia="黑体" w:cs="Times New Roman"/>
      <w:kern w:val="0"/>
      <w:sz w:val="30"/>
      <w:szCs w:val="20"/>
    </w:rPr>
  </w:style>
  <w:style w:type="paragraph" w:customStyle="1" w:styleId="442">
    <w:name w:val="正文_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3">
    <w:name w:val="Char Char Char"/>
    <w:basedOn w:val="1"/>
    <w:autoRedefine/>
    <w:qFormat/>
    <w:uiPriority w:val="99"/>
    <w:rPr>
      <w:rFonts w:ascii="Calibri" w:hAnsi="Calibri" w:eastAsia="宋体" w:cs="Times New Roman"/>
    </w:rPr>
  </w:style>
  <w:style w:type="paragraph" w:customStyle="1" w:styleId="444">
    <w:name w:val="pa-72"/>
    <w:basedOn w:val="1"/>
    <w:autoRedefine/>
    <w:qFormat/>
    <w:uiPriority w:val="99"/>
    <w:pPr>
      <w:widowControl/>
      <w:spacing w:line="240" w:lineRule="atLeast"/>
      <w:ind w:firstLine="560"/>
    </w:pPr>
    <w:rPr>
      <w:rFonts w:ascii="宋体" w:hAnsi="宋体" w:eastAsia="宋体" w:cs="宋体"/>
      <w:kern w:val="0"/>
      <w:sz w:val="24"/>
    </w:rPr>
  </w:style>
  <w:style w:type="paragraph" w:customStyle="1" w:styleId="445">
    <w:name w:val="pa-117"/>
    <w:basedOn w:val="1"/>
    <w:autoRedefine/>
    <w:qFormat/>
    <w:uiPriority w:val="99"/>
    <w:pPr>
      <w:widowControl/>
      <w:spacing w:line="360" w:lineRule="atLeast"/>
      <w:ind w:firstLine="3840"/>
    </w:pPr>
    <w:rPr>
      <w:rFonts w:ascii="宋体" w:hAnsi="宋体" w:eastAsia="宋体" w:cs="宋体"/>
      <w:kern w:val="0"/>
      <w:sz w:val="24"/>
    </w:rPr>
  </w:style>
  <w:style w:type="paragraph" w:customStyle="1" w:styleId="446">
    <w:name w:val="-PART-"/>
    <w:autoRedefine/>
    <w:qFormat/>
    <w:uiPriority w:val="99"/>
    <w:pPr>
      <w:keepNext/>
      <w:keepLines/>
      <w:spacing w:before="100" w:beforeAutospacing="1" w:after="100" w:afterAutospacing="1" w:line="360" w:lineRule="auto"/>
    </w:pPr>
    <w:rPr>
      <w:rFonts w:ascii="Arial" w:hAnsi="Arial" w:eastAsia="宋体" w:cs="Arial"/>
      <w:b/>
      <w:bCs/>
      <w:caps/>
      <w:sz w:val="24"/>
      <w:lang w:val="en-US" w:eastAsia="en-US" w:bidi="ar-SA"/>
    </w:rPr>
  </w:style>
  <w:style w:type="paragraph" w:customStyle="1" w:styleId="447">
    <w:name w:val="修订111"/>
    <w:autoRedefine/>
    <w:qFormat/>
    <w:uiPriority w:val="99"/>
    <w:rPr>
      <w:rFonts w:ascii="Times New Roman" w:hAnsi="Times New Roman" w:eastAsia="宋体" w:cs="Times New Roman"/>
      <w:kern w:val="2"/>
      <w:sz w:val="21"/>
      <w:szCs w:val="24"/>
      <w:lang w:val="en-US" w:eastAsia="zh-CN" w:bidi="ar-SA"/>
    </w:rPr>
  </w:style>
  <w:style w:type="paragraph" w:customStyle="1" w:styleId="448">
    <w:name w:val="pa-69"/>
    <w:basedOn w:val="1"/>
    <w:autoRedefine/>
    <w:qFormat/>
    <w:uiPriority w:val="99"/>
    <w:pPr>
      <w:widowControl/>
      <w:spacing w:line="240" w:lineRule="atLeast"/>
      <w:ind w:firstLine="1140"/>
    </w:pPr>
    <w:rPr>
      <w:rFonts w:ascii="宋体" w:hAnsi="宋体" w:eastAsia="宋体" w:cs="宋体"/>
      <w:kern w:val="0"/>
      <w:sz w:val="24"/>
    </w:rPr>
  </w:style>
  <w:style w:type="paragraph" w:customStyle="1" w:styleId="449">
    <w:name w:val="纯文本1"/>
    <w:basedOn w:val="214"/>
    <w:autoRedefine/>
    <w:qFormat/>
    <w:uiPriority w:val="99"/>
    <w:pPr>
      <w:widowControl/>
      <w:jc w:val="left"/>
    </w:pPr>
    <w:rPr>
      <w:rFonts w:ascii="宋体" w:hAnsi="Courier New"/>
    </w:rPr>
  </w:style>
  <w:style w:type="paragraph" w:customStyle="1" w:styleId="450">
    <w:name w:val="pa-6"/>
    <w:basedOn w:val="1"/>
    <w:autoRedefine/>
    <w:qFormat/>
    <w:uiPriority w:val="99"/>
    <w:pPr>
      <w:widowControl/>
      <w:spacing w:line="560" w:lineRule="atLeast"/>
    </w:pPr>
    <w:rPr>
      <w:rFonts w:ascii="宋体" w:hAnsi="宋体" w:eastAsia="宋体" w:cs="宋体"/>
      <w:kern w:val="0"/>
      <w:sz w:val="24"/>
    </w:rPr>
  </w:style>
  <w:style w:type="paragraph" w:customStyle="1" w:styleId="451">
    <w:name w:val="pa-46"/>
    <w:basedOn w:val="1"/>
    <w:autoRedefine/>
    <w:qFormat/>
    <w:uiPriority w:val="99"/>
    <w:pPr>
      <w:widowControl/>
      <w:spacing w:line="280" w:lineRule="atLeast"/>
      <w:ind w:firstLine="420"/>
      <w:jc w:val="left"/>
    </w:pPr>
    <w:rPr>
      <w:rFonts w:ascii="宋体" w:hAnsi="宋体" w:eastAsia="宋体" w:cs="宋体"/>
      <w:kern w:val="0"/>
      <w:sz w:val="24"/>
    </w:rPr>
  </w:style>
  <w:style w:type="paragraph" w:customStyle="1" w:styleId="452">
    <w:name w:val="样式 正文（首行缩进两字） + 首行缩进:  2 字符"/>
    <w:basedOn w:val="16"/>
    <w:autoRedefine/>
    <w:qFormat/>
    <w:uiPriority w:val="99"/>
    <w:pPr>
      <w:spacing w:line="460" w:lineRule="exact"/>
      <w:ind w:firstLine="536" w:firstLineChars="200"/>
    </w:pPr>
    <w:rPr>
      <w:rFonts w:ascii="Calibri" w:hAnsi="Calibri"/>
      <w:spacing w:val="6"/>
      <w:kern w:val="24"/>
      <w:sz w:val="24"/>
    </w:rPr>
  </w:style>
  <w:style w:type="paragraph" w:customStyle="1" w:styleId="453">
    <w:name w:val="pa-134"/>
    <w:basedOn w:val="1"/>
    <w:autoRedefine/>
    <w:qFormat/>
    <w:uiPriority w:val="99"/>
    <w:pPr>
      <w:widowControl/>
      <w:spacing w:line="360" w:lineRule="atLeast"/>
    </w:pPr>
    <w:rPr>
      <w:rFonts w:ascii="宋体" w:hAnsi="宋体" w:eastAsia="宋体" w:cs="宋体"/>
      <w:kern w:val="0"/>
      <w:sz w:val="24"/>
    </w:rPr>
  </w:style>
  <w:style w:type="paragraph" w:customStyle="1" w:styleId="454">
    <w:name w:val="ca-22"/>
    <w:basedOn w:val="1"/>
    <w:autoRedefine/>
    <w:qFormat/>
    <w:uiPriority w:val="99"/>
    <w:pPr>
      <w:widowControl/>
      <w:jc w:val="left"/>
    </w:pPr>
    <w:rPr>
      <w:rFonts w:ascii="宋体" w:hAnsi="宋体" w:eastAsia="宋体" w:cs="宋体"/>
      <w:kern w:val="0"/>
      <w:szCs w:val="21"/>
    </w:rPr>
  </w:style>
  <w:style w:type="paragraph" w:customStyle="1" w:styleId="455">
    <w:name w:val="表格格式"/>
    <w:basedOn w:val="1"/>
    <w:autoRedefine/>
    <w:qFormat/>
    <w:uiPriority w:val="99"/>
    <w:pPr>
      <w:spacing w:line="360" w:lineRule="exact"/>
      <w:ind w:left="-91"/>
      <w:jc w:val="left"/>
    </w:pPr>
    <w:rPr>
      <w:rFonts w:ascii="宋体" w:hAnsi="Calibri" w:eastAsia="宋体" w:cs="Times New Roman"/>
      <w:kern w:val="0"/>
      <w:sz w:val="24"/>
      <w:szCs w:val="11"/>
    </w:rPr>
  </w:style>
  <w:style w:type="paragraph" w:customStyle="1" w:styleId="456">
    <w:name w:val="pa-140"/>
    <w:basedOn w:val="1"/>
    <w:autoRedefine/>
    <w:qFormat/>
    <w:uiPriority w:val="99"/>
    <w:pPr>
      <w:widowControl/>
      <w:spacing w:line="320" w:lineRule="atLeast"/>
      <w:ind w:firstLine="560"/>
    </w:pPr>
    <w:rPr>
      <w:rFonts w:ascii="宋体" w:hAnsi="宋体" w:eastAsia="宋体" w:cs="宋体"/>
      <w:kern w:val="0"/>
      <w:sz w:val="24"/>
    </w:rPr>
  </w:style>
  <w:style w:type="paragraph" w:customStyle="1" w:styleId="457">
    <w:name w:val="style1"/>
    <w:basedOn w:val="1"/>
    <w:autoRedefine/>
    <w:qFormat/>
    <w:uiPriority w:val="99"/>
    <w:pPr>
      <w:widowControl/>
      <w:spacing w:before="100" w:beforeAutospacing="1" w:after="100" w:afterAutospacing="1" w:line="432" w:lineRule="auto"/>
      <w:jc w:val="left"/>
    </w:pPr>
    <w:rPr>
      <w:rFonts w:ascii="宋体" w:hAnsi="宋体" w:eastAsia="宋体" w:cs="宋体"/>
      <w:kern w:val="0"/>
      <w:sz w:val="27"/>
      <w:szCs w:val="27"/>
    </w:rPr>
  </w:style>
  <w:style w:type="paragraph" w:customStyle="1" w:styleId="458">
    <w:name w:val="List Paragraph1"/>
    <w:basedOn w:val="1"/>
    <w:autoRedefine/>
    <w:qFormat/>
    <w:uiPriority w:val="99"/>
    <w:pPr>
      <w:ind w:firstLine="420" w:firstLineChars="200"/>
    </w:pPr>
    <w:rPr>
      <w:rFonts w:ascii="Times New Roman" w:hAnsi="Times New Roman" w:eastAsia="宋体" w:cs="Times New Roman"/>
      <w:kern w:val="0"/>
      <w:sz w:val="20"/>
      <w:szCs w:val="24"/>
    </w:rPr>
  </w:style>
  <w:style w:type="paragraph" w:customStyle="1" w:styleId="459">
    <w:name w:val="正文_13"/>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0">
    <w:name w:val="ca-25"/>
    <w:basedOn w:val="1"/>
    <w:autoRedefine/>
    <w:qFormat/>
    <w:uiPriority w:val="99"/>
    <w:pPr>
      <w:widowControl/>
      <w:jc w:val="left"/>
    </w:pPr>
    <w:rPr>
      <w:rFonts w:ascii="Calibri" w:hAnsi="Calibri" w:eastAsia="宋体" w:cs="Times New Roman"/>
      <w:kern w:val="0"/>
      <w:szCs w:val="21"/>
    </w:rPr>
  </w:style>
  <w:style w:type="paragraph" w:customStyle="1" w:styleId="461">
    <w:name w:val="标题B"/>
    <w:basedOn w:val="5"/>
    <w:autoRedefine/>
    <w:qFormat/>
    <w:uiPriority w:val="99"/>
    <w:pPr>
      <w:adjustRightInd w:val="0"/>
      <w:spacing w:before="100" w:beforeAutospacing="1" w:after="100" w:afterAutospacing="1" w:line="240" w:lineRule="auto"/>
      <w:jc w:val="center"/>
    </w:pPr>
    <w:rPr>
      <w:rFonts w:ascii="Arial" w:hAnsi="Arial" w:eastAsia="宋体"/>
      <w:kern w:val="0"/>
      <w:sz w:val="28"/>
      <w:szCs w:val="28"/>
    </w:rPr>
  </w:style>
  <w:style w:type="paragraph" w:customStyle="1" w:styleId="462">
    <w:name w:val="pa-95"/>
    <w:basedOn w:val="1"/>
    <w:autoRedefine/>
    <w:qFormat/>
    <w:uiPriority w:val="99"/>
    <w:pPr>
      <w:widowControl/>
      <w:spacing w:line="440" w:lineRule="atLeast"/>
      <w:jc w:val="center"/>
    </w:pPr>
    <w:rPr>
      <w:rFonts w:ascii="宋体" w:hAnsi="宋体" w:eastAsia="宋体" w:cs="宋体"/>
      <w:kern w:val="0"/>
      <w:sz w:val="24"/>
    </w:rPr>
  </w:style>
  <w:style w:type="paragraph" w:customStyle="1" w:styleId="463">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4">
    <w:name w:val="pa-74"/>
    <w:basedOn w:val="1"/>
    <w:autoRedefine/>
    <w:qFormat/>
    <w:uiPriority w:val="99"/>
    <w:pPr>
      <w:widowControl/>
      <w:spacing w:line="360" w:lineRule="atLeast"/>
      <w:ind w:firstLine="640"/>
      <w:jc w:val="center"/>
    </w:pPr>
    <w:rPr>
      <w:rFonts w:ascii="宋体" w:hAnsi="宋体" w:eastAsia="宋体" w:cs="宋体"/>
      <w:kern w:val="0"/>
      <w:sz w:val="24"/>
    </w:rPr>
  </w:style>
  <w:style w:type="paragraph" w:customStyle="1" w:styleId="465">
    <w:name w:val="C Part --"/>
    <w:autoRedefine/>
    <w:qFormat/>
    <w:uiPriority w:val="99"/>
    <w:pPr>
      <w:spacing w:before="100" w:beforeAutospacing="1" w:line="360" w:lineRule="auto"/>
      <w:jc w:val="both"/>
    </w:pPr>
    <w:rPr>
      <w:rFonts w:ascii="宋体" w:hAnsi="宋体" w:eastAsia="宋体" w:cs="Times New Roman"/>
      <w:kern w:val="2"/>
      <w:lang w:val="en-US" w:eastAsia="zh-CN" w:bidi="ar-SA"/>
    </w:rPr>
  </w:style>
  <w:style w:type="paragraph" w:customStyle="1" w:styleId="466">
    <w:name w:val="pa-106"/>
    <w:basedOn w:val="1"/>
    <w:autoRedefine/>
    <w:qFormat/>
    <w:uiPriority w:val="99"/>
    <w:pPr>
      <w:widowControl/>
      <w:spacing w:line="720" w:lineRule="atLeast"/>
    </w:pPr>
    <w:rPr>
      <w:rFonts w:ascii="宋体" w:hAnsi="宋体" w:eastAsia="宋体" w:cs="宋体"/>
      <w:kern w:val="0"/>
      <w:sz w:val="24"/>
    </w:rPr>
  </w:style>
  <w:style w:type="paragraph" w:customStyle="1" w:styleId="467">
    <w:name w:val="xl70"/>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68">
    <w:name w:val="pa-49"/>
    <w:basedOn w:val="1"/>
    <w:autoRedefine/>
    <w:qFormat/>
    <w:uiPriority w:val="99"/>
    <w:pPr>
      <w:widowControl/>
      <w:spacing w:line="280" w:lineRule="atLeast"/>
      <w:ind w:firstLine="440"/>
      <w:jc w:val="left"/>
    </w:pPr>
    <w:rPr>
      <w:rFonts w:ascii="宋体" w:hAnsi="宋体" w:eastAsia="宋体" w:cs="宋体"/>
      <w:kern w:val="0"/>
      <w:sz w:val="24"/>
    </w:rPr>
  </w:style>
  <w:style w:type="paragraph" w:customStyle="1" w:styleId="469">
    <w:name w:val="pa-94"/>
    <w:basedOn w:val="1"/>
    <w:autoRedefine/>
    <w:qFormat/>
    <w:uiPriority w:val="99"/>
    <w:pPr>
      <w:widowControl/>
      <w:spacing w:line="480" w:lineRule="atLeast"/>
      <w:jc w:val="left"/>
    </w:pPr>
    <w:rPr>
      <w:rFonts w:ascii="宋体" w:hAnsi="宋体" w:eastAsia="宋体" w:cs="宋体"/>
      <w:kern w:val="0"/>
      <w:sz w:val="24"/>
    </w:rPr>
  </w:style>
  <w:style w:type="paragraph" w:customStyle="1" w:styleId="470">
    <w:name w:val="Char1_0"/>
    <w:basedOn w:val="1"/>
    <w:autoRedefine/>
    <w:qFormat/>
    <w:uiPriority w:val="99"/>
    <w:rPr>
      <w:rFonts w:ascii="Calibri" w:hAnsi="Calibri" w:eastAsia="宋体" w:cs="Times New Roman"/>
      <w:szCs w:val="20"/>
    </w:rPr>
  </w:style>
  <w:style w:type="paragraph" w:customStyle="1" w:styleId="471">
    <w:name w:val="ca-40"/>
    <w:basedOn w:val="1"/>
    <w:autoRedefine/>
    <w:qFormat/>
    <w:uiPriority w:val="99"/>
    <w:pPr>
      <w:widowControl/>
      <w:jc w:val="left"/>
    </w:pPr>
    <w:rPr>
      <w:rFonts w:ascii="Calibri" w:hAnsi="Calibri" w:eastAsia="宋体" w:cs="Times New Roman"/>
      <w:kern w:val="0"/>
      <w:sz w:val="20"/>
      <w:szCs w:val="20"/>
    </w:rPr>
  </w:style>
  <w:style w:type="paragraph" w:customStyle="1" w:styleId="472">
    <w:name w:val="pa-138"/>
    <w:basedOn w:val="1"/>
    <w:autoRedefine/>
    <w:qFormat/>
    <w:uiPriority w:val="99"/>
    <w:pPr>
      <w:widowControl/>
      <w:spacing w:line="480" w:lineRule="atLeast"/>
      <w:ind w:firstLine="960"/>
      <w:jc w:val="center"/>
    </w:pPr>
    <w:rPr>
      <w:rFonts w:ascii="宋体" w:hAnsi="宋体" w:eastAsia="宋体" w:cs="宋体"/>
      <w:kern w:val="0"/>
      <w:sz w:val="24"/>
    </w:rPr>
  </w:style>
  <w:style w:type="character" w:customStyle="1" w:styleId="473">
    <w:name w:val="列出段落 字符"/>
    <w:link w:val="474"/>
    <w:autoRedefine/>
    <w:qFormat/>
    <w:locked/>
    <w:uiPriority w:val="0"/>
    <w:rPr>
      <w:rFonts w:ascii="Calibri" w:hAnsi="Calibri" w:cs="Calibri"/>
    </w:rPr>
  </w:style>
  <w:style w:type="paragraph" w:customStyle="1" w:styleId="474">
    <w:name w:val="列出段落1"/>
    <w:basedOn w:val="1"/>
    <w:link w:val="473"/>
    <w:autoRedefine/>
    <w:qFormat/>
    <w:uiPriority w:val="0"/>
    <w:pPr>
      <w:ind w:firstLine="420" w:firstLineChars="200"/>
    </w:pPr>
    <w:rPr>
      <w:rFonts w:ascii="Calibri" w:hAnsi="Calibri" w:cs="Calibri"/>
    </w:rPr>
  </w:style>
  <w:style w:type="paragraph" w:customStyle="1" w:styleId="475">
    <w:name w:val="xl26"/>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76">
    <w:name w:val="pa-5"/>
    <w:basedOn w:val="1"/>
    <w:autoRedefine/>
    <w:qFormat/>
    <w:uiPriority w:val="99"/>
    <w:pPr>
      <w:widowControl/>
      <w:spacing w:line="1000" w:lineRule="atLeast"/>
      <w:jc w:val="center"/>
    </w:pPr>
    <w:rPr>
      <w:rFonts w:ascii="宋体" w:hAnsi="宋体" w:eastAsia="宋体" w:cs="宋体"/>
      <w:kern w:val="0"/>
      <w:sz w:val="24"/>
    </w:rPr>
  </w:style>
  <w:style w:type="paragraph" w:customStyle="1" w:styleId="477">
    <w:name w:val="pa-102"/>
    <w:basedOn w:val="1"/>
    <w:autoRedefine/>
    <w:qFormat/>
    <w:uiPriority w:val="99"/>
    <w:pPr>
      <w:widowControl/>
      <w:spacing w:line="300" w:lineRule="atLeast"/>
      <w:jc w:val="center"/>
    </w:pPr>
    <w:rPr>
      <w:rFonts w:ascii="宋体" w:hAnsi="宋体" w:eastAsia="宋体" w:cs="宋体"/>
      <w:kern w:val="0"/>
      <w:sz w:val="24"/>
    </w:rPr>
  </w:style>
  <w:style w:type="paragraph" w:customStyle="1" w:styleId="478">
    <w:name w:val="pa-14"/>
    <w:basedOn w:val="1"/>
    <w:autoRedefine/>
    <w:qFormat/>
    <w:uiPriority w:val="99"/>
    <w:pPr>
      <w:widowControl/>
      <w:spacing w:line="360" w:lineRule="atLeast"/>
      <w:jc w:val="left"/>
    </w:pPr>
    <w:rPr>
      <w:rFonts w:ascii="宋体" w:hAnsi="宋体" w:eastAsia="宋体" w:cs="宋体"/>
      <w:kern w:val="0"/>
      <w:sz w:val="24"/>
    </w:rPr>
  </w:style>
  <w:style w:type="paragraph" w:customStyle="1" w:styleId="479">
    <w:name w:val="正文_1_2"/>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480">
    <w:name w:val="ca-0"/>
    <w:basedOn w:val="1"/>
    <w:autoRedefine/>
    <w:qFormat/>
    <w:uiPriority w:val="99"/>
    <w:pPr>
      <w:widowControl/>
      <w:jc w:val="left"/>
    </w:pPr>
    <w:rPr>
      <w:rFonts w:ascii="宋体" w:hAnsi="宋体" w:eastAsia="宋体" w:cs="宋体"/>
      <w:color w:val="000000"/>
      <w:kern w:val="0"/>
      <w:sz w:val="48"/>
      <w:szCs w:val="48"/>
    </w:rPr>
  </w:style>
  <w:style w:type="paragraph" w:customStyle="1" w:styleId="481">
    <w:name w:val="td-5"/>
    <w:basedOn w:val="1"/>
    <w:autoRedefine/>
    <w:qFormat/>
    <w:uiPriority w:val="99"/>
    <w:pPr>
      <w:widowControl/>
      <w:pBdr>
        <w:top w:val="single" w:color="000000" w:sz="12" w:space="0"/>
        <w:left w:val="single" w:color="000000" w:sz="4" w:space="4"/>
        <w:bottom w:val="single" w:color="000000" w:sz="4" w:space="0"/>
        <w:right w:val="single" w:color="000000" w:sz="4" w:space="0"/>
      </w:pBdr>
      <w:jc w:val="left"/>
    </w:pPr>
    <w:rPr>
      <w:rFonts w:ascii="宋体" w:hAnsi="宋体" w:eastAsia="宋体" w:cs="宋体"/>
      <w:kern w:val="0"/>
      <w:sz w:val="24"/>
    </w:rPr>
  </w:style>
  <w:style w:type="paragraph" w:customStyle="1" w:styleId="482">
    <w:name w:val="Default_0"/>
    <w:autoRedefine/>
    <w:qFormat/>
    <w:uiPriority w:val="99"/>
    <w:pPr>
      <w:widowControl w:val="0"/>
      <w:jc w:val="both"/>
    </w:pPr>
    <w:rPr>
      <w:rFonts w:ascii="Arial Unicode MS" w:hAnsi="Arial Unicode MS" w:eastAsia="ヒラギノ角ゴ Pro W3" w:cs="Times New Roman"/>
      <w:color w:val="000000"/>
      <w:sz w:val="24"/>
      <w:lang w:val="en-US" w:eastAsia="zh-CN" w:bidi="ar-SA"/>
    </w:rPr>
  </w:style>
  <w:style w:type="paragraph" w:customStyle="1" w:styleId="483">
    <w:name w:val="pa-92"/>
    <w:basedOn w:val="1"/>
    <w:autoRedefine/>
    <w:qFormat/>
    <w:uiPriority w:val="99"/>
    <w:pPr>
      <w:widowControl/>
      <w:spacing w:line="480" w:lineRule="atLeast"/>
      <w:ind w:firstLine="480"/>
    </w:pPr>
    <w:rPr>
      <w:rFonts w:ascii="宋体" w:hAnsi="宋体" w:eastAsia="宋体" w:cs="宋体"/>
      <w:kern w:val="0"/>
      <w:sz w:val="24"/>
    </w:rPr>
  </w:style>
  <w:style w:type="paragraph" w:customStyle="1" w:styleId="484">
    <w:name w:val="CPara-"/>
    <w:autoRedefine/>
    <w:qFormat/>
    <w:uiPriority w:val="9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576"/>
    </w:pPr>
    <w:rPr>
      <w:rFonts w:ascii="宋体" w:hAnsi="宋体" w:eastAsia="宋体" w:cs="Times New Roman"/>
      <w:lang w:val="en-US" w:eastAsia="en-US" w:bidi="ar-SA"/>
    </w:rPr>
  </w:style>
  <w:style w:type="paragraph" w:customStyle="1" w:styleId="485">
    <w:name w:val="ca-6"/>
    <w:basedOn w:val="1"/>
    <w:autoRedefine/>
    <w:qFormat/>
    <w:uiPriority w:val="99"/>
    <w:pPr>
      <w:widowControl/>
      <w:jc w:val="left"/>
    </w:pPr>
    <w:rPr>
      <w:rFonts w:ascii="宋体" w:hAnsi="宋体" w:eastAsia="宋体" w:cs="宋体"/>
      <w:color w:val="000000"/>
      <w:kern w:val="0"/>
      <w:sz w:val="30"/>
      <w:szCs w:val="30"/>
    </w:rPr>
  </w:style>
  <w:style w:type="paragraph" w:customStyle="1" w:styleId="486">
    <w:name w:val="pa-89"/>
    <w:basedOn w:val="1"/>
    <w:autoRedefine/>
    <w:qFormat/>
    <w:uiPriority w:val="99"/>
    <w:pPr>
      <w:widowControl/>
      <w:spacing w:line="320" w:lineRule="atLeast"/>
    </w:pPr>
    <w:rPr>
      <w:rFonts w:ascii="宋体" w:hAnsi="宋体" w:eastAsia="宋体" w:cs="宋体"/>
      <w:kern w:val="0"/>
      <w:sz w:val="24"/>
    </w:rPr>
  </w:style>
  <w:style w:type="paragraph" w:customStyle="1" w:styleId="487">
    <w:name w:val="msonormalcxspmiddle"/>
    <w:basedOn w:val="1"/>
    <w:autoRedefine/>
    <w:qFormat/>
    <w:uiPriority w:val="99"/>
    <w:pPr>
      <w:widowControl/>
      <w:spacing w:before="100" w:beforeAutospacing="1" w:after="100" w:afterAutospacing="1"/>
      <w:jc w:val="left"/>
    </w:pPr>
    <w:rPr>
      <w:rFonts w:ascii="宋体" w:hAnsi="宋体" w:eastAsia="宋体" w:cs="宋体"/>
      <w:kern w:val="0"/>
      <w:sz w:val="24"/>
    </w:rPr>
  </w:style>
  <w:style w:type="paragraph" w:customStyle="1" w:styleId="488">
    <w:name w:val="默认段落字体 Para Char Char Char Char Char Char Char Char Char1 Char"/>
    <w:basedOn w:val="1"/>
    <w:autoRedefine/>
    <w:qFormat/>
    <w:uiPriority w:val="99"/>
    <w:pPr>
      <w:tabs>
        <w:tab w:val="left" w:pos="1260"/>
      </w:tabs>
      <w:spacing w:line="360" w:lineRule="auto"/>
      <w:ind w:left="1260" w:firstLine="480" w:firstLineChars="200"/>
    </w:pPr>
    <w:rPr>
      <w:rFonts w:ascii="Tahoma" w:hAnsi="Tahoma" w:eastAsia="宋体" w:cs="Times New Roman"/>
      <w:sz w:val="24"/>
      <w:szCs w:val="20"/>
    </w:rPr>
  </w:style>
  <w:style w:type="paragraph" w:customStyle="1" w:styleId="489">
    <w:name w:val="Char Char Char Char Char Char Char Char Char Char Char Char Char Char Char Char Char Char Char Char Char Char Char Char Char Char Char Char Char1 Char Char Char Char Char Char Char Char Char Char Char Char"/>
    <w:basedOn w:val="1"/>
    <w:autoRedefine/>
    <w:qFormat/>
    <w:uiPriority w:val="99"/>
    <w:rPr>
      <w:rFonts w:ascii="仿宋_GB2312" w:hAnsi="Times New Roman" w:eastAsia="仿宋_GB2312" w:cs="Times New Roman"/>
      <w:b/>
      <w:sz w:val="32"/>
      <w:szCs w:val="24"/>
    </w:rPr>
  </w:style>
  <w:style w:type="paragraph" w:customStyle="1" w:styleId="490">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1">
    <w:name w:val="pa-34"/>
    <w:basedOn w:val="1"/>
    <w:autoRedefine/>
    <w:qFormat/>
    <w:uiPriority w:val="99"/>
    <w:pPr>
      <w:widowControl/>
      <w:spacing w:line="360" w:lineRule="atLeast"/>
      <w:ind w:firstLine="460"/>
    </w:pPr>
    <w:rPr>
      <w:rFonts w:ascii="宋体" w:hAnsi="宋体" w:eastAsia="宋体" w:cs="宋体"/>
      <w:kern w:val="0"/>
      <w:sz w:val="24"/>
    </w:rPr>
  </w:style>
  <w:style w:type="paragraph" w:customStyle="1" w:styleId="492">
    <w:name w:val="正文 A"/>
    <w:autoRedefine/>
    <w:qFormat/>
    <w:uiPriority w:val="99"/>
    <w:pPr>
      <w:widowControl w:val="0"/>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493">
    <w:name w:val="f1"/>
    <w:basedOn w:val="1"/>
    <w:autoRedefine/>
    <w:qFormat/>
    <w:uiPriority w:val="99"/>
    <w:pPr>
      <w:widowControl/>
      <w:spacing w:before="100" w:beforeAutospacing="1" w:after="100" w:afterAutospacing="1"/>
      <w:jc w:val="center"/>
    </w:pPr>
    <w:rPr>
      <w:rFonts w:ascii="Helvetica" w:hAnsi="Helvetica" w:eastAsia="宋体" w:cs="Helvetica"/>
      <w:b/>
      <w:bCs/>
      <w:color w:val="FF8080"/>
      <w:spacing w:val="160"/>
      <w:kern w:val="0"/>
      <w:sz w:val="80"/>
      <w:szCs w:val="80"/>
    </w:rPr>
  </w:style>
  <w:style w:type="paragraph" w:customStyle="1" w:styleId="494">
    <w:name w:val="文档正文"/>
    <w:basedOn w:val="1"/>
    <w:autoRedefine/>
    <w:qFormat/>
    <w:uiPriority w:val="99"/>
    <w:pPr>
      <w:adjustRightInd w:val="0"/>
      <w:spacing w:line="312" w:lineRule="atLeast"/>
      <w:ind w:firstLine="567"/>
    </w:pPr>
    <w:rPr>
      <w:rFonts w:ascii="长城仿宋" w:hAnsi="Calibri" w:eastAsia="长城仿宋" w:cs="Times New Roman"/>
      <w:sz w:val="28"/>
    </w:rPr>
  </w:style>
  <w:style w:type="paragraph" w:customStyle="1" w:styleId="495">
    <w:name w:val="pa-60"/>
    <w:basedOn w:val="1"/>
    <w:autoRedefine/>
    <w:qFormat/>
    <w:uiPriority w:val="99"/>
    <w:pPr>
      <w:widowControl/>
      <w:spacing w:line="360" w:lineRule="atLeast"/>
      <w:ind w:firstLine="560"/>
    </w:pPr>
    <w:rPr>
      <w:rFonts w:ascii="宋体" w:hAnsi="宋体" w:eastAsia="宋体" w:cs="宋体"/>
      <w:kern w:val="0"/>
      <w:sz w:val="24"/>
    </w:rPr>
  </w:style>
  <w:style w:type="paragraph" w:customStyle="1" w:styleId="496">
    <w:name w:val="xl36"/>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497">
    <w:name w:val="pa-21"/>
    <w:basedOn w:val="1"/>
    <w:autoRedefine/>
    <w:qFormat/>
    <w:uiPriority w:val="99"/>
    <w:pPr>
      <w:widowControl/>
      <w:spacing w:line="240" w:lineRule="atLeast"/>
      <w:ind w:firstLine="420"/>
    </w:pPr>
    <w:rPr>
      <w:rFonts w:ascii="宋体" w:hAnsi="宋体" w:eastAsia="宋体" w:cs="宋体"/>
      <w:kern w:val="0"/>
      <w:sz w:val="24"/>
    </w:rPr>
  </w:style>
  <w:style w:type="paragraph" w:customStyle="1" w:styleId="498">
    <w:name w:val="Alinéa -"/>
    <w:autoRedefine/>
    <w:qFormat/>
    <w:uiPriority w:val="99"/>
    <w:pPr>
      <w:tabs>
        <w:tab w:val="left" w:pos="1381"/>
      </w:tabs>
      <w:spacing w:line="360" w:lineRule="auto"/>
      <w:ind w:left="284"/>
      <w:jc w:val="both"/>
    </w:pPr>
    <w:rPr>
      <w:rFonts w:ascii="Arial" w:hAnsi="Arial" w:eastAsia="宋体" w:cs="Arial"/>
      <w:lang w:val="en-GB" w:eastAsia="fr-FR" w:bidi="ar-SA"/>
    </w:rPr>
  </w:style>
  <w:style w:type="paragraph" w:customStyle="1" w:styleId="499">
    <w:name w:val="pa-81"/>
    <w:basedOn w:val="1"/>
    <w:autoRedefine/>
    <w:qFormat/>
    <w:uiPriority w:val="99"/>
    <w:pPr>
      <w:widowControl/>
      <w:spacing w:line="360" w:lineRule="atLeast"/>
      <w:jc w:val="center"/>
    </w:pPr>
    <w:rPr>
      <w:rFonts w:ascii="宋体" w:hAnsi="宋体" w:eastAsia="宋体" w:cs="宋体"/>
      <w:kern w:val="0"/>
      <w:sz w:val="24"/>
    </w:rPr>
  </w:style>
  <w:style w:type="paragraph" w:customStyle="1" w:styleId="500">
    <w:name w:val="pa-135"/>
    <w:basedOn w:val="1"/>
    <w:autoRedefine/>
    <w:qFormat/>
    <w:uiPriority w:val="99"/>
    <w:pPr>
      <w:widowControl/>
      <w:spacing w:line="480" w:lineRule="atLeast"/>
      <w:ind w:firstLine="520"/>
    </w:pPr>
    <w:rPr>
      <w:rFonts w:ascii="宋体" w:hAnsi="宋体" w:eastAsia="宋体" w:cs="宋体"/>
      <w:kern w:val="0"/>
      <w:sz w:val="24"/>
    </w:rPr>
  </w:style>
  <w:style w:type="paragraph" w:customStyle="1" w:styleId="501">
    <w:name w:val="ca-50"/>
    <w:basedOn w:val="1"/>
    <w:autoRedefine/>
    <w:qFormat/>
    <w:uiPriority w:val="99"/>
    <w:pPr>
      <w:widowControl/>
      <w:jc w:val="left"/>
    </w:pPr>
    <w:rPr>
      <w:rFonts w:ascii="宋体" w:hAnsi="宋体" w:eastAsia="宋体" w:cs="宋体"/>
      <w:kern w:val="0"/>
      <w:sz w:val="24"/>
    </w:rPr>
  </w:style>
  <w:style w:type="paragraph" w:customStyle="1" w:styleId="502">
    <w:name w:val="ca-11"/>
    <w:basedOn w:val="1"/>
    <w:autoRedefine/>
    <w:qFormat/>
    <w:uiPriority w:val="99"/>
    <w:pPr>
      <w:widowControl/>
      <w:jc w:val="left"/>
    </w:pPr>
    <w:rPr>
      <w:rFonts w:ascii="Calibri" w:hAnsi="Calibri" w:eastAsia="宋体" w:cs="Times New Roman"/>
      <w:color w:val="000000"/>
      <w:kern w:val="0"/>
      <w:sz w:val="30"/>
      <w:szCs w:val="30"/>
    </w:rPr>
  </w:style>
  <w:style w:type="paragraph" w:customStyle="1" w:styleId="503">
    <w:name w:val="ca-52"/>
    <w:basedOn w:val="1"/>
    <w:autoRedefine/>
    <w:qFormat/>
    <w:uiPriority w:val="99"/>
    <w:pPr>
      <w:widowControl/>
      <w:jc w:val="left"/>
    </w:pPr>
    <w:rPr>
      <w:rFonts w:ascii="宋体" w:hAnsi="宋体" w:eastAsia="宋体" w:cs="宋体"/>
      <w:b/>
      <w:bCs/>
      <w:spacing w:val="-20"/>
      <w:kern w:val="0"/>
      <w:sz w:val="36"/>
      <w:szCs w:val="36"/>
    </w:rPr>
  </w:style>
  <w:style w:type="paragraph" w:customStyle="1" w:styleId="504">
    <w:name w:val="pa-130"/>
    <w:basedOn w:val="1"/>
    <w:autoRedefine/>
    <w:qFormat/>
    <w:uiPriority w:val="99"/>
    <w:pPr>
      <w:widowControl/>
      <w:spacing w:line="300" w:lineRule="atLeast"/>
      <w:jc w:val="left"/>
    </w:pPr>
    <w:rPr>
      <w:rFonts w:ascii="宋体" w:hAnsi="宋体" w:eastAsia="宋体" w:cs="宋体"/>
      <w:kern w:val="0"/>
      <w:sz w:val="24"/>
    </w:rPr>
  </w:style>
  <w:style w:type="paragraph" w:customStyle="1" w:styleId="505">
    <w:name w:val="1"/>
    <w:basedOn w:val="1"/>
    <w:next w:val="1"/>
    <w:autoRedefine/>
    <w:qFormat/>
    <w:uiPriority w:val="99"/>
    <w:rPr>
      <w:rFonts w:ascii="Calibri" w:hAnsi="Calibri" w:eastAsia="宋体" w:cs="Times New Roman"/>
    </w:rPr>
  </w:style>
  <w:style w:type="paragraph" w:customStyle="1" w:styleId="506">
    <w:name w:val="TOC 标题111"/>
    <w:next w:val="1"/>
    <w:autoRedefine/>
    <w:qFormat/>
    <w:uiPriority w:val="99"/>
    <w:pPr>
      <w:wordWrap w:val="0"/>
    </w:pPr>
    <w:rPr>
      <w:rFonts w:ascii="宋体" w:hAnsi="宋体" w:eastAsia="宋体" w:cs="宋体"/>
      <w:sz w:val="32"/>
      <w:lang w:val="en-US" w:eastAsia="zh-CN" w:bidi="ar-SA"/>
    </w:rPr>
  </w:style>
  <w:style w:type="paragraph" w:customStyle="1" w:styleId="507">
    <w:name w:val="Char"/>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508">
    <w:name w:val="pa-105"/>
    <w:basedOn w:val="1"/>
    <w:autoRedefine/>
    <w:qFormat/>
    <w:uiPriority w:val="99"/>
    <w:pPr>
      <w:widowControl/>
      <w:spacing w:line="960" w:lineRule="atLeast"/>
    </w:pPr>
    <w:rPr>
      <w:rFonts w:ascii="宋体" w:hAnsi="宋体" w:eastAsia="宋体" w:cs="宋体"/>
      <w:kern w:val="0"/>
      <w:sz w:val="24"/>
    </w:rPr>
  </w:style>
  <w:style w:type="paragraph" w:customStyle="1" w:styleId="509">
    <w:name w:val="ca-23"/>
    <w:basedOn w:val="1"/>
    <w:autoRedefine/>
    <w:qFormat/>
    <w:uiPriority w:val="99"/>
    <w:pPr>
      <w:widowControl/>
      <w:jc w:val="left"/>
    </w:pPr>
    <w:rPr>
      <w:rFonts w:ascii="Calibri" w:hAnsi="Calibri" w:eastAsia="宋体" w:cs="Times New Roman"/>
      <w:kern w:val="0"/>
      <w:szCs w:val="21"/>
    </w:rPr>
  </w:style>
  <w:style w:type="paragraph" w:customStyle="1" w:styleId="510">
    <w:name w:val="pa-120"/>
    <w:basedOn w:val="1"/>
    <w:autoRedefine/>
    <w:qFormat/>
    <w:uiPriority w:val="99"/>
    <w:pPr>
      <w:widowControl/>
      <w:spacing w:line="280" w:lineRule="atLeast"/>
      <w:jc w:val="right"/>
    </w:pPr>
    <w:rPr>
      <w:rFonts w:ascii="宋体" w:hAnsi="宋体" w:eastAsia="宋体" w:cs="宋体"/>
      <w:kern w:val="0"/>
      <w:sz w:val="24"/>
    </w:rPr>
  </w:style>
  <w:style w:type="paragraph" w:customStyle="1" w:styleId="511">
    <w:name w:val="Normal_9"/>
    <w:autoRedefine/>
    <w:qFormat/>
    <w:uiPriority w:val="99"/>
    <w:rPr>
      <w:rFonts w:ascii="黑体" w:hAnsi="黑体" w:eastAsia="黑体" w:cs="Times New Roman"/>
      <w:b/>
      <w:sz w:val="32"/>
      <w:szCs w:val="24"/>
      <w:lang w:val="en-US" w:eastAsia="zh-CN" w:bidi="ar-SA"/>
    </w:rPr>
  </w:style>
  <w:style w:type="paragraph" w:customStyle="1" w:styleId="512">
    <w:name w:val="Normal_16"/>
    <w:autoRedefine/>
    <w:qFormat/>
    <w:uiPriority w:val="99"/>
    <w:rPr>
      <w:rFonts w:ascii="黑体" w:hAnsi="黑体" w:eastAsia="黑体" w:cs="Times New Roman"/>
      <w:b/>
      <w:sz w:val="32"/>
      <w:szCs w:val="24"/>
      <w:lang w:val="en-US" w:eastAsia="zh-CN" w:bidi="ar-SA"/>
    </w:rPr>
  </w:style>
  <w:style w:type="paragraph" w:customStyle="1" w:styleId="513">
    <w:name w:val="pa-126"/>
    <w:basedOn w:val="1"/>
    <w:autoRedefine/>
    <w:qFormat/>
    <w:uiPriority w:val="99"/>
    <w:pPr>
      <w:widowControl/>
      <w:spacing w:line="480" w:lineRule="atLeast"/>
      <w:ind w:firstLine="480"/>
    </w:pPr>
    <w:rPr>
      <w:rFonts w:ascii="宋体" w:hAnsi="宋体" w:eastAsia="宋体" w:cs="宋体"/>
      <w:kern w:val="0"/>
      <w:sz w:val="24"/>
    </w:rPr>
  </w:style>
  <w:style w:type="paragraph" w:customStyle="1" w:styleId="514">
    <w:name w:val="xl79"/>
    <w:basedOn w:val="1"/>
    <w:autoRedefine/>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515">
    <w:name w:val="BJ-03-T"/>
    <w:autoRedefine/>
    <w:qFormat/>
    <w:uiPriority w:val="99"/>
    <w:pPr>
      <w:numPr>
        <w:ilvl w:val="1"/>
        <w:numId w:val="5"/>
      </w:numPr>
      <w:tabs>
        <w:tab w:val="left" w:pos="1305"/>
        <w:tab w:val="left" w:pos="2552"/>
      </w:tabs>
      <w:spacing w:before="120" w:after="120" w:line="360" w:lineRule="auto"/>
      <w:jc w:val="both"/>
    </w:pPr>
    <w:rPr>
      <w:rFonts w:ascii="Arial" w:hAnsi="Arial" w:eastAsia="宋体" w:cs="Times New Roman"/>
      <w:sz w:val="24"/>
      <w:lang w:val="en-GB" w:eastAsia="de-DE" w:bidi="ar-SA"/>
    </w:rPr>
  </w:style>
  <w:style w:type="paragraph" w:customStyle="1" w:styleId="516">
    <w:name w:val="pa-112"/>
    <w:basedOn w:val="1"/>
    <w:autoRedefine/>
    <w:qFormat/>
    <w:uiPriority w:val="99"/>
    <w:pPr>
      <w:widowControl/>
      <w:spacing w:line="280" w:lineRule="atLeast"/>
    </w:pPr>
    <w:rPr>
      <w:rFonts w:ascii="宋体" w:hAnsi="宋体" w:eastAsia="宋体" w:cs="宋体"/>
      <w:kern w:val="0"/>
      <w:sz w:val="24"/>
    </w:rPr>
  </w:style>
  <w:style w:type="paragraph" w:customStyle="1" w:styleId="517">
    <w:name w:val="pa-64"/>
    <w:basedOn w:val="1"/>
    <w:autoRedefine/>
    <w:qFormat/>
    <w:uiPriority w:val="99"/>
    <w:pPr>
      <w:widowControl/>
      <w:spacing w:line="360" w:lineRule="atLeast"/>
      <w:ind w:firstLine="560"/>
      <w:jc w:val="left"/>
    </w:pPr>
    <w:rPr>
      <w:rFonts w:ascii="宋体" w:hAnsi="宋体" w:eastAsia="宋体" w:cs="宋体"/>
      <w:kern w:val="0"/>
      <w:sz w:val="24"/>
    </w:rPr>
  </w:style>
  <w:style w:type="paragraph" w:customStyle="1" w:styleId="518">
    <w:name w:val="ca-39"/>
    <w:basedOn w:val="1"/>
    <w:autoRedefine/>
    <w:qFormat/>
    <w:uiPriority w:val="99"/>
    <w:pPr>
      <w:widowControl/>
      <w:jc w:val="left"/>
    </w:pPr>
    <w:rPr>
      <w:rFonts w:ascii="宋体" w:hAnsi="宋体" w:eastAsia="宋体" w:cs="宋体"/>
      <w:b/>
      <w:bCs/>
      <w:color w:val="000000"/>
      <w:spacing w:val="-20"/>
      <w:kern w:val="0"/>
      <w:sz w:val="28"/>
      <w:szCs w:val="28"/>
    </w:rPr>
  </w:style>
  <w:style w:type="paragraph" w:customStyle="1" w:styleId="519">
    <w:name w:val="样式2"/>
    <w:basedOn w:val="41"/>
    <w:autoRedefine/>
    <w:qFormat/>
    <w:uiPriority w:val="99"/>
    <w:pPr>
      <w:adjustRightInd w:val="0"/>
      <w:spacing w:line="360" w:lineRule="auto"/>
      <w:jc w:val="left"/>
    </w:pPr>
    <w:rPr>
      <w:rFonts w:ascii="宋体" w:hAnsi="宋体"/>
      <w:caps/>
      <w:kern w:val="0"/>
      <w:sz w:val="24"/>
      <w:szCs w:val="20"/>
    </w:rPr>
  </w:style>
  <w:style w:type="paragraph" w:customStyle="1" w:styleId="520">
    <w:name w:val="pa-57"/>
    <w:basedOn w:val="1"/>
    <w:autoRedefine/>
    <w:qFormat/>
    <w:uiPriority w:val="99"/>
    <w:pPr>
      <w:widowControl/>
      <w:spacing w:line="300" w:lineRule="atLeast"/>
      <w:ind w:firstLine="560"/>
    </w:pPr>
    <w:rPr>
      <w:rFonts w:ascii="宋体" w:hAnsi="宋体" w:eastAsia="宋体" w:cs="宋体"/>
      <w:kern w:val="0"/>
      <w:sz w:val="24"/>
    </w:rPr>
  </w:style>
  <w:style w:type="paragraph" w:customStyle="1" w:styleId="521">
    <w:name w:val="pa-87"/>
    <w:basedOn w:val="1"/>
    <w:autoRedefine/>
    <w:qFormat/>
    <w:uiPriority w:val="99"/>
    <w:pPr>
      <w:widowControl/>
      <w:spacing w:line="320" w:lineRule="atLeast"/>
      <w:ind w:firstLine="560"/>
      <w:jc w:val="left"/>
    </w:pPr>
    <w:rPr>
      <w:rFonts w:ascii="宋体" w:hAnsi="宋体" w:eastAsia="宋体" w:cs="宋体"/>
      <w:kern w:val="0"/>
      <w:sz w:val="24"/>
    </w:rPr>
  </w:style>
  <w:style w:type="paragraph" w:customStyle="1" w:styleId="522">
    <w:name w:val="xl35"/>
    <w:basedOn w:val="1"/>
    <w:autoRedefine/>
    <w:qFormat/>
    <w:uiPriority w:val="99"/>
    <w:pPr>
      <w:widowControl/>
      <w:spacing w:before="100" w:beforeAutospacing="1" w:after="100" w:afterAutospacing="1"/>
      <w:jc w:val="right"/>
    </w:pPr>
    <w:rPr>
      <w:rFonts w:ascii="宋体" w:hAnsi="宋体" w:eastAsia="宋体" w:cs="Times New Roman"/>
      <w:kern w:val="0"/>
      <w:sz w:val="18"/>
      <w:szCs w:val="18"/>
    </w:rPr>
  </w:style>
  <w:style w:type="paragraph" w:customStyle="1" w:styleId="523">
    <w:name w:val="ca-41"/>
    <w:basedOn w:val="1"/>
    <w:autoRedefine/>
    <w:qFormat/>
    <w:uiPriority w:val="99"/>
    <w:pPr>
      <w:widowControl/>
      <w:jc w:val="left"/>
    </w:pPr>
    <w:rPr>
      <w:rFonts w:ascii="宋体" w:hAnsi="宋体" w:eastAsia="宋体" w:cs="宋体"/>
      <w:b/>
      <w:bCs/>
      <w:color w:val="000000"/>
      <w:spacing w:val="-20"/>
      <w:kern w:val="0"/>
      <w:sz w:val="32"/>
      <w:szCs w:val="32"/>
    </w:rPr>
  </w:style>
  <w:style w:type="paragraph" w:customStyle="1" w:styleId="524">
    <w:name w:val="xl28"/>
    <w:basedOn w:val="1"/>
    <w:autoRedefine/>
    <w:qFormat/>
    <w:uiPriority w:val="99"/>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25">
    <w:name w:val="正文11"/>
    <w:basedOn w:val="1"/>
    <w:autoRedefine/>
    <w:qFormat/>
    <w:uiPriority w:val="99"/>
    <w:pPr>
      <w:widowControl/>
      <w:spacing w:line="360" w:lineRule="auto"/>
      <w:ind w:left="499" w:firstLine="499"/>
    </w:pPr>
    <w:rPr>
      <w:rFonts w:ascii="宋体" w:hAnsi="Calibri" w:eastAsia="宋体" w:cs="Times New Roman"/>
      <w:kern w:val="21"/>
      <w:sz w:val="24"/>
      <w:szCs w:val="20"/>
    </w:rPr>
  </w:style>
  <w:style w:type="paragraph" w:customStyle="1" w:styleId="526">
    <w:name w:val="内文正文_0"/>
    <w:autoRedefine/>
    <w:qFormat/>
    <w:uiPriority w:val="99"/>
    <w:pPr>
      <w:autoSpaceDE w:val="0"/>
      <w:autoSpaceDN w:val="0"/>
      <w:spacing w:line="400" w:lineRule="exact"/>
      <w:ind w:firstLine="200" w:firstLineChars="200"/>
      <w:jc w:val="both"/>
    </w:pPr>
    <w:rPr>
      <w:rFonts w:ascii="宋体" w:hAnsi="???|CS?o｡ﾀ?" w:eastAsia="宋体" w:cs="Times New Roman"/>
      <w:sz w:val="21"/>
      <w:szCs w:val="28"/>
      <w:lang w:val="en-US" w:eastAsia="zh-CN" w:bidi="ar-SA"/>
    </w:rPr>
  </w:style>
  <w:style w:type="paragraph" w:customStyle="1" w:styleId="527">
    <w:name w:val="TOC Heading1"/>
    <w:basedOn w:val="4"/>
    <w:next w:val="1"/>
    <w:autoRedefine/>
    <w:qFormat/>
    <w:uiPriority w:val="99"/>
    <w:pPr>
      <w:keepLines/>
      <w:widowControl/>
      <w:spacing w:before="480" w:line="276" w:lineRule="auto"/>
      <w:jc w:val="left"/>
      <w:outlineLvl w:val="9"/>
    </w:pPr>
    <w:rPr>
      <w:rFonts w:ascii="Cambria" w:hAnsi="Cambria"/>
      <w:color w:val="365F91"/>
      <w:sz w:val="28"/>
      <w:szCs w:val="28"/>
    </w:rPr>
  </w:style>
  <w:style w:type="paragraph" w:customStyle="1" w:styleId="528">
    <w:name w:val="pa-93"/>
    <w:basedOn w:val="1"/>
    <w:autoRedefine/>
    <w:qFormat/>
    <w:uiPriority w:val="99"/>
    <w:pPr>
      <w:widowControl/>
      <w:spacing w:line="480" w:lineRule="atLeast"/>
      <w:ind w:firstLine="480"/>
      <w:jc w:val="left"/>
    </w:pPr>
    <w:rPr>
      <w:rFonts w:ascii="宋体" w:hAnsi="宋体" w:eastAsia="宋体" w:cs="宋体"/>
      <w:kern w:val="0"/>
      <w:sz w:val="24"/>
    </w:rPr>
  </w:style>
  <w:style w:type="paragraph" w:customStyle="1" w:styleId="529">
    <w:name w:val="默认段落字体 Para Char Char Char Char Char Char Char"/>
    <w:basedOn w:val="1"/>
    <w:autoRedefine/>
    <w:qFormat/>
    <w:uiPriority w:val="99"/>
    <w:rPr>
      <w:rFonts w:ascii="Tahoma" w:hAnsi="Tahoma" w:eastAsia="宋体" w:cs="Times New Roman"/>
      <w:sz w:val="24"/>
      <w:szCs w:val="20"/>
    </w:rPr>
  </w:style>
  <w:style w:type="paragraph" w:customStyle="1" w:styleId="530">
    <w:name w:val="pa-85"/>
    <w:basedOn w:val="1"/>
    <w:autoRedefine/>
    <w:qFormat/>
    <w:uiPriority w:val="99"/>
    <w:pPr>
      <w:widowControl/>
      <w:spacing w:line="760" w:lineRule="atLeast"/>
      <w:jc w:val="center"/>
    </w:pPr>
    <w:rPr>
      <w:rFonts w:ascii="宋体" w:hAnsi="宋体" w:eastAsia="宋体" w:cs="宋体"/>
      <w:kern w:val="0"/>
      <w:sz w:val="24"/>
    </w:rPr>
  </w:style>
  <w:style w:type="paragraph" w:customStyle="1" w:styleId="531">
    <w:name w:val="Normal_1"/>
    <w:autoRedefine/>
    <w:qFormat/>
    <w:uiPriority w:val="99"/>
    <w:rPr>
      <w:rFonts w:ascii="黑体" w:hAnsi="黑体" w:eastAsia="黑体" w:cs="Times New Roman"/>
      <w:b/>
      <w:sz w:val="32"/>
      <w:szCs w:val="24"/>
      <w:lang w:val="en-US" w:eastAsia="zh-CN" w:bidi="ar-SA"/>
    </w:rPr>
  </w:style>
  <w:style w:type="paragraph" w:customStyle="1" w:styleId="532">
    <w:name w:val="226_Chinese Text"/>
    <w:autoRedefine/>
    <w:qFormat/>
    <w:uiPriority w:val="99"/>
    <w:pPr>
      <w:spacing w:after="120" w:line="336" w:lineRule="auto"/>
      <w:jc w:val="both"/>
    </w:pPr>
    <w:rPr>
      <w:rFonts w:ascii="华文中宋" w:hAnsi="华文中宋" w:eastAsia="华文中宋" w:cs="Times New Roman"/>
      <w:lang w:val="en-GB" w:eastAsia="zh-CN" w:bidi="ar-SA"/>
    </w:rPr>
  </w:style>
  <w:style w:type="paragraph" w:customStyle="1" w:styleId="533">
    <w:name w:val="pa-48"/>
    <w:basedOn w:val="1"/>
    <w:autoRedefine/>
    <w:qFormat/>
    <w:uiPriority w:val="99"/>
    <w:pPr>
      <w:widowControl/>
      <w:spacing w:line="280" w:lineRule="atLeast"/>
      <w:ind w:firstLine="440"/>
    </w:pPr>
    <w:rPr>
      <w:rFonts w:ascii="宋体" w:hAnsi="宋体" w:eastAsia="宋体" w:cs="宋体"/>
      <w:kern w:val="0"/>
      <w:sz w:val="24"/>
    </w:rPr>
  </w:style>
  <w:style w:type="paragraph" w:customStyle="1" w:styleId="534">
    <w:name w:val="pa-15"/>
    <w:basedOn w:val="1"/>
    <w:autoRedefine/>
    <w:qFormat/>
    <w:uiPriority w:val="99"/>
    <w:pPr>
      <w:widowControl/>
      <w:spacing w:line="240" w:lineRule="atLeast"/>
      <w:jc w:val="left"/>
    </w:pPr>
    <w:rPr>
      <w:rFonts w:ascii="宋体" w:hAnsi="宋体" w:eastAsia="宋体" w:cs="宋体"/>
      <w:kern w:val="0"/>
      <w:sz w:val="24"/>
    </w:rPr>
  </w:style>
  <w:style w:type="paragraph" w:customStyle="1" w:styleId="535">
    <w:name w:val="ca-4"/>
    <w:basedOn w:val="1"/>
    <w:autoRedefine/>
    <w:qFormat/>
    <w:uiPriority w:val="99"/>
    <w:pPr>
      <w:widowControl/>
      <w:jc w:val="left"/>
    </w:pPr>
    <w:rPr>
      <w:rFonts w:ascii="宋体" w:hAnsi="宋体" w:eastAsia="宋体" w:cs="宋体"/>
      <w:b/>
      <w:bCs/>
      <w:color w:val="000000"/>
      <w:spacing w:val="-20"/>
      <w:kern w:val="0"/>
      <w:sz w:val="48"/>
      <w:szCs w:val="48"/>
    </w:rPr>
  </w:style>
  <w:style w:type="paragraph" w:customStyle="1" w:styleId="536">
    <w:name w:val="pa-42"/>
    <w:basedOn w:val="1"/>
    <w:autoRedefine/>
    <w:qFormat/>
    <w:uiPriority w:val="99"/>
    <w:pPr>
      <w:widowControl/>
      <w:spacing w:line="280" w:lineRule="atLeast"/>
      <w:ind w:firstLine="420"/>
      <w:jc w:val="left"/>
    </w:pPr>
    <w:rPr>
      <w:rFonts w:ascii="宋体" w:hAnsi="宋体" w:eastAsia="宋体" w:cs="宋体"/>
      <w:kern w:val="0"/>
      <w:sz w:val="24"/>
    </w:rPr>
  </w:style>
  <w:style w:type="paragraph" w:customStyle="1" w:styleId="537">
    <w:name w:val="td-3"/>
    <w:basedOn w:val="1"/>
    <w:autoRedefine/>
    <w:qFormat/>
    <w:uiPriority w:val="99"/>
    <w:pPr>
      <w:widowControl/>
      <w:pBdr>
        <w:top w:val="single" w:color="000000" w:sz="6" w:space="0"/>
        <w:left w:val="single" w:color="000000" w:sz="6" w:space="4"/>
        <w:right w:val="single" w:color="000000" w:sz="6" w:space="0"/>
      </w:pBdr>
      <w:jc w:val="left"/>
    </w:pPr>
    <w:rPr>
      <w:rFonts w:ascii="宋体" w:hAnsi="宋体" w:eastAsia="宋体" w:cs="宋体"/>
      <w:kern w:val="0"/>
      <w:sz w:val="24"/>
    </w:rPr>
  </w:style>
  <w:style w:type="paragraph" w:customStyle="1" w:styleId="538">
    <w:name w:val="pa-136"/>
    <w:basedOn w:val="1"/>
    <w:autoRedefine/>
    <w:qFormat/>
    <w:uiPriority w:val="99"/>
    <w:pPr>
      <w:widowControl/>
      <w:spacing w:line="360" w:lineRule="atLeast"/>
      <w:ind w:firstLine="5640"/>
    </w:pPr>
    <w:rPr>
      <w:rFonts w:ascii="宋体" w:hAnsi="宋体" w:eastAsia="宋体" w:cs="宋体"/>
      <w:kern w:val="0"/>
      <w:sz w:val="24"/>
    </w:rPr>
  </w:style>
  <w:style w:type="paragraph" w:customStyle="1" w:styleId="539">
    <w:name w:val="Normal_3"/>
    <w:autoRedefine/>
    <w:qFormat/>
    <w:uiPriority w:val="99"/>
    <w:rPr>
      <w:rFonts w:ascii="黑体" w:hAnsi="黑体" w:eastAsia="黑体" w:cs="Times New Roman"/>
      <w:b/>
      <w:sz w:val="32"/>
      <w:szCs w:val="24"/>
      <w:lang w:val="en-US" w:eastAsia="zh-CN" w:bidi="ar-SA"/>
    </w:rPr>
  </w:style>
  <w:style w:type="paragraph" w:customStyle="1" w:styleId="540">
    <w:name w:val="Char Char Char_0"/>
    <w:basedOn w:val="1"/>
    <w:autoRedefine/>
    <w:qFormat/>
    <w:uiPriority w:val="99"/>
    <w:rPr>
      <w:rFonts w:ascii="Tahoma" w:hAnsi="Tahoma" w:eastAsia="宋体" w:cs="Times New Roman"/>
      <w:sz w:val="24"/>
      <w:szCs w:val="20"/>
    </w:rPr>
  </w:style>
  <w:style w:type="paragraph" w:customStyle="1" w:styleId="541">
    <w:name w:val="pa-91"/>
    <w:basedOn w:val="1"/>
    <w:autoRedefine/>
    <w:qFormat/>
    <w:uiPriority w:val="99"/>
    <w:pPr>
      <w:widowControl/>
      <w:spacing w:line="360" w:lineRule="atLeast"/>
      <w:ind w:firstLine="4000"/>
      <w:jc w:val="left"/>
    </w:pPr>
    <w:rPr>
      <w:rFonts w:ascii="宋体" w:hAnsi="宋体" w:eastAsia="宋体" w:cs="宋体"/>
      <w:kern w:val="0"/>
      <w:sz w:val="24"/>
    </w:rPr>
  </w:style>
  <w:style w:type="paragraph" w:customStyle="1" w:styleId="542">
    <w:name w:val="Char Char Char Char Char Char_0"/>
    <w:basedOn w:val="1"/>
    <w:autoRedefine/>
    <w:qFormat/>
    <w:uiPriority w:val="99"/>
    <w:rPr>
      <w:rFonts w:ascii="Calibri" w:hAnsi="Calibri" w:eastAsia="宋体" w:cs="Times New Roman"/>
    </w:rPr>
  </w:style>
  <w:style w:type="paragraph" w:customStyle="1" w:styleId="543">
    <w:name w:val="pa-65"/>
    <w:basedOn w:val="1"/>
    <w:autoRedefine/>
    <w:qFormat/>
    <w:uiPriority w:val="99"/>
    <w:pPr>
      <w:widowControl/>
      <w:spacing w:line="360" w:lineRule="atLeast"/>
    </w:pPr>
    <w:rPr>
      <w:rFonts w:ascii="宋体" w:hAnsi="宋体" w:eastAsia="宋体" w:cs="宋体"/>
      <w:kern w:val="0"/>
      <w:sz w:val="24"/>
    </w:rPr>
  </w:style>
  <w:style w:type="paragraph" w:customStyle="1" w:styleId="544">
    <w:name w:val="pa-98"/>
    <w:basedOn w:val="1"/>
    <w:autoRedefine/>
    <w:qFormat/>
    <w:uiPriority w:val="99"/>
    <w:pPr>
      <w:widowControl/>
      <w:spacing w:line="720" w:lineRule="atLeast"/>
      <w:ind w:firstLine="480"/>
    </w:pPr>
    <w:rPr>
      <w:rFonts w:ascii="宋体" w:hAnsi="宋体" w:eastAsia="宋体" w:cs="宋体"/>
      <w:kern w:val="0"/>
      <w:sz w:val="24"/>
    </w:rPr>
  </w:style>
  <w:style w:type="paragraph" w:customStyle="1" w:styleId="545">
    <w:name w:val="pa-45"/>
    <w:basedOn w:val="1"/>
    <w:autoRedefine/>
    <w:qFormat/>
    <w:uiPriority w:val="99"/>
    <w:pPr>
      <w:widowControl/>
      <w:spacing w:line="280" w:lineRule="atLeast"/>
      <w:ind w:firstLine="420"/>
    </w:pPr>
    <w:rPr>
      <w:rFonts w:ascii="宋体" w:hAnsi="宋体" w:eastAsia="宋体" w:cs="宋体"/>
      <w:kern w:val="0"/>
      <w:sz w:val="24"/>
    </w:rPr>
  </w:style>
  <w:style w:type="paragraph" w:customStyle="1" w:styleId="546">
    <w:name w:val="pa-125"/>
    <w:basedOn w:val="1"/>
    <w:autoRedefine/>
    <w:qFormat/>
    <w:uiPriority w:val="99"/>
    <w:pPr>
      <w:widowControl/>
      <w:spacing w:line="480" w:lineRule="atLeast"/>
      <w:ind w:firstLine="1080"/>
    </w:pPr>
    <w:rPr>
      <w:rFonts w:ascii="宋体" w:hAnsi="宋体" w:eastAsia="宋体" w:cs="宋体"/>
      <w:kern w:val="0"/>
      <w:sz w:val="24"/>
    </w:rPr>
  </w:style>
  <w:style w:type="paragraph" w:customStyle="1" w:styleId="547">
    <w:name w:val="pa-132"/>
    <w:basedOn w:val="1"/>
    <w:autoRedefine/>
    <w:qFormat/>
    <w:uiPriority w:val="99"/>
    <w:pPr>
      <w:widowControl/>
      <w:spacing w:line="360" w:lineRule="atLeast"/>
    </w:pPr>
    <w:rPr>
      <w:rFonts w:ascii="宋体" w:hAnsi="宋体" w:eastAsia="宋体" w:cs="宋体"/>
      <w:kern w:val="0"/>
      <w:sz w:val="24"/>
    </w:rPr>
  </w:style>
  <w:style w:type="paragraph" w:customStyle="1" w:styleId="548">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cs="Times New Roman"/>
      <w:kern w:val="0"/>
      <w:sz w:val="20"/>
      <w:szCs w:val="20"/>
    </w:rPr>
  </w:style>
  <w:style w:type="paragraph" w:customStyle="1" w:styleId="549">
    <w:name w:val="pa-0"/>
    <w:basedOn w:val="1"/>
    <w:autoRedefine/>
    <w:qFormat/>
    <w:uiPriority w:val="99"/>
    <w:pPr>
      <w:widowControl/>
      <w:spacing w:line="520" w:lineRule="atLeast"/>
      <w:jc w:val="center"/>
    </w:pPr>
    <w:rPr>
      <w:rFonts w:ascii="宋体" w:hAnsi="宋体" w:eastAsia="宋体" w:cs="宋体"/>
      <w:kern w:val="0"/>
      <w:sz w:val="24"/>
    </w:rPr>
  </w:style>
  <w:style w:type="paragraph" w:customStyle="1" w:styleId="550">
    <w:name w:val="pa-70"/>
    <w:basedOn w:val="1"/>
    <w:autoRedefine/>
    <w:qFormat/>
    <w:uiPriority w:val="99"/>
    <w:pPr>
      <w:widowControl/>
      <w:spacing w:line="360" w:lineRule="atLeast"/>
      <w:ind w:firstLine="420"/>
      <w:jc w:val="left"/>
    </w:pPr>
    <w:rPr>
      <w:rFonts w:ascii="宋体" w:hAnsi="宋体" w:eastAsia="宋体" w:cs="宋体"/>
      <w:kern w:val="0"/>
      <w:sz w:val="24"/>
    </w:rPr>
  </w:style>
  <w:style w:type="paragraph" w:customStyle="1" w:styleId="551">
    <w:name w:val="Normal_17"/>
    <w:autoRedefine/>
    <w:qFormat/>
    <w:uiPriority w:val="99"/>
    <w:rPr>
      <w:rFonts w:ascii="黑体" w:hAnsi="黑体" w:eastAsia="黑体" w:cs="Times New Roman"/>
      <w:b/>
      <w:sz w:val="32"/>
      <w:szCs w:val="24"/>
      <w:lang w:val="en-US" w:eastAsia="zh-CN" w:bidi="ar-SA"/>
    </w:rPr>
  </w:style>
  <w:style w:type="paragraph" w:customStyle="1" w:styleId="552">
    <w:name w:val="pa-76"/>
    <w:basedOn w:val="1"/>
    <w:autoRedefine/>
    <w:qFormat/>
    <w:uiPriority w:val="99"/>
    <w:pPr>
      <w:widowControl/>
      <w:spacing w:line="400" w:lineRule="atLeast"/>
      <w:jc w:val="left"/>
    </w:pPr>
    <w:rPr>
      <w:rFonts w:ascii="宋体" w:hAnsi="宋体" w:eastAsia="宋体" w:cs="宋体"/>
      <w:kern w:val="0"/>
      <w:sz w:val="24"/>
    </w:rPr>
  </w:style>
  <w:style w:type="paragraph" w:customStyle="1" w:styleId="553">
    <w:name w:val="标题 4_0"/>
    <w:next w:val="133"/>
    <w:autoRedefine/>
    <w:qFormat/>
    <w:uiPriority w:val="99"/>
    <w:pPr>
      <w:keepNext/>
      <w:keepLines/>
      <w:widowControl w:val="0"/>
      <w:spacing w:before="280" w:after="290" w:line="374" w:lineRule="auto"/>
      <w:jc w:val="both"/>
      <w:outlineLvl w:val="3"/>
    </w:pPr>
    <w:rPr>
      <w:rFonts w:ascii="Cambria Bold" w:hAnsi="Cambria Bold" w:eastAsia="ヒラギノ角ゴ Pro W3" w:cs="Times New Roman"/>
      <w:color w:val="000000"/>
      <w:kern w:val="2"/>
      <w:sz w:val="28"/>
      <w:lang w:val="en-US" w:eastAsia="zh-CN" w:bidi="ar-SA"/>
    </w:rPr>
  </w:style>
  <w:style w:type="paragraph" w:customStyle="1" w:styleId="554">
    <w:name w:val="ca-36"/>
    <w:basedOn w:val="1"/>
    <w:autoRedefine/>
    <w:qFormat/>
    <w:uiPriority w:val="99"/>
    <w:pPr>
      <w:widowControl/>
      <w:jc w:val="left"/>
    </w:pPr>
    <w:rPr>
      <w:rFonts w:ascii="宋体" w:hAnsi="宋体" w:eastAsia="宋体" w:cs="宋体"/>
      <w:b/>
      <w:bCs/>
      <w:spacing w:val="-20"/>
      <w:kern w:val="0"/>
      <w:szCs w:val="21"/>
    </w:rPr>
  </w:style>
  <w:style w:type="paragraph" w:customStyle="1" w:styleId="555">
    <w:name w:val="pa-123"/>
    <w:basedOn w:val="1"/>
    <w:autoRedefine/>
    <w:qFormat/>
    <w:uiPriority w:val="99"/>
    <w:pPr>
      <w:widowControl/>
      <w:spacing w:line="360" w:lineRule="atLeast"/>
    </w:pPr>
    <w:rPr>
      <w:rFonts w:ascii="宋体" w:hAnsi="宋体" w:eastAsia="宋体" w:cs="宋体"/>
      <w:kern w:val="0"/>
      <w:sz w:val="24"/>
    </w:rPr>
  </w:style>
  <w:style w:type="paragraph" w:customStyle="1" w:styleId="556">
    <w:name w:val="ca-31"/>
    <w:basedOn w:val="1"/>
    <w:autoRedefine/>
    <w:qFormat/>
    <w:uiPriority w:val="99"/>
    <w:pPr>
      <w:widowControl/>
      <w:jc w:val="left"/>
    </w:pPr>
    <w:rPr>
      <w:rFonts w:ascii="??" w:hAnsi="??" w:eastAsia="宋体" w:cs="宋体"/>
      <w:color w:val="000000"/>
      <w:kern w:val="0"/>
      <w:szCs w:val="21"/>
    </w:rPr>
  </w:style>
  <w:style w:type="paragraph" w:customStyle="1" w:styleId="557">
    <w:name w:val="ca-51"/>
    <w:basedOn w:val="1"/>
    <w:autoRedefine/>
    <w:qFormat/>
    <w:uiPriority w:val="99"/>
    <w:pPr>
      <w:widowControl/>
      <w:jc w:val="left"/>
    </w:pPr>
    <w:rPr>
      <w:rFonts w:ascii="Calibri" w:hAnsi="Calibri" w:eastAsia="宋体" w:cs="Times New Roman"/>
      <w:b/>
      <w:bCs/>
      <w:color w:val="000000"/>
      <w:spacing w:val="-20"/>
      <w:kern w:val="0"/>
      <w:sz w:val="32"/>
      <w:szCs w:val="32"/>
    </w:rPr>
  </w:style>
  <w:style w:type="paragraph" w:customStyle="1" w:styleId="558">
    <w:name w:val="pa-114"/>
    <w:basedOn w:val="1"/>
    <w:autoRedefine/>
    <w:qFormat/>
    <w:uiPriority w:val="99"/>
    <w:pPr>
      <w:widowControl/>
      <w:spacing w:line="280" w:lineRule="atLeast"/>
      <w:ind w:firstLine="2220"/>
    </w:pPr>
    <w:rPr>
      <w:rFonts w:ascii="宋体" w:hAnsi="宋体" w:eastAsia="宋体" w:cs="宋体"/>
      <w:kern w:val="0"/>
      <w:sz w:val="24"/>
    </w:rPr>
  </w:style>
  <w:style w:type="paragraph" w:customStyle="1" w:styleId="559">
    <w:name w:val="pa-142"/>
    <w:basedOn w:val="1"/>
    <w:autoRedefine/>
    <w:qFormat/>
    <w:uiPriority w:val="99"/>
    <w:pPr>
      <w:widowControl/>
      <w:spacing w:line="320" w:lineRule="atLeast"/>
      <w:ind w:firstLine="280"/>
      <w:jc w:val="right"/>
    </w:pPr>
    <w:rPr>
      <w:rFonts w:ascii="宋体" w:hAnsi="宋体" w:eastAsia="宋体" w:cs="宋体"/>
      <w:kern w:val="0"/>
      <w:sz w:val="24"/>
    </w:rPr>
  </w:style>
  <w:style w:type="paragraph" w:customStyle="1" w:styleId="560">
    <w:name w:val="xl42"/>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1">
    <w:name w:val="xl72"/>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562">
    <w:name w:val="xl66"/>
    <w:basedOn w:val="1"/>
    <w:autoRedefine/>
    <w:qFormat/>
    <w:uiPriority w:val="99"/>
    <w:pPr>
      <w:widowControl/>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63">
    <w:name w:val="xl81"/>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Arial" w:hAnsi="Arial" w:eastAsia="宋体" w:cs="Arial"/>
      <w:color w:val="000000"/>
      <w:kern w:val="0"/>
      <w:sz w:val="18"/>
      <w:szCs w:val="18"/>
    </w:rPr>
  </w:style>
  <w:style w:type="paragraph" w:customStyle="1" w:styleId="564">
    <w:name w:val="xl67"/>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5">
    <w:name w:val="xl63"/>
    <w:basedOn w:val="1"/>
    <w:autoRedefine/>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44"/>
      <w:szCs w:val="44"/>
    </w:rPr>
  </w:style>
  <w:style w:type="paragraph" w:customStyle="1" w:styleId="566">
    <w:name w:val="xl65"/>
    <w:basedOn w:val="1"/>
    <w:autoRedefine/>
    <w:qFormat/>
    <w:uiPriority w:val="99"/>
    <w:pPr>
      <w:widowControl/>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7">
    <w:name w:val="xl77"/>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68">
    <w:name w:val="Normal_34"/>
    <w:autoRedefine/>
    <w:qFormat/>
    <w:uiPriority w:val="99"/>
    <w:pPr>
      <w:spacing w:before="120" w:after="240"/>
      <w:jc w:val="both"/>
    </w:pPr>
    <w:rPr>
      <w:rFonts w:ascii="Calibri" w:hAnsi="Calibri" w:eastAsia="Calibri" w:cs="Times New Roman"/>
      <w:sz w:val="22"/>
      <w:szCs w:val="22"/>
      <w:lang w:val="ru-RU" w:eastAsia="en-US" w:bidi="ar-SA"/>
    </w:rPr>
  </w:style>
  <w:style w:type="paragraph" w:customStyle="1" w:styleId="569">
    <w:name w:val="xl76"/>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70">
    <w:name w:val="xl80"/>
    <w:basedOn w:val="1"/>
    <w:autoRedefine/>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571">
    <w:name w:val="xl69"/>
    <w:basedOn w:val="1"/>
    <w:autoRedefine/>
    <w:qFormat/>
    <w:uiPriority w:val="99"/>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72">
    <w:name w:val="CM19"/>
    <w:basedOn w:val="162"/>
    <w:next w:val="162"/>
    <w:autoRedefine/>
    <w:qFormat/>
    <w:uiPriority w:val="99"/>
    <w:rPr>
      <w:rFonts w:ascii="仿宋" w:eastAsia="仿宋" w:cs="Times New Roman"/>
      <w:color w:val="auto"/>
    </w:rPr>
  </w:style>
  <w:style w:type="paragraph" w:customStyle="1" w:styleId="573">
    <w:name w:val="CM11"/>
    <w:basedOn w:val="162"/>
    <w:next w:val="162"/>
    <w:autoRedefine/>
    <w:qFormat/>
    <w:uiPriority w:val="99"/>
    <w:pPr>
      <w:spacing w:line="520" w:lineRule="atLeast"/>
    </w:pPr>
    <w:rPr>
      <w:rFonts w:ascii="仿宋" w:eastAsia="仿宋" w:cs="Times New Roman"/>
      <w:color w:val="auto"/>
    </w:rPr>
  </w:style>
  <w:style w:type="paragraph" w:customStyle="1" w:styleId="574">
    <w:name w:val="CM13"/>
    <w:basedOn w:val="162"/>
    <w:next w:val="162"/>
    <w:autoRedefine/>
    <w:qFormat/>
    <w:uiPriority w:val="99"/>
    <w:pPr>
      <w:spacing w:line="520" w:lineRule="atLeast"/>
    </w:pPr>
    <w:rPr>
      <w:rFonts w:ascii="仿宋" w:eastAsia="仿宋" w:cs="Times New Roman"/>
      <w:color w:val="auto"/>
    </w:rPr>
  </w:style>
  <w:style w:type="paragraph" w:customStyle="1" w:styleId="575">
    <w:name w:val="font0"/>
    <w:basedOn w:val="1"/>
    <w:autoRedefine/>
    <w:qFormat/>
    <w:uiPriority w:val="99"/>
    <w:pPr>
      <w:widowControl/>
      <w:spacing w:before="100" w:beforeAutospacing="1" w:after="100" w:afterAutospacing="1"/>
      <w:jc w:val="left"/>
    </w:pPr>
    <w:rPr>
      <w:rFonts w:ascii="宋体" w:hAnsi="宋体" w:eastAsia="宋体" w:cs="宋体"/>
      <w:color w:val="000000"/>
      <w:kern w:val="0"/>
      <w:sz w:val="22"/>
    </w:rPr>
  </w:style>
  <w:style w:type="paragraph" w:customStyle="1" w:styleId="576">
    <w:name w:val="font1"/>
    <w:basedOn w:val="1"/>
    <w:autoRedefine/>
    <w:qFormat/>
    <w:uiPriority w:val="99"/>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577">
    <w:name w:val="font2"/>
    <w:basedOn w:val="1"/>
    <w:autoRedefine/>
    <w:qFormat/>
    <w:uiPriority w:val="99"/>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78">
    <w:name w:val="font3"/>
    <w:basedOn w:val="1"/>
    <w:autoRedefine/>
    <w:qFormat/>
    <w:uiPriority w:val="99"/>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79">
    <w:name w:val="font4"/>
    <w:basedOn w:val="1"/>
    <w:autoRedefine/>
    <w:qFormat/>
    <w:uiPriority w:val="99"/>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580">
    <w:name w:val="font6"/>
    <w:basedOn w:val="1"/>
    <w:autoRedefine/>
    <w:qFormat/>
    <w:uiPriority w:val="99"/>
    <w:pPr>
      <w:widowControl/>
      <w:spacing w:before="100" w:beforeAutospacing="1" w:after="100" w:afterAutospacing="1"/>
      <w:jc w:val="left"/>
    </w:pPr>
    <w:rPr>
      <w:rFonts w:ascii="黑体" w:hAnsi="黑体" w:eastAsia="黑体" w:cs="宋体"/>
      <w:b/>
      <w:bCs/>
      <w:color w:val="000000"/>
      <w:kern w:val="0"/>
      <w:sz w:val="36"/>
      <w:szCs w:val="36"/>
    </w:rPr>
  </w:style>
  <w:style w:type="paragraph" w:customStyle="1" w:styleId="581">
    <w:name w:val="et3"/>
    <w:basedOn w:val="1"/>
    <w:autoRedefine/>
    <w:qFormat/>
    <w:uiPriority w:val="99"/>
    <w:pPr>
      <w:widowControl/>
      <w:spacing w:before="100" w:beforeAutospacing="1" w:after="100" w:afterAutospacing="1"/>
      <w:jc w:val="center"/>
    </w:pPr>
    <w:rPr>
      <w:rFonts w:ascii="黑体" w:hAnsi="黑体" w:eastAsia="黑体" w:cs="宋体"/>
      <w:b/>
      <w:bCs/>
      <w:kern w:val="0"/>
      <w:sz w:val="36"/>
      <w:szCs w:val="36"/>
    </w:rPr>
  </w:style>
  <w:style w:type="paragraph" w:customStyle="1" w:styleId="582">
    <w:name w:val="et4"/>
    <w:basedOn w:val="1"/>
    <w:autoRedefine/>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583">
    <w:name w:val="et5"/>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84">
    <w:name w:val="et6"/>
    <w:basedOn w:val="1"/>
    <w:autoRedefine/>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85">
    <w:name w:val="et7"/>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86">
    <w:name w:val="et8"/>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b/>
      <w:bCs/>
      <w:color w:val="000000"/>
      <w:kern w:val="0"/>
      <w:sz w:val="18"/>
      <w:szCs w:val="18"/>
    </w:rPr>
  </w:style>
  <w:style w:type="paragraph" w:customStyle="1" w:styleId="587">
    <w:name w:val="et9"/>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588">
    <w:name w:val="et10"/>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color w:val="000000"/>
      <w:kern w:val="0"/>
      <w:sz w:val="18"/>
      <w:szCs w:val="18"/>
    </w:rPr>
  </w:style>
  <w:style w:type="paragraph" w:customStyle="1" w:styleId="589">
    <w:name w:val="et11"/>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18"/>
      <w:szCs w:val="18"/>
    </w:rPr>
  </w:style>
  <w:style w:type="paragraph" w:customStyle="1" w:styleId="590">
    <w:name w:val="et12"/>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591">
    <w:name w:val="et13"/>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kern w:val="0"/>
      <w:sz w:val="18"/>
      <w:szCs w:val="18"/>
    </w:rPr>
  </w:style>
  <w:style w:type="paragraph" w:customStyle="1" w:styleId="592">
    <w:name w:val="et14"/>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93">
    <w:name w:val="et15"/>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kern w:val="0"/>
      <w:sz w:val="18"/>
      <w:szCs w:val="18"/>
    </w:rPr>
  </w:style>
  <w:style w:type="paragraph" w:customStyle="1" w:styleId="594">
    <w:name w:val="et16"/>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4"/>
      <w:szCs w:val="24"/>
    </w:rPr>
  </w:style>
  <w:style w:type="paragraph" w:customStyle="1" w:styleId="595">
    <w:name w:val="et17"/>
    <w:basedOn w:val="1"/>
    <w:autoRedefine/>
    <w:qFormat/>
    <w:uiPriority w:val="99"/>
    <w:pPr>
      <w:widowControl/>
      <w:spacing w:before="100" w:beforeAutospacing="1" w:after="100" w:afterAutospacing="1"/>
      <w:jc w:val="center"/>
    </w:pPr>
    <w:rPr>
      <w:rFonts w:ascii="宋体" w:hAnsi="宋体" w:eastAsia="宋体" w:cs="宋体"/>
      <w:kern w:val="0"/>
      <w:sz w:val="18"/>
      <w:szCs w:val="18"/>
    </w:rPr>
  </w:style>
  <w:style w:type="paragraph" w:customStyle="1" w:styleId="596">
    <w:name w:val="et18"/>
    <w:basedOn w:val="1"/>
    <w:autoRedefine/>
    <w:qFormat/>
    <w:uiPriority w:val="99"/>
    <w:pPr>
      <w:widowControl/>
      <w:spacing w:before="100" w:beforeAutospacing="1" w:after="100" w:afterAutospacing="1"/>
      <w:jc w:val="right"/>
    </w:pPr>
    <w:rPr>
      <w:rFonts w:ascii="宋体" w:hAnsi="宋体" w:eastAsia="宋体" w:cs="宋体"/>
      <w:kern w:val="0"/>
      <w:sz w:val="18"/>
      <w:szCs w:val="18"/>
    </w:rPr>
  </w:style>
  <w:style w:type="paragraph" w:customStyle="1" w:styleId="597">
    <w:name w:val="et19"/>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98">
    <w:name w:val="et20"/>
    <w:basedOn w:val="1"/>
    <w:autoRedefine/>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99">
    <w:name w:val="et21"/>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600">
    <w:name w:val="et22"/>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18"/>
      <w:szCs w:val="18"/>
    </w:rPr>
  </w:style>
  <w:style w:type="paragraph" w:customStyle="1" w:styleId="601">
    <w:name w:val="et23"/>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character" w:customStyle="1" w:styleId="602">
    <w:name w:val="样式3 Char"/>
    <w:link w:val="603"/>
    <w:autoRedefine/>
    <w:qFormat/>
    <w:locked/>
    <w:uiPriority w:val="0"/>
    <w:rPr>
      <w:rFonts w:ascii="宋体" w:hAnsi="宋体" w:eastAsia="宋体"/>
      <w:sz w:val="24"/>
      <w:szCs w:val="24"/>
    </w:rPr>
  </w:style>
  <w:style w:type="paragraph" w:customStyle="1" w:styleId="603">
    <w:name w:val="样式3"/>
    <w:basedOn w:val="1"/>
    <w:link w:val="602"/>
    <w:autoRedefine/>
    <w:qFormat/>
    <w:uiPriority w:val="0"/>
    <w:pPr>
      <w:spacing w:line="360" w:lineRule="auto"/>
      <w:ind w:left="454" w:hanging="227"/>
    </w:pPr>
    <w:rPr>
      <w:rFonts w:ascii="宋体" w:hAnsi="宋体" w:eastAsia="宋体"/>
      <w:sz w:val="24"/>
      <w:szCs w:val="24"/>
    </w:rPr>
  </w:style>
  <w:style w:type="character" w:customStyle="1" w:styleId="604">
    <w:name w:val="样式 样式 首行缩进:  2.25 字符 + 首行缩进:  2.25 字符 Char"/>
    <w:link w:val="605"/>
    <w:autoRedefine/>
    <w:qFormat/>
    <w:locked/>
    <w:uiPriority w:val="0"/>
    <w:rPr>
      <w:rFonts w:ascii="宋体" w:hAnsi="宋体" w:eastAsia="宋体"/>
      <w:szCs w:val="21"/>
    </w:rPr>
  </w:style>
  <w:style w:type="paragraph" w:customStyle="1" w:styleId="605">
    <w:name w:val="样式 样式 首行缩进:  2.25 字符 + 首行缩进:  2.25 字符"/>
    <w:basedOn w:val="1"/>
    <w:link w:val="604"/>
    <w:autoRedefine/>
    <w:qFormat/>
    <w:uiPriority w:val="0"/>
    <w:pPr>
      <w:spacing w:line="360" w:lineRule="auto"/>
      <w:ind w:firstLine="420" w:firstLineChars="200"/>
    </w:pPr>
    <w:rPr>
      <w:rFonts w:ascii="宋体" w:hAnsi="宋体" w:eastAsia="宋体"/>
      <w:szCs w:val="21"/>
    </w:rPr>
  </w:style>
  <w:style w:type="character" w:customStyle="1" w:styleId="606">
    <w:name w:val="Char Char25"/>
    <w:link w:val="607"/>
    <w:autoRedefine/>
    <w:qFormat/>
    <w:locked/>
    <w:uiPriority w:val="0"/>
    <w:rPr>
      <w:rFonts w:ascii="Tahoma" w:hAnsi="Tahoma" w:cs="Tahoma"/>
      <w:sz w:val="24"/>
    </w:rPr>
  </w:style>
  <w:style w:type="paragraph" w:customStyle="1" w:styleId="607">
    <w:name w:val="Char3"/>
    <w:basedOn w:val="1"/>
    <w:link w:val="606"/>
    <w:autoRedefine/>
    <w:qFormat/>
    <w:uiPriority w:val="0"/>
    <w:rPr>
      <w:rFonts w:ascii="Tahoma" w:hAnsi="Tahoma" w:cs="Tahoma"/>
      <w:sz w:val="24"/>
    </w:rPr>
  </w:style>
  <w:style w:type="paragraph" w:customStyle="1" w:styleId="608">
    <w:name w:val="CM14"/>
    <w:basedOn w:val="162"/>
    <w:next w:val="162"/>
    <w:autoRedefine/>
    <w:qFormat/>
    <w:uiPriority w:val="99"/>
    <w:pPr>
      <w:spacing w:line="546" w:lineRule="atLeast"/>
    </w:pPr>
    <w:rPr>
      <w:rFonts w:ascii="仿宋" w:eastAsia="仿宋" w:cs="Times New Roman"/>
      <w:color w:val="auto"/>
    </w:rPr>
  </w:style>
  <w:style w:type="paragraph" w:customStyle="1" w:styleId="609">
    <w:name w:val="xl89"/>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10">
    <w:name w:val="表格(五号)"/>
    <w:basedOn w:val="1"/>
    <w:autoRedefine/>
    <w:qFormat/>
    <w:uiPriority w:val="99"/>
    <w:pPr>
      <w:adjustRightInd w:val="0"/>
      <w:snapToGrid w:val="0"/>
      <w:spacing w:before="60" w:after="60"/>
      <w:ind w:left="11"/>
      <w:jc w:val="center"/>
    </w:pPr>
    <w:rPr>
      <w:rFonts w:ascii="Times New Roman" w:hAnsi="Times New Roman" w:eastAsia="宋体" w:cs="Times New Roman"/>
      <w:kern w:val="0"/>
      <w:szCs w:val="20"/>
    </w:rPr>
  </w:style>
  <w:style w:type="paragraph" w:customStyle="1" w:styleId="611">
    <w:name w:val="标题6"/>
    <w:basedOn w:val="1"/>
    <w:next w:val="4"/>
    <w:autoRedefine/>
    <w:qFormat/>
    <w:uiPriority w:val="99"/>
    <w:pPr>
      <w:widowControl/>
      <w:snapToGrid w:val="0"/>
      <w:spacing w:beforeLines="50" w:afterLines="50" w:line="520" w:lineRule="atLeast"/>
      <w:ind w:firstLine="200" w:firstLineChars="200"/>
    </w:pPr>
    <w:rPr>
      <w:rFonts w:ascii="Times New Roman" w:hAnsi="Times New Roman" w:eastAsia="宋体" w:cs="Arial"/>
      <w:b/>
      <w:sz w:val="24"/>
      <w:szCs w:val="24"/>
    </w:rPr>
  </w:style>
  <w:style w:type="paragraph" w:customStyle="1" w:styleId="612">
    <w:name w:val="Char Char Char Char Char Char Char1"/>
    <w:basedOn w:val="1"/>
    <w:autoRedefine/>
    <w:qFormat/>
    <w:uiPriority w:val="99"/>
    <w:rPr>
      <w:rFonts w:ascii="Times New Roman" w:hAnsi="Times New Roman" w:eastAsia="宋体" w:cs="Times New Roman"/>
      <w:szCs w:val="24"/>
    </w:rPr>
  </w:style>
  <w:style w:type="paragraph" w:customStyle="1" w:styleId="613">
    <w:name w:val="Char11"/>
    <w:basedOn w:val="1"/>
    <w:autoRedefine/>
    <w:qFormat/>
    <w:uiPriority w:val="99"/>
    <w:rPr>
      <w:rFonts w:ascii="Times New Roman" w:hAnsi="Times New Roman" w:eastAsia="宋体" w:cs="Times New Roman"/>
      <w:szCs w:val="20"/>
    </w:rPr>
  </w:style>
  <w:style w:type="paragraph" w:customStyle="1" w:styleId="614">
    <w:name w:val="Char1 Char Char Char Char Char Char"/>
    <w:basedOn w:val="1"/>
    <w:autoRedefine/>
    <w:qFormat/>
    <w:uiPriority w:val="99"/>
    <w:rPr>
      <w:rFonts w:ascii="仿宋_GB2312" w:hAnsi="Times New Roman" w:eastAsia="仿宋_GB2312" w:cs="Times New Roman"/>
      <w:b/>
      <w:sz w:val="32"/>
      <w:szCs w:val="32"/>
    </w:rPr>
  </w:style>
  <w:style w:type="paragraph" w:customStyle="1" w:styleId="615">
    <w:name w:val="样式 样式 标题 3 + (符号) 宋体 四号 加粗 黑色 段前: 0 磅 段后: 0 磅 行距: 固定值 22 磅 + 段前:..."/>
    <w:basedOn w:val="1"/>
    <w:autoRedefine/>
    <w:qFormat/>
    <w:uiPriority w:val="99"/>
    <w:pPr>
      <w:keepNext/>
      <w:keepLines/>
      <w:tabs>
        <w:tab w:val="left" w:pos="1275"/>
      </w:tabs>
      <w:spacing w:beforeLines="50" w:afterLines="50" w:line="580" w:lineRule="exact"/>
      <w:jc w:val="left"/>
      <w:outlineLvl w:val="2"/>
    </w:pPr>
    <w:rPr>
      <w:rFonts w:ascii="宋体" w:hAnsi="宋体" w:eastAsia="宋体" w:cs="Times New Roman"/>
      <w:b/>
      <w:bCs/>
      <w:color w:val="000000"/>
      <w:kern w:val="24"/>
      <w:sz w:val="28"/>
      <w:szCs w:val="20"/>
    </w:rPr>
  </w:style>
  <w:style w:type="paragraph" w:customStyle="1" w:styleId="616">
    <w:name w:val="菲页2"/>
    <w:basedOn w:val="6"/>
    <w:autoRedefine/>
    <w:qFormat/>
    <w:uiPriority w:val="99"/>
    <w:pPr>
      <w:widowControl/>
      <w:tabs>
        <w:tab w:val="left" w:pos="1680"/>
      </w:tabs>
      <w:spacing w:before="120" w:after="120" w:line="360" w:lineRule="auto"/>
      <w:ind w:left="1680" w:hanging="420"/>
      <w:jc w:val="center"/>
    </w:pPr>
    <w:rPr>
      <w:rFonts w:ascii="黑体" w:hAnsi="宋体" w:eastAsia="黑体"/>
      <w:b w:val="0"/>
      <w:bCs w:val="0"/>
      <w:sz w:val="44"/>
      <w:szCs w:val="20"/>
    </w:rPr>
  </w:style>
  <w:style w:type="paragraph" w:customStyle="1" w:styleId="617">
    <w:name w:val="xl8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0"/>
      <w:szCs w:val="20"/>
    </w:rPr>
  </w:style>
  <w:style w:type="paragraph" w:customStyle="1" w:styleId="618">
    <w:name w:val="正文文本缩进1"/>
    <w:basedOn w:val="1"/>
    <w:autoRedefine/>
    <w:qFormat/>
    <w:uiPriority w:val="99"/>
    <w:pPr>
      <w:spacing w:before="120" w:after="120" w:line="360" w:lineRule="auto"/>
      <w:ind w:left="420" w:leftChars="200"/>
    </w:pPr>
    <w:rPr>
      <w:rFonts w:ascii="Times New Roman" w:hAnsi="Times New Roman" w:eastAsia="宋体" w:cs="Times New Roman"/>
      <w:sz w:val="20"/>
      <w:szCs w:val="20"/>
    </w:rPr>
  </w:style>
  <w:style w:type="paragraph" w:customStyle="1" w:styleId="619">
    <w:name w:val="xl85"/>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0">
    <w:name w:val="样式4"/>
    <w:basedOn w:val="6"/>
    <w:autoRedefine/>
    <w:qFormat/>
    <w:uiPriority w:val="99"/>
    <w:pPr>
      <w:spacing w:line="412" w:lineRule="auto"/>
      <w:ind w:left="720" w:hanging="720"/>
    </w:pPr>
    <w:rPr>
      <w:rFonts w:eastAsia="Arial"/>
      <w:kern w:val="2"/>
    </w:rPr>
  </w:style>
  <w:style w:type="paragraph" w:customStyle="1" w:styleId="621">
    <w:name w:val="引用2"/>
    <w:basedOn w:val="1"/>
    <w:next w:val="1"/>
    <w:autoRedefine/>
    <w:qFormat/>
    <w:uiPriority w:val="99"/>
    <w:rPr>
      <w:rFonts w:ascii="Times New Roman" w:hAnsi="Times New Roman" w:eastAsia="Times New Roman" w:cs="Times New Roman"/>
      <w:i/>
      <w:color w:val="000000"/>
      <w:sz w:val="22"/>
      <w:szCs w:val="20"/>
    </w:rPr>
  </w:style>
  <w:style w:type="paragraph" w:customStyle="1" w:styleId="622">
    <w:name w:val="xl83"/>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3">
    <w:name w:val="Char Char1 Char1"/>
    <w:basedOn w:val="1"/>
    <w:autoRedefine/>
    <w:qFormat/>
    <w:uiPriority w:val="99"/>
    <w:rPr>
      <w:rFonts w:ascii="Times New Roman" w:hAnsi="Times New Roman" w:eastAsia="宋体" w:cs="Times New Roman"/>
      <w:szCs w:val="24"/>
    </w:rPr>
  </w:style>
  <w:style w:type="paragraph" w:customStyle="1" w:styleId="624">
    <w:name w:val="菲页(卷)"/>
    <w:basedOn w:val="4"/>
    <w:next w:val="525"/>
    <w:autoRedefine/>
    <w:qFormat/>
    <w:uiPriority w:val="99"/>
    <w:pPr>
      <w:widowControl/>
      <w:tabs>
        <w:tab w:val="left" w:pos="432"/>
        <w:tab w:val="left" w:pos="840"/>
      </w:tabs>
      <w:ind w:left="840" w:hanging="420"/>
      <w:outlineLvl w:val="1"/>
    </w:pPr>
    <w:rPr>
      <w:rFonts w:ascii="黑体" w:eastAsia="黑体"/>
      <w:b w:val="0"/>
      <w:bCs w:val="0"/>
      <w:sz w:val="52"/>
      <w:szCs w:val="20"/>
    </w:rPr>
  </w:style>
  <w:style w:type="paragraph" w:customStyle="1" w:styleId="625">
    <w:name w:val="xl8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6">
    <w:name w:val="部分1"/>
    <w:basedOn w:val="1"/>
    <w:autoRedefine/>
    <w:qFormat/>
    <w:uiPriority w:val="99"/>
    <w:pPr>
      <w:keepNext/>
      <w:pageBreakBefore/>
      <w:tabs>
        <w:tab w:val="left" w:pos="720"/>
      </w:tabs>
      <w:spacing w:line="360" w:lineRule="auto"/>
      <w:jc w:val="center"/>
      <w:outlineLvl w:val="0"/>
    </w:pPr>
    <w:rPr>
      <w:rFonts w:ascii="Times New Roman" w:hAnsi="Times New Roman" w:eastAsia="黑体" w:cs="Times New Roman"/>
      <w:b/>
      <w:kern w:val="44"/>
      <w:sz w:val="36"/>
      <w:szCs w:val="20"/>
    </w:rPr>
  </w:style>
  <w:style w:type="paragraph" w:customStyle="1" w:styleId="627">
    <w:name w:val="Char Char Char Char2"/>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28">
    <w:name w:val="Char Char Char Char1"/>
    <w:basedOn w:val="1"/>
    <w:autoRedefine/>
    <w:qFormat/>
    <w:uiPriority w:val="99"/>
    <w:rPr>
      <w:rFonts w:ascii="Times New Roman" w:hAnsi="Times New Roman" w:eastAsia="宋体" w:cs="Times New Roman"/>
      <w:szCs w:val="24"/>
    </w:rPr>
  </w:style>
  <w:style w:type="paragraph" w:customStyle="1" w:styleId="629">
    <w:name w:val="菲页1"/>
    <w:basedOn w:val="5"/>
    <w:autoRedefine/>
    <w:qFormat/>
    <w:uiPriority w:val="99"/>
    <w:pPr>
      <w:widowControl/>
      <w:spacing w:line="412" w:lineRule="auto"/>
      <w:jc w:val="center"/>
    </w:pPr>
    <w:rPr>
      <w:rFonts w:ascii="黑体" w:hAnsi="宋体" w:eastAsia="黑体"/>
      <w:b w:val="0"/>
      <w:bCs w:val="0"/>
      <w:kern w:val="0"/>
      <w:sz w:val="52"/>
      <w:szCs w:val="20"/>
    </w:rPr>
  </w:style>
  <w:style w:type="paragraph" w:customStyle="1" w:styleId="630">
    <w:name w:val="样式 标题 2 + (中文) 黑体 四号 黑色"/>
    <w:basedOn w:val="5"/>
    <w:autoRedefine/>
    <w:qFormat/>
    <w:uiPriority w:val="99"/>
    <w:pPr>
      <w:spacing w:line="520" w:lineRule="exact"/>
      <w:jc w:val="left"/>
    </w:pPr>
    <w:rPr>
      <w:rFonts w:ascii="Arial" w:hAnsi="Arial" w:eastAsia="黑体"/>
      <w:color w:val="000000"/>
      <w:kern w:val="24"/>
      <w:sz w:val="28"/>
      <w:szCs w:val="20"/>
    </w:rPr>
  </w:style>
  <w:style w:type="paragraph" w:customStyle="1" w:styleId="631">
    <w:name w:val="Char Char Char Char Char Char Char Char Char Char Char Char Char Char Char Char Char Char Char Char Char Char Char Char Char Char Char Char Char Char Char Char Char1"/>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32">
    <w:name w:val="xl87"/>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33">
    <w:name w:val="样式 标题 3 + 段前: 7.8 磅"/>
    <w:basedOn w:val="6"/>
    <w:autoRedefine/>
    <w:qFormat/>
    <w:uiPriority w:val="99"/>
    <w:pPr>
      <w:keepNext w:val="0"/>
      <w:keepLines w:val="0"/>
      <w:tabs>
        <w:tab w:val="left" w:pos="432"/>
      </w:tabs>
      <w:spacing w:before="156" w:after="0" w:line="360" w:lineRule="auto"/>
      <w:ind w:left="432" w:hanging="432"/>
    </w:pPr>
    <w:rPr>
      <w:rFonts w:cs="宋体"/>
      <w:b w:val="0"/>
      <w:bCs w:val="0"/>
      <w:kern w:val="2"/>
      <w:sz w:val="24"/>
      <w:szCs w:val="20"/>
    </w:rPr>
  </w:style>
  <w:style w:type="paragraph" w:customStyle="1" w:styleId="634">
    <w:name w:val="_Style 5"/>
    <w:basedOn w:val="1"/>
    <w:autoRedefine/>
    <w:qFormat/>
    <w:uiPriority w:val="99"/>
    <w:pPr>
      <w:widowControl/>
      <w:spacing w:after="160" w:line="240" w:lineRule="exact"/>
      <w:jc w:val="left"/>
    </w:pPr>
    <w:rPr>
      <w:rFonts w:ascii="Times New Roman" w:hAnsi="Times New Roman" w:eastAsia="宋体" w:cs="Times New Roman"/>
      <w:szCs w:val="24"/>
    </w:rPr>
  </w:style>
  <w:style w:type="paragraph" w:customStyle="1" w:styleId="635">
    <w:name w:val="xl45"/>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Cs/>
      <w:kern w:val="0"/>
      <w:sz w:val="24"/>
      <w:szCs w:val="24"/>
    </w:rPr>
  </w:style>
  <w:style w:type="paragraph" w:customStyle="1" w:styleId="636">
    <w:name w:val="xl9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37">
    <w:name w:val="样式 标题 3h3标题 3(节)H3l3CTsect1.2.3Heading 3 - old一level_3..."/>
    <w:basedOn w:val="6"/>
    <w:autoRedefine/>
    <w:qFormat/>
    <w:uiPriority w:val="99"/>
    <w:pPr>
      <w:tabs>
        <w:tab w:val="left" w:pos="720"/>
      </w:tabs>
      <w:adjustRightInd w:val="0"/>
      <w:spacing w:line="360" w:lineRule="auto"/>
      <w:ind w:left="720" w:hanging="720"/>
      <w:jc w:val="left"/>
    </w:pPr>
    <w:rPr>
      <w:rFonts w:ascii="宋体" w:hAnsi="Arial"/>
      <w:kern w:val="24"/>
      <w:sz w:val="24"/>
      <w:szCs w:val="20"/>
    </w:rPr>
  </w:style>
  <w:style w:type="paragraph" w:customStyle="1" w:styleId="638">
    <w:name w:val="xl86"/>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39">
    <w:name w:val="正文文本缩进2"/>
    <w:basedOn w:val="1"/>
    <w:autoRedefine/>
    <w:qFormat/>
    <w:uiPriority w:val="99"/>
    <w:pPr>
      <w:spacing w:before="120" w:after="120" w:line="360" w:lineRule="auto"/>
      <w:ind w:left="420" w:leftChars="200"/>
    </w:pPr>
    <w:rPr>
      <w:rFonts w:ascii="Times New Roman" w:hAnsi="Times New Roman" w:eastAsia="宋体" w:cs="Times New Roman"/>
      <w:sz w:val="20"/>
      <w:szCs w:val="20"/>
    </w:rPr>
  </w:style>
  <w:style w:type="paragraph" w:customStyle="1" w:styleId="640">
    <w:name w:val="明显引用21"/>
    <w:basedOn w:val="1"/>
    <w:next w:val="1"/>
    <w:autoRedefine/>
    <w:qFormat/>
    <w:uiPriority w:val="99"/>
    <w:pPr>
      <w:pBdr>
        <w:bottom w:val="single" w:color="4F81BD" w:sz="4" w:space="4"/>
      </w:pBdr>
      <w:spacing w:before="200" w:after="280"/>
      <w:ind w:left="936" w:right="936"/>
    </w:pPr>
    <w:rPr>
      <w:rFonts w:ascii="Times New Roman" w:hAnsi="Times New Roman" w:eastAsia="Times New Roman" w:cs="Times New Roman"/>
      <w:b/>
      <w:i/>
      <w:color w:val="4F81BD"/>
      <w:sz w:val="22"/>
      <w:szCs w:val="20"/>
    </w:rPr>
  </w:style>
  <w:style w:type="paragraph" w:customStyle="1" w:styleId="641">
    <w:name w:val="样式 样式 标题 4 + 非加粗 + (中文) 黑体 段前: 0 磅 段后: 0 磅 行距: 固定值 22 磅"/>
    <w:basedOn w:val="1"/>
    <w:autoRedefine/>
    <w:qFormat/>
    <w:uiPriority w:val="99"/>
    <w:pPr>
      <w:keepNext/>
      <w:keepLines/>
      <w:spacing w:beforeLines="50" w:afterLines="50" w:line="500" w:lineRule="exact"/>
      <w:outlineLvl w:val="3"/>
    </w:pPr>
    <w:rPr>
      <w:rFonts w:ascii="Arial" w:hAnsi="Arial" w:eastAsia="宋体" w:cs="宋体"/>
      <w:b/>
      <w:bCs/>
      <w:sz w:val="24"/>
      <w:szCs w:val="24"/>
    </w:rPr>
  </w:style>
  <w:style w:type="paragraph" w:customStyle="1" w:styleId="642">
    <w:name w:val="xl88"/>
    <w:basedOn w:val="1"/>
    <w:autoRedefine/>
    <w:qFormat/>
    <w:uiPriority w:val="99"/>
    <w:pPr>
      <w:widowControl/>
      <w:pBdr>
        <w:bottom w:val="single" w:color="auto" w:sz="4" w:space="0"/>
      </w:pBdr>
      <w:spacing w:before="100" w:beforeAutospacing="1" w:after="100" w:afterAutospacing="1"/>
      <w:jc w:val="center"/>
    </w:pPr>
    <w:rPr>
      <w:rFonts w:ascii="黑体" w:hAnsi="黑体" w:eastAsia="黑体" w:cs="宋体"/>
      <w:kern w:val="0"/>
      <w:sz w:val="32"/>
      <w:szCs w:val="32"/>
    </w:rPr>
  </w:style>
  <w:style w:type="paragraph" w:customStyle="1" w:styleId="643">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44">
    <w:name w:val="Char Char Char Char Char Char Char"/>
    <w:basedOn w:val="1"/>
    <w:autoRedefine/>
    <w:qFormat/>
    <w:uiPriority w:val="99"/>
    <w:rPr>
      <w:rFonts w:ascii="Times New Roman" w:hAnsi="Times New Roman" w:eastAsia="宋体" w:cs="Times New Roman"/>
      <w:szCs w:val="24"/>
    </w:rPr>
  </w:style>
  <w:style w:type="paragraph" w:customStyle="1" w:styleId="645">
    <w:name w:val="Char Char Char Char Char Char Char Char Char Char Char Char Char Char Char Char Char Char Char Char Char Char Char Char Char Char Char Char Char Char Char Char Char2"/>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46">
    <w:name w:val="目录 71"/>
    <w:next w:val="1"/>
    <w:autoRedefine/>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647">
    <w:name w:val="Char4"/>
    <w:basedOn w:val="16"/>
    <w:autoRedefine/>
    <w:qFormat/>
    <w:uiPriority w:val="99"/>
    <w:pPr>
      <w:widowControl/>
      <w:spacing w:line="360" w:lineRule="auto"/>
      <w:ind w:firstLine="480" w:firstLineChars="200"/>
      <w:jc w:val="left"/>
    </w:pPr>
    <w:rPr>
      <w:rFonts w:ascii="Calibri" w:hAnsi="Calibri" w:eastAsia="微软雅黑"/>
      <w:szCs w:val="24"/>
    </w:rPr>
  </w:style>
  <w:style w:type="paragraph" w:customStyle="1" w:styleId="648">
    <w:name w:val="Char1 Char Char Char"/>
    <w:basedOn w:val="1"/>
    <w:autoRedefine/>
    <w:qFormat/>
    <w:uiPriority w:val="99"/>
    <w:rPr>
      <w:rFonts w:ascii="Times New Roman" w:hAnsi="Times New Roman" w:eastAsia="宋体" w:cs="Times New Roman"/>
      <w:szCs w:val="20"/>
    </w:rPr>
  </w:style>
  <w:style w:type="paragraph" w:customStyle="1" w:styleId="649">
    <w:name w:val="样式 标题 3 + Calibri 加粗 左侧:  0 厘米"/>
    <w:basedOn w:val="6"/>
    <w:autoRedefine/>
    <w:qFormat/>
    <w:uiPriority w:val="99"/>
    <w:pPr>
      <w:keepNext w:val="0"/>
      <w:keepLines w:val="0"/>
      <w:spacing w:before="0" w:after="0" w:line="360" w:lineRule="auto"/>
      <w:ind w:firstLine="200" w:firstLineChars="200"/>
      <w:jc w:val="center"/>
    </w:pPr>
    <w:rPr>
      <w:rFonts w:ascii="Calibri" w:hAnsi="Calibri" w:eastAsia="华文中宋" w:cs="宋体"/>
      <w:kern w:val="2"/>
      <w:sz w:val="28"/>
      <w:szCs w:val="20"/>
    </w:rPr>
  </w:style>
  <w:style w:type="paragraph" w:customStyle="1" w:styleId="650">
    <w:name w:val="Char Char4 Char Char Char Char"/>
    <w:basedOn w:val="1"/>
    <w:autoRedefine/>
    <w:qFormat/>
    <w:uiPriority w:val="99"/>
    <w:rPr>
      <w:rFonts w:ascii="Times New Roman" w:hAnsi="Times New Roman" w:eastAsia="仿宋_GB2312" w:cs="Times New Roman"/>
      <w:sz w:val="28"/>
      <w:szCs w:val="24"/>
    </w:rPr>
  </w:style>
  <w:style w:type="paragraph" w:customStyle="1" w:styleId="651">
    <w:name w:val="Char Char Char Char Char Char Char Char Char Char Char Char Char Char Char Char Char Char Char Char Char Char Char Char Char"/>
    <w:basedOn w:val="1"/>
    <w:autoRedefine/>
    <w:qFormat/>
    <w:uiPriority w:val="99"/>
    <w:rPr>
      <w:rFonts w:ascii="Tahoma" w:hAnsi="Tahoma" w:eastAsia="宋体" w:cs="Times New Roman"/>
      <w:sz w:val="24"/>
      <w:szCs w:val="20"/>
    </w:rPr>
  </w:style>
  <w:style w:type="paragraph" w:customStyle="1" w:styleId="652">
    <w:name w:val="样式 纯文本普通文字 Char纯文本 Char Char普通文字纯文本 Char Char Char Char Char..."/>
    <w:basedOn w:val="4"/>
    <w:next w:val="4"/>
    <w:autoRedefine/>
    <w:qFormat/>
    <w:uiPriority w:val="99"/>
    <w:pPr>
      <w:keepLines/>
      <w:spacing w:line="360" w:lineRule="auto"/>
      <w:jc w:val="both"/>
    </w:pPr>
    <w:rPr>
      <w:rFonts w:ascii="宋体" w:hAnsi="Calibri" w:eastAsia="微软雅黑"/>
      <w:color w:val="000000"/>
      <w:kern w:val="44"/>
      <w:sz w:val="36"/>
      <w:szCs w:val="44"/>
    </w:rPr>
  </w:style>
  <w:style w:type="paragraph" w:customStyle="1" w:styleId="653">
    <w:name w:val="正文宋体"/>
    <w:basedOn w:val="1"/>
    <w:autoRedefine/>
    <w:qFormat/>
    <w:uiPriority w:val="99"/>
    <w:pPr>
      <w:spacing w:line="360" w:lineRule="auto"/>
    </w:pPr>
    <w:rPr>
      <w:rFonts w:ascii="宋体" w:hAnsi="宋体" w:eastAsia="宋体" w:cs="Times New Roman"/>
      <w:sz w:val="24"/>
      <w:szCs w:val="24"/>
    </w:rPr>
  </w:style>
  <w:style w:type="paragraph" w:customStyle="1" w:styleId="654">
    <w:name w:val="样式 标题 3 + 小三"/>
    <w:basedOn w:val="6"/>
    <w:autoRedefine/>
    <w:qFormat/>
    <w:uiPriority w:val="99"/>
    <w:pPr>
      <w:tabs>
        <w:tab w:val="left" w:pos="420"/>
      </w:tabs>
      <w:adjustRightInd w:val="0"/>
      <w:snapToGrid w:val="0"/>
      <w:spacing w:before="0" w:beforeLines="200" w:after="0" w:line="408" w:lineRule="auto"/>
      <w:ind w:firstLine="604" w:firstLineChars="100"/>
      <w:jc w:val="center"/>
    </w:pPr>
    <w:rPr>
      <w:rFonts w:ascii="宋体" w:eastAsia="华文中宋"/>
      <w:bCs w:val="0"/>
      <w:kern w:val="2"/>
      <w:sz w:val="30"/>
      <w:szCs w:val="20"/>
    </w:rPr>
  </w:style>
  <w:style w:type="paragraph" w:customStyle="1" w:styleId="655">
    <w:name w:val="Char1 Char Char Char1"/>
    <w:basedOn w:val="1"/>
    <w:autoRedefine/>
    <w:qFormat/>
    <w:uiPriority w:val="99"/>
    <w:rPr>
      <w:rFonts w:ascii="Times New Roman" w:hAnsi="Times New Roman" w:eastAsia="宋体" w:cs="Times New Roman"/>
      <w:szCs w:val="20"/>
    </w:rPr>
  </w:style>
  <w:style w:type="paragraph" w:customStyle="1" w:styleId="656">
    <w:name w:val="Char41"/>
    <w:basedOn w:val="16"/>
    <w:autoRedefine/>
    <w:qFormat/>
    <w:uiPriority w:val="99"/>
    <w:pPr>
      <w:widowControl/>
      <w:spacing w:line="360" w:lineRule="auto"/>
      <w:ind w:firstLine="480" w:firstLineChars="200"/>
      <w:jc w:val="left"/>
    </w:pPr>
    <w:rPr>
      <w:rFonts w:ascii="Calibri" w:hAnsi="Calibri" w:eastAsia="微软雅黑"/>
      <w:szCs w:val="24"/>
    </w:rPr>
  </w:style>
  <w:style w:type="character" w:customStyle="1" w:styleId="657">
    <w:name w:val="样式 标题 2 + 小四 Char Char"/>
    <w:link w:val="658"/>
    <w:autoRedefine/>
    <w:qFormat/>
    <w:locked/>
    <w:uiPriority w:val="0"/>
    <w:rPr>
      <w:rFonts w:ascii="宋体" w:hAnsi="宋体" w:eastAsia="微软雅黑"/>
      <w:b/>
      <w:sz w:val="36"/>
    </w:rPr>
  </w:style>
  <w:style w:type="paragraph" w:customStyle="1" w:styleId="658">
    <w:name w:val="样式 标题 2 + 小四"/>
    <w:basedOn w:val="5"/>
    <w:link w:val="657"/>
    <w:autoRedefine/>
    <w:qFormat/>
    <w:uiPriority w:val="0"/>
    <w:pPr>
      <w:tabs>
        <w:tab w:val="left" w:pos="420"/>
      </w:tabs>
      <w:spacing w:line="408" w:lineRule="auto"/>
      <w:jc w:val="center"/>
    </w:pPr>
    <w:rPr>
      <w:rFonts w:ascii="宋体" w:hAnsi="宋体" w:eastAsia="微软雅黑" w:cstheme="minorBidi"/>
      <w:bCs w:val="0"/>
      <w:sz w:val="36"/>
      <w:szCs w:val="22"/>
    </w:rPr>
  </w:style>
  <w:style w:type="paragraph" w:customStyle="1" w:styleId="659">
    <w:name w:val="样式 纯文本普通文字 Char纯文本 Char Char普通文字纯文本 Char Char Char Char Char...2"/>
    <w:basedOn w:val="6"/>
    <w:next w:val="6"/>
    <w:autoRedefine/>
    <w:qFormat/>
    <w:uiPriority w:val="99"/>
    <w:pPr>
      <w:keepNext w:val="0"/>
      <w:keepLines w:val="0"/>
      <w:tabs>
        <w:tab w:val="left" w:pos="360"/>
      </w:tabs>
      <w:spacing w:before="0" w:after="0" w:line="240" w:lineRule="auto"/>
      <w:ind w:left="2223" w:firstLine="225" w:firstLineChars="225"/>
      <w:jc w:val="center"/>
    </w:pPr>
    <w:rPr>
      <w:rFonts w:eastAsia="华文中宋" w:cs="宋体"/>
      <w:b w:val="0"/>
      <w:color w:val="000000"/>
      <w:kern w:val="2"/>
      <w:sz w:val="28"/>
      <w:szCs w:val="20"/>
    </w:rPr>
  </w:style>
  <w:style w:type="paragraph" w:customStyle="1" w:styleId="660">
    <w:name w:val="No Spacing1"/>
    <w:autoRedefine/>
    <w:qFormat/>
    <w:uiPriority w:val="99"/>
    <w:rPr>
      <w:rFonts w:ascii="Calibri" w:hAnsi="Calibri" w:eastAsia="宋体" w:cs="Times New Roman"/>
      <w:sz w:val="22"/>
      <w:szCs w:val="22"/>
      <w:lang w:val="en-US" w:eastAsia="en-US" w:bidi="ar-SA"/>
    </w:rPr>
  </w:style>
  <w:style w:type="paragraph" w:customStyle="1" w:styleId="661">
    <w:name w:val="四级目录 Char Char Char Char Char"/>
    <w:next w:val="1"/>
    <w:autoRedefine/>
    <w:qFormat/>
    <w:uiPriority w:val="99"/>
    <w:pPr>
      <w:spacing w:line="360" w:lineRule="auto"/>
      <w:ind w:left="200" w:leftChars="200"/>
    </w:pPr>
    <w:rPr>
      <w:rFonts w:ascii="Times New Roman" w:hAnsi="Times New Roman" w:eastAsia="宋体" w:cs="Times New Roman"/>
      <w:lang w:val="en-US" w:eastAsia="zh-CN" w:bidi="ar-SA"/>
    </w:rPr>
  </w:style>
  <w:style w:type="paragraph" w:customStyle="1" w:styleId="662">
    <w:name w:val="普通(网站)1"/>
    <w:basedOn w:val="1"/>
    <w:autoRedefine/>
    <w:qFormat/>
    <w:uiPriority w:val="99"/>
    <w:pPr>
      <w:widowControl/>
      <w:jc w:val="left"/>
    </w:pPr>
    <w:rPr>
      <w:rFonts w:ascii="ˎ̥" w:hAnsi="ˎ̥" w:eastAsia="宋体" w:cs="宋体"/>
      <w:color w:val="000000"/>
      <w:kern w:val="0"/>
      <w:sz w:val="13"/>
      <w:szCs w:val="13"/>
    </w:rPr>
  </w:style>
  <w:style w:type="character" w:customStyle="1" w:styleId="663">
    <w:name w:val="无间隔 字符"/>
    <w:link w:val="664"/>
    <w:autoRedefine/>
    <w:qFormat/>
    <w:locked/>
    <w:uiPriority w:val="0"/>
    <w:rPr>
      <w:rFonts w:ascii="Calibri" w:hAnsi="Calibri" w:eastAsia="微软雅黑" w:cs="Calibri"/>
    </w:rPr>
  </w:style>
  <w:style w:type="paragraph" w:customStyle="1" w:styleId="664">
    <w:name w:val="无间隔11"/>
    <w:link w:val="663"/>
    <w:autoRedefine/>
    <w:qFormat/>
    <w:uiPriority w:val="0"/>
    <w:pPr>
      <w:widowControl w:val="0"/>
      <w:jc w:val="both"/>
    </w:pPr>
    <w:rPr>
      <w:rFonts w:ascii="Calibri" w:hAnsi="Calibri" w:eastAsia="微软雅黑" w:cs="Calibri"/>
      <w:kern w:val="2"/>
      <w:sz w:val="21"/>
      <w:szCs w:val="22"/>
      <w:lang w:val="en-US" w:eastAsia="zh-CN" w:bidi="ar-SA"/>
    </w:rPr>
  </w:style>
  <w:style w:type="paragraph" w:customStyle="1" w:styleId="665">
    <w:name w:val="Char2"/>
    <w:basedOn w:val="1"/>
    <w:autoRedefine/>
    <w:qFormat/>
    <w:uiPriority w:val="99"/>
    <w:rPr>
      <w:rFonts w:ascii="仿宋_GB2312" w:hAnsi="Times New Roman" w:eastAsia="仿宋_GB2312" w:cs="Times New Roman"/>
      <w:b/>
      <w:sz w:val="32"/>
      <w:szCs w:val="32"/>
    </w:rPr>
  </w:style>
  <w:style w:type="paragraph" w:customStyle="1" w:styleId="666">
    <w:name w:val="Char Char Char Char Char Char Char Char Char Char Char"/>
    <w:basedOn w:val="1"/>
    <w:autoRedefine/>
    <w:qFormat/>
    <w:uiPriority w:val="99"/>
    <w:rPr>
      <w:rFonts w:ascii="Tahoma" w:hAnsi="Tahoma" w:eastAsia="宋体" w:cs="Times New Roman"/>
      <w:sz w:val="24"/>
      <w:szCs w:val="20"/>
    </w:rPr>
  </w:style>
  <w:style w:type="paragraph" w:customStyle="1" w:styleId="667">
    <w:name w:val="样式 样式1 + 首行缩进:  2 字符"/>
    <w:basedOn w:val="1"/>
    <w:autoRedefine/>
    <w:qFormat/>
    <w:uiPriority w:val="99"/>
    <w:pPr>
      <w:spacing w:line="360" w:lineRule="exact"/>
      <w:ind w:firstLine="420" w:firstLineChars="200"/>
    </w:pPr>
    <w:rPr>
      <w:rFonts w:ascii="Arial" w:hAnsi="Arial" w:eastAsia="宋体" w:cs="Times New Roman"/>
      <w:szCs w:val="20"/>
    </w:rPr>
  </w:style>
  <w:style w:type="paragraph" w:customStyle="1" w:styleId="668">
    <w:name w:val="Char31"/>
    <w:basedOn w:val="1"/>
    <w:autoRedefine/>
    <w:qFormat/>
    <w:uiPriority w:val="99"/>
    <w:rPr>
      <w:rFonts w:ascii="Times New Roman" w:hAnsi="Times New Roman" w:eastAsia="宋体" w:cs="Times New Roman"/>
      <w:szCs w:val="20"/>
    </w:rPr>
  </w:style>
  <w:style w:type="paragraph" w:customStyle="1" w:styleId="669">
    <w:name w:val="样式 纯文本普通文字 Char纯文本 Char Char普通文字纯文本 Char Char Char Char Char...1"/>
    <w:basedOn w:val="5"/>
    <w:next w:val="5"/>
    <w:autoRedefine/>
    <w:qFormat/>
    <w:uiPriority w:val="99"/>
    <w:pPr>
      <w:spacing w:before="0" w:after="0" w:line="360" w:lineRule="auto"/>
    </w:pPr>
    <w:rPr>
      <w:rFonts w:ascii="Arial" w:hAnsi="Arial" w:eastAsia="黑体"/>
      <w:color w:val="000000"/>
      <w:sz w:val="30"/>
    </w:rPr>
  </w:style>
  <w:style w:type="character" w:customStyle="1" w:styleId="670">
    <w:name w:val="彩色列表 - 强调文字颜色 1 Char"/>
    <w:link w:val="671"/>
    <w:autoRedefine/>
    <w:qFormat/>
    <w:locked/>
    <w:uiPriority w:val="0"/>
    <w:rPr>
      <w:rFonts w:ascii="Calibri" w:hAnsi="Calibri" w:eastAsia="微软雅黑" w:cs="Calibri"/>
      <w:szCs w:val="24"/>
    </w:rPr>
  </w:style>
  <w:style w:type="paragraph" w:customStyle="1" w:styleId="671">
    <w:name w:val="彩色列表 - 强调文字颜色 11"/>
    <w:basedOn w:val="1"/>
    <w:link w:val="670"/>
    <w:autoRedefine/>
    <w:qFormat/>
    <w:uiPriority w:val="0"/>
    <w:pPr>
      <w:ind w:firstLine="420" w:firstLineChars="200"/>
    </w:pPr>
    <w:rPr>
      <w:rFonts w:ascii="Calibri" w:hAnsi="Calibri" w:eastAsia="微软雅黑" w:cs="Calibri"/>
      <w:szCs w:val="24"/>
    </w:rPr>
  </w:style>
  <w:style w:type="paragraph" w:customStyle="1" w:styleId="672">
    <w:name w:val="样式 正文文本 + 首行缩进:  2 字符1"/>
    <w:basedOn w:val="3"/>
    <w:autoRedefine/>
    <w:qFormat/>
    <w:uiPriority w:val="99"/>
    <w:pPr>
      <w:adjustRightInd w:val="0"/>
      <w:snapToGrid w:val="0"/>
      <w:spacing w:after="0" w:line="400" w:lineRule="exact"/>
      <w:ind w:firstLine="200" w:firstLineChars="200"/>
    </w:pPr>
    <w:rPr>
      <w:rFonts w:ascii="Arial" w:hAnsi="Arial" w:eastAsia="微软雅黑" w:cs="宋体"/>
      <w:kern w:val="2"/>
      <w:sz w:val="21"/>
      <w:szCs w:val="20"/>
    </w:rPr>
  </w:style>
  <w:style w:type="paragraph" w:customStyle="1" w:styleId="673">
    <w:name w:val="FA正文"/>
    <w:basedOn w:val="1"/>
    <w:autoRedefine/>
    <w:qFormat/>
    <w:uiPriority w:val="99"/>
    <w:pPr>
      <w:spacing w:line="360" w:lineRule="auto"/>
      <w:ind w:right="210" w:rightChars="100" w:firstLine="360"/>
    </w:pPr>
    <w:rPr>
      <w:rFonts w:ascii="Verdana" w:hAnsi="Verdana" w:eastAsia="仿宋_GB2312" w:cs="Times New Roman"/>
      <w:sz w:val="22"/>
      <w:lang w:val="sv-SE"/>
    </w:rPr>
  </w:style>
  <w:style w:type="paragraph" w:customStyle="1" w:styleId="674">
    <w:name w:val="CM2"/>
    <w:basedOn w:val="1"/>
    <w:next w:val="1"/>
    <w:autoRedefine/>
    <w:qFormat/>
    <w:uiPriority w:val="99"/>
    <w:pPr>
      <w:autoSpaceDE w:val="0"/>
      <w:autoSpaceDN w:val="0"/>
      <w:adjustRightInd w:val="0"/>
      <w:spacing w:line="500" w:lineRule="atLeast"/>
      <w:jc w:val="left"/>
    </w:pPr>
    <w:rPr>
      <w:rFonts w:ascii="宋体" w:hAnsi="Times New Roman" w:eastAsia="宋体" w:cs="Times New Roman"/>
      <w:kern w:val="0"/>
      <w:sz w:val="24"/>
      <w:szCs w:val="24"/>
    </w:rPr>
  </w:style>
  <w:style w:type="paragraph" w:customStyle="1" w:styleId="675">
    <w:name w:val="多级符号2"/>
    <w:basedOn w:val="1"/>
    <w:autoRedefine/>
    <w:qFormat/>
    <w:uiPriority w:val="99"/>
    <w:pPr>
      <w:tabs>
        <w:tab w:val="left" w:pos="454"/>
      </w:tabs>
      <w:spacing w:line="360" w:lineRule="auto"/>
      <w:ind w:firstLine="420"/>
      <w:jc w:val="left"/>
    </w:pPr>
    <w:rPr>
      <w:rFonts w:ascii="Times New Roman" w:hAnsi="Times New Roman" w:eastAsia="仿宋_GB2312" w:cs="Times New Roman"/>
      <w:sz w:val="24"/>
      <w:szCs w:val="24"/>
    </w:rPr>
  </w:style>
  <w:style w:type="paragraph" w:customStyle="1" w:styleId="676">
    <w:name w:val="正文文字缩进 2"/>
    <w:basedOn w:val="1"/>
    <w:autoRedefine/>
    <w:qFormat/>
    <w:uiPriority w:val="99"/>
    <w:pPr>
      <w:widowControl/>
      <w:spacing w:line="351" w:lineRule="atLeast"/>
      <w:ind w:firstLine="481"/>
    </w:pPr>
    <w:rPr>
      <w:rFonts w:ascii="仿宋_GB2312" w:hAnsi="Times New Roman" w:eastAsia="仿宋_GB2312" w:cs="Times New Roman"/>
      <w:color w:val="000000"/>
      <w:kern w:val="0"/>
      <w:sz w:val="24"/>
      <w:szCs w:val="20"/>
      <w:u w:color="000000"/>
    </w:rPr>
  </w:style>
  <w:style w:type="paragraph" w:customStyle="1" w:styleId="677">
    <w:name w:val="样式 纯文本普通文字 Char纯文本 Char Char普通文字纯文本 Char Char Char Char Char...5"/>
    <w:basedOn w:val="6"/>
    <w:autoRedefine/>
    <w:qFormat/>
    <w:uiPriority w:val="99"/>
    <w:pPr>
      <w:keepNext w:val="0"/>
      <w:keepLines w:val="0"/>
      <w:tabs>
        <w:tab w:val="left" w:pos="360"/>
      </w:tabs>
      <w:spacing w:before="0" w:after="0" w:line="480" w:lineRule="auto"/>
      <w:ind w:left="360" w:firstLine="540" w:firstLineChars="225"/>
      <w:jc w:val="left"/>
    </w:pPr>
    <w:rPr>
      <w:rFonts w:eastAsia="华文中宋" w:cs="宋体"/>
      <w:b w:val="0"/>
      <w:color w:val="000000"/>
      <w:kern w:val="2"/>
      <w:sz w:val="28"/>
      <w:szCs w:val="20"/>
    </w:rPr>
  </w:style>
  <w:style w:type="paragraph" w:customStyle="1" w:styleId="678">
    <w:name w:val="样式 纯文本普通文字 Char纯文本 Char Char普通文字纯文本 Char Char Char Char Char...4"/>
    <w:basedOn w:val="6"/>
    <w:autoRedefine/>
    <w:qFormat/>
    <w:uiPriority w:val="99"/>
    <w:pPr>
      <w:keepNext w:val="0"/>
      <w:keepLines w:val="0"/>
      <w:tabs>
        <w:tab w:val="left" w:pos="360"/>
      </w:tabs>
      <w:spacing w:before="0" w:after="0" w:line="480" w:lineRule="auto"/>
      <w:ind w:left="360" w:firstLine="540" w:firstLineChars="225"/>
      <w:jc w:val="center"/>
    </w:pPr>
    <w:rPr>
      <w:rFonts w:eastAsia="华文中宋" w:cs="宋体"/>
      <w:b w:val="0"/>
      <w:color w:val="000000"/>
      <w:kern w:val="2"/>
      <w:sz w:val="28"/>
      <w:szCs w:val="20"/>
    </w:rPr>
  </w:style>
  <w:style w:type="paragraph" w:customStyle="1" w:styleId="679">
    <w:name w:val="g11"/>
    <w:basedOn w:val="1"/>
    <w:autoRedefine/>
    <w:qFormat/>
    <w:uiPriority w:val="99"/>
    <w:pPr>
      <w:widowControl/>
      <w:spacing w:before="100" w:beforeAutospacing="1" w:after="100" w:afterAutospacing="1" w:line="900" w:lineRule="atLeast"/>
      <w:jc w:val="left"/>
    </w:pPr>
    <w:rPr>
      <w:rFonts w:ascii="华文中宋" w:hAnsi="华文中宋" w:eastAsia="华文中宋" w:cs="Times New Roman"/>
      <w:b/>
      <w:bCs/>
      <w:color w:val="FF0000"/>
      <w:kern w:val="0"/>
      <w:sz w:val="60"/>
      <w:szCs w:val="60"/>
    </w:rPr>
  </w:style>
  <w:style w:type="paragraph" w:customStyle="1" w:styleId="680">
    <w:name w:val="blockquote"/>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customStyle="1" w:styleId="681">
    <w:name w:val="正文文字缩进 3"/>
    <w:basedOn w:val="1"/>
    <w:autoRedefine/>
    <w:qFormat/>
    <w:uiPriority w:val="99"/>
    <w:pPr>
      <w:widowControl/>
      <w:spacing w:before="119" w:line="272" w:lineRule="atLeast"/>
      <w:ind w:left="719" w:firstLine="481"/>
      <w:jc w:val="left"/>
    </w:pPr>
    <w:rPr>
      <w:rFonts w:ascii="宋体" w:hAnsi="Times New Roman" w:eastAsia="宋体" w:cs="Times New Roman"/>
      <w:color w:val="000000"/>
      <w:kern w:val="0"/>
      <w:sz w:val="24"/>
      <w:szCs w:val="20"/>
      <w:u w:color="000000"/>
    </w:rPr>
  </w:style>
  <w:style w:type="paragraph" w:customStyle="1" w:styleId="682">
    <w:name w:val="title1"/>
    <w:basedOn w:val="1"/>
    <w:autoRedefine/>
    <w:qFormat/>
    <w:uiPriority w:val="99"/>
    <w:pPr>
      <w:widowControl/>
      <w:spacing w:before="150" w:line="480" w:lineRule="atLeast"/>
      <w:jc w:val="left"/>
    </w:pPr>
    <w:rPr>
      <w:rFonts w:ascii="宋体" w:hAnsi="宋体" w:eastAsia="宋体" w:cs="宋体"/>
      <w:b/>
      <w:bCs/>
      <w:kern w:val="0"/>
      <w:sz w:val="24"/>
      <w:szCs w:val="24"/>
    </w:rPr>
  </w:style>
  <w:style w:type="paragraph" w:customStyle="1" w:styleId="683">
    <w:name w:val="_Style 137"/>
    <w:basedOn w:val="4"/>
    <w:next w:val="1"/>
    <w:autoRedefine/>
    <w:qFormat/>
    <w:uiPriority w:val="99"/>
    <w:pPr>
      <w:keepLines/>
      <w:spacing w:before="340" w:after="330" w:line="576" w:lineRule="auto"/>
      <w:jc w:val="both"/>
      <w:outlineLvl w:val="9"/>
    </w:pPr>
    <w:rPr>
      <w:rFonts w:ascii="宋体" w:hAnsi="Calibri" w:eastAsia="微软雅黑"/>
      <w:kern w:val="44"/>
      <w:sz w:val="44"/>
      <w:szCs w:val="44"/>
    </w:rPr>
  </w:style>
  <w:style w:type="paragraph" w:customStyle="1" w:styleId="684">
    <w:name w:val="Char Char3 Char"/>
    <w:basedOn w:val="1"/>
    <w:autoRedefine/>
    <w:qFormat/>
    <w:uiPriority w:val="99"/>
    <w:rPr>
      <w:rFonts w:ascii="仿宋_GB2312" w:hAnsi="Times New Roman" w:eastAsia="仿宋_GB2312" w:cs="Times New Roman"/>
      <w:b/>
      <w:sz w:val="32"/>
      <w:szCs w:val="32"/>
    </w:rPr>
  </w:style>
  <w:style w:type="paragraph" w:customStyle="1" w:styleId="685">
    <w:name w:val="p18"/>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86">
    <w:name w:val="Char Char Char Char1 Char Char Char Char Char Char"/>
    <w:basedOn w:val="1"/>
    <w:autoRedefine/>
    <w:qFormat/>
    <w:uiPriority w:val="99"/>
    <w:rPr>
      <w:rFonts w:ascii="Times New Roman" w:hAnsi="Times New Roman" w:eastAsia="宋体" w:cs="Times New Roman"/>
      <w:szCs w:val="24"/>
    </w:rPr>
  </w:style>
  <w:style w:type="paragraph" w:customStyle="1" w:styleId="687">
    <w:name w:val="样式 样式 纯文本普通文字 Char纯文本 Char Char普通文字纯文本 Char Char Char Char Char...."/>
    <w:basedOn w:val="669"/>
    <w:autoRedefine/>
    <w:qFormat/>
    <w:uiPriority w:val="99"/>
    <w:pPr>
      <w:jc w:val="center"/>
    </w:pPr>
    <w:rPr>
      <w:rFonts w:ascii="宋体" w:hAnsi="宋体" w:eastAsia="宋体" w:cs="宋体"/>
      <w:bCs w:val="0"/>
      <w:szCs w:val="20"/>
    </w:rPr>
  </w:style>
  <w:style w:type="paragraph" w:customStyle="1" w:styleId="688">
    <w:name w:val="样式 样式 样式1 + 首行缩进:  2 字符 + 左侧:  0.74 厘米"/>
    <w:basedOn w:val="1"/>
    <w:autoRedefine/>
    <w:qFormat/>
    <w:uiPriority w:val="99"/>
    <w:pPr>
      <w:spacing w:line="360" w:lineRule="exact"/>
      <w:ind w:firstLine="200" w:firstLineChars="200"/>
    </w:pPr>
    <w:rPr>
      <w:rFonts w:ascii="Arial" w:hAnsi="Arial" w:eastAsia="宋体" w:cs="宋体"/>
      <w:szCs w:val="20"/>
    </w:rPr>
  </w:style>
  <w:style w:type="paragraph" w:customStyle="1" w:styleId="689">
    <w:name w:val="彩色列表 - 强调文字颜色 12"/>
    <w:basedOn w:val="1"/>
    <w:autoRedefine/>
    <w:qFormat/>
    <w:uiPriority w:val="34"/>
    <w:pPr>
      <w:ind w:firstLine="420" w:firstLineChars="200"/>
    </w:pPr>
    <w:rPr>
      <w:rFonts w:ascii="Times New Roman" w:hAnsi="Times New Roman" w:eastAsia="宋体" w:cs="Times New Roman"/>
      <w:szCs w:val="24"/>
    </w:rPr>
  </w:style>
  <w:style w:type="paragraph" w:customStyle="1" w:styleId="690">
    <w:name w:val="正文－恩普"/>
    <w:basedOn w:val="16"/>
    <w:autoRedefine/>
    <w:qFormat/>
    <w:uiPriority w:val="99"/>
    <w:pPr>
      <w:widowControl/>
      <w:spacing w:line="360" w:lineRule="auto"/>
      <w:ind w:firstLine="480" w:firstLineChars="200"/>
      <w:jc w:val="left"/>
    </w:pPr>
    <w:rPr>
      <w:rFonts w:ascii="Calibri" w:hAnsi="Calibri" w:eastAsia="微软雅黑"/>
      <w:kern w:val="0"/>
      <w:sz w:val="24"/>
    </w:rPr>
  </w:style>
  <w:style w:type="paragraph" w:customStyle="1" w:styleId="691">
    <w:name w:val="_Style 63"/>
    <w:basedOn w:val="1"/>
    <w:autoRedefine/>
    <w:qFormat/>
    <w:uiPriority w:val="99"/>
    <w:rPr>
      <w:rFonts w:ascii="Tahoma" w:hAnsi="Tahoma" w:eastAsia="宋体" w:cs="Times New Roman"/>
      <w:sz w:val="24"/>
      <w:szCs w:val="20"/>
    </w:rPr>
  </w:style>
  <w:style w:type="paragraph" w:customStyle="1" w:styleId="692">
    <w:name w:val="样式 纯文本普通文字 Char纯文本 Char Char普通文字纯文本 Char Char Char Char Char...3"/>
    <w:basedOn w:val="6"/>
    <w:next w:val="6"/>
    <w:autoRedefine/>
    <w:qFormat/>
    <w:uiPriority w:val="99"/>
    <w:pPr>
      <w:keepNext w:val="0"/>
      <w:keepLines w:val="0"/>
      <w:tabs>
        <w:tab w:val="left" w:pos="360"/>
      </w:tabs>
      <w:spacing w:before="0" w:after="0" w:line="480" w:lineRule="auto"/>
      <w:ind w:left="360" w:firstLine="540" w:firstLineChars="225"/>
      <w:jc w:val="center"/>
    </w:pPr>
    <w:rPr>
      <w:rFonts w:eastAsia="华文中宋" w:cs="宋体"/>
      <w:b w:val="0"/>
      <w:color w:val="000000"/>
      <w:kern w:val="2"/>
      <w:sz w:val="28"/>
      <w:szCs w:val="20"/>
    </w:rPr>
  </w:style>
  <w:style w:type="paragraph" w:customStyle="1" w:styleId="693">
    <w:name w:val="p16"/>
    <w:basedOn w:val="1"/>
    <w:autoRedefine/>
    <w:qFormat/>
    <w:uiPriority w:val="99"/>
    <w:pPr>
      <w:widowControl/>
      <w:spacing w:before="100" w:after="100"/>
      <w:jc w:val="left"/>
    </w:pPr>
    <w:rPr>
      <w:rFonts w:ascii="宋体" w:hAnsi="宋体" w:eastAsia="宋体" w:cs="宋体"/>
      <w:color w:val="000000"/>
      <w:kern w:val="0"/>
      <w:sz w:val="24"/>
      <w:szCs w:val="24"/>
    </w:rPr>
  </w:style>
  <w:style w:type="paragraph" w:customStyle="1" w:styleId="694">
    <w:name w:val="条文1"/>
    <w:basedOn w:val="1"/>
    <w:autoRedefine/>
    <w:qFormat/>
    <w:uiPriority w:val="99"/>
    <w:pPr>
      <w:tabs>
        <w:tab w:val="left" w:pos="720"/>
      </w:tabs>
      <w:spacing w:line="360" w:lineRule="auto"/>
    </w:pPr>
    <w:rPr>
      <w:rFonts w:ascii="MS UI Gothic" w:hAnsi="MS UI Gothic" w:eastAsia="宋体" w:cs="Times New Roman"/>
      <w:kern w:val="44"/>
      <w:sz w:val="24"/>
      <w:szCs w:val="20"/>
    </w:rPr>
  </w:style>
  <w:style w:type="paragraph" w:customStyle="1" w:styleId="695">
    <w:name w:val="样式 标题 3 + Arial"/>
    <w:basedOn w:val="6"/>
    <w:autoRedefine/>
    <w:qFormat/>
    <w:uiPriority w:val="99"/>
    <w:pPr>
      <w:spacing w:before="0" w:beforeLines="100" w:after="0" w:line="360" w:lineRule="auto"/>
      <w:ind w:firstLine="604" w:firstLineChars="100"/>
      <w:jc w:val="center"/>
    </w:pPr>
    <w:rPr>
      <w:rFonts w:ascii="宋体" w:hAnsi="宋体" w:eastAsia="华文中宋"/>
      <w:bCs w:val="0"/>
      <w:kern w:val="2"/>
      <w:sz w:val="28"/>
      <w:szCs w:val="20"/>
    </w:rPr>
  </w:style>
  <w:style w:type="paragraph" w:customStyle="1" w:styleId="696">
    <w:name w:val="纯文本11"/>
    <w:basedOn w:val="1"/>
    <w:autoRedefine/>
    <w:qFormat/>
    <w:uiPriority w:val="99"/>
    <w:pPr>
      <w:adjustRightInd w:val="0"/>
    </w:pPr>
    <w:rPr>
      <w:rFonts w:ascii="宋体" w:hAnsi="Courier New" w:eastAsia="宋体" w:cs="Times New Roman"/>
      <w:szCs w:val="20"/>
    </w:rPr>
  </w:style>
  <w:style w:type="paragraph" w:customStyle="1" w:styleId="697">
    <w:name w:val="[Normal]"/>
    <w:autoRedefine/>
    <w:qFormat/>
    <w:uiPriority w:val="99"/>
    <w:pPr>
      <w:spacing w:line="400" w:lineRule="exact"/>
      <w:ind w:firstLine="200" w:firstLineChars="200"/>
    </w:pPr>
    <w:rPr>
      <w:rFonts w:ascii="Times New Roman" w:hAnsi="Times New Roman" w:eastAsia="宋体" w:cs="Times New Roman"/>
      <w:sz w:val="21"/>
      <w:szCs w:val="22"/>
      <w:lang w:val="zh-CN" w:eastAsia="zh-CN" w:bidi="ar-SA"/>
    </w:rPr>
  </w:style>
  <w:style w:type="paragraph" w:customStyle="1" w:styleId="698">
    <w:name w:val="样式 纯文本普通文字 Char纯文本 Char Char普通文字纯文本 Char Char Char Char Char...7"/>
    <w:basedOn w:val="6"/>
    <w:next w:val="6"/>
    <w:autoRedefine/>
    <w:qFormat/>
    <w:uiPriority w:val="99"/>
    <w:pPr>
      <w:keepNext w:val="0"/>
      <w:keepLines w:val="0"/>
      <w:tabs>
        <w:tab w:val="left" w:pos="360"/>
      </w:tabs>
      <w:spacing w:before="0" w:after="0" w:line="600" w:lineRule="exact"/>
      <w:ind w:left="360" w:firstLine="540" w:firstLineChars="225"/>
      <w:jc w:val="center"/>
    </w:pPr>
    <w:rPr>
      <w:rFonts w:eastAsia="华文中宋" w:cs="宋体"/>
      <w:b w:val="0"/>
      <w:color w:val="000000"/>
      <w:kern w:val="2"/>
      <w:sz w:val="28"/>
      <w:szCs w:val="20"/>
    </w:rPr>
  </w:style>
  <w:style w:type="paragraph" w:customStyle="1" w:styleId="699">
    <w:name w:val="普通文字"/>
    <w:basedOn w:val="1"/>
    <w:autoRedefine/>
    <w:qFormat/>
    <w:uiPriority w:val="99"/>
    <w:pPr>
      <w:widowControl/>
      <w:spacing w:line="351" w:lineRule="atLeast"/>
      <w:ind w:firstLine="419"/>
    </w:pPr>
    <w:rPr>
      <w:rFonts w:ascii="宋体" w:hAnsi="Times New Roman" w:eastAsia="宋体" w:cs="Times New Roman"/>
      <w:color w:val="000000"/>
      <w:kern w:val="0"/>
      <w:szCs w:val="20"/>
      <w:u w:color="000000"/>
    </w:rPr>
  </w:style>
  <w:style w:type="paragraph" w:customStyle="1" w:styleId="700">
    <w:name w:val="p15"/>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01">
    <w:name w:val="Char Char Char Char Char Char Char Char Char Char Char1"/>
    <w:basedOn w:val="1"/>
    <w:autoRedefine/>
    <w:qFormat/>
    <w:uiPriority w:val="99"/>
    <w:rPr>
      <w:rFonts w:ascii="Tahoma" w:hAnsi="Tahoma" w:eastAsia="宋体" w:cs="Times New Roman"/>
      <w:sz w:val="24"/>
      <w:szCs w:val="20"/>
    </w:rPr>
  </w:style>
  <w:style w:type="paragraph" w:customStyle="1" w:styleId="702">
    <w:name w:val="_Style 175"/>
    <w:autoRedefine/>
    <w:qFormat/>
    <w:uiPriority w:val="99"/>
    <w:rPr>
      <w:rFonts w:ascii="Times New Roman" w:hAnsi="Times New Roman" w:eastAsia="宋体" w:cs="Times New Roman"/>
      <w:kern w:val="2"/>
      <w:sz w:val="21"/>
      <w:szCs w:val="24"/>
      <w:lang w:val="en-US" w:eastAsia="zh-CN" w:bidi="ar-SA"/>
    </w:rPr>
  </w:style>
  <w:style w:type="paragraph" w:customStyle="1" w:styleId="703">
    <w:name w:val="引文目录1"/>
    <w:basedOn w:val="1"/>
    <w:next w:val="1"/>
    <w:autoRedefine/>
    <w:qFormat/>
    <w:uiPriority w:val="99"/>
    <w:pPr>
      <w:ind w:left="420" w:leftChars="200"/>
    </w:pPr>
    <w:rPr>
      <w:rFonts w:ascii="Times New Roman" w:hAnsi="Times New Roman" w:eastAsia="宋体" w:cs="Times New Roman"/>
    </w:rPr>
  </w:style>
  <w:style w:type="paragraph" w:customStyle="1" w:styleId="704">
    <w:name w:val="修订11"/>
    <w:autoRedefine/>
    <w:qFormat/>
    <w:uiPriority w:val="99"/>
    <w:rPr>
      <w:rFonts w:ascii="Times New Roman" w:hAnsi="Times New Roman" w:eastAsia="宋体" w:cs="Times New Roman"/>
      <w:kern w:val="2"/>
      <w:sz w:val="21"/>
      <w:szCs w:val="24"/>
      <w:lang w:val="en-US" w:eastAsia="zh-CN" w:bidi="ar-SA"/>
    </w:rPr>
  </w:style>
  <w:style w:type="paragraph" w:customStyle="1" w:styleId="705">
    <w:name w:val="TOC 标题11"/>
    <w:basedOn w:val="4"/>
    <w:next w:val="1"/>
    <w:autoRedefine/>
    <w:qFormat/>
    <w:uiPriority w:val="99"/>
    <w:pPr>
      <w:keepLines/>
      <w:spacing w:before="340" w:after="330" w:line="576" w:lineRule="auto"/>
      <w:jc w:val="both"/>
      <w:outlineLvl w:val="9"/>
    </w:pPr>
    <w:rPr>
      <w:rFonts w:ascii="Calibri" w:hAnsi="Calibri" w:eastAsia="微软雅黑"/>
      <w:kern w:val="44"/>
      <w:sz w:val="44"/>
      <w:szCs w:val="44"/>
    </w:rPr>
  </w:style>
  <w:style w:type="character" w:customStyle="1" w:styleId="706">
    <w:name w:val="不明显强调1"/>
    <w:autoRedefine/>
    <w:qFormat/>
    <w:uiPriority w:val="0"/>
    <w:rPr>
      <w:i/>
      <w:color w:val="auto"/>
      <w:sz w:val="21"/>
    </w:rPr>
  </w:style>
  <w:style w:type="character" w:customStyle="1" w:styleId="707">
    <w:name w:val="明显强调1"/>
    <w:autoRedefine/>
    <w:qFormat/>
    <w:uiPriority w:val="0"/>
    <w:rPr>
      <w:i/>
      <w:color w:val="auto"/>
      <w:sz w:val="21"/>
    </w:rPr>
  </w:style>
  <w:style w:type="character" w:customStyle="1" w:styleId="708">
    <w:name w:val="不明显参考1"/>
    <w:autoRedefine/>
    <w:qFormat/>
    <w:uiPriority w:val="0"/>
    <w:rPr>
      <w:color w:val="auto"/>
      <w:sz w:val="21"/>
    </w:rPr>
  </w:style>
  <w:style w:type="character" w:customStyle="1" w:styleId="709">
    <w:name w:val="明显参考1"/>
    <w:autoRedefine/>
    <w:qFormat/>
    <w:uiPriority w:val="0"/>
    <w:rPr>
      <w:b/>
      <w:color w:val="auto"/>
      <w:sz w:val="21"/>
    </w:rPr>
  </w:style>
  <w:style w:type="character" w:customStyle="1" w:styleId="710">
    <w:name w:val="书籍标题1"/>
    <w:autoRedefine/>
    <w:qFormat/>
    <w:uiPriority w:val="0"/>
    <w:rPr>
      <w:b/>
      <w:i/>
      <w:sz w:val="21"/>
    </w:rPr>
  </w:style>
  <w:style w:type="character" w:customStyle="1" w:styleId="711">
    <w:name w:val="批注文字 字符2"/>
    <w:link w:val="21"/>
    <w:autoRedefine/>
    <w:semiHidden/>
    <w:qFormat/>
    <w:locked/>
    <w:uiPriority w:val="99"/>
    <w:rPr>
      <w:rFonts w:ascii="Times New Roman" w:hAnsi="Times New Roman" w:eastAsia="宋体" w:cs="Times New Roman"/>
      <w:kern w:val="0"/>
      <w:sz w:val="20"/>
      <w:szCs w:val="24"/>
    </w:rPr>
  </w:style>
  <w:style w:type="character" w:customStyle="1" w:styleId="712">
    <w:name w:val="标题 Char1"/>
    <w:autoRedefine/>
    <w:qFormat/>
    <w:uiPriority w:val="0"/>
    <w:rPr>
      <w:rFonts w:hint="default" w:ascii="Cambria" w:hAnsi="Cambria" w:cs="Times New Roman"/>
      <w:b/>
      <w:bCs/>
      <w:sz w:val="32"/>
      <w:szCs w:val="32"/>
    </w:rPr>
  </w:style>
  <w:style w:type="character" w:customStyle="1" w:styleId="713">
    <w:name w:val="hui121"/>
    <w:autoRedefine/>
    <w:qFormat/>
    <w:uiPriority w:val="0"/>
    <w:rPr>
      <w:rFonts w:hint="eastAsia" w:ascii="宋体" w:hAnsi="宋体" w:eastAsia="宋体"/>
      <w:color w:val="333333"/>
      <w:kern w:val="2"/>
      <w:sz w:val="18"/>
      <w:szCs w:val="18"/>
      <w:lang w:val="en-US" w:eastAsia="zh-CN" w:bidi="ar-SA"/>
    </w:rPr>
  </w:style>
  <w:style w:type="character" w:customStyle="1" w:styleId="714">
    <w:name w:val="纯文本 Char"/>
    <w:autoRedefine/>
    <w:qFormat/>
    <w:uiPriority w:val="0"/>
    <w:rPr>
      <w:rFonts w:hint="eastAsia" w:ascii="宋体" w:hAnsi="Courier New" w:eastAsia="宋体" w:cs="Courier New"/>
      <w:szCs w:val="21"/>
    </w:rPr>
  </w:style>
  <w:style w:type="character" w:customStyle="1" w:styleId="715">
    <w:name w:val="class4"/>
    <w:autoRedefine/>
    <w:qFormat/>
    <w:uiPriority w:val="0"/>
  </w:style>
  <w:style w:type="character" w:customStyle="1" w:styleId="716">
    <w:name w:val="标准文本 Char"/>
    <w:autoRedefine/>
    <w:qFormat/>
    <w:uiPriority w:val="0"/>
    <w:rPr>
      <w:sz w:val="20"/>
    </w:rPr>
  </w:style>
  <w:style w:type="character" w:customStyle="1" w:styleId="717">
    <w:name w:val="列出段落 Char"/>
    <w:autoRedefine/>
    <w:qFormat/>
    <w:uiPriority w:val="0"/>
    <w:rPr>
      <w:sz w:val="20"/>
    </w:rPr>
  </w:style>
  <w:style w:type="character" w:customStyle="1" w:styleId="718">
    <w:name w:val="纯文本 Char1"/>
    <w:autoRedefine/>
    <w:qFormat/>
    <w:uiPriority w:val="0"/>
    <w:rPr>
      <w:sz w:val="20"/>
    </w:rPr>
  </w:style>
  <w:style w:type="character" w:customStyle="1" w:styleId="719">
    <w:name w:val="封面日期 Char Char"/>
    <w:autoRedefine/>
    <w:qFormat/>
    <w:uiPriority w:val="0"/>
    <w:rPr>
      <w:sz w:val="20"/>
    </w:rPr>
  </w:style>
  <w:style w:type="character" w:customStyle="1" w:styleId="720">
    <w:name w:val="ca-3"/>
    <w:autoRedefine/>
    <w:qFormat/>
    <w:uiPriority w:val="0"/>
    <w:rPr>
      <w:rFonts w:hint="eastAsia" w:ascii="宋体" w:hAnsi="宋体" w:eastAsia="宋体"/>
      <w:kern w:val="2"/>
      <w:sz w:val="24"/>
      <w:szCs w:val="24"/>
      <w:lang w:val="en-US" w:eastAsia="zh-CN" w:bidi="ar-SA"/>
    </w:rPr>
  </w:style>
  <w:style w:type="character" w:customStyle="1" w:styleId="721">
    <w:name w:val="class3"/>
    <w:autoRedefine/>
    <w:qFormat/>
    <w:uiPriority w:val="0"/>
  </w:style>
  <w:style w:type="character" w:customStyle="1" w:styleId="722">
    <w:name w:val="style41"/>
    <w:autoRedefine/>
    <w:qFormat/>
    <w:uiPriority w:val="0"/>
    <w:rPr>
      <w:sz w:val="18"/>
      <w:szCs w:val="18"/>
    </w:rPr>
  </w:style>
  <w:style w:type="character" w:customStyle="1" w:styleId="723">
    <w:name w:val="label_list1"/>
    <w:autoRedefine/>
    <w:qFormat/>
    <w:uiPriority w:val="0"/>
  </w:style>
  <w:style w:type="character" w:customStyle="1" w:styleId="724">
    <w:name w:val="普通文字 Char Char1"/>
    <w:autoRedefine/>
    <w:qFormat/>
    <w:uiPriority w:val="0"/>
    <w:rPr>
      <w:rFonts w:hint="eastAsia" w:ascii="宋体" w:hAnsi="Courier New" w:eastAsia="宋体"/>
      <w:kern w:val="2"/>
      <w:sz w:val="24"/>
      <w:szCs w:val="24"/>
    </w:rPr>
  </w:style>
  <w:style w:type="character" w:customStyle="1" w:styleId="725">
    <w:name w:val="zbggmain style9"/>
    <w:autoRedefine/>
    <w:qFormat/>
    <w:uiPriority w:val="0"/>
    <w:rPr>
      <w:sz w:val="20"/>
    </w:rPr>
  </w:style>
  <w:style w:type="character" w:customStyle="1" w:styleId="726">
    <w:name w:val="Body Text(ch) Char Char"/>
    <w:autoRedefine/>
    <w:qFormat/>
    <w:uiPriority w:val="0"/>
    <w:rPr>
      <w:sz w:val="20"/>
    </w:rPr>
  </w:style>
  <w:style w:type="character" w:customStyle="1" w:styleId="727">
    <w:name w:val="op-map-singlepoint-info-right1"/>
    <w:autoRedefine/>
    <w:qFormat/>
    <w:uiPriority w:val="0"/>
    <w:rPr>
      <w:sz w:val="20"/>
    </w:rPr>
  </w:style>
  <w:style w:type="character" w:customStyle="1" w:styleId="728">
    <w:name w:val="ca-451"/>
    <w:autoRedefine/>
    <w:qFormat/>
    <w:uiPriority w:val="0"/>
    <w:rPr>
      <w:rFonts w:hint="eastAsia" w:ascii="宋体" w:hAnsi="宋体" w:eastAsia="宋体"/>
      <w:color w:val="000000"/>
      <w:sz w:val="72"/>
      <w:szCs w:val="72"/>
    </w:rPr>
  </w:style>
  <w:style w:type="character" w:customStyle="1" w:styleId="729">
    <w:name w:val="Char Char39"/>
    <w:autoRedefine/>
    <w:qFormat/>
    <w:uiPriority w:val="0"/>
    <w:rPr>
      <w:rFonts w:hint="default" w:ascii="Times New Roman" w:hAnsi="Times New Roman" w:eastAsia="宋体" w:cs="Times New Roman"/>
      <w:b/>
      <w:bCs/>
      <w:sz w:val="28"/>
      <w:szCs w:val="28"/>
    </w:rPr>
  </w:style>
  <w:style w:type="character" w:customStyle="1" w:styleId="730">
    <w:name w:val="Char Char40"/>
    <w:autoRedefine/>
    <w:qFormat/>
    <w:uiPriority w:val="0"/>
    <w:rPr>
      <w:rFonts w:hint="default" w:ascii="Arial" w:hAnsi="Arial" w:eastAsia="黑体" w:cs="Times New Roman"/>
      <w:b/>
      <w:bCs/>
      <w:sz w:val="28"/>
      <w:szCs w:val="28"/>
    </w:rPr>
  </w:style>
  <w:style w:type="character" w:customStyle="1" w:styleId="731">
    <w:name w:val="Char Char42"/>
    <w:autoRedefine/>
    <w:qFormat/>
    <w:uiPriority w:val="0"/>
    <w:rPr>
      <w:rFonts w:hint="default" w:ascii="Arial" w:hAnsi="Arial" w:eastAsia="黑体" w:cs="Times New Roman"/>
      <w:b/>
      <w:bCs/>
      <w:sz w:val="32"/>
      <w:szCs w:val="32"/>
    </w:rPr>
  </w:style>
  <w:style w:type="character" w:customStyle="1" w:styleId="732">
    <w:name w:val="Char Char43"/>
    <w:autoRedefine/>
    <w:qFormat/>
    <w:uiPriority w:val="0"/>
    <w:rPr>
      <w:rFonts w:hint="default" w:ascii="Times New Roman" w:hAnsi="Times New Roman" w:eastAsia="宋体" w:cs="Times New Roman"/>
      <w:b/>
      <w:bCs/>
      <w:sz w:val="24"/>
      <w:szCs w:val="24"/>
    </w:rPr>
  </w:style>
  <w:style w:type="character" w:customStyle="1" w:styleId="733">
    <w:name w:val="Char Char41"/>
    <w:autoRedefine/>
    <w:qFormat/>
    <w:uiPriority w:val="0"/>
    <w:rPr>
      <w:rFonts w:hint="default" w:ascii="Times New Roman" w:hAnsi="Times New Roman" w:eastAsia="宋体" w:cs="Times New Roman"/>
      <w:b/>
      <w:bCs/>
      <w:sz w:val="32"/>
      <w:szCs w:val="32"/>
    </w:rPr>
  </w:style>
  <w:style w:type="character" w:customStyle="1" w:styleId="734">
    <w:name w:val="Char Char38"/>
    <w:autoRedefine/>
    <w:qFormat/>
    <w:uiPriority w:val="0"/>
    <w:rPr>
      <w:rFonts w:hint="default" w:ascii="Arial" w:hAnsi="Arial" w:eastAsia="黑体" w:cs="Arial"/>
      <w:b/>
      <w:bCs/>
      <w:sz w:val="24"/>
      <w:szCs w:val="24"/>
    </w:rPr>
  </w:style>
  <w:style w:type="character" w:customStyle="1" w:styleId="735">
    <w:name w:val="Char Char35"/>
    <w:autoRedefine/>
    <w:qFormat/>
    <w:uiPriority w:val="0"/>
    <w:rPr>
      <w:rFonts w:hint="default" w:ascii="Arial" w:hAnsi="Arial" w:eastAsia="黑体" w:cs="Times New Roman"/>
    </w:rPr>
  </w:style>
  <w:style w:type="character" w:customStyle="1" w:styleId="736">
    <w:name w:val="Char Char Char Char Char"/>
    <w:autoRedefine/>
    <w:qFormat/>
    <w:uiPriority w:val="0"/>
    <w:rPr>
      <w:rFonts w:hint="default" w:ascii="Arial" w:hAnsi="Arial" w:eastAsia="黑体" w:cs="Arial"/>
      <w:b/>
      <w:bCs/>
      <w:kern w:val="2"/>
      <w:sz w:val="32"/>
      <w:szCs w:val="32"/>
      <w:lang w:val="en-US" w:eastAsia="zh-CN" w:bidi="ar-SA"/>
    </w:rPr>
  </w:style>
  <w:style w:type="character" w:customStyle="1" w:styleId="737">
    <w:name w:val="正文文本 Char2"/>
    <w:autoRedefine/>
    <w:qFormat/>
    <w:locked/>
    <w:uiPriority w:val="0"/>
    <w:rPr>
      <w:rFonts w:hint="eastAsia" w:ascii="宋体" w:hAnsi="宋体" w:eastAsia="宋体"/>
      <w:kern w:val="2"/>
      <w:sz w:val="28"/>
      <w:szCs w:val="24"/>
      <w:lang w:val="en-US" w:eastAsia="zh-CN" w:bidi="ar-SA"/>
    </w:rPr>
  </w:style>
  <w:style w:type="character" w:customStyle="1" w:styleId="738">
    <w:name w:val="标题 2 Char1"/>
    <w:autoRedefine/>
    <w:qFormat/>
    <w:uiPriority w:val="0"/>
    <w:rPr>
      <w:rFonts w:hint="default" w:ascii="Arial" w:hAnsi="Arial" w:eastAsia="黑体" w:cs="Arial"/>
      <w:b/>
      <w:bCs/>
      <w:kern w:val="2"/>
      <w:sz w:val="32"/>
      <w:szCs w:val="32"/>
      <w:lang w:val="en-US" w:eastAsia="zh-CN" w:bidi="ar-SA"/>
    </w:rPr>
  </w:style>
  <w:style w:type="character" w:customStyle="1" w:styleId="739">
    <w:name w:val="ca-61"/>
    <w:autoRedefine/>
    <w:qFormat/>
    <w:uiPriority w:val="0"/>
    <w:rPr>
      <w:rFonts w:hint="eastAsia" w:ascii="宋体" w:hAnsi="宋体" w:eastAsia="宋体"/>
      <w:color w:val="000000"/>
      <w:sz w:val="30"/>
      <w:szCs w:val="30"/>
    </w:rPr>
  </w:style>
  <w:style w:type="character" w:customStyle="1" w:styleId="740">
    <w:name w:val="ca-161"/>
    <w:autoRedefine/>
    <w:qFormat/>
    <w:uiPriority w:val="0"/>
    <w:rPr>
      <w:rFonts w:hint="eastAsia" w:ascii="宋体" w:hAnsi="宋体" w:eastAsia="宋体"/>
      <w:sz w:val="24"/>
      <w:szCs w:val="24"/>
    </w:rPr>
  </w:style>
  <w:style w:type="character" w:customStyle="1" w:styleId="741">
    <w:name w:val="textcontents"/>
    <w:autoRedefine/>
    <w:qFormat/>
    <w:uiPriority w:val="0"/>
    <w:rPr>
      <w:rFonts w:hint="default" w:ascii="Times New Roman" w:hAnsi="Times New Roman" w:cs="Times New Roman"/>
    </w:rPr>
  </w:style>
  <w:style w:type="character" w:customStyle="1" w:styleId="742">
    <w:name w:val="ca-401"/>
    <w:autoRedefine/>
    <w:qFormat/>
    <w:uiPriority w:val="0"/>
    <w:rPr>
      <w:rFonts w:hint="default" w:ascii="Times New Roman" w:hAnsi="Times New Roman" w:cs="Times New Roman"/>
      <w:sz w:val="20"/>
      <w:szCs w:val="20"/>
    </w:rPr>
  </w:style>
  <w:style w:type="character" w:customStyle="1" w:styleId="743">
    <w:name w:val="ca-231"/>
    <w:autoRedefine/>
    <w:qFormat/>
    <w:uiPriority w:val="0"/>
    <w:rPr>
      <w:rFonts w:hint="default" w:ascii="Times New Roman" w:hAnsi="Times New Roman" w:cs="Times New Roman"/>
      <w:sz w:val="21"/>
      <w:szCs w:val="21"/>
    </w:rPr>
  </w:style>
  <w:style w:type="character" w:customStyle="1" w:styleId="744">
    <w:name w:val="ca-331"/>
    <w:autoRedefine/>
    <w:qFormat/>
    <w:uiPriority w:val="0"/>
    <w:rPr>
      <w:rFonts w:hint="eastAsia" w:ascii="宋体" w:hAnsi="宋体" w:eastAsia="宋体"/>
      <w:b/>
      <w:bCs/>
      <w:color w:val="002060"/>
      <w:spacing w:val="-20"/>
      <w:sz w:val="20"/>
      <w:szCs w:val="20"/>
    </w:rPr>
  </w:style>
  <w:style w:type="character" w:customStyle="1" w:styleId="745">
    <w:name w:val="ca-201"/>
    <w:autoRedefine/>
    <w:qFormat/>
    <w:uiPriority w:val="0"/>
    <w:rPr>
      <w:rFonts w:hint="default" w:ascii="??" w:hAnsi="??"/>
      <w:color w:val="000000"/>
      <w:sz w:val="18"/>
      <w:szCs w:val="18"/>
    </w:rPr>
  </w:style>
  <w:style w:type="character" w:customStyle="1" w:styleId="746">
    <w:name w:val="ca-191"/>
    <w:autoRedefine/>
    <w:qFormat/>
    <w:uiPriority w:val="0"/>
    <w:rPr>
      <w:rFonts w:hint="default" w:ascii="Times New Roman" w:hAnsi="Times New Roman" w:cs="Times New Roman"/>
      <w:sz w:val="18"/>
      <w:szCs w:val="18"/>
    </w:rPr>
  </w:style>
  <w:style w:type="character" w:customStyle="1" w:styleId="747">
    <w:name w:val="CPara--- Char Char"/>
    <w:autoRedefine/>
    <w:qFormat/>
    <w:uiPriority w:val="0"/>
    <w:rPr>
      <w:rFonts w:hint="default" w:ascii="Arial" w:hAnsi="Arial" w:eastAsia="宋体" w:cs="Arial"/>
      <w:lang w:val="en-US" w:eastAsia="en-US" w:bidi="ar-SA"/>
    </w:rPr>
  </w:style>
  <w:style w:type="character" w:customStyle="1" w:styleId="748">
    <w:name w:val="标题 5 Char1"/>
    <w:autoRedefine/>
    <w:qFormat/>
    <w:uiPriority w:val="0"/>
    <w:rPr>
      <w:rFonts w:hint="eastAsia" w:ascii="宋体" w:hAnsi="宋体" w:eastAsia="宋体"/>
      <w:b/>
      <w:bCs/>
      <w:kern w:val="2"/>
      <w:sz w:val="28"/>
      <w:szCs w:val="28"/>
      <w:lang w:val="en-US" w:eastAsia="zh-CN" w:bidi="ar-SA"/>
    </w:rPr>
  </w:style>
  <w:style w:type="character" w:customStyle="1" w:styleId="749">
    <w:name w:val="ca-81"/>
    <w:autoRedefine/>
    <w:qFormat/>
    <w:uiPriority w:val="0"/>
    <w:rPr>
      <w:rFonts w:hint="eastAsia" w:ascii="宋体" w:hAnsi="宋体" w:eastAsia="宋体"/>
      <w:color w:val="000000"/>
      <w:sz w:val="28"/>
      <w:szCs w:val="28"/>
    </w:rPr>
  </w:style>
  <w:style w:type="character" w:customStyle="1" w:styleId="750">
    <w:name w:val="ca-461"/>
    <w:autoRedefine/>
    <w:qFormat/>
    <w:uiPriority w:val="0"/>
    <w:rPr>
      <w:rFonts w:hint="eastAsia" w:ascii="宋体" w:hAnsi="宋体" w:eastAsia="宋体"/>
      <w:color w:val="000000"/>
      <w:spacing w:val="-20"/>
      <w:sz w:val="28"/>
      <w:szCs w:val="28"/>
    </w:rPr>
  </w:style>
  <w:style w:type="character" w:customStyle="1" w:styleId="751">
    <w:name w:val="ca-501"/>
    <w:autoRedefine/>
    <w:qFormat/>
    <w:uiPriority w:val="0"/>
    <w:rPr>
      <w:rFonts w:hint="eastAsia" w:ascii="宋体" w:hAnsi="宋体" w:eastAsia="宋体"/>
      <w:spacing w:val="0"/>
      <w:sz w:val="24"/>
      <w:szCs w:val="24"/>
    </w:rPr>
  </w:style>
  <w:style w:type="character" w:customStyle="1" w:styleId="752">
    <w:name w:val="2nd level Char1"/>
    <w:autoRedefine/>
    <w:qFormat/>
    <w:uiPriority w:val="0"/>
    <w:rPr>
      <w:rFonts w:hint="default" w:ascii="Arial" w:hAnsi="Arial" w:eastAsia="宋体" w:cs="Arial"/>
      <w:b/>
      <w:bCs/>
      <w:kern w:val="2"/>
      <w:sz w:val="24"/>
      <w:szCs w:val="32"/>
      <w:lang w:val="en-US" w:eastAsia="zh-CN" w:bidi="ar-SA"/>
    </w:rPr>
  </w:style>
  <w:style w:type="character" w:customStyle="1" w:styleId="753">
    <w:name w:val="日期 Char1"/>
    <w:autoRedefine/>
    <w:qFormat/>
    <w:uiPriority w:val="0"/>
    <w:rPr>
      <w:kern w:val="2"/>
      <w:sz w:val="21"/>
      <w:szCs w:val="22"/>
    </w:rPr>
  </w:style>
  <w:style w:type="character" w:customStyle="1" w:styleId="754">
    <w:name w:val="ca-210"/>
    <w:autoRedefine/>
    <w:qFormat/>
    <w:uiPriority w:val="0"/>
    <w:rPr>
      <w:rFonts w:hint="default" w:ascii="Times New Roman" w:hAnsi="Times New Roman" w:cs="Times New Roman"/>
      <w:color w:val="000000"/>
      <w:sz w:val="36"/>
      <w:szCs w:val="36"/>
    </w:rPr>
  </w:style>
  <w:style w:type="character" w:customStyle="1" w:styleId="755">
    <w:name w:val="页眉 Char Char"/>
    <w:autoRedefine/>
    <w:qFormat/>
    <w:uiPriority w:val="0"/>
    <w:rPr>
      <w:rFonts w:hint="default" w:ascii="Times New Roman" w:hAnsi="Times New Roman" w:eastAsia="宋体" w:cs="Times New Roman"/>
      <w:sz w:val="18"/>
      <w:szCs w:val="18"/>
    </w:rPr>
  </w:style>
  <w:style w:type="character" w:customStyle="1" w:styleId="756">
    <w:name w:val="页脚 Char1"/>
    <w:autoRedefine/>
    <w:qFormat/>
    <w:uiPriority w:val="0"/>
    <w:rPr>
      <w:rFonts w:hint="eastAsia" w:ascii="黑体" w:hAnsi="黑体" w:eastAsia="黑体"/>
      <w:snapToGrid w:val="0"/>
      <w:sz w:val="18"/>
      <w:szCs w:val="18"/>
      <w:lang w:val="en-US" w:eastAsia="zh-CN" w:bidi="ar-SA"/>
    </w:rPr>
  </w:style>
  <w:style w:type="character" w:customStyle="1" w:styleId="757">
    <w:name w:val="日期 Char2"/>
    <w:autoRedefine/>
    <w:qFormat/>
    <w:uiPriority w:val="0"/>
    <w:rPr>
      <w:rFonts w:hint="eastAsia" w:ascii="楷体_GB2312" w:eastAsia="楷体_GB2312"/>
      <w:kern w:val="2"/>
      <w:sz w:val="32"/>
      <w:lang w:val="en-US" w:eastAsia="zh-CN" w:bidi="ar-SA"/>
    </w:rPr>
  </w:style>
  <w:style w:type="character" w:customStyle="1" w:styleId="758">
    <w:name w:val="style11"/>
    <w:autoRedefine/>
    <w:qFormat/>
    <w:uiPriority w:val="0"/>
    <w:rPr>
      <w:sz w:val="27"/>
      <w:szCs w:val="27"/>
    </w:rPr>
  </w:style>
  <w:style w:type="character" w:customStyle="1" w:styleId="759">
    <w:name w:val="文档结构图 Char1"/>
    <w:autoRedefine/>
    <w:qFormat/>
    <w:uiPriority w:val="0"/>
    <w:rPr>
      <w:rFonts w:hint="eastAsia" w:ascii="宋体" w:hAnsi="宋体" w:eastAsia="宋体"/>
      <w:kern w:val="2"/>
      <w:sz w:val="18"/>
      <w:szCs w:val="18"/>
    </w:rPr>
  </w:style>
  <w:style w:type="character" w:customStyle="1" w:styleId="760">
    <w:name w:val="批注文字 Char1"/>
    <w:autoRedefine/>
    <w:semiHidden/>
    <w:qFormat/>
    <w:uiPriority w:val="0"/>
    <w:rPr>
      <w:rFonts w:hint="eastAsia" w:ascii="宋体" w:hAnsi="宋体" w:eastAsia="宋体"/>
      <w:kern w:val="2"/>
      <w:sz w:val="21"/>
      <w:szCs w:val="24"/>
      <w:lang w:val="en-US" w:eastAsia="zh-CN" w:bidi="ar-SA"/>
    </w:rPr>
  </w:style>
  <w:style w:type="character" w:customStyle="1" w:styleId="761">
    <w:name w:val="Char Char22"/>
    <w:autoRedefine/>
    <w:qFormat/>
    <w:uiPriority w:val="0"/>
    <w:rPr>
      <w:rFonts w:hint="eastAsia" w:ascii="宋体" w:hAnsi="宋体" w:eastAsia="宋体"/>
      <w:b/>
      <w:bCs/>
      <w:kern w:val="44"/>
      <w:sz w:val="44"/>
      <w:szCs w:val="44"/>
    </w:rPr>
  </w:style>
  <w:style w:type="character" w:customStyle="1" w:styleId="762">
    <w:name w:val="正文文字4 Char"/>
    <w:autoRedefine/>
    <w:qFormat/>
    <w:uiPriority w:val="0"/>
    <w:rPr>
      <w:rFonts w:hint="eastAsia" w:ascii="宋体" w:hAnsi="宋体" w:eastAsia="宋体"/>
      <w:kern w:val="2"/>
      <w:sz w:val="21"/>
      <w:szCs w:val="24"/>
      <w:lang w:val="en-US" w:eastAsia="zh-CN" w:bidi="ar-SA"/>
    </w:rPr>
  </w:style>
  <w:style w:type="character" w:customStyle="1" w:styleId="763">
    <w:name w:val="ca-410"/>
    <w:autoRedefine/>
    <w:qFormat/>
    <w:uiPriority w:val="0"/>
    <w:rPr>
      <w:rFonts w:hint="eastAsia" w:ascii="宋体" w:hAnsi="宋体" w:eastAsia="宋体"/>
      <w:b/>
      <w:bCs/>
      <w:color w:val="000000"/>
      <w:spacing w:val="-20"/>
      <w:sz w:val="48"/>
      <w:szCs w:val="48"/>
    </w:rPr>
  </w:style>
  <w:style w:type="character" w:customStyle="1" w:styleId="764">
    <w:name w:val="ca-101"/>
    <w:autoRedefine/>
    <w:qFormat/>
    <w:uiPriority w:val="0"/>
    <w:rPr>
      <w:rFonts w:hint="default" w:ascii="Times New Roman" w:hAnsi="Times New Roman" w:cs="Times New Roman"/>
      <w:color w:val="000000"/>
      <w:sz w:val="52"/>
      <w:szCs w:val="52"/>
    </w:rPr>
  </w:style>
  <w:style w:type="paragraph" w:customStyle="1" w:styleId="765">
    <w:name w:val="标题 3_1"/>
    <w:basedOn w:val="122"/>
    <w:next w:val="122"/>
    <w:link w:val="766"/>
    <w:autoRedefine/>
    <w:qFormat/>
    <w:uiPriority w:val="0"/>
    <w:pPr>
      <w:keepNext/>
      <w:keepLines/>
      <w:spacing w:before="260" w:after="260" w:line="415" w:lineRule="auto"/>
      <w:outlineLvl w:val="2"/>
    </w:pPr>
    <w:rPr>
      <w:rFonts w:ascii="Times New Roman" w:hAnsi="Times New Roman"/>
      <w:b/>
      <w:bCs/>
      <w:sz w:val="32"/>
      <w:szCs w:val="32"/>
    </w:rPr>
  </w:style>
  <w:style w:type="character" w:customStyle="1" w:styleId="766">
    <w:name w:val="标题 3 Char_0"/>
    <w:link w:val="765"/>
    <w:autoRedefine/>
    <w:qFormat/>
    <w:locked/>
    <w:uiPriority w:val="0"/>
    <w:rPr>
      <w:rFonts w:ascii="Times New Roman" w:hAnsi="Times New Roman" w:eastAsia="宋体" w:cs="Times New Roman"/>
      <w:b/>
      <w:bCs/>
      <w:sz w:val="32"/>
      <w:szCs w:val="32"/>
    </w:rPr>
  </w:style>
  <w:style w:type="character" w:customStyle="1" w:styleId="767">
    <w:name w:val="ca-361"/>
    <w:autoRedefine/>
    <w:qFormat/>
    <w:uiPriority w:val="0"/>
    <w:rPr>
      <w:rFonts w:hint="eastAsia" w:ascii="宋体" w:hAnsi="宋体" w:eastAsia="宋体"/>
      <w:b/>
      <w:bCs/>
      <w:spacing w:val="-20"/>
      <w:sz w:val="21"/>
      <w:szCs w:val="21"/>
    </w:rPr>
  </w:style>
  <w:style w:type="character" w:customStyle="1" w:styleId="768">
    <w:name w:val="标题 3 Char1"/>
    <w:autoRedefine/>
    <w:qFormat/>
    <w:uiPriority w:val="0"/>
    <w:rPr>
      <w:rFonts w:hint="eastAsia" w:ascii="宋体" w:hAnsi="宋体" w:eastAsia="宋体"/>
      <w:b/>
      <w:bCs/>
      <w:kern w:val="2"/>
      <w:sz w:val="32"/>
      <w:szCs w:val="32"/>
      <w:lang w:val="en-US" w:eastAsia="zh-CN" w:bidi="ar-SA"/>
    </w:rPr>
  </w:style>
  <w:style w:type="character" w:customStyle="1" w:styleId="769">
    <w:name w:val="ca-301"/>
    <w:autoRedefine/>
    <w:qFormat/>
    <w:uiPriority w:val="0"/>
    <w:rPr>
      <w:rFonts w:hint="default" w:ascii="??" w:hAnsi="??"/>
      <w:color w:val="002060"/>
      <w:sz w:val="21"/>
      <w:szCs w:val="21"/>
    </w:rPr>
  </w:style>
  <w:style w:type="character" w:customStyle="1" w:styleId="770">
    <w:name w:val="标题 Char Char"/>
    <w:autoRedefine/>
    <w:qFormat/>
    <w:uiPriority w:val="0"/>
    <w:rPr>
      <w:rFonts w:hint="default" w:ascii="Arial" w:hAnsi="Arial" w:eastAsia="宋体" w:cs="Arial"/>
      <w:b/>
      <w:kern w:val="2"/>
      <w:sz w:val="44"/>
      <w:lang w:val="en-US" w:eastAsia="zh-CN"/>
    </w:rPr>
  </w:style>
  <w:style w:type="character" w:customStyle="1" w:styleId="771">
    <w:name w:val="ca-381"/>
    <w:autoRedefine/>
    <w:qFormat/>
    <w:uiPriority w:val="0"/>
    <w:rPr>
      <w:rFonts w:hint="default" w:ascii="Times New Roman" w:hAnsi="Times New Roman" w:cs="Times New Roman"/>
      <w:b/>
      <w:bCs/>
      <w:spacing w:val="-20"/>
      <w:sz w:val="21"/>
      <w:szCs w:val="21"/>
    </w:rPr>
  </w:style>
  <w:style w:type="character" w:customStyle="1" w:styleId="772">
    <w:name w:val="文档结构图 Char2"/>
    <w:autoRedefine/>
    <w:qFormat/>
    <w:uiPriority w:val="0"/>
    <w:rPr>
      <w:kern w:val="2"/>
      <w:sz w:val="21"/>
      <w:szCs w:val="24"/>
      <w:shd w:val="clear" w:color="auto" w:fill="000080"/>
    </w:rPr>
  </w:style>
  <w:style w:type="character" w:customStyle="1" w:styleId="773">
    <w:name w:val="ca-241"/>
    <w:autoRedefine/>
    <w:qFormat/>
    <w:uiPriority w:val="0"/>
    <w:rPr>
      <w:rFonts w:hint="eastAsia" w:ascii="宋体" w:hAnsi="宋体" w:eastAsia="宋体"/>
      <w:sz w:val="24"/>
      <w:szCs w:val="24"/>
    </w:rPr>
  </w:style>
  <w:style w:type="character" w:customStyle="1" w:styleId="774">
    <w:name w:val="Char Char30"/>
    <w:autoRedefine/>
    <w:qFormat/>
    <w:uiPriority w:val="0"/>
    <w:rPr>
      <w:rFonts w:hint="default" w:ascii="Arial" w:hAnsi="Arial" w:eastAsia="黑体" w:cs="Times New Roman"/>
      <w:b/>
      <w:bCs/>
      <w:sz w:val="32"/>
      <w:szCs w:val="32"/>
    </w:rPr>
  </w:style>
  <w:style w:type="character" w:customStyle="1" w:styleId="775">
    <w:name w:val="表正文 Char1"/>
    <w:autoRedefine/>
    <w:qFormat/>
    <w:uiPriority w:val="0"/>
    <w:rPr>
      <w:rFonts w:hint="eastAsia" w:ascii="宋体" w:hAnsi="宋体" w:eastAsia="宋体"/>
      <w:kern w:val="2"/>
      <w:sz w:val="21"/>
      <w:szCs w:val="24"/>
      <w:lang w:val="en-US" w:eastAsia="zh-CN" w:bidi="ar-SA"/>
    </w:rPr>
  </w:style>
  <w:style w:type="character" w:customStyle="1" w:styleId="776">
    <w:name w:val="ca-171"/>
    <w:autoRedefine/>
    <w:qFormat/>
    <w:uiPriority w:val="0"/>
    <w:rPr>
      <w:rFonts w:hint="default" w:ascii="Times New Roman" w:hAnsi="Times New Roman" w:cs="Times New Roman"/>
      <w:b/>
      <w:bCs/>
      <w:spacing w:val="-20"/>
      <w:sz w:val="24"/>
      <w:szCs w:val="24"/>
    </w:rPr>
  </w:style>
  <w:style w:type="character" w:customStyle="1" w:styleId="777">
    <w:name w:val="Char Char23"/>
    <w:autoRedefine/>
    <w:qFormat/>
    <w:uiPriority w:val="0"/>
    <w:rPr>
      <w:rFonts w:hint="default" w:ascii="Times New Roman" w:hAnsi="Times New Roman" w:eastAsia="宋体" w:cs="Times New Roman"/>
      <w:b/>
      <w:bCs/>
      <w:sz w:val="32"/>
      <w:szCs w:val="32"/>
    </w:rPr>
  </w:style>
  <w:style w:type="character" w:customStyle="1" w:styleId="778">
    <w:name w:val="ca-511"/>
    <w:autoRedefine/>
    <w:qFormat/>
    <w:uiPriority w:val="0"/>
    <w:rPr>
      <w:rFonts w:hint="default" w:ascii="Times New Roman" w:hAnsi="Times New Roman" w:cs="Times New Roman"/>
      <w:b/>
      <w:bCs/>
      <w:color w:val="000000"/>
      <w:spacing w:val="-20"/>
      <w:sz w:val="32"/>
      <w:szCs w:val="32"/>
    </w:rPr>
  </w:style>
  <w:style w:type="character" w:customStyle="1" w:styleId="779">
    <w:name w:val="Heading 3 - old Char1"/>
    <w:autoRedefine/>
    <w:qFormat/>
    <w:uiPriority w:val="0"/>
    <w:rPr>
      <w:rFonts w:hint="eastAsia" w:ascii="宋体" w:hAnsi="宋体" w:eastAsia="宋体"/>
      <w:b/>
      <w:bCs/>
      <w:kern w:val="2"/>
      <w:sz w:val="21"/>
      <w:szCs w:val="32"/>
      <w:lang w:val="en-US" w:eastAsia="zh-CN" w:bidi="ar-SA"/>
    </w:rPr>
  </w:style>
  <w:style w:type="character" w:customStyle="1" w:styleId="780">
    <w:name w:val="Char Char21"/>
    <w:autoRedefine/>
    <w:qFormat/>
    <w:uiPriority w:val="0"/>
    <w:rPr>
      <w:rFonts w:hint="default" w:ascii="Arial" w:hAnsi="Arial" w:eastAsia="黑体" w:cs="Arial"/>
      <w:b/>
      <w:bCs/>
      <w:kern w:val="2"/>
      <w:sz w:val="28"/>
      <w:szCs w:val="28"/>
      <w:lang w:val="en-US" w:eastAsia="zh-CN" w:bidi="ar-SA"/>
    </w:rPr>
  </w:style>
  <w:style w:type="character" w:customStyle="1" w:styleId="781">
    <w:name w:val="ca-471"/>
    <w:autoRedefine/>
    <w:qFormat/>
    <w:uiPriority w:val="0"/>
    <w:rPr>
      <w:rFonts w:hint="eastAsia" w:ascii="宋体" w:hAnsi="宋体" w:eastAsia="宋体"/>
      <w:b/>
      <w:bCs/>
      <w:color w:val="000000"/>
      <w:spacing w:val="-20"/>
      <w:sz w:val="24"/>
      <w:szCs w:val="24"/>
    </w:rPr>
  </w:style>
  <w:style w:type="character" w:customStyle="1" w:styleId="782">
    <w:name w:val="zbggtop11 style5"/>
    <w:autoRedefine/>
    <w:qFormat/>
    <w:uiPriority w:val="0"/>
  </w:style>
  <w:style w:type="paragraph" w:customStyle="1" w:styleId="783">
    <w:name w:val="标题 3_0_0"/>
    <w:basedOn w:val="123"/>
    <w:next w:val="123"/>
    <w:link w:val="784"/>
    <w:autoRedefine/>
    <w:qFormat/>
    <w:uiPriority w:val="0"/>
    <w:pPr>
      <w:keepNext/>
      <w:keepLines/>
      <w:spacing w:before="260" w:after="260" w:line="415" w:lineRule="auto"/>
      <w:outlineLvl w:val="2"/>
    </w:pPr>
    <w:rPr>
      <w:rFonts w:ascii="Times New Roman" w:hAnsi="Times New Roman"/>
      <w:b/>
      <w:bCs/>
      <w:sz w:val="32"/>
      <w:szCs w:val="32"/>
    </w:rPr>
  </w:style>
  <w:style w:type="character" w:customStyle="1" w:styleId="784">
    <w:name w:val="Char Char2_0"/>
    <w:link w:val="783"/>
    <w:autoRedefine/>
    <w:qFormat/>
    <w:locked/>
    <w:uiPriority w:val="0"/>
    <w:rPr>
      <w:rFonts w:ascii="Times New Roman" w:hAnsi="Times New Roman" w:eastAsia="宋体" w:cs="Times New Roman"/>
      <w:b/>
      <w:bCs/>
      <w:sz w:val="32"/>
      <w:szCs w:val="32"/>
    </w:rPr>
  </w:style>
  <w:style w:type="character" w:customStyle="1" w:styleId="785">
    <w:name w:val="Char Char32"/>
    <w:autoRedefine/>
    <w:qFormat/>
    <w:uiPriority w:val="0"/>
    <w:rPr>
      <w:rFonts w:hint="eastAsia" w:ascii="仿宋_GB2312" w:hAnsi="宋体" w:eastAsia="宋体" w:cs="Arial"/>
      <w:b/>
      <w:bCs/>
      <w:color w:val="000000"/>
      <w:sz w:val="24"/>
      <w:szCs w:val="24"/>
    </w:rPr>
  </w:style>
  <w:style w:type="character" w:customStyle="1" w:styleId="786">
    <w:name w:val="Para- Char Char"/>
    <w:autoRedefine/>
    <w:qFormat/>
    <w:uiPriority w:val="0"/>
    <w:rPr>
      <w:rFonts w:hint="default" w:ascii="Arial" w:hAnsi="Arial" w:eastAsia="宋体" w:cs="Arial"/>
      <w:lang w:val="en-US" w:eastAsia="en-US" w:bidi="ar-SA"/>
    </w:rPr>
  </w:style>
  <w:style w:type="character" w:customStyle="1" w:styleId="787">
    <w:name w:val="不明显强调111"/>
    <w:autoRedefine/>
    <w:qFormat/>
    <w:uiPriority w:val="0"/>
    <w:rPr>
      <w:i/>
      <w:iCs/>
      <w:color w:val="808080"/>
    </w:rPr>
  </w:style>
  <w:style w:type="character" w:customStyle="1" w:styleId="788">
    <w:name w:val="页脚 Char Char"/>
    <w:autoRedefine/>
    <w:qFormat/>
    <w:uiPriority w:val="0"/>
    <w:rPr>
      <w:kern w:val="2"/>
      <w:sz w:val="18"/>
      <w:szCs w:val="18"/>
    </w:rPr>
  </w:style>
  <w:style w:type="character" w:customStyle="1" w:styleId="789">
    <w:name w:val="Char Char33"/>
    <w:autoRedefine/>
    <w:qFormat/>
    <w:uiPriority w:val="0"/>
    <w:rPr>
      <w:rFonts w:hint="default" w:ascii="Times New Roman" w:hAnsi="Times New Roman" w:eastAsia="宋体" w:cs="Times New Roman"/>
      <w:sz w:val="18"/>
      <w:szCs w:val="18"/>
    </w:rPr>
  </w:style>
  <w:style w:type="paragraph" w:customStyle="1" w:styleId="790">
    <w:name w:val="批注文字_0"/>
    <w:basedOn w:val="130"/>
    <w:link w:val="791"/>
    <w:autoRedefine/>
    <w:qFormat/>
    <w:uiPriority w:val="0"/>
    <w:pPr>
      <w:jc w:val="left"/>
    </w:pPr>
    <w:rPr>
      <w:szCs w:val="22"/>
    </w:rPr>
  </w:style>
  <w:style w:type="character" w:customStyle="1" w:styleId="791">
    <w:name w:val="批注文字 Char_0"/>
    <w:link w:val="790"/>
    <w:autoRedefine/>
    <w:qFormat/>
    <w:locked/>
    <w:uiPriority w:val="0"/>
    <w:rPr>
      <w:rFonts w:ascii="Times New Roman" w:hAnsi="Times New Roman" w:eastAsia="宋体" w:cs="Times New Roman"/>
    </w:rPr>
  </w:style>
  <w:style w:type="character" w:customStyle="1" w:styleId="792">
    <w:name w:val="正文文本缩进 2 Char Char"/>
    <w:autoRedefine/>
    <w:qFormat/>
    <w:uiPriority w:val="0"/>
    <w:rPr>
      <w:rFonts w:hint="default" w:ascii="Times New Roman" w:hAnsi="Times New Roman" w:eastAsia="宋体" w:cs="Times New Roman"/>
      <w:szCs w:val="24"/>
    </w:rPr>
  </w:style>
  <w:style w:type="character" w:customStyle="1" w:styleId="793">
    <w:name w:val="by jerry Char Char"/>
    <w:autoRedefine/>
    <w:qFormat/>
    <w:uiPriority w:val="0"/>
    <w:rPr>
      <w:rFonts w:hint="eastAsia" w:ascii="宋体" w:hAnsi="宋体" w:eastAsia="宋体"/>
      <w:b/>
      <w:bCs/>
      <w:kern w:val="44"/>
      <w:sz w:val="44"/>
      <w:szCs w:val="44"/>
      <w:lang w:val="en-US" w:eastAsia="zh-CN" w:bidi="ar-SA"/>
    </w:rPr>
  </w:style>
  <w:style w:type="character" w:customStyle="1" w:styleId="794">
    <w:name w:val="15"/>
    <w:autoRedefine/>
    <w:qFormat/>
    <w:uiPriority w:val="0"/>
    <w:rPr>
      <w:rFonts w:hint="default" w:ascii="Calibri" w:hAnsi="Calibri" w:eastAsia="ヒラギノ角ゴ Pro W3" w:cs="Calibri"/>
      <w:color w:val="000000"/>
      <w:sz w:val="20"/>
      <w:szCs w:val="20"/>
      <w:lang w:val="en-US" w:eastAsia="zh-CN" w:bidi="ar-SA"/>
    </w:rPr>
  </w:style>
  <w:style w:type="character" w:customStyle="1" w:styleId="795">
    <w:name w:val="ca-321"/>
    <w:autoRedefine/>
    <w:qFormat/>
    <w:uiPriority w:val="0"/>
    <w:rPr>
      <w:rFonts w:hint="eastAsia" w:ascii="宋体" w:hAnsi="宋体" w:eastAsia="宋体"/>
      <w:b/>
      <w:bCs/>
      <w:color w:val="C00000"/>
      <w:spacing w:val="-20"/>
      <w:sz w:val="21"/>
      <w:szCs w:val="21"/>
    </w:rPr>
  </w:style>
  <w:style w:type="character" w:customStyle="1" w:styleId="796">
    <w:name w:val="ca-310"/>
    <w:autoRedefine/>
    <w:qFormat/>
    <w:uiPriority w:val="0"/>
    <w:rPr>
      <w:rFonts w:hint="default" w:ascii="Times New Roman" w:hAnsi="Times New Roman" w:cs="Times New Roman"/>
      <w:b/>
      <w:bCs/>
      <w:color w:val="000000"/>
      <w:spacing w:val="-20"/>
      <w:sz w:val="48"/>
      <w:szCs w:val="48"/>
    </w:rPr>
  </w:style>
  <w:style w:type="paragraph" w:customStyle="1" w:styleId="797">
    <w:name w:val="正文缩进_0"/>
    <w:basedOn w:val="133"/>
    <w:link w:val="798"/>
    <w:autoRedefine/>
    <w:qFormat/>
    <w:uiPriority w:val="0"/>
    <w:pPr>
      <w:ind w:firstLine="420" w:firstLineChars="200"/>
    </w:pPr>
    <w:rPr>
      <w:rFonts w:ascii="Times New Roman" w:hAnsi="Times New Roman"/>
    </w:rPr>
  </w:style>
  <w:style w:type="character" w:customStyle="1" w:styleId="798">
    <w:name w:val="署名 Char1"/>
    <w:link w:val="797"/>
    <w:autoRedefine/>
    <w:qFormat/>
    <w:locked/>
    <w:uiPriority w:val="0"/>
    <w:rPr>
      <w:rFonts w:ascii="Times New Roman" w:hAnsi="Times New Roman" w:eastAsia="宋体" w:cs="Times New Roman"/>
    </w:rPr>
  </w:style>
  <w:style w:type="character" w:customStyle="1" w:styleId="799">
    <w:name w:val="ca-411"/>
    <w:autoRedefine/>
    <w:qFormat/>
    <w:uiPriority w:val="0"/>
    <w:rPr>
      <w:rFonts w:hint="eastAsia" w:ascii="宋体" w:hAnsi="宋体" w:eastAsia="宋体"/>
      <w:b/>
      <w:bCs/>
      <w:color w:val="000000"/>
      <w:spacing w:val="-20"/>
      <w:sz w:val="32"/>
      <w:szCs w:val="32"/>
    </w:rPr>
  </w:style>
  <w:style w:type="character" w:customStyle="1" w:styleId="800">
    <w:name w:val="ca-71"/>
    <w:autoRedefine/>
    <w:qFormat/>
    <w:uiPriority w:val="0"/>
    <w:rPr>
      <w:rFonts w:hint="default" w:ascii="Times New Roman" w:hAnsi="Times New Roman" w:cs="Times New Roman"/>
      <w:color w:val="000000"/>
      <w:sz w:val="28"/>
      <w:szCs w:val="28"/>
    </w:rPr>
  </w:style>
  <w:style w:type="character" w:customStyle="1" w:styleId="801">
    <w:name w:val="ca-531"/>
    <w:autoRedefine/>
    <w:qFormat/>
    <w:uiPriority w:val="0"/>
    <w:rPr>
      <w:rFonts w:hint="default" w:ascii="Times New Roman" w:hAnsi="Times New Roman" w:cs="Times New Roman"/>
      <w:b/>
      <w:bCs/>
      <w:spacing w:val="-20"/>
      <w:sz w:val="36"/>
      <w:szCs w:val="36"/>
    </w:rPr>
  </w:style>
  <w:style w:type="character" w:customStyle="1" w:styleId="802">
    <w:name w:val="ca-311"/>
    <w:autoRedefine/>
    <w:qFormat/>
    <w:uiPriority w:val="0"/>
    <w:rPr>
      <w:rFonts w:hint="default" w:ascii="??" w:hAnsi="??"/>
      <w:color w:val="000000"/>
      <w:sz w:val="21"/>
      <w:szCs w:val="21"/>
    </w:rPr>
  </w:style>
  <w:style w:type="character" w:customStyle="1" w:styleId="803">
    <w:name w:val="2nd level Char2"/>
    <w:autoRedefine/>
    <w:qFormat/>
    <w:uiPriority w:val="0"/>
    <w:rPr>
      <w:rFonts w:hint="default" w:ascii="Arial" w:hAnsi="Arial" w:eastAsia="宋体" w:cs="Arial"/>
      <w:b/>
      <w:bCs/>
      <w:kern w:val="2"/>
      <w:sz w:val="24"/>
      <w:szCs w:val="32"/>
      <w:lang w:val="en-US" w:eastAsia="zh-CN" w:bidi="ar-SA"/>
    </w:rPr>
  </w:style>
  <w:style w:type="character" w:customStyle="1" w:styleId="804">
    <w:name w:val="Footer-Even Char"/>
    <w:autoRedefine/>
    <w:qFormat/>
    <w:uiPriority w:val="0"/>
    <w:rPr>
      <w:rFonts w:hint="eastAsia" w:ascii="宋体" w:hAnsi="宋体" w:eastAsia="宋体"/>
      <w:kern w:val="2"/>
      <w:sz w:val="18"/>
      <w:szCs w:val="18"/>
      <w:lang w:val="en-US" w:eastAsia="zh-CN" w:bidi="ar-SA"/>
    </w:rPr>
  </w:style>
  <w:style w:type="character" w:customStyle="1" w:styleId="805">
    <w:name w:val="日期 Char Char"/>
    <w:autoRedefine/>
    <w:qFormat/>
    <w:uiPriority w:val="0"/>
    <w:rPr>
      <w:rFonts w:hint="default" w:ascii="Times New Roman" w:hAnsi="Times New Roman" w:cs="Times New Roman"/>
      <w:kern w:val="2"/>
      <w:sz w:val="21"/>
      <w:szCs w:val="24"/>
    </w:rPr>
  </w:style>
  <w:style w:type="character" w:customStyle="1" w:styleId="806">
    <w:name w:val="批注文字 Char Char"/>
    <w:autoRedefine/>
    <w:qFormat/>
    <w:uiPriority w:val="0"/>
    <w:rPr>
      <w:rFonts w:hint="default" w:ascii="Times New Roman" w:hAnsi="Times New Roman" w:eastAsia="宋体" w:cs="Times New Roman"/>
      <w:szCs w:val="24"/>
    </w:rPr>
  </w:style>
  <w:style w:type="character" w:customStyle="1" w:styleId="807">
    <w:name w:val="apple-style-span"/>
    <w:autoRedefine/>
    <w:qFormat/>
    <w:uiPriority w:val="0"/>
  </w:style>
  <w:style w:type="character" w:customStyle="1" w:styleId="808">
    <w:name w:val="书籍标题111"/>
    <w:autoRedefine/>
    <w:qFormat/>
    <w:uiPriority w:val="0"/>
    <w:rPr>
      <w:b/>
      <w:bCs/>
      <w:smallCaps/>
      <w:spacing w:val="5"/>
    </w:rPr>
  </w:style>
  <w:style w:type="character" w:customStyle="1" w:styleId="809">
    <w:name w:val="ca-221"/>
    <w:autoRedefine/>
    <w:qFormat/>
    <w:uiPriority w:val="0"/>
    <w:rPr>
      <w:rFonts w:hint="eastAsia" w:ascii="宋体" w:hAnsi="宋体" w:eastAsia="宋体"/>
      <w:sz w:val="21"/>
      <w:szCs w:val="21"/>
    </w:rPr>
  </w:style>
  <w:style w:type="character" w:customStyle="1" w:styleId="810">
    <w:name w:val="Heading 3 - old Char2"/>
    <w:autoRedefine/>
    <w:qFormat/>
    <w:uiPriority w:val="0"/>
    <w:rPr>
      <w:rFonts w:hint="eastAsia" w:ascii="宋体" w:hAnsi="宋体" w:eastAsia="宋体"/>
      <w:b/>
      <w:bCs/>
      <w:kern w:val="2"/>
      <w:sz w:val="21"/>
      <w:szCs w:val="32"/>
      <w:lang w:val="en-US" w:eastAsia="zh-CN" w:bidi="ar-SA"/>
    </w:rPr>
  </w:style>
  <w:style w:type="character" w:customStyle="1" w:styleId="811">
    <w:name w:val="标题 1 Char Char"/>
    <w:autoRedefine/>
    <w:qFormat/>
    <w:uiPriority w:val="0"/>
    <w:rPr>
      <w:rFonts w:hint="default" w:ascii="Times New Roman" w:hAnsi="Times New Roman" w:cs="Times New Roman"/>
      <w:b/>
      <w:bCs/>
      <w:kern w:val="44"/>
      <w:sz w:val="44"/>
      <w:szCs w:val="44"/>
    </w:rPr>
  </w:style>
  <w:style w:type="character" w:customStyle="1" w:styleId="812">
    <w:name w:val="ca-261"/>
    <w:autoRedefine/>
    <w:qFormat/>
    <w:uiPriority w:val="0"/>
    <w:rPr>
      <w:rFonts w:hint="eastAsia" w:ascii="宋体" w:hAnsi="宋体" w:eastAsia="宋体"/>
      <w:color w:val="002060"/>
      <w:sz w:val="21"/>
      <w:szCs w:val="21"/>
    </w:rPr>
  </w:style>
  <w:style w:type="character" w:customStyle="1" w:styleId="813">
    <w:name w:val="批注主题 Char1"/>
    <w:autoRedefine/>
    <w:qFormat/>
    <w:uiPriority w:val="0"/>
    <w:rPr>
      <w:b/>
      <w:bCs/>
      <w:kern w:val="2"/>
      <w:sz w:val="21"/>
      <w:szCs w:val="22"/>
    </w:rPr>
  </w:style>
  <w:style w:type="character" w:customStyle="1" w:styleId="814">
    <w:name w:val="ca-341"/>
    <w:autoRedefine/>
    <w:qFormat/>
    <w:uiPriority w:val="0"/>
    <w:rPr>
      <w:rFonts w:hint="eastAsia" w:ascii="宋体" w:hAnsi="宋体" w:eastAsia="宋体"/>
      <w:color w:val="000000"/>
      <w:sz w:val="20"/>
      <w:szCs w:val="20"/>
    </w:rPr>
  </w:style>
  <w:style w:type="character" w:customStyle="1" w:styleId="815">
    <w:name w:val="font161"/>
    <w:autoRedefine/>
    <w:qFormat/>
    <w:uiPriority w:val="0"/>
    <w:rPr>
      <w:b/>
      <w:bCs/>
      <w:sz w:val="32"/>
      <w:szCs w:val="32"/>
    </w:rPr>
  </w:style>
  <w:style w:type="character" w:customStyle="1" w:styleId="816">
    <w:name w:val="ca-421"/>
    <w:autoRedefine/>
    <w:qFormat/>
    <w:uiPriority w:val="0"/>
    <w:rPr>
      <w:rFonts w:hint="eastAsia" w:ascii="宋体" w:hAnsi="宋体" w:eastAsia="宋体"/>
      <w:color w:val="000000"/>
      <w:sz w:val="36"/>
      <w:szCs w:val="36"/>
    </w:rPr>
  </w:style>
  <w:style w:type="character" w:customStyle="1" w:styleId="817">
    <w:name w:val="Footer-Even Char2"/>
    <w:autoRedefine/>
    <w:qFormat/>
    <w:uiPriority w:val="0"/>
    <w:rPr>
      <w:rFonts w:hint="eastAsia" w:ascii="宋体" w:hAnsi="宋体" w:eastAsia="宋体"/>
      <w:kern w:val="2"/>
      <w:sz w:val="18"/>
      <w:szCs w:val="18"/>
      <w:lang w:val="en-US" w:eastAsia="zh-CN" w:bidi="ar-SA"/>
    </w:rPr>
  </w:style>
  <w:style w:type="character" w:customStyle="1" w:styleId="818">
    <w:name w:val="ca-211"/>
    <w:autoRedefine/>
    <w:qFormat/>
    <w:uiPriority w:val="0"/>
    <w:rPr>
      <w:rFonts w:hint="eastAsia" w:ascii="宋体" w:hAnsi="宋体" w:eastAsia="宋体"/>
      <w:color w:val="000000"/>
      <w:sz w:val="21"/>
      <w:szCs w:val="21"/>
    </w:rPr>
  </w:style>
  <w:style w:type="character" w:customStyle="1" w:styleId="819">
    <w:name w:val="ca-181"/>
    <w:autoRedefine/>
    <w:qFormat/>
    <w:uiPriority w:val="0"/>
    <w:rPr>
      <w:rFonts w:hint="eastAsia" w:ascii="宋体" w:hAnsi="宋体" w:eastAsia="宋体"/>
      <w:color w:val="000000"/>
      <w:sz w:val="18"/>
      <w:szCs w:val="18"/>
    </w:rPr>
  </w:style>
  <w:style w:type="character" w:customStyle="1" w:styleId="820">
    <w:name w:val="ca-54"/>
    <w:autoRedefine/>
    <w:qFormat/>
    <w:uiPriority w:val="0"/>
    <w:rPr>
      <w:rFonts w:hint="eastAsia" w:ascii="宋体" w:hAnsi="宋体" w:eastAsia="宋体"/>
      <w:b/>
      <w:bCs/>
      <w:color w:val="000000"/>
      <w:spacing w:val="40"/>
      <w:sz w:val="48"/>
      <w:szCs w:val="48"/>
    </w:rPr>
  </w:style>
  <w:style w:type="character" w:customStyle="1" w:styleId="821">
    <w:name w:val="ca-271"/>
    <w:autoRedefine/>
    <w:qFormat/>
    <w:uiPriority w:val="0"/>
    <w:rPr>
      <w:rFonts w:hint="eastAsia" w:ascii="宋体" w:hAnsi="宋体" w:eastAsia="宋体"/>
      <w:b/>
      <w:bCs/>
      <w:color w:val="002060"/>
      <w:spacing w:val="-20"/>
      <w:sz w:val="21"/>
      <w:szCs w:val="21"/>
    </w:rPr>
  </w:style>
  <w:style w:type="character" w:customStyle="1" w:styleId="822">
    <w:name w:val="ca-441"/>
    <w:autoRedefine/>
    <w:qFormat/>
    <w:uiPriority w:val="0"/>
    <w:rPr>
      <w:rFonts w:hint="eastAsia" w:ascii="宋体" w:hAnsi="宋体" w:eastAsia="宋体"/>
      <w:color w:val="000000"/>
      <w:sz w:val="52"/>
      <w:szCs w:val="52"/>
    </w:rPr>
  </w:style>
  <w:style w:type="character" w:customStyle="1" w:styleId="823">
    <w:name w:val="文档结构图 Char"/>
    <w:autoRedefine/>
    <w:qFormat/>
    <w:uiPriority w:val="0"/>
    <w:rPr>
      <w:szCs w:val="24"/>
      <w:shd w:val="clear" w:color="auto" w:fill="000080"/>
      <w:lang w:bidi="ar-SA"/>
    </w:rPr>
  </w:style>
  <w:style w:type="character" w:customStyle="1" w:styleId="824">
    <w:name w:val="ca-121"/>
    <w:autoRedefine/>
    <w:qFormat/>
    <w:uiPriority w:val="0"/>
    <w:rPr>
      <w:rFonts w:hint="default" w:ascii="Times New Roman" w:hAnsi="Times New Roman" w:cs="Times New Roman"/>
      <w:color w:val="000000"/>
      <w:sz w:val="32"/>
      <w:szCs w:val="32"/>
    </w:rPr>
  </w:style>
  <w:style w:type="character" w:customStyle="1" w:styleId="825">
    <w:name w:val="ca-251"/>
    <w:autoRedefine/>
    <w:qFormat/>
    <w:uiPriority w:val="0"/>
    <w:rPr>
      <w:rFonts w:hint="default" w:ascii="Times New Roman" w:hAnsi="Times New Roman" w:cs="Times New Roman"/>
      <w:sz w:val="21"/>
      <w:szCs w:val="21"/>
    </w:rPr>
  </w:style>
  <w:style w:type="character" w:customStyle="1" w:styleId="826">
    <w:name w:val="正文文本 Char1"/>
    <w:autoRedefine/>
    <w:qFormat/>
    <w:uiPriority w:val="0"/>
    <w:rPr>
      <w:kern w:val="2"/>
      <w:sz w:val="21"/>
      <w:szCs w:val="22"/>
    </w:rPr>
  </w:style>
  <w:style w:type="character" w:customStyle="1" w:styleId="827">
    <w:name w:val="明显参考111"/>
    <w:autoRedefine/>
    <w:qFormat/>
    <w:uiPriority w:val="0"/>
    <w:rPr>
      <w:b/>
      <w:bCs/>
      <w:smallCaps/>
      <w:color w:val="C0504D"/>
      <w:spacing w:val="5"/>
      <w:u w:val="single"/>
    </w:rPr>
  </w:style>
  <w:style w:type="character" w:customStyle="1" w:styleId="828">
    <w:name w:val="明显强调111"/>
    <w:autoRedefine/>
    <w:qFormat/>
    <w:uiPriority w:val="0"/>
    <w:rPr>
      <w:b/>
      <w:bCs/>
      <w:i/>
      <w:iCs/>
      <w:color w:val="4F81BD"/>
    </w:rPr>
  </w:style>
  <w:style w:type="character" w:customStyle="1" w:styleId="829">
    <w:name w:val="Footer-Even Char1"/>
    <w:autoRedefine/>
    <w:qFormat/>
    <w:uiPriority w:val="0"/>
    <w:rPr>
      <w:rFonts w:hint="eastAsia" w:ascii="宋体" w:hAnsi="宋体" w:eastAsia="宋体"/>
      <w:kern w:val="2"/>
      <w:sz w:val="18"/>
      <w:szCs w:val="18"/>
      <w:lang w:val="en-US" w:eastAsia="zh-CN" w:bidi="ar-SA"/>
    </w:rPr>
  </w:style>
  <w:style w:type="character" w:customStyle="1" w:styleId="830">
    <w:name w:val="Char Char28"/>
    <w:autoRedefine/>
    <w:qFormat/>
    <w:uiPriority w:val="0"/>
    <w:rPr>
      <w:rFonts w:hint="eastAsia" w:ascii="宋体" w:hAnsi="宋体" w:eastAsia="宋体"/>
      <w:kern w:val="2"/>
      <w:sz w:val="18"/>
      <w:lang w:val="en-US" w:eastAsia="zh-CN" w:bidi="ar-SA"/>
    </w:rPr>
  </w:style>
  <w:style w:type="character" w:customStyle="1" w:styleId="831">
    <w:name w:val="Char Char34"/>
    <w:autoRedefine/>
    <w:qFormat/>
    <w:uiPriority w:val="0"/>
    <w:rPr>
      <w:rFonts w:hint="default" w:ascii="Cambria" w:hAnsi="Cambria" w:eastAsia="宋体" w:cs="Times New Roman"/>
      <w:b/>
      <w:bCs/>
      <w:sz w:val="28"/>
      <w:szCs w:val="32"/>
    </w:rPr>
  </w:style>
  <w:style w:type="character" w:customStyle="1" w:styleId="832">
    <w:name w:val="正文首行缩进 Char Char"/>
    <w:autoRedefine/>
    <w:qFormat/>
    <w:uiPriority w:val="0"/>
    <w:rPr>
      <w:rFonts w:hint="eastAsia" w:ascii="宋体" w:hAnsi="宋体" w:eastAsia="宋体"/>
      <w:kern w:val="2"/>
      <w:sz w:val="21"/>
      <w:szCs w:val="24"/>
      <w:lang w:val="en-US" w:eastAsia="zh-CN" w:bidi="ar-SA"/>
    </w:rPr>
  </w:style>
  <w:style w:type="character" w:customStyle="1" w:styleId="833">
    <w:name w:val="by jerry Char1"/>
    <w:autoRedefine/>
    <w:qFormat/>
    <w:uiPriority w:val="0"/>
    <w:rPr>
      <w:rFonts w:hint="eastAsia" w:ascii="宋体" w:hAnsi="宋体" w:eastAsia="宋体"/>
      <w:b/>
      <w:bCs/>
      <w:kern w:val="44"/>
      <w:sz w:val="32"/>
      <w:szCs w:val="44"/>
      <w:lang w:val="en-US" w:eastAsia="zh-CN" w:bidi="ar-SA"/>
    </w:rPr>
  </w:style>
  <w:style w:type="character" w:customStyle="1" w:styleId="834">
    <w:name w:val="标题 1 Char1"/>
    <w:autoRedefine/>
    <w:qFormat/>
    <w:uiPriority w:val="0"/>
    <w:rPr>
      <w:rFonts w:hint="eastAsia" w:ascii="宋体" w:hAnsi="宋体" w:eastAsia="宋体"/>
      <w:b/>
      <w:bCs/>
      <w:kern w:val="2"/>
      <w:sz w:val="24"/>
      <w:szCs w:val="24"/>
      <w:lang w:val="en-US" w:eastAsia="zh-CN" w:bidi="ar-SA"/>
    </w:rPr>
  </w:style>
  <w:style w:type="character" w:customStyle="1" w:styleId="835">
    <w:name w:val="Char Char19"/>
    <w:autoRedefine/>
    <w:qFormat/>
    <w:uiPriority w:val="0"/>
    <w:rPr>
      <w:rFonts w:hint="default" w:ascii="Cambria" w:hAnsi="Cambria"/>
      <w:b/>
      <w:bCs/>
      <w:kern w:val="2"/>
      <w:sz w:val="28"/>
      <w:szCs w:val="28"/>
    </w:rPr>
  </w:style>
  <w:style w:type="character" w:customStyle="1" w:styleId="836">
    <w:name w:val="ca-481"/>
    <w:autoRedefine/>
    <w:qFormat/>
    <w:uiPriority w:val="0"/>
    <w:rPr>
      <w:rFonts w:hint="eastAsia" w:ascii="宋体" w:hAnsi="宋体" w:eastAsia="宋体"/>
      <w:color w:val="000000"/>
      <w:sz w:val="26"/>
      <w:szCs w:val="26"/>
    </w:rPr>
  </w:style>
  <w:style w:type="paragraph" w:customStyle="1" w:styleId="837">
    <w:name w:val="正文文本缩进_1"/>
    <w:basedOn w:val="144"/>
    <w:link w:val="838"/>
    <w:autoRedefine/>
    <w:qFormat/>
    <w:uiPriority w:val="0"/>
    <w:pPr>
      <w:spacing w:after="120"/>
      <w:ind w:left="420" w:leftChars="200"/>
    </w:pPr>
    <w:rPr>
      <w:rFonts w:ascii="Times New Roman" w:hAnsi="Times New Roman"/>
    </w:rPr>
  </w:style>
  <w:style w:type="character" w:customStyle="1" w:styleId="838">
    <w:name w:val="正文文字4 Char1_1"/>
    <w:link w:val="837"/>
    <w:autoRedefine/>
    <w:qFormat/>
    <w:locked/>
    <w:uiPriority w:val="0"/>
    <w:rPr>
      <w:rFonts w:ascii="Times New Roman" w:hAnsi="Times New Roman" w:eastAsia="宋体" w:cs="Times New Roman"/>
    </w:rPr>
  </w:style>
  <w:style w:type="character" w:customStyle="1" w:styleId="839">
    <w:name w:val="ca-91"/>
    <w:autoRedefine/>
    <w:qFormat/>
    <w:uiPriority w:val="0"/>
    <w:rPr>
      <w:rFonts w:hint="eastAsia" w:ascii="楷体_GB2312" w:eastAsia="楷体_GB2312"/>
      <w:color w:val="000000"/>
      <w:spacing w:val="20"/>
      <w:sz w:val="96"/>
      <w:szCs w:val="96"/>
    </w:rPr>
  </w:style>
  <w:style w:type="character" w:customStyle="1" w:styleId="840">
    <w:name w:val="Char Char26"/>
    <w:autoRedefine/>
    <w:qFormat/>
    <w:uiPriority w:val="0"/>
    <w:rPr>
      <w:rFonts w:hint="default" w:ascii="Arial" w:hAnsi="Arial" w:eastAsia="宋体" w:cs="Times New Roman"/>
      <w:bCs/>
      <w:kern w:val="2"/>
      <w:sz w:val="24"/>
      <w:szCs w:val="28"/>
    </w:rPr>
  </w:style>
  <w:style w:type="character" w:customStyle="1" w:styleId="841">
    <w:name w:val="标题 7 Char"/>
    <w:autoRedefine/>
    <w:qFormat/>
    <w:uiPriority w:val="0"/>
    <w:rPr>
      <w:rFonts w:hint="default" w:ascii="Times New Roman" w:hAnsi="Times New Roman" w:cs="Times New Roman"/>
      <w:b/>
      <w:bCs/>
      <w:kern w:val="2"/>
      <w:sz w:val="24"/>
      <w:szCs w:val="24"/>
    </w:rPr>
  </w:style>
  <w:style w:type="character" w:customStyle="1" w:styleId="842">
    <w:name w:val="正文文字4 Char1"/>
    <w:autoRedefine/>
    <w:qFormat/>
    <w:uiPriority w:val="0"/>
    <w:rPr>
      <w:rFonts w:hint="eastAsia" w:ascii="宋体" w:hAnsi="宋体" w:eastAsia="宋体"/>
      <w:kern w:val="2"/>
      <w:sz w:val="21"/>
      <w:szCs w:val="24"/>
      <w:lang w:val="en-US" w:eastAsia="zh-CN" w:bidi="ar-SA"/>
    </w:rPr>
  </w:style>
  <w:style w:type="character" w:customStyle="1" w:styleId="843">
    <w:name w:val="标题 4 Char1"/>
    <w:autoRedefine/>
    <w:qFormat/>
    <w:uiPriority w:val="0"/>
    <w:rPr>
      <w:rFonts w:hint="default" w:ascii="Arial" w:hAnsi="Arial" w:eastAsia="黑体" w:cs="Arial"/>
      <w:b/>
      <w:bCs/>
      <w:kern w:val="2"/>
      <w:sz w:val="28"/>
      <w:szCs w:val="28"/>
      <w:lang w:val="en-US" w:eastAsia="zh-CN" w:bidi="ar-SA"/>
    </w:rPr>
  </w:style>
  <w:style w:type="character" w:customStyle="1" w:styleId="844">
    <w:name w:val="引用 字符2"/>
    <w:autoRedefine/>
    <w:qFormat/>
    <w:locked/>
    <w:uiPriority w:val="0"/>
    <w:rPr>
      <w:i/>
      <w:sz w:val="21"/>
    </w:rPr>
  </w:style>
  <w:style w:type="character" w:customStyle="1" w:styleId="845">
    <w:name w:val="Char Char27"/>
    <w:autoRedefine/>
    <w:qFormat/>
    <w:uiPriority w:val="0"/>
    <w:rPr>
      <w:rFonts w:hint="default" w:ascii="Calibri" w:hAnsi="Calibri" w:eastAsia="宋体" w:cs="Times New Roman"/>
      <w:b/>
      <w:bCs/>
      <w:kern w:val="2"/>
      <w:sz w:val="24"/>
      <w:szCs w:val="32"/>
    </w:rPr>
  </w:style>
  <w:style w:type="character" w:customStyle="1" w:styleId="846">
    <w:name w:val="ca-351"/>
    <w:autoRedefine/>
    <w:qFormat/>
    <w:uiPriority w:val="0"/>
    <w:rPr>
      <w:rFonts w:hint="default" w:ascii="Times New Roman" w:hAnsi="Times New Roman" w:cs="Times New Roman"/>
      <w:sz w:val="10"/>
      <w:szCs w:val="10"/>
    </w:rPr>
  </w:style>
  <w:style w:type="character" w:customStyle="1" w:styleId="847">
    <w:name w:val="ca-131"/>
    <w:autoRedefine/>
    <w:qFormat/>
    <w:uiPriority w:val="0"/>
    <w:rPr>
      <w:rFonts w:hint="eastAsia" w:ascii="宋体" w:hAnsi="宋体" w:eastAsia="宋体"/>
      <w:color w:val="000000"/>
      <w:sz w:val="32"/>
      <w:szCs w:val="32"/>
    </w:rPr>
  </w:style>
  <w:style w:type="character" w:customStyle="1" w:styleId="848">
    <w:name w:val="页眉 Char1"/>
    <w:autoRedefine/>
    <w:qFormat/>
    <w:uiPriority w:val="0"/>
    <w:rPr>
      <w:rFonts w:hint="eastAsia" w:ascii="仿宋_GB2312" w:eastAsia="仿宋_GB2312"/>
      <w:kern w:val="2"/>
      <w:sz w:val="18"/>
      <w:lang w:val="en-US" w:eastAsia="zh-CN" w:bidi="ar-SA"/>
    </w:rPr>
  </w:style>
  <w:style w:type="paragraph" w:customStyle="1" w:styleId="849">
    <w:name w:val="标题 2_0"/>
    <w:basedOn w:val="151"/>
    <w:next w:val="151"/>
    <w:link w:val="850"/>
    <w:autoRedefine/>
    <w:qFormat/>
    <w:uiPriority w:val="0"/>
    <w:pPr>
      <w:keepNext/>
      <w:keepLines/>
      <w:spacing w:before="260" w:after="260" w:line="412" w:lineRule="auto"/>
      <w:outlineLvl w:val="1"/>
    </w:pPr>
    <w:rPr>
      <w:rFonts w:ascii="Cambria" w:hAnsi="Cambria"/>
      <w:b/>
      <w:bCs/>
      <w:sz w:val="32"/>
      <w:szCs w:val="32"/>
    </w:rPr>
  </w:style>
  <w:style w:type="character" w:customStyle="1" w:styleId="850">
    <w:name w:val="标题 2 Char_0"/>
    <w:link w:val="849"/>
    <w:autoRedefine/>
    <w:qFormat/>
    <w:locked/>
    <w:uiPriority w:val="0"/>
    <w:rPr>
      <w:rFonts w:ascii="Cambria" w:hAnsi="Cambria" w:eastAsia="宋体" w:cs="Times New Roman"/>
      <w:b/>
      <w:bCs/>
      <w:sz w:val="32"/>
      <w:szCs w:val="32"/>
    </w:rPr>
  </w:style>
  <w:style w:type="character" w:customStyle="1" w:styleId="851">
    <w:name w:val="手改 Char Char2"/>
    <w:autoRedefine/>
    <w:qFormat/>
    <w:uiPriority w:val="0"/>
    <w:rPr>
      <w:rFonts w:hint="eastAsia" w:ascii="宋体" w:hAnsi="宋体" w:eastAsia="宋体"/>
      <w:kern w:val="2"/>
      <w:sz w:val="21"/>
      <w:szCs w:val="24"/>
      <w:lang w:val="en-US" w:eastAsia="zh-CN" w:bidi="ar-SA"/>
    </w:rPr>
  </w:style>
  <w:style w:type="character" w:customStyle="1" w:styleId="852">
    <w:name w:val="Char Char31"/>
    <w:autoRedefine/>
    <w:qFormat/>
    <w:uiPriority w:val="0"/>
    <w:rPr>
      <w:rFonts w:hint="default" w:ascii="Arial" w:hAnsi="Arial" w:eastAsia="宋体" w:cs="Arial"/>
      <w:b/>
      <w:bCs/>
      <w:kern w:val="2"/>
      <w:sz w:val="21"/>
      <w:szCs w:val="32"/>
      <w:lang w:val="en-US" w:eastAsia="zh-CN" w:bidi="ar-SA"/>
    </w:rPr>
  </w:style>
  <w:style w:type="character" w:customStyle="1" w:styleId="853">
    <w:name w:val="样式1 Char"/>
    <w:autoRedefine/>
    <w:qFormat/>
    <w:uiPriority w:val="0"/>
    <w:rPr>
      <w:rFonts w:hint="eastAsia" w:ascii="宋体" w:hAnsi="宋体" w:eastAsia="宋体"/>
      <w:kern w:val="2"/>
      <w:sz w:val="24"/>
      <w:szCs w:val="24"/>
      <w:lang w:val="en-US" w:eastAsia="zh-CN" w:bidi="ar-SA"/>
    </w:rPr>
  </w:style>
  <w:style w:type="character" w:customStyle="1" w:styleId="854">
    <w:name w:val="ca-281"/>
    <w:autoRedefine/>
    <w:qFormat/>
    <w:uiPriority w:val="0"/>
    <w:rPr>
      <w:rFonts w:hint="eastAsia" w:ascii="宋体" w:hAnsi="宋体" w:eastAsia="宋体"/>
      <w:color w:val="FF0000"/>
      <w:sz w:val="21"/>
      <w:szCs w:val="21"/>
    </w:rPr>
  </w:style>
  <w:style w:type="character" w:customStyle="1" w:styleId="855">
    <w:name w:val="ca-521"/>
    <w:autoRedefine/>
    <w:qFormat/>
    <w:uiPriority w:val="0"/>
    <w:rPr>
      <w:rFonts w:hint="eastAsia" w:ascii="宋体" w:hAnsi="宋体" w:eastAsia="宋体"/>
      <w:b/>
      <w:bCs/>
      <w:spacing w:val="-20"/>
      <w:sz w:val="36"/>
      <w:szCs w:val="36"/>
    </w:rPr>
  </w:style>
  <w:style w:type="character" w:customStyle="1" w:styleId="856">
    <w:name w:val="CPara- Char Char"/>
    <w:autoRedefine/>
    <w:qFormat/>
    <w:uiPriority w:val="0"/>
    <w:rPr>
      <w:rFonts w:hint="eastAsia" w:ascii="宋体" w:hAnsi="宋体" w:eastAsia="宋体"/>
      <w:lang w:val="en-US" w:eastAsia="en-US" w:bidi="ar-SA"/>
    </w:rPr>
  </w:style>
  <w:style w:type="character" w:customStyle="1" w:styleId="857">
    <w:name w:val="ca-491"/>
    <w:autoRedefine/>
    <w:qFormat/>
    <w:uiPriority w:val="0"/>
    <w:rPr>
      <w:rFonts w:hint="eastAsia" w:ascii="宋体" w:hAnsi="宋体" w:eastAsia="宋体"/>
      <w:spacing w:val="0"/>
      <w:sz w:val="32"/>
      <w:szCs w:val="32"/>
    </w:rPr>
  </w:style>
  <w:style w:type="character" w:customStyle="1" w:styleId="858">
    <w:name w:val="ca-431"/>
    <w:autoRedefine/>
    <w:qFormat/>
    <w:uiPriority w:val="0"/>
    <w:rPr>
      <w:rFonts w:hint="eastAsia" w:ascii="宋体" w:hAnsi="宋体" w:eastAsia="宋体"/>
      <w:color w:val="000000"/>
      <w:sz w:val="44"/>
      <w:szCs w:val="44"/>
    </w:rPr>
  </w:style>
  <w:style w:type="character" w:customStyle="1" w:styleId="859">
    <w:name w:val="样式 正文缩进正文（首行缩进两字）特点ALT+Z表正文正文非缩进四号段1Normal Indent Char2... Char Char"/>
    <w:autoRedefine/>
    <w:qFormat/>
    <w:uiPriority w:val="0"/>
    <w:rPr>
      <w:rFonts w:hint="default" w:ascii="Arial" w:hAnsi="Arial" w:eastAsia="宋体" w:cs="Arial"/>
      <w:b/>
      <w:bCs/>
      <w:kern w:val="2"/>
      <w:sz w:val="24"/>
      <w:szCs w:val="32"/>
      <w:lang w:val="en-US" w:eastAsia="zh-CN" w:bidi="ar-SA"/>
    </w:rPr>
  </w:style>
  <w:style w:type="character" w:customStyle="1" w:styleId="860">
    <w:name w:val="Char Char29"/>
    <w:autoRedefine/>
    <w:qFormat/>
    <w:uiPriority w:val="0"/>
    <w:rPr>
      <w:rFonts w:hint="eastAsia" w:ascii="宋体" w:hAnsi="宋体" w:eastAsia="宋体"/>
      <w:b/>
      <w:bCs/>
      <w:kern w:val="44"/>
      <w:sz w:val="44"/>
      <w:szCs w:val="44"/>
      <w:lang w:val="en-US" w:eastAsia="zh-CN" w:bidi="ar-SA"/>
    </w:rPr>
  </w:style>
  <w:style w:type="character" w:customStyle="1" w:styleId="861">
    <w:name w:val="批注框文本 Char1"/>
    <w:autoRedefine/>
    <w:qFormat/>
    <w:uiPriority w:val="0"/>
    <w:rPr>
      <w:kern w:val="2"/>
      <w:sz w:val="18"/>
      <w:szCs w:val="18"/>
    </w:rPr>
  </w:style>
  <w:style w:type="character" w:customStyle="1" w:styleId="862">
    <w:name w:val="ca-111"/>
    <w:autoRedefine/>
    <w:qFormat/>
    <w:uiPriority w:val="0"/>
    <w:rPr>
      <w:rFonts w:hint="default" w:ascii="Times New Roman" w:hAnsi="Times New Roman" w:cs="Times New Roman"/>
      <w:color w:val="000000"/>
      <w:sz w:val="30"/>
      <w:szCs w:val="30"/>
    </w:rPr>
  </w:style>
  <w:style w:type="paragraph" w:customStyle="1" w:styleId="863">
    <w:name w:val="标题 1_1"/>
    <w:basedOn w:val="154"/>
    <w:next w:val="154"/>
    <w:link w:val="864"/>
    <w:autoRedefine/>
    <w:qFormat/>
    <w:uiPriority w:val="0"/>
    <w:pPr>
      <w:keepNext/>
      <w:keepLines/>
      <w:spacing w:line="360" w:lineRule="auto"/>
      <w:outlineLvl w:val="0"/>
    </w:pPr>
    <w:rPr>
      <w:rFonts w:ascii="Times New Roman" w:hAnsi="Times New Roman"/>
      <w:b/>
      <w:bCs/>
      <w:kern w:val="44"/>
      <w:sz w:val="32"/>
      <w:szCs w:val="44"/>
    </w:rPr>
  </w:style>
  <w:style w:type="character" w:customStyle="1" w:styleId="864">
    <w:name w:val="Char Char24"/>
    <w:link w:val="863"/>
    <w:autoRedefine/>
    <w:qFormat/>
    <w:locked/>
    <w:uiPriority w:val="0"/>
    <w:rPr>
      <w:rFonts w:ascii="Times New Roman" w:hAnsi="Times New Roman" w:eastAsia="宋体" w:cs="Times New Roman"/>
      <w:b/>
      <w:bCs/>
      <w:kern w:val="44"/>
      <w:sz w:val="32"/>
      <w:szCs w:val="44"/>
    </w:rPr>
  </w:style>
  <w:style w:type="character" w:customStyle="1" w:styleId="865">
    <w:name w:val="手改 Char Char1"/>
    <w:autoRedefine/>
    <w:qFormat/>
    <w:uiPriority w:val="0"/>
    <w:rPr>
      <w:rFonts w:hint="eastAsia" w:ascii="宋体" w:hAnsi="宋体" w:eastAsia="宋体"/>
      <w:kern w:val="2"/>
      <w:sz w:val="21"/>
      <w:szCs w:val="24"/>
      <w:lang w:val="en-US" w:eastAsia="zh-CN" w:bidi="ar-SA"/>
    </w:rPr>
  </w:style>
  <w:style w:type="character" w:customStyle="1" w:styleId="866">
    <w:name w:val="标题 8 Char"/>
    <w:autoRedefine/>
    <w:qFormat/>
    <w:uiPriority w:val="0"/>
    <w:rPr>
      <w:rFonts w:hint="default" w:ascii="Cambria" w:hAnsi="Cambria" w:eastAsia="宋体" w:cs="Times New Roman"/>
      <w:kern w:val="2"/>
      <w:sz w:val="24"/>
      <w:szCs w:val="24"/>
    </w:rPr>
  </w:style>
  <w:style w:type="character" w:customStyle="1" w:styleId="867">
    <w:name w:val="ca-151"/>
    <w:autoRedefine/>
    <w:qFormat/>
    <w:uiPriority w:val="0"/>
    <w:rPr>
      <w:rFonts w:hint="eastAsia" w:ascii="宋体" w:hAnsi="宋体" w:eastAsia="宋体"/>
      <w:caps/>
      <w:color w:val="000000"/>
      <w:sz w:val="24"/>
      <w:szCs w:val="24"/>
    </w:rPr>
  </w:style>
  <w:style w:type="character" w:customStyle="1" w:styleId="868">
    <w:name w:val="ca-291"/>
    <w:autoRedefine/>
    <w:qFormat/>
    <w:uiPriority w:val="0"/>
    <w:rPr>
      <w:rFonts w:hint="eastAsia" w:ascii="宋体" w:hAnsi="宋体" w:eastAsia="宋体"/>
      <w:color w:val="7030A0"/>
      <w:sz w:val="21"/>
      <w:szCs w:val="21"/>
    </w:rPr>
  </w:style>
  <w:style w:type="character" w:customStyle="1" w:styleId="869">
    <w:name w:val="ca-371"/>
    <w:autoRedefine/>
    <w:qFormat/>
    <w:uiPriority w:val="0"/>
    <w:rPr>
      <w:rFonts w:hint="eastAsia" w:ascii="宋体" w:hAnsi="宋体" w:eastAsia="宋体"/>
      <w:color w:val="000000"/>
      <w:spacing w:val="0"/>
      <w:sz w:val="21"/>
      <w:szCs w:val="21"/>
    </w:rPr>
  </w:style>
  <w:style w:type="character" w:customStyle="1" w:styleId="870">
    <w:name w:val="标题 9 Char1"/>
    <w:autoRedefine/>
    <w:qFormat/>
    <w:uiPriority w:val="0"/>
    <w:rPr>
      <w:rFonts w:hint="default" w:ascii="Arial" w:hAnsi="Arial" w:eastAsia="黑体" w:cs="Arial"/>
      <w:kern w:val="2"/>
      <w:sz w:val="21"/>
      <w:szCs w:val="22"/>
      <w:lang w:val="en-US" w:eastAsia="zh-CN" w:bidi="ar-SA"/>
    </w:rPr>
  </w:style>
  <w:style w:type="character" w:customStyle="1" w:styleId="871">
    <w:name w:val="正文首行缩进 Char"/>
    <w:autoRedefine/>
    <w:qFormat/>
    <w:uiPriority w:val="0"/>
    <w:rPr>
      <w:kern w:val="2"/>
      <w:sz w:val="21"/>
      <w:szCs w:val="24"/>
    </w:rPr>
  </w:style>
  <w:style w:type="character" w:customStyle="1" w:styleId="872">
    <w:name w:val="ca-141"/>
    <w:autoRedefine/>
    <w:qFormat/>
    <w:uiPriority w:val="0"/>
    <w:rPr>
      <w:rFonts w:hint="default" w:ascii="Times New Roman" w:hAnsi="Times New Roman" w:cs="Times New Roman"/>
      <w:color w:val="000000"/>
      <w:sz w:val="24"/>
      <w:szCs w:val="24"/>
    </w:rPr>
  </w:style>
  <w:style w:type="character" w:customStyle="1" w:styleId="873">
    <w:name w:val="批注主题 Char2"/>
    <w:autoRedefine/>
    <w:qFormat/>
    <w:uiPriority w:val="0"/>
    <w:rPr>
      <w:rFonts w:hint="eastAsia" w:ascii="宋体" w:hAnsi="宋体" w:eastAsia="宋体"/>
      <w:b/>
      <w:bCs/>
      <w:kern w:val="2"/>
      <w:sz w:val="21"/>
      <w:lang w:val="en-US" w:eastAsia="zh-CN" w:bidi="ar-SA"/>
    </w:rPr>
  </w:style>
  <w:style w:type="character" w:customStyle="1" w:styleId="874">
    <w:name w:val="zbggmain style9_1"/>
    <w:autoRedefine/>
    <w:qFormat/>
    <w:uiPriority w:val="0"/>
    <w:rPr>
      <w:rFonts w:hint="default" w:ascii="Calibri" w:hAnsi="Calibri" w:eastAsia="ヒラギノ角ゴ Pro W3" w:cs="Calibri"/>
      <w:color w:val="000000"/>
      <w:sz w:val="20"/>
      <w:lang w:val="en-US" w:eastAsia="zh-CN" w:bidi="ar-SA"/>
    </w:rPr>
  </w:style>
  <w:style w:type="character" w:customStyle="1" w:styleId="875">
    <w:name w:val="ca-391"/>
    <w:autoRedefine/>
    <w:qFormat/>
    <w:uiPriority w:val="0"/>
    <w:rPr>
      <w:rFonts w:hint="eastAsia" w:ascii="宋体" w:hAnsi="宋体" w:eastAsia="宋体"/>
      <w:b/>
      <w:bCs/>
      <w:color w:val="000000"/>
      <w:spacing w:val="-20"/>
      <w:sz w:val="28"/>
      <w:szCs w:val="28"/>
    </w:rPr>
  </w:style>
  <w:style w:type="character" w:customStyle="1" w:styleId="876">
    <w:name w:val="不明显参考111"/>
    <w:autoRedefine/>
    <w:qFormat/>
    <w:uiPriority w:val="0"/>
    <w:rPr>
      <w:smallCaps/>
      <w:color w:val="C0504D"/>
      <w:u w:val="single"/>
    </w:rPr>
  </w:style>
  <w:style w:type="character" w:customStyle="1" w:styleId="877">
    <w:name w:val="批注主题 Char Char"/>
    <w:autoRedefine/>
    <w:qFormat/>
    <w:uiPriority w:val="0"/>
    <w:rPr>
      <w:rFonts w:hint="default" w:ascii="Times New Roman" w:hAnsi="Times New Roman" w:eastAsia="宋体" w:cs="Times New Roman"/>
      <w:b/>
      <w:bCs/>
      <w:kern w:val="2"/>
      <w:sz w:val="21"/>
      <w:szCs w:val="24"/>
    </w:rPr>
  </w:style>
  <w:style w:type="character" w:customStyle="1" w:styleId="878">
    <w:name w:val="by jerry Char"/>
    <w:autoRedefine/>
    <w:qFormat/>
    <w:uiPriority w:val="0"/>
    <w:rPr>
      <w:rFonts w:hint="eastAsia" w:ascii="宋体" w:hAnsi="宋体" w:eastAsia="宋体"/>
      <w:b/>
      <w:bCs/>
      <w:kern w:val="44"/>
      <w:sz w:val="32"/>
      <w:szCs w:val="44"/>
      <w:lang w:val="en-US" w:eastAsia="zh-CN" w:bidi="ar-SA"/>
    </w:rPr>
  </w:style>
  <w:style w:type="character" w:customStyle="1" w:styleId="879">
    <w:name w:val="样式 纯文本普通文字 Char纯文本 Char Char普通文字纯文本 Char Char Char Char Char...6 Char"/>
    <w:autoRedefine/>
    <w:qFormat/>
    <w:locked/>
    <w:uiPriority w:val="0"/>
    <w:rPr>
      <w:rFonts w:hint="eastAsia" w:ascii="宋体" w:hAnsi="Courier New" w:eastAsia="宋体" w:cs="Courier New"/>
      <w:color w:val="000000"/>
      <w:szCs w:val="21"/>
    </w:rPr>
  </w:style>
  <w:style w:type="character" w:customStyle="1" w:styleId="880">
    <w:name w:val="样式 正文文本 Char"/>
    <w:autoRedefine/>
    <w:qFormat/>
    <w:locked/>
    <w:uiPriority w:val="0"/>
    <w:rPr>
      <w:rFonts w:hint="default" w:ascii="Arial" w:hAnsi="Arial" w:eastAsia="宋体" w:cs="宋体"/>
      <w:color w:val="000000"/>
    </w:rPr>
  </w:style>
  <w:style w:type="character" w:customStyle="1" w:styleId="881">
    <w:name w:val="内文 Char"/>
    <w:autoRedefine/>
    <w:qFormat/>
    <w:locked/>
    <w:uiPriority w:val="0"/>
    <w:rPr>
      <w:rFonts w:hint="default" w:ascii="Arial" w:hAnsi="Arial" w:eastAsia="Times New Roman" w:cs="Arial"/>
      <w:kern w:val="2"/>
      <w:sz w:val="21"/>
      <w:szCs w:val="22"/>
      <w:lang w:val="en-US" w:eastAsia="zh-CN" w:bidi="ar-SA"/>
    </w:rPr>
  </w:style>
  <w:style w:type="character" w:customStyle="1" w:styleId="882">
    <w:name w:val="明显引用 字符2"/>
    <w:autoRedefine/>
    <w:qFormat/>
    <w:locked/>
    <w:uiPriority w:val="0"/>
    <w:rPr>
      <w:i/>
      <w:sz w:val="21"/>
    </w:rPr>
  </w:style>
  <w:style w:type="character" w:customStyle="1" w:styleId="883">
    <w:name w:val="引用 Char2"/>
    <w:autoRedefine/>
    <w:qFormat/>
    <w:uiPriority w:val="0"/>
    <w:rPr>
      <w:rFonts w:hint="default" w:ascii="Times New Roman" w:hAnsi="Times New Roman" w:cs="Times New Roman"/>
      <w:i/>
      <w:iCs/>
      <w:color w:val="000000"/>
      <w:kern w:val="2"/>
      <w:sz w:val="21"/>
      <w:szCs w:val="24"/>
    </w:rPr>
  </w:style>
  <w:style w:type="character" w:customStyle="1" w:styleId="884">
    <w:name w:val="font91"/>
    <w:autoRedefine/>
    <w:qFormat/>
    <w:uiPriority w:val="0"/>
    <w:rPr>
      <w:rFonts w:hint="eastAsia" w:ascii="宋体" w:hAnsi="宋体" w:eastAsia="宋体"/>
      <w:color w:val="000000"/>
      <w:sz w:val="18"/>
      <w:szCs w:val="18"/>
      <w:u w:val="none"/>
    </w:rPr>
  </w:style>
  <w:style w:type="character" w:customStyle="1" w:styleId="885">
    <w:name w:val="font81"/>
    <w:autoRedefine/>
    <w:qFormat/>
    <w:uiPriority w:val="0"/>
    <w:rPr>
      <w:rFonts w:hint="default" w:ascii="Arial" w:hAnsi="Arial" w:cs="Arial"/>
      <w:color w:val="000000"/>
      <w:sz w:val="18"/>
      <w:szCs w:val="18"/>
      <w:u w:val="none"/>
    </w:rPr>
  </w:style>
  <w:style w:type="character" w:customStyle="1" w:styleId="886">
    <w:name w:val="font101"/>
    <w:autoRedefine/>
    <w:qFormat/>
    <w:uiPriority w:val="0"/>
    <w:rPr>
      <w:rFonts w:hint="default" w:ascii="Arial" w:hAnsi="Arial" w:cs="Arial"/>
      <w:color w:val="000000"/>
      <w:sz w:val="20"/>
      <w:szCs w:val="20"/>
      <w:u w:val="none"/>
    </w:rPr>
  </w:style>
  <w:style w:type="character" w:customStyle="1" w:styleId="887">
    <w:name w:val="font31"/>
    <w:autoRedefine/>
    <w:qFormat/>
    <w:uiPriority w:val="0"/>
    <w:rPr>
      <w:rFonts w:hint="eastAsia" w:ascii="宋体" w:hAnsi="宋体" w:eastAsia="宋体"/>
      <w:color w:val="000000"/>
      <w:sz w:val="20"/>
      <w:szCs w:val="20"/>
      <w:u w:val="none"/>
    </w:rPr>
  </w:style>
  <w:style w:type="character" w:customStyle="1" w:styleId="888">
    <w:name w:val="Heading 6 Char"/>
    <w:autoRedefine/>
    <w:qFormat/>
    <w:locked/>
    <w:uiPriority w:val="0"/>
    <w:rPr>
      <w:rFonts w:hint="default" w:ascii="Arial" w:hAnsi="Arial" w:eastAsia="黑体" w:cs="Arial"/>
      <w:b/>
      <w:bCs/>
      <w:sz w:val="24"/>
      <w:szCs w:val="24"/>
      <w:lang w:val="en-US" w:eastAsia="zh-CN" w:bidi="ar-SA"/>
    </w:rPr>
  </w:style>
  <w:style w:type="character" w:customStyle="1" w:styleId="889">
    <w:name w:val="正文2 Char"/>
    <w:autoRedefine/>
    <w:qFormat/>
    <w:uiPriority w:val="0"/>
    <w:rPr>
      <w:rFonts w:hint="eastAsia" w:ascii="宋体" w:hAnsi="宋体" w:eastAsia="宋体"/>
      <w:kern w:val="2"/>
      <w:sz w:val="24"/>
      <w:lang w:val="en-US" w:eastAsia="zh-CN" w:bidi="ar-SA"/>
    </w:rPr>
  </w:style>
  <w:style w:type="character" w:customStyle="1" w:styleId="890">
    <w:name w:val="Heading 4 Char"/>
    <w:autoRedefine/>
    <w:qFormat/>
    <w:locked/>
    <w:uiPriority w:val="0"/>
    <w:rPr>
      <w:rFonts w:hint="default" w:ascii="Arial" w:hAnsi="Arial" w:eastAsia="黑体" w:cs="Arial"/>
      <w:b/>
      <w:bCs/>
      <w:kern w:val="2"/>
      <w:sz w:val="28"/>
      <w:szCs w:val="28"/>
      <w:lang w:val="en-US" w:eastAsia="zh-CN" w:bidi="ar-SA"/>
    </w:rPr>
  </w:style>
  <w:style w:type="character" w:customStyle="1" w:styleId="891">
    <w:name w:val="副标题 Char1"/>
    <w:autoRedefine/>
    <w:qFormat/>
    <w:uiPriority w:val="0"/>
    <w:rPr>
      <w:rFonts w:hint="default" w:ascii="Cambria" w:hAnsi="Cambria" w:cs="Times New Roman"/>
      <w:b/>
      <w:bCs/>
      <w:kern w:val="28"/>
      <w:sz w:val="32"/>
      <w:szCs w:val="32"/>
    </w:rPr>
  </w:style>
  <w:style w:type="character" w:customStyle="1" w:styleId="892">
    <w:name w:val="Comment Subject Char"/>
    <w:autoRedefine/>
    <w:qFormat/>
    <w:locked/>
    <w:uiPriority w:val="0"/>
    <w:rPr>
      <w:rFonts w:hint="eastAsia" w:ascii="宋体" w:hAnsi="宋体" w:eastAsia="宋体"/>
      <w:b/>
      <w:bCs/>
      <w:kern w:val="2"/>
      <w:sz w:val="21"/>
      <w:szCs w:val="24"/>
      <w:lang w:val="en-US" w:eastAsia="zh-CN" w:bidi="ar-SA"/>
    </w:rPr>
  </w:style>
  <w:style w:type="character" w:customStyle="1" w:styleId="893">
    <w:name w:val="Heading 3 - old Char"/>
    <w:autoRedefine/>
    <w:qFormat/>
    <w:uiPriority w:val="0"/>
    <w:rPr>
      <w:rFonts w:hint="eastAsia" w:ascii="宋体" w:hAnsi="宋体" w:eastAsia="宋体"/>
      <w:b/>
      <w:bCs/>
      <w:kern w:val="2"/>
      <w:sz w:val="21"/>
      <w:szCs w:val="32"/>
      <w:lang w:val="en-US" w:eastAsia="zh-CN" w:bidi="ar-SA"/>
    </w:rPr>
  </w:style>
  <w:style w:type="character" w:customStyle="1" w:styleId="894">
    <w:name w:val="Heading 3 Char"/>
    <w:autoRedefine/>
    <w:qFormat/>
    <w:locked/>
    <w:uiPriority w:val="0"/>
    <w:rPr>
      <w:rFonts w:hint="eastAsia" w:ascii="宋体" w:hAnsi="宋体" w:eastAsia="宋体"/>
      <w:b/>
      <w:bCs/>
      <w:kern w:val="2"/>
      <w:sz w:val="32"/>
      <w:szCs w:val="32"/>
      <w:lang w:val="en-US" w:eastAsia="zh-CN" w:bidi="ar-SA"/>
    </w:rPr>
  </w:style>
  <w:style w:type="character" w:customStyle="1" w:styleId="895">
    <w:name w:val="Char Char"/>
    <w:autoRedefine/>
    <w:qFormat/>
    <w:uiPriority w:val="0"/>
    <w:rPr>
      <w:rFonts w:hint="default" w:ascii="Arial" w:hAnsi="Arial" w:eastAsia="黑体" w:cs="Arial"/>
      <w:b/>
      <w:bCs/>
      <w:kern w:val="2"/>
      <w:sz w:val="32"/>
      <w:szCs w:val="32"/>
      <w:lang w:val="en-US" w:eastAsia="zh-CN" w:bidi="ar-SA"/>
    </w:rPr>
  </w:style>
  <w:style w:type="character" w:customStyle="1" w:styleId="896">
    <w:name w:val="Body Text Char"/>
    <w:autoRedefine/>
    <w:qFormat/>
    <w:locked/>
    <w:uiPriority w:val="0"/>
    <w:rPr>
      <w:rFonts w:hint="eastAsia" w:ascii="宋体" w:hAnsi="宋体" w:eastAsia="宋体"/>
      <w:kern w:val="2"/>
      <w:sz w:val="21"/>
      <w:szCs w:val="24"/>
      <w:lang w:val="en-US" w:eastAsia="zh-CN" w:bidi="ar-SA"/>
    </w:rPr>
  </w:style>
  <w:style w:type="character" w:customStyle="1" w:styleId="897">
    <w:name w:val="正文文字4 Char Char1"/>
    <w:autoRedefine/>
    <w:qFormat/>
    <w:uiPriority w:val="0"/>
    <w:rPr>
      <w:rFonts w:hint="eastAsia" w:ascii="宋体" w:hAnsi="宋体" w:eastAsia="宋体"/>
      <w:kern w:val="2"/>
      <w:sz w:val="24"/>
      <w:szCs w:val="24"/>
      <w:lang w:val="en-US" w:eastAsia="zh-CN" w:bidi="ar-SA"/>
    </w:rPr>
  </w:style>
  <w:style w:type="character" w:customStyle="1" w:styleId="898">
    <w:name w:val="country-name"/>
    <w:autoRedefine/>
    <w:qFormat/>
    <w:uiPriority w:val="0"/>
  </w:style>
  <w:style w:type="character" w:customStyle="1" w:styleId="899">
    <w:name w:val="Title Char"/>
    <w:autoRedefine/>
    <w:qFormat/>
    <w:locked/>
    <w:uiPriority w:val="0"/>
    <w:rPr>
      <w:rFonts w:hint="default" w:ascii="Arial" w:hAnsi="Arial" w:eastAsia="宋体" w:cs="Arial"/>
      <w:b/>
      <w:sz w:val="32"/>
      <w:lang w:val="en-US" w:eastAsia="zh-CN" w:bidi="ar-SA"/>
    </w:rPr>
  </w:style>
  <w:style w:type="character" w:customStyle="1" w:styleId="900">
    <w:name w:val="Heading 8 Char"/>
    <w:autoRedefine/>
    <w:qFormat/>
    <w:locked/>
    <w:uiPriority w:val="0"/>
    <w:rPr>
      <w:rFonts w:hint="default" w:ascii="Arial" w:hAnsi="Arial" w:eastAsia="黑体" w:cs="Arial"/>
      <w:sz w:val="24"/>
      <w:szCs w:val="24"/>
      <w:lang w:val="en-US" w:eastAsia="zh-CN" w:bidi="ar-SA"/>
    </w:rPr>
  </w:style>
  <w:style w:type="character" w:customStyle="1" w:styleId="901">
    <w:name w:val="Balloon Text Char"/>
    <w:autoRedefine/>
    <w:qFormat/>
    <w:locked/>
    <w:uiPriority w:val="0"/>
    <w:rPr>
      <w:rFonts w:hint="eastAsia" w:ascii="宋体" w:hAnsi="宋体" w:eastAsia="宋体"/>
      <w:kern w:val="2"/>
      <w:sz w:val="18"/>
      <w:szCs w:val="18"/>
      <w:lang w:val="en-US" w:eastAsia="zh-CN" w:bidi="ar-SA"/>
    </w:rPr>
  </w:style>
  <w:style w:type="character" w:customStyle="1" w:styleId="902">
    <w:name w:val="手改 Char Char"/>
    <w:autoRedefine/>
    <w:qFormat/>
    <w:uiPriority w:val="0"/>
    <w:rPr>
      <w:rFonts w:hint="eastAsia" w:ascii="宋体" w:hAnsi="宋体" w:eastAsia="宋体"/>
      <w:kern w:val="2"/>
      <w:sz w:val="21"/>
      <w:szCs w:val="24"/>
      <w:lang w:val="en-US" w:eastAsia="zh-CN" w:bidi="ar-SA"/>
    </w:rPr>
  </w:style>
  <w:style w:type="character" w:customStyle="1" w:styleId="903">
    <w:name w:val="Para head"/>
    <w:autoRedefine/>
    <w:qFormat/>
    <w:uiPriority w:val="0"/>
    <w:rPr>
      <w:rFonts w:hint="default" w:ascii="Arial" w:hAnsi="Arial" w:eastAsia="Times New Roman" w:cs="Arial"/>
      <w:sz w:val="20"/>
    </w:rPr>
  </w:style>
  <w:style w:type="character" w:customStyle="1" w:styleId="904">
    <w:name w:val="正文文字4 Char Char2"/>
    <w:autoRedefine/>
    <w:qFormat/>
    <w:uiPriority w:val="0"/>
    <w:rPr>
      <w:rFonts w:hint="eastAsia" w:ascii="宋体" w:hAnsi="宋体" w:eastAsia="宋体"/>
      <w:kern w:val="2"/>
      <w:sz w:val="24"/>
      <w:szCs w:val="24"/>
      <w:lang w:val="en-US" w:eastAsia="zh-CN" w:bidi="ar-SA"/>
    </w:rPr>
  </w:style>
  <w:style w:type="character" w:customStyle="1" w:styleId="905">
    <w:name w:val="Char Char7"/>
    <w:autoRedefine/>
    <w:qFormat/>
    <w:uiPriority w:val="0"/>
    <w:rPr>
      <w:rFonts w:hint="default" w:ascii="Arial" w:hAnsi="Arial" w:eastAsia="黑体" w:cs="Arial"/>
      <w:b/>
      <w:bCs/>
      <w:kern w:val="2"/>
      <w:sz w:val="32"/>
      <w:szCs w:val="32"/>
      <w:lang w:val="en-US" w:eastAsia="zh-CN" w:bidi="ar-SA"/>
    </w:rPr>
  </w:style>
  <w:style w:type="character" w:customStyle="1" w:styleId="906">
    <w:name w:val="署名 Char2"/>
    <w:autoRedefine/>
    <w:qFormat/>
    <w:uiPriority w:val="0"/>
    <w:rPr>
      <w:rFonts w:hint="eastAsia" w:ascii="宋体" w:hAnsi="宋体" w:eastAsia="宋体"/>
      <w:snapToGrid w:val="0"/>
      <w:color w:val="000000"/>
      <w:kern w:val="28"/>
      <w:sz w:val="28"/>
      <w:lang w:val="en-US" w:eastAsia="zh-CN" w:bidi="ar-SA"/>
    </w:rPr>
  </w:style>
  <w:style w:type="character" w:customStyle="1" w:styleId="907">
    <w:name w:val="Char Char2"/>
    <w:autoRedefine/>
    <w:qFormat/>
    <w:uiPriority w:val="0"/>
    <w:rPr>
      <w:rFonts w:hint="eastAsia" w:ascii="宋体" w:hAnsi="宋体" w:eastAsia="宋体"/>
      <w:kern w:val="2"/>
      <w:sz w:val="21"/>
      <w:szCs w:val="24"/>
      <w:lang w:val="en-US" w:eastAsia="zh-CN" w:bidi="ar-SA"/>
    </w:rPr>
  </w:style>
  <w:style w:type="character" w:customStyle="1" w:styleId="908">
    <w:name w:val="Char Char1"/>
    <w:autoRedefine/>
    <w:qFormat/>
    <w:uiPriority w:val="0"/>
    <w:rPr>
      <w:rFonts w:hint="eastAsia" w:ascii="宋体" w:hAnsi="Courier New" w:eastAsia="宋体" w:cs="Courier New"/>
      <w:kern w:val="2"/>
      <w:sz w:val="21"/>
      <w:szCs w:val="21"/>
      <w:lang w:val="en-US" w:eastAsia="zh-CN" w:bidi="ar-SA"/>
    </w:rPr>
  </w:style>
  <w:style w:type="character" w:customStyle="1" w:styleId="909">
    <w:name w:val="正文文字4 Char Char"/>
    <w:autoRedefine/>
    <w:qFormat/>
    <w:uiPriority w:val="0"/>
    <w:rPr>
      <w:rFonts w:hint="eastAsia" w:ascii="宋体" w:hAnsi="宋体" w:eastAsia="宋体"/>
      <w:kern w:val="2"/>
      <w:sz w:val="21"/>
      <w:szCs w:val="24"/>
      <w:lang w:val="en-US" w:eastAsia="zh-CN" w:bidi="ar-SA"/>
    </w:rPr>
  </w:style>
  <w:style w:type="character" w:customStyle="1" w:styleId="910">
    <w:name w:val="个人撰写风格"/>
    <w:autoRedefine/>
    <w:qFormat/>
    <w:uiPriority w:val="0"/>
    <w:rPr>
      <w:rFonts w:hint="default" w:ascii="Arial" w:hAnsi="Arial" w:eastAsia="宋体" w:cs="Arial"/>
      <w:color w:val="auto"/>
      <w:sz w:val="20"/>
    </w:rPr>
  </w:style>
  <w:style w:type="character" w:customStyle="1" w:styleId="911">
    <w:name w:val="Header Char"/>
    <w:autoRedefine/>
    <w:qFormat/>
    <w:locked/>
    <w:uiPriority w:val="0"/>
    <w:rPr>
      <w:rFonts w:hint="eastAsia" w:ascii="宋体" w:hAnsi="宋体" w:eastAsia="宋体"/>
      <w:kern w:val="2"/>
      <w:sz w:val="18"/>
      <w:szCs w:val="18"/>
      <w:lang w:val="en-US" w:eastAsia="zh-CN" w:bidi="ar-SA"/>
    </w:rPr>
  </w:style>
  <w:style w:type="character" w:customStyle="1" w:styleId="912">
    <w:name w:val="locality"/>
    <w:autoRedefine/>
    <w:qFormat/>
    <w:uiPriority w:val="0"/>
  </w:style>
  <w:style w:type="character" w:customStyle="1" w:styleId="913">
    <w:name w:val="text"/>
    <w:autoRedefine/>
    <w:qFormat/>
    <w:uiPriority w:val="0"/>
  </w:style>
  <w:style w:type="character" w:customStyle="1" w:styleId="914">
    <w:name w:val="Char Char9"/>
    <w:autoRedefine/>
    <w:qFormat/>
    <w:uiPriority w:val="0"/>
    <w:rPr>
      <w:rFonts w:hint="eastAsia" w:ascii="宋体" w:hAnsi="宋体" w:eastAsia="宋体"/>
      <w:color w:val="000000"/>
      <w:kern w:val="2"/>
      <w:sz w:val="24"/>
      <w:lang w:val="en-US" w:eastAsia="zh-CN" w:bidi="ar-SA"/>
    </w:rPr>
  </w:style>
  <w:style w:type="character" w:customStyle="1" w:styleId="915">
    <w:name w:val="正文文本缩进 2 Char1"/>
    <w:autoRedefine/>
    <w:qFormat/>
    <w:uiPriority w:val="0"/>
    <w:rPr>
      <w:rFonts w:hint="eastAsia" w:ascii="宋体" w:hAnsi="宋体" w:eastAsia="宋体"/>
      <w:szCs w:val="24"/>
    </w:rPr>
  </w:style>
  <w:style w:type="character" w:customStyle="1" w:styleId="916">
    <w:name w:val="标题 Char3"/>
    <w:autoRedefine/>
    <w:qFormat/>
    <w:uiPriority w:val="0"/>
    <w:rPr>
      <w:rFonts w:hint="default" w:ascii="Cambria" w:hAnsi="Cambria" w:eastAsia="宋体" w:cs="Times New Roman"/>
      <w:b/>
      <w:bCs/>
      <w:sz w:val="32"/>
      <w:szCs w:val="32"/>
    </w:rPr>
  </w:style>
  <w:style w:type="character" w:customStyle="1" w:styleId="917">
    <w:name w:val="bookmark-item"/>
    <w:autoRedefine/>
    <w:qFormat/>
    <w:uiPriority w:val="0"/>
  </w:style>
  <w:style w:type="character" w:customStyle="1" w:styleId="918">
    <w:name w:val="正文首行缩进 Char1"/>
    <w:autoRedefine/>
    <w:qFormat/>
    <w:uiPriority w:val="0"/>
    <w:rPr>
      <w:rFonts w:hint="eastAsia" w:ascii="宋体" w:hAnsi="宋体" w:eastAsia="宋体"/>
      <w:szCs w:val="24"/>
    </w:rPr>
  </w:style>
  <w:style w:type="character" w:customStyle="1" w:styleId="919">
    <w:name w:val="样式 正文缩进正文（首行缩进两字）特点ALT+Z表正文正文非缩进四号段1Normal Indent Char2... Char"/>
    <w:autoRedefine/>
    <w:qFormat/>
    <w:uiPriority w:val="0"/>
    <w:rPr>
      <w:rFonts w:hint="default" w:ascii="Arial" w:hAnsi="Arial" w:eastAsia="宋体" w:cs="Arial"/>
      <w:b/>
      <w:kern w:val="2"/>
      <w:sz w:val="24"/>
      <w:szCs w:val="32"/>
      <w:lang w:val="en-US" w:eastAsia="zh-CN" w:bidi="ar-SA"/>
    </w:rPr>
  </w:style>
  <w:style w:type="character" w:customStyle="1" w:styleId="920">
    <w:name w:val="2nd level Char"/>
    <w:autoRedefine/>
    <w:qFormat/>
    <w:uiPriority w:val="0"/>
    <w:rPr>
      <w:rFonts w:hint="default" w:ascii="Arial" w:hAnsi="Arial" w:eastAsia="宋体" w:cs="Arial"/>
      <w:b/>
      <w:bCs/>
      <w:kern w:val="2"/>
      <w:sz w:val="24"/>
      <w:szCs w:val="32"/>
      <w:lang w:val="en-US" w:eastAsia="zh-CN" w:bidi="ar-SA"/>
    </w:rPr>
  </w:style>
  <w:style w:type="character" w:customStyle="1" w:styleId="921">
    <w:name w:val="明显引用 Char2"/>
    <w:autoRedefine/>
    <w:qFormat/>
    <w:uiPriority w:val="0"/>
    <w:rPr>
      <w:rFonts w:hint="default" w:ascii="Times New Roman" w:hAnsi="Times New Roman" w:eastAsia="宋体" w:cs="Times New Roman"/>
      <w:b/>
      <w:bCs/>
      <w:i/>
      <w:iCs/>
      <w:color w:val="4F81BD"/>
      <w:szCs w:val="24"/>
    </w:rPr>
  </w:style>
  <w:style w:type="character" w:customStyle="1" w:styleId="922">
    <w:name w:val="页眉 Char2"/>
    <w:autoRedefine/>
    <w:qFormat/>
    <w:uiPriority w:val="0"/>
    <w:rPr>
      <w:rFonts w:hint="eastAsia" w:ascii="宋体" w:hAnsi="宋体" w:eastAsia="宋体"/>
      <w:kern w:val="2"/>
      <w:sz w:val="18"/>
      <w:szCs w:val="18"/>
      <w:lang w:val="en-US" w:eastAsia="zh-CN" w:bidi="ar-SA"/>
    </w:rPr>
  </w:style>
  <w:style w:type="character" w:customStyle="1" w:styleId="923">
    <w:name w:val="Date Char"/>
    <w:autoRedefine/>
    <w:qFormat/>
    <w:locked/>
    <w:uiPriority w:val="0"/>
    <w:rPr>
      <w:rFonts w:hint="eastAsia" w:ascii="宋体" w:hAnsi="宋体" w:eastAsia="宋体"/>
      <w:kern w:val="2"/>
      <w:sz w:val="24"/>
      <w:lang w:val="en-US" w:eastAsia="zh-CN" w:bidi="ar-SA"/>
    </w:rPr>
  </w:style>
  <w:style w:type="character" w:customStyle="1" w:styleId="924">
    <w:name w:val="Char Char121"/>
    <w:autoRedefine/>
    <w:qFormat/>
    <w:uiPriority w:val="0"/>
    <w:rPr>
      <w:rFonts w:hint="default" w:ascii="Arial" w:hAnsi="Arial" w:eastAsia="宋体" w:cs="Arial"/>
      <w:b/>
      <w:sz w:val="32"/>
      <w:lang w:val="en-US" w:eastAsia="zh-CN" w:bidi="ar-SA"/>
    </w:rPr>
  </w:style>
  <w:style w:type="character" w:customStyle="1" w:styleId="925">
    <w:name w:val="Heading 5 Char"/>
    <w:autoRedefine/>
    <w:qFormat/>
    <w:locked/>
    <w:uiPriority w:val="0"/>
    <w:rPr>
      <w:rFonts w:hint="eastAsia" w:ascii="宋体" w:hAnsi="宋体" w:eastAsia="宋体"/>
      <w:b/>
      <w:bCs/>
      <w:kern w:val="2"/>
      <w:sz w:val="28"/>
      <w:szCs w:val="28"/>
      <w:lang w:val="en-US" w:eastAsia="zh-CN" w:bidi="ar-SA"/>
    </w:rPr>
  </w:style>
  <w:style w:type="character" w:customStyle="1" w:styleId="926">
    <w:name w:val="Char Char Char Char Char Char Char Char Char"/>
    <w:autoRedefine/>
    <w:qFormat/>
    <w:uiPriority w:val="0"/>
    <w:rPr>
      <w:rFonts w:hint="eastAsia" w:ascii="宋体" w:hAnsi="宋体" w:eastAsia="宋体"/>
      <w:kern w:val="2"/>
      <w:sz w:val="21"/>
      <w:szCs w:val="24"/>
      <w:lang w:val="en-US" w:eastAsia="zh-CN" w:bidi="ar-SA"/>
    </w:rPr>
  </w:style>
  <w:style w:type="character" w:customStyle="1" w:styleId="927">
    <w:name w:val="日期 Char"/>
    <w:autoRedefine/>
    <w:qFormat/>
    <w:uiPriority w:val="0"/>
    <w:rPr>
      <w:rFonts w:hint="eastAsia" w:ascii="宋体" w:hAnsi="宋体" w:eastAsia="宋体"/>
      <w:sz w:val="28"/>
      <w:lang w:bidi="ar-SA"/>
    </w:rPr>
  </w:style>
  <w:style w:type="character" w:customStyle="1" w:styleId="928">
    <w:name w:val="正文文本 Char"/>
    <w:autoRedefine/>
    <w:qFormat/>
    <w:uiPriority w:val="0"/>
    <w:rPr>
      <w:lang w:bidi="ar-SA"/>
    </w:rPr>
  </w:style>
  <w:style w:type="character" w:customStyle="1" w:styleId="929">
    <w:name w:val="标题 6 Char"/>
    <w:autoRedefine/>
    <w:qFormat/>
    <w:uiPriority w:val="0"/>
    <w:rPr>
      <w:rFonts w:hint="default" w:ascii="Cambria" w:hAnsi="Cambria" w:eastAsia="宋体"/>
      <w:b/>
      <w:bCs/>
      <w:kern w:val="2"/>
      <w:sz w:val="24"/>
      <w:szCs w:val="24"/>
      <w:lang w:val="en-US" w:eastAsia="zh-CN" w:bidi="ar-SA"/>
    </w:rPr>
  </w:style>
  <w:style w:type="character" w:customStyle="1" w:styleId="930">
    <w:name w:val="页脚 Char"/>
    <w:autoRedefine/>
    <w:qFormat/>
    <w:uiPriority w:val="99"/>
    <w:rPr>
      <w:kern w:val="2"/>
      <w:sz w:val="18"/>
      <w:szCs w:val="18"/>
      <w:lang w:bidi="ar-SA"/>
    </w:rPr>
  </w:style>
  <w:style w:type="character" w:customStyle="1" w:styleId="931">
    <w:name w:val="批注框文本 Char"/>
    <w:autoRedefine/>
    <w:qFormat/>
    <w:uiPriority w:val="0"/>
    <w:rPr>
      <w:rFonts w:hint="eastAsia" w:ascii="宋体" w:hAnsi="宋体" w:eastAsia="宋体"/>
      <w:sz w:val="18"/>
      <w:szCs w:val="18"/>
      <w:lang w:bidi="ar-SA"/>
    </w:rPr>
  </w:style>
  <w:style w:type="character" w:customStyle="1" w:styleId="932">
    <w:name w:val="标题 3 Char"/>
    <w:autoRedefine/>
    <w:qFormat/>
    <w:uiPriority w:val="0"/>
    <w:rPr>
      <w:rFonts w:hint="default" w:ascii="Calibri" w:hAnsi="Calibri" w:eastAsia="宋体" w:cs="Calibri"/>
      <w:b/>
      <w:bCs/>
      <w:kern w:val="2"/>
      <w:sz w:val="32"/>
      <w:szCs w:val="32"/>
      <w:lang w:val="en-US" w:eastAsia="zh-CN" w:bidi="ar-SA"/>
    </w:rPr>
  </w:style>
  <w:style w:type="character" w:customStyle="1" w:styleId="933">
    <w:name w:val="日期 Char3"/>
    <w:autoRedefine/>
    <w:qFormat/>
    <w:uiPriority w:val="0"/>
    <w:rPr>
      <w:rFonts w:hint="eastAsia" w:ascii="仿宋_GB2312" w:eastAsia="仿宋_GB2312"/>
      <w:kern w:val="2"/>
      <w:sz w:val="28"/>
      <w:lang w:val="en-US" w:eastAsia="zh-CN" w:bidi="ar-SA"/>
    </w:rPr>
  </w:style>
  <w:style w:type="character" w:customStyle="1" w:styleId="934">
    <w:name w:val="批注主题 Char3"/>
    <w:autoRedefine/>
    <w:qFormat/>
    <w:uiPriority w:val="0"/>
    <w:rPr>
      <w:rFonts w:hint="eastAsia" w:ascii="宋体" w:hAnsi="宋体" w:eastAsia="宋体"/>
      <w:b/>
      <w:bCs/>
      <w:kern w:val="2"/>
      <w:sz w:val="21"/>
      <w:szCs w:val="24"/>
      <w:lang w:val="en-US" w:eastAsia="zh-CN" w:bidi="ar-SA"/>
    </w:rPr>
  </w:style>
  <w:style w:type="character" w:customStyle="1" w:styleId="935">
    <w:name w:val="chs1"/>
    <w:autoRedefine/>
    <w:qFormat/>
    <w:uiPriority w:val="0"/>
    <w:rPr>
      <w:rFonts w:hint="default"/>
      <w:sz w:val="18"/>
      <w:szCs w:val="18"/>
    </w:rPr>
  </w:style>
  <w:style w:type="character" w:customStyle="1" w:styleId="936">
    <w:name w:val="个人答复风格"/>
    <w:autoRedefine/>
    <w:qFormat/>
    <w:uiPriority w:val="0"/>
    <w:rPr>
      <w:rFonts w:hint="default" w:ascii="Arial" w:hAnsi="Arial" w:eastAsia="宋体" w:cs="Arial"/>
      <w:color w:val="auto"/>
      <w:sz w:val="20"/>
    </w:rPr>
  </w:style>
  <w:style w:type="character" w:customStyle="1" w:styleId="937">
    <w:name w:val="htd01"/>
    <w:autoRedefine/>
    <w:qFormat/>
    <w:uiPriority w:val="0"/>
  </w:style>
  <w:style w:type="character" w:customStyle="1" w:styleId="938">
    <w:name w:val="标题 Char"/>
    <w:autoRedefine/>
    <w:qFormat/>
    <w:uiPriority w:val="0"/>
    <w:rPr>
      <w:rFonts w:hint="default" w:ascii="Cambria" w:hAnsi="Cambria"/>
      <w:b/>
      <w:bCs/>
      <w:kern w:val="2"/>
      <w:sz w:val="32"/>
      <w:szCs w:val="32"/>
      <w:lang w:bidi="ar-SA"/>
    </w:rPr>
  </w:style>
  <w:style w:type="character" w:customStyle="1" w:styleId="939">
    <w:name w:val="标题 2 Char"/>
    <w:autoRedefine/>
    <w:qFormat/>
    <w:uiPriority w:val="0"/>
    <w:rPr>
      <w:rFonts w:hint="default" w:ascii="Cambria" w:hAnsi="Cambria" w:eastAsia="宋体"/>
      <w:b/>
      <w:bCs/>
      <w:kern w:val="2"/>
      <w:sz w:val="32"/>
      <w:szCs w:val="32"/>
      <w:lang w:val="en-US" w:eastAsia="zh-CN" w:bidi="ar-SA"/>
    </w:rPr>
  </w:style>
  <w:style w:type="character" w:customStyle="1" w:styleId="940">
    <w:name w:val="标题 1 Char"/>
    <w:autoRedefine/>
    <w:qFormat/>
    <w:uiPriority w:val="9"/>
    <w:rPr>
      <w:rFonts w:hint="default" w:ascii="Calibri" w:hAnsi="Calibri" w:eastAsia="宋体" w:cs="Calibri"/>
      <w:b/>
      <w:bCs/>
      <w:kern w:val="44"/>
      <w:sz w:val="44"/>
      <w:szCs w:val="44"/>
      <w:lang w:val="en-US" w:eastAsia="zh-CN" w:bidi="ar-SA"/>
    </w:rPr>
  </w:style>
  <w:style w:type="character" w:customStyle="1" w:styleId="941">
    <w:name w:val="页眉 Char"/>
    <w:autoRedefine/>
    <w:qFormat/>
    <w:uiPriority w:val="99"/>
    <w:rPr>
      <w:kern w:val="2"/>
      <w:sz w:val="18"/>
      <w:szCs w:val="18"/>
      <w:lang w:bidi="ar-SA"/>
    </w:rPr>
  </w:style>
  <w:style w:type="character" w:customStyle="1" w:styleId="942">
    <w:name w:val="批注文字 Char"/>
    <w:autoRedefine/>
    <w:qFormat/>
    <w:uiPriority w:val="0"/>
    <w:rPr>
      <w:rFonts w:hint="default" w:ascii="Calibri" w:hAnsi="Calibri" w:eastAsia="宋体" w:cs="Calibri"/>
      <w:kern w:val="2"/>
      <w:sz w:val="21"/>
      <w:szCs w:val="22"/>
      <w:lang w:val="en-US" w:eastAsia="zh-CN" w:bidi="ar-SA"/>
    </w:rPr>
  </w:style>
  <w:style w:type="character" w:customStyle="1" w:styleId="943">
    <w:name w:val="标题 4 Char"/>
    <w:autoRedefine/>
    <w:qFormat/>
    <w:uiPriority w:val="0"/>
    <w:rPr>
      <w:rFonts w:hint="default" w:ascii="Cambria" w:hAnsi="Cambria" w:eastAsia="宋体"/>
      <w:b/>
      <w:bCs/>
      <w:kern w:val="2"/>
      <w:sz w:val="28"/>
      <w:szCs w:val="28"/>
      <w:lang w:val="en-US" w:eastAsia="zh-CN" w:bidi="ar-SA"/>
    </w:rPr>
  </w:style>
  <w:style w:type="character" w:customStyle="1" w:styleId="944">
    <w:name w:val="标题 5 Char"/>
    <w:autoRedefine/>
    <w:qFormat/>
    <w:uiPriority w:val="0"/>
    <w:rPr>
      <w:rFonts w:hint="default" w:ascii="Calibri" w:hAnsi="Calibri" w:eastAsia="宋体" w:cs="Calibri"/>
      <w:b/>
      <w:bCs/>
      <w:kern w:val="2"/>
      <w:sz w:val="28"/>
      <w:szCs w:val="28"/>
      <w:lang w:val="en-US" w:eastAsia="zh-CN" w:bidi="ar-SA"/>
    </w:rPr>
  </w:style>
  <w:style w:type="character" w:customStyle="1" w:styleId="945">
    <w:name w:val="op-map-singlepoint-info-right"/>
    <w:autoRedefine/>
    <w:qFormat/>
    <w:uiPriority w:val="0"/>
  </w:style>
  <w:style w:type="character" w:customStyle="1" w:styleId="946">
    <w:name w:val="by jerry Char2"/>
    <w:autoRedefine/>
    <w:qFormat/>
    <w:uiPriority w:val="0"/>
    <w:rPr>
      <w:b/>
      <w:bCs/>
      <w:kern w:val="44"/>
      <w:sz w:val="44"/>
      <w:szCs w:val="44"/>
    </w:rPr>
  </w:style>
  <w:style w:type="character" w:customStyle="1" w:styleId="947">
    <w:name w:val="标题 9 Char"/>
    <w:autoRedefine/>
    <w:qFormat/>
    <w:uiPriority w:val="0"/>
    <w:rPr>
      <w:rFonts w:hint="default" w:ascii="Cambria" w:hAnsi="Cambria" w:eastAsia="宋体"/>
      <w:kern w:val="2"/>
      <w:sz w:val="21"/>
      <w:szCs w:val="21"/>
      <w:lang w:val="en-US" w:eastAsia="zh-CN" w:bidi="ar-SA"/>
    </w:rPr>
  </w:style>
  <w:style w:type="character" w:customStyle="1" w:styleId="948">
    <w:name w:val="H4 Char"/>
    <w:autoRedefine/>
    <w:qFormat/>
    <w:locked/>
    <w:uiPriority w:val="0"/>
    <w:rPr>
      <w:rFonts w:hint="default" w:ascii="Arial" w:hAnsi="Arial" w:eastAsia="黑体" w:cs="Arial"/>
      <w:b/>
      <w:bCs/>
      <w:kern w:val="2"/>
      <w:sz w:val="28"/>
      <w:szCs w:val="28"/>
      <w:lang w:val="zh-CN"/>
    </w:rPr>
  </w:style>
  <w:style w:type="character" w:customStyle="1" w:styleId="949">
    <w:name w:val="style13"/>
    <w:autoRedefine/>
    <w:qFormat/>
    <w:uiPriority w:val="0"/>
  </w:style>
  <w:style w:type="character" w:customStyle="1" w:styleId="950">
    <w:name w:val="Char Char8"/>
    <w:autoRedefine/>
    <w:qFormat/>
    <w:uiPriority w:val="0"/>
    <w:rPr>
      <w:rFonts w:hint="default" w:ascii="Arial" w:hAnsi="Arial" w:eastAsia="黑体" w:cs="Arial"/>
      <w:b/>
      <w:bCs/>
      <w:kern w:val="2"/>
      <w:sz w:val="32"/>
      <w:szCs w:val="32"/>
      <w:lang w:val="en-US" w:eastAsia="zh-CN" w:bidi="ar-SA"/>
    </w:rPr>
  </w:style>
  <w:style w:type="character" w:customStyle="1" w:styleId="951">
    <w:name w:val="普通文字 Char Char3"/>
    <w:autoRedefine/>
    <w:qFormat/>
    <w:uiPriority w:val="0"/>
    <w:rPr>
      <w:rFonts w:hint="eastAsia" w:ascii="宋体" w:hAnsi="Courier New" w:eastAsia="宋体"/>
      <w:kern w:val="2"/>
      <w:sz w:val="21"/>
      <w:lang w:val="en-US" w:eastAsia="zh-CN" w:bidi="ar-SA"/>
    </w:rPr>
  </w:style>
  <w:style w:type="character" w:customStyle="1" w:styleId="952">
    <w:name w:val="Heading 9 Char"/>
    <w:autoRedefine/>
    <w:qFormat/>
    <w:locked/>
    <w:uiPriority w:val="0"/>
    <w:rPr>
      <w:rFonts w:hint="default" w:ascii="Arial" w:hAnsi="Arial" w:eastAsia="黑体" w:cs="Arial"/>
      <w:sz w:val="21"/>
      <w:szCs w:val="21"/>
      <w:lang w:val="en-US" w:eastAsia="zh-CN" w:bidi="ar-SA"/>
    </w:rPr>
  </w:style>
  <w:style w:type="character" w:customStyle="1" w:styleId="953">
    <w:name w:val="Footer Char"/>
    <w:autoRedefine/>
    <w:qFormat/>
    <w:locked/>
    <w:uiPriority w:val="0"/>
    <w:rPr>
      <w:rFonts w:hint="eastAsia" w:ascii="宋体" w:hAnsi="宋体" w:eastAsia="宋体"/>
      <w:kern w:val="2"/>
      <w:sz w:val="18"/>
      <w:szCs w:val="18"/>
      <w:lang w:val="en-US" w:eastAsia="zh-CN" w:bidi="ar-SA"/>
    </w:rPr>
  </w:style>
  <w:style w:type="character" w:customStyle="1" w:styleId="954">
    <w:name w:val="标题 Char2"/>
    <w:autoRedefine/>
    <w:qFormat/>
    <w:uiPriority w:val="0"/>
    <w:rPr>
      <w:rFonts w:hint="default" w:ascii="Arial" w:hAnsi="Arial" w:eastAsia="宋体" w:cs="Arial"/>
      <w:b/>
      <w:sz w:val="32"/>
      <w:lang w:val="en-US" w:eastAsia="zh-CN" w:bidi="ar-SA"/>
    </w:rPr>
  </w:style>
  <w:style w:type="character" w:customStyle="1" w:styleId="955">
    <w:name w:val="引用 Char"/>
    <w:autoRedefine/>
    <w:qFormat/>
    <w:uiPriority w:val="0"/>
    <w:rPr>
      <w:i/>
      <w:iCs/>
      <w:color w:val="000000"/>
      <w:kern w:val="2"/>
      <w:sz w:val="21"/>
      <w:szCs w:val="22"/>
      <w:lang w:bidi="ar-SA"/>
    </w:rPr>
  </w:style>
  <w:style w:type="character" w:customStyle="1" w:styleId="956">
    <w:name w:val="批注主题 Char"/>
    <w:autoRedefine/>
    <w:qFormat/>
    <w:uiPriority w:val="0"/>
    <w:rPr>
      <w:rFonts w:hint="eastAsia" w:ascii="宋体" w:hAnsi="宋体" w:eastAsia="宋体"/>
      <w:b/>
      <w:bCs/>
      <w:sz w:val="28"/>
      <w:lang w:bidi="ar-SA"/>
    </w:rPr>
  </w:style>
  <w:style w:type="character" w:customStyle="1" w:styleId="957">
    <w:name w:val="street-address"/>
    <w:autoRedefine/>
    <w:qFormat/>
    <w:uiPriority w:val="0"/>
  </w:style>
  <w:style w:type="character" w:customStyle="1" w:styleId="958">
    <w:name w:val="by jerry Char3"/>
    <w:autoRedefine/>
    <w:qFormat/>
    <w:uiPriority w:val="0"/>
    <w:rPr>
      <w:b/>
      <w:bCs/>
      <w:kern w:val="44"/>
      <w:sz w:val="44"/>
      <w:szCs w:val="44"/>
    </w:rPr>
  </w:style>
  <w:style w:type="character" w:customStyle="1" w:styleId="959">
    <w:name w:val="Document Map Char"/>
    <w:autoRedefine/>
    <w:qFormat/>
    <w:locked/>
    <w:uiPriority w:val="0"/>
    <w:rPr>
      <w:rFonts w:hint="eastAsia" w:ascii="宋体" w:hAnsi="宋体" w:eastAsia="宋体"/>
      <w:kern w:val="2"/>
      <w:sz w:val="21"/>
      <w:szCs w:val="24"/>
      <w:lang w:val="en-US" w:eastAsia="zh-CN" w:bidi="ar-SA"/>
    </w:rPr>
  </w:style>
  <w:style w:type="character" w:customStyle="1" w:styleId="960">
    <w:name w:val="Char Char12"/>
    <w:autoRedefine/>
    <w:qFormat/>
    <w:uiPriority w:val="0"/>
    <w:rPr>
      <w:rFonts w:hint="default" w:ascii="Courier New" w:hAnsi="Courier New" w:eastAsia="宋体" w:cs="Courier New"/>
      <w:kern w:val="2"/>
      <w:sz w:val="21"/>
      <w:lang w:val="en-US" w:eastAsia="zh-CN" w:bidi="ar-SA"/>
    </w:rPr>
  </w:style>
  <w:style w:type="character" w:customStyle="1" w:styleId="961">
    <w:name w:val="Heading 7 Char"/>
    <w:autoRedefine/>
    <w:qFormat/>
    <w:locked/>
    <w:uiPriority w:val="0"/>
    <w:rPr>
      <w:rFonts w:hint="eastAsia" w:ascii="宋体" w:hAnsi="宋体" w:eastAsia="宋体"/>
      <w:b/>
      <w:bCs/>
      <w:sz w:val="24"/>
      <w:szCs w:val="24"/>
      <w:lang w:val="en-US" w:eastAsia="zh-CN" w:bidi="ar-SA"/>
    </w:rPr>
  </w:style>
  <w:style w:type="character" w:customStyle="1" w:styleId="962">
    <w:name w:val="批注文字 Char2"/>
    <w:autoRedefine/>
    <w:qFormat/>
    <w:uiPriority w:val="0"/>
    <w:rPr>
      <w:rFonts w:hint="eastAsia" w:ascii="宋体" w:hAnsi="宋体" w:eastAsia="宋体"/>
      <w:kern w:val="2"/>
      <w:sz w:val="21"/>
      <w:szCs w:val="24"/>
      <w:lang w:val="en-US" w:eastAsia="zh-CN" w:bidi="ar-SA"/>
    </w:rPr>
  </w:style>
  <w:style w:type="character" w:customStyle="1" w:styleId="963">
    <w:name w:val="正文文本缩进 Char1"/>
    <w:autoRedefine/>
    <w:qFormat/>
    <w:uiPriority w:val="0"/>
    <w:rPr>
      <w:rFonts w:hint="eastAsia" w:ascii="宋体" w:hAnsi="Courier New" w:eastAsia="宋体" w:cs="Times New Roman"/>
      <w:spacing w:val="-4"/>
      <w:sz w:val="18"/>
      <w:szCs w:val="20"/>
    </w:rPr>
  </w:style>
  <w:style w:type="character" w:customStyle="1" w:styleId="964">
    <w:name w:val="font121"/>
    <w:autoRedefine/>
    <w:qFormat/>
    <w:uiPriority w:val="0"/>
    <w:rPr>
      <w:rFonts w:hint="default" w:ascii="Times New Roman" w:hAnsi="Times New Roman" w:cs="Times New Roman"/>
      <w:color w:val="000000"/>
      <w:sz w:val="24"/>
      <w:szCs w:val="24"/>
      <w:u w:val="none"/>
    </w:rPr>
  </w:style>
  <w:style w:type="character" w:customStyle="1" w:styleId="965">
    <w:name w:val="Default Char"/>
    <w:autoRedefine/>
    <w:qFormat/>
    <w:uiPriority w:val="0"/>
    <w:rPr>
      <w:rFonts w:hint="eastAsia" w:ascii="宋体" w:hAnsi="宋体" w:eastAsia="宋体"/>
      <w:color w:val="000000"/>
      <w:sz w:val="24"/>
      <w:szCs w:val="24"/>
      <w:lang w:val="en-US" w:eastAsia="zh-CN" w:bidi="ar-SA"/>
    </w:rPr>
  </w:style>
  <w:style w:type="character" w:customStyle="1" w:styleId="966">
    <w:name w:val="Char Char3"/>
    <w:autoRedefine/>
    <w:qFormat/>
    <w:uiPriority w:val="0"/>
    <w:rPr>
      <w:rFonts w:hint="eastAsia" w:ascii="宋体" w:hAnsi="宋体" w:eastAsia="宋体"/>
      <w:kern w:val="2"/>
      <w:sz w:val="18"/>
      <w:szCs w:val="18"/>
      <w:lang w:val="en-US" w:eastAsia="zh-CN" w:bidi="ar-SA"/>
    </w:rPr>
  </w:style>
  <w:style w:type="character" w:customStyle="1" w:styleId="967">
    <w:name w:val="Char Char5"/>
    <w:autoRedefine/>
    <w:qFormat/>
    <w:uiPriority w:val="0"/>
    <w:rPr>
      <w:rFonts w:hint="eastAsia" w:ascii="宋体" w:hAnsi="宋体" w:eastAsia="宋体"/>
      <w:sz w:val="28"/>
      <w:szCs w:val="28"/>
      <w:lang w:bidi="ar-SA"/>
    </w:rPr>
  </w:style>
  <w:style w:type="character" w:customStyle="1" w:styleId="968">
    <w:name w:val="内文正文 Char Char"/>
    <w:autoRedefine/>
    <w:qFormat/>
    <w:uiPriority w:val="0"/>
    <w:rPr>
      <w:rFonts w:hint="eastAsia" w:ascii="宋体" w:hAnsi="???|CS?o｡ﾀ?" w:eastAsia="宋体"/>
      <w:sz w:val="21"/>
      <w:szCs w:val="28"/>
      <w:lang w:val="en-US" w:eastAsia="zh-CN" w:bidi="ar-SA"/>
    </w:rPr>
  </w:style>
  <w:style w:type="character" w:customStyle="1" w:styleId="969">
    <w:name w:val="Char Char18"/>
    <w:autoRedefine/>
    <w:qFormat/>
    <w:uiPriority w:val="0"/>
    <w:rPr>
      <w:rFonts w:hint="default" w:ascii="Calibri" w:hAnsi="Calibri" w:cs="Calibri"/>
      <w:b/>
      <w:bCs/>
      <w:kern w:val="2"/>
      <w:sz w:val="28"/>
      <w:szCs w:val="28"/>
    </w:rPr>
  </w:style>
  <w:style w:type="character" w:customStyle="1" w:styleId="970">
    <w:name w:val="_Style 196"/>
    <w:autoRedefine/>
    <w:qFormat/>
    <w:uiPriority w:val="0"/>
    <w:rPr>
      <w:b/>
      <w:bCs/>
      <w:smallCaps/>
      <w:color w:val="C0504D"/>
      <w:spacing w:val="5"/>
      <w:u w:val="single"/>
    </w:rPr>
  </w:style>
  <w:style w:type="character" w:customStyle="1" w:styleId="971">
    <w:name w:val="Char Char10"/>
    <w:autoRedefine/>
    <w:qFormat/>
    <w:uiPriority w:val="0"/>
    <w:rPr>
      <w:rFonts w:hint="default" w:ascii="Arial" w:hAnsi="Arial" w:eastAsia="黑体" w:cs="Arial"/>
      <w:b/>
      <w:bCs/>
      <w:kern w:val="2"/>
      <w:sz w:val="28"/>
      <w:szCs w:val="28"/>
    </w:rPr>
  </w:style>
  <w:style w:type="character" w:customStyle="1" w:styleId="972">
    <w:name w:val="_Style 201"/>
    <w:autoRedefine/>
    <w:qFormat/>
    <w:uiPriority w:val="0"/>
    <w:rPr>
      <w:b/>
      <w:bCs/>
      <w:smallCaps/>
      <w:spacing w:val="5"/>
    </w:rPr>
  </w:style>
  <w:style w:type="character" w:customStyle="1" w:styleId="973">
    <w:name w:val="unnamed51"/>
    <w:autoRedefine/>
    <w:qFormat/>
    <w:uiPriority w:val="0"/>
    <w:rPr>
      <w:sz w:val="22"/>
      <w:szCs w:val="22"/>
    </w:rPr>
  </w:style>
  <w:style w:type="character" w:customStyle="1" w:styleId="974">
    <w:name w:val="Char Char101"/>
    <w:autoRedefine/>
    <w:qFormat/>
    <w:uiPriority w:val="0"/>
    <w:rPr>
      <w:rFonts w:hint="default" w:ascii="Arial" w:hAnsi="Arial" w:eastAsia="黑体" w:cs="Arial"/>
      <w:b/>
      <w:bCs/>
      <w:kern w:val="2"/>
      <w:sz w:val="28"/>
      <w:szCs w:val="28"/>
    </w:rPr>
  </w:style>
  <w:style w:type="character" w:customStyle="1" w:styleId="975">
    <w:name w:val="dz1"/>
    <w:autoRedefine/>
    <w:qFormat/>
    <w:uiPriority w:val="0"/>
  </w:style>
  <w:style w:type="character" w:customStyle="1" w:styleId="976">
    <w:name w:val="font141"/>
    <w:autoRedefine/>
    <w:qFormat/>
    <w:uiPriority w:val="0"/>
    <w:rPr>
      <w:rFonts w:hint="default" w:ascii="Tahoma" w:hAnsi="Tahoma" w:eastAsia="Tahoma" w:cs="Tahoma"/>
      <w:color w:val="000000"/>
      <w:sz w:val="24"/>
      <w:szCs w:val="24"/>
      <w:u w:val="none"/>
    </w:rPr>
  </w:style>
  <w:style w:type="character" w:customStyle="1" w:styleId="977">
    <w:name w:val="font112"/>
    <w:autoRedefine/>
    <w:qFormat/>
    <w:uiPriority w:val="0"/>
    <w:rPr>
      <w:rFonts w:hint="default" w:ascii="Times New Roman" w:hAnsi="Times New Roman" w:cs="Times New Roman"/>
      <w:color w:val="000000"/>
      <w:sz w:val="24"/>
      <w:szCs w:val="24"/>
      <w:u w:val="none"/>
    </w:rPr>
  </w:style>
  <w:style w:type="character" w:customStyle="1" w:styleId="978">
    <w:name w:val="_Style 225"/>
    <w:autoRedefine/>
    <w:qFormat/>
    <w:uiPriority w:val="0"/>
    <w:rPr>
      <w:b/>
      <w:bCs/>
      <w:i/>
      <w:iCs/>
      <w:color w:val="4F81BD"/>
    </w:rPr>
  </w:style>
  <w:style w:type="character" w:customStyle="1" w:styleId="979">
    <w:name w:val="apple-converted-space"/>
    <w:autoRedefine/>
    <w:qFormat/>
    <w:uiPriority w:val="0"/>
  </w:style>
  <w:style w:type="character" w:customStyle="1" w:styleId="980">
    <w:name w:val="Char Char20"/>
    <w:autoRedefine/>
    <w:qFormat/>
    <w:uiPriority w:val="0"/>
    <w:rPr>
      <w:bCs/>
      <w:kern w:val="2"/>
      <w:sz w:val="24"/>
      <w:szCs w:val="21"/>
    </w:rPr>
  </w:style>
  <w:style w:type="character" w:customStyle="1" w:styleId="981">
    <w:name w:val="Char Char81"/>
    <w:autoRedefine/>
    <w:qFormat/>
    <w:uiPriority w:val="0"/>
    <w:rPr>
      <w:rFonts w:hint="eastAsia" w:ascii="宋体" w:hAnsi="宋体" w:eastAsia="宋体"/>
      <w:kern w:val="2"/>
      <w:sz w:val="18"/>
      <w:szCs w:val="18"/>
      <w:lang w:val="en-US" w:eastAsia="zh-CN" w:bidi="ar-SA"/>
    </w:rPr>
  </w:style>
  <w:style w:type="character" w:customStyle="1" w:styleId="982">
    <w:name w:val="font131"/>
    <w:autoRedefine/>
    <w:qFormat/>
    <w:uiPriority w:val="0"/>
    <w:rPr>
      <w:rFonts w:hint="default" w:ascii="Calibri" w:hAnsi="Calibri" w:cs="Calibri"/>
      <w:color w:val="000000"/>
      <w:sz w:val="24"/>
      <w:szCs w:val="24"/>
      <w:u w:val="none"/>
    </w:rPr>
  </w:style>
  <w:style w:type="character" w:customStyle="1" w:styleId="983">
    <w:name w:val="font01"/>
    <w:autoRedefine/>
    <w:qFormat/>
    <w:uiPriority w:val="0"/>
    <w:rPr>
      <w:rFonts w:hint="eastAsia" w:ascii="宋体" w:hAnsi="宋体" w:eastAsia="宋体" w:cs="宋体"/>
      <w:color w:val="000000"/>
      <w:sz w:val="24"/>
      <w:szCs w:val="24"/>
      <w:u w:val="none"/>
    </w:rPr>
  </w:style>
  <w:style w:type="character" w:customStyle="1" w:styleId="984">
    <w:name w:val="EmailStyle161"/>
    <w:autoRedefine/>
    <w:qFormat/>
    <w:uiPriority w:val="0"/>
    <w:rPr>
      <w:rFonts w:hint="default" w:ascii="Arial" w:hAnsi="Arial" w:eastAsia="宋体" w:cs="Arial"/>
      <w:color w:val="auto"/>
      <w:sz w:val="20"/>
    </w:rPr>
  </w:style>
  <w:style w:type="character" w:customStyle="1" w:styleId="985">
    <w:name w:val="样式1 Char Char Char"/>
    <w:autoRedefine/>
    <w:qFormat/>
    <w:uiPriority w:val="0"/>
    <w:rPr>
      <w:rFonts w:hint="default" w:ascii="Arial" w:hAnsi="Arial" w:eastAsia="宋体" w:cs="Arial"/>
      <w:kern w:val="2"/>
      <w:sz w:val="21"/>
      <w:szCs w:val="24"/>
      <w:lang w:val="en-US" w:eastAsia="zh-CN" w:bidi="ar-SA"/>
    </w:rPr>
  </w:style>
  <w:style w:type="character" w:customStyle="1" w:styleId="986">
    <w:name w:val="EmailStyle151"/>
    <w:autoRedefine/>
    <w:qFormat/>
    <w:uiPriority w:val="0"/>
    <w:rPr>
      <w:rFonts w:hint="default" w:ascii="Arial" w:hAnsi="Arial" w:eastAsia="宋体" w:cs="Arial"/>
      <w:color w:val="auto"/>
      <w:sz w:val="20"/>
    </w:rPr>
  </w:style>
  <w:style w:type="character" w:customStyle="1" w:styleId="987">
    <w:name w:val="Char Char11"/>
    <w:autoRedefine/>
    <w:qFormat/>
    <w:uiPriority w:val="0"/>
    <w:rPr>
      <w:bCs/>
      <w:kern w:val="2"/>
      <w:sz w:val="24"/>
      <w:szCs w:val="21"/>
    </w:rPr>
  </w:style>
  <w:style w:type="character" w:customStyle="1" w:styleId="988">
    <w:name w:val="Char Char13"/>
    <w:autoRedefine/>
    <w:qFormat/>
    <w:uiPriority w:val="0"/>
    <w:rPr>
      <w:rFonts w:hint="eastAsia" w:ascii="宋体" w:hAnsi="宋体" w:eastAsia="宋体"/>
      <w:kern w:val="2"/>
      <w:sz w:val="18"/>
      <w:szCs w:val="18"/>
    </w:rPr>
  </w:style>
  <w:style w:type="character" w:customStyle="1" w:styleId="989">
    <w:name w:val="_Style 267"/>
    <w:autoRedefine/>
    <w:qFormat/>
    <w:uiPriority w:val="0"/>
    <w:rPr>
      <w:i/>
      <w:iCs/>
      <w:color w:val="808080"/>
    </w:rPr>
  </w:style>
  <w:style w:type="character" w:customStyle="1" w:styleId="990">
    <w:name w:val="Char Char71"/>
    <w:autoRedefine/>
    <w:qFormat/>
    <w:uiPriority w:val="0"/>
    <w:rPr>
      <w:rFonts w:hint="eastAsia" w:ascii="宋体" w:hAnsi="宋体" w:eastAsia="宋体"/>
      <w:sz w:val="24"/>
      <w:szCs w:val="28"/>
      <w:lang w:val="en-US" w:eastAsia="zh-CN" w:bidi="ar-SA"/>
    </w:rPr>
  </w:style>
  <w:style w:type="character" w:customStyle="1" w:styleId="991">
    <w:name w:val="font41"/>
    <w:autoRedefine/>
    <w:qFormat/>
    <w:uiPriority w:val="0"/>
    <w:rPr>
      <w:rFonts w:hint="eastAsia" w:ascii="宋体" w:hAnsi="宋体" w:eastAsia="宋体" w:cs="宋体"/>
      <w:color w:val="000000"/>
      <w:sz w:val="24"/>
      <w:szCs w:val="24"/>
      <w:u w:val="none"/>
    </w:rPr>
  </w:style>
  <w:style w:type="character" w:customStyle="1" w:styleId="992">
    <w:name w:val="Char Char16"/>
    <w:autoRedefine/>
    <w:qFormat/>
    <w:uiPriority w:val="0"/>
    <w:rPr>
      <w:rFonts w:hint="eastAsia" w:ascii="宋体" w:hAnsi="宋体" w:eastAsia="宋体"/>
      <w:b/>
      <w:bCs/>
      <w:kern w:val="2"/>
      <w:sz w:val="28"/>
      <w:szCs w:val="28"/>
      <w:lang w:val="en-US" w:eastAsia="zh-CN" w:bidi="ar-SA"/>
    </w:rPr>
  </w:style>
  <w:style w:type="character" w:customStyle="1" w:styleId="993">
    <w:name w:val="未处理的提及1"/>
    <w:autoRedefine/>
    <w:qFormat/>
    <w:uiPriority w:val="99"/>
    <w:rPr>
      <w:color w:val="605E5C"/>
      <w:shd w:val="clear" w:color="auto" w:fill="E1DFDD"/>
    </w:rPr>
  </w:style>
  <w:style w:type="character" w:customStyle="1" w:styleId="994">
    <w:name w:val="_Style 282"/>
    <w:autoRedefine/>
    <w:qFormat/>
    <w:uiPriority w:val="0"/>
    <w:rPr>
      <w:smallCaps/>
      <w:color w:val="C0504D"/>
      <w:u w:val="single"/>
    </w:rPr>
  </w:style>
  <w:style w:type="character" w:customStyle="1" w:styleId="995">
    <w:name w:val="Char Char111"/>
    <w:autoRedefine/>
    <w:qFormat/>
    <w:uiPriority w:val="0"/>
    <w:rPr>
      <w:bCs/>
      <w:kern w:val="2"/>
      <w:sz w:val="24"/>
      <w:szCs w:val="21"/>
    </w:rPr>
  </w:style>
  <w:style w:type="character" w:customStyle="1" w:styleId="996">
    <w:name w:val="font11"/>
    <w:autoRedefine/>
    <w:qFormat/>
    <w:uiPriority w:val="0"/>
    <w:rPr>
      <w:rFonts w:hint="eastAsia" w:ascii="宋体" w:hAnsi="宋体" w:eastAsia="宋体" w:cs="宋体"/>
      <w:color w:val="000000"/>
      <w:sz w:val="24"/>
      <w:szCs w:val="24"/>
      <w:u w:val="none"/>
    </w:rPr>
  </w:style>
  <w:style w:type="character" w:customStyle="1" w:styleId="997">
    <w:name w:val="明显引用 字符1"/>
    <w:autoRedefine/>
    <w:qFormat/>
    <w:uiPriority w:val="99"/>
    <w:rPr>
      <w:i/>
      <w:iCs/>
      <w:color w:val="4F81BD"/>
      <w:kern w:val="2"/>
      <w:sz w:val="21"/>
      <w:szCs w:val="24"/>
    </w:rPr>
  </w:style>
  <w:style w:type="character" w:customStyle="1" w:styleId="998">
    <w:name w:val="书籍标题11"/>
    <w:autoRedefine/>
    <w:qFormat/>
    <w:uiPriority w:val="0"/>
    <w:rPr>
      <w:b/>
      <w:bCs/>
      <w:smallCaps/>
      <w:spacing w:val="5"/>
    </w:rPr>
  </w:style>
  <w:style w:type="character" w:customStyle="1" w:styleId="999">
    <w:name w:val="明显强调11"/>
    <w:autoRedefine/>
    <w:qFormat/>
    <w:uiPriority w:val="0"/>
    <w:rPr>
      <w:b/>
      <w:bCs/>
      <w:i/>
      <w:iCs/>
      <w:color w:val="4F81BD"/>
    </w:rPr>
  </w:style>
  <w:style w:type="character" w:customStyle="1" w:styleId="1000">
    <w:name w:val="不明显强调11"/>
    <w:autoRedefine/>
    <w:qFormat/>
    <w:uiPriority w:val="0"/>
    <w:rPr>
      <w:i/>
      <w:iCs/>
      <w:color w:val="808080"/>
    </w:rPr>
  </w:style>
  <w:style w:type="character" w:customStyle="1" w:styleId="1001">
    <w:name w:val="不明显参考11"/>
    <w:autoRedefine/>
    <w:qFormat/>
    <w:uiPriority w:val="0"/>
    <w:rPr>
      <w:smallCaps/>
      <w:color w:val="C0504D"/>
      <w:u w:val="single"/>
    </w:rPr>
  </w:style>
  <w:style w:type="character" w:customStyle="1" w:styleId="1002">
    <w:name w:val="明显参考11"/>
    <w:autoRedefine/>
    <w:qFormat/>
    <w:uiPriority w:val="0"/>
    <w:rPr>
      <w:b/>
      <w:bCs/>
      <w:smallCaps/>
      <w:color w:val="C0504D"/>
      <w:spacing w:val="5"/>
      <w:u w:val="single"/>
    </w:rPr>
  </w:style>
  <w:style w:type="character" w:customStyle="1" w:styleId="1003">
    <w:name w:val="引用 字符1"/>
    <w:autoRedefine/>
    <w:qFormat/>
    <w:uiPriority w:val="99"/>
    <w:rPr>
      <w:i/>
      <w:iCs/>
      <w:color w:val="404040"/>
      <w:kern w:val="2"/>
      <w:sz w:val="21"/>
      <w:szCs w:val="24"/>
    </w:rPr>
  </w:style>
  <w:style w:type="character" w:customStyle="1" w:styleId="1004">
    <w:name w:val="批注文字 字符1"/>
    <w:autoRedefine/>
    <w:semiHidden/>
    <w:qFormat/>
    <w:uiPriority w:val="99"/>
    <w:rPr>
      <w:rFonts w:hint="default" w:ascii="Calibri" w:hAnsi="Calibri" w:eastAsia="宋体" w:cs="Times New Roman"/>
      <w:kern w:val="2"/>
      <w:sz w:val="21"/>
      <w:szCs w:val="22"/>
    </w:rPr>
  </w:style>
  <w:style w:type="character" w:customStyle="1" w:styleId="1005">
    <w:name w:val="副标题 字符1"/>
    <w:autoRedefine/>
    <w:qFormat/>
    <w:uiPriority w:val="11"/>
    <w:rPr>
      <w:rFonts w:hint="default" w:ascii="Calibri" w:hAnsi="Calibri" w:eastAsia="宋体" w:cs="Times New Roman"/>
      <w:b/>
      <w:bCs/>
      <w:kern w:val="28"/>
      <w:sz w:val="32"/>
      <w:szCs w:val="32"/>
    </w:rPr>
  </w:style>
  <w:style w:type="character" w:customStyle="1" w:styleId="1006">
    <w:name w:val="标题 字符1"/>
    <w:autoRedefine/>
    <w:qFormat/>
    <w:uiPriority w:val="10"/>
    <w:rPr>
      <w:rFonts w:hint="default" w:ascii="Cambria" w:hAnsi="Cambria" w:eastAsia="宋体" w:cs="Times New Roman"/>
      <w:b/>
      <w:bCs/>
      <w:kern w:val="2"/>
      <w:sz w:val="32"/>
      <w:szCs w:val="32"/>
    </w:rPr>
  </w:style>
  <w:style w:type="character" w:customStyle="1" w:styleId="1007">
    <w:name w:val="文档结构图 字符1"/>
    <w:autoRedefine/>
    <w:semiHidden/>
    <w:qFormat/>
    <w:uiPriority w:val="99"/>
    <w:rPr>
      <w:rFonts w:hint="eastAsia" w:ascii="Microsoft YaHei UI" w:hAnsi="Calibri" w:eastAsia="Microsoft YaHei UI" w:cs="Times New Roman"/>
      <w:kern w:val="2"/>
      <w:sz w:val="18"/>
      <w:szCs w:val="18"/>
    </w:rPr>
  </w:style>
  <w:style w:type="character" w:customStyle="1" w:styleId="1008">
    <w:name w:val="正文文本 字符1"/>
    <w:autoRedefine/>
    <w:semiHidden/>
    <w:qFormat/>
    <w:uiPriority w:val="99"/>
    <w:rPr>
      <w:rFonts w:hint="default" w:ascii="Calibri" w:hAnsi="Calibri" w:eastAsia="宋体" w:cs="Times New Roman"/>
      <w:kern w:val="2"/>
      <w:sz w:val="21"/>
      <w:szCs w:val="22"/>
    </w:rPr>
  </w:style>
  <w:style w:type="character" w:customStyle="1" w:styleId="1009">
    <w:name w:val="批注主题 字符1"/>
    <w:autoRedefine/>
    <w:semiHidden/>
    <w:qFormat/>
    <w:uiPriority w:val="99"/>
    <w:rPr>
      <w:rFonts w:hint="default" w:ascii="Calibri" w:hAnsi="Calibri" w:eastAsia="宋体" w:cs="Times New Roman"/>
      <w:b/>
      <w:bCs/>
      <w:kern w:val="2"/>
      <w:sz w:val="21"/>
      <w:szCs w:val="22"/>
    </w:rPr>
  </w:style>
  <w:style w:type="character" w:customStyle="1" w:styleId="1010">
    <w:name w:val="日期 字符1"/>
    <w:autoRedefine/>
    <w:semiHidden/>
    <w:qFormat/>
    <w:uiPriority w:val="99"/>
    <w:rPr>
      <w:rFonts w:hint="default" w:ascii="Calibri" w:hAnsi="Calibri" w:eastAsia="宋体" w:cs="Times New Roman"/>
      <w:kern w:val="2"/>
      <w:sz w:val="21"/>
      <w:szCs w:val="22"/>
    </w:rPr>
  </w:style>
  <w:style w:type="character" w:customStyle="1" w:styleId="1011">
    <w:name w:val="批注框文本 字符1"/>
    <w:autoRedefine/>
    <w:semiHidden/>
    <w:qFormat/>
    <w:uiPriority w:val="99"/>
    <w:rPr>
      <w:rFonts w:hint="default" w:ascii="Calibri" w:hAnsi="Calibri" w:eastAsia="宋体" w:cs="Times New Roman"/>
      <w:kern w:val="2"/>
      <w:sz w:val="18"/>
      <w:szCs w:val="18"/>
    </w:rPr>
  </w:style>
  <w:style w:type="character" w:customStyle="1" w:styleId="1012">
    <w:name w:val="doc_title"/>
    <w:autoRedefine/>
    <w:qFormat/>
    <w:uiPriority w:val="0"/>
  </w:style>
  <w:style w:type="character" w:customStyle="1" w:styleId="1013">
    <w:name w:val="未处理的提及2"/>
    <w:autoRedefine/>
    <w:qFormat/>
    <w:uiPriority w:val="99"/>
    <w:rPr>
      <w:color w:val="605E5C"/>
      <w:shd w:val="clear" w:color="auto" w:fill="E1DFDD"/>
    </w:rPr>
  </w:style>
  <w:style w:type="table" w:customStyle="1" w:styleId="1014">
    <w:name w:val="网格型1"/>
    <w:basedOn w:val="61"/>
    <w:autoRedefine/>
    <w:qFormat/>
    <w:uiPriority w:val="59"/>
    <w:rPr>
      <w:rFonts w:ascii="Calibri" w:hAnsi="Calibri" w:eastAsia="微软雅黑"/>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015">
    <w:name w:val="网格型2"/>
    <w:basedOn w:val="61"/>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16">
    <w:name w:val="页眉1"/>
    <w:basedOn w:val="201"/>
    <w:autoRedefine/>
    <w:qFormat/>
    <w:uiPriority w:val="0"/>
    <w:pPr>
      <w:pBdr>
        <w:bottom w:val="none" w:color="auto" w:sz="0" w:space="0"/>
      </w:pBdr>
    </w:pPr>
    <w:rPr>
      <w:rFonts w:ascii="Calibri" w:hAnsi="Calibri"/>
    </w:rPr>
  </w:style>
  <w:style w:type="paragraph" w:customStyle="1" w:styleId="1017">
    <w:name w:val="样式 标题 3 + (中文) 黑体 小四 非加粗 段前: 7.8 磅 段后: 0 磅 行距: 固定值 20 磅_0"/>
    <w:basedOn w:val="765"/>
    <w:autoRedefine/>
    <w:qFormat/>
    <w:uiPriority w:val="0"/>
    <w:pPr>
      <w:spacing w:before="0" w:after="0" w:line="400" w:lineRule="exact"/>
      <w:jc w:val="left"/>
    </w:pPr>
    <w:rPr>
      <w:rFonts w:ascii="黑体" w:hAnsi="宋体" w:eastAsia="黑体"/>
      <w:b w:val="0"/>
      <w:sz w:val="30"/>
      <w:szCs w:val="20"/>
    </w:rPr>
  </w:style>
  <w:style w:type="paragraph" w:customStyle="1" w:styleId="1018">
    <w:name w:val="样式 标题 3 + (中文) 黑体 小四 非加粗 段前: 7.8 磅 段后: 0 磅 行距: 固定值 20 磅_0_0"/>
    <w:basedOn w:val="783"/>
    <w:autoRedefine/>
    <w:qFormat/>
    <w:uiPriority w:val="0"/>
    <w:pPr>
      <w:spacing w:before="0" w:after="0" w:line="400" w:lineRule="exact"/>
    </w:pPr>
    <w:rPr>
      <w:rFonts w:eastAsia="黑体"/>
      <w:b w:val="0"/>
      <w:bCs w:val="0"/>
      <w:sz w:val="24"/>
      <w:szCs w:val="20"/>
    </w:rPr>
  </w:style>
  <w:style w:type="paragraph" w:customStyle="1" w:styleId="1019">
    <w:name w:val="样式 标题 2 + Times New Roman 四号 非加粗 段前: 5 磅 段后: 0 磅 行距: 固定值 20..._0"/>
    <w:basedOn w:val="849"/>
    <w:autoRedefine/>
    <w:qFormat/>
    <w:uiPriority w:val="0"/>
    <w:pPr>
      <w:spacing w:before="100" w:after="0" w:line="400" w:lineRule="exact"/>
    </w:pPr>
    <w:rPr>
      <w:rFonts w:ascii="Times New Roman" w:hAnsi="Times New Roman"/>
      <w:b w:val="0"/>
      <w:bCs w:val="0"/>
      <w:sz w:val="28"/>
      <w:szCs w:val="20"/>
    </w:rPr>
  </w:style>
  <w:style w:type="paragraph" w:customStyle="1" w:styleId="1020">
    <w:name w:val="样式 样式 标题 3 + Calibri 加粗 左侧:  0 厘米 + 黑色 首行缩进:  2 字符"/>
    <w:basedOn w:val="649"/>
    <w:autoRedefine/>
    <w:qFormat/>
    <w:uiPriority w:val="0"/>
    <w:pPr>
      <w:spacing w:beforeLines="100"/>
    </w:pPr>
    <w:rPr>
      <w:color w:val="000000"/>
    </w:rPr>
  </w:style>
  <w:style w:type="paragraph" w:customStyle="1" w:styleId="1021">
    <w:name w:val="修订2"/>
    <w:autoRedefine/>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022">
    <w:name w:val="NormalCharacter"/>
    <w:autoRedefine/>
    <w:semiHidden/>
    <w:qFormat/>
    <w:uiPriority w:val="0"/>
  </w:style>
  <w:style w:type="paragraph" w:customStyle="1" w:styleId="1023">
    <w:name w:val="一级条标题"/>
    <w:basedOn w:val="1024"/>
    <w:next w:val="301"/>
    <w:autoRedefine/>
    <w:unhideWhenUsed/>
    <w:qFormat/>
    <w:uiPriority w:val="0"/>
    <w:pPr>
      <w:spacing w:line="240" w:lineRule="auto"/>
      <w:ind w:left="420"/>
      <w:outlineLvl w:val="2"/>
    </w:pPr>
    <w:rPr>
      <w:rFonts w:hint="eastAsia"/>
      <w:sz w:val="21"/>
    </w:rPr>
  </w:style>
  <w:style w:type="paragraph" w:customStyle="1" w:styleId="1024">
    <w:name w:val="章标题"/>
    <w:next w:val="1"/>
    <w:autoRedefine/>
    <w:unhideWhenUsed/>
    <w:qFormat/>
    <w:uiPriority w:val="0"/>
    <w:pPr>
      <w:spacing w:line="360" w:lineRule="auto"/>
      <w:jc w:val="both"/>
      <w:outlineLvl w:val="1"/>
    </w:pPr>
    <w:rPr>
      <w:rFonts w:hint="eastAsia"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2.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5C81D9-3968-41CF-8E2C-1846BF41DAC8}">
  <ds:schemaRefs/>
</ds:datastoreItem>
</file>

<file path=docProps/app.xml><?xml version="1.0" encoding="utf-8"?>
<Properties xmlns="http://schemas.openxmlformats.org/officeDocument/2006/extended-properties" xmlns:vt="http://schemas.openxmlformats.org/officeDocument/2006/docPropsVTypes">
  <Template>Normal.dotm</Template>
  <Pages>171</Pages>
  <Words>14622</Words>
  <Characters>83350</Characters>
  <Lines>694</Lines>
  <Paragraphs>195</Paragraphs>
  <TotalTime>15</TotalTime>
  <ScaleCrop>false</ScaleCrop>
  <LinksUpToDate>false</LinksUpToDate>
  <CharactersWithSpaces>97777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2023-07-21T11:42:00Z</dcterms:created>
  <dc:creator>钱闯</dc:creator>
  <cp:lastModifiedBy>豪圣</cp:lastModifiedBy>
  <dcterms:modified xsi:type="dcterms:W3CDTF">2024-04-30T10:42:10Z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4B5A7F67ECBE41318DD3828313270AEA_13</vt:lpwstr>
  </property>
</Properties>
</file>