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Style w:val="90"/>
        <w:widowControl w:val="0"/>
        <w:snapToGrid w:val="0"/>
        <w:spacing w:line="470" w:lineRule="atLeast"/>
        <w:ind w:firstLine="0"/>
        <w:jc w:val="center"/>
        <w:rPr>
          <w:b w:val="0"/>
          <w:color w:val="auto"/>
          <w:sz w:val="36"/>
          <w:szCs w:val="36"/>
          <w:highlight w:val="none"/>
        </w:rPr>
      </w:pPr>
    </w:p>
    <w:p>
      <w:pPr>
        <w:pStyle w:val="90"/>
        <w:widowControl w:val="0"/>
        <w:snapToGrid w:val="0"/>
        <w:spacing w:line="470" w:lineRule="atLeast"/>
        <w:ind w:firstLine="0"/>
        <w:jc w:val="center"/>
        <w:rPr>
          <w:b w:val="0"/>
          <w:color w:val="auto"/>
          <w:sz w:val="36"/>
          <w:highlight w:val="none"/>
        </w:rPr>
      </w:pPr>
    </w:p>
    <w:p>
      <w:pPr>
        <w:pStyle w:val="90"/>
        <w:widowControl w:val="0"/>
        <w:snapToGrid w:val="0"/>
        <w:spacing w:line="470" w:lineRule="atLeast"/>
        <w:ind w:firstLine="0"/>
        <w:jc w:val="center"/>
        <w:rPr>
          <w:b w:val="0"/>
          <w:color w:val="auto"/>
          <w:sz w:val="36"/>
          <w:highlight w:val="none"/>
        </w:rPr>
      </w:pPr>
    </w:p>
    <w:p>
      <w:pPr>
        <w:autoSpaceDE w:val="0"/>
        <w:autoSpaceDN w:val="0"/>
        <w:adjustRightInd w:val="0"/>
        <w:snapToGrid w:val="0"/>
        <w:spacing w:line="300" w:lineRule="auto"/>
        <w:jc w:val="center"/>
        <w:textAlignment w:val="bottom"/>
        <w:rPr>
          <w:rFonts w:hint="eastAsia" w:eastAsia="宋体"/>
          <w:b/>
          <w:color w:val="auto"/>
          <w:sz w:val="52"/>
          <w:szCs w:val="52"/>
          <w:highlight w:val="none"/>
          <w:lang w:eastAsia="zh-CN"/>
        </w:rPr>
      </w:pPr>
      <w:r>
        <w:rPr>
          <w:rFonts w:hint="eastAsia"/>
          <w:b/>
          <w:color w:val="auto"/>
          <w:spacing w:val="-20"/>
          <w:sz w:val="52"/>
          <w:szCs w:val="52"/>
          <w:highlight w:val="none"/>
          <w:lang w:eastAsia="zh-CN"/>
        </w:rPr>
        <w:t>浙江省拱宸强制隔离戒毒所“红色基地”整体改造设计项目</w:t>
      </w:r>
    </w:p>
    <w:p>
      <w:pPr>
        <w:tabs>
          <w:tab w:val="left" w:pos="0"/>
        </w:tabs>
        <w:adjustRightInd w:val="0"/>
        <w:snapToGrid w:val="0"/>
        <w:spacing w:line="300" w:lineRule="auto"/>
        <w:ind w:firstLine="201" w:firstLineChars="20"/>
        <w:jc w:val="center"/>
        <w:rPr>
          <w:b/>
          <w:color w:val="auto"/>
          <w:sz w:val="100"/>
          <w:szCs w:val="100"/>
          <w:highlight w:val="none"/>
        </w:rPr>
      </w:pPr>
    </w:p>
    <w:p>
      <w:pPr>
        <w:pStyle w:val="90"/>
        <w:widowControl w:val="0"/>
        <w:snapToGrid w:val="0"/>
        <w:spacing w:line="470" w:lineRule="atLeast"/>
        <w:ind w:firstLine="0"/>
        <w:jc w:val="center"/>
        <w:rPr>
          <w:b w:val="0"/>
          <w:color w:val="auto"/>
          <w:sz w:val="72"/>
          <w:highlight w:val="none"/>
        </w:rPr>
      </w:pPr>
      <w:r>
        <w:rPr>
          <w:b w:val="0"/>
          <w:snapToGrid w:val="0"/>
          <w:color w:val="auto"/>
          <w:spacing w:val="40"/>
          <w:w w:val="80"/>
          <w:sz w:val="72"/>
          <w:szCs w:val="72"/>
          <w:highlight w:val="none"/>
          <w:lang w:bidi="th-TH"/>
        </w:rPr>
        <w:t>竞争性磋商文件</w:t>
      </w:r>
    </w:p>
    <w:p>
      <w:pPr>
        <w:pStyle w:val="90"/>
        <w:widowControl w:val="0"/>
        <w:snapToGrid w:val="0"/>
        <w:spacing w:line="470" w:lineRule="atLeast"/>
        <w:ind w:firstLine="0"/>
        <w:jc w:val="center"/>
        <w:rPr>
          <w:b w:val="0"/>
          <w:color w:val="auto"/>
          <w:sz w:val="32"/>
          <w:highlight w:val="none"/>
        </w:rPr>
      </w:pPr>
    </w:p>
    <w:p>
      <w:pPr>
        <w:pStyle w:val="90"/>
        <w:widowControl w:val="0"/>
        <w:snapToGrid w:val="0"/>
        <w:spacing w:line="360" w:lineRule="auto"/>
        <w:ind w:firstLine="0"/>
        <w:jc w:val="center"/>
        <w:rPr>
          <w:rFonts w:hint="eastAsia" w:eastAsia="宋体"/>
          <w:b w:val="0"/>
          <w:color w:val="auto"/>
          <w:sz w:val="36"/>
          <w:szCs w:val="36"/>
          <w:highlight w:val="none"/>
          <w:u w:val="single"/>
          <w:lang w:eastAsia="zh-CN"/>
        </w:rPr>
      </w:pPr>
      <w:r>
        <w:rPr>
          <w:b w:val="0"/>
          <w:color w:val="auto"/>
          <w:sz w:val="32"/>
          <w:szCs w:val="32"/>
          <w:highlight w:val="none"/>
        </w:rPr>
        <w:t>项目编号：</w:t>
      </w:r>
      <w:r>
        <w:rPr>
          <w:rFonts w:hint="eastAsia"/>
          <w:b w:val="0"/>
          <w:color w:val="auto"/>
          <w:sz w:val="32"/>
          <w:szCs w:val="32"/>
          <w:highlight w:val="none"/>
          <w:lang w:eastAsia="zh-CN"/>
        </w:rPr>
        <w:t>HSZB-2023-852</w:t>
      </w:r>
    </w:p>
    <w:p>
      <w:pPr>
        <w:pStyle w:val="90"/>
        <w:widowControl w:val="0"/>
        <w:snapToGrid w:val="0"/>
        <w:spacing w:line="360" w:lineRule="auto"/>
        <w:ind w:firstLine="2400" w:firstLineChars="750"/>
        <w:rPr>
          <w:b w:val="0"/>
          <w:color w:val="auto"/>
          <w:sz w:val="32"/>
          <w:highlight w:val="none"/>
          <w:u w:val="single"/>
        </w:rPr>
      </w:pPr>
    </w:p>
    <w:p>
      <w:pPr>
        <w:pStyle w:val="90"/>
        <w:widowControl w:val="0"/>
        <w:snapToGrid w:val="0"/>
        <w:spacing w:line="470" w:lineRule="atLeast"/>
        <w:ind w:firstLine="0"/>
        <w:jc w:val="center"/>
        <w:rPr>
          <w:color w:val="auto"/>
          <w:highlight w:val="none"/>
        </w:rPr>
      </w:pPr>
    </w:p>
    <w:p>
      <w:pPr>
        <w:pStyle w:val="90"/>
        <w:spacing w:line="700" w:lineRule="exact"/>
        <w:ind w:firstLine="360" w:firstLineChars="100"/>
        <w:rPr>
          <w:b w:val="0"/>
          <w:color w:val="auto"/>
          <w:sz w:val="36"/>
          <w:highlight w:val="none"/>
        </w:rPr>
      </w:pPr>
    </w:p>
    <w:p>
      <w:pPr>
        <w:pStyle w:val="90"/>
        <w:spacing w:line="700" w:lineRule="exact"/>
        <w:ind w:firstLine="0"/>
        <w:rPr>
          <w:b w:val="0"/>
          <w:color w:val="auto"/>
          <w:sz w:val="36"/>
          <w:highlight w:val="none"/>
        </w:rPr>
      </w:pPr>
    </w:p>
    <w:p>
      <w:pPr>
        <w:pStyle w:val="90"/>
        <w:spacing w:line="700" w:lineRule="exact"/>
        <w:ind w:firstLine="360" w:firstLineChars="100"/>
        <w:rPr>
          <w:b w:val="0"/>
          <w:color w:val="auto"/>
          <w:sz w:val="36"/>
          <w:highlight w:val="none"/>
        </w:rPr>
      </w:pPr>
    </w:p>
    <w:tbl>
      <w:tblPr>
        <w:tblStyle w:val="32"/>
        <w:tblW w:w="0" w:type="auto"/>
        <w:jc w:val="center"/>
        <w:tblLayout w:type="fixed"/>
        <w:tblCellMar>
          <w:top w:w="0" w:type="dxa"/>
          <w:left w:w="108" w:type="dxa"/>
          <w:bottom w:w="0" w:type="dxa"/>
          <w:right w:w="108" w:type="dxa"/>
        </w:tblCellMar>
      </w:tblPr>
      <w:tblGrid>
        <w:gridCol w:w="2309"/>
        <w:gridCol w:w="4597"/>
      </w:tblGrid>
      <w:tr>
        <w:tblPrEx>
          <w:tblCellMar>
            <w:top w:w="0" w:type="dxa"/>
            <w:left w:w="108" w:type="dxa"/>
            <w:bottom w:w="0" w:type="dxa"/>
            <w:right w:w="108" w:type="dxa"/>
          </w:tblCellMar>
        </w:tblPrEx>
        <w:trPr>
          <w:trHeight w:val="753" w:hRule="atLeast"/>
          <w:jc w:val="center"/>
        </w:trPr>
        <w:tc>
          <w:tcPr>
            <w:tcW w:w="2309" w:type="dxa"/>
            <w:noWrap/>
            <w:vAlign w:val="center"/>
          </w:tcPr>
          <w:p>
            <w:pPr>
              <w:snapToGrid w:val="0"/>
              <w:jc w:val="distribute"/>
              <w:rPr>
                <w:color w:val="auto"/>
                <w:sz w:val="30"/>
                <w:szCs w:val="30"/>
                <w:highlight w:val="none"/>
              </w:rPr>
            </w:pPr>
            <w:r>
              <w:rPr>
                <w:color w:val="auto"/>
                <w:sz w:val="30"/>
                <w:szCs w:val="30"/>
                <w:highlight w:val="none"/>
              </w:rPr>
              <w:t>采购人：</w:t>
            </w:r>
          </w:p>
        </w:tc>
        <w:tc>
          <w:tcPr>
            <w:tcW w:w="4597" w:type="dxa"/>
            <w:noWrap/>
            <w:vAlign w:val="center"/>
          </w:tcPr>
          <w:p>
            <w:pPr>
              <w:snapToGrid w:val="0"/>
              <w:jc w:val="distribute"/>
              <w:rPr>
                <w:rFonts w:hint="eastAsia" w:eastAsia="宋体"/>
                <w:color w:val="auto"/>
                <w:sz w:val="30"/>
                <w:szCs w:val="30"/>
                <w:highlight w:val="none"/>
                <w:lang w:eastAsia="zh-CN"/>
              </w:rPr>
            </w:pPr>
            <w:r>
              <w:rPr>
                <w:rFonts w:hint="eastAsia"/>
                <w:color w:val="auto"/>
                <w:sz w:val="30"/>
                <w:szCs w:val="30"/>
                <w:highlight w:val="none"/>
                <w:lang w:eastAsia="zh-CN"/>
              </w:rPr>
              <w:t>浙江省拱宸强制隔离戒毒所</w:t>
            </w:r>
          </w:p>
        </w:tc>
      </w:tr>
      <w:tr>
        <w:tblPrEx>
          <w:tblCellMar>
            <w:top w:w="0" w:type="dxa"/>
            <w:left w:w="108" w:type="dxa"/>
            <w:bottom w:w="0" w:type="dxa"/>
            <w:right w:w="108" w:type="dxa"/>
          </w:tblCellMar>
        </w:tblPrEx>
        <w:trPr>
          <w:trHeight w:val="792" w:hRule="atLeast"/>
          <w:jc w:val="center"/>
        </w:trPr>
        <w:tc>
          <w:tcPr>
            <w:tcW w:w="2309" w:type="dxa"/>
            <w:noWrap/>
            <w:vAlign w:val="center"/>
          </w:tcPr>
          <w:p>
            <w:pPr>
              <w:snapToGrid w:val="0"/>
              <w:jc w:val="distribute"/>
              <w:rPr>
                <w:color w:val="auto"/>
                <w:sz w:val="30"/>
                <w:szCs w:val="30"/>
                <w:highlight w:val="none"/>
              </w:rPr>
            </w:pPr>
            <w:r>
              <w:rPr>
                <w:color w:val="auto"/>
                <w:sz w:val="30"/>
                <w:szCs w:val="30"/>
                <w:highlight w:val="none"/>
              </w:rPr>
              <w:t>采购代理机构：</w:t>
            </w:r>
          </w:p>
        </w:tc>
        <w:tc>
          <w:tcPr>
            <w:tcW w:w="4597" w:type="dxa"/>
            <w:noWrap/>
            <w:vAlign w:val="center"/>
          </w:tcPr>
          <w:p>
            <w:pPr>
              <w:snapToGrid w:val="0"/>
              <w:jc w:val="distribute"/>
              <w:rPr>
                <w:color w:val="auto"/>
                <w:sz w:val="30"/>
                <w:szCs w:val="30"/>
                <w:highlight w:val="none"/>
              </w:rPr>
            </w:pPr>
            <w:r>
              <w:rPr>
                <w:color w:val="auto"/>
                <w:sz w:val="30"/>
                <w:szCs w:val="30"/>
                <w:highlight w:val="none"/>
              </w:rPr>
              <w:t>浙江豪圣建设项目管理有限公司</w:t>
            </w:r>
          </w:p>
        </w:tc>
      </w:tr>
      <w:tr>
        <w:tblPrEx>
          <w:tblCellMar>
            <w:top w:w="0" w:type="dxa"/>
            <w:left w:w="108" w:type="dxa"/>
            <w:bottom w:w="0" w:type="dxa"/>
            <w:right w:w="108" w:type="dxa"/>
          </w:tblCellMar>
        </w:tblPrEx>
        <w:trPr>
          <w:trHeight w:val="792" w:hRule="atLeast"/>
          <w:jc w:val="center"/>
        </w:trPr>
        <w:tc>
          <w:tcPr>
            <w:tcW w:w="6906" w:type="dxa"/>
            <w:gridSpan w:val="2"/>
            <w:noWrap/>
            <w:vAlign w:val="center"/>
          </w:tcPr>
          <w:p>
            <w:pPr>
              <w:snapToGrid w:val="0"/>
              <w:jc w:val="center"/>
              <w:rPr>
                <w:color w:val="auto"/>
                <w:sz w:val="30"/>
                <w:szCs w:val="30"/>
                <w:highlight w:val="none"/>
              </w:rPr>
            </w:pPr>
            <w:r>
              <w:rPr>
                <w:color w:val="auto"/>
                <w:sz w:val="30"/>
                <w:szCs w:val="30"/>
                <w:highlight w:val="none"/>
              </w:rPr>
              <w:t>二Ｏ二三年</w:t>
            </w:r>
            <w:r>
              <w:rPr>
                <w:rFonts w:hint="eastAsia"/>
                <w:color w:val="auto"/>
                <w:sz w:val="30"/>
                <w:szCs w:val="30"/>
                <w:highlight w:val="none"/>
              </w:rPr>
              <w:t>十</w:t>
            </w:r>
            <w:r>
              <w:rPr>
                <w:rFonts w:hint="eastAsia"/>
                <w:color w:val="auto"/>
                <w:sz w:val="30"/>
                <w:szCs w:val="30"/>
                <w:highlight w:val="none"/>
                <w:lang w:val="en-US" w:eastAsia="zh-CN"/>
              </w:rPr>
              <w:t>一</w:t>
            </w:r>
            <w:r>
              <w:rPr>
                <w:color w:val="auto"/>
                <w:sz w:val="30"/>
                <w:szCs w:val="30"/>
                <w:highlight w:val="none"/>
              </w:rPr>
              <w:t>月</w:t>
            </w:r>
          </w:p>
        </w:tc>
      </w:tr>
    </w:tbl>
    <w:p>
      <w:pPr>
        <w:adjustRightInd w:val="0"/>
        <w:snapToGrid w:val="0"/>
        <w:spacing w:line="480" w:lineRule="auto"/>
        <w:ind w:left="424" w:leftChars="202" w:firstLine="425" w:firstLineChars="141"/>
        <w:jc w:val="left"/>
        <w:rPr>
          <w:rFonts w:ascii="宋体" w:hAnsi="宋体" w:cs="宋体"/>
          <w:b/>
          <w:color w:val="auto"/>
          <w:sz w:val="30"/>
          <w:szCs w:val="30"/>
          <w:highlight w:val="none"/>
        </w:rPr>
        <w:sectPr>
          <w:footerReference r:id="rId3" w:type="default"/>
          <w:pgSz w:w="11911" w:h="16838"/>
          <w:pgMar w:top="1162" w:right="1236" w:bottom="1134" w:left="1259" w:header="873" w:footer="833" w:gutter="0"/>
          <w:cols w:space="720" w:num="1"/>
          <w:docGrid w:linePitch="312" w:charSpace="0"/>
        </w:sectPr>
      </w:pPr>
    </w:p>
    <w:p>
      <w:pPr>
        <w:pStyle w:val="90"/>
        <w:widowControl w:val="0"/>
        <w:snapToGrid w:val="0"/>
        <w:spacing w:line="360" w:lineRule="auto"/>
        <w:ind w:right="-176" w:rightChars="-84" w:firstLine="0"/>
        <w:jc w:val="center"/>
        <w:rPr>
          <w:color w:val="auto"/>
          <w:sz w:val="32"/>
          <w:highlight w:val="none"/>
        </w:rPr>
      </w:pPr>
      <w:r>
        <w:rPr>
          <w:color w:val="auto"/>
          <w:sz w:val="32"/>
          <w:highlight w:val="none"/>
        </w:rPr>
        <w:t>目录</w:t>
      </w:r>
    </w:p>
    <w:p>
      <w:pPr>
        <w:pStyle w:val="90"/>
        <w:widowControl w:val="0"/>
        <w:snapToGrid w:val="0"/>
        <w:spacing w:line="360" w:lineRule="auto"/>
        <w:ind w:right="-176" w:rightChars="-84" w:firstLine="0"/>
        <w:jc w:val="center"/>
        <w:rPr>
          <w:color w:val="auto"/>
          <w:sz w:val="24"/>
          <w:szCs w:val="24"/>
          <w:highlight w:val="none"/>
        </w:rPr>
      </w:pPr>
    </w:p>
    <w:p>
      <w:pPr>
        <w:pStyle w:val="21"/>
        <w:tabs>
          <w:tab w:val="right" w:leader="dot" w:pos="8958"/>
        </w:tabs>
        <w:spacing w:line="360" w:lineRule="auto"/>
        <w:ind w:firstLine="120"/>
        <w:rPr>
          <w:color w:val="auto"/>
          <w:sz w:val="24"/>
          <w:szCs w:val="24"/>
          <w:highlight w:val="none"/>
        </w:rPr>
      </w:pPr>
      <w:r>
        <w:rPr>
          <w:rFonts w:ascii="Times New Roman" w:hAnsi="Times New Roman"/>
          <w:color w:val="auto"/>
          <w:sz w:val="24"/>
          <w:szCs w:val="24"/>
          <w:highlight w:val="none"/>
        </w:rPr>
        <w:fldChar w:fldCharType="begin"/>
      </w:r>
      <w:r>
        <w:rPr>
          <w:rFonts w:ascii="Times New Roman" w:hAnsi="Times New Roman"/>
          <w:color w:val="auto"/>
          <w:sz w:val="24"/>
          <w:szCs w:val="24"/>
          <w:highlight w:val="none"/>
        </w:rPr>
        <w:instrText xml:space="preserve"> TOC \o "1-3" \h \z \u </w:instrText>
      </w:r>
      <w:r>
        <w:rPr>
          <w:rFonts w:ascii="Times New Roman" w:hAnsi="Times New Roman"/>
          <w:color w:val="auto"/>
          <w:sz w:val="24"/>
          <w:szCs w:val="24"/>
          <w:highlight w:val="none"/>
        </w:rPr>
        <w:fldChar w:fldCharType="separate"/>
      </w:r>
      <w:r>
        <w:rPr>
          <w:color w:val="auto"/>
          <w:highlight w:val="none"/>
        </w:rPr>
        <w:fldChar w:fldCharType="begin"/>
      </w:r>
      <w:r>
        <w:rPr>
          <w:color w:val="auto"/>
          <w:highlight w:val="none"/>
        </w:rPr>
        <w:instrText xml:space="preserve"> HYPERLINK \l "_Toc26716" </w:instrText>
      </w:r>
      <w:r>
        <w:rPr>
          <w:color w:val="auto"/>
          <w:highlight w:val="none"/>
        </w:rPr>
        <w:fldChar w:fldCharType="separate"/>
      </w:r>
      <w:r>
        <w:rPr>
          <w:bCs/>
          <w:color w:val="auto"/>
          <w:sz w:val="24"/>
          <w:szCs w:val="24"/>
          <w:highlight w:val="none"/>
        </w:rPr>
        <w:t xml:space="preserve">第一部分  </w:t>
      </w:r>
      <w:r>
        <w:rPr>
          <w:rFonts w:hint="eastAsia" w:cs="宋体"/>
          <w:bCs/>
          <w:color w:val="auto"/>
          <w:sz w:val="24"/>
          <w:szCs w:val="48"/>
          <w:highlight w:val="none"/>
        </w:rPr>
        <w:t>竞争性磋商</w:t>
      </w:r>
      <w:r>
        <w:rPr>
          <w:color w:val="auto"/>
          <w:sz w:val="24"/>
          <w:szCs w:val="44"/>
          <w:highlight w:val="none"/>
        </w:rPr>
        <w:t>公告</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_Toc26716 \h </w:instrText>
      </w:r>
      <w:r>
        <w:rPr>
          <w:color w:val="auto"/>
          <w:sz w:val="24"/>
          <w:szCs w:val="24"/>
          <w:highlight w:val="none"/>
        </w:rPr>
        <w:fldChar w:fldCharType="separate"/>
      </w:r>
      <w:r>
        <w:rPr>
          <w:color w:val="auto"/>
          <w:sz w:val="24"/>
          <w:szCs w:val="24"/>
          <w:highlight w:val="none"/>
        </w:rPr>
        <w:t>3</w:t>
      </w:r>
      <w:r>
        <w:rPr>
          <w:color w:val="auto"/>
          <w:sz w:val="24"/>
          <w:szCs w:val="24"/>
          <w:highlight w:val="none"/>
        </w:rPr>
        <w:fldChar w:fldCharType="end"/>
      </w:r>
      <w:r>
        <w:rPr>
          <w:color w:val="auto"/>
          <w:sz w:val="24"/>
          <w:szCs w:val="24"/>
          <w:highlight w:val="none"/>
        </w:rPr>
        <w:fldChar w:fldCharType="end"/>
      </w:r>
    </w:p>
    <w:p>
      <w:pPr>
        <w:pStyle w:val="21"/>
        <w:tabs>
          <w:tab w:val="right" w:leader="dot" w:pos="8958"/>
        </w:tabs>
        <w:spacing w:line="360" w:lineRule="auto"/>
        <w:rPr>
          <w:color w:val="auto"/>
          <w:sz w:val="24"/>
          <w:szCs w:val="24"/>
          <w:highlight w:val="none"/>
        </w:rPr>
      </w:pPr>
      <w:r>
        <w:rPr>
          <w:color w:val="auto"/>
          <w:highlight w:val="none"/>
        </w:rPr>
        <w:fldChar w:fldCharType="begin"/>
      </w:r>
      <w:r>
        <w:rPr>
          <w:color w:val="auto"/>
          <w:highlight w:val="none"/>
        </w:rPr>
        <w:instrText xml:space="preserve"> HYPERLINK \l "_Toc21191" </w:instrText>
      </w:r>
      <w:r>
        <w:rPr>
          <w:color w:val="auto"/>
          <w:highlight w:val="none"/>
        </w:rPr>
        <w:fldChar w:fldCharType="separate"/>
      </w:r>
      <w:r>
        <w:rPr>
          <w:color w:val="auto"/>
          <w:sz w:val="24"/>
          <w:szCs w:val="24"/>
          <w:highlight w:val="none"/>
        </w:rPr>
        <w:t>第二部分</w:t>
      </w:r>
      <w:r>
        <w:rPr>
          <w:rFonts w:hint="eastAsia"/>
          <w:color w:val="auto"/>
          <w:sz w:val="24"/>
          <w:szCs w:val="24"/>
          <w:highlight w:val="none"/>
          <w:lang w:val="en-US" w:eastAsia="zh-CN"/>
        </w:rPr>
        <w:t xml:space="preserve">  </w:t>
      </w:r>
      <w:r>
        <w:rPr>
          <w:color w:val="auto"/>
          <w:sz w:val="24"/>
          <w:szCs w:val="24"/>
          <w:highlight w:val="none"/>
        </w:rPr>
        <w:t>磋商须知</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_Toc21191 \h </w:instrText>
      </w:r>
      <w:r>
        <w:rPr>
          <w:color w:val="auto"/>
          <w:sz w:val="24"/>
          <w:szCs w:val="24"/>
          <w:highlight w:val="none"/>
        </w:rPr>
        <w:fldChar w:fldCharType="separate"/>
      </w:r>
      <w:r>
        <w:rPr>
          <w:color w:val="auto"/>
          <w:sz w:val="24"/>
          <w:szCs w:val="24"/>
          <w:highlight w:val="none"/>
        </w:rPr>
        <w:t>11</w:t>
      </w:r>
      <w:r>
        <w:rPr>
          <w:color w:val="auto"/>
          <w:sz w:val="24"/>
          <w:szCs w:val="24"/>
          <w:highlight w:val="none"/>
        </w:rPr>
        <w:fldChar w:fldCharType="end"/>
      </w:r>
      <w:r>
        <w:rPr>
          <w:color w:val="auto"/>
          <w:sz w:val="24"/>
          <w:szCs w:val="24"/>
          <w:highlight w:val="none"/>
        </w:rPr>
        <w:fldChar w:fldCharType="end"/>
      </w:r>
    </w:p>
    <w:p>
      <w:pPr>
        <w:pStyle w:val="21"/>
        <w:tabs>
          <w:tab w:val="right" w:leader="dot" w:pos="8958"/>
        </w:tabs>
        <w:spacing w:line="360" w:lineRule="auto"/>
        <w:rPr>
          <w:color w:val="auto"/>
          <w:sz w:val="24"/>
          <w:szCs w:val="24"/>
          <w:highlight w:val="none"/>
        </w:rPr>
      </w:pPr>
      <w:r>
        <w:rPr>
          <w:color w:val="auto"/>
          <w:highlight w:val="none"/>
        </w:rPr>
        <w:fldChar w:fldCharType="begin"/>
      </w:r>
      <w:r>
        <w:rPr>
          <w:color w:val="auto"/>
          <w:highlight w:val="none"/>
        </w:rPr>
        <w:instrText xml:space="preserve"> HYPERLINK \l "_Toc24539" </w:instrText>
      </w:r>
      <w:r>
        <w:rPr>
          <w:color w:val="auto"/>
          <w:highlight w:val="none"/>
        </w:rPr>
        <w:fldChar w:fldCharType="separate"/>
      </w:r>
      <w:r>
        <w:rPr>
          <w:color w:val="auto"/>
          <w:sz w:val="24"/>
          <w:szCs w:val="24"/>
          <w:highlight w:val="none"/>
        </w:rPr>
        <w:t>第三部分</w:t>
      </w:r>
      <w:r>
        <w:rPr>
          <w:rFonts w:hint="eastAsia"/>
          <w:color w:val="auto"/>
          <w:sz w:val="24"/>
          <w:szCs w:val="24"/>
          <w:highlight w:val="none"/>
          <w:lang w:val="en-US" w:eastAsia="zh-CN"/>
        </w:rPr>
        <w:t xml:space="preserve"> </w:t>
      </w:r>
      <w:r>
        <w:rPr>
          <w:color w:val="auto"/>
          <w:sz w:val="24"/>
          <w:szCs w:val="24"/>
          <w:highlight w:val="none"/>
        </w:rPr>
        <w:t xml:space="preserve"> 用户需求书</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_Toc24539 \h </w:instrText>
      </w:r>
      <w:r>
        <w:rPr>
          <w:color w:val="auto"/>
          <w:sz w:val="24"/>
          <w:szCs w:val="24"/>
          <w:highlight w:val="none"/>
        </w:rPr>
        <w:fldChar w:fldCharType="separate"/>
      </w:r>
      <w:r>
        <w:rPr>
          <w:color w:val="auto"/>
          <w:sz w:val="24"/>
          <w:szCs w:val="24"/>
          <w:highlight w:val="none"/>
        </w:rPr>
        <w:t>26</w:t>
      </w:r>
      <w:r>
        <w:rPr>
          <w:color w:val="auto"/>
          <w:sz w:val="24"/>
          <w:szCs w:val="24"/>
          <w:highlight w:val="none"/>
        </w:rPr>
        <w:fldChar w:fldCharType="end"/>
      </w:r>
      <w:r>
        <w:rPr>
          <w:color w:val="auto"/>
          <w:sz w:val="24"/>
          <w:szCs w:val="24"/>
          <w:highlight w:val="none"/>
        </w:rPr>
        <w:fldChar w:fldCharType="end"/>
      </w:r>
    </w:p>
    <w:p>
      <w:pPr>
        <w:pStyle w:val="21"/>
        <w:tabs>
          <w:tab w:val="right" w:leader="dot" w:pos="8958"/>
        </w:tabs>
        <w:spacing w:line="360" w:lineRule="auto"/>
        <w:rPr>
          <w:color w:val="auto"/>
          <w:sz w:val="24"/>
          <w:szCs w:val="24"/>
          <w:highlight w:val="none"/>
        </w:rPr>
      </w:pPr>
      <w:r>
        <w:rPr>
          <w:color w:val="auto"/>
          <w:highlight w:val="none"/>
        </w:rPr>
        <w:fldChar w:fldCharType="begin"/>
      </w:r>
      <w:r>
        <w:rPr>
          <w:color w:val="auto"/>
          <w:highlight w:val="none"/>
        </w:rPr>
        <w:instrText xml:space="preserve"> HYPERLINK \l "_Toc16171" </w:instrText>
      </w:r>
      <w:r>
        <w:rPr>
          <w:color w:val="auto"/>
          <w:highlight w:val="none"/>
        </w:rPr>
        <w:fldChar w:fldCharType="separate"/>
      </w:r>
      <w:r>
        <w:rPr>
          <w:rFonts w:hint="eastAsia" w:cs="宋体"/>
          <w:color w:val="auto"/>
          <w:sz w:val="24"/>
          <w:szCs w:val="44"/>
          <w:highlight w:val="none"/>
        </w:rPr>
        <w:t>第四部分  合同主要条款</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_Toc16171 \h </w:instrText>
      </w:r>
      <w:r>
        <w:rPr>
          <w:color w:val="auto"/>
          <w:sz w:val="24"/>
          <w:szCs w:val="24"/>
          <w:highlight w:val="none"/>
        </w:rPr>
        <w:fldChar w:fldCharType="separate"/>
      </w:r>
      <w:r>
        <w:rPr>
          <w:color w:val="auto"/>
          <w:sz w:val="24"/>
          <w:szCs w:val="24"/>
          <w:highlight w:val="none"/>
        </w:rPr>
        <w:t>30</w:t>
      </w:r>
      <w:r>
        <w:rPr>
          <w:color w:val="auto"/>
          <w:sz w:val="24"/>
          <w:szCs w:val="24"/>
          <w:highlight w:val="none"/>
        </w:rPr>
        <w:fldChar w:fldCharType="end"/>
      </w:r>
      <w:r>
        <w:rPr>
          <w:color w:val="auto"/>
          <w:sz w:val="24"/>
          <w:szCs w:val="24"/>
          <w:highlight w:val="none"/>
        </w:rPr>
        <w:fldChar w:fldCharType="end"/>
      </w:r>
    </w:p>
    <w:p>
      <w:pPr>
        <w:pStyle w:val="21"/>
        <w:tabs>
          <w:tab w:val="right" w:leader="dot" w:pos="8958"/>
        </w:tabs>
        <w:spacing w:line="360" w:lineRule="auto"/>
        <w:rPr>
          <w:color w:val="auto"/>
          <w:sz w:val="24"/>
          <w:szCs w:val="24"/>
          <w:highlight w:val="none"/>
        </w:rPr>
      </w:pPr>
      <w:r>
        <w:rPr>
          <w:color w:val="auto"/>
          <w:highlight w:val="none"/>
        </w:rPr>
        <w:fldChar w:fldCharType="begin"/>
      </w:r>
      <w:r>
        <w:rPr>
          <w:color w:val="auto"/>
          <w:highlight w:val="none"/>
        </w:rPr>
        <w:instrText xml:space="preserve"> HYPERLINK \l "_Toc23993" </w:instrText>
      </w:r>
      <w:r>
        <w:rPr>
          <w:color w:val="auto"/>
          <w:highlight w:val="none"/>
        </w:rPr>
        <w:fldChar w:fldCharType="separate"/>
      </w:r>
      <w:r>
        <w:rPr>
          <w:rFonts w:hint="eastAsia" w:cs="宋体"/>
          <w:color w:val="auto"/>
          <w:sz w:val="24"/>
          <w:szCs w:val="44"/>
          <w:highlight w:val="none"/>
        </w:rPr>
        <w:t>第五部分  附件（响应文件格式）</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_Toc23993 \h </w:instrText>
      </w:r>
      <w:r>
        <w:rPr>
          <w:color w:val="auto"/>
          <w:sz w:val="24"/>
          <w:szCs w:val="24"/>
          <w:highlight w:val="none"/>
        </w:rPr>
        <w:fldChar w:fldCharType="separate"/>
      </w:r>
      <w:r>
        <w:rPr>
          <w:color w:val="auto"/>
          <w:sz w:val="24"/>
          <w:szCs w:val="24"/>
          <w:highlight w:val="none"/>
        </w:rPr>
        <w:t>38</w:t>
      </w:r>
      <w:r>
        <w:rPr>
          <w:color w:val="auto"/>
          <w:sz w:val="24"/>
          <w:szCs w:val="24"/>
          <w:highlight w:val="none"/>
        </w:rPr>
        <w:fldChar w:fldCharType="end"/>
      </w:r>
      <w:r>
        <w:rPr>
          <w:color w:val="auto"/>
          <w:sz w:val="24"/>
          <w:szCs w:val="24"/>
          <w:highlight w:val="none"/>
        </w:rPr>
        <w:fldChar w:fldCharType="end"/>
      </w:r>
    </w:p>
    <w:p>
      <w:pPr>
        <w:pStyle w:val="25"/>
        <w:tabs>
          <w:tab w:val="right" w:leader="dot" w:pos="8958"/>
        </w:tabs>
        <w:spacing w:line="360" w:lineRule="auto"/>
        <w:rPr>
          <w:color w:val="auto"/>
          <w:highlight w:val="none"/>
        </w:rPr>
      </w:pPr>
    </w:p>
    <w:p>
      <w:pPr>
        <w:pStyle w:val="15"/>
        <w:snapToGrid w:val="0"/>
        <w:spacing w:line="360" w:lineRule="auto"/>
        <w:jc w:val="center"/>
        <w:outlineLvl w:val="0"/>
        <w:rPr>
          <w:rStyle w:val="68"/>
          <w:color w:val="auto"/>
          <w:sz w:val="32"/>
          <w:szCs w:val="32"/>
          <w:highlight w:val="none"/>
        </w:rPr>
      </w:pPr>
      <w:r>
        <w:rPr>
          <w:color w:val="auto"/>
          <w:szCs w:val="24"/>
          <w:highlight w:val="none"/>
        </w:rPr>
        <w:fldChar w:fldCharType="end"/>
      </w:r>
      <w:bookmarkStart w:id="0" w:name="_Toc26716"/>
      <w:r>
        <w:rPr>
          <w:color w:val="auto"/>
          <w:sz w:val="24"/>
          <w:highlight w:val="none"/>
        </w:rPr>
        <w:br w:type="page"/>
      </w:r>
      <w:bookmarkStart w:id="1" w:name="_Toc171394907"/>
      <w:bookmarkStart w:id="2" w:name="_Toc118516209"/>
      <w:r>
        <w:rPr>
          <w:b/>
          <w:bCs/>
          <w:color w:val="auto"/>
          <w:sz w:val="32"/>
          <w:highlight w:val="none"/>
        </w:rPr>
        <w:t>第一部分</w:t>
      </w:r>
      <w:bookmarkEnd w:id="1"/>
      <w:bookmarkEnd w:id="2"/>
      <w:bookmarkStart w:id="3" w:name="_Toc171394913"/>
      <w:r>
        <w:rPr>
          <w:rFonts w:hint="eastAsia" w:hAnsi="宋体" w:cs="宋体"/>
          <w:b/>
          <w:bCs/>
          <w:color w:val="auto"/>
          <w:sz w:val="36"/>
          <w:szCs w:val="36"/>
          <w:highlight w:val="none"/>
        </w:rPr>
        <w:t>竞争性磋商</w:t>
      </w:r>
      <w:bookmarkStart w:id="4" w:name="_Toc35393630"/>
      <w:bookmarkStart w:id="5" w:name="_Toc28359013"/>
      <w:bookmarkStart w:id="6" w:name="_Toc28359090"/>
      <w:bookmarkStart w:id="7" w:name="_Toc35393799"/>
      <w:r>
        <w:rPr>
          <w:rStyle w:val="68"/>
          <w:color w:val="auto"/>
          <w:sz w:val="32"/>
          <w:szCs w:val="32"/>
          <w:highlight w:val="none"/>
        </w:rPr>
        <w:t>公告</w:t>
      </w:r>
      <w:bookmarkEnd w:id="0"/>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eastAsia="zh-CN"/>
        </w:rPr>
        <w:t>浙江省拱宸强制隔离戒毒所“红色基地”整体改造设计项目</w:t>
      </w:r>
      <w:r>
        <w:rPr>
          <w:rFonts w:hint="eastAsia" w:ascii="宋体" w:hAnsi="宋体" w:cs="宋体"/>
          <w:color w:val="auto"/>
          <w:sz w:val="24"/>
          <w:highlight w:val="none"/>
        </w:rPr>
        <w:t>采购项目的潜在供应商应在浙江政府采购网（http://zfcg.czt.zj.gov.cn/）获取（下载）采购文件，并于2023年</w:t>
      </w:r>
      <w:r>
        <w:rPr>
          <w:rFonts w:hint="eastAsia" w:ascii="宋体" w:hAnsi="宋体" w:cs="宋体"/>
          <w:color w:val="auto"/>
          <w:sz w:val="24"/>
          <w:highlight w:val="none"/>
          <w:lang w:val="en-US" w:eastAsia="zh-CN"/>
        </w:rPr>
        <w:t>11</w:t>
      </w:r>
      <w:r>
        <w:rPr>
          <w:rFonts w:hint="eastAsia" w:ascii="宋体" w:hAnsi="宋体" w:cs="宋体"/>
          <w:color w:val="auto"/>
          <w:sz w:val="24"/>
          <w:highlight w:val="none"/>
        </w:rPr>
        <w:t>月</w:t>
      </w:r>
      <w:r>
        <w:rPr>
          <w:rFonts w:hint="eastAsia" w:ascii="宋体" w:hAnsi="宋体" w:cs="宋体"/>
          <w:color w:val="auto"/>
          <w:sz w:val="24"/>
          <w:highlight w:val="none"/>
          <w:lang w:val="en-US" w:eastAsia="zh-CN"/>
        </w:rPr>
        <w:t>14</w:t>
      </w:r>
      <w:r>
        <w:rPr>
          <w:rFonts w:hint="eastAsia" w:ascii="宋体" w:hAnsi="宋体" w:cs="宋体"/>
          <w:color w:val="auto"/>
          <w:sz w:val="24"/>
          <w:highlight w:val="none"/>
        </w:rPr>
        <w:t>日</w:t>
      </w:r>
      <w:r>
        <w:rPr>
          <w:rFonts w:hint="eastAsia" w:ascii="宋体" w:hAnsi="宋体" w:cs="宋体"/>
          <w:color w:val="auto"/>
          <w:sz w:val="24"/>
          <w:highlight w:val="none"/>
          <w:lang w:val="en-US" w:eastAsia="zh-CN"/>
        </w:rPr>
        <w:t>13</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30</w:t>
      </w:r>
      <w:r>
        <w:rPr>
          <w:rFonts w:hint="eastAsia" w:ascii="宋体" w:hAnsi="宋体" w:cs="宋体"/>
          <w:color w:val="auto"/>
          <w:sz w:val="24"/>
          <w:highlight w:val="none"/>
        </w:rPr>
        <w:t>（北京时间）前提交（上传）响应文件</w:t>
      </w:r>
      <w:r>
        <w:rPr>
          <w:rFonts w:ascii="宋体" w:hAnsi="宋体" w:cs="宋体"/>
          <w:color w:val="auto"/>
          <w:sz w:val="24"/>
          <w:highlight w:val="none"/>
        </w:rPr>
        <w:t>。</w:t>
      </w:r>
    </w:p>
    <w:p>
      <w:pPr>
        <w:pStyle w:val="12"/>
        <w:ind w:firstLine="0"/>
        <w:rPr>
          <w:rFonts w:hint="default" w:cs="宋体"/>
          <w:b/>
          <w:bCs/>
          <w:color w:val="auto"/>
          <w:szCs w:val="22"/>
          <w:highlight w:val="none"/>
        </w:rPr>
      </w:pPr>
      <w:bookmarkStart w:id="8" w:name="_Toc28359002"/>
      <w:bookmarkStart w:id="9" w:name="_Toc35393621"/>
      <w:bookmarkStart w:id="10" w:name="_Toc35393790"/>
      <w:bookmarkStart w:id="11" w:name="_Toc28359079"/>
      <w:r>
        <w:rPr>
          <w:rFonts w:cs="宋体"/>
          <w:b/>
          <w:bCs/>
          <w:color w:val="auto"/>
          <w:szCs w:val="22"/>
          <w:highlight w:val="none"/>
        </w:rPr>
        <w:t>一、项目基本情况</w:t>
      </w:r>
      <w:bookmarkEnd w:id="8"/>
      <w:bookmarkEnd w:id="9"/>
      <w:bookmarkEnd w:id="10"/>
      <w:bookmarkEnd w:id="11"/>
    </w:p>
    <w:p>
      <w:pPr>
        <w:adjustRightInd w:val="0"/>
        <w:snapToGrid w:val="0"/>
        <w:spacing w:line="360" w:lineRule="auto"/>
        <w:ind w:firstLine="480" w:firstLineChars="200"/>
        <w:jc w:val="lef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项目编号：</w:t>
      </w:r>
      <w:r>
        <w:rPr>
          <w:rFonts w:hint="eastAsia" w:ascii="宋体" w:hAnsi="宋体" w:cs="宋体"/>
          <w:color w:val="auto"/>
          <w:sz w:val="24"/>
          <w:szCs w:val="24"/>
          <w:highlight w:val="none"/>
          <w:lang w:eastAsia="zh-CN"/>
        </w:rPr>
        <w:t>HSZB-2023-852</w:t>
      </w:r>
    </w:p>
    <w:p>
      <w:pPr>
        <w:adjustRightInd w:val="0"/>
        <w:snapToGrid w:val="0"/>
        <w:spacing w:line="360" w:lineRule="auto"/>
        <w:ind w:firstLine="480" w:firstLineChars="200"/>
        <w:jc w:val="lef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项目名称：</w:t>
      </w:r>
      <w:r>
        <w:rPr>
          <w:rFonts w:hint="eastAsia" w:ascii="宋体" w:hAnsi="宋体" w:cs="宋体"/>
          <w:color w:val="auto"/>
          <w:sz w:val="24"/>
          <w:szCs w:val="24"/>
          <w:highlight w:val="none"/>
          <w:lang w:eastAsia="zh-CN"/>
        </w:rPr>
        <w:t>浙江省拱宸强制隔离戒毒所“红色基地”整体改造设计项目</w:t>
      </w:r>
    </w:p>
    <w:p>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采购方式：竞争性磋商</w:t>
      </w:r>
    </w:p>
    <w:p>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预算金额（元）：</w:t>
      </w:r>
      <w:r>
        <w:rPr>
          <w:rFonts w:hint="eastAsia" w:ascii="宋体" w:hAnsi="宋体" w:cs="宋体"/>
          <w:color w:val="auto"/>
          <w:sz w:val="24"/>
          <w:szCs w:val="24"/>
          <w:highlight w:val="none"/>
          <w:lang w:val="en-US" w:eastAsia="zh-CN"/>
        </w:rPr>
        <w:t>199500</w:t>
      </w:r>
    </w:p>
    <w:p>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最高限价（元）：</w:t>
      </w:r>
      <w:r>
        <w:rPr>
          <w:rFonts w:hint="eastAsia" w:ascii="宋体" w:hAnsi="宋体" w:cs="宋体"/>
          <w:color w:val="auto"/>
          <w:sz w:val="24"/>
          <w:szCs w:val="24"/>
          <w:highlight w:val="none"/>
          <w:lang w:val="en-US" w:eastAsia="zh-CN"/>
        </w:rPr>
        <w:t>199500</w:t>
      </w:r>
    </w:p>
    <w:p>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采购需求：</w:t>
      </w:r>
    </w:p>
    <w:p>
      <w:pPr>
        <w:adjustRightInd w:val="0"/>
        <w:snapToGrid w:val="0"/>
        <w:spacing w:line="360" w:lineRule="auto"/>
        <w:ind w:firstLine="480" w:firstLineChars="200"/>
        <w:jc w:val="left"/>
        <w:rPr>
          <w:rFonts w:ascii="宋体" w:hAnsi="宋体" w:cs="宋体"/>
          <w:color w:val="auto"/>
          <w:sz w:val="24"/>
          <w:szCs w:val="24"/>
          <w:highlight w:val="none"/>
        </w:rPr>
      </w:pPr>
    </w:p>
    <w:p>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数量：1</w:t>
      </w:r>
    </w:p>
    <w:p>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预算金额（元）：</w:t>
      </w:r>
      <w:r>
        <w:rPr>
          <w:rFonts w:hint="eastAsia" w:ascii="宋体" w:hAnsi="宋体" w:cs="宋体"/>
          <w:color w:val="auto"/>
          <w:sz w:val="24"/>
          <w:szCs w:val="24"/>
          <w:highlight w:val="none"/>
          <w:lang w:val="en-US" w:eastAsia="zh-CN"/>
        </w:rPr>
        <w:t>199500</w:t>
      </w:r>
    </w:p>
    <w:p>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单位：项</w:t>
      </w:r>
    </w:p>
    <w:p>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简要规格描述：本次采购内容为对浙江</w:t>
      </w:r>
      <w:r>
        <w:rPr>
          <w:rFonts w:hint="eastAsia" w:ascii="宋体" w:hAnsi="宋体" w:cs="宋体"/>
          <w:color w:val="auto"/>
          <w:sz w:val="24"/>
          <w:szCs w:val="24"/>
          <w:highlight w:val="none"/>
          <w:lang w:val="en-US" w:eastAsia="zh-CN"/>
        </w:rPr>
        <w:t>省拱宸强制隔离戒毒所2006年2月8日习近平同志作出重要指示的会场及周边进行整体规划设计，将全所改造成以一个红色主题展馆为核心和若干配套红色主题空间为一体的红色基地。主要内容包含但不限于</w:t>
      </w:r>
      <w:r>
        <w:rPr>
          <w:rFonts w:hint="eastAsia" w:ascii="宋体" w:hAnsi="宋体" w:cs="宋体"/>
          <w:color w:val="auto"/>
          <w:sz w:val="24"/>
          <w:szCs w:val="24"/>
          <w:highlight w:val="none"/>
        </w:rPr>
        <w:t>空间优化布局、信息化提升、设施设备更新、空间文化营造、导示标识及色彩等设计，在满足建筑规范与安全的前提下实现</w:t>
      </w:r>
      <w:r>
        <w:rPr>
          <w:rFonts w:hint="eastAsia" w:ascii="宋体" w:hAnsi="宋体" w:cs="宋体"/>
          <w:color w:val="auto"/>
          <w:sz w:val="24"/>
          <w:szCs w:val="24"/>
          <w:highlight w:val="none"/>
          <w:lang w:val="en-US" w:eastAsia="zh-CN"/>
        </w:rPr>
        <w:t>功能调整和</w:t>
      </w:r>
      <w:r>
        <w:rPr>
          <w:rFonts w:hint="eastAsia" w:ascii="宋体" w:hAnsi="宋体" w:cs="宋体"/>
          <w:color w:val="auto"/>
          <w:sz w:val="24"/>
          <w:szCs w:val="24"/>
          <w:highlight w:val="none"/>
        </w:rPr>
        <w:t>提升，</w:t>
      </w:r>
      <w:r>
        <w:rPr>
          <w:rFonts w:hint="eastAsia" w:ascii="宋体" w:hAnsi="宋体" w:cs="宋体"/>
          <w:color w:val="auto"/>
          <w:sz w:val="24"/>
          <w:szCs w:val="24"/>
          <w:highlight w:val="none"/>
          <w:lang w:val="en-US" w:eastAsia="zh-CN"/>
        </w:rPr>
        <w:t>具备对外展示功能。</w:t>
      </w:r>
      <w:r>
        <w:rPr>
          <w:rFonts w:hint="eastAsia" w:ascii="宋体" w:hAnsi="宋体" w:cs="宋体"/>
          <w:color w:val="auto"/>
          <w:sz w:val="24"/>
          <w:szCs w:val="24"/>
          <w:highlight w:val="none"/>
        </w:rPr>
        <w:t>具体详见竞争性磋商文件第三部分。</w:t>
      </w:r>
    </w:p>
    <w:p>
      <w:pPr>
        <w:adjustRightInd w:val="0"/>
        <w:snapToGrid w:val="0"/>
        <w:spacing w:line="360" w:lineRule="auto"/>
        <w:ind w:firstLine="480" w:firstLineChars="200"/>
        <w:jc w:val="left"/>
        <w:rPr>
          <w:color w:val="auto"/>
          <w:sz w:val="24"/>
          <w:szCs w:val="24"/>
          <w:highlight w:val="none"/>
        </w:rPr>
      </w:pPr>
      <w:r>
        <w:rPr>
          <w:rFonts w:hint="eastAsia"/>
          <w:color w:val="auto"/>
          <w:sz w:val="24"/>
          <w:szCs w:val="24"/>
          <w:highlight w:val="none"/>
        </w:rPr>
        <w:t>备注：</w:t>
      </w:r>
      <w:r>
        <w:rPr>
          <w:rFonts w:hint="eastAsia" w:ascii="宋体" w:hAnsi="宋体" w:cs="宋体"/>
          <w:color w:val="auto"/>
          <w:sz w:val="24"/>
          <w:szCs w:val="24"/>
          <w:highlight w:val="none"/>
        </w:rPr>
        <w:t>/</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合同履约期限：</w:t>
      </w:r>
      <w:r>
        <w:rPr>
          <w:rFonts w:hint="eastAsia" w:hAnsi="宋体"/>
          <w:color w:val="auto"/>
          <w:sz w:val="24"/>
          <w:highlight w:val="none"/>
        </w:rPr>
        <w:t>自合同签订之日起一年，其中设计周期30日历天。</w:t>
      </w:r>
    </w:p>
    <w:p>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本项目</w:t>
      </w:r>
      <w:r>
        <w:rPr>
          <w:rFonts w:hint="default" w:ascii="宋体" w:hAnsi="宋体" w:cs="宋体"/>
          <w:color w:val="auto"/>
          <w:sz w:val="24"/>
          <w:szCs w:val="24"/>
          <w:highlight w:val="none"/>
          <w:lang w:val="en-US" w:eastAsia="zh-CN"/>
        </w:rPr>
        <w:t>（是）</w:t>
      </w:r>
      <w:r>
        <w:rPr>
          <w:rFonts w:hint="eastAsia" w:ascii="宋体" w:hAnsi="宋体" w:cs="宋体"/>
          <w:color w:val="auto"/>
          <w:sz w:val="24"/>
          <w:szCs w:val="24"/>
          <w:highlight w:val="none"/>
        </w:rPr>
        <w:t>接受联合体投标。</w:t>
      </w:r>
    </w:p>
    <w:p>
      <w:pPr>
        <w:adjustRightInd w:val="0"/>
        <w:snapToGrid w:val="0"/>
        <w:spacing w:line="360" w:lineRule="auto"/>
        <w:rPr>
          <w:rFonts w:ascii="宋体" w:hAnsi="宋体" w:cs="宋体"/>
          <w:b/>
          <w:color w:val="auto"/>
          <w:sz w:val="24"/>
          <w:szCs w:val="24"/>
          <w:highlight w:val="none"/>
        </w:rPr>
      </w:pPr>
      <w:r>
        <w:rPr>
          <w:rFonts w:hint="eastAsia" w:ascii="宋体" w:hAnsi="宋体" w:cs="宋体"/>
          <w:b/>
          <w:color w:val="auto"/>
          <w:sz w:val="24"/>
          <w:szCs w:val="24"/>
          <w:highlight w:val="none"/>
        </w:rPr>
        <w:t>二、</w:t>
      </w:r>
      <w:bookmarkEnd w:id="4"/>
      <w:bookmarkEnd w:id="5"/>
      <w:bookmarkEnd w:id="6"/>
      <w:bookmarkEnd w:id="7"/>
      <w:r>
        <w:rPr>
          <w:rStyle w:val="36"/>
          <w:rFonts w:hint="eastAsia" w:ascii="宋体" w:hAnsi="宋体" w:cs="宋体"/>
          <w:color w:val="auto"/>
          <w:sz w:val="24"/>
          <w:szCs w:val="24"/>
          <w:highlight w:val="none"/>
        </w:rPr>
        <w:t>申请人的资格要求：</w:t>
      </w:r>
    </w:p>
    <w:p>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1.满足《中华人民共和国政府采购法》第二十二条规定。未被“信用中国”（www.creditchina.gov.cn)、中国政府采购网（www.ccgp.gov.cn）列入失信被执行人、重大税收违法失信主体、政府采购严重违法失信行为记录名单。</w:t>
      </w:r>
    </w:p>
    <w:p>
      <w:pPr>
        <w:autoSpaceDE w:val="0"/>
        <w:autoSpaceDN w:val="0"/>
        <w:adjustRightInd w:val="0"/>
        <w:snapToGrid w:val="0"/>
        <w:spacing w:line="360" w:lineRule="auto"/>
        <w:ind w:firstLine="480" w:firstLineChars="200"/>
        <w:textAlignment w:val="bottom"/>
        <w:rPr>
          <w:rFonts w:ascii="宋体" w:hAnsi="宋体" w:cs="宋体"/>
          <w:color w:val="auto"/>
          <w:sz w:val="24"/>
          <w:szCs w:val="24"/>
          <w:highlight w:val="none"/>
        </w:rPr>
      </w:pPr>
      <w:r>
        <w:rPr>
          <w:rFonts w:hint="eastAsia" w:ascii="宋体" w:hAnsi="宋体" w:cs="宋体"/>
          <w:color w:val="auto"/>
          <w:sz w:val="24"/>
          <w:szCs w:val="24"/>
          <w:highlight w:val="none"/>
        </w:rPr>
        <w:t>2.落实政府采购政策需满足的资格要求：</w:t>
      </w:r>
      <w:r>
        <w:rPr>
          <w:rFonts w:hint="eastAsia" w:ascii="宋体" w:hAnsi="宋体" w:cs="宋体"/>
          <w:b/>
          <w:bCs/>
          <w:color w:val="auto"/>
          <w:sz w:val="24"/>
          <w:szCs w:val="24"/>
          <w:highlight w:val="none"/>
        </w:rPr>
        <w:t>标项1：供应商为中小企业/小微企业</w:t>
      </w:r>
      <w:r>
        <w:rPr>
          <w:rFonts w:hint="eastAsia" w:ascii="宋体" w:hAnsi="宋体" w:cs="宋体"/>
          <w:color w:val="auto"/>
          <w:sz w:val="24"/>
          <w:szCs w:val="24"/>
          <w:highlight w:val="none"/>
        </w:rPr>
        <w:t>。</w:t>
      </w:r>
    </w:p>
    <w:p>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3.本项目的特定资格要求：具有建设行政主管部门颁发的①工程设计综合资质甲级</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或②建筑行业</w:t>
      </w:r>
      <w:r>
        <w:rPr>
          <w:rFonts w:hint="eastAsia" w:ascii="宋体" w:hAnsi="宋体" w:cs="宋体"/>
          <w:color w:val="auto"/>
          <w:sz w:val="24"/>
          <w:szCs w:val="24"/>
          <w:highlight w:val="none"/>
          <w:lang w:val="en-US" w:eastAsia="zh-CN"/>
        </w:rPr>
        <w:t>丙</w:t>
      </w:r>
      <w:r>
        <w:rPr>
          <w:rFonts w:hint="eastAsia" w:ascii="宋体" w:hAnsi="宋体" w:cs="宋体"/>
          <w:color w:val="auto"/>
          <w:sz w:val="24"/>
          <w:szCs w:val="24"/>
          <w:highlight w:val="none"/>
        </w:rPr>
        <w:t>级</w:t>
      </w:r>
      <w:r>
        <w:rPr>
          <w:rFonts w:hint="eastAsia" w:ascii="宋体" w:hAnsi="宋体" w:cs="宋体"/>
          <w:color w:val="auto"/>
          <w:sz w:val="24"/>
          <w:szCs w:val="24"/>
          <w:highlight w:val="none"/>
          <w:lang w:val="en-US" w:eastAsia="zh-CN"/>
        </w:rPr>
        <w:t>资质；</w:t>
      </w:r>
      <w:r>
        <w:rPr>
          <w:rFonts w:hint="eastAsia" w:ascii="宋体" w:hAnsi="宋体" w:cs="宋体"/>
          <w:color w:val="auto"/>
          <w:sz w:val="24"/>
          <w:szCs w:val="24"/>
          <w:highlight w:val="none"/>
        </w:rPr>
        <w:t>或③建筑行业（建筑工程）设计</w:t>
      </w:r>
      <w:r>
        <w:rPr>
          <w:rFonts w:hint="eastAsia" w:ascii="宋体" w:hAnsi="宋体" w:cs="宋体"/>
          <w:color w:val="auto"/>
          <w:sz w:val="24"/>
          <w:szCs w:val="24"/>
          <w:highlight w:val="none"/>
          <w:lang w:val="en-US" w:eastAsia="zh-CN"/>
        </w:rPr>
        <w:t>丁</w:t>
      </w:r>
      <w:r>
        <w:rPr>
          <w:rFonts w:hint="eastAsia" w:ascii="宋体" w:hAnsi="宋体" w:cs="宋体"/>
          <w:color w:val="auto"/>
          <w:sz w:val="24"/>
          <w:szCs w:val="24"/>
          <w:highlight w:val="none"/>
        </w:rPr>
        <w:t>级（或以上）资质</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或④建筑装饰工程设计专项乙级（或以上）资质。</w:t>
      </w:r>
    </w:p>
    <w:p>
      <w:pPr>
        <w:adjustRightInd w:val="0"/>
        <w:snapToGrid w:val="0"/>
        <w:spacing w:line="360" w:lineRule="auto"/>
        <w:jc w:val="left"/>
        <w:rPr>
          <w:rFonts w:ascii="宋体" w:hAnsi="宋体" w:cs="宋体"/>
          <w:b/>
          <w:bCs/>
          <w:color w:val="auto"/>
          <w:sz w:val="24"/>
          <w:szCs w:val="24"/>
          <w:highlight w:val="none"/>
        </w:rPr>
      </w:pPr>
      <w:r>
        <w:rPr>
          <w:rFonts w:hint="eastAsia" w:ascii="宋体" w:hAnsi="宋体" w:cs="宋体"/>
          <w:b/>
          <w:bCs/>
          <w:color w:val="auto"/>
          <w:sz w:val="24"/>
          <w:szCs w:val="24"/>
          <w:highlight w:val="none"/>
        </w:rPr>
        <w:t>三、获取（下载）采购文件</w:t>
      </w:r>
    </w:p>
    <w:p>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时间：/2023年</w:t>
      </w:r>
      <w:r>
        <w:rPr>
          <w:rFonts w:hint="eastAsia" w:ascii="宋体" w:hAnsi="宋体" w:cs="宋体"/>
          <w:color w:val="auto"/>
          <w:sz w:val="24"/>
          <w:szCs w:val="24"/>
          <w:highlight w:val="none"/>
          <w:lang w:val="en-US" w:eastAsia="zh-CN"/>
        </w:rPr>
        <w:t>11</w:t>
      </w:r>
      <w:r>
        <w:rPr>
          <w:rFonts w:hint="eastAsia" w:ascii="宋体" w:hAnsi="宋体" w:cs="宋体"/>
          <w:color w:val="auto"/>
          <w:sz w:val="24"/>
          <w:szCs w:val="24"/>
          <w:highlight w:val="none"/>
        </w:rPr>
        <w:t>月</w:t>
      </w:r>
      <w:r>
        <w:rPr>
          <w:rFonts w:hint="eastAsia" w:ascii="宋体" w:hAnsi="宋体" w:cs="宋体"/>
          <w:color w:val="auto"/>
          <w:sz w:val="24"/>
          <w:szCs w:val="24"/>
          <w:highlight w:val="none"/>
          <w:lang w:val="en-US" w:eastAsia="zh-CN"/>
        </w:rPr>
        <w:t>14</w:t>
      </w:r>
      <w:r>
        <w:rPr>
          <w:rFonts w:hint="eastAsia" w:ascii="宋体" w:hAnsi="宋体" w:cs="宋体"/>
          <w:color w:val="auto"/>
          <w:sz w:val="24"/>
          <w:szCs w:val="24"/>
          <w:highlight w:val="none"/>
        </w:rPr>
        <w:t>日，每天上午00:00至12:00，下午12:00至23:59（北京时间，线上获取法定节假日均可，线下获取文件法定节假日除外）</w:t>
      </w:r>
    </w:p>
    <w:p>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地点（网址）：政采云平台线上获取</w:t>
      </w:r>
    </w:p>
    <w:p>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方式：供应商登录政采云平台https://www.zcygov.cn/在线申请获取采购文件（进入“项目采购”应用，在获取采购文件菜单中选择项目，申请获取采购文件）</w:t>
      </w:r>
    </w:p>
    <w:p>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售价（元）：0</w:t>
      </w:r>
    </w:p>
    <w:p>
      <w:pPr>
        <w:adjustRightInd w:val="0"/>
        <w:snapToGrid w:val="0"/>
        <w:spacing w:line="360" w:lineRule="auto"/>
        <w:jc w:val="left"/>
        <w:rPr>
          <w:rFonts w:ascii="宋体" w:hAnsi="宋体" w:cs="宋体"/>
          <w:b/>
          <w:bCs/>
          <w:color w:val="auto"/>
          <w:sz w:val="24"/>
          <w:szCs w:val="24"/>
          <w:highlight w:val="none"/>
        </w:rPr>
      </w:pPr>
      <w:r>
        <w:rPr>
          <w:rFonts w:hint="eastAsia" w:ascii="宋体" w:hAnsi="宋体" w:cs="宋体"/>
          <w:b/>
          <w:bCs/>
          <w:color w:val="auto"/>
          <w:sz w:val="24"/>
          <w:szCs w:val="24"/>
          <w:highlight w:val="none"/>
        </w:rPr>
        <w:t>四、响应文件提交（上传）</w:t>
      </w:r>
    </w:p>
    <w:p>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截止时间：</w:t>
      </w:r>
      <w:r>
        <w:rPr>
          <w:rFonts w:hint="eastAsia" w:ascii="宋体" w:hAnsi="宋体" w:cs="宋体"/>
          <w:color w:val="auto"/>
          <w:sz w:val="24"/>
          <w:szCs w:val="24"/>
          <w:highlight w:val="none"/>
          <w:lang w:eastAsia="zh-CN"/>
        </w:rPr>
        <w:t>2023年</w:t>
      </w:r>
      <w:r>
        <w:rPr>
          <w:rFonts w:hint="eastAsia" w:ascii="宋体" w:hAnsi="宋体" w:cs="宋体"/>
          <w:color w:val="auto"/>
          <w:sz w:val="24"/>
          <w:szCs w:val="24"/>
          <w:highlight w:val="none"/>
          <w:lang w:val="en-US" w:eastAsia="zh-CN"/>
        </w:rPr>
        <w:t>11</w:t>
      </w:r>
      <w:r>
        <w:rPr>
          <w:rFonts w:hint="eastAsia" w:ascii="宋体" w:hAnsi="宋体" w:cs="宋体"/>
          <w:color w:val="auto"/>
          <w:sz w:val="24"/>
          <w:szCs w:val="24"/>
          <w:highlight w:val="none"/>
          <w:lang w:eastAsia="zh-CN"/>
        </w:rPr>
        <w:t>月</w:t>
      </w:r>
      <w:r>
        <w:rPr>
          <w:rFonts w:hint="eastAsia" w:ascii="宋体" w:hAnsi="宋体" w:cs="宋体"/>
          <w:color w:val="auto"/>
          <w:sz w:val="24"/>
          <w:szCs w:val="24"/>
          <w:highlight w:val="none"/>
          <w:lang w:val="en-US" w:eastAsia="zh-CN"/>
        </w:rPr>
        <w:t>14</w:t>
      </w:r>
      <w:r>
        <w:rPr>
          <w:rFonts w:hint="eastAsia" w:ascii="宋体" w:hAnsi="宋体" w:cs="宋体"/>
          <w:color w:val="auto"/>
          <w:sz w:val="24"/>
          <w:szCs w:val="24"/>
          <w:highlight w:val="none"/>
          <w:lang w:eastAsia="zh-CN"/>
        </w:rPr>
        <w:t>日</w:t>
      </w:r>
      <w:r>
        <w:rPr>
          <w:rFonts w:hint="eastAsia" w:ascii="宋体" w:hAnsi="宋体" w:cs="宋体"/>
          <w:color w:val="auto"/>
          <w:sz w:val="24"/>
          <w:highlight w:val="none"/>
          <w:lang w:val="en-US" w:eastAsia="zh-CN"/>
        </w:rPr>
        <w:t>13</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30</w:t>
      </w:r>
      <w:r>
        <w:rPr>
          <w:rFonts w:hint="eastAsia" w:ascii="宋体" w:hAnsi="宋体" w:cs="宋体"/>
          <w:color w:val="auto"/>
          <w:sz w:val="24"/>
          <w:szCs w:val="24"/>
          <w:highlight w:val="none"/>
        </w:rPr>
        <w:t>（北京时间）</w:t>
      </w:r>
    </w:p>
    <w:p>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地点（网址）：本项目响应文件通过“政府采购云平台（www.zcygov.cn）”传输递交</w:t>
      </w:r>
    </w:p>
    <w:p>
      <w:pPr>
        <w:adjustRightInd w:val="0"/>
        <w:snapToGrid w:val="0"/>
        <w:spacing w:line="360" w:lineRule="auto"/>
        <w:jc w:val="left"/>
        <w:rPr>
          <w:rFonts w:ascii="宋体" w:hAnsi="宋体" w:cs="宋体"/>
          <w:color w:val="auto"/>
          <w:sz w:val="24"/>
          <w:szCs w:val="24"/>
          <w:highlight w:val="none"/>
        </w:rPr>
      </w:pPr>
      <w:r>
        <w:rPr>
          <w:rFonts w:hint="eastAsia" w:ascii="宋体" w:hAnsi="宋体" w:cs="宋体"/>
          <w:b/>
          <w:bCs/>
          <w:color w:val="auto"/>
          <w:sz w:val="24"/>
          <w:szCs w:val="24"/>
          <w:highlight w:val="none"/>
        </w:rPr>
        <w:t>五、响应文件开启</w:t>
      </w:r>
    </w:p>
    <w:p>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开启时间：</w:t>
      </w:r>
      <w:r>
        <w:rPr>
          <w:rFonts w:hint="eastAsia" w:ascii="宋体" w:hAnsi="宋体" w:cs="宋体"/>
          <w:color w:val="auto"/>
          <w:sz w:val="24"/>
          <w:szCs w:val="24"/>
          <w:highlight w:val="none"/>
          <w:lang w:eastAsia="zh-CN"/>
        </w:rPr>
        <w:t>2023年</w:t>
      </w:r>
      <w:r>
        <w:rPr>
          <w:rFonts w:hint="eastAsia" w:ascii="宋体" w:hAnsi="宋体" w:cs="宋体"/>
          <w:color w:val="auto"/>
          <w:sz w:val="24"/>
          <w:szCs w:val="24"/>
          <w:highlight w:val="none"/>
          <w:lang w:val="en-US" w:eastAsia="zh-CN"/>
        </w:rPr>
        <w:t>11</w:t>
      </w:r>
      <w:r>
        <w:rPr>
          <w:rFonts w:hint="eastAsia" w:ascii="宋体" w:hAnsi="宋体" w:cs="宋体"/>
          <w:color w:val="auto"/>
          <w:sz w:val="24"/>
          <w:szCs w:val="24"/>
          <w:highlight w:val="none"/>
          <w:lang w:eastAsia="zh-CN"/>
        </w:rPr>
        <w:t>月</w:t>
      </w:r>
      <w:r>
        <w:rPr>
          <w:rFonts w:hint="eastAsia" w:ascii="宋体" w:hAnsi="宋体" w:cs="宋体"/>
          <w:color w:val="auto"/>
          <w:sz w:val="24"/>
          <w:szCs w:val="24"/>
          <w:highlight w:val="none"/>
          <w:lang w:val="en-US" w:eastAsia="zh-CN"/>
        </w:rPr>
        <w:t>14</w:t>
      </w:r>
      <w:r>
        <w:rPr>
          <w:rFonts w:hint="eastAsia" w:ascii="宋体" w:hAnsi="宋体" w:cs="宋体"/>
          <w:color w:val="auto"/>
          <w:sz w:val="24"/>
          <w:szCs w:val="24"/>
          <w:highlight w:val="none"/>
          <w:lang w:eastAsia="zh-CN"/>
        </w:rPr>
        <w:t>日</w:t>
      </w:r>
      <w:r>
        <w:rPr>
          <w:rFonts w:hint="eastAsia" w:ascii="宋体" w:hAnsi="宋体" w:cs="宋体"/>
          <w:color w:val="auto"/>
          <w:sz w:val="24"/>
          <w:highlight w:val="none"/>
          <w:lang w:val="en-US" w:eastAsia="zh-CN"/>
        </w:rPr>
        <w:t>13</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30</w:t>
      </w:r>
      <w:r>
        <w:rPr>
          <w:rFonts w:hint="eastAsia" w:ascii="宋体" w:hAnsi="宋体" w:cs="宋体"/>
          <w:color w:val="auto"/>
          <w:sz w:val="24"/>
          <w:szCs w:val="24"/>
          <w:highlight w:val="none"/>
        </w:rPr>
        <w:t>（北京时间）</w:t>
      </w:r>
    </w:p>
    <w:p>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地点（网址）：政府采购云平台（www.zcygov.cn）</w:t>
      </w:r>
    </w:p>
    <w:p>
      <w:pPr>
        <w:adjustRightInd w:val="0"/>
        <w:snapToGrid w:val="0"/>
        <w:spacing w:line="360" w:lineRule="auto"/>
        <w:jc w:val="left"/>
        <w:rPr>
          <w:rFonts w:ascii="宋体" w:hAnsi="宋体" w:cs="宋体"/>
          <w:b/>
          <w:bCs/>
          <w:color w:val="auto"/>
          <w:sz w:val="24"/>
          <w:szCs w:val="24"/>
          <w:highlight w:val="none"/>
        </w:rPr>
      </w:pPr>
      <w:r>
        <w:rPr>
          <w:rFonts w:hint="eastAsia" w:ascii="宋体" w:hAnsi="宋体" w:cs="宋体"/>
          <w:b/>
          <w:bCs/>
          <w:color w:val="auto"/>
          <w:sz w:val="24"/>
          <w:szCs w:val="24"/>
          <w:highlight w:val="none"/>
        </w:rPr>
        <w:t>六、公告期限</w:t>
      </w:r>
    </w:p>
    <w:p>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自本公告发布之日起3个工作日。</w:t>
      </w:r>
    </w:p>
    <w:p>
      <w:pPr>
        <w:adjustRightInd w:val="0"/>
        <w:snapToGrid w:val="0"/>
        <w:spacing w:line="360" w:lineRule="auto"/>
        <w:jc w:val="left"/>
        <w:rPr>
          <w:rFonts w:ascii="宋体" w:hAnsi="宋体" w:cs="宋体"/>
          <w:b/>
          <w:bCs/>
          <w:color w:val="auto"/>
          <w:sz w:val="24"/>
          <w:szCs w:val="24"/>
          <w:highlight w:val="none"/>
        </w:rPr>
      </w:pPr>
      <w:r>
        <w:rPr>
          <w:rFonts w:hint="eastAsia" w:ascii="宋体" w:hAnsi="宋体" w:cs="宋体"/>
          <w:b/>
          <w:bCs/>
          <w:color w:val="auto"/>
          <w:sz w:val="24"/>
          <w:szCs w:val="24"/>
          <w:highlight w:val="none"/>
        </w:rPr>
        <w:t>七、其他补充事宜</w:t>
      </w:r>
    </w:p>
    <w:p>
      <w:pPr>
        <w:pStyle w:val="12"/>
        <w:ind w:firstLine="480" w:firstLineChars="200"/>
        <w:rPr>
          <w:rFonts w:hint="default"/>
          <w:color w:val="auto"/>
          <w:szCs w:val="24"/>
          <w:highlight w:val="none"/>
        </w:rPr>
      </w:pPr>
      <w:r>
        <w:rPr>
          <w:color w:val="auto"/>
          <w:szCs w:val="24"/>
          <w:highlight w:val="none"/>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和2022年2月1日和2022年7月1日开始实施，此前有关规定与上述文件内容不一致的，按上述文件要求执行。</w:t>
      </w:r>
    </w:p>
    <w:p>
      <w:pPr>
        <w:pStyle w:val="12"/>
        <w:ind w:firstLine="480" w:firstLineChars="200"/>
        <w:rPr>
          <w:rFonts w:hint="default"/>
          <w:color w:val="auto"/>
          <w:szCs w:val="24"/>
          <w:highlight w:val="none"/>
        </w:rPr>
      </w:pPr>
      <w:r>
        <w:rPr>
          <w:color w:val="auto"/>
          <w:szCs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pStyle w:val="12"/>
        <w:ind w:firstLine="480" w:firstLineChars="200"/>
        <w:rPr>
          <w:rFonts w:hint="default"/>
          <w:color w:val="auto"/>
          <w:szCs w:val="24"/>
          <w:highlight w:val="none"/>
        </w:rPr>
      </w:pPr>
      <w:r>
        <w:rPr>
          <w:color w:val="auto"/>
          <w:szCs w:val="24"/>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olor w:val="auto"/>
          <w:sz w:val="24"/>
          <w:szCs w:val="24"/>
          <w:highlight w:val="none"/>
        </w:rPr>
        <w:t>4.其他事项：</w:t>
      </w:r>
      <w:r>
        <w:rPr>
          <w:rFonts w:hint="eastAsia" w:ascii="宋体" w:hAnsi="宋体" w:cs="宋体"/>
          <w:color w:val="auto"/>
          <w:sz w:val="24"/>
          <w:szCs w:val="24"/>
          <w:highlight w:val="none"/>
        </w:rPr>
        <w:t>（1）采购项目需要落实的政府采购政策：《政府采购促进中小企业发展管理办法》（财库﹝2020﹞46号）、《关于促进残疾人就业政府采购政策的通知》（财库〔2017〕141号）、《关于政府采购支持监狱企业发展有关问题的通知》（财库[2014]68号）、《关于调整优化节能产品环境标志产品政府采购执行机制的通知》（财库[2019]9号）。</w:t>
      </w:r>
    </w:p>
    <w:p>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根据《浙江省财政厅关于规范政府采购供应商资格设定及资格审查的通知》（浙财采监[2013]24号）第6条规定接受金融、保险、通讯等特定行业的全国性企业所设立的区域性分支机构，以及个体工商户、个人独资企业、合伙企业，且已经依法办理了工商、税务和社保登记手续，并且获得总机构授权或能够提供房产权证或其他有效财产证明材料，证明其具备实际承担责任的能力和法定的缔结合同能力。</w:t>
      </w:r>
    </w:p>
    <w:p>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（3）单位负责人为同一人或者存在直接控股、管理关系的不同供应商，不得同时参加同一合同项下的投标。</w:t>
      </w:r>
    </w:p>
    <w:p>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（4）为项目提供整体设计、规范编制或者项目管理、监理、检测等服务的供应商，不得参加该项目的投标。</w:t>
      </w:r>
    </w:p>
    <w:p>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（5）采购文件公告期限与磋商公告的公告期限一致。</w:t>
      </w:r>
    </w:p>
    <w:p>
      <w:pPr>
        <w:adjustRightInd w:val="0"/>
        <w:snapToGrid w:val="0"/>
        <w:spacing w:line="360" w:lineRule="auto"/>
        <w:jc w:val="left"/>
        <w:rPr>
          <w:rFonts w:ascii="宋体" w:hAnsi="宋体" w:cs="宋体"/>
          <w:color w:val="auto"/>
          <w:sz w:val="24"/>
          <w:szCs w:val="24"/>
          <w:highlight w:val="none"/>
        </w:rPr>
      </w:pPr>
      <w:r>
        <w:rPr>
          <w:rFonts w:hint="eastAsia" w:ascii="宋体" w:hAnsi="宋体" w:cs="宋体"/>
          <w:b/>
          <w:bCs/>
          <w:color w:val="auto"/>
          <w:sz w:val="24"/>
          <w:szCs w:val="24"/>
          <w:highlight w:val="none"/>
        </w:rPr>
        <w:t>八、凡对本次招标提出询问、质疑、投诉，请按以下方式联系</w:t>
      </w:r>
    </w:p>
    <w:p>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1.采购人信息</w:t>
      </w:r>
    </w:p>
    <w:p>
      <w:pPr>
        <w:adjustRightInd w:val="0"/>
        <w:snapToGrid w:val="0"/>
        <w:spacing w:line="360" w:lineRule="auto"/>
        <w:ind w:firstLine="480" w:firstLineChars="200"/>
        <w:jc w:val="lef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名  称：</w:t>
      </w:r>
      <w:r>
        <w:rPr>
          <w:rFonts w:hint="eastAsia" w:ascii="宋体" w:hAnsi="宋体" w:cs="宋体"/>
          <w:color w:val="auto"/>
          <w:sz w:val="24"/>
          <w:szCs w:val="24"/>
          <w:highlight w:val="none"/>
          <w:lang w:eastAsia="zh-CN"/>
        </w:rPr>
        <w:t>浙江省拱宸强制隔离戒毒所</w:t>
      </w:r>
    </w:p>
    <w:p>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地  址：杭州市拱墅区莫干山路1411号</w:t>
      </w:r>
    </w:p>
    <w:p>
      <w:pPr>
        <w:adjustRightInd w:val="0"/>
        <w:snapToGrid w:val="0"/>
        <w:spacing w:line="360" w:lineRule="auto"/>
        <w:ind w:firstLine="480" w:firstLineChars="200"/>
        <w:jc w:val="left"/>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rPr>
        <w:t>项目联系人（询问）：</w:t>
      </w:r>
      <w:r>
        <w:rPr>
          <w:rFonts w:hint="eastAsia" w:ascii="宋体" w:hAnsi="宋体" w:cs="宋体"/>
          <w:color w:val="auto"/>
          <w:sz w:val="24"/>
          <w:szCs w:val="24"/>
          <w:highlight w:val="none"/>
          <w:lang w:val="en-US" w:eastAsia="zh-CN"/>
        </w:rPr>
        <w:t>郭警官</w:t>
      </w:r>
    </w:p>
    <w:p>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项目联系方式（询问）：0571-89915213</w:t>
      </w:r>
    </w:p>
    <w:p>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质疑联系人：傅警官</w:t>
      </w:r>
    </w:p>
    <w:p>
      <w:pPr>
        <w:adjustRightInd w:val="0"/>
        <w:snapToGrid w:val="0"/>
        <w:spacing w:line="360" w:lineRule="auto"/>
        <w:ind w:firstLine="480" w:firstLineChars="200"/>
        <w:jc w:val="left"/>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rPr>
        <w:t>质疑联系方式：0571-89915018</w:t>
      </w:r>
    </w:p>
    <w:p>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2.采购代理机构信息</w:t>
      </w:r>
    </w:p>
    <w:p>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名  称：浙江豪圣建设项目管理有限公司</w:t>
      </w:r>
    </w:p>
    <w:p>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地  址：杭州市拱墅区大关路179号远洋国际中心A座17楼1706室</w:t>
      </w:r>
    </w:p>
    <w:p>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传  真：/</w:t>
      </w:r>
    </w:p>
    <w:p>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项目联系人（询问）：</w:t>
      </w:r>
      <w:r>
        <w:rPr>
          <w:rFonts w:hint="eastAsia" w:ascii="宋体" w:hAnsi="宋体" w:cs="宋体"/>
          <w:color w:val="auto"/>
          <w:sz w:val="24"/>
          <w:szCs w:val="24"/>
          <w:highlight w:val="none"/>
          <w:lang w:eastAsia="zh-CN"/>
        </w:rPr>
        <w:t>陈梦菲</w:t>
      </w:r>
      <w:r>
        <w:rPr>
          <w:rFonts w:hint="eastAsia" w:ascii="宋体" w:hAnsi="宋体" w:cs="宋体"/>
          <w:color w:val="auto"/>
          <w:sz w:val="24"/>
          <w:szCs w:val="24"/>
          <w:highlight w:val="none"/>
        </w:rPr>
        <w:t>、曹剑斌、陈敏娇</w:t>
      </w:r>
    </w:p>
    <w:p>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项目联系方式（询问）：0571-87981527</w:t>
      </w:r>
    </w:p>
    <w:p>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质疑联系人：刘先成</w:t>
      </w:r>
    </w:p>
    <w:p>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质疑联系方式：0571-56386096</w:t>
      </w:r>
    </w:p>
    <w:p>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3.3.该项目由采购人处理采购争议。质疑环节，采购人委托采购代理机构处理的，可由采购代理机构答复。对质疑答复不满意的，向采购人内部设置的采购监督机构反映。</w:t>
      </w:r>
    </w:p>
    <w:p>
      <w:pPr>
        <w:adjustRightInd w:val="0"/>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预算金额未达100万元的采购项目，由采购人处理采购争议</w:t>
      </w:r>
    </w:p>
    <w:p>
      <w:pPr>
        <w:adjustRightInd w:val="0"/>
        <w:snapToGrid w:val="0"/>
        <w:spacing w:line="360" w:lineRule="auto"/>
        <w:ind w:firstLine="480" w:firstLineChars="200"/>
        <w:jc w:val="left"/>
        <w:rPr>
          <w:rFonts w:ascii="宋体" w:hAnsi="宋体" w:cs="宋体"/>
          <w:color w:val="auto"/>
          <w:sz w:val="24"/>
          <w:szCs w:val="24"/>
          <w:highlight w:val="none"/>
        </w:rPr>
      </w:pPr>
    </w:p>
    <w:p>
      <w:pPr>
        <w:adjustRightInd w:val="0"/>
        <w:snapToGrid w:val="0"/>
        <w:spacing w:line="360" w:lineRule="auto"/>
        <w:ind w:firstLine="480" w:firstLineChars="200"/>
        <w:jc w:val="left"/>
        <w:rPr>
          <w:rFonts w:ascii="宋体" w:hAnsi="宋体" w:cs="宋体"/>
          <w:color w:val="auto"/>
          <w:sz w:val="24"/>
          <w:szCs w:val="24"/>
          <w:highlight w:val="none"/>
        </w:rPr>
      </w:pPr>
      <w:bookmarkStart w:id="133" w:name="_GoBack"/>
      <w:bookmarkEnd w:id="133"/>
      <w:r>
        <w:rPr>
          <w:rFonts w:hint="eastAsia" w:ascii="宋体" w:hAnsi="宋体" w:cs="宋体"/>
          <w:color w:val="auto"/>
          <w:sz w:val="24"/>
          <w:szCs w:val="24"/>
          <w:highlight w:val="none"/>
        </w:rPr>
        <w:t>若对项目采购电子交易系统操作有疑问，可登录政采云（https://www.zcygov.cn/），点击右侧咨询小采，获取采小蜜智能服务管家帮助，或拨打政采云服务热线400-881-7190获取热线服务帮助。       </w:t>
      </w:r>
    </w:p>
    <w:p>
      <w:pPr>
        <w:spacing w:line="360" w:lineRule="auto"/>
        <w:rPr>
          <w:color w:val="auto"/>
          <w:highlight w:val="none"/>
        </w:rPr>
      </w:pPr>
      <w:r>
        <w:rPr>
          <w:rFonts w:hint="eastAsia" w:ascii="宋体" w:hAnsi="宋体" w:cs="宋体"/>
          <w:color w:val="auto"/>
          <w:sz w:val="24"/>
          <w:szCs w:val="24"/>
          <w:highlight w:val="none"/>
        </w:rPr>
        <w:t>CA问题联系电话（人工）：汇信CA 400-888-4636；天谷CA 400-087-8198</w:t>
      </w:r>
      <w:r>
        <w:rPr>
          <w:rFonts w:hint="eastAsia"/>
          <w:color w:val="auto"/>
          <w:highlight w:val="none"/>
        </w:rPr>
        <w:t>。</w:t>
      </w:r>
    </w:p>
    <w:p>
      <w:pPr>
        <w:spacing w:line="360" w:lineRule="auto"/>
        <w:rPr>
          <w:color w:val="auto"/>
          <w:highlight w:val="none"/>
        </w:rPr>
      </w:pPr>
    </w:p>
    <w:p>
      <w:pPr>
        <w:adjustRightInd w:val="0"/>
        <w:snapToGrid w:val="0"/>
        <w:spacing w:line="360" w:lineRule="auto"/>
        <w:ind w:right="480"/>
        <w:jc w:val="center"/>
        <w:rPr>
          <w:b/>
          <w:color w:val="auto"/>
          <w:sz w:val="32"/>
          <w:highlight w:val="none"/>
        </w:rPr>
      </w:pPr>
      <w:r>
        <w:rPr>
          <w:color w:val="auto"/>
          <w:sz w:val="24"/>
          <w:highlight w:val="none"/>
        </w:rPr>
        <w:br w:type="page"/>
      </w:r>
      <w:r>
        <w:rPr>
          <w:b/>
          <w:color w:val="auto"/>
          <w:sz w:val="32"/>
          <w:highlight w:val="none"/>
        </w:rPr>
        <w:t>前附表</w:t>
      </w:r>
      <w:bookmarkEnd w:id="3"/>
      <w:bookmarkStart w:id="12" w:name="_Toc183786414"/>
      <w:bookmarkStart w:id="13" w:name="_Toc171394914"/>
      <w:bookmarkStart w:id="14" w:name="_Toc118516210"/>
    </w:p>
    <w:tbl>
      <w:tblPr>
        <w:tblStyle w:val="32"/>
        <w:tblW w:w="8759"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81"/>
        <w:gridCol w:w="1432"/>
        <w:gridCol w:w="6446"/>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ascii="Times New Roman" w:hAnsi="Times New Roman"/>
                <w:snapToGrid w:val="0"/>
                <w:color w:val="auto"/>
                <w:sz w:val="24"/>
                <w:highlight w:val="none"/>
              </w:rPr>
              <w:t>序号</w:t>
            </w:r>
          </w:p>
        </w:tc>
        <w:tc>
          <w:tcPr>
            <w:tcW w:w="1432"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ascii="Times New Roman" w:hAnsi="Times New Roman"/>
                <w:snapToGrid w:val="0"/>
                <w:color w:val="auto"/>
                <w:sz w:val="24"/>
                <w:highlight w:val="none"/>
              </w:rPr>
              <w:t>名称</w:t>
            </w:r>
          </w:p>
        </w:tc>
        <w:tc>
          <w:tcPr>
            <w:tcW w:w="6446"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ascii="Times New Roman" w:hAnsi="Times New Roman"/>
                <w:snapToGrid w:val="0"/>
                <w:color w:val="auto"/>
                <w:sz w:val="24"/>
                <w:highlight w:val="none"/>
              </w:rPr>
              <w:t>内容</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ascii="Times New Roman" w:hAnsi="Times New Roman"/>
                <w:snapToGrid w:val="0"/>
                <w:color w:val="auto"/>
                <w:sz w:val="24"/>
                <w:highlight w:val="none"/>
              </w:rPr>
              <w:t>1</w:t>
            </w:r>
          </w:p>
        </w:tc>
        <w:tc>
          <w:tcPr>
            <w:tcW w:w="1432"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ascii="Times New Roman" w:hAnsi="Times New Roman"/>
                <w:snapToGrid w:val="0"/>
                <w:color w:val="auto"/>
                <w:sz w:val="24"/>
                <w:highlight w:val="none"/>
              </w:rPr>
              <w:t>项目名称</w:t>
            </w:r>
          </w:p>
        </w:tc>
        <w:tc>
          <w:tcPr>
            <w:tcW w:w="6446" w:type="dxa"/>
            <w:noWrap/>
            <w:vAlign w:val="center"/>
          </w:tcPr>
          <w:p>
            <w:pPr>
              <w:rPr>
                <w:rFonts w:hint="eastAsia" w:eastAsia="宋体"/>
                <w:color w:val="auto"/>
                <w:sz w:val="24"/>
                <w:szCs w:val="24"/>
                <w:highlight w:val="none"/>
                <w:lang w:eastAsia="zh-CN"/>
              </w:rPr>
            </w:pPr>
            <w:r>
              <w:rPr>
                <w:rFonts w:hint="eastAsia"/>
                <w:color w:val="auto"/>
                <w:sz w:val="24"/>
                <w:szCs w:val="24"/>
                <w:highlight w:val="none"/>
                <w:lang w:eastAsia="zh-CN"/>
              </w:rPr>
              <w:t>浙江省拱宸强制隔离戒毒所“红色基地”整体改造设计项目</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hint="eastAsia" w:ascii="Times New Roman" w:hAnsi="Times New Roman"/>
                <w:snapToGrid w:val="0"/>
                <w:color w:val="auto"/>
                <w:sz w:val="24"/>
                <w:highlight w:val="none"/>
              </w:rPr>
              <w:t>2</w:t>
            </w:r>
          </w:p>
        </w:tc>
        <w:tc>
          <w:tcPr>
            <w:tcW w:w="1432" w:type="dxa"/>
            <w:noWrap/>
            <w:vAlign w:val="center"/>
          </w:tcPr>
          <w:p>
            <w:pPr>
              <w:adjustRightInd w:val="0"/>
              <w:snapToGrid w:val="0"/>
              <w:spacing w:line="320" w:lineRule="exact"/>
              <w:jc w:val="center"/>
              <w:rPr>
                <w:color w:val="auto"/>
                <w:sz w:val="24"/>
                <w:szCs w:val="24"/>
                <w:highlight w:val="none"/>
              </w:rPr>
            </w:pPr>
            <w:r>
              <w:rPr>
                <w:rFonts w:ascii="宋体" w:hAnsi="宋体" w:cs="宋体"/>
                <w:color w:val="auto"/>
                <w:sz w:val="24"/>
                <w:szCs w:val="24"/>
                <w:highlight w:val="none"/>
              </w:rPr>
              <w:t>采购内容及数量</w:t>
            </w:r>
          </w:p>
        </w:tc>
        <w:tc>
          <w:tcPr>
            <w:tcW w:w="6446" w:type="dxa"/>
            <w:noWrap/>
            <w:vAlign w:val="center"/>
          </w:tcPr>
          <w:p>
            <w:pPr>
              <w:adjustRightInd w:val="0"/>
              <w:snapToGrid w:val="0"/>
              <w:spacing w:line="320" w:lineRule="exact"/>
              <w:rPr>
                <w:color w:val="auto"/>
                <w:kern w:val="2"/>
                <w:sz w:val="24"/>
                <w:szCs w:val="24"/>
                <w:highlight w:val="none"/>
              </w:rPr>
            </w:pPr>
            <w:r>
              <w:rPr>
                <w:rFonts w:ascii="宋体" w:hAnsi="宋体" w:cs="宋体"/>
                <w:color w:val="auto"/>
                <w:sz w:val="24"/>
                <w:szCs w:val="24"/>
                <w:highlight w:val="none"/>
              </w:rPr>
              <w:t>详见</w:t>
            </w:r>
            <w:r>
              <w:rPr>
                <w:rFonts w:hint="eastAsia" w:ascii="宋体" w:hAnsi="宋体" w:cs="宋体"/>
                <w:color w:val="auto"/>
                <w:sz w:val="24"/>
                <w:szCs w:val="24"/>
                <w:highlight w:val="none"/>
              </w:rPr>
              <w:t>采购文件“第三部分 用户需求书”</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hint="eastAsia" w:ascii="Times New Roman" w:hAnsi="Times New Roman"/>
                <w:snapToGrid w:val="0"/>
                <w:color w:val="auto"/>
                <w:sz w:val="24"/>
                <w:highlight w:val="none"/>
              </w:rPr>
              <w:t>3</w:t>
            </w:r>
          </w:p>
        </w:tc>
        <w:tc>
          <w:tcPr>
            <w:tcW w:w="1432" w:type="dxa"/>
            <w:noWrap/>
            <w:vAlign w:val="center"/>
          </w:tcPr>
          <w:p>
            <w:pPr>
              <w:snapToGrid w:val="0"/>
              <w:jc w:val="center"/>
              <w:rPr>
                <w:color w:val="auto"/>
                <w:sz w:val="24"/>
                <w:szCs w:val="24"/>
                <w:highlight w:val="none"/>
              </w:rPr>
            </w:pPr>
            <w:r>
              <w:rPr>
                <w:color w:val="auto"/>
                <w:sz w:val="24"/>
                <w:szCs w:val="24"/>
                <w:highlight w:val="none"/>
              </w:rPr>
              <w:t>预算金额</w:t>
            </w:r>
          </w:p>
        </w:tc>
        <w:tc>
          <w:tcPr>
            <w:tcW w:w="6446" w:type="dxa"/>
            <w:noWrap/>
            <w:vAlign w:val="center"/>
          </w:tcPr>
          <w:p>
            <w:pPr>
              <w:snapToGrid w:val="0"/>
              <w:rPr>
                <w:color w:val="auto"/>
                <w:kern w:val="2"/>
                <w:sz w:val="24"/>
                <w:szCs w:val="24"/>
                <w:highlight w:val="none"/>
              </w:rPr>
            </w:pPr>
            <w:r>
              <w:rPr>
                <w:rFonts w:hint="eastAsia"/>
                <w:color w:val="auto"/>
                <w:sz w:val="24"/>
                <w:szCs w:val="24"/>
                <w:highlight w:val="none"/>
              </w:rPr>
              <w:t>详见</w:t>
            </w:r>
            <w:r>
              <w:rPr>
                <w:color w:val="auto"/>
                <w:sz w:val="24"/>
                <w:szCs w:val="24"/>
                <w:highlight w:val="none"/>
              </w:rPr>
              <w:t>竞争性磋商公告</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hint="eastAsia" w:ascii="Times New Roman" w:hAnsi="Times New Roman"/>
                <w:snapToGrid w:val="0"/>
                <w:color w:val="auto"/>
                <w:sz w:val="24"/>
                <w:highlight w:val="none"/>
              </w:rPr>
              <w:t>4</w:t>
            </w:r>
          </w:p>
        </w:tc>
        <w:tc>
          <w:tcPr>
            <w:tcW w:w="1432" w:type="dxa"/>
            <w:noWrap/>
            <w:vAlign w:val="center"/>
          </w:tcPr>
          <w:p>
            <w:pPr>
              <w:snapToGrid w:val="0"/>
              <w:jc w:val="center"/>
              <w:rPr>
                <w:color w:val="auto"/>
                <w:sz w:val="24"/>
                <w:szCs w:val="24"/>
                <w:highlight w:val="none"/>
              </w:rPr>
            </w:pPr>
            <w:r>
              <w:rPr>
                <w:color w:val="auto"/>
                <w:sz w:val="24"/>
                <w:szCs w:val="24"/>
                <w:highlight w:val="none"/>
              </w:rPr>
              <w:t>公告媒体</w:t>
            </w:r>
          </w:p>
        </w:tc>
        <w:tc>
          <w:tcPr>
            <w:tcW w:w="6446" w:type="dxa"/>
            <w:noWrap/>
            <w:vAlign w:val="center"/>
          </w:tcPr>
          <w:p>
            <w:pPr>
              <w:autoSpaceDE w:val="0"/>
              <w:autoSpaceDN w:val="0"/>
              <w:snapToGrid w:val="0"/>
              <w:textAlignment w:val="bottom"/>
              <w:rPr>
                <w:color w:val="auto"/>
                <w:sz w:val="24"/>
                <w:szCs w:val="24"/>
                <w:highlight w:val="none"/>
              </w:rPr>
            </w:pPr>
            <w:r>
              <w:rPr>
                <w:color w:val="auto"/>
                <w:sz w:val="24"/>
                <w:szCs w:val="24"/>
                <w:highlight w:val="none"/>
              </w:rPr>
              <w:t>浙江政府采购网</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hint="eastAsia" w:ascii="Times New Roman" w:hAnsi="Times New Roman"/>
                <w:snapToGrid w:val="0"/>
                <w:color w:val="auto"/>
                <w:sz w:val="24"/>
                <w:highlight w:val="none"/>
              </w:rPr>
              <w:t>5</w:t>
            </w:r>
          </w:p>
        </w:tc>
        <w:tc>
          <w:tcPr>
            <w:tcW w:w="1432" w:type="dxa"/>
            <w:noWrap/>
            <w:vAlign w:val="center"/>
          </w:tcPr>
          <w:p>
            <w:pPr>
              <w:snapToGrid w:val="0"/>
              <w:jc w:val="center"/>
              <w:rPr>
                <w:color w:val="auto"/>
                <w:sz w:val="24"/>
                <w:szCs w:val="24"/>
                <w:highlight w:val="none"/>
              </w:rPr>
            </w:pPr>
            <w:r>
              <w:rPr>
                <w:color w:val="auto"/>
                <w:sz w:val="24"/>
                <w:szCs w:val="24"/>
                <w:highlight w:val="none"/>
              </w:rPr>
              <w:t>电子交</w:t>
            </w:r>
          </w:p>
          <w:p>
            <w:pPr>
              <w:snapToGrid w:val="0"/>
              <w:jc w:val="center"/>
              <w:rPr>
                <w:color w:val="auto"/>
                <w:sz w:val="24"/>
                <w:szCs w:val="24"/>
                <w:highlight w:val="none"/>
              </w:rPr>
            </w:pPr>
            <w:r>
              <w:rPr>
                <w:color w:val="auto"/>
                <w:sz w:val="24"/>
                <w:szCs w:val="24"/>
                <w:highlight w:val="none"/>
              </w:rPr>
              <w:t>易平台</w:t>
            </w:r>
          </w:p>
        </w:tc>
        <w:tc>
          <w:tcPr>
            <w:tcW w:w="6446" w:type="dxa"/>
            <w:noWrap/>
            <w:vAlign w:val="center"/>
          </w:tcPr>
          <w:p>
            <w:pPr>
              <w:snapToGrid w:val="0"/>
              <w:rPr>
                <w:color w:val="auto"/>
                <w:sz w:val="24"/>
                <w:szCs w:val="24"/>
                <w:highlight w:val="none"/>
              </w:rPr>
            </w:pPr>
            <w:r>
              <w:rPr>
                <w:color w:val="auto"/>
                <w:sz w:val="24"/>
                <w:szCs w:val="24"/>
                <w:highlight w:val="none"/>
              </w:rPr>
              <w:t>政府采购云平台（www.zcygov.cn）</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229" w:hRule="atLeast"/>
          <w:jc w:val="center"/>
        </w:trPr>
        <w:tc>
          <w:tcPr>
            <w:tcW w:w="881"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hint="eastAsia" w:ascii="Times New Roman" w:hAnsi="Times New Roman"/>
                <w:snapToGrid w:val="0"/>
                <w:color w:val="auto"/>
                <w:sz w:val="24"/>
                <w:highlight w:val="none"/>
              </w:rPr>
              <w:t>6</w:t>
            </w:r>
          </w:p>
        </w:tc>
        <w:tc>
          <w:tcPr>
            <w:tcW w:w="1432" w:type="dxa"/>
            <w:noWrap/>
            <w:vAlign w:val="center"/>
          </w:tcPr>
          <w:p>
            <w:pPr>
              <w:snapToGrid w:val="0"/>
              <w:jc w:val="center"/>
              <w:rPr>
                <w:color w:val="auto"/>
                <w:sz w:val="24"/>
                <w:szCs w:val="24"/>
                <w:highlight w:val="none"/>
              </w:rPr>
            </w:pPr>
            <w:r>
              <w:rPr>
                <w:rFonts w:hint="eastAsia"/>
                <w:color w:val="auto"/>
                <w:sz w:val="24"/>
                <w:szCs w:val="24"/>
                <w:highlight w:val="none"/>
              </w:rPr>
              <w:t>磋商</w:t>
            </w:r>
            <w:r>
              <w:rPr>
                <w:color w:val="auto"/>
                <w:sz w:val="24"/>
                <w:szCs w:val="24"/>
                <w:highlight w:val="none"/>
              </w:rPr>
              <w:t>报价</w:t>
            </w:r>
          </w:p>
        </w:tc>
        <w:tc>
          <w:tcPr>
            <w:tcW w:w="6446" w:type="dxa"/>
            <w:noWrap/>
            <w:vAlign w:val="center"/>
          </w:tcPr>
          <w:p>
            <w:pPr>
              <w:snapToGrid w:val="0"/>
              <w:rPr>
                <w:color w:val="auto"/>
                <w:sz w:val="24"/>
                <w:szCs w:val="24"/>
                <w:highlight w:val="none"/>
              </w:rPr>
            </w:pPr>
            <w:r>
              <w:rPr>
                <w:color w:val="auto"/>
                <w:sz w:val="24"/>
                <w:szCs w:val="24"/>
                <w:highlight w:val="none"/>
              </w:rPr>
              <w:t>1、最高限价：</w:t>
            </w:r>
            <w:r>
              <w:rPr>
                <w:rFonts w:hint="eastAsia"/>
                <w:color w:val="auto"/>
                <w:sz w:val="24"/>
                <w:szCs w:val="24"/>
                <w:highlight w:val="none"/>
                <w:lang w:val="en-US" w:eastAsia="zh-CN"/>
              </w:rPr>
              <w:t>19.9500万元，超过上述预算的报价按无效标处理</w:t>
            </w:r>
            <w:r>
              <w:rPr>
                <w:rFonts w:hint="eastAsia"/>
                <w:color w:val="auto"/>
                <w:sz w:val="24"/>
                <w:szCs w:val="24"/>
                <w:highlight w:val="none"/>
              </w:rPr>
              <w:t>。</w:t>
            </w:r>
          </w:p>
          <w:p>
            <w:pPr>
              <w:snapToGrid w:val="0"/>
              <w:rPr>
                <w:color w:val="auto"/>
                <w:sz w:val="24"/>
                <w:szCs w:val="24"/>
                <w:highlight w:val="none"/>
              </w:rPr>
            </w:pPr>
            <w:r>
              <w:rPr>
                <w:rFonts w:hint="eastAsia"/>
                <w:color w:val="auto"/>
                <w:sz w:val="24"/>
                <w:szCs w:val="24"/>
                <w:highlight w:val="none"/>
              </w:rPr>
              <w:t>2、报价方式：本工程设计费（即合同价）为一次性包干价，后期均不作调整，工程设计费应为承包完成本项目设计任务书所列全部工作和本项目招标文件要求的全部内容所发生的所有费用（即完成本次设计工作所需的调研费、设计费、图纸资料费、设计成果评审专家费、差旅费、利润、税金、后续服务等一切费用），并承担一切风险责任。</w:t>
            </w:r>
          </w:p>
          <w:p>
            <w:pPr>
              <w:snapToGrid w:val="0"/>
              <w:rPr>
                <w:color w:val="auto"/>
                <w:sz w:val="24"/>
                <w:szCs w:val="24"/>
                <w:highlight w:val="none"/>
              </w:rPr>
            </w:pPr>
            <w:r>
              <w:rPr>
                <w:rFonts w:hint="eastAsia"/>
                <w:color w:val="auto"/>
                <w:sz w:val="24"/>
                <w:szCs w:val="24"/>
                <w:highlight w:val="none"/>
                <w:lang w:val="en-US" w:eastAsia="zh-CN"/>
              </w:rPr>
              <w:t>3</w:t>
            </w:r>
            <w:r>
              <w:rPr>
                <w:rFonts w:hint="eastAsia"/>
                <w:color w:val="auto"/>
                <w:sz w:val="24"/>
                <w:szCs w:val="24"/>
                <w:highlight w:val="none"/>
              </w:rPr>
              <w:t>、</w:t>
            </w:r>
            <w:r>
              <w:rPr>
                <w:color w:val="auto"/>
                <w:sz w:val="24"/>
                <w:szCs w:val="24"/>
                <w:highlight w:val="none"/>
              </w:rPr>
              <w:t>不论采购结果如何，供应商均应自行承担所有与</w:t>
            </w:r>
            <w:r>
              <w:rPr>
                <w:rFonts w:hint="eastAsia"/>
                <w:color w:val="auto"/>
                <w:sz w:val="24"/>
                <w:szCs w:val="24"/>
                <w:highlight w:val="none"/>
              </w:rPr>
              <w:t>采购</w:t>
            </w:r>
            <w:r>
              <w:rPr>
                <w:color w:val="auto"/>
                <w:sz w:val="24"/>
                <w:szCs w:val="24"/>
                <w:highlight w:val="none"/>
              </w:rPr>
              <w:t>有关的全部费用。</w:t>
            </w:r>
          </w:p>
          <w:p>
            <w:pPr>
              <w:snapToGrid w:val="0"/>
              <w:rPr>
                <w:rFonts w:hint="default" w:eastAsia="宋体"/>
                <w:color w:val="auto"/>
                <w:sz w:val="24"/>
                <w:szCs w:val="24"/>
                <w:highlight w:val="none"/>
                <w:lang w:val="en-US" w:eastAsia="zh-CN"/>
              </w:rPr>
            </w:pPr>
            <w:r>
              <w:rPr>
                <w:rFonts w:hint="eastAsia"/>
                <w:color w:val="auto"/>
                <w:sz w:val="24"/>
                <w:szCs w:val="24"/>
                <w:highlight w:val="none"/>
                <w:lang w:val="en-US" w:eastAsia="zh-CN"/>
              </w:rPr>
              <w:t>4、设计补偿：无。</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hint="eastAsia" w:ascii="Times New Roman" w:hAnsi="Times New Roman"/>
                <w:snapToGrid w:val="0"/>
                <w:color w:val="auto"/>
                <w:sz w:val="24"/>
                <w:highlight w:val="none"/>
              </w:rPr>
              <w:t>7</w:t>
            </w:r>
          </w:p>
        </w:tc>
        <w:tc>
          <w:tcPr>
            <w:tcW w:w="1432"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ascii="Times New Roman" w:hAnsi="Times New Roman"/>
                <w:snapToGrid w:val="0"/>
                <w:color w:val="auto"/>
                <w:sz w:val="24"/>
                <w:highlight w:val="none"/>
              </w:rPr>
              <w:t>踏勘现场</w:t>
            </w:r>
          </w:p>
        </w:tc>
        <w:tc>
          <w:tcPr>
            <w:tcW w:w="6446" w:type="dxa"/>
            <w:noWrap/>
            <w:vAlign w:val="center"/>
          </w:tcPr>
          <w:p>
            <w:pPr>
              <w:rPr>
                <w:color w:val="auto"/>
                <w:sz w:val="24"/>
                <w:szCs w:val="24"/>
                <w:highlight w:val="none"/>
              </w:rPr>
            </w:pPr>
            <w:r>
              <w:rPr>
                <w:rFonts w:hint="eastAsia"/>
                <w:bCs/>
                <w:color w:val="auto"/>
                <w:sz w:val="24"/>
                <w:szCs w:val="24"/>
                <w:highlight w:val="none"/>
              </w:rPr>
              <w:t>供应商</w:t>
            </w:r>
            <w:r>
              <w:rPr>
                <w:bCs/>
                <w:color w:val="auto"/>
                <w:sz w:val="24"/>
                <w:szCs w:val="24"/>
                <w:highlight w:val="none"/>
              </w:rPr>
              <w:t>自行踏勘</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hint="eastAsia" w:ascii="Times New Roman" w:hAnsi="Times New Roman"/>
                <w:snapToGrid w:val="0"/>
                <w:color w:val="auto"/>
                <w:sz w:val="24"/>
                <w:highlight w:val="none"/>
              </w:rPr>
              <w:t>8</w:t>
            </w:r>
          </w:p>
        </w:tc>
        <w:tc>
          <w:tcPr>
            <w:tcW w:w="1432"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ascii="Times New Roman" w:hAnsi="Times New Roman"/>
                <w:snapToGrid w:val="0"/>
                <w:color w:val="auto"/>
                <w:sz w:val="24"/>
                <w:highlight w:val="none"/>
              </w:rPr>
              <w:t>资金来源</w:t>
            </w:r>
          </w:p>
        </w:tc>
        <w:tc>
          <w:tcPr>
            <w:tcW w:w="6446" w:type="dxa"/>
            <w:noWrap/>
            <w:vAlign w:val="center"/>
          </w:tcPr>
          <w:p>
            <w:pPr>
              <w:autoSpaceDE w:val="0"/>
              <w:autoSpaceDN w:val="0"/>
              <w:adjustRightInd w:val="0"/>
              <w:snapToGrid w:val="0"/>
              <w:ind w:right="105" w:rightChars="50"/>
              <w:rPr>
                <w:color w:val="auto"/>
                <w:sz w:val="24"/>
                <w:szCs w:val="24"/>
                <w:highlight w:val="none"/>
              </w:rPr>
            </w:pPr>
            <w:r>
              <w:rPr>
                <w:color w:val="auto"/>
                <w:sz w:val="24"/>
                <w:szCs w:val="24"/>
                <w:highlight w:val="none"/>
              </w:rPr>
              <w:t>已落实</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hint="eastAsia" w:ascii="Times New Roman" w:hAnsi="Times New Roman"/>
                <w:snapToGrid w:val="0"/>
                <w:color w:val="auto"/>
                <w:sz w:val="24"/>
                <w:highlight w:val="none"/>
              </w:rPr>
              <w:t>9</w:t>
            </w:r>
          </w:p>
        </w:tc>
        <w:tc>
          <w:tcPr>
            <w:tcW w:w="1432"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hint="eastAsia" w:ascii="Times New Roman" w:hAnsi="Times New Roman"/>
                <w:snapToGrid w:val="0"/>
                <w:color w:val="auto"/>
                <w:sz w:val="24"/>
                <w:highlight w:val="none"/>
              </w:rPr>
              <w:t>磋商</w:t>
            </w:r>
            <w:r>
              <w:rPr>
                <w:rFonts w:ascii="Times New Roman" w:hAnsi="Times New Roman"/>
                <w:snapToGrid w:val="0"/>
                <w:color w:val="auto"/>
                <w:sz w:val="24"/>
                <w:highlight w:val="none"/>
              </w:rPr>
              <w:t>保证金</w:t>
            </w:r>
          </w:p>
        </w:tc>
        <w:tc>
          <w:tcPr>
            <w:tcW w:w="6446" w:type="dxa"/>
            <w:noWrap/>
            <w:vAlign w:val="center"/>
          </w:tcPr>
          <w:p>
            <w:pPr>
              <w:pStyle w:val="78"/>
              <w:snapToGrid w:val="0"/>
              <w:spacing w:line="240" w:lineRule="auto"/>
              <w:ind w:firstLine="0" w:firstLineChars="0"/>
              <w:rPr>
                <w:rFonts w:ascii="Times New Roman" w:hAnsi="Times New Roman"/>
                <w:snapToGrid w:val="0"/>
                <w:color w:val="auto"/>
                <w:sz w:val="24"/>
                <w:highlight w:val="none"/>
              </w:rPr>
            </w:pPr>
            <w:r>
              <w:rPr>
                <w:rFonts w:ascii="Times New Roman" w:hAnsi="Times New Roman"/>
                <w:snapToGrid w:val="0"/>
                <w:color w:val="auto"/>
                <w:kern w:val="0"/>
                <w:sz w:val="24"/>
                <w:highlight w:val="none"/>
              </w:rPr>
              <w:t>不适用</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hint="eastAsia" w:ascii="Times New Roman" w:hAnsi="Times New Roman"/>
                <w:snapToGrid w:val="0"/>
                <w:color w:val="auto"/>
                <w:sz w:val="24"/>
                <w:highlight w:val="none"/>
              </w:rPr>
              <w:t>10</w:t>
            </w:r>
          </w:p>
        </w:tc>
        <w:tc>
          <w:tcPr>
            <w:tcW w:w="1432"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ascii="Times New Roman" w:hAnsi="Times New Roman"/>
                <w:snapToGrid w:val="0"/>
                <w:color w:val="auto"/>
                <w:sz w:val="24"/>
                <w:highlight w:val="none"/>
              </w:rPr>
              <w:t>响应文件有效期</w:t>
            </w:r>
          </w:p>
        </w:tc>
        <w:tc>
          <w:tcPr>
            <w:tcW w:w="6446" w:type="dxa"/>
            <w:noWrap/>
            <w:vAlign w:val="center"/>
          </w:tcPr>
          <w:p>
            <w:pPr>
              <w:widowControl/>
              <w:snapToGrid w:val="0"/>
              <w:rPr>
                <w:color w:val="auto"/>
                <w:sz w:val="24"/>
                <w:szCs w:val="24"/>
                <w:highlight w:val="none"/>
              </w:rPr>
            </w:pPr>
            <w:r>
              <w:rPr>
                <w:color w:val="auto"/>
                <w:sz w:val="24"/>
                <w:szCs w:val="24"/>
                <w:highlight w:val="none"/>
              </w:rPr>
              <w:t>自响应截止时间起90天</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ascii="Times New Roman" w:hAnsi="Times New Roman"/>
                <w:snapToGrid w:val="0"/>
                <w:color w:val="auto"/>
                <w:sz w:val="24"/>
                <w:highlight w:val="none"/>
              </w:rPr>
              <w:t>11</w:t>
            </w:r>
          </w:p>
        </w:tc>
        <w:tc>
          <w:tcPr>
            <w:tcW w:w="1432"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ascii="Times New Roman" w:hAnsi="Times New Roman"/>
                <w:bCs/>
                <w:snapToGrid w:val="0"/>
                <w:color w:val="auto"/>
                <w:sz w:val="24"/>
                <w:highlight w:val="none"/>
              </w:rPr>
              <w:t>提交首次响应文件截止时间</w:t>
            </w:r>
          </w:p>
        </w:tc>
        <w:tc>
          <w:tcPr>
            <w:tcW w:w="6446" w:type="dxa"/>
            <w:noWrap/>
            <w:vAlign w:val="center"/>
          </w:tcPr>
          <w:p>
            <w:pPr>
              <w:pStyle w:val="78"/>
              <w:snapToGrid w:val="0"/>
              <w:spacing w:line="240" w:lineRule="auto"/>
              <w:ind w:firstLine="0" w:firstLineChars="0"/>
              <w:rPr>
                <w:rFonts w:ascii="Times New Roman" w:hAnsi="Times New Roman"/>
                <w:snapToGrid w:val="0"/>
                <w:color w:val="auto"/>
                <w:sz w:val="24"/>
                <w:highlight w:val="none"/>
              </w:rPr>
            </w:pPr>
            <w:r>
              <w:rPr>
                <w:rFonts w:ascii="Times New Roman" w:hAnsi="Times New Roman"/>
                <w:snapToGrid w:val="0"/>
                <w:color w:val="auto"/>
                <w:sz w:val="24"/>
                <w:highlight w:val="none"/>
              </w:rPr>
              <w:t>按“竞争性磋商公告”规定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hint="eastAsia" w:ascii="Times New Roman" w:hAnsi="Times New Roman"/>
                <w:snapToGrid w:val="0"/>
                <w:color w:val="auto"/>
                <w:sz w:val="24"/>
                <w:highlight w:val="none"/>
              </w:rPr>
              <w:t>12</w:t>
            </w:r>
          </w:p>
        </w:tc>
        <w:tc>
          <w:tcPr>
            <w:tcW w:w="1432"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ascii="Times New Roman" w:hAnsi="Times New Roman"/>
                <w:snapToGrid w:val="0"/>
                <w:color w:val="auto"/>
                <w:sz w:val="24"/>
                <w:highlight w:val="none"/>
              </w:rPr>
              <w:t>响应文件递交地点</w:t>
            </w:r>
          </w:p>
        </w:tc>
        <w:tc>
          <w:tcPr>
            <w:tcW w:w="6446" w:type="dxa"/>
            <w:noWrap/>
            <w:vAlign w:val="center"/>
          </w:tcPr>
          <w:p>
            <w:pPr>
              <w:pStyle w:val="78"/>
              <w:snapToGrid w:val="0"/>
              <w:spacing w:line="240" w:lineRule="auto"/>
              <w:ind w:firstLine="0" w:firstLineChars="0"/>
              <w:rPr>
                <w:rFonts w:ascii="Times New Roman" w:hAnsi="Times New Roman"/>
                <w:snapToGrid w:val="0"/>
                <w:color w:val="auto"/>
                <w:sz w:val="24"/>
                <w:highlight w:val="none"/>
              </w:rPr>
            </w:pPr>
            <w:r>
              <w:rPr>
                <w:rFonts w:ascii="Times New Roman" w:hAnsi="Times New Roman"/>
                <w:snapToGrid w:val="0"/>
                <w:color w:val="auto"/>
                <w:sz w:val="24"/>
                <w:highlight w:val="none"/>
              </w:rPr>
              <w:t>按“竞争性磋商公告”规定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ascii="Times New Roman" w:hAnsi="Times New Roman"/>
                <w:snapToGrid w:val="0"/>
                <w:color w:val="auto"/>
                <w:sz w:val="24"/>
                <w:highlight w:val="none"/>
              </w:rPr>
              <w:t>1</w:t>
            </w:r>
            <w:r>
              <w:rPr>
                <w:rFonts w:hint="eastAsia" w:ascii="Times New Roman" w:hAnsi="Times New Roman"/>
                <w:snapToGrid w:val="0"/>
                <w:color w:val="auto"/>
                <w:sz w:val="24"/>
                <w:highlight w:val="none"/>
              </w:rPr>
              <w:t>3</w:t>
            </w:r>
          </w:p>
        </w:tc>
        <w:tc>
          <w:tcPr>
            <w:tcW w:w="1432"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ascii="Times New Roman" w:hAnsi="Times New Roman"/>
                <w:snapToGrid w:val="0"/>
                <w:color w:val="auto"/>
                <w:sz w:val="24"/>
                <w:highlight w:val="none"/>
              </w:rPr>
              <w:t>响应文件开启时间</w:t>
            </w:r>
          </w:p>
        </w:tc>
        <w:tc>
          <w:tcPr>
            <w:tcW w:w="6446" w:type="dxa"/>
            <w:noWrap/>
            <w:vAlign w:val="center"/>
          </w:tcPr>
          <w:p>
            <w:pPr>
              <w:pStyle w:val="78"/>
              <w:snapToGrid w:val="0"/>
              <w:spacing w:line="240" w:lineRule="auto"/>
              <w:ind w:firstLine="0" w:firstLineChars="0"/>
              <w:rPr>
                <w:rFonts w:ascii="Times New Roman" w:hAnsi="Times New Roman"/>
                <w:snapToGrid w:val="0"/>
                <w:color w:val="auto"/>
                <w:sz w:val="24"/>
                <w:highlight w:val="none"/>
              </w:rPr>
            </w:pPr>
            <w:r>
              <w:rPr>
                <w:rFonts w:ascii="Times New Roman" w:hAnsi="Times New Roman"/>
                <w:snapToGrid w:val="0"/>
                <w:color w:val="auto"/>
                <w:sz w:val="24"/>
                <w:highlight w:val="none"/>
              </w:rPr>
              <w:t>按“竞争性磋商公告”规定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ascii="Times New Roman" w:hAnsi="Times New Roman"/>
                <w:snapToGrid w:val="0"/>
                <w:color w:val="auto"/>
                <w:sz w:val="24"/>
                <w:highlight w:val="none"/>
              </w:rPr>
              <w:t>1</w:t>
            </w:r>
            <w:r>
              <w:rPr>
                <w:rFonts w:hint="eastAsia" w:ascii="Times New Roman" w:hAnsi="Times New Roman"/>
                <w:snapToGrid w:val="0"/>
                <w:color w:val="auto"/>
                <w:sz w:val="24"/>
                <w:highlight w:val="none"/>
              </w:rPr>
              <w:t>4</w:t>
            </w:r>
          </w:p>
        </w:tc>
        <w:tc>
          <w:tcPr>
            <w:tcW w:w="1432" w:type="dxa"/>
            <w:noWrap/>
            <w:vAlign w:val="center"/>
          </w:tcPr>
          <w:p>
            <w:pPr>
              <w:adjustRightInd w:val="0"/>
              <w:snapToGrid w:val="0"/>
              <w:jc w:val="center"/>
              <w:rPr>
                <w:color w:val="auto"/>
                <w:sz w:val="24"/>
                <w:szCs w:val="24"/>
                <w:highlight w:val="none"/>
              </w:rPr>
            </w:pPr>
            <w:r>
              <w:rPr>
                <w:color w:val="auto"/>
                <w:sz w:val="24"/>
                <w:szCs w:val="24"/>
                <w:highlight w:val="none"/>
              </w:rPr>
              <w:t>采购文件的澄清与修改</w:t>
            </w:r>
          </w:p>
        </w:tc>
        <w:tc>
          <w:tcPr>
            <w:tcW w:w="6446" w:type="dxa"/>
            <w:noWrap/>
            <w:vAlign w:val="center"/>
          </w:tcPr>
          <w:p>
            <w:pPr>
              <w:adjustRightInd w:val="0"/>
              <w:snapToGrid w:val="0"/>
              <w:rPr>
                <w:color w:val="auto"/>
                <w:sz w:val="24"/>
                <w:szCs w:val="24"/>
                <w:highlight w:val="none"/>
              </w:rPr>
            </w:pPr>
            <w:r>
              <w:rPr>
                <w:color w:val="auto"/>
                <w:sz w:val="24"/>
                <w:szCs w:val="24"/>
                <w:highlight w:val="none"/>
              </w:rPr>
              <w:t>采购人或者采购代理机构可以对已发出的采购文件进行必要的澄清或者修改。澄清或者修改的内容可能影响响应文件编制的，采购人或者采购代理机构应当在响应截止时间至少5日前，将以更正公告的形式在采购公告发布的同一媒体发布。采购文件的修改和澄清（答疑）答复的文件作为采购文件的补充和组成部分，对所有供应商均有约束力。若后续仍有更正内容，将继续以更正公告形式在本网站发布，请供应商密切关注更正公告。</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ascii="Times New Roman" w:hAnsi="Times New Roman"/>
                <w:snapToGrid w:val="0"/>
                <w:color w:val="auto"/>
                <w:sz w:val="24"/>
                <w:highlight w:val="none"/>
              </w:rPr>
              <w:t>1</w:t>
            </w:r>
            <w:r>
              <w:rPr>
                <w:rFonts w:hint="eastAsia" w:ascii="Times New Roman" w:hAnsi="Times New Roman"/>
                <w:snapToGrid w:val="0"/>
                <w:color w:val="auto"/>
                <w:sz w:val="24"/>
                <w:highlight w:val="none"/>
              </w:rPr>
              <w:t>5</w:t>
            </w:r>
          </w:p>
        </w:tc>
        <w:tc>
          <w:tcPr>
            <w:tcW w:w="1432" w:type="dxa"/>
            <w:noWrap/>
            <w:vAlign w:val="center"/>
          </w:tcPr>
          <w:p>
            <w:pPr>
              <w:snapToGrid w:val="0"/>
              <w:jc w:val="center"/>
              <w:rPr>
                <w:color w:val="auto"/>
                <w:sz w:val="24"/>
                <w:szCs w:val="24"/>
                <w:highlight w:val="none"/>
              </w:rPr>
            </w:pPr>
            <w:r>
              <w:rPr>
                <w:color w:val="auto"/>
                <w:sz w:val="24"/>
                <w:szCs w:val="24"/>
                <w:highlight w:val="none"/>
              </w:rPr>
              <w:t>响应文件形式</w:t>
            </w:r>
          </w:p>
        </w:tc>
        <w:tc>
          <w:tcPr>
            <w:tcW w:w="6446" w:type="dxa"/>
            <w:noWrap/>
            <w:vAlign w:val="center"/>
          </w:tcPr>
          <w:p>
            <w:pPr>
              <w:adjustRightInd w:val="0"/>
              <w:snapToGrid w:val="0"/>
              <w:rPr>
                <w:color w:val="auto"/>
                <w:sz w:val="24"/>
                <w:szCs w:val="24"/>
                <w:highlight w:val="none"/>
              </w:rPr>
            </w:pPr>
            <w:r>
              <w:rPr>
                <w:color w:val="auto"/>
                <w:sz w:val="24"/>
                <w:szCs w:val="24"/>
                <w:highlight w:val="none"/>
              </w:rPr>
              <w:t>本项目实行电子投标。</w:t>
            </w:r>
          </w:p>
          <w:p>
            <w:pPr>
              <w:adjustRightInd w:val="0"/>
              <w:snapToGrid w:val="0"/>
              <w:rPr>
                <w:color w:val="auto"/>
                <w:sz w:val="24"/>
                <w:szCs w:val="24"/>
                <w:highlight w:val="none"/>
              </w:rPr>
            </w:pPr>
            <w:r>
              <w:rPr>
                <w:color w:val="auto"/>
                <w:sz w:val="24"/>
                <w:szCs w:val="24"/>
                <w:highlight w:val="none"/>
              </w:rPr>
              <w:t>供应商应准备</w:t>
            </w:r>
            <w:r>
              <w:rPr>
                <w:rFonts w:hint="eastAsia"/>
                <w:color w:val="auto"/>
                <w:sz w:val="24"/>
                <w:szCs w:val="24"/>
                <w:highlight w:val="none"/>
              </w:rPr>
              <w:t>两</w:t>
            </w:r>
            <w:r>
              <w:rPr>
                <w:color w:val="auto"/>
                <w:sz w:val="24"/>
                <w:szCs w:val="24"/>
                <w:highlight w:val="none"/>
              </w:rPr>
              <w:t>种形式的响应文件：电子加密响应文件、以介质存储的数据电文形式的备份响应文件。</w:t>
            </w:r>
          </w:p>
          <w:p>
            <w:pPr>
              <w:adjustRightInd w:val="0"/>
              <w:snapToGrid w:val="0"/>
              <w:rPr>
                <w:color w:val="auto"/>
                <w:sz w:val="24"/>
                <w:szCs w:val="24"/>
                <w:highlight w:val="none"/>
              </w:rPr>
            </w:pPr>
            <w:r>
              <w:rPr>
                <w:color w:val="auto"/>
                <w:sz w:val="24"/>
                <w:szCs w:val="24"/>
                <w:highlight w:val="none"/>
              </w:rPr>
              <w:t>（1）“电子加密响应文件”是指通过“政采云电子交易客户端”完成响应文件编制后生成并加密的数据电文形式的响应文件（后缀格式为.jmbs）</w:t>
            </w:r>
          </w:p>
          <w:p>
            <w:pPr>
              <w:adjustRightInd w:val="0"/>
              <w:snapToGrid w:val="0"/>
              <w:rPr>
                <w:color w:val="auto"/>
                <w:sz w:val="24"/>
                <w:szCs w:val="24"/>
                <w:highlight w:val="none"/>
              </w:rPr>
            </w:pPr>
            <w:r>
              <w:rPr>
                <w:color w:val="auto"/>
                <w:sz w:val="24"/>
                <w:szCs w:val="24"/>
                <w:highlight w:val="none"/>
              </w:rPr>
              <w:t>（2）“备份响应文件”是指与“电子加密响应文件”同时生成的数据电文形式的电子文件（备份响应文件，用于供应商电子加密响应文件解密异常时应急使用），其他方式编制的备份响应文件视为无效备份响应文件。备份响应文件（后缀格式为.bfbs）以U盘形式提供。</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hint="eastAsia" w:ascii="Times New Roman" w:hAnsi="Times New Roman"/>
                <w:snapToGrid w:val="0"/>
                <w:color w:val="auto"/>
                <w:sz w:val="24"/>
                <w:highlight w:val="none"/>
              </w:rPr>
              <w:t>16</w:t>
            </w:r>
          </w:p>
        </w:tc>
        <w:tc>
          <w:tcPr>
            <w:tcW w:w="1432"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ascii="Times New Roman" w:hAnsi="Times New Roman"/>
                <w:snapToGrid w:val="0"/>
                <w:color w:val="auto"/>
                <w:sz w:val="24"/>
                <w:highlight w:val="none"/>
              </w:rPr>
              <w:t>响应文件的上传和递交</w:t>
            </w:r>
          </w:p>
        </w:tc>
        <w:tc>
          <w:tcPr>
            <w:tcW w:w="6446" w:type="dxa"/>
            <w:noWrap/>
            <w:vAlign w:val="center"/>
          </w:tcPr>
          <w:p>
            <w:pPr>
              <w:adjustRightInd w:val="0"/>
              <w:snapToGrid w:val="0"/>
              <w:rPr>
                <w:color w:val="auto"/>
                <w:sz w:val="24"/>
                <w:szCs w:val="24"/>
                <w:highlight w:val="none"/>
              </w:rPr>
            </w:pPr>
            <w:r>
              <w:rPr>
                <w:color w:val="auto"/>
                <w:sz w:val="24"/>
                <w:szCs w:val="24"/>
                <w:highlight w:val="none"/>
              </w:rPr>
              <w:t>（1）电子加密响应文件：响应文件制作完成并生成加密文件，在响应截止时间前，供应商需将加密的响应文件上传至浙江政府采购网，到达</w:t>
            </w:r>
            <w:r>
              <w:rPr>
                <w:rFonts w:hint="eastAsia"/>
                <w:color w:val="auto"/>
                <w:sz w:val="24"/>
                <w:szCs w:val="24"/>
                <w:highlight w:val="none"/>
              </w:rPr>
              <w:t>开启</w:t>
            </w:r>
            <w:r>
              <w:rPr>
                <w:color w:val="auto"/>
                <w:sz w:val="24"/>
                <w:szCs w:val="24"/>
                <w:highlight w:val="none"/>
              </w:rPr>
              <w:t>时间后，进行解密。（具体操作指南：详见政采云平台“服务中心-帮助文档-项目采购-操作流程-电子招投标-政府采购项目电子交易管理操作指南-供应商”。）</w:t>
            </w:r>
          </w:p>
          <w:p>
            <w:pPr>
              <w:pStyle w:val="78"/>
              <w:snapToGrid w:val="0"/>
              <w:spacing w:line="240" w:lineRule="auto"/>
              <w:ind w:firstLine="0" w:firstLineChars="0"/>
              <w:rPr>
                <w:rFonts w:ascii="Times New Roman" w:hAnsi="Times New Roman"/>
                <w:snapToGrid w:val="0"/>
                <w:color w:val="auto"/>
                <w:sz w:val="24"/>
                <w:highlight w:val="none"/>
              </w:rPr>
            </w:pPr>
            <w:r>
              <w:rPr>
                <w:rFonts w:ascii="Times New Roman" w:hAnsi="Times New Roman"/>
                <w:snapToGrid w:val="0"/>
                <w:color w:val="auto"/>
                <w:sz w:val="24"/>
                <w:highlight w:val="none"/>
              </w:rPr>
              <w:t>供应商未能在响应截止时间前成功上传电子加密响应文件的响应无效。</w:t>
            </w:r>
          </w:p>
          <w:p>
            <w:pPr>
              <w:adjustRightInd w:val="0"/>
              <w:snapToGrid w:val="0"/>
              <w:rPr>
                <w:color w:val="auto"/>
                <w:sz w:val="24"/>
                <w:szCs w:val="24"/>
                <w:highlight w:val="none"/>
              </w:rPr>
            </w:pPr>
            <w:r>
              <w:rPr>
                <w:color w:val="auto"/>
                <w:sz w:val="24"/>
                <w:szCs w:val="24"/>
                <w:highlight w:val="none"/>
              </w:rPr>
              <w:t>（2）备份响应文件：响应截止时间前，供应商应将备份响应文件递交至</w:t>
            </w:r>
            <w:r>
              <w:rPr>
                <w:bCs/>
                <w:color w:val="auto"/>
                <w:sz w:val="24"/>
                <w:szCs w:val="24"/>
                <w:highlight w:val="none"/>
              </w:rPr>
              <w:t>杭州市拱墅区大关路179号远洋国际中心A座17楼1706室，接收人：</w:t>
            </w:r>
            <w:r>
              <w:rPr>
                <w:rFonts w:hint="eastAsia"/>
                <w:bCs/>
                <w:color w:val="auto"/>
                <w:sz w:val="24"/>
                <w:szCs w:val="24"/>
                <w:highlight w:val="none"/>
                <w:lang w:eastAsia="zh-CN"/>
              </w:rPr>
              <w:t>陈梦菲</w:t>
            </w:r>
            <w:r>
              <w:rPr>
                <w:bCs/>
                <w:color w:val="auto"/>
                <w:sz w:val="24"/>
                <w:szCs w:val="24"/>
                <w:highlight w:val="none"/>
              </w:rPr>
              <w:t>，电话：</w:t>
            </w:r>
            <w:r>
              <w:rPr>
                <w:rFonts w:hint="eastAsia" w:ascii="宋体" w:hAnsi="宋体" w:cs="宋体"/>
                <w:color w:val="auto"/>
                <w:sz w:val="24"/>
                <w:szCs w:val="24"/>
                <w:highlight w:val="none"/>
              </w:rPr>
              <w:t>0571-87981527</w:t>
            </w:r>
            <w:r>
              <w:rPr>
                <w:color w:val="auto"/>
                <w:sz w:val="24"/>
                <w:szCs w:val="24"/>
                <w:highlight w:val="none"/>
              </w:rPr>
              <w:t>，以便电子加密</w:t>
            </w:r>
            <w:r>
              <w:rPr>
                <w:rFonts w:hint="eastAsia"/>
                <w:color w:val="auto"/>
                <w:sz w:val="24"/>
                <w:szCs w:val="24"/>
                <w:highlight w:val="none"/>
              </w:rPr>
              <w:t>响应文件</w:t>
            </w:r>
            <w:r>
              <w:rPr>
                <w:color w:val="auto"/>
                <w:sz w:val="24"/>
                <w:szCs w:val="24"/>
                <w:highlight w:val="none"/>
              </w:rPr>
              <w:t>解密异常时应急使用。</w:t>
            </w:r>
          </w:p>
          <w:p>
            <w:pPr>
              <w:pStyle w:val="78"/>
              <w:snapToGrid w:val="0"/>
              <w:spacing w:line="240" w:lineRule="auto"/>
              <w:ind w:firstLine="0" w:firstLineChars="0"/>
              <w:rPr>
                <w:rFonts w:ascii="Times New Roman" w:hAnsi="Times New Roman"/>
                <w:snapToGrid w:val="0"/>
                <w:color w:val="auto"/>
                <w:sz w:val="24"/>
                <w:highlight w:val="none"/>
              </w:rPr>
            </w:pPr>
            <w:r>
              <w:rPr>
                <w:rFonts w:ascii="Times New Roman" w:hAnsi="Times New Roman"/>
                <w:snapToGrid w:val="0"/>
                <w:color w:val="auto"/>
                <w:sz w:val="24"/>
                <w:highlight w:val="none"/>
              </w:rPr>
              <w:t>备份响应文件递交要求：供应商须将备份响应文件以U盘形式单独放在密封袋中，密封后并在密封袋上注明项目名称、响应单位名称并加盖公章。未密封包装或者逾期送达的“备份响应文件”将不予接收。</w:t>
            </w:r>
          </w:p>
          <w:p>
            <w:pPr>
              <w:pStyle w:val="78"/>
              <w:snapToGrid w:val="0"/>
              <w:spacing w:line="240" w:lineRule="auto"/>
              <w:ind w:firstLine="0" w:firstLineChars="0"/>
              <w:rPr>
                <w:rFonts w:ascii="Times New Roman" w:hAnsi="Times New Roman"/>
                <w:snapToGrid w:val="0"/>
                <w:color w:val="auto"/>
                <w:sz w:val="24"/>
                <w:highlight w:val="none"/>
              </w:rPr>
            </w:pPr>
            <w:r>
              <w:rPr>
                <w:rFonts w:ascii="Times New Roman" w:hAnsi="Times New Roman"/>
                <w:bCs/>
                <w:color w:val="auto"/>
                <w:sz w:val="24"/>
                <w:highlight w:val="none"/>
              </w:rPr>
              <w:t>供应商</w:t>
            </w:r>
            <w:r>
              <w:rPr>
                <w:rFonts w:hint="eastAsia" w:ascii="Times New Roman" w:hAnsi="Times New Roman"/>
                <w:bCs/>
                <w:color w:val="auto"/>
                <w:sz w:val="24"/>
                <w:highlight w:val="none"/>
              </w:rPr>
              <w:t>需</w:t>
            </w:r>
            <w:r>
              <w:rPr>
                <w:rFonts w:ascii="Times New Roman" w:hAnsi="Times New Roman"/>
                <w:bCs/>
                <w:color w:val="auto"/>
                <w:sz w:val="24"/>
                <w:highlight w:val="none"/>
              </w:rPr>
              <w:t>在响应截止时间前，将备份响应文件通过快递形式或直接送达采购代理机构处，以便标书解密异常时应急使用</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hint="eastAsia" w:ascii="Times New Roman" w:hAnsi="Times New Roman"/>
                <w:snapToGrid w:val="0"/>
                <w:color w:val="auto"/>
                <w:sz w:val="24"/>
                <w:highlight w:val="none"/>
              </w:rPr>
              <w:t>17</w:t>
            </w:r>
          </w:p>
        </w:tc>
        <w:tc>
          <w:tcPr>
            <w:tcW w:w="1432"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ascii="Times New Roman" w:hAnsi="Times New Roman"/>
                <w:snapToGrid w:val="0"/>
                <w:color w:val="auto"/>
                <w:kern w:val="0"/>
                <w:sz w:val="24"/>
                <w:highlight w:val="none"/>
              </w:rPr>
              <w:t>询标澄清</w:t>
            </w:r>
          </w:p>
        </w:tc>
        <w:tc>
          <w:tcPr>
            <w:tcW w:w="6446" w:type="dxa"/>
            <w:noWrap/>
            <w:vAlign w:val="center"/>
          </w:tcPr>
          <w:p>
            <w:pPr>
              <w:pStyle w:val="78"/>
              <w:snapToGrid w:val="0"/>
              <w:spacing w:line="240" w:lineRule="auto"/>
              <w:ind w:firstLine="0" w:firstLineChars="0"/>
              <w:rPr>
                <w:rFonts w:ascii="Times New Roman" w:hAnsi="Times New Roman"/>
                <w:snapToGrid w:val="0"/>
                <w:color w:val="auto"/>
                <w:sz w:val="24"/>
                <w:highlight w:val="none"/>
              </w:rPr>
            </w:pPr>
            <w:r>
              <w:rPr>
                <w:rFonts w:ascii="Times New Roman" w:hAnsi="Times New Roman"/>
                <w:snapToGrid w:val="0"/>
                <w:color w:val="auto"/>
                <w:sz w:val="24"/>
                <w:highlight w:val="none"/>
              </w:rPr>
              <w:t>在</w:t>
            </w:r>
            <w:r>
              <w:rPr>
                <w:rFonts w:hint="eastAsia" w:ascii="Times New Roman" w:hAnsi="Times New Roman"/>
                <w:snapToGrid w:val="0"/>
                <w:color w:val="auto"/>
                <w:sz w:val="24"/>
                <w:highlight w:val="none"/>
              </w:rPr>
              <w:t>评审</w:t>
            </w:r>
            <w:r>
              <w:rPr>
                <w:rFonts w:ascii="Times New Roman" w:hAnsi="Times New Roman"/>
                <w:snapToGrid w:val="0"/>
                <w:color w:val="auto"/>
                <w:sz w:val="24"/>
                <w:highlight w:val="none"/>
              </w:rPr>
              <w:t>过程中，如</w:t>
            </w:r>
            <w:r>
              <w:rPr>
                <w:rFonts w:hint="eastAsia" w:ascii="Times New Roman" w:hAnsi="Times New Roman"/>
                <w:snapToGrid w:val="0"/>
                <w:color w:val="auto"/>
                <w:sz w:val="24"/>
                <w:highlight w:val="none"/>
              </w:rPr>
              <w:t>磋商</w:t>
            </w:r>
            <w:r>
              <w:rPr>
                <w:rFonts w:ascii="Times New Roman" w:hAnsi="Times New Roman"/>
                <w:snapToGrid w:val="0"/>
                <w:color w:val="auto"/>
                <w:sz w:val="24"/>
                <w:highlight w:val="none"/>
              </w:rPr>
              <w:t>小组对响应文件有疑问，由组长</w:t>
            </w:r>
            <w:r>
              <w:rPr>
                <w:rFonts w:ascii="Times New Roman" w:hAnsi="Times New Roman"/>
                <w:color w:val="auto"/>
                <w:sz w:val="24"/>
                <w:highlight w:val="none"/>
              </w:rPr>
              <w:t>或代理机构代为</w:t>
            </w:r>
            <w:r>
              <w:rPr>
                <w:rFonts w:ascii="Times New Roman" w:hAnsi="Times New Roman"/>
                <w:snapToGrid w:val="0"/>
                <w:color w:val="auto"/>
                <w:sz w:val="24"/>
                <w:highlight w:val="none"/>
              </w:rPr>
              <w:t>将问题汇总后发起询标澄清函，供应商应在规定截止时间前回复相关内容并提交。</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snapToGrid w:val="0"/>
              <w:jc w:val="center"/>
              <w:rPr>
                <w:color w:val="auto"/>
                <w:sz w:val="24"/>
                <w:szCs w:val="24"/>
                <w:highlight w:val="none"/>
              </w:rPr>
            </w:pPr>
            <w:r>
              <w:rPr>
                <w:rFonts w:hint="eastAsia"/>
                <w:color w:val="auto"/>
                <w:sz w:val="24"/>
                <w:szCs w:val="24"/>
                <w:highlight w:val="none"/>
              </w:rPr>
              <w:t>18</w:t>
            </w:r>
          </w:p>
        </w:tc>
        <w:tc>
          <w:tcPr>
            <w:tcW w:w="1432" w:type="dxa"/>
            <w:noWrap/>
            <w:vAlign w:val="center"/>
          </w:tcPr>
          <w:p>
            <w:pPr>
              <w:adjustRightInd w:val="0"/>
              <w:snapToGrid w:val="0"/>
              <w:spacing w:line="320" w:lineRule="exact"/>
              <w:jc w:val="center"/>
              <w:rPr>
                <w:color w:val="auto"/>
                <w:sz w:val="24"/>
                <w:szCs w:val="24"/>
                <w:highlight w:val="none"/>
              </w:rPr>
            </w:pPr>
            <w:r>
              <w:rPr>
                <w:rFonts w:ascii="宋体" w:hAnsi="宋体" w:cs="宋体"/>
                <w:color w:val="auto"/>
                <w:sz w:val="24"/>
                <w:szCs w:val="24"/>
                <w:highlight w:val="none"/>
              </w:rPr>
              <w:t>采购标的及所属行业</w:t>
            </w:r>
          </w:p>
        </w:tc>
        <w:tc>
          <w:tcPr>
            <w:tcW w:w="6446" w:type="dxa"/>
            <w:noWrap/>
            <w:vAlign w:val="center"/>
          </w:tcPr>
          <w:p>
            <w:pPr>
              <w:autoSpaceDE w:val="0"/>
              <w:autoSpaceDN w:val="0"/>
              <w:adjustRightInd w:val="0"/>
              <w:snapToGrid w:val="0"/>
              <w:spacing w:line="320" w:lineRule="exact"/>
              <w:textAlignment w:val="bottom"/>
              <w:rPr>
                <w:rFonts w:ascii="宋体" w:hAnsi="宋体" w:cs="宋体"/>
                <w:color w:val="auto"/>
                <w:sz w:val="24"/>
                <w:szCs w:val="24"/>
                <w:highlight w:val="none"/>
              </w:rPr>
            </w:pPr>
            <w:r>
              <w:rPr>
                <w:rFonts w:ascii="宋体" w:hAnsi="宋体" w:cs="宋体"/>
                <w:color w:val="auto"/>
                <w:sz w:val="24"/>
                <w:szCs w:val="24"/>
                <w:highlight w:val="none"/>
              </w:rPr>
              <w:t>1.本次采购标的为</w:t>
            </w:r>
            <w:r>
              <w:rPr>
                <w:rFonts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lang w:eastAsia="zh-CN"/>
              </w:rPr>
              <w:t>浙江省拱宸强制隔离戒毒所“红色基地”整体改造设计项目</w:t>
            </w:r>
            <w:r>
              <w:rPr>
                <w:rFonts w:hint="eastAsia" w:ascii="宋体" w:hAnsi="宋体" w:cs="宋体"/>
                <w:b/>
                <w:bCs/>
                <w:color w:val="auto"/>
                <w:sz w:val="24"/>
                <w:szCs w:val="24"/>
                <w:highlight w:val="none"/>
                <w:u w:val="single"/>
                <w:lang w:val="en-US" w:eastAsia="zh-CN"/>
              </w:rPr>
              <w:t xml:space="preserve"> </w:t>
            </w:r>
            <w:r>
              <w:rPr>
                <w:rFonts w:ascii="宋体" w:hAnsi="宋体" w:cs="宋体"/>
                <w:color w:val="auto"/>
                <w:sz w:val="24"/>
                <w:szCs w:val="24"/>
                <w:highlight w:val="none"/>
              </w:rPr>
              <w:t>，对应的中小企业划分标准所属行业是：</w:t>
            </w:r>
            <w:r>
              <w:rPr>
                <w:rFonts w:ascii="宋体" w:hAnsi="宋体" w:cs="宋体"/>
                <w:b/>
                <w:bCs/>
                <w:color w:val="auto"/>
                <w:sz w:val="24"/>
                <w:highlight w:val="none"/>
                <w:u w:val="single"/>
              </w:rPr>
              <w:t xml:space="preserve">  其他未列明行业  </w:t>
            </w:r>
            <w:r>
              <w:rPr>
                <w:rFonts w:ascii="宋体" w:hAnsi="宋体" w:cs="宋体"/>
                <w:color w:val="auto"/>
                <w:sz w:val="24"/>
                <w:szCs w:val="24"/>
                <w:highlight w:val="none"/>
              </w:rPr>
              <w:t>。（从业人员300人以下的为中小微型企业。其中，从业人员100人及以上的为中型企业；从业人员10人及以上的为小型企业；从业人员10人以下的为微型企业。）</w:t>
            </w:r>
          </w:p>
          <w:p>
            <w:pPr>
              <w:pStyle w:val="15"/>
              <w:adjustRightInd w:val="0"/>
              <w:snapToGrid w:val="0"/>
              <w:spacing w:line="320" w:lineRule="exact"/>
              <w:rPr>
                <w:rFonts w:hAnsi="宋体" w:cs="宋体"/>
                <w:color w:val="auto"/>
                <w:sz w:val="24"/>
                <w:szCs w:val="24"/>
                <w:highlight w:val="none"/>
              </w:rPr>
            </w:pPr>
            <w:r>
              <w:rPr>
                <w:rFonts w:ascii="Times New Roman" w:hAnsi="Times New Roman"/>
                <w:color w:val="auto"/>
                <w:sz w:val="24"/>
                <w:szCs w:val="24"/>
                <w:highlight w:val="none"/>
              </w:rPr>
              <w:t>2.采购标的对应的采购类型：</w:t>
            </w:r>
            <w:r>
              <w:rPr>
                <w:rFonts w:ascii="Times New Roman" w:hAnsi="Times New Roman"/>
                <w:b/>
                <w:bCs/>
                <w:color w:val="auto"/>
                <w:sz w:val="24"/>
                <w:szCs w:val="24"/>
                <w:highlight w:val="none"/>
                <w:u w:val="single"/>
              </w:rPr>
              <w:t>服务类</w:t>
            </w:r>
            <w:r>
              <w:rPr>
                <w:rFonts w:ascii="Times New Roman" w:hAnsi="Times New Roman"/>
                <w:color w:val="auto"/>
                <w:sz w:val="24"/>
                <w:szCs w:val="24"/>
                <w:highlight w:val="none"/>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snapToGrid w:val="0"/>
              <w:jc w:val="center"/>
              <w:rPr>
                <w:color w:val="auto"/>
                <w:sz w:val="24"/>
                <w:szCs w:val="24"/>
                <w:highlight w:val="none"/>
              </w:rPr>
            </w:pPr>
            <w:r>
              <w:rPr>
                <w:rFonts w:hint="eastAsia"/>
                <w:color w:val="auto"/>
                <w:sz w:val="24"/>
                <w:szCs w:val="24"/>
                <w:highlight w:val="none"/>
              </w:rPr>
              <w:t>19</w:t>
            </w:r>
          </w:p>
        </w:tc>
        <w:tc>
          <w:tcPr>
            <w:tcW w:w="1432" w:type="dxa"/>
            <w:noWrap/>
            <w:vAlign w:val="center"/>
          </w:tcPr>
          <w:p>
            <w:pPr>
              <w:adjustRightInd w:val="0"/>
              <w:snapToGrid w:val="0"/>
              <w:jc w:val="center"/>
              <w:rPr>
                <w:color w:val="auto"/>
                <w:sz w:val="24"/>
                <w:szCs w:val="24"/>
                <w:highlight w:val="none"/>
              </w:rPr>
            </w:pPr>
            <w:r>
              <w:rPr>
                <w:color w:val="auto"/>
                <w:sz w:val="24"/>
                <w:szCs w:val="24"/>
                <w:highlight w:val="none"/>
              </w:rPr>
              <w:t>支持中小企业</w:t>
            </w:r>
          </w:p>
        </w:tc>
        <w:tc>
          <w:tcPr>
            <w:tcW w:w="6446" w:type="dxa"/>
            <w:noWrap/>
            <w:vAlign w:val="center"/>
          </w:tcPr>
          <w:p>
            <w:pPr>
              <w:autoSpaceDE w:val="0"/>
              <w:autoSpaceDN w:val="0"/>
              <w:adjustRightInd w:val="0"/>
              <w:snapToGrid w:val="0"/>
              <w:spacing w:line="320" w:lineRule="exact"/>
              <w:textAlignment w:val="bottom"/>
              <w:rPr>
                <w:rFonts w:ascii="宋体" w:hAnsi="宋体" w:cs="宋体"/>
                <w:color w:val="auto"/>
                <w:sz w:val="24"/>
                <w:szCs w:val="24"/>
                <w:highlight w:val="none"/>
              </w:rPr>
            </w:pPr>
            <w:r>
              <w:rPr>
                <w:rFonts w:ascii="宋体" w:hAnsi="宋体" w:cs="宋体"/>
                <w:color w:val="auto"/>
                <w:sz w:val="24"/>
                <w:szCs w:val="24"/>
                <w:highlight w:val="none"/>
              </w:rPr>
              <w:t>1.本次采购为专门面向中小企业预留采购份额的采购项目。</w:t>
            </w:r>
          </w:p>
          <w:p>
            <w:pPr>
              <w:autoSpaceDE w:val="0"/>
              <w:autoSpaceDN w:val="0"/>
              <w:adjustRightInd w:val="0"/>
              <w:snapToGrid w:val="0"/>
              <w:spacing w:line="320" w:lineRule="exact"/>
              <w:textAlignment w:val="bottom"/>
              <w:rPr>
                <w:rFonts w:ascii="宋体" w:hAnsi="宋体" w:cs="宋体"/>
                <w:color w:val="auto"/>
                <w:sz w:val="24"/>
                <w:szCs w:val="24"/>
                <w:highlight w:val="none"/>
              </w:rPr>
            </w:pPr>
            <w:r>
              <w:rPr>
                <w:rFonts w:ascii="宋体" w:hAnsi="宋体" w:cs="宋体"/>
                <w:color w:val="auto"/>
                <w:sz w:val="24"/>
                <w:szCs w:val="24"/>
                <w:highlight w:val="none"/>
              </w:rPr>
              <w:t>2.本采购文件所称中小企业，是指在中华人民共和国境内依法设立，依据国务院批准的中小企业划分标准确定的中型企业、小型企业和微型企业，但与大企业的负责人为同一人，或者与大企业存在直接控股、管理关系的除外。</w:t>
            </w:r>
          </w:p>
          <w:p>
            <w:pPr>
              <w:autoSpaceDE w:val="0"/>
              <w:autoSpaceDN w:val="0"/>
              <w:adjustRightInd w:val="0"/>
              <w:snapToGrid w:val="0"/>
              <w:spacing w:line="320" w:lineRule="exact"/>
              <w:textAlignment w:val="bottom"/>
              <w:rPr>
                <w:rFonts w:ascii="宋体" w:hAnsi="宋体" w:cs="宋体"/>
                <w:color w:val="auto"/>
                <w:sz w:val="24"/>
                <w:szCs w:val="24"/>
                <w:highlight w:val="none"/>
              </w:rPr>
            </w:pPr>
            <w:r>
              <w:rPr>
                <w:rFonts w:ascii="宋体" w:hAnsi="宋体" w:cs="宋体"/>
                <w:color w:val="auto"/>
                <w:sz w:val="24"/>
                <w:szCs w:val="24"/>
                <w:highlight w:val="none"/>
              </w:rPr>
              <w:t>3.以联合体形式参加政府采购活动，联合体各方均为小微企业的，联合体视同小微企业。</w:t>
            </w:r>
          </w:p>
          <w:p>
            <w:pPr>
              <w:autoSpaceDE w:val="0"/>
              <w:autoSpaceDN w:val="0"/>
              <w:adjustRightInd w:val="0"/>
              <w:snapToGrid w:val="0"/>
              <w:spacing w:line="320" w:lineRule="exact"/>
              <w:textAlignment w:val="bottom"/>
              <w:rPr>
                <w:rFonts w:ascii="宋体" w:hAnsi="宋体" w:cs="宋体"/>
                <w:color w:val="auto"/>
                <w:sz w:val="24"/>
                <w:szCs w:val="24"/>
                <w:highlight w:val="none"/>
              </w:rPr>
            </w:pPr>
            <w:r>
              <w:rPr>
                <w:rFonts w:ascii="宋体" w:hAnsi="宋体" w:cs="宋体"/>
                <w:color w:val="auto"/>
                <w:sz w:val="24"/>
                <w:szCs w:val="24"/>
                <w:highlight w:val="none"/>
              </w:rPr>
              <w:t>4.符合小微企业划分标准的个体工商户，视同小微企业。</w:t>
            </w:r>
          </w:p>
          <w:p>
            <w:pPr>
              <w:autoSpaceDE w:val="0"/>
              <w:autoSpaceDN w:val="0"/>
              <w:adjustRightInd w:val="0"/>
              <w:snapToGrid w:val="0"/>
              <w:spacing w:line="320" w:lineRule="exact"/>
              <w:textAlignment w:val="bottom"/>
              <w:rPr>
                <w:rFonts w:ascii="宋体" w:hAnsi="宋体" w:cs="宋体"/>
                <w:color w:val="auto"/>
                <w:sz w:val="24"/>
                <w:szCs w:val="24"/>
                <w:highlight w:val="none"/>
              </w:rPr>
            </w:pPr>
            <w:r>
              <w:rPr>
                <w:rFonts w:ascii="宋体" w:hAnsi="宋体" w:cs="宋体"/>
                <w:color w:val="auto"/>
                <w:sz w:val="24"/>
                <w:szCs w:val="24"/>
                <w:highlight w:val="none"/>
              </w:rPr>
              <w:t>5.</w:t>
            </w:r>
            <w:r>
              <w:rPr>
                <w:rFonts w:hint="eastAsia" w:ascii="宋体" w:hAnsi="宋体" w:cs="宋体"/>
                <w:color w:val="auto"/>
                <w:sz w:val="24"/>
                <w:szCs w:val="24"/>
                <w:highlight w:val="none"/>
              </w:rPr>
              <w:t>本次采购的服务要求全部由中小企业承接</w:t>
            </w:r>
            <w:r>
              <w:rPr>
                <w:rFonts w:ascii="宋体" w:hAnsi="宋体" w:cs="宋体"/>
                <w:color w:val="auto"/>
                <w:sz w:val="24"/>
                <w:szCs w:val="24"/>
                <w:highlight w:val="none"/>
              </w:rPr>
              <w:t>。</w:t>
            </w:r>
          </w:p>
          <w:p>
            <w:pPr>
              <w:autoSpaceDE w:val="0"/>
              <w:autoSpaceDN w:val="0"/>
              <w:adjustRightInd w:val="0"/>
              <w:snapToGrid w:val="0"/>
              <w:spacing w:line="320" w:lineRule="exact"/>
              <w:textAlignment w:val="bottom"/>
              <w:rPr>
                <w:rFonts w:ascii="宋体" w:hAnsi="宋体" w:cs="宋体"/>
                <w:color w:val="auto"/>
                <w:sz w:val="24"/>
                <w:szCs w:val="24"/>
                <w:highlight w:val="none"/>
              </w:rPr>
            </w:pPr>
            <w:r>
              <w:rPr>
                <w:rFonts w:ascii="宋体" w:hAnsi="宋体" w:cs="宋体"/>
                <w:color w:val="auto"/>
                <w:sz w:val="24"/>
                <w:szCs w:val="24"/>
                <w:highlight w:val="none"/>
              </w:rPr>
              <w:t>6.</w:t>
            </w:r>
            <w:r>
              <w:rPr>
                <w:rFonts w:hint="eastAsia" w:ascii="宋体" w:hAnsi="宋体" w:cs="宋体"/>
                <w:color w:val="auto"/>
                <w:sz w:val="24"/>
                <w:szCs w:val="24"/>
                <w:highlight w:val="none"/>
              </w:rPr>
              <w:t>承接的服务由中小企业提供的，供应商应当出具《中小企业声明函》</w:t>
            </w:r>
            <w:r>
              <w:rPr>
                <w:rFonts w:ascii="宋体" w:hAnsi="宋体" w:cs="宋体"/>
                <w:color w:val="auto"/>
                <w:sz w:val="24"/>
                <w:szCs w:val="24"/>
                <w:highlight w:val="none"/>
              </w:rPr>
              <w:t>。</w:t>
            </w:r>
          </w:p>
          <w:p>
            <w:pPr>
              <w:autoSpaceDE w:val="0"/>
              <w:autoSpaceDN w:val="0"/>
              <w:adjustRightInd w:val="0"/>
              <w:snapToGrid w:val="0"/>
              <w:spacing w:line="320" w:lineRule="exact"/>
              <w:textAlignment w:val="bottom"/>
              <w:rPr>
                <w:rFonts w:ascii="宋体" w:hAnsi="宋体" w:cs="宋体"/>
                <w:color w:val="auto"/>
                <w:sz w:val="24"/>
                <w:szCs w:val="24"/>
                <w:highlight w:val="none"/>
              </w:rPr>
            </w:pPr>
            <w:r>
              <w:rPr>
                <w:rFonts w:hint="eastAsia" w:ascii="宋体" w:hAnsi="宋体" w:cs="宋体"/>
                <w:color w:val="auto"/>
                <w:sz w:val="24"/>
                <w:szCs w:val="24"/>
                <w:highlight w:val="none"/>
              </w:rPr>
              <w:t>7.</w:t>
            </w:r>
            <w:r>
              <w:rPr>
                <w:rFonts w:ascii="宋体" w:hAnsi="宋体" w:cs="宋体"/>
                <w:color w:val="auto"/>
                <w:sz w:val="24"/>
                <w:szCs w:val="24"/>
                <w:highlight w:val="none"/>
              </w:rPr>
              <w:t>残疾人福利性单位视同小微企业，享受小微企业同等的价格扣除。残疾人福利性单位参加政府采购活动时，应当提供《残疾人福利性单位声明函》。</w:t>
            </w:r>
          </w:p>
          <w:p>
            <w:pPr>
              <w:pStyle w:val="84"/>
              <w:spacing w:line="240" w:lineRule="auto"/>
              <w:ind w:left="0" w:leftChars="0" w:firstLine="0" w:firstLineChars="0"/>
              <w:rPr>
                <w:rFonts w:ascii="Times New Roman" w:hAnsi="Times New Roman"/>
                <w:color w:val="auto"/>
                <w:sz w:val="24"/>
                <w:szCs w:val="24"/>
                <w:highlight w:val="none"/>
              </w:rPr>
            </w:pPr>
            <w:r>
              <w:rPr>
                <w:rFonts w:hint="eastAsia" w:ascii="宋体" w:hAnsi="宋体" w:cs="宋体"/>
                <w:b w:val="0"/>
                <w:bCs w:val="0"/>
                <w:color w:val="auto"/>
                <w:sz w:val="24"/>
                <w:szCs w:val="24"/>
                <w:highlight w:val="none"/>
              </w:rPr>
              <w:t>8.</w:t>
            </w:r>
            <w:r>
              <w:rPr>
                <w:rFonts w:ascii="宋体" w:hAnsi="宋体" w:cs="宋体"/>
                <w:b w:val="0"/>
                <w:bCs w:val="0"/>
                <w:color w:val="auto"/>
                <w:sz w:val="24"/>
                <w:szCs w:val="24"/>
                <w:highlight w:val="none"/>
              </w:rPr>
              <w:t>监狱企业视同小微企业，享受小微企业同等的价格扣除。监狱企业参加政府采购活动时，应当出具省级以上监狱管理局、戒毒管理局（含新疆生产建设兵团）提供的属于监狱企业的证明文件。</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snapToGrid w:val="0"/>
              <w:jc w:val="center"/>
              <w:rPr>
                <w:color w:val="auto"/>
                <w:sz w:val="24"/>
                <w:szCs w:val="24"/>
                <w:highlight w:val="none"/>
              </w:rPr>
            </w:pPr>
            <w:r>
              <w:rPr>
                <w:rFonts w:hint="eastAsia"/>
                <w:color w:val="auto"/>
                <w:sz w:val="24"/>
                <w:szCs w:val="24"/>
                <w:highlight w:val="none"/>
              </w:rPr>
              <w:t>20</w:t>
            </w:r>
          </w:p>
        </w:tc>
        <w:tc>
          <w:tcPr>
            <w:tcW w:w="1432" w:type="dxa"/>
            <w:noWrap/>
            <w:vAlign w:val="center"/>
          </w:tcPr>
          <w:p>
            <w:pPr>
              <w:adjustRightInd w:val="0"/>
              <w:snapToGrid w:val="0"/>
              <w:jc w:val="center"/>
              <w:rPr>
                <w:color w:val="auto"/>
                <w:sz w:val="24"/>
                <w:szCs w:val="24"/>
                <w:highlight w:val="none"/>
              </w:rPr>
            </w:pPr>
            <w:r>
              <w:rPr>
                <w:color w:val="auto"/>
                <w:sz w:val="24"/>
                <w:szCs w:val="24"/>
                <w:highlight w:val="none"/>
              </w:rPr>
              <w:t>联合体</w:t>
            </w:r>
          </w:p>
        </w:tc>
        <w:tc>
          <w:tcPr>
            <w:tcW w:w="6446" w:type="dxa"/>
            <w:noWrap/>
            <w:vAlign w:val="center"/>
          </w:tcPr>
          <w:p>
            <w:pPr>
              <w:rPr>
                <w:color w:val="auto"/>
                <w:sz w:val="24"/>
                <w:szCs w:val="24"/>
                <w:highlight w:val="none"/>
              </w:rPr>
            </w:pPr>
            <w:r>
              <w:rPr>
                <w:color w:val="auto"/>
                <w:sz w:val="24"/>
                <w:szCs w:val="24"/>
                <w:highlight w:val="none"/>
              </w:rPr>
              <w:t>（1）以联合体形式进行</w:t>
            </w:r>
            <w:r>
              <w:rPr>
                <w:rFonts w:hint="eastAsia"/>
                <w:color w:val="auto"/>
                <w:sz w:val="24"/>
                <w:szCs w:val="24"/>
                <w:highlight w:val="none"/>
              </w:rPr>
              <w:t>磋商响应</w:t>
            </w:r>
            <w:r>
              <w:rPr>
                <w:color w:val="auto"/>
                <w:sz w:val="24"/>
                <w:szCs w:val="24"/>
                <w:highlight w:val="none"/>
              </w:rPr>
              <w:t>的，参加联合体的供应商均应当具备政府采购法第二十二条规定的条件，并应当在</w:t>
            </w:r>
            <w:r>
              <w:rPr>
                <w:rFonts w:hint="eastAsia"/>
                <w:color w:val="auto"/>
                <w:sz w:val="24"/>
                <w:szCs w:val="24"/>
                <w:highlight w:val="none"/>
              </w:rPr>
              <w:t>响应文件</w:t>
            </w:r>
            <w:r>
              <w:rPr>
                <w:color w:val="auto"/>
                <w:sz w:val="24"/>
                <w:szCs w:val="24"/>
                <w:highlight w:val="none"/>
              </w:rPr>
              <w:t>中提交联合协议，载明联合体各方承担的工作和义务。联合体各方应当共同与采购人签订采购合同，就采购合同约定的事项对采购人承担连带责任。</w:t>
            </w:r>
          </w:p>
          <w:p>
            <w:pPr>
              <w:rPr>
                <w:color w:val="auto"/>
                <w:sz w:val="24"/>
                <w:szCs w:val="24"/>
                <w:highlight w:val="none"/>
              </w:rPr>
            </w:pPr>
            <w:r>
              <w:rPr>
                <w:color w:val="auto"/>
                <w:sz w:val="24"/>
                <w:szCs w:val="24"/>
                <w:highlight w:val="none"/>
              </w:rPr>
              <w:t>（2）联合体中有同类资质的供应商按照联合体分工承担相同工作的，应当按照资质等级较低的供应商确定资质等级。</w:t>
            </w:r>
          </w:p>
          <w:p>
            <w:pPr>
              <w:rPr>
                <w:color w:val="auto"/>
                <w:sz w:val="24"/>
                <w:szCs w:val="24"/>
                <w:highlight w:val="none"/>
              </w:rPr>
            </w:pPr>
            <w:r>
              <w:rPr>
                <w:color w:val="auto"/>
                <w:sz w:val="24"/>
                <w:szCs w:val="24"/>
                <w:highlight w:val="none"/>
              </w:rPr>
              <w:t>（3）以联合体形式</w:t>
            </w:r>
            <w:r>
              <w:rPr>
                <w:rFonts w:hint="eastAsia"/>
                <w:color w:val="auto"/>
                <w:sz w:val="24"/>
                <w:szCs w:val="24"/>
                <w:highlight w:val="none"/>
              </w:rPr>
              <w:t>参与磋商</w:t>
            </w:r>
            <w:r>
              <w:rPr>
                <w:color w:val="auto"/>
                <w:sz w:val="24"/>
                <w:szCs w:val="24"/>
                <w:highlight w:val="none"/>
              </w:rPr>
              <w:t>的，联合体各方不得再单独参加或者与其他供应商另外组成联合体参加本项目的</w:t>
            </w:r>
            <w:r>
              <w:rPr>
                <w:rFonts w:hint="eastAsia"/>
                <w:color w:val="auto"/>
                <w:sz w:val="24"/>
                <w:szCs w:val="24"/>
                <w:highlight w:val="none"/>
              </w:rPr>
              <w:t>磋商</w:t>
            </w:r>
            <w:r>
              <w:rPr>
                <w:color w:val="auto"/>
                <w:sz w:val="24"/>
                <w:szCs w:val="24"/>
                <w:highlight w:val="none"/>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snapToGrid w:val="0"/>
              <w:jc w:val="center"/>
              <w:rPr>
                <w:color w:val="auto"/>
                <w:sz w:val="24"/>
                <w:szCs w:val="24"/>
                <w:highlight w:val="none"/>
              </w:rPr>
            </w:pPr>
            <w:r>
              <w:rPr>
                <w:rFonts w:hint="eastAsia"/>
                <w:color w:val="auto"/>
                <w:sz w:val="24"/>
                <w:szCs w:val="24"/>
                <w:highlight w:val="none"/>
              </w:rPr>
              <w:t>21</w:t>
            </w:r>
          </w:p>
        </w:tc>
        <w:tc>
          <w:tcPr>
            <w:tcW w:w="1432" w:type="dxa"/>
            <w:noWrap/>
            <w:vAlign w:val="center"/>
          </w:tcPr>
          <w:p>
            <w:pPr>
              <w:adjustRightInd w:val="0"/>
              <w:snapToGrid w:val="0"/>
              <w:jc w:val="center"/>
              <w:rPr>
                <w:color w:val="auto"/>
                <w:sz w:val="24"/>
                <w:szCs w:val="24"/>
                <w:highlight w:val="none"/>
              </w:rPr>
            </w:pPr>
            <w:r>
              <w:rPr>
                <w:color w:val="auto"/>
                <w:sz w:val="24"/>
                <w:szCs w:val="24"/>
                <w:highlight w:val="none"/>
              </w:rPr>
              <w:t>联合体</w:t>
            </w:r>
            <w:r>
              <w:rPr>
                <w:rFonts w:hint="eastAsia"/>
                <w:color w:val="auto"/>
                <w:sz w:val="24"/>
                <w:szCs w:val="24"/>
                <w:highlight w:val="none"/>
              </w:rPr>
              <w:t>磋商</w:t>
            </w:r>
            <w:r>
              <w:rPr>
                <w:color w:val="auto"/>
                <w:sz w:val="24"/>
                <w:szCs w:val="24"/>
                <w:highlight w:val="none"/>
              </w:rPr>
              <w:t>说明</w:t>
            </w:r>
          </w:p>
        </w:tc>
        <w:tc>
          <w:tcPr>
            <w:tcW w:w="6446" w:type="dxa"/>
            <w:noWrap/>
            <w:vAlign w:val="center"/>
          </w:tcPr>
          <w:p>
            <w:pPr>
              <w:rPr>
                <w:color w:val="auto"/>
                <w:sz w:val="24"/>
                <w:szCs w:val="24"/>
                <w:highlight w:val="none"/>
              </w:rPr>
            </w:pPr>
            <w:r>
              <w:rPr>
                <w:color w:val="auto"/>
                <w:sz w:val="24"/>
                <w:szCs w:val="24"/>
                <w:highlight w:val="none"/>
              </w:rPr>
              <w:t>（1）以联合体形式</w:t>
            </w:r>
            <w:r>
              <w:rPr>
                <w:rFonts w:hint="eastAsia"/>
                <w:color w:val="auto"/>
                <w:sz w:val="24"/>
                <w:szCs w:val="24"/>
                <w:highlight w:val="none"/>
              </w:rPr>
              <w:t>参与磋商</w:t>
            </w:r>
            <w:r>
              <w:rPr>
                <w:color w:val="auto"/>
                <w:sz w:val="24"/>
                <w:szCs w:val="24"/>
                <w:highlight w:val="none"/>
              </w:rPr>
              <w:t>的，联合体各方的业绩证明材料均认可。</w:t>
            </w:r>
          </w:p>
          <w:p>
            <w:pPr>
              <w:rPr>
                <w:color w:val="auto"/>
                <w:kern w:val="2"/>
                <w:sz w:val="24"/>
                <w:szCs w:val="24"/>
                <w:highlight w:val="none"/>
              </w:rPr>
            </w:pPr>
            <w:r>
              <w:rPr>
                <w:color w:val="auto"/>
                <w:sz w:val="24"/>
                <w:szCs w:val="24"/>
                <w:highlight w:val="none"/>
              </w:rPr>
              <w:t>（2）以联合体形式</w:t>
            </w:r>
            <w:r>
              <w:rPr>
                <w:rFonts w:hint="eastAsia"/>
                <w:color w:val="auto"/>
                <w:sz w:val="24"/>
                <w:szCs w:val="24"/>
                <w:highlight w:val="none"/>
              </w:rPr>
              <w:t>参与磋商</w:t>
            </w:r>
            <w:r>
              <w:rPr>
                <w:color w:val="auto"/>
                <w:sz w:val="24"/>
                <w:szCs w:val="24"/>
                <w:highlight w:val="none"/>
              </w:rPr>
              <w:t>的，联合体中有一方或者联合体成员根据分工按采购文件评</w:t>
            </w:r>
            <w:r>
              <w:rPr>
                <w:rFonts w:hint="eastAsia"/>
                <w:color w:val="auto"/>
                <w:sz w:val="24"/>
                <w:szCs w:val="24"/>
                <w:highlight w:val="none"/>
              </w:rPr>
              <w:t>审</w:t>
            </w:r>
            <w:r>
              <w:rPr>
                <w:color w:val="auto"/>
                <w:sz w:val="24"/>
                <w:szCs w:val="24"/>
                <w:highlight w:val="none"/>
              </w:rPr>
              <w:t>细则要求提供材料的，视为符合评审要求。</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8"/>
              <w:snapToGrid w:val="0"/>
              <w:spacing w:line="240" w:lineRule="auto"/>
              <w:ind w:firstLine="0" w:firstLineChars="0"/>
              <w:jc w:val="center"/>
              <w:rPr>
                <w:rFonts w:ascii="Times New Roman" w:hAnsi="Times New Roman"/>
                <w:color w:val="auto"/>
                <w:sz w:val="24"/>
                <w:highlight w:val="none"/>
              </w:rPr>
            </w:pPr>
            <w:r>
              <w:rPr>
                <w:rFonts w:hint="eastAsia" w:ascii="Times New Roman" w:hAnsi="Times New Roman"/>
                <w:snapToGrid w:val="0"/>
                <w:color w:val="auto"/>
                <w:sz w:val="24"/>
                <w:highlight w:val="none"/>
              </w:rPr>
              <w:t>22</w:t>
            </w:r>
          </w:p>
        </w:tc>
        <w:tc>
          <w:tcPr>
            <w:tcW w:w="1432" w:type="dxa"/>
            <w:noWrap/>
            <w:vAlign w:val="center"/>
          </w:tcPr>
          <w:p>
            <w:pPr>
              <w:adjustRightInd w:val="0"/>
              <w:snapToGrid w:val="0"/>
              <w:spacing w:line="320" w:lineRule="exact"/>
              <w:jc w:val="center"/>
              <w:rPr>
                <w:color w:val="auto"/>
                <w:sz w:val="24"/>
                <w:szCs w:val="24"/>
                <w:highlight w:val="none"/>
              </w:rPr>
            </w:pPr>
            <w:r>
              <w:rPr>
                <w:rFonts w:ascii="宋体" w:hAnsi="宋体" w:cs="宋体"/>
                <w:color w:val="auto"/>
                <w:sz w:val="24"/>
                <w:szCs w:val="24"/>
                <w:highlight w:val="none"/>
              </w:rPr>
              <w:t>转包</w:t>
            </w:r>
          </w:p>
        </w:tc>
        <w:tc>
          <w:tcPr>
            <w:tcW w:w="6446" w:type="dxa"/>
            <w:noWrap/>
            <w:vAlign w:val="center"/>
          </w:tcPr>
          <w:p>
            <w:pPr>
              <w:autoSpaceDE w:val="0"/>
              <w:autoSpaceDN w:val="0"/>
              <w:adjustRightInd w:val="0"/>
              <w:snapToGrid w:val="0"/>
              <w:spacing w:line="320" w:lineRule="exact"/>
              <w:textAlignment w:val="bottom"/>
              <w:rPr>
                <w:color w:val="auto"/>
                <w:sz w:val="24"/>
                <w:szCs w:val="24"/>
                <w:highlight w:val="none"/>
              </w:rPr>
            </w:pPr>
            <w:r>
              <w:rPr>
                <w:rFonts w:ascii="宋体" w:hAnsi="宋体" w:cs="宋体"/>
                <w:color w:val="auto"/>
                <w:sz w:val="24"/>
                <w:szCs w:val="24"/>
                <w:highlight w:val="none"/>
              </w:rPr>
              <w:t>本项目不允许转包</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8"/>
              <w:snapToGrid w:val="0"/>
              <w:spacing w:line="240" w:lineRule="auto"/>
              <w:ind w:firstLine="0" w:firstLineChars="0"/>
              <w:jc w:val="center"/>
              <w:rPr>
                <w:rFonts w:ascii="Times New Roman" w:hAnsi="Times New Roman"/>
                <w:color w:val="auto"/>
                <w:sz w:val="24"/>
                <w:highlight w:val="none"/>
              </w:rPr>
            </w:pPr>
            <w:r>
              <w:rPr>
                <w:rFonts w:hint="eastAsia" w:ascii="Times New Roman" w:hAnsi="Times New Roman"/>
                <w:snapToGrid w:val="0"/>
                <w:color w:val="auto"/>
                <w:sz w:val="24"/>
                <w:highlight w:val="none"/>
              </w:rPr>
              <w:t>23</w:t>
            </w:r>
          </w:p>
        </w:tc>
        <w:tc>
          <w:tcPr>
            <w:tcW w:w="1432" w:type="dxa"/>
            <w:noWrap/>
            <w:vAlign w:val="center"/>
          </w:tcPr>
          <w:p>
            <w:pPr>
              <w:autoSpaceDE w:val="0"/>
              <w:autoSpaceDN w:val="0"/>
              <w:adjustRightInd w:val="0"/>
              <w:snapToGrid w:val="0"/>
              <w:jc w:val="center"/>
              <w:textAlignment w:val="bottom"/>
              <w:rPr>
                <w:color w:val="auto"/>
                <w:sz w:val="24"/>
                <w:szCs w:val="24"/>
                <w:highlight w:val="none"/>
              </w:rPr>
            </w:pPr>
            <w:r>
              <w:rPr>
                <w:rFonts w:ascii="宋体" w:hAnsi="宋体" w:cs="宋体"/>
                <w:color w:val="auto"/>
                <w:sz w:val="24"/>
                <w:szCs w:val="24"/>
                <w:highlight w:val="none"/>
              </w:rPr>
              <w:t>分包</w:t>
            </w:r>
          </w:p>
        </w:tc>
        <w:tc>
          <w:tcPr>
            <w:tcW w:w="6446" w:type="dxa"/>
            <w:noWrap/>
            <w:vAlign w:val="center"/>
          </w:tcPr>
          <w:p>
            <w:pPr>
              <w:autoSpaceDE w:val="0"/>
              <w:autoSpaceDN w:val="0"/>
              <w:adjustRightInd w:val="0"/>
              <w:snapToGrid w:val="0"/>
              <w:textAlignment w:val="bottom"/>
              <w:rPr>
                <w:color w:val="auto"/>
                <w:sz w:val="24"/>
                <w:szCs w:val="24"/>
                <w:highlight w:val="none"/>
              </w:rPr>
            </w:pPr>
            <w:r>
              <w:rPr>
                <w:rFonts w:hint="eastAsia" w:ascii="宋体" w:hAnsi="宋体" w:cs="宋体"/>
                <w:color w:val="auto"/>
                <w:sz w:val="24"/>
                <w:highlight w:val="none"/>
              </w:rPr>
              <w:t>供应商</w:t>
            </w:r>
            <w:r>
              <w:rPr>
                <w:rFonts w:ascii="宋体" w:hAnsi="宋体" w:cs="宋体"/>
                <w:color w:val="auto"/>
                <w:sz w:val="24"/>
                <w:highlight w:val="none"/>
              </w:rPr>
              <w:t>根据</w:t>
            </w:r>
            <w:r>
              <w:rPr>
                <w:rFonts w:hint="eastAsia" w:ascii="宋体" w:hAnsi="宋体" w:cs="宋体"/>
                <w:color w:val="auto"/>
                <w:sz w:val="24"/>
                <w:highlight w:val="none"/>
              </w:rPr>
              <w:t>采购</w:t>
            </w:r>
            <w:r>
              <w:rPr>
                <w:rFonts w:ascii="宋体" w:hAnsi="宋体" w:cs="宋体"/>
                <w:color w:val="auto"/>
                <w:sz w:val="24"/>
                <w:highlight w:val="none"/>
              </w:rPr>
              <w:t>文件载明的项目实际情况，拟在</w:t>
            </w:r>
            <w:r>
              <w:rPr>
                <w:rFonts w:hint="eastAsia" w:ascii="宋体" w:hAnsi="宋体" w:cs="宋体"/>
                <w:color w:val="auto"/>
                <w:sz w:val="24"/>
                <w:highlight w:val="none"/>
              </w:rPr>
              <w:t>成交</w:t>
            </w:r>
            <w:r>
              <w:rPr>
                <w:rFonts w:ascii="宋体" w:hAnsi="宋体" w:cs="宋体"/>
                <w:color w:val="auto"/>
                <w:sz w:val="24"/>
                <w:highlight w:val="none"/>
              </w:rPr>
              <w:t>后将项目的部分</w:t>
            </w:r>
            <w:r>
              <w:rPr>
                <w:rFonts w:ascii="宋体" w:hAnsi="宋体" w:cs="宋体"/>
                <w:color w:val="auto"/>
                <w:sz w:val="24"/>
                <w:highlight w:val="none"/>
                <w:u w:val="single"/>
              </w:rPr>
              <w:t>非主体、非关键性</w:t>
            </w:r>
            <w:r>
              <w:rPr>
                <w:rFonts w:ascii="宋体" w:hAnsi="宋体" w:cs="宋体"/>
                <w:color w:val="auto"/>
                <w:sz w:val="24"/>
                <w:highlight w:val="none"/>
              </w:rPr>
              <w:t>工作进行分包的，应当在</w:t>
            </w:r>
            <w:r>
              <w:rPr>
                <w:rFonts w:hint="eastAsia" w:ascii="宋体" w:hAnsi="宋体" w:cs="宋体"/>
                <w:color w:val="auto"/>
                <w:sz w:val="24"/>
                <w:highlight w:val="none"/>
              </w:rPr>
              <w:t>响应</w:t>
            </w:r>
            <w:r>
              <w:rPr>
                <w:rFonts w:ascii="宋体" w:hAnsi="宋体" w:cs="宋体"/>
                <w:color w:val="auto"/>
                <w:sz w:val="24"/>
                <w:highlight w:val="none"/>
              </w:rPr>
              <w:t>文件中载明。</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hint="eastAsia" w:ascii="Times New Roman" w:hAnsi="Times New Roman"/>
                <w:snapToGrid w:val="0"/>
                <w:color w:val="auto"/>
                <w:sz w:val="24"/>
                <w:highlight w:val="none"/>
              </w:rPr>
              <w:t>24</w:t>
            </w:r>
          </w:p>
        </w:tc>
        <w:tc>
          <w:tcPr>
            <w:tcW w:w="1432" w:type="dxa"/>
            <w:noWrap/>
            <w:vAlign w:val="center"/>
          </w:tcPr>
          <w:p>
            <w:pPr>
              <w:adjustRightInd w:val="0"/>
              <w:snapToGrid w:val="0"/>
              <w:jc w:val="center"/>
              <w:rPr>
                <w:color w:val="auto"/>
                <w:sz w:val="24"/>
                <w:szCs w:val="24"/>
                <w:highlight w:val="none"/>
              </w:rPr>
            </w:pPr>
            <w:r>
              <w:rPr>
                <w:color w:val="auto"/>
                <w:sz w:val="24"/>
                <w:szCs w:val="24"/>
                <w:highlight w:val="none"/>
              </w:rPr>
              <w:t>质疑</w:t>
            </w:r>
          </w:p>
        </w:tc>
        <w:tc>
          <w:tcPr>
            <w:tcW w:w="6446" w:type="dxa"/>
            <w:noWrap/>
            <w:vAlign w:val="center"/>
          </w:tcPr>
          <w:p>
            <w:pPr>
              <w:adjustRightInd w:val="0"/>
              <w:snapToGrid w:val="0"/>
              <w:jc w:val="left"/>
              <w:rPr>
                <w:color w:val="auto"/>
                <w:sz w:val="24"/>
                <w:szCs w:val="24"/>
                <w:highlight w:val="none"/>
              </w:rPr>
            </w:pPr>
            <w:r>
              <w:rPr>
                <w:color w:val="auto"/>
                <w:sz w:val="24"/>
                <w:szCs w:val="24"/>
                <w:highlight w:val="none"/>
              </w:rPr>
              <w:t>根据《中华人民共和国政府采购法》第五十二条的规定，供应商认为</w:t>
            </w:r>
            <w:r>
              <w:rPr>
                <w:rFonts w:hint="eastAsia"/>
                <w:color w:val="auto"/>
                <w:sz w:val="24"/>
                <w:szCs w:val="24"/>
                <w:highlight w:val="none"/>
              </w:rPr>
              <w:t>采购文件</w:t>
            </w:r>
            <w:r>
              <w:rPr>
                <w:color w:val="auto"/>
                <w:sz w:val="24"/>
                <w:szCs w:val="24"/>
                <w:highlight w:val="none"/>
              </w:rPr>
              <w:t>、采购过程和中标、成交结果使自己的权益受到损害的，可以在知道或者应知其权益受到损害之日起七个工作日内，以书面形式向采购人、采购代理机构提出质疑。</w:t>
            </w:r>
          </w:p>
          <w:p>
            <w:pPr>
              <w:adjustRightInd w:val="0"/>
              <w:snapToGrid w:val="0"/>
              <w:jc w:val="left"/>
              <w:rPr>
                <w:color w:val="auto"/>
                <w:sz w:val="24"/>
                <w:szCs w:val="24"/>
                <w:highlight w:val="none"/>
              </w:rPr>
            </w:pPr>
            <w:r>
              <w:rPr>
                <w:color w:val="auto"/>
                <w:sz w:val="24"/>
                <w:szCs w:val="24"/>
                <w:highlight w:val="none"/>
              </w:rPr>
              <w:t>政府采购法第五十二条规定的供应商应知其权益受到损害之日，是指：</w:t>
            </w:r>
          </w:p>
          <w:p>
            <w:pPr>
              <w:adjustRightInd w:val="0"/>
              <w:snapToGrid w:val="0"/>
              <w:jc w:val="left"/>
              <w:rPr>
                <w:color w:val="auto"/>
                <w:sz w:val="24"/>
                <w:szCs w:val="24"/>
                <w:highlight w:val="none"/>
              </w:rPr>
            </w:pPr>
            <w:r>
              <w:rPr>
                <w:color w:val="auto"/>
                <w:sz w:val="24"/>
                <w:szCs w:val="24"/>
                <w:highlight w:val="none"/>
              </w:rPr>
              <w:t>（一）对可以质疑的采购文件提出质疑的，为收到采购文件之日或者采购文件公告期限届满之日；</w:t>
            </w:r>
          </w:p>
          <w:p>
            <w:pPr>
              <w:adjustRightInd w:val="0"/>
              <w:snapToGrid w:val="0"/>
              <w:jc w:val="left"/>
              <w:rPr>
                <w:color w:val="auto"/>
                <w:sz w:val="24"/>
                <w:szCs w:val="24"/>
                <w:highlight w:val="none"/>
              </w:rPr>
            </w:pPr>
            <w:r>
              <w:rPr>
                <w:color w:val="auto"/>
                <w:sz w:val="24"/>
                <w:szCs w:val="24"/>
                <w:highlight w:val="none"/>
              </w:rPr>
              <w:t>（二）对采购过程提出质疑的，为各采购程序环节结束之日；</w:t>
            </w:r>
          </w:p>
          <w:p>
            <w:pPr>
              <w:adjustRightInd w:val="0"/>
              <w:snapToGrid w:val="0"/>
              <w:jc w:val="left"/>
              <w:rPr>
                <w:color w:val="auto"/>
                <w:sz w:val="24"/>
                <w:szCs w:val="24"/>
                <w:highlight w:val="none"/>
              </w:rPr>
            </w:pPr>
            <w:r>
              <w:rPr>
                <w:color w:val="auto"/>
                <w:sz w:val="24"/>
                <w:szCs w:val="24"/>
                <w:highlight w:val="none"/>
              </w:rPr>
              <w:t>（三）对中标或者成交结果提出质疑的，为中标或者成交结果公告期限届满之日。</w:t>
            </w:r>
          </w:p>
          <w:p>
            <w:pPr>
              <w:adjustRightInd w:val="0"/>
              <w:snapToGrid w:val="0"/>
              <w:jc w:val="left"/>
              <w:rPr>
                <w:color w:val="auto"/>
                <w:sz w:val="24"/>
                <w:szCs w:val="24"/>
                <w:highlight w:val="none"/>
              </w:rPr>
            </w:pPr>
            <w:r>
              <w:rPr>
                <w:color w:val="auto"/>
                <w:sz w:val="24"/>
                <w:szCs w:val="24"/>
                <w:highlight w:val="none"/>
              </w:rPr>
              <w:t>根据《政府采购质疑和投诉办法》第十三条，采购人、采购代理机构不得拒收质疑供应商在法定质疑期内发出的质疑函，应当在收到质疑函后7个工作日内作出答复，并以书面形式通知质疑供应商和其他有关供应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42" w:hRule="atLeast"/>
          <w:jc w:val="center"/>
        </w:trPr>
        <w:tc>
          <w:tcPr>
            <w:tcW w:w="881"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hint="eastAsia" w:ascii="Times New Roman" w:hAnsi="Times New Roman"/>
                <w:snapToGrid w:val="0"/>
                <w:color w:val="auto"/>
                <w:sz w:val="24"/>
                <w:highlight w:val="none"/>
              </w:rPr>
              <w:t>25</w:t>
            </w:r>
          </w:p>
        </w:tc>
        <w:tc>
          <w:tcPr>
            <w:tcW w:w="1432" w:type="dxa"/>
            <w:noWrap/>
            <w:vAlign w:val="center"/>
          </w:tcPr>
          <w:p>
            <w:pPr>
              <w:adjustRightInd w:val="0"/>
              <w:snapToGrid w:val="0"/>
              <w:jc w:val="center"/>
              <w:rPr>
                <w:color w:val="auto"/>
                <w:sz w:val="24"/>
                <w:szCs w:val="24"/>
                <w:highlight w:val="none"/>
              </w:rPr>
            </w:pPr>
            <w:r>
              <w:rPr>
                <w:color w:val="auto"/>
                <w:sz w:val="24"/>
                <w:szCs w:val="24"/>
                <w:highlight w:val="none"/>
              </w:rPr>
              <w:t>投诉</w:t>
            </w:r>
          </w:p>
        </w:tc>
        <w:tc>
          <w:tcPr>
            <w:tcW w:w="6446" w:type="dxa"/>
            <w:noWrap/>
            <w:vAlign w:val="center"/>
          </w:tcPr>
          <w:p>
            <w:pPr>
              <w:adjustRightInd w:val="0"/>
              <w:snapToGrid w:val="0"/>
              <w:rPr>
                <w:color w:val="auto"/>
                <w:sz w:val="24"/>
                <w:szCs w:val="24"/>
                <w:highlight w:val="none"/>
              </w:rPr>
            </w:pPr>
            <w:r>
              <w:rPr>
                <w:color w:val="auto"/>
                <w:sz w:val="24"/>
                <w:szCs w:val="24"/>
                <w:highlight w:val="none"/>
              </w:rPr>
              <w:t>根据《中华人民共和国政府采购法》第五十五条的规定，质疑供应商对采购人、采购代理机构的答复不满意或者采购人、采购代理机构未在规定的时间内作出答复的，可以在答复期满后十五个工作日内向同级政府采购监督管理部门</w:t>
            </w:r>
            <w:r>
              <w:rPr>
                <w:rFonts w:hint="eastAsia"/>
                <w:color w:val="auto"/>
                <w:sz w:val="24"/>
                <w:szCs w:val="24"/>
                <w:highlight w:val="none"/>
              </w:rPr>
              <w:t>（</w:t>
            </w:r>
            <w:r>
              <w:rPr>
                <w:color w:val="auto"/>
                <w:sz w:val="24"/>
                <w:szCs w:val="24"/>
                <w:highlight w:val="none"/>
              </w:rPr>
              <w:t>采购人内部设置的采购监督机构</w:t>
            </w:r>
            <w:r>
              <w:rPr>
                <w:rFonts w:hint="eastAsia"/>
                <w:color w:val="auto"/>
                <w:sz w:val="24"/>
                <w:szCs w:val="24"/>
                <w:highlight w:val="none"/>
              </w:rPr>
              <w:t>）</w:t>
            </w:r>
            <w:r>
              <w:rPr>
                <w:color w:val="auto"/>
                <w:sz w:val="24"/>
                <w:szCs w:val="24"/>
                <w:highlight w:val="none"/>
              </w:rPr>
              <w:t>投诉。</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hint="eastAsia" w:ascii="Times New Roman" w:hAnsi="Times New Roman"/>
                <w:snapToGrid w:val="0"/>
                <w:color w:val="auto"/>
                <w:sz w:val="24"/>
                <w:highlight w:val="none"/>
              </w:rPr>
              <w:t>26</w:t>
            </w:r>
          </w:p>
        </w:tc>
        <w:tc>
          <w:tcPr>
            <w:tcW w:w="1432" w:type="dxa"/>
            <w:noWrap/>
            <w:vAlign w:val="center"/>
          </w:tcPr>
          <w:p>
            <w:pPr>
              <w:snapToGrid w:val="0"/>
              <w:jc w:val="center"/>
              <w:rPr>
                <w:color w:val="auto"/>
                <w:sz w:val="24"/>
                <w:szCs w:val="24"/>
                <w:highlight w:val="none"/>
              </w:rPr>
            </w:pPr>
            <w:r>
              <w:rPr>
                <w:color w:val="auto"/>
                <w:sz w:val="24"/>
                <w:szCs w:val="24"/>
                <w:highlight w:val="none"/>
              </w:rPr>
              <w:t>样品</w:t>
            </w:r>
          </w:p>
        </w:tc>
        <w:tc>
          <w:tcPr>
            <w:tcW w:w="6446" w:type="dxa"/>
            <w:noWrap/>
            <w:vAlign w:val="center"/>
          </w:tcPr>
          <w:p>
            <w:pPr>
              <w:snapToGrid w:val="0"/>
              <w:rPr>
                <w:color w:val="auto"/>
                <w:sz w:val="24"/>
                <w:szCs w:val="24"/>
                <w:highlight w:val="none"/>
              </w:rPr>
            </w:pPr>
            <w:r>
              <w:rPr>
                <w:color w:val="auto"/>
                <w:sz w:val="24"/>
                <w:szCs w:val="24"/>
                <w:highlight w:val="none"/>
              </w:rPr>
              <w:t>不提供</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hint="eastAsia" w:ascii="Times New Roman" w:hAnsi="Times New Roman"/>
                <w:snapToGrid w:val="0"/>
                <w:color w:val="auto"/>
                <w:sz w:val="24"/>
                <w:highlight w:val="none"/>
              </w:rPr>
              <w:t>27</w:t>
            </w:r>
          </w:p>
        </w:tc>
        <w:tc>
          <w:tcPr>
            <w:tcW w:w="1432" w:type="dxa"/>
            <w:noWrap/>
            <w:vAlign w:val="center"/>
          </w:tcPr>
          <w:p>
            <w:pPr>
              <w:snapToGrid w:val="0"/>
              <w:jc w:val="center"/>
              <w:rPr>
                <w:color w:val="auto"/>
                <w:sz w:val="24"/>
                <w:szCs w:val="24"/>
                <w:highlight w:val="none"/>
              </w:rPr>
            </w:pPr>
            <w:r>
              <w:rPr>
                <w:color w:val="auto"/>
                <w:sz w:val="24"/>
                <w:szCs w:val="24"/>
                <w:highlight w:val="none"/>
              </w:rPr>
              <w:t>演示</w:t>
            </w:r>
          </w:p>
        </w:tc>
        <w:tc>
          <w:tcPr>
            <w:tcW w:w="6446" w:type="dxa"/>
            <w:noWrap/>
            <w:vAlign w:val="center"/>
          </w:tcPr>
          <w:p>
            <w:pPr>
              <w:snapToGrid w:val="0"/>
              <w:rPr>
                <w:color w:val="auto"/>
                <w:sz w:val="24"/>
                <w:szCs w:val="24"/>
                <w:highlight w:val="none"/>
              </w:rPr>
            </w:pPr>
            <w:r>
              <w:rPr>
                <w:color w:val="auto"/>
                <w:sz w:val="24"/>
                <w:szCs w:val="24"/>
                <w:highlight w:val="none"/>
              </w:rPr>
              <w:t>不要求</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ascii="Times New Roman" w:hAnsi="Times New Roman"/>
                <w:snapToGrid w:val="0"/>
                <w:color w:val="auto"/>
                <w:sz w:val="24"/>
                <w:highlight w:val="none"/>
              </w:rPr>
              <w:t>2</w:t>
            </w:r>
            <w:r>
              <w:rPr>
                <w:rFonts w:hint="eastAsia" w:ascii="Times New Roman" w:hAnsi="Times New Roman"/>
                <w:snapToGrid w:val="0"/>
                <w:color w:val="auto"/>
                <w:sz w:val="24"/>
                <w:highlight w:val="none"/>
              </w:rPr>
              <w:t>8</w:t>
            </w:r>
          </w:p>
        </w:tc>
        <w:tc>
          <w:tcPr>
            <w:tcW w:w="1432" w:type="dxa"/>
            <w:noWrap/>
            <w:vAlign w:val="center"/>
          </w:tcPr>
          <w:p>
            <w:pPr>
              <w:adjustRightInd w:val="0"/>
              <w:snapToGrid w:val="0"/>
              <w:spacing w:line="320" w:lineRule="exact"/>
              <w:jc w:val="center"/>
              <w:rPr>
                <w:color w:val="auto"/>
                <w:sz w:val="24"/>
                <w:szCs w:val="24"/>
                <w:highlight w:val="none"/>
              </w:rPr>
            </w:pPr>
            <w:r>
              <w:rPr>
                <w:rFonts w:ascii="宋体" w:hAnsi="宋体" w:cs="宋体"/>
                <w:color w:val="auto"/>
                <w:sz w:val="24"/>
                <w:szCs w:val="24"/>
                <w:highlight w:val="none"/>
              </w:rPr>
              <w:t>履约保证金</w:t>
            </w:r>
          </w:p>
        </w:tc>
        <w:tc>
          <w:tcPr>
            <w:tcW w:w="6446" w:type="dxa"/>
            <w:noWrap/>
            <w:vAlign w:val="center"/>
          </w:tcPr>
          <w:p>
            <w:pPr>
              <w:autoSpaceDE w:val="0"/>
              <w:autoSpaceDN w:val="0"/>
              <w:adjustRightInd w:val="0"/>
              <w:snapToGrid w:val="0"/>
              <w:spacing w:line="320" w:lineRule="exact"/>
              <w:textAlignment w:val="bottom"/>
              <w:rPr>
                <w:rFonts w:ascii="宋体" w:hAnsi="宋体" w:cs="宋体"/>
                <w:color w:val="auto"/>
                <w:sz w:val="24"/>
                <w:szCs w:val="24"/>
                <w:highlight w:val="none"/>
              </w:rPr>
            </w:pPr>
            <w:r>
              <w:rPr>
                <w:rFonts w:ascii="宋体" w:hAnsi="宋体" w:cs="宋体"/>
                <w:color w:val="auto"/>
                <w:sz w:val="24"/>
                <w:szCs w:val="24"/>
                <w:highlight w:val="none"/>
              </w:rPr>
              <w:t>□不要求提供</w:t>
            </w:r>
          </w:p>
          <w:p>
            <w:pPr>
              <w:adjustRightInd w:val="0"/>
              <w:snapToGrid w:val="0"/>
              <w:spacing w:line="320" w:lineRule="exact"/>
              <w:rPr>
                <w:rFonts w:ascii="宋体" w:hAnsi="宋体" w:cs="宋体"/>
                <w:color w:val="auto"/>
                <w:sz w:val="24"/>
                <w:szCs w:val="24"/>
                <w:highlight w:val="none"/>
              </w:rPr>
            </w:pPr>
            <w:r>
              <w:rPr>
                <w:rFonts w:ascii="宋体" w:hAnsi="宋体" w:cs="宋体"/>
                <w:color w:val="auto"/>
                <w:sz w:val="24"/>
                <w:szCs w:val="24"/>
                <w:highlight w:val="none"/>
              </w:rPr>
              <w:sym w:font="Wingdings 2" w:char="0052"/>
            </w:r>
            <w:r>
              <w:rPr>
                <w:rFonts w:ascii="宋体" w:hAnsi="宋体" w:cs="宋体"/>
                <w:color w:val="auto"/>
                <w:sz w:val="24"/>
                <w:szCs w:val="24"/>
                <w:highlight w:val="none"/>
              </w:rPr>
              <w:t>要求提供：</w:t>
            </w:r>
          </w:p>
          <w:p>
            <w:pPr>
              <w:numPr>
                <w:ilvl w:val="0"/>
                <w:numId w:val="1"/>
              </w:numPr>
              <w:adjustRightInd w:val="0"/>
              <w:snapToGrid w:val="0"/>
              <w:spacing w:line="320" w:lineRule="exact"/>
              <w:rPr>
                <w:rFonts w:ascii="宋体" w:hAnsi="宋体" w:cs="宋体"/>
                <w:color w:val="auto"/>
                <w:sz w:val="24"/>
                <w:szCs w:val="24"/>
                <w:highlight w:val="none"/>
              </w:rPr>
            </w:pPr>
            <w:r>
              <w:rPr>
                <w:rFonts w:ascii="宋体" w:hAnsi="宋体" w:cs="宋体"/>
                <w:color w:val="auto"/>
                <w:sz w:val="24"/>
                <w:szCs w:val="24"/>
                <w:highlight w:val="none"/>
              </w:rPr>
              <w:t>金额为合同金额的1%</w:t>
            </w:r>
            <w:r>
              <w:rPr>
                <w:rFonts w:hint="eastAsia" w:ascii="宋体" w:hAnsi="宋体" w:cs="宋体"/>
                <w:color w:val="auto"/>
                <w:sz w:val="24"/>
                <w:szCs w:val="24"/>
                <w:highlight w:val="none"/>
              </w:rPr>
              <w:t>。</w:t>
            </w:r>
          </w:p>
          <w:p>
            <w:pPr>
              <w:numPr>
                <w:ilvl w:val="0"/>
                <w:numId w:val="1"/>
              </w:numPr>
              <w:adjustRightInd w:val="0"/>
              <w:snapToGrid w:val="0"/>
              <w:spacing w:line="320" w:lineRule="exact"/>
              <w:rPr>
                <w:color w:val="auto"/>
                <w:sz w:val="24"/>
                <w:szCs w:val="24"/>
                <w:highlight w:val="none"/>
              </w:rPr>
            </w:pPr>
            <w:r>
              <w:rPr>
                <w:rFonts w:ascii="宋体" w:hAnsi="宋体" w:cs="宋体"/>
                <w:color w:val="auto"/>
                <w:sz w:val="24"/>
                <w:szCs w:val="24"/>
                <w:highlight w:val="none"/>
              </w:rPr>
              <w:t>合同签订后七个工作日内由</w:t>
            </w:r>
            <w:r>
              <w:rPr>
                <w:rFonts w:hint="eastAsia" w:ascii="宋体" w:hAnsi="宋体" w:cs="宋体"/>
                <w:color w:val="auto"/>
                <w:sz w:val="24"/>
                <w:szCs w:val="24"/>
                <w:highlight w:val="none"/>
              </w:rPr>
              <w:t>成交供应商</w:t>
            </w:r>
            <w:r>
              <w:rPr>
                <w:rFonts w:ascii="宋体" w:hAnsi="宋体" w:cs="宋体"/>
                <w:color w:val="auto"/>
                <w:sz w:val="24"/>
                <w:szCs w:val="24"/>
                <w:highlight w:val="none"/>
              </w:rPr>
              <w:t>提交给采购人，</w:t>
            </w:r>
            <w:r>
              <w:rPr>
                <w:rFonts w:ascii="宋体" w:hAnsi="宋体" w:cs="宋体"/>
                <w:color w:val="auto"/>
                <w:sz w:val="24"/>
                <w:szCs w:val="24"/>
                <w:highlight w:val="none"/>
                <w:shd w:val="clear" w:color="auto" w:fill="FFFFFF"/>
              </w:rPr>
              <w:t>服务期届满后无发现有服务质量问题和其他纠纷的无息退还</w:t>
            </w:r>
            <w:r>
              <w:rPr>
                <w:rFonts w:ascii="宋体" w:hAnsi="宋体" w:cs="宋体"/>
                <w:color w:val="auto"/>
                <w:sz w:val="24"/>
                <w:szCs w:val="24"/>
                <w:highlight w:val="none"/>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035" w:hRule="atLeast"/>
          <w:jc w:val="center"/>
        </w:trPr>
        <w:tc>
          <w:tcPr>
            <w:tcW w:w="881"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hint="eastAsia" w:ascii="Times New Roman" w:hAnsi="Times New Roman"/>
                <w:snapToGrid w:val="0"/>
                <w:color w:val="auto"/>
                <w:sz w:val="24"/>
                <w:highlight w:val="none"/>
              </w:rPr>
              <w:t>29</w:t>
            </w:r>
          </w:p>
        </w:tc>
        <w:tc>
          <w:tcPr>
            <w:tcW w:w="1432" w:type="dxa"/>
            <w:noWrap/>
            <w:vAlign w:val="center"/>
          </w:tcPr>
          <w:p>
            <w:pPr>
              <w:adjustRightInd w:val="0"/>
              <w:snapToGrid w:val="0"/>
              <w:spacing w:line="320" w:lineRule="exact"/>
              <w:jc w:val="center"/>
              <w:rPr>
                <w:color w:val="auto"/>
                <w:sz w:val="24"/>
                <w:szCs w:val="24"/>
                <w:highlight w:val="none"/>
              </w:rPr>
            </w:pPr>
            <w:r>
              <w:rPr>
                <w:rFonts w:ascii="宋体" w:hAnsi="宋体" w:cs="宋体"/>
                <w:color w:val="auto"/>
                <w:sz w:val="24"/>
                <w:szCs w:val="24"/>
                <w:highlight w:val="none"/>
              </w:rPr>
              <w:t>代理服务费</w:t>
            </w:r>
          </w:p>
        </w:tc>
        <w:tc>
          <w:tcPr>
            <w:tcW w:w="6446" w:type="dxa"/>
            <w:noWrap/>
            <w:vAlign w:val="center"/>
          </w:tcPr>
          <w:p>
            <w:pPr>
              <w:adjustRightInd w:val="0"/>
              <w:snapToGrid w:val="0"/>
              <w:jc w:val="both"/>
              <w:rPr>
                <w:rFonts w:hint="default"/>
                <w:color w:val="auto"/>
                <w:sz w:val="24"/>
                <w:szCs w:val="24"/>
                <w:highlight w:val="none"/>
                <w:lang w:val="en-US" w:eastAsia="zh-CN"/>
              </w:rPr>
            </w:pPr>
            <w:r>
              <w:rPr>
                <w:rFonts w:hint="default"/>
                <w:color w:val="auto"/>
                <w:sz w:val="24"/>
                <w:szCs w:val="24"/>
                <w:highlight w:val="none"/>
                <w:lang w:val="en-US" w:eastAsia="zh-CN"/>
              </w:rPr>
              <w:t>本项目招标代理费按国家计委关于印发《招标代理服务收费管理暂行办法》的通知（计价格[2002]1980号）文件规定的取费标准下浮42%计取，以中标价为基数，不足3000元时按3000元计取。</w:t>
            </w:r>
          </w:p>
          <w:p>
            <w:pPr>
              <w:adjustRightInd w:val="0"/>
              <w:snapToGrid w:val="0"/>
              <w:spacing w:line="320" w:lineRule="exact"/>
              <w:rPr>
                <w:color w:val="auto"/>
                <w:sz w:val="24"/>
                <w:szCs w:val="24"/>
                <w:highlight w:val="none"/>
              </w:rPr>
            </w:pPr>
            <w:r>
              <w:rPr>
                <w:rFonts w:hint="default"/>
                <w:color w:val="auto"/>
                <w:sz w:val="24"/>
                <w:szCs w:val="24"/>
                <w:highlight w:val="none"/>
                <w:lang w:val="en-US" w:eastAsia="zh-CN"/>
              </w:rPr>
              <w:t>以上费用在投标文件中不单列，由中标人在投标总报价中综合考虑。</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hint="eastAsia" w:ascii="Times New Roman" w:hAnsi="Times New Roman"/>
                <w:snapToGrid w:val="0"/>
                <w:color w:val="auto"/>
                <w:sz w:val="24"/>
                <w:highlight w:val="none"/>
              </w:rPr>
              <w:t>30</w:t>
            </w:r>
          </w:p>
        </w:tc>
        <w:tc>
          <w:tcPr>
            <w:tcW w:w="1432" w:type="dxa"/>
            <w:noWrap/>
            <w:vAlign w:val="center"/>
          </w:tcPr>
          <w:p>
            <w:pPr>
              <w:snapToGrid w:val="0"/>
              <w:jc w:val="center"/>
              <w:rPr>
                <w:color w:val="auto"/>
                <w:sz w:val="24"/>
                <w:szCs w:val="24"/>
                <w:highlight w:val="none"/>
              </w:rPr>
            </w:pPr>
            <w:r>
              <w:rPr>
                <w:color w:val="auto"/>
                <w:sz w:val="24"/>
                <w:szCs w:val="24"/>
                <w:highlight w:val="none"/>
              </w:rPr>
              <w:t>其他</w:t>
            </w:r>
          </w:p>
        </w:tc>
        <w:tc>
          <w:tcPr>
            <w:tcW w:w="6446" w:type="dxa"/>
            <w:noWrap/>
            <w:vAlign w:val="center"/>
          </w:tcPr>
          <w:p>
            <w:pPr>
              <w:pStyle w:val="15"/>
              <w:adjustRightInd w:val="0"/>
              <w:snapToGrid w:val="0"/>
              <w:rPr>
                <w:rFonts w:ascii="Times New Roman" w:hAnsi="Times New Roman"/>
                <w:snapToGrid w:val="0"/>
                <w:color w:val="auto"/>
                <w:sz w:val="24"/>
                <w:szCs w:val="24"/>
                <w:highlight w:val="none"/>
              </w:rPr>
            </w:pPr>
            <w:r>
              <w:rPr>
                <w:rFonts w:ascii="Times New Roman" w:hAnsi="Times New Roman"/>
                <w:color w:val="auto"/>
                <w:sz w:val="24"/>
                <w:szCs w:val="24"/>
                <w:highlight w:val="none"/>
              </w:rPr>
              <w:t>（1）</w:t>
            </w:r>
            <w:r>
              <w:rPr>
                <w:rFonts w:ascii="Times New Roman" w:hAnsi="Times New Roman"/>
                <w:snapToGrid w:val="0"/>
                <w:color w:val="auto"/>
                <w:sz w:val="24"/>
                <w:szCs w:val="24"/>
                <w:highlight w:val="none"/>
              </w:rPr>
              <w:t>采购文件中凡标注“▲”的条款均为实质性要求，不响应的响应文件将作无效标处理。</w:t>
            </w:r>
          </w:p>
          <w:p>
            <w:pPr>
              <w:pStyle w:val="15"/>
              <w:adjustRightInd w:val="0"/>
              <w:snapToGrid w:val="0"/>
              <w:rPr>
                <w:rFonts w:ascii="Times New Roman" w:hAnsi="Times New Roman"/>
                <w:snapToGrid w:val="0"/>
                <w:color w:val="auto"/>
                <w:sz w:val="24"/>
                <w:szCs w:val="24"/>
                <w:highlight w:val="none"/>
              </w:rPr>
            </w:pPr>
            <w:r>
              <w:rPr>
                <w:rFonts w:ascii="Times New Roman" w:hAnsi="Times New Roman"/>
                <w:snapToGrid w:val="0"/>
                <w:color w:val="auto"/>
                <w:sz w:val="24"/>
                <w:szCs w:val="24"/>
                <w:highlight w:val="none"/>
              </w:rPr>
              <w:t>（2）</w:t>
            </w:r>
            <w:r>
              <w:rPr>
                <w:rFonts w:ascii="Times New Roman" w:hAnsi="Times New Roman"/>
                <w:color w:val="auto"/>
                <w:sz w:val="24"/>
                <w:szCs w:val="24"/>
                <w:highlight w:val="none"/>
              </w:rPr>
              <w:t>供应商未上传电子加密响应文件，其响应无效。</w:t>
            </w:r>
          </w:p>
          <w:p>
            <w:pPr>
              <w:pStyle w:val="15"/>
              <w:adjustRightInd w:val="0"/>
              <w:snapToGrid w:val="0"/>
              <w:rPr>
                <w:rFonts w:ascii="Times New Roman" w:hAnsi="Times New Roman"/>
                <w:color w:val="auto"/>
                <w:sz w:val="24"/>
                <w:szCs w:val="24"/>
                <w:highlight w:val="none"/>
              </w:rPr>
            </w:pPr>
            <w:r>
              <w:rPr>
                <w:rFonts w:ascii="Times New Roman" w:hAnsi="Times New Roman"/>
                <w:snapToGrid w:val="0"/>
                <w:color w:val="auto"/>
                <w:sz w:val="24"/>
                <w:szCs w:val="24"/>
                <w:highlight w:val="none"/>
              </w:rPr>
              <w:t>（3）供应商上传了</w:t>
            </w:r>
            <w:r>
              <w:rPr>
                <w:rFonts w:ascii="Times New Roman" w:hAnsi="Times New Roman"/>
                <w:color w:val="auto"/>
                <w:sz w:val="24"/>
                <w:szCs w:val="24"/>
                <w:highlight w:val="none"/>
              </w:rPr>
              <w:t>电子加密响应文件，未提供备份响应文件，解密出现问题后，由此导致对该供应商无法评审的，其后果由该供应商自行承担。</w:t>
            </w:r>
          </w:p>
          <w:p>
            <w:pPr>
              <w:pStyle w:val="15"/>
              <w:adjustRightInd w:val="0"/>
              <w:snapToGrid w:val="0"/>
              <w:rPr>
                <w:rFonts w:ascii="Times New Roman" w:hAnsi="Times New Roman"/>
                <w:color w:val="auto"/>
                <w:sz w:val="24"/>
                <w:szCs w:val="24"/>
                <w:highlight w:val="none"/>
              </w:rPr>
            </w:pPr>
            <w:r>
              <w:rPr>
                <w:rFonts w:ascii="Times New Roman" w:hAnsi="Times New Roman"/>
                <w:color w:val="auto"/>
                <w:sz w:val="24"/>
                <w:szCs w:val="24"/>
                <w:highlight w:val="none"/>
              </w:rPr>
              <w:t>（4）各供应商自行在浙江政府采购网下载或查阅采购文件和相关更正公告等，不另行通知，如有遗漏采购人、采购代理机构概不负责。</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8"/>
              <w:snapToGrid w:val="0"/>
              <w:spacing w:line="240" w:lineRule="auto"/>
              <w:ind w:firstLine="0" w:firstLineChars="0"/>
              <w:jc w:val="center"/>
              <w:rPr>
                <w:rFonts w:ascii="Times New Roman" w:hAnsi="Times New Roman"/>
                <w:snapToGrid w:val="0"/>
                <w:color w:val="auto"/>
                <w:sz w:val="24"/>
                <w:highlight w:val="none"/>
              </w:rPr>
            </w:pPr>
            <w:r>
              <w:rPr>
                <w:rFonts w:hint="eastAsia" w:ascii="Times New Roman" w:hAnsi="Times New Roman"/>
                <w:snapToGrid w:val="0"/>
                <w:color w:val="auto"/>
                <w:sz w:val="24"/>
                <w:highlight w:val="none"/>
              </w:rPr>
              <w:t>31</w:t>
            </w:r>
          </w:p>
        </w:tc>
        <w:tc>
          <w:tcPr>
            <w:tcW w:w="1432" w:type="dxa"/>
            <w:noWrap/>
            <w:vAlign w:val="center"/>
          </w:tcPr>
          <w:p>
            <w:pPr>
              <w:adjustRightInd w:val="0"/>
              <w:snapToGrid w:val="0"/>
              <w:spacing w:line="320" w:lineRule="exact"/>
              <w:jc w:val="center"/>
              <w:rPr>
                <w:color w:val="auto"/>
                <w:sz w:val="24"/>
                <w:szCs w:val="24"/>
                <w:highlight w:val="none"/>
              </w:rPr>
            </w:pPr>
            <w:r>
              <w:rPr>
                <w:rFonts w:ascii="宋体" w:hAnsi="宋体" w:cs="宋体"/>
                <w:color w:val="auto"/>
                <w:sz w:val="24"/>
                <w:szCs w:val="24"/>
                <w:highlight w:val="none"/>
              </w:rPr>
              <w:t>解释权</w:t>
            </w:r>
          </w:p>
        </w:tc>
        <w:tc>
          <w:tcPr>
            <w:tcW w:w="6446" w:type="dxa"/>
            <w:noWrap/>
            <w:vAlign w:val="center"/>
          </w:tcPr>
          <w:p>
            <w:pPr>
              <w:autoSpaceDE w:val="0"/>
              <w:autoSpaceDN w:val="0"/>
              <w:adjustRightInd w:val="0"/>
              <w:snapToGrid w:val="0"/>
              <w:spacing w:line="320" w:lineRule="exact"/>
              <w:textAlignment w:val="bottom"/>
              <w:rPr>
                <w:color w:val="auto"/>
                <w:sz w:val="24"/>
                <w:szCs w:val="24"/>
                <w:highlight w:val="none"/>
              </w:rPr>
            </w:pPr>
            <w:r>
              <w:rPr>
                <w:rFonts w:ascii="宋体" w:hAnsi="宋体" w:cs="宋体"/>
                <w:color w:val="auto"/>
                <w:sz w:val="24"/>
                <w:szCs w:val="24"/>
                <w:highlight w:val="none"/>
              </w:rPr>
              <w:t>本</w:t>
            </w:r>
            <w:r>
              <w:rPr>
                <w:rFonts w:hint="eastAsia" w:ascii="宋体" w:hAnsi="宋体" w:cs="宋体"/>
                <w:color w:val="auto"/>
                <w:sz w:val="24"/>
                <w:szCs w:val="24"/>
                <w:highlight w:val="none"/>
              </w:rPr>
              <w:t>磋商</w:t>
            </w:r>
            <w:r>
              <w:rPr>
                <w:rFonts w:ascii="宋体" w:hAnsi="宋体" w:cs="宋体"/>
                <w:color w:val="auto"/>
                <w:sz w:val="24"/>
                <w:szCs w:val="24"/>
                <w:highlight w:val="none"/>
              </w:rPr>
              <w:t>文件的解释权属于采购人和采购代理机构。</w:t>
            </w:r>
          </w:p>
        </w:tc>
      </w:tr>
    </w:tbl>
    <w:p>
      <w:pPr>
        <w:pStyle w:val="2"/>
        <w:snapToGrid w:val="0"/>
        <w:spacing w:before="240" w:after="240" w:line="240" w:lineRule="auto"/>
        <w:rPr>
          <w:rFonts w:eastAsia="宋体"/>
          <w:color w:val="auto"/>
          <w:highlight w:val="none"/>
        </w:rPr>
      </w:pPr>
      <w:r>
        <w:rPr>
          <w:rFonts w:eastAsia="宋体"/>
          <w:color w:val="auto"/>
          <w:sz w:val="32"/>
          <w:highlight w:val="none"/>
        </w:rPr>
        <w:br w:type="page"/>
      </w:r>
      <w:bookmarkStart w:id="15" w:name="_Toc21191"/>
      <w:r>
        <w:rPr>
          <w:rFonts w:eastAsia="宋体"/>
          <w:color w:val="auto"/>
          <w:sz w:val="32"/>
          <w:highlight w:val="none"/>
        </w:rPr>
        <w:t>第二部分磋商须知</w:t>
      </w:r>
      <w:bookmarkEnd w:id="12"/>
      <w:bookmarkEnd w:id="15"/>
    </w:p>
    <w:p>
      <w:pPr>
        <w:pStyle w:val="3"/>
        <w:spacing w:line="360" w:lineRule="auto"/>
        <w:rPr>
          <w:rFonts w:ascii="Times New Roman" w:hAnsi="Times New Roman" w:eastAsia="宋体"/>
          <w:b/>
          <w:color w:val="auto"/>
          <w:sz w:val="24"/>
          <w:szCs w:val="24"/>
          <w:highlight w:val="none"/>
        </w:rPr>
      </w:pPr>
      <w:bookmarkStart w:id="16" w:name="_Toc595"/>
      <w:bookmarkStart w:id="17" w:name="_Toc10585"/>
      <w:bookmarkStart w:id="18" w:name="_Toc183786415"/>
      <w:r>
        <w:rPr>
          <w:rFonts w:ascii="Times New Roman" w:hAnsi="Times New Roman" w:eastAsia="宋体"/>
          <w:b/>
          <w:color w:val="auto"/>
          <w:sz w:val="24"/>
          <w:szCs w:val="24"/>
          <w:highlight w:val="none"/>
        </w:rPr>
        <w:t>一、总则</w:t>
      </w:r>
      <w:bookmarkEnd w:id="16"/>
      <w:bookmarkEnd w:id="17"/>
      <w:bookmarkEnd w:id="18"/>
    </w:p>
    <w:p>
      <w:pPr>
        <w:adjustRightInd w:val="0"/>
        <w:spacing w:line="360" w:lineRule="auto"/>
        <w:ind w:firstLine="480" w:firstLineChars="200"/>
        <w:rPr>
          <w:color w:val="auto"/>
          <w:sz w:val="24"/>
          <w:szCs w:val="24"/>
          <w:highlight w:val="none"/>
        </w:rPr>
      </w:pPr>
      <w:r>
        <w:rPr>
          <w:color w:val="auto"/>
          <w:sz w:val="24"/>
          <w:szCs w:val="24"/>
          <w:highlight w:val="none"/>
        </w:rPr>
        <w:t>本次项目按照《中华人民共和国政府采购法》、《中华人民共和国政府采购法实施条例》、《政府采购竞争性磋商采购方式管理暂行办法》等相关法律、组织和实施，并由政府采购管理部门指导和监督。</w:t>
      </w:r>
    </w:p>
    <w:p>
      <w:pPr>
        <w:adjustRightInd w:val="0"/>
        <w:spacing w:line="360" w:lineRule="auto"/>
        <w:ind w:firstLine="482" w:firstLineChars="200"/>
        <w:rPr>
          <w:b/>
          <w:color w:val="auto"/>
          <w:sz w:val="24"/>
          <w:szCs w:val="24"/>
          <w:highlight w:val="none"/>
        </w:rPr>
      </w:pPr>
      <w:r>
        <w:rPr>
          <w:b/>
          <w:color w:val="auto"/>
          <w:sz w:val="24"/>
          <w:szCs w:val="24"/>
          <w:highlight w:val="none"/>
        </w:rPr>
        <w:t>1．适用范围</w:t>
      </w:r>
    </w:p>
    <w:p>
      <w:pPr>
        <w:adjustRightInd w:val="0"/>
        <w:spacing w:line="360" w:lineRule="auto"/>
        <w:ind w:firstLine="480" w:firstLineChars="200"/>
        <w:rPr>
          <w:color w:val="auto"/>
          <w:sz w:val="24"/>
          <w:szCs w:val="24"/>
          <w:highlight w:val="none"/>
        </w:rPr>
      </w:pPr>
      <w:r>
        <w:rPr>
          <w:color w:val="auto"/>
          <w:sz w:val="24"/>
          <w:szCs w:val="24"/>
          <w:highlight w:val="none"/>
        </w:rPr>
        <w:t>1.1本次磋商工作仅适用于本项目。</w:t>
      </w:r>
    </w:p>
    <w:p>
      <w:pPr>
        <w:adjustRightInd w:val="0"/>
        <w:spacing w:line="360" w:lineRule="auto"/>
        <w:ind w:firstLine="480" w:firstLineChars="200"/>
        <w:rPr>
          <w:color w:val="auto"/>
          <w:sz w:val="24"/>
          <w:szCs w:val="24"/>
          <w:highlight w:val="none"/>
        </w:rPr>
      </w:pPr>
      <w:r>
        <w:rPr>
          <w:color w:val="auto"/>
          <w:sz w:val="24"/>
          <w:szCs w:val="24"/>
          <w:highlight w:val="none"/>
        </w:rPr>
        <w:t>1.2本项目采购方式采用竞争性磋商方式。</w:t>
      </w:r>
    </w:p>
    <w:p>
      <w:pPr>
        <w:adjustRightInd w:val="0"/>
        <w:spacing w:line="360" w:lineRule="auto"/>
        <w:ind w:firstLine="482" w:firstLineChars="200"/>
        <w:rPr>
          <w:b/>
          <w:color w:val="auto"/>
          <w:sz w:val="24"/>
          <w:szCs w:val="24"/>
          <w:highlight w:val="none"/>
        </w:rPr>
      </w:pPr>
      <w:r>
        <w:rPr>
          <w:b/>
          <w:color w:val="auto"/>
          <w:sz w:val="24"/>
          <w:szCs w:val="24"/>
          <w:highlight w:val="none"/>
        </w:rPr>
        <w:t>2．定义</w:t>
      </w:r>
    </w:p>
    <w:p>
      <w:pPr>
        <w:adjustRightInd w:val="0"/>
        <w:spacing w:line="360" w:lineRule="auto"/>
        <w:ind w:firstLine="480" w:firstLineChars="200"/>
        <w:rPr>
          <w:color w:val="auto"/>
          <w:sz w:val="24"/>
          <w:szCs w:val="24"/>
          <w:highlight w:val="none"/>
        </w:rPr>
      </w:pPr>
      <w:r>
        <w:rPr>
          <w:color w:val="auto"/>
          <w:sz w:val="24"/>
          <w:szCs w:val="24"/>
          <w:highlight w:val="none"/>
        </w:rPr>
        <w:t>2.1采购人系</w:t>
      </w:r>
      <w:r>
        <w:rPr>
          <w:rFonts w:hint="eastAsia"/>
          <w:color w:val="auto"/>
          <w:sz w:val="24"/>
          <w:szCs w:val="24"/>
          <w:highlight w:val="none"/>
          <w:lang w:eastAsia="zh-CN"/>
        </w:rPr>
        <w:t>浙江省拱宸强制隔离戒毒所</w:t>
      </w:r>
      <w:r>
        <w:rPr>
          <w:color w:val="auto"/>
          <w:sz w:val="24"/>
          <w:szCs w:val="24"/>
          <w:highlight w:val="none"/>
        </w:rPr>
        <w:t>。采购人委托浙江豪圣建设项目管理有限公司为本项目采购代理机构。</w:t>
      </w:r>
    </w:p>
    <w:p>
      <w:pPr>
        <w:adjustRightInd w:val="0"/>
        <w:spacing w:line="360" w:lineRule="auto"/>
        <w:ind w:firstLine="480" w:firstLineChars="200"/>
        <w:rPr>
          <w:color w:val="auto"/>
          <w:sz w:val="24"/>
          <w:szCs w:val="24"/>
          <w:highlight w:val="none"/>
          <w:u w:val="single"/>
          <w:shd w:val="pct10" w:color="auto" w:fill="FFFFFF"/>
        </w:rPr>
      </w:pPr>
      <w:r>
        <w:rPr>
          <w:color w:val="auto"/>
          <w:sz w:val="24"/>
          <w:szCs w:val="24"/>
          <w:highlight w:val="none"/>
        </w:rPr>
        <w:t>2.2供应商：响应本次采购，参加本次竞争性磋商的供应商。</w:t>
      </w:r>
    </w:p>
    <w:p>
      <w:pPr>
        <w:adjustRightInd w:val="0"/>
        <w:spacing w:line="360" w:lineRule="auto"/>
        <w:ind w:firstLine="480" w:firstLineChars="200"/>
        <w:rPr>
          <w:color w:val="auto"/>
          <w:sz w:val="24"/>
          <w:szCs w:val="24"/>
          <w:highlight w:val="none"/>
        </w:rPr>
      </w:pPr>
      <w:r>
        <w:rPr>
          <w:color w:val="auto"/>
          <w:sz w:val="24"/>
          <w:szCs w:val="24"/>
          <w:highlight w:val="none"/>
        </w:rPr>
        <w:t>2.3货物：系指供应商按磋商文件或合同要求，须向采购人提供的一切材料、设备、机械、仪器、备件、配件、工具、手册及其他技术资料和文字材料。</w:t>
      </w:r>
    </w:p>
    <w:p>
      <w:pPr>
        <w:adjustRightInd w:val="0"/>
        <w:spacing w:line="360" w:lineRule="auto"/>
        <w:ind w:firstLine="480" w:firstLineChars="200"/>
        <w:rPr>
          <w:color w:val="auto"/>
          <w:sz w:val="24"/>
          <w:szCs w:val="24"/>
          <w:highlight w:val="none"/>
        </w:rPr>
      </w:pPr>
      <w:r>
        <w:rPr>
          <w:color w:val="auto"/>
          <w:sz w:val="24"/>
          <w:szCs w:val="24"/>
          <w:highlight w:val="none"/>
        </w:rPr>
        <w:t>2.4服务：系指采购文件或合同规定供应商须承担的设计、安装、调试、试运行、技术协助、培训、售后服务以及其他类似的义务。</w:t>
      </w:r>
    </w:p>
    <w:p>
      <w:pPr>
        <w:adjustRightInd w:val="0"/>
        <w:spacing w:line="360" w:lineRule="auto"/>
        <w:ind w:firstLine="482" w:firstLineChars="200"/>
        <w:rPr>
          <w:b/>
          <w:color w:val="auto"/>
          <w:sz w:val="24"/>
          <w:szCs w:val="24"/>
          <w:highlight w:val="none"/>
        </w:rPr>
      </w:pPr>
      <w:r>
        <w:rPr>
          <w:b/>
          <w:color w:val="auto"/>
          <w:sz w:val="24"/>
          <w:szCs w:val="24"/>
          <w:highlight w:val="none"/>
        </w:rPr>
        <w:t>3．采购项目概况</w:t>
      </w:r>
    </w:p>
    <w:p>
      <w:pPr>
        <w:adjustRightInd w:val="0"/>
        <w:spacing w:line="360" w:lineRule="auto"/>
        <w:ind w:firstLine="480" w:firstLineChars="200"/>
        <w:rPr>
          <w:color w:val="auto"/>
          <w:sz w:val="24"/>
          <w:szCs w:val="24"/>
          <w:highlight w:val="none"/>
        </w:rPr>
      </w:pPr>
      <w:r>
        <w:rPr>
          <w:color w:val="auto"/>
          <w:sz w:val="24"/>
          <w:szCs w:val="24"/>
          <w:highlight w:val="none"/>
        </w:rPr>
        <w:t>详见竞争性磋商公告相关内容，主要要求参见本文件第三部分。</w:t>
      </w:r>
    </w:p>
    <w:p>
      <w:pPr>
        <w:adjustRightInd w:val="0"/>
        <w:spacing w:line="360" w:lineRule="auto"/>
        <w:ind w:firstLine="482" w:firstLineChars="200"/>
        <w:rPr>
          <w:b/>
          <w:color w:val="auto"/>
          <w:sz w:val="24"/>
          <w:szCs w:val="24"/>
          <w:highlight w:val="none"/>
        </w:rPr>
      </w:pPr>
      <w:r>
        <w:rPr>
          <w:b/>
          <w:color w:val="auto"/>
          <w:sz w:val="24"/>
          <w:szCs w:val="24"/>
          <w:highlight w:val="none"/>
        </w:rPr>
        <w:t>4．合格的供应商</w:t>
      </w:r>
    </w:p>
    <w:p>
      <w:pPr>
        <w:adjustRightInd w:val="0"/>
        <w:spacing w:line="360" w:lineRule="auto"/>
        <w:ind w:firstLine="480" w:firstLineChars="200"/>
        <w:rPr>
          <w:color w:val="auto"/>
          <w:sz w:val="24"/>
          <w:szCs w:val="24"/>
          <w:highlight w:val="none"/>
        </w:rPr>
      </w:pPr>
      <w:bookmarkStart w:id="19" w:name="_Toc211412066"/>
      <w:bookmarkStart w:id="20" w:name="_Toc209504018"/>
      <w:bookmarkStart w:id="21" w:name="_Toc207946571"/>
      <w:bookmarkStart w:id="22" w:name="_Toc208913145"/>
      <w:bookmarkStart w:id="23" w:name="_Toc204683265"/>
      <w:bookmarkStart w:id="24" w:name="_Toc197156227"/>
      <w:bookmarkStart w:id="25" w:name="_Toc193523219"/>
      <w:bookmarkStart w:id="26" w:name="_Toc209435242"/>
      <w:bookmarkStart w:id="27" w:name="_Toc197163261"/>
      <w:bookmarkStart w:id="28" w:name="_Toc209520993"/>
      <w:bookmarkStart w:id="29" w:name="_Toc208287611"/>
      <w:bookmarkStart w:id="30" w:name="_Toc193538208"/>
      <w:bookmarkStart w:id="31" w:name="_Toc197657950"/>
      <w:bookmarkStart w:id="32" w:name="_Toc197053926"/>
      <w:r>
        <w:rPr>
          <w:color w:val="auto"/>
          <w:sz w:val="24"/>
          <w:szCs w:val="24"/>
          <w:highlight w:val="none"/>
        </w:rPr>
        <w:t>详见竞争性磋商采购公告供应商的资格要求规定。</w:t>
      </w:r>
      <w:bookmarkEnd w:id="19"/>
      <w:bookmarkEnd w:id="20"/>
      <w:bookmarkEnd w:id="21"/>
      <w:bookmarkEnd w:id="22"/>
      <w:bookmarkEnd w:id="23"/>
      <w:bookmarkEnd w:id="24"/>
      <w:bookmarkEnd w:id="25"/>
      <w:bookmarkEnd w:id="26"/>
      <w:bookmarkEnd w:id="27"/>
      <w:bookmarkEnd w:id="28"/>
      <w:bookmarkEnd w:id="29"/>
      <w:bookmarkEnd w:id="30"/>
      <w:bookmarkEnd w:id="31"/>
      <w:bookmarkEnd w:id="32"/>
    </w:p>
    <w:p>
      <w:pPr>
        <w:adjustRightInd w:val="0"/>
        <w:spacing w:line="360" w:lineRule="auto"/>
        <w:ind w:firstLine="482" w:firstLineChars="200"/>
        <w:rPr>
          <w:b/>
          <w:color w:val="auto"/>
          <w:sz w:val="24"/>
          <w:szCs w:val="24"/>
          <w:highlight w:val="none"/>
        </w:rPr>
      </w:pPr>
      <w:r>
        <w:rPr>
          <w:b/>
          <w:color w:val="auto"/>
          <w:sz w:val="24"/>
          <w:szCs w:val="24"/>
          <w:highlight w:val="none"/>
        </w:rPr>
        <w:t>5．磋商费用</w:t>
      </w:r>
    </w:p>
    <w:p>
      <w:pPr>
        <w:adjustRightInd w:val="0"/>
        <w:spacing w:line="360" w:lineRule="auto"/>
        <w:ind w:firstLine="480" w:firstLineChars="200"/>
        <w:rPr>
          <w:color w:val="auto"/>
          <w:sz w:val="24"/>
          <w:szCs w:val="24"/>
          <w:highlight w:val="none"/>
        </w:rPr>
      </w:pPr>
      <w:bookmarkStart w:id="33" w:name="_Toc183786416"/>
      <w:r>
        <w:rPr>
          <w:color w:val="auto"/>
          <w:sz w:val="24"/>
          <w:szCs w:val="24"/>
          <w:highlight w:val="none"/>
        </w:rPr>
        <w:t>供应商应承担其参加磋商所涉及的一切费用，不管结果如何，采购人对上述费用不负任何责任。</w:t>
      </w:r>
    </w:p>
    <w:p>
      <w:pPr>
        <w:pStyle w:val="3"/>
        <w:spacing w:line="360" w:lineRule="auto"/>
        <w:rPr>
          <w:rFonts w:ascii="Times New Roman" w:hAnsi="Times New Roman" w:eastAsia="宋体"/>
          <w:b/>
          <w:color w:val="auto"/>
          <w:sz w:val="24"/>
          <w:szCs w:val="24"/>
          <w:highlight w:val="none"/>
        </w:rPr>
      </w:pPr>
      <w:bookmarkStart w:id="34" w:name="_Toc13174"/>
      <w:bookmarkStart w:id="35" w:name="_Toc21688"/>
      <w:r>
        <w:rPr>
          <w:rFonts w:ascii="Times New Roman" w:hAnsi="Times New Roman" w:eastAsia="宋体"/>
          <w:b/>
          <w:color w:val="auto"/>
          <w:sz w:val="24"/>
          <w:szCs w:val="24"/>
          <w:highlight w:val="none"/>
        </w:rPr>
        <w:t>二、</w:t>
      </w:r>
      <w:bookmarkEnd w:id="33"/>
      <w:r>
        <w:rPr>
          <w:rFonts w:ascii="Times New Roman" w:hAnsi="Times New Roman" w:eastAsia="宋体"/>
          <w:b/>
          <w:color w:val="auto"/>
          <w:sz w:val="24"/>
          <w:szCs w:val="24"/>
          <w:highlight w:val="none"/>
        </w:rPr>
        <w:t>竞争性磋商文件</w:t>
      </w:r>
      <w:bookmarkEnd w:id="34"/>
      <w:bookmarkEnd w:id="35"/>
    </w:p>
    <w:p>
      <w:pPr>
        <w:adjustRightInd w:val="0"/>
        <w:spacing w:line="360" w:lineRule="auto"/>
        <w:ind w:firstLine="482" w:firstLineChars="200"/>
        <w:rPr>
          <w:b/>
          <w:color w:val="auto"/>
          <w:sz w:val="24"/>
          <w:szCs w:val="24"/>
          <w:highlight w:val="none"/>
        </w:rPr>
      </w:pPr>
      <w:r>
        <w:rPr>
          <w:b/>
          <w:color w:val="auto"/>
          <w:sz w:val="24"/>
          <w:szCs w:val="24"/>
          <w:highlight w:val="none"/>
        </w:rPr>
        <w:t>6.磋商文件的组成</w:t>
      </w:r>
    </w:p>
    <w:p>
      <w:pPr>
        <w:adjustRightInd w:val="0"/>
        <w:spacing w:line="360" w:lineRule="auto"/>
        <w:ind w:firstLine="480" w:firstLineChars="200"/>
        <w:rPr>
          <w:color w:val="auto"/>
          <w:sz w:val="24"/>
          <w:szCs w:val="24"/>
          <w:highlight w:val="none"/>
        </w:rPr>
      </w:pPr>
      <w:r>
        <w:rPr>
          <w:color w:val="auto"/>
          <w:sz w:val="24"/>
          <w:szCs w:val="24"/>
          <w:highlight w:val="none"/>
        </w:rPr>
        <w:t>6.1本磋商文件包括目录所示内容及所有按本须知发出的补充资料。</w:t>
      </w:r>
    </w:p>
    <w:p>
      <w:pPr>
        <w:adjustRightInd w:val="0"/>
        <w:spacing w:line="360" w:lineRule="auto"/>
        <w:ind w:firstLine="480" w:firstLineChars="200"/>
        <w:rPr>
          <w:color w:val="auto"/>
          <w:sz w:val="24"/>
          <w:szCs w:val="24"/>
          <w:highlight w:val="none"/>
        </w:rPr>
      </w:pPr>
      <w:r>
        <w:rPr>
          <w:color w:val="auto"/>
          <w:sz w:val="24"/>
          <w:szCs w:val="24"/>
          <w:highlight w:val="none"/>
        </w:rPr>
        <w:t>6.2除上述所列内容外，采购人及采购代理机构的任何工作人员对供应商所作的任何口头解释、介绍、答复，只能供供应商参考，对采购人和供应商无任何约束力。</w:t>
      </w:r>
    </w:p>
    <w:p>
      <w:pPr>
        <w:adjustRightInd w:val="0"/>
        <w:spacing w:line="360" w:lineRule="auto"/>
        <w:ind w:firstLine="480" w:firstLineChars="200"/>
        <w:rPr>
          <w:color w:val="auto"/>
          <w:sz w:val="24"/>
          <w:szCs w:val="24"/>
          <w:highlight w:val="none"/>
        </w:rPr>
      </w:pPr>
      <w:r>
        <w:rPr>
          <w:color w:val="auto"/>
          <w:sz w:val="24"/>
          <w:szCs w:val="24"/>
          <w:highlight w:val="none"/>
        </w:rPr>
        <w:t>6.3供应商应仔细阅读磋商文件的所有内容，按照文件要求提交响应文件，并保证所提交的全部资料的真实性。不按磋商文件的要求提供的响应文件和资料，可能导致磋商被拒绝。</w:t>
      </w:r>
    </w:p>
    <w:p>
      <w:pPr>
        <w:spacing w:line="360" w:lineRule="auto"/>
        <w:ind w:firstLine="480" w:firstLineChars="200"/>
        <w:rPr>
          <w:color w:val="auto"/>
          <w:sz w:val="24"/>
          <w:szCs w:val="24"/>
          <w:highlight w:val="none"/>
        </w:rPr>
      </w:pPr>
      <w:r>
        <w:rPr>
          <w:color w:val="auto"/>
          <w:sz w:val="24"/>
          <w:szCs w:val="24"/>
          <w:highlight w:val="none"/>
        </w:rPr>
        <w:t>6.4磋商文件是磋商过程进行的有效依据，也是成交后签订合同的依据，对双方均具有约束力，凡不遵守磋商文件规定或对磋商文件的实质性内容不响应的文件，将可能被拒绝或以无效文件处理。本磋商文件由采购人或采购代理机构进行解释。</w:t>
      </w:r>
    </w:p>
    <w:p>
      <w:pPr>
        <w:adjustRightInd w:val="0"/>
        <w:spacing w:line="360" w:lineRule="auto"/>
        <w:ind w:firstLine="472" w:firstLineChars="196"/>
        <w:rPr>
          <w:b/>
          <w:color w:val="auto"/>
          <w:sz w:val="24"/>
          <w:szCs w:val="24"/>
          <w:highlight w:val="none"/>
        </w:rPr>
      </w:pPr>
      <w:r>
        <w:rPr>
          <w:b/>
          <w:color w:val="auto"/>
          <w:sz w:val="24"/>
          <w:szCs w:val="24"/>
          <w:highlight w:val="none"/>
        </w:rPr>
        <w:t>7．磋商文件的澄清与修改</w:t>
      </w:r>
    </w:p>
    <w:p>
      <w:pPr>
        <w:adjustRightInd w:val="0"/>
        <w:spacing w:line="360" w:lineRule="auto"/>
        <w:ind w:firstLine="480" w:firstLineChars="200"/>
        <w:rPr>
          <w:color w:val="auto"/>
          <w:sz w:val="24"/>
          <w:szCs w:val="24"/>
          <w:highlight w:val="none"/>
        </w:rPr>
      </w:pPr>
      <w:bookmarkStart w:id="36" w:name="_Toc183786417"/>
      <w:r>
        <w:rPr>
          <w:rFonts w:hint="eastAsia"/>
          <w:color w:val="auto"/>
          <w:sz w:val="24"/>
          <w:szCs w:val="24"/>
          <w:highlight w:val="none"/>
        </w:rPr>
        <w:t>详</w:t>
      </w:r>
      <w:r>
        <w:rPr>
          <w:color w:val="auto"/>
          <w:sz w:val="24"/>
          <w:szCs w:val="24"/>
          <w:highlight w:val="none"/>
        </w:rPr>
        <w:t>见前附表</w:t>
      </w:r>
    </w:p>
    <w:p>
      <w:pPr>
        <w:pStyle w:val="3"/>
        <w:spacing w:line="360" w:lineRule="auto"/>
        <w:rPr>
          <w:rFonts w:ascii="Times New Roman" w:hAnsi="Times New Roman" w:eastAsia="宋体"/>
          <w:b/>
          <w:color w:val="auto"/>
          <w:sz w:val="24"/>
          <w:szCs w:val="24"/>
          <w:highlight w:val="none"/>
        </w:rPr>
      </w:pPr>
      <w:bookmarkStart w:id="37" w:name="_Toc18815"/>
      <w:bookmarkStart w:id="38" w:name="_Toc29211"/>
      <w:r>
        <w:rPr>
          <w:rFonts w:ascii="Times New Roman" w:hAnsi="Times New Roman" w:eastAsia="宋体"/>
          <w:b/>
          <w:color w:val="auto"/>
          <w:sz w:val="24"/>
          <w:szCs w:val="24"/>
          <w:highlight w:val="none"/>
        </w:rPr>
        <w:t>三、响应文件</w:t>
      </w:r>
      <w:bookmarkEnd w:id="36"/>
      <w:r>
        <w:rPr>
          <w:rFonts w:ascii="Times New Roman" w:hAnsi="Times New Roman" w:eastAsia="宋体"/>
          <w:b/>
          <w:color w:val="auto"/>
          <w:sz w:val="24"/>
          <w:szCs w:val="24"/>
          <w:highlight w:val="none"/>
        </w:rPr>
        <w:t>编制要求</w:t>
      </w:r>
      <w:bookmarkEnd w:id="37"/>
      <w:bookmarkEnd w:id="38"/>
    </w:p>
    <w:p>
      <w:pPr>
        <w:adjustRightInd w:val="0"/>
        <w:spacing w:line="360" w:lineRule="auto"/>
        <w:ind w:firstLine="549" w:firstLineChars="228"/>
        <w:rPr>
          <w:b/>
          <w:color w:val="auto"/>
          <w:sz w:val="24"/>
          <w:szCs w:val="24"/>
          <w:highlight w:val="none"/>
        </w:rPr>
      </w:pPr>
      <w:r>
        <w:rPr>
          <w:b/>
          <w:color w:val="auto"/>
          <w:sz w:val="24"/>
          <w:szCs w:val="24"/>
          <w:highlight w:val="none"/>
        </w:rPr>
        <w:t>8．响应文件的组成</w:t>
      </w:r>
    </w:p>
    <w:p>
      <w:pPr>
        <w:autoSpaceDE w:val="0"/>
        <w:autoSpaceDN w:val="0"/>
        <w:spacing w:line="360" w:lineRule="auto"/>
        <w:ind w:firstLine="570"/>
        <w:textAlignment w:val="bottom"/>
        <w:rPr>
          <w:color w:val="auto"/>
          <w:sz w:val="24"/>
          <w:szCs w:val="24"/>
          <w:highlight w:val="none"/>
        </w:rPr>
      </w:pPr>
      <w:r>
        <w:rPr>
          <w:color w:val="auto"/>
          <w:sz w:val="24"/>
          <w:szCs w:val="24"/>
          <w:highlight w:val="none"/>
        </w:rPr>
        <w:t>供应商向采购人递交的响应文件由报价文件、资信和商务技术文件三部分组成，具体如下：</w:t>
      </w:r>
    </w:p>
    <w:p>
      <w:pPr>
        <w:adjustRightInd w:val="0"/>
        <w:spacing w:line="360" w:lineRule="auto"/>
        <w:ind w:firstLine="549" w:firstLineChars="228"/>
        <w:rPr>
          <w:b/>
          <w:color w:val="auto"/>
          <w:sz w:val="24"/>
          <w:szCs w:val="24"/>
          <w:highlight w:val="none"/>
        </w:rPr>
      </w:pPr>
      <w:r>
        <w:rPr>
          <w:b/>
          <w:color w:val="auto"/>
          <w:sz w:val="24"/>
          <w:szCs w:val="24"/>
          <w:highlight w:val="none"/>
        </w:rPr>
        <w:t>8.1报价文件</w:t>
      </w:r>
    </w:p>
    <w:p>
      <w:pPr>
        <w:numPr>
          <w:ilvl w:val="0"/>
          <w:numId w:val="2"/>
        </w:numPr>
        <w:adjustRightInd w:val="0"/>
        <w:spacing w:line="360" w:lineRule="auto"/>
        <w:ind w:firstLine="480" w:firstLineChars="200"/>
        <w:rPr>
          <w:color w:val="auto"/>
          <w:sz w:val="24"/>
          <w:szCs w:val="24"/>
          <w:highlight w:val="none"/>
        </w:rPr>
      </w:pPr>
      <w:r>
        <w:rPr>
          <w:color w:val="auto"/>
          <w:sz w:val="24"/>
          <w:szCs w:val="24"/>
          <w:highlight w:val="none"/>
        </w:rPr>
        <w:t>磋商响应初始报价一览表；</w:t>
      </w:r>
    </w:p>
    <w:p>
      <w:pPr>
        <w:numPr>
          <w:ilvl w:val="0"/>
          <w:numId w:val="2"/>
        </w:numPr>
        <w:adjustRightInd w:val="0"/>
        <w:spacing w:line="360" w:lineRule="auto"/>
        <w:ind w:firstLine="480" w:firstLineChars="200"/>
        <w:rPr>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设计费报价明细表；</w:t>
      </w:r>
    </w:p>
    <w:p>
      <w:pPr>
        <w:adjustRightInd w:val="0"/>
        <w:spacing w:line="360" w:lineRule="auto"/>
        <w:ind w:firstLine="480" w:firstLineChars="200"/>
        <w:rPr>
          <w:color w:val="auto"/>
          <w:sz w:val="24"/>
          <w:szCs w:val="24"/>
          <w:highlight w:val="none"/>
        </w:rPr>
      </w:pPr>
      <w:r>
        <w:rPr>
          <w:rFonts w:hint="eastAsia"/>
          <w:color w:val="auto"/>
          <w:sz w:val="24"/>
          <w:szCs w:val="24"/>
          <w:highlight w:val="none"/>
        </w:rPr>
        <w:t>（2）</w:t>
      </w:r>
      <w:r>
        <w:rPr>
          <w:color w:val="auto"/>
          <w:sz w:val="24"/>
          <w:szCs w:val="24"/>
          <w:highlight w:val="none"/>
        </w:rPr>
        <w:t>交纳采购代理服务费承诺书。</w:t>
      </w:r>
    </w:p>
    <w:p>
      <w:pPr>
        <w:adjustRightInd w:val="0"/>
        <w:spacing w:line="360" w:lineRule="auto"/>
        <w:ind w:firstLine="549" w:firstLineChars="228"/>
        <w:rPr>
          <w:b/>
          <w:color w:val="auto"/>
          <w:sz w:val="24"/>
          <w:szCs w:val="24"/>
          <w:highlight w:val="none"/>
        </w:rPr>
      </w:pPr>
      <w:r>
        <w:rPr>
          <w:b/>
          <w:color w:val="auto"/>
          <w:sz w:val="24"/>
          <w:szCs w:val="24"/>
          <w:highlight w:val="none"/>
        </w:rPr>
        <w:t>8.2资格文件</w:t>
      </w:r>
    </w:p>
    <w:p>
      <w:pPr>
        <w:pStyle w:val="78"/>
        <w:snapToGrid w:val="0"/>
        <w:spacing w:line="360" w:lineRule="auto"/>
        <w:ind w:firstLine="480"/>
        <w:rPr>
          <w:rFonts w:ascii="Times New Roman" w:hAnsi="Times New Roman"/>
          <w:color w:val="auto"/>
          <w:sz w:val="24"/>
          <w:highlight w:val="none"/>
        </w:rPr>
      </w:pPr>
      <w:bookmarkStart w:id="39" w:name="_Hlk514025268"/>
      <w:r>
        <w:rPr>
          <w:rFonts w:ascii="Times New Roman" w:hAnsi="Times New Roman"/>
          <w:color w:val="auto"/>
          <w:sz w:val="24"/>
          <w:highlight w:val="none"/>
        </w:rPr>
        <w:t>以联合体形式参加本项目投标的，联合体各方均应当提供如下资格证明材料。</w:t>
      </w:r>
    </w:p>
    <w:p>
      <w:pPr>
        <w:pStyle w:val="78"/>
        <w:snapToGrid w:val="0"/>
        <w:spacing w:line="360" w:lineRule="auto"/>
        <w:ind w:firstLine="480"/>
        <w:rPr>
          <w:rFonts w:ascii="Times New Roman" w:hAnsi="Times New Roman"/>
          <w:color w:val="auto"/>
          <w:sz w:val="24"/>
          <w:highlight w:val="none"/>
        </w:rPr>
      </w:pPr>
      <w:r>
        <w:rPr>
          <w:rFonts w:ascii="Times New Roman" w:hAnsi="Times New Roman"/>
          <w:color w:val="auto"/>
          <w:sz w:val="24"/>
          <w:highlight w:val="none"/>
        </w:rPr>
        <w:t>（1）符合参加政府采购活动应当具备的一般条件的承诺函；</w:t>
      </w:r>
    </w:p>
    <w:p>
      <w:pPr>
        <w:adjustRightInd w:val="0"/>
        <w:snapToGrid w:val="0"/>
        <w:spacing w:line="360" w:lineRule="auto"/>
        <w:ind w:firstLine="480" w:firstLineChars="200"/>
        <w:rPr>
          <w:color w:val="auto"/>
          <w:sz w:val="24"/>
          <w:szCs w:val="24"/>
          <w:highlight w:val="none"/>
        </w:rPr>
      </w:pPr>
      <w:r>
        <w:rPr>
          <w:color w:val="auto"/>
          <w:sz w:val="24"/>
          <w:szCs w:val="24"/>
          <w:highlight w:val="none"/>
        </w:rPr>
        <w:t>（2）中小企业声明函或监狱企业、残疾人福利性单位及其他相关的充分的证明材料</w:t>
      </w:r>
      <w:r>
        <w:rPr>
          <w:rFonts w:hint="eastAsia"/>
          <w:color w:val="auto"/>
          <w:sz w:val="24"/>
          <w:szCs w:val="24"/>
          <w:highlight w:val="none"/>
        </w:rPr>
        <w:t>；</w:t>
      </w:r>
    </w:p>
    <w:p>
      <w:pPr>
        <w:adjustRightInd w:val="0"/>
        <w:snapToGrid w:val="0"/>
        <w:spacing w:line="360" w:lineRule="auto"/>
        <w:ind w:firstLine="480" w:firstLineChars="200"/>
        <w:rPr>
          <w:color w:val="auto"/>
          <w:sz w:val="24"/>
          <w:szCs w:val="24"/>
          <w:highlight w:val="none"/>
        </w:rPr>
      </w:pPr>
      <w:r>
        <w:rPr>
          <w:color w:val="auto"/>
          <w:sz w:val="24"/>
          <w:szCs w:val="24"/>
          <w:highlight w:val="none"/>
        </w:rPr>
        <w:t>（3）</w:t>
      </w:r>
      <w:bookmarkEnd w:id="39"/>
      <w:r>
        <w:rPr>
          <w:rFonts w:hint="eastAsia"/>
          <w:color w:val="auto"/>
          <w:sz w:val="24"/>
          <w:szCs w:val="24"/>
          <w:highlight w:val="none"/>
        </w:rPr>
        <w:t>符合特定资格条件的相关证明材料；</w:t>
      </w:r>
    </w:p>
    <w:p>
      <w:pPr>
        <w:adjustRightInd w:val="0"/>
        <w:snapToGrid w:val="0"/>
        <w:spacing w:line="360" w:lineRule="auto"/>
        <w:ind w:firstLine="480" w:firstLineChars="200"/>
        <w:rPr>
          <w:rFonts w:hint="default" w:eastAsia="宋体"/>
          <w:b/>
          <w:color w:val="auto"/>
          <w:sz w:val="24"/>
          <w:szCs w:val="24"/>
          <w:highlight w:val="none"/>
          <w:lang w:val="en-US" w:eastAsia="zh-CN"/>
        </w:rPr>
      </w:pPr>
      <w:r>
        <w:rPr>
          <w:color w:val="auto"/>
          <w:sz w:val="24"/>
          <w:szCs w:val="24"/>
          <w:highlight w:val="none"/>
        </w:rPr>
        <w:t>（4）联合</w:t>
      </w:r>
      <w:r>
        <w:rPr>
          <w:rFonts w:hint="eastAsia"/>
          <w:color w:val="auto"/>
          <w:sz w:val="24"/>
          <w:szCs w:val="24"/>
          <w:highlight w:val="none"/>
        </w:rPr>
        <w:t>体</w:t>
      </w:r>
      <w:r>
        <w:rPr>
          <w:color w:val="auto"/>
          <w:sz w:val="24"/>
          <w:szCs w:val="24"/>
          <w:highlight w:val="none"/>
        </w:rPr>
        <w:t>协议（</w:t>
      </w:r>
      <w:r>
        <w:rPr>
          <w:rFonts w:hint="eastAsia"/>
          <w:color w:val="auto"/>
          <w:sz w:val="24"/>
          <w:szCs w:val="24"/>
          <w:highlight w:val="none"/>
        </w:rPr>
        <w:t>如果有</w:t>
      </w:r>
      <w:r>
        <w:rPr>
          <w:color w:val="auto"/>
          <w:sz w:val="24"/>
          <w:szCs w:val="24"/>
          <w:highlight w:val="none"/>
        </w:rPr>
        <w:t>）</w:t>
      </w:r>
      <w:r>
        <w:rPr>
          <w:rFonts w:hint="eastAsia"/>
          <w:color w:val="auto"/>
          <w:sz w:val="24"/>
          <w:szCs w:val="24"/>
          <w:highlight w:val="none"/>
        </w:rPr>
        <w:t>。</w:t>
      </w:r>
    </w:p>
    <w:p>
      <w:pPr>
        <w:adjustRightInd w:val="0"/>
        <w:spacing w:line="360" w:lineRule="auto"/>
        <w:ind w:firstLine="549" w:firstLineChars="228"/>
        <w:rPr>
          <w:b/>
          <w:color w:val="auto"/>
          <w:sz w:val="24"/>
          <w:szCs w:val="24"/>
          <w:highlight w:val="none"/>
        </w:rPr>
      </w:pPr>
      <w:r>
        <w:rPr>
          <w:b/>
          <w:color w:val="auto"/>
          <w:sz w:val="24"/>
          <w:szCs w:val="24"/>
          <w:highlight w:val="none"/>
        </w:rPr>
        <w:t>8.3商务技术文件</w:t>
      </w:r>
    </w:p>
    <w:p>
      <w:pPr>
        <w:adjustRightInd w:val="0"/>
        <w:snapToGrid w:val="0"/>
        <w:spacing w:line="360" w:lineRule="auto"/>
        <w:ind w:firstLine="547" w:firstLineChars="228"/>
        <w:rPr>
          <w:color w:val="auto"/>
          <w:sz w:val="24"/>
          <w:szCs w:val="24"/>
          <w:highlight w:val="none"/>
        </w:rPr>
      </w:pPr>
      <w:r>
        <w:rPr>
          <w:color w:val="auto"/>
          <w:sz w:val="24"/>
          <w:szCs w:val="24"/>
          <w:highlight w:val="none"/>
        </w:rPr>
        <w:t>内容可以是资料，图表或说明，必须包含但不仅限于以下内容：</w:t>
      </w:r>
    </w:p>
    <w:p>
      <w:pPr>
        <w:pStyle w:val="78"/>
        <w:snapToGrid w:val="0"/>
        <w:spacing w:line="360" w:lineRule="auto"/>
        <w:ind w:firstLine="480"/>
        <w:rPr>
          <w:rFonts w:ascii="Times New Roman" w:hAnsi="Times New Roman"/>
          <w:color w:val="auto"/>
          <w:sz w:val="24"/>
          <w:highlight w:val="none"/>
        </w:rPr>
      </w:pPr>
      <w:r>
        <w:rPr>
          <w:rFonts w:ascii="Times New Roman" w:hAnsi="Times New Roman"/>
          <w:color w:val="auto"/>
          <w:sz w:val="24"/>
          <w:highlight w:val="none"/>
        </w:rPr>
        <w:t>（1）磋商响应函；</w:t>
      </w:r>
    </w:p>
    <w:p>
      <w:pPr>
        <w:pStyle w:val="78"/>
        <w:snapToGrid w:val="0"/>
        <w:spacing w:line="360" w:lineRule="auto"/>
        <w:ind w:firstLine="480"/>
        <w:rPr>
          <w:rFonts w:ascii="Times New Roman" w:hAnsi="Times New Roman"/>
          <w:color w:val="auto"/>
          <w:sz w:val="24"/>
          <w:highlight w:val="none"/>
        </w:rPr>
      </w:pPr>
      <w:r>
        <w:rPr>
          <w:rFonts w:ascii="Times New Roman" w:hAnsi="Times New Roman"/>
          <w:color w:val="auto"/>
          <w:sz w:val="24"/>
          <w:highlight w:val="none"/>
        </w:rPr>
        <w:t>（2）法定代表人授权委托书</w:t>
      </w:r>
      <w:r>
        <w:rPr>
          <w:rFonts w:hint="eastAsia" w:ascii="Times New Roman" w:hAnsi="Times New Roman"/>
          <w:color w:val="auto"/>
          <w:sz w:val="24"/>
          <w:highlight w:val="none"/>
        </w:rPr>
        <w:t>；</w:t>
      </w:r>
    </w:p>
    <w:p>
      <w:pPr>
        <w:pStyle w:val="78"/>
        <w:snapToGrid w:val="0"/>
        <w:spacing w:line="360" w:lineRule="auto"/>
        <w:ind w:firstLine="480"/>
        <w:rPr>
          <w:rFonts w:ascii="Times New Roman" w:hAnsi="Times New Roman"/>
          <w:color w:val="auto"/>
          <w:sz w:val="24"/>
          <w:highlight w:val="none"/>
        </w:rPr>
      </w:pPr>
      <w:r>
        <w:rPr>
          <w:rFonts w:ascii="Times New Roman" w:hAnsi="Times New Roman"/>
          <w:color w:val="auto"/>
          <w:sz w:val="24"/>
          <w:highlight w:val="none"/>
        </w:rPr>
        <w:t>（</w:t>
      </w:r>
      <w:r>
        <w:rPr>
          <w:rFonts w:hint="eastAsia" w:ascii="Times New Roman" w:hAnsi="Times New Roman"/>
          <w:color w:val="auto"/>
          <w:sz w:val="24"/>
          <w:highlight w:val="none"/>
        </w:rPr>
        <w:t>3</w:t>
      </w:r>
      <w:r>
        <w:rPr>
          <w:rFonts w:ascii="Times New Roman" w:hAnsi="Times New Roman"/>
          <w:color w:val="auto"/>
          <w:sz w:val="24"/>
          <w:highlight w:val="none"/>
        </w:rPr>
        <w:t>）</w:t>
      </w:r>
      <w:r>
        <w:rPr>
          <w:rFonts w:hint="eastAsia" w:ascii="Times New Roman" w:hAnsi="Times New Roman"/>
          <w:color w:val="auto"/>
          <w:sz w:val="24"/>
          <w:highlight w:val="none"/>
        </w:rPr>
        <w:t>法定代表人及授权代表人的身份证（复印件）；</w:t>
      </w:r>
    </w:p>
    <w:p>
      <w:pPr>
        <w:pStyle w:val="78"/>
        <w:snapToGrid w:val="0"/>
        <w:spacing w:line="360" w:lineRule="auto"/>
        <w:ind w:firstLine="480"/>
        <w:rPr>
          <w:rFonts w:ascii="Times New Roman" w:hAnsi="Times New Roman"/>
          <w:color w:val="auto"/>
          <w:sz w:val="24"/>
          <w:highlight w:val="none"/>
        </w:rPr>
      </w:pPr>
      <w:r>
        <w:rPr>
          <w:rFonts w:hint="eastAsia" w:ascii="Times New Roman" w:hAnsi="Times New Roman"/>
          <w:color w:val="auto"/>
          <w:sz w:val="24"/>
          <w:highlight w:val="none"/>
        </w:rPr>
        <w:t>（4）公司介绍及提供同类项目经验</w:t>
      </w:r>
      <w:r>
        <w:rPr>
          <w:rFonts w:ascii="Times New Roman" w:hAnsi="Times New Roman"/>
          <w:color w:val="auto"/>
          <w:sz w:val="24"/>
          <w:highlight w:val="none"/>
        </w:rPr>
        <w:t>；</w:t>
      </w:r>
    </w:p>
    <w:p>
      <w:pPr>
        <w:pStyle w:val="78"/>
        <w:snapToGrid w:val="0"/>
        <w:spacing w:line="360" w:lineRule="auto"/>
        <w:ind w:firstLine="480"/>
        <w:rPr>
          <w:rFonts w:ascii="Times New Roman" w:hAnsi="Times New Roman"/>
          <w:color w:val="auto"/>
          <w:sz w:val="24"/>
          <w:highlight w:val="none"/>
        </w:rPr>
      </w:pPr>
      <w:r>
        <w:rPr>
          <w:rFonts w:ascii="Times New Roman" w:hAnsi="Times New Roman"/>
          <w:color w:val="auto"/>
          <w:sz w:val="24"/>
          <w:highlight w:val="none"/>
        </w:rPr>
        <w:t>（5）</w:t>
      </w:r>
      <w:r>
        <w:rPr>
          <w:rFonts w:hint="eastAsia" w:ascii="Times New Roman" w:hAnsi="Times New Roman"/>
          <w:color w:val="auto"/>
          <w:sz w:val="24"/>
          <w:highlight w:val="none"/>
        </w:rPr>
        <w:t>资质文件（如有）；</w:t>
      </w:r>
    </w:p>
    <w:p>
      <w:pPr>
        <w:pStyle w:val="78"/>
        <w:snapToGrid w:val="0"/>
        <w:spacing w:line="360" w:lineRule="auto"/>
        <w:ind w:firstLine="480"/>
        <w:rPr>
          <w:rFonts w:ascii="Times New Roman" w:hAnsi="Times New Roman"/>
          <w:color w:val="auto"/>
          <w:sz w:val="24"/>
          <w:highlight w:val="none"/>
        </w:rPr>
      </w:pPr>
      <w:r>
        <w:rPr>
          <w:rFonts w:hint="eastAsia" w:ascii="Times New Roman" w:hAnsi="Times New Roman"/>
          <w:color w:val="auto"/>
          <w:sz w:val="24"/>
          <w:highlight w:val="none"/>
        </w:rPr>
        <w:t>（6）商务、技术偏离表；</w:t>
      </w:r>
    </w:p>
    <w:p>
      <w:pPr>
        <w:pStyle w:val="78"/>
        <w:snapToGrid w:val="0"/>
        <w:spacing w:line="360" w:lineRule="auto"/>
        <w:ind w:firstLine="480"/>
        <w:rPr>
          <w:rFonts w:ascii="Times New Roman" w:hAnsi="Times New Roman"/>
          <w:color w:val="auto"/>
          <w:sz w:val="24"/>
          <w:highlight w:val="none"/>
        </w:rPr>
      </w:pPr>
      <w:r>
        <w:rPr>
          <w:rFonts w:hint="eastAsia" w:ascii="Times New Roman" w:hAnsi="Times New Roman"/>
          <w:color w:val="auto"/>
          <w:sz w:val="24"/>
          <w:highlight w:val="none"/>
        </w:rPr>
        <w:t>（7）评审标准相应的商务技术资料；</w:t>
      </w:r>
    </w:p>
    <w:p>
      <w:pPr>
        <w:pStyle w:val="78"/>
        <w:snapToGrid w:val="0"/>
        <w:spacing w:line="360" w:lineRule="auto"/>
        <w:ind w:firstLine="480"/>
        <w:rPr>
          <w:rFonts w:ascii="Times New Roman" w:hAnsi="Times New Roman"/>
          <w:color w:val="auto"/>
          <w:sz w:val="24"/>
          <w:highlight w:val="none"/>
        </w:rPr>
      </w:pPr>
      <w:r>
        <w:rPr>
          <w:rFonts w:hint="eastAsia" w:ascii="Times New Roman" w:hAnsi="Times New Roman"/>
          <w:color w:val="auto"/>
          <w:sz w:val="24"/>
          <w:highlight w:val="none"/>
        </w:rPr>
        <w:t>（8）</w:t>
      </w:r>
      <w:r>
        <w:rPr>
          <w:rFonts w:ascii="Times New Roman" w:hAnsi="Times New Roman"/>
          <w:color w:val="auto"/>
          <w:sz w:val="24"/>
          <w:highlight w:val="none"/>
        </w:rPr>
        <w:t>分包意向协议（</w:t>
      </w:r>
      <w:r>
        <w:rPr>
          <w:rFonts w:hint="eastAsia" w:ascii="Times New Roman" w:hAnsi="Times New Roman"/>
          <w:color w:val="auto"/>
          <w:sz w:val="24"/>
          <w:highlight w:val="none"/>
        </w:rPr>
        <w:t>如果有</w:t>
      </w:r>
      <w:r>
        <w:rPr>
          <w:rFonts w:ascii="Times New Roman" w:hAnsi="Times New Roman"/>
          <w:color w:val="auto"/>
          <w:sz w:val="24"/>
          <w:highlight w:val="none"/>
        </w:rPr>
        <w:t>）；</w:t>
      </w:r>
    </w:p>
    <w:p>
      <w:pPr>
        <w:pStyle w:val="78"/>
        <w:snapToGrid w:val="0"/>
        <w:spacing w:line="360" w:lineRule="auto"/>
        <w:ind w:firstLine="480"/>
        <w:rPr>
          <w:rFonts w:ascii="Times New Roman" w:hAnsi="Times New Roman"/>
          <w:color w:val="auto"/>
          <w:sz w:val="24"/>
          <w:highlight w:val="none"/>
        </w:rPr>
      </w:pPr>
      <w:r>
        <w:rPr>
          <w:rFonts w:ascii="Times New Roman" w:hAnsi="Times New Roman"/>
          <w:color w:val="auto"/>
          <w:sz w:val="24"/>
          <w:highlight w:val="none"/>
        </w:rPr>
        <w:t>（9）</w:t>
      </w:r>
      <w:r>
        <w:rPr>
          <w:rFonts w:hint="eastAsia" w:ascii="Times New Roman" w:hAnsi="Times New Roman"/>
          <w:color w:val="auto"/>
          <w:sz w:val="24"/>
          <w:highlight w:val="none"/>
        </w:rPr>
        <w:t>其他必要提供的资料</w:t>
      </w:r>
      <w:r>
        <w:rPr>
          <w:rFonts w:ascii="Times New Roman" w:hAnsi="Times New Roman"/>
          <w:color w:val="auto"/>
          <w:sz w:val="24"/>
          <w:highlight w:val="none"/>
        </w:rPr>
        <w:t>。</w:t>
      </w:r>
    </w:p>
    <w:p>
      <w:pPr>
        <w:pStyle w:val="78"/>
        <w:snapToGrid w:val="0"/>
        <w:spacing w:line="360" w:lineRule="auto"/>
        <w:ind w:firstLine="480"/>
        <w:rPr>
          <w:rFonts w:ascii="Times New Roman" w:hAnsi="Times New Roman"/>
          <w:color w:val="auto"/>
          <w:sz w:val="24"/>
          <w:highlight w:val="none"/>
        </w:rPr>
      </w:pPr>
      <w:r>
        <w:rPr>
          <w:rFonts w:ascii="Times New Roman" w:hAnsi="Times New Roman"/>
          <w:color w:val="auto"/>
          <w:sz w:val="24"/>
          <w:highlight w:val="none"/>
        </w:rPr>
        <w:t>注：以上内容为复印件的应加盖供应商公章或电子签章，附件中有参考格式的，参照格式，没有参考格式的，供应商根据磋商文件要求自行编制。</w:t>
      </w:r>
    </w:p>
    <w:p>
      <w:pPr>
        <w:tabs>
          <w:tab w:val="left" w:pos="900"/>
        </w:tabs>
        <w:adjustRightInd w:val="0"/>
        <w:snapToGrid w:val="0"/>
        <w:spacing w:line="360" w:lineRule="auto"/>
        <w:ind w:firstLine="480" w:firstLineChars="200"/>
        <w:rPr>
          <w:bCs/>
          <w:color w:val="auto"/>
          <w:sz w:val="24"/>
          <w:szCs w:val="24"/>
          <w:highlight w:val="none"/>
        </w:rPr>
      </w:pPr>
      <w:r>
        <w:rPr>
          <w:bCs/>
          <w:color w:val="auto"/>
          <w:sz w:val="24"/>
          <w:szCs w:val="24"/>
          <w:highlight w:val="none"/>
        </w:rPr>
        <w:t>8.4磋商货币</w:t>
      </w:r>
    </w:p>
    <w:p>
      <w:pPr>
        <w:tabs>
          <w:tab w:val="left" w:pos="900"/>
        </w:tabs>
        <w:adjustRightInd w:val="0"/>
        <w:snapToGrid w:val="0"/>
        <w:spacing w:line="360" w:lineRule="auto"/>
        <w:ind w:firstLine="480" w:firstLineChars="200"/>
        <w:rPr>
          <w:color w:val="auto"/>
          <w:sz w:val="24"/>
          <w:szCs w:val="24"/>
          <w:highlight w:val="none"/>
        </w:rPr>
      </w:pPr>
      <w:r>
        <w:rPr>
          <w:color w:val="auto"/>
          <w:sz w:val="24"/>
          <w:szCs w:val="24"/>
          <w:highlight w:val="none"/>
        </w:rPr>
        <w:t>本次磋商项目货币为人民币。</w:t>
      </w:r>
    </w:p>
    <w:p>
      <w:pPr>
        <w:autoSpaceDE w:val="0"/>
        <w:autoSpaceDN w:val="0"/>
        <w:snapToGrid w:val="0"/>
        <w:spacing w:line="360" w:lineRule="auto"/>
        <w:ind w:firstLine="480" w:firstLineChars="200"/>
        <w:textAlignment w:val="bottom"/>
        <w:rPr>
          <w:color w:val="auto"/>
          <w:sz w:val="24"/>
          <w:szCs w:val="24"/>
          <w:highlight w:val="none"/>
        </w:rPr>
      </w:pPr>
      <w:r>
        <w:rPr>
          <w:color w:val="auto"/>
          <w:sz w:val="24"/>
          <w:szCs w:val="24"/>
          <w:highlight w:val="none"/>
        </w:rPr>
        <w:t>8.5 供应商应仔细阅读磋商文件中的所有内容，按照磋商文件的相关要求，详细编制响应文件，并保证响应文件的正确性和真实性。</w:t>
      </w:r>
    </w:p>
    <w:p>
      <w:pPr>
        <w:autoSpaceDE w:val="0"/>
        <w:autoSpaceDN w:val="0"/>
        <w:snapToGrid w:val="0"/>
        <w:spacing w:line="360" w:lineRule="auto"/>
        <w:ind w:firstLine="480" w:firstLineChars="200"/>
        <w:textAlignment w:val="bottom"/>
        <w:rPr>
          <w:color w:val="auto"/>
          <w:sz w:val="24"/>
          <w:szCs w:val="24"/>
          <w:highlight w:val="none"/>
        </w:rPr>
      </w:pPr>
      <w:r>
        <w:rPr>
          <w:color w:val="auto"/>
          <w:sz w:val="24"/>
          <w:szCs w:val="24"/>
          <w:highlight w:val="none"/>
        </w:rPr>
        <w:t>8.6 不按磋商文件的要求提供的响应文件可能导致被拒绝。</w:t>
      </w:r>
    </w:p>
    <w:p>
      <w:pPr>
        <w:snapToGrid w:val="0"/>
        <w:spacing w:line="360" w:lineRule="auto"/>
        <w:ind w:left="480"/>
        <w:rPr>
          <w:b/>
          <w:color w:val="auto"/>
          <w:sz w:val="24"/>
          <w:szCs w:val="24"/>
          <w:highlight w:val="none"/>
        </w:rPr>
      </w:pPr>
      <w:r>
        <w:rPr>
          <w:b/>
          <w:color w:val="auto"/>
          <w:sz w:val="24"/>
          <w:szCs w:val="24"/>
          <w:highlight w:val="none"/>
        </w:rPr>
        <w:t>9．报价要求</w:t>
      </w:r>
    </w:p>
    <w:p>
      <w:pPr>
        <w:autoSpaceDE w:val="0"/>
        <w:autoSpaceDN w:val="0"/>
        <w:snapToGrid w:val="0"/>
        <w:spacing w:line="360" w:lineRule="auto"/>
        <w:ind w:firstLine="480" w:firstLineChars="200"/>
        <w:textAlignment w:val="bottom"/>
        <w:rPr>
          <w:color w:val="auto"/>
          <w:sz w:val="24"/>
          <w:szCs w:val="24"/>
          <w:highlight w:val="none"/>
        </w:rPr>
      </w:pPr>
      <w:bookmarkStart w:id="40" w:name="_Hlk514025443"/>
      <w:r>
        <w:rPr>
          <w:color w:val="auto"/>
          <w:sz w:val="24"/>
          <w:szCs w:val="24"/>
          <w:highlight w:val="none"/>
        </w:rPr>
        <w:t>9.1 本次报价方式为总价包干，此报价应包括本项目所需的一切设备、材料、软硬件、人工、机械工具、售后服务、培训、保险、交通、利润、税金（包含须由响应供应商承担的各种税费）、其它需响应供应商承担的费用及潜在可能涉及的一切费用。未计入报价而应该发生的费用的，视为已含在其他分项报价中。响应供应商应认真计算可能发生的各相关费用并计入投标报价内，在项目实施过程中不得藉此要求增加任何费用。</w:t>
      </w:r>
    </w:p>
    <w:p>
      <w:pPr>
        <w:autoSpaceDE w:val="0"/>
        <w:autoSpaceDN w:val="0"/>
        <w:snapToGrid w:val="0"/>
        <w:spacing w:line="360" w:lineRule="auto"/>
        <w:ind w:firstLine="480" w:firstLineChars="200"/>
        <w:textAlignment w:val="bottom"/>
        <w:rPr>
          <w:color w:val="auto"/>
          <w:sz w:val="24"/>
          <w:szCs w:val="24"/>
          <w:highlight w:val="none"/>
        </w:rPr>
      </w:pPr>
      <w:r>
        <w:rPr>
          <w:color w:val="auto"/>
          <w:sz w:val="24"/>
          <w:szCs w:val="24"/>
          <w:highlight w:val="none"/>
        </w:rPr>
        <w:t>如上述没有提及但该项目仍需要的内容，请响应供应商自行考虑一并计入投标报价中（未计入的，视为响应供应商的优惠）。</w:t>
      </w:r>
    </w:p>
    <w:bookmarkEnd w:id="40"/>
    <w:p>
      <w:pPr>
        <w:autoSpaceDE w:val="0"/>
        <w:autoSpaceDN w:val="0"/>
        <w:snapToGrid w:val="0"/>
        <w:spacing w:line="360" w:lineRule="auto"/>
        <w:ind w:firstLine="480" w:firstLineChars="200"/>
        <w:textAlignment w:val="bottom"/>
        <w:rPr>
          <w:color w:val="auto"/>
          <w:sz w:val="24"/>
          <w:szCs w:val="24"/>
          <w:highlight w:val="none"/>
        </w:rPr>
      </w:pPr>
      <w:r>
        <w:rPr>
          <w:color w:val="auto"/>
          <w:sz w:val="24"/>
          <w:szCs w:val="24"/>
          <w:highlight w:val="none"/>
        </w:rPr>
        <w:t>9.2 供应商应对磋商文件内所要采购的全部内容进行报价，只投其中部分内容者，其响应文件将被拒绝。</w:t>
      </w:r>
    </w:p>
    <w:p>
      <w:pPr>
        <w:autoSpaceDE w:val="0"/>
        <w:autoSpaceDN w:val="0"/>
        <w:snapToGrid w:val="0"/>
        <w:spacing w:line="360" w:lineRule="auto"/>
        <w:ind w:firstLine="480" w:firstLineChars="200"/>
        <w:textAlignment w:val="bottom"/>
        <w:rPr>
          <w:color w:val="auto"/>
          <w:sz w:val="24"/>
          <w:szCs w:val="24"/>
          <w:highlight w:val="none"/>
        </w:rPr>
      </w:pPr>
      <w:r>
        <w:rPr>
          <w:color w:val="auto"/>
          <w:sz w:val="24"/>
          <w:szCs w:val="24"/>
          <w:highlight w:val="none"/>
        </w:rPr>
        <w:t>9.3 磋商内容只允许一个报价，采购人不接受任何有选择性的磋商报价。</w:t>
      </w:r>
    </w:p>
    <w:p>
      <w:pPr>
        <w:adjustRightInd w:val="0"/>
        <w:spacing w:line="360" w:lineRule="auto"/>
        <w:ind w:firstLine="480" w:firstLineChars="200"/>
        <w:rPr>
          <w:color w:val="auto"/>
          <w:sz w:val="24"/>
          <w:szCs w:val="24"/>
          <w:highlight w:val="none"/>
        </w:rPr>
      </w:pPr>
      <w:r>
        <w:rPr>
          <w:color w:val="auto"/>
          <w:sz w:val="24"/>
          <w:szCs w:val="24"/>
          <w:highlight w:val="none"/>
        </w:rPr>
        <w:t>9.4 成交供应商需向采购代理机构支付采购代理服务费</w:t>
      </w:r>
      <w:r>
        <w:rPr>
          <w:rFonts w:hint="eastAsia"/>
          <w:color w:val="auto"/>
          <w:sz w:val="24"/>
          <w:szCs w:val="24"/>
          <w:highlight w:val="none"/>
        </w:rPr>
        <w:t>（详</w:t>
      </w:r>
      <w:r>
        <w:rPr>
          <w:color w:val="auto"/>
          <w:sz w:val="24"/>
          <w:szCs w:val="24"/>
          <w:highlight w:val="none"/>
        </w:rPr>
        <w:t>见前附表</w:t>
      </w:r>
      <w:r>
        <w:rPr>
          <w:rFonts w:hint="eastAsia"/>
          <w:color w:val="auto"/>
          <w:sz w:val="24"/>
          <w:szCs w:val="24"/>
          <w:highlight w:val="none"/>
        </w:rPr>
        <w:t>）</w:t>
      </w:r>
      <w:r>
        <w:rPr>
          <w:color w:val="auto"/>
          <w:sz w:val="24"/>
          <w:szCs w:val="24"/>
          <w:highlight w:val="none"/>
        </w:rPr>
        <w:t>。</w:t>
      </w:r>
    </w:p>
    <w:p>
      <w:pPr>
        <w:autoSpaceDE w:val="0"/>
        <w:autoSpaceDN w:val="0"/>
        <w:snapToGrid w:val="0"/>
        <w:spacing w:line="360" w:lineRule="auto"/>
        <w:ind w:firstLine="480" w:firstLineChars="200"/>
        <w:textAlignment w:val="bottom"/>
        <w:rPr>
          <w:color w:val="auto"/>
          <w:sz w:val="24"/>
          <w:szCs w:val="24"/>
          <w:highlight w:val="none"/>
        </w:rPr>
      </w:pPr>
      <w:r>
        <w:rPr>
          <w:color w:val="auto"/>
          <w:sz w:val="24"/>
          <w:szCs w:val="24"/>
          <w:highlight w:val="none"/>
        </w:rPr>
        <w:t>9.5 磋商过程中所发生的一切费用均包含在磋商总价中。</w:t>
      </w:r>
    </w:p>
    <w:p>
      <w:pPr>
        <w:adjustRightInd w:val="0"/>
        <w:snapToGrid w:val="0"/>
        <w:spacing w:line="360" w:lineRule="auto"/>
        <w:ind w:firstLine="482" w:firstLineChars="200"/>
        <w:rPr>
          <w:b/>
          <w:color w:val="auto"/>
          <w:sz w:val="24"/>
          <w:szCs w:val="24"/>
          <w:highlight w:val="none"/>
        </w:rPr>
      </w:pPr>
      <w:r>
        <w:rPr>
          <w:b/>
          <w:color w:val="auto"/>
          <w:sz w:val="24"/>
          <w:szCs w:val="24"/>
          <w:highlight w:val="none"/>
        </w:rPr>
        <w:t>10．磋商保证金</w:t>
      </w:r>
    </w:p>
    <w:p>
      <w:pPr>
        <w:snapToGrid w:val="0"/>
        <w:spacing w:line="360" w:lineRule="auto"/>
        <w:ind w:firstLine="480" w:firstLineChars="200"/>
        <w:rPr>
          <w:color w:val="auto"/>
          <w:sz w:val="24"/>
          <w:szCs w:val="24"/>
          <w:highlight w:val="none"/>
        </w:rPr>
      </w:pPr>
      <w:r>
        <w:rPr>
          <w:color w:val="auto"/>
          <w:sz w:val="24"/>
          <w:szCs w:val="24"/>
          <w:highlight w:val="none"/>
        </w:rPr>
        <w:t>10.1本项目不收取磋商保证金。</w:t>
      </w:r>
    </w:p>
    <w:p>
      <w:pPr>
        <w:pStyle w:val="12"/>
        <w:snapToGrid w:val="0"/>
        <w:ind w:firstLine="482" w:firstLineChars="200"/>
        <w:jc w:val="both"/>
        <w:rPr>
          <w:rFonts w:hint="default" w:ascii="Times New Roman" w:hAnsi="Times New Roman"/>
          <w:b/>
          <w:color w:val="auto"/>
          <w:szCs w:val="24"/>
          <w:highlight w:val="none"/>
        </w:rPr>
      </w:pPr>
      <w:r>
        <w:rPr>
          <w:rFonts w:hint="default" w:ascii="Times New Roman" w:hAnsi="Times New Roman"/>
          <w:b/>
          <w:color w:val="auto"/>
          <w:szCs w:val="24"/>
          <w:highlight w:val="none"/>
        </w:rPr>
        <w:t>11．响应文件的有效期</w:t>
      </w:r>
    </w:p>
    <w:p>
      <w:pPr>
        <w:snapToGrid w:val="0"/>
        <w:spacing w:line="360" w:lineRule="auto"/>
        <w:ind w:firstLine="480" w:firstLineChars="200"/>
        <w:rPr>
          <w:color w:val="auto"/>
          <w:sz w:val="24"/>
          <w:szCs w:val="24"/>
          <w:highlight w:val="none"/>
        </w:rPr>
      </w:pPr>
      <w:r>
        <w:rPr>
          <w:color w:val="auto"/>
          <w:sz w:val="24"/>
          <w:szCs w:val="24"/>
          <w:highlight w:val="none"/>
        </w:rPr>
        <w:t>11.1</w:t>
      </w:r>
      <w:r>
        <w:rPr>
          <w:color w:val="auto"/>
          <w:kern w:val="2"/>
          <w:sz w:val="24"/>
          <w:szCs w:val="24"/>
          <w:highlight w:val="none"/>
          <w:lang w:val="zh-CN"/>
        </w:rPr>
        <w:t>响应文件的有效期为</w:t>
      </w:r>
      <w:r>
        <w:rPr>
          <w:color w:val="auto"/>
          <w:sz w:val="24"/>
          <w:szCs w:val="24"/>
          <w:highlight w:val="none"/>
        </w:rPr>
        <w:t>磋商截止时间</w:t>
      </w:r>
      <w:r>
        <w:rPr>
          <w:color w:val="auto"/>
          <w:kern w:val="2"/>
          <w:sz w:val="24"/>
          <w:szCs w:val="24"/>
          <w:highlight w:val="none"/>
          <w:lang w:val="zh-CN"/>
        </w:rPr>
        <w:t>之日后90日历天。不足有效期的视为非实质性响应，其磋商将被拒绝。</w:t>
      </w:r>
    </w:p>
    <w:p>
      <w:pPr>
        <w:tabs>
          <w:tab w:val="left" w:pos="900"/>
        </w:tabs>
        <w:snapToGrid w:val="0"/>
        <w:spacing w:line="360" w:lineRule="auto"/>
        <w:ind w:firstLine="480" w:firstLineChars="200"/>
        <w:rPr>
          <w:color w:val="auto"/>
          <w:sz w:val="24"/>
          <w:szCs w:val="24"/>
          <w:highlight w:val="none"/>
        </w:rPr>
      </w:pPr>
      <w:r>
        <w:rPr>
          <w:color w:val="auto"/>
          <w:sz w:val="24"/>
          <w:szCs w:val="24"/>
          <w:highlight w:val="none"/>
        </w:rPr>
        <w:t>11.2在原定有效期满之前，如果出现特殊情况，采购人可以以书面形式向供应商提出延长磋商有效期的要求，供应商对此须以书面形式予以答复。同意延长有效期的供应商不能修改响应文件。</w:t>
      </w:r>
    </w:p>
    <w:p>
      <w:pPr>
        <w:snapToGrid w:val="0"/>
        <w:spacing w:line="360" w:lineRule="auto"/>
        <w:ind w:firstLine="482" w:firstLineChars="200"/>
        <w:rPr>
          <w:b/>
          <w:color w:val="auto"/>
          <w:sz w:val="24"/>
          <w:szCs w:val="24"/>
          <w:highlight w:val="none"/>
        </w:rPr>
      </w:pPr>
      <w:bookmarkStart w:id="41" w:name="_Toc183786418"/>
      <w:r>
        <w:rPr>
          <w:b/>
          <w:color w:val="auto"/>
          <w:sz w:val="24"/>
          <w:szCs w:val="24"/>
          <w:highlight w:val="none"/>
        </w:rPr>
        <w:t>12．响应文件的规定</w:t>
      </w:r>
    </w:p>
    <w:p>
      <w:pPr>
        <w:pStyle w:val="78"/>
        <w:snapToGrid w:val="0"/>
        <w:spacing w:line="360" w:lineRule="auto"/>
        <w:ind w:firstLine="480"/>
        <w:rPr>
          <w:rFonts w:ascii="Times New Roman" w:hAnsi="Times New Roman"/>
          <w:color w:val="auto"/>
          <w:sz w:val="24"/>
          <w:highlight w:val="none"/>
        </w:rPr>
      </w:pPr>
      <w:r>
        <w:rPr>
          <w:rFonts w:ascii="Times New Roman" w:hAnsi="Times New Roman"/>
          <w:color w:val="auto"/>
          <w:sz w:val="24"/>
          <w:highlight w:val="none"/>
        </w:rPr>
        <w:t>12.1本项目实行网上投标。</w:t>
      </w:r>
    </w:p>
    <w:p>
      <w:pPr>
        <w:pStyle w:val="78"/>
        <w:snapToGrid w:val="0"/>
        <w:spacing w:line="360" w:lineRule="auto"/>
        <w:ind w:firstLine="480"/>
        <w:rPr>
          <w:rFonts w:ascii="Times New Roman" w:hAnsi="Times New Roman"/>
          <w:color w:val="auto"/>
          <w:sz w:val="24"/>
          <w:highlight w:val="none"/>
        </w:rPr>
      </w:pPr>
      <w:r>
        <w:rPr>
          <w:rFonts w:ascii="Times New Roman" w:hAnsi="Times New Roman"/>
          <w:color w:val="auto"/>
          <w:sz w:val="24"/>
          <w:highlight w:val="none"/>
        </w:rPr>
        <w:t>12.2供应商应准备</w:t>
      </w:r>
      <w:r>
        <w:rPr>
          <w:rFonts w:hint="eastAsia" w:ascii="Times New Roman" w:hAnsi="Times New Roman"/>
          <w:color w:val="auto"/>
          <w:sz w:val="24"/>
          <w:highlight w:val="none"/>
        </w:rPr>
        <w:t>两</w:t>
      </w:r>
      <w:r>
        <w:rPr>
          <w:rFonts w:ascii="Times New Roman" w:hAnsi="Times New Roman"/>
          <w:color w:val="auto"/>
          <w:sz w:val="24"/>
          <w:highlight w:val="none"/>
        </w:rPr>
        <w:t>种形式的响应文件：电子加密响应文件、以介质存储的数据电文形式的备份响应文件。</w:t>
      </w:r>
    </w:p>
    <w:p>
      <w:pPr>
        <w:pStyle w:val="78"/>
        <w:snapToGrid w:val="0"/>
        <w:spacing w:line="360" w:lineRule="auto"/>
        <w:ind w:firstLine="480"/>
        <w:rPr>
          <w:rFonts w:ascii="Times New Roman" w:hAnsi="Times New Roman"/>
          <w:color w:val="auto"/>
          <w:sz w:val="24"/>
          <w:highlight w:val="none"/>
        </w:rPr>
      </w:pPr>
      <w:r>
        <w:rPr>
          <w:rFonts w:ascii="Times New Roman" w:hAnsi="Times New Roman"/>
          <w:color w:val="auto"/>
          <w:sz w:val="24"/>
          <w:highlight w:val="none"/>
        </w:rPr>
        <w:t>响应文件均由资格文件、报价文件、商务技术文件组成。</w:t>
      </w:r>
    </w:p>
    <w:p>
      <w:pPr>
        <w:pStyle w:val="78"/>
        <w:snapToGrid w:val="0"/>
        <w:spacing w:line="360" w:lineRule="auto"/>
        <w:ind w:firstLine="480"/>
        <w:rPr>
          <w:rFonts w:ascii="Times New Roman" w:hAnsi="Times New Roman"/>
          <w:color w:val="auto"/>
          <w:sz w:val="24"/>
          <w:highlight w:val="none"/>
        </w:rPr>
      </w:pPr>
      <w:r>
        <w:rPr>
          <w:rFonts w:ascii="Times New Roman" w:hAnsi="Times New Roman"/>
          <w:color w:val="auto"/>
          <w:sz w:val="24"/>
          <w:highlight w:val="none"/>
        </w:rPr>
        <w:t>（1）“电子加密响应文件”是指通过“政采云电子交易客户端”完成响应文件编制后生成并加密的数据电文形式的响应文件（后缀格式为.jmbs）</w:t>
      </w:r>
    </w:p>
    <w:p>
      <w:pPr>
        <w:pStyle w:val="78"/>
        <w:snapToGrid w:val="0"/>
        <w:spacing w:line="360" w:lineRule="auto"/>
        <w:ind w:firstLine="480"/>
        <w:rPr>
          <w:rFonts w:ascii="Times New Roman" w:hAnsi="Times New Roman"/>
          <w:color w:val="auto"/>
          <w:sz w:val="24"/>
          <w:highlight w:val="none"/>
        </w:rPr>
      </w:pPr>
      <w:r>
        <w:rPr>
          <w:rFonts w:ascii="Times New Roman" w:hAnsi="Times New Roman"/>
          <w:color w:val="auto"/>
          <w:sz w:val="24"/>
          <w:highlight w:val="none"/>
        </w:rPr>
        <w:t>（2）“备份响应文件”是指与“电子加密响应文件”同时生成的数据电文形式的电子文件（备份响应文件，用于供应商电子加密响应文件解密异常时应急使用），其他方式编制的备份响应文件视为无效备份响应文件。备份响应文件（后缀格式为.bfbs）以U盘形式提供。</w:t>
      </w:r>
    </w:p>
    <w:p>
      <w:pPr>
        <w:snapToGrid w:val="0"/>
        <w:spacing w:line="360" w:lineRule="auto"/>
        <w:ind w:firstLine="480" w:firstLineChars="200"/>
        <w:rPr>
          <w:color w:val="auto"/>
          <w:sz w:val="24"/>
          <w:szCs w:val="24"/>
          <w:highlight w:val="none"/>
        </w:rPr>
      </w:pPr>
      <w:r>
        <w:rPr>
          <w:color w:val="auto"/>
          <w:sz w:val="24"/>
          <w:szCs w:val="24"/>
          <w:highlight w:val="none"/>
        </w:rPr>
        <w:t>12.3响应文件须按照采购文件要求加盖供应商公章或电子签章（除此之外的投标专用章、合同章等均视为无效）。</w:t>
      </w:r>
    </w:p>
    <w:p>
      <w:pPr>
        <w:snapToGrid w:val="0"/>
        <w:spacing w:line="360" w:lineRule="auto"/>
        <w:ind w:firstLine="480" w:firstLineChars="200"/>
        <w:rPr>
          <w:color w:val="auto"/>
          <w:sz w:val="24"/>
          <w:szCs w:val="24"/>
          <w:highlight w:val="none"/>
        </w:rPr>
      </w:pPr>
      <w:r>
        <w:rPr>
          <w:color w:val="auto"/>
          <w:sz w:val="24"/>
          <w:szCs w:val="24"/>
          <w:highlight w:val="none"/>
        </w:rPr>
        <w:t>12.4以联合体形式参与本项目投标的，联合协议中</w:t>
      </w:r>
      <w:r>
        <w:rPr>
          <w:color w:val="auto"/>
          <w:sz w:val="24"/>
          <w:szCs w:val="24"/>
          <w:highlight w:val="none"/>
          <w:lang w:val="zh-CN"/>
        </w:rPr>
        <w:t>联合体成员均需盖章。</w:t>
      </w:r>
      <w:r>
        <w:rPr>
          <w:color w:val="auto"/>
          <w:sz w:val="24"/>
          <w:szCs w:val="24"/>
          <w:highlight w:val="none"/>
        </w:rPr>
        <w:t>其他采购文件要求需盖章的部分，仅由联合体牵头人加盖供应商公章或电子签章即可。</w:t>
      </w:r>
    </w:p>
    <w:p>
      <w:pPr>
        <w:pStyle w:val="3"/>
        <w:spacing w:line="360" w:lineRule="auto"/>
        <w:rPr>
          <w:rFonts w:ascii="Times New Roman" w:hAnsi="Times New Roman" w:eastAsia="宋体"/>
          <w:b/>
          <w:color w:val="auto"/>
          <w:sz w:val="24"/>
          <w:szCs w:val="24"/>
          <w:highlight w:val="none"/>
        </w:rPr>
      </w:pPr>
      <w:bookmarkStart w:id="42" w:name="_Toc29996"/>
      <w:bookmarkStart w:id="43" w:name="_Toc1782"/>
      <w:r>
        <w:rPr>
          <w:rFonts w:ascii="Times New Roman" w:hAnsi="Times New Roman" w:eastAsia="宋体"/>
          <w:b/>
          <w:color w:val="auto"/>
          <w:sz w:val="24"/>
          <w:szCs w:val="24"/>
          <w:highlight w:val="none"/>
        </w:rPr>
        <w:t>四、响应文件的递交</w:t>
      </w:r>
      <w:bookmarkEnd w:id="41"/>
      <w:bookmarkEnd w:id="42"/>
      <w:bookmarkEnd w:id="43"/>
    </w:p>
    <w:p>
      <w:pPr>
        <w:spacing w:line="360" w:lineRule="auto"/>
        <w:ind w:firstLine="482" w:firstLineChars="200"/>
        <w:rPr>
          <w:b/>
          <w:color w:val="auto"/>
          <w:sz w:val="24"/>
          <w:szCs w:val="24"/>
          <w:highlight w:val="none"/>
        </w:rPr>
      </w:pPr>
      <w:r>
        <w:rPr>
          <w:b/>
          <w:color w:val="auto"/>
          <w:sz w:val="24"/>
          <w:szCs w:val="24"/>
          <w:highlight w:val="none"/>
        </w:rPr>
        <w:t>13.响应文件的上传和递交</w:t>
      </w:r>
    </w:p>
    <w:p>
      <w:pPr>
        <w:spacing w:line="360" w:lineRule="auto"/>
        <w:ind w:firstLine="480" w:firstLineChars="200"/>
        <w:rPr>
          <w:color w:val="auto"/>
          <w:sz w:val="24"/>
          <w:szCs w:val="24"/>
          <w:highlight w:val="none"/>
        </w:rPr>
      </w:pPr>
      <w:r>
        <w:rPr>
          <w:color w:val="auto"/>
          <w:sz w:val="24"/>
          <w:szCs w:val="24"/>
          <w:highlight w:val="none"/>
        </w:rPr>
        <w:t>详见前附表。</w:t>
      </w:r>
    </w:p>
    <w:p>
      <w:pPr>
        <w:adjustRightInd w:val="0"/>
        <w:spacing w:line="360" w:lineRule="auto"/>
        <w:ind w:firstLine="482" w:firstLineChars="200"/>
        <w:rPr>
          <w:b/>
          <w:color w:val="auto"/>
          <w:sz w:val="24"/>
          <w:szCs w:val="24"/>
          <w:highlight w:val="none"/>
        </w:rPr>
      </w:pPr>
      <w:r>
        <w:rPr>
          <w:b/>
          <w:color w:val="auto"/>
          <w:sz w:val="24"/>
          <w:szCs w:val="24"/>
          <w:highlight w:val="none"/>
        </w:rPr>
        <w:t>14．响应文件的修改与撤回</w:t>
      </w:r>
    </w:p>
    <w:p>
      <w:pPr>
        <w:pStyle w:val="78"/>
        <w:snapToGrid w:val="0"/>
        <w:spacing w:line="360" w:lineRule="auto"/>
        <w:ind w:firstLine="480"/>
        <w:rPr>
          <w:rFonts w:ascii="Times New Roman" w:hAnsi="Times New Roman"/>
          <w:color w:val="auto"/>
          <w:sz w:val="24"/>
          <w:highlight w:val="none"/>
        </w:rPr>
      </w:pPr>
      <w:r>
        <w:rPr>
          <w:rFonts w:ascii="Times New Roman" w:hAnsi="Times New Roman"/>
          <w:color w:val="auto"/>
          <w:sz w:val="24"/>
          <w:highlight w:val="none"/>
        </w:rPr>
        <w:t>14.1 在响应截止时间前，供应商均可撤回其已上传的电子加密响应文件，进行内容修改。修改后重新上传、递交。响应截止时间前未完成上传、递交的，视为撤回响应文件。响应截止时间后递交的电子加密响应文件，“浙江政府采购网”将予以拒收。</w:t>
      </w:r>
    </w:p>
    <w:p>
      <w:pPr>
        <w:pStyle w:val="78"/>
        <w:snapToGrid w:val="0"/>
        <w:spacing w:line="360" w:lineRule="auto"/>
        <w:ind w:firstLine="480"/>
        <w:rPr>
          <w:rFonts w:ascii="Times New Roman" w:hAnsi="Times New Roman"/>
          <w:b/>
          <w:color w:val="auto"/>
          <w:sz w:val="24"/>
          <w:highlight w:val="none"/>
        </w:rPr>
      </w:pPr>
      <w:r>
        <w:rPr>
          <w:rFonts w:ascii="Times New Roman" w:hAnsi="Times New Roman"/>
          <w:color w:val="auto"/>
          <w:sz w:val="24"/>
          <w:highlight w:val="none"/>
        </w:rPr>
        <w:t>14.2 从响应截止期至供应商在</w:t>
      </w:r>
      <w:r>
        <w:rPr>
          <w:rFonts w:hint="eastAsia" w:ascii="Times New Roman" w:hAnsi="Times New Roman"/>
          <w:color w:val="auto"/>
          <w:sz w:val="24"/>
          <w:highlight w:val="none"/>
        </w:rPr>
        <w:t>磋商响应函</w:t>
      </w:r>
      <w:r>
        <w:rPr>
          <w:rFonts w:ascii="Times New Roman" w:hAnsi="Times New Roman"/>
          <w:color w:val="auto"/>
          <w:sz w:val="24"/>
          <w:highlight w:val="none"/>
        </w:rPr>
        <w:t>格式中确定的</w:t>
      </w:r>
      <w:r>
        <w:rPr>
          <w:rFonts w:hint="eastAsia" w:ascii="Times New Roman" w:hAnsi="Times New Roman"/>
          <w:color w:val="auto"/>
          <w:sz w:val="24"/>
          <w:highlight w:val="none"/>
        </w:rPr>
        <w:t>磋商</w:t>
      </w:r>
      <w:r>
        <w:rPr>
          <w:rFonts w:ascii="Times New Roman" w:hAnsi="Times New Roman"/>
          <w:color w:val="auto"/>
          <w:sz w:val="24"/>
          <w:highlight w:val="none"/>
        </w:rPr>
        <w:t>有效期期满这段时间内，供应商不得撤回其</w:t>
      </w:r>
      <w:r>
        <w:rPr>
          <w:rFonts w:hint="eastAsia" w:ascii="Times New Roman" w:hAnsi="Times New Roman"/>
          <w:color w:val="auto"/>
          <w:sz w:val="24"/>
          <w:highlight w:val="none"/>
        </w:rPr>
        <w:t>响应文件</w:t>
      </w:r>
      <w:r>
        <w:rPr>
          <w:rFonts w:ascii="Times New Roman" w:hAnsi="Times New Roman"/>
          <w:color w:val="auto"/>
          <w:sz w:val="24"/>
          <w:highlight w:val="none"/>
        </w:rPr>
        <w:t>。</w:t>
      </w:r>
    </w:p>
    <w:p>
      <w:pPr>
        <w:pStyle w:val="3"/>
        <w:spacing w:line="360" w:lineRule="auto"/>
        <w:rPr>
          <w:rFonts w:ascii="Times New Roman" w:hAnsi="Times New Roman" w:eastAsia="宋体"/>
          <w:b/>
          <w:color w:val="auto"/>
          <w:sz w:val="24"/>
          <w:szCs w:val="24"/>
          <w:highlight w:val="none"/>
        </w:rPr>
      </w:pPr>
      <w:bookmarkStart w:id="44" w:name="_Toc20344"/>
      <w:bookmarkStart w:id="45" w:name="_Toc207550884"/>
      <w:bookmarkStart w:id="46" w:name="_Toc14796"/>
      <w:bookmarkStart w:id="47" w:name="_Toc183786419"/>
      <w:r>
        <w:rPr>
          <w:rFonts w:ascii="Times New Roman" w:hAnsi="Times New Roman" w:eastAsia="宋体"/>
          <w:b/>
          <w:color w:val="auto"/>
          <w:sz w:val="24"/>
          <w:szCs w:val="24"/>
          <w:highlight w:val="none"/>
        </w:rPr>
        <w:t>五、开启响应文件</w:t>
      </w:r>
      <w:bookmarkEnd w:id="44"/>
      <w:bookmarkEnd w:id="45"/>
      <w:bookmarkEnd w:id="46"/>
    </w:p>
    <w:p>
      <w:pPr>
        <w:spacing w:line="360" w:lineRule="auto"/>
        <w:ind w:firstLine="480"/>
        <w:rPr>
          <w:bCs/>
          <w:color w:val="auto"/>
          <w:kern w:val="2"/>
          <w:sz w:val="24"/>
          <w:szCs w:val="24"/>
          <w:highlight w:val="none"/>
        </w:rPr>
      </w:pPr>
      <w:r>
        <w:rPr>
          <w:bCs/>
          <w:color w:val="auto"/>
          <w:kern w:val="2"/>
          <w:sz w:val="24"/>
          <w:szCs w:val="24"/>
          <w:highlight w:val="none"/>
        </w:rPr>
        <w:t xml:space="preserve">5.1 </w:t>
      </w:r>
      <w:r>
        <w:rPr>
          <w:rFonts w:hint="eastAsia"/>
          <w:bCs/>
          <w:color w:val="auto"/>
          <w:kern w:val="2"/>
          <w:sz w:val="24"/>
          <w:szCs w:val="24"/>
          <w:highlight w:val="none"/>
        </w:rPr>
        <w:t>磋商</w:t>
      </w:r>
      <w:r>
        <w:rPr>
          <w:bCs/>
          <w:color w:val="auto"/>
          <w:kern w:val="2"/>
          <w:sz w:val="24"/>
          <w:szCs w:val="24"/>
          <w:highlight w:val="none"/>
        </w:rPr>
        <w:t>准备</w:t>
      </w:r>
    </w:p>
    <w:p>
      <w:pPr>
        <w:spacing w:line="360" w:lineRule="auto"/>
        <w:ind w:firstLine="480"/>
        <w:rPr>
          <w:bCs/>
          <w:color w:val="auto"/>
          <w:kern w:val="2"/>
          <w:sz w:val="24"/>
          <w:szCs w:val="24"/>
          <w:highlight w:val="none"/>
        </w:rPr>
      </w:pPr>
      <w:r>
        <w:rPr>
          <w:bCs/>
          <w:color w:val="auto"/>
          <w:kern w:val="2"/>
          <w:sz w:val="24"/>
          <w:szCs w:val="24"/>
          <w:highlight w:val="none"/>
        </w:rPr>
        <w:t>5.1.1 采购代理机构将按照采购文件规定的时间通过浙江政府采购网组织</w:t>
      </w:r>
      <w:r>
        <w:rPr>
          <w:rFonts w:hint="eastAsia"/>
          <w:bCs/>
          <w:color w:val="auto"/>
          <w:kern w:val="2"/>
          <w:sz w:val="24"/>
          <w:szCs w:val="24"/>
          <w:highlight w:val="none"/>
        </w:rPr>
        <w:t>磋商</w:t>
      </w:r>
      <w:r>
        <w:rPr>
          <w:bCs/>
          <w:color w:val="auto"/>
          <w:kern w:val="2"/>
          <w:sz w:val="24"/>
          <w:szCs w:val="24"/>
          <w:highlight w:val="none"/>
        </w:rPr>
        <w:t>、开启电子加密响应文件，所有供应商均应当准时在线参加。供应商如不参加开标大会的，视同认可</w:t>
      </w:r>
      <w:r>
        <w:rPr>
          <w:rFonts w:hint="eastAsia"/>
          <w:bCs/>
          <w:color w:val="auto"/>
          <w:kern w:val="2"/>
          <w:sz w:val="24"/>
          <w:szCs w:val="24"/>
          <w:highlight w:val="none"/>
        </w:rPr>
        <w:t>磋商</w:t>
      </w:r>
      <w:r>
        <w:rPr>
          <w:bCs/>
          <w:color w:val="auto"/>
          <w:kern w:val="2"/>
          <w:sz w:val="24"/>
          <w:szCs w:val="24"/>
          <w:highlight w:val="none"/>
        </w:rPr>
        <w:t>结果，事后不得对采购相关人员、</w:t>
      </w:r>
      <w:r>
        <w:rPr>
          <w:rFonts w:hint="eastAsia"/>
          <w:bCs/>
          <w:color w:val="auto"/>
          <w:kern w:val="2"/>
          <w:sz w:val="24"/>
          <w:szCs w:val="24"/>
          <w:highlight w:val="none"/>
        </w:rPr>
        <w:t>磋商</w:t>
      </w:r>
      <w:r>
        <w:rPr>
          <w:bCs/>
          <w:color w:val="auto"/>
          <w:kern w:val="2"/>
          <w:sz w:val="24"/>
          <w:szCs w:val="24"/>
          <w:highlight w:val="none"/>
        </w:rPr>
        <w:t>过程和</w:t>
      </w:r>
      <w:r>
        <w:rPr>
          <w:rFonts w:hint="eastAsia"/>
          <w:bCs/>
          <w:color w:val="auto"/>
          <w:kern w:val="2"/>
          <w:sz w:val="24"/>
          <w:szCs w:val="24"/>
          <w:highlight w:val="none"/>
        </w:rPr>
        <w:t>磋商</w:t>
      </w:r>
      <w:r>
        <w:rPr>
          <w:bCs/>
          <w:color w:val="auto"/>
          <w:kern w:val="2"/>
          <w:sz w:val="24"/>
          <w:szCs w:val="24"/>
          <w:highlight w:val="none"/>
        </w:rPr>
        <w:t>结果提出异议，同时供应商因未在线参加</w:t>
      </w:r>
      <w:r>
        <w:rPr>
          <w:rFonts w:hint="eastAsia"/>
          <w:bCs/>
          <w:color w:val="auto"/>
          <w:kern w:val="2"/>
          <w:sz w:val="24"/>
          <w:szCs w:val="24"/>
          <w:highlight w:val="none"/>
        </w:rPr>
        <w:t>磋商</w:t>
      </w:r>
      <w:r>
        <w:rPr>
          <w:bCs/>
          <w:color w:val="auto"/>
          <w:kern w:val="2"/>
          <w:sz w:val="24"/>
          <w:szCs w:val="24"/>
          <w:highlight w:val="none"/>
        </w:rPr>
        <w:t>而导致电子加密响应文件无法按时解密等一切后果由供应商自己承担。</w:t>
      </w:r>
      <w:r>
        <w:rPr>
          <w:color w:val="auto"/>
          <w:sz w:val="24"/>
          <w:szCs w:val="24"/>
          <w:highlight w:val="none"/>
        </w:rPr>
        <w:t>（具体操作指南：详见政采云平台“服务中心-帮助文档-项目采购-操作流程-电子招投标-政府采购项目电子交易管理操作指南-供应商”。）</w:t>
      </w:r>
    </w:p>
    <w:p>
      <w:pPr>
        <w:spacing w:line="360" w:lineRule="auto"/>
        <w:ind w:firstLine="480"/>
        <w:rPr>
          <w:bCs/>
          <w:color w:val="auto"/>
          <w:kern w:val="2"/>
          <w:sz w:val="24"/>
          <w:szCs w:val="24"/>
          <w:highlight w:val="none"/>
        </w:rPr>
      </w:pPr>
      <w:r>
        <w:rPr>
          <w:bCs/>
          <w:color w:val="auto"/>
          <w:kern w:val="2"/>
          <w:sz w:val="24"/>
          <w:szCs w:val="24"/>
          <w:highlight w:val="none"/>
        </w:rPr>
        <w:t xml:space="preserve">5.2 </w:t>
      </w:r>
      <w:r>
        <w:rPr>
          <w:rFonts w:hint="eastAsia"/>
          <w:bCs/>
          <w:color w:val="auto"/>
          <w:kern w:val="2"/>
          <w:sz w:val="24"/>
          <w:szCs w:val="24"/>
          <w:highlight w:val="none"/>
        </w:rPr>
        <w:t>磋商</w:t>
      </w:r>
      <w:r>
        <w:rPr>
          <w:bCs/>
          <w:color w:val="auto"/>
          <w:kern w:val="2"/>
          <w:sz w:val="24"/>
          <w:szCs w:val="24"/>
          <w:highlight w:val="none"/>
        </w:rPr>
        <w:t>流程</w:t>
      </w:r>
    </w:p>
    <w:p>
      <w:pPr>
        <w:spacing w:line="360" w:lineRule="auto"/>
        <w:ind w:firstLine="480"/>
        <w:rPr>
          <w:bCs/>
          <w:color w:val="auto"/>
          <w:kern w:val="2"/>
          <w:sz w:val="24"/>
          <w:szCs w:val="24"/>
          <w:highlight w:val="none"/>
        </w:rPr>
      </w:pPr>
      <w:r>
        <w:rPr>
          <w:bCs/>
          <w:color w:val="auto"/>
          <w:kern w:val="2"/>
          <w:sz w:val="24"/>
          <w:szCs w:val="24"/>
          <w:highlight w:val="none"/>
        </w:rPr>
        <w:t>（1）采购代理机构开始解密，供应商在规定的时间内自行进行电子加密响应文件解密。</w:t>
      </w:r>
    </w:p>
    <w:p>
      <w:pPr>
        <w:spacing w:line="360" w:lineRule="auto"/>
        <w:ind w:firstLine="480"/>
        <w:rPr>
          <w:bCs/>
          <w:color w:val="auto"/>
          <w:kern w:val="2"/>
          <w:sz w:val="24"/>
          <w:szCs w:val="24"/>
          <w:highlight w:val="none"/>
        </w:rPr>
      </w:pPr>
      <w:r>
        <w:rPr>
          <w:bCs/>
          <w:color w:val="auto"/>
          <w:kern w:val="2"/>
          <w:sz w:val="24"/>
          <w:szCs w:val="24"/>
          <w:highlight w:val="none"/>
        </w:rPr>
        <w:t>（2）解密时间为开标后30分钟内。</w:t>
      </w:r>
    </w:p>
    <w:p>
      <w:pPr>
        <w:spacing w:line="360" w:lineRule="auto"/>
        <w:ind w:firstLine="480"/>
        <w:rPr>
          <w:bCs/>
          <w:color w:val="auto"/>
          <w:kern w:val="2"/>
          <w:sz w:val="24"/>
          <w:szCs w:val="24"/>
          <w:highlight w:val="none"/>
        </w:rPr>
      </w:pPr>
      <w:r>
        <w:rPr>
          <w:bCs/>
          <w:color w:val="auto"/>
          <w:kern w:val="2"/>
          <w:sz w:val="24"/>
          <w:szCs w:val="24"/>
          <w:highlight w:val="none"/>
        </w:rPr>
        <w:t>（3）解密失败的异常处理：供应商在规定的时间内无法完成已递交的电子加密响应文件解密的，如已按规定递交了备份响应文件的，将由采购代理机构将备份响应文件上传至浙江政府采购网，上传成功后，原电子加密响应文件自动失效。</w:t>
      </w:r>
    </w:p>
    <w:p>
      <w:pPr>
        <w:spacing w:line="360" w:lineRule="auto"/>
        <w:ind w:firstLine="480"/>
        <w:rPr>
          <w:color w:val="auto"/>
          <w:sz w:val="24"/>
          <w:szCs w:val="24"/>
          <w:highlight w:val="none"/>
        </w:rPr>
      </w:pPr>
      <w:r>
        <w:rPr>
          <w:bCs/>
          <w:color w:val="auto"/>
          <w:kern w:val="2"/>
          <w:sz w:val="24"/>
          <w:szCs w:val="24"/>
          <w:highlight w:val="none"/>
        </w:rPr>
        <w:t>（4）转入评审阶段</w:t>
      </w:r>
      <w:r>
        <w:rPr>
          <w:color w:val="auto"/>
          <w:sz w:val="24"/>
          <w:szCs w:val="24"/>
          <w:highlight w:val="none"/>
        </w:rPr>
        <w:t>。</w:t>
      </w:r>
    </w:p>
    <w:p>
      <w:pPr>
        <w:pStyle w:val="3"/>
        <w:spacing w:line="360" w:lineRule="auto"/>
        <w:rPr>
          <w:rFonts w:ascii="Times New Roman" w:hAnsi="Times New Roman" w:eastAsia="宋体"/>
          <w:b/>
          <w:color w:val="auto"/>
          <w:sz w:val="24"/>
          <w:szCs w:val="24"/>
          <w:highlight w:val="none"/>
        </w:rPr>
      </w:pPr>
      <w:bookmarkStart w:id="48" w:name="_Toc25035"/>
      <w:bookmarkStart w:id="49" w:name="_Toc30349"/>
      <w:r>
        <w:rPr>
          <w:rFonts w:ascii="Times New Roman" w:hAnsi="Times New Roman" w:eastAsia="宋体"/>
          <w:b/>
          <w:color w:val="auto"/>
          <w:sz w:val="24"/>
          <w:szCs w:val="24"/>
          <w:highlight w:val="none"/>
        </w:rPr>
        <w:t>六、</w:t>
      </w:r>
      <w:bookmarkEnd w:id="47"/>
      <w:r>
        <w:rPr>
          <w:rFonts w:ascii="Times New Roman" w:hAnsi="Times New Roman" w:eastAsia="宋体"/>
          <w:b/>
          <w:color w:val="auto"/>
          <w:sz w:val="24"/>
          <w:szCs w:val="24"/>
          <w:highlight w:val="none"/>
        </w:rPr>
        <w:t>磋商人员及相关原则</w:t>
      </w:r>
      <w:bookmarkEnd w:id="48"/>
      <w:bookmarkEnd w:id="49"/>
    </w:p>
    <w:p>
      <w:pPr>
        <w:spacing w:line="360" w:lineRule="auto"/>
        <w:ind w:firstLine="482"/>
        <w:rPr>
          <w:b/>
          <w:color w:val="auto"/>
          <w:sz w:val="24"/>
          <w:szCs w:val="24"/>
          <w:highlight w:val="none"/>
        </w:rPr>
      </w:pPr>
      <w:bookmarkStart w:id="50" w:name="_Toc183786420"/>
      <w:r>
        <w:rPr>
          <w:b/>
          <w:color w:val="auto"/>
          <w:sz w:val="24"/>
          <w:szCs w:val="24"/>
          <w:highlight w:val="none"/>
        </w:rPr>
        <w:t>17．参加磋商人员</w:t>
      </w:r>
    </w:p>
    <w:p>
      <w:pPr>
        <w:spacing w:line="360" w:lineRule="auto"/>
        <w:ind w:firstLine="482"/>
        <w:rPr>
          <w:color w:val="auto"/>
          <w:sz w:val="24"/>
          <w:szCs w:val="24"/>
          <w:highlight w:val="none"/>
        </w:rPr>
      </w:pPr>
      <w:r>
        <w:rPr>
          <w:color w:val="auto"/>
          <w:sz w:val="24"/>
          <w:szCs w:val="24"/>
          <w:highlight w:val="none"/>
        </w:rPr>
        <w:t>17.1 供应商应派法定代表人的授权代表参加磋商。该授权代表须出具法定代表人资格证明及授权委托书（格式详见第五部分）。授权代表如是法定代表人的，只须提供法定代表人证明并出示相关证明即可。</w:t>
      </w:r>
    </w:p>
    <w:p>
      <w:pPr>
        <w:tabs>
          <w:tab w:val="left" w:pos="7140"/>
        </w:tabs>
        <w:spacing w:line="360" w:lineRule="auto"/>
        <w:ind w:firstLine="480"/>
        <w:rPr>
          <w:b/>
          <w:color w:val="auto"/>
          <w:sz w:val="24"/>
          <w:szCs w:val="24"/>
          <w:highlight w:val="none"/>
        </w:rPr>
      </w:pPr>
      <w:r>
        <w:rPr>
          <w:b/>
          <w:color w:val="auto"/>
          <w:sz w:val="24"/>
          <w:szCs w:val="24"/>
          <w:highlight w:val="none"/>
        </w:rPr>
        <w:t>18.磋商小组</w:t>
      </w:r>
    </w:p>
    <w:p>
      <w:pPr>
        <w:spacing w:line="360" w:lineRule="auto"/>
        <w:ind w:firstLine="480"/>
        <w:rPr>
          <w:color w:val="auto"/>
          <w:sz w:val="24"/>
          <w:szCs w:val="24"/>
          <w:highlight w:val="none"/>
        </w:rPr>
      </w:pPr>
      <w:r>
        <w:rPr>
          <w:color w:val="auto"/>
          <w:sz w:val="24"/>
          <w:szCs w:val="24"/>
          <w:highlight w:val="none"/>
        </w:rPr>
        <w:t>18.1磋商小组由采购人代表和评审专家共3人及以上单数组成，其中评审专家人数不少于磋商小组成员总数的2/3。</w:t>
      </w:r>
    </w:p>
    <w:p>
      <w:pPr>
        <w:spacing w:line="360" w:lineRule="auto"/>
        <w:ind w:firstLine="480" w:firstLineChars="200"/>
        <w:rPr>
          <w:color w:val="auto"/>
          <w:sz w:val="24"/>
          <w:szCs w:val="24"/>
          <w:highlight w:val="none"/>
        </w:rPr>
      </w:pPr>
      <w:r>
        <w:rPr>
          <w:color w:val="auto"/>
          <w:sz w:val="24"/>
          <w:szCs w:val="24"/>
          <w:highlight w:val="none"/>
        </w:rPr>
        <w:t>18.2评审专家应当遵守评审工作纪律，不得泄露评审情况和评审中获悉的商业秘密。</w:t>
      </w:r>
    </w:p>
    <w:p>
      <w:pPr>
        <w:spacing w:line="360" w:lineRule="auto"/>
        <w:ind w:firstLine="480" w:firstLineChars="200"/>
        <w:rPr>
          <w:color w:val="auto"/>
          <w:kern w:val="2"/>
          <w:sz w:val="24"/>
          <w:szCs w:val="24"/>
          <w:highlight w:val="none"/>
          <w:lang w:val="zh-CN"/>
        </w:rPr>
      </w:pPr>
      <w:r>
        <w:rPr>
          <w:color w:val="auto"/>
          <w:sz w:val="24"/>
          <w:szCs w:val="24"/>
          <w:highlight w:val="none"/>
        </w:rPr>
        <w:t>18.3</w:t>
      </w:r>
      <w:r>
        <w:rPr>
          <w:color w:val="auto"/>
          <w:kern w:val="2"/>
          <w:sz w:val="24"/>
          <w:szCs w:val="24"/>
          <w:highlight w:val="none"/>
        </w:rPr>
        <w:t>磋商小组在评审过程中发现供应商有行贿、提供虚假材料或者串通等违法行为的，应当及时向财政部门报告。</w:t>
      </w:r>
    </w:p>
    <w:p>
      <w:pPr>
        <w:spacing w:line="360" w:lineRule="auto"/>
        <w:ind w:firstLine="480" w:firstLineChars="200"/>
        <w:rPr>
          <w:color w:val="auto"/>
          <w:kern w:val="2"/>
          <w:sz w:val="24"/>
          <w:szCs w:val="24"/>
          <w:highlight w:val="none"/>
        </w:rPr>
      </w:pPr>
      <w:r>
        <w:rPr>
          <w:color w:val="auto"/>
          <w:kern w:val="2"/>
          <w:sz w:val="24"/>
          <w:szCs w:val="24"/>
          <w:highlight w:val="none"/>
        </w:rPr>
        <w:t>18.4评审专家在评审过程中受到非法干涉的，应当及时向财政、监察等部门举报。</w:t>
      </w:r>
    </w:p>
    <w:p>
      <w:pPr>
        <w:spacing w:line="360" w:lineRule="auto"/>
        <w:ind w:firstLine="482" w:firstLineChars="200"/>
        <w:rPr>
          <w:b/>
          <w:color w:val="auto"/>
          <w:sz w:val="24"/>
          <w:szCs w:val="24"/>
          <w:highlight w:val="none"/>
        </w:rPr>
      </w:pPr>
      <w:r>
        <w:rPr>
          <w:b/>
          <w:color w:val="auto"/>
          <w:sz w:val="24"/>
          <w:szCs w:val="24"/>
          <w:highlight w:val="none"/>
        </w:rPr>
        <w:t>19．磋商评审原则</w:t>
      </w:r>
    </w:p>
    <w:p>
      <w:pPr>
        <w:spacing w:line="360" w:lineRule="auto"/>
        <w:ind w:firstLine="480"/>
        <w:rPr>
          <w:color w:val="auto"/>
          <w:sz w:val="24"/>
          <w:szCs w:val="24"/>
          <w:highlight w:val="none"/>
        </w:rPr>
      </w:pPr>
      <w:r>
        <w:rPr>
          <w:color w:val="auto"/>
          <w:sz w:val="24"/>
          <w:szCs w:val="24"/>
          <w:highlight w:val="none"/>
        </w:rPr>
        <w:t>19.1磋商小组成员应当按照客观、公正、审慎的原则，根据磋商文件规定的评审程序、评审方法和评审标准进行独立评审。</w:t>
      </w:r>
    </w:p>
    <w:p>
      <w:pPr>
        <w:spacing w:line="360" w:lineRule="auto"/>
        <w:ind w:firstLine="480"/>
        <w:rPr>
          <w:color w:val="auto"/>
          <w:sz w:val="24"/>
          <w:szCs w:val="24"/>
          <w:highlight w:val="none"/>
        </w:rPr>
      </w:pPr>
      <w:r>
        <w:rPr>
          <w:color w:val="auto"/>
          <w:sz w:val="24"/>
          <w:szCs w:val="24"/>
          <w:highlight w:val="none"/>
        </w:rPr>
        <w:t>19.2客观、公正的对待所有供应商，对所有供应商均采用相同的程序和标准，依据磋商评审程序列。</w:t>
      </w:r>
    </w:p>
    <w:p>
      <w:pPr>
        <w:spacing w:line="360" w:lineRule="auto"/>
        <w:ind w:firstLine="480"/>
        <w:rPr>
          <w:color w:val="auto"/>
          <w:sz w:val="24"/>
          <w:szCs w:val="24"/>
          <w:highlight w:val="none"/>
        </w:rPr>
      </w:pPr>
      <w:r>
        <w:rPr>
          <w:color w:val="auto"/>
          <w:sz w:val="24"/>
          <w:szCs w:val="24"/>
          <w:highlight w:val="none"/>
        </w:rPr>
        <w:t>19.3在磋商期间，供应商不得向磋商小组成员询问与其无关的磋商情况，不得进行旨在影响磋商结果的活动，否则将取消其磋商资格。</w:t>
      </w:r>
    </w:p>
    <w:p>
      <w:pPr>
        <w:spacing w:line="360" w:lineRule="auto"/>
        <w:ind w:firstLine="480"/>
        <w:rPr>
          <w:color w:val="auto"/>
          <w:sz w:val="24"/>
          <w:szCs w:val="24"/>
          <w:highlight w:val="none"/>
        </w:rPr>
      </w:pPr>
      <w:r>
        <w:rPr>
          <w:color w:val="auto"/>
          <w:sz w:val="24"/>
          <w:szCs w:val="24"/>
          <w:highlight w:val="none"/>
        </w:rPr>
        <w:t>19.4在磋商过程中，评审专家不得与供应商私下交换意见，在竞争性磋商工作结束后，评审专家或知情者应严格保密，不得将磋商评审情况告诉与之无关的人（包括供应商）。</w:t>
      </w:r>
    </w:p>
    <w:p>
      <w:pPr>
        <w:spacing w:line="360" w:lineRule="auto"/>
        <w:ind w:firstLine="480"/>
        <w:rPr>
          <w:color w:val="auto"/>
          <w:sz w:val="24"/>
          <w:szCs w:val="24"/>
          <w:highlight w:val="none"/>
        </w:rPr>
      </w:pPr>
      <w:r>
        <w:rPr>
          <w:color w:val="auto"/>
          <w:kern w:val="2"/>
          <w:sz w:val="24"/>
          <w:szCs w:val="24"/>
          <w:highlight w:val="none"/>
          <w:lang w:val="zh-CN"/>
        </w:rPr>
        <w:t>19.5在磋商和评定成交供应商的过程中履约，如有供应商联合故意抬高报价或其他不正当行为，采购人有权中止磋商</w:t>
      </w:r>
      <w:r>
        <w:rPr>
          <w:color w:val="auto"/>
          <w:sz w:val="24"/>
          <w:szCs w:val="24"/>
          <w:highlight w:val="none"/>
        </w:rPr>
        <w:t>。</w:t>
      </w:r>
    </w:p>
    <w:p>
      <w:pPr>
        <w:pStyle w:val="3"/>
        <w:spacing w:line="360" w:lineRule="auto"/>
        <w:rPr>
          <w:rFonts w:ascii="Times New Roman" w:hAnsi="Times New Roman" w:eastAsia="宋体"/>
          <w:b/>
          <w:color w:val="auto"/>
          <w:sz w:val="24"/>
          <w:szCs w:val="24"/>
          <w:highlight w:val="none"/>
        </w:rPr>
      </w:pPr>
      <w:bookmarkStart w:id="51" w:name="_Toc32276"/>
      <w:bookmarkStart w:id="52" w:name="_Toc25023"/>
      <w:r>
        <w:rPr>
          <w:rFonts w:ascii="Times New Roman" w:hAnsi="Times New Roman" w:eastAsia="宋体"/>
          <w:b/>
          <w:color w:val="auto"/>
          <w:sz w:val="24"/>
          <w:szCs w:val="24"/>
          <w:highlight w:val="none"/>
        </w:rPr>
        <w:t>七、磋商程序</w:t>
      </w:r>
      <w:bookmarkEnd w:id="51"/>
      <w:bookmarkEnd w:id="52"/>
    </w:p>
    <w:p>
      <w:pPr>
        <w:snapToGrid w:val="0"/>
        <w:spacing w:line="360" w:lineRule="auto"/>
        <w:ind w:firstLine="480"/>
        <w:rPr>
          <w:b/>
          <w:color w:val="auto"/>
          <w:sz w:val="24"/>
          <w:szCs w:val="24"/>
          <w:highlight w:val="none"/>
        </w:rPr>
      </w:pPr>
      <w:r>
        <w:rPr>
          <w:b/>
          <w:color w:val="auto"/>
          <w:sz w:val="24"/>
          <w:szCs w:val="24"/>
          <w:highlight w:val="none"/>
        </w:rPr>
        <w:t>20. 对所有响应文件的初审</w:t>
      </w:r>
    </w:p>
    <w:p>
      <w:pPr>
        <w:adjustRightInd w:val="0"/>
        <w:snapToGrid w:val="0"/>
        <w:spacing w:line="360" w:lineRule="auto"/>
        <w:ind w:firstLine="480"/>
        <w:rPr>
          <w:color w:val="auto"/>
          <w:sz w:val="24"/>
          <w:szCs w:val="24"/>
          <w:highlight w:val="none"/>
        </w:rPr>
      </w:pPr>
      <w:r>
        <w:rPr>
          <w:color w:val="auto"/>
          <w:sz w:val="24"/>
          <w:szCs w:val="24"/>
          <w:highlight w:val="none"/>
        </w:rPr>
        <w:t>20.1</w:t>
      </w:r>
      <w:r>
        <w:rPr>
          <w:rFonts w:hint="eastAsia"/>
          <w:color w:val="auto"/>
          <w:sz w:val="24"/>
          <w:szCs w:val="24"/>
          <w:highlight w:val="none"/>
        </w:rPr>
        <w:t>磋商小组</w:t>
      </w:r>
      <w:r>
        <w:rPr>
          <w:color w:val="auto"/>
          <w:sz w:val="24"/>
          <w:szCs w:val="24"/>
          <w:highlight w:val="none"/>
        </w:rPr>
        <w:t>将首先审查各供应商的资格条件是否满足采购文件的要求，如以联合体形式参加政府采购活动的，是否出具联合协议或联合协议是否符合采购文件规定的。</w:t>
      </w:r>
    </w:p>
    <w:p>
      <w:pPr>
        <w:adjustRightInd w:val="0"/>
        <w:snapToGrid w:val="0"/>
        <w:spacing w:line="360" w:lineRule="auto"/>
        <w:ind w:firstLine="480"/>
        <w:rPr>
          <w:color w:val="auto"/>
          <w:sz w:val="24"/>
          <w:szCs w:val="24"/>
          <w:highlight w:val="none"/>
        </w:rPr>
      </w:pPr>
      <w:r>
        <w:rPr>
          <w:color w:val="auto"/>
          <w:sz w:val="24"/>
          <w:szCs w:val="24"/>
          <w:highlight w:val="none"/>
        </w:rPr>
        <w:t>20.2符合性评审。审查不合格的，其磋商响应将无效，不再进行后续磋商。如有下列情形的，符合性审查不合格：</w:t>
      </w:r>
    </w:p>
    <w:p>
      <w:pPr>
        <w:adjustRightInd w:val="0"/>
        <w:snapToGrid w:val="0"/>
        <w:spacing w:line="360" w:lineRule="auto"/>
        <w:ind w:firstLine="480" w:firstLineChars="200"/>
        <w:rPr>
          <w:bCs/>
          <w:color w:val="auto"/>
          <w:sz w:val="24"/>
          <w:szCs w:val="24"/>
          <w:highlight w:val="none"/>
        </w:rPr>
      </w:pPr>
      <w:r>
        <w:rPr>
          <w:bCs/>
          <w:color w:val="auto"/>
          <w:sz w:val="24"/>
          <w:szCs w:val="24"/>
          <w:highlight w:val="none"/>
        </w:rPr>
        <w:t>（1）供应商提交两份或两份以上内容不同的磋商响应方案，未声明哪一份有效的；</w:t>
      </w:r>
    </w:p>
    <w:p>
      <w:pPr>
        <w:adjustRightInd w:val="0"/>
        <w:snapToGrid w:val="0"/>
        <w:spacing w:line="360" w:lineRule="auto"/>
        <w:ind w:firstLine="480" w:firstLineChars="200"/>
        <w:rPr>
          <w:bCs/>
          <w:color w:val="auto"/>
          <w:sz w:val="24"/>
          <w:szCs w:val="24"/>
          <w:highlight w:val="none"/>
        </w:rPr>
      </w:pPr>
      <w:r>
        <w:rPr>
          <w:bCs/>
          <w:color w:val="auto"/>
          <w:sz w:val="24"/>
          <w:szCs w:val="24"/>
          <w:highlight w:val="none"/>
        </w:rPr>
        <w:t>（2）磋商响应文件非供应商法定代表人签署的，未提供或提供无效的法定代表人授权书；</w:t>
      </w:r>
    </w:p>
    <w:p>
      <w:pPr>
        <w:adjustRightInd w:val="0"/>
        <w:snapToGrid w:val="0"/>
        <w:spacing w:line="360" w:lineRule="auto"/>
        <w:ind w:firstLine="480" w:firstLineChars="200"/>
        <w:rPr>
          <w:bCs/>
          <w:color w:val="auto"/>
          <w:sz w:val="24"/>
          <w:szCs w:val="24"/>
          <w:highlight w:val="none"/>
        </w:rPr>
      </w:pPr>
      <w:r>
        <w:rPr>
          <w:bCs/>
          <w:color w:val="auto"/>
          <w:sz w:val="24"/>
          <w:szCs w:val="24"/>
          <w:highlight w:val="none"/>
        </w:rPr>
        <w:t>（3）磋商响应文件中法定代表人和授权代表身份证复印件不齐全的；</w:t>
      </w:r>
    </w:p>
    <w:p>
      <w:pPr>
        <w:adjustRightInd w:val="0"/>
        <w:snapToGrid w:val="0"/>
        <w:spacing w:line="360" w:lineRule="auto"/>
        <w:ind w:firstLine="480" w:firstLineChars="200"/>
        <w:rPr>
          <w:bCs/>
          <w:color w:val="auto"/>
          <w:sz w:val="24"/>
          <w:szCs w:val="24"/>
          <w:highlight w:val="none"/>
        </w:rPr>
      </w:pPr>
      <w:r>
        <w:rPr>
          <w:bCs/>
          <w:color w:val="auto"/>
          <w:sz w:val="24"/>
          <w:szCs w:val="24"/>
          <w:highlight w:val="none"/>
        </w:rPr>
        <w:t>（4）磋商响应文件内容未按磋商文件规定盖章的；</w:t>
      </w:r>
    </w:p>
    <w:p>
      <w:pPr>
        <w:adjustRightInd w:val="0"/>
        <w:snapToGrid w:val="0"/>
        <w:spacing w:line="360" w:lineRule="auto"/>
        <w:ind w:firstLine="480" w:firstLineChars="200"/>
        <w:rPr>
          <w:bCs/>
          <w:color w:val="auto"/>
          <w:sz w:val="24"/>
          <w:szCs w:val="24"/>
          <w:highlight w:val="none"/>
        </w:rPr>
      </w:pPr>
      <w:r>
        <w:rPr>
          <w:bCs/>
          <w:color w:val="auto"/>
          <w:sz w:val="24"/>
          <w:szCs w:val="24"/>
          <w:highlight w:val="none"/>
        </w:rPr>
        <w:t>（5）磋商响应文件内容不全或内容字迹模糊辨认不清的等而导致评标活动无法正常进行；</w:t>
      </w:r>
    </w:p>
    <w:p>
      <w:pPr>
        <w:adjustRightInd w:val="0"/>
        <w:snapToGrid w:val="0"/>
        <w:spacing w:line="360" w:lineRule="auto"/>
        <w:ind w:firstLine="480" w:firstLineChars="200"/>
        <w:rPr>
          <w:bCs/>
          <w:color w:val="auto"/>
          <w:sz w:val="24"/>
          <w:szCs w:val="24"/>
          <w:highlight w:val="none"/>
        </w:rPr>
      </w:pPr>
      <w:r>
        <w:rPr>
          <w:bCs/>
          <w:color w:val="auto"/>
          <w:sz w:val="24"/>
          <w:szCs w:val="24"/>
          <w:highlight w:val="none"/>
        </w:rPr>
        <w:t>（6）供应商未按磋商文件变更通知更改磋商响应文件的；</w:t>
      </w:r>
    </w:p>
    <w:p>
      <w:pPr>
        <w:adjustRightInd w:val="0"/>
        <w:snapToGrid w:val="0"/>
        <w:spacing w:line="360" w:lineRule="auto"/>
        <w:ind w:firstLine="480" w:firstLineChars="200"/>
        <w:rPr>
          <w:bCs/>
          <w:color w:val="auto"/>
          <w:sz w:val="24"/>
          <w:szCs w:val="24"/>
          <w:highlight w:val="none"/>
        </w:rPr>
      </w:pPr>
      <w:r>
        <w:rPr>
          <w:bCs/>
          <w:color w:val="auto"/>
          <w:sz w:val="24"/>
          <w:szCs w:val="24"/>
          <w:highlight w:val="none"/>
        </w:rPr>
        <w:t>（7）未实质性响应磋商文件中带“▲”条款要求的磋商响应文件；</w:t>
      </w:r>
    </w:p>
    <w:p>
      <w:pPr>
        <w:adjustRightInd w:val="0"/>
        <w:snapToGrid w:val="0"/>
        <w:spacing w:line="360" w:lineRule="auto"/>
        <w:ind w:firstLine="480" w:firstLineChars="200"/>
        <w:rPr>
          <w:bCs/>
          <w:color w:val="auto"/>
          <w:sz w:val="24"/>
          <w:szCs w:val="24"/>
          <w:highlight w:val="none"/>
        </w:rPr>
      </w:pPr>
      <w:r>
        <w:rPr>
          <w:bCs/>
          <w:color w:val="auto"/>
          <w:sz w:val="24"/>
          <w:szCs w:val="24"/>
          <w:highlight w:val="none"/>
        </w:rPr>
        <w:t>（8）磋商有效期、服务期不能满足磋商文件要求的；</w:t>
      </w:r>
    </w:p>
    <w:p>
      <w:pPr>
        <w:adjustRightInd w:val="0"/>
        <w:snapToGrid w:val="0"/>
        <w:spacing w:line="360" w:lineRule="auto"/>
        <w:ind w:firstLine="480" w:firstLineChars="200"/>
        <w:rPr>
          <w:bCs/>
          <w:color w:val="auto"/>
          <w:sz w:val="24"/>
          <w:szCs w:val="24"/>
          <w:highlight w:val="none"/>
        </w:rPr>
      </w:pPr>
      <w:r>
        <w:rPr>
          <w:bCs/>
          <w:color w:val="auto"/>
          <w:sz w:val="24"/>
          <w:szCs w:val="24"/>
          <w:highlight w:val="none"/>
        </w:rPr>
        <w:t>（9）磋商响应文件附有采购人不能接受的条款；</w:t>
      </w:r>
    </w:p>
    <w:p>
      <w:pPr>
        <w:adjustRightInd w:val="0"/>
        <w:snapToGrid w:val="0"/>
        <w:spacing w:line="360" w:lineRule="auto"/>
        <w:ind w:firstLine="480" w:firstLineChars="200"/>
        <w:rPr>
          <w:bCs/>
          <w:color w:val="auto"/>
          <w:sz w:val="24"/>
          <w:szCs w:val="24"/>
          <w:highlight w:val="none"/>
        </w:rPr>
      </w:pPr>
      <w:r>
        <w:rPr>
          <w:color w:val="auto"/>
          <w:sz w:val="24"/>
          <w:szCs w:val="24"/>
          <w:highlight w:val="none"/>
        </w:rPr>
        <w:t>（10）供应商提供虚假材料的，或响应情况与事实不符的；</w:t>
      </w:r>
    </w:p>
    <w:p>
      <w:pPr>
        <w:adjustRightInd w:val="0"/>
        <w:snapToGrid w:val="0"/>
        <w:spacing w:line="360" w:lineRule="auto"/>
        <w:ind w:firstLine="480" w:firstLineChars="200"/>
        <w:rPr>
          <w:bCs/>
          <w:color w:val="auto"/>
          <w:sz w:val="24"/>
          <w:szCs w:val="24"/>
          <w:highlight w:val="none"/>
        </w:rPr>
      </w:pPr>
      <w:r>
        <w:rPr>
          <w:bCs/>
          <w:color w:val="auto"/>
          <w:sz w:val="24"/>
          <w:szCs w:val="24"/>
          <w:highlight w:val="none"/>
        </w:rPr>
        <w:t>（11）磋商响应文件中提供了与采购无关的赠品、回扣或者其他商品、服务；</w:t>
      </w:r>
    </w:p>
    <w:p>
      <w:pPr>
        <w:adjustRightInd w:val="0"/>
        <w:snapToGrid w:val="0"/>
        <w:spacing w:line="360" w:lineRule="auto"/>
        <w:ind w:firstLine="480" w:firstLineChars="200"/>
        <w:rPr>
          <w:bCs/>
          <w:color w:val="auto"/>
          <w:sz w:val="24"/>
          <w:szCs w:val="24"/>
          <w:highlight w:val="none"/>
        </w:rPr>
      </w:pPr>
      <w:r>
        <w:rPr>
          <w:bCs/>
          <w:color w:val="auto"/>
          <w:sz w:val="24"/>
          <w:szCs w:val="24"/>
          <w:highlight w:val="none"/>
        </w:rPr>
        <w:t>（12）供应商串通投标，妨碍其他供应商的竞争行为，损害采购人或者其他供应商的合法权益；</w:t>
      </w:r>
    </w:p>
    <w:p>
      <w:pPr>
        <w:adjustRightInd w:val="0"/>
        <w:snapToGrid w:val="0"/>
        <w:spacing w:line="360" w:lineRule="auto"/>
        <w:ind w:firstLine="480" w:firstLineChars="200"/>
        <w:rPr>
          <w:bCs/>
          <w:color w:val="auto"/>
          <w:sz w:val="24"/>
          <w:szCs w:val="24"/>
          <w:highlight w:val="none"/>
        </w:rPr>
      </w:pPr>
      <w:r>
        <w:rPr>
          <w:bCs/>
          <w:color w:val="auto"/>
          <w:sz w:val="24"/>
          <w:szCs w:val="24"/>
          <w:highlight w:val="none"/>
        </w:rPr>
        <w:t>（13）违反国家及政府部门相关法律、法规、文件规定</w:t>
      </w:r>
      <w:r>
        <w:rPr>
          <w:rFonts w:hint="eastAsia"/>
          <w:bCs/>
          <w:color w:val="auto"/>
          <w:sz w:val="24"/>
          <w:szCs w:val="24"/>
          <w:highlight w:val="none"/>
        </w:rPr>
        <w:t>的</w:t>
      </w:r>
      <w:r>
        <w:rPr>
          <w:bCs/>
          <w:color w:val="auto"/>
          <w:sz w:val="24"/>
          <w:szCs w:val="24"/>
          <w:highlight w:val="none"/>
        </w:rPr>
        <w:t>。</w:t>
      </w:r>
    </w:p>
    <w:p>
      <w:pPr>
        <w:adjustRightInd w:val="0"/>
        <w:snapToGrid w:val="0"/>
        <w:spacing w:line="360" w:lineRule="auto"/>
        <w:ind w:firstLine="480" w:firstLineChars="200"/>
        <w:rPr>
          <w:bCs/>
          <w:color w:val="auto"/>
          <w:sz w:val="24"/>
          <w:szCs w:val="24"/>
          <w:highlight w:val="none"/>
        </w:rPr>
      </w:pPr>
      <w:r>
        <w:rPr>
          <w:bCs/>
          <w:color w:val="auto"/>
          <w:sz w:val="24"/>
          <w:szCs w:val="24"/>
          <w:highlight w:val="none"/>
        </w:rPr>
        <w:t>20.3在最后报价评审时，如发现下列情形之一的，响应将被视为无效：</w:t>
      </w:r>
    </w:p>
    <w:p>
      <w:pPr>
        <w:adjustRightInd w:val="0"/>
        <w:snapToGrid w:val="0"/>
        <w:spacing w:line="360" w:lineRule="auto"/>
        <w:ind w:firstLine="480" w:firstLineChars="200"/>
        <w:rPr>
          <w:bCs/>
          <w:color w:val="auto"/>
          <w:sz w:val="24"/>
          <w:szCs w:val="24"/>
          <w:highlight w:val="none"/>
        </w:rPr>
      </w:pPr>
      <w:r>
        <w:rPr>
          <w:bCs/>
          <w:color w:val="auto"/>
          <w:sz w:val="24"/>
          <w:szCs w:val="24"/>
          <w:highlight w:val="none"/>
        </w:rPr>
        <w:t>（1）报价超出预算金额或最高限价的；</w:t>
      </w:r>
    </w:p>
    <w:p>
      <w:pPr>
        <w:adjustRightInd w:val="0"/>
        <w:snapToGrid w:val="0"/>
        <w:spacing w:line="360" w:lineRule="auto"/>
        <w:ind w:firstLine="480" w:firstLineChars="200"/>
        <w:rPr>
          <w:bCs/>
          <w:color w:val="auto"/>
          <w:sz w:val="24"/>
          <w:szCs w:val="24"/>
          <w:highlight w:val="none"/>
        </w:rPr>
      </w:pPr>
      <w:r>
        <w:rPr>
          <w:bCs/>
          <w:color w:val="auto"/>
          <w:sz w:val="24"/>
          <w:szCs w:val="24"/>
          <w:highlight w:val="none"/>
        </w:rPr>
        <w:t>（2）报价具有选择性的；</w:t>
      </w:r>
    </w:p>
    <w:p>
      <w:pPr>
        <w:adjustRightInd w:val="0"/>
        <w:snapToGrid w:val="0"/>
        <w:spacing w:line="360" w:lineRule="auto"/>
        <w:ind w:firstLine="480" w:firstLineChars="200"/>
        <w:rPr>
          <w:bCs/>
          <w:color w:val="auto"/>
          <w:sz w:val="24"/>
          <w:szCs w:val="24"/>
          <w:highlight w:val="none"/>
        </w:rPr>
      </w:pPr>
      <w:r>
        <w:rPr>
          <w:bCs/>
          <w:color w:val="auto"/>
          <w:sz w:val="24"/>
          <w:szCs w:val="24"/>
          <w:highlight w:val="none"/>
        </w:rPr>
        <w:t>（3）不接受按采购文件规定的修正错误原则修正后的报价的；</w:t>
      </w:r>
    </w:p>
    <w:p>
      <w:pPr>
        <w:adjustRightInd w:val="0"/>
        <w:snapToGrid w:val="0"/>
        <w:spacing w:line="360" w:lineRule="auto"/>
        <w:ind w:firstLine="480" w:firstLineChars="200"/>
        <w:rPr>
          <w:bCs/>
          <w:color w:val="auto"/>
          <w:sz w:val="24"/>
          <w:szCs w:val="24"/>
          <w:highlight w:val="none"/>
        </w:rPr>
      </w:pPr>
      <w:r>
        <w:rPr>
          <w:bCs/>
          <w:color w:val="auto"/>
          <w:sz w:val="24"/>
          <w:szCs w:val="24"/>
          <w:highlight w:val="none"/>
        </w:rPr>
        <w:t>（4）供应商</w:t>
      </w:r>
      <w:r>
        <w:rPr>
          <w:color w:val="auto"/>
          <w:sz w:val="24"/>
          <w:szCs w:val="24"/>
          <w:highlight w:val="none"/>
        </w:rPr>
        <w:t>的报价明显低于其他通过符合性审查供应商的报价，有可能影响产品或服务质量或者不能诚信履约，磋商小组要求其在评审现场合理的时间内提供书面说明（必要时提交相关证明材料），供应商未提供书面说明的或提供的书面说明（相关证明材料）不能证明其报价合理性的；</w:t>
      </w:r>
    </w:p>
    <w:p>
      <w:pPr>
        <w:adjustRightInd w:val="0"/>
        <w:snapToGrid w:val="0"/>
        <w:spacing w:line="360" w:lineRule="auto"/>
        <w:ind w:firstLine="480" w:firstLineChars="200"/>
        <w:rPr>
          <w:color w:val="auto"/>
          <w:sz w:val="24"/>
          <w:szCs w:val="24"/>
          <w:highlight w:val="none"/>
        </w:rPr>
      </w:pPr>
      <w:r>
        <w:rPr>
          <w:color w:val="auto"/>
          <w:sz w:val="24"/>
          <w:szCs w:val="24"/>
          <w:highlight w:val="none"/>
        </w:rPr>
        <w:t>（5）供应商提供虚假材料的，或响应情况与事实不符的；</w:t>
      </w:r>
    </w:p>
    <w:p>
      <w:pPr>
        <w:adjustRightInd w:val="0"/>
        <w:snapToGrid w:val="0"/>
        <w:spacing w:line="360" w:lineRule="auto"/>
        <w:ind w:firstLine="480" w:firstLineChars="200"/>
        <w:rPr>
          <w:bCs/>
          <w:color w:val="auto"/>
          <w:sz w:val="24"/>
          <w:szCs w:val="24"/>
          <w:highlight w:val="none"/>
        </w:rPr>
      </w:pPr>
      <w:r>
        <w:rPr>
          <w:bCs/>
          <w:color w:val="auto"/>
          <w:sz w:val="24"/>
          <w:szCs w:val="24"/>
          <w:highlight w:val="none"/>
        </w:rPr>
        <w:t>（6）法律、法规和采购文件规定的其他无效情形。</w:t>
      </w:r>
    </w:p>
    <w:p>
      <w:pPr>
        <w:adjustRightInd w:val="0"/>
        <w:snapToGrid w:val="0"/>
        <w:spacing w:line="360" w:lineRule="auto"/>
        <w:ind w:firstLine="480"/>
        <w:rPr>
          <w:color w:val="auto"/>
          <w:sz w:val="24"/>
          <w:szCs w:val="24"/>
          <w:highlight w:val="none"/>
        </w:rPr>
      </w:pPr>
      <w:r>
        <w:rPr>
          <w:color w:val="auto"/>
          <w:sz w:val="24"/>
          <w:szCs w:val="24"/>
          <w:highlight w:val="none"/>
        </w:rPr>
        <w:t>20.4磋商小组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adjustRightInd w:val="0"/>
        <w:snapToGrid w:val="0"/>
        <w:spacing w:line="360" w:lineRule="auto"/>
        <w:ind w:firstLine="480"/>
        <w:rPr>
          <w:color w:val="auto"/>
          <w:sz w:val="24"/>
          <w:szCs w:val="24"/>
          <w:highlight w:val="none"/>
        </w:rPr>
      </w:pPr>
      <w:r>
        <w:rPr>
          <w:color w:val="auto"/>
          <w:sz w:val="24"/>
          <w:szCs w:val="24"/>
          <w:highlight w:val="none"/>
        </w:rPr>
        <w:t>20.5磋商小组要求供应商澄清、说明或者更正响应文件应当以书面形式作出。供应商的澄清、说明或者更正应当盖单位公章或电子签章。</w:t>
      </w:r>
    </w:p>
    <w:p>
      <w:pPr>
        <w:snapToGrid w:val="0"/>
        <w:spacing w:line="360" w:lineRule="auto"/>
        <w:ind w:firstLine="480"/>
        <w:rPr>
          <w:b/>
          <w:bCs/>
          <w:color w:val="auto"/>
          <w:sz w:val="24"/>
          <w:szCs w:val="24"/>
          <w:highlight w:val="none"/>
          <w:lang w:val="zh-CN"/>
        </w:rPr>
      </w:pPr>
      <w:r>
        <w:rPr>
          <w:b/>
          <w:bCs/>
          <w:color w:val="auto"/>
          <w:sz w:val="24"/>
          <w:szCs w:val="24"/>
          <w:highlight w:val="none"/>
          <w:lang w:val="zh-CN"/>
        </w:rPr>
        <w:t>21.磋商</w:t>
      </w:r>
    </w:p>
    <w:p>
      <w:pPr>
        <w:snapToGrid w:val="0"/>
        <w:spacing w:line="360" w:lineRule="auto"/>
        <w:ind w:firstLine="480"/>
        <w:rPr>
          <w:color w:val="auto"/>
          <w:sz w:val="24"/>
          <w:szCs w:val="24"/>
          <w:highlight w:val="none"/>
        </w:rPr>
      </w:pPr>
      <w:r>
        <w:rPr>
          <w:color w:val="auto"/>
          <w:sz w:val="24"/>
          <w:szCs w:val="24"/>
          <w:highlight w:val="none"/>
        </w:rPr>
        <w:t>21.1初审合格的供应商进入下一步的磋商活动。</w:t>
      </w:r>
    </w:p>
    <w:p>
      <w:pPr>
        <w:snapToGrid w:val="0"/>
        <w:spacing w:line="360" w:lineRule="auto"/>
        <w:ind w:firstLine="480"/>
        <w:rPr>
          <w:color w:val="auto"/>
          <w:sz w:val="24"/>
          <w:szCs w:val="24"/>
          <w:highlight w:val="none"/>
        </w:rPr>
      </w:pPr>
      <w:r>
        <w:rPr>
          <w:color w:val="auto"/>
          <w:sz w:val="24"/>
          <w:szCs w:val="24"/>
          <w:highlight w:val="none"/>
        </w:rPr>
        <w:t>21.2磋商小组所有成员应当集中与单一供应商分别进行磋商，并给予所有参加磋商的供应商平等的磋商机会。</w:t>
      </w:r>
    </w:p>
    <w:p>
      <w:pPr>
        <w:snapToGrid w:val="0"/>
        <w:spacing w:line="360" w:lineRule="auto"/>
        <w:ind w:firstLine="480"/>
        <w:rPr>
          <w:color w:val="auto"/>
          <w:sz w:val="24"/>
          <w:szCs w:val="24"/>
          <w:highlight w:val="none"/>
        </w:rPr>
      </w:pPr>
      <w:r>
        <w:rPr>
          <w:color w:val="auto"/>
          <w:sz w:val="24"/>
          <w:szCs w:val="24"/>
          <w:highlight w:val="none"/>
        </w:rPr>
        <w:t>21.3在磋商过程中，磋商小组可以根据磋商文件和磋商情况实质性变动采购需求中的技术、服务要求以及合同草案条款。实质性变动的内容，须经采购人代表确认。</w:t>
      </w:r>
    </w:p>
    <w:p>
      <w:pPr>
        <w:snapToGrid w:val="0"/>
        <w:spacing w:line="360" w:lineRule="auto"/>
        <w:ind w:firstLine="480" w:firstLineChars="200"/>
        <w:rPr>
          <w:color w:val="auto"/>
          <w:sz w:val="24"/>
          <w:szCs w:val="24"/>
          <w:highlight w:val="none"/>
        </w:rPr>
      </w:pPr>
      <w:r>
        <w:rPr>
          <w:color w:val="auto"/>
          <w:sz w:val="24"/>
          <w:szCs w:val="24"/>
          <w:highlight w:val="none"/>
        </w:rPr>
        <w:t>21.4磋商文件作出的实质性变动是磋商文件的有效组成部分，磋商小组应当及时同时通知所有参加磋商的供应商。</w:t>
      </w:r>
    </w:p>
    <w:p>
      <w:pPr>
        <w:snapToGrid w:val="0"/>
        <w:spacing w:line="360" w:lineRule="auto"/>
        <w:ind w:firstLine="480" w:firstLineChars="200"/>
        <w:rPr>
          <w:color w:val="auto"/>
          <w:sz w:val="24"/>
          <w:szCs w:val="24"/>
          <w:highlight w:val="none"/>
        </w:rPr>
      </w:pPr>
      <w:r>
        <w:rPr>
          <w:color w:val="auto"/>
          <w:sz w:val="24"/>
          <w:szCs w:val="24"/>
          <w:highlight w:val="none"/>
        </w:rPr>
        <w:t>21.5供应商应当按照磋商文件的变动情况和磋商小组的要求重新提交响应文件，并盖单位公章或电子签章。</w:t>
      </w:r>
    </w:p>
    <w:p>
      <w:pPr>
        <w:snapToGrid w:val="0"/>
        <w:spacing w:line="360" w:lineRule="auto"/>
        <w:ind w:firstLine="480" w:firstLineChars="200"/>
        <w:rPr>
          <w:color w:val="auto"/>
          <w:sz w:val="24"/>
          <w:szCs w:val="24"/>
          <w:highlight w:val="none"/>
        </w:rPr>
      </w:pPr>
      <w:r>
        <w:rPr>
          <w:color w:val="auto"/>
          <w:sz w:val="24"/>
          <w:szCs w:val="24"/>
          <w:highlight w:val="none"/>
        </w:rPr>
        <w:t>21.6磋商小组采用综合评分法对供应商的响应文件进行综合评分。</w:t>
      </w:r>
    </w:p>
    <w:p>
      <w:pPr>
        <w:snapToGrid w:val="0"/>
        <w:spacing w:line="360" w:lineRule="auto"/>
        <w:ind w:firstLine="482" w:firstLineChars="200"/>
        <w:rPr>
          <w:b/>
          <w:color w:val="auto"/>
          <w:sz w:val="24"/>
          <w:szCs w:val="24"/>
          <w:highlight w:val="none"/>
        </w:rPr>
      </w:pPr>
      <w:r>
        <w:rPr>
          <w:b/>
          <w:color w:val="auto"/>
          <w:sz w:val="24"/>
          <w:szCs w:val="24"/>
          <w:highlight w:val="none"/>
        </w:rPr>
        <w:t>22. 最后报价</w:t>
      </w:r>
    </w:p>
    <w:p>
      <w:pPr>
        <w:snapToGrid w:val="0"/>
        <w:spacing w:line="360" w:lineRule="auto"/>
        <w:ind w:firstLine="480" w:firstLineChars="200"/>
        <w:rPr>
          <w:color w:val="auto"/>
          <w:sz w:val="24"/>
          <w:szCs w:val="24"/>
          <w:highlight w:val="none"/>
        </w:rPr>
      </w:pPr>
      <w:r>
        <w:rPr>
          <w:color w:val="auto"/>
          <w:sz w:val="24"/>
          <w:szCs w:val="24"/>
          <w:highlight w:val="none"/>
        </w:rPr>
        <w:t>22.1磋商结束后，磋商小组要求所有实质性响应的供应商在规定时间内提交最</w:t>
      </w:r>
      <w:r>
        <w:rPr>
          <w:rFonts w:hint="eastAsia"/>
          <w:color w:val="auto"/>
          <w:sz w:val="24"/>
          <w:szCs w:val="24"/>
          <w:highlight w:val="none"/>
        </w:rPr>
        <w:t>后</w:t>
      </w:r>
      <w:r>
        <w:rPr>
          <w:color w:val="auto"/>
          <w:sz w:val="24"/>
          <w:szCs w:val="24"/>
          <w:highlight w:val="none"/>
        </w:rPr>
        <w:t>报价。</w:t>
      </w:r>
    </w:p>
    <w:p>
      <w:pPr>
        <w:snapToGrid w:val="0"/>
        <w:spacing w:line="360" w:lineRule="auto"/>
        <w:ind w:firstLine="480" w:firstLineChars="200"/>
        <w:rPr>
          <w:color w:val="auto"/>
          <w:sz w:val="24"/>
          <w:szCs w:val="24"/>
          <w:highlight w:val="none"/>
        </w:rPr>
      </w:pPr>
      <w:r>
        <w:rPr>
          <w:color w:val="auto"/>
          <w:sz w:val="24"/>
          <w:szCs w:val="24"/>
          <w:highlight w:val="none"/>
        </w:rPr>
        <w:t>22.2</w:t>
      </w:r>
      <w:r>
        <w:rPr>
          <w:rFonts w:hint="eastAsia"/>
          <w:color w:val="auto"/>
          <w:sz w:val="24"/>
          <w:szCs w:val="24"/>
          <w:highlight w:val="none"/>
        </w:rPr>
        <w:t>最后报价</w:t>
      </w:r>
      <w:r>
        <w:rPr>
          <w:color w:val="auto"/>
          <w:sz w:val="24"/>
          <w:szCs w:val="24"/>
          <w:highlight w:val="none"/>
        </w:rPr>
        <w:t>是供应商响应文件的有效组成部分。若</w:t>
      </w:r>
      <w:r>
        <w:rPr>
          <w:rFonts w:hint="eastAsia"/>
          <w:color w:val="auto"/>
          <w:sz w:val="24"/>
          <w:szCs w:val="24"/>
          <w:highlight w:val="none"/>
        </w:rPr>
        <w:t>最后报价</w:t>
      </w:r>
      <w:r>
        <w:rPr>
          <w:color w:val="auto"/>
          <w:sz w:val="24"/>
          <w:szCs w:val="24"/>
          <w:highlight w:val="none"/>
        </w:rPr>
        <w:t>与初始报价不一致，且未递交最</w:t>
      </w:r>
      <w:r>
        <w:rPr>
          <w:rFonts w:hint="eastAsia"/>
          <w:color w:val="auto"/>
          <w:sz w:val="24"/>
          <w:szCs w:val="24"/>
          <w:highlight w:val="none"/>
        </w:rPr>
        <w:t>后</w:t>
      </w:r>
      <w:r>
        <w:rPr>
          <w:color w:val="auto"/>
          <w:sz w:val="24"/>
          <w:szCs w:val="24"/>
          <w:highlight w:val="none"/>
        </w:rPr>
        <w:t>分项报价，则分项报价将进行同比例调整。</w:t>
      </w:r>
    </w:p>
    <w:p>
      <w:pPr>
        <w:snapToGrid w:val="0"/>
        <w:spacing w:line="360" w:lineRule="auto"/>
        <w:ind w:firstLine="480" w:firstLineChars="200"/>
        <w:rPr>
          <w:color w:val="auto"/>
          <w:sz w:val="24"/>
          <w:szCs w:val="24"/>
          <w:highlight w:val="none"/>
        </w:rPr>
      </w:pPr>
      <w:r>
        <w:rPr>
          <w:color w:val="auto"/>
          <w:sz w:val="24"/>
          <w:szCs w:val="24"/>
          <w:highlight w:val="none"/>
        </w:rPr>
        <w:t>22.3已提交响应文件的供应商，在提交最后报价之前，若因磋商文件实质性变动导致供应商无法满足采购需求的，允许供应商退出磋商。</w:t>
      </w:r>
    </w:p>
    <w:p>
      <w:pPr>
        <w:snapToGrid w:val="0"/>
        <w:spacing w:line="360" w:lineRule="auto"/>
        <w:ind w:firstLine="480" w:firstLineChars="200"/>
        <w:rPr>
          <w:color w:val="auto"/>
          <w:sz w:val="24"/>
          <w:szCs w:val="24"/>
          <w:highlight w:val="none"/>
        </w:rPr>
      </w:pPr>
      <w:r>
        <w:rPr>
          <w:color w:val="auto"/>
          <w:sz w:val="24"/>
          <w:szCs w:val="24"/>
          <w:highlight w:val="none"/>
        </w:rPr>
        <w:t>22.4所有供应商递交了</w:t>
      </w:r>
      <w:r>
        <w:rPr>
          <w:rFonts w:hint="eastAsia"/>
          <w:color w:val="auto"/>
          <w:sz w:val="24"/>
          <w:szCs w:val="24"/>
          <w:highlight w:val="none"/>
        </w:rPr>
        <w:t>最后报价</w:t>
      </w:r>
      <w:r>
        <w:rPr>
          <w:color w:val="auto"/>
          <w:sz w:val="24"/>
          <w:szCs w:val="24"/>
          <w:highlight w:val="none"/>
        </w:rPr>
        <w:t>后，公布商务资信技术得分。</w:t>
      </w:r>
    </w:p>
    <w:p>
      <w:pPr>
        <w:snapToGrid w:val="0"/>
        <w:spacing w:line="360" w:lineRule="auto"/>
        <w:ind w:firstLine="480" w:firstLineChars="200"/>
        <w:rPr>
          <w:color w:val="auto"/>
          <w:sz w:val="24"/>
          <w:szCs w:val="24"/>
          <w:highlight w:val="none"/>
        </w:rPr>
      </w:pPr>
      <w:r>
        <w:rPr>
          <w:color w:val="auto"/>
          <w:sz w:val="24"/>
          <w:szCs w:val="24"/>
          <w:highlight w:val="none"/>
        </w:rPr>
        <w:t>22.5磋商小组采用综合评分法对供应商的</w:t>
      </w:r>
      <w:r>
        <w:rPr>
          <w:rFonts w:hint="eastAsia"/>
          <w:color w:val="auto"/>
          <w:sz w:val="24"/>
          <w:szCs w:val="24"/>
          <w:highlight w:val="none"/>
        </w:rPr>
        <w:t>最后报价</w:t>
      </w:r>
      <w:r>
        <w:rPr>
          <w:color w:val="auto"/>
          <w:sz w:val="24"/>
          <w:szCs w:val="24"/>
          <w:highlight w:val="none"/>
        </w:rPr>
        <w:t>进行综合评分。</w:t>
      </w:r>
    </w:p>
    <w:p>
      <w:pPr>
        <w:snapToGrid w:val="0"/>
        <w:spacing w:line="360" w:lineRule="auto"/>
        <w:ind w:firstLine="480" w:firstLineChars="200"/>
        <w:rPr>
          <w:color w:val="auto"/>
          <w:sz w:val="24"/>
          <w:szCs w:val="24"/>
          <w:highlight w:val="none"/>
        </w:rPr>
      </w:pPr>
      <w:r>
        <w:rPr>
          <w:color w:val="auto"/>
          <w:sz w:val="24"/>
          <w:szCs w:val="24"/>
          <w:highlight w:val="none"/>
        </w:rPr>
        <w:t>22.6综合评分法，是指响应文件满足磋商文件全部实质性要求且按评审因素的量化指标评审得分最高的供应商为成交候选供应商的评审方法。</w:t>
      </w:r>
    </w:p>
    <w:p>
      <w:pPr>
        <w:snapToGrid w:val="0"/>
        <w:spacing w:line="360" w:lineRule="auto"/>
        <w:ind w:firstLine="482" w:firstLineChars="200"/>
        <w:rPr>
          <w:b/>
          <w:color w:val="auto"/>
          <w:sz w:val="24"/>
          <w:szCs w:val="24"/>
          <w:highlight w:val="none"/>
        </w:rPr>
      </w:pPr>
      <w:r>
        <w:rPr>
          <w:b/>
          <w:color w:val="auto"/>
          <w:sz w:val="24"/>
          <w:szCs w:val="24"/>
          <w:highlight w:val="none"/>
        </w:rPr>
        <w:t>23. 评审因素</w:t>
      </w:r>
    </w:p>
    <w:p>
      <w:pPr>
        <w:snapToGrid w:val="0"/>
        <w:spacing w:line="360" w:lineRule="auto"/>
        <w:ind w:firstLine="480" w:firstLineChars="200"/>
        <w:rPr>
          <w:color w:val="auto"/>
          <w:sz w:val="24"/>
          <w:szCs w:val="24"/>
          <w:highlight w:val="none"/>
        </w:rPr>
      </w:pPr>
      <w:r>
        <w:rPr>
          <w:color w:val="auto"/>
          <w:sz w:val="24"/>
          <w:szCs w:val="24"/>
          <w:highlight w:val="none"/>
        </w:rPr>
        <w:t>23.1 商务资信技术部分</w:t>
      </w:r>
      <w:r>
        <w:rPr>
          <w:rFonts w:hint="eastAsia"/>
          <w:color w:val="auto"/>
          <w:sz w:val="24"/>
          <w:szCs w:val="24"/>
          <w:highlight w:val="none"/>
        </w:rPr>
        <w:t>：</w:t>
      </w:r>
      <w:r>
        <w:rPr>
          <w:rFonts w:hint="eastAsia"/>
          <w:color w:val="auto"/>
          <w:sz w:val="24"/>
          <w:szCs w:val="24"/>
          <w:highlight w:val="none"/>
          <w:lang w:val="en-US" w:eastAsia="zh-CN"/>
        </w:rPr>
        <w:t>9</w:t>
      </w:r>
      <w:r>
        <w:rPr>
          <w:rFonts w:hint="eastAsia"/>
          <w:color w:val="auto"/>
          <w:sz w:val="24"/>
          <w:szCs w:val="24"/>
          <w:highlight w:val="none"/>
        </w:rPr>
        <w:t>0分</w:t>
      </w:r>
    </w:p>
    <w:p>
      <w:pPr>
        <w:snapToGrid w:val="0"/>
        <w:spacing w:line="360" w:lineRule="auto"/>
        <w:ind w:firstLine="480" w:firstLineChars="200"/>
        <w:rPr>
          <w:color w:val="auto"/>
          <w:sz w:val="24"/>
          <w:szCs w:val="24"/>
          <w:highlight w:val="none"/>
        </w:rPr>
      </w:pPr>
      <w:r>
        <w:rPr>
          <w:color w:val="auto"/>
          <w:sz w:val="24"/>
          <w:szCs w:val="24"/>
          <w:highlight w:val="none"/>
        </w:rPr>
        <w:t>磋商小组对各供应商的技术和服务方案、资信业绩</w:t>
      </w:r>
      <w:r>
        <w:rPr>
          <w:rFonts w:hint="eastAsia"/>
          <w:color w:val="auto"/>
          <w:sz w:val="24"/>
          <w:szCs w:val="24"/>
          <w:highlight w:val="none"/>
        </w:rPr>
        <w:t>等内容</w:t>
      </w:r>
      <w:r>
        <w:rPr>
          <w:color w:val="auto"/>
          <w:sz w:val="24"/>
          <w:szCs w:val="24"/>
          <w:highlight w:val="none"/>
        </w:rPr>
        <w:t>进行独自打分并签名。供应商技术部分的得分为磋商小组各成员的有效评分的算术平均值。评审小组成员个人主观打分偏离所有评审小组成员主观打分平均值30%以上的，由评审委员会启动评分畸高、畸低行为认定程序。</w:t>
      </w:r>
    </w:p>
    <w:p>
      <w:pPr>
        <w:snapToGrid w:val="0"/>
        <w:spacing w:line="360" w:lineRule="auto"/>
        <w:ind w:firstLine="480" w:firstLineChars="200"/>
        <w:rPr>
          <w:color w:val="auto"/>
          <w:sz w:val="24"/>
          <w:szCs w:val="24"/>
          <w:highlight w:val="none"/>
        </w:rPr>
      </w:pPr>
    </w:p>
    <w:p>
      <w:pPr>
        <w:snapToGrid w:val="0"/>
        <w:spacing w:line="360" w:lineRule="auto"/>
        <w:ind w:firstLine="480" w:firstLineChars="200"/>
        <w:rPr>
          <w:color w:val="auto"/>
          <w:sz w:val="24"/>
          <w:szCs w:val="24"/>
          <w:highlight w:val="none"/>
        </w:rPr>
      </w:pPr>
    </w:p>
    <w:tbl>
      <w:tblPr>
        <w:tblStyle w:val="3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9"/>
        <w:gridCol w:w="1194"/>
        <w:gridCol w:w="5327"/>
        <w:gridCol w:w="523"/>
        <w:gridCol w:w="8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39" w:type="pct"/>
            <w:noWrap/>
            <w:vAlign w:val="center"/>
          </w:tcPr>
          <w:p>
            <w:pPr>
              <w:snapToGrid w:val="0"/>
              <w:jc w:val="center"/>
              <w:rPr>
                <w:rFonts w:ascii="宋体" w:hAnsi="宋体" w:cs="仿宋_GB2312"/>
                <w:color w:val="auto"/>
                <w:sz w:val="24"/>
                <w:szCs w:val="24"/>
                <w:highlight w:val="none"/>
              </w:rPr>
            </w:pPr>
            <w:r>
              <w:rPr>
                <w:rFonts w:ascii="宋体" w:hAnsi="宋体" w:cs="仿宋_GB2312"/>
                <w:color w:val="auto"/>
                <w:sz w:val="24"/>
                <w:szCs w:val="24"/>
                <w:highlight w:val="none"/>
              </w:rPr>
              <w:t>序号</w:t>
            </w:r>
          </w:p>
        </w:tc>
        <w:tc>
          <w:tcPr>
            <w:tcW w:w="3828" w:type="pct"/>
            <w:gridSpan w:val="2"/>
            <w:noWrap/>
            <w:vAlign w:val="center"/>
          </w:tcPr>
          <w:p>
            <w:pPr>
              <w:snapToGrid w:val="0"/>
              <w:jc w:val="center"/>
              <w:rPr>
                <w:rFonts w:ascii="宋体" w:hAnsi="宋体" w:cs="仿宋_GB2312"/>
                <w:color w:val="auto"/>
                <w:sz w:val="24"/>
                <w:szCs w:val="24"/>
                <w:highlight w:val="none"/>
              </w:rPr>
            </w:pPr>
            <w:r>
              <w:rPr>
                <w:rFonts w:ascii="宋体" w:hAnsi="宋体" w:cs="仿宋_GB2312"/>
                <w:color w:val="auto"/>
                <w:sz w:val="24"/>
                <w:szCs w:val="24"/>
                <w:highlight w:val="none"/>
              </w:rPr>
              <w:t>评标标准</w:t>
            </w:r>
          </w:p>
        </w:tc>
        <w:tc>
          <w:tcPr>
            <w:tcW w:w="307" w:type="pct"/>
            <w:noWrap/>
            <w:vAlign w:val="center"/>
          </w:tcPr>
          <w:p>
            <w:pPr>
              <w:snapToGrid w:val="0"/>
              <w:jc w:val="center"/>
              <w:rPr>
                <w:rFonts w:ascii="宋体" w:hAnsi="宋体" w:cs="仿宋_GB2312"/>
                <w:color w:val="auto"/>
                <w:sz w:val="24"/>
                <w:szCs w:val="24"/>
                <w:highlight w:val="none"/>
              </w:rPr>
            </w:pPr>
            <w:r>
              <w:rPr>
                <w:rFonts w:ascii="宋体" w:hAnsi="宋体" w:cs="仿宋_GB2312"/>
                <w:color w:val="auto"/>
                <w:sz w:val="24"/>
                <w:szCs w:val="24"/>
                <w:highlight w:val="none"/>
              </w:rPr>
              <w:t>权重</w:t>
            </w:r>
          </w:p>
        </w:tc>
        <w:tc>
          <w:tcPr>
            <w:tcW w:w="524" w:type="pct"/>
            <w:noWrap/>
            <w:vAlign w:val="center"/>
          </w:tcPr>
          <w:p>
            <w:pPr>
              <w:snapToGrid w:val="0"/>
              <w:jc w:val="center"/>
              <w:rPr>
                <w:rFonts w:ascii="宋体" w:hAnsi="宋体" w:cs="仿宋_GB2312"/>
                <w:bCs/>
                <w:color w:val="auto"/>
                <w:sz w:val="24"/>
                <w:szCs w:val="24"/>
                <w:highlight w:val="none"/>
              </w:rPr>
            </w:pPr>
            <w:r>
              <w:rPr>
                <w:rFonts w:ascii="宋体" w:hAnsi="宋体" w:cs="仿宋_GB2312"/>
                <w:bCs/>
                <w:color w:val="auto"/>
                <w:sz w:val="24"/>
                <w:szCs w:val="24"/>
                <w:highlight w:val="none"/>
              </w:rPr>
              <w:t>主观分/客观分属性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2" w:hRule="atLeast"/>
        </w:trPr>
        <w:tc>
          <w:tcPr>
            <w:tcW w:w="339" w:type="pct"/>
            <w:noWrap/>
            <w:vAlign w:val="center"/>
          </w:tcPr>
          <w:p>
            <w:pPr>
              <w:snapToGrid w:val="0"/>
              <w:jc w:val="center"/>
              <w:rPr>
                <w:rFonts w:hint="eastAsia" w:ascii="宋体" w:hAnsi="宋体" w:eastAsia="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1</w:t>
            </w:r>
          </w:p>
        </w:tc>
        <w:tc>
          <w:tcPr>
            <w:tcW w:w="701" w:type="pct"/>
            <w:noWrap/>
            <w:vAlign w:val="center"/>
          </w:tcPr>
          <w:p>
            <w:pPr>
              <w:snapToGrid w:val="0"/>
              <w:jc w:val="center"/>
              <w:rPr>
                <w:rFonts w:hint="default" w:ascii="宋体" w:hAnsi="宋体" w:eastAsia="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供应商业绩</w:t>
            </w:r>
          </w:p>
        </w:tc>
        <w:tc>
          <w:tcPr>
            <w:tcW w:w="3127" w:type="pct"/>
            <w:noWrap/>
            <w:vAlign w:val="center"/>
          </w:tcPr>
          <w:p>
            <w:pPr>
              <w:snapToGrid w:val="0"/>
              <w:jc w:val="both"/>
              <w:rPr>
                <w:rFonts w:ascii="宋体" w:hAnsi="宋体" w:cs="仿宋_GB2312"/>
                <w:color w:val="auto"/>
                <w:sz w:val="21"/>
                <w:szCs w:val="21"/>
                <w:highlight w:val="none"/>
              </w:rPr>
            </w:pPr>
            <w:r>
              <w:rPr>
                <w:rFonts w:hint="eastAsia" w:ascii="宋体" w:hAnsi="宋体" w:cs="仿宋_GB2312"/>
                <w:color w:val="auto"/>
                <w:sz w:val="21"/>
                <w:szCs w:val="21"/>
                <w:highlight w:val="none"/>
                <w:lang w:val="en-US" w:eastAsia="zh-CN"/>
              </w:rPr>
              <w:t>供应商提供2020年1月1日以来具有承担过本项目类似设计项目业绩的每有一个得0.5分，本项最高得1分。注：以上业绩须为2020年1月1日至今（以合同签订时间为准）签订的项目合同，提供合同扫描件。</w:t>
            </w:r>
          </w:p>
        </w:tc>
        <w:tc>
          <w:tcPr>
            <w:tcW w:w="307" w:type="pct"/>
            <w:noWrap/>
            <w:vAlign w:val="center"/>
          </w:tcPr>
          <w:p>
            <w:pPr>
              <w:snapToGrid w:val="0"/>
              <w:jc w:val="center"/>
              <w:rPr>
                <w:rFonts w:hint="eastAsia" w:ascii="宋体" w:hAnsi="宋体" w:eastAsia="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1</w:t>
            </w:r>
          </w:p>
        </w:tc>
        <w:tc>
          <w:tcPr>
            <w:tcW w:w="524" w:type="pct"/>
            <w:noWrap/>
            <w:vAlign w:val="center"/>
          </w:tcPr>
          <w:p>
            <w:pPr>
              <w:snapToGrid w:val="0"/>
              <w:jc w:val="center"/>
              <w:rPr>
                <w:rFonts w:hint="eastAsia" w:ascii="宋体" w:hAnsi="宋体" w:eastAsia="宋体" w:cs="仿宋_GB2312"/>
                <w:bCs/>
                <w:color w:val="auto"/>
                <w:sz w:val="21"/>
                <w:szCs w:val="21"/>
                <w:highlight w:val="none"/>
                <w:lang w:val="en-US" w:eastAsia="zh-CN"/>
              </w:rPr>
            </w:pPr>
            <w:r>
              <w:rPr>
                <w:rFonts w:hint="eastAsia" w:ascii="宋体" w:hAnsi="宋体" w:cs="仿宋_GB2312"/>
                <w:bCs/>
                <w:color w:val="auto"/>
                <w:sz w:val="21"/>
                <w:szCs w:val="21"/>
                <w:highlight w:val="none"/>
                <w:lang w:val="en-US" w:eastAsia="zh-CN"/>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4" w:hRule="atLeast"/>
        </w:trPr>
        <w:tc>
          <w:tcPr>
            <w:tcW w:w="339" w:type="pct"/>
            <w:noWrap/>
            <w:vAlign w:val="center"/>
          </w:tcPr>
          <w:p>
            <w:pPr>
              <w:snapToGrid w:val="0"/>
              <w:jc w:val="center"/>
              <w:rPr>
                <w:rFonts w:hint="default" w:ascii="宋体" w:hAnsi="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2</w:t>
            </w:r>
          </w:p>
        </w:tc>
        <w:tc>
          <w:tcPr>
            <w:tcW w:w="701" w:type="pct"/>
            <w:noWrap/>
            <w:vAlign w:val="center"/>
          </w:tcPr>
          <w:p>
            <w:pPr>
              <w:snapToGrid w:val="0"/>
              <w:jc w:val="center"/>
              <w:rPr>
                <w:rFonts w:hint="default" w:ascii="宋体" w:hAnsi="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资信情况</w:t>
            </w:r>
          </w:p>
        </w:tc>
        <w:tc>
          <w:tcPr>
            <w:tcW w:w="3127" w:type="pct"/>
            <w:noWrap/>
            <w:vAlign w:val="center"/>
          </w:tcPr>
          <w:p>
            <w:pPr>
              <w:snapToGrid w:val="0"/>
              <w:jc w:val="both"/>
              <w:rPr>
                <w:rFonts w:hint="eastAsia" w:ascii="宋体" w:hAnsi="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供应商具有有效的质量管理体系认证证书、环境管理体系认证证书、职业健康安全管理体系认证，每个得1分，本项最高得3分。（提供有效期内证书扫描件，且该证书在国家认证认可业务信息统一查询平台（http://cx.cnca.cn/）上证书状态为“有效”，否则不予认可）</w:t>
            </w:r>
          </w:p>
        </w:tc>
        <w:tc>
          <w:tcPr>
            <w:tcW w:w="307" w:type="pct"/>
            <w:noWrap/>
            <w:vAlign w:val="center"/>
          </w:tcPr>
          <w:p>
            <w:pPr>
              <w:snapToGrid w:val="0"/>
              <w:jc w:val="center"/>
              <w:rPr>
                <w:rFonts w:hint="default" w:ascii="宋体" w:hAnsi="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3</w:t>
            </w:r>
          </w:p>
        </w:tc>
        <w:tc>
          <w:tcPr>
            <w:tcW w:w="524" w:type="pct"/>
            <w:noWrap/>
            <w:vAlign w:val="center"/>
          </w:tcPr>
          <w:p>
            <w:pPr>
              <w:snapToGrid w:val="0"/>
              <w:jc w:val="center"/>
              <w:rPr>
                <w:rFonts w:hint="default" w:ascii="宋体" w:hAnsi="宋体" w:cs="仿宋_GB2312"/>
                <w:bCs/>
                <w:color w:val="auto"/>
                <w:sz w:val="21"/>
                <w:szCs w:val="21"/>
                <w:highlight w:val="none"/>
                <w:lang w:val="en-US" w:eastAsia="zh-CN"/>
              </w:rPr>
            </w:pPr>
            <w:r>
              <w:rPr>
                <w:rFonts w:hint="eastAsia" w:ascii="宋体" w:hAnsi="宋体" w:cs="仿宋_GB2312"/>
                <w:bCs/>
                <w:color w:val="auto"/>
                <w:sz w:val="21"/>
                <w:szCs w:val="21"/>
                <w:highlight w:val="none"/>
                <w:lang w:val="en-US" w:eastAsia="zh-CN"/>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9" w:hRule="atLeast"/>
        </w:trPr>
        <w:tc>
          <w:tcPr>
            <w:tcW w:w="339" w:type="pct"/>
            <w:vMerge w:val="restart"/>
            <w:noWrap/>
            <w:vAlign w:val="center"/>
          </w:tcPr>
          <w:p>
            <w:pPr>
              <w:snapToGrid w:val="0"/>
              <w:jc w:val="center"/>
              <w:rPr>
                <w:rFonts w:hint="default" w:ascii="宋体" w:hAnsi="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3</w:t>
            </w:r>
          </w:p>
        </w:tc>
        <w:tc>
          <w:tcPr>
            <w:tcW w:w="701" w:type="pct"/>
            <w:vMerge w:val="restart"/>
            <w:noWrap/>
            <w:vAlign w:val="center"/>
          </w:tcPr>
          <w:p>
            <w:pPr>
              <w:snapToGrid w:val="0"/>
              <w:jc w:val="center"/>
              <w:rPr>
                <w:rFonts w:hint="default" w:ascii="宋体" w:hAnsi="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项目团队</w:t>
            </w:r>
          </w:p>
        </w:tc>
        <w:tc>
          <w:tcPr>
            <w:tcW w:w="3127" w:type="pct"/>
            <w:noWrap/>
            <w:vAlign w:val="center"/>
          </w:tcPr>
          <w:p>
            <w:pPr>
              <w:snapToGrid w:val="0"/>
              <w:jc w:val="both"/>
              <w:rPr>
                <w:rFonts w:hint="default" w:ascii="宋体" w:hAnsi="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项目负责人具有具有高级职称及以上的得2分。（证明材料：相应职称证书复印件、近三个月来任意时间的社保证明材料）</w:t>
            </w:r>
          </w:p>
        </w:tc>
        <w:tc>
          <w:tcPr>
            <w:tcW w:w="307" w:type="pct"/>
            <w:noWrap/>
            <w:vAlign w:val="center"/>
          </w:tcPr>
          <w:p>
            <w:pPr>
              <w:snapToGrid w:val="0"/>
              <w:jc w:val="center"/>
              <w:rPr>
                <w:rFonts w:hint="default" w:ascii="宋体" w:hAnsi="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2</w:t>
            </w:r>
          </w:p>
        </w:tc>
        <w:tc>
          <w:tcPr>
            <w:tcW w:w="524" w:type="pct"/>
            <w:noWrap/>
            <w:vAlign w:val="center"/>
          </w:tcPr>
          <w:p>
            <w:pPr>
              <w:snapToGrid w:val="0"/>
              <w:jc w:val="center"/>
              <w:rPr>
                <w:rFonts w:hint="default" w:ascii="宋体" w:hAnsi="宋体" w:cs="仿宋_GB2312"/>
                <w:bCs/>
                <w:color w:val="auto"/>
                <w:sz w:val="21"/>
                <w:szCs w:val="21"/>
                <w:highlight w:val="none"/>
                <w:lang w:val="en-US" w:eastAsia="zh-CN"/>
              </w:rPr>
            </w:pPr>
            <w:r>
              <w:rPr>
                <w:rFonts w:hint="eastAsia" w:ascii="宋体" w:hAnsi="宋体" w:cs="仿宋_GB2312"/>
                <w:bCs/>
                <w:color w:val="auto"/>
                <w:sz w:val="21"/>
                <w:szCs w:val="21"/>
                <w:highlight w:val="none"/>
                <w:lang w:val="en-US" w:eastAsia="zh-CN"/>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7" w:hRule="atLeast"/>
        </w:trPr>
        <w:tc>
          <w:tcPr>
            <w:tcW w:w="339" w:type="pct"/>
            <w:vMerge w:val="continue"/>
            <w:noWrap/>
            <w:vAlign w:val="center"/>
          </w:tcPr>
          <w:p>
            <w:pPr>
              <w:snapToGrid w:val="0"/>
              <w:jc w:val="center"/>
              <w:rPr>
                <w:rFonts w:hint="eastAsia" w:ascii="宋体" w:hAnsi="宋体" w:cs="仿宋_GB2312"/>
                <w:color w:val="auto"/>
                <w:sz w:val="21"/>
                <w:szCs w:val="21"/>
                <w:highlight w:val="none"/>
                <w:lang w:val="en-US" w:eastAsia="zh-CN"/>
              </w:rPr>
            </w:pPr>
          </w:p>
        </w:tc>
        <w:tc>
          <w:tcPr>
            <w:tcW w:w="701" w:type="pct"/>
            <w:vMerge w:val="continue"/>
            <w:noWrap/>
            <w:vAlign w:val="center"/>
          </w:tcPr>
          <w:p>
            <w:pPr>
              <w:snapToGrid w:val="0"/>
              <w:jc w:val="center"/>
              <w:rPr>
                <w:rFonts w:hint="eastAsia" w:ascii="宋体" w:hAnsi="宋体" w:cs="仿宋_GB2312"/>
                <w:color w:val="auto"/>
                <w:sz w:val="21"/>
                <w:szCs w:val="21"/>
                <w:highlight w:val="none"/>
                <w:lang w:val="en-US" w:eastAsia="zh-CN"/>
              </w:rPr>
            </w:pPr>
          </w:p>
        </w:tc>
        <w:tc>
          <w:tcPr>
            <w:tcW w:w="3127" w:type="pct"/>
            <w:noWrap/>
            <w:vAlign w:val="center"/>
          </w:tcPr>
          <w:p>
            <w:pPr>
              <w:snapToGrid w:val="0"/>
              <w:jc w:val="both"/>
              <w:rPr>
                <w:rFonts w:hint="default" w:ascii="宋体" w:hAnsi="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项目负责人以项目负责人身份承担过本项目类似设计项目业绩的每有一个得1分。以上业绩须为2020年1月1日至今（以合同签订时间为准）签订的项目合同，提供合同扫描件。如合同中无法体现项目负责人的请另行提供材料证明佐证。</w:t>
            </w:r>
          </w:p>
        </w:tc>
        <w:tc>
          <w:tcPr>
            <w:tcW w:w="307" w:type="pct"/>
            <w:noWrap/>
            <w:vAlign w:val="center"/>
          </w:tcPr>
          <w:p>
            <w:pPr>
              <w:snapToGrid w:val="0"/>
              <w:jc w:val="center"/>
              <w:rPr>
                <w:rFonts w:hint="default" w:ascii="宋体" w:hAnsi="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1</w:t>
            </w:r>
          </w:p>
        </w:tc>
        <w:tc>
          <w:tcPr>
            <w:tcW w:w="524" w:type="pct"/>
            <w:noWrap/>
            <w:vAlign w:val="center"/>
          </w:tcPr>
          <w:p>
            <w:pPr>
              <w:snapToGrid w:val="0"/>
              <w:jc w:val="center"/>
              <w:rPr>
                <w:rFonts w:hint="default" w:ascii="宋体" w:hAnsi="宋体" w:cs="仿宋_GB2312"/>
                <w:bCs/>
                <w:color w:val="auto"/>
                <w:sz w:val="21"/>
                <w:szCs w:val="21"/>
                <w:highlight w:val="none"/>
                <w:lang w:val="en-US" w:eastAsia="zh-CN"/>
              </w:rPr>
            </w:pPr>
            <w:r>
              <w:rPr>
                <w:rFonts w:hint="eastAsia" w:ascii="宋体" w:hAnsi="宋体" w:cs="仿宋_GB2312"/>
                <w:bCs/>
                <w:color w:val="auto"/>
                <w:sz w:val="21"/>
                <w:szCs w:val="21"/>
                <w:highlight w:val="none"/>
                <w:lang w:val="en-US" w:eastAsia="zh-CN"/>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8" w:hRule="atLeast"/>
        </w:trPr>
        <w:tc>
          <w:tcPr>
            <w:tcW w:w="339" w:type="pct"/>
            <w:vMerge w:val="continue"/>
            <w:noWrap/>
            <w:vAlign w:val="center"/>
          </w:tcPr>
          <w:p>
            <w:pPr>
              <w:snapToGrid w:val="0"/>
              <w:jc w:val="center"/>
              <w:rPr>
                <w:rFonts w:hint="eastAsia" w:ascii="宋体" w:hAnsi="宋体" w:cs="仿宋_GB2312"/>
                <w:color w:val="auto"/>
                <w:sz w:val="21"/>
                <w:szCs w:val="21"/>
                <w:highlight w:val="none"/>
                <w:lang w:val="en-US" w:eastAsia="zh-CN"/>
              </w:rPr>
            </w:pPr>
          </w:p>
        </w:tc>
        <w:tc>
          <w:tcPr>
            <w:tcW w:w="701" w:type="pct"/>
            <w:vMerge w:val="continue"/>
            <w:noWrap/>
            <w:vAlign w:val="center"/>
          </w:tcPr>
          <w:p>
            <w:pPr>
              <w:snapToGrid w:val="0"/>
              <w:jc w:val="center"/>
              <w:rPr>
                <w:rFonts w:hint="eastAsia" w:ascii="宋体" w:hAnsi="宋体" w:cs="仿宋_GB2312"/>
                <w:color w:val="auto"/>
                <w:sz w:val="21"/>
                <w:szCs w:val="21"/>
                <w:highlight w:val="none"/>
                <w:lang w:val="en-US" w:eastAsia="zh-CN"/>
              </w:rPr>
            </w:pPr>
          </w:p>
        </w:tc>
        <w:tc>
          <w:tcPr>
            <w:tcW w:w="3127" w:type="pct"/>
            <w:noWrap/>
            <w:vAlign w:val="center"/>
          </w:tcPr>
          <w:p>
            <w:pPr>
              <w:snapToGrid w:val="0"/>
              <w:jc w:val="both"/>
              <w:rPr>
                <w:rFonts w:hint="default" w:ascii="宋体" w:hAnsi="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供应商拟派其他项目团队成员（含智能化、装饰、电气、给排水、暖通），具有以上专业中级及以上职称的每个得1分，最高得5分。以上人员不可兼任，一人持一证，多人同一专业不累计加分，同一人不同专业不累计加分（证明材料：相应职称证书复印件、近三个月来任意时间的社保证明材料）</w:t>
            </w:r>
          </w:p>
        </w:tc>
        <w:tc>
          <w:tcPr>
            <w:tcW w:w="307" w:type="pct"/>
            <w:noWrap/>
            <w:vAlign w:val="center"/>
          </w:tcPr>
          <w:p>
            <w:pPr>
              <w:snapToGrid w:val="0"/>
              <w:jc w:val="center"/>
              <w:rPr>
                <w:rFonts w:hint="default" w:ascii="宋体" w:hAnsi="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5</w:t>
            </w:r>
          </w:p>
        </w:tc>
        <w:tc>
          <w:tcPr>
            <w:tcW w:w="524" w:type="pct"/>
            <w:noWrap/>
            <w:vAlign w:val="center"/>
          </w:tcPr>
          <w:p>
            <w:pPr>
              <w:snapToGrid w:val="0"/>
              <w:jc w:val="center"/>
              <w:rPr>
                <w:rFonts w:hint="default" w:ascii="宋体" w:hAnsi="宋体" w:cs="仿宋_GB2312"/>
                <w:bCs/>
                <w:color w:val="auto"/>
                <w:sz w:val="21"/>
                <w:szCs w:val="21"/>
                <w:highlight w:val="none"/>
                <w:lang w:val="en-US" w:eastAsia="zh-CN"/>
              </w:rPr>
            </w:pPr>
            <w:r>
              <w:rPr>
                <w:rFonts w:hint="eastAsia" w:ascii="宋体" w:hAnsi="宋体" w:cs="仿宋_GB2312"/>
                <w:bCs/>
                <w:color w:val="auto"/>
                <w:sz w:val="21"/>
                <w:szCs w:val="21"/>
                <w:highlight w:val="none"/>
                <w:lang w:val="en-US" w:eastAsia="zh-CN"/>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7" w:hRule="atLeast"/>
        </w:trPr>
        <w:tc>
          <w:tcPr>
            <w:tcW w:w="339" w:type="pct"/>
            <w:vMerge w:val="restart"/>
            <w:noWrap/>
            <w:vAlign w:val="center"/>
          </w:tcPr>
          <w:p>
            <w:pPr>
              <w:snapToGrid w:val="0"/>
              <w:jc w:val="center"/>
              <w:rPr>
                <w:rFonts w:hint="default" w:ascii="宋体" w:hAnsi="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4</w:t>
            </w:r>
          </w:p>
        </w:tc>
        <w:tc>
          <w:tcPr>
            <w:tcW w:w="701" w:type="pct"/>
            <w:vMerge w:val="restart"/>
            <w:noWrap/>
            <w:vAlign w:val="center"/>
          </w:tcPr>
          <w:p>
            <w:pPr>
              <w:snapToGrid w:val="0"/>
              <w:jc w:val="center"/>
              <w:rPr>
                <w:rFonts w:hint="default" w:ascii="宋体" w:hAnsi="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设计方案</w:t>
            </w:r>
          </w:p>
        </w:tc>
        <w:tc>
          <w:tcPr>
            <w:tcW w:w="3127" w:type="pct"/>
            <w:noWrap/>
            <w:vAlign w:val="center"/>
          </w:tcPr>
          <w:p>
            <w:pPr>
              <w:bidi w:val="0"/>
              <w:rPr>
                <w:color w:val="auto"/>
                <w:highlight w:val="none"/>
              </w:rPr>
            </w:pPr>
            <w:r>
              <w:rPr>
                <w:color w:val="auto"/>
                <w:highlight w:val="none"/>
              </w:rPr>
              <w:t>对本项目背景、现状的理解与分析以及针对本项目对采购人实际情况需求的把握。</w:t>
            </w:r>
          </w:p>
          <w:p>
            <w:pPr>
              <w:bidi w:val="0"/>
              <w:rPr>
                <w:color w:val="auto"/>
                <w:highlight w:val="none"/>
              </w:rPr>
            </w:pPr>
            <w:r>
              <w:rPr>
                <w:color w:val="auto"/>
                <w:highlight w:val="none"/>
              </w:rPr>
              <w:t>能够贴合项目实际情况，切合实际、合理可行、全面详细的得3分；</w:t>
            </w:r>
          </w:p>
          <w:p>
            <w:pPr>
              <w:bidi w:val="0"/>
              <w:rPr>
                <w:color w:val="auto"/>
                <w:highlight w:val="none"/>
              </w:rPr>
            </w:pPr>
            <w:r>
              <w:rPr>
                <w:color w:val="auto"/>
                <w:highlight w:val="none"/>
              </w:rPr>
              <w:t>基本符合实际、可行详细的得2分；</w:t>
            </w:r>
          </w:p>
          <w:p>
            <w:pPr>
              <w:bidi w:val="0"/>
              <w:rPr>
                <w:color w:val="auto"/>
                <w:highlight w:val="none"/>
              </w:rPr>
            </w:pPr>
            <w:r>
              <w:rPr>
                <w:color w:val="auto"/>
                <w:highlight w:val="none"/>
              </w:rPr>
              <w:t>思路不切实际、可行性较差的得1分；</w:t>
            </w:r>
          </w:p>
          <w:p>
            <w:pPr>
              <w:bidi w:val="0"/>
              <w:rPr>
                <w:rFonts w:hint="eastAsia" w:ascii="宋体" w:hAnsi="宋体" w:cs="仿宋_GB2312"/>
                <w:color w:val="auto"/>
                <w:szCs w:val="21"/>
                <w:highlight w:val="none"/>
                <w:lang w:val="en-US" w:eastAsia="zh-CN"/>
              </w:rPr>
            </w:pPr>
            <w:r>
              <w:rPr>
                <w:color w:val="auto"/>
                <w:highlight w:val="none"/>
              </w:rPr>
              <w:t>未提供不得分。</w:t>
            </w:r>
          </w:p>
        </w:tc>
        <w:tc>
          <w:tcPr>
            <w:tcW w:w="307" w:type="pct"/>
            <w:noWrap/>
            <w:vAlign w:val="center"/>
          </w:tcPr>
          <w:p>
            <w:pPr>
              <w:snapToGrid w:val="0"/>
              <w:jc w:val="center"/>
              <w:rPr>
                <w:rFonts w:hint="default" w:ascii="宋体" w:hAnsi="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3</w:t>
            </w:r>
          </w:p>
        </w:tc>
        <w:tc>
          <w:tcPr>
            <w:tcW w:w="524" w:type="pct"/>
            <w:noWrap/>
            <w:vAlign w:val="center"/>
          </w:tcPr>
          <w:p>
            <w:pPr>
              <w:snapToGrid w:val="0"/>
              <w:jc w:val="center"/>
              <w:rPr>
                <w:rFonts w:hint="default" w:ascii="宋体" w:hAnsi="宋体" w:cs="仿宋_GB2312"/>
                <w:bCs/>
                <w:color w:val="auto"/>
                <w:sz w:val="21"/>
                <w:szCs w:val="21"/>
                <w:highlight w:val="none"/>
                <w:lang w:val="en-US" w:eastAsia="zh-CN"/>
              </w:rPr>
            </w:pPr>
            <w:r>
              <w:rPr>
                <w:rFonts w:hint="eastAsia" w:ascii="宋体" w:hAnsi="宋体" w:cs="仿宋_GB2312"/>
                <w:bCs/>
                <w:color w:val="auto"/>
                <w:sz w:val="21"/>
                <w:szCs w:val="21"/>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7" w:hRule="atLeast"/>
        </w:trPr>
        <w:tc>
          <w:tcPr>
            <w:tcW w:w="339" w:type="pct"/>
            <w:vMerge w:val="continue"/>
            <w:noWrap/>
            <w:vAlign w:val="center"/>
          </w:tcPr>
          <w:p>
            <w:pPr>
              <w:snapToGrid w:val="0"/>
              <w:jc w:val="center"/>
              <w:rPr>
                <w:rFonts w:hint="eastAsia" w:ascii="宋体" w:hAnsi="宋体" w:cs="仿宋_GB2312"/>
                <w:color w:val="auto"/>
                <w:sz w:val="21"/>
                <w:szCs w:val="21"/>
                <w:highlight w:val="none"/>
                <w:lang w:val="en-US" w:eastAsia="zh-CN"/>
              </w:rPr>
            </w:pPr>
          </w:p>
        </w:tc>
        <w:tc>
          <w:tcPr>
            <w:tcW w:w="701" w:type="pct"/>
            <w:vMerge w:val="continue"/>
            <w:noWrap/>
            <w:vAlign w:val="center"/>
          </w:tcPr>
          <w:p>
            <w:pPr>
              <w:snapToGrid w:val="0"/>
              <w:jc w:val="center"/>
              <w:rPr>
                <w:rFonts w:hint="eastAsia" w:ascii="宋体" w:hAnsi="宋体" w:cs="仿宋_GB2312"/>
                <w:color w:val="auto"/>
                <w:sz w:val="21"/>
                <w:szCs w:val="21"/>
                <w:highlight w:val="none"/>
                <w:lang w:val="en-US" w:eastAsia="zh-CN"/>
              </w:rPr>
            </w:pPr>
          </w:p>
        </w:tc>
        <w:tc>
          <w:tcPr>
            <w:tcW w:w="3127" w:type="pct"/>
            <w:noWrap/>
            <w:vAlign w:val="center"/>
          </w:tcPr>
          <w:p>
            <w:pPr>
              <w:bidi w:val="0"/>
              <w:rPr>
                <w:rFonts w:hint="eastAsia"/>
                <w:color w:val="auto"/>
                <w:highlight w:val="none"/>
                <w:lang w:val="en-US" w:eastAsia="zh-CN"/>
              </w:rPr>
            </w:pPr>
            <w:r>
              <w:rPr>
                <w:rFonts w:hint="eastAsia"/>
                <w:color w:val="auto"/>
                <w:highlight w:val="none"/>
                <w:lang w:val="en-US" w:eastAsia="zh-CN"/>
              </w:rPr>
              <w:t>设计说明：提供的设计总说明、各专业设计说明的全面性、规范性综合评审。</w:t>
            </w:r>
          </w:p>
          <w:p>
            <w:pPr>
              <w:bidi w:val="0"/>
              <w:rPr>
                <w:rFonts w:hint="eastAsia"/>
                <w:color w:val="auto"/>
                <w:highlight w:val="none"/>
                <w:lang w:val="en-US" w:eastAsia="zh-CN"/>
              </w:rPr>
            </w:pPr>
            <w:r>
              <w:rPr>
                <w:rFonts w:hint="eastAsia"/>
                <w:color w:val="auto"/>
                <w:highlight w:val="none"/>
                <w:lang w:val="en-US" w:eastAsia="zh-CN"/>
              </w:rPr>
              <w:t>设计说明规范、科学合理得5分；</w:t>
            </w:r>
          </w:p>
          <w:p>
            <w:pPr>
              <w:bidi w:val="0"/>
              <w:rPr>
                <w:rFonts w:hint="eastAsia"/>
                <w:color w:val="auto"/>
                <w:highlight w:val="none"/>
                <w:lang w:val="en-US" w:eastAsia="zh-CN"/>
              </w:rPr>
            </w:pPr>
            <w:r>
              <w:rPr>
                <w:rFonts w:hint="eastAsia"/>
                <w:color w:val="auto"/>
                <w:highlight w:val="none"/>
                <w:lang w:val="en-US" w:eastAsia="zh-CN"/>
              </w:rPr>
              <w:t>设计说明较规范、较科学合理的得4分；</w:t>
            </w:r>
          </w:p>
          <w:p>
            <w:pPr>
              <w:bidi w:val="0"/>
              <w:rPr>
                <w:rFonts w:hint="eastAsia"/>
                <w:color w:val="auto"/>
                <w:highlight w:val="none"/>
                <w:lang w:val="en-US" w:eastAsia="zh-CN"/>
              </w:rPr>
            </w:pPr>
            <w:r>
              <w:rPr>
                <w:rFonts w:hint="eastAsia"/>
                <w:color w:val="auto"/>
                <w:highlight w:val="none"/>
                <w:lang w:val="en-US" w:eastAsia="zh-CN"/>
              </w:rPr>
              <w:t>设计说明合理的得3分；</w:t>
            </w:r>
          </w:p>
          <w:p>
            <w:pPr>
              <w:bidi w:val="0"/>
              <w:rPr>
                <w:rFonts w:hint="eastAsia"/>
                <w:color w:val="auto"/>
                <w:highlight w:val="none"/>
                <w:lang w:val="en-US" w:eastAsia="zh-CN"/>
              </w:rPr>
            </w:pPr>
            <w:r>
              <w:rPr>
                <w:rFonts w:hint="eastAsia"/>
                <w:color w:val="auto"/>
                <w:highlight w:val="none"/>
                <w:lang w:val="en-US" w:eastAsia="zh-CN"/>
              </w:rPr>
              <w:t>设计说明基本合理得2分；</w:t>
            </w:r>
          </w:p>
          <w:p>
            <w:pPr>
              <w:bidi w:val="0"/>
              <w:rPr>
                <w:color w:val="auto"/>
                <w:highlight w:val="none"/>
              </w:rPr>
            </w:pPr>
            <w:r>
              <w:rPr>
                <w:rFonts w:hint="eastAsia"/>
                <w:color w:val="auto"/>
                <w:highlight w:val="none"/>
                <w:lang w:val="en-US" w:eastAsia="zh-CN"/>
              </w:rPr>
              <w:t>设计说明一般得1分。</w:t>
            </w:r>
          </w:p>
        </w:tc>
        <w:tc>
          <w:tcPr>
            <w:tcW w:w="307" w:type="pct"/>
            <w:noWrap/>
            <w:vAlign w:val="center"/>
          </w:tcPr>
          <w:p>
            <w:pPr>
              <w:snapToGrid w:val="0"/>
              <w:jc w:val="center"/>
              <w:rPr>
                <w:rFonts w:hint="default" w:ascii="宋体" w:hAnsi="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5</w:t>
            </w:r>
          </w:p>
        </w:tc>
        <w:tc>
          <w:tcPr>
            <w:tcW w:w="524" w:type="pct"/>
            <w:noWrap/>
            <w:vAlign w:val="center"/>
          </w:tcPr>
          <w:p>
            <w:pPr>
              <w:snapToGrid w:val="0"/>
              <w:jc w:val="center"/>
              <w:rPr>
                <w:rFonts w:hint="default" w:ascii="宋体" w:hAnsi="宋体" w:cs="仿宋_GB2312"/>
                <w:bCs/>
                <w:color w:val="auto"/>
                <w:sz w:val="21"/>
                <w:szCs w:val="21"/>
                <w:highlight w:val="none"/>
                <w:lang w:val="en-US" w:eastAsia="zh-CN"/>
              </w:rPr>
            </w:pPr>
            <w:r>
              <w:rPr>
                <w:rFonts w:hint="eastAsia" w:ascii="宋体" w:hAnsi="宋体" w:cs="仿宋_GB2312"/>
                <w:bCs/>
                <w:color w:val="auto"/>
                <w:sz w:val="21"/>
                <w:szCs w:val="21"/>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7" w:hRule="atLeast"/>
        </w:trPr>
        <w:tc>
          <w:tcPr>
            <w:tcW w:w="339" w:type="pct"/>
            <w:vMerge w:val="continue"/>
            <w:noWrap/>
            <w:vAlign w:val="center"/>
          </w:tcPr>
          <w:p>
            <w:pPr>
              <w:snapToGrid w:val="0"/>
              <w:jc w:val="center"/>
              <w:rPr>
                <w:rFonts w:hint="eastAsia" w:ascii="宋体" w:hAnsi="宋体" w:cs="仿宋_GB2312"/>
                <w:color w:val="auto"/>
                <w:sz w:val="21"/>
                <w:szCs w:val="21"/>
                <w:highlight w:val="none"/>
                <w:lang w:val="en-US" w:eastAsia="zh-CN"/>
              </w:rPr>
            </w:pPr>
          </w:p>
        </w:tc>
        <w:tc>
          <w:tcPr>
            <w:tcW w:w="701" w:type="pct"/>
            <w:vMerge w:val="continue"/>
            <w:noWrap/>
            <w:vAlign w:val="center"/>
          </w:tcPr>
          <w:p>
            <w:pPr>
              <w:snapToGrid w:val="0"/>
              <w:jc w:val="center"/>
              <w:rPr>
                <w:rFonts w:hint="eastAsia" w:ascii="宋体" w:hAnsi="宋体" w:cs="仿宋_GB2312"/>
                <w:color w:val="auto"/>
                <w:sz w:val="21"/>
                <w:szCs w:val="21"/>
                <w:highlight w:val="none"/>
                <w:lang w:val="en-US" w:eastAsia="zh-CN"/>
              </w:rPr>
            </w:pPr>
          </w:p>
        </w:tc>
        <w:tc>
          <w:tcPr>
            <w:tcW w:w="3127" w:type="pct"/>
            <w:noWrap/>
            <w:vAlign w:val="center"/>
          </w:tcPr>
          <w:p>
            <w:pPr>
              <w:bidi w:val="0"/>
              <w:rPr>
                <w:rFonts w:hint="eastAsia"/>
                <w:color w:val="auto"/>
                <w:highlight w:val="none"/>
                <w:lang w:val="en-US" w:eastAsia="zh-CN"/>
              </w:rPr>
            </w:pPr>
            <w:r>
              <w:rPr>
                <w:rFonts w:hint="eastAsia"/>
                <w:color w:val="auto"/>
                <w:highlight w:val="none"/>
                <w:lang w:val="en-US" w:eastAsia="zh-CN"/>
              </w:rPr>
              <w:t>平面动线：提供初步设计总平面图，根据参观动线以及重点板块平面设计，装修的表达等；各功能设置合理，动静结合主次分明；功能之间可相互融合，且具有完整性、整体性，符合项目的整体设计要求等进行评审。</w:t>
            </w:r>
          </w:p>
          <w:p>
            <w:pPr>
              <w:bidi w:val="0"/>
              <w:rPr>
                <w:rFonts w:hint="eastAsia"/>
                <w:color w:val="auto"/>
                <w:highlight w:val="none"/>
                <w:lang w:val="en-US" w:eastAsia="zh-CN"/>
              </w:rPr>
            </w:pPr>
            <w:r>
              <w:rPr>
                <w:rFonts w:hint="eastAsia"/>
                <w:color w:val="auto"/>
                <w:highlight w:val="none"/>
                <w:lang w:val="en-US" w:eastAsia="zh-CN"/>
              </w:rPr>
              <w:t>参观动线、功能设置科学、合理，动静结合主次分明，具有完整性、整体性的得5分；</w:t>
            </w:r>
          </w:p>
          <w:p>
            <w:pPr>
              <w:bidi w:val="0"/>
              <w:rPr>
                <w:rFonts w:hint="eastAsia"/>
                <w:color w:val="auto"/>
                <w:highlight w:val="none"/>
                <w:lang w:val="en-US" w:eastAsia="zh-CN"/>
              </w:rPr>
            </w:pPr>
            <w:r>
              <w:rPr>
                <w:rFonts w:hint="eastAsia"/>
                <w:color w:val="auto"/>
                <w:highlight w:val="none"/>
                <w:lang w:val="en-US" w:eastAsia="zh-CN"/>
              </w:rPr>
              <w:t>参观动线、功能设置较合理，动静结合，设计较完整的得4分；</w:t>
            </w:r>
          </w:p>
          <w:p>
            <w:pPr>
              <w:bidi w:val="0"/>
              <w:rPr>
                <w:rFonts w:hint="eastAsia"/>
                <w:color w:val="auto"/>
                <w:highlight w:val="none"/>
                <w:lang w:val="en-US" w:eastAsia="zh-CN"/>
              </w:rPr>
            </w:pPr>
            <w:r>
              <w:rPr>
                <w:rFonts w:hint="eastAsia"/>
                <w:color w:val="auto"/>
                <w:highlight w:val="none"/>
                <w:lang w:val="en-US" w:eastAsia="zh-CN"/>
              </w:rPr>
              <w:t>参观动线、功能设置较合理，基本满足动静结合要求，功能有融合的得3分；</w:t>
            </w:r>
          </w:p>
          <w:p>
            <w:pPr>
              <w:bidi w:val="0"/>
              <w:rPr>
                <w:rFonts w:hint="eastAsia"/>
                <w:color w:val="auto"/>
                <w:highlight w:val="none"/>
                <w:lang w:val="en-US" w:eastAsia="zh-CN"/>
              </w:rPr>
            </w:pPr>
            <w:r>
              <w:rPr>
                <w:rFonts w:hint="eastAsia"/>
                <w:color w:val="auto"/>
                <w:highlight w:val="none"/>
                <w:lang w:val="en-US" w:eastAsia="zh-CN"/>
              </w:rPr>
              <w:t>参观动线、功能设置简单，仅满足基本功能的得2分；</w:t>
            </w:r>
          </w:p>
          <w:p>
            <w:pPr>
              <w:bidi w:val="0"/>
              <w:rPr>
                <w:rFonts w:hint="eastAsia"/>
                <w:color w:val="auto"/>
                <w:highlight w:val="none"/>
                <w:lang w:val="en-US" w:eastAsia="zh-CN"/>
              </w:rPr>
            </w:pPr>
            <w:r>
              <w:rPr>
                <w:rFonts w:hint="eastAsia"/>
                <w:color w:val="auto"/>
                <w:highlight w:val="none"/>
                <w:lang w:val="en-US" w:eastAsia="zh-CN"/>
              </w:rPr>
              <w:t>参观动线、功能设置有欠缺的得1分；</w:t>
            </w:r>
          </w:p>
          <w:p>
            <w:pPr>
              <w:bidi w:val="0"/>
              <w:rPr>
                <w:rFonts w:hint="default"/>
                <w:color w:val="auto"/>
                <w:highlight w:val="none"/>
                <w:lang w:val="en-US" w:eastAsia="zh-CN"/>
              </w:rPr>
            </w:pPr>
            <w:r>
              <w:rPr>
                <w:rFonts w:hint="eastAsia"/>
                <w:color w:val="auto"/>
                <w:highlight w:val="none"/>
                <w:lang w:val="en-US" w:eastAsia="zh-CN"/>
              </w:rPr>
              <w:t>未提供或提供内容有偏差不满足本项目需求的不得分。</w:t>
            </w:r>
          </w:p>
        </w:tc>
        <w:tc>
          <w:tcPr>
            <w:tcW w:w="307" w:type="pct"/>
            <w:noWrap/>
            <w:vAlign w:val="center"/>
          </w:tcPr>
          <w:p>
            <w:pPr>
              <w:snapToGrid w:val="0"/>
              <w:jc w:val="center"/>
              <w:rPr>
                <w:rFonts w:hint="default" w:ascii="宋体" w:hAnsi="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5</w:t>
            </w:r>
          </w:p>
        </w:tc>
        <w:tc>
          <w:tcPr>
            <w:tcW w:w="524" w:type="pct"/>
            <w:noWrap/>
            <w:vAlign w:val="center"/>
          </w:tcPr>
          <w:p>
            <w:pPr>
              <w:snapToGrid w:val="0"/>
              <w:jc w:val="center"/>
              <w:rPr>
                <w:rFonts w:hint="default" w:ascii="宋体" w:hAnsi="宋体" w:cs="仿宋_GB2312"/>
                <w:bCs/>
                <w:color w:val="auto"/>
                <w:sz w:val="21"/>
                <w:szCs w:val="21"/>
                <w:highlight w:val="none"/>
                <w:lang w:val="en-US" w:eastAsia="zh-CN"/>
              </w:rPr>
            </w:pPr>
            <w:r>
              <w:rPr>
                <w:rFonts w:hint="eastAsia" w:ascii="宋体" w:hAnsi="宋体" w:cs="仿宋_GB2312"/>
                <w:bCs/>
                <w:color w:val="auto"/>
                <w:sz w:val="21"/>
                <w:szCs w:val="21"/>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7" w:hRule="atLeast"/>
        </w:trPr>
        <w:tc>
          <w:tcPr>
            <w:tcW w:w="339" w:type="pct"/>
            <w:vMerge w:val="continue"/>
            <w:noWrap/>
            <w:vAlign w:val="center"/>
          </w:tcPr>
          <w:p>
            <w:pPr>
              <w:snapToGrid w:val="0"/>
              <w:jc w:val="center"/>
              <w:rPr>
                <w:rFonts w:hint="eastAsia" w:ascii="宋体" w:hAnsi="宋体" w:cs="仿宋_GB2312"/>
                <w:color w:val="auto"/>
                <w:sz w:val="21"/>
                <w:szCs w:val="21"/>
                <w:highlight w:val="none"/>
                <w:lang w:val="en-US" w:eastAsia="zh-CN"/>
              </w:rPr>
            </w:pPr>
          </w:p>
        </w:tc>
        <w:tc>
          <w:tcPr>
            <w:tcW w:w="701" w:type="pct"/>
            <w:vMerge w:val="continue"/>
            <w:noWrap/>
            <w:vAlign w:val="center"/>
          </w:tcPr>
          <w:p>
            <w:pPr>
              <w:snapToGrid w:val="0"/>
              <w:jc w:val="center"/>
              <w:rPr>
                <w:rFonts w:hint="default" w:ascii="宋体" w:hAnsi="宋体" w:cs="仿宋_GB2312"/>
                <w:color w:val="auto"/>
                <w:sz w:val="21"/>
                <w:szCs w:val="21"/>
                <w:highlight w:val="none"/>
                <w:lang w:val="en-US" w:eastAsia="zh-CN"/>
              </w:rPr>
            </w:pPr>
          </w:p>
        </w:tc>
        <w:tc>
          <w:tcPr>
            <w:tcW w:w="3127" w:type="pct"/>
            <w:noWrap/>
            <w:vAlign w:val="center"/>
          </w:tcPr>
          <w:p>
            <w:pPr>
              <w:bidi w:val="0"/>
              <w:rPr>
                <w:rFonts w:hint="eastAsia"/>
                <w:color w:val="auto"/>
                <w:highlight w:val="none"/>
                <w:lang w:val="en-US" w:eastAsia="zh-CN"/>
              </w:rPr>
            </w:pPr>
            <w:r>
              <w:rPr>
                <w:rFonts w:hint="eastAsia" w:ascii="宋体" w:hAnsi="宋体" w:cs="仿宋_GB2312"/>
                <w:color w:val="auto"/>
                <w:sz w:val="21"/>
                <w:szCs w:val="21"/>
                <w:highlight w:val="none"/>
                <w:lang w:val="en-US" w:eastAsia="zh-CN"/>
              </w:rPr>
              <w:t>策划内容设计：</w:t>
            </w:r>
            <w:r>
              <w:rPr>
                <w:rFonts w:hint="eastAsia"/>
                <w:color w:val="auto"/>
                <w:highlight w:val="none"/>
                <w:lang w:val="en-US" w:eastAsia="zh-CN"/>
              </w:rPr>
              <w:t>要求充分挖掘浙江省的地域文化，并结合浙江省拱宸强制隔离戒毒所特有的红色资源，提供逻辑清晰的展陈大纲。撰写整体设计方案的展陈主题特色鲜明，体现当地特色，方案对成果把握到位、展示充分、主题突出。内容丰富、布局科学、理念先进、形式新颖，创造亮点空间等方面结合设计方案可实施性安全合理展现。</w:t>
            </w:r>
          </w:p>
          <w:p>
            <w:pPr>
              <w:bidi w:val="0"/>
              <w:rPr>
                <w:rFonts w:hint="eastAsia"/>
                <w:color w:val="auto"/>
                <w:highlight w:val="none"/>
                <w:lang w:val="en-US" w:eastAsia="zh-CN"/>
              </w:rPr>
            </w:pPr>
            <w:r>
              <w:rPr>
                <w:rFonts w:hint="eastAsia"/>
                <w:color w:val="auto"/>
                <w:highlight w:val="none"/>
                <w:lang w:val="en-US" w:eastAsia="zh-CN"/>
              </w:rPr>
              <w:t>主题鲜明、设计新颖、亮点突出的得5分；</w:t>
            </w:r>
          </w:p>
          <w:p>
            <w:pPr>
              <w:bidi w:val="0"/>
              <w:rPr>
                <w:rFonts w:hint="eastAsia"/>
                <w:color w:val="auto"/>
                <w:highlight w:val="none"/>
                <w:lang w:val="en-US" w:eastAsia="zh-CN"/>
              </w:rPr>
            </w:pPr>
            <w:r>
              <w:rPr>
                <w:rFonts w:hint="eastAsia"/>
                <w:color w:val="auto"/>
                <w:highlight w:val="none"/>
                <w:lang w:val="en-US" w:eastAsia="zh-CN"/>
              </w:rPr>
              <w:t>主题较鲜明、设计较新颖、亮点较为突出的得4分；</w:t>
            </w:r>
          </w:p>
          <w:p>
            <w:pPr>
              <w:bidi w:val="0"/>
              <w:rPr>
                <w:rFonts w:hint="eastAsia"/>
                <w:color w:val="auto"/>
                <w:highlight w:val="none"/>
                <w:lang w:val="en-US" w:eastAsia="zh-CN"/>
              </w:rPr>
            </w:pPr>
            <w:r>
              <w:rPr>
                <w:rFonts w:hint="eastAsia"/>
                <w:color w:val="auto"/>
                <w:highlight w:val="none"/>
                <w:lang w:val="en-US" w:eastAsia="zh-CN"/>
              </w:rPr>
              <w:t>体现设计主题、设计合理有亮点的得3分；</w:t>
            </w:r>
          </w:p>
          <w:p>
            <w:pPr>
              <w:bidi w:val="0"/>
              <w:rPr>
                <w:rFonts w:hint="eastAsia"/>
                <w:color w:val="auto"/>
                <w:highlight w:val="none"/>
                <w:lang w:val="en-US" w:eastAsia="zh-CN"/>
              </w:rPr>
            </w:pPr>
            <w:r>
              <w:rPr>
                <w:rFonts w:hint="eastAsia"/>
                <w:color w:val="auto"/>
                <w:highlight w:val="none"/>
                <w:lang w:val="en-US" w:eastAsia="zh-CN"/>
              </w:rPr>
              <w:t>设计一般得2分；</w:t>
            </w:r>
          </w:p>
          <w:p>
            <w:pPr>
              <w:bidi w:val="0"/>
              <w:rPr>
                <w:rFonts w:hint="eastAsia"/>
                <w:color w:val="auto"/>
                <w:highlight w:val="none"/>
                <w:lang w:val="en-US" w:eastAsia="zh-CN"/>
              </w:rPr>
            </w:pPr>
            <w:r>
              <w:rPr>
                <w:rFonts w:hint="eastAsia"/>
                <w:color w:val="auto"/>
                <w:highlight w:val="none"/>
                <w:lang w:val="en-US" w:eastAsia="zh-CN"/>
              </w:rPr>
              <w:t>有瑕疵的得1；</w:t>
            </w:r>
          </w:p>
          <w:p>
            <w:pPr>
              <w:bidi w:val="0"/>
              <w:rPr>
                <w:rFonts w:hint="eastAsia"/>
                <w:color w:val="auto"/>
                <w:highlight w:val="none"/>
                <w:lang w:val="en-US" w:eastAsia="zh-CN"/>
              </w:rPr>
            </w:pPr>
            <w:r>
              <w:rPr>
                <w:rFonts w:hint="eastAsia"/>
                <w:color w:val="auto"/>
                <w:highlight w:val="none"/>
                <w:lang w:val="en-US" w:eastAsia="zh-CN"/>
              </w:rPr>
              <w:t>未提供或提供内容有偏差不满足本项目需求的不得分。</w:t>
            </w:r>
          </w:p>
        </w:tc>
        <w:tc>
          <w:tcPr>
            <w:tcW w:w="307" w:type="pct"/>
            <w:noWrap/>
            <w:vAlign w:val="center"/>
          </w:tcPr>
          <w:p>
            <w:pPr>
              <w:snapToGrid w:val="0"/>
              <w:jc w:val="center"/>
              <w:rPr>
                <w:rFonts w:hint="default" w:ascii="宋体" w:hAnsi="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5</w:t>
            </w:r>
          </w:p>
        </w:tc>
        <w:tc>
          <w:tcPr>
            <w:tcW w:w="524" w:type="pct"/>
            <w:noWrap/>
            <w:vAlign w:val="center"/>
          </w:tcPr>
          <w:p>
            <w:pPr>
              <w:snapToGrid w:val="0"/>
              <w:jc w:val="center"/>
              <w:rPr>
                <w:rFonts w:hint="default" w:ascii="宋体" w:hAnsi="宋体" w:cs="仿宋_GB2312"/>
                <w:bCs/>
                <w:color w:val="auto"/>
                <w:sz w:val="21"/>
                <w:szCs w:val="21"/>
                <w:highlight w:val="none"/>
                <w:lang w:val="en-US" w:eastAsia="zh-CN"/>
              </w:rPr>
            </w:pPr>
            <w:r>
              <w:rPr>
                <w:rFonts w:hint="eastAsia" w:ascii="宋体" w:hAnsi="宋体" w:cs="仿宋_GB2312"/>
                <w:bCs/>
                <w:color w:val="auto"/>
                <w:sz w:val="21"/>
                <w:szCs w:val="21"/>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1" w:hRule="atLeast"/>
        </w:trPr>
        <w:tc>
          <w:tcPr>
            <w:tcW w:w="339" w:type="pct"/>
            <w:vMerge w:val="continue"/>
            <w:noWrap/>
            <w:vAlign w:val="center"/>
          </w:tcPr>
          <w:p>
            <w:pPr>
              <w:snapToGrid w:val="0"/>
              <w:jc w:val="center"/>
              <w:rPr>
                <w:rFonts w:hint="eastAsia" w:ascii="宋体" w:hAnsi="宋体" w:cs="仿宋_GB2312"/>
                <w:color w:val="auto"/>
                <w:sz w:val="21"/>
                <w:szCs w:val="21"/>
                <w:highlight w:val="none"/>
                <w:lang w:val="en-US" w:eastAsia="zh-CN"/>
              </w:rPr>
            </w:pPr>
          </w:p>
        </w:tc>
        <w:tc>
          <w:tcPr>
            <w:tcW w:w="701" w:type="pct"/>
            <w:vMerge w:val="continue"/>
            <w:noWrap/>
            <w:vAlign w:val="center"/>
          </w:tcPr>
          <w:p>
            <w:pPr>
              <w:snapToGrid w:val="0"/>
              <w:jc w:val="center"/>
              <w:rPr>
                <w:rFonts w:hint="eastAsia" w:ascii="宋体" w:hAnsi="宋体" w:cs="仿宋_GB2312"/>
                <w:color w:val="auto"/>
                <w:sz w:val="21"/>
                <w:szCs w:val="21"/>
                <w:highlight w:val="none"/>
                <w:lang w:val="en-US" w:eastAsia="zh-CN"/>
              </w:rPr>
            </w:pPr>
          </w:p>
        </w:tc>
        <w:tc>
          <w:tcPr>
            <w:tcW w:w="3127" w:type="pct"/>
            <w:noWrap/>
            <w:vAlign w:val="center"/>
          </w:tcPr>
          <w:p>
            <w:pPr>
              <w:bidi w:val="0"/>
              <w:rPr>
                <w:rFonts w:hint="eastAsia"/>
                <w:color w:val="auto"/>
                <w:highlight w:val="none"/>
                <w:lang w:val="en-US" w:eastAsia="zh-CN"/>
              </w:rPr>
            </w:pPr>
            <w:r>
              <w:rPr>
                <w:rFonts w:hint="eastAsia"/>
                <w:color w:val="auto"/>
                <w:highlight w:val="none"/>
                <w:lang w:val="en-US" w:eastAsia="zh-CN"/>
              </w:rPr>
              <w:t>空间设计：空间布局充分考虑本项目原建筑特点，有效利用现场空间进行合理分区，根据地域特性制定本项目空间设计方案，设计方案包括但不限于总体平面空间布局图、各展区效果图及其他相关能表现设计创意的图纸。从空间布局、参观流线、效果图的完整性设计、创意表达、空间氛围营造等角度对供应商提供的设计方案进行打分。</w:t>
            </w:r>
          </w:p>
          <w:p>
            <w:pPr>
              <w:bidi w:val="0"/>
              <w:rPr>
                <w:rFonts w:hint="eastAsia"/>
                <w:color w:val="auto"/>
                <w:highlight w:val="none"/>
                <w:lang w:val="en-US" w:eastAsia="zh-CN"/>
              </w:rPr>
            </w:pPr>
            <w:r>
              <w:rPr>
                <w:rFonts w:hint="eastAsia"/>
                <w:color w:val="auto"/>
                <w:highlight w:val="none"/>
                <w:lang w:val="en-US" w:eastAsia="zh-CN"/>
              </w:rPr>
              <w:t>方案全面、可行、合理的得5分；</w:t>
            </w:r>
          </w:p>
          <w:p>
            <w:pPr>
              <w:bidi w:val="0"/>
              <w:rPr>
                <w:rFonts w:hint="eastAsia"/>
                <w:color w:val="auto"/>
                <w:highlight w:val="none"/>
                <w:lang w:val="en-US" w:eastAsia="zh-CN"/>
              </w:rPr>
            </w:pPr>
            <w:r>
              <w:rPr>
                <w:rFonts w:hint="eastAsia"/>
                <w:color w:val="auto"/>
                <w:highlight w:val="none"/>
                <w:lang w:val="en-US" w:eastAsia="zh-CN"/>
              </w:rPr>
              <w:t>较全面、可行、较合理的得4分；</w:t>
            </w:r>
          </w:p>
          <w:p>
            <w:pPr>
              <w:bidi w:val="0"/>
              <w:rPr>
                <w:rFonts w:hint="eastAsia"/>
                <w:color w:val="auto"/>
                <w:highlight w:val="none"/>
                <w:lang w:val="en-US" w:eastAsia="zh-CN"/>
              </w:rPr>
            </w:pPr>
            <w:r>
              <w:rPr>
                <w:rFonts w:hint="eastAsia"/>
                <w:color w:val="auto"/>
                <w:highlight w:val="none"/>
                <w:lang w:val="en-US" w:eastAsia="zh-CN"/>
              </w:rPr>
              <w:t>基本全面、可行、合理的得3分；</w:t>
            </w:r>
          </w:p>
          <w:p>
            <w:pPr>
              <w:bidi w:val="0"/>
              <w:rPr>
                <w:rFonts w:hint="default"/>
                <w:color w:val="auto"/>
                <w:highlight w:val="none"/>
                <w:lang w:val="en-US" w:eastAsia="zh-CN"/>
              </w:rPr>
            </w:pPr>
            <w:r>
              <w:rPr>
                <w:rFonts w:hint="eastAsia"/>
                <w:color w:val="auto"/>
                <w:highlight w:val="none"/>
                <w:lang w:val="en-US" w:eastAsia="zh-CN"/>
              </w:rPr>
              <w:t>方案内容简单的得2分；</w:t>
            </w:r>
          </w:p>
          <w:p>
            <w:pPr>
              <w:bidi w:val="0"/>
              <w:rPr>
                <w:rFonts w:hint="eastAsia"/>
                <w:color w:val="auto"/>
                <w:highlight w:val="none"/>
                <w:lang w:val="en-US" w:eastAsia="zh-CN"/>
              </w:rPr>
            </w:pPr>
            <w:r>
              <w:rPr>
                <w:rFonts w:hint="eastAsia"/>
                <w:color w:val="auto"/>
                <w:highlight w:val="none"/>
                <w:lang w:val="en-US" w:eastAsia="zh-CN"/>
              </w:rPr>
              <w:t>方案内容不全的或有所欠缺得1分，</w:t>
            </w:r>
          </w:p>
          <w:p>
            <w:pPr>
              <w:bidi w:val="0"/>
              <w:rPr>
                <w:rFonts w:hint="eastAsia"/>
                <w:color w:val="auto"/>
                <w:highlight w:val="none"/>
                <w:lang w:val="en-US" w:eastAsia="zh-CN"/>
              </w:rPr>
            </w:pPr>
            <w:r>
              <w:rPr>
                <w:rFonts w:hint="eastAsia"/>
                <w:color w:val="auto"/>
                <w:highlight w:val="none"/>
                <w:lang w:val="en-US" w:eastAsia="zh-CN"/>
              </w:rPr>
              <w:t>不提供不得分。</w:t>
            </w:r>
          </w:p>
        </w:tc>
        <w:tc>
          <w:tcPr>
            <w:tcW w:w="307" w:type="pct"/>
            <w:noWrap/>
            <w:vAlign w:val="center"/>
          </w:tcPr>
          <w:p>
            <w:pPr>
              <w:snapToGrid w:val="0"/>
              <w:jc w:val="center"/>
              <w:rPr>
                <w:rFonts w:hint="default" w:ascii="宋体" w:hAnsi="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5</w:t>
            </w:r>
          </w:p>
        </w:tc>
        <w:tc>
          <w:tcPr>
            <w:tcW w:w="524" w:type="pct"/>
            <w:noWrap/>
            <w:vAlign w:val="center"/>
          </w:tcPr>
          <w:p>
            <w:pPr>
              <w:snapToGrid w:val="0"/>
              <w:jc w:val="center"/>
              <w:rPr>
                <w:rFonts w:hint="default" w:ascii="宋体" w:hAnsi="宋体" w:cs="仿宋_GB2312"/>
                <w:bCs/>
                <w:color w:val="auto"/>
                <w:sz w:val="21"/>
                <w:szCs w:val="21"/>
                <w:highlight w:val="none"/>
                <w:lang w:val="en-US" w:eastAsia="zh-CN"/>
              </w:rPr>
            </w:pPr>
            <w:r>
              <w:rPr>
                <w:rFonts w:hint="eastAsia" w:ascii="宋体" w:hAnsi="宋体" w:cs="仿宋_GB2312"/>
                <w:bCs/>
                <w:color w:val="auto"/>
                <w:sz w:val="21"/>
                <w:szCs w:val="21"/>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1" w:hRule="atLeast"/>
        </w:trPr>
        <w:tc>
          <w:tcPr>
            <w:tcW w:w="339" w:type="pct"/>
            <w:vMerge w:val="continue"/>
            <w:noWrap/>
            <w:vAlign w:val="center"/>
          </w:tcPr>
          <w:p>
            <w:pPr>
              <w:snapToGrid w:val="0"/>
              <w:jc w:val="center"/>
              <w:rPr>
                <w:rFonts w:hint="eastAsia" w:ascii="宋体" w:hAnsi="宋体" w:cs="仿宋_GB2312"/>
                <w:color w:val="auto"/>
                <w:sz w:val="21"/>
                <w:szCs w:val="21"/>
                <w:highlight w:val="none"/>
                <w:lang w:val="en-US" w:eastAsia="zh-CN"/>
              </w:rPr>
            </w:pPr>
          </w:p>
        </w:tc>
        <w:tc>
          <w:tcPr>
            <w:tcW w:w="701" w:type="pct"/>
            <w:vMerge w:val="continue"/>
            <w:noWrap/>
            <w:vAlign w:val="center"/>
          </w:tcPr>
          <w:p>
            <w:pPr>
              <w:snapToGrid w:val="0"/>
              <w:jc w:val="center"/>
              <w:rPr>
                <w:rFonts w:hint="eastAsia" w:ascii="宋体" w:hAnsi="宋体" w:cs="仿宋_GB2312"/>
                <w:color w:val="auto"/>
                <w:sz w:val="21"/>
                <w:szCs w:val="21"/>
                <w:highlight w:val="none"/>
                <w:lang w:val="en-US" w:eastAsia="zh-CN"/>
              </w:rPr>
            </w:pPr>
          </w:p>
        </w:tc>
        <w:tc>
          <w:tcPr>
            <w:tcW w:w="3127" w:type="pct"/>
            <w:noWrap/>
            <w:vAlign w:val="center"/>
          </w:tcPr>
          <w:p>
            <w:pPr>
              <w:bidi w:val="0"/>
              <w:rPr>
                <w:rFonts w:hint="eastAsia"/>
                <w:color w:val="auto"/>
                <w:highlight w:val="none"/>
                <w:lang w:val="en-US" w:eastAsia="zh-CN"/>
              </w:rPr>
            </w:pPr>
            <w:r>
              <w:rPr>
                <w:rFonts w:hint="eastAsia"/>
                <w:color w:val="auto"/>
                <w:highlight w:val="none"/>
                <w:lang w:val="en-US" w:eastAsia="zh-CN"/>
              </w:rPr>
              <w:t>设计风格、展示手法：设计方案要体现明确的项目特色，设计风格与建筑设计风格协调；展示手法要体现现代性和美观性，具有全面性、科学性、合理性；</w:t>
            </w:r>
          </w:p>
          <w:p>
            <w:pPr>
              <w:bidi w:val="0"/>
              <w:rPr>
                <w:rFonts w:hint="eastAsia"/>
                <w:color w:val="auto"/>
                <w:highlight w:val="none"/>
                <w:lang w:val="en-US" w:eastAsia="zh-CN"/>
              </w:rPr>
            </w:pPr>
            <w:r>
              <w:rPr>
                <w:rFonts w:hint="eastAsia"/>
                <w:color w:val="auto"/>
                <w:highlight w:val="none"/>
                <w:lang w:val="en-US" w:eastAsia="zh-CN"/>
              </w:rPr>
              <w:t>设计风格与建筑设计风格协调，展示手法全面、科学、合理的得5分；</w:t>
            </w:r>
          </w:p>
          <w:p>
            <w:pPr>
              <w:bidi w:val="0"/>
              <w:rPr>
                <w:rFonts w:hint="eastAsia"/>
                <w:color w:val="auto"/>
                <w:highlight w:val="none"/>
                <w:lang w:val="en-US" w:eastAsia="zh-CN"/>
              </w:rPr>
            </w:pPr>
            <w:r>
              <w:rPr>
                <w:rFonts w:hint="eastAsia"/>
                <w:color w:val="auto"/>
                <w:highlight w:val="none"/>
                <w:lang w:val="en-US" w:eastAsia="zh-CN"/>
              </w:rPr>
              <w:t>设计风格与建筑设计风格较为协调，展示手法较为全面、科学、合理的得4分；</w:t>
            </w:r>
          </w:p>
          <w:p>
            <w:pPr>
              <w:bidi w:val="0"/>
              <w:rPr>
                <w:rFonts w:hint="eastAsia"/>
                <w:color w:val="auto"/>
                <w:highlight w:val="none"/>
                <w:lang w:val="en-US" w:eastAsia="zh-CN"/>
              </w:rPr>
            </w:pPr>
            <w:r>
              <w:rPr>
                <w:rFonts w:hint="eastAsia"/>
                <w:color w:val="auto"/>
                <w:highlight w:val="none"/>
                <w:lang w:val="en-US" w:eastAsia="zh-CN"/>
              </w:rPr>
              <w:t>设计风格与建筑设计风格协调性及展示手法一般的得3分；</w:t>
            </w:r>
          </w:p>
          <w:p>
            <w:pPr>
              <w:bidi w:val="0"/>
              <w:rPr>
                <w:rFonts w:hint="eastAsia"/>
                <w:color w:val="auto"/>
                <w:highlight w:val="none"/>
                <w:lang w:val="en-US" w:eastAsia="zh-CN"/>
              </w:rPr>
            </w:pPr>
            <w:r>
              <w:rPr>
                <w:rFonts w:hint="eastAsia"/>
                <w:color w:val="auto"/>
                <w:highlight w:val="none"/>
                <w:lang w:val="en-US" w:eastAsia="zh-CN"/>
              </w:rPr>
              <w:t>设计风格与建筑设计风格协调性欠缺，展示手法单一的得2分；</w:t>
            </w:r>
          </w:p>
          <w:p>
            <w:pPr>
              <w:bidi w:val="0"/>
              <w:rPr>
                <w:rFonts w:hint="default"/>
                <w:color w:val="auto"/>
                <w:highlight w:val="none"/>
                <w:lang w:val="en-US" w:eastAsia="zh-CN"/>
              </w:rPr>
            </w:pPr>
            <w:r>
              <w:rPr>
                <w:rFonts w:hint="eastAsia"/>
                <w:color w:val="auto"/>
                <w:highlight w:val="none"/>
                <w:lang w:val="en-US" w:eastAsia="zh-CN"/>
              </w:rPr>
              <w:t>设计风格与建筑设计风格协调性差，展示手法欠合理，无法体现现代性和美观性的得1分；</w:t>
            </w:r>
          </w:p>
          <w:p>
            <w:pPr>
              <w:bidi w:val="0"/>
              <w:rPr>
                <w:rFonts w:hint="default"/>
                <w:color w:val="auto"/>
                <w:highlight w:val="none"/>
                <w:lang w:val="en-US" w:eastAsia="zh-CN"/>
              </w:rPr>
            </w:pPr>
            <w:r>
              <w:rPr>
                <w:rFonts w:hint="eastAsia"/>
                <w:color w:val="auto"/>
                <w:highlight w:val="none"/>
                <w:lang w:val="en-US" w:eastAsia="zh-CN"/>
              </w:rPr>
              <w:t>不提供不得分。</w:t>
            </w:r>
          </w:p>
        </w:tc>
        <w:tc>
          <w:tcPr>
            <w:tcW w:w="307" w:type="pct"/>
            <w:noWrap/>
            <w:vAlign w:val="center"/>
          </w:tcPr>
          <w:p>
            <w:pPr>
              <w:snapToGrid w:val="0"/>
              <w:jc w:val="center"/>
              <w:rPr>
                <w:rFonts w:hint="default" w:ascii="宋体" w:hAnsi="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5</w:t>
            </w:r>
          </w:p>
        </w:tc>
        <w:tc>
          <w:tcPr>
            <w:tcW w:w="524" w:type="pct"/>
            <w:noWrap/>
            <w:vAlign w:val="center"/>
          </w:tcPr>
          <w:p>
            <w:pPr>
              <w:snapToGrid w:val="0"/>
              <w:jc w:val="center"/>
              <w:rPr>
                <w:rFonts w:hint="default" w:ascii="宋体" w:hAnsi="宋体" w:cs="仿宋_GB2312"/>
                <w:bCs/>
                <w:color w:val="auto"/>
                <w:sz w:val="21"/>
                <w:szCs w:val="21"/>
                <w:highlight w:val="none"/>
                <w:lang w:val="en-US" w:eastAsia="zh-CN"/>
              </w:rPr>
            </w:pPr>
            <w:r>
              <w:rPr>
                <w:rFonts w:hint="eastAsia" w:ascii="宋体" w:hAnsi="宋体" w:cs="仿宋_GB2312"/>
                <w:bCs/>
                <w:color w:val="auto"/>
                <w:sz w:val="21"/>
                <w:szCs w:val="21"/>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3" w:hRule="atLeast"/>
        </w:trPr>
        <w:tc>
          <w:tcPr>
            <w:tcW w:w="339" w:type="pct"/>
            <w:vMerge w:val="continue"/>
            <w:noWrap/>
            <w:vAlign w:val="center"/>
          </w:tcPr>
          <w:p>
            <w:pPr>
              <w:snapToGrid w:val="0"/>
              <w:jc w:val="center"/>
              <w:rPr>
                <w:rFonts w:hint="eastAsia" w:ascii="宋体" w:hAnsi="宋体" w:cs="仿宋_GB2312"/>
                <w:color w:val="auto"/>
                <w:sz w:val="21"/>
                <w:szCs w:val="21"/>
                <w:highlight w:val="none"/>
                <w:lang w:val="en-US" w:eastAsia="zh-CN"/>
              </w:rPr>
            </w:pPr>
          </w:p>
        </w:tc>
        <w:tc>
          <w:tcPr>
            <w:tcW w:w="701" w:type="pct"/>
            <w:vMerge w:val="continue"/>
            <w:noWrap/>
            <w:vAlign w:val="center"/>
          </w:tcPr>
          <w:p>
            <w:pPr>
              <w:snapToGrid w:val="0"/>
              <w:jc w:val="center"/>
              <w:rPr>
                <w:rFonts w:hint="eastAsia" w:ascii="宋体" w:hAnsi="宋体" w:cs="仿宋_GB2312"/>
                <w:color w:val="auto"/>
                <w:sz w:val="21"/>
                <w:szCs w:val="21"/>
                <w:highlight w:val="none"/>
                <w:lang w:val="en-US" w:eastAsia="zh-CN"/>
              </w:rPr>
            </w:pPr>
          </w:p>
        </w:tc>
        <w:tc>
          <w:tcPr>
            <w:tcW w:w="3127" w:type="pct"/>
            <w:noWrap/>
            <w:vAlign w:val="center"/>
          </w:tcPr>
          <w:p>
            <w:pPr>
              <w:bidi w:val="0"/>
              <w:rPr>
                <w:rFonts w:hint="eastAsia" w:ascii="宋体" w:hAnsi="宋体" w:eastAsia="宋体" w:cs="宋体"/>
                <w:i w:val="0"/>
                <w:iCs w:val="0"/>
                <w:color w:val="auto"/>
                <w:kern w:val="0"/>
                <w:sz w:val="21"/>
                <w:szCs w:val="21"/>
                <w:highlight w:val="none"/>
                <w:u w:val="none"/>
                <w:lang w:val="en-US" w:eastAsia="zh-CN" w:bidi="ar"/>
              </w:rPr>
            </w:pPr>
            <w:r>
              <w:rPr>
                <w:rFonts w:hint="eastAsia"/>
                <w:color w:val="auto"/>
                <w:highlight w:val="none"/>
                <w:lang w:val="en-US" w:eastAsia="zh-CN"/>
              </w:rPr>
              <w:t>展项设计：</w:t>
            </w:r>
            <w:r>
              <w:rPr>
                <w:rFonts w:hint="eastAsia" w:ascii="宋体" w:hAnsi="宋体" w:eastAsia="宋体" w:cs="宋体"/>
                <w:i w:val="0"/>
                <w:iCs w:val="0"/>
                <w:color w:val="auto"/>
                <w:kern w:val="0"/>
                <w:sz w:val="21"/>
                <w:szCs w:val="21"/>
                <w:highlight w:val="none"/>
                <w:u w:val="none"/>
                <w:lang w:val="en-US" w:eastAsia="zh-CN" w:bidi="ar"/>
              </w:rPr>
              <w:t>展项设计要求数字科技内容的表现力强，高科技创新性，展示手段的采用；展示手段的亲民、有互动，整体策划精良。</w:t>
            </w:r>
          </w:p>
          <w:p>
            <w:pPr>
              <w:bidi w:val="0"/>
              <w:rPr>
                <w:rFonts w:hint="eastAsia" w:ascii="宋体" w:hAnsi="宋体" w:eastAsia="宋体" w:cs="宋体"/>
                <w:i w:val="0"/>
                <w:iCs w:val="0"/>
                <w:color w:val="auto"/>
                <w:kern w:val="0"/>
                <w:sz w:val="21"/>
                <w:szCs w:val="21"/>
                <w:highlight w:val="none"/>
                <w:u w:val="none"/>
                <w:lang w:val="en-US" w:eastAsia="zh-CN" w:bidi="ar"/>
              </w:rPr>
            </w:pPr>
            <w:r>
              <w:rPr>
                <w:rFonts w:hint="default" w:ascii="宋体" w:hAnsi="宋体" w:eastAsia="宋体" w:cs="宋体"/>
                <w:i w:val="0"/>
                <w:iCs w:val="0"/>
                <w:color w:val="auto"/>
                <w:kern w:val="0"/>
                <w:sz w:val="21"/>
                <w:szCs w:val="21"/>
                <w:highlight w:val="none"/>
                <w:u w:val="none"/>
                <w:lang w:val="en-US" w:eastAsia="zh-CN" w:bidi="ar"/>
              </w:rPr>
              <w:t>数字科技内容的表现力强</w:t>
            </w:r>
            <w:r>
              <w:rPr>
                <w:rFonts w:hint="eastAsia" w:ascii="宋体" w:hAnsi="宋体" w:eastAsia="宋体" w:cs="宋体"/>
                <w:i w:val="0"/>
                <w:iCs w:val="0"/>
                <w:color w:val="auto"/>
                <w:kern w:val="0"/>
                <w:sz w:val="21"/>
                <w:szCs w:val="21"/>
                <w:highlight w:val="none"/>
                <w:u w:val="none"/>
                <w:lang w:val="en-US" w:eastAsia="zh-CN" w:bidi="ar"/>
              </w:rPr>
              <w:t>，展示手段亲民、富有互动性的得3分；</w:t>
            </w:r>
          </w:p>
          <w:p>
            <w:pPr>
              <w:bidi w:val="0"/>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数字科技内容的表现力一般，展示手段亲民、互动性一般的得2分；</w:t>
            </w:r>
          </w:p>
          <w:p>
            <w:pPr>
              <w:bidi w:val="0"/>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数字科技内容的表现力、展示手段亲民、互动性较差的得1分；</w:t>
            </w:r>
          </w:p>
          <w:p>
            <w:pPr>
              <w:bidi w:val="0"/>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未提供的不得分。</w:t>
            </w:r>
          </w:p>
        </w:tc>
        <w:tc>
          <w:tcPr>
            <w:tcW w:w="307" w:type="pct"/>
            <w:noWrap/>
            <w:vAlign w:val="center"/>
          </w:tcPr>
          <w:p>
            <w:pPr>
              <w:snapToGrid w:val="0"/>
              <w:jc w:val="center"/>
              <w:rPr>
                <w:rFonts w:hint="default" w:ascii="宋体" w:hAnsi="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3</w:t>
            </w:r>
          </w:p>
        </w:tc>
        <w:tc>
          <w:tcPr>
            <w:tcW w:w="524" w:type="pct"/>
            <w:noWrap/>
            <w:vAlign w:val="center"/>
          </w:tcPr>
          <w:p>
            <w:pPr>
              <w:snapToGrid w:val="0"/>
              <w:jc w:val="center"/>
              <w:rPr>
                <w:rFonts w:hint="default" w:ascii="宋体" w:hAnsi="宋体" w:cs="仿宋_GB2312"/>
                <w:bCs/>
                <w:color w:val="auto"/>
                <w:sz w:val="21"/>
                <w:szCs w:val="21"/>
                <w:highlight w:val="none"/>
                <w:lang w:val="en-US" w:eastAsia="zh-CN"/>
              </w:rPr>
            </w:pPr>
            <w:r>
              <w:rPr>
                <w:rFonts w:hint="eastAsia" w:ascii="宋体" w:hAnsi="宋体" w:cs="仿宋_GB2312"/>
                <w:bCs/>
                <w:color w:val="auto"/>
                <w:sz w:val="21"/>
                <w:szCs w:val="21"/>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1" w:hRule="atLeast"/>
        </w:trPr>
        <w:tc>
          <w:tcPr>
            <w:tcW w:w="339" w:type="pct"/>
            <w:vMerge w:val="continue"/>
            <w:noWrap/>
            <w:vAlign w:val="center"/>
          </w:tcPr>
          <w:p>
            <w:pPr>
              <w:snapToGrid w:val="0"/>
              <w:jc w:val="center"/>
              <w:rPr>
                <w:rFonts w:hint="eastAsia" w:ascii="宋体" w:hAnsi="宋体" w:cs="仿宋_GB2312"/>
                <w:color w:val="auto"/>
                <w:sz w:val="21"/>
                <w:szCs w:val="21"/>
                <w:highlight w:val="none"/>
                <w:lang w:val="en-US" w:eastAsia="zh-CN"/>
              </w:rPr>
            </w:pPr>
          </w:p>
        </w:tc>
        <w:tc>
          <w:tcPr>
            <w:tcW w:w="701" w:type="pct"/>
            <w:vMerge w:val="continue"/>
            <w:noWrap/>
            <w:vAlign w:val="center"/>
          </w:tcPr>
          <w:p>
            <w:pPr>
              <w:snapToGrid w:val="0"/>
              <w:jc w:val="center"/>
              <w:rPr>
                <w:rFonts w:hint="eastAsia" w:ascii="宋体" w:hAnsi="宋体" w:cs="仿宋_GB2312"/>
                <w:color w:val="auto"/>
                <w:sz w:val="21"/>
                <w:szCs w:val="21"/>
                <w:highlight w:val="none"/>
                <w:lang w:val="en-US" w:eastAsia="zh-CN"/>
              </w:rPr>
            </w:pPr>
          </w:p>
        </w:tc>
        <w:tc>
          <w:tcPr>
            <w:tcW w:w="3127" w:type="pct"/>
            <w:noWrap/>
            <w:vAlign w:val="center"/>
          </w:tcPr>
          <w:p>
            <w:pPr>
              <w:bidi w:val="0"/>
              <w:rPr>
                <w:rFonts w:hint="eastAsia"/>
                <w:color w:val="auto"/>
                <w:highlight w:val="none"/>
                <w:lang w:val="en-US" w:eastAsia="zh-CN"/>
              </w:rPr>
            </w:pPr>
            <w:r>
              <w:rPr>
                <w:rFonts w:hint="eastAsia"/>
                <w:color w:val="auto"/>
                <w:highlight w:val="none"/>
                <w:lang w:val="en-US" w:eastAsia="zh-CN"/>
              </w:rPr>
              <w:t>多媒体展项：</w:t>
            </w:r>
            <w:r>
              <w:rPr>
                <w:rFonts w:hint="eastAsia" w:ascii="宋体" w:hAnsi="宋体" w:eastAsia="宋体" w:cs="宋体"/>
                <w:i w:val="0"/>
                <w:iCs w:val="0"/>
                <w:color w:val="auto"/>
                <w:kern w:val="0"/>
                <w:sz w:val="21"/>
                <w:szCs w:val="21"/>
                <w:highlight w:val="none"/>
                <w:u w:val="none"/>
                <w:lang w:val="en-US" w:eastAsia="zh-CN" w:bidi="ar"/>
              </w:rPr>
              <w:t>多媒体展项的硬件设备及软件的设计，包括功能设计、互动描述以及与现场空间的协调等设计。</w:t>
            </w:r>
            <w:r>
              <w:rPr>
                <w:rFonts w:hint="eastAsia"/>
                <w:color w:val="auto"/>
                <w:highlight w:val="none"/>
                <w:lang w:val="en-US" w:eastAsia="zh-CN"/>
              </w:rPr>
              <w:t>方案全面、可行、合理的得5分；</w:t>
            </w:r>
          </w:p>
          <w:p>
            <w:pPr>
              <w:bidi w:val="0"/>
              <w:rPr>
                <w:rFonts w:hint="eastAsia"/>
                <w:color w:val="auto"/>
                <w:highlight w:val="none"/>
                <w:lang w:val="en-US" w:eastAsia="zh-CN"/>
              </w:rPr>
            </w:pPr>
            <w:r>
              <w:rPr>
                <w:rFonts w:hint="eastAsia"/>
                <w:color w:val="auto"/>
                <w:highlight w:val="none"/>
                <w:lang w:val="en-US" w:eastAsia="zh-CN"/>
              </w:rPr>
              <w:t>较全面、可行、较合理的得4分；</w:t>
            </w:r>
          </w:p>
          <w:p>
            <w:pPr>
              <w:bidi w:val="0"/>
              <w:rPr>
                <w:rFonts w:hint="eastAsia"/>
                <w:color w:val="auto"/>
                <w:highlight w:val="none"/>
                <w:lang w:val="en-US" w:eastAsia="zh-CN"/>
              </w:rPr>
            </w:pPr>
            <w:r>
              <w:rPr>
                <w:rFonts w:hint="eastAsia"/>
                <w:color w:val="auto"/>
                <w:highlight w:val="none"/>
                <w:lang w:val="en-US" w:eastAsia="zh-CN"/>
              </w:rPr>
              <w:t>基本全面、可行、合理的得3分；</w:t>
            </w:r>
          </w:p>
          <w:p>
            <w:pPr>
              <w:bidi w:val="0"/>
              <w:rPr>
                <w:rFonts w:hint="default"/>
                <w:color w:val="auto"/>
                <w:highlight w:val="none"/>
                <w:lang w:val="en-US" w:eastAsia="zh-CN"/>
              </w:rPr>
            </w:pPr>
            <w:r>
              <w:rPr>
                <w:rFonts w:hint="eastAsia"/>
                <w:color w:val="auto"/>
                <w:highlight w:val="none"/>
                <w:lang w:val="en-US" w:eastAsia="zh-CN"/>
              </w:rPr>
              <w:t>方案内容简单的得2分；</w:t>
            </w:r>
          </w:p>
          <w:p>
            <w:pPr>
              <w:bidi w:val="0"/>
              <w:rPr>
                <w:rFonts w:hint="eastAsia"/>
                <w:color w:val="auto"/>
                <w:highlight w:val="none"/>
                <w:lang w:val="en-US" w:eastAsia="zh-CN"/>
              </w:rPr>
            </w:pPr>
            <w:r>
              <w:rPr>
                <w:rFonts w:hint="eastAsia"/>
                <w:color w:val="auto"/>
                <w:highlight w:val="none"/>
                <w:lang w:val="en-US" w:eastAsia="zh-CN"/>
              </w:rPr>
              <w:t>方案内容不全的或有所欠缺得1分，</w:t>
            </w:r>
          </w:p>
          <w:p>
            <w:pPr>
              <w:bidi w:val="0"/>
              <w:rPr>
                <w:rFonts w:hint="eastAsia"/>
                <w:color w:val="auto"/>
                <w:highlight w:val="none"/>
                <w:lang w:val="en-US" w:eastAsia="zh-CN"/>
              </w:rPr>
            </w:pPr>
            <w:r>
              <w:rPr>
                <w:rFonts w:hint="eastAsia"/>
                <w:color w:val="auto"/>
                <w:highlight w:val="none"/>
                <w:lang w:val="en-US" w:eastAsia="zh-CN"/>
              </w:rPr>
              <w:t>不提供不得分。</w:t>
            </w:r>
          </w:p>
        </w:tc>
        <w:tc>
          <w:tcPr>
            <w:tcW w:w="307" w:type="pct"/>
            <w:noWrap/>
            <w:vAlign w:val="center"/>
          </w:tcPr>
          <w:p>
            <w:pPr>
              <w:snapToGrid w:val="0"/>
              <w:jc w:val="center"/>
              <w:rPr>
                <w:rFonts w:hint="default" w:ascii="宋体" w:hAnsi="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5</w:t>
            </w:r>
          </w:p>
        </w:tc>
        <w:tc>
          <w:tcPr>
            <w:tcW w:w="524" w:type="pct"/>
            <w:noWrap/>
            <w:vAlign w:val="center"/>
          </w:tcPr>
          <w:p>
            <w:pPr>
              <w:snapToGrid w:val="0"/>
              <w:jc w:val="center"/>
              <w:rPr>
                <w:rFonts w:hint="default" w:ascii="宋体" w:hAnsi="宋体" w:cs="仿宋_GB2312"/>
                <w:bCs/>
                <w:color w:val="auto"/>
                <w:sz w:val="21"/>
                <w:szCs w:val="21"/>
                <w:highlight w:val="none"/>
                <w:lang w:val="en-US" w:eastAsia="zh-CN"/>
              </w:rPr>
            </w:pPr>
            <w:r>
              <w:rPr>
                <w:rFonts w:hint="eastAsia" w:ascii="宋体" w:hAnsi="宋体" w:cs="仿宋_GB2312"/>
                <w:bCs/>
                <w:color w:val="auto"/>
                <w:sz w:val="21"/>
                <w:szCs w:val="21"/>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3" w:hRule="atLeast"/>
        </w:trPr>
        <w:tc>
          <w:tcPr>
            <w:tcW w:w="339" w:type="pct"/>
            <w:vMerge w:val="continue"/>
            <w:noWrap/>
            <w:vAlign w:val="center"/>
          </w:tcPr>
          <w:p>
            <w:pPr>
              <w:snapToGrid w:val="0"/>
              <w:jc w:val="center"/>
              <w:rPr>
                <w:rFonts w:hint="eastAsia" w:ascii="宋体" w:hAnsi="宋体" w:cs="仿宋_GB2312"/>
                <w:color w:val="auto"/>
                <w:sz w:val="21"/>
                <w:szCs w:val="21"/>
                <w:highlight w:val="none"/>
                <w:lang w:val="en-US" w:eastAsia="zh-CN"/>
              </w:rPr>
            </w:pPr>
          </w:p>
        </w:tc>
        <w:tc>
          <w:tcPr>
            <w:tcW w:w="701" w:type="pct"/>
            <w:vMerge w:val="continue"/>
            <w:noWrap/>
            <w:vAlign w:val="center"/>
          </w:tcPr>
          <w:p>
            <w:pPr>
              <w:snapToGrid w:val="0"/>
              <w:jc w:val="center"/>
              <w:rPr>
                <w:rFonts w:hint="eastAsia" w:ascii="宋体" w:hAnsi="宋体" w:cs="仿宋_GB2312"/>
                <w:color w:val="auto"/>
                <w:sz w:val="21"/>
                <w:szCs w:val="21"/>
                <w:highlight w:val="none"/>
                <w:lang w:val="en-US" w:eastAsia="zh-CN"/>
              </w:rPr>
            </w:pPr>
          </w:p>
        </w:tc>
        <w:tc>
          <w:tcPr>
            <w:tcW w:w="3127" w:type="pct"/>
            <w:noWrap/>
            <w:vAlign w:val="center"/>
          </w:tcPr>
          <w:p>
            <w:pPr>
              <w:bidi w:val="0"/>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展陈美工设计：对所有展陈立面及美工制作进行设计，完成各级标题、展面、立面设计，达到图像及文字描述对位，每一展面均得到充分表现，设计文件需包含美工材质、尺寸及工艺方案。</w:t>
            </w:r>
          </w:p>
          <w:p>
            <w:pPr>
              <w:bidi w:val="0"/>
              <w:rPr>
                <w:rFonts w:hint="eastAsia"/>
                <w:color w:val="auto"/>
                <w:highlight w:val="none"/>
                <w:lang w:val="en-US" w:eastAsia="zh-CN"/>
              </w:rPr>
            </w:pPr>
            <w:r>
              <w:rPr>
                <w:rFonts w:hint="eastAsia"/>
                <w:color w:val="auto"/>
                <w:highlight w:val="none"/>
                <w:lang w:val="en-US" w:eastAsia="zh-CN"/>
              </w:rPr>
              <w:t>方案全面、可行、合理的得5分；</w:t>
            </w:r>
          </w:p>
          <w:p>
            <w:pPr>
              <w:bidi w:val="0"/>
              <w:rPr>
                <w:rFonts w:hint="eastAsia"/>
                <w:color w:val="auto"/>
                <w:highlight w:val="none"/>
                <w:lang w:val="en-US" w:eastAsia="zh-CN"/>
              </w:rPr>
            </w:pPr>
            <w:r>
              <w:rPr>
                <w:rFonts w:hint="eastAsia"/>
                <w:color w:val="auto"/>
                <w:highlight w:val="none"/>
                <w:lang w:val="en-US" w:eastAsia="zh-CN"/>
              </w:rPr>
              <w:t>较全面、可行、较合理的得4分；</w:t>
            </w:r>
          </w:p>
          <w:p>
            <w:pPr>
              <w:bidi w:val="0"/>
              <w:rPr>
                <w:rFonts w:hint="eastAsia"/>
                <w:color w:val="auto"/>
                <w:highlight w:val="none"/>
                <w:lang w:val="en-US" w:eastAsia="zh-CN"/>
              </w:rPr>
            </w:pPr>
            <w:r>
              <w:rPr>
                <w:rFonts w:hint="eastAsia"/>
                <w:color w:val="auto"/>
                <w:highlight w:val="none"/>
                <w:lang w:val="en-US" w:eastAsia="zh-CN"/>
              </w:rPr>
              <w:t>基本全面、可行、合理的得3分；</w:t>
            </w:r>
          </w:p>
          <w:p>
            <w:pPr>
              <w:bidi w:val="0"/>
              <w:rPr>
                <w:rFonts w:hint="default"/>
                <w:color w:val="auto"/>
                <w:highlight w:val="none"/>
                <w:lang w:val="en-US" w:eastAsia="zh-CN"/>
              </w:rPr>
            </w:pPr>
            <w:r>
              <w:rPr>
                <w:rFonts w:hint="eastAsia"/>
                <w:color w:val="auto"/>
                <w:highlight w:val="none"/>
                <w:lang w:val="en-US" w:eastAsia="zh-CN"/>
              </w:rPr>
              <w:t>方案内容简单的得2分；</w:t>
            </w:r>
          </w:p>
          <w:p>
            <w:pPr>
              <w:bidi w:val="0"/>
              <w:rPr>
                <w:rFonts w:hint="eastAsia"/>
                <w:color w:val="auto"/>
                <w:highlight w:val="none"/>
                <w:lang w:val="en-US" w:eastAsia="zh-CN"/>
              </w:rPr>
            </w:pPr>
            <w:r>
              <w:rPr>
                <w:rFonts w:hint="eastAsia"/>
                <w:color w:val="auto"/>
                <w:highlight w:val="none"/>
                <w:lang w:val="en-US" w:eastAsia="zh-CN"/>
              </w:rPr>
              <w:t>方案内容不全的或有所欠缺得1分，</w:t>
            </w:r>
          </w:p>
          <w:p>
            <w:pPr>
              <w:bidi w:val="0"/>
              <w:rPr>
                <w:rFonts w:hint="eastAsia"/>
                <w:color w:val="auto"/>
                <w:highlight w:val="none"/>
                <w:lang w:val="en-US" w:eastAsia="zh-CN"/>
              </w:rPr>
            </w:pPr>
            <w:r>
              <w:rPr>
                <w:rFonts w:hint="eastAsia"/>
                <w:color w:val="auto"/>
                <w:highlight w:val="none"/>
                <w:lang w:val="en-US" w:eastAsia="zh-CN"/>
              </w:rPr>
              <w:t>不提供不得分。</w:t>
            </w:r>
          </w:p>
        </w:tc>
        <w:tc>
          <w:tcPr>
            <w:tcW w:w="307" w:type="pct"/>
            <w:noWrap/>
            <w:vAlign w:val="center"/>
          </w:tcPr>
          <w:p>
            <w:pPr>
              <w:snapToGrid w:val="0"/>
              <w:jc w:val="center"/>
              <w:rPr>
                <w:rFonts w:hint="default" w:ascii="宋体" w:hAnsi="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5</w:t>
            </w:r>
          </w:p>
        </w:tc>
        <w:tc>
          <w:tcPr>
            <w:tcW w:w="524" w:type="pct"/>
            <w:noWrap/>
            <w:vAlign w:val="center"/>
          </w:tcPr>
          <w:p>
            <w:pPr>
              <w:snapToGrid w:val="0"/>
              <w:jc w:val="center"/>
              <w:rPr>
                <w:rFonts w:hint="default" w:ascii="宋体" w:hAnsi="宋体" w:cs="仿宋_GB2312"/>
                <w:bCs/>
                <w:color w:val="auto"/>
                <w:sz w:val="21"/>
                <w:szCs w:val="21"/>
                <w:highlight w:val="none"/>
                <w:lang w:val="en-US" w:eastAsia="zh-CN"/>
              </w:rPr>
            </w:pPr>
            <w:r>
              <w:rPr>
                <w:rFonts w:hint="eastAsia" w:ascii="宋体" w:hAnsi="宋体" w:cs="仿宋_GB2312"/>
                <w:bCs/>
                <w:color w:val="auto"/>
                <w:sz w:val="21"/>
                <w:szCs w:val="21"/>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3" w:hRule="atLeast"/>
        </w:trPr>
        <w:tc>
          <w:tcPr>
            <w:tcW w:w="339" w:type="pct"/>
            <w:vMerge w:val="continue"/>
            <w:noWrap/>
            <w:vAlign w:val="center"/>
          </w:tcPr>
          <w:p>
            <w:pPr>
              <w:snapToGrid w:val="0"/>
              <w:jc w:val="center"/>
              <w:rPr>
                <w:rFonts w:hint="eastAsia" w:ascii="宋体" w:hAnsi="宋体" w:cs="仿宋_GB2312"/>
                <w:color w:val="auto"/>
                <w:sz w:val="21"/>
                <w:szCs w:val="21"/>
                <w:highlight w:val="none"/>
                <w:lang w:val="en-US" w:eastAsia="zh-CN"/>
              </w:rPr>
            </w:pPr>
          </w:p>
        </w:tc>
        <w:tc>
          <w:tcPr>
            <w:tcW w:w="701" w:type="pct"/>
            <w:vMerge w:val="continue"/>
            <w:noWrap/>
            <w:vAlign w:val="center"/>
          </w:tcPr>
          <w:p>
            <w:pPr>
              <w:snapToGrid w:val="0"/>
              <w:jc w:val="center"/>
              <w:rPr>
                <w:rFonts w:hint="eastAsia" w:ascii="宋体" w:hAnsi="宋体" w:cs="仿宋_GB2312"/>
                <w:color w:val="auto"/>
                <w:sz w:val="21"/>
                <w:szCs w:val="21"/>
                <w:highlight w:val="none"/>
                <w:lang w:val="en-US" w:eastAsia="zh-CN"/>
              </w:rPr>
            </w:pPr>
          </w:p>
        </w:tc>
        <w:tc>
          <w:tcPr>
            <w:tcW w:w="3127" w:type="pct"/>
            <w:noWrap/>
            <w:vAlign w:val="center"/>
          </w:tcPr>
          <w:p>
            <w:pPr>
              <w:bidi w:val="0"/>
              <w:rPr>
                <w:rFonts w:hint="eastAsia" w:ascii="宋体" w:hAnsi="宋体" w:eastAsia="宋体" w:cs="宋体"/>
                <w:i w:val="0"/>
                <w:iCs w:val="0"/>
                <w:color w:val="auto"/>
                <w:kern w:val="0"/>
                <w:sz w:val="21"/>
                <w:szCs w:val="21"/>
                <w:highlight w:val="none"/>
                <w:u w:val="none"/>
                <w:lang w:val="en-US" w:eastAsia="zh-CN" w:bidi="ar"/>
              </w:rPr>
            </w:pPr>
            <w:r>
              <w:rPr>
                <w:rFonts w:hint="eastAsia"/>
                <w:color w:val="auto"/>
                <w:highlight w:val="none"/>
                <w:lang w:val="en-US" w:eastAsia="zh-CN"/>
              </w:rPr>
              <w:t>方案演示：</w:t>
            </w:r>
            <w:r>
              <w:rPr>
                <w:rFonts w:hint="eastAsia" w:ascii="宋体" w:hAnsi="宋体" w:eastAsia="宋体" w:cs="宋体"/>
                <w:i w:val="0"/>
                <w:iCs w:val="0"/>
                <w:color w:val="auto"/>
                <w:kern w:val="0"/>
                <w:sz w:val="21"/>
                <w:szCs w:val="21"/>
                <w:highlight w:val="none"/>
                <w:u w:val="none"/>
                <w:lang w:val="en-US" w:eastAsia="zh-CN" w:bidi="ar"/>
              </w:rPr>
              <w:t>依据各供应商方案演示与介绍的情况，针对主题明确情况、创意新颖性、内容完善度、脉络清晰度等进行评审。</w:t>
            </w:r>
          </w:p>
          <w:p>
            <w:pPr>
              <w:bidi w:val="0"/>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主题明确、创意新颖、内容完善、脉络清晰的得5分；</w:t>
            </w:r>
          </w:p>
          <w:p>
            <w:pPr>
              <w:bidi w:val="0"/>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主题较为明确、创意较为新颖、内容较为完善、脉络较为清晰的得3分；</w:t>
            </w:r>
          </w:p>
          <w:p>
            <w:pPr>
              <w:bidi w:val="0"/>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主题模糊、创意一般、内容简单、脉络不清的得1分；</w:t>
            </w:r>
          </w:p>
          <w:p>
            <w:pPr>
              <w:bidi w:val="0"/>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未提供的不得分。</w:t>
            </w:r>
          </w:p>
        </w:tc>
        <w:tc>
          <w:tcPr>
            <w:tcW w:w="307" w:type="pct"/>
            <w:noWrap/>
            <w:vAlign w:val="center"/>
          </w:tcPr>
          <w:p>
            <w:pPr>
              <w:snapToGrid w:val="0"/>
              <w:jc w:val="center"/>
              <w:rPr>
                <w:rFonts w:hint="default" w:ascii="宋体" w:hAnsi="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5</w:t>
            </w:r>
          </w:p>
        </w:tc>
        <w:tc>
          <w:tcPr>
            <w:tcW w:w="524" w:type="pct"/>
            <w:noWrap/>
            <w:vAlign w:val="center"/>
          </w:tcPr>
          <w:p>
            <w:pPr>
              <w:snapToGrid w:val="0"/>
              <w:jc w:val="center"/>
              <w:rPr>
                <w:rFonts w:hint="default" w:ascii="宋体" w:hAnsi="宋体" w:cs="仿宋_GB2312"/>
                <w:bCs/>
                <w:color w:val="auto"/>
                <w:sz w:val="21"/>
                <w:szCs w:val="21"/>
                <w:highlight w:val="none"/>
                <w:lang w:val="en-US" w:eastAsia="zh-CN"/>
              </w:rPr>
            </w:pPr>
            <w:r>
              <w:rPr>
                <w:rFonts w:hint="eastAsia" w:ascii="宋体" w:hAnsi="宋体" w:cs="仿宋_GB2312"/>
                <w:bCs/>
                <w:color w:val="auto"/>
                <w:sz w:val="21"/>
                <w:szCs w:val="21"/>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5" w:hRule="atLeast"/>
        </w:trPr>
        <w:tc>
          <w:tcPr>
            <w:tcW w:w="339" w:type="pct"/>
            <w:vMerge w:val="restart"/>
            <w:noWrap/>
            <w:vAlign w:val="center"/>
          </w:tcPr>
          <w:p>
            <w:pPr>
              <w:snapToGrid w:val="0"/>
              <w:jc w:val="center"/>
              <w:rPr>
                <w:rFonts w:hint="default" w:ascii="宋体" w:hAnsi="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5</w:t>
            </w:r>
          </w:p>
        </w:tc>
        <w:tc>
          <w:tcPr>
            <w:tcW w:w="701" w:type="pct"/>
            <w:vMerge w:val="restart"/>
            <w:noWrap/>
            <w:vAlign w:val="center"/>
          </w:tcPr>
          <w:p>
            <w:pPr>
              <w:snapToGrid w:val="0"/>
              <w:jc w:val="center"/>
              <w:rPr>
                <w:rFonts w:hint="default" w:ascii="宋体" w:hAnsi="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服务方案</w:t>
            </w:r>
          </w:p>
        </w:tc>
        <w:tc>
          <w:tcPr>
            <w:tcW w:w="3127" w:type="pct"/>
            <w:noWrap/>
            <w:vAlign w:val="center"/>
          </w:tcPr>
          <w:p>
            <w:pPr>
              <w:pStyle w:val="9"/>
              <w:rPr>
                <w:rFonts w:ascii="宋体" w:hAnsi="宋体" w:cs="宋体"/>
                <w:color w:val="auto"/>
                <w:sz w:val="21"/>
                <w:szCs w:val="21"/>
                <w:highlight w:val="none"/>
              </w:rPr>
            </w:pPr>
            <w:r>
              <w:rPr>
                <w:rFonts w:hint="eastAsia" w:ascii="宋体" w:hAnsi="宋体" w:cs="宋体"/>
                <w:color w:val="auto"/>
                <w:sz w:val="21"/>
                <w:szCs w:val="21"/>
                <w:highlight w:val="none"/>
              </w:rPr>
              <w:t>对本项目重点及难点问题剖析是否准确、认识是否深刻透彻，技术建议及主要对策。</w:t>
            </w:r>
          </w:p>
          <w:p>
            <w:pPr>
              <w:pStyle w:val="9"/>
              <w:rPr>
                <w:rFonts w:ascii="宋体" w:hAnsi="宋体" w:cs="宋体"/>
                <w:color w:val="auto"/>
                <w:sz w:val="21"/>
                <w:szCs w:val="21"/>
                <w:highlight w:val="none"/>
              </w:rPr>
            </w:pPr>
            <w:r>
              <w:rPr>
                <w:rFonts w:ascii="宋体" w:hAnsi="宋体" w:cs="宋体"/>
                <w:color w:val="auto"/>
                <w:sz w:val="21"/>
                <w:szCs w:val="21"/>
                <w:highlight w:val="none"/>
              </w:rPr>
              <w:t>能够贴合项目实际情况，切合实际、合理可行、全面详细的得3分；</w:t>
            </w:r>
          </w:p>
          <w:p>
            <w:pPr>
              <w:pStyle w:val="9"/>
              <w:rPr>
                <w:rFonts w:ascii="宋体" w:hAnsi="宋体" w:cs="宋体"/>
                <w:color w:val="auto"/>
                <w:sz w:val="21"/>
                <w:szCs w:val="21"/>
                <w:highlight w:val="none"/>
              </w:rPr>
            </w:pPr>
            <w:r>
              <w:rPr>
                <w:rFonts w:ascii="宋体" w:hAnsi="宋体" w:cs="宋体"/>
                <w:color w:val="auto"/>
                <w:sz w:val="21"/>
                <w:szCs w:val="21"/>
                <w:highlight w:val="none"/>
              </w:rPr>
              <w:t>基本符合实际、可行详细的得2分；</w:t>
            </w:r>
          </w:p>
          <w:p>
            <w:pPr>
              <w:pStyle w:val="9"/>
              <w:rPr>
                <w:rFonts w:ascii="宋体" w:hAnsi="宋体" w:cs="宋体"/>
                <w:color w:val="auto"/>
                <w:sz w:val="21"/>
                <w:szCs w:val="21"/>
                <w:highlight w:val="none"/>
              </w:rPr>
            </w:pPr>
            <w:r>
              <w:rPr>
                <w:rFonts w:ascii="宋体" w:hAnsi="宋体" w:cs="宋体"/>
                <w:color w:val="auto"/>
                <w:sz w:val="21"/>
                <w:szCs w:val="21"/>
                <w:highlight w:val="none"/>
              </w:rPr>
              <w:t>思路不切实际、可行性较差的得1分；</w:t>
            </w:r>
          </w:p>
          <w:p>
            <w:pPr>
              <w:pStyle w:val="9"/>
              <w:rPr>
                <w:rFonts w:hint="eastAsia" w:ascii="宋体" w:hAnsi="宋体" w:eastAsia="宋体" w:cs="宋体"/>
                <w:i w:val="0"/>
                <w:iCs w:val="0"/>
                <w:color w:val="auto"/>
                <w:kern w:val="0"/>
                <w:sz w:val="21"/>
                <w:szCs w:val="21"/>
                <w:highlight w:val="none"/>
                <w:u w:val="none"/>
                <w:lang w:val="en-US" w:eastAsia="zh-CN" w:bidi="ar"/>
              </w:rPr>
            </w:pPr>
            <w:r>
              <w:rPr>
                <w:rFonts w:ascii="宋体" w:hAnsi="宋体" w:cs="宋体"/>
                <w:color w:val="auto"/>
                <w:sz w:val="21"/>
                <w:szCs w:val="21"/>
                <w:highlight w:val="none"/>
              </w:rPr>
              <w:t>未提供不得分</w:t>
            </w:r>
            <w:r>
              <w:rPr>
                <w:rFonts w:hint="eastAsia" w:ascii="宋体" w:hAnsi="宋体" w:cs="宋体"/>
                <w:color w:val="auto"/>
                <w:sz w:val="21"/>
                <w:szCs w:val="21"/>
                <w:highlight w:val="none"/>
              </w:rPr>
              <w:t>。</w:t>
            </w:r>
          </w:p>
        </w:tc>
        <w:tc>
          <w:tcPr>
            <w:tcW w:w="307" w:type="pct"/>
            <w:noWrap/>
            <w:vAlign w:val="center"/>
          </w:tcPr>
          <w:p>
            <w:pPr>
              <w:widowControl/>
              <w:jc w:val="center"/>
              <w:rPr>
                <w:rFonts w:hint="default" w:ascii="宋体" w:hAnsi="宋体" w:cs="仿宋_GB2312"/>
                <w:color w:val="auto"/>
                <w:sz w:val="21"/>
                <w:szCs w:val="21"/>
                <w:highlight w:val="none"/>
                <w:lang w:val="en-US" w:eastAsia="zh-CN"/>
              </w:rPr>
            </w:pPr>
            <w:r>
              <w:rPr>
                <w:rFonts w:hint="eastAsia" w:ascii="宋体" w:hAnsi="宋体" w:cs="仿宋_GB2312"/>
                <w:color w:val="auto"/>
                <w:sz w:val="21"/>
                <w:szCs w:val="21"/>
                <w:highlight w:val="none"/>
              </w:rPr>
              <w:t>3</w:t>
            </w:r>
          </w:p>
        </w:tc>
        <w:tc>
          <w:tcPr>
            <w:tcW w:w="524" w:type="pct"/>
            <w:noWrap/>
            <w:vAlign w:val="center"/>
          </w:tcPr>
          <w:p>
            <w:pPr>
              <w:snapToGrid w:val="0"/>
              <w:jc w:val="center"/>
              <w:rPr>
                <w:rFonts w:hint="default" w:ascii="宋体" w:hAnsi="宋体" w:cs="仿宋_GB2312"/>
                <w:bCs/>
                <w:color w:val="auto"/>
                <w:sz w:val="21"/>
                <w:szCs w:val="21"/>
                <w:highlight w:val="none"/>
                <w:lang w:val="en-US" w:eastAsia="zh-CN"/>
              </w:rPr>
            </w:pPr>
            <w:r>
              <w:rPr>
                <w:rFonts w:ascii="宋体" w:hAnsi="宋体" w:cs="仿宋_GB2312"/>
                <w:color w:val="auto"/>
                <w:sz w:val="21"/>
                <w:szCs w:val="21"/>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7" w:hRule="atLeast"/>
        </w:trPr>
        <w:tc>
          <w:tcPr>
            <w:tcW w:w="339" w:type="pct"/>
            <w:vMerge w:val="continue"/>
            <w:noWrap/>
            <w:vAlign w:val="center"/>
          </w:tcPr>
          <w:p>
            <w:pPr>
              <w:snapToGrid w:val="0"/>
              <w:jc w:val="center"/>
              <w:rPr>
                <w:rFonts w:hint="eastAsia" w:ascii="宋体" w:hAnsi="宋体" w:cs="仿宋_GB2312"/>
                <w:color w:val="auto"/>
                <w:sz w:val="21"/>
                <w:szCs w:val="21"/>
                <w:highlight w:val="none"/>
                <w:lang w:val="en-US" w:eastAsia="zh-CN"/>
              </w:rPr>
            </w:pPr>
          </w:p>
        </w:tc>
        <w:tc>
          <w:tcPr>
            <w:tcW w:w="701" w:type="pct"/>
            <w:vMerge w:val="continue"/>
            <w:noWrap/>
            <w:vAlign w:val="center"/>
          </w:tcPr>
          <w:p>
            <w:pPr>
              <w:snapToGrid w:val="0"/>
              <w:jc w:val="center"/>
              <w:rPr>
                <w:rFonts w:hint="default" w:ascii="宋体" w:hAnsi="宋体" w:cs="仿宋_GB2312"/>
                <w:color w:val="auto"/>
                <w:sz w:val="21"/>
                <w:szCs w:val="21"/>
                <w:highlight w:val="none"/>
                <w:lang w:val="en-US" w:eastAsia="zh-CN"/>
              </w:rPr>
            </w:pPr>
          </w:p>
        </w:tc>
        <w:tc>
          <w:tcPr>
            <w:tcW w:w="3127" w:type="pct"/>
            <w:noWrap/>
            <w:vAlign w:val="center"/>
          </w:tcPr>
          <w:p>
            <w:pPr>
              <w:pStyle w:val="9"/>
              <w:rPr>
                <w:rFonts w:ascii="宋体" w:hAnsi="宋体" w:cs="宋体"/>
                <w:color w:val="auto"/>
                <w:sz w:val="21"/>
                <w:szCs w:val="21"/>
                <w:highlight w:val="none"/>
              </w:rPr>
            </w:pPr>
            <w:r>
              <w:rPr>
                <w:rFonts w:hint="eastAsia" w:ascii="宋体" w:hAnsi="宋体" w:cs="宋体"/>
                <w:color w:val="auto"/>
                <w:sz w:val="21"/>
                <w:szCs w:val="21"/>
                <w:highlight w:val="none"/>
              </w:rPr>
              <w:t>对方案设计阶段、工程设计阶段、工程施工阶段、竣工阶段的服务情况。</w:t>
            </w:r>
          </w:p>
          <w:p>
            <w:pPr>
              <w:pStyle w:val="9"/>
              <w:rPr>
                <w:rFonts w:hint="eastAsia" w:ascii="宋体" w:hAnsi="宋体" w:cs="宋体"/>
                <w:color w:val="auto"/>
                <w:sz w:val="21"/>
                <w:szCs w:val="21"/>
                <w:highlight w:val="none"/>
              </w:rPr>
            </w:pPr>
            <w:r>
              <w:rPr>
                <w:rFonts w:hint="eastAsia" w:ascii="宋体" w:hAnsi="宋体" w:cs="宋体"/>
                <w:color w:val="auto"/>
                <w:sz w:val="21"/>
                <w:szCs w:val="21"/>
                <w:highlight w:val="none"/>
              </w:rPr>
              <w:t>项目设计思路清晰、条理明确，可行性强的得3分；</w:t>
            </w:r>
          </w:p>
          <w:p>
            <w:pPr>
              <w:pStyle w:val="9"/>
              <w:rPr>
                <w:rFonts w:hint="eastAsia" w:ascii="宋体" w:hAnsi="宋体" w:cs="宋体"/>
                <w:color w:val="auto"/>
                <w:sz w:val="21"/>
                <w:szCs w:val="21"/>
                <w:highlight w:val="none"/>
              </w:rPr>
            </w:pPr>
            <w:r>
              <w:rPr>
                <w:rFonts w:hint="eastAsia" w:ascii="宋体" w:hAnsi="宋体" w:cs="宋体"/>
                <w:color w:val="auto"/>
                <w:sz w:val="21"/>
                <w:szCs w:val="21"/>
                <w:highlight w:val="none"/>
              </w:rPr>
              <w:t>项目设计思路较为清晰、条理较为明确，可行性较强的得2分；</w:t>
            </w:r>
          </w:p>
          <w:p>
            <w:pPr>
              <w:pStyle w:val="9"/>
              <w:rPr>
                <w:rFonts w:hint="eastAsia" w:ascii="宋体" w:hAnsi="宋体" w:cs="宋体"/>
                <w:color w:val="auto"/>
                <w:sz w:val="21"/>
                <w:szCs w:val="21"/>
                <w:highlight w:val="none"/>
              </w:rPr>
            </w:pPr>
            <w:r>
              <w:rPr>
                <w:rFonts w:hint="eastAsia" w:ascii="宋体" w:hAnsi="宋体" w:cs="宋体"/>
                <w:color w:val="auto"/>
                <w:sz w:val="21"/>
                <w:szCs w:val="21"/>
                <w:highlight w:val="none"/>
              </w:rPr>
              <w:t>项目设计思路一般、条理一般，有一定可行性的得1分；</w:t>
            </w:r>
          </w:p>
          <w:p>
            <w:pPr>
              <w:pStyle w:val="9"/>
              <w:rPr>
                <w:rFonts w:hint="eastAsia" w:ascii="宋体" w:hAnsi="宋体" w:eastAsia="宋体" w:cs="宋体"/>
                <w:i w:val="0"/>
                <w:iCs w:val="0"/>
                <w:color w:val="auto"/>
                <w:kern w:val="0"/>
                <w:sz w:val="21"/>
                <w:szCs w:val="21"/>
                <w:highlight w:val="none"/>
                <w:u w:val="none"/>
                <w:lang w:val="en-US" w:eastAsia="zh-CN" w:bidi="ar"/>
              </w:rPr>
            </w:pPr>
            <w:r>
              <w:rPr>
                <w:rFonts w:ascii="宋体" w:hAnsi="宋体" w:cs="宋体"/>
                <w:color w:val="auto"/>
                <w:sz w:val="21"/>
                <w:szCs w:val="21"/>
                <w:highlight w:val="none"/>
              </w:rPr>
              <w:t>未提供不得分。</w:t>
            </w:r>
          </w:p>
        </w:tc>
        <w:tc>
          <w:tcPr>
            <w:tcW w:w="307" w:type="pct"/>
            <w:noWrap/>
            <w:vAlign w:val="center"/>
          </w:tcPr>
          <w:p>
            <w:pPr>
              <w:widowControl/>
              <w:jc w:val="center"/>
              <w:rPr>
                <w:rFonts w:hint="default" w:ascii="宋体" w:hAnsi="宋体" w:cs="仿宋_GB2312"/>
                <w:color w:val="auto"/>
                <w:sz w:val="21"/>
                <w:szCs w:val="21"/>
                <w:highlight w:val="none"/>
                <w:lang w:val="en-US" w:eastAsia="zh-CN"/>
              </w:rPr>
            </w:pPr>
            <w:r>
              <w:rPr>
                <w:rFonts w:ascii="宋体" w:hAnsi="宋体" w:cs="仿宋_GB2312"/>
                <w:color w:val="auto"/>
                <w:sz w:val="21"/>
                <w:szCs w:val="21"/>
                <w:highlight w:val="none"/>
              </w:rPr>
              <w:t>3</w:t>
            </w:r>
          </w:p>
        </w:tc>
        <w:tc>
          <w:tcPr>
            <w:tcW w:w="524" w:type="pct"/>
            <w:noWrap/>
            <w:vAlign w:val="center"/>
          </w:tcPr>
          <w:p>
            <w:pPr>
              <w:snapToGrid w:val="0"/>
              <w:jc w:val="center"/>
              <w:rPr>
                <w:rFonts w:hint="default" w:ascii="宋体" w:hAnsi="宋体" w:cs="仿宋_GB2312"/>
                <w:bCs/>
                <w:color w:val="auto"/>
                <w:sz w:val="21"/>
                <w:szCs w:val="21"/>
                <w:highlight w:val="none"/>
                <w:lang w:val="en-US" w:eastAsia="zh-CN"/>
              </w:rPr>
            </w:pPr>
            <w:r>
              <w:rPr>
                <w:rFonts w:ascii="宋体" w:hAnsi="宋体" w:cs="仿宋_GB2312"/>
                <w:color w:val="auto"/>
                <w:sz w:val="21"/>
                <w:szCs w:val="21"/>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7" w:hRule="atLeast"/>
        </w:trPr>
        <w:tc>
          <w:tcPr>
            <w:tcW w:w="339" w:type="pct"/>
            <w:vMerge w:val="continue"/>
            <w:noWrap/>
            <w:vAlign w:val="center"/>
          </w:tcPr>
          <w:p>
            <w:pPr>
              <w:snapToGrid w:val="0"/>
              <w:jc w:val="center"/>
              <w:rPr>
                <w:rFonts w:hint="eastAsia" w:ascii="宋体" w:hAnsi="宋体" w:cs="仿宋_GB2312"/>
                <w:color w:val="auto"/>
                <w:sz w:val="21"/>
                <w:szCs w:val="21"/>
                <w:highlight w:val="none"/>
                <w:lang w:val="en-US" w:eastAsia="zh-CN"/>
              </w:rPr>
            </w:pPr>
          </w:p>
        </w:tc>
        <w:tc>
          <w:tcPr>
            <w:tcW w:w="701" w:type="pct"/>
            <w:vMerge w:val="continue"/>
            <w:noWrap/>
            <w:vAlign w:val="center"/>
          </w:tcPr>
          <w:p>
            <w:pPr>
              <w:snapToGrid w:val="0"/>
              <w:jc w:val="center"/>
              <w:rPr>
                <w:rFonts w:hint="default" w:ascii="宋体" w:hAnsi="宋体" w:cs="仿宋_GB2312"/>
                <w:color w:val="auto"/>
                <w:sz w:val="21"/>
                <w:szCs w:val="21"/>
                <w:highlight w:val="none"/>
                <w:lang w:val="en-US" w:eastAsia="zh-CN"/>
              </w:rPr>
            </w:pPr>
          </w:p>
        </w:tc>
        <w:tc>
          <w:tcPr>
            <w:tcW w:w="3127" w:type="pct"/>
            <w:noWrap/>
            <w:vAlign w:val="center"/>
          </w:tcPr>
          <w:p>
            <w:pPr>
              <w:pStyle w:val="9"/>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主要材料选择方案：</w:t>
            </w:r>
          </w:p>
          <w:p>
            <w:pPr>
              <w:pStyle w:val="9"/>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选材节能、环保、合理的得3分；</w:t>
            </w:r>
          </w:p>
          <w:p>
            <w:pPr>
              <w:pStyle w:val="9"/>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节能、环保、基本合理的得2分；</w:t>
            </w:r>
          </w:p>
          <w:p>
            <w:pPr>
              <w:pStyle w:val="9"/>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基本合理的得1分；</w:t>
            </w:r>
          </w:p>
          <w:p>
            <w:pPr>
              <w:pStyle w:val="9"/>
              <w:rPr>
                <w:rFonts w:hint="default" w:ascii="宋体" w:hAnsi="宋体" w:cs="宋体"/>
                <w:color w:val="auto"/>
                <w:sz w:val="21"/>
                <w:szCs w:val="21"/>
                <w:highlight w:val="none"/>
                <w:lang w:val="en-US"/>
              </w:rPr>
            </w:pPr>
            <w:r>
              <w:rPr>
                <w:rFonts w:hint="eastAsia" w:ascii="宋体" w:hAnsi="宋体" w:cs="宋体"/>
                <w:color w:val="auto"/>
                <w:sz w:val="21"/>
                <w:szCs w:val="21"/>
                <w:highlight w:val="none"/>
                <w:lang w:val="en-US" w:eastAsia="zh-CN"/>
              </w:rPr>
              <w:t>不提供不得分。</w:t>
            </w:r>
          </w:p>
        </w:tc>
        <w:tc>
          <w:tcPr>
            <w:tcW w:w="307" w:type="pct"/>
            <w:noWrap/>
            <w:vAlign w:val="center"/>
          </w:tcPr>
          <w:p>
            <w:pPr>
              <w:widowControl/>
              <w:jc w:val="center"/>
              <w:rPr>
                <w:rFonts w:hint="eastAsia" w:ascii="宋体" w:hAnsi="宋体" w:eastAsia="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3</w:t>
            </w:r>
          </w:p>
        </w:tc>
        <w:tc>
          <w:tcPr>
            <w:tcW w:w="524" w:type="pct"/>
            <w:noWrap/>
            <w:vAlign w:val="center"/>
          </w:tcPr>
          <w:p>
            <w:pPr>
              <w:snapToGrid w:val="0"/>
              <w:jc w:val="center"/>
              <w:rPr>
                <w:rFonts w:hint="eastAsia" w:ascii="宋体" w:hAnsi="宋体" w:eastAsia="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1" w:hRule="atLeast"/>
        </w:trPr>
        <w:tc>
          <w:tcPr>
            <w:tcW w:w="339" w:type="pct"/>
            <w:vMerge w:val="continue"/>
            <w:noWrap/>
            <w:vAlign w:val="center"/>
          </w:tcPr>
          <w:p>
            <w:pPr>
              <w:snapToGrid w:val="0"/>
              <w:jc w:val="center"/>
              <w:rPr>
                <w:rFonts w:hint="eastAsia" w:ascii="宋体" w:hAnsi="宋体" w:cs="仿宋_GB2312"/>
                <w:color w:val="auto"/>
                <w:sz w:val="21"/>
                <w:szCs w:val="21"/>
                <w:highlight w:val="none"/>
                <w:lang w:val="en-US" w:eastAsia="zh-CN"/>
              </w:rPr>
            </w:pPr>
          </w:p>
        </w:tc>
        <w:tc>
          <w:tcPr>
            <w:tcW w:w="701" w:type="pct"/>
            <w:vMerge w:val="continue"/>
            <w:noWrap/>
            <w:vAlign w:val="center"/>
          </w:tcPr>
          <w:p>
            <w:pPr>
              <w:snapToGrid w:val="0"/>
              <w:jc w:val="center"/>
              <w:rPr>
                <w:rFonts w:hint="default" w:ascii="宋体" w:hAnsi="宋体" w:cs="仿宋_GB2312"/>
                <w:color w:val="auto"/>
                <w:sz w:val="21"/>
                <w:szCs w:val="21"/>
                <w:highlight w:val="none"/>
                <w:lang w:val="en-US" w:eastAsia="zh-CN"/>
              </w:rPr>
            </w:pPr>
          </w:p>
        </w:tc>
        <w:tc>
          <w:tcPr>
            <w:tcW w:w="3127" w:type="pct"/>
            <w:noWrap/>
            <w:vAlign w:val="center"/>
          </w:tcPr>
          <w:p>
            <w:pPr>
              <w:pStyle w:val="9"/>
              <w:rPr>
                <w:rFonts w:ascii="宋体" w:hAnsi="宋体" w:cs="宋体"/>
                <w:color w:val="auto"/>
                <w:sz w:val="21"/>
                <w:szCs w:val="21"/>
                <w:highlight w:val="none"/>
              </w:rPr>
            </w:pPr>
            <w:r>
              <w:rPr>
                <w:rFonts w:ascii="宋体" w:hAnsi="宋体" w:cs="宋体"/>
                <w:color w:val="auto"/>
                <w:sz w:val="21"/>
                <w:szCs w:val="21"/>
                <w:highlight w:val="none"/>
              </w:rPr>
              <w:t>对项目</w:t>
            </w:r>
            <w:r>
              <w:rPr>
                <w:rFonts w:hint="eastAsia" w:ascii="宋体" w:hAnsi="宋体" w:cs="宋体"/>
                <w:color w:val="auto"/>
                <w:sz w:val="21"/>
                <w:szCs w:val="21"/>
                <w:highlight w:val="none"/>
              </w:rPr>
              <w:t>费用</w:t>
            </w:r>
            <w:r>
              <w:rPr>
                <w:rFonts w:ascii="宋体" w:hAnsi="宋体" w:cs="宋体"/>
                <w:color w:val="auto"/>
                <w:sz w:val="21"/>
                <w:szCs w:val="21"/>
                <w:highlight w:val="none"/>
              </w:rPr>
              <w:t>控制</w:t>
            </w:r>
            <w:r>
              <w:rPr>
                <w:rFonts w:hint="eastAsia" w:ascii="宋体" w:hAnsi="宋体" w:cs="宋体"/>
                <w:color w:val="auto"/>
                <w:sz w:val="21"/>
                <w:szCs w:val="21"/>
                <w:highlight w:val="none"/>
              </w:rPr>
              <w:t>情况</w:t>
            </w:r>
            <w:r>
              <w:rPr>
                <w:rFonts w:ascii="宋体" w:hAnsi="宋体" w:cs="宋体"/>
                <w:color w:val="auto"/>
                <w:sz w:val="21"/>
                <w:szCs w:val="21"/>
                <w:highlight w:val="none"/>
              </w:rPr>
              <w:t>。</w:t>
            </w:r>
          </w:p>
          <w:p>
            <w:pPr>
              <w:pStyle w:val="9"/>
              <w:rPr>
                <w:rFonts w:ascii="宋体" w:hAnsi="宋体" w:cs="宋体"/>
                <w:color w:val="auto"/>
                <w:sz w:val="21"/>
                <w:szCs w:val="21"/>
                <w:highlight w:val="none"/>
              </w:rPr>
            </w:pPr>
            <w:r>
              <w:rPr>
                <w:rFonts w:hint="eastAsia" w:ascii="宋体" w:hAnsi="宋体" w:cs="宋体"/>
                <w:color w:val="auto"/>
                <w:sz w:val="21"/>
                <w:szCs w:val="21"/>
                <w:highlight w:val="none"/>
              </w:rPr>
              <w:t>费用控制</w:t>
            </w:r>
            <w:r>
              <w:rPr>
                <w:rFonts w:ascii="宋体" w:hAnsi="宋体" w:cs="宋体"/>
                <w:color w:val="auto"/>
                <w:sz w:val="21"/>
                <w:szCs w:val="21"/>
                <w:highlight w:val="none"/>
              </w:rPr>
              <w:t>合理，计算资料完整正确的得</w:t>
            </w:r>
            <w:r>
              <w:rPr>
                <w:rFonts w:hint="eastAsia" w:ascii="宋体" w:hAnsi="宋体" w:cs="宋体"/>
                <w:color w:val="auto"/>
                <w:sz w:val="21"/>
                <w:szCs w:val="21"/>
                <w:highlight w:val="none"/>
              </w:rPr>
              <w:t>3</w:t>
            </w:r>
            <w:r>
              <w:rPr>
                <w:rFonts w:ascii="宋体" w:hAnsi="宋体" w:cs="宋体"/>
                <w:color w:val="auto"/>
                <w:sz w:val="21"/>
                <w:szCs w:val="21"/>
                <w:highlight w:val="none"/>
              </w:rPr>
              <w:t>分；</w:t>
            </w:r>
          </w:p>
          <w:p>
            <w:pPr>
              <w:pStyle w:val="9"/>
              <w:rPr>
                <w:rFonts w:ascii="宋体" w:hAnsi="宋体" w:cs="宋体"/>
                <w:color w:val="auto"/>
                <w:sz w:val="21"/>
                <w:szCs w:val="21"/>
                <w:highlight w:val="none"/>
              </w:rPr>
            </w:pPr>
            <w:r>
              <w:rPr>
                <w:rFonts w:hint="eastAsia" w:ascii="宋体" w:hAnsi="宋体" w:cs="宋体"/>
                <w:color w:val="auto"/>
                <w:sz w:val="21"/>
                <w:szCs w:val="21"/>
                <w:highlight w:val="none"/>
              </w:rPr>
              <w:t>费用控制</w:t>
            </w:r>
            <w:r>
              <w:rPr>
                <w:rFonts w:ascii="宋体" w:hAnsi="宋体" w:cs="宋体"/>
                <w:color w:val="auto"/>
                <w:sz w:val="21"/>
                <w:szCs w:val="21"/>
                <w:highlight w:val="none"/>
              </w:rPr>
              <w:t>较为合理，计算资料较为完整正确的得</w:t>
            </w:r>
            <w:r>
              <w:rPr>
                <w:rFonts w:hint="eastAsia" w:ascii="宋体" w:hAnsi="宋体" w:cs="宋体"/>
                <w:color w:val="auto"/>
                <w:sz w:val="21"/>
                <w:szCs w:val="21"/>
                <w:highlight w:val="none"/>
              </w:rPr>
              <w:t>2</w:t>
            </w:r>
            <w:r>
              <w:rPr>
                <w:rFonts w:ascii="宋体" w:hAnsi="宋体" w:cs="宋体"/>
                <w:color w:val="auto"/>
                <w:sz w:val="21"/>
                <w:szCs w:val="21"/>
                <w:highlight w:val="none"/>
              </w:rPr>
              <w:t>分；</w:t>
            </w:r>
          </w:p>
          <w:p>
            <w:pPr>
              <w:pStyle w:val="9"/>
              <w:rPr>
                <w:rFonts w:ascii="宋体" w:hAnsi="宋体" w:cs="宋体"/>
                <w:color w:val="auto"/>
                <w:sz w:val="21"/>
                <w:szCs w:val="21"/>
                <w:highlight w:val="none"/>
              </w:rPr>
            </w:pPr>
            <w:r>
              <w:rPr>
                <w:rFonts w:hint="eastAsia" w:ascii="宋体" w:hAnsi="宋体" w:cs="宋体"/>
                <w:color w:val="auto"/>
                <w:sz w:val="21"/>
                <w:szCs w:val="21"/>
                <w:highlight w:val="none"/>
              </w:rPr>
              <w:t>费用控制</w:t>
            </w:r>
            <w:r>
              <w:rPr>
                <w:rFonts w:ascii="宋体" w:hAnsi="宋体" w:cs="宋体"/>
                <w:color w:val="auto"/>
                <w:sz w:val="21"/>
                <w:szCs w:val="21"/>
                <w:highlight w:val="none"/>
              </w:rPr>
              <w:t>合理</w:t>
            </w:r>
            <w:r>
              <w:rPr>
                <w:rFonts w:hint="eastAsia" w:ascii="宋体" w:hAnsi="宋体" w:cs="宋体"/>
                <w:color w:val="auto"/>
                <w:sz w:val="21"/>
                <w:szCs w:val="21"/>
                <w:highlight w:val="none"/>
              </w:rPr>
              <w:t>性与完整性一般</w:t>
            </w:r>
            <w:r>
              <w:rPr>
                <w:rFonts w:ascii="宋体" w:hAnsi="宋体" w:cs="宋体"/>
                <w:color w:val="auto"/>
                <w:sz w:val="21"/>
                <w:szCs w:val="21"/>
                <w:highlight w:val="none"/>
              </w:rPr>
              <w:t>的得</w:t>
            </w:r>
            <w:r>
              <w:rPr>
                <w:rFonts w:hint="eastAsia" w:ascii="宋体" w:hAnsi="宋体" w:cs="宋体"/>
                <w:color w:val="auto"/>
                <w:sz w:val="21"/>
                <w:szCs w:val="21"/>
                <w:highlight w:val="none"/>
              </w:rPr>
              <w:t>1</w:t>
            </w:r>
            <w:r>
              <w:rPr>
                <w:rFonts w:ascii="宋体" w:hAnsi="宋体" w:cs="宋体"/>
                <w:color w:val="auto"/>
                <w:sz w:val="21"/>
                <w:szCs w:val="21"/>
                <w:highlight w:val="none"/>
              </w:rPr>
              <w:t>分；</w:t>
            </w:r>
          </w:p>
          <w:p>
            <w:pPr>
              <w:pStyle w:val="9"/>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cs="宋体"/>
                <w:color w:val="auto"/>
                <w:sz w:val="21"/>
                <w:szCs w:val="21"/>
                <w:highlight w:val="none"/>
              </w:rPr>
              <w:t>未提供不得分。</w:t>
            </w:r>
          </w:p>
        </w:tc>
        <w:tc>
          <w:tcPr>
            <w:tcW w:w="307" w:type="pct"/>
            <w:noWrap/>
            <w:vAlign w:val="center"/>
          </w:tcPr>
          <w:p>
            <w:pPr>
              <w:widowControl/>
              <w:jc w:val="center"/>
              <w:rPr>
                <w:rFonts w:hint="default" w:ascii="宋体" w:hAnsi="宋体" w:cs="仿宋_GB2312"/>
                <w:color w:val="auto"/>
                <w:sz w:val="21"/>
                <w:szCs w:val="21"/>
                <w:highlight w:val="none"/>
                <w:lang w:val="en-US" w:eastAsia="zh-CN"/>
              </w:rPr>
            </w:pPr>
            <w:r>
              <w:rPr>
                <w:rFonts w:ascii="宋体" w:hAnsi="宋体" w:cs="仿宋_GB2312"/>
                <w:color w:val="auto"/>
                <w:sz w:val="21"/>
                <w:szCs w:val="21"/>
                <w:highlight w:val="none"/>
              </w:rPr>
              <w:t>3</w:t>
            </w:r>
          </w:p>
        </w:tc>
        <w:tc>
          <w:tcPr>
            <w:tcW w:w="524" w:type="pct"/>
            <w:noWrap/>
            <w:vAlign w:val="center"/>
          </w:tcPr>
          <w:p>
            <w:pPr>
              <w:snapToGrid w:val="0"/>
              <w:jc w:val="center"/>
              <w:rPr>
                <w:rFonts w:hint="default" w:ascii="宋体" w:hAnsi="宋体" w:cs="仿宋_GB2312"/>
                <w:bCs/>
                <w:color w:val="auto"/>
                <w:sz w:val="21"/>
                <w:szCs w:val="21"/>
                <w:highlight w:val="none"/>
                <w:lang w:val="en-US" w:eastAsia="zh-CN"/>
              </w:rPr>
            </w:pPr>
            <w:r>
              <w:rPr>
                <w:rFonts w:ascii="宋体" w:hAnsi="宋体" w:cs="仿宋_GB2312"/>
                <w:color w:val="auto"/>
                <w:sz w:val="21"/>
                <w:szCs w:val="21"/>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52" w:hRule="atLeast"/>
        </w:trPr>
        <w:tc>
          <w:tcPr>
            <w:tcW w:w="339" w:type="pct"/>
            <w:vMerge w:val="continue"/>
            <w:noWrap/>
            <w:vAlign w:val="center"/>
          </w:tcPr>
          <w:p>
            <w:pPr>
              <w:snapToGrid w:val="0"/>
              <w:jc w:val="center"/>
              <w:rPr>
                <w:rFonts w:hint="eastAsia" w:ascii="宋体" w:hAnsi="宋体" w:cs="仿宋_GB2312"/>
                <w:color w:val="auto"/>
                <w:sz w:val="21"/>
                <w:szCs w:val="21"/>
                <w:highlight w:val="none"/>
                <w:lang w:val="en-US" w:eastAsia="zh-CN"/>
              </w:rPr>
            </w:pPr>
          </w:p>
        </w:tc>
        <w:tc>
          <w:tcPr>
            <w:tcW w:w="701" w:type="pct"/>
            <w:vMerge w:val="continue"/>
            <w:noWrap/>
            <w:vAlign w:val="center"/>
          </w:tcPr>
          <w:p>
            <w:pPr>
              <w:snapToGrid w:val="0"/>
              <w:jc w:val="center"/>
              <w:rPr>
                <w:rFonts w:hint="default" w:ascii="宋体" w:hAnsi="宋体" w:cs="仿宋_GB2312"/>
                <w:color w:val="auto"/>
                <w:sz w:val="21"/>
                <w:szCs w:val="21"/>
                <w:highlight w:val="none"/>
                <w:lang w:val="en-US" w:eastAsia="zh-CN"/>
              </w:rPr>
            </w:pPr>
          </w:p>
        </w:tc>
        <w:tc>
          <w:tcPr>
            <w:tcW w:w="3127" w:type="pct"/>
            <w:noWrap/>
            <w:vAlign w:val="center"/>
          </w:tcPr>
          <w:p>
            <w:pPr>
              <w:pStyle w:val="9"/>
              <w:rPr>
                <w:rFonts w:ascii="宋体" w:hAnsi="宋体" w:cs="宋体"/>
                <w:color w:val="auto"/>
                <w:sz w:val="21"/>
                <w:szCs w:val="21"/>
                <w:highlight w:val="none"/>
              </w:rPr>
            </w:pPr>
            <w:r>
              <w:rPr>
                <w:rFonts w:ascii="宋体" w:hAnsi="宋体" w:cs="宋体"/>
                <w:color w:val="auto"/>
                <w:sz w:val="21"/>
                <w:szCs w:val="21"/>
                <w:highlight w:val="none"/>
              </w:rPr>
              <w:t>对项目各类经济技术指标的估概算</w:t>
            </w:r>
            <w:r>
              <w:rPr>
                <w:rFonts w:hint="eastAsia" w:ascii="宋体" w:hAnsi="宋体" w:cs="宋体"/>
                <w:color w:val="auto"/>
                <w:sz w:val="21"/>
                <w:szCs w:val="21"/>
                <w:highlight w:val="none"/>
              </w:rPr>
              <w:t>情况</w:t>
            </w:r>
            <w:r>
              <w:rPr>
                <w:rFonts w:ascii="宋体" w:hAnsi="宋体" w:cs="宋体"/>
                <w:color w:val="auto"/>
                <w:sz w:val="21"/>
                <w:szCs w:val="21"/>
                <w:highlight w:val="none"/>
              </w:rPr>
              <w:t>。</w:t>
            </w:r>
          </w:p>
          <w:p>
            <w:pPr>
              <w:pStyle w:val="9"/>
              <w:rPr>
                <w:rFonts w:ascii="宋体" w:hAnsi="宋体" w:cs="宋体"/>
                <w:color w:val="auto"/>
                <w:sz w:val="21"/>
                <w:szCs w:val="21"/>
                <w:highlight w:val="none"/>
              </w:rPr>
            </w:pPr>
            <w:r>
              <w:rPr>
                <w:rFonts w:ascii="宋体" w:hAnsi="宋体" w:cs="宋体"/>
                <w:color w:val="auto"/>
                <w:sz w:val="21"/>
                <w:szCs w:val="21"/>
                <w:highlight w:val="none"/>
              </w:rPr>
              <w:t>经济技术指标、估概算合理，计算资料完整正确的得</w:t>
            </w:r>
            <w:r>
              <w:rPr>
                <w:rFonts w:hint="eastAsia" w:ascii="宋体" w:hAnsi="宋体" w:cs="宋体"/>
                <w:color w:val="auto"/>
                <w:sz w:val="21"/>
                <w:szCs w:val="21"/>
                <w:highlight w:val="none"/>
              </w:rPr>
              <w:t>3</w:t>
            </w:r>
            <w:r>
              <w:rPr>
                <w:rFonts w:ascii="宋体" w:hAnsi="宋体" w:cs="宋体"/>
                <w:color w:val="auto"/>
                <w:sz w:val="21"/>
                <w:szCs w:val="21"/>
                <w:highlight w:val="none"/>
              </w:rPr>
              <w:t>分；</w:t>
            </w:r>
          </w:p>
          <w:p>
            <w:pPr>
              <w:pStyle w:val="9"/>
              <w:rPr>
                <w:rFonts w:ascii="宋体" w:hAnsi="宋体" w:cs="宋体"/>
                <w:color w:val="auto"/>
                <w:sz w:val="21"/>
                <w:szCs w:val="21"/>
                <w:highlight w:val="none"/>
              </w:rPr>
            </w:pPr>
            <w:r>
              <w:rPr>
                <w:rFonts w:ascii="宋体" w:hAnsi="宋体" w:cs="宋体"/>
                <w:color w:val="auto"/>
                <w:sz w:val="21"/>
                <w:szCs w:val="21"/>
                <w:highlight w:val="none"/>
              </w:rPr>
              <w:t>经济技术指标、估概算较为合理，计算资料较为完整正确的得</w:t>
            </w:r>
            <w:r>
              <w:rPr>
                <w:rFonts w:hint="eastAsia" w:ascii="宋体" w:hAnsi="宋体" w:cs="宋体"/>
                <w:color w:val="auto"/>
                <w:sz w:val="21"/>
                <w:szCs w:val="21"/>
                <w:highlight w:val="none"/>
              </w:rPr>
              <w:t>2</w:t>
            </w:r>
            <w:r>
              <w:rPr>
                <w:rFonts w:ascii="宋体" w:hAnsi="宋体" w:cs="宋体"/>
                <w:color w:val="auto"/>
                <w:sz w:val="21"/>
                <w:szCs w:val="21"/>
                <w:highlight w:val="none"/>
              </w:rPr>
              <w:t>分；</w:t>
            </w:r>
          </w:p>
          <w:p>
            <w:pPr>
              <w:pStyle w:val="9"/>
              <w:rPr>
                <w:rFonts w:ascii="宋体" w:hAnsi="宋体" w:cs="宋体"/>
                <w:color w:val="auto"/>
                <w:sz w:val="21"/>
                <w:szCs w:val="21"/>
                <w:highlight w:val="none"/>
              </w:rPr>
            </w:pPr>
            <w:r>
              <w:rPr>
                <w:rFonts w:ascii="宋体" w:hAnsi="宋体" w:cs="宋体"/>
                <w:color w:val="auto"/>
                <w:sz w:val="21"/>
                <w:szCs w:val="21"/>
                <w:highlight w:val="none"/>
              </w:rPr>
              <w:t>经济技术指标、估概算合理</w:t>
            </w:r>
            <w:r>
              <w:rPr>
                <w:rFonts w:hint="eastAsia" w:ascii="宋体" w:hAnsi="宋体" w:cs="宋体"/>
                <w:color w:val="auto"/>
                <w:sz w:val="21"/>
                <w:szCs w:val="21"/>
                <w:highlight w:val="none"/>
              </w:rPr>
              <w:t>性一般</w:t>
            </w:r>
            <w:r>
              <w:rPr>
                <w:rFonts w:ascii="宋体" w:hAnsi="宋体" w:cs="宋体"/>
                <w:color w:val="auto"/>
                <w:sz w:val="21"/>
                <w:szCs w:val="21"/>
                <w:highlight w:val="none"/>
              </w:rPr>
              <w:t>，计算资料</w:t>
            </w:r>
            <w:r>
              <w:rPr>
                <w:rFonts w:hint="eastAsia" w:ascii="宋体" w:hAnsi="宋体" w:cs="宋体"/>
                <w:color w:val="auto"/>
                <w:sz w:val="21"/>
                <w:szCs w:val="21"/>
                <w:highlight w:val="none"/>
              </w:rPr>
              <w:t>完整性一般</w:t>
            </w:r>
            <w:r>
              <w:rPr>
                <w:rFonts w:ascii="宋体" w:hAnsi="宋体" w:cs="宋体"/>
                <w:color w:val="auto"/>
                <w:sz w:val="21"/>
                <w:szCs w:val="21"/>
                <w:highlight w:val="none"/>
              </w:rPr>
              <w:t>的得</w:t>
            </w:r>
            <w:r>
              <w:rPr>
                <w:rFonts w:hint="eastAsia" w:ascii="宋体" w:hAnsi="宋体" w:cs="宋体"/>
                <w:color w:val="auto"/>
                <w:sz w:val="21"/>
                <w:szCs w:val="21"/>
                <w:highlight w:val="none"/>
              </w:rPr>
              <w:t>1</w:t>
            </w:r>
            <w:r>
              <w:rPr>
                <w:rFonts w:ascii="宋体" w:hAnsi="宋体" w:cs="宋体"/>
                <w:color w:val="auto"/>
                <w:sz w:val="21"/>
                <w:szCs w:val="21"/>
                <w:highlight w:val="none"/>
              </w:rPr>
              <w:t>分；</w:t>
            </w:r>
          </w:p>
          <w:p>
            <w:pPr>
              <w:pStyle w:val="9"/>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cs="宋体"/>
                <w:color w:val="auto"/>
                <w:sz w:val="21"/>
                <w:szCs w:val="21"/>
                <w:highlight w:val="none"/>
              </w:rPr>
              <w:t>未提供不得分。</w:t>
            </w:r>
          </w:p>
        </w:tc>
        <w:tc>
          <w:tcPr>
            <w:tcW w:w="307" w:type="pct"/>
            <w:noWrap/>
            <w:vAlign w:val="center"/>
          </w:tcPr>
          <w:p>
            <w:pPr>
              <w:widowControl/>
              <w:jc w:val="center"/>
              <w:rPr>
                <w:rFonts w:hint="default" w:ascii="宋体" w:hAnsi="宋体" w:cs="仿宋_GB2312"/>
                <w:color w:val="auto"/>
                <w:sz w:val="21"/>
                <w:szCs w:val="21"/>
                <w:highlight w:val="none"/>
                <w:lang w:val="en-US" w:eastAsia="zh-CN"/>
              </w:rPr>
            </w:pPr>
            <w:r>
              <w:rPr>
                <w:rFonts w:ascii="宋体" w:hAnsi="宋体" w:cs="仿宋_GB2312"/>
                <w:color w:val="auto"/>
                <w:sz w:val="21"/>
                <w:szCs w:val="21"/>
                <w:highlight w:val="none"/>
              </w:rPr>
              <w:t>3</w:t>
            </w:r>
          </w:p>
        </w:tc>
        <w:tc>
          <w:tcPr>
            <w:tcW w:w="524" w:type="pct"/>
            <w:noWrap/>
            <w:vAlign w:val="center"/>
          </w:tcPr>
          <w:p>
            <w:pPr>
              <w:snapToGrid w:val="0"/>
              <w:jc w:val="center"/>
              <w:rPr>
                <w:rFonts w:hint="default" w:ascii="宋体" w:hAnsi="宋体" w:cs="仿宋_GB2312"/>
                <w:bCs/>
                <w:color w:val="auto"/>
                <w:sz w:val="21"/>
                <w:szCs w:val="21"/>
                <w:highlight w:val="none"/>
                <w:lang w:val="en-US" w:eastAsia="zh-CN"/>
              </w:rPr>
            </w:pPr>
            <w:r>
              <w:rPr>
                <w:rFonts w:ascii="宋体" w:hAnsi="宋体" w:cs="仿宋_GB2312"/>
                <w:color w:val="auto"/>
                <w:sz w:val="21"/>
                <w:szCs w:val="21"/>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7" w:hRule="atLeast"/>
        </w:trPr>
        <w:tc>
          <w:tcPr>
            <w:tcW w:w="339" w:type="pct"/>
            <w:vMerge w:val="continue"/>
            <w:noWrap/>
            <w:vAlign w:val="center"/>
          </w:tcPr>
          <w:p>
            <w:pPr>
              <w:snapToGrid w:val="0"/>
              <w:jc w:val="center"/>
              <w:rPr>
                <w:rFonts w:hint="eastAsia" w:ascii="宋体" w:hAnsi="宋体" w:cs="仿宋_GB2312"/>
                <w:color w:val="auto"/>
                <w:sz w:val="21"/>
                <w:szCs w:val="21"/>
                <w:highlight w:val="none"/>
                <w:lang w:val="en-US" w:eastAsia="zh-CN"/>
              </w:rPr>
            </w:pPr>
          </w:p>
        </w:tc>
        <w:tc>
          <w:tcPr>
            <w:tcW w:w="701" w:type="pct"/>
            <w:vMerge w:val="continue"/>
            <w:noWrap/>
            <w:vAlign w:val="center"/>
          </w:tcPr>
          <w:p>
            <w:pPr>
              <w:snapToGrid w:val="0"/>
              <w:jc w:val="center"/>
              <w:rPr>
                <w:rFonts w:hint="default" w:ascii="宋体" w:hAnsi="宋体" w:cs="仿宋_GB2312"/>
                <w:color w:val="auto"/>
                <w:sz w:val="21"/>
                <w:szCs w:val="21"/>
                <w:highlight w:val="none"/>
                <w:lang w:val="en-US" w:eastAsia="zh-CN"/>
              </w:rPr>
            </w:pPr>
          </w:p>
        </w:tc>
        <w:tc>
          <w:tcPr>
            <w:tcW w:w="3127" w:type="pct"/>
            <w:noWrap/>
            <w:vAlign w:val="center"/>
          </w:tcPr>
          <w:p>
            <w:pPr>
              <w:pStyle w:val="9"/>
              <w:rPr>
                <w:rFonts w:ascii="宋体" w:hAnsi="宋体" w:cs="宋体"/>
                <w:color w:val="auto"/>
                <w:sz w:val="21"/>
                <w:szCs w:val="21"/>
                <w:highlight w:val="none"/>
              </w:rPr>
            </w:pPr>
            <w:r>
              <w:rPr>
                <w:rFonts w:hint="eastAsia" w:ascii="宋体" w:hAnsi="宋体" w:cs="宋体"/>
                <w:color w:val="auto"/>
                <w:sz w:val="21"/>
                <w:szCs w:val="21"/>
                <w:highlight w:val="none"/>
              </w:rPr>
              <w:t>供应商方案设计阶段的服务承诺的评价，评价内容包括（不限于）服务响应时间，现场勘探及原始资料的收集、与建设单位沟通等。</w:t>
            </w:r>
          </w:p>
          <w:p>
            <w:pPr>
              <w:pStyle w:val="9"/>
              <w:rPr>
                <w:rFonts w:hint="eastAsia" w:ascii="宋体" w:hAnsi="宋体" w:cs="宋体"/>
                <w:color w:val="auto"/>
                <w:sz w:val="21"/>
                <w:szCs w:val="21"/>
                <w:highlight w:val="none"/>
              </w:rPr>
            </w:pPr>
            <w:r>
              <w:rPr>
                <w:rFonts w:hint="eastAsia" w:ascii="宋体" w:hAnsi="宋体" w:cs="宋体"/>
                <w:color w:val="auto"/>
                <w:sz w:val="21"/>
                <w:szCs w:val="21"/>
                <w:highlight w:val="none"/>
              </w:rPr>
              <w:t>响应及时，资料收集全面详细，沟通全面、到位的得3分；</w:t>
            </w:r>
          </w:p>
          <w:p>
            <w:pPr>
              <w:pStyle w:val="9"/>
              <w:rPr>
                <w:rFonts w:hint="eastAsia" w:ascii="宋体" w:hAnsi="宋体" w:cs="宋体"/>
                <w:color w:val="auto"/>
                <w:sz w:val="21"/>
                <w:szCs w:val="21"/>
                <w:highlight w:val="none"/>
              </w:rPr>
            </w:pPr>
            <w:r>
              <w:rPr>
                <w:rFonts w:hint="eastAsia" w:ascii="宋体" w:hAnsi="宋体" w:cs="宋体"/>
                <w:color w:val="auto"/>
                <w:sz w:val="21"/>
                <w:szCs w:val="21"/>
                <w:highlight w:val="none"/>
              </w:rPr>
              <w:t>响应较及时，资料收集较全面，沟通较全面的得2分；</w:t>
            </w:r>
          </w:p>
          <w:p>
            <w:pPr>
              <w:pStyle w:val="9"/>
              <w:rPr>
                <w:rFonts w:hint="eastAsia" w:ascii="宋体" w:hAnsi="宋体" w:cs="宋体"/>
                <w:color w:val="auto"/>
                <w:sz w:val="21"/>
                <w:szCs w:val="21"/>
                <w:highlight w:val="none"/>
              </w:rPr>
            </w:pPr>
            <w:r>
              <w:rPr>
                <w:rFonts w:hint="eastAsia" w:ascii="宋体" w:hAnsi="宋体" w:cs="宋体"/>
                <w:color w:val="auto"/>
                <w:sz w:val="21"/>
                <w:szCs w:val="21"/>
                <w:highlight w:val="none"/>
              </w:rPr>
              <w:t>响应程度一般，资料收集有欠缺，沟通不全面的得1分；</w:t>
            </w:r>
          </w:p>
          <w:p>
            <w:pPr>
              <w:pStyle w:val="9"/>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cs="宋体"/>
                <w:color w:val="auto"/>
                <w:sz w:val="21"/>
                <w:szCs w:val="21"/>
                <w:highlight w:val="none"/>
              </w:rPr>
              <w:t>未提供不得分。</w:t>
            </w:r>
          </w:p>
        </w:tc>
        <w:tc>
          <w:tcPr>
            <w:tcW w:w="307" w:type="pct"/>
            <w:noWrap/>
            <w:vAlign w:val="center"/>
          </w:tcPr>
          <w:p>
            <w:pPr>
              <w:widowControl/>
              <w:jc w:val="center"/>
              <w:rPr>
                <w:rFonts w:hint="default" w:ascii="宋体" w:hAnsi="宋体" w:cs="仿宋_GB2312"/>
                <w:color w:val="auto"/>
                <w:sz w:val="21"/>
                <w:szCs w:val="21"/>
                <w:highlight w:val="none"/>
                <w:lang w:val="en-US" w:eastAsia="zh-CN"/>
              </w:rPr>
            </w:pPr>
            <w:r>
              <w:rPr>
                <w:rFonts w:ascii="宋体" w:hAnsi="宋体" w:cs="仿宋_GB2312"/>
                <w:color w:val="auto"/>
                <w:sz w:val="21"/>
                <w:szCs w:val="21"/>
                <w:highlight w:val="none"/>
              </w:rPr>
              <w:t>3</w:t>
            </w:r>
          </w:p>
        </w:tc>
        <w:tc>
          <w:tcPr>
            <w:tcW w:w="524" w:type="pct"/>
            <w:noWrap/>
            <w:vAlign w:val="center"/>
          </w:tcPr>
          <w:p>
            <w:pPr>
              <w:snapToGrid w:val="0"/>
              <w:jc w:val="center"/>
              <w:rPr>
                <w:rFonts w:hint="default" w:ascii="宋体" w:hAnsi="宋体" w:cs="仿宋_GB2312"/>
                <w:bCs/>
                <w:color w:val="auto"/>
                <w:sz w:val="21"/>
                <w:szCs w:val="21"/>
                <w:highlight w:val="none"/>
                <w:lang w:val="en-US" w:eastAsia="zh-CN"/>
              </w:rPr>
            </w:pPr>
            <w:r>
              <w:rPr>
                <w:rFonts w:ascii="宋体" w:hAnsi="宋体" w:cs="仿宋_GB2312"/>
                <w:color w:val="auto"/>
                <w:sz w:val="21"/>
                <w:szCs w:val="21"/>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7" w:hRule="atLeast"/>
        </w:trPr>
        <w:tc>
          <w:tcPr>
            <w:tcW w:w="339" w:type="pct"/>
            <w:vMerge w:val="continue"/>
            <w:noWrap/>
            <w:vAlign w:val="center"/>
          </w:tcPr>
          <w:p>
            <w:pPr>
              <w:snapToGrid w:val="0"/>
              <w:jc w:val="center"/>
              <w:rPr>
                <w:rFonts w:hint="eastAsia" w:ascii="宋体" w:hAnsi="宋体" w:cs="仿宋_GB2312"/>
                <w:color w:val="auto"/>
                <w:sz w:val="21"/>
                <w:szCs w:val="21"/>
                <w:highlight w:val="none"/>
                <w:lang w:val="en-US" w:eastAsia="zh-CN"/>
              </w:rPr>
            </w:pPr>
          </w:p>
        </w:tc>
        <w:tc>
          <w:tcPr>
            <w:tcW w:w="701" w:type="pct"/>
            <w:vMerge w:val="continue"/>
            <w:noWrap/>
            <w:vAlign w:val="center"/>
          </w:tcPr>
          <w:p>
            <w:pPr>
              <w:snapToGrid w:val="0"/>
              <w:jc w:val="center"/>
              <w:rPr>
                <w:rFonts w:hint="default" w:ascii="宋体" w:hAnsi="宋体" w:cs="仿宋_GB2312"/>
                <w:color w:val="auto"/>
                <w:sz w:val="21"/>
                <w:szCs w:val="21"/>
                <w:highlight w:val="none"/>
                <w:lang w:val="en-US" w:eastAsia="zh-CN"/>
              </w:rPr>
            </w:pPr>
          </w:p>
        </w:tc>
        <w:tc>
          <w:tcPr>
            <w:tcW w:w="3127" w:type="pct"/>
            <w:noWrap/>
            <w:vAlign w:val="center"/>
          </w:tcPr>
          <w:p>
            <w:pPr>
              <w:pStyle w:val="9"/>
              <w:rPr>
                <w:rFonts w:ascii="宋体" w:hAnsi="宋体" w:cs="宋体"/>
                <w:color w:val="auto"/>
                <w:sz w:val="21"/>
                <w:szCs w:val="21"/>
                <w:highlight w:val="none"/>
              </w:rPr>
            </w:pPr>
            <w:r>
              <w:rPr>
                <w:rFonts w:hint="eastAsia" w:ascii="宋体" w:hAnsi="宋体" w:cs="宋体"/>
                <w:color w:val="auto"/>
                <w:sz w:val="21"/>
                <w:szCs w:val="21"/>
                <w:highlight w:val="none"/>
              </w:rPr>
              <w:t>对设计周期控制及承诺。</w:t>
            </w:r>
          </w:p>
          <w:p>
            <w:pPr>
              <w:pStyle w:val="9"/>
              <w:rPr>
                <w:rFonts w:hint="eastAsia" w:ascii="宋体" w:hAnsi="宋体" w:cs="宋体"/>
                <w:color w:val="auto"/>
                <w:sz w:val="21"/>
                <w:szCs w:val="21"/>
                <w:highlight w:val="none"/>
              </w:rPr>
            </w:pPr>
            <w:r>
              <w:rPr>
                <w:rFonts w:hint="eastAsia" w:ascii="宋体" w:hAnsi="宋体" w:cs="宋体"/>
                <w:color w:val="auto"/>
                <w:sz w:val="21"/>
                <w:szCs w:val="21"/>
                <w:highlight w:val="none"/>
              </w:rPr>
              <w:t>设计周期目标明确，控制手段和措施科学，承诺合理、可行性强的得3分；</w:t>
            </w:r>
          </w:p>
          <w:p>
            <w:pPr>
              <w:pStyle w:val="9"/>
              <w:rPr>
                <w:rFonts w:hint="eastAsia" w:ascii="宋体" w:hAnsi="宋体" w:cs="宋体"/>
                <w:color w:val="auto"/>
                <w:sz w:val="21"/>
                <w:szCs w:val="21"/>
                <w:highlight w:val="none"/>
              </w:rPr>
            </w:pPr>
            <w:r>
              <w:rPr>
                <w:rFonts w:hint="eastAsia" w:ascii="宋体" w:hAnsi="宋体" w:cs="宋体"/>
                <w:color w:val="auto"/>
                <w:sz w:val="21"/>
                <w:szCs w:val="21"/>
                <w:highlight w:val="none"/>
              </w:rPr>
              <w:t>设计周期目标较明确，控制手段和措施及承诺较为合理、可行的得2分；</w:t>
            </w:r>
          </w:p>
          <w:p>
            <w:pPr>
              <w:pStyle w:val="9"/>
              <w:rPr>
                <w:rFonts w:hint="eastAsia" w:ascii="宋体" w:hAnsi="宋体" w:cs="宋体"/>
                <w:color w:val="auto"/>
                <w:sz w:val="21"/>
                <w:szCs w:val="21"/>
                <w:highlight w:val="none"/>
              </w:rPr>
            </w:pPr>
            <w:r>
              <w:rPr>
                <w:rFonts w:hint="eastAsia" w:ascii="宋体" w:hAnsi="宋体" w:cs="宋体"/>
                <w:color w:val="auto"/>
                <w:sz w:val="21"/>
                <w:szCs w:val="21"/>
                <w:highlight w:val="none"/>
              </w:rPr>
              <w:t>设计周期目标基本清晰，控制手段和措施及承诺有一定的可行性的得1分；</w:t>
            </w:r>
          </w:p>
          <w:p>
            <w:pPr>
              <w:pStyle w:val="9"/>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cs="宋体"/>
                <w:color w:val="auto"/>
                <w:sz w:val="21"/>
                <w:szCs w:val="21"/>
                <w:highlight w:val="none"/>
              </w:rPr>
              <w:t>未提供不得分。</w:t>
            </w:r>
          </w:p>
        </w:tc>
        <w:tc>
          <w:tcPr>
            <w:tcW w:w="307" w:type="pct"/>
            <w:noWrap/>
            <w:vAlign w:val="center"/>
          </w:tcPr>
          <w:p>
            <w:pPr>
              <w:widowControl/>
              <w:jc w:val="center"/>
              <w:rPr>
                <w:rFonts w:hint="default" w:ascii="宋体" w:hAnsi="宋体" w:cs="仿宋_GB2312"/>
                <w:color w:val="auto"/>
                <w:sz w:val="21"/>
                <w:szCs w:val="21"/>
                <w:highlight w:val="none"/>
                <w:lang w:val="en-US" w:eastAsia="zh-CN"/>
              </w:rPr>
            </w:pPr>
            <w:r>
              <w:rPr>
                <w:rFonts w:ascii="宋体" w:hAnsi="宋体" w:cs="仿宋_GB2312"/>
                <w:color w:val="auto"/>
                <w:sz w:val="21"/>
                <w:szCs w:val="21"/>
                <w:highlight w:val="none"/>
              </w:rPr>
              <w:t>3</w:t>
            </w:r>
          </w:p>
        </w:tc>
        <w:tc>
          <w:tcPr>
            <w:tcW w:w="524" w:type="pct"/>
            <w:noWrap/>
            <w:vAlign w:val="center"/>
          </w:tcPr>
          <w:p>
            <w:pPr>
              <w:snapToGrid w:val="0"/>
              <w:jc w:val="center"/>
              <w:rPr>
                <w:rFonts w:hint="default" w:ascii="宋体" w:hAnsi="宋体" w:cs="仿宋_GB2312"/>
                <w:bCs/>
                <w:color w:val="auto"/>
                <w:sz w:val="21"/>
                <w:szCs w:val="21"/>
                <w:highlight w:val="none"/>
                <w:lang w:val="en-US" w:eastAsia="zh-CN"/>
              </w:rPr>
            </w:pPr>
            <w:r>
              <w:rPr>
                <w:rFonts w:ascii="宋体" w:hAnsi="宋体" w:cs="仿宋_GB2312"/>
                <w:color w:val="auto"/>
                <w:sz w:val="21"/>
                <w:szCs w:val="21"/>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6" w:hRule="atLeast"/>
        </w:trPr>
        <w:tc>
          <w:tcPr>
            <w:tcW w:w="339" w:type="pct"/>
            <w:vMerge w:val="continue"/>
            <w:noWrap/>
            <w:vAlign w:val="center"/>
          </w:tcPr>
          <w:p>
            <w:pPr>
              <w:snapToGrid w:val="0"/>
              <w:jc w:val="center"/>
              <w:rPr>
                <w:rFonts w:hint="eastAsia" w:ascii="宋体" w:hAnsi="宋体" w:cs="仿宋_GB2312"/>
                <w:color w:val="auto"/>
                <w:sz w:val="21"/>
                <w:szCs w:val="21"/>
                <w:highlight w:val="none"/>
                <w:lang w:val="en-US" w:eastAsia="zh-CN"/>
              </w:rPr>
            </w:pPr>
          </w:p>
        </w:tc>
        <w:tc>
          <w:tcPr>
            <w:tcW w:w="701" w:type="pct"/>
            <w:vMerge w:val="continue"/>
            <w:noWrap/>
            <w:vAlign w:val="center"/>
          </w:tcPr>
          <w:p>
            <w:pPr>
              <w:snapToGrid w:val="0"/>
              <w:jc w:val="center"/>
              <w:rPr>
                <w:rFonts w:hint="default" w:ascii="宋体" w:hAnsi="宋体" w:cs="仿宋_GB2312"/>
                <w:color w:val="auto"/>
                <w:sz w:val="21"/>
                <w:szCs w:val="21"/>
                <w:highlight w:val="none"/>
                <w:lang w:val="en-US" w:eastAsia="zh-CN"/>
              </w:rPr>
            </w:pPr>
          </w:p>
        </w:tc>
        <w:tc>
          <w:tcPr>
            <w:tcW w:w="3127" w:type="pct"/>
            <w:noWrap/>
            <w:vAlign w:val="center"/>
          </w:tcPr>
          <w:p>
            <w:pPr>
              <w:pStyle w:val="9"/>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方案设计、施工图调整等的服务承诺及相应措施：</w:t>
            </w:r>
          </w:p>
          <w:p>
            <w:pPr>
              <w:pStyle w:val="9"/>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承诺与措施完善可行得3分；</w:t>
            </w:r>
          </w:p>
          <w:p>
            <w:pPr>
              <w:pStyle w:val="9"/>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承诺与措施较完善可行得2分；</w:t>
            </w:r>
          </w:p>
          <w:p>
            <w:pPr>
              <w:pStyle w:val="9"/>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承诺与措施基本满足需求得1分；</w:t>
            </w:r>
          </w:p>
          <w:p>
            <w:pPr>
              <w:pStyle w:val="9"/>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不提供不得分。</w:t>
            </w:r>
          </w:p>
        </w:tc>
        <w:tc>
          <w:tcPr>
            <w:tcW w:w="307" w:type="pct"/>
            <w:noWrap/>
            <w:vAlign w:val="center"/>
          </w:tcPr>
          <w:p>
            <w:pPr>
              <w:widowControl/>
              <w:jc w:val="center"/>
              <w:rPr>
                <w:rFonts w:hint="default" w:ascii="宋体" w:hAnsi="宋体" w:cs="仿宋_GB2312"/>
                <w:color w:val="auto"/>
                <w:sz w:val="21"/>
                <w:szCs w:val="21"/>
                <w:highlight w:val="none"/>
                <w:lang w:val="en-US" w:eastAsia="zh-CN"/>
              </w:rPr>
            </w:pPr>
            <w:r>
              <w:rPr>
                <w:rFonts w:hint="eastAsia" w:ascii="宋体" w:hAnsi="宋体" w:cs="仿宋_GB2312"/>
                <w:color w:val="auto"/>
                <w:sz w:val="21"/>
                <w:szCs w:val="21"/>
                <w:highlight w:val="none"/>
              </w:rPr>
              <w:t>3</w:t>
            </w:r>
          </w:p>
        </w:tc>
        <w:tc>
          <w:tcPr>
            <w:tcW w:w="524" w:type="pct"/>
            <w:noWrap/>
            <w:vAlign w:val="center"/>
          </w:tcPr>
          <w:p>
            <w:pPr>
              <w:snapToGrid w:val="0"/>
              <w:jc w:val="center"/>
              <w:rPr>
                <w:rFonts w:hint="default" w:ascii="宋体" w:hAnsi="宋体" w:cs="仿宋_GB2312"/>
                <w:bCs/>
                <w:color w:val="auto"/>
                <w:sz w:val="21"/>
                <w:szCs w:val="21"/>
                <w:highlight w:val="none"/>
                <w:lang w:val="en-US" w:eastAsia="zh-CN"/>
              </w:rPr>
            </w:pPr>
            <w:r>
              <w:rPr>
                <w:rFonts w:ascii="宋体" w:hAnsi="宋体" w:cs="仿宋_GB2312"/>
                <w:color w:val="auto"/>
                <w:sz w:val="21"/>
                <w:szCs w:val="21"/>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6" w:hRule="atLeast"/>
        </w:trPr>
        <w:tc>
          <w:tcPr>
            <w:tcW w:w="339" w:type="pct"/>
            <w:noWrap/>
            <w:vAlign w:val="center"/>
          </w:tcPr>
          <w:p>
            <w:pPr>
              <w:snapToGrid w:val="0"/>
              <w:jc w:val="center"/>
              <w:rPr>
                <w:rFonts w:hint="default" w:ascii="宋体" w:hAnsi="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6</w:t>
            </w:r>
          </w:p>
        </w:tc>
        <w:tc>
          <w:tcPr>
            <w:tcW w:w="701" w:type="pct"/>
            <w:noWrap/>
            <w:vAlign w:val="center"/>
          </w:tcPr>
          <w:p>
            <w:pPr>
              <w:snapToGrid w:val="0"/>
              <w:jc w:val="center"/>
              <w:rPr>
                <w:rFonts w:hint="default" w:ascii="宋体" w:hAnsi="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质量保证措施</w:t>
            </w:r>
          </w:p>
        </w:tc>
        <w:tc>
          <w:tcPr>
            <w:tcW w:w="3127" w:type="pct"/>
            <w:noWrap/>
            <w:vAlign w:val="center"/>
          </w:tcPr>
          <w:p>
            <w:pPr>
              <w:bidi w:val="0"/>
              <w:rPr>
                <w:color w:val="auto"/>
                <w:highlight w:val="none"/>
              </w:rPr>
            </w:pPr>
            <w:r>
              <w:rPr>
                <w:rFonts w:hint="eastAsia"/>
                <w:color w:val="auto"/>
                <w:highlight w:val="none"/>
              </w:rPr>
              <w:t>对项目设计质量保证措施的可行性、科学性。</w:t>
            </w:r>
          </w:p>
          <w:p>
            <w:pPr>
              <w:bidi w:val="0"/>
              <w:rPr>
                <w:color w:val="auto"/>
                <w:highlight w:val="none"/>
              </w:rPr>
            </w:pPr>
            <w:r>
              <w:rPr>
                <w:color w:val="auto"/>
                <w:highlight w:val="none"/>
              </w:rPr>
              <w:t>方案完善、具有较强的针对性、措施切实有效的得3分；方案完整、有一定针对性、有措施的得2分；</w:t>
            </w:r>
          </w:p>
          <w:p>
            <w:pPr>
              <w:bidi w:val="0"/>
              <w:rPr>
                <w:color w:val="auto"/>
                <w:highlight w:val="none"/>
              </w:rPr>
            </w:pPr>
            <w:r>
              <w:rPr>
                <w:color w:val="auto"/>
                <w:highlight w:val="none"/>
              </w:rPr>
              <w:t>方案欠缺、措施不明确的得1分；</w:t>
            </w:r>
          </w:p>
          <w:p>
            <w:pPr>
              <w:bidi w:val="0"/>
              <w:rPr>
                <w:rFonts w:hint="eastAsia"/>
                <w:color w:val="auto"/>
                <w:highlight w:val="none"/>
                <w:lang w:val="en-US" w:eastAsia="zh-CN"/>
              </w:rPr>
            </w:pPr>
            <w:r>
              <w:rPr>
                <w:color w:val="auto"/>
                <w:highlight w:val="none"/>
              </w:rPr>
              <w:t>未提供不得分</w:t>
            </w:r>
            <w:r>
              <w:rPr>
                <w:rFonts w:hint="eastAsia"/>
                <w:color w:val="auto"/>
                <w:highlight w:val="none"/>
              </w:rPr>
              <w:t>。</w:t>
            </w:r>
          </w:p>
        </w:tc>
        <w:tc>
          <w:tcPr>
            <w:tcW w:w="307" w:type="pct"/>
            <w:noWrap/>
            <w:vAlign w:val="center"/>
          </w:tcPr>
          <w:p>
            <w:pPr>
              <w:widowControl/>
              <w:jc w:val="center"/>
              <w:rPr>
                <w:rFonts w:hint="eastAsia" w:ascii="宋体" w:hAnsi="宋体" w:eastAsia="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3</w:t>
            </w:r>
          </w:p>
        </w:tc>
        <w:tc>
          <w:tcPr>
            <w:tcW w:w="524" w:type="pct"/>
            <w:noWrap/>
            <w:vAlign w:val="center"/>
          </w:tcPr>
          <w:p>
            <w:pPr>
              <w:snapToGrid w:val="0"/>
              <w:jc w:val="center"/>
              <w:rPr>
                <w:rFonts w:hint="eastAsia" w:ascii="宋体" w:hAnsi="宋体" w:eastAsia="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2" w:hRule="atLeast"/>
        </w:trPr>
        <w:tc>
          <w:tcPr>
            <w:tcW w:w="339" w:type="pct"/>
            <w:noWrap/>
            <w:vAlign w:val="center"/>
          </w:tcPr>
          <w:p>
            <w:pPr>
              <w:snapToGrid w:val="0"/>
              <w:jc w:val="center"/>
              <w:rPr>
                <w:rFonts w:hint="default" w:ascii="宋体" w:hAnsi="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7</w:t>
            </w:r>
          </w:p>
        </w:tc>
        <w:tc>
          <w:tcPr>
            <w:tcW w:w="701" w:type="pct"/>
            <w:noWrap/>
            <w:vAlign w:val="center"/>
          </w:tcPr>
          <w:p>
            <w:pPr>
              <w:bidi w:val="0"/>
              <w:rPr>
                <w:rFonts w:hint="eastAsia"/>
                <w:color w:val="auto"/>
                <w:highlight w:val="none"/>
                <w:lang w:val="en-US" w:eastAsia="zh-CN"/>
              </w:rPr>
            </w:pPr>
            <w:r>
              <w:rPr>
                <w:rFonts w:hint="eastAsia"/>
                <w:color w:val="auto"/>
                <w:highlight w:val="none"/>
              </w:rPr>
              <w:t>应急方案</w:t>
            </w:r>
          </w:p>
        </w:tc>
        <w:tc>
          <w:tcPr>
            <w:tcW w:w="3127" w:type="pct"/>
            <w:noWrap/>
            <w:vAlign w:val="center"/>
          </w:tcPr>
          <w:p>
            <w:pPr>
              <w:bidi w:val="0"/>
              <w:rPr>
                <w:color w:val="auto"/>
                <w:highlight w:val="none"/>
              </w:rPr>
            </w:pPr>
            <w:r>
              <w:rPr>
                <w:color w:val="auto"/>
                <w:highlight w:val="none"/>
              </w:rPr>
              <w:t>突发情况防范及应急预案全面性、可行性、针对性</w:t>
            </w:r>
            <w:r>
              <w:rPr>
                <w:rFonts w:hint="eastAsia"/>
                <w:color w:val="auto"/>
                <w:highlight w:val="none"/>
              </w:rPr>
              <w:t>。</w:t>
            </w:r>
          </w:p>
          <w:p>
            <w:pPr>
              <w:bidi w:val="0"/>
              <w:rPr>
                <w:color w:val="auto"/>
                <w:highlight w:val="none"/>
              </w:rPr>
            </w:pPr>
            <w:r>
              <w:rPr>
                <w:color w:val="auto"/>
                <w:highlight w:val="none"/>
              </w:rPr>
              <w:t>方案完善、具有较强的针对性、措施切实有效的得</w:t>
            </w:r>
            <w:r>
              <w:rPr>
                <w:rFonts w:hint="eastAsia"/>
                <w:color w:val="auto"/>
                <w:highlight w:val="none"/>
                <w:lang w:val="en-US" w:eastAsia="zh-CN"/>
              </w:rPr>
              <w:t>2</w:t>
            </w:r>
            <w:r>
              <w:rPr>
                <w:color w:val="auto"/>
                <w:highlight w:val="none"/>
              </w:rPr>
              <w:t>分；</w:t>
            </w:r>
          </w:p>
          <w:p>
            <w:pPr>
              <w:bidi w:val="0"/>
              <w:rPr>
                <w:color w:val="auto"/>
                <w:highlight w:val="none"/>
              </w:rPr>
            </w:pPr>
            <w:r>
              <w:rPr>
                <w:color w:val="auto"/>
                <w:highlight w:val="none"/>
              </w:rPr>
              <w:t>方案欠缺、措施不明确的得1分；</w:t>
            </w:r>
          </w:p>
          <w:p>
            <w:pPr>
              <w:bidi w:val="0"/>
              <w:rPr>
                <w:color w:val="auto"/>
                <w:highlight w:val="none"/>
                <w:lang w:val="en-US" w:eastAsia="zh-CN"/>
              </w:rPr>
            </w:pPr>
            <w:r>
              <w:rPr>
                <w:color w:val="auto"/>
                <w:highlight w:val="none"/>
              </w:rPr>
              <w:t>未提供不得分</w:t>
            </w:r>
            <w:r>
              <w:rPr>
                <w:rFonts w:hint="eastAsia"/>
                <w:color w:val="auto"/>
                <w:highlight w:val="none"/>
              </w:rPr>
              <w:t>。</w:t>
            </w:r>
          </w:p>
        </w:tc>
        <w:tc>
          <w:tcPr>
            <w:tcW w:w="307" w:type="pct"/>
            <w:noWrap/>
            <w:vAlign w:val="center"/>
          </w:tcPr>
          <w:p>
            <w:pPr>
              <w:widowControl/>
              <w:jc w:val="center"/>
              <w:rPr>
                <w:rFonts w:hint="default" w:ascii="宋体" w:hAnsi="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2</w:t>
            </w:r>
          </w:p>
        </w:tc>
        <w:tc>
          <w:tcPr>
            <w:tcW w:w="524" w:type="pct"/>
            <w:noWrap/>
            <w:vAlign w:val="center"/>
          </w:tcPr>
          <w:p>
            <w:pPr>
              <w:snapToGrid w:val="0"/>
              <w:jc w:val="center"/>
              <w:rPr>
                <w:rFonts w:hint="eastAsia" w:ascii="宋体" w:hAnsi="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4" w:hRule="atLeast"/>
        </w:trPr>
        <w:tc>
          <w:tcPr>
            <w:tcW w:w="339" w:type="pct"/>
            <w:noWrap/>
            <w:vAlign w:val="center"/>
          </w:tcPr>
          <w:p>
            <w:pPr>
              <w:snapToGrid w:val="0"/>
              <w:jc w:val="center"/>
              <w:rPr>
                <w:rFonts w:hint="default" w:ascii="宋体" w:hAnsi="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8</w:t>
            </w:r>
          </w:p>
        </w:tc>
        <w:tc>
          <w:tcPr>
            <w:tcW w:w="701" w:type="pct"/>
            <w:noWrap/>
            <w:vAlign w:val="center"/>
          </w:tcPr>
          <w:p>
            <w:pPr>
              <w:bidi w:val="0"/>
              <w:rPr>
                <w:rFonts w:hint="eastAsia"/>
                <w:color w:val="auto"/>
                <w:highlight w:val="none"/>
                <w:lang w:val="en-US" w:eastAsia="zh-CN"/>
              </w:rPr>
            </w:pPr>
            <w:r>
              <w:rPr>
                <w:rFonts w:hint="eastAsia"/>
                <w:color w:val="auto"/>
                <w:highlight w:val="none"/>
              </w:rPr>
              <w:t>其他服务内容</w:t>
            </w:r>
          </w:p>
        </w:tc>
        <w:tc>
          <w:tcPr>
            <w:tcW w:w="3127" w:type="pct"/>
            <w:noWrap/>
            <w:vAlign w:val="center"/>
          </w:tcPr>
          <w:p>
            <w:pPr>
              <w:bidi w:val="0"/>
              <w:rPr>
                <w:color w:val="auto"/>
                <w:highlight w:val="none"/>
              </w:rPr>
            </w:pPr>
            <w:r>
              <w:rPr>
                <w:rFonts w:hint="eastAsia"/>
                <w:color w:val="auto"/>
                <w:highlight w:val="none"/>
              </w:rPr>
              <w:t>供应商提供的其他相关服务方案（包括但不限于图审配合、技术复核与咨询等）。</w:t>
            </w:r>
          </w:p>
          <w:p>
            <w:pPr>
              <w:bidi w:val="0"/>
              <w:rPr>
                <w:color w:val="auto"/>
                <w:highlight w:val="none"/>
              </w:rPr>
            </w:pPr>
            <w:r>
              <w:rPr>
                <w:color w:val="auto"/>
                <w:highlight w:val="none"/>
              </w:rPr>
              <w:t>方案完善、具有较强的针对性、措施切实有效的得3分；</w:t>
            </w:r>
          </w:p>
          <w:p>
            <w:pPr>
              <w:bidi w:val="0"/>
              <w:rPr>
                <w:color w:val="auto"/>
                <w:highlight w:val="none"/>
              </w:rPr>
            </w:pPr>
            <w:r>
              <w:rPr>
                <w:color w:val="auto"/>
                <w:highlight w:val="none"/>
              </w:rPr>
              <w:t>方案完整、有一定针对性、有措施的得2分；</w:t>
            </w:r>
          </w:p>
          <w:p>
            <w:pPr>
              <w:bidi w:val="0"/>
              <w:rPr>
                <w:color w:val="auto"/>
                <w:highlight w:val="none"/>
              </w:rPr>
            </w:pPr>
            <w:r>
              <w:rPr>
                <w:color w:val="auto"/>
                <w:highlight w:val="none"/>
              </w:rPr>
              <w:t>方案欠缺、措施不明确的得1分；</w:t>
            </w:r>
          </w:p>
          <w:p>
            <w:pPr>
              <w:bidi w:val="0"/>
              <w:rPr>
                <w:color w:val="auto"/>
                <w:highlight w:val="none"/>
                <w:lang w:val="en-US" w:eastAsia="zh-CN"/>
              </w:rPr>
            </w:pPr>
            <w:r>
              <w:rPr>
                <w:color w:val="auto"/>
                <w:highlight w:val="none"/>
              </w:rPr>
              <w:t>未提供不得分</w:t>
            </w:r>
            <w:r>
              <w:rPr>
                <w:rFonts w:hint="eastAsia"/>
                <w:color w:val="auto"/>
                <w:highlight w:val="none"/>
              </w:rPr>
              <w:t>。</w:t>
            </w:r>
          </w:p>
        </w:tc>
        <w:tc>
          <w:tcPr>
            <w:tcW w:w="307" w:type="pct"/>
            <w:noWrap/>
            <w:vAlign w:val="center"/>
          </w:tcPr>
          <w:p>
            <w:pPr>
              <w:widowControl/>
              <w:jc w:val="center"/>
              <w:rPr>
                <w:rFonts w:hint="default" w:ascii="宋体" w:hAnsi="宋体" w:cs="仿宋_GB2312"/>
                <w:color w:val="auto"/>
                <w:sz w:val="21"/>
                <w:szCs w:val="21"/>
                <w:highlight w:val="none"/>
                <w:lang w:val="en-US" w:eastAsia="zh-CN"/>
              </w:rPr>
            </w:pPr>
            <w:r>
              <w:rPr>
                <w:rFonts w:hint="eastAsia" w:ascii="宋体" w:hAnsi="宋体" w:cs="仿宋_GB2312"/>
                <w:color w:val="auto"/>
                <w:sz w:val="21"/>
                <w:szCs w:val="21"/>
                <w:highlight w:val="none"/>
                <w:lang w:val="en-US" w:eastAsia="zh-CN"/>
              </w:rPr>
              <w:t>3</w:t>
            </w:r>
          </w:p>
        </w:tc>
        <w:tc>
          <w:tcPr>
            <w:tcW w:w="524" w:type="pct"/>
            <w:noWrap/>
            <w:vAlign w:val="center"/>
          </w:tcPr>
          <w:p>
            <w:pPr>
              <w:snapToGrid w:val="0"/>
              <w:jc w:val="center"/>
              <w:rPr>
                <w:rFonts w:ascii="宋体" w:hAnsi="宋体" w:cs="仿宋_GB2312"/>
                <w:color w:val="auto"/>
                <w:sz w:val="21"/>
                <w:szCs w:val="21"/>
                <w:highlight w:val="none"/>
              </w:rPr>
            </w:pPr>
            <w:r>
              <w:rPr>
                <w:rFonts w:hint="eastAsia" w:ascii="宋体" w:hAnsi="宋体" w:cs="仿宋_GB2312"/>
                <w:color w:val="auto"/>
                <w:sz w:val="21"/>
                <w:szCs w:val="21"/>
                <w:highlight w:val="none"/>
                <w:lang w:val="en-US" w:eastAsia="zh-CN"/>
              </w:rPr>
              <w:t>主观分</w:t>
            </w:r>
          </w:p>
        </w:tc>
      </w:tr>
    </w:tbl>
    <w:p>
      <w:pPr>
        <w:snapToGrid w:val="0"/>
        <w:spacing w:line="360" w:lineRule="auto"/>
        <w:ind w:firstLine="480" w:firstLineChars="200"/>
        <w:rPr>
          <w:b/>
          <w:bCs/>
          <w:color w:val="auto"/>
          <w:sz w:val="24"/>
          <w:szCs w:val="24"/>
          <w:highlight w:val="none"/>
        </w:rPr>
      </w:pPr>
      <w:r>
        <w:rPr>
          <w:rFonts w:hint="eastAsia" w:ascii="宋体" w:hAnsi="宋体"/>
          <w:iCs/>
          <w:color w:val="auto"/>
          <w:sz w:val="24"/>
          <w:szCs w:val="24"/>
          <w:highlight w:val="none"/>
        </w:rPr>
        <w:t>备注：磋商小组在项目评审直至合同签订、履约期间，有权要求供应商出具响应文件中的主要业绩证明合同等其他原件，予以确认其的真实性和有效性，</w:t>
      </w:r>
      <w:r>
        <w:rPr>
          <w:rFonts w:hint="eastAsia" w:ascii="宋体" w:hAnsi="宋体"/>
          <w:b/>
          <w:iCs/>
          <w:color w:val="auto"/>
          <w:sz w:val="24"/>
          <w:szCs w:val="24"/>
          <w:highlight w:val="none"/>
        </w:rPr>
        <w:t>如出现与事实不符等情况，将根据有关规定以“提供虚假材料谋取中标”上报主管部门予以处理</w:t>
      </w:r>
      <w:r>
        <w:rPr>
          <w:bCs/>
          <w:color w:val="auto"/>
          <w:sz w:val="24"/>
          <w:szCs w:val="24"/>
          <w:highlight w:val="none"/>
        </w:rPr>
        <w:t>。</w:t>
      </w:r>
    </w:p>
    <w:p>
      <w:pPr>
        <w:snapToGrid w:val="0"/>
        <w:spacing w:line="360" w:lineRule="auto"/>
        <w:ind w:firstLine="480" w:firstLineChars="200"/>
        <w:rPr>
          <w:color w:val="auto"/>
          <w:sz w:val="24"/>
          <w:szCs w:val="24"/>
          <w:highlight w:val="none"/>
        </w:rPr>
      </w:pPr>
      <w:r>
        <w:rPr>
          <w:color w:val="auto"/>
          <w:sz w:val="24"/>
          <w:szCs w:val="24"/>
          <w:highlight w:val="none"/>
        </w:rPr>
        <w:t>23.2 报价部分</w:t>
      </w:r>
      <w:r>
        <w:rPr>
          <w:rFonts w:hint="eastAsia"/>
          <w:color w:val="auto"/>
          <w:sz w:val="24"/>
          <w:szCs w:val="24"/>
          <w:highlight w:val="none"/>
        </w:rPr>
        <w:t>：</w:t>
      </w:r>
      <w:r>
        <w:rPr>
          <w:rFonts w:hint="eastAsia"/>
          <w:color w:val="auto"/>
          <w:sz w:val="24"/>
          <w:szCs w:val="24"/>
          <w:highlight w:val="none"/>
          <w:lang w:val="en-US" w:eastAsia="zh-CN"/>
        </w:rPr>
        <w:t>1</w:t>
      </w:r>
      <w:r>
        <w:rPr>
          <w:rFonts w:hint="eastAsia"/>
          <w:color w:val="auto"/>
          <w:sz w:val="24"/>
          <w:szCs w:val="24"/>
          <w:highlight w:val="none"/>
        </w:rPr>
        <w:t>0分</w:t>
      </w:r>
    </w:p>
    <w:p>
      <w:pPr>
        <w:snapToGrid w:val="0"/>
        <w:spacing w:line="360" w:lineRule="auto"/>
        <w:ind w:firstLine="480" w:firstLineChars="200"/>
        <w:rPr>
          <w:color w:val="auto"/>
          <w:sz w:val="24"/>
          <w:szCs w:val="24"/>
          <w:highlight w:val="none"/>
        </w:rPr>
      </w:pPr>
      <w:r>
        <w:rPr>
          <w:color w:val="auto"/>
          <w:sz w:val="24"/>
          <w:szCs w:val="24"/>
          <w:highlight w:val="none"/>
        </w:rPr>
        <w:t>商务评标按综合评分细则对供应商的有效磋商报价进行统一计算评分，由磋商小组按综合评分因素及标准要求集体判定评分。</w:t>
      </w:r>
    </w:p>
    <w:p>
      <w:pPr>
        <w:snapToGrid w:val="0"/>
        <w:spacing w:line="360" w:lineRule="auto"/>
        <w:ind w:firstLine="480" w:firstLineChars="200"/>
        <w:rPr>
          <w:color w:val="auto"/>
          <w:sz w:val="24"/>
          <w:szCs w:val="24"/>
          <w:highlight w:val="none"/>
        </w:rPr>
      </w:pPr>
      <w:r>
        <w:rPr>
          <w:color w:val="auto"/>
          <w:sz w:val="24"/>
          <w:szCs w:val="24"/>
          <w:highlight w:val="none"/>
        </w:rPr>
        <w:t>（1）满足采购文件要求且</w:t>
      </w:r>
      <w:r>
        <w:rPr>
          <w:rFonts w:hint="eastAsia"/>
          <w:color w:val="auto"/>
          <w:sz w:val="24"/>
          <w:szCs w:val="24"/>
          <w:highlight w:val="none"/>
        </w:rPr>
        <w:t>最后报价</w:t>
      </w:r>
      <w:r>
        <w:rPr>
          <w:color w:val="auto"/>
          <w:sz w:val="24"/>
          <w:szCs w:val="24"/>
          <w:highlight w:val="none"/>
        </w:rPr>
        <w:t>最低的磋商报价为</w:t>
      </w:r>
      <w:r>
        <w:rPr>
          <w:rFonts w:hint="eastAsia"/>
          <w:color w:val="auto"/>
          <w:sz w:val="24"/>
          <w:szCs w:val="24"/>
          <w:highlight w:val="none"/>
        </w:rPr>
        <w:t>磋商</w:t>
      </w:r>
      <w:r>
        <w:rPr>
          <w:color w:val="auto"/>
          <w:sz w:val="24"/>
          <w:szCs w:val="24"/>
          <w:highlight w:val="none"/>
        </w:rPr>
        <w:t>基准价，其价格分为满分</w:t>
      </w:r>
      <w:r>
        <w:rPr>
          <w:rFonts w:hint="eastAsia"/>
          <w:color w:val="auto"/>
          <w:sz w:val="24"/>
          <w:szCs w:val="24"/>
          <w:highlight w:val="none"/>
        </w:rPr>
        <w:t>2</w:t>
      </w:r>
      <w:r>
        <w:rPr>
          <w:color w:val="auto"/>
          <w:sz w:val="24"/>
          <w:szCs w:val="24"/>
          <w:highlight w:val="none"/>
        </w:rPr>
        <w:t>0分。</w:t>
      </w:r>
    </w:p>
    <w:p>
      <w:pPr>
        <w:snapToGrid w:val="0"/>
        <w:spacing w:line="360" w:lineRule="auto"/>
        <w:ind w:firstLine="480" w:firstLineChars="200"/>
        <w:rPr>
          <w:color w:val="auto"/>
          <w:sz w:val="24"/>
          <w:szCs w:val="24"/>
          <w:highlight w:val="none"/>
        </w:rPr>
      </w:pPr>
      <w:r>
        <w:rPr>
          <w:color w:val="auto"/>
          <w:sz w:val="24"/>
          <w:szCs w:val="24"/>
          <w:highlight w:val="none"/>
        </w:rPr>
        <w:t>（2）其他供应商的价格分统一按照下列公式计算：</w:t>
      </w:r>
    </w:p>
    <w:p>
      <w:pPr>
        <w:snapToGrid w:val="0"/>
        <w:spacing w:line="360" w:lineRule="auto"/>
        <w:ind w:firstLine="480" w:firstLineChars="200"/>
        <w:rPr>
          <w:color w:val="auto"/>
          <w:sz w:val="24"/>
          <w:szCs w:val="24"/>
          <w:highlight w:val="none"/>
        </w:rPr>
      </w:pPr>
      <w:r>
        <w:rPr>
          <w:color w:val="auto"/>
          <w:sz w:val="24"/>
          <w:szCs w:val="24"/>
          <w:highlight w:val="none"/>
        </w:rPr>
        <w:t>磋商报价得分=（</w:t>
      </w:r>
      <w:r>
        <w:rPr>
          <w:rFonts w:hint="eastAsia"/>
          <w:color w:val="auto"/>
          <w:sz w:val="24"/>
          <w:szCs w:val="24"/>
          <w:highlight w:val="none"/>
        </w:rPr>
        <w:t>磋商</w:t>
      </w:r>
      <w:r>
        <w:rPr>
          <w:color w:val="auto"/>
          <w:sz w:val="24"/>
          <w:szCs w:val="24"/>
          <w:highlight w:val="none"/>
        </w:rPr>
        <w:t>基准价/</w:t>
      </w:r>
      <w:r>
        <w:rPr>
          <w:rFonts w:hint="eastAsia"/>
          <w:color w:val="auto"/>
          <w:sz w:val="24"/>
          <w:szCs w:val="24"/>
          <w:highlight w:val="none"/>
        </w:rPr>
        <w:t>最后</w:t>
      </w:r>
      <w:r>
        <w:rPr>
          <w:color w:val="auto"/>
          <w:sz w:val="24"/>
          <w:szCs w:val="24"/>
          <w:highlight w:val="none"/>
        </w:rPr>
        <w:t>报价）×价格权值（即</w:t>
      </w:r>
      <w:r>
        <w:rPr>
          <w:rFonts w:hint="eastAsia"/>
          <w:color w:val="auto"/>
          <w:sz w:val="24"/>
          <w:szCs w:val="24"/>
          <w:highlight w:val="none"/>
          <w:lang w:val="en-US" w:eastAsia="zh-CN"/>
        </w:rPr>
        <w:t>1</w:t>
      </w:r>
      <w:r>
        <w:rPr>
          <w:color w:val="auto"/>
          <w:sz w:val="24"/>
          <w:szCs w:val="24"/>
          <w:highlight w:val="none"/>
        </w:rPr>
        <w:t>0%）×100</w:t>
      </w:r>
    </w:p>
    <w:p>
      <w:pPr>
        <w:widowControl/>
        <w:adjustRightInd w:val="0"/>
        <w:snapToGrid w:val="0"/>
        <w:spacing w:line="360" w:lineRule="auto"/>
        <w:ind w:firstLine="480" w:firstLineChars="200"/>
        <w:rPr>
          <w:color w:val="auto"/>
          <w:sz w:val="24"/>
          <w:szCs w:val="24"/>
          <w:highlight w:val="none"/>
        </w:rPr>
      </w:pPr>
      <w:r>
        <w:rPr>
          <w:bCs/>
          <w:color w:val="auto"/>
          <w:sz w:val="24"/>
          <w:szCs w:val="24"/>
          <w:highlight w:val="none"/>
        </w:rPr>
        <w:t>报价是中标的一个重要因素，但最低报价不是中标的唯一依据。</w:t>
      </w:r>
    </w:p>
    <w:p>
      <w:pPr>
        <w:adjustRightInd w:val="0"/>
        <w:snapToGrid w:val="0"/>
        <w:spacing w:line="360" w:lineRule="auto"/>
        <w:ind w:firstLine="482" w:firstLineChars="200"/>
        <w:jc w:val="left"/>
        <w:rPr>
          <w:rFonts w:ascii="宋体" w:hAnsi="宋体" w:cs="宋体"/>
          <w:b/>
          <w:bCs/>
          <w:color w:val="auto"/>
          <w:sz w:val="24"/>
          <w:szCs w:val="24"/>
          <w:highlight w:val="none"/>
        </w:rPr>
      </w:pPr>
      <w:r>
        <w:rPr>
          <w:rFonts w:hint="eastAsia" w:ascii="宋体" w:hAnsi="宋体" w:cs="宋体"/>
          <w:b/>
          <w:bCs/>
          <w:color w:val="auto"/>
          <w:sz w:val="24"/>
          <w:szCs w:val="24"/>
          <w:highlight w:val="none"/>
        </w:rPr>
        <w:t>落实政府采购政策说明：本项目面向中小企业采购，不进行价格扣除或价格分加分。</w:t>
      </w:r>
    </w:p>
    <w:p>
      <w:pPr>
        <w:adjustRightInd w:val="0"/>
        <w:snapToGrid w:val="0"/>
        <w:spacing w:line="360" w:lineRule="auto"/>
        <w:ind w:firstLine="480" w:firstLineChars="200"/>
        <w:jc w:val="left"/>
        <w:rPr>
          <w:rFonts w:ascii="宋体" w:hAnsi="宋体" w:cs="宋体"/>
          <w:color w:val="auto"/>
          <w:sz w:val="24"/>
          <w:szCs w:val="24"/>
          <w:highlight w:val="none"/>
        </w:rPr>
      </w:pPr>
      <w:r>
        <w:rPr>
          <w:rFonts w:ascii="宋体" w:hAnsi="宋体" w:cs="Arial"/>
          <w:color w:val="auto"/>
          <w:sz w:val="24"/>
          <w:szCs w:val="24"/>
          <w:highlight w:val="none"/>
        </w:rPr>
        <w:t>此项由磋商小组集体核实后统一打分</w:t>
      </w:r>
      <w:r>
        <w:rPr>
          <w:rFonts w:hint="eastAsia" w:ascii="宋体" w:hAnsi="宋体" w:cs="Arial"/>
          <w:color w:val="auto"/>
          <w:sz w:val="24"/>
          <w:szCs w:val="24"/>
          <w:highlight w:val="none"/>
        </w:rPr>
        <w:t>。</w:t>
      </w:r>
    </w:p>
    <w:p>
      <w:pPr>
        <w:snapToGrid w:val="0"/>
        <w:spacing w:line="360" w:lineRule="auto"/>
        <w:ind w:firstLine="480" w:firstLineChars="200"/>
        <w:rPr>
          <w:color w:val="auto"/>
          <w:sz w:val="24"/>
          <w:szCs w:val="24"/>
          <w:highlight w:val="none"/>
        </w:rPr>
      </w:pPr>
      <w:r>
        <w:rPr>
          <w:color w:val="auto"/>
          <w:sz w:val="24"/>
          <w:szCs w:val="24"/>
          <w:highlight w:val="none"/>
        </w:rPr>
        <w:t>23.3其他</w:t>
      </w:r>
    </w:p>
    <w:p>
      <w:pPr>
        <w:snapToGrid w:val="0"/>
        <w:spacing w:line="360" w:lineRule="auto"/>
        <w:ind w:firstLine="480" w:firstLineChars="200"/>
        <w:rPr>
          <w:color w:val="auto"/>
          <w:sz w:val="24"/>
          <w:szCs w:val="24"/>
          <w:highlight w:val="none"/>
        </w:rPr>
      </w:pPr>
      <w:r>
        <w:rPr>
          <w:color w:val="auto"/>
          <w:sz w:val="24"/>
          <w:szCs w:val="24"/>
          <w:highlight w:val="none"/>
        </w:rPr>
        <w:t>评分时保留小数点后1位小数，计算评分值时保留小数点后2位小数，由磋商小组当场统一计算。</w:t>
      </w:r>
    </w:p>
    <w:p>
      <w:pPr>
        <w:snapToGrid w:val="0"/>
        <w:spacing w:line="360" w:lineRule="auto"/>
        <w:ind w:firstLine="480" w:firstLineChars="200"/>
        <w:rPr>
          <w:color w:val="auto"/>
          <w:sz w:val="24"/>
          <w:szCs w:val="24"/>
          <w:highlight w:val="none"/>
        </w:rPr>
      </w:pPr>
      <w:r>
        <w:rPr>
          <w:color w:val="auto"/>
          <w:sz w:val="24"/>
          <w:szCs w:val="24"/>
          <w:highlight w:val="none"/>
        </w:rPr>
        <w:t>供应商的最终总得分为商务技术资信及报价部分得分的总和。</w:t>
      </w:r>
    </w:p>
    <w:p>
      <w:pPr>
        <w:snapToGrid w:val="0"/>
        <w:spacing w:line="360" w:lineRule="auto"/>
        <w:ind w:firstLine="480" w:firstLineChars="200"/>
        <w:rPr>
          <w:color w:val="auto"/>
          <w:sz w:val="24"/>
          <w:szCs w:val="24"/>
          <w:highlight w:val="none"/>
        </w:rPr>
      </w:pPr>
      <w:r>
        <w:rPr>
          <w:color w:val="auto"/>
          <w:sz w:val="24"/>
          <w:szCs w:val="24"/>
          <w:highlight w:val="none"/>
        </w:rPr>
        <w:t>23.4 磋商文件没有规定的评审标准不作为评审依据。</w:t>
      </w:r>
    </w:p>
    <w:p>
      <w:pPr>
        <w:snapToGrid w:val="0"/>
        <w:spacing w:line="360" w:lineRule="auto"/>
        <w:ind w:firstLine="480" w:firstLineChars="200"/>
        <w:rPr>
          <w:color w:val="auto"/>
          <w:sz w:val="24"/>
          <w:szCs w:val="24"/>
          <w:highlight w:val="none"/>
        </w:rPr>
      </w:pPr>
      <w:r>
        <w:rPr>
          <w:color w:val="auto"/>
          <w:sz w:val="24"/>
          <w:szCs w:val="24"/>
          <w:highlight w:val="none"/>
        </w:rPr>
        <w:t>23.5 磋商小组成员独立对每个有效响应的文件进行评价、打分，所有磋商小组成员的打分平均值为每个供应商的得分。</w:t>
      </w:r>
    </w:p>
    <w:p>
      <w:pPr>
        <w:snapToGrid w:val="0"/>
        <w:spacing w:line="360" w:lineRule="auto"/>
        <w:ind w:firstLine="482" w:firstLineChars="200"/>
        <w:rPr>
          <w:b/>
          <w:color w:val="auto"/>
          <w:sz w:val="24"/>
          <w:szCs w:val="24"/>
          <w:highlight w:val="none"/>
        </w:rPr>
      </w:pPr>
      <w:r>
        <w:rPr>
          <w:b/>
          <w:color w:val="auto"/>
          <w:sz w:val="24"/>
          <w:szCs w:val="24"/>
          <w:highlight w:val="none"/>
        </w:rPr>
        <w:t>24.推荐成交候选供应商</w:t>
      </w:r>
    </w:p>
    <w:p>
      <w:pPr>
        <w:snapToGrid w:val="0"/>
        <w:spacing w:line="360" w:lineRule="auto"/>
        <w:ind w:firstLine="480" w:firstLineChars="200"/>
        <w:rPr>
          <w:color w:val="auto"/>
          <w:sz w:val="24"/>
          <w:szCs w:val="24"/>
          <w:highlight w:val="none"/>
        </w:rPr>
      </w:pPr>
      <w:r>
        <w:rPr>
          <w:color w:val="auto"/>
          <w:sz w:val="24"/>
          <w:szCs w:val="24"/>
          <w:highlight w:val="none"/>
        </w:rPr>
        <w:t>24.1磋商小组应当根据综合评分情况，按照评审得分由高到低顺序推荐3名成交候选供应商，并编写评审报告。评审得分相同的，按照最后报价由低到高的顺序推荐。评审得分且最后报价相同的，按照技术指标优劣顺序推荐。</w:t>
      </w:r>
    </w:p>
    <w:p>
      <w:pPr>
        <w:pStyle w:val="3"/>
        <w:spacing w:line="360" w:lineRule="auto"/>
        <w:rPr>
          <w:rFonts w:ascii="Times New Roman" w:hAnsi="Times New Roman" w:eastAsia="宋体"/>
          <w:b/>
          <w:color w:val="auto"/>
          <w:sz w:val="24"/>
          <w:szCs w:val="24"/>
          <w:highlight w:val="none"/>
        </w:rPr>
      </w:pPr>
      <w:bookmarkStart w:id="53" w:name="_Toc3519"/>
      <w:bookmarkStart w:id="54" w:name="_Toc19812"/>
      <w:r>
        <w:rPr>
          <w:rFonts w:ascii="Times New Roman" w:hAnsi="Times New Roman" w:eastAsia="宋体"/>
          <w:b/>
          <w:color w:val="auto"/>
          <w:sz w:val="24"/>
          <w:szCs w:val="24"/>
          <w:highlight w:val="none"/>
        </w:rPr>
        <w:t>八、确定成交供应商</w:t>
      </w:r>
      <w:bookmarkEnd w:id="53"/>
      <w:bookmarkEnd w:id="54"/>
    </w:p>
    <w:p>
      <w:pPr>
        <w:snapToGrid w:val="0"/>
        <w:spacing w:line="360" w:lineRule="auto"/>
        <w:ind w:firstLine="482" w:firstLineChars="200"/>
        <w:rPr>
          <w:b/>
          <w:color w:val="auto"/>
          <w:sz w:val="24"/>
          <w:szCs w:val="24"/>
          <w:highlight w:val="none"/>
        </w:rPr>
      </w:pPr>
      <w:r>
        <w:rPr>
          <w:b/>
          <w:color w:val="auto"/>
          <w:sz w:val="24"/>
          <w:szCs w:val="24"/>
          <w:highlight w:val="none"/>
        </w:rPr>
        <w:t>25.确定成交供应商</w:t>
      </w:r>
    </w:p>
    <w:p>
      <w:pPr>
        <w:adjustRightInd w:val="0"/>
        <w:spacing w:line="360" w:lineRule="auto"/>
        <w:ind w:firstLine="480" w:firstLineChars="200"/>
        <w:rPr>
          <w:color w:val="auto"/>
          <w:sz w:val="24"/>
          <w:szCs w:val="24"/>
          <w:highlight w:val="none"/>
        </w:rPr>
      </w:pPr>
      <w:r>
        <w:rPr>
          <w:color w:val="auto"/>
          <w:sz w:val="24"/>
          <w:szCs w:val="24"/>
          <w:highlight w:val="none"/>
        </w:rPr>
        <w:t>25.1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pPr>
        <w:adjustRightInd w:val="0"/>
        <w:spacing w:line="360" w:lineRule="auto"/>
        <w:ind w:firstLine="480" w:firstLineChars="200"/>
        <w:rPr>
          <w:color w:val="auto"/>
          <w:sz w:val="24"/>
          <w:szCs w:val="24"/>
          <w:highlight w:val="none"/>
        </w:rPr>
      </w:pPr>
      <w:r>
        <w:rPr>
          <w:color w:val="auto"/>
          <w:sz w:val="24"/>
          <w:szCs w:val="24"/>
          <w:highlight w:val="none"/>
        </w:rPr>
        <w:t>25.2采购人或者采购代理机构应当在成交供应商确定后2个工作日内，在省级以上财政部门指定的政府采购信息发布媒体上公告成交结果，同时向成交供应商发出成交通知书。</w:t>
      </w:r>
    </w:p>
    <w:p>
      <w:pPr>
        <w:pStyle w:val="3"/>
        <w:spacing w:before="120" w:after="120" w:line="360" w:lineRule="auto"/>
        <w:rPr>
          <w:rFonts w:ascii="Times New Roman" w:hAnsi="Times New Roman" w:eastAsia="宋体"/>
          <w:b/>
          <w:color w:val="auto"/>
          <w:sz w:val="24"/>
          <w:szCs w:val="24"/>
          <w:highlight w:val="none"/>
        </w:rPr>
      </w:pPr>
      <w:bookmarkStart w:id="55" w:name="_Toc207550888"/>
      <w:bookmarkStart w:id="56" w:name="_Toc2840"/>
      <w:bookmarkStart w:id="57" w:name="_Toc19485"/>
      <w:r>
        <w:rPr>
          <w:rFonts w:ascii="Times New Roman" w:hAnsi="Times New Roman" w:eastAsia="宋体"/>
          <w:b/>
          <w:color w:val="auto"/>
          <w:sz w:val="24"/>
          <w:szCs w:val="24"/>
          <w:highlight w:val="none"/>
        </w:rPr>
        <w:t>九、</w:t>
      </w:r>
      <w:bookmarkEnd w:id="55"/>
      <w:r>
        <w:rPr>
          <w:rFonts w:ascii="Times New Roman" w:hAnsi="Times New Roman" w:eastAsia="宋体"/>
          <w:b/>
          <w:color w:val="auto"/>
          <w:sz w:val="24"/>
          <w:szCs w:val="24"/>
          <w:highlight w:val="none"/>
        </w:rPr>
        <w:t>签订合同</w:t>
      </w:r>
      <w:bookmarkEnd w:id="56"/>
      <w:bookmarkEnd w:id="57"/>
    </w:p>
    <w:p>
      <w:pPr>
        <w:snapToGrid w:val="0"/>
        <w:spacing w:line="360" w:lineRule="auto"/>
        <w:ind w:firstLine="482" w:firstLineChars="200"/>
        <w:rPr>
          <w:b/>
          <w:color w:val="auto"/>
          <w:sz w:val="24"/>
          <w:szCs w:val="24"/>
          <w:highlight w:val="none"/>
        </w:rPr>
      </w:pPr>
      <w:r>
        <w:rPr>
          <w:b/>
          <w:color w:val="auto"/>
          <w:sz w:val="24"/>
          <w:szCs w:val="24"/>
          <w:highlight w:val="none"/>
        </w:rPr>
        <w:t>26.签订合同</w:t>
      </w:r>
    </w:p>
    <w:p>
      <w:pPr>
        <w:adjustRightInd w:val="0"/>
        <w:spacing w:line="360" w:lineRule="auto"/>
        <w:ind w:firstLine="480" w:firstLineChars="200"/>
        <w:rPr>
          <w:color w:val="auto"/>
          <w:sz w:val="24"/>
          <w:szCs w:val="24"/>
          <w:highlight w:val="none"/>
        </w:rPr>
      </w:pPr>
      <w:r>
        <w:rPr>
          <w:color w:val="auto"/>
          <w:sz w:val="24"/>
          <w:szCs w:val="24"/>
          <w:highlight w:val="none"/>
        </w:rPr>
        <w:t>26.1采购人与成交供应商应当在成交通知书发出之日起30日内，按照磋商文件确定的合同文本以及采购标的和服务要求等事项签订政府采购合同。</w:t>
      </w:r>
    </w:p>
    <w:p>
      <w:pPr>
        <w:adjustRightInd w:val="0"/>
        <w:spacing w:line="360" w:lineRule="auto"/>
        <w:ind w:firstLine="480" w:firstLineChars="200"/>
        <w:rPr>
          <w:color w:val="auto"/>
          <w:sz w:val="24"/>
          <w:szCs w:val="24"/>
          <w:highlight w:val="none"/>
        </w:rPr>
      </w:pPr>
      <w:r>
        <w:rPr>
          <w:color w:val="auto"/>
          <w:sz w:val="24"/>
          <w:szCs w:val="24"/>
          <w:highlight w:val="none"/>
        </w:rPr>
        <w:t>26.2拒签合同的责任</w:t>
      </w:r>
    </w:p>
    <w:p>
      <w:pPr>
        <w:adjustRightInd w:val="0"/>
        <w:spacing w:line="360" w:lineRule="auto"/>
        <w:ind w:firstLine="480" w:firstLineChars="200"/>
        <w:rPr>
          <w:color w:val="auto"/>
          <w:sz w:val="24"/>
          <w:szCs w:val="24"/>
          <w:highlight w:val="none"/>
        </w:rPr>
      </w:pPr>
      <w:r>
        <w:rPr>
          <w:color w:val="auto"/>
          <w:sz w:val="24"/>
          <w:szCs w:val="24"/>
          <w:highlight w:val="none"/>
        </w:rPr>
        <w:t>成交供应商接到成交通知书后，在规定时间内借故否认已经承诺的条件而拒签合同者，以磋商违约处理，应赔偿采购人由此造成的直接经济损失。</w:t>
      </w:r>
    </w:p>
    <w:p>
      <w:pPr>
        <w:adjustRightInd w:val="0"/>
        <w:spacing w:line="360" w:lineRule="auto"/>
        <w:ind w:firstLine="480" w:firstLineChars="200"/>
        <w:rPr>
          <w:color w:val="auto"/>
          <w:sz w:val="24"/>
          <w:szCs w:val="24"/>
          <w:highlight w:val="none"/>
        </w:rPr>
      </w:pPr>
      <w:r>
        <w:rPr>
          <w:color w:val="auto"/>
          <w:sz w:val="24"/>
          <w:szCs w:val="24"/>
          <w:highlight w:val="none"/>
        </w:rPr>
        <w:t>26.3签订合同后，成交供应商不得将本项目进行转包。未经采购人同意，成交供应商不得采用分包的形式履行合同。否则，采购人有权终止合同。转包造成采购人损失的，成交供应商还应承担相应的赔偿责任。</w:t>
      </w:r>
    </w:p>
    <w:p>
      <w:pPr>
        <w:pStyle w:val="3"/>
        <w:spacing w:before="120" w:after="120" w:line="360" w:lineRule="auto"/>
        <w:rPr>
          <w:rFonts w:ascii="Times New Roman" w:hAnsi="Times New Roman" w:eastAsia="宋体"/>
          <w:b/>
          <w:color w:val="auto"/>
          <w:sz w:val="24"/>
          <w:szCs w:val="24"/>
          <w:highlight w:val="none"/>
        </w:rPr>
      </w:pPr>
      <w:bookmarkStart w:id="58" w:name="_Toc207550890"/>
      <w:bookmarkStart w:id="59" w:name="_Toc16430"/>
      <w:bookmarkStart w:id="60" w:name="_Toc22465"/>
      <w:r>
        <w:rPr>
          <w:rFonts w:ascii="Times New Roman" w:hAnsi="Times New Roman" w:eastAsia="宋体"/>
          <w:b/>
          <w:color w:val="auto"/>
          <w:sz w:val="24"/>
          <w:szCs w:val="24"/>
          <w:highlight w:val="none"/>
        </w:rPr>
        <w:t>十、</w:t>
      </w:r>
      <w:bookmarkEnd w:id="58"/>
      <w:r>
        <w:rPr>
          <w:rFonts w:ascii="Times New Roman" w:hAnsi="Times New Roman" w:eastAsia="宋体"/>
          <w:b/>
          <w:color w:val="auto"/>
          <w:sz w:val="24"/>
          <w:szCs w:val="24"/>
          <w:highlight w:val="none"/>
        </w:rPr>
        <w:t>终止竞争性磋商采购活动</w:t>
      </w:r>
      <w:bookmarkEnd w:id="59"/>
      <w:bookmarkEnd w:id="60"/>
    </w:p>
    <w:p>
      <w:pPr>
        <w:spacing w:line="360" w:lineRule="auto"/>
        <w:ind w:firstLine="480" w:firstLineChars="200"/>
        <w:rPr>
          <w:color w:val="auto"/>
          <w:kern w:val="2"/>
          <w:sz w:val="24"/>
          <w:szCs w:val="24"/>
          <w:highlight w:val="none"/>
          <w:lang w:val="zh-CN"/>
        </w:rPr>
      </w:pPr>
      <w:r>
        <w:rPr>
          <w:color w:val="auto"/>
          <w:kern w:val="2"/>
          <w:sz w:val="24"/>
          <w:szCs w:val="24"/>
          <w:highlight w:val="none"/>
          <w:lang w:val="zh-CN"/>
        </w:rPr>
        <w:t>2</w:t>
      </w:r>
      <w:r>
        <w:rPr>
          <w:color w:val="auto"/>
          <w:kern w:val="2"/>
          <w:sz w:val="24"/>
          <w:szCs w:val="24"/>
          <w:highlight w:val="none"/>
        </w:rPr>
        <w:t>7</w:t>
      </w:r>
      <w:r>
        <w:rPr>
          <w:color w:val="auto"/>
          <w:kern w:val="2"/>
          <w:sz w:val="24"/>
          <w:szCs w:val="24"/>
          <w:highlight w:val="none"/>
          <w:lang w:val="zh-CN"/>
        </w:rPr>
        <w:t>.终止竞争性磋商采购活动</w:t>
      </w:r>
    </w:p>
    <w:p>
      <w:pPr>
        <w:spacing w:line="360" w:lineRule="auto"/>
        <w:ind w:firstLine="480" w:firstLineChars="200"/>
        <w:rPr>
          <w:color w:val="auto"/>
          <w:kern w:val="2"/>
          <w:sz w:val="24"/>
          <w:szCs w:val="24"/>
          <w:highlight w:val="none"/>
          <w:lang w:val="zh-CN"/>
        </w:rPr>
      </w:pPr>
      <w:r>
        <w:rPr>
          <w:color w:val="auto"/>
          <w:kern w:val="2"/>
          <w:sz w:val="24"/>
          <w:szCs w:val="24"/>
          <w:highlight w:val="none"/>
          <w:lang w:val="zh-CN"/>
        </w:rPr>
        <w:t>2</w:t>
      </w:r>
      <w:r>
        <w:rPr>
          <w:color w:val="auto"/>
          <w:kern w:val="2"/>
          <w:sz w:val="24"/>
          <w:szCs w:val="24"/>
          <w:highlight w:val="none"/>
        </w:rPr>
        <w:t>7</w:t>
      </w:r>
      <w:r>
        <w:rPr>
          <w:color w:val="auto"/>
          <w:kern w:val="2"/>
          <w:sz w:val="24"/>
          <w:szCs w:val="24"/>
          <w:highlight w:val="none"/>
          <w:lang w:val="zh-CN"/>
        </w:rPr>
        <w:t>.1在竞争性磋商采购活动过程中，出现下列情形之一的，</w:t>
      </w:r>
      <w:r>
        <w:rPr>
          <w:color w:val="auto"/>
          <w:sz w:val="24"/>
          <w:szCs w:val="24"/>
          <w:highlight w:val="none"/>
        </w:rPr>
        <w:t>采购人或者采购代理机构应当终止竞争性磋商采购活动，发布项目终止公告并说明原因，重新开展采购活动：</w:t>
      </w:r>
    </w:p>
    <w:p>
      <w:pPr>
        <w:spacing w:line="360" w:lineRule="auto"/>
        <w:ind w:firstLine="480" w:firstLineChars="200"/>
        <w:rPr>
          <w:color w:val="auto"/>
          <w:kern w:val="2"/>
          <w:sz w:val="24"/>
          <w:szCs w:val="24"/>
          <w:highlight w:val="none"/>
          <w:lang w:val="zh-CN"/>
        </w:rPr>
      </w:pPr>
      <w:r>
        <w:rPr>
          <w:color w:val="auto"/>
          <w:kern w:val="2"/>
          <w:sz w:val="24"/>
          <w:szCs w:val="24"/>
          <w:highlight w:val="none"/>
          <w:lang w:val="zh-CN"/>
        </w:rPr>
        <w:t>（1）因情况变化，不再符合规定的竞争性磋商采购方式适用情形的；</w:t>
      </w:r>
    </w:p>
    <w:p>
      <w:pPr>
        <w:spacing w:line="360" w:lineRule="auto"/>
        <w:ind w:firstLine="480" w:firstLineChars="200"/>
        <w:rPr>
          <w:color w:val="auto"/>
          <w:kern w:val="2"/>
          <w:sz w:val="24"/>
          <w:szCs w:val="24"/>
          <w:highlight w:val="none"/>
          <w:lang w:val="zh-CN"/>
        </w:rPr>
      </w:pPr>
      <w:r>
        <w:rPr>
          <w:color w:val="auto"/>
          <w:kern w:val="2"/>
          <w:sz w:val="24"/>
          <w:szCs w:val="24"/>
          <w:highlight w:val="none"/>
          <w:lang w:val="zh-CN"/>
        </w:rPr>
        <w:t>（2）出现影响采购公正的违法、违规行为的。</w:t>
      </w:r>
    </w:p>
    <w:p>
      <w:pPr>
        <w:spacing w:line="360" w:lineRule="auto"/>
        <w:ind w:firstLine="480" w:firstLineChars="200"/>
        <w:rPr>
          <w:color w:val="auto"/>
          <w:kern w:val="2"/>
          <w:sz w:val="24"/>
          <w:szCs w:val="24"/>
          <w:highlight w:val="none"/>
          <w:lang w:val="zh-CN"/>
        </w:rPr>
      </w:pPr>
      <w:r>
        <w:rPr>
          <w:color w:val="auto"/>
          <w:kern w:val="2"/>
          <w:sz w:val="24"/>
          <w:szCs w:val="24"/>
          <w:highlight w:val="none"/>
          <w:lang w:val="zh-CN"/>
        </w:rPr>
        <w:t>（3）</w:t>
      </w:r>
      <w:r>
        <w:rPr>
          <w:color w:val="auto"/>
          <w:sz w:val="24"/>
          <w:szCs w:val="24"/>
          <w:highlight w:val="none"/>
        </w:rPr>
        <w:t>在采购过程中符合要求的供应商或者报价未超过采购预算的供应商不足3家的</w:t>
      </w:r>
      <w:r>
        <w:rPr>
          <w:color w:val="auto"/>
          <w:kern w:val="2"/>
          <w:sz w:val="24"/>
          <w:szCs w:val="24"/>
          <w:highlight w:val="none"/>
          <w:lang w:val="zh-CN"/>
        </w:rPr>
        <w:t>。</w:t>
      </w:r>
    </w:p>
    <w:p>
      <w:pPr>
        <w:spacing w:line="360" w:lineRule="auto"/>
        <w:ind w:firstLine="480" w:firstLineChars="200"/>
        <w:rPr>
          <w:color w:val="auto"/>
          <w:kern w:val="2"/>
          <w:sz w:val="24"/>
          <w:szCs w:val="24"/>
          <w:highlight w:val="none"/>
          <w:lang w:val="zh-CN"/>
        </w:rPr>
      </w:pPr>
      <w:r>
        <w:rPr>
          <w:color w:val="auto"/>
          <w:kern w:val="2"/>
          <w:sz w:val="24"/>
          <w:szCs w:val="24"/>
          <w:highlight w:val="none"/>
          <w:lang w:val="zh-CN"/>
        </w:rPr>
        <w:t>（4）因重大变故，采购任务取消的。</w:t>
      </w:r>
    </w:p>
    <w:p>
      <w:pPr>
        <w:spacing w:line="360" w:lineRule="auto"/>
        <w:ind w:firstLine="480" w:firstLineChars="200"/>
        <w:rPr>
          <w:color w:val="auto"/>
          <w:kern w:val="2"/>
          <w:szCs w:val="21"/>
          <w:highlight w:val="none"/>
          <w:lang w:val="zh-CN"/>
        </w:rPr>
      </w:pPr>
      <w:r>
        <w:rPr>
          <w:color w:val="auto"/>
          <w:kern w:val="2"/>
          <w:sz w:val="24"/>
          <w:szCs w:val="24"/>
          <w:highlight w:val="none"/>
          <w:lang w:val="zh-CN"/>
        </w:rPr>
        <w:t>2</w:t>
      </w:r>
      <w:r>
        <w:rPr>
          <w:color w:val="auto"/>
          <w:kern w:val="2"/>
          <w:sz w:val="24"/>
          <w:szCs w:val="24"/>
          <w:highlight w:val="none"/>
        </w:rPr>
        <w:t>7</w:t>
      </w:r>
      <w:r>
        <w:rPr>
          <w:color w:val="auto"/>
          <w:kern w:val="2"/>
          <w:sz w:val="24"/>
          <w:szCs w:val="24"/>
          <w:highlight w:val="none"/>
          <w:lang w:val="zh-CN"/>
        </w:rPr>
        <w:t>.2在采购活动中因重大变故，采购任务取消的，采购人或者采购代理机构应当终止采购活动，通知所有参加采购活动的供应商，并将项目实施情况和采购任务取消原因报送本级财政部</w:t>
      </w:r>
      <w:r>
        <w:rPr>
          <w:color w:val="auto"/>
          <w:kern w:val="2"/>
          <w:szCs w:val="21"/>
          <w:highlight w:val="none"/>
          <w:lang w:val="zh-CN"/>
        </w:rPr>
        <w:t>门。</w:t>
      </w:r>
    </w:p>
    <w:p>
      <w:pPr>
        <w:spacing w:line="360" w:lineRule="auto"/>
        <w:ind w:firstLine="420" w:firstLineChars="200"/>
        <w:rPr>
          <w:color w:val="auto"/>
          <w:kern w:val="2"/>
          <w:szCs w:val="21"/>
          <w:highlight w:val="none"/>
          <w:lang w:val="zh-CN"/>
        </w:rPr>
      </w:pPr>
      <w:r>
        <w:rPr>
          <w:color w:val="auto"/>
          <w:kern w:val="2"/>
          <w:szCs w:val="21"/>
          <w:highlight w:val="none"/>
          <w:lang w:val="zh-CN"/>
        </w:rPr>
        <w:br w:type="page"/>
      </w:r>
    </w:p>
    <w:p>
      <w:pPr>
        <w:pStyle w:val="31"/>
        <w:ind w:firstLine="210"/>
        <w:rPr>
          <w:color w:val="auto"/>
          <w:highlight w:val="none"/>
          <w:lang w:val="zh-CN"/>
        </w:rPr>
      </w:pPr>
    </w:p>
    <w:bookmarkEnd w:id="13"/>
    <w:bookmarkEnd w:id="14"/>
    <w:bookmarkEnd w:id="50"/>
    <w:p>
      <w:pPr>
        <w:pStyle w:val="2"/>
        <w:snapToGrid w:val="0"/>
        <w:rPr>
          <w:rFonts w:eastAsia="宋体"/>
          <w:color w:val="auto"/>
          <w:sz w:val="32"/>
          <w:highlight w:val="none"/>
        </w:rPr>
      </w:pPr>
      <w:bookmarkStart w:id="61" w:name="_Toc118516218"/>
      <w:bookmarkStart w:id="62" w:name="_Toc171394922"/>
      <w:bookmarkStart w:id="63" w:name="_Toc24539"/>
      <w:r>
        <w:rPr>
          <w:rFonts w:eastAsia="宋体"/>
          <w:color w:val="auto"/>
          <w:sz w:val="32"/>
          <w:highlight w:val="none"/>
        </w:rPr>
        <w:t>第三部分</w:t>
      </w:r>
      <w:bookmarkEnd w:id="61"/>
      <w:bookmarkEnd w:id="62"/>
      <w:r>
        <w:rPr>
          <w:rFonts w:eastAsia="宋体"/>
          <w:color w:val="auto"/>
          <w:sz w:val="32"/>
          <w:highlight w:val="none"/>
        </w:rPr>
        <w:t>用户需求书</w:t>
      </w:r>
      <w:bookmarkEnd w:id="63"/>
    </w:p>
    <w:p>
      <w:pPr>
        <w:numPr>
          <w:ilvl w:val="0"/>
          <w:numId w:val="3"/>
        </w:numPr>
        <w:snapToGrid w:val="0"/>
        <w:spacing w:line="360" w:lineRule="auto"/>
        <w:ind w:firstLine="472" w:firstLineChars="196"/>
        <w:outlineLvl w:val="2"/>
        <w:rPr>
          <w:rFonts w:hint="eastAsia" w:ascii="宋体" w:hAnsi="宋体" w:eastAsia="宋体" w:cs="宋体"/>
          <w:b/>
          <w:color w:val="auto"/>
          <w:sz w:val="24"/>
          <w:szCs w:val="24"/>
          <w:highlight w:val="none"/>
        </w:rPr>
      </w:pPr>
      <w:bookmarkStart w:id="64" w:name="_Toc529354928"/>
      <w:bookmarkStart w:id="65" w:name="_Toc523928077"/>
      <w:r>
        <w:rPr>
          <w:rFonts w:hint="eastAsia" w:ascii="宋体" w:hAnsi="宋体" w:eastAsia="宋体" w:cs="宋体"/>
          <w:b/>
          <w:color w:val="auto"/>
          <w:sz w:val="24"/>
          <w:szCs w:val="24"/>
          <w:highlight w:val="none"/>
        </w:rPr>
        <w:t>项目背景</w:t>
      </w:r>
    </w:p>
    <w:p>
      <w:pPr>
        <w:keepNext w:val="0"/>
        <w:keepLines w:val="0"/>
        <w:pageBreakBefore w:val="0"/>
        <w:widowControl w:val="0"/>
        <w:suppressAutoHyphens/>
        <w:kinsoku/>
        <w:wordWrap/>
        <w:overflowPunct/>
        <w:topLinePunct w:val="0"/>
        <w:autoSpaceDE/>
        <w:autoSpaceDN/>
        <w:bidi w:val="0"/>
        <w:adjustRightInd/>
        <w:snapToGrid/>
        <w:spacing w:line="360" w:lineRule="auto"/>
        <w:ind w:firstLine="464" w:firstLineChars="200"/>
        <w:textAlignment w:val="auto"/>
        <w:rPr>
          <w:rFonts w:hint="eastAsia" w:ascii="宋体" w:hAnsi="宋体" w:eastAsia="宋体" w:cs="宋体"/>
          <w:color w:val="auto"/>
          <w:spacing w:val="-4"/>
          <w:kern w:val="0"/>
          <w:sz w:val="24"/>
          <w:szCs w:val="24"/>
          <w:highlight w:val="none"/>
          <w:lang w:val="en-US" w:eastAsia="zh-CN" w:bidi="ar-SA"/>
        </w:rPr>
      </w:pPr>
      <w:r>
        <w:rPr>
          <w:rFonts w:hint="eastAsia" w:ascii="宋体" w:hAnsi="宋体" w:eastAsia="宋体" w:cs="宋体"/>
          <w:color w:val="auto"/>
          <w:spacing w:val="-4"/>
          <w:kern w:val="0"/>
          <w:sz w:val="24"/>
          <w:szCs w:val="24"/>
          <w:highlight w:val="none"/>
          <w:lang w:val="en-US" w:eastAsia="zh-CN" w:bidi="ar-SA"/>
        </w:rPr>
        <w:t>浙江省拱宸强制戒毒所占地面积约</w:t>
      </w:r>
      <w:r>
        <w:rPr>
          <w:rFonts w:hint="eastAsia" w:ascii="宋体" w:hAnsi="宋体" w:cs="宋体"/>
          <w:color w:val="auto"/>
          <w:spacing w:val="-4"/>
          <w:kern w:val="0"/>
          <w:sz w:val="24"/>
          <w:szCs w:val="24"/>
          <w:highlight w:val="none"/>
          <w:lang w:val="en-US" w:eastAsia="zh-CN" w:bidi="ar-SA"/>
        </w:rPr>
        <w:t>93</w:t>
      </w:r>
      <w:r>
        <w:rPr>
          <w:rFonts w:hint="eastAsia" w:ascii="宋体" w:hAnsi="宋体" w:eastAsia="宋体" w:cs="宋体"/>
          <w:color w:val="auto"/>
          <w:spacing w:val="-4"/>
          <w:kern w:val="0"/>
          <w:sz w:val="24"/>
          <w:szCs w:val="24"/>
          <w:highlight w:val="none"/>
          <w:lang w:val="en-US" w:eastAsia="zh-CN" w:bidi="ar-SA"/>
        </w:rPr>
        <w:t>亩，2006年2月8日，时任浙江省委书记习近平同志，在时任浙江省委常委、秘书长李强等同志的陪同下亲临我所考察，在考察完原展厅、购物超市、戒毒人员宿舍、习艺车间后，在习艺楼B楼一楼会议室提出了“你们是怎么戒毒的”这一世纪之问，并对禁毒戒毒工作作出重要指示，为做好戒毒工作提供了根本遵循和行动指南。浙江省拱宸强制戒毒所作为习近平总书记和李强总理同时考察过的戒毒场所，红色资源在全国司法行政戒毒系统内独一无二，在全国司法行政系统具有很强的代表性。十七年来，浙江省拱宸所全体民警职工牢记习近平总书记的殷殷嘱托，在司法部戒毒管理局的大力指导，浙江省戒毒管理局党委的坚强领导下，聚焦“世纪之问”，充分发扬探路者精神，积极探索科学戒毒新技术新模式，并圆满完成了浙江省“四四五”戒毒模式试点工作任务，为司法部建立全国统一的司法行政戒毒工作基本模式提供了浙江经验，贡献了拱宸力量。</w:t>
      </w:r>
    </w:p>
    <w:p>
      <w:pPr>
        <w:keepNext w:val="0"/>
        <w:keepLines w:val="0"/>
        <w:pageBreakBefore w:val="0"/>
        <w:widowControl w:val="0"/>
        <w:suppressAutoHyphens/>
        <w:kinsoku/>
        <w:wordWrap/>
        <w:overflowPunct/>
        <w:topLinePunct w:val="0"/>
        <w:autoSpaceDE/>
        <w:autoSpaceDN/>
        <w:bidi w:val="0"/>
        <w:adjustRightInd/>
        <w:snapToGrid/>
        <w:spacing w:line="360" w:lineRule="auto"/>
        <w:ind w:firstLine="464" w:firstLineChars="200"/>
        <w:textAlignment w:val="auto"/>
        <w:rPr>
          <w:rFonts w:hint="eastAsia" w:ascii="宋体" w:hAnsi="宋体" w:eastAsia="宋体" w:cs="宋体"/>
          <w:color w:val="auto"/>
          <w:spacing w:val="-4"/>
          <w:kern w:val="0"/>
          <w:sz w:val="24"/>
          <w:szCs w:val="24"/>
          <w:highlight w:val="none"/>
          <w:lang w:val="en-US" w:eastAsia="zh-CN" w:bidi="ar-SA"/>
        </w:rPr>
      </w:pPr>
    </w:p>
    <w:p>
      <w:pPr>
        <w:numPr>
          <w:ilvl w:val="0"/>
          <w:numId w:val="3"/>
        </w:numPr>
        <w:snapToGrid w:val="0"/>
        <w:spacing w:line="360" w:lineRule="auto"/>
        <w:ind w:firstLine="472" w:firstLineChars="196"/>
        <w:outlineLvl w:val="2"/>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设计范围</w:t>
      </w:r>
    </w:p>
    <w:p>
      <w:pPr>
        <w:pStyle w:val="12"/>
        <w:numPr>
          <w:ilvl w:val="0"/>
          <w:numId w:val="4"/>
        </w:numPr>
        <w:snapToGri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习艺楼B</w:t>
      </w:r>
      <w:r>
        <w:rPr>
          <w:rFonts w:hint="eastAsia" w:ascii="宋体" w:hAnsi="宋体" w:eastAsia="宋体" w:cs="宋体"/>
          <w:bCs/>
          <w:color w:val="auto"/>
          <w:sz w:val="24"/>
          <w:szCs w:val="24"/>
          <w:highlight w:val="none"/>
        </w:rPr>
        <w:t>一楼</w:t>
      </w:r>
      <w:r>
        <w:rPr>
          <w:rFonts w:hint="eastAsia" w:ascii="宋体" w:hAnsi="宋体" w:eastAsia="宋体" w:cs="宋体"/>
          <w:bCs/>
          <w:color w:val="auto"/>
          <w:sz w:val="24"/>
          <w:szCs w:val="24"/>
          <w:highlight w:val="none"/>
          <w:lang w:val="en-US" w:eastAsia="zh-CN"/>
        </w:rPr>
        <w:t>会场原址（约940㎡）</w:t>
      </w:r>
    </w:p>
    <w:p>
      <w:pPr>
        <w:pStyle w:val="12"/>
        <w:numPr>
          <w:ilvl w:val="0"/>
          <w:numId w:val="4"/>
        </w:numPr>
        <w:snapToGri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所大门——1号楼1楼——3号楼1楼——习艺楼B楼，沿线空间、道路。</w:t>
      </w:r>
    </w:p>
    <w:p>
      <w:pPr>
        <w:pStyle w:val="12"/>
        <w:numPr>
          <w:ilvl w:val="0"/>
          <w:numId w:val="4"/>
        </w:numPr>
        <w:snapToGri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所区其他空间（按设计需求）。</w:t>
      </w:r>
    </w:p>
    <w:p>
      <w:pPr>
        <w:pStyle w:val="12"/>
        <w:snapToGrid w:val="0"/>
        <w:spacing w:line="360" w:lineRule="auto"/>
        <w:ind w:left="464" w:firstLine="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注：具体改造范围详见图纸附件。</w:t>
      </w:r>
    </w:p>
    <w:p>
      <w:pPr>
        <w:numPr>
          <w:ilvl w:val="0"/>
          <w:numId w:val="0"/>
        </w:numPr>
        <w:snapToGrid w:val="0"/>
        <w:spacing w:line="360" w:lineRule="auto"/>
        <w:outlineLvl w:val="2"/>
        <w:rPr>
          <w:rFonts w:hint="eastAsia" w:ascii="宋体" w:hAnsi="宋体" w:eastAsia="宋体" w:cs="宋体"/>
          <w:b/>
          <w:color w:val="auto"/>
          <w:sz w:val="24"/>
          <w:szCs w:val="24"/>
          <w:highlight w:val="none"/>
        </w:rPr>
      </w:pPr>
    </w:p>
    <w:p>
      <w:pPr>
        <w:numPr>
          <w:ilvl w:val="0"/>
          <w:numId w:val="3"/>
        </w:numPr>
        <w:snapToGrid w:val="0"/>
        <w:spacing w:line="360" w:lineRule="auto"/>
        <w:ind w:firstLine="472" w:firstLineChars="196"/>
        <w:outlineLvl w:val="2"/>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工作内容</w:t>
      </w:r>
    </w:p>
    <w:p>
      <w:pPr>
        <w:pStyle w:val="12"/>
        <w:numPr>
          <w:ilvl w:val="0"/>
          <w:numId w:val="5"/>
        </w:numPr>
        <w:snapToGrid w:val="0"/>
        <w:spacing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调研考察</w:t>
      </w:r>
    </w:p>
    <w:p>
      <w:pPr>
        <w:pStyle w:val="12"/>
        <w:numPr>
          <w:ilvl w:val="0"/>
          <w:numId w:val="6"/>
        </w:numPr>
        <w:snapToGri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调查搜集</w:t>
      </w:r>
      <w:r>
        <w:rPr>
          <w:rFonts w:hint="eastAsia" w:ascii="宋体" w:hAnsi="宋体" w:eastAsia="宋体" w:cs="宋体"/>
          <w:bCs/>
          <w:color w:val="auto"/>
          <w:sz w:val="24"/>
          <w:szCs w:val="24"/>
          <w:highlight w:val="none"/>
          <w:lang w:val="en-US" w:eastAsia="zh-CN"/>
        </w:rPr>
        <w:t>全国类似主题展馆</w:t>
      </w:r>
      <w:r>
        <w:rPr>
          <w:rFonts w:hint="eastAsia" w:ascii="宋体" w:hAnsi="宋体" w:eastAsia="宋体" w:cs="宋体"/>
          <w:bCs/>
          <w:color w:val="auto"/>
          <w:sz w:val="24"/>
          <w:szCs w:val="24"/>
          <w:highlight w:val="none"/>
        </w:rPr>
        <w:t>空间建设与改造资料；</w:t>
      </w:r>
    </w:p>
    <w:p>
      <w:pPr>
        <w:pStyle w:val="12"/>
        <w:numPr>
          <w:ilvl w:val="0"/>
          <w:numId w:val="6"/>
        </w:numPr>
        <w:snapToGri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现场勘察和调研</w:t>
      </w:r>
      <w:r>
        <w:rPr>
          <w:rFonts w:hint="eastAsia" w:ascii="宋体" w:hAnsi="宋体" w:eastAsia="宋体" w:cs="宋体"/>
          <w:bCs/>
          <w:color w:val="auto"/>
          <w:sz w:val="24"/>
          <w:szCs w:val="24"/>
          <w:highlight w:val="none"/>
          <w:lang w:val="en-US" w:eastAsia="zh-CN"/>
        </w:rPr>
        <w:t>浙江省拱宸强制戒毒所</w:t>
      </w:r>
      <w:r>
        <w:rPr>
          <w:rFonts w:hint="eastAsia" w:ascii="宋体" w:hAnsi="宋体" w:eastAsia="宋体" w:cs="宋体"/>
          <w:bCs/>
          <w:color w:val="auto"/>
          <w:sz w:val="24"/>
          <w:szCs w:val="24"/>
          <w:highlight w:val="none"/>
        </w:rPr>
        <w:t>现状和需求；</w:t>
      </w:r>
    </w:p>
    <w:p>
      <w:pPr>
        <w:pStyle w:val="12"/>
        <w:numPr>
          <w:ilvl w:val="0"/>
          <w:numId w:val="6"/>
        </w:numPr>
        <w:snapToGri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与业主充分沟通明确整体改造的功能定位与设计需求。</w:t>
      </w:r>
    </w:p>
    <w:p>
      <w:pPr>
        <w:pStyle w:val="12"/>
        <w:numPr>
          <w:ilvl w:val="0"/>
          <w:numId w:val="5"/>
        </w:numPr>
        <w:snapToGrid w:val="0"/>
        <w:spacing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方案设计</w:t>
      </w:r>
    </w:p>
    <w:p>
      <w:pPr>
        <w:pStyle w:val="12"/>
        <w:snapToGrid w:val="0"/>
        <w:spacing w:line="36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（1）改造目标：</w:t>
      </w:r>
    </w:p>
    <w:p>
      <w:pPr>
        <w:pStyle w:val="12"/>
        <w:snapToGrid w:val="0"/>
        <w:spacing w:line="360" w:lineRule="auto"/>
        <w:ind w:firstLine="480" w:firstLineChars="200"/>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 xml:space="preserve">② </w:t>
      </w:r>
      <w:r>
        <w:rPr>
          <w:rFonts w:hint="eastAsia" w:ascii="宋体" w:hAnsi="宋体" w:eastAsia="宋体" w:cs="宋体"/>
          <w:bCs/>
          <w:color w:val="auto"/>
          <w:sz w:val="24"/>
          <w:szCs w:val="24"/>
          <w:highlight w:val="none"/>
          <w:lang w:val="en-US" w:eastAsia="zh-CN"/>
        </w:rPr>
        <w:t>布局</w:t>
      </w:r>
      <w:r>
        <w:rPr>
          <w:rFonts w:hint="eastAsia" w:ascii="宋体" w:hAnsi="宋体" w:eastAsia="宋体" w:cs="宋体"/>
          <w:bCs/>
          <w:color w:val="auto"/>
          <w:sz w:val="24"/>
          <w:szCs w:val="24"/>
          <w:highlight w:val="none"/>
        </w:rPr>
        <w:t>调整。</w:t>
      </w:r>
      <w:r>
        <w:rPr>
          <w:rFonts w:hint="eastAsia" w:ascii="宋体" w:hAnsi="宋体" w:eastAsia="宋体" w:cs="宋体"/>
          <w:bCs/>
          <w:color w:val="auto"/>
          <w:sz w:val="24"/>
          <w:szCs w:val="24"/>
          <w:highlight w:val="none"/>
          <w:lang w:val="en-US" w:eastAsia="zh-CN"/>
        </w:rPr>
        <w:t>将会场原址办公功能调整改造为展陈功能，对会场原址空间根据设计需求进行优化。</w:t>
      </w:r>
    </w:p>
    <w:p>
      <w:pPr>
        <w:pStyle w:val="12"/>
        <w:snapToGri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③ 空间提升。</w:t>
      </w:r>
      <w:r>
        <w:rPr>
          <w:rFonts w:hint="eastAsia" w:ascii="宋体" w:hAnsi="宋体" w:eastAsia="宋体" w:cs="宋体"/>
          <w:bCs/>
          <w:color w:val="auto"/>
          <w:sz w:val="24"/>
          <w:szCs w:val="24"/>
          <w:highlight w:val="none"/>
          <w:lang w:val="en-US" w:eastAsia="zh-CN"/>
        </w:rPr>
        <w:t>提升会场原址及视察路线的红色</w:t>
      </w:r>
      <w:r>
        <w:rPr>
          <w:rFonts w:hint="eastAsia" w:ascii="宋体" w:hAnsi="宋体" w:eastAsia="宋体" w:cs="宋体"/>
          <w:bCs/>
          <w:color w:val="auto"/>
          <w:sz w:val="24"/>
          <w:szCs w:val="24"/>
          <w:highlight w:val="none"/>
        </w:rPr>
        <w:t>文化氛围和空间档次。</w:t>
      </w:r>
    </w:p>
    <w:p>
      <w:pPr>
        <w:pStyle w:val="12"/>
        <w:snapToGri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④ 空间</w:t>
      </w:r>
      <w:r>
        <w:rPr>
          <w:rFonts w:hint="eastAsia" w:ascii="宋体" w:hAnsi="宋体" w:eastAsia="宋体" w:cs="宋体"/>
          <w:bCs/>
          <w:color w:val="auto"/>
          <w:sz w:val="24"/>
          <w:szCs w:val="24"/>
          <w:highlight w:val="none"/>
          <w:lang w:eastAsia="zh-CN"/>
        </w:rPr>
        <w:t>改造</w:t>
      </w:r>
      <w:r>
        <w:rPr>
          <w:rFonts w:hint="eastAsia" w:ascii="宋体" w:hAnsi="宋体" w:eastAsia="宋体" w:cs="宋体"/>
          <w:bCs/>
          <w:color w:val="auto"/>
          <w:sz w:val="24"/>
          <w:szCs w:val="24"/>
          <w:highlight w:val="none"/>
        </w:rPr>
        <w:t>。根据功能需求进行平面布置调整</w:t>
      </w:r>
      <w:r>
        <w:rPr>
          <w:rFonts w:hint="eastAsia" w:ascii="宋体" w:hAnsi="宋体" w:eastAsia="宋体" w:cs="宋体"/>
          <w:bCs/>
          <w:color w:val="auto"/>
          <w:sz w:val="24"/>
          <w:szCs w:val="24"/>
          <w:highlight w:val="none"/>
          <w:lang w:eastAsia="zh-CN"/>
        </w:rPr>
        <w:t>。</w:t>
      </w:r>
    </w:p>
    <w:p>
      <w:pPr>
        <w:pStyle w:val="12"/>
        <w:snapToGrid w:val="0"/>
        <w:spacing w:line="36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（2）具体改造</w:t>
      </w:r>
      <w:r>
        <w:rPr>
          <w:rFonts w:hint="eastAsia" w:ascii="宋体" w:hAnsi="宋体" w:eastAsia="宋体" w:cs="宋体"/>
          <w:bCs/>
          <w:color w:val="auto"/>
          <w:sz w:val="24"/>
          <w:szCs w:val="24"/>
          <w:highlight w:val="none"/>
          <w:lang w:eastAsia="zh-CN"/>
        </w:rPr>
        <w:t>空间及</w:t>
      </w:r>
      <w:r>
        <w:rPr>
          <w:rFonts w:hint="eastAsia" w:ascii="宋体" w:hAnsi="宋体" w:eastAsia="宋体" w:cs="宋体"/>
          <w:bCs/>
          <w:color w:val="auto"/>
          <w:sz w:val="24"/>
          <w:szCs w:val="24"/>
          <w:highlight w:val="none"/>
        </w:rPr>
        <w:t>功能需求：</w:t>
      </w:r>
    </w:p>
    <w:p>
      <w:pPr>
        <w:pStyle w:val="12"/>
        <w:snapToGrid w:val="0"/>
        <w:spacing w:line="360" w:lineRule="auto"/>
        <w:ind w:firstLine="480" w:firstLineChars="200"/>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习艺楼B楼一楼原会址（约940㎡），视察原路线楼层、道路及其余空间。</w:t>
      </w:r>
    </w:p>
    <w:p>
      <w:pPr>
        <w:pStyle w:val="12"/>
        <w:snapToGrid w:val="0"/>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（3）投标人需结合本项目采购需求，充分考虑</w:t>
      </w:r>
      <w:r>
        <w:rPr>
          <w:rFonts w:hint="eastAsia" w:ascii="宋体" w:hAnsi="宋体" w:eastAsia="宋体" w:cs="宋体"/>
          <w:color w:val="auto"/>
          <w:sz w:val="24"/>
          <w:szCs w:val="24"/>
          <w:highlight w:val="none"/>
          <w:lang w:eastAsia="zh-CN"/>
        </w:rPr>
        <w:t>前瞻性、适用性、功能性等</w:t>
      </w:r>
      <w:r>
        <w:rPr>
          <w:rFonts w:hint="eastAsia" w:ascii="宋体" w:hAnsi="宋体" w:eastAsia="宋体" w:cs="宋体"/>
          <w:color w:val="auto"/>
          <w:sz w:val="24"/>
          <w:szCs w:val="24"/>
          <w:highlight w:val="none"/>
        </w:rPr>
        <w:t>完成本项目设计</w:t>
      </w:r>
      <w:r>
        <w:rPr>
          <w:rFonts w:hint="eastAsia" w:ascii="宋体" w:hAnsi="宋体" w:eastAsia="宋体" w:cs="宋体"/>
          <w:color w:val="auto"/>
          <w:sz w:val="24"/>
          <w:szCs w:val="24"/>
          <w:highlight w:val="none"/>
          <w:lang w:eastAsia="zh-CN"/>
        </w:rPr>
        <w:t>：</w:t>
      </w:r>
    </w:p>
    <w:p>
      <w:pPr>
        <w:snapToGrid w:val="0"/>
        <w:spacing w:line="360" w:lineRule="auto"/>
        <w:ind w:firstLine="566" w:firstLineChars="23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①前瞻性原则：能体现</w:t>
      </w:r>
      <w:r>
        <w:rPr>
          <w:rFonts w:hint="eastAsia" w:ascii="宋体" w:hAnsi="宋体" w:eastAsia="宋体" w:cs="宋体"/>
          <w:color w:val="auto"/>
          <w:sz w:val="24"/>
          <w:szCs w:val="24"/>
          <w:highlight w:val="none"/>
          <w:lang w:val="en-US" w:eastAsia="zh-CN"/>
        </w:rPr>
        <w:t>全国司法行政戒毒系统红色主题教育基地</w:t>
      </w:r>
      <w:r>
        <w:rPr>
          <w:rFonts w:hint="eastAsia" w:ascii="宋体" w:hAnsi="宋体" w:eastAsia="宋体" w:cs="宋体"/>
          <w:color w:val="auto"/>
          <w:sz w:val="24"/>
          <w:szCs w:val="24"/>
          <w:highlight w:val="none"/>
        </w:rPr>
        <w:t>定位，在物理空间、设施设备、信息化、空间文化等方面有超前性，并能全面表达。</w:t>
      </w:r>
    </w:p>
    <w:p>
      <w:pPr>
        <w:snapToGrid w:val="0"/>
        <w:spacing w:line="360" w:lineRule="auto"/>
        <w:ind w:firstLine="566" w:firstLineChars="23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②适用性原则：满足</w:t>
      </w:r>
      <w:r>
        <w:rPr>
          <w:rFonts w:hint="eastAsia" w:ascii="宋体" w:hAnsi="宋体" w:eastAsia="宋体" w:cs="宋体"/>
          <w:color w:val="auto"/>
          <w:sz w:val="24"/>
          <w:szCs w:val="24"/>
          <w:highlight w:val="none"/>
          <w:lang w:val="en-US" w:eastAsia="zh-CN"/>
        </w:rPr>
        <w:t>展陈及对外展示</w:t>
      </w:r>
      <w:r>
        <w:rPr>
          <w:rFonts w:hint="eastAsia" w:ascii="宋体" w:hAnsi="宋体" w:eastAsia="宋体" w:cs="宋体"/>
          <w:color w:val="auto"/>
          <w:sz w:val="24"/>
          <w:szCs w:val="24"/>
          <w:highlight w:val="none"/>
        </w:rPr>
        <w:t>功能要求，符合空间定位来塑造，有充分的设计理念表达。</w:t>
      </w:r>
    </w:p>
    <w:p>
      <w:pPr>
        <w:snapToGrid w:val="0"/>
        <w:spacing w:line="360" w:lineRule="auto"/>
        <w:ind w:firstLine="566" w:firstLineChars="23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③功能性原则：响应招标人改造诉求，平面功能完善，布局合理，功能流线顺畅，层次结构清晰的；展陈部分内容安排合理，参观舒适度高，设计有突出亮点。</w:t>
      </w:r>
    </w:p>
    <w:p>
      <w:pPr>
        <w:snapToGrid w:val="0"/>
        <w:spacing w:line="360" w:lineRule="auto"/>
        <w:ind w:firstLine="566" w:firstLineChars="23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④艺术性原则：重点空间设计突出，具有视觉审美效果，能体现设计理念与色彩关系。</w:t>
      </w:r>
    </w:p>
    <w:p>
      <w:pPr>
        <w:snapToGrid w:val="0"/>
        <w:spacing w:line="360" w:lineRule="auto"/>
        <w:ind w:firstLine="566" w:firstLineChars="23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⑤协调性原则：改造部分与原有建筑及非改造部分的过渡衔接上有充分考虑。</w:t>
      </w:r>
    </w:p>
    <w:p>
      <w:pPr>
        <w:snapToGrid w:val="0"/>
        <w:spacing w:line="360" w:lineRule="auto"/>
        <w:ind w:firstLine="566" w:firstLineChars="23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⑥安全性原则：设计中的所涉及的用材及工艺，能保证施工及使用安全，材料具有稳定性，安全性。</w:t>
      </w:r>
    </w:p>
    <w:p>
      <w:pPr>
        <w:snapToGrid w:val="0"/>
        <w:spacing w:line="360" w:lineRule="auto"/>
        <w:ind w:firstLine="566" w:firstLineChars="23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⑦可行性原则：设计方案在实操阶段可落地性强，在美观的基础上施工安装方便。</w:t>
      </w:r>
    </w:p>
    <w:p>
      <w:pPr>
        <w:snapToGrid w:val="0"/>
        <w:spacing w:line="360" w:lineRule="auto"/>
        <w:ind w:firstLine="566" w:firstLineChars="23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⑧经济环保性原则：设计方案绿色节能，用材低碳环保，合理性高，能控制造价。</w:t>
      </w:r>
    </w:p>
    <w:p>
      <w:pPr>
        <w:snapToGrid w:val="0"/>
        <w:spacing w:line="360" w:lineRule="auto"/>
        <w:ind w:firstLine="566" w:firstLineChars="23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⑨全面性原则：设计文件成果充分，完整，专业，设计文件成果的表达可以达到让招标人完全理解的深度。</w:t>
      </w:r>
    </w:p>
    <w:p>
      <w:pPr>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（4）各楼层重要节点的导示标识、文化元素及色彩等设计方案；</w:t>
      </w:r>
    </w:p>
    <w:p>
      <w:pPr>
        <w:pStyle w:val="12"/>
        <w:numPr>
          <w:ilvl w:val="0"/>
          <w:numId w:val="5"/>
        </w:numPr>
        <w:snapToGrid w:val="0"/>
        <w:spacing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施工图设计</w:t>
      </w:r>
    </w:p>
    <w:p>
      <w:pPr>
        <w:pStyle w:val="12"/>
        <w:numPr>
          <w:ilvl w:val="0"/>
          <w:numId w:val="7"/>
        </w:numPr>
        <w:snapToGri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各改造</w:t>
      </w:r>
      <w:r>
        <w:rPr>
          <w:rFonts w:hint="eastAsia" w:ascii="宋体" w:hAnsi="宋体" w:eastAsia="宋体" w:cs="宋体"/>
          <w:bCs/>
          <w:color w:val="auto"/>
          <w:sz w:val="24"/>
          <w:szCs w:val="24"/>
          <w:highlight w:val="none"/>
          <w:lang w:val="en-US" w:eastAsia="zh-CN"/>
        </w:rPr>
        <w:t>区域的</w:t>
      </w:r>
      <w:r>
        <w:rPr>
          <w:rFonts w:hint="eastAsia" w:ascii="宋体" w:hAnsi="宋体" w:eastAsia="宋体" w:cs="宋体"/>
          <w:bCs/>
          <w:color w:val="auto"/>
          <w:sz w:val="24"/>
          <w:szCs w:val="24"/>
          <w:highlight w:val="none"/>
        </w:rPr>
        <w:t>施工图，包括（但不限于）建筑施工图（如设计说明、平面图、立面图、剖面图、节点详图等）、结构施工图（如有）、电气施工图</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消防设计图</w:t>
      </w:r>
      <w:r>
        <w:rPr>
          <w:rFonts w:hint="eastAsia" w:ascii="宋体" w:hAnsi="宋体" w:eastAsia="宋体" w:cs="宋体"/>
          <w:bCs/>
          <w:color w:val="auto"/>
          <w:sz w:val="24"/>
          <w:szCs w:val="24"/>
          <w:highlight w:val="none"/>
        </w:rPr>
        <w:t>等；</w:t>
      </w:r>
    </w:p>
    <w:p>
      <w:pPr>
        <w:pStyle w:val="12"/>
        <w:numPr>
          <w:ilvl w:val="0"/>
          <w:numId w:val="7"/>
        </w:numPr>
        <w:snapToGri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各个改造空间的设施设备（含信息化、暖通）预留接口设计。</w:t>
      </w:r>
    </w:p>
    <w:p>
      <w:pPr>
        <w:pStyle w:val="12"/>
        <w:numPr>
          <w:ilvl w:val="0"/>
          <w:numId w:val="5"/>
        </w:numPr>
        <w:snapToGrid w:val="0"/>
        <w:spacing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施工配合</w:t>
      </w:r>
    </w:p>
    <w:p>
      <w:pPr>
        <w:pStyle w:val="12"/>
        <w:numPr>
          <w:ilvl w:val="0"/>
          <w:numId w:val="8"/>
        </w:num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协助完成</w:t>
      </w:r>
      <w:r>
        <w:rPr>
          <w:rFonts w:hint="eastAsia" w:ascii="宋体" w:hAnsi="宋体" w:eastAsia="宋体" w:cs="宋体"/>
          <w:color w:val="auto"/>
          <w:sz w:val="24"/>
          <w:szCs w:val="24"/>
          <w:highlight w:val="none"/>
          <w:lang w:val="en-US" w:eastAsia="zh-CN"/>
        </w:rPr>
        <w:t>图审、</w:t>
      </w:r>
      <w:r>
        <w:rPr>
          <w:rFonts w:hint="eastAsia" w:ascii="宋体" w:hAnsi="宋体" w:eastAsia="宋体" w:cs="宋体"/>
          <w:color w:val="auto"/>
          <w:sz w:val="24"/>
          <w:szCs w:val="24"/>
          <w:highlight w:val="none"/>
        </w:rPr>
        <w:t>施工招标，编制招标文件中的技术规范和技术要求；</w:t>
      </w:r>
    </w:p>
    <w:p>
      <w:pPr>
        <w:pStyle w:val="12"/>
        <w:numPr>
          <w:ilvl w:val="0"/>
          <w:numId w:val="8"/>
        </w:num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负责施工图设计技术交底；</w:t>
      </w:r>
    </w:p>
    <w:p>
      <w:pPr>
        <w:pStyle w:val="12"/>
        <w:numPr>
          <w:ilvl w:val="0"/>
          <w:numId w:val="8"/>
        </w:numPr>
        <w:snapToGri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对重要节点进行现场施工指导或配合；</w:t>
      </w:r>
    </w:p>
    <w:p>
      <w:pPr>
        <w:pStyle w:val="12"/>
        <w:numPr>
          <w:ilvl w:val="0"/>
          <w:numId w:val="8"/>
        </w:numPr>
        <w:snapToGri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参与工程竣工验收。</w:t>
      </w:r>
    </w:p>
    <w:p>
      <w:pPr>
        <w:pStyle w:val="12"/>
        <w:numPr>
          <w:ilvl w:val="0"/>
          <w:numId w:val="0"/>
        </w:numPr>
        <w:snapToGrid w:val="0"/>
        <w:spacing w:line="360" w:lineRule="auto"/>
        <w:rPr>
          <w:rFonts w:hint="eastAsia" w:ascii="宋体" w:hAnsi="宋体" w:eastAsia="宋体" w:cs="宋体"/>
          <w:bCs/>
          <w:color w:val="auto"/>
          <w:sz w:val="24"/>
          <w:szCs w:val="24"/>
          <w:highlight w:val="none"/>
        </w:rPr>
      </w:pPr>
    </w:p>
    <w:p>
      <w:pPr>
        <w:numPr>
          <w:ilvl w:val="0"/>
          <w:numId w:val="3"/>
        </w:numPr>
        <w:snapToGrid w:val="0"/>
        <w:spacing w:line="360" w:lineRule="auto"/>
        <w:ind w:firstLine="472" w:firstLineChars="196"/>
        <w:outlineLvl w:val="2"/>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设计成果</w:t>
      </w:r>
    </w:p>
    <w:p>
      <w:pPr>
        <w:pStyle w:val="12"/>
        <w:numPr>
          <w:ilvl w:val="0"/>
          <w:numId w:val="9"/>
        </w:numPr>
        <w:snapToGri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类似主题展馆</w:t>
      </w:r>
      <w:r>
        <w:rPr>
          <w:rFonts w:hint="eastAsia" w:ascii="宋体" w:hAnsi="宋体" w:eastAsia="宋体" w:cs="宋体"/>
          <w:bCs/>
          <w:color w:val="auto"/>
          <w:sz w:val="24"/>
          <w:szCs w:val="24"/>
          <w:highlight w:val="none"/>
        </w:rPr>
        <w:t>改造调研考察成果资料；</w:t>
      </w:r>
    </w:p>
    <w:p>
      <w:pPr>
        <w:pStyle w:val="12"/>
        <w:numPr>
          <w:ilvl w:val="0"/>
          <w:numId w:val="9"/>
        </w:numPr>
        <w:snapToGri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设计方案文本、效果图（包括但不限于</w:t>
      </w:r>
      <w:r>
        <w:rPr>
          <w:rFonts w:hint="eastAsia" w:ascii="宋体" w:hAnsi="宋体" w:eastAsia="宋体" w:cs="宋体"/>
          <w:bCs/>
          <w:color w:val="auto"/>
          <w:sz w:val="24"/>
          <w:szCs w:val="24"/>
          <w:highlight w:val="none"/>
          <w:lang w:val="en-US" w:eastAsia="zh-CN"/>
        </w:rPr>
        <w:t>习艺楼B楼一楼原会址（约940㎡），视察原路线楼层、道路及其余空间</w:t>
      </w:r>
      <w:r>
        <w:rPr>
          <w:rFonts w:hint="eastAsia" w:ascii="宋体" w:hAnsi="宋体" w:eastAsia="宋体" w:cs="宋体"/>
          <w:bCs/>
          <w:color w:val="auto"/>
          <w:sz w:val="24"/>
          <w:szCs w:val="24"/>
          <w:highlight w:val="none"/>
        </w:rPr>
        <w:t>），整体改造方案PPT</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按空间和工种编制的</w:t>
      </w:r>
      <w:r>
        <w:rPr>
          <w:rFonts w:hint="eastAsia" w:ascii="宋体" w:hAnsi="宋体" w:eastAsia="宋体" w:cs="宋体"/>
          <w:bCs/>
          <w:color w:val="auto"/>
          <w:sz w:val="24"/>
          <w:szCs w:val="24"/>
          <w:highlight w:val="none"/>
          <w:lang w:val="en-US" w:eastAsia="zh-CN"/>
        </w:rPr>
        <w:t>设计概念；</w:t>
      </w:r>
    </w:p>
    <w:p>
      <w:pPr>
        <w:pStyle w:val="12"/>
        <w:numPr>
          <w:ilvl w:val="0"/>
          <w:numId w:val="9"/>
        </w:num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施工图纸（合同规定套数）、相关物料书及相应的电子版文件</w:t>
      </w:r>
      <w:r>
        <w:rPr>
          <w:rFonts w:hint="eastAsia" w:ascii="宋体" w:hAnsi="宋体" w:eastAsia="宋体" w:cs="宋体"/>
          <w:bCs/>
          <w:color w:val="auto"/>
          <w:sz w:val="24"/>
          <w:szCs w:val="24"/>
          <w:highlight w:val="none"/>
          <w:lang w:eastAsia="zh-CN"/>
        </w:rPr>
        <w:t>。</w:t>
      </w:r>
    </w:p>
    <w:p>
      <w:pPr>
        <w:pStyle w:val="12"/>
        <w:numPr>
          <w:ilvl w:val="0"/>
          <w:numId w:val="0"/>
        </w:numPr>
        <w:snapToGrid w:val="0"/>
        <w:spacing w:line="360" w:lineRule="auto"/>
        <w:rPr>
          <w:rFonts w:hint="eastAsia" w:ascii="宋体" w:hAnsi="宋体" w:eastAsia="宋体" w:cs="宋体"/>
          <w:color w:val="auto"/>
          <w:sz w:val="24"/>
          <w:szCs w:val="24"/>
          <w:highlight w:val="none"/>
        </w:rPr>
      </w:pPr>
    </w:p>
    <w:p>
      <w:pPr>
        <w:numPr>
          <w:ilvl w:val="0"/>
          <w:numId w:val="3"/>
        </w:numPr>
        <w:snapToGrid w:val="0"/>
        <w:spacing w:line="360" w:lineRule="auto"/>
        <w:ind w:firstLine="472" w:firstLineChars="196"/>
        <w:outlineLvl w:val="2"/>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设计要求</w:t>
      </w:r>
    </w:p>
    <w:p>
      <w:pPr>
        <w:pStyle w:val="12"/>
        <w:numPr>
          <w:ilvl w:val="0"/>
          <w:numId w:val="10"/>
        </w:num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应符合国家或地方的法律法规、规范标准及政策要求；</w:t>
      </w:r>
    </w:p>
    <w:p>
      <w:pPr>
        <w:pStyle w:val="12"/>
        <w:numPr>
          <w:ilvl w:val="0"/>
          <w:numId w:val="10"/>
        </w:num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坚持以人为本的设计理念，遵循绿色、环保、安全等设计原则；</w:t>
      </w:r>
    </w:p>
    <w:p>
      <w:pPr>
        <w:pStyle w:val="12"/>
        <w:numPr>
          <w:ilvl w:val="0"/>
          <w:numId w:val="10"/>
        </w:num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空间与功能应适度超前，考虑未来图书馆的可持续发展与可拓展性；</w:t>
      </w:r>
    </w:p>
    <w:p>
      <w:pPr>
        <w:pStyle w:val="12"/>
        <w:numPr>
          <w:ilvl w:val="0"/>
          <w:numId w:val="10"/>
        </w:num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展陈区应能实现多种展陈功能的灵活切换；</w:t>
      </w:r>
    </w:p>
    <w:p>
      <w:pPr>
        <w:pStyle w:val="12"/>
        <w:numPr>
          <w:ilvl w:val="0"/>
          <w:numId w:val="10"/>
        </w:num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整体设计风格应简洁、大气、现代，体现浙江财经大学的校园文化；</w:t>
      </w:r>
    </w:p>
    <w:p>
      <w:pPr>
        <w:pStyle w:val="12"/>
        <w:numPr>
          <w:ilvl w:val="0"/>
          <w:numId w:val="10"/>
        </w:num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应根据业主要求进行方案调整与优化，待业主认可后再进行施工图设计；</w:t>
      </w:r>
    </w:p>
    <w:p>
      <w:pPr>
        <w:pStyle w:val="12"/>
        <w:numPr>
          <w:ilvl w:val="0"/>
          <w:numId w:val="10"/>
        </w:num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设计深度应符合《建筑工程设计文件编制深度规定（2016版）》要求；</w:t>
      </w:r>
    </w:p>
    <w:p>
      <w:pPr>
        <w:pStyle w:val="12"/>
        <w:numPr>
          <w:ilvl w:val="0"/>
          <w:numId w:val="10"/>
        </w:numPr>
        <w:snapToGrid w:val="0"/>
        <w:spacing w:line="360" w:lineRule="auto"/>
        <w:ind w:firstLine="480" w:firstLineChars="200"/>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完善相关资料的收集、整理、汇编、归档等工作，确保资料完整；</w:t>
      </w:r>
    </w:p>
    <w:p>
      <w:pPr>
        <w:pStyle w:val="12"/>
        <w:numPr>
          <w:ilvl w:val="0"/>
          <w:numId w:val="10"/>
        </w:numPr>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中标单位应组建由图书馆领域资深专家组成的专家顾问团队。</w:t>
      </w:r>
    </w:p>
    <w:p>
      <w:pPr>
        <w:pStyle w:val="12"/>
        <w:numPr>
          <w:ilvl w:val="0"/>
          <w:numId w:val="0"/>
        </w:numPr>
        <w:snapToGrid w:val="0"/>
        <w:spacing w:line="360" w:lineRule="auto"/>
        <w:rPr>
          <w:rFonts w:hint="eastAsia" w:ascii="宋体" w:hAnsi="宋体" w:eastAsia="宋体" w:cs="宋体"/>
          <w:color w:val="auto"/>
          <w:sz w:val="24"/>
          <w:szCs w:val="24"/>
          <w:highlight w:val="none"/>
        </w:rPr>
      </w:pPr>
    </w:p>
    <w:p>
      <w:pPr>
        <w:numPr>
          <w:ilvl w:val="0"/>
          <w:numId w:val="3"/>
        </w:numPr>
        <w:snapToGrid w:val="0"/>
        <w:spacing w:line="360" w:lineRule="auto"/>
        <w:ind w:firstLine="472" w:firstLineChars="196"/>
        <w:outlineLvl w:val="2"/>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项目团队</w:t>
      </w:r>
    </w:p>
    <w:p>
      <w:pPr>
        <w:bidi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投标人需组建不少于5人的项目团队，具有相关技术职称，均为投标人在职员工。项目负责人具有类似项目经验。团队成员中至少有一名主要设计人员参与每次设计沟通协调会议和施工项目例会。</w:t>
      </w:r>
    </w:p>
    <w:p>
      <w:pPr>
        <w:bidi w:val="0"/>
        <w:spacing w:line="360" w:lineRule="auto"/>
        <w:ind w:firstLine="482" w:firstLineChars="200"/>
        <w:rPr>
          <w:rFonts w:hint="default" w:ascii="宋体" w:hAnsi="宋体" w:eastAsia="宋体" w:cs="宋体"/>
          <w:b/>
          <w:bCs/>
          <w:color w:val="auto"/>
          <w:sz w:val="24"/>
          <w:szCs w:val="24"/>
          <w:highlight w:val="none"/>
          <w:u w:val="single"/>
          <w:lang w:val="en-US" w:eastAsia="zh-CN"/>
        </w:rPr>
      </w:pPr>
      <w:r>
        <w:rPr>
          <w:rFonts w:hint="eastAsia" w:ascii="宋体" w:hAnsi="宋体" w:eastAsia="宋体" w:cs="宋体"/>
          <w:b/>
          <w:bCs/>
          <w:color w:val="auto"/>
          <w:sz w:val="24"/>
          <w:szCs w:val="24"/>
          <w:highlight w:val="none"/>
          <w:u w:val="single"/>
          <w:lang w:val="en-US" w:eastAsia="zh-CN"/>
        </w:rPr>
        <w:t>▲项目负责人具有二级及以上注册建筑师证书，</w:t>
      </w:r>
      <w:r>
        <w:rPr>
          <w:rFonts w:hint="eastAsia" w:ascii="宋体" w:hAnsi="宋体" w:cs="宋体"/>
          <w:b/>
          <w:bCs/>
          <w:color w:val="auto"/>
          <w:sz w:val="24"/>
          <w:szCs w:val="24"/>
          <w:highlight w:val="none"/>
          <w:u w:val="single"/>
          <w:lang w:val="en-US" w:eastAsia="zh-CN"/>
        </w:rPr>
        <w:t>提供有效的注册证书复印件加盖公章，</w:t>
      </w:r>
      <w:r>
        <w:rPr>
          <w:rFonts w:hint="eastAsia" w:ascii="宋体" w:hAnsi="宋体" w:eastAsia="宋体" w:cs="宋体"/>
          <w:b/>
          <w:bCs/>
          <w:color w:val="auto"/>
          <w:sz w:val="24"/>
          <w:szCs w:val="24"/>
          <w:highlight w:val="none"/>
          <w:u w:val="single"/>
          <w:lang w:val="en-US" w:eastAsia="zh-CN"/>
        </w:rPr>
        <w:t>未提供响应无效。</w:t>
      </w:r>
    </w:p>
    <w:p>
      <w:pPr>
        <w:bidi w:val="0"/>
        <w:spacing w:line="360" w:lineRule="auto"/>
        <w:ind w:firstLine="480" w:firstLineChars="200"/>
        <w:rPr>
          <w:rFonts w:hint="eastAsia" w:ascii="宋体" w:hAnsi="宋体" w:eastAsia="宋体" w:cs="宋体"/>
          <w:color w:val="auto"/>
          <w:sz w:val="24"/>
          <w:szCs w:val="24"/>
          <w:highlight w:val="none"/>
          <w:lang w:val="en-US" w:eastAsia="zh-CN"/>
        </w:rPr>
      </w:pPr>
    </w:p>
    <w:p>
      <w:pPr>
        <w:bidi w:val="0"/>
        <w:spacing w:line="360" w:lineRule="auto"/>
        <w:ind w:firstLine="482" w:firstLineChars="20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七、演示要求</w:t>
      </w:r>
    </w:p>
    <w:p>
      <w:pPr>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1、演示内容</w:t>
      </w:r>
      <w:r>
        <w:rPr>
          <w:rFonts w:hint="eastAsia" w:ascii="宋体" w:hAnsi="宋体" w:eastAsia="宋体" w:cs="宋体"/>
          <w:b/>
          <w:bCs/>
          <w:color w:val="auto"/>
          <w:sz w:val="24"/>
          <w:szCs w:val="24"/>
          <w:highlight w:val="none"/>
          <w:lang w:val="en-US" w:eastAsia="zh-CN"/>
        </w:rPr>
        <w:t>及要求</w:t>
      </w:r>
      <w:r>
        <w:rPr>
          <w:rFonts w:hint="eastAsia" w:ascii="宋体" w:hAnsi="宋体" w:eastAsia="宋体" w:cs="宋体"/>
          <w:b/>
          <w:bCs/>
          <w:color w:val="auto"/>
          <w:sz w:val="24"/>
          <w:szCs w:val="24"/>
          <w:highlight w:val="none"/>
        </w:rPr>
        <w:t>：</w:t>
      </w:r>
    </w:p>
    <w:p>
      <w:pPr>
        <w:pStyle w:val="31"/>
        <w:numPr>
          <w:ilvl w:val="0"/>
          <w:numId w:val="0"/>
        </w:numPr>
        <w:spacing w:line="360" w:lineRule="auto"/>
        <w:ind w:lef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提供供应商在技术文件的基础上方案讲解及对项目的合理深化阐述。阐述方式可采用PPT讲解录屏或其他介绍视频。</w:t>
      </w:r>
    </w:p>
    <w:p>
      <w:p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    2.</w:t>
      </w:r>
      <w:r>
        <w:rPr>
          <w:rFonts w:hint="eastAsia" w:ascii="宋体" w:hAnsi="宋体" w:eastAsia="宋体" w:cs="宋体"/>
          <w:b/>
          <w:bCs/>
          <w:color w:val="auto"/>
          <w:sz w:val="24"/>
          <w:szCs w:val="24"/>
          <w:highlight w:val="none"/>
          <w:lang w:val="en-US"/>
        </w:rPr>
        <w:t>演示</w:t>
      </w:r>
      <w:r>
        <w:rPr>
          <w:rFonts w:hint="eastAsia" w:ascii="宋体" w:hAnsi="宋体" w:eastAsia="宋体" w:cs="宋体"/>
          <w:b/>
          <w:bCs/>
          <w:color w:val="auto"/>
          <w:sz w:val="24"/>
          <w:szCs w:val="24"/>
          <w:highlight w:val="none"/>
          <w:lang w:val="en-US" w:eastAsia="zh-CN"/>
        </w:rPr>
        <w:t>方式</w:t>
      </w:r>
      <w:r>
        <w:rPr>
          <w:rFonts w:hint="eastAsia" w:ascii="宋体" w:hAnsi="宋体" w:eastAsia="宋体" w:cs="宋体"/>
          <w:b/>
          <w:bCs/>
          <w:color w:val="auto"/>
          <w:sz w:val="24"/>
          <w:szCs w:val="24"/>
          <w:highlight w:val="none"/>
          <w:lang w:val="en-US"/>
        </w:rPr>
        <w:t>：</w:t>
      </w:r>
    </w:p>
    <w:p>
      <w:pPr>
        <w:pStyle w:val="31"/>
        <w:spacing w:line="360" w:lineRule="auto"/>
        <w:ind w:firstLineChars="200"/>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根据“电子交易/不见面开评标”原则，供应商需将以上讲解过程录制视频，演示时长不超过</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lang w:val="en-US"/>
        </w:rPr>
        <w:t>分钟，演示文件格式要求为：MP4或AVI，用U盘介质提交，U盘要符合NTFS或者FAT32的格式</w:t>
      </w:r>
      <w:r>
        <w:rPr>
          <w:rFonts w:hint="eastAsia" w:ascii="宋体" w:hAnsi="宋体" w:eastAsia="宋体" w:cs="宋体"/>
          <w:color w:val="auto"/>
          <w:sz w:val="24"/>
          <w:szCs w:val="24"/>
          <w:highlight w:val="none"/>
          <w:lang w:val="en-US" w:eastAsia="zh-CN"/>
        </w:rPr>
        <w:t>（</w:t>
      </w:r>
      <w:r>
        <w:rPr>
          <w:rFonts w:hint="eastAsia" w:ascii="宋体" w:hAnsi="宋体" w:eastAsia="宋体" w:cs="宋体"/>
          <w:i w:val="0"/>
          <w:iCs w:val="0"/>
          <w:color w:val="auto"/>
          <w:kern w:val="0"/>
          <w:sz w:val="24"/>
          <w:szCs w:val="24"/>
          <w:highlight w:val="none"/>
          <w:u w:val="none"/>
          <w:lang w:val="en-US" w:eastAsia="zh-CN" w:bidi="ar"/>
        </w:rPr>
        <w:t>供应商也可同时考入该演示文件播放软件的安装包）</w:t>
      </w:r>
      <w:r>
        <w:rPr>
          <w:rFonts w:hint="eastAsia" w:ascii="宋体" w:hAnsi="宋体" w:eastAsia="宋体" w:cs="宋体"/>
          <w:color w:val="auto"/>
          <w:sz w:val="24"/>
          <w:szCs w:val="24"/>
          <w:highlight w:val="none"/>
          <w:lang w:val="en-US"/>
        </w:rPr>
        <w:t>，不能打开识别的视频文件其风险由供应商自行承担.。</w:t>
      </w:r>
    </w:p>
    <w:p>
      <w:pPr>
        <w:pStyle w:val="31"/>
        <w:spacing w:line="360" w:lineRule="auto"/>
        <w:ind w:firstLineChars="200"/>
        <w:rPr>
          <w:rFonts w:hint="eastAsia" w:ascii="宋体" w:hAnsi="宋体" w:eastAsia="宋体" w:cs="宋体"/>
          <w:color w:val="auto"/>
          <w:sz w:val="24"/>
          <w:szCs w:val="24"/>
          <w:highlight w:val="none"/>
          <w:lang w:val="en-US"/>
        </w:rPr>
      </w:pPr>
      <w:r>
        <w:rPr>
          <w:rFonts w:hint="eastAsia" w:ascii="宋体" w:hAnsi="宋体" w:eastAsia="宋体" w:cs="宋体"/>
          <w:b/>
          <w:bCs/>
          <w:color w:val="auto"/>
          <w:sz w:val="24"/>
          <w:szCs w:val="24"/>
          <w:highlight w:val="none"/>
          <w:lang w:val="en-US" w:eastAsia="zh-CN"/>
        </w:rPr>
        <w:t>3.</w:t>
      </w:r>
      <w:r>
        <w:rPr>
          <w:rFonts w:hint="eastAsia" w:ascii="宋体" w:hAnsi="宋体" w:eastAsia="宋体" w:cs="宋体"/>
          <w:b/>
          <w:bCs/>
          <w:color w:val="auto"/>
          <w:sz w:val="24"/>
          <w:szCs w:val="24"/>
          <w:highlight w:val="none"/>
          <w:lang w:val="en-US"/>
        </w:rPr>
        <w:t>演示视频资料递交方式</w:t>
      </w:r>
      <w:r>
        <w:rPr>
          <w:rFonts w:hint="eastAsia" w:ascii="宋体" w:hAnsi="宋体" w:eastAsia="宋体" w:cs="宋体"/>
          <w:b/>
          <w:bCs/>
          <w:color w:val="auto"/>
          <w:sz w:val="24"/>
          <w:szCs w:val="24"/>
          <w:highlight w:val="none"/>
          <w:lang w:val="en-US" w:eastAsia="zh-CN"/>
        </w:rPr>
        <w:t>与时间</w:t>
      </w:r>
      <w:r>
        <w:rPr>
          <w:rFonts w:hint="eastAsia" w:ascii="宋体" w:hAnsi="宋体" w:eastAsia="宋体" w:cs="宋体"/>
          <w:b/>
          <w:bCs/>
          <w:color w:val="auto"/>
          <w:sz w:val="24"/>
          <w:szCs w:val="24"/>
          <w:highlight w:val="none"/>
          <w:lang w:val="en-US"/>
        </w:rPr>
        <w:t>：</w:t>
      </w:r>
    </w:p>
    <w:p>
      <w:pPr>
        <w:pStyle w:val="31"/>
        <w:spacing w:line="360" w:lineRule="auto"/>
        <w:ind w:firstLineChars="200"/>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演示视频资料</w:t>
      </w:r>
      <w:r>
        <w:rPr>
          <w:rFonts w:hint="eastAsia" w:ascii="宋体" w:hAnsi="宋体" w:eastAsia="宋体" w:cs="宋体"/>
          <w:color w:val="auto"/>
          <w:sz w:val="24"/>
          <w:szCs w:val="24"/>
          <w:highlight w:val="none"/>
          <w:lang w:val="en-US"/>
        </w:rPr>
        <w:t>可与</w:t>
      </w:r>
      <w:r>
        <w:rPr>
          <w:rFonts w:hint="eastAsia" w:ascii="宋体" w:hAnsi="宋体" w:eastAsia="宋体" w:cs="宋体"/>
          <w:color w:val="auto"/>
          <w:sz w:val="24"/>
          <w:szCs w:val="24"/>
          <w:highlight w:val="none"/>
          <w:lang w:val="en-US" w:eastAsia="zh-CN"/>
        </w:rPr>
        <w:t>响应文件</w:t>
      </w:r>
      <w:r>
        <w:rPr>
          <w:rFonts w:hint="eastAsia" w:ascii="宋体" w:hAnsi="宋体" w:eastAsia="宋体" w:cs="宋体"/>
          <w:color w:val="auto"/>
          <w:sz w:val="24"/>
          <w:szCs w:val="24"/>
          <w:highlight w:val="none"/>
          <w:lang w:val="en-US"/>
        </w:rPr>
        <w:t>一同密封递交，也可单独密封递交。（邮寄地址：杭州市拱墅区大关路179号远洋国际中心A座17楼1706室，收件人：陈梦菲；联系电话：0571-87981527）</w:t>
      </w:r>
    </w:p>
    <w:p>
      <w:p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    演示视频资料须在磋商响应截止时间前递交。</w:t>
      </w:r>
    </w:p>
    <w:p>
      <w:pPr>
        <w:pStyle w:val="31"/>
        <w:numPr>
          <w:ilvl w:val="0"/>
          <w:numId w:val="0"/>
        </w:numPr>
        <w:spacing w:line="360" w:lineRule="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rPr>
        <w:t>注</w:t>
      </w:r>
      <w:r>
        <w:rPr>
          <w:rFonts w:hint="eastAsia" w:ascii="宋体" w:hAnsi="宋体" w:eastAsia="宋体" w:cs="宋体"/>
          <w:b/>
          <w:bCs/>
          <w:color w:val="auto"/>
          <w:sz w:val="24"/>
          <w:szCs w:val="24"/>
          <w:highlight w:val="none"/>
          <w:lang w:val="en-US" w:eastAsia="zh-CN"/>
        </w:rPr>
        <w:t>：</w:t>
      </w:r>
    </w:p>
    <w:p>
      <w:pPr>
        <w:pStyle w:val="31"/>
        <w:numPr>
          <w:ilvl w:val="0"/>
          <w:numId w:val="0"/>
        </w:numPr>
        <w:spacing w:line="360" w:lineRule="auto"/>
        <w:ind w:firstLine="482" w:firstLineChars="200"/>
        <w:rPr>
          <w:rFonts w:hint="eastAsia" w:ascii="宋体" w:hAnsi="宋体" w:eastAsia="宋体" w:cs="宋体"/>
          <w:b/>
          <w:bCs/>
          <w:color w:val="auto"/>
          <w:sz w:val="24"/>
          <w:szCs w:val="24"/>
          <w:highlight w:val="none"/>
          <w:lang w:val="en-US"/>
        </w:rPr>
      </w:pPr>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z w:val="24"/>
          <w:szCs w:val="24"/>
          <w:highlight w:val="none"/>
          <w:lang w:val="en-US"/>
        </w:rPr>
        <w:t>未按磋商文件要求提供演示U盘造成评审专家无法正常评审的风险由供应商自行承担。</w:t>
      </w:r>
    </w:p>
    <w:p>
      <w:pPr>
        <w:bidi w:val="0"/>
        <w:spacing w:line="360" w:lineRule="auto"/>
        <w:ind w:firstLine="482" w:firstLineChars="20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lang w:val="en-US"/>
        </w:rPr>
        <w:t>演示视频及备份文件需密封包装，如造成评审专家无法正常评审的风险由供应商自行承担</w:t>
      </w:r>
      <w:r>
        <w:rPr>
          <w:rFonts w:hint="eastAsia" w:ascii="宋体" w:hAnsi="宋体" w:eastAsia="宋体" w:cs="宋体"/>
          <w:b/>
          <w:bCs/>
          <w:color w:val="auto"/>
          <w:sz w:val="24"/>
          <w:szCs w:val="24"/>
          <w:highlight w:val="none"/>
          <w:lang w:val="en-US" w:eastAsia="zh-CN"/>
        </w:rPr>
        <w:t>。</w:t>
      </w:r>
    </w:p>
    <w:p>
      <w:pPr>
        <w:bidi w:val="0"/>
        <w:spacing w:line="360" w:lineRule="auto"/>
        <w:ind w:firstLine="482" w:firstLineChars="200"/>
        <w:rPr>
          <w:rFonts w:hint="eastAsia" w:ascii="宋体" w:hAnsi="宋体" w:eastAsia="宋体" w:cs="宋体"/>
          <w:b/>
          <w:bCs/>
          <w:color w:val="auto"/>
          <w:sz w:val="24"/>
          <w:szCs w:val="24"/>
          <w:highlight w:val="none"/>
          <w:lang w:val="en-US" w:eastAsia="zh-CN"/>
        </w:rPr>
      </w:pPr>
    </w:p>
    <w:p>
      <w:pPr>
        <w:bidi w:val="0"/>
        <w:spacing w:line="360" w:lineRule="auto"/>
        <w:ind w:firstLine="482" w:firstLineChars="20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八、其他未尽事宜详见合同。</w:t>
      </w:r>
    </w:p>
    <w:bookmarkEnd w:id="64"/>
    <w:bookmarkEnd w:id="65"/>
    <w:p>
      <w:pPr>
        <w:bidi w:val="0"/>
        <w:spacing w:line="360" w:lineRule="auto"/>
        <w:rPr>
          <w:rFonts w:hint="eastAsia" w:ascii="宋体" w:hAnsi="宋体" w:eastAsia="宋体" w:cs="宋体"/>
          <w:color w:val="auto"/>
          <w:highlight w:val="none"/>
          <w:lang w:val="en-US" w:eastAsia="zh-CN"/>
        </w:rPr>
        <w:sectPr>
          <w:headerReference r:id="rId4" w:type="default"/>
          <w:footerReference r:id="rId5" w:type="default"/>
          <w:pgSz w:w="11906" w:h="16838"/>
          <w:pgMar w:top="1440" w:right="1803" w:bottom="1440" w:left="1803" w:header="851" w:footer="992" w:gutter="0"/>
          <w:cols w:space="720" w:num="1"/>
          <w:docGrid w:type="lines" w:linePitch="325" w:charSpace="0"/>
        </w:sectPr>
      </w:pPr>
    </w:p>
    <w:p>
      <w:pPr>
        <w:numPr>
          <w:ilvl w:val="0"/>
          <w:numId w:val="11"/>
        </w:numPr>
        <w:adjustRightInd w:val="0"/>
        <w:snapToGrid w:val="0"/>
        <w:spacing w:line="360" w:lineRule="auto"/>
        <w:jc w:val="center"/>
        <w:rPr>
          <w:rStyle w:val="43"/>
          <w:rFonts w:ascii="宋体" w:hAnsi="宋体" w:eastAsia="宋体" w:cs="宋体"/>
          <w:color w:val="auto"/>
          <w:sz w:val="32"/>
          <w:szCs w:val="32"/>
          <w:highlight w:val="none"/>
        </w:rPr>
      </w:pPr>
      <w:bookmarkStart w:id="66" w:name="_Toc16171"/>
      <w:r>
        <w:rPr>
          <w:rStyle w:val="43"/>
          <w:rFonts w:hint="eastAsia" w:ascii="宋体" w:hAnsi="宋体" w:eastAsia="宋体" w:cs="宋体"/>
          <w:color w:val="auto"/>
          <w:sz w:val="32"/>
          <w:szCs w:val="32"/>
          <w:highlight w:val="none"/>
        </w:rPr>
        <w:t xml:space="preserve"> 合同主要条款</w:t>
      </w:r>
    </w:p>
    <w:bookmarkEnd w:id="66"/>
    <w:p>
      <w:pPr>
        <w:spacing w:line="360" w:lineRule="exact"/>
        <w:rPr>
          <w:rFonts w:ascii="宋体" w:hAnsi="宋体" w:cs="宋体"/>
          <w:color w:val="auto"/>
          <w:spacing w:val="-6"/>
          <w:szCs w:val="21"/>
          <w:highlight w:val="none"/>
        </w:rPr>
      </w:pPr>
    </w:p>
    <w:p>
      <w:pPr>
        <w:spacing w:line="360" w:lineRule="auto"/>
        <w:ind w:right="-185" w:rightChars="-88" w:firstLine="482" w:firstLineChars="200"/>
        <w:rPr>
          <w:b/>
          <w:color w:val="auto"/>
          <w:sz w:val="24"/>
          <w:szCs w:val="24"/>
          <w:highlight w:val="none"/>
        </w:rPr>
      </w:pPr>
      <w:r>
        <w:rPr>
          <w:b/>
          <w:color w:val="auto"/>
          <w:sz w:val="24"/>
          <w:szCs w:val="24"/>
          <w:highlight w:val="none"/>
        </w:rPr>
        <w:t>（本条款为双方必须遵守的基本条款，双方可根据实际情况签订合同文本；正式合同以双方签字盖章的文本为准。）</w:t>
      </w:r>
    </w:p>
    <w:p>
      <w:pPr>
        <w:pStyle w:val="28"/>
        <w:widowControl w:val="0"/>
        <w:spacing w:beforeAutospacing="0" w:afterAutospacing="0" w:line="360" w:lineRule="auto"/>
        <w:jc w:val="both"/>
        <w:rPr>
          <w:rStyle w:val="140"/>
          <w:rFonts w:ascii="Times New Roman" w:hAnsi="Times New Roman"/>
          <w:b/>
          <w:color w:val="auto"/>
          <w:kern w:val="2"/>
          <w:szCs w:val="24"/>
          <w:highlight w:val="none"/>
          <w:lang w:val="zh-TW" w:eastAsia="zh-TW"/>
        </w:rPr>
      </w:pPr>
    </w:p>
    <w:p>
      <w:pPr>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浙江</w:t>
      </w:r>
      <w:r>
        <w:rPr>
          <w:rFonts w:hint="eastAsia" w:ascii="宋体" w:hAnsi="宋体" w:eastAsia="宋体" w:cs="宋体"/>
          <w:b/>
          <w:color w:val="auto"/>
          <w:sz w:val="32"/>
          <w:szCs w:val="32"/>
          <w:highlight w:val="none"/>
          <w:lang w:val="en-US" w:eastAsia="zh-CN"/>
        </w:rPr>
        <w:t>省拱宸强制隔离戒毒所“红色基地”</w:t>
      </w:r>
      <w:r>
        <w:rPr>
          <w:rFonts w:hint="eastAsia" w:ascii="宋体" w:hAnsi="宋体" w:eastAsia="宋体" w:cs="宋体"/>
          <w:b/>
          <w:color w:val="auto"/>
          <w:sz w:val="32"/>
          <w:szCs w:val="32"/>
          <w:highlight w:val="none"/>
        </w:rPr>
        <w:t>整体改造设计合同</w:t>
      </w:r>
    </w:p>
    <w:p>
      <w:pPr>
        <w:jc w:val="center"/>
        <w:rPr>
          <w:rFonts w:hint="eastAsia" w:ascii="宋体" w:hAnsi="宋体" w:eastAsia="宋体" w:cs="宋体"/>
          <w:color w:val="auto"/>
          <w:spacing w:val="10"/>
          <w:sz w:val="32"/>
          <w:szCs w:val="20"/>
          <w:highlight w:val="none"/>
        </w:rPr>
      </w:pPr>
    </w:p>
    <w:p>
      <w:pPr>
        <w:tabs>
          <w:tab w:val="left" w:pos="7230"/>
        </w:tabs>
        <w:spacing w:line="480" w:lineRule="auto"/>
        <w:ind w:left="1890" w:leftChars="900" w:right="-368" w:rightChars="-175" w:firstLine="3373" w:firstLineChars="1200"/>
        <w:rPr>
          <w:rFonts w:hint="eastAsia" w:ascii="宋体" w:hAnsi="宋体" w:eastAsia="宋体" w:cs="宋体"/>
          <w:b/>
          <w:color w:val="auto"/>
          <w:sz w:val="28"/>
          <w:szCs w:val="28"/>
          <w:highlight w:val="none"/>
          <w:u w:val="single"/>
          <w:lang w:val="zh-CN"/>
        </w:rPr>
      </w:pPr>
      <w:r>
        <w:rPr>
          <w:rFonts w:hint="eastAsia" w:ascii="宋体" w:hAnsi="宋体" w:eastAsia="宋体" w:cs="宋体"/>
          <w:b/>
          <w:color w:val="auto"/>
          <w:sz w:val="28"/>
          <w:szCs w:val="28"/>
          <w:highlight w:val="none"/>
        </w:rPr>
        <w:t>合同编号：</w:t>
      </w:r>
      <w:r>
        <w:rPr>
          <w:rFonts w:hint="eastAsia" w:ascii="宋体" w:hAnsi="宋体" w:eastAsia="宋体" w:cs="宋体"/>
          <w:b/>
          <w:color w:val="auto"/>
          <w:sz w:val="28"/>
          <w:szCs w:val="28"/>
          <w:highlight w:val="none"/>
          <w:u w:val="single"/>
          <w:lang w:val="zh-CN"/>
        </w:rPr>
        <w:t xml:space="preserve">              </w:t>
      </w:r>
    </w:p>
    <w:p>
      <w:pPr>
        <w:ind w:firstLine="5880" w:firstLineChars="2100"/>
        <w:rPr>
          <w:rFonts w:hint="eastAsia" w:ascii="宋体" w:hAnsi="宋体" w:eastAsia="宋体" w:cs="宋体"/>
          <w:color w:val="auto"/>
          <w:sz w:val="28"/>
          <w:szCs w:val="28"/>
          <w:highlight w:val="none"/>
        </w:rPr>
      </w:pPr>
    </w:p>
    <w:p>
      <w:pPr>
        <w:rPr>
          <w:rFonts w:hint="eastAsia" w:ascii="宋体" w:hAnsi="宋体" w:eastAsia="宋体" w:cs="宋体"/>
          <w:b/>
          <w:color w:val="auto"/>
          <w:sz w:val="30"/>
          <w:szCs w:val="20"/>
          <w:highlight w:val="none"/>
          <w:u w:val="single"/>
        </w:rPr>
      </w:pPr>
    </w:p>
    <w:p>
      <w:pPr>
        <w:rPr>
          <w:rFonts w:hint="eastAsia" w:ascii="宋体" w:hAnsi="宋体" w:eastAsia="宋体" w:cs="宋体"/>
          <w:color w:val="auto"/>
          <w:sz w:val="30"/>
          <w:szCs w:val="20"/>
          <w:highlight w:val="none"/>
          <w:u w:val="single"/>
        </w:rPr>
      </w:pPr>
    </w:p>
    <w:p>
      <w:pPr>
        <w:rPr>
          <w:rFonts w:hint="eastAsia" w:ascii="宋体" w:hAnsi="宋体" w:eastAsia="宋体" w:cs="宋体"/>
          <w:color w:val="auto"/>
          <w:sz w:val="30"/>
          <w:szCs w:val="20"/>
          <w:highlight w:val="none"/>
          <w:u w:val="single"/>
        </w:rPr>
      </w:pPr>
    </w:p>
    <w:p>
      <w:pPr>
        <w:rPr>
          <w:rFonts w:hint="eastAsia" w:ascii="宋体" w:hAnsi="宋体" w:eastAsia="宋体" w:cs="宋体"/>
          <w:color w:val="auto"/>
          <w:sz w:val="30"/>
          <w:szCs w:val="20"/>
          <w:highlight w:val="none"/>
          <w:u w:val="single"/>
        </w:rPr>
      </w:pPr>
    </w:p>
    <w:p>
      <w:pPr>
        <w:rPr>
          <w:rFonts w:hint="eastAsia" w:ascii="宋体" w:hAnsi="宋体" w:eastAsia="宋体" w:cs="宋体"/>
          <w:color w:val="auto"/>
          <w:sz w:val="30"/>
          <w:szCs w:val="20"/>
          <w:highlight w:val="none"/>
          <w:u w:val="single"/>
        </w:rPr>
      </w:pPr>
    </w:p>
    <w:p>
      <w:pPr>
        <w:rPr>
          <w:rFonts w:hint="eastAsia" w:ascii="宋体" w:hAnsi="宋体" w:eastAsia="宋体" w:cs="宋体"/>
          <w:color w:val="auto"/>
          <w:sz w:val="30"/>
          <w:szCs w:val="20"/>
          <w:highlight w:val="none"/>
          <w:u w:val="single"/>
        </w:rPr>
      </w:pPr>
    </w:p>
    <w:p>
      <w:pPr>
        <w:spacing w:line="480" w:lineRule="auto"/>
        <w:ind w:left="2700" w:right="-368" w:rightChars="-175" w:hanging="2700" w:hangingChars="900"/>
        <w:rPr>
          <w:rFonts w:hint="eastAsia" w:ascii="宋体" w:hAnsi="宋体" w:eastAsia="宋体" w:cs="宋体"/>
          <w:b/>
          <w:color w:val="auto"/>
          <w:sz w:val="30"/>
          <w:szCs w:val="30"/>
          <w:highlight w:val="none"/>
          <w:u w:val="single"/>
          <w:lang w:val="zh-CN"/>
        </w:rPr>
      </w:pPr>
      <w:r>
        <w:rPr>
          <w:rFonts w:hint="eastAsia" w:ascii="宋体" w:hAnsi="宋体" w:eastAsia="宋体" w:cs="宋体"/>
          <w:color w:val="auto"/>
          <w:sz w:val="30"/>
          <w:szCs w:val="30"/>
          <w:highlight w:val="none"/>
        </w:rPr>
        <w:t xml:space="preserve">  </w:t>
      </w:r>
      <w:r>
        <w:rPr>
          <w:rFonts w:hint="eastAsia" w:ascii="宋体" w:hAnsi="宋体" w:eastAsia="宋体" w:cs="宋体"/>
          <w:b/>
          <w:bCs/>
          <w:color w:val="auto"/>
          <w:sz w:val="30"/>
          <w:szCs w:val="30"/>
          <w:highlight w:val="none"/>
        </w:rPr>
        <w:t xml:space="preserve">    </w:t>
      </w:r>
      <w:r>
        <w:rPr>
          <w:rFonts w:hint="eastAsia" w:ascii="宋体" w:hAnsi="宋体" w:eastAsia="宋体" w:cs="宋体"/>
          <w:b/>
          <w:color w:val="auto"/>
          <w:sz w:val="30"/>
          <w:szCs w:val="30"/>
          <w:highlight w:val="none"/>
          <w:lang w:val="zh-CN"/>
        </w:rPr>
        <w:t>工 程 名 称：</w:t>
      </w:r>
      <w:r>
        <w:rPr>
          <w:rFonts w:hint="eastAsia" w:ascii="宋体" w:hAnsi="宋体" w:eastAsia="宋体" w:cs="宋体"/>
          <w:b/>
          <w:color w:val="auto"/>
          <w:sz w:val="30"/>
          <w:szCs w:val="30"/>
          <w:highlight w:val="none"/>
          <w:u w:val="single"/>
          <w:lang w:val="en-US" w:eastAsia="zh-CN"/>
        </w:rPr>
        <w:t>浙江拱宸强制隔离戒毒所</w:t>
      </w:r>
      <w:r>
        <w:rPr>
          <w:rFonts w:hint="eastAsia" w:ascii="宋体" w:hAnsi="宋体" w:eastAsia="宋体" w:cs="宋体"/>
          <w:b/>
          <w:bCs/>
          <w:color w:val="auto"/>
          <w:sz w:val="30"/>
          <w:szCs w:val="30"/>
          <w:highlight w:val="none"/>
          <w:u w:val="single"/>
        </w:rPr>
        <w:t>整体改造设计</w:t>
      </w:r>
    </w:p>
    <w:p>
      <w:pPr>
        <w:spacing w:line="480" w:lineRule="auto"/>
        <w:ind w:left="2711" w:right="-368" w:rightChars="-175" w:hanging="2711" w:hangingChars="900"/>
        <w:rPr>
          <w:rFonts w:hint="eastAsia" w:ascii="宋体" w:hAnsi="宋体" w:eastAsia="宋体" w:cs="宋体"/>
          <w:b/>
          <w:bCs/>
          <w:color w:val="auto"/>
          <w:sz w:val="30"/>
          <w:szCs w:val="30"/>
          <w:highlight w:val="none"/>
          <w:u w:val="single"/>
        </w:rPr>
      </w:pPr>
      <w:r>
        <w:rPr>
          <w:rFonts w:hint="eastAsia" w:ascii="宋体" w:hAnsi="宋体" w:eastAsia="宋体" w:cs="宋体"/>
          <w:b/>
          <w:color w:val="auto"/>
          <w:sz w:val="30"/>
          <w:szCs w:val="30"/>
          <w:highlight w:val="none"/>
          <w:lang w:val="zh-CN"/>
        </w:rPr>
        <w:t xml:space="preserve">      </w:t>
      </w:r>
      <w:r>
        <w:rPr>
          <w:rFonts w:hint="eastAsia" w:ascii="宋体" w:hAnsi="宋体" w:eastAsia="宋体" w:cs="宋体"/>
          <w:b/>
          <w:bCs/>
          <w:color w:val="auto"/>
          <w:sz w:val="30"/>
          <w:szCs w:val="30"/>
          <w:highlight w:val="none"/>
        </w:rPr>
        <w:t>工 程 地 点：</w:t>
      </w:r>
      <w:r>
        <w:rPr>
          <w:rFonts w:hint="eastAsia" w:ascii="宋体" w:hAnsi="宋体" w:eastAsia="宋体" w:cs="宋体"/>
          <w:b/>
          <w:bCs/>
          <w:color w:val="auto"/>
          <w:sz w:val="30"/>
          <w:szCs w:val="30"/>
          <w:highlight w:val="none"/>
          <w:u w:val="single"/>
        </w:rPr>
        <w:t xml:space="preserve">   </w:t>
      </w:r>
      <w:r>
        <w:rPr>
          <w:rFonts w:hint="eastAsia" w:ascii="宋体" w:hAnsi="宋体" w:eastAsia="宋体" w:cs="宋体"/>
          <w:b/>
          <w:bCs/>
          <w:color w:val="auto"/>
          <w:sz w:val="30"/>
          <w:szCs w:val="30"/>
          <w:highlight w:val="none"/>
          <w:u w:val="single"/>
          <w:lang w:val="en-US" w:eastAsia="zh-CN"/>
        </w:rPr>
        <w:t>莫干山路1411</w:t>
      </w:r>
      <w:r>
        <w:rPr>
          <w:rFonts w:hint="eastAsia" w:ascii="宋体" w:hAnsi="宋体" w:eastAsia="宋体" w:cs="宋体"/>
          <w:b/>
          <w:bCs/>
          <w:color w:val="auto"/>
          <w:sz w:val="30"/>
          <w:szCs w:val="30"/>
          <w:highlight w:val="none"/>
          <w:u w:val="single"/>
        </w:rPr>
        <w:t xml:space="preserve">号    </w:t>
      </w:r>
    </w:p>
    <w:p>
      <w:pPr>
        <w:spacing w:line="480" w:lineRule="auto"/>
        <w:ind w:left="2711" w:right="-368" w:rightChars="-175" w:hanging="2711" w:hangingChars="900"/>
        <w:rPr>
          <w:rFonts w:hint="eastAsia" w:ascii="宋体" w:hAnsi="宋体" w:eastAsia="宋体" w:cs="宋体"/>
          <w:b/>
          <w:bCs/>
          <w:color w:val="auto"/>
          <w:sz w:val="30"/>
          <w:szCs w:val="30"/>
          <w:highlight w:val="none"/>
          <w:u w:val="single"/>
          <w:lang w:val="zh-CN"/>
        </w:rPr>
      </w:pPr>
      <w:r>
        <w:rPr>
          <w:rFonts w:hint="eastAsia" w:ascii="宋体" w:hAnsi="宋体" w:eastAsia="宋体" w:cs="宋体"/>
          <w:b/>
          <w:color w:val="auto"/>
          <w:sz w:val="30"/>
          <w:szCs w:val="30"/>
          <w:highlight w:val="none"/>
          <w:lang w:val="zh-CN"/>
        </w:rPr>
        <w:t xml:space="preserve">      </w:t>
      </w:r>
      <w:r>
        <w:rPr>
          <w:rFonts w:hint="eastAsia" w:ascii="宋体" w:hAnsi="宋体" w:eastAsia="宋体" w:cs="宋体"/>
          <w:b/>
          <w:bCs/>
          <w:color w:val="auto"/>
          <w:sz w:val="30"/>
          <w:szCs w:val="30"/>
          <w:highlight w:val="none"/>
        </w:rPr>
        <w:t>设计证书等级：</w:t>
      </w:r>
      <w:r>
        <w:rPr>
          <w:rFonts w:hint="eastAsia" w:ascii="宋体" w:hAnsi="宋体" w:eastAsia="宋体" w:cs="宋体"/>
          <w:b/>
          <w:bCs/>
          <w:color w:val="auto"/>
          <w:sz w:val="30"/>
          <w:szCs w:val="30"/>
          <w:highlight w:val="none"/>
          <w:u w:val="single"/>
          <w:lang w:val="zh-CN"/>
        </w:rPr>
        <w:t xml:space="preserve">    </w:t>
      </w:r>
      <w:r>
        <w:rPr>
          <w:rFonts w:hint="eastAsia" w:ascii="宋体" w:hAnsi="宋体" w:eastAsia="宋体" w:cs="宋体"/>
          <w:b/>
          <w:bCs/>
          <w:color w:val="auto"/>
          <w:sz w:val="30"/>
          <w:szCs w:val="30"/>
          <w:highlight w:val="none"/>
          <w:u w:val="single"/>
        </w:rPr>
        <w:t xml:space="preserve">    </w:t>
      </w:r>
      <w:r>
        <w:rPr>
          <w:rFonts w:hint="eastAsia" w:ascii="宋体" w:hAnsi="宋体" w:eastAsia="宋体" w:cs="宋体"/>
          <w:b/>
          <w:bCs/>
          <w:color w:val="auto"/>
          <w:sz w:val="30"/>
          <w:szCs w:val="30"/>
          <w:highlight w:val="none"/>
          <w:u w:val="single"/>
          <w:lang w:val="zh-CN"/>
        </w:rPr>
        <w:t xml:space="preserve">                     </w:t>
      </w:r>
    </w:p>
    <w:p>
      <w:pPr>
        <w:spacing w:line="480" w:lineRule="auto"/>
        <w:ind w:left="2711" w:right="-368" w:rightChars="-175" w:hanging="2711" w:hangingChars="900"/>
        <w:rPr>
          <w:rFonts w:hint="eastAsia" w:ascii="宋体" w:hAnsi="宋体" w:eastAsia="宋体" w:cs="宋体"/>
          <w:b/>
          <w:bCs/>
          <w:color w:val="auto"/>
          <w:sz w:val="30"/>
          <w:szCs w:val="30"/>
          <w:highlight w:val="none"/>
          <w:u w:val="single"/>
          <w:lang w:val="zh-CN"/>
        </w:rPr>
      </w:pPr>
      <w:r>
        <w:rPr>
          <w:rFonts w:hint="eastAsia" w:ascii="宋体" w:hAnsi="宋体" w:eastAsia="宋体" w:cs="宋体"/>
          <w:b/>
          <w:color w:val="auto"/>
          <w:sz w:val="30"/>
          <w:szCs w:val="30"/>
          <w:highlight w:val="none"/>
          <w:lang w:val="zh-CN"/>
        </w:rPr>
        <w:t xml:space="preserve">      </w:t>
      </w:r>
      <w:r>
        <w:rPr>
          <w:rFonts w:hint="eastAsia" w:ascii="宋体" w:hAnsi="宋体" w:eastAsia="宋体" w:cs="宋体"/>
          <w:b/>
          <w:bCs/>
          <w:color w:val="auto"/>
          <w:sz w:val="30"/>
          <w:szCs w:val="30"/>
          <w:highlight w:val="none"/>
        </w:rPr>
        <w:t>发  包   人：</w:t>
      </w:r>
      <w:r>
        <w:rPr>
          <w:rFonts w:hint="eastAsia" w:ascii="宋体" w:hAnsi="宋体" w:eastAsia="宋体" w:cs="宋体"/>
          <w:b/>
          <w:bCs/>
          <w:color w:val="auto"/>
          <w:sz w:val="30"/>
          <w:szCs w:val="30"/>
          <w:highlight w:val="none"/>
          <w:u w:val="single"/>
          <w:lang w:val="zh-CN"/>
        </w:rPr>
        <w:t xml:space="preserve">      </w:t>
      </w:r>
      <w:r>
        <w:rPr>
          <w:rFonts w:hint="eastAsia" w:ascii="宋体" w:hAnsi="宋体" w:eastAsia="宋体" w:cs="宋体"/>
          <w:b/>
          <w:bCs/>
          <w:color w:val="auto"/>
          <w:sz w:val="30"/>
          <w:szCs w:val="30"/>
          <w:highlight w:val="none"/>
          <w:u w:val="single"/>
        </w:rPr>
        <w:t xml:space="preserve">    </w:t>
      </w:r>
      <w:r>
        <w:rPr>
          <w:rFonts w:hint="eastAsia" w:ascii="宋体" w:hAnsi="宋体" w:eastAsia="宋体" w:cs="宋体"/>
          <w:b/>
          <w:bCs/>
          <w:color w:val="auto"/>
          <w:sz w:val="30"/>
          <w:szCs w:val="30"/>
          <w:highlight w:val="none"/>
          <w:u w:val="single"/>
          <w:lang w:val="zh-CN"/>
        </w:rPr>
        <w:t xml:space="preserve">                    </w:t>
      </w:r>
    </w:p>
    <w:p>
      <w:pPr>
        <w:spacing w:line="480" w:lineRule="auto"/>
        <w:ind w:left="2711" w:right="-368" w:rightChars="-175" w:hanging="2711" w:hangingChars="900"/>
        <w:rPr>
          <w:rFonts w:hint="eastAsia" w:ascii="宋体" w:hAnsi="宋体" w:eastAsia="宋体" w:cs="宋体"/>
          <w:b/>
          <w:color w:val="auto"/>
          <w:sz w:val="30"/>
          <w:szCs w:val="30"/>
          <w:highlight w:val="none"/>
          <w:u w:val="single"/>
          <w:lang w:val="zh-CN"/>
        </w:rPr>
      </w:pPr>
      <w:r>
        <w:rPr>
          <w:rFonts w:hint="eastAsia" w:ascii="宋体" w:hAnsi="宋体" w:eastAsia="宋体" w:cs="宋体"/>
          <w:b/>
          <w:color w:val="auto"/>
          <w:sz w:val="30"/>
          <w:szCs w:val="30"/>
          <w:highlight w:val="none"/>
          <w:lang w:val="zh-CN"/>
        </w:rPr>
        <w:t xml:space="preserve">      </w:t>
      </w:r>
      <w:r>
        <w:rPr>
          <w:rFonts w:hint="eastAsia" w:ascii="宋体" w:hAnsi="宋体" w:eastAsia="宋体" w:cs="宋体"/>
          <w:b/>
          <w:bCs/>
          <w:color w:val="auto"/>
          <w:sz w:val="30"/>
          <w:szCs w:val="30"/>
          <w:highlight w:val="none"/>
        </w:rPr>
        <w:t>设  计   人：</w:t>
      </w:r>
      <w:r>
        <w:rPr>
          <w:rFonts w:hint="eastAsia" w:ascii="宋体" w:hAnsi="宋体" w:eastAsia="宋体" w:cs="宋体"/>
          <w:b/>
          <w:bCs/>
          <w:color w:val="auto"/>
          <w:sz w:val="30"/>
          <w:szCs w:val="30"/>
          <w:highlight w:val="none"/>
          <w:u w:val="single"/>
          <w:lang w:val="zh-CN"/>
        </w:rPr>
        <w:t xml:space="preserve">          </w:t>
      </w:r>
      <w:r>
        <w:rPr>
          <w:rFonts w:hint="eastAsia" w:ascii="宋体" w:hAnsi="宋体" w:eastAsia="宋体" w:cs="宋体"/>
          <w:b/>
          <w:bCs/>
          <w:color w:val="auto"/>
          <w:sz w:val="30"/>
          <w:szCs w:val="30"/>
          <w:highlight w:val="none"/>
          <w:u w:val="single"/>
        </w:rPr>
        <w:t xml:space="preserve">    </w:t>
      </w:r>
      <w:r>
        <w:rPr>
          <w:rFonts w:hint="eastAsia" w:ascii="宋体" w:hAnsi="宋体" w:eastAsia="宋体" w:cs="宋体"/>
          <w:b/>
          <w:bCs/>
          <w:color w:val="auto"/>
          <w:sz w:val="30"/>
          <w:szCs w:val="30"/>
          <w:highlight w:val="none"/>
          <w:u w:val="single"/>
          <w:lang w:val="zh-CN"/>
        </w:rPr>
        <w:t xml:space="preserve">                </w:t>
      </w:r>
    </w:p>
    <w:p>
      <w:pPr>
        <w:spacing w:line="480" w:lineRule="auto"/>
        <w:ind w:left="2711" w:right="-368" w:rightChars="-175" w:hanging="2711" w:hangingChars="900"/>
        <w:rPr>
          <w:rFonts w:hint="eastAsia" w:ascii="宋体" w:hAnsi="宋体" w:eastAsia="宋体" w:cs="宋体"/>
          <w:b/>
          <w:bCs/>
          <w:color w:val="auto"/>
          <w:sz w:val="30"/>
          <w:szCs w:val="30"/>
          <w:highlight w:val="none"/>
          <w:u w:val="single"/>
          <w:lang w:val="zh-CN"/>
        </w:rPr>
      </w:pPr>
      <w:r>
        <w:rPr>
          <w:rFonts w:hint="eastAsia" w:ascii="宋体" w:hAnsi="宋体" w:eastAsia="宋体" w:cs="宋体"/>
          <w:b/>
          <w:color w:val="auto"/>
          <w:sz w:val="30"/>
          <w:szCs w:val="30"/>
          <w:highlight w:val="none"/>
          <w:lang w:val="zh-CN"/>
        </w:rPr>
        <w:t xml:space="preserve">      </w:t>
      </w:r>
      <w:r>
        <w:rPr>
          <w:rFonts w:hint="eastAsia" w:ascii="宋体" w:hAnsi="宋体" w:eastAsia="宋体" w:cs="宋体"/>
          <w:b/>
          <w:bCs/>
          <w:color w:val="auto"/>
          <w:sz w:val="30"/>
          <w:szCs w:val="30"/>
          <w:highlight w:val="none"/>
        </w:rPr>
        <w:t>签 订 日 期：</w:t>
      </w:r>
      <w:r>
        <w:rPr>
          <w:rFonts w:hint="eastAsia" w:ascii="宋体" w:hAnsi="宋体" w:eastAsia="宋体" w:cs="宋体"/>
          <w:b/>
          <w:bCs/>
          <w:color w:val="auto"/>
          <w:sz w:val="30"/>
          <w:szCs w:val="30"/>
          <w:highlight w:val="none"/>
          <w:u w:val="single"/>
          <w:lang w:val="zh-CN"/>
        </w:rPr>
        <w:t xml:space="preserve">               </w:t>
      </w:r>
      <w:r>
        <w:rPr>
          <w:rFonts w:hint="eastAsia" w:ascii="宋体" w:hAnsi="宋体" w:eastAsia="宋体" w:cs="宋体"/>
          <w:b/>
          <w:bCs/>
          <w:color w:val="auto"/>
          <w:sz w:val="30"/>
          <w:szCs w:val="30"/>
          <w:highlight w:val="none"/>
          <w:u w:val="single"/>
        </w:rPr>
        <w:t xml:space="preserve">    </w:t>
      </w:r>
      <w:r>
        <w:rPr>
          <w:rFonts w:hint="eastAsia" w:ascii="宋体" w:hAnsi="宋体" w:eastAsia="宋体" w:cs="宋体"/>
          <w:b/>
          <w:bCs/>
          <w:color w:val="auto"/>
          <w:sz w:val="30"/>
          <w:szCs w:val="30"/>
          <w:highlight w:val="none"/>
          <w:u w:val="single"/>
          <w:lang w:val="zh-CN"/>
        </w:rPr>
        <w:t xml:space="preserve">           </w:t>
      </w:r>
    </w:p>
    <w:p>
      <w:pPr>
        <w:spacing w:line="0" w:lineRule="atLeast"/>
        <w:jc w:val="left"/>
        <w:rPr>
          <w:rFonts w:hint="eastAsia" w:ascii="宋体" w:hAnsi="宋体" w:eastAsia="宋体" w:cs="宋体"/>
          <w:color w:val="auto"/>
          <w:sz w:val="30"/>
          <w:szCs w:val="20"/>
          <w:highlight w:val="none"/>
          <w:u w:val="single"/>
        </w:rPr>
      </w:pPr>
    </w:p>
    <w:p>
      <w:pPr>
        <w:spacing w:line="0" w:lineRule="atLeast"/>
        <w:jc w:val="left"/>
        <w:rPr>
          <w:rFonts w:hint="eastAsia" w:ascii="宋体" w:hAnsi="宋体" w:eastAsia="宋体" w:cs="宋体"/>
          <w:color w:val="auto"/>
          <w:sz w:val="30"/>
          <w:szCs w:val="20"/>
          <w:highlight w:val="none"/>
        </w:rPr>
      </w:pPr>
    </w:p>
    <w:p>
      <w:pPr>
        <w:spacing w:line="0" w:lineRule="atLeast"/>
        <w:jc w:val="left"/>
        <w:rPr>
          <w:rFonts w:hint="eastAsia" w:ascii="宋体" w:hAnsi="宋体" w:eastAsia="宋体" w:cs="宋体"/>
          <w:color w:val="auto"/>
          <w:sz w:val="30"/>
          <w:szCs w:val="20"/>
          <w:highlight w:val="none"/>
        </w:rPr>
      </w:pPr>
    </w:p>
    <w:p>
      <w:pPr>
        <w:spacing w:line="0" w:lineRule="atLeast"/>
        <w:jc w:val="left"/>
        <w:rPr>
          <w:rFonts w:hint="eastAsia" w:ascii="宋体" w:hAnsi="宋体" w:eastAsia="宋体" w:cs="宋体"/>
          <w:color w:val="auto"/>
          <w:sz w:val="30"/>
          <w:szCs w:val="20"/>
          <w:highlight w:val="none"/>
        </w:rPr>
      </w:pPr>
    </w:p>
    <w:p>
      <w:pPr>
        <w:tabs>
          <w:tab w:val="left" w:pos="2835"/>
        </w:tabs>
        <w:spacing w:line="0" w:lineRule="atLeast"/>
        <w:ind w:firstLine="2349" w:firstLineChars="839"/>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中华人民共和国建设部</w:t>
      </w:r>
    </w:p>
    <w:p>
      <w:pPr>
        <w:spacing w:line="0" w:lineRule="atLeast"/>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监制</w:t>
      </w:r>
    </w:p>
    <w:p>
      <w:pPr>
        <w:spacing w:line="0" w:lineRule="atLeast"/>
        <w:jc w:val="left"/>
        <w:rPr>
          <w:rFonts w:hint="eastAsia" w:ascii="宋体" w:hAnsi="宋体" w:eastAsia="宋体" w:cs="宋体"/>
          <w:color w:val="auto"/>
          <w:spacing w:val="20"/>
          <w:sz w:val="28"/>
          <w:szCs w:val="28"/>
          <w:highlight w:val="none"/>
        </w:rPr>
      </w:pPr>
      <w:r>
        <w:rPr>
          <w:rFonts w:hint="eastAsia" w:ascii="宋体" w:hAnsi="宋体" w:eastAsia="宋体" w:cs="宋体"/>
          <w:color w:val="auto"/>
          <w:sz w:val="28"/>
          <w:szCs w:val="28"/>
          <w:highlight w:val="none"/>
        </w:rPr>
        <w:t xml:space="preserve">                      </w:t>
      </w:r>
      <w:r>
        <w:rPr>
          <w:rFonts w:hint="eastAsia" w:ascii="宋体" w:hAnsi="宋体" w:eastAsia="宋体" w:cs="宋体"/>
          <w:color w:val="auto"/>
          <w:spacing w:val="20"/>
          <w:sz w:val="28"/>
          <w:szCs w:val="28"/>
          <w:highlight w:val="none"/>
        </w:rPr>
        <w:t>国家工商行政管理局</w:t>
      </w:r>
    </w:p>
    <w:p>
      <w:pPr>
        <w:spacing w:line="360" w:lineRule="auto"/>
        <w:jc w:val="left"/>
        <w:rPr>
          <w:rFonts w:hint="eastAsia" w:ascii="宋体" w:hAnsi="宋体" w:eastAsia="宋体" w:cs="宋体"/>
          <w:color w:val="auto"/>
          <w:sz w:val="24"/>
          <w:szCs w:val="24"/>
          <w:highlight w:val="none"/>
          <w:u w:val="single"/>
        </w:rPr>
      </w:pPr>
      <w:r>
        <w:rPr>
          <w:rFonts w:hint="eastAsia" w:ascii="宋体" w:hAnsi="宋体" w:eastAsia="宋体" w:cs="宋体"/>
          <w:color w:val="auto"/>
          <w:spacing w:val="20"/>
          <w:sz w:val="36"/>
          <w:szCs w:val="20"/>
          <w:highlight w:val="none"/>
        </w:rPr>
        <w:br w:type="page"/>
      </w:r>
      <w:r>
        <w:rPr>
          <w:rFonts w:hint="eastAsia" w:ascii="宋体" w:hAnsi="宋体" w:eastAsia="宋体" w:cs="宋体"/>
          <w:b/>
          <w:color w:val="auto"/>
          <w:sz w:val="24"/>
          <w:szCs w:val="24"/>
          <w:highlight w:val="none"/>
        </w:rPr>
        <w:t>甲方：</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lang w:val="zh-CN"/>
        </w:rPr>
        <w:t xml:space="preserve">  </w:t>
      </w:r>
      <w:r>
        <w:rPr>
          <w:rFonts w:hint="eastAsia" w:ascii="宋体" w:hAnsi="宋体" w:eastAsia="宋体" w:cs="宋体"/>
          <w:b/>
          <w:color w:val="auto"/>
          <w:sz w:val="24"/>
          <w:szCs w:val="24"/>
          <w:highlight w:val="none"/>
          <w:u w:val="single"/>
        </w:rPr>
        <w:t xml:space="preserve">      </w:t>
      </w:r>
      <w:r>
        <w:rPr>
          <w:rFonts w:hint="eastAsia" w:ascii="宋体" w:hAnsi="宋体" w:eastAsia="宋体" w:cs="宋体"/>
          <w:b/>
          <w:color w:val="auto"/>
          <w:sz w:val="24"/>
          <w:szCs w:val="24"/>
          <w:highlight w:val="none"/>
          <w:u w:val="single"/>
          <w:lang w:val="en-US" w:eastAsia="zh-CN"/>
        </w:rPr>
        <w:t>浙江省拱宸强制隔离戒毒所</w:t>
      </w:r>
      <w:r>
        <w:rPr>
          <w:rFonts w:hint="eastAsia" w:ascii="宋体" w:hAnsi="宋体" w:eastAsia="宋体" w:cs="宋体"/>
          <w:b/>
          <w:color w:val="auto"/>
          <w:sz w:val="24"/>
          <w:szCs w:val="24"/>
          <w:highlight w:val="none"/>
          <w:u w:val="single"/>
          <w:lang w:val="zh-CN"/>
        </w:rPr>
        <w:t xml:space="preserve">          </w:t>
      </w:r>
      <w:r>
        <w:rPr>
          <w:rFonts w:hint="eastAsia" w:ascii="宋体" w:hAnsi="宋体" w:eastAsia="宋体" w:cs="宋体"/>
          <w:color w:val="auto"/>
          <w:sz w:val="24"/>
          <w:szCs w:val="24"/>
          <w:highlight w:val="none"/>
        </w:rPr>
        <w:t>（以下简称甲方）</w:t>
      </w:r>
    </w:p>
    <w:p>
      <w:pPr>
        <w:adjustRightInd w:val="0"/>
        <w:snapToGrid w:val="0"/>
        <w:spacing w:line="360" w:lineRule="auto"/>
        <w:jc w:val="left"/>
        <w:rPr>
          <w:rFonts w:hint="eastAsia" w:ascii="宋体" w:hAnsi="宋体" w:eastAsia="宋体" w:cs="宋体"/>
          <w:color w:val="auto"/>
          <w:sz w:val="24"/>
          <w:szCs w:val="24"/>
          <w:highlight w:val="none"/>
          <w:u w:val="single"/>
        </w:rPr>
      </w:pPr>
      <w:r>
        <w:rPr>
          <w:rFonts w:hint="eastAsia" w:ascii="宋体" w:hAnsi="宋体" w:eastAsia="宋体" w:cs="宋体"/>
          <w:b/>
          <w:color w:val="auto"/>
          <w:sz w:val="24"/>
          <w:szCs w:val="24"/>
          <w:highlight w:val="none"/>
        </w:rPr>
        <w:t>乙方：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（以下简称乙方）</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甲方委托乙方承担</w:t>
      </w:r>
      <w:r>
        <w:rPr>
          <w:rFonts w:hint="eastAsia" w:ascii="宋体" w:hAnsi="宋体" w:eastAsia="宋体" w:cs="宋体"/>
          <w:b/>
          <w:color w:val="auto"/>
          <w:sz w:val="24"/>
          <w:szCs w:val="24"/>
          <w:highlight w:val="none"/>
          <w:u w:val="single"/>
          <w:lang w:val="en-US" w:eastAsia="zh-CN"/>
        </w:rPr>
        <w:t>浙江省拱宸强制隔离戒毒所“红色基地”</w:t>
      </w:r>
      <w:r>
        <w:rPr>
          <w:rFonts w:hint="eastAsia" w:ascii="宋体" w:hAnsi="宋体" w:eastAsia="宋体" w:cs="宋体"/>
          <w:bCs/>
          <w:color w:val="auto"/>
          <w:sz w:val="24"/>
          <w:szCs w:val="24"/>
          <w:highlight w:val="none"/>
          <w:u w:val="single"/>
        </w:rPr>
        <w:t>整体改造设计</w:t>
      </w:r>
      <w:r>
        <w:rPr>
          <w:rFonts w:hint="eastAsia" w:ascii="宋体" w:hAnsi="宋体" w:eastAsia="宋体" w:cs="宋体"/>
          <w:color w:val="auto"/>
          <w:sz w:val="24"/>
          <w:szCs w:val="24"/>
          <w:highlight w:val="none"/>
        </w:rPr>
        <w:t>，经双方协商一致，签订本合同。</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双方应认真贯彻执行国家的各项法律、法规。</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双方应密切配合、分工协作，充分发挥各自的优势，齐心协力努力做好本项目的工程设计并按合同执行任务。</w:t>
      </w:r>
    </w:p>
    <w:p>
      <w:pPr>
        <w:spacing w:line="360" w:lineRule="auto"/>
        <w:ind w:right="-368" w:rightChars="-175"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项目地点及项目概况：</w:t>
      </w:r>
    </w:p>
    <w:p>
      <w:pPr>
        <w:spacing w:line="360" w:lineRule="auto"/>
        <w:ind w:right="-368" w:rightChars="-175"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u w:val="single"/>
        </w:rPr>
        <w:t>项目地点：杭州市</w:t>
      </w:r>
      <w:r>
        <w:rPr>
          <w:rFonts w:hint="eastAsia" w:ascii="宋体" w:hAnsi="宋体" w:eastAsia="宋体" w:cs="宋体"/>
          <w:color w:val="auto"/>
          <w:sz w:val="24"/>
          <w:szCs w:val="24"/>
          <w:highlight w:val="none"/>
          <w:u w:val="single"/>
          <w:lang w:val="en-US" w:eastAsia="zh-CN"/>
        </w:rPr>
        <w:t>莫干山路1411</w:t>
      </w:r>
      <w:r>
        <w:rPr>
          <w:rFonts w:hint="eastAsia" w:ascii="宋体" w:hAnsi="宋体" w:eastAsia="宋体" w:cs="宋体"/>
          <w:color w:val="auto"/>
          <w:sz w:val="24"/>
          <w:szCs w:val="24"/>
          <w:highlight w:val="none"/>
          <w:u w:val="single"/>
        </w:rPr>
        <w:t>；</w:t>
      </w:r>
    </w:p>
    <w:p>
      <w:pPr>
        <w:spacing w:line="360" w:lineRule="auto"/>
        <w:ind w:right="-368" w:rightChars="-175"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项目概况：</w:t>
      </w:r>
      <w:r>
        <w:rPr>
          <w:rFonts w:hint="eastAsia" w:ascii="宋体" w:hAnsi="宋体" w:eastAsia="宋体" w:cs="宋体"/>
          <w:color w:val="auto"/>
          <w:sz w:val="24"/>
          <w:szCs w:val="24"/>
          <w:highlight w:val="none"/>
          <w:lang w:val="en-US" w:eastAsia="zh-CN"/>
        </w:rPr>
        <w:t>浙江省拱宸强制隔离戒毒所“红色基地”</w:t>
      </w:r>
      <w:r>
        <w:rPr>
          <w:rFonts w:hint="eastAsia" w:ascii="宋体" w:hAnsi="宋体" w:eastAsia="宋体" w:cs="宋体"/>
          <w:color w:val="auto"/>
          <w:sz w:val="24"/>
          <w:szCs w:val="24"/>
          <w:highlight w:val="none"/>
        </w:rPr>
        <w:t>整体改造设计，内容包括对浙江</w:t>
      </w:r>
      <w:r>
        <w:rPr>
          <w:rFonts w:hint="eastAsia" w:ascii="宋体" w:hAnsi="宋体" w:eastAsia="宋体" w:cs="宋体"/>
          <w:color w:val="auto"/>
          <w:sz w:val="24"/>
          <w:szCs w:val="24"/>
          <w:highlight w:val="none"/>
          <w:lang w:val="en-US" w:eastAsia="zh-CN"/>
        </w:rPr>
        <w:t>省拱宸强制隔离戒毒所2006年2月8日习近平同志作出重要指示的会场及周边进行整体规划设计，通过</w:t>
      </w:r>
      <w:r>
        <w:rPr>
          <w:rFonts w:hint="eastAsia" w:ascii="宋体" w:hAnsi="宋体" w:eastAsia="宋体" w:cs="宋体"/>
          <w:color w:val="auto"/>
          <w:sz w:val="24"/>
          <w:szCs w:val="24"/>
          <w:highlight w:val="none"/>
        </w:rPr>
        <w:t>空间的优化布局、信息化提升、设施设备更新、空间文化营造、导示标识及色彩等设计。</w:t>
      </w:r>
      <w:r>
        <w:rPr>
          <w:rFonts w:hint="eastAsia" w:ascii="宋体" w:hAnsi="宋体" w:eastAsia="宋体" w:cs="宋体"/>
          <w:color w:val="auto"/>
          <w:sz w:val="24"/>
          <w:szCs w:val="24"/>
          <w:highlight w:val="none"/>
          <w:lang w:val="en-US" w:eastAsia="zh-CN"/>
        </w:rPr>
        <w:t>将全所改造成以一个红色主题展馆为核心和若干配套红色主题空间为一体的红色基地，</w:t>
      </w:r>
    </w:p>
    <w:p>
      <w:pPr>
        <w:spacing w:line="360" w:lineRule="auto"/>
        <w:ind w:firstLine="482" w:firstLineChars="20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第一条  本合同依据下列文件签订：</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1.1《中华人民共和国民法典》《中华人民共和国建筑法》《建设工程勘察设计市场管理规定》。</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1.2国家及地方有关建设工程勘察设计管理法规和规章。</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1.3建设工程批准文件：</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有关本项目的相关文件、批示等。</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设计任务书、中标通知书、投标文件、招标文件。</w:t>
      </w:r>
    </w:p>
    <w:p>
      <w:pPr>
        <w:spacing w:line="360" w:lineRule="auto"/>
        <w:ind w:right="-368" w:rightChars="-175" w:firstLine="482" w:firstLineChars="200"/>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第二条  本合同设计项目的内容：</w:t>
      </w:r>
      <w:r>
        <w:rPr>
          <w:rFonts w:hint="eastAsia" w:ascii="宋体" w:hAnsi="宋体" w:eastAsia="宋体" w:cs="宋体"/>
          <w:color w:val="auto"/>
          <w:sz w:val="24"/>
          <w:szCs w:val="24"/>
          <w:highlight w:val="none"/>
        </w:rPr>
        <w:t>对浙江</w:t>
      </w:r>
      <w:r>
        <w:rPr>
          <w:rFonts w:hint="eastAsia" w:ascii="宋体" w:hAnsi="宋体" w:eastAsia="宋体" w:cs="宋体"/>
          <w:color w:val="auto"/>
          <w:sz w:val="24"/>
          <w:szCs w:val="24"/>
          <w:highlight w:val="none"/>
          <w:lang w:val="en-US" w:eastAsia="zh-CN"/>
        </w:rPr>
        <w:t>省拱宸强制隔离戒毒所2006年2月8日习近平同志作出重要指示的会场及周边进行整体规划设计，通过</w:t>
      </w:r>
      <w:r>
        <w:rPr>
          <w:rFonts w:hint="eastAsia" w:ascii="宋体" w:hAnsi="宋体" w:eastAsia="宋体" w:cs="宋体"/>
          <w:color w:val="auto"/>
          <w:sz w:val="24"/>
          <w:szCs w:val="24"/>
          <w:highlight w:val="none"/>
        </w:rPr>
        <w:t>空间的优化布局、信息化提升、设施设备更新、空间文化营造、导示标识及色彩等设计。</w:t>
      </w:r>
      <w:r>
        <w:rPr>
          <w:rFonts w:hint="eastAsia" w:ascii="宋体" w:hAnsi="宋体" w:eastAsia="宋体" w:cs="宋体"/>
          <w:color w:val="auto"/>
          <w:sz w:val="24"/>
          <w:szCs w:val="24"/>
          <w:highlight w:val="none"/>
          <w:lang w:val="en-US" w:eastAsia="zh-CN"/>
        </w:rPr>
        <w:t>将全所改造成以一个红色主题展馆为核心和若干配套红色主题空间为一体的红色基地，</w:t>
      </w:r>
    </w:p>
    <w:p>
      <w:pPr>
        <w:spacing w:line="360" w:lineRule="auto"/>
        <w:ind w:firstLine="482" w:firstLineChars="20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第三条  甲方应向乙方提交的有关资料及文件：</w:t>
      </w:r>
      <w:r>
        <w:rPr>
          <w:rFonts w:hint="eastAsia" w:ascii="宋体" w:hAnsi="宋体" w:eastAsia="宋体" w:cs="宋体"/>
          <w:color w:val="auto"/>
          <w:sz w:val="24"/>
          <w:szCs w:val="24"/>
          <w:highlight w:val="none"/>
        </w:rPr>
        <w:t>浙江</w:t>
      </w:r>
      <w:r>
        <w:rPr>
          <w:rFonts w:hint="eastAsia" w:ascii="宋体" w:hAnsi="宋体" w:eastAsia="宋体" w:cs="宋体"/>
          <w:color w:val="auto"/>
          <w:sz w:val="24"/>
          <w:szCs w:val="24"/>
          <w:highlight w:val="none"/>
          <w:lang w:val="en-US" w:eastAsia="zh-CN"/>
        </w:rPr>
        <w:t>省拱宸强制隔离戒毒所</w:t>
      </w:r>
      <w:r>
        <w:rPr>
          <w:rFonts w:hint="eastAsia" w:ascii="宋体" w:hAnsi="宋体" w:eastAsia="宋体" w:cs="宋体"/>
          <w:color w:val="auto"/>
          <w:sz w:val="24"/>
          <w:szCs w:val="24"/>
          <w:highlight w:val="none"/>
          <w:u w:val="single"/>
        </w:rPr>
        <w:t>主体建筑、</w:t>
      </w:r>
      <w:r>
        <w:rPr>
          <w:rFonts w:hint="eastAsia" w:ascii="宋体" w:hAnsi="宋体" w:eastAsia="宋体" w:cs="宋体"/>
          <w:color w:val="auto"/>
          <w:sz w:val="24"/>
          <w:szCs w:val="24"/>
          <w:highlight w:val="none"/>
          <w:u w:val="single"/>
          <w:lang w:val="en-US" w:eastAsia="zh-CN"/>
        </w:rPr>
        <w:t>会场原址、</w:t>
      </w:r>
      <w:r>
        <w:rPr>
          <w:rFonts w:hint="eastAsia" w:ascii="宋体" w:hAnsi="宋体" w:eastAsia="宋体" w:cs="宋体"/>
          <w:color w:val="auto"/>
          <w:sz w:val="24"/>
          <w:szCs w:val="24"/>
          <w:highlight w:val="none"/>
          <w:u w:val="single"/>
        </w:rPr>
        <w:t>结构、机电图纸</w:t>
      </w:r>
      <w:r>
        <w:rPr>
          <w:rFonts w:hint="eastAsia" w:ascii="宋体" w:hAnsi="宋体" w:eastAsia="宋体" w:cs="宋体"/>
          <w:b/>
          <w:color w:val="auto"/>
          <w:sz w:val="24"/>
          <w:szCs w:val="24"/>
          <w:highlight w:val="none"/>
        </w:rPr>
        <w:t>。</w:t>
      </w:r>
    </w:p>
    <w:p>
      <w:pPr>
        <w:spacing w:line="360" w:lineRule="auto"/>
        <w:ind w:firstLine="482" w:firstLineChars="20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第四条  乙方应向甲方交付的设计资料及文件：</w:t>
      </w:r>
    </w:p>
    <w:tbl>
      <w:tblPr>
        <w:tblStyle w:val="32"/>
        <w:tblW w:w="9369" w:type="dxa"/>
        <w:jc w:val="center"/>
        <w:tblLayout w:type="fixed"/>
        <w:tblCellMar>
          <w:top w:w="0" w:type="dxa"/>
          <w:left w:w="45" w:type="dxa"/>
          <w:bottom w:w="0" w:type="dxa"/>
          <w:right w:w="45" w:type="dxa"/>
        </w:tblCellMar>
      </w:tblPr>
      <w:tblGrid>
        <w:gridCol w:w="724"/>
        <w:gridCol w:w="1784"/>
        <w:gridCol w:w="705"/>
        <w:gridCol w:w="2972"/>
        <w:gridCol w:w="3184"/>
      </w:tblGrid>
      <w:tr>
        <w:tblPrEx>
          <w:tblCellMar>
            <w:top w:w="0" w:type="dxa"/>
            <w:left w:w="45" w:type="dxa"/>
            <w:bottom w:w="0" w:type="dxa"/>
            <w:right w:w="45" w:type="dxa"/>
          </w:tblCellMar>
        </w:tblPrEx>
        <w:trPr>
          <w:trHeight w:val="442" w:hRule="atLeast"/>
          <w:jc w:val="center"/>
        </w:trPr>
        <w:tc>
          <w:tcPr>
            <w:tcW w:w="724" w:type="dxa"/>
            <w:tcBorders>
              <w:top w:val="threeDEmboss" w:color="C0C0C0" w:sz="6" w:space="0"/>
              <w:left w:val="threeDEmboss" w:color="C0C0C0" w:sz="6" w:space="0"/>
              <w:bottom w:val="threeDEmboss" w:color="C0C0C0" w:sz="6" w:space="0"/>
              <w:right w:val="threeDEmboss" w:color="C0C0C0" w:sz="6" w:space="0"/>
            </w:tcBorders>
            <w:noWrap w:val="0"/>
            <w:vAlign w:val="center"/>
          </w:tcPr>
          <w:p>
            <w:pPr>
              <w:spacing w:before="120" w:beforeLines="50" w:after="120" w:afterLines="5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1784" w:type="dxa"/>
            <w:tcBorders>
              <w:top w:val="threeDEmboss" w:color="C0C0C0" w:sz="6" w:space="0"/>
              <w:left w:val="threeDEmboss" w:color="C0C0C0" w:sz="6" w:space="0"/>
              <w:bottom w:val="threeDEmboss" w:color="C0C0C0" w:sz="6" w:space="0"/>
              <w:right w:val="threeDEmboss" w:color="C0C0C0" w:sz="6" w:space="0"/>
            </w:tcBorders>
            <w:noWrap w:val="0"/>
            <w:vAlign w:val="center"/>
          </w:tcPr>
          <w:p>
            <w:pPr>
              <w:spacing w:before="120" w:beforeLines="50" w:after="120" w:afterLines="5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资料及文件名称</w:t>
            </w:r>
          </w:p>
        </w:tc>
        <w:tc>
          <w:tcPr>
            <w:tcW w:w="705" w:type="dxa"/>
            <w:tcBorders>
              <w:top w:val="threeDEmboss" w:color="C0C0C0" w:sz="6" w:space="0"/>
              <w:left w:val="threeDEmboss" w:color="C0C0C0" w:sz="6" w:space="0"/>
              <w:bottom w:val="threeDEmboss" w:color="C0C0C0" w:sz="6" w:space="0"/>
              <w:right w:val="threeDEmboss" w:color="C0C0C0" w:sz="6" w:space="0"/>
            </w:tcBorders>
            <w:noWrap w:val="0"/>
            <w:vAlign w:val="center"/>
          </w:tcPr>
          <w:p>
            <w:pPr>
              <w:spacing w:before="120" w:beforeLines="50" w:after="120" w:afterLines="5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份数</w:t>
            </w:r>
          </w:p>
        </w:tc>
        <w:tc>
          <w:tcPr>
            <w:tcW w:w="2972" w:type="dxa"/>
            <w:tcBorders>
              <w:top w:val="threeDEmboss" w:color="C0C0C0" w:sz="6" w:space="0"/>
              <w:left w:val="threeDEmboss" w:color="C0C0C0" w:sz="6" w:space="0"/>
              <w:bottom w:val="threeDEmboss" w:color="C0C0C0" w:sz="6" w:space="0"/>
              <w:right w:val="threeDEmboss" w:color="C0C0C0" w:sz="6" w:space="0"/>
            </w:tcBorders>
            <w:noWrap w:val="0"/>
            <w:vAlign w:val="center"/>
          </w:tcPr>
          <w:p>
            <w:pPr>
              <w:spacing w:before="120" w:beforeLines="50" w:after="120" w:afterLines="5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提交日期</w:t>
            </w:r>
          </w:p>
        </w:tc>
        <w:tc>
          <w:tcPr>
            <w:tcW w:w="3184" w:type="dxa"/>
            <w:tcBorders>
              <w:top w:val="threeDEmboss" w:color="C0C0C0" w:sz="6" w:space="0"/>
              <w:left w:val="threeDEmboss" w:color="C0C0C0" w:sz="6" w:space="0"/>
              <w:bottom w:val="threeDEmboss" w:color="C0C0C0" w:sz="6" w:space="0"/>
              <w:right w:val="threeDEmboss" w:color="C0C0C0" w:sz="6" w:space="0"/>
            </w:tcBorders>
            <w:noWrap w:val="0"/>
            <w:vAlign w:val="center"/>
          </w:tcPr>
          <w:p>
            <w:pPr>
              <w:spacing w:before="120" w:beforeLines="50" w:after="120" w:afterLines="5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要求</w:t>
            </w:r>
          </w:p>
        </w:tc>
      </w:tr>
      <w:tr>
        <w:tblPrEx>
          <w:tblCellMar>
            <w:top w:w="0" w:type="dxa"/>
            <w:left w:w="45" w:type="dxa"/>
            <w:bottom w:w="0" w:type="dxa"/>
            <w:right w:w="45" w:type="dxa"/>
          </w:tblCellMar>
        </w:tblPrEx>
        <w:trPr>
          <w:trHeight w:val="442" w:hRule="atLeast"/>
          <w:jc w:val="center"/>
        </w:trPr>
        <w:tc>
          <w:tcPr>
            <w:tcW w:w="724" w:type="dxa"/>
            <w:tcBorders>
              <w:top w:val="threeDEmboss" w:color="C0C0C0" w:sz="6" w:space="0"/>
              <w:left w:val="threeDEmboss" w:color="C0C0C0" w:sz="6" w:space="0"/>
              <w:bottom w:val="threeDEmboss" w:color="C0C0C0" w:sz="6" w:space="0"/>
              <w:right w:val="threeDEmboss" w:color="C0C0C0" w:sz="6" w:space="0"/>
            </w:tcBorders>
            <w:noWrap w:val="0"/>
            <w:vAlign w:val="center"/>
          </w:tcPr>
          <w:p>
            <w:pPr>
              <w:spacing w:before="120" w:beforeLines="50" w:after="120" w:afterLines="5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w:t>
            </w:r>
          </w:p>
        </w:tc>
        <w:tc>
          <w:tcPr>
            <w:tcW w:w="1784" w:type="dxa"/>
            <w:tcBorders>
              <w:top w:val="threeDEmboss" w:color="C0C0C0" w:sz="6" w:space="0"/>
              <w:left w:val="threeDEmboss" w:color="C0C0C0" w:sz="6" w:space="0"/>
              <w:bottom w:val="threeDEmboss" w:color="C0C0C0" w:sz="6" w:space="0"/>
              <w:right w:val="threeDEmboss" w:color="C0C0C0" w:sz="6" w:space="0"/>
            </w:tcBorders>
            <w:noWrap w:val="0"/>
            <w:vAlign w:val="center"/>
          </w:tcPr>
          <w:p>
            <w:pPr>
              <w:spacing w:before="120" w:beforeLines="50" w:after="120" w:afterLines="5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方案设计文件</w:t>
            </w:r>
          </w:p>
        </w:tc>
        <w:tc>
          <w:tcPr>
            <w:tcW w:w="705" w:type="dxa"/>
            <w:tcBorders>
              <w:top w:val="threeDEmboss" w:color="C0C0C0" w:sz="6" w:space="0"/>
              <w:left w:val="threeDEmboss" w:color="C0C0C0" w:sz="6" w:space="0"/>
              <w:bottom w:val="threeDEmboss" w:color="C0C0C0" w:sz="6" w:space="0"/>
              <w:right w:val="threeDEmboss" w:color="C0C0C0" w:sz="6" w:space="0"/>
            </w:tcBorders>
            <w:noWrap w:val="0"/>
            <w:vAlign w:val="center"/>
          </w:tcPr>
          <w:p>
            <w:pPr>
              <w:spacing w:before="120" w:beforeLines="50" w:after="120" w:afterLines="5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w:t>
            </w:r>
          </w:p>
        </w:tc>
        <w:tc>
          <w:tcPr>
            <w:tcW w:w="2972" w:type="dxa"/>
            <w:tcBorders>
              <w:top w:val="threeDEmboss" w:color="C0C0C0" w:sz="6" w:space="0"/>
              <w:left w:val="threeDEmboss" w:color="C0C0C0" w:sz="6" w:space="0"/>
              <w:bottom w:val="threeDEmboss" w:color="C0C0C0" w:sz="6" w:space="0"/>
              <w:right w:val="threeDEmboss" w:color="C0C0C0" w:sz="6" w:space="0"/>
            </w:tcBorders>
            <w:noWrap w:val="0"/>
            <w:vAlign w:val="center"/>
          </w:tcPr>
          <w:p>
            <w:pPr>
              <w:spacing w:before="120" w:beforeLines="50" w:after="120" w:afterLines="50"/>
              <w:jc w:val="center"/>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合同生效后</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7</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天内</w:t>
            </w:r>
          </w:p>
        </w:tc>
        <w:tc>
          <w:tcPr>
            <w:tcW w:w="3184" w:type="dxa"/>
            <w:tcBorders>
              <w:top w:val="threeDEmboss" w:color="C0C0C0" w:sz="6" w:space="0"/>
              <w:left w:val="threeDEmboss" w:color="C0C0C0" w:sz="6" w:space="0"/>
              <w:bottom w:val="threeDEmboss" w:color="C0C0C0" w:sz="6" w:space="0"/>
              <w:right w:val="threeDEmboss" w:color="C0C0C0" w:sz="6" w:space="0"/>
            </w:tcBorders>
            <w:noWrap w:val="0"/>
            <w:vAlign w:val="center"/>
          </w:tcPr>
          <w:p>
            <w:pPr>
              <w:spacing w:before="120" w:beforeLines="50" w:after="120" w:afterLines="5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电子版及纸质版，经业主认可</w:t>
            </w:r>
          </w:p>
        </w:tc>
      </w:tr>
      <w:tr>
        <w:tblPrEx>
          <w:tblCellMar>
            <w:top w:w="0" w:type="dxa"/>
            <w:left w:w="45" w:type="dxa"/>
            <w:bottom w:w="0" w:type="dxa"/>
            <w:right w:w="45" w:type="dxa"/>
          </w:tblCellMar>
        </w:tblPrEx>
        <w:trPr>
          <w:trHeight w:val="442" w:hRule="atLeast"/>
          <w:jc w:val="center"/>
        </w:trPr>
        <w:tc>
          <w:tcPr>
            <w:tcW w:w="724" w:type="dxa"/>
            <w:tcBorders>
              <w:top w:val="threeDEmboss" w:color="C0C0C0" w:sz="6" w:space="0"/>
              <w:left w:val="threeDEmboss" w:color="C0C0C0" w:sz="6" w:space="0"/>
              <w:bottom w:val="threeDEmboss" w:color="C0C0C0" w:sz="6" w:space="0"/>
              <w:right w:val="threeDEmboss" w:color="C0C0C0" w:sz="6" w:space="0"/>
            </w:tcBorders>
            <w:noWrap w:val="0"/>
            <w:vAlign w:val="center"/>
          </w:tcPr>
          <w:p>
            <w:pPr>
              <w:spacing w:before="120" w:beforeLines="50" w:after="120" w:afterLines="5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w:t>
            </w:r>
          </w:p>
        </w:tc>
        <w:tc>
          <w:tcPr>
            <w:tcW w:w="1784" w:type="dxa"/>
            <w:tcBorders>
              <w:top w:val="threeDEmboss" w:color="C0C0C0" w:sz="6" w:space="0"/>
              <w:left w:val="threeDEmboss" w:color="C0C0C0" w:sz="6" w:space="0"/>
              <w:bottom w:val="threeDEmboss" w:color="C0C0C0" w:sz="6" w:space="0"/>
              <w:right w:val="threeDEmboss" w:color="C0C0C0" w:sz="6" w:space="0"/>
            </w:tcBorders>
            <w:noWrap w:val="0"/>
            <w:vAlign w:val="center"/>
          </w:tcPr>
          <w:p>
            <w:pPr>
              <w:spacing w:before="120" w:beforeLines="50" w:after="120" w:afterLines="5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施工图设计文件</w:t>
            </w:r>
          </w:p>
        </w:tc>
        <w:tc>
          <w:tcPr>
            <w:tcW w:w="705" w:type="dxa"/>
            <w:tcBorders>
              <w:top w:val="threeDEmboss" w:color="C0C0C0" w:sz="6" w:space="0"/>
              <w:left w:val="threeDEmboss" w:color="C0C0C0" w:sz="6" w:space="0"/>
              <w:bottom w:val="threeDEmboss" w:color="C0C0C0" w:sz="6" w:space="0"/>
              <w:right w:val="threeDEmboss" w:color="C0C0C0" w:sz="6" w:space="0"/>
            </w:tcBorders>
            <w:noWrap w:val="0"/>
            <w:vAlign w:val="center"/>
          </w:tcPr>
          <w:p>
            <w:pPr>
              <w:spacing w:before="120" w:beforeLines="50" w:after="120" w:afterLines="5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5</w:t>
            </w:r>
          </w:p>
        </w:tc>
        <w:tc>
          <w:tcPr>
            <w:tcW w:w="2972" w:type="dxa"/>
            <w:tcBorders>
              <w:top w:val="threeDEmboss" w:color="C0C0C0" w:sz="6" w:space="0"/>
              <w:left w:val="threeDEmboss" w:color="C0C0C0" w:sz="6" w:space="0"/>
              <w:bottom w:val="threeDEmboss" w:color="C0C0C0" w:sz="6" w:space="0"/>
              <w:right w:val="threeDEmboss" w:color="C0C0C0" w:sz="6" w:space="0"/>
            </w:tcBorders>
            <w:noWrap w:val="0"/>
            <w:vAlign w:val="center"/>
          </w:tcPr>
          <w:p>
            <w:pPr>
              <w:spacing w:before="120" w:beforeLines="50" w:after="120" w:afterLines="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合同生效后</w:t>
            </w:r>
            <w:r>
              <w:rPr>
                <w:rFonts w:hint="eastAsia" w:ascii="宋体" w:hAnsi="宋体" w:eastAsia="宋体" w:cs="宋体"/>
                <w:color w:val="auto"/>
                <w:sz w:val="24"/>
                <w:szCs w:val="24"/>
                <w:highlight w:val="none"/>
                <w:u w:val="single"/>
              </w:rPr>
              <w:t xml:space="preserve">  30  </w:t>
            </w:r>
            <w:r>
              <w:rPr>
                <w:rFonts w:hint="eastAsia" w:ascii="宋体" w:hAnsi="宋体" w:eastAsia="宋体" w:cs="宋体"/>
                <w:color w:val="auto"/>
                <w:sz w:val="24"/>
                <w:szCs w:val="24"/>
                <w:highlight w:val="none"/>
              </w:rPr>
              <w:t>天内</w:t>
            </w:r>
          </w:p>
        </w:tc>
        <w:tc>
          <w:tcPr>
            <w:tcW w:w="3184" w:type="dxa"/>
            <w:tcBorders>
              <w:top w:val="threeDEmboss" w:color="C0C0C0" w:sz="6" w:space="0"/>
              <w:left w:val="threeDEmboss" w:color="C0C0C0" w:sz="6" w:space="0"/>
              <w:bottom w:val="threeDEmboss" w:color="C0C0C0" w:sz="6" w:space="0"/>
              <w:right w:val="threeDEmboss" w:color="C0C0C0" w:sz="6" w:space="0"/>
            </w:tcBorders>
            <w:noWrap w:val="0"/>
            <w:vAlign w:val="center"/>
          </w:tcPr>
          <w:p>
            <w:pPr>
              <w:spacing w:before="120" w:beforeLines="50" w:after="120" w:afterLines="5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经第三方图审</w:t>
            </w:r>
          </w:p>
        </w:tc>
      </w:tr>
      <w:tr>
        <w:tblPrEx>
          <w:tblCellMar>
            <w:top w:w="0" w:type="dxa"/>
            <w:left w:w="45" w:type="dxa"/>
            <w:bottom w:w="0" w:type="dxa"/>
            <w:right w:w="45" w:type="dxa"/>
          </w:tblCellMar>
        </w:tblPrEx>
        <w:trPr>
          <w:cantSplit/>
          <w:trHeight w:val="582" w:hRule="atLeast"/>
          <w:jc w:val="center"/>
        </w:trPr>
        <w:tc>
          <w:tcPr>
            <w:tcW w:w="724" w:type="dxa"/>
            <w:tcBorders>
              <w:top w:val="threeDEmboss" w:color="C0C0C0" w:sz="6" w:space="0"/>
              <w:left w:val="threeDEmboss" w:color="C0C0C0" w:sz="6" w:space="0"/>
              <w:bottom w:val="threeDEmboss" w:color="C0C0C0" w:sz="6" w:space="0"/>
              <w:right w:val="threeDEmboss" w:color="C0C0C0" w:sz="6" w:space="0"/>
            </w:tcBorders>
            <w:noWrap w:val="0"/>
            <w:vAlign w:val="center"/>
          </w:tcPr>
          <w:p>
            <w:pPr>
              <w:spacing w:before="120" w:beforeLines="50" w:after="120" w:afterLines="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784" w:type="dxa"/>
            <w:tcBorders>
              <w:top w:val="threeDEmboss" w:color="C0C0C0" w:sz="6" w:space="0"/>
              <w:left w:val="threeDEmboss" w:color="C0C0C0" w:sz="6" w:space="0"/>
              <w:bottom w:val="threeDEmboss" w:color="C0C0C0" w:sz="6" w:space="0"/>
              <w:right w:val="threeDEmboss" w:color="C0C0C0" w:sz="6" w:space="0"/>
            </w:tcBorders>
            <w:noWrap w:val="0"/>
            <w:vAlign w:val="center"/>
          </w:tcPr>
          <w:p>
            <w:pPr>
              <w:spacing w:before="120" w:beforeLines="50" w:after="120" w:afterLines="5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其他资料</w:t>
            </w:r>
          </w:p>
        </w:tc>
        <w:tc>
          <w:tcPr>
            <w:tcW w:w="6861" w:type="dxa"/>
            <w:gridSpan w:val="3"/>
            <w:tcBorders>
              <w:top w:val="threeDEmboss" w:color="C0C0C0" w:sz="6" w:space="0"/>
              <w:left w:val="threeDEmboss" w:color="C0C0C0" w:sz="6" w:space="0"/>
              <w:bottom w:val="threeDEmboss" w:color="C0C0C0" w:sz="6" w:space="0"/>
              <w:right w:val="threeDEmboss" w:color="C0C0C0" w:sz="6" w:space="0"/>
            </w:tcBorders>
            <w:noWrap w:val="0"/>
            <w:vAlign w:val="center"/>
          </w:tcPr>
          <w:p>
            <w:pPr>
              <w:spacing w:before="120" w:beforeLines="50" w:after="120" w:afterLines="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（配合业主及项目的需求提供）</w:t>
            </w:r>
          </w:p>
        </w:tc>
      </w:tr>
    </w:tbl>
    <w:p>
      <w:pPr>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p>
      <w:pPr>
        <w:spacing w:line="360" w:lineRule="auto"/>
        <w:ind w:firstLine="484" w:firstLineChars="2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1.设计资料及文件除递交合同规定份数的蓝图外，同时递交同版图纸的电子文件1份。</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2.设计资料及文件符合《建设工程勘察设计管理条例》（中华人民共和国国务院令第293号）、《建筑工程设计文件编制深度规定》（2016年）、工程建设强制性标准的规定。</w:t>
      </w:r>
    </w:p>
    <w:p>
      <w:pPr>
        <w:spacing w:line="360" w:lineRule="auto"/>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3.乙方完成的最终设计成果需包含（不限于）以下内容：设计方案、概算文件、完整的能够满足施工的整套施工图（包括但不限于设计说明、平面图、立面图、剖面图、节点详图等装饰施工图，二次机电施工图</w:t>
      </w:r>
      <w:r>
        <w:rPr>
          <w:rFonts w:hint="eastAsia" w:ascii="宋体" w:hAnsi="宋体" w:eastAsia="宋体" w:cs="宋体"/>
          <w:bCs/>
          <w:color w:val="auto"/>
          <w:sz w:val="24"/>
          <w:szCs w:val="24"/>
          <w:highlight w:val="none"/>
        </w:rPr>
        <w:t>。</w:t>
      </w:r>
    </w:p>
    <w:p>
      <w:pPr>
        <w:spacing w:line="360" w:lineRule="auto"/>
        <w:ind w:firstLine="482" w:firstLineChars="20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第五条  本合同设计收费</w:t>
      </w:r>
    </w:p>
    <w:p>
      <w:pPr>
        <w:widowControl/>
        <w:spacing w:line="360" w:lineRule="auto"/>
        <w:ind w:firstLine="482" w:firstLineChars="200"/>
        <w:jc w:val="left"/>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合同价：</w:t>
      </w:r>
      <w:r>
        <w:rPr>
          <w:rFonts w:hint="eastAsia" w:ascii="宋体" w:hAnsi="宋体" w:eastAsia="宋体" w:cs="宋体"/>
          <w:b/>
          <w:color w:val="auto"/>
          <w:sz w:val="24"/>
          <w:szCs w:val="24"/>
          <w:highlight w:val="none"/>
          <w:u w:val="single"/>
        </w:rPr>
        <w:t xml:space="preserve"> 人民币   </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 xml:space="preserve">  万元）</w:t>
      </w:r>
      <w:r>
        <w:rPr>
          <w:rFonts w:hint="eastAsia" w:ascii="宋体" w:hAnsi="宋体" w:eastAsia="宋体" w:cs="宋体"/>
          <w:color w:val="auto"/>
          <w:sz w:val="24"/>
          <w:szCs w:val="24"/>
          <w:highlight w:val="none"/>
        </w:rPr>
        <w:t>。</w:t>
      </w:r>
      <w:r>
        <w:rPr>
          <w:rFonts w:hint="eastAsia" w:ascii="宋体" w:hAnsi="宋体" w:eastAsia="宋体" w:cs="宋体"/>
          <w:b/>
          <w:color w:val="auto"/>
          <w:sz w:val="24"/>
          <w:szCs w:val="24"/>
          <w:highlight w:val="none"/>
        </w:rPr>
        <w:t>工程实施过程中甲方有权对设计内容进行增加或减少，在变化不超过10%的工程量情况下，合同价不予调整。</w:t>
      </w:r>
    </w:p>
    <w:tbl>
      <w:tblPr>
        <w:tblStyle w:val="32"/>
        <w:tblW w:w="100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12"/>
        <w:gridCol w:w="2268"/>
        <w:gridCol w:w="1418"/>
        <w:gridCol w:w="45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atLeast"/>
          <w:jc w:val="center"/>
        </w:trPr>
        <w:tc>
          <w:tcPr>
            <w:tcW w:w="1812" w:type="dxa"/>
            <w:noWrap w:val="0"/>
            <w:vAlign w:val="center"/>
          </w:tcPr>
          <w:p>
            <w:pPr>
              <w:autoSpaceDE w:val="0"/>
              <w:autoSpaceDN w:val="0"/>
              <w:adjustRightInd w:val="0"/>
              <w:spacing w:before="120" w:beforeLines="50" w:after="120" w:afterLines="50"/>
              <w:jc w:val="center"/>
              <w:textAlignment w:val="baseline"/>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付费次序</w:t>
            </w:r>
          </w:p>
        </w:tc>
        <w:tc>
          <w:tcPr>
            <w:tcW w:w="2268" w:type="dxa"/>
            <w:noWrap w:val="0"/>
            <w:vAlign w:val="center"/>
          </w:tcPr>
          <w:p>
            <w:pPr>
              <w:autoSpaceDE w:val="0"/>
              <w:autoSpaceDN w:val="0"/>
              <w:adjustRightInd w:val="0"/>
              <w:spacing w:before="120" w:beforeLines="50" w:after="120" w:afterLines="50"/>
              <w:jc w:val="center"/>
              <w:textAlignment w:val="baseline"/>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支付比例（%）</w:t>
            </w:r>
          </w:p>
        </w:tc>
        <w:tc>
          <w:tcPr>
            <w:tcW w:w="1418" w:type="dxa"/>
            <w:noWrap w:val="0"/>
            <w:vAlign w:val="center"/>
          </w:tcPr>
          <w:p>
            <w:pPr>
              <w:autoSpaceDE w:val="0"/>
              <w:autoSpaceDN w:val="0"/>
              <w:adjustRightInd w:val="0"/>
              <w:spacing w:before="120" w:beforeLines="50" w:after="120" w:afterLines="50"/>
              <w:jc w:val="center"/>
              <w:textAlignment w:val="baseline"/>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付费额</w:t>
            </w:r>
          </w:p>
          <w:p>
            <w:pPr>
              <w:autoSpaceDE w:val="0"/>
              <w:autoSpaceDN w:val="0"/>
              <w:adjustRightInd w:val="0"/>
              <w:spacing w:before="120" w:beforeLines="50" w:after="120" w:afterLines="50"/>
              <w:jc w:val="center"/>
              <w:textAlignment w:val="baseline"/>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（万元）</w:t>
            </w:r>
          </w:p>
        </w:tc>
        <w:tc>
          <w:tcPr>
            <w:tcW w:w="4536" w:type="dxa"/>
            <w:noWrap w:val="0"/>
            <w:vAlign w:val="center"/>
          </w:tcPr>
          <w:p>
            <w:pPr>
              <w:autoSpaceDE w:val="0"/>
              <w:autoSpaceDN w:val="0"/>
              <w:adjustRightInd w:val="0"/>
              <w:spacing w:before="120" w:beforeLines="50" w:after="120" w:afterLines="50"/>
              <w:jc w:val="center"/>
              <w:textAlignment w:val="baseline"/>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付费时间</w:t>
            </w:r>
          </w:p>
          <w:p>
            <w:pPr>
              <w:autoSpaceDE w:val="0"/>
              <w:autoSpaceDN w:val="0"/>
              <w:adjustRightInd w:val="0"/>
              <w:spacing w:before="120" w:beforeLines="50" w:after="120" w:afterLines="50"/>
              <w:jc w:val="center"/>
              <w:textAlignment w:val="baseline"/>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（由交付设计文件所决定）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jc w:val="center"/>
        </w:trPr>
        <w:tc>
          <w:tcPr>
            <w:tcW w:w="1812" w:type="dxa"/>
            <w:noWrap w:val="0"/>
            <w:vAlign w:val="center"/>
          </w:tcPr>
          <w:p>
            <w:pPr>
              <w:autoSpaceDE w:val="0"/>
              <w:autoSpaceDN w:val="0"/>
              <w:adjustRightInd w:val="0"/>
              <w:spacing w:before="120" w:beforeLines="50" w:after="120" w:afterLines="50"/>
              <w:jc w:val="center"/>
              <w:textAlignment w:val="baseline"/>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第一次付费</w:t>
            </w:r>
          </w:p>
        </w:tc>
        <w:tc>
          <w:tcPr>
            <w:tcW w:w="2268" w:type="dxa"/>
            <w:noWrap w:val="0"/>
            <w:vAlign w:val="center"/>
          </w:tcPr>
          <w:p>
            <w:pPr>
              <w:autoSpaceDE w:val="0"/>
              <w:autoSpaceDN w:val="0"/>
              <w:adjustRightInd w:val="0"/>
              <w:spacing w:before="120" w:beforeLines="50" w:after="120" w:afterLines="50"/>
              <w:jc w:val="center"/>
              <w:textAlignment w:val="baseline"/>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设计费的</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4</w:t>
            </w:r>
            <w:r>
              <w:rPr>
                <w:rFonts w:hint="eastAsia" w:ascii="宋体" w:hAnsi="宋体" w:eastAsia="宋体" w:cs="宋体"/>
                <w:color w:val="auto"/>
                <w:sz w:val="24"/>
                <w:szCs w:val="24"/>
                <w:highlight w:val="none"/>
                <w:u w:val="single"/>
              </w:rPr>
              <w:t xml:space="preserve">0 </w:t>
            </w:r>
            <w:r>
              <w:rPr>
                <w:rFonts w:hint="eastAsia" w:ascii="宋体" w:hAnsi="宋体" w:eastAsia="宋体" w:cs="宋体"/>
                <w:b/>
                <w:color w:val="auto"/>
                <w:sz w:val="24"/>
                <w:szCs w:val="24"/>
                <w:highlight w:val="none"/>
              </w:rPr>
              <w:t>％</w:t>
            </w:r>
          </w:p>
        </w:tc>
        <w:tc>
          <w:tcPr>
            <w:tcW w:w="1418" w:type="dxa"/>
            <w:noWrap w:val="0"/>
            <w:vAlign w:val="center"/>
          </w:tcPr>
          <w:p>
            <w:pPr>
              <w:autoSpaceDE w:val="0"/>
              <w:autoSpaceDN w:val="0"/>
              <w:adjustRightInd w:val="0"/>
              <w:spacing w:before="120" w:beforeLines="50" w:after="120" w:afterLines="50"/>
              <w:jc w:val="center"/>
              <w:textAlignment w:val="baseline"/>
              <w:rPr>
                <w:rFonts w:hint="eastAsia" w:ascii="宋体" w:hAnsi="宋体" w:eastAsia="宋体" w:cs="宋体"/>
                <w:b/>
                <w:color w:val="auto"/>
                <w:sz w:val="24"/>
                <w:szCs w:val="24"/>
                <w:highlight w:val="none"/>
              </w:rPr>
            </w:pPr>
          </w:p>
        </w:tc>
        <w:tc>
          <w:tcPr>
            <w:tcW w:w="4536" w:type="dxa"/>
            <w:noWrap w:val="0"/>
            <w:vAlign w:val="center"/>
          </w:tcPr>
          <w:p>
            <w:pPr>
              <w:autoSpaceDE w:val="0"/>
              <w:autoSpaceDN w:val="0"/>
              <w:adjustRightInd w:val="0"/>
              <w:spacing w:before="120" w:beforeLines="50" w:after="120" w:afterLines="50"/>
              <w:textAlignment w:val="baseline"/>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合同签订后7日内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jc w:val="center"/>
        </w:trPr>
        <w:tc>
          <w:tcPr>
            <w:tcW w:w="1812" w:type="dxa"/>
            <w:noWrap w:val="0"/>
            <w:vAlign w:val="center"/>
          </w:tcPr>
          <w:p>
            <w:pPr>
              <w:autoSpaceDE w:val="0"/>
              <w:autoSpaceDN w:val="0"/>
              <w:adjustRightInd w:val="0"/>
              <w:spacing w:before="120" w:beforeLines="50" w:after="120" w:afterLines="50"/>
              <w:jc w:val="center"/>
              <w:textAlignment w:val="baseline"/>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第二次付费</w:t>
            </w:r>
          </w:p>
        </w:tc>
        <w:tc>
          <w:tcPr>
            <w:tcW w:w="2268" w:type="dxa"/>
            <w:noWrap w:val="0"/>
            <w:vAlign w:val="center"/>
          </w:tcPr>
          <w:p>
            <w:pPr>
              <w:autoSpaceDE w:val="0"/>
              <w:autoSpaceDN w:val="0"/>
              <w:adjustRightInd w:val="0"/>
              <w:spacing w:before="120" w:beforeLines="50" w:after="120" w:afterLines="50"/>
              <w:jc w:val="center"/>
              <w:textAlignment w:val="baseline"/>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设计费的</w:t>
            </w:r>
            <w:r>
              <w:rPr>
                <w:rFonts w:hint="eastAsia" w:ascii="宋体" w:hAnsi="宋体" w:eastAsia="宋体" w:cs="宋体"/>
                <w:color w:val="auto"/>
                <w:sz w:val="24"/>
                <w:szCs w:val="24"/>
                <w:highlight w:val="none"/>
                <w:u w:val="single"/>
              </w:rPr>
              <w:t xml:space="preserve"> 30 </w:t>
            </w:r>
            <w:r>
              <w:rPr>
                <w:rFonts w:hint="eastAsia" w:ascii="宋体" w:hAnsi="宋体" w:eastAsia="宋体" w:cs="宋体"/>
                <w:b/>
                <w:color w:val="auto"/>
                <w:sz w:val="24"/>
                <w:szCs w:val="24"/>
                <w:highlight w:val="none"/>
              </w:rPr>
              <w:t>％</w:t>
            </w:r>
          </w:p>
        </w:tc>
        <w:tc>
          <w:tcPr>
            <w:tcW w:w="1418" w:type="dxa"/>
            <w:noWrap w:val="0"/>
            <w:vAlign w:val="center"/>
          </w:tcPr>
          <w:p>
            <w:pPr>
              <w:autoSpaceDE w:val="0"/>
              <w:autoSpaceDN w:val="0"/>
              <w:adjustRightInd w:val="0"/>
              <w:spacing w:before="120" w:beforeLines="50" w:after="120" w:afterLines="50"/>
              <w:jc w:val="center"/>
              <w:textAlignment w:val="baseline"/>
              <w:rPr>
                <w:rFonts w:hint="eastAsia" w:ascii="宋体" w:hAnsi="宋体" w:eastAsia="宋体" w:cs="宋体"/>
                <w:b/>
                <w:color w:val="auto"/>
                <w:sz w:val="24"/>
                <w:szCs w:val="24"/>
                <w:highlight w:val="none"/>
              </w:rPr>
            </w:pPr>
          </w:p>
        </w:tc>
        <w:tc>
          <w:tcPr>
            <w:tcW w:w="4536" w:type="dxa"/>
            <w:noWrap w:val="0"/>
            <w:vAlign w:val="center"/>
          </w:tcPr>
          <w:p>
            <w:pPr>
              <w:autoSpaceDE w:val="0"/>
              <w:autoSpaceDN w:val="0"/>
              <w:adjustRightInd w:val="0"/>
              <w:spacing w:before="120" w:beforeLines="50" w:after="120" w:afterLines="50"/>
              <w:textAlignment w:val="baseline"/>
              <w:rPr>
                <w:rFonts w:hint="eastAsia" w:ascii="宋体" w:hAnsi="宋体" w:eastAsia="宋体" w:cs="宋体"/>
                <w:b/>
                <w:color w:val="auto"/>
                <w:sz w:val="24"/>
                <w:szCs w:val="24"/>
                <w:highlight w:val="none"/>
              </w:rPr>
            </w:pPr>
            <w:r>
              <w:rPr>
                <w:rFonts w:hint="default" w:ascii="宋体" w:hAnsi="宋体" w:eastAsia="宋体" w:cs="宋体"/>
                <w:b w:val="0"/>
                <w:bCs/>
                <w:color w:val="auto"/>
                <w:sz w:val="24"/>
                <w:szCs w:val="24"/>
                <w:highlight w:val="none"/>
                <w:lang w:val="en-US" w:eastAsia="zh-CN"/>
              </w:rPr>
              <w:t>待展厅设计图纸、效果图制作、预算编制、展厅整体深化设计《土建水施、电气施、结构施、设各安装施工图等其他本展厅 装修所必领的设计图纸）、展厅实物言语描述或图纸设计完成并经甲方验收合格后</w:t>
            </w:r>
            <w:r>
              <w:rPr>
                <w:rFonts w:hint="eastAsia" w:ascii="宋体" w:hAnsi="宋体" w:cs="宋体"/>
                <w:b w:val="0"/>
                <w:bCs/>
                <w:color w:val="auto"/>
                <w:sz w:val="24"/>
                <w:szCs w:val="24"/>
                <w:highlight w:val="none"/>
                <w:lang w:val="en-US" w:eastAsia="zh-CN"/>
              </w:rPr>
              <w:t>7日内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jc w:val="center"/>
        </w:trPr>
        <w:tc>
          <w:tcPr>
            <w:tcW w:w="1812" w:type="dxa"/>
            <w:noWrap w:val="0"/>
            <w:vAlign w:val="center"/>
          </w:tcPr>
          <w:p>
            <w:pPr>
              <w:autoSpaceDE w:val="0"/>
              <w:autoSpaceDN w:val="0"/>
              <w:adjustRightInd w:val="0"/>
              <w:spacing w:before="120" w:beforeLines="50" w:after="120" w:afterLines="50"/>
              <w:jc w:val="center"/>
              <w:textAlignment w:val="baseline"/>
              <w:rPr>
                <w:rFonts w:hint="eastAsia" w:ascii="宋体" w:hAnsi="宋体" w:eastAsia="宋体" w:cs="宋体"/>
                <w:b/>
                <w:snapToGrid w:val="0"/>
                <w:color w:val="auto"/>
                <w:sz w:val="24"/>
                <w:szCs w:val="24"/>
                <w:highlight w:val="none"/>
                <w:lang w:val="en-US" w:eastAsia="zh-CN" w:bidi="ar-SA"/>
              </w:rPr>
            </w:pPr>
            <w:r>
              <w:rPr>
                <w:rFonts w:hint="eastAsia" w:ascii="宋体" w:hAnsi="宋体" w:eastAsia="宋体" w:cs="宋体"/>
                <w:b/>
                <w:color w:val="auto"/>
                <w:sz w:val="24"/>
                <w:szCs w:val="24"/>
                <w:highlight w:val="none"/>
              </w:rPr>
              <w:t>第三次付费</w:t>
            </w:r>
          </w:p>
        </w:tc>
        <w:tc>
          <w:tcPr>
            <w:tcW w:w="2268" w:type="dxa"/>
            <w:noWrap w:val="0"/>
            <w:vAlign w:val="center"/>
          </w:tcPr>
          <w:p>
            <w:pPr>
              <w:autoSpaceDE w:val="0"/>
              <w:autoSpaceDN w:val="0"/>
              <w:adjustRightInd w:val="0"/>
              <w:spacing w:before="120" w:beforeLines="50" w:after="120" w:afterLines="50"/>
              <w:jc w:val="center"/>
              <w:textAlignment w:val="baseline"/>
              <w:rPr>
                <w:rFonts w:hint="eastAsia" w:ascii="宋体" w:hAnsi="宋体" w:eastAsia="宋体" w:cs="宋体"/>
                <w:b/>
                <w:snapToGrid w:val="0"/>
                <w:color w:val="auto"/>
                <w:sz w:val="24"/>
                <w:szCs w:val="24"/>
                <w:highlight w:val="none"/>
                <w:lang w:val="en-US" w:eastAsia="zh-CN" w:bidi="ar-SA"/>
              </w:rPr>
            </w:pPr>
            <w:r>
              <w:rPr>
                <w:rFonts w:hint="eastAsia" w:ascii="宋体" w:hAnsi="宋体" w:eastAsia="宋体" w:cs="宋体"/>
                <w:b/>
                <w:color w:val="auto"/>
                <w:sz w:val="24"/>
                <w:szCs w:val="24"/>
                <w:highlight w:val="none"/>
              </w:rPr>
              <w:t>设计费的</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15 </w:t>
            </w:r>
            <w:r>
              <w:rPr>
                <w:rFonts w:hint="eastAsia" w:ascii="宋体" w:hAnsi="宋体" w:eastAsia="宋体" w:cs="宋体"/>
                <w:b/>
                <w:color w:val="auto"/>
                <w:sz w:val="24"/>
                <w:szCs w:val="24"/>
                <w:highlight w:val="none"/>
              </w:rPr>
              <w:t>％</w:t>
            </w:r>
          </w:p>
        </w:tc>
        <w:tc>
          <w:tcPr>
            <w:tcW w:w="1418" w:type="dxa"/>
            <w:noWrap w:val="0"/>
            <w:vAlign w:val="center"/>
          </w:tcPr>
          <w:p>
            <w:pPr>
              <w:autoSpaceDE w:val="0"/>
              <w:autoSpaceDN w:val="0"/>
              <w:adjustRightInd w:val="0"/>
              <w:spacing w:before="120" w:beforeLines="50" w:after="120" w:afterLines="50"/>
              <w:jc w:val="center"/>
              <w:textAlignment w:val="baseline"/>
              <w:rPr>
                <w:rFonts w:hint="eastAsia" w:ascii="宋体" w:hAnsi="宋体" w:eastAsia="宋体" w:cs="宋体"/>
                <w:b/>
                <w:snapToGrid w:val="0"/>
                <w:color w:val="auto"/>
                <w:sz w:val="24"/>
                <w:szCs w:val="24"/>
                <w:highlight w:val="none"/>
                <w:lang w:val="en-US" w:eastAsia="zh-CN" w:bidi="ar-SA"/>
              </w:rPr>
            </w:pPr>
          </w:p>
        </w:tc>
        <w:tc>
          <w:tcPr>
            <w:tcW w:w="4536" w:type="dxa"/>
            <w:noWrap w:val="0"/>
            <w:vAlign w:val="center"/>
          </w:tcPr>
          <w:p>
            <w:pPr>
              <w:autoSpaceDE w:val="0"/>
              <w:autoSpaceDN w:val="0"/>
              <w:adjustRightInd w:val="0"/>
              <w:spacing w:before="120" w:beforeLines="50" w:after="120" w:afterLines="50"/>
              <w:textAlignment w:val="baseline"/>
              <w:rPr>
                <w:rFonts w:hint="default" w:ascii="宋体" w:hAnsi="宋体" w:eastAsia="宋体" w:cs="宋体"/>
                <w:b/>
                <w:snapToGrid w:val="0"/>
                <w:color w:val="auto"/>
                <w:sz w:val="24"/>
                <w:szCs w:val="24"/>
                <w:highlight w:val="none"/>
                <w:lang w:val="en-US" w:eastAsia="zh-CN" w:bidi="ar-SA"/>
              </w:rPr>
            </w:pPr>
            <w:r>
              <w:rPr>
                <w:rFonts w:hint="default" w:ascii="宋体" w:hAnsi="宋体" w:eastAsia="宋体" w:cs="宋体"/>
                <w:b w:val="0"/>
                <w:bCs/>
                <w:color w:val="auto"/>
                <w:sz w:val="24"/>
                <w:szCs w:val="24"/>
                <w:highlight w:val="none"/>
                <w:lang w:val="en-US" w:eastAsia="zh-CN"/>
              </w:rPr>
              <w:t>乙方完成与施工中标单位技术交底和施工过程中现场技术支持、服务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jc w:val="center"/>
        </w:trPr>
        <w:tc>
          <w:tcPr>
            <w:tcW w:w="1812" w:type="dxa"/>
            <w:noWrap w:val="0"/>
            <w:vAlign w:val="center"/>
          </w:tcPr>
          <w:p>
            <w:pPr>
              <w:autoSpaceDE w:val="0"/>
              <w:autoSpaceDN w:val="0"/>
              <w:adjustRightInd w:val="0"/>
              <w:spacing w:before="120" w:beforeLines="50" w:after="120" w:afterLines="50"/>
              <w:jc w:val="center"/>
              <w:textAlignment w:val="baseline"/>
              <w:rPr>
                <w:rFonts w:hint="eastAsia" w:ascii="宋体" w:hAnsi="宋体" w:eastAsia="宋体" w:cs="宋体"/>
                <w:b/>
                <w:color w:val="auto"/>
                <w:sz w:val="24"/>
                <w:szCs w:val="24"/>
                <w:highlight w:val="none"/>
              </w:rPr>
            </w:pPr>
            <w:r>
              <w:rPr>
                <w:rFonts w:hint="eastAsia" w:ascii="宋体" w:hAnsi="宋体" w:cs="宋体"/>
                <w:b/>
                <w:color w:val="auto"/>
                <w:sz w:val="24"/>
                <w:szCs w:val="24"/>
                <w:highlight w:val="none"/>
                <w:lang w:val="en-US" w:eastAsia="zh-CN"/>
              </w:rPr>
              <w:t>第四次付费</w:t>
            </w:r>
          </w:p>
        </w:tc>
        <w:tc>
          <w:tcPr>
            <w:tcW w:w="2268" w:type="dxa"/>
            <w:noWrap w:val="0"/>
            <w:vAlign w:val="center"/>
          </w:tcPr>
          <w:p>
            <w:pPr>
              <w:autoSpaceDE w:val="0"/>
              <w:autoSpaceDN w:val="0"/>
              <w:adjustRightInd w:val="0"/>
              <w:spacing w:before="120" w:beforeLines="50" w:after="120" w:afterLines="50"/>
              <w:jc w:val="center"/>
              <w:textAlignment w:val="baseline"/>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设计费的</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15 </w:t>
            </w:r>
            <w:r>
              <w:rPr>
                <w:rFonts w:hint="eastAsia" w:ascii="宋体" w:hAnsi="宋体" w:eastAsia="宋体" w:cs="宋体"/>
                <w:b/>
                <w:color w:val="auto"/>
                <w:sz w:val="24"/>
                <w:szCs w:val="24"/>
                <w:highlight w:val="none"/>
              </w:rPr>
              <w:t>％</w:t>
            </w:r>
          </w:p>
        </w:tc>
        <w:tc>
          <w:tcPr>
            <w:tcW w:w="1418" w:type="dxa"/>
            <w:noWrap w:val="0"/>
            <w:vAlign w:val="center"/>
          </w:tcPr>
          <w:p>
            <w:pPr>
              <w:autoSpaceDE w:val="0"/>
              <w:autoSpaceDN w:val="0"/>
              <w:adjustRightInd w:val="0"/>
              <w:spacing w:before="120" w:beforeLines="50" w:after="120" w:afterLines="50"/>
              <w:jc w:val="center"/>
              <w:textAlignment w:val="baseline"/>
              <w:rPr>
                <w:rFonts w:hint="eastAsia" w:ascii="宋体" w:hAnsi="宋体" w:eastAsia="宋体" w:cs="宋体"/>
                <w:b/>
                <w:color w:val="auto"/>
                <w:sz w:val="24"/>
                <w:szCs w:val="24"/>
                <w:highlight w:val="none"/>
              </w:rPr>
            </w:pPr>
          </w:p>
        </w:tc>
        <w:tc>
          <w:tcPr>
            <w:tcW w:w="4536" w:type="dxa"/>
            <w:noWrap w:val="0"/>
            <w:vAlign w:val="center"/>
          </w:tcPr>
          <w:p>
            <w:pPr>
              <w:autoSpaceDE w:val="0"/>
              <w:autoSpaceDN w:val="0"/>
              <w:adjustRightInd w:val="0"/>
              <w:spacing w:before="120" w:beforeLines="50" w:after="120" w:afterLines="50"/>
              <w:textAlignment w:val="baseline"/>
              <w:rPr>
                <w:rFonts w:hint="eastAsia" w:ascii="宋体" w:hAnsi="宋体" w:eastAsia="宋体" w:cs="宋体"/>
                <w:b/>
                <w:color w:val="auto"/>
                <w:sz w:val="24"/>
                <w:szCs w:val="24"/>
                <w:highlight w:val="none"/>
              </w:rPr>
            </w:pPr>
            <w:r>
              <w:rPr>
                <w:rFonts w:hint="default" w:ascii="宋体" w:hAnsi="宋体" w:eastAsia="宋体" w:cs="宋体"/>
                <w:b w:val="0"/>
                <w:bCs/>
                <w:color w:val="auto"/>
                <w:sz w:val="24"/>
                <w:szCs w:val="24"/>
                <w:highlight w:val="none"/>
                <w:lang w:val="en-US" w:eastAsia="zh-CN"/>
              </w:rPr>
              <w:t>乙方完成展厅展示内容及相关平面、AV 系统视频材料由乙方制作、填充，经甲方验收合格后</w:t>
            </w:r>
            <w:r>
              <w:rPr>
                <w:rFonts w:hint="eastAsia" w:ascii="宋体" w:hAnsi="宋体" w:eastAsia="宋体" w:cs="宋体"/>
                <w:b w:val="0"/>
                <w:bCs/>
                <w:color w:val="auto"/>
                <w:sz w:val="24"/>
                <w:szCs w:val="24"/>
                <w:highlight w:val="none"/>
                <w:lang w:val="en-US" w:eastAsia="zh-CN"/>
              </w:rPr>
              <w:t>7日内</w:t>
            </w:r>
          </w:p>
        </w:tc>
      </w:tr>
    </w:tbl>
    <w:p>
      <w:pPr>
        <w:spacing w:line="360" w:lineRule="auto"/>
        <w:ind w:firstLine="482" w:firstLineChars="20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注：</w:t>
      </w:r>
      <w:r>
        <w:rPr>
          <w:rFonts w:hint="default" w:ascii="宋体" w:hAnsi="宋体" w:eastAsia="宋体" w:cs="宋体"/>
          <w:b w:val="0"/>
          <w:bCs/>
          <w:color w:val="auto"/>
          <w:sz w:val="24"/>
          <w:szCs w:val="24"/>
          <w:highlight w:val="none"/>
          <w:lang w:val="en-US" w:eastAsia="zh-CN"/>
        </w:rPr>
        <w:t>甲方支付前，乙方应向甲方开具相应金额的合法、有效发票，提前5日交至甲方，否则甲方有权拒绝付款并不承担违约责任，且乙方应继续履行本合同项下义务。</w:t>
      </w:r>
    </w:p>
    <w:p>
      <w:pPr>
        <w:spacing w:line="360" w:lineRule="auto"/>
        <w:ind w:firstLine="482" w:firstLineChars="200"/>
        <w:jc w:val="left"/>
        <w:rPr>
          <w:rFonts w:hint="eastAsia" w:ascii="宋体" w:hAnsi="宋体" w:eastAsia="宋体" w:cs="宋体"/>
          <w:b w:val="0"/>
          <w:bCs/>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履约保证金：</w:t>
      </w:r>
      <w:r>
        <w:rPr>
          <w:rFonts w:hint="eastAsia" w:ascii="宋体" w:hAnsi="宋体" w:eastAsia="宋体" w:cs="宋体"/>
          <w:b w:val="0"/>
          <w:bCs/>
          <w:color w:val="auto"/>
          <w:sz w:val="24"/>
          <w:szCs w:val="24"/>
          <w:highlight w:val="none"/>
          <w:lang w:val="en-US" w:eastAsia="zh-CN"/>
        </w:rPr>
        <w:t>合同签订后7日内，乙方向甲方递交合同金额1%的履约保证金，履约保证金的形式：支票/汇票/电汇/银行、保险公司出具的保函</w:t>
      </w:r>
      <w:r>
        <w:rPr>
          <w:rFonts w:hint="eastAsia" w:ascii="宋体" w:hAnsi="宋体" w:cs="宋体"/>
          <w:b w:val="0"/>
          <w:bCs/>
          <w:color w:val="auto"/>
          <w:sz w:val="24"/>
          <w:szCs w:val="24"/>
          <w:highlight w:val="none"/>
          <w:lang w:val="en-US" w:eastAsia="zh-CN"/>
        </w:rPr>
        <w:t>；如乙方未在规定的时间内提交履约保证金则甲方有权提前解除本合同，且乙方须一次性支付合同总额 1%作为违约金。</w:t>
      </w:r>
    </w:p>
    <w:p>
      <w:pPr>
        <w:spacing w:line="360" w:lineRule="auto"/>
        <w:ind w:firstLine="480" w:firstLineChars="200"/>
        <w:jc w:val="left"/>
        <w:rPr>
          <w:rFonts w:hint="default"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履约保证金退还：</w:t>
      </w:r>
      <w:r>
        <w:rPr>
          <w:rFonts w:hint="default" w:ascii="宋体" w:hAnsi="宋体" w:eastAsia="宋体" w:cs="宋体"/>
          <w:b w:val="0"/>
          <w:bCs/>
          <w:color w:val="auto"/>
          <w:sz w:val="24"/>
          <w:szCs w:val="24"/>
          <w:highlight w:val="none"/>
          <w:lang w:val="en-US" w:eastAsia="zh-CN"/>
        </w:rPr>
        <w:t>履约保证金在本合同设计内容工程装修完成竣工验收后，10 个工作日内凭票据无息退还。</w:t>
      </w:r>
    </w:p>
    <w:p>
      <w:pPr>
        <w:spacing w:line="360" w:lineRule="auto"/>
        <w:ind w:firstLine="482" w:firstLineChars="20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第六条  双方责任</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6.1甲方责任：</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6.1.1甲方按本合同第三条规定的内容，在约定的时间内向乙方提交资料及文件，并对其完整性、正确性及时限负责，甲方不得要求乙方违反国家有关标准进行设计。</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甲方提交的基础资料及文件超过规定期限15天以内，乙方按合同第四条规定交付设计文件时间顺延；超过规定期限15天以上时，设计人员有权顺延提交设计文件的时间。</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6.1.2甲方因提交的资料错误造成乙方设计需返工时，双方除需另行协商签订补充协议（或另订合同）、重新明确有关条款外，甲方应按乙方所耗工作时间向乙方增付设计费。</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6.1.3甲方要求乙方比合同规定时间提前交付设计资料及文件时，如果乙方能够做到，甲方应根据乙方提前投入的工作量，向乙方支付赶工费。</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6.1.4甲方应保护乙方的投标文件、设计方案、文件、资料图纸、数据、计算软件和专利技术。未经乙方同意，甲方对乙方交付的设计资料及文件不得擅自修改、复制或向第三人转让或用于本合同外的项目，如发生以上情况，甲方应负法律责任，乙方有权向甲方提出索赔。</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6.2乙方责任：</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配合甲方完成施工任务。</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6.2.1乙方应按国家技术规范、标准、规程及甲方提出的设计要求，进行工程设计，按合同规定的进度要求提交质量合格的设计资料，并对其负责。</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6.2.2乙方采用的主要技术标准是：</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国家现行规程规范、浙江省有关标准与规定。</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6.2.3乙方按本合同第二条和第四条规定的内容、进度及份数向甲方交付资料及文件。</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6.2.4乙方交付设计资料及文件后，按规定参加有关的设计审查，并根据审查结论负责对不超出原定范围的内容做必要调整补充。乙方按合同规定时限交付设计资料及文件，负责向甲方及施工单位进行设计交底、处理有关设计问题和参加竣工验收。一年内项目尚未开始施工，乙方仍负责上述工作，应按甲方需要提供设计工作，不另行收费。</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6.2.5乙方应保护甲方的知识产权，不得向第三人泄露、转让甲方提交的产品图纸等技术经济资料。如发生以上情况并给甲方造成经济损失，甲方有权向乙方索赔。</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6.2.6乙方必须无偿配合甲方及其委托的咨询机构、施工单位的工作，最终成果应充分反映甲方认同的意见。</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6.2.7乙方应在整个工程设计阶段指派一名设计人员与甲方、咨询机构保持密切联系，以便能随时与之进行必要的交流，根据甲方需要及时组织技术人员进行设计和施工服务，以便解决设计中的各个问题。至少有一名主要设计人员参与每一次设计沟通协调和施工项目例会。有关人员一次不响应不到位不配合的，扣除2000元人民币的设计费；第二次不响应不到位不配合的，则扣除5000元人民币的设计费；三次及以上不响应不到位不配合的，甲方有权扣除设计费10%作为违约金，并有权解除合同。</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6.2.8设计人员的调动和替换：除甲方同意外，不能做人员的变动．如果由于非乙方能正常控制的原因人员替换的，乙方应替换同等或更好的人员。</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6.2.9如果乙方没有履行或进行本合同的某一义务，甲方可暂停对乙方所有支付。</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6.2.10乙方派赴现场处理有关设计问题的工作人员的相关费用由乙方自行解决。</w:t>
      </w:r>
    </w:p>
    <w:p>
      <w:pPr>
        <w:spacing w:line="360" w:lineRule="auto"/>
        <w:ind w:firstLine="482" w:firstLineChars="20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第七条  违约责任：</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7.1在合同履行期间，甲方要求终止或解除合同，乙方未开始设计工作的，甲方向乙方赔偿合同总价的10%；已开始设计工作的，甲方应根据乙方已进行的实际工作量，不足一半时，按该阶段设计费的一半支付；超过一半时，按该阶段设计费的全部支付；自设计完成起两年内，若本项目未全部进行施工或招标的，视为设计人已履约完成，发包人应支付合同全额费用。</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合同履行期间，乙方要求终止或解除合同，乙方未开始设计工作的，乙方向甲方赔偿合同总价的10%且履约保证金不予退还；已开始设计工作的，乙方应退还甲方已支付的设计费并再赔偿合同总价10%且履约保证金不予退还。</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7.2甲方应按本合同约定向乙方支付设计费。</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7.3 乙方应按本合同约定时间向甲方提供设计设计资料与文件。</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7.4乙方对设计资料及文件出现的遗漏或错误负责修改或补充。由于设计人员错误造成工程质量事故损失，乙方除负责采取补救措施外，应免收直接受损失部分的设计费，并根据实际损失和乙方责任大小向甲方支付赔偿金。由于乙方的设计图纸描述不明确或遗漏造成工程量清量编制漏项的，乙方应完善设计，并赔偿甲方漏项部分工程量金额的3.0%，但不超过设计费总额。</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7.5由于乙方原因，延误了按本合同第四条规定的设计资料及文件的交付时间，每延误一天，应向甲方交纳1000元的误期赔偿金。</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7.6因不可抗力事件不能履约，且遭受不可抗力影响的一方为了履行合同义务已采取了所有合理的措施和方法，则该方未完成合同项下义务不被视为合同违约。</w:t>
      </w:r>
    </w:p>
    <w:p>
      <w:pPr>
        <w:spacing w:line="360" w:lineRule="auto"/>
        <w:ind w:firstLine="482" w:firstLineChars="200"/>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第八条  其他</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8.1甲方要求乙方派专人留驻施工现场进行配合与解决有关问题时，双方应另行签订补充协议或技术咨询服务合同。</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8.2乙方为本合同项目所采用的国家或地方标准图，由乙方自费向有关出版部门购买。乙方交付的设计资料及文件份数超过本合同第四条规定的份数，乙方另收工本费。</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8.3本工程设计资料及文件中，设备和材料应当注明其规格、型号、性能等技术指标，乙方不得指定生产厂、供应商。乙方配合甲方进行相关采购工作和全部合同履行过程中所需的有关工作。</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8.4甲方委托设计配合引进项目的设计任务，从询价、对外谈判、国内外技术考察直至建成投产的各个阶段，应由承担有关设计任务的乙方参加。出国费用，除制装费外，其它费用由甲方支付。</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8.5甲方委托乙方承担本合同内容之外的工作服务，另行支付费用。</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以上事项，乙方每一项未完成的，每次按1000元支付违约金，并承担损失赔偿。</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8.6由于不可抗力因素致使合同无法履行时，双方应及时协商解决。</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 本合同项下的不可抗力定义：指非一方正常控制的，使得该方无法履行合同义务的事件，包括但不限于：战争、爆炸、风暴、洪水或其他极为不利的天气条件。</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不可抗力不应包括：a.因一方或其代理人或雇员的疏忽或有意行为引起的事件；b.一方在签署合同时能合理考虑到的事件或在履行合同义务时能避免或克服的事件。</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 需采取的措施：</w:t>
      </w:r>
    </w:p>
    <w:p>
      <w:pPr>
        <w:spacing w:line="360" w:lineRule="auto"/>
        <w:ind w:firstLine="724" w:firstLineChars="30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① 受阻于不可抗力的一方应采取所有的合理措施消除无法履约的因素，以最少的延期完成其合同项下的义务；</w:t>
      </w:r>
    </w:p>
    <w:p>
      <w:pPr>
        <w:spacing w:line="360" w:lineRule="auto"/>
        <w:ind w:firstLine="720" w:firstLineChars="3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② 受阻于不可抗力事件的一方应尽快通知另一方所发生的不可抗力事件，最晚不得迟于发生事件后14天，提供不可抗力的性质和发生原因的证明。同样，在情况恢复正常后尽快通知另一方；</w:t>
      </w:r>
    </w:p>
    <w:p>
      <w:pPr>
        <w:spacing w:line="360" w:lineRule="auto"/>
        <w:ind w:firstLine="720" w:firstLineChars="3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③ 各方应采取所有的合理措施将不可抗力事件的影响降低到最低限度。</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(3)受不可抗力影响，合同规定的需完成任务的时间应相应延长，所延长的时间应与不可抗力影响该方不能履行义务的时间相同。</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(4)在因不可抗力而无法履行服务的期间内，乙方有权继续得到合同条款规定的付款以及在此时间内他们为履行服务和在此期间结束后重新履行服务发生的其它的合理的必需的额外增加的费用的支付。</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(5)在不可抗力发生后30天内仍然不能履行服务的主要部分时，各方应就不可抗力事件采取的适当措施达成一致意见进行协商。</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8.7本合同在履行过程中发生的争议，由双方当事人应及时协商解决。协商不成的按下列第</w:t>
      </w:r>
      <w:r>
        <w:rPr>
          <w:rFonts w:hint="eastAsia" w:ascii="宋体" w:hAnsi="宋体" w:eastAsia="宋体" w:cs="宋体"/>
          <w:color w:val="auto"/>
          <w:sz w:val="24"/>
          <w:szCs w:val="24"/>
          <w:highlight w:val="none"/>
          <w:u w:val="single"/>
        </w:rPr>
        <w:t xml:space="preserve">  （二）   </w:t>
      </w:r>
      <w:r>
        <w:rPr>
          <w:rFonts w:hint="eastAsia" w:ascii="宋体" w:hAnsi="宋体" w:eastAsia="宋体" w:cs="宋体"/>
          <w:color w:val="auto"/>
          <w:sz w:val="24"/>
          <w:szCs w:val="24"/>
          <w:highlight w:val="none"/>
        </w:rPr>
        <w:t>种方式解决：</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（一）提交杭州仲裁委员会仲裁；</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仲裁程序：按国家或地方的经济仲裁委员会的仲裁会的仲裁程序仲裁。双方在仲裁过程中除了进行仲裁部分外，应继续执行本合同中各自义务。仲裁费用：除非仲裁另有规定，仲裁费用由败诉方承担</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（二）依法向甲方所在地的人民法院起诉。</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8.8本合同</w:t>
      </w:r>
      <w:r>
        <w:rPr>
          <w:rFonts w:hint="eastAsia" w:ascii="宋体" w:hAnsi="宋体" w:eastAsia="宋体" w:cs="宋体"/>
          <w:color w:val="auto"/>
          <w:sz w:val="24"/>
          <w:szCs w:val="24"/>
          <w:highlight w:val="none"/>
          <w:u w:val="single"/>
        </w:rPr>
        <w:t xml:space="preserve">  六  </w:t>
      </w:r>
      <w:r>
        <w:rPr>
          <w:rFonts w:hint="eastAsia" w:ascii="宋体" w:hAnsi="宋体" w:eastAsia="宋体" w:cs="宋体"/>
          <w:color w:val="auto"/>
          <w:sz w:val="24"/>
          <w:szCs w:val="24"/>
          <w:highlight w:val="none"/>
        </w:rPr>
        <w:t>份，甲方四份、乙方</w:t>
      </w:r>
      <w:r>
        <w:rPr>
          <w:rFonts w:hint="eastAsia" w:ascii="宋体" w:hAnsi="宋体" w:eastAsia="宋体" w:cs="宋体"/>
          <w:color w:val="auto"/>
          <w:sz w:val="24"/>
          <w:szCs w:val="24"/>
          <w:highlight w:val="none"/>
          <w:u w:val="single"/>
        </w:rPr>
        <w:t xml:space="preserve">  二  </w:t>
      </w:r>
      <w:r>
        <w:rPr>
          <w:rFonts w:hint="eastAsia" w:ascii="宋体" w:hAnsi="宋体" w:eastAsia="宋体" w:cs="宋体"/>
          <w:color w:val="auto"/>
          <w:sz w:val="24"/>
          <w:szCs w:val="24"/>
          <w:highlight w:val="none"/>
        </w:rPr>
        <w:t>份。</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8.9本合同由甲乙双方法人代表或者授权代表签字加盖单位公章后即生效。</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8.10本合同未尽事宜，双方按《中华人民共和国民法典》和《建设工程勘察设计合同管理条件》（2016年）以及其它有关法律法规的规定执行。</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8.11双方约定的其他条款：</w:t>
      </w:r>
      <w:r>
        <w:rPr>
          <w:rFonts w:hint="eastAsia" w:ascii="宋体" w:hAnsi="宋体" w:eastAsia="宋体" w:cs="宋体"/>
          <w:color w:val="auto"/>
          <w:sz w:val="24"/>
          <w:szCs w:val="24"/>
          <w:highlight w:val="none"/>
          <w:u w:val="single"/>
        </w:rPr>
        <w:t xml:space="preserve">          /                           </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下列文件为本合同的组成部分及解释顺序</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（1）合同执行过程中的补充协议；</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（2）本合同；</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（3）成交通知书；</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（4）招标文件；</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（5）投标文件；</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（6）技术标准及规范；</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（7）其他双方认可的书面文件。</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构成合同的所有文件应相应解释，如有相互矛盾之处，合同文件的优先次序如上。</w:t>
      </w:r>
    </w:p>
    <w:p>
      <w:pPr>
        <w:spacing w:line="500" w:lineRule="exact"/>
        <w:ind w:right="-88" w:rightChars="-4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甲方（盖章）：</w:t>
      </w:r>
      <w:bookmarkStart w:id="67" w:name="_Hlk51570545"/>
      <w:r>
        <w:rPr>
          <w:rFonts w:hint="eastAsia" w:ascii="宋体" w:hAnsi="宋体" w:eastAsia="宋体" w:cs="宋体"/>
          <w:snapToGrid w:val="0"/>
          <w:color w:val="auto"/>
          <w:kern w:val="0"/>
          <w:sz w:val="24"/>
          <w:szCs w:val="24"/>
          <w:highlight w:val="none"/>
          <w:u w:val="single"/>
        </w:rPr>
        <w:t xml:space="preserve">              </w:t>
      </w:r>
      <w:bookmarkEnd w:id="67"/>
      <w:r>
        <w:rPr>
          <w:rFonts w:hint="eastAsia" w:ascii="宋体" w:hAnsi="宋体" w:eastAsia="宋体" w:cs="宋体"/>
          <w:color w:val="auto"/>
          <w:sz w:val="24"/>
          <w:szCs w:val="24"/>
          <w:highlight w:val="none"/>
        </w:rPr>
        <w:t xml:space="preserve">      乙方（盖章）：</w:t>
      </w:r>
      <w:r>
        <w:rPr>
          <w:rFonts w:hint="eastAsia" w:ascii="宋体" w:hAnsi="宋体" w:eastAsia="宋体" w:cs="宋体"/>
          <w:snapToGrid w:val="0"/>
          <w:color w:val="auto"/>
          <w:kern w:val="0"/>
          <w:sz w:val="24"/>
          <w:szCs w:val="24"/>
          <w:highlight w:val="none"/>
          <w:u w:val="single"/>
        </w:rPr>
        <w:t xml:space="preserve">            </w:t>
      </w:r>
    </w:p>
    <w:p>
      <w:pPr>
        <w:spacing w:line="500" w:lineRule="exact"/>
        <w:ind w:right="-88" w:rightChars="-4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法定(授权)代表人： </w:t>
      </w:r>
      <w:r>
        <w:rPr>
          <w:rFonts w:hint="eastAsia" w:ascii="宋体" w:hAnsi="宋体" w:eastAsia="宋体" w:cs="宋体"/>
          <w:snapToGrid w:val="0"/>
          <w:color w:val="auto"/>
          <w:kern w:val="0"/>
          <w:sz w:val="24"/>
          <w:szCs w:val="24"/>
          <w:highlight w:val="none"/>
          <w:u w:val="single"/>
        </w:rPr>
        <w:t xml:space="preserve">        </w:t>
      </w:r>
      <w:r>
        <w:rPr>
          <w:rFonts w:hint="eastAsia" w:ascii="宋体" w:hAnsi="宋体" w:eastAsia="宋体" w:cs="宋体"/>
          <w:snapToGrid w:val="0"/>
          <w:color w:val="auto"/>
          <w:kern w:val="0"/>
          <w:sz w:val="24"/>
          <w:szCs w:val="24"/>
          <w:highlight w:val="none"/>
        </w:rPr>
        <w:t xml:space="preserve">      </w:t>
      </w:r>
      <w:r>
        <w:rPr>
          <w:rFonts w:hint="eastAsia" w:ascii="宋体" w:hAnsi="宋体" w:eastAsia="宋体" w:cs="宋体"/>
          <w:color w:val="auto"/>
          <w:sz w:val="24"/>
          <w:szCs w:val="24"/>
          <w:highlight w:val="none"/>
        </w:rPr>
        <w:t>法定(授权)代表人：</w:t>
      </w:r>
      <w:r>
        <w:rPr>
          <w:rFonts w:hint="eastAsia" w:ascii="宋体" w:hAnsi="宋体" w:eastAsia="宋体" w:cs="宋体"/>
          <w:snapToGrid w:val="0"/>
          <w:color w:val="auto"/>
          <w:kern w:val="0"/>
          <w:sz w:val="24"/>
          <w:szCs w:val="24"/>
          <w:highlight w:val="none"/>
          <w:u w:val="single"/>
        </w:rPr>
        <w:t xml:space="preserve">       </w:t>
      </w:r>
      <w:r>
        <w:rPr>
          <w:rFonts w:hint="eastAsia" w:ascii="宋体" w:hAnsi="宋体" w:eastAsia="宋体" w:cs="宋体"/>
          <w:snapToGrid w:val="0"/>
          <w:color w:val="auto"/>
          <w:kern w:val="0"/>
          <w:sz w:val="24"/>
          <w:szCs w:val="24"/>
          <w:highlight w:val="none"/>
        </w:rPr>
        <w:t xml:space="preserve">      </w:t>
      </w:r>
    </w:p>
    <w:p>
      <w:pPr>
        <w:spacing w:line="500" w:lineRule="exact"/>
        <w:ind w:right="-88" w:rightChars="-42"/>
        <w:rPr>
          <w:rFonts w:hint="eastAsia" w:ascii="宋体" w:hAnsi="宋体" w:eastAsia="宋体" w:cs="宋体"/>
          <w:color w:val="auto"/>
          <w:sz w:val="24"/>
          <w:szCs w:val="24"/>
          <w:highlight w:val="none"/>
        </w:rPr>
      </w:pPr>
      <w:r>
        <w:rPr>
          <w:rFonts w:hint="eastAsia" w:ascii="宋体" w:hAnsi="宋体" w:eastAsia="宋体" w:cs="宋体"/>
          <w:snapToGrid w:val="0"/>
          <w:color w:val="auto"/>
          <w:kern w:val="0"/>
          <w:sz w:val="24"/>
          <w:szCs w:val="24"/>
          <w:highlight w:val="none"/>
        </w:rPr>
        <w:t xml:space="preserve">经办人：    </w:t>
      </w:r>
      <w:r>
        <w:rPr>
          <w:rFonts w:hint="eastAsia" w:ascii="宋体" w:hAnsi="宋体" w:eastAsia="宋体" w:cs="宋体"/>
          <w:snapToGrid w:val="0"/>
          <w:color w:val="auto"/>
          <w:kern w:val="0"/>
          <w:sz w:val="24"/>
          <w:szCs w:val="24"/>
          <w:highlight w:val="none"/>
          <w:u w:val="single"/>
        </w:rPr>
        <w:t xml:space="preserve">               </w:t>
      </w:r>
    </w:p>
    <w:p>
      <w:pPr>
        <w:tabs>
          <w:tab w:val="left" w:pos="3828"/>
        </w:tabs>
        <w:spacing w:line="500" w:lineRule="exact"/>
        <w:ind w:right="-88" w:rightChars="-4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单位地址： </w:t>
      </w:r>
      <w:r>
        <w:rPr>
          <w:rFonts w:hint="eastAsia" w:ascii="宋体" w:hAnsi="宋体" w:eastAsia="宋体" w:cs="宋体"/>
          <w:snapToGrid w:val="0"/>
          <w:color w:val="auto"/>
          <w:kern w:val="0"/>
          <w:sz w:val="24"/>
          <w:szCs w:val="24"/>
          <w:highlight w:val="none"/>
          <w:u w:val="single"/>
        </w:rPr>
        <w:t xml:space="preserve">                </w:t>
      </w:r>
      <w:r>
        <w:rPr>
          <w:rFonts w:hint="eastAsia" w:ascii="宋体" w:hAnsi="宋体" w:eastAsia="宋体" w:cs="宋体"/>
          <w:color w:val="auto"/>
          <w:sz w:val="24"/>
          <w:szCs w:val="24"/>
          <w:highlight w:val="none"/>
        </w:rPr>
        <w:t xml:space="preserve">      单位地址：</w:t>
      </w:r>
      <w:r>
        <w:rPr>
          <w:rFonts w:hint="eastAsia" w:ascii="宋体" w:hAnsi="宋体" w:eastAsia="宋体" w:cs="宋体"/>
          <w:snapToGrid w:val="0"/>
          <w:color w:val="auto"/>
          <w:kern w:val="0"/>
          <w:sz w:val="24"/>
          <w:szCs w:val="24"/>
          <w:highlight w:val="none"/>
          <w:u w:val="single"/>
        </w:rPr>
        <w:t xml:space="preserve">               </w:t>
      </w:r>
    </w:p>
    <w:p>
      <w:pPr>
        <w:spacing w:line="500" w:lineRule="exact"/>
        <w:ind w:right="-88" w:rightChars="-4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电    话： </w:t>
      </w:r>
      <w:r>
        <w:rPr>
          <w:rFonts w:hint="eastAsia" w:ascii="宋体" w:hAnsi="宋体" w:eastAsia="宋体" w:cs="宋体"/>
          <w:snapToGrid w:val="0"/>
          <w:color w:val="auto"/>
          <w:kern w:val="0"/>
          <w:sz w:val="24"/>
          <w:szCs w:val="24"/>
          <w:highlight w:val="none"/>
          <w:u w:val="single"/>
        </w:rPr>
        <w:t xml:space="preserve">                </w:t>
      </w:r>
      <w:r>
        <w:rPr>
          <w:rFonts w:hint="eastAsia" w:ascii="宋体" w:hAnsi="宋体" w:eastAsia="宋体" w:cs="宋体"/>
          <w:color w:val="auto"/>
          <w:sz w:val="24"/>
          <w:szCs w:val="24"/>
          <w:highlight w:val="none"/>
        </w:rPr>
        <w:t xml:space="preserve">      电    话：</w:t>
      </w:r>
      <w:r>
        <w:rPr>
          <w:rFonts w:hint="eastAsia" w:ascii="宋体" w:hAnsi="宋体" w:eastAsia="宋体" w:cs="宋体"/>
          <w:snapToGrid w:val="0"/>
          <w:color w:val="auto"/>
          <w:kern w:val="0"/>
          <w:sz w:val="24"/>
          <w:szCs w:val="24"/>
          <w:highlight w:val="none"/>
          <w:u w:val="single"/>
        </w:rPr>
        <w:t xml:space="preserve">               </w:t>
      </w:r>
    </w:p>
    <w:p>
      <w:pPr>
        <w:spacing w:line="500" w:lineRule="exact"/>
        <w:ind w:right="-88" w:rightChars="-4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开户银行： </w:t>
      </w:r>
      <w:r>
        <w:rPr>
          <w:rFonts w:hint="eastAsia" w:ascii="宋体" w:hAnsi="宋体" w:eastAsia="宋体" w:cs="宋体"/>
          <w:snapToGrid w:val="0"/>
          <w:color w:val="auto"/>
          <w:kern w:val="0"/>
          <w:sz w:val="24"/>
          <w:szCs w:val="24"/>
          <w:highlight w:val="none"/>
          <w:u w:val="single"/>
        </w:rPr>
        <w:t xml:space="preserve">                </w:t>
      </w:r>
      <w:r>
        <w:rPr>
          <w:rFonts w:hint="eastAsia" w:ascii="宋体" w:hAnsi="宋体" w:eastAsia="宋体" w:cs="宋体"/>
          <w:color w:val="auto"/>
          <w:sz w:val="24"/>
          <w:szCs w:val="24"/>
          <w:highlight w:val="none"/>
        </w:rPr>
        <w:t xml:space="preserve">      开户银行：</w:t>
      </w:r>
      <w:r>
        <w:rPr>
          <w:rFonts w:hint="eastAsia" w:ascii="宋体" w:hAnsi="宋体" w:eastAsia="宋体" w:cs="宋体"/>
          <w:snapToGrid w:val="0"/>
          <w:color w:val="auto"/>
          <w:kern w:val="0"/>
          <w:sz w:val="24"/>
          <w:szCs w:val="24"/>
          <w:highlight w:val="none"/>
          <w:u w:val="single"/>
        </w:rPr>
        <w:t xml:space="preserve">               </w:t>
      </w:r>
    </w:p>
    <w:p>
      <w:pPr>
        <w:tabs>
          <w:tab w:val="left" w:pos="4678"/>
        </w:tabs>
        <w:spacing w:line="500" w:lineRule="exact"/>
        <w:ind w:right="-88" w:rightChars="-4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户    名： </w:t>
      </w:r>
      <w:r>
        <w:rPr>
          <w:rFonts w:hint="eastAsia" w:ascii="宋体" w:hAnsi="宋体" w:eastAsia="宋体" w:cs="宋体"/>
          <w:snapToGrid w:val="0"/>
          <w:color w:val="auto"/>
          <w:kern w:val="0"/>
          <w:sz w:val="24"/>
          <w:szCs w:val="24"/>
          <w:highlight w:val="none"/>
          <w:u w:val="single"/>
        </w:rPr>
        <w:t xml:space="preserve">                </w:t>
      </w:r>
      <w:r>
        <w:rPr>
          <w:rFonts w:hint="eastAsia" w:ascii="宋体" w:hAnsi="宋体" w:eastAsia="宋体" w:cs="宋体"/>
          <w:color w:val="auto"/>
          <w:sz w:val="24"/>
          <w:szCs w:val="24"/>
          <w:highlight w:val="none"/>
        </w:rPr>
        <w:t xml:space="preserve">      户    名：</w:t>
      </w:r>
      <w:r>
        <w:rPr>
          <w:rFonts w:hint="eastAsia" w:ascii="宋体" w:hAnsi="宋体" w:eastAsia="宋体" w:cs="宋体"/>
          <w:snapToGrid w:val="0"/>
          <w:color w:val="auto"/>
          <w:kern w:val="0"/>
          <w:sz w:val="24"/>
          <w:szCs w:val="24"/>
          <w:highlight w:val="none"/>
          <w:u w:val="single"/>
        </w:rPr>
        <w:t xml:space="preserve">               </w:t>
      </w:r>
    </w:p>
    <w:p>
      <w:pPr>
        <w:tabs>
          <w:tab w:val="left" w:pos="8080"/>
        </w:tabs>
        <w:spacing w:line="500" w:lineRule="exact"/>
        <w:ind w:right="-88" w:rightChars="-4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账    号： </w:t>
      </w:r>
      <w:r>
        <w:rPr>
          <w:rFonts w:hint="eastAsia" w:ascii="宋体" w:hAnsi="宋体" w:eastAsia="宋体" w:cs="宋体"/>
          <w:snapToGrid w:val="0"/>
          <w:color w:val="auto"/>
          <w:kern w:val="0"/>
          <w:sz w:val="24"/>
          <w:szCs w:val="24"/>
          <w:highlight w:val="none"/>
          <w:u w:val="single"/>
        </w:rPr>
        <w:t xml:space="preserve">      </w:t>
      </w:r>
      <w:bookmarkStart w:id="68" w:name="_Hlk51683057"/>
      <w:r>
        <w:rPr>
          <w:rFonts w:hint="eastAsia" w:ascii="宋体" w:hAnsi="宋体" w:eastAsia="宋体" w:cs="宋体"/>
          <w:snapToGrid w:val="0"/>
          <w:color w:val="auto"/>
          <w:kern w:val="0"/>
          <w:sz w:val="24"/>
          <w:szCs w:val="24"/>
          <w:highlight w:val="none"/>
          <w:u w:val="single"/>
        </w:rPr>
        <w:t xml:space="preserve">     </w:t>
      </w:r>
      <w:bookmarkEnd w:id="68"/>
      <w:r>
        <w:rPr>
          <w:rFonts w:hint="eastAsia" w:ascii="宋体" w:hAnsi="宋体" w:eastAsia="宋体" w:cs="宋体"/>
          <w:snapToGrid w:val="0"/>
          <w:color w:val="auto"/>
          <w:kern w:val="0"/>
          <w:sz w:val="24"/>
          <w:szCs w:val="24"/>
          <w:highlight w:val="none"/>
          <w:u w:val="single"/>
        </w:rPr>
        <w:t xml:space="preserve">     </w:t>
      </w:r>
      <w:r>
        <w:rPr>
          <w:rFonts w:hint="eastAsia" w:ascii="宋体" w:hAnsi="宋体" w:eastAsia="宋体" w:cs="宋体"/>
          <w:color w:val="auto"/>
          <w:sz w:val="24"/>
          <w:szCs w:val="24"/>
          <w:highlight w:val="none"/>
        </w:rPr>
        <w:t xml:space="preserve">      账    号：</w:t>
      </w:r>
      <w:r>
        <w:rPr>
          <w:rFonts w:hint="eastAsia" w:ascii="宋体" w:hAnsi="宋体" w:eastAsia="宋体" w:cs="宋体"/>
          <w:snapToGrid w:val="0"/>
          <w:color w:val="auto"/>
          <w:kern w:val="0"/>
          <w:sz w:val="24"/>
          <w:szCs w:val="24"/>
          <w:highlight w:val="none"/>
          <w:u w:val="single"/>
        </w:rPr>
        <w:t xml:space="preserve">               </w:t>
      </w:r>
    </w:p>
    <w:p>
      <w:pPr>
        <w:tabs>
          <w:tab w:val="left" w:pos="4536"/>
          <w:tab w:val="left" w:pos="8222"/>
        </w:tabs>
        <w:spacing w:line="500" w:lineRule="exact"/>
        <w:ind w:right="-88" w:rightChars="-42"/>
        <w:rPr>
          <w:rFonts w:hint="eastAsia" w:ascii="宋体" w:hAnsi="宋体" w:eastAsia="宋体" w:cs="宋体"/>
          <w:color w:val="auto"/>
          <w:sz w:val="24"/>
          <w:szCs w:val="24"/>
          <w:highlight w:val="none"/>
        </w:rPr>
      </w:pPr>
      <w:bookmarkStart w:id="69" w:name="_Hlk51661740"/>
      <w:r>
        <w:rPr>
          <w:rFonts w:hint="eastAsia" w:ascii="宋体" w:hAnsi="宋体" w:eastAsia="宋体" w:cs="宋体"/>
          <w:color w:val="auto"/>
          <w:sz w:val="24"/>
          <w:szCs w:val="24"/>
          <w:highlight w:val="none"/>
        </w:rPr>
        <w:t>签字日期：</w:t>
      </w:r>
      <w:r>
        <w:rPr>
          <w:rFonts w:hint="eastAsia" w:ascii="宋体" w:hAnsi="宋体" w:eastAsia="宋体" w:cs="宋体"/>
          <w:snapToGrid w:val="0"/>
          <w:color w:val="auto"/>
          <w:kern w:val="0"/>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snapToGrid w:val="0"/>
          <w:color w:val="auto"/>
          <w:kern w:val="0"/>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snapToGrid w:val="0"/>
          <w:color w:val="auto"/>
          <w:kern w:val="0"/>
          <w:sz w:val="24"/>
          <w:szCs w:val="24"/>
          <w:highlight w:val="none"/>
          <w:u w:val="single"/>
        </w:rPr>
        <w:t xml:space="preserve">   </w:t>
      </w:r>
      <w:r>
        <w:rPr>
          <w:rFonts w:hint="eastAsia" w:ascii="宋体" w:hAnsi="宋体" w:eastAsia="宋体" w:cs="宋体"/>
          <w:color w:val="auto"/>
          <w:sz w:val="24"/>
          <w:szCs w:val="24"/>
          <w:highlight w:val="none"/>
        </w:rPr>
        <w:t>日</w:t>
      </w:r>
      <w:bookmarkEnd w:id="69"/>
      <w:r>
        <w:rPr>
          <w:rFonts w:hint="eastAsia" w:ascii="宋体" w:hAnsi="宋体" w:eastAsia="宋体" w:cs="宋体"/>
          <w:color w:val="auto"/>
          <w:sz w:val="24"/>
          <w:szCs w:val="24"/>
          <w:highlight w:val="none"/>
        </w:rPr>
        <w:t xml:space="preserve">      签字日期：</w:t>
      </w:r>
      <w:r>
        <w:rPr>
          <w:rFonts w:hint="eastAsia" w:ascii="宋体" w:hAnsi="宋体" w:eastAsia="宋体" w:cs="宋体"/>
          <w:snapToGrid w:val="0"/>
          <w:color w:val="auto"/>
          <w:kern w:val="0"/>
          <w:sz w:val="24"/>
          <w:szCs w:val="24"/>
          <w:highlight w:val="none"/>
          <w:u w:val="single"/>
        </w:rPr>
        <w:t xml:space="preserve">     </w:t>
      </w:r>
      <w:r>
        <w:rPr>
          <w:rFonts w:hint="eastAsia" w:ascii="宋体" w:hAnsi="宋体" w:eastAsia="宋体" w:cs="宋体"/>
          <w:color w:val="auto"/>
          <w:sz w:val="24"/>
          <w:szCs w:val="24"/>
          <w:highlight w:val="none"/>
        </w:rPr>
        <w:t>年</w:t>
      </w:r>
      <w:bookmarkStart w:id="70" w:name="_Hlk51683137"/>
      <w:r>
        <w:rPr>
          <w:rFonts w:hint="eastAsia" w:ascii="宋体" w:hAnsi="宋体" w:eastAsia="宋体" w:cs="宋体"/>
          <w:snapToGrid w:val="0"/>
          <w:color w:val="auto"/>
          <w:kern w:val="0"/>
          <w:sz w:val="24"/>
          <w:szCs w:val="24"/>
          <w:highlight w:val="none"/>
          <w:u w:val="single"/>
        </w:rPr>
        <w:t xml:space="preserve">   </w:t>
      </w:r>
      <w:bookmarkEnd w:id="70"/>
      <w:r>
        <w:rPr>
          <w:rFonts w:hint="eastAsia" w:ascii="宋体" w:hAnsi="宋体" w:eastAsia="宋体" w:cs="宋体"/>
          <w:color w:val="auto"/>
          <w:sz w:val="24"/>
          <w:szCs w:val="24"/>
          <w:highlight w:val="none"/>
        </w:rPr>
        <w:t>月</w:t>
      </w:r>
      <w:r>
        <w:rPr>
          <w:rFonts w:hint="eastAsia" w:ascii="宋体" w:hAnsi="宋体" w:eastAsia="宋体" w:cs="宋体"/>
          <w:snapToGrid w:val="0"/>
          <w:color w:val="auto"/>
          <w:kern w:val="0"/>
          <w:sz w:val="24"/>
          <w:szCs w:val="24"/>
          <w:highlight w:val="none"/>
          <w:u w:val="single"/>
        </w:rPr>
        <w:t xml:space="preserve">   </w:t>
      </w:r>
      <w:r>
        <w:rPr>
          <w:rFonts w:hint="eastAsia" w:ascii="宋体" w:hAnsi="宋体" w:eastAsia="宋体" w:cs="宋体"/>
          <w:color w:val="auto"/>
          <w:sz w:val="24"/>
          <w:szCs w:val="24"/>
          <w:highlight w:val="none"/>
        </w:rPr>
        <w:t xml:space="preserve">日    </w:t>
      </w:r>
    </w:p>
    <w:p>
      <w:pPr>
        <w:adjustRightInd w:val="0"/>
        <w:snapToGrid w:val="0"/>
        <w:spacing w:line="360" w:lineRule="auto"/>
        <w:jc w:val="left"/>
        <w:rPr>
          <w:rFonts w:hint="eastAsia" w:hAnsi="宋体" w:cs="宋体"/>
          <w:bCs/>
          <w:color w:val="auto"/>
          <w:highlight w:val="none"/>
        </w:rPr>
      </w:pPr>
    </w:p>
    <w:p>
      <w:pPr>
        <w:adjustRightInd w:val="0"/>
        <w:snapToGrid w:val="0"/>
        <w:spacing w:line="360" w:lineRule="auto"/>
        <w:jc w:val="left"/>
        <w:rPr>
          <w:rFonts w:hint="eastAsia" w:hAnsi="宋体" w:cs="宋体"/>
          <w:bCs/>
          <w:color w:val="auto"/>
          <w:highlight w:val="none"/>
        </w:rPr>
      </w:pPr>
    </w:p>
    <w:p>
      <w:pPr>
        <w:adjustRightInd w:val="0"/>
        <w:snapToGrid w:val="0"/>
        <w:spacing w:line="360" w:lineRule="auto"/>
        <w:jc w:val="left"/>
        <w:rPr>
          <w:rStyle w:val="43"/>
          <w:rFonts w:ascii="宋体" w:hAnsi="宋体" w:eastAsia="宋体" w:cs="宋体"/>
          <w:color w:val="auto"/>
          <w:sz w:val="32"/>
          <w:szCs w:val="32"/>
          <w:highlight w:val="none"/>
        </w:rPr>
        <w:sectPr>
          <w:footerReference r:id="rId9" w:type="first"/>
          <w:headerReference r:id="rId6" w:type="default"/>
          <w:footerReference r:id="rId7" w:type="default"/>
          <w:footerReference r:id="rId8" w:type="even"/>
          <w:pgSz w:w="11906" w:h="16838"/>
          <w:pgMar w:top="1440" w:right="1474" w:bottom="1440" w:left="1474" w:header="851" w:footer="851" w:gutter="0"/>
          <w:cols w:space="720" w:num="1"/>
          <w:titlePg/>
          <w:docGrid w:linePitch="312" w:charSpace="0"/>
        </w:sectPr>
      </w:pPr>
      <w:r>
        <w:rPr>
          <w:rFonts w:hint="eastAsia" w:hAnsi="宋体" w:cs="宋体"/>
          <w:bCs/>
          <w:color w:val="auto"/>
          <w:highlight w:val="none"/>
        </w:rPr>
        <w:t>注：各供应商应对采购文件《合同主要条款》中的条款全部响应，如有偏离需在商务条款偏离表中注明</w:t>
      </w:r>
    </w:p>
    <w:p>
      <w:pPr>
        <w:adjustRightInd w:val="0"/>
        <w:snapToGrid w:val="0"/>
        <w:spacing w:line="360" w:lineRule="auto"/>
        <w:jc w:val="center"/>
        <w:rPr>
          <w:rStyle w:val="43"/>
          <w:rFonts w:ascii="宋体" w:hAnsi="宋体" w:eastAsia="宋体" w:cs="宋体"/>
          <w:color w:val="auto"/>
          <w:sz w:val="32"/>
          <w:szCs w:val="32"/>
          <w:highlight w:val="none"/>
        </w:rPr>
      </w:pPr>
      <w:bookmarkStart w:id="71" w:name="_Toc23993"/>
      <w:r>
        <w:rPr>
          <w:rStyle w:val="43"/>
          <w:rFonts w:hint="eastAsia" w:ascii="宋体" w:hAnsi="宋体" w:eastAsia="宋体" w:cs="宋体"/>
          <w:color w:val="auto"/>
          <w:sz w:val="32"/>
          <w:szCs w:val="32"/>
          <w:highlight w:val="none"/>
        </w:rPr>
        <w:t>第五部分</w:t>
      </w:r>
      <w:bookmarkStart w:id="72" w:name="_Toc118516258"/>
      <w:r>
        <w:rPr>
          <w:rStyle w:val="43"/>
          <w:rFonts w:hint="eastAsia" w:ascii="宋体" w:hAnsi="宋体" w:eastAsia="宋体" w:cs="宋体"/>
          <w:color w:val="auto"/>
          <w:sz w:val="32"/>
          <w:szCs w:val="32"/>
          <w:highlight w:val="none"/>
        </w:rPr>
        <w:t xml:space="preserve">  附件（响应文件格式</w:t>
      </w:r>
      <w:bookmarkEnd w:id="72"/>
      <w:r>
        <w:rPr>
          <w:rStyle w:val="43"/>
          <w:rFonts w:hint="eastAsia" w:ascii="宋体" w:hAnsi="宋体" w:eastAsia="宋体" w:cs="宋体"/>
          <w:color w:val="auto"/>
          <w:sz w:val="32"/>
          <w:szCs w:val="32"/>
          <w:highlight w:val="none"/>
        </w:rPr>
        <w:t>）</w:t>
      </w:r>
    </w:p>
    <w:bookmarkEnd w:id="71"/>
    <w:p>
      <w:pPr>
        <w:rPr>
          <w:color w:val="auto"/>
          <w:highlight w:val="none"/>
        </w:rPr>
      </w:pPr>
    </w:p>
    <w:p>
      <w:pPr>
        <w:spacing w:line="360" w:lineRule="auto"/>
        <w:ind w:left="711" w:leftChars="224" w:hanging="241" w:hangingChars="100"/>
        <w:rPr>
          <w:rFonts w:ascii="宋体" w:hAnsi="宋体" w:cs="宋体"/>
          <w:b/>
          <w:color w:val="auto"/>
          <w:sz w:val="24"/>
          <w:szCs w:val="24"/>
          <w:highlight w:val="none"/>
        </w:rPr>
      </w:pPr>
      <w:r>
        <w:rPr>
          <w:rFonts w:hint="eastAsia" w:ascii="宋体" w:hAnsi="宋体" w:cs="宋体"/>
          <w:b/>
          <w:color w:val="auto"/>
          <w:sz w:val="24"/>
          <w:szCs w:val="24"/>
          <w:highlight w:val="none"/>
        </w:rPr>
        <w:t>一、重要提示</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1、本章节中有提供格式的，磋商响应供应商须参照本章节提供的格式进行编制（格式中要求提供相关证明材料的还需后附相关证明材料），并按格式要求在指定位置根据要求进行签章）</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 xml:space="preserve">  2、本章节未提供格式的，请各</w:t>
      </w:r>
      <w:r>
        <w:rPr>
          <w:rFonts w:hint="eastAsia" w:ascii="宋体" w:hAnsi="宋体"/>
          <w:b/>
          <w:color w:val="auto"/>
          <w:sz w:val="24"/>
          <w:szCs w:val="24"/>
          <w:highlight w:val="none"/>
        </w:rPr>
        <w:t>磋商响应</w:t>
      </w:r>
      <w:r>
        <w:rPr>
          <w:rFonts w:hint="eastAsia" w:ascii="宋体" w:hAnsi="宋体" w:cs="宋体"/>
          <w:color w:val="auto"/>
          <w:sz w:val="24"/>
          <w:szCs w:val="24"/>
          <w:highlight w:val="none"/>
        </w:rPr>
        <w:t>供应商自行拟定格式，并加盖单位公章。</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 xml:space="preserve">  3、可以提供复印件的相关证明材料须加盖磋商响应文件供应商公章（例如：各类资格资质证书、业绩材料、许可材料、荣誉证书等）。</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 xml:space="preserve">  4、磋商响应文件内容组成清单中标注“▲”的内容为必须提供的内容，未提供的响应无效。</w:t>
      </w:r>
    </w:p>
    <w:p>
      <w:pPr>
        <w:spacing w:line="360" w:lineRule="auto"/>
        <w:ind w:firstLine="480" w:firstLineChars="200"/>
        <w:rPr>
          <w:rFonts w:ascii="宋体" w:hAnsi="宋体" w:cs="宋体"/>
          <w:b/>
          <w:color w:val="auto"/>
          <w:sz w:val="24"/>
          <w:szCs w:val="24"/>
          <w:highlight w:val="none"/>
        </w:rPr>
      </w:pPr>
      <w:r>
        <w:rPr>
          <w:rFonts w:hint="eastAsia" w:ascii="宋体" w:hAnsi="宋体" w:cs="宋体"/>
          <w:color w:val="auto"/>
          <w:sz w:val="24"/>
          <w:szCs w:val="24"/>
          <w:highlight w:val="none"/>
        </w:rPr>
        <w:t xml:space="preserve">  5、响应文件内容须与评分表内容进行关联定位，如未按要求进行关联定位，后果自负。</w:t>
      </w:r>
    </w:p>
    <w:p>
      <w:pPr>
        <w:spacing w:line="360" w:lineRule="auto"/>
        <w:ind w:firstLine="472" w:firstLineChars="196"/>
        <w:rPr>
          <w:rFonts w:ascii="宋体" w:hAnsi="宋体" w:cs="宋体"/>
          <w:b/>
          <w:color w:val="auto"/>
          <w:sz w:val="24"/>
          <w:szCs w:val="24"/>
          <w:highlight w:val="none"/>
        </w:rPr>
      </w:pPr>
      <w:r>
        <w:rPr>
          <w:rFonts w:hint="eastAsia" w:ascii="宋体" w:hAnsi="宋体" w:cs="宋体"/>
          <w:b/>
          <w:color w:val="auto"/>
          <w:sz w:val="24"/>
          <w:szCs w:val="24"/>
          <w:highlight w:val="none"/>
        </w:rPr>
        <w:t>二、供应商提交磋商响应文件须知：</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1、供应商应严格按照以下顺序填写和提交下述规定的全部格式文件以及其他有关资料，混乱的编排导致磋商响应文件被误读或磋商小组查找不到有效文件是供应商的风险。</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2、所附表格中要求回答的全部问题和/或信息都必须正面回答。</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3、本声明书保证全部声明和问题的回答是真实的和准确的。</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4、磋商小组将应用供应商提交的资料作出自己的判断。</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5、供应商提交的材料将在一定期限内被保密保存，但不退还。</w:t>
      </w:r>
    </w:p>
    <w:p>
      <w:pPr>
        <w:spacing w:line="360" w:lineRule="auto"/>
        <w:ind w:firstLine="480" w:firstLineChars="200"/>
        <w:rPr>
          <w:rFonts w:ascii="宋体" w:hAnsi="宋体" w:cs="宋体"/>
          <w:color w:val="auto"/>
          <w:sz w:val="24"/>
          <w:szCs w:val="24"/>
          <w:highlight w:val="none"/>
          <w:lang w:val="zh-CN"/>
        </w:rPr>
      </w:pPr>
      <w:r>
        <w:rPr>
          <w:rFonts w:hint="eastAsia" w:ascii="宋体" w:hAnsi="宋体" w:cs="宋体"/>
          <w:color w:val="auto"/>
          <w:sz w:val="24"/>
          <w:szCs w:val="24"/>
          <w:highlight w:val="none"/>
        </w:rPr>
        <w:t>6、全部文件应按供应商须知中规定的语言和份数提交。磋商响应文件组成漏项或未按规定的格式编制，内容不全或内容字迹模糊辨认不清的情况，将有可能被磋商小组认定为响应无效。</w:t>
      </w:r>
    </w:p>
    <w:p>
      <w:pPr>
        <w:shd w:val="clear" w:color="auto" w:fill="FFFFFF"/>
        <w:spacing w:line="360" w:lineRule="auto"/>
        <w:ind w:firstLine="480" w:firstLineChars="200"/>
        <w:rPr>
          <w:rFonts w:ascii="宋体" w:hAnsi="宋体" w:cs="宋体"/>
          <w:color w:val="auto"/>
          <w:sz w:val="24"/>
          <w:highlight w:val="none"/>
        </w:rPr>
      </w:pPr>
    </w:p>
    <w:p>
      <w:pPr>
        <w:pageBreakBefore/>
        <w:shd w:val="clear" w:color="auto" w:fill="FFFFFF"/>
        <w:spacing w:line="360" w:lineRule="auto"/>
        <w:outlineLvl w:val="2"/>
        <w:rPr>
          <w:rFonts w:ascii="宋体" w:hAnsi="宋体" w:cs="宋体"/>
          <w:b/>
          <w:bCs/>
          <w:color w:val="auto"/>
          <w:sz w:val="32"/>
          <w:szCs w:val="32"/>
          <w:highlight w:val="none"/>
        </w:rPr>
      </w:pPr>
      <w:bookmarkStart w:id="73" w:name="_Toc32209"/>
      <w:r>
        <w:rPr>
          <w:rFonts w:hint="eastAsia" w:ascii="宋体" w:hAnsi="宋体" w:cs="宋体"/>
          <w:color w:val="auto"/>
          <w:sz w:val="24"/>
          <w:highlight w:val="none"/>
        </w:rPr>
        <w:t> </w:t>
      </w:r>
      <w:r>
        <w:rPr>
          <w:rFonts w:hint="eastAsia" w:ascii="宋体" w:hAnsi="宋体" w:cs="宋体"/>
          <w:b/>
          <w:bCs/>
          <w:color w:val="auto"/>
          <w:sz w:val="32"/>
          <w:szCs w:val="32"/>
          <w:highlight w:val="none"/>
        </w:rPr>
        <w:t>磋商响应文件封面</w:t>
      </w:r>
      <w:bookmarkEnd w:id="73"/>
    </w:p>
    <w:p>
      <w:pPr>
        <w:shd w:val="clear" w:color="auto" w:fill="FFFFFF"/>
        <w:tabs>
          <w:tab w:val="left" w:pos="0"/>
          <w:tab w:val="left" w:pos="2140"/>
          <w:tab w:val="center" w:pos="4753"/>
        </w:tabs>
        <w:spacing w:line="360" w:lineRule="auto"/>
        <w:jc w:val="center"/>
        <w:rPr>
          <w:rFonts w:ascii="宋体" w:hAnsi="宋体" w:cs="宋体"/>
          <w:b/>
          <w:bCs/>
          <w:color w:val="auto"/>
          <w:sz w:val="44"/>
          <w:szCs w:val="44"/>
          <w:highlight w:val="none"/>
        </w:rPr>
      </w:pPr>
    </w:p>
    <w:p>
      <w:pPr>
        <w:shd w:val="clear" w:color="auto" w:fill="FFFFFF"/>
        <w:snapToGrid w:val="0"/>
        <w:spacing w:line="360" w:lineRule="auto"/>
        <w:jc w:val="center"/>
        <w:rPr>
          <w:rFonts w:ascii="宋体" w:hAnsi="宋体" w:cs="宋体"/>
          <w:b/>
          <w:color w:val="auto"/>
          <w:spacing w:val="-11"/>
          <w:sz w:val="44"/>
          <w:szCs w:val="44"/>
          <w:highlight w:val="none"/>
          <w:lang w:val="zh-CN"/>
        </w:rPr>
      </w:pPr>
    </w:p>
    <w:p>
      <w:pPr>
        <w:shd w:val="clear" w:color="auto" w:fill="FFFFFF"/>
        <w:snapToGrid w:val="0"/>
        <w:spacing w:line="360" w:lineRule="auto"/>
        <w:jc w:val="center"/>
        <w:rPr>
          <w:rFonts w:ascii="宋体" w:hAnsi="宋体" w:cs="宋体"/>
          <w:b/>
          <w:color w:val="auto"/>
          <w:spacing w:val="-11"/>
          <w:sz w:val="44"/>
          <w:szCs w:val="44"/>
          <w:highlight w:val="none"/>
          <w:lang w:val="zh-CN"/>
        </w:rPr>
      </w:pPr>
      <w:r>
        <w:rPr>
          <w:rFonts w:hint="eastAsia" w:ascii="宋体" w:hAnsi="宋体" w:cs="宋体"/>
          <w:b/>
          <w:color w:val="auto"/>
          <w:spacing w:val="-11"/>
          <w:sz w:val="44"/>
          <w:szCs w:val="44"/>
          <w:highlight w:val="none"/>
          <w:lang w:val="zh-CN"/>
        </w:rPr>
        <w:t>浙江省拱宸强制隔离戒毒所“红色基地”整体改造设计项目</w:t>
      </w:r>
    </w:p>
    <w:p>
      <w:pPr>
        <w:shd w:val="clear" w:color="auto" w:fill="FFFFFF"/>
        <w:snapToGrid w:val="0"/>
        <w:spacing w:line="360" w:lineRule="auto"/>
        <w:jc w:val="center"/>
        <w:rPr>
          <w:rFonts w:ascii="宋体" w:hAnsi="宋体" w:cs="宋体"/>
          <w:b/>
          <w:bCs/>
          <w:color w:val="auto"/>
          <w:sz w:val="44"/>
          <w:szCs w:val="44"/>
          <w:highlight w:val="none"/>
        </w:rPr>
      </w:pPr>
      <w:r>
        <w:rPr>
          <w:rFonts w:hint="eastAsia" w:ascii="宋体" w:hAnsi="宋体" w:cs="宋体"/>
          <w:b/>
          <w:bCs/>
          <w:color w:val="auto"/>
          <w:sz w:val="44"/>
          <w:szCs w:val="44"/>
          <w:highlight w:val="none"/>
        </w:rPr>
        <w:t>（资格文件/报价文件/商务技术文件）</w:t>
      </w:r>
    </w:p>
    <w:p>
      <w:pPr>
        <w:shd w:val="clear" w:color="auto" w:fill="FFFFFF"/>
        <w:spacing w:line="360" w:lineRule="auto"/>
        <w:jc w:val="center"/>
        <w:rPr>
          <w:rFonts w:hint="eastAsia" w:ascii="宋体" w:hAnsi="宋体" w:eastAsia="宋体" w:cs="宋体"/>
          <w:b/>
          <w:bCs/>
          <w:color w:val="auto"/>
          <w:sz w:val="32"/>
          <w:szCs w:val="32"/>
          <w:highlight w:val="none"/>
          <w:lang w:eastAsia="zh-CN"/>
        </w:rPr>
      </w:pPr>
      <w:r>
        <w:rPr>
          <w:rFonts w:hint="eastAsia" w:ascii="宋体" w:hAnsi="宋体" w:cs="宋体"/>
          <w:b/>
          <w:bCs/>
          <w:color w:val="auto"/>
          <w:sz w:val="32"/>
          <w:szCs w:val="32"/>
          <w:highlight w:val="none"/>
        </w:rPr>
        <w:t>采购编号：</w:t>
      </w:r>
      <w:r>
        <w:rPr>
          <w:rFonts w:hint="eastAsia" w:ascii="宋体" w:hAnsi="宋体" w:cs="宋体"/>
          <w:b/>
          <w:bCs/>
          <w:color w:val="auto"/>
          <w:sz w:val="32"/>
          <w:szCs w:val="32"/>
          <w:highlight w:val="none"/>
          <w:lang w:eastAsia="zh-CN"/>
        </w:rPr>
        <w:t>HSZB-2023-852</w:t>
      </w:r>
    </w:p>
    <w:p>
      <w:pPr>
        <w:shd w:val="clear" w:color="auto" w:fill="FFFFFF"/>
        <w:spacing w:line="360" w:lineRule="auto"/>
        <w:jc w:val="center"/>
        <w:rPr>
          <w:rFonts w:ascii="宋体" w:hAnsi="宋体" w:cs="宋体"/>
          <w:color w:val="auto"/>
          <w:sz w:val="72"/>
          <w:szCs w:val="72"/>
          <w:highlight w:val="none"/>
        </w:rPr>
      </w:pPr>
      <w:r>
        <w:rPr>
          <w:rFonts w:hint="eastAsia" w:ascii="宋体" w:hAnsi="宋体" w:cs="宋体"/>
          <w:color w:val="auto"/>
          <w:sz w:val="72"/>
          <w:szCs w:val="72"/>
          <w:highlight w:val="none"/>
        </w:rPr>
        <w:t>磋</w:t>
      </w:r>
    </w:p>
    <w:p>
      <w:pPr>
        <w:shd w:val="clear" w:color="auto" w:fill="FFFFFF"/>
        <w:spacing w:line="360" w:lineRule="auto"/>
        <w:jc w:val="center"/>
        <w:rPr>
          <w:rFonts w:ascii="宋体" w:hAnsi="宋体" w:cs="宋体"/>
          <w:color w:val="auto"/>
          <w:sz w:val="72"/>
          <w:szCs w:val="72"/>
          <w:highlight w:val="none"/>
        </w:rPr>
      </w:pPr>
      <w:r>
        <w:rPr>
          <w:rFonts w:hint="eastAsia" w:ascii="宋体" w:hAnsi="宋体" w:cs="宋体"/>
          <w:color w:val="auto"/>
          <w:sz w:val="72"/>
          <w:szCs w:val="72"/>
          <w:highlight w:val="none"/>
        </w:rPr>
        <w:t>商</w:t>
      </w:r>
    </w:p>
    <w:p>
      <w:pPr>
        <w:shd w:val="clear" w:color="auto" w:fill="FFFFFF"/>
        <w:spacing w:line="360" w:lineRule="auto"/>
        <w:jc w:val="center"/>
        <w:rPr>
          <w:rFonts w:ascii="宋体" w:hAnsi="宋体" w:cs="宋体"/>
          <w:color w:val="auto"/>
          <w:sz w:val="72"/>
          <w:szCs w:val="72"/>
          <w:highlight w:val="none"/>
        </w:rPr>
      </w:pPr>
      <w:r>
        <w:rPr>
          <w:rFonts w:hint="eastAsia" w:ascii="宋体" w:hAnsi="宋体" w:cs="宋体"/>
          <w:color w:val="auto"/>
          <w:sz w:val="72"/>
          <w:szCs w:val="72"/>
          <w:highlight w:val="none"/>
        </w:rPr>
        <w:t>响</w:t>
      </w:r>
    </w:p>
    <w:p>
      <w:pPr>
        <w:shd w:val="clear" w:color="auto" w:fill="FFFFFF"/>
        <w:spacing w:line="360" w:lineRule="auto"/>
        <w:jc w:val="center"/>
        <w:rPr>
          <w:rFonts w:ascii="宋体" w:hAnsi="宋体" w:cs="宋体"/>
          <w:color w:val="auto"/>
          <w:sz w:val="72"/>
          <w:szCs w:val="72"/>
          <w:highlight w:val="none"/>
        </w:rPr>
      </w:pPr>
      <w:r>
        <w:rPr>
          <w:rFonts w:hint="eastAsia" w:ascii="宋体" w:hAnsi="宋体" w:cs="宋体"/>
          <w:color w:val="auto"/>
          <w:sz w:val="72"/>
          <w:szCs w:val="72"/>
          <w:highlight w:val="none"/>
        </w:rPr>
        <w:t>应</w:t>
      </w:r>
    </w:p>
    <w:p>
      <w:pPr>
        <w:shd w:val="clear" w:color="auto" w:fill="FFFFFF"/>
        <w:spacing w:line="360" w:lineRule="auto"/>
        <w:jc w:val="center"/>
        <w:rPr>
          <w:rFonts w:ascii="宋体" w:hAnsi="宋体" w:cs="宋体"/>
          <w:color w:val="auto"/>
          <w:sz w:val="72"/>
          <w:szCs w:val="72"/>
          <w:highlight w:val="none"/>
        </w:rPr>
      </w:pPr>
      <w:r>
        <w:rPr>
          <w:rFonts w:hint="eastAsia" w:ascii="宋体" w:hAnsi="宋体" w:cs="宋体"/>
          <w:color w:val="auto"/>
          <w:sz w:val="72"/>
          <w:szCs w:val="72"/>
          <w:highlight w:val="none"/>
        </w:rPr>
        <w:t>文</w:t>
      </w:r>
    </w:p>
    <w:p>
      <w:pPr>
        <w:shd w:val="clear" w:color="auto" w:fill="FFFFFF"/>
        <w:spacing w:line="360" w:lineRule="auto"/>
        <w:jc w:val="center"/>
        <w:rPr>
          <w:rFonts w:ascii="宋体" w:hAnsi="宋体" w:cs="宋体"/>
          <w:color w:val="auto"/>
          <w:sz w:val="72"/>
          <w:szCs w:val="72"/>
          <w:highlight w:val="none"/>
        </w:rPr>
      </w:pPr>
      <w:r>
        <w:rPr>
          <w:rFonts w:hint="eastAsia" w:ascii="宋体" w:hAnsi="宋体" w:cs="宋体"/>
          <w:color w:val="auto"/>
          <w:sz w:val="72"/>
          <w:szCs w:val="72"/>
          <w:highlight w:val="none"/>
        </w:rPr>
        <w:t>件</w:t>
      </w:r>
    </w:p>
    <w:p>
      <w:pPr>
        <w:shd w:val="clear" w:color="auto" w:fill="FFFFFF"/>
        <w:spacing w:line="360" w:lineRule="auto"/>
        <w:jc w:val="center"/>
        <w:rPr>
          <w:rFonts w:ascii="宋体" w:hAnsi="宋体" w:cs="宋体"/>
          <w:color w:val="auto"/>
          <w:sz w:val="72"/>
          <w:szCs w:val="72"/>
          <w:highlight w:val="none"/>
        </w:rPr>
      </w:pPr>
    </w:p>
    <w:p>
      <w:pPr>
        <w:shd w:val="clear" w:color="auto" w:fill="FFFFFF"/>
        <w:spacing w:line="360" w:lineRule="auto"/>
        <w:ind w:firstLine="2400" w:firstLineChars="750"/>
        <w:rPr>
          <w:rFonts w:ascii="宋体" w:hAnsi="宋体" w:cs="宋体"/>
          <w:color w:val="auto"/>
          <w:sz w:val="32"/>
          <w:szCs w:val="32"/>
          <w:highlight w:val="none"/>
        </w:rPr>
      </w:pPr>
      <w:r>
        <w:rPr>
          <w:rFonts w:hint="eastAsia" w:ascii="宋体" w:hAnsi="宋体" w:cs="宋体"/>
          <w:color w:val="auto"/>
          <w:sz w:val="32"/>
          <w:szCs w:val="32"/>
          <w:highlight w:val="none"/>
        </w:rPr>
        <w:t>供应商全称：（加盖单位公章）</w:t>
      </w:r>
    </w:p>
    <w:p>
      <w:pPr>
        <w:shd w:val="clear" w:color="auto" w:fill="FFFFFF"/>
        <w:spacing w:line="360" w:lineRule="auto"/>
        <w:jc w:val="center"/>
        <w:rPr>
          <w:rFonts w:ascii="宋体" w:hAnsi="宋体" w:cs="宋体"/>
          <w:color w:val="auto"/>
          <w:sz w:val="24"/>
          <w:highlight w:val="none"/>
        </w:rPr>
      </w:pPr>
      <w:r>
        <w:rPr>
          <w:rFonts w:hint="eastAsia" w:ascii="宋体" w:hAnsi="宋体" w:cs="宋体"/>
          <w:color w:val="auto"/>
          <w:sz w:val="32"/>
          <w:szCs w:val="32"/>
          <w:highlight w:val="none"/>
        </w:rPr>
        <w:t>年   月   日</w:t>
      </w:r>
    </w:p>
    <w:p>
      <w:pPr>
        <w:adjustRightInd w:val="0"/>
        <w:snapToGrid w:val="0"/>
        <w:spacing w:line="360" w:lineRule="auto"/>
        <w:rPr>
          <w:rFonts w:ascii="宋体" w:hAnsi="宋体" w:cs="宋体"/>
          <w:b/>
          <w:color w:val="auto"/>
          <w:szCs w:val="21"/>
          <w:highlight w:val="none"/>
        </w:rPr>
      </w:pPr>
    </w:p>
    <w:p>
      <w:pPr>
        <w:rPr>
          <w:rFonts w:ascii="宋体" w:hAnsi="宋体" w:cs="宋体"/>
          <w:color w:val="auto"/>
          <w:highlight w:val="none"/>
        </w:rPr>
      </w:pPr>
      <w:bookmarkStart w:id="74" w:name="_Toc14604"/>
      <w:bookmarkStart w:id="75" w:name="_Toc11786"/>
      <w:bookmarkStart w:id="76" w:name="_Toc29864"/>
      <w:r>
        <w:rPr>
          <w:rFonts w:hint="eastAsia" w:ascii="宋体" w:hAnsi="宋体" w:cs="宋体"/>
          <w:color w:val="auto"/>
          <w:highlight w:val="none"/>
        </w:rPr>
        <w:br w:type="page"/>
      </w:r>
    </w:p>
    <w:bookmarkEnd w:id="74"/>
    <w:bookmarkEnd w:id="75"/>
    <w:bookmarkEnd w:id="76"/>
    <w:p>
      <w:pPr>
        <w:pStyle w:val="2"/>
        <w:snapToGrid w:val="0"/>
        <w:rPr>
          <w:rFonts w:ascii="宋体" w:hAnsi="宋体" w:cs="宋体"/>
          <w:color w:val="auto"/>
          <w:highlight w:val="none"/>
        </w:rPr>
      </w:pPr>
      <w:bookmarkStart w:id="77" w:name="_Toc28562"/>
      <w:r>
        <w:rPr>
          <w:rFonts w:hint="eastAsia" w:ascii="宋体" w:hAnsi="宋体" w:cs="宋体"/>
          <w:color w:val="auto"/>
          <w:highlight w:val="none"/>
        </w:rPr>
        <w:t>资格文件</w:t>
      </w:r>
      <w:bookmarkEnd w:id="77"/>
    </w:p>
    <w:p>
      <w:pPr>
        <w:snapToGrid w:val="0"/>
        <w:spacing w:line="300" w:lineRule="auto"/>
        <w:ind w:left="-1"/>
        <w:jc w:val="center"/>
        <w:rPr>
          <w:rFonts w:ascii="Arial" w:hAnsi="Arial" w:cs="Arial"/>
          <w:b/>
          <w:bCs/>
          <w:color w:val="auto"/>
          <w:sz w:val="24"/>
          <w:szCs w:val="24"/>
          <w:highlight w:val="none"/>
        </w:rPr>
      </w:pPr>
      <w:r>
        <w:rPr>
          <w:rFonts w:ascii="Arial" w:hAnsi="Arial" w:cs="Arial"/>
          <w:b/>
          <w:bCs/>
          <w:color w:val="auto"/>
          <w:sz w:val="24"/>
          <w:szCs w:val="24"/>
          <w:highlight w:val="none"/>
        </w:rPr>
        <w:t>资格条件表</w:t>
      </w:r>
    </w:p>
    <w:p>
      <w:pPr>
        <w:snapToGrid w:val="0"/>
        <w:spacing w:line="300" w:lineRule="auto"/>
        <w:rPr>
          <w:rFonts w:hint="eastAsia" w:eastAsia="宋体"/>
          <w:color w:val="auto"/>
          <w:sz w:val="24"/>
          <w:szCs w:val="24"/>
          <w:highlight w:val="none"/>
          <w:lang w:eastAsia="zh-CN"/>
        </w:rPr>
      </w:pPr>
      <w:r>
        <w:rPr>
          <w:color w:val="auto"/>
          <w:sz w:val="24"/>
          <w:szCs w:val="24"/>
          <w:highlight w:val="none"/>
        </w:rPr>
        <w:t>项目名称：</w:t>
      </w:r>
      <w:r>
        <w:rPr>
          <w:rFonts w:hint="eastAsia"/>
          <w:color w:val="auto"/>
          <w:sz w:val="24"/>
          <w:szCs w:val="24"/>
          <w:highlight w:val="none"/>
          <w:lang w:eastAsia="zh-CN"/>
        </w:rPr>
        <w:t>浙江省拱宸强制隔离戒毒所“红色基地”整体改造设计项目</w:t>
      </w:r>
    </w:p>
    <w:p>
      <w:pPr>
        <w:snapToGrid w:val="0"/>
        <w:spacing w:line="300" w:lineRule="auto"/>
        <w:rPr>
          <w:rFonts w:hint="eastAsia" w:eastAsia="宋体"/>
          <w:color w:val="auto"/>
          <w:sz w:val="24"/>
          <w:szCs w:val="24"/>
          <w:highlight w:val="none"/>
          <w:lang w:eastAsia="zh-CN"/>
        </w:rPr>
      </w:pPr>
      <w:r>
        <w:rPr>
          <w:color w:val="auto"/>
          <w:sz w:val="24"/>
          <w:szCs w:val="24"/>
          <w:highlight w:val="none"/>
        </w:rPr>
        <w:t>项目编号：</w:t>
      </w:r>
      <w:r>
        <w:rPr>
          <w:rFonts w:hint="eastAsia"/>
          <w:color w:val="auto"/>
          <w:sz w:val="24"/>
          <w:szCs w:val="24"/>
          <w:highlight w:val="none"/>
          <w:lang w:eastAsia="zh-CN"/>
        </w:rPr>
        <w:t>HSZB-2023-852</w:t>
      </w:r>
    </w:p>
    <w:tbl>
      <w:tblPr>
        <w:tblStyle w:val="32"/>
        <w:tblW w:w="495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6"/>
        <w:gridCol w:w="4268"/>
        <w:gridCol w:w="40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445" w:type="pct"/>
            <w:vAlign w:val="center"/>
          </w:tcPr>
          <w:p>
            <w:pPr>
              <w:jc w:val="left"/>
              <w:rPr>
                <w:color w:val="auto"/>
                <w:sz w:val="24"/>
                <w:szCs w:val="24"/>
                <w:highlight w:val="none"/>
              </w:rPr>
            </w:pPr>
            <w:r>
              <w:rPr>
                <w:color w:val="auto"/>
                <w:sz w:val="24"/>
                <w:szCs w:val="24"/>
                <w:highlight w:val="none"/>
              </w:rPr>
              <w:t>序号</w:t>
            </w:r>
          </w:p>
        </w:tc>
        <w:tc>
          <w:tcPr>
            <w:tcW w:w="2332" w:type="pct"/>
            <w:vAlign w:val="center"/>
          </w:tcPr>
          <w:p>
            <w:pPr>
              <w:jc w:val="left"/>
              <w:rPr>
                <w:color w:val="auto"/>
                <w:sz w:val="24"/>
                <w:szCs w:val="24"/>
                <w:highlight w:val="none"/>
              </w:rPr>
            </w:pPr>
            <w:r>
              <w:rPr>
                <w:color w:val="auto"/>
                <w:sz w:val="24"/>
                <w:szCs w:val="24"/>
                <w:highlight w:val="none"/>
              </w:rPr>
              <w:t>资格条件</w:t>
            </w:r>
          </w:p>
        </w:tc>
        <w:tc>
          <w:tcPr>
            <w:tcW w:w="2221" w:type="pct"/>
            <w:vAlign w:val="center"/>
          </w:tcPr>
          <w:p>
            <w:pPr>
              <w:jc w:val="left"/>
              <w:rPr>
                <w:color w:val="auto"/>
                <w:sz w:val="24"/>
                <w:szCs w:val="24"/>
                <w:highlight w:val="none"/>
              </w:rPr>
            </w:pPr>
            <w:r>
              <w:rPr>
                <w:color w:val="auto"/>
                <w:sz w:val="24"/>
                <w:szCs w:val="24"/>
                <w:highlight w:val="none"/>
              </w:rPr>
              <w:t>应提供的资格审查资料（除承诺函、说明、声明外的其他证件提供扫描件）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445" w:type="pct"/>
            <w:vAlign w:val="center"/>
          </w:tcPr>
          <w:p>
            <w:pPr>
              <w:jc w:val="left"/>
              <w:rPr>
                <w:color w:val="auto"/>
                <w:sz w:val="24"/>
                <w:szCs w:val="24"/>
                <w:highlight w:val="none"/>
              </w:rPr>
            </w:pPr>
            <w:r>
              <w:rPr>
                <w:color w:val="auto"/>
                <w:sz w:val="24"/>
                <w:szCs w:val="24"/>
                <w:highlight w:val="none"/>
              </w:rPr>
              <w:t>1.</w:t>
            </w:r>
          </w:p>
        </w:tc>
        <w:tc>
          <w:tcPr>
            <w:tcW w:w="2332" w:type="pct"/>
            <w:vAlign w:val="center"/>
          </w:tcPr>
          <w:p>
            <w:pPr>
              <w:jc w:val="left"/>
              <w:rPr>
                <w:color w:val="auto"/>
                <w:sz w:val="24"/>
                <w:szCs w:val="24"/>
                <w:highlight w:val="none"/>
              </w:rPr>
            </w:pPr>
            <w:r>
              <w:rPr>
                <w:color w:val="auto"/>
                <w:sz w:val="24"/>
                <w:szCs w:val="24"/>
                <w:highlight w:val="none"/>
              </w:rPr>
              <w:t>基本资格要求：</w:t>
            </w:r>
          </w:p>
        </w:tc>
        <w:tc>
          <w:tcPr>
            <w:tcW w:w="2221" w:type="pct"/>
            <w:vAlign w:val="center"/>
          </w:tcPr>
          <w:p>
            <w:pPr>
              <w:jc w:val="left"/>
              <w:rPr>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2" w:hRule="atLeast"/>
          <w:jc w:val="center"/>
        </w:trPr>
        <w:tc>
          <w:tcPr>
            <w:tcW w:w="445" w:type="pct"/>
            <w:vAlign w:val="center"/>
          </w:tcPr>
          <w:p>
            <w:pPr>
              <w:jc w:val="left"/>
              <w:rPr>
                <w:color w:val="auto"/>
                <w:sz w:val="24"/>
                <w:szCs w:val="24"/>
                <w:highlight w:val="none"/>
              </w:rPr>
            </w:pPr>
            <w:r>
              <w:rPr>
                <w:color w:val="auto"/>
                <w:sz w:val="24"/>
                <w:szCs w:val="24"/>
                <w:highlight w:val="none"/>
              </w:rPr>
              <w:t>（1）</w:t>
            </w:r>
          </w:p>
        </w:tc>
        <w:tc>
          <w:tcPr>
            <w:tcW w:w="2332" w:type="pct"/>
            <w:vAlign w:val="center"/>
          </w:tcPr>
          <w:p>
            <w:pPr>
              <w:jc w:val="left"/>
              <w:rPr>
                <w:color w:val="auto"/>
                <w:sz w:val="24"/>
                <w:szCs w:val="24"/>
                <w:highlight w:val="none"/>
              </w:rPr>
            </w:pPr>
            <w:r>
              <w:rPr>
                <w:color w:val="auto"/>
                <w:sz w:val="24"/>
                <w:szCs w:val="24"/>
                <w:highlight w:val="none"/>
              </w:rPr>
              <w:t>1.满足《中华人民共和国政府采购法》第二十二条规定；未被“信用中国”（www.creditchina.gov.cn)、中国政府采购网（www.ccgp.gov.cn）列入失信被执行人、重大税收违法失信主体、政府采购严重违法失信行为记录名单。</w:t>
            </w:r>
          </w:p>
        </w:tc>
        <w:tc>
          <w:tcPr>
            <w:tcW w:w="2221" w:type="pct"/>
            <w:vAlign w:val="center"/>
          </w:tcPr>
          <w:p>
            <w:pPr>
              <w:jc w:val="left"/>
              <w:rPr>
                <w:color w:val="auto"/>
                <w:sz w:val="24"/>
                <w:szCs w:val="24"/>
                <w:highlight w:val="none"/>
              </w:rPr>
            </w:pPr>
            <w:r>
              <w:rPr>
                <w:color w:val="auto"/>
                <w:sz w:val="24"/>
                <w:szCs w:val="24"/>
                <w:highlight w:val="none"/>
              </w:rPr>
              <w:t>1）符合参加政府采购活动应当具备的一般条件的承诺函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445" w:type="pct"/>
            <w:vAlign w:val="center"/>
          </w:tcPr>
          <w:p>
            <w:pPr>
              <w:jc w:val="left"/>
              <w:rPr>
                <w:color w:val="auto"/>
                <w:sz w:val="24"/>
                <w:szCs w:val="24"/>
                <w:highlight w:val="none"/>
              </w:rPr>
            </w:pPr>
            <w:r>
              <w:rPr>
                <w:color w:val="auto"/>
                <w:sz w:val="24"/>
                <w:szCs w:val="24"/>
                <w:highlight w:val="none"/>
              </w:rPr>
              <w:t>2</w:t>
            </w:r>
            <w:r>
              <w:rPr>
                <w:rFonts w:hint="eastAsia"/>
                <w:color w:val="auto"/>
                <w:sz w:val="24"/>
                <w:szCs w:val="24"/>
                <w:highlight w:val="none"/>
              </w:rPr>
              <w:t>.</w:t>
            </w:r>
          </w:p>
        </w:tc>
        <w:tc>
          <w:tcPr>
            <w:tcW w:w="2332" w:type="pct"/>
            <w:vAlign w:val="center"/>
          </w:tcPr>
          <w:p>
            <w:pPr>
              <w:jc w:val="left"/>
              <w:rPr>
                <w:color w:val="auto"/>
                <w:sz w:val="24"/>
                <w:szCs w:val="24"/>
                <w:highlight w:val="none"/>
              </w:rPr>
            </w:pPr>
            <w:r>
              <w:rPr>
                <w:color w:val="auto"/>
                <w:sz w:val="24"/>
                <w:szCs w:val="24"/>
                <w:highlight w:val="none"/>
              </w:rPr>
              <w:t>落实政府采购政策需满足的资格要求</w:t>
            </w:r>
          </w:p>
        </w:tc>
        <w:tc>
          <w:tcPr>
            <w:tcW w:w="2221" w:type="pct"/>
            <w:vAlign w:val="center"/>
          </w:tcPr>
          <w:p>
            <w:pPr>
              <w:jc w:val="left"/>
              <w:rPr>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445" w:type="pct"/>
            <w:vAlign w:val="center"/>
          </w:tcPr>
          <w:p>
            <w:pPr>
              <w:jc w:val="left"/>
              <w:rPr>
                <w:color w:val="auto"/>
                <w:sz w:val="24"/>
                <w:szCs w:val="24"/>
                <w:highlight w:val="none"/>
              </w:rPr>
            </w:pPr>
            <w:r>
              <w:rPr>
                <w:color w:val="auto"/>
                <w:sz w:val="24"/>
                <w:szCs w:val="24"/>
                <w:highlight w:val="none"/>
              </w:rPr>
              <w:t>（1）</w:t>
            </w:r>
          </w:p>
        </w:tc>
        <w:tc>
          <w:tcPr>
            <w:tcW w:w="2332" w:type="pct"/>
            <w:vAlign w:val="center"/>
          </w:tcPr>
          <w:p>
            <w:pPr>
              <w:jc w:val="left"/>
              <w:rPr>
                <w:color w:val="auto"/>
                <w:sz w:val="24"/>
                <w:szCs w:val="24"/>
                <w:highlight w:val="none"/>
              </w:rPr>
            </w:pPr>
            <w:r>
              <w:rPr>
                <w:color w:val="auto"/>
                <w:sz w:val="24"/>
                <w:szCs w:val="24"/>
                <w:highlight w:val="none"/>
              </w:rPr>
              <w:t>本项目为专门面向中小企业采购的项目</w:t>
            </w:r>
          </w:p>
        </w:tc>
        <w:tc>
          <w:tcPr>
            <w:tcW w:w="2221" w:type="pct"/>
            <w:vAlign w:val="center"/>
          </w:tcPr>
          <w:p>
            <w:pPr>
              <w:jc w:val="left"/>
              <w:rPr>
                <w:color w:val="auto"/>
                <w:sz w:val="24"/>
                <w:szCs w:val="24"/>
                <w:highlight w:val="none"/>
              </w:rPr>
            </w:pPr>
            <w:r>
              <w:rPr>
                <w:color w:val="auto"/>
                <w:sz w:val="24"/>
                <w:szCs w:val="24"/>
                <w:highlight w:val="none"/>
              </w:rPr>
              <w:t>2）中小企业声明函或监狱企业、残疾人福利性单位及其他相关的充分的证明材料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445" w:type="pct"/>
            <w:vAlign w:val="center"/>
          </w:tcPr>
          <w:p>
            <w:pPr>
              <w:jc w:val="left"/>
              <w:rPr>
                <w:color w:val="auto"/>
                <w:sz w:val="24"/>
                <w:szCs w:val="24"/>
                <w:highlight w:val="none"/>
              </w:rPr>
            </w:pPr>
            <w:r>
              <w:rPr>
                <w:color w:val="auto"/>
                <w:sz w:val="24"/>
                <w:szCs w:val="24"/>
                <w:highlight w:val="none"/>
              </w:rPr>
              <w:t>3</w:t>
            </w:r>
            <w:r>
              <w:rPr>
                <w:rFonts w:hint="eastAsia"/>
                <w:color w:val="auto"/>
                <w:sz w:val="24"/>
                <w:szCs w:val="24"/>
                <w:highlight w:val="none"/>
              </w:rPr>
              <w:t>.</w:t>
            </w:r>
          </w:p>
        </w:tc>
        <w:tc>
          <w:tcPr>
            <w:tcW w:w="2332" w:type="pct"/>
            <w:vAlign w:val="center"/>
          </w:tcPr>
          <w:p>
            <w:pPr>
              <w:jc w:val="left"/>
              <w:rPr>
                <w:rFonts w:hint="eastAsia" w:eastAsia="宋体"/>
                <w:color w:val="auto"/>
                <w:sz w:val="24"/>
                <w:szCs w:val="24"/>
                <w:highlight w:val="none"/>
                <w:lang w:val="en-US" w:eastAsia="zh-CN"/>
              </w:rPr>
            </w:pPr>
            <w:r>
              <w:rPr>
                <w:color w:val="auto"/>
                <w:sz w:val="24"/>
                <w:szCs w:val="24"/>
                <w:highlight w:val="none"/>
              </w:rPr>
              <w:t>特定资格要求：</w:t>
            </w:r>
            <w:r>
              <w:rPr>
                <w:rFonts w:hint="eastAsia"/>
                <w:color w:val="auto"/>
                <w:sz w:val="24"/>
                <w:szCs w:val="24"/>
                <w:highlight w:val="none"/>
              </w:rPr>
              <w:t>具有建设行政主管部门颁发的①工程设计综合资质甲级</w:t>
            </w:r>
            <w:r>
              <w:rPr>
                <w:rFonts w:hint="eastAsia"/>
                <w:color w:val="auto"/>
                <w:sz w:val="24"/>
                <w:szCs w:val="24"/>
                <w:highlight w:val="none"/>
                <w:lang w:eastAsia="zh-CN"/>
              </w:rPr>
              <w:t>；</w:t>
            </w:r>
            <w:r>
              <w:rPr>
                <w:rFonts w:hint="eastAsia"/>
                <w:color w:val="auto"/>
                <w:sz w:val="24"/>
                <w:szCs w:val="24"/>
                <w:highlight w:val="none"/>
              </w:rPr>
              <w:t>或②建筑行业</w:t>
            </w:r>
            <w:r>
              <w:rPr>
                <w:rFonts w:hint="eastAsia"/>
                <w:color w:val="auto"/>
                <w:sz w:val="24"/>
                <w:szCs w:val="24"/>
                <w:highlight w:val="none"/>
                <w:lang w:val="en-US" w:eastAsia="zh-CN"/>
              </w:rPr>
              <w:t>丙</w:t>
            </w:r>
            <w:r>
              <w:rPr>
                <w:rFonts w:hint="eastAsia"/>
                <w:color w:val="auto"/>
                <w:sz w:val="24"/>
                <w:szCs w:val="24"/>
                <w:highlight w:val="none"/>
              </w:rPr>
              <w:t>级</w:t>
            </w:r>
            <w:r>
              <w:rPr>
                <w:rFonts w:hint="eastAsia"/>
                <w:color w:val="auto"/>
                <w:sz w:val="24"/>
                <w:szCs w:val="24"/>
                <w:highlight w:val="none"/>
                <w:lang w:val="en-US" w:eastAsia="zh-CN"/>
              </w:rPr>
              <w:t>资质；</w:t>
            </w:r>
            <w:r>
              <w:rPr>
                <w:rFonts w:hint="eastAsia"/>
                <w:color w:val="auto"/>
                <w:sz w:val="24"/>
                <w:szCs w:val="24"/>
                <w:highlight w:val="none"/>
              </w:rPr>
              <w:t>或③建筑行业（建筑工程）设计</w:t>
            </w:r>
            <w:r>
              <w:rPr>
                <w:rFonts w:hint="eastAsia"/>
                <w:color w:val="auto"/>
                <w:sz w:val="24"/>
                <w:szCs w:val="24"/>
                <w:highlight w:val="none"/>
                <w:lang w:val="en-US" w:eastAsia="zh-CN"/>
              </w:rPr>
              <w:t>丁</w:t>
            </w:r>
            <w:r>
              <w:rPr>
                <w:rFonts w:hint="eastAsia"/>
                <w:color w:val="auto"/>
                <w:sz w:val="24"/>
                <w:szCs w:val="24"/>
                <w:highlight w:val="none"/>
              </w:rPr>
              <w:t>级（或以上）资质</w:t>
            </w:r>
            <w:r>
              <w:rPr>
                <w:rFonts w:hint="eastAsia"/>
                <w:color w:val="auto"/>
                <w:sz w:val="24"/>
                <w:szCs w:val="24"/>
                <w:highlight w:val="none"/>
                <w:lang w:eastAsia="zh-CN"/>
              </w:rPr>
              <w:t>；</w:t>
            </w:r>
            <w:r>
              <w:rPr>
                <w:rFonts w:hint="eastAsia"/>
                <w:color w:val="auto"/>
                <w:sz w:val="24"/>
                <w:szCs w:val="24"/>
                <w:highlight w:val="none"/>
                <w:lang w:val="en-US" w:eastAsia="zh-CN"/>
              </w:rPr>
              <w:t>或④建筑装饰工程设计专项乙级（或以上）资质。</w:t>
            </w:r>
          </w:p>
        </w:tc>
        <w:tc>
          <w:tcPr>
            <w:tcW w:w="2221" w:type="pct"/>
            <w:vAlign w:val="center"/>
          </w:tcPr>
          <w:p>
            <w:pPr>
              <w:jc w:val="left"/>
              <w:rPr>
                <w:color w:val="auto"/>
                <w:sz w:val="24"/>
                <w:szCs w:val="24"/>
                <w:highlight w:val="none"/>
              </w:rPr>
            </w:pPr>
            <w:r>
              <w:rPr>
                <w:rFonts w:hint="eastAsia" w:ascii="宋体" w:hAnsi="宋体" w:cs="宋体"/>
                <w:color w:val="auto"/>
                <w:sz w:val="24"/>
                <w:szCs w:val="24"/>
                <w:highlight w:val="none"/>
              </w:rPr>
              <w:t>提供复印件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445" w:type="pct"/>
            <w:vAlign w:val="center"/>
          </w:tcPr>
          <w:p>
            <w:pPr>
              <w:jc w:val="left"/>
              <w:rPr>
                <w:color w:val="auto"/>
                <w:sz w:val="24"/>
                <w:szCs w:val="24"/>
                <w:highlight w:val="none"/>
              </w:rPr>
            </w:pPr>
            <w:r>
              <w:rPr>
                <w:rFonts w:hint="eastAsia"/>
                <w:color w:val="auto"/>
                <w:sz w:val="24"/>
                <w:szCs w:val="24"/>
                <w:highlight w:val="none"/>
              </w:rPr>
              <w:t>4.</w:t>
            </w:r>
          </w:p>
        </w:tc>
        <w:tc>
          <w:tcPr>
            <w:tcW w:w="2332" w:type="pct"/>
            <w:vAlign w:val="center"/>
          </w:tcPr>
          <w:p>
            <w:pPr>
              <w:jc w:val="left"/>
              <w:rPr>
                <w:color w:val="auto"/>
                <w:sz w:val="24"/>
                <w:szCs w:val="24"/>
                <w:highlight w:val="none"/>
              </w:rPr>
            </w:pPr>
            <w:r>
              <w:rPr>
                <w:color w:val="auto"/>
                <w:sz w:val="24"/>
                <w:szCs w:val="24"/>
                <w:highlight w:val="none"/>
              </w:rPr>
              <w:t>联合体（如有）</w:t>
            </w:r>
          </w:p>
        </w:tc>
        <w:tc>
          <w:tcPr>
            <w:tcW w:w="2221" w:type="pct"/>
            <w:vAlign w:val="center"/>
          </w:tcPr>
          <w:p>
            <w:pPr>
              <w:jc w:val="left"/>
              <w:rPr>
                <w:color w:val="auto"/>
                <w:sz w:val="24"/>
                <w:szCs w:val="24"/>
                <w:highlight w:val="none"/>
              </w:rPr>
            </w:pPr>
            <w:r>
              <w:rPr>
                <w:color w:val="auto"/>
                <w:sz w:val="24"/>
                <w:szCs w:val="24"/>
                <w:highlight w:val="none"/>
              </w:rPr>
              <w:t>联合体协议（如为联合体投标的，须提供）</w:t>
            </w:r>
          </w:p>
        </w:tc>
      </w:tr>
    </w:tbl>
    <w:p>
      <w:pPr>
        <w:snapToGrid w:val="0"/>
        <w:spacing w:line="300" w:lineRule="auto"/>
        <w:ind w:firstLine="482" w:firstLineChars="200"/>
        <w:jc w:val="left"/>
        <w:rPr>
          <w:rFonts w:ascii="Arial" w:hAnsi="Arial" w:cs="Arial"/>
          <w:b/>
          <w:bCs/>
          <w:color w:val="auto"/>
          <w:sz w:val="24"/>
          <w:szCs w:val="24"/>
          <w:highlight w:val="none"/>
          <w:u w:val="single"/>
        </w:rPr>
      </w:pPr>
      <w:r>
        <w:rPr>
          <w:rFonts w:ascii="Arial" w:hAnsi="Arial" w:cs="Arial"/>
          <w:b/>
          <w:bCs/>
          <w:color w:val="auto"/>
          <w:sz w:val="24"/>
          <w:szCs w:val="24"/>
          <w:highlight w:val="none"/>
          <w:u w:val="single"/>
        </w:rPr>
        <w:t>证明材料需加盖</w:t>
      </w:r>
      <w:r>
        <w:rPr>
          <w:rFonts w:hint="eastAsia" w:ascii="Arial" w:hAnsi="Arial" w:cs="Arial"/>
          <w:b/>
          <w:bCs/>
          <w:color w:val="auto"/>
          <w:sz w:val="24"/>
          <w:szCs w:val="24"/>
          <w:highlight w:val="none"/>
          <w:u w:val="single"/>
        </w:rPr>
        <w:t>供应商</w:t>
      </w:r>
      <w:r>
        <w:rPr>
          <w:rFonts w:ascii="Arial" w:hAnsi="Arial" w:cs="Arial"/>
          <w:b/>
          <w:bCs/>
          <w:color w:val="auto"/>
          <w:sz w:val="24"/>
          <w:szCs w:val="24"/>
          <w:highlight w:val="none"/>
          <w:u w:val="single"/>
        </w:rPr>
        <w:t>单位公章。</w:t>
      </w:r>
    </w:p>
    <w:p>
      <w:pPr>
        <w:snapToGrid w:val="0"/>
        <w:spacing w:line="300" w:lineRule="auto"/>
        <w:ind w:firstLine="482" w:firstLineChars="200"/>
        <w:jc w:val="left"/>
        <w:rPr>
          <w:rFonts w:ascii="Arial" w:hAnsi="Arial" w:cs="Arial"/>
          <w:b/>
          <w:bCs/>
          <w:color w:val="auto"/>
          <w:sz w:val="24"/>
          <w:szCs w:val="24"/>
          <w:highlight w:val="none"/>
          <w:u w:val="single"/>
        </w:rPr>
      </w:pPr>
      <w:r>
        <w:rPr>
          <w:rFonts w:ascii="Arial" w:hAnsi="Arial" w:cs="Arial"/>
          <w:b/>
          <w:bCs/>
          <w:color w:val="auto"/>
          <w:sz w:val="24"/>
          <w:szCs w:val="24"/>
          <w:highlight w:val="none"/>
          <w:u w:val="single"/>
        </w:rPr>
        <w:t>各声明函格式附后</w:t>
      </w:r>
    </w:p>
    <w:p>
      <w:pPr>
        <w:snapToGrid w:val="0"/>
        <w:spacing w:line="300" w:lineRule="auto"/>
        <w:jc w:val="center"/>
        <w:rPr>
          <w:rFonts w:cs="Arial"/>
          <w:b/>
          <w:color w:val="auto"/>
          <w:sz w:val="24"/>
          <w:szCs w:val="24"/>
          <w:highlight w:val="none"/>
        </w:rPr>
      </w:pPr>
    </w:p>
    <w:p>
      <w:pPr>
        <w:snapToGrid w:val="0"/>
        <w:spacing w:line="300" w:lineRule="auto"/>
        <w:jc w:val="center"/>
        <w:rPr>
          <w:rFonts w:cs="Arial"/>
          <w:b/>
          <w:color w:val="auto"/>
          <w:sz w:val="24"/>
          <w:szCs w:val="24"/>
          <w:highlight w:val="none"/>
        </w:rPr>
      </w:pPr>
    </w:p>
    <w:p>
      <w:pPr>
        <w:rPr>
          <w:color w:val="auto"/>
          <w:sz w:val="24"/>
          <w:szCs w:val="24"/>
          <w:highlight w:val="none"/>
        </w:rPr>
      </w:pPr>
    </w:p>
    <w:p>
      <w:pPr>
        <w:pStyle w:val="31"/>
        <w:ind w:firstLine="240"/>
        <w:rPr>
          <w:color w:val="auto"/>
          <w:sz w:val="24"/>
          <w:szCs w:val="24"/>
          <w:highlight w:val="none"/>
        </w:rPr>
      </w:pPr>
    </w:p>
    <w:p>
      <w:pPr>
        <w:snapToGrid w:val="0"/>
        <w:spacing w:line="300" w:lineRule="auto"/>
        <w:jc w:val="center"/>
        <w:rPr>
          <w:rFonts w:cs="Arial"/>
          <w:b/>
          <w:color w:val="auto"/>
          <w:sz w:val="24"/>
          <w:szCs w:val="24"/>
          <w:highlight w:val="none"/>
        </w:rPr>
      </w:pPr>
      <w:r>
        <w:rPr>
          <w:rFonts w:hint="eastAsia" w:cs="Arial"/>
          <w:b/>
          <w:color w:val="auto"/>
          <w:sz w:val="24"/>
          <w:szCs w:val="24"/>
          <w:highlight w:val="none"/>
        </w:rPr>
        <w:br w:type="page"/>
      </w:r>
      <w:r>
        <w:rPr>
          <w:rFonts w:hint="eastAsia" w:cs="Arial"/>
          <w:b/>
          <w:color w:val="auto"/>
          <w:sz w:val="24"/>
          <w:szCs w:val="24"/>
          <w:highlight w:val="none"/>
        </w:rPr>
        <w:t>一、符合参加政府采购活动应当具备的一般条件的承诺函</w:t>
      </w:r>
    </w:p>
    <w:p>
      <w:pPr>
        <w:snapToGrid w:val="0"/>
        <w:spacing w:line="360" w:lineRule="auto"/>
        <w:rPr>
          <w:rFonts w:ascii="宋体" w:hAnsi="宋体" w:cs="宋体"/>
          <w:color w:val="auto"/>
          <w:sz w:val="24"/>
          <w:szCs w:val="24"/>
          <w:highlight w:val="none"/>
        </w:rPr>
      </w:pPr>
    </w:p>
    <w:p>
      <w:pPr>
        <w:snapToGrid w:val="0"/>
        <w:spacing w:line="360" w:lineRule="auto"/>
        <w:ind w:firstLine="240" w:firstLineChars="100"/>
        <w:rPr>
          <w:rFonts w:ascii="宋体" w:hAnsi="宋体" w:cs="宋体"/>
          <w:color w:val="auto"/>
          <w:sz w:val="24"/>
          <w:szCs w:val="24"/>
          <w:highlight w:val="none"/>
        </w:rPr>
      </w:pPr>
      <w:r>
        <w:rPr>
          <w:rFonts w:hint="eastAsia" w:ascii="宋体" w:hAnsi="宋体" w:cs="宋体"/>
          <w:color w:val="auto"/>
          <w:sz w:val="24"/>
          <w:szCs w:val="24"/>
          <w:highlight w:val="none"/>
        </w:rPr>
        <w:t>（采购人）、（采购代理机构）：</w:t>
      </w:r>
    </w:p>
    <w:p>
      <w:pPr>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我方参与</w:t>
      </w:r>
      <w:r>
        <w:rPr>
          <w:rFonts w:hint="eastAsia" w:ascii="宋体" w:hAnsi="宋体" w:cs="宋体"/>
          <w:color w:val="auto"/>
          <w:sz w:val="24"/>
          <w:szCs w:val="24"/>
          <w:highlight w:val="none"/>
          <w:u w:val="single"/>
        </w:rPr>
        <w:t>（项目名称）</w:t>
      </w:r>
      <w:r>
        <w:rPr>
          <w:rFonts w:hint="eastAsia" w:ascii="宋体" w:hAnsi="宋体" w:cs="宋体"/>
          <w:color w:val="auto"/>
          <w:sz w:val="24"/>
          <w:szCs w:val="24"/>
          <w:highlight w:val="none"/>
        </w:rPr>
        <w:t>【</w:t>
      </w:r>
      <w:r>
        <w:rPr>
          <w:rFonts w:hint="eastAsia" w:ascii="宋体" w:hAnsi="宋体" w:cs="宋体"/>
          <w:color w:val="auto"/>
          <w:sz w:val="24"/>
          <w:szCs w:val="24"/>
          <w:highlight w:val="none"/>
          <w:u w:val="single"/>
        </w:rPr>
        <w:t>招标编号：（采购编号）</w:t>
      </w:r>
      <w:r>
        <w:rPr>
          <w:rFonts w:hint="eastAsia" w:ascii="宋体" w:hAnsi="宋体" w:cs="宋体"/>
          <w:color w:val="auto"/>
          <w:sz w:val="24"/>
          <w:szCs w:val="24"/>
          <w:highlight w:val="none"/>
        </w:rPr>
        <w:t>】政府采购活动，郑重承诺：</w:t>
      </w:r>
    </w:p>
    <w:p>
      <w:pPr>
        <w:snapToGrid w:val="0"/>
        <w:spacing w:line="360" w:lineRule="auto"/>
        <w:ind w:firstLine="360" w:firstLineChars="150"/>
        <w:rPr>
          <w:rFonts w:ascii="宋体" w:hAnsi="宋体" w:cs="宋体"/>
          <w:color w:val="auto"/>
          <w:sz w:val="24"/>
          <w:szCs w:val="24"/>
          <w:highlight w:val="none"/>
        </w:rPr>
      </w:pPr>
      <w:r>
        <w:rPr>
          <w:rFonts w:hint="eastAsia" w:ascii="宋体" w:hAnsi="宋体" w:cs="宋体"/>
          <w:color w:val="auto"/>
          <w:sz w:val="24"/>
          <w:szCs w:val="24"/>
          <w:highlight w:val="none"/>
        </w:rPr>
        <w:t>（一）具备《中华人民共和国政府采购法》第二十二条第一款规定的条件：</w:t>
      </w:r>
    </w:p>
    <w:p>
      <w:pPr>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1、具有独立承担民事责任的能力。</w:t>
      </w:r>
    </w:p>
    <w:p>
      <w:pPr>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 xml:space="preserve">2、具有良好的商业信誉和健全的财务会计制度。 </w:t>
      </w:r>
    </w:p>
    <w:p>
      <w:pPr>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3、具有履行合同所必需的设备和专业技术能力。</w:t>
      </w:r>
    </w:p>
    <w:p>
      <w:pPr>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4、有依法缴纳税收和社会保障资金的良好记录。</w:t>
      </w:r>
    </w:p>
    <w:p>
      <w:pPr>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5、参加政府采购活动前三年内，在经营活动中没有重大违法记录。</w:t>
      </w:r>
    </w:p>
    <w:p>
      <w:pPr>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6、具有法律、行政法规规定的其他条件。</w:t>
      </w:r>
    </w:p>
    <w:p>
      <w:pPr>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（二）未被信用中国（www.creditchina.gov.cn)、中国政府采购网（www.ccgp.gov.cn）列入失信被执行人、重大税收违法失信主体、政府采购严重违法失信行为记录名单。</w:t>
      </w:r>
    </w:p>
    <w:p>
      <w:pPr>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（三）不存在以下情况：</w:t>
      </w:r>
    </w:p>
    <w:p>
      <w:pPr>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2、为采购项目提供整体设计、规范编制或者项目管理、监理、检测等服务后再参加该采购项目的其他采购活动的。</w:t>
      </w:r>
    </w:p>
    <w:p>
      <w:pPr>
        <w:snapToGrid w:val="0"/>
        <w:spacing w:line="360" w:lineRule="auto"/>
        <w:ind w:firstLine="5520" w:firstLineChars="2300"/>
        <w:rPr>
          <w:rFonts w:ascii="宋体" w:hAnsi="宋体" w:cs="宋体"/>
          <w:color w:val="auto"/>
          <w:sz w:val="24"/>
          <w:szCs w:val="24"/>
          <w:highlight w:val="none"/>
          <w:lang w:val="zh-CN"/>
        </w:rPr>
      </w:pPr>
    </w:p>
    <w:p>
      <w:pPr>
        <w:snapToGrid w:val="0"/>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供应商</w:t>
      </w:r>
      <w:r>
        <w:rPr>
          <w:rFonts w:hint="eastAsia" w:ascii="宋体" w:hAnsi="宋体" w:cs="宋体"/>
          <w:color w:val="auto"/>
          <w:sz w:val="24"/>
          <w:szCs w:val="24"/>
          <w:highlight w:val="none"/>
          <w:lang w:val="zh-CN"/>
        </w:rPr>
        <w:t>名称(</w:t>
      </w:r>
      <w:r>
        <w:rPr>
          <w:rFonts w:hint="eastAsia" w:ascii="宋体" w:hAnsi="宋体" w:cs="宋体"/>
          <w:color w:val="auto"/>
          <w:sz w:val="24"/>
          <w:szCs w:val="24"/>
          <w:highlight w:val="none"/>
        </w:rPr>
        <w:t>公章</w:t>
      </w:r>
      <w:r>
        <w:rPr>
          <w:rFonts w:hint="eastAsia" w:ascii="宋体" w:hAnsi="宋体" w:cs="宋体"/>
          <w:color w:val="auto"/>
          <w:sz w:val="24"/>
          <w:szCs w:val="24"/>
          <w:highlight w:val="none"/>
          <w:lang w:val="zh-CN"/>
        </w:rPr>
        <w:t>)：</w:t>
      </w:r>
    </w:p>
    <w:p>
      <w:pPr>
        <w:snapToGrid w:val="0"/>
        <w:spacing w:line="360" w:lineRule="auto"/>
        <w:rPr>
          <w:rFonts w:ascii="宋体" w:hAnsi="宋体" w:cs="宋体"/>
          <w:color w:val="auto"/>
          <w:sz w:val="24"/>
          <w:szCs w:val="24"/>
          <w:highlight w:val="none"/>
        </w:rPr>
      </w:pPr>
      <w:r>
        <w:rPr>
          <w:rFonts w:hint="eastAsia" w:ascii="宋体" w:hAnsi="宋体" w:cs="宋体"/>
          <w:color w:val="auto"/>
          <w:sz w:val="24"/>
          <w:szCs w:val="24"/>
          <w:highlight w:val="none"/>
          <w:lang w:val="zh-CN"/>
        </w:rPr>
        <w:t>日期</w:t>
      </w:r>
      <w:r>
        <w:rPr>
          <w:rFonts w:hint="eastAsia" w:ascii="宋体" w:hAnsi="宋体" w:cs="宋体"/>
          <w:color w:val="auto"/>
          <w:sz w:val="24"/>
          <w:szCs w:val="24"/>
          <w:highlight w:val="none"/>
        </w:rPr>
        <w:t xml:space="preserve">：  年  </w:t>
      </w:r>
      <w:r>
        <w:rPr>
          <w:rFonts w:hint="eastAsia" w:ascii="宋体" w:hAnsi="宋体" w:cs="宋体"/>
          <w:color w:val="auto"/>
          <w:sz w:val="24"/>
          <w:szCs w:val="24"/>
          <w:highlight w:val="none"/>
          <w:lang w:val="zh-CN"/>
        </w:rPr>
        <w:t>月</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lang w:val="zh-CN"/>
        </w:rPr>
        <w:t>日</w:t>
      </w:r>
    </w:p>
    <w:p>
      <w:pPr>
        <w:pStyle w:val="11"/>
        <w:rPr>
          <w:color w:val="auto"/>
          <w:sz w:val="24"/>
          <w:szCs w:val="24"/>
          <w:highlight w:val="none"/>
        </w:rPr>
      </w:pPr>
    </w:p>
    <w:p>
      <w:pPr>
        <w:snapToGrid w:val="0"/>
        <w:spacing w:line="300" w:lineRule="auto"/>
        <w:ind w:firstLine="480" w:firstLineChars="200"/>
        <w:jc w:val="left"/>
        <w:rPr>
          <w:rFonts w:ascii="Arial" w:hAnsi="Arial" w:cs="Arial"/>
          <w:color w:val="auto"/>
          <w:sz w:val="24"/>
          <w:szCs w:val="24"/>
          <w:highlight w:val="none"/>
        </w:rPr>
      </w:pPr>
    </w:p>
    <w:p>
      <w:pPr>
        <w:jc w:val="center"/>
        <w:rPr>
          <w:b/>
          <w:color w:val="auto"/>
          <w:sz w:val="24"/>
          <w:szCs w:val="24"/>
          <w:highlight w:val="none"/>
        </w:rPr>
      </w:pPr>
      <w:r>
        <w:rPr>
          <w:rFonts w:hint="eastAsia"/>
          <w:b/>
          <w:color w:val="auto"/>
          <w:sz w:val="24"/>
          <w:szCs w:val="24"/>
          <w:highlight w:val="none"/>
        </w:rPr>
        <w:br w:type="page"/>
      </w:r>
      <w:r>
        <w:rPr>
          <w:rFonts w:hint="eastAsia"/>
          <w:b/>
          <w:color w:val="auto"/>
          <w:sz w:val="24"/>
          <w:szCs w:val="24"/>
          <w:highlight w:val="none"/>
        </w:rPr>
        <w:t>二、中小企业声明函或监狱企业、残疾人福利性单位及其他相关的充分的证明材料</w:t>
      </w:r>
    </w:p>
    <w:p>
      <w:pPr>
        <w:pStyle w:val="4"/>
        <w:tabs>
          <w:tab w:val="left" w:pos="0"/>
          <w:tab w:val="clear" w:pos="1275"/>
        </w:tabs>
        <w:ind w:left="0" w:firstLine="0"/>
        <w:rPr>
          <w:rFonts w:hAnsi="宋体" w:cs="宋体"/>
          <w:color w:val="auto"/>
          <w:sz w:val="24"/>
          <w:szCs w:val="24"/>
          <w:highlight w:val="none"/>
        </w:rPr>
      </w:pPr>
    </w:p>
    <w:p>
      <w:pPr>
        <w:snapToGrid w:val="0"/>
        <w:spacing w:line="360" w:lineRule="auto"/>
        <w:ind w:firstLine="482" w:firstLineChars="200"/>
        <w:jc w:val="center"/>
        <w:rPr>
          <w:b/>
          <w:color w:val="auto"/>
          <w:sz w:val="24"/>
          <w:szCs w:val="24"/>
          <w:highlight w:val="none"/>
        </w:rPr>
      </w:pPr>
    </w:p>
    <w:p>
      <w:pPr>
        <w:spacing w:line="360" w:lineRule="auto"/>
        <w:jc w:val="center"/>
        <w:rPr>
          <w:rFonts w:ascii="宋体" w:hAnsi="宋体" w:cs="宋体"/>
          <w:b/>
          <w:color w:val="auto"/>
          <w:sz w:val="24"/>
          <w:szCs w:val="24"/>
          <w:highlight w:val="none"/>
        </w:rPr>
      </w:pPr>
      <w:r>
        <w:rPr>
          <w:rFonts w:hint="eastAsia" w:ascii="宋体" w:hAnsi="宋体" w:cs="宋体"/>
          <w:b/>
          <w:color w:val="auto"/>
          <w:sz w:val="24"/>
          <w:szCs w:val="24"/>
          <w:highlight w:val="none"/>
        </w:rPr>
        <w:t>中小企业声明函（服务）</w:t>
      </w:r>
    </w:p>
    <w:p>
      <w:pPr>
        <w:spacing w:line="360" w:lineRule="auto"/>
        <w:rPr>
          <w:rFonts w:ascii="宋体" w:hAnsi="宋体" w:cs="宋体"/>
          <w:color w:val="auto"/>
          <w:sz w:val="24"/>
          <w:szCs w:val="24"/>
          <w:highlight w:val="none"/>
        </w:rPr>
      </w:pPr>
    </w:p>
    <w:p>
      <w:pPr>
        <w:spacing w:line="360" w:lineRule="auto"/>
        <w:ind w:firstLine="360" w:firstLineChars="150"/>
        <w:jc w:val="left"/>
        <w:rPr>
          <w:rFonts w:ascii="宋体" w:hAnsi="宋体" w:cs="宋体"/>
          <w:color w:val="auto"/>
          <w:sz w:val="24"/>
          <w:szCs w:val="24"/>
          <w:highlight w:val="none"/>
        </w:rPr>
      </w:pPr>
      <w:r>
        <w:rPr>
          <w:rFonts w:hint="eastAsia" w:ascii="宋体" w:hAnsi="宋体" w:cs="宋体"/>
          <w:color w:val="auto"/>
          <w:sz w:val="24"/>
          <w:szCs w:val="24"/>
          <w:highlight w:val="none"/>
        </w:rPr>
        <w:t>本公司（联合体）郑重声明，根据《政府采购促进中小企业发展管理办法》（财库﹝2020﹞46 号）的规定，本公司（联合体）参加</w:t>
      </w:r>
      <w:r>
        <w:rPr>
          <w:rFonts w:hint="eastAsia" w:ascii="宋体" w:hAnsi="宋体" w:cs="宋体"/>
          <w:color w:val="auto"/>
          <w:sz w:val="24"/>
          <w:szCs w:val="24"/>
          <w:highlight w:val="none"/>
          <w:u w:val="single"/>
          <w:lang w:eastAsia="zh-CN"/>
        </w:rPr>
        <w:t>浙江省拱宸强制隔离戒毒所</w:t>
      </w:r>
      <w:r>
        <w:rPr>
          <w:rFonts w:hint="eastAsia" w:ascii="宋体" w:hAnsi="宋体" w:cs="宋体"/>
          <w:color w:val="auto"/>
          <w:sz w:val="24"/>
          <w:szCs w:val="24"/>
          <w:highlight w:val="none"/>
        </w:rPr>
        <w:t>的</w:t>
      </w:r>
      <w:r>
        <w:rPr>
          <w:rFonts w:hint="eastAsia" w:ascii="宋体" w:hAnsi="宋体" w:cs="宋体"/>
          <w:color w:val="auto"/>
          <w:sz w:val="24"/>
          <w:szCs w:val="24"/>
          <w:highlight w:val="none"/>
          <w:u w:val="single"/>
          <w:lang w:eastAsia="zh-CN"/>
        </w:rPr>
        <w:t>浙江省拱宸强制隔离戒毒所“红色基地”整体改造设计项目</w:t>
      </w:r>
      <w:r>
        <w:rPr>
          <w:rFonts w:hint="eastAsia" w:ascii="宋体" w:hAnsi="宋体" w:cs="宋体"/>
          <w:color w:val="auto"/>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pPr>
        <w:numPr>
          <w:ilvl w:val="0"/>
          <w:numId w:val="12"/>
        </w:numPr>
        <w:spacing w:line="360" w:lineRule="auto"/>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u w:val="single"/>
          <w:lang w:eastAsia="zh-CN"/>
        </w:rPr>
        <w:t>浙江省拱宸强制隔离戒毒所“红色基地”整体改造设计项目</w:t>
      </w:r>
      <w:r>
        <w:rPr>
          <w:rFonts w:hint="eastAsia" w:ascii="宋体" w:hAnsi="宋体" w:cs="宋体"/>
          <w:color w:val="auto"/>
          <w:sz w:val="24"/>
          <w:szCs w:val="24"/>
          <w:highlight w:val="none"/>
        </w:rPr>
        <w:t>，属于</w:t>
      </w:r>
      <w:r>
        <w:rPr>
          <w:rFonts w:hint="eastAsia" w:ascii="宋体" w:hAnsi="宋体" w:cs="宋体"/>
          <w:color w:val="auto"/>
          <w:sz w:val="24"/>
          <w:szCs w:val="24"/>
          <w:highlight w:val="none"/>
          <w:u w:val="single"/>
        </w:rPr>
        <w:t>其他未列明行业</w:t>
      </w:r>
      <w:r>
        <w:rPr>
          <w:rFonts w:hint="eastAsia" w:ascii="宋体" w:hAnsi="宋体" w:cs="宋体"/>
          <w:color w:val="auto"/>
          <w:sz w:val="24"/>
          <w:szCs w:val="24"/>
          <w:highlight w:val="none"/>
        </w:rPr>
        <w:t xml:space="preserve">；承建（承接）企业为 </w:t>
      </w:r>
      <w:r>
        <w:rPr>
          <w:rFonts w:hint="eastAsia" w:ascii="宋体" w:hAnsi="宋体" w:cs="宋体"/>
          <w:color w:val="auto"/>
          <w:sz w:val="24"/>
          <w:szCs w:val="24"/>
          <w:highlight w:val="none"/>
          <w:u w:val="single"/>
        </w:rPr>
        <w:t>（企业名称）</w:t>
      </w:r>
      <w:r>
        <w:rPr>
          <w:rFonts w:hint="eastAsia" w:ascii="宋体" w:hAnsi="宋体" w:cs="宋体"/>
          <w:color w:val="auto"/>
          <w:sz w:val="24"/>
          <w:szCs w:val="24"/>
          <w:highlight w:val="none"/>
        </w:rPr>
        <w:t xml:space="preserve"> ，从业人员人，营业收入为万元，资产总额为万元属于</w:t>
      </w:r>
      <w:r>
        <w:rPr>
          <w:rFonts w:hint="eastAsia" w:ascii="宋体" w:hAnsi="宋体" w:cs="宋体"/>
          <w:color w:val="auto"/>
          <w:sz w:val="24"/>
          <w:szCs w:val="24"/>
          <w:highlight w:val="none"/>
          <w:u w:val="single"/>
        </w:rPr>
        <w:t xml:space="preserve"> （小型企业、微型企业） </w:t>
      </w:r>
      <w:r>
        <w:rPr>
          <w:rFonts w:hint="eastAsia" w:ascii="宋体" w:hAnsi="宋体" w:cs="宋体"/>
          <w:color w:val="auto"/>
          <w:sz w:val="24"/>
          <w:szCs w:val="24"/>
          <w:highlight w:val="none"/>
        </w:rPr>
        <w:t>；</w:t>
      </w:r>
    </w:p>
    <w:p>
      <w:pPr>
        <w:pStyle w:val="42"/>
        <w:numPr>
          <w:ilvl w:val="0"/>
          <w:numId w:val="0"/>
        </w:numPr>
        <w:ind w:firstLine="422" w:firstLineChars="200"/>
        <w:rPr>
          <w:rFonts w:hint="eastAsia" w:eastAsia="仿宋_GB2312"/>
          <w:color w:val="auto"/>
          <w:highlight w:val="none"/>
          <w:lang w:eastAsia="zh-CN"/>
        </w:rPr>
      </w:pPr>
      <w:r>
        <w:rPr>
          <w:rFonts w:hint="eastAsia"/>
          <w:color w:val="auto"/>
          <w:highlight w:val="none"/>
          <w:lang w:eastAsia="zh-CN"/>
        </w:rPr>
        <w:t>…</w:t>
      </w:r>
    </w:p>
    <w:p>
      <w:pPr>
        <w:spacing w:line="360" w:lineRule="auto"/>
        <w:ind w:firstLine="480" w:firstLineChars="200"/>
        <w:jc w:val="left"/>
        <w:rPr>
          <w:rFonts w:hint="eastAsia" w:ascii="宋体" w:hAnsi="宋体" w:cs="宋体"/>
          <w:color w:val="auto"/>
          <w:sz w:val="24"/>
          <w:szCs w:val="24"/>
          <w:highlight w:val="none"/>
        </w:rPr>
      </w:pPr>
    </w:p>
    <w:p>
      <w:pPr>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本企业对上述声明内容的真实性负责。如有虚假，将依法承担相应责任。</w:t>
      </w:r>
    </w:p>
    <w:p>
      <w:pPr>
        <w:spacing w:line="360" w:lineRule="auto"/>
        <w:ind w:right="1760"/>
        <w:jc w:val="right"/>
        <w:rPr>
          <w:rFonts w:ascii="宋体" w:hAnsi="宋体" w:cs="宋体"/>
          <w:color w:val="auto"/>
          <w:sz w:val="24"/>
          <w:szCs w:val="24"/>
          <w:highlight w:val="none"/>
        </w:rPr>
      </w:pPr>
      <w:r>
        <w:rPr>
          <w:rFonts w:hint="eastAsia" w:ascii="宋体" w:hAnsi="宋体" w:cs="宋体"/>
          <w:color w:val="auto"/>
          <w:sz w:val="24"/>
          <w:szCs w:val="24"/>
          <w:highlight w:val="none"/>
        </w:rPr>
        <w:t>投标人名称（公章）：</w:t>
      </w:r>
    </w:p>
    <w:p>
      <w:pPr>
        <w:spacing w:line="360" w:lineRule="auto"/>
        <w:ind w:right="1120" w:firstLine="4680" w:firstLineChars="1950"/>
        <w:rPr>
          <w:rFonts w:ascii="宋体" w:hAnsi="宋体" w:cs="宋体"/>
          <w:color w:val="auto"/>
          <w:sz w:val="24"/>
          <w:szCs w:val="24"/>
          <w:highlight w:val="none"/>
        </w:rPr>
      </w:pPr>
      <w:r>
        <w:rPr>
          <w:rFonts w:hint="eastAsia" w:ascii="宋体" w:hAnsi="宋体" w:cs="宋体"/>
          <w:color w:val="auto"/>
          <w:sz w:val="24"/>
          <w:szCs w:val="24"/>
          <w:highlight w:val="none"/>
        </w:rPr>
        <w:t>日 期：</w:t>
      </w:r>
    </w:p>
    <w:p>
      <w:pPr>
        <w:spacing w:line="360" w:lineRule="auto"/>
        <w:ind w:firstLine="354" w:firstLineChars="147"/>
        <w:jc w:val="left"/>
        <w:rPr>
          <w:rFonts w:ascii="宋体" w:hAnsi="宋体" w:cs="宋体"/>
          <w:b/>
          <w:color w:val="auto"/>
          <w:sz w:val="24"/>
          <w:szCs w:val="24"/>
          <w:highlight w:val="none"/>
        </w:rPr>
      </w:pPr>
    </w:p>
    <w:p>
      <w:pPr>
        <w:spacing w:line="360" w:lineRule="auto"/>
        <w:ind w:right="420"/>
        <w:jc w:val="left"/>
        <w:rPr>
          <w:rFonts w:ascii="宋体" w:hAnsi="宋体" w:cs="宋体"/>
          <w:b/>
          <w:color w:val="auto"/>
          <w:sz w:val="24"/>
          <w:szCs w:val="24"/>
          <w:highlight w:val="none"/>
        </w:rPr>
      </w:pPr>
      <w:r>
        <w:rPr>
          <w:rFonts w:hint="eastAsia" w:ascii="宋体" w:hAnsi="宋体" w:cs="宋体"/>
          <w:color w:val="auto"/>
          <w:sz w:val="24"/>
          <w:szCs w:val="24"/>
          <w:highlight w:val="none"/>
        </w:rPr>
        <w:t xml:space="preserve">   注：填写要求：从业人员、营业收入、资产总额填报上一年度数据，无上一年度数据的新成立企业可不填报；中型企业、小型企业、微型企业等3种企业类型，结合以上数据，依据《中小企业划型标准规定》（工信部联企业〔2011〕300号）确定；投标人提供的《中小企业声明函》与实际情况不符的或者未按以上要求填写的，中小企业声明函无效，不享受中小企业扶持政策。声明内容不实的，属于提供虚假材料谋取中标、成交的，依法承担法律责任。 </w:t>
      </w:r>
    </w:p>
    <w:p>
      <w:pPr>
        <w:snapToGrid w:val="0"/>
        <w:spacing w:line="360" w:lineRule="auto"/>
        <w:ind w:firstLine="482" w:firstLineChars="200"/>
        <w:jc w:val="center"/>
        <w:rPr>
          <w:rFonts w:ascii="宋体" w:hAnsi="宋体" w:cs="宋体"/>
          <w:b/>
          <w:color w:val="auto"/>
          <w:sz w:val="24"/>
          <w:szCs w:val="24"/>
          <w:highlight w:val="none"/>
        </w:rPr>
      </w:pPr>
    </w:p>
    <w:p>
      <w:pPr>
        <w:snapToGrid w:val="0"/>
        <w:spacing w:line="360" w:lineRule="auto"/>
        <w:ind w:firstLine="482" w:firstLineChars="200"/>
        <w:jc w:val="center"/>
        <w:rPr>
          <w:rFonts w:ascii="宋体" w:hAnsi="宋体" w:cs="宋体"/>
          <w:b/>
          <w:color w:val="auto"/>
          <w:sz w:val="24"/>
          <w:szCs w:val="24"/>
          <w:highlight w:val="none"/>
        </w:rPr>
      </w:pPr>
    </w:p>
    <w:p>
      <w:pPr>
        <w:pStyle w:val="3"/>
        <w:tabs>
          <w:tab w:val="left" w:pos="706"/>
        </w:tabs>
        <w:ind w:left="560"/>
        <w:rPr>
          <w:color w:val="auto"/>
          <w:sz w:val="24"/>
          <w:szCs w:val="24"/>
          <w:highlight w:val="none"/>
        </w:rPr>
      </w:pPr>
    </w:p>
    <w:p>
      <w:pPr>
        <w:snapToGrid w:val="0"/>
        <w:spacing w:line="360" w:lineRule="auto"/>
        <w:ind w:firstLine="482" w:firstLineChars="200"/>
        <w:jc w:val="center"/>
        <w:rPr>
          <w:rFonts w:ascii="宋体" w:hAnsi="宋体" w:cs="宋体"/>
          <w:b/>
          <w:color w:val="auto"/>
          <w:sz w:val="24"/>
          <w:szCs w:val="24"/>
          <w:highlight w:val="none"/>
        </w:rPr>
        <w:sectPr>
          <w:headerReference r:id="rId10" w:type="default"/>
          <w:footerReference r:id="rId11" w:type="default"/>
          <w:pgSz w:w="11906" w:h="16838"/>
          <w:pgMar w:top="1440" w:right="1440" w:bottom="1440" w:left="1440" w:header="850" w:footer="992" w:gutter="0"/>
          <w:cols w:space="720" w:num="1"/>
          <w:docGrid w:type="lines" w:linePitch="312" w:charSpace="0"/>
        </w:sectPr>
      </w:pPr>
    </w:p>
    <w:p>
      <w:pPr>
        <w:snapToGrid w:val="0"/>
        <w:spacing w:line="360" w:lineRule="auto"/>
        <w:ind w:firstLine="482" w:firstLineChars="200"/>
        <w:jc w:val="center"/>
        <w:rPr>
          <w:rFonts w:ascii="宋体" w:hAnsi="宋体" w:cs="宋体"/>
          <w:b/>
          <w:color w:val="auto"/>
          <w:sz w:val="24"/>
          <w:szCs w:val="24"/>
          <w:highlight w:val="none"/>
        </w:rPr>
      </w:pPr>
      <w:r>
        <w:rPr>
          <w:rFonts w:hint="eastAsia" w:ascii="宋体" w:hAnsi="宋体" w:cs="宋体"/>
          <w:b/>
          <w:color w:val="auto"/>
          <w:sz w:val="24"/>
          <w:szCs w:val="24"/>
          <w:highlight w:val="none"/>
        </w:rPr>
        <w:t>残疾人福利性单位声明函及其相关的充分的证明材料（如有）</w:t>
      </w:r>
    </w:p>
    <w:p>
      <w:pPr>
        <w:pStyle w:val="12"/>
        <w:ind w:firstLine="883"/>
        <w:rPr>
          <w:rFonts w:hint="default"/>
          <w:color w:val="auto"/>
          <w:szCs w:val="24"/>
          <w:highlight w:val="none"/>
        </w:rPr>
      </w:pPr>
    </w:p>
    <w:p>
      <w:pPr>
        <w:snapToGrid w:val="0"/>
        <w:spacing w:line="360" w:lineRule="auto"/>
        <w:ind w:firstLine="482" w:firstLineChars="200"/>
        <w:jc w:val="center"/>
        <w:rPr>
          <w:rFonts w:ascii="宋体" w:hAnsi="宋体" w:cs="宋体"/>
          <w:b/>
          <w:color w:val="auto"/>
          <w:sz w:val="24"/>
          <w:szCs w:val="24"/>
          <w:highlight w:val="none"/>
        </w:rPr>
      </w:pPr>
      <w:r>
        <w:rPr>
          <w:rFonts w:hint="eastAsia" w:ascii="宋体" w:hAnsi="宋体" w:cs="宋体"/>
          <w:b/>
          <w:color w:val="auto"/>
          <w:sz w:val="24"/>
          <w:szCs w:val="24"/>
          <w:highlight w:val="none"/>
        </w:rPr>
        <w:t>残疾人福利性单位声明函</w:t>
      </w:r>
    </w:p>
    <w:p>
      <w:pPr>
        <w:snapToGrid w:val="0"/>
        <w:spacing w:line="360" w:lineRule="auto"/>
        <w:ind w:firstLine="482" w:firstLineChars="200"/>
        <w:rPr>
          <w:rFonts w:ascii="宋体" w:hAnsi="宋体" w:cs="宋体"/>
          <w:b/>
          <w:color w:val="auto"/>
          <w:sz w:val="24"/>
          <w:szCs w:val="24"/>
          <w:highlight w:val="none"/>
        </w:rPr>
      </w:pPr>
    </w:p>
    <w:p>
      <w:pPr>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本单位对上述声明的真实性负责。如有虚假，将依法承担相应责任。</w:t>
      </w:r>
    </w:p>
    <w:p>
      <w:pPr>
        <w:snapToGrid w:val="0"/>
        <w:spacing w:line="360" w:lineRule="auto"/>
        <w:ind w:firstLine="480" w:firstLineChars="200"/>
        <w:rPr>
          <w:rFonts w:ascii="宋体" w:hAnsi="宋体" w:cs="宋体"/>
          <w:color w:val="auto"/>
          <w:sz w:val="24"/>
          <w:szCs w:val="24"/>
          <w:highlight w:val="none"/>
        </w:rPr>
      </w:pPr>
    </w:p>
    <w:p>
      <w:pPr>
        <w:tabs>
          <w:tab w:val="left" w:pos="4860"/>
        </w:tabs>
        <w:snapToGrid w:val="0"/>
        <w:spacing w:line="360" w:lineRule="auto"/>
        <w:ind w:right="1560"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 xml:space="preserve">       单位名称（盖章）：       日  期：</w:t>
      </w:r>
    </w:p>
    <w:p>
      <w:pPr>
        <w:snapToGrid w:val="0"/>
        <w:spacing w:line="360" w:lineRule="auto"/>
        <w:ind w:firstLine="480" w:firstLineChars="200"/>
        <w:rPr>
          <w:rFonts w:ascii="宋体" w:hAnsi="宋体" w:cs="宋体"/>
          <w:color w:val="auto"/>
          <w:sz w:val="24"/>
          <w:szCs w:val="24"/>
          <w:highlight w:val="none"/>
        </w:rPr>
      </w:pP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注：符合《关于促进残疾人就业政府采购政策的通知》（财库〔2017〕141号）规定的条件并提供《残疾人福利性单位声明函》的残疾人福利性单位视同小型、微型企业；</w:t>
      </w:r>
    </w:p>
    <w:p>
      <w:pPr>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根据《关于政府采购支持监狱企业发展有关问题的通知》（财库[2014]68号）的规定，投标人提供由省级以上监狱管理局、戒毒管理局（含新疆生产建设兵团）出具的属于监狱企业证明文件的，视同为小型和微型企业。</w:t>
      </w:r>
    </w:p>
    <w:p>
      <w:pPr>
        <w:rPr>
          <w:rFonts w:ascii="宋体" w:hAnsi="宋体" w:cs="宋体"/>
          <w:color w:val="auto"/>
          <w:sz w:val="24"/>
          <w:szCs w:val="24"/>
          <w:highlight w:val="none"/>
        </w:rPr>
      </w:pPr>
    </w:p>
    <w:p>
      <w:pPr>
        <w:pStyle w:val="3"/>
        <w:numPr>
          <w:ilvl w:val="0"/>
          <w:numId w:val="13"/>
        </w:numPr>
        <w:rPr>
          <w:rFonts w:ascii="宋体" w:hAnsi="宋体" w:eastAsia="宋体" w:cs="宋体"/>
          <w:color w:val="auto"/>
          <w:sz w:val="24"/>
          <w:szCs w:val="24"/>
          <w:highlight w:val="none"/>
        </w:rPr>
        <w:sectPr>
          <w:pgSz w:w="11906" w:h="16838"/>
          <w:pgMar w:top="1440" w:right="1440" w:bottom="1440" w:left="1440" w:header="850" w:footer="992" w:gutter="0"/>
          <w:cols w:space="720" w:num="1"/>
          <w:docGrid w:type="lines" w:linePitch="312" w:charSpace="0"/>
        </w:sectPr>
      </w:pPr>
    </w:p>
    <w:p>
      <w:pPr>
        <w:pStyle w:val="15"/>
        <w:spacing w:line="420" w:lineRule="exact"/>
        <w:jc w:val="center"/>
        <w:rPr>
          <w:rFonts w:hAnsi="宋体"/>
          <w:color w:val="auto"/>
          <w:sz w:val="24"/>
          <w:szCs w:val="24"/>
          <w:highlight w:val="none"/>
        </w:rPr>
      </w:pPr>
      <w:r>
        <w:rPr>
          <w:rFonts w:hint="eastAsia"/>
          <w:b/>
          <w:color w:val="auto"/>
          <w:sz w:val="24"/>
          <w:szCs w:val="24"/>
          <w:highlight w:val="none"/>
        </w:rPr>
        <w:t>三</w:t>
      </w:r>
      <w:r>
        <w:rPr>
          <w:b/>
          <w:color w:val="auto"/>
          <w:sz w:val="24"/>
          <w:szCs w:val="24"/>
          <w:highlight w:val="none"/>
        </w:rPr>
        <w:t>、</w:t>
      </w:r>
      <w:r>
        <w:rPr>
          <w:rFonts w:hint="eastAsia" w:ascii="Arial" w:hAnsi="Arial" w:cs="Arial"/>
          <w:b/>
          <w:color w:val="auto"/>
          <w:sz w:val="24"/>
          <w:szCs w:val="24"/>
          <w:highlight w:val="none"/>
        </w:rPr>
        <w:t>联合体协议（如果有）</w:t>
      </w:r>
    </w:p>
    <w:p>
      <w:pPr>
        <w:pStyle w:val="3"/>
        <w:rPr>
          <w:color w:val="auto"/>
          <w:sz w:val="24"/>
          <w:szCs w:val="24"/>
          <w:highlight w:val="none"/>
          <w:lang w:val="zh-CN"/>
        </w:rPr>
      </w:pPr>
    </w:p>
    <w:p>
      <w:pPr>
        <w:widowControl/>
        <w:spacing w:line="360" w:lineRule="auto"/>
        <w:ind w:firstLine="482" w:firstLineChars="200"/>
        <w:jc w:val="left"/>
        <w:rPr>
          <w:rFonts w:cs="宋体" w:asciiTheme="minorEastAsia" w:hAnsiTheme="minorEastAsia" w:eastAsiaTheme="minorEastAsia"/>
          <w:b/>
          <w:color w:val="auto"/>
          <w:sz w:val="24"/>
          <w:szCs w:val="24"/>
          <w:highlight w:val="none"/>
        </w:rPr>
      </w:pPr>
      <w:r>
        <w:rPr>
          <w:rFonts w:hint="eastAsia" w:cs="宋体" w:asciiTheme="minorEastAsia" w:hAnsiTheme="minorEastAsia" w:eastAsiaTheme="minorEastAsia"/>
          <w:b/>
          <w:color w:val="auto"/>
          <w:sz w:val="24"/>
          <w:szCs w:val="24"/>
          <w:highlight w:val="none"/>
        </w:rPr>
        <w:t>（以联合体形式响应的，提供联合协议；本项目不接受联合体响应或者供应商不以联合体形式响应的，则不需要提供）</w:t>
      </w:r>
    </w:p>
    <w:p>
      <w:pPr>
        <w:snapToGrid w:val="0"/>
        <w:spacing w:line="360" w:lineRule="auto"/>
        <w:ind w:firstLine="576"/>
        <w:rPr>
          <w:rFonts w:cs="宋体" w:asciiTheme="minorEastAsia" w:hAnsiTheme="minorEastAsia" w:eastAsiaTheme="minorEastAsia"/>
          <w:color w:val="auto"/>
          <w:sz w:val="24"/>
          <w:szCs w:val="24"/>
          <w:highlight w:val="none"/>
          <w:lang w:val="zh-CN"/>
        </w:rPr>
      </w:pPr>
      <w:r>
        <w:rPr>
          <w:rFonts w:hint="eastAsia" w:cs="宋体" w:asciiTheme="minorEastAsia" w:hAnsiTheme="minorEastAsia" w:eastAsiaTheme="minorEastAsia"/>
          <w:color w:val="auto"/>
          <w:sz w:val="24"/>
          <w:szCs w:val="24"/>
          <w:highlight w:val="none"/>
          <w:u w:val="single"/>
        </w:rPr>
        <w:t>（联合体所有成员名称）</w:t>
      </w:r>
      <w:r>
        <w:rPr>
          <w:rFonts w:hint="eastAsia" w:cs="宋体" w:asciiTheme="minorEastAsia" w:hAnsiTheme="minorEastAsia" w:eastAsiaTheme="minorEastAsia"/>
          <w:color w:val="auto"/>
          <w:sz w:val="24"/>
          <w:szCs w:val="24"/>
          <w:highlight w:val="none"/>
        </w:rPr>
        <w:t>自愿</w:t>
      </w:r>
      <w:r>
        <w:rPr>
          <w:rFonts w:hint="eastAsia" w:cs="宋体" w:asciiTheme="minorEastAsia" w:hAnsiTheme="minorEastAsia" w:eastAsiaTheme="minorEastAsia"/>
          <w:color w:val="auto"/>
          <w:sz w:val="24"/>
          <w:szCs w:val="24"/>
          <w:highlight w:val="none"/>
          <w:lang w:val="zh-CN"/>
        </w:rPr>
        <w:t>组成一个联合体，以一个供应商的身份</w:t>
      </w:r>
      <w:r>
        <w:rPr>
          <w:rFonts w:hint="eastAsia" w:cs="宋体" w:asciiTheme="minorEastAsia" w:hAnsiTheme="minorEastAsia" w:eastAsiaTheme="minorEastAsia"/>
          <w:color w:val="auto"/>
          <w:sz w:val="24"/>
          <w:szCs w:val="24"/>
          <w:highlight w:val="none"/>
        </w:rPr>
        <w:t>参加</w:t>
      </w:r>
      <w:r>
        <w:rPr>
          <w:rFonts w:hint="eastAsia" w:cs="仿宋_GB2312" w:asciiTheme="minorEastAsia" w:hAnsiTheme="minorEastAsia" w:eastAsiaTheme="minorEastAsia"/>
          <w:color w:val="auto"/>
          <w:sz w:val="24"/>
          <w:szCs w:val="24"/>
          <w:highlight w:val="none"/>
        </w:rPr>
        <w:t>（项目名称）</w:t>
      </w:r>
      <w:r>
        <w:rPr>
          <w:rFonts w:hint="eastAsia" w:cs="仿宋_GB2312" w:asciiTheme="minorEastAsia" w:hAnsiTheme="minorEastAsia" w:eastAsiaTheme="minorEastAsia"/>
          <w:color w:val="auto"/>
          <w:sz w:val="24"/>
          <w:szCs w:val="24"/>
          <w:highlight w:val="none"/>
          <w:lang w:val="zh-CN"/>
        </w:rPr>
        <w:t>【项目编号：（采购编号）】响应</w:t>
      </w:r>
      <w:r>
        <w:rPr>
          <w:rFonts w:hint="eastAsia" w:cs="宋体" w:asciiTheme="minorEastAsia" w:hAnsiTheme="minorEastAsia" w:eastAsiaTheme="minorEastAsia"/>
          <w:color w:val="auto"/>
          <w:sz w:val="24"/>
          <w:szCs w:val="24"/>
          <w:highlight w:val="none"/>
          <w:lang w:val="zh-CN"/>
        </w:rPr>
        <w:t xml:space="preserve">。 </w:t>
      </w:r>
    </w:p>
    <w:p>
      <w:pPr>
        <w:snapToGrid w:val="0"/>
        <w:spacing w:line="360" w:lineRule="auto"/>
        <w:ind w:firstLine="576"/>
        <w:rPr>
          <w:rFonts w:cs="宋体" w:asciiTheme="minorEastAsia" w:hAnsiTheme="minorEastAsia" w:eastAsiaTheme="minorEastAsia"/>
          <w:color w:val="auto"/>
          <w:sz w:val="24"/>
          <w:szCs w:val="24"/>
          <w:highlight w:val="none"/>
          <w:lang w:val="zh-CN"/>
        </w:rPr>
      </w:pPr>
      <w:r>
        <w:rPr>
          <w:rFonts w:hint="eastAsia" w:cs="宋体" w:asciiTheme="minorEastAsia" w:hAnsiTheme="minorEastAsia" w:eastAsiaTheme="minorEastAsia"/>
          <w:color w:val="auto"/>
          <w:sz w:val="24"/>
          <w:szCs w:val="24"/>
          <w:highlight w:val="none"/>
          <w:lang w:val="zh-CN"/>
        </w:rPr>
        <w:t>一、各方一致决定，</w:t>
      </w:r>
      <w:r>
        <w:rPr>
          <w:rFonts w:hint="eastAsia" w:cs="宋体" w:asciiTheme="minorEastAsia" w:hAnsiTheme="minorEastAsia" w:eastAsiaTheme="minorEastAsia"/>
          <w:color w:val="auto"/>
          <w:sz w:val="24"/>
          <w:szCs w:val="24"/>
          <w:highlight w:val="none"/>
          <w:u w:val="single"/>
        </w:rPr>
        <w:t>（某联合体成员名称）</w:t>
      </w:r>
      <w:r>
        <w:rPr>
          <w:rFonts w:hint="eastAsia" w:cs="宋体" w:asciiTheme="minorEastAsia" w:hAnsiTheme="minorEastAsia" w:eastAsiaTheme="minorEastAsia"/>
          <w:color w:val="auto"/>
          <w:sz w:val="24"/>
          <w:szCs w:val="24"/>
          <w:highlight w:val="none"/>
        </w:rPr>
        <w:t>为联合体</w:t>
      </w:r>
      <w:r>
        <w:rPr>
          <w:rFonts w:hint="eastAsia" w:cs="宋体" w:asciiTheme="minorEastAsia" w:hAnsiTheme="minorEastAsia" w:eastAsiaTheme="minorEastAsia"/>
          <w:color w:val="auto"/>
          <w:sz w:val="24"/>
          <w:szCs w:val="24"/>
          <w:highlight w:val="none"/>
          <w:lang w:val="zh-CN"/>
        </w:rPr>
        <w:t>牵头人</w:t>
      </w:r>
      <w:r>
        <w:rPr>
          <w:rFonts w:hint="eastAsia" w:cs="宋体" w:asciiTheme="minorEastAsia" w:hAnsiTheme="minorEastAsia" w:eastAsiaTheme="minorEastAsia"/>
          <w:color w:val="auto"/>
          <w:sz w:val="24"/>
          <w:szCs w:val="24"/>
          <w:highlight w:val="none"/>
        </w:rPr>
        <w:t>，代表所有联合体成员负责响应和合同实施阶段的主办、协调工作</w:t>
      </w:r>
      <w:r>
        <w:rPr>
          <w:rFonts w:hint="eastAsia" w:cs="宋体" w:asciiTheme="minorEastAsia" w:hAnsiTheme="minorEastAsia" w:eastAsiaTheme="minorEastAsia"/>
          <w:color w:val="auto"/>
          <w:sz w:val="24"/>
          <w:szCs w:val="24"/>
          <w:highlight w:val="none"/>
          <w:lang w:val="zh-CN"/>
        </w:rPr>
        <w:t>。</w:t>
      </w:r>
    </w:p>
    <w:p>
      <w:pPr>
        <w:snapToGrid w:val="0"/>
        <w:spacing w:line="360" w:lineRule="auto"/>
        <w:ind w:firstLine="576"/>
        <w:rPr>
          <w:rFonts w:cs="宋体" w:asciiTheme="minorEastAsia" w:hAnsiTheme="minorEastAsia" w:eastAsiaTheme="minorEastAsia"/>
          <w:color w:val="auto"/>
          <w:sz w:val="24"/>
          <w:szCs w:val="24"/>
          <w:highlight w:val="none"/>
          <w:lang w:val="zh-CN"/>
        </w:rPr>
      </w:pPr>
      <w:r>
        <w:rPr>
          <w:rFonts w:hint="eastAsia" w:cs="宋体" w:asciiTheme="minorEastAsia" w:hAnsiTheme="minorEastAsia" w:eastAsiaTheme="minorEastAsia"/>
          <w:color w:val="auto"/>
          <w:sz w:val="24"/>
          <w:szCs w:val="24"/>
          <w:highlight w:val="none"/>
          <w:lang w:val="zh-CN"/>
        </w:rPr>
        <w:t>二、</w:t>
      </w:r>
      <w:r>
        <w:rPr>
          <w:rFonts w:hint="eastAsia" w:cs="宋体" w:asciiTheme="minorEastAsia" w:hAnsiTheme="minorEastAsia" w:eastAsiaTheme="minorEastAsia"/>
          <w:color w:val="auto"/>
          <w:sz w:val="24"/>
          <w:szCs w:val="24"/>
          <w:highlight w:val="none"/>
        </w:rPr>
        <w:t>所有联合体成员各方签署授权书，授权书载明的</w:t>
      </w:r>
      <w:r>
        <w:rPr>
          <w:rFonts w:hint="eastAsia" w:cs="宋体" w:asciiTheme="minorEastAsia" w:hAnsiTheme="minorEastAsia" w:eastAsiaTheme="minorEastAsia"/>
          <w:color w:val="auto"/>
          <w:sz w:val="24"/>
          <w:szCs w:val="24"/>
          <w:highlight w:val="none"/>
          <w:lang w:val="zh-CN"/>
        </w:rPr>
        <w:t>授权代表根据磋商文件规定及采购内容而对采购人、采购代理机构所作的任何合法承诺，包括书面澄清及相应等均对联合体各方产生约束力。</w:t>
      </w:r>
    </w:p>
    <w:p>
      <w:pPr>
        <w:snapToGrid w:val="0"/>
        <w:spacing w:line="360" w:lineRule="auto"/>
        <w:ind w:firstLine="576"/>
        <w:rPr>
          <w:rFonts w:cs="宋体" w:asciiTheme="minorEastAsia" w:hAnsiTheme="minorEastAsia" w:eastAsiaTheme="minorEastAsia"/>
          <w:color w:val="auto"/>
          <w:sz w:val="24"/>
          <w:szCs w:val="24"/>
          <w:highlight w:val="none"/>
          <w:lang w:val="zh-CN"/>
        </w:rPr>
      </w:pPr>
      <w:r>
        <w:rPr>
          <w:rFonts w:hint="eastAsia" w:cs="宋体" w:asciiTheme="minorEastAsia" w:hAnsiTheme="minorEastAsia" w:eastAsiaTheme="minorEastAsia"/>
          <w:color w:val="auto"/>
          <w:sz w:val="24"/>
          <w:szCs w:val="24"/>
          <w:highlight w:val="none"/>
          <w:lang w:val="zh-CN"/>
        </w:rPr>
        <w:t>三、本次联合响应中，分工如下：</w:t>
      </w:r>
    </w:p>
    <w:p>
      <w:pPr>
        <w:snapToGrid w:val="0"/>
        <w:spacing w:line="360" w:lineRule="auto"/>
        <w:ind w:firstLine="576"/>
        <w:rPr>
          <w:rFonts w:cs="宋体" w:asciiTheme="minorEastAsia" w:hAnsiTheme="minorEastAsia" w:eastAsiaTheme="minorEastAsia"/>
          <w:color w:val="auto"/>
          <w:sz w:val="24"/>
          <w:szCs w:val="24"/>
          <w:highlight w:val="none"/>
          <w:lang w:val="zh-CN"/>
        </w:rPr>
      </w:pPr>
      <w:r>
        <w:rPr>
          <w:rFonts w:hint="eastAsia" w:cs="宋体" w:asciiTheme="minorEastAsia" w:hAnsiTheme="minorEastAsia" w:eastAsiaTheme="minorEastAsia"/>
          <w:color w:val="auto"/>
          <w:sz w:val="24"/>
          <w:szCs w:val="24"/>
          <w:highlight w:val="none"/>
          <w:u w:val="single"/>
        </w:rPr>
        <w:t>（联合体成员1）</w:t>
      </w:r>
      <w:r>
        <w:rPr>
          <w:rFonts w:hint="eastAsia" w:cs="宋体" w:asciiTheme="minorEastAsia" w:hAnsiTheme="minorEastAsia" w:eastAsiaTheme="minorEastAsia"/>
          <w:color w:val="auto"/>
          <w:sz w:val="24"/>
          <w:szCs w:val="24"/>
          <w:highlight w:val="none"/>
          <w:lang w:val="zh-CN"/>
        </w:rPr>
        <w:t>承担的工作和义务为：；</w:t>
      </w:r>
    </w:p>
    <w:p>
      <w:pPr>
        <w:snapToGrid w:val="0"/>
        <w:spacing w:line="360" w:lineRule="auto"/>
        <w:ind w:firstLine="576"/>
        <w:rPr>
          <w:rFonts w:cs="宋体" w:asciiTheme="minorEastAsia" w:hAnsiTheme="minorEastAsia" w:eastAsiaTheme="minorEastAsia"/>
          <w:color w:val="auto"/>
          <w:sz w:val="24"/>
          <w:szCs w:val="24"/>
          <w:highlight w:val="none"/>
          <w:lang w:val="zh-CN"/>
        </w:rPr>
      </w:pPr>
      <w:r>
        <w:rPr>
          <w:rFonts w:hint="eastAsia" w:cs="宋体" w:asciiTheme="minorEastAsia" w:hAnsiTheme="minorEastAsia" w:eastAsiaTheme="minorEastAsia"/>
          <w:color w:val="auto"/>
          <w:sz w:val="24"/>
          <w:szCs w:val="24"/>
          <w:highlight w:val="none"/>
          <w:u w:val="single"/>
        </w:rPr>
        <w:t>（联合体成员</w:t>
      </w:r>
      <w:r>
        <w:rPr>
          <w:rFonts w:cs="宋体" w:asciiTheme="minorEastAsia" w:hAnsiTheme="minorEastAsia" w:eastAsiaTheme="minorEastAsia"/>
          <w:color w:val="auto"/>
          <w:sz w:val="24"/>
          <w:szCs w:val="24"/>
          <w:highlight w:val="none"/>
          <w:u w:val="single"/>
        </w:rPr>
        <w:t>2</w:t>
      </w:r>
      <w:r>
        <w:rPr>
          <w:rFonts w:hint="eastAsia" w:cs="宋体" w:asciiTheme="minorEastAsia" w:hAnsiTheme="minorEastAsia" w:eastAsiaTheme="minorEastAsia"/>
          <w:color w:val="auto"/>
          <w:sz w:val="24"/>
          <w:szCs w:val="24"/>
          <w:highlight w:val="none"/>
          <w:u w:val="single"/>
        </w:rPr>
        <w:t>）</w:t>
      </w:r>
      <w:r>
        <w:rPr>
          <w:rFonts w:hint="eastAsia" w:cs="宋体" w:asciiTheme="minorEastAsia" w:hAnsiTheme="minorEastAsia" w:eastAsiaTheme="minorEastAsia"/>
          <w:color w:val="auto"/>
          <w:sz w:val="24"/>
          <w:szCs w:val="24"/>
          <w:highlight w:val="none"/>
          <w:lang w:val="zh-CN"/>
        </w:rPr>
        <w:t>承担的工作和义务为：；</w:t>
      </w:r>
    </w:p>
    <w:p>
      <w:pPr>
        <w:snapToGrid w:val="0"/>
        <w:spacing w:line="360" w:lineRule="auto"/>
        <w:ind w:firstLine="576"/>
        <w:rPr>
          <w:rFonts w:cs="宋体" w:asciiTheme="minorEastAsia" w:hAnsiTheme="minorEastAsia" w:eastAsiaTheme="minorEastAsia"/>
          <w:color w:val="auto"/>
          <w:sz w:val="24"/>
          <w:szCs w:val="24"/>
          <w:highlight w:val="none"/>
          <w:lang w:val="zh-CN"/>
        </w:rPr>
      </w:pPr>
      <w:r>
        <w:rPr>
          <w:rFonts w:hint="eastAsia" w:cs="宋体" w:asciiTheme="minorEastAsia" w:hAnsiTheme="minorEastAsia" w:eastAsiaTheme="minorEastAsia"/>
          <w:color w:val="auto"/>
          <w:sz w:val="24"/>
          <w:szCs w:val="24"/>
          <w:highlight w:val="none"/>
          <w:lang w:val="zh-CN"/>
        </w:rPr>
        <w:t>……</w:t>
      </w:r>
    </w:p>
    <w:p>
      <w:pPr>
        <w:snapToGrid w:val="0"/>
        <w:spacing w:line="360" w:lineRule="auto"/>
        <w:ind w:firstLine="576"/>
        <w:rPr>
          <w:rFonts w:cs="宋体" w:asciiTheme="minorEastAsia" w:hAnsiTheme="minorEastAsia" w:eastAsiaTheme="minorEastAsia"/>
          <w:color w:val="auto"/>
          <w:sz w:val="24"/>
          <w:szCs w:val="24"/>
          <w:highlight w:val="none"/>
          <w:lang w:val="zh-CN"/>
        </w:rPr>
      </w:pPr>
      <w:r>
        <w:rPr>
          <w:rFonts w:hint="eastAsia" w:cs="宋体" w:asciiTheme="minorEastAsia" w:hAnsiTheme="minorEastAsia" w:eastAsiaTheme="minorEastAsia"/>
          <w:color w:val="auto"/>
          <w:sz w:val="24"/>
          <w:szCs w:val="24"/>
          <w:highlight w:val="none"/>
          <w:lang w:val="zh-CN"/>
        </w:rPr>
        <w:t>四、联合体成员中小企业合同份额（如果有）。</w:t>
      </w:r>
    </w:p>
    <w:p>
      <w:pPr>
        <w:snapToGrid w:val="0"/>
        <w:spacing w:line="360" w:lineRule="auto"/>
        <w:ind w:firstLine="576"/>
        <w:rPr>
          <w:rFonts w:cs="宋体" w:asciiTheme="minorEastAsia" w:hAnsiTheme="minorEastAsia" w:eastAsiaTheme="minorEastAsia"/>
          <w:b/>
          <w:color w:val="auto"/>
          <w:sz w:val="24"/>
          <w:szCs w:val="24"/>
          <w:highlight w:val="none"/>
          <w:lang w:val="zh-CN"/>
        </w:rPr>
      </w:pPr>
      <w:r>
        <w:rPr>
          <w:rFonts w:hint="eastAsia" w:cs="宋体" w:asciiTheme="minorEastAsia" w:hAnsiTheme="minorEastAsia" w:eastAsiaTheme="minorEastAsia"/>
          <w:color w:val="auto"/>
          <w:sz w:val="24"/>
          <w:szCs w:val="24"/>
          <w:highlight w:val="none"/>
          <w:lang w:val="zh-CN"/>
        </w:rPr>
        <w:t>1、</w:t>
      </w:r>
      <w:r>
        <w:rPr>
          <w:rFonts w:hint="eastAsia" w:cs="宋体" w:asciiTheme="minorEastAsia" w:hAnsiTheme="minorEastAsia" w:eastAsiaTheme="minorEastAsia"/>
          <w:color w:val="auto"/>
          <w:sz w:val="24"/>
          <w:szCs w:val="24"/>
          <w:highlight w:val="none"/>
          <w:u w:val="single"/>
        </w:rPr>
        <w:t>（</w:t>
      </w:r>
      <w:bookmarkStart w:id="78" w:name="_Hlk101131882"/>
      <w:r>
        <w:rPr>
          <w:rFonts w:hint="eastAsia" w:cs="宋体" w:asciiTheme="minorEastAsia" w:hAnsiTheme="minorEastAsia" w:eastAsiaTheme="minorEastAsia"/>
          <w:color w:val="auto"/>
          <w:sz w:val="24"/>
          <w:szCs w:val="24"/>
          <w:highlight w:val="none"/>
          <w:u w:val="single"/>
        </w:rPr>
        <w:t>联合体成员X</w:t>
      </w:r>
      <w:r>
        <w:rPr>
          <w:rFonts w:cs="宋体" w:asciiTheme="minorEastAsia" w:hAnsiTheme="minorEastAsia" w:eastAsiaTheme="minorEastAsia"/>
          <w:color w:val="auto"/>
          <w:sz w:val="24"/>
          <w:szCs w:val="24"/>
          <w:highlight w:val="none"/>
          <w:u w:val="single"/>
        </w:rPr>
        <w:t>,</w:t>
      </w:r>
      <w:r>
        <w:rPr>
          <w:rFonts w:hint="eastAsia" w:cs="宋体" w:asciiTheme="minorEastAsia" w:hAnsiTheme="minorEastAsia" w:eastAsiaTheme="minorEastAsia"/>
          <w:color w:val="auto"/>
          <w:sz w:val="24"/>
          <w:szCs w:val="24"/>
          <w:highlight w:val="none"/>
          <w:u w:val="single"/>
        </w:rPr>
        <w:t>……</w:t>
      </w:r>
      <w:bookmarkEnd w:id="78"/>
      <w:r>
        <w:rPr>
          <w:rFonts w:hint="eastAsia" w:cs="宋体" w:asciiTheme="minorEastAsia" w:hAnsiTheme="minorEastAsia" w:eastAsiaTheme="minorEastAsia"/>
          <w:color w:val="auto"/>
          <w:sz w:val="24"/>
          <w:szCs w:val="24"/>
          <w:highlight w:val="none"/>
          <w:u w:val="single"/>
        </w:rPr>
        <w:t>）</w:t>
      </w:r>
      <w:r>
        <w:rPr>
          <w:rFonts w:hint="eastAsia" w:cs="宋体" w:asciiTheme="minorEastAsia" w:hAnsiTheme="minorEastAsia" w:eastAsiaTheme="minorEastAsia"/>
          <w:color w:val="auto"/>
          <w:sz w:val="24"/>
          <w:szCs w:val="24"/>
          <w:highlight w:val="none"/>
        </w:rPr>
        <w:t>提供的服务由小微企业承接，其合同份额占到合同总金额</w:t>
      </w:r>
      <w:r>
        <w:rPr>
          <w:rFonts w:hint="eastAsia" w:cs="宋体" w:asciiTheme="minorEastAsia" w:hAnsiTheme="minorEastAsia" w:eastAsiaTheme="minorEastAsia"/>
          <w:color w:val="auto"/>
          <w:sz w:val="24"/>
          <w:szCs w:val="24"/>
          <w:highlight w:val="none"/>
          <w:u w:val="single"/>
          <w:lang w:val="en-US" w:eastAsia="zh-CN"/>
        </w:rPr>
        <w:t xml:space="preserve">  </w:t>
      </w:r>
      <w:r>
        <w:rPr>
          <w:rFonts w:hint="eastAsia" w:cs="宋体" w:asciiTheme="minorEastAsia" w:hAnsiTheme="minorEastAsia" w:eastAsiaTheme="minorEastAsia"/>
          <w:color w:val="auto"/>
          <w:sz w:val="24"/>
          <w:szCs w:val="24"/>
          <w:highlight w:val="none"/>
        </w:rPr>
        <w:t>%以上</w:t>
      </w:r>
      <w:r>
        <w:rPr>
          <w:rFonts w:hint="eastAsia" w:cs="宋体" w:asciiTheme="minorEastAsia" w:hAnsiTheme="minorEastAsia" w:eastAsiaTheme="minorEastAsia"/>
          <w:color w:val="auto"/>
          <w:sz w:val="24"/>
          <w:szCs w:val="24"/>
          <w:highlight w:val="none"/>
          <w:lang w:val="zh-CN"/>
        </w:rPr>
        <w:t>。</w:t>
      </w:r>
      <w:r>
        <w:rPr>
          <w:rFonts w:hint="eastAsia" w:cs="宋体" w:asciiTheme="minorEastAsia" w:hAnsiTheme="minorEastAsia" w:eastAsiaTheme="minorEastAsia"/>
          <w:b/>
          <w:color w:val="auto"/>
          <w:sz w:val="24"/>
          <w:szCs w:val="24"/>
          <w:highlight w:val="none"/>
          <w:lang w:val="zh-CN"/>
        </w:rPr>
        <w:t>（</w:t>
      </w:r>
      <w:bookmarkStart w:id="79" w:name="_Hlk101133598"/>
      <w:r>
        <w:rPr>
          <w:rFonts w:hint="eastAsia" w:cs="宋体" w:asciiTheme="minorEastAsia" w:hAnsiTheme="minorEastAsia" w:eastAsiaTheme="minorEastAsia"/>
          <w:b/>
          <w:color w:val="auto"/>
          <w:sz w:val="24"/>
          <w:szCs w:val="24"/>
          <w:highlight w:val="none"/>
          <w:lang w:val="zh-CN"/>
        </w:rPr>
        <w:t>未预留份额专门面向中小企业采购的采购项目，以及预留份额中的非预留部分采购包，接受联合体响应的，联合协议约定小微企业的合同份额占到合同总金额30%以上的，</w:t>
      </w:r>
      <w:r>
        <w:rPr>
          <w:rFonts w:hint="eastAsia" w:ascii="宋体" w:hAnsi="宋体" w:cs="宋体"/>
          <w:b/>
          <w:color w:val="auto"/>
          <w:sz w:val="24"/>
          <w:szCs w:val="24"/>
          <w:highlight w:val="none"/>
          <w:lang w:val="zh-CN"/>
        </w:rPr>
        <w:t>对联合体报价按评</w:t>
      </w:r>
      <w:r>
        <w:rPr>
          <w:rFonts w:hint="eastAsia" w:ascii="宋体" w:hAnsi="宋体" w:cs="宋体"/>
          <w:b/>
          <w:color w:val="auto"/>
          <w:sz w:val="24"/>
          <w:szCs w:val="24"/>
          <w:highlight w:val="none"/>
        </w:rPr>
        <w:t>审</w:t>
      </w:r>
      <w:r>
        <w:rPr>
          <w:rFonts w:hint="eastAsia" w:ascii="宋体" w:hAnsi="宋体" w:cs="宋体"/>
          <w:b/>
          <w:color w:val="auto"/>
          <w:sz w:val="24"/>
          <w:szCs w:val="24"/>
          <w:highlight w:val="none"/>
          <w:lang w:val="zh-CN"/>
        </w:rPr>
        <w:t>标准确定的比例给予扣除</w:t>
      </w:r>
      <w:r>
        <w:rPr>
          <w:rFonts w:hint="eastAsia" w:cs="宋体" w:asciiTheme="minorEastAsia" w:hAnsiTheme="minorEastAsia" w:eastAsiaTheme="minorEastAsia"/>
          <w:b/>
          <w:color w:val="auto"/>
          <w:sz w:val="24"/>
          <w:szCs w:val="24"/>
          <w:highlight w:val="none"/>
          <w:lang w:val="zh-CN"/>
        </w:rPr>
        <w:t>。供应商</w:t>
      </w:r>
      <w:r>
        <w:rPr>
          <w:rFonts w:hint="eastAsia" w:cs="宋体" w:asciiTheme="minorEastAsia" w:hAnsiTheme="minorEastAsia" w:eastAsiaTheme="minorEastAsia"/>
          <w:b/>
          <w:color w:val="auto"/>
          <w:sz w:val="24"/>
          <w:szCs w:val="24"/>
          <w:highlight w:val="none"/>
        </w:rPr>
        <w:t>拟享受以上价格扣除政策的，填写有关内容。</w:t>
      </w:r>
      <w:bookmarkEnd w:id="79"/>
      <w:r>
        <w:rPr>
          <w:rFonts w:hint="eastAsia" w:cs="宋体" w:asciiTheme="minorEastAsia" w:hAnsiTheme="minorEastAsia" w:eastAsiaTheme="minorEastAsia"/>
          <w:b/>
          <w:color w:val="auto"/>
          <w:sz w:val="24"/>
          <w:szCs w:val="24"/>
          <w:highlight w:val="none"/>
          <w:lang w:val="zh-CN"/>
        </w:rPr>
        <w:t>）</w:t>
      </w:r>
    </w:p>
    <w:p>
      <w:pPr>
        <w:spacing w:line="360" w:lineRule="auto"/>
        <w:ind w:firstLine="480" w:firstLineChars="200"/>
        <w:rPr>
          <w:rFonts w:cs="宋体" w:asciiTheme="minorEastAsia" w:hAnsiTheme="minorEastAsia" w:eastAsiaTheme="minorEastAsia"/>
          <w:b/>
          <w:bCs/>
          <w:color w:val="auto"/>
          <w:sz w:val="24"/>
          <w:szCs w:val="24"/>
          <w:highlight w:val="none"/>
          <w:lang w:val="zh-CN"/>
        </w:rPr>
      </w:pPr>
      <w:r>
        <w:rPr>
          <w:rFonts w:hint="eastAsia" w:cs="宋体" w:asciiTheme="minorEastAsia" w:hAnsiTheme="minorEastAsia" w:eastAsiaTheme="minorEastAsia"/>
          <w:color w:val="auto"/>
          <w:sz w:val="24"/>
          <w:szCs w:val="24"/>
          <w:highlight w:val="none"/>
        </w:rPr>
        <w:t>2、</w:t>
      </w:r>
      <w:bookmarkStart w:id="80" w:name="_Hlk101133173"/>
      <w:r>
        <w:rPr>
          <w:rFonts w:hint="eastAsia" w:cs="宋体" w:asciiTheme="minorEastAsia" w:hAnsiTheme="minorEastAsia" w:eastAsiaTheme="minorEastAsia"/>
          <w:color w:val="auto"/>
          <w:sz w:val="24"/>
          <w:szCs w:val="24"/>
          <w:highlight w:val="none"/>
        </w:rPr>
        <w:t>中小企业合同金额达到</w:t>
      </w:r>
      <w:r>
        <w:rPr>
          <w:rFonts w:hint="eastAsia" w:cs="宋体" w:asciiTheme="minorEastAsia" w:hAnsiTheme="minorEastAsia" w:eastAsiaTheme="minorEastAsia"/>
          <w:color w:val="auto"/>
          <w:sz w:val="24"/>
          <w:szCs w:val="24"/>
          <w:highlight w:val="none"/>
          <w:u w:val="single"/>
          <w:lang w:val="en-US" w:eastAsia="zh-CN"/>
        </w:rPr>
        <w:t xml:space="preserve">  </w:t>
      </w:r>
      <w:r>
        <w:rPr>
          <w:rFonts w:hint="eastAsia" w:cs="宋体" w:asciiTheme="minorEastAsia" w:hAnsiTheme="minorEastAsia" w:eastAsiaTheme="minorEastAsia"/>
          <w:color w:val="auto"/>
          <w:sz w:val="24"/>
          <w:szCs w:val="24"/>
          <w:highlight w:val="none"/>
        </w:rPr>
        <w:t>%，其中小微企业合同金额达到</w:t>
      </w:r>
      <w:r>
        <w:rPr>
          <w:rFonts w:hint="eastAsia" w:cs="宋体" w:asciiTheme="minorEastAsia" w:hAnsiTheme="minorEastAsia" w:eastAsiaTheme="minorEastAsia"/>
          <w:color w:val="auto"/>
          <w:sz w:val="24"/>
          <w:szCs w:val="24"/>
          <w:highlight w:val="none"/>
          <w:u w:val="single"/>
          <w:lang w:val="en-US" w:eastAsia="zh-CN"/>
        </w:rPr>
        <w:t xml:space="preserve">  </w:t>
      </w:r>
      <w:r>
        <w:rPr>
          <w:rFonts w:hint="eastAsia" w:cs="宋体" w:asciiTheme="minorEastAsia" w:hAnsiTheme="minorEastAsia" w:eastAsiaTheme="minorEastAsia"/>
          <w:color w:val="auto"/>
          <w:sz w:val="24"/>
          <w:szCs w:val="24"/>
          <w:highlight w:val="none"/>
        </w:rPr>
        <w:t>%</w:t>
      </w:r>
      <w:r>
        <w:rPr>
          <w:rFonts w:hint="eastAsia" w:cs="宋体" w:asciiTheme="minorEastAsia" w:hAnsiTheme="minorEastAsia" w:eastAsiaTheme="minorEastAsia"/>
          <w:color w:val="auto"/>
          <w:sz w:val="24"/>
          <w:szCs w:val="24"/>
          <w:highlight w:val="none"/>
          <w:lang w:val="zh-CN"/>
        </w:rPr>
        <w:t>。</w:t>
      </w:r>
      <w:r>
        <w:rPr>
          <w:rFonts w:hint="eastAsia" w:cs="宋体" w:asciiTheme="minorEastAsia" w:hAnsiTheme="minorEastAsia" w:eastAsiaTheme="minorEastAsia"/>
          <w:b/>
          <w:bCs/>
          <w:color w:val="auto"/>
          <w:sz w:val="24"/>
          <w:szCs w:val="24"/>
          <w:highlight w:val="none"/>
          <w:lang w:val="zh-CN"/>
        </w:rPr>
        <w:t>（</w:t>
      </w:r>
      <w:r>
        <w:rPr>
          <w:rFonts w:hint="eastAsia" w:cs="宋体" w:asciiTheme="minorEastAsia" w:hAnsiTheme="minorEastAsia" w:eastAsiaTheme="minorEastAsia"/>
          <w:b/>
          <w:bCs/>
          <w:color w:val="auto"/>
          <w:sz w:val="24"/>
          <w:szCs w:val="24"/>
          <w:highlight w:val="none"/>
        </w:rPr>
        <w:t>要求以联合体形式参加的项目或采购包，供应商按磋商文件第一部分竞争性磋商公告的资格要求中规定的联合协议中中小企业、小微企业合同金额应当达到的比例要求填写。</w:t>
      </w:r>
      <w:r>
        <w:rPr>
          <w:rFonts w:hint="eastAsia" w:cs="宋体" w:asciiTheme="minorEastAsia" w:hAnsiTheme="minorEastAsia" w:eastAsiaTheme="minorEastAsia"/>
          <w:b/>
          <w:bCs/>
          <w:color w:val="auto"/>
          <w:sz w:val="24"/>
          <w:szCs w:val="24"/>
          <w:highlight w:val="none"/>
          <w:lang w:val="zh-CN"/>
        </w:rPr>
        <w:t>）</w:t>
      </w:r>
      <w:bookmarkEnd w:id="80"/>
    </w:p>
    <w:p>
      <w:pPr>
        <w:snapToGrid w:val="0"/>
        <w:spacing w:line="360" w:lineRule="auto"/>
        <w:ind w:firstLine="576"/>
        <w:rPr>
          <w:rFonts w:cs="宋体" w:asciiTheme="minorEastAsia" w:hAnsiTheme="minorEastAsia" w:eastAsiaTheme="minorEastAsia"/>
          <w:color w:val="auto"/>
          <w:sz w:val="24"/>
          <w:szCs w:val="24"/>
          <w:highlight w:val="none"/>
          <w:lang w:val="zh-CN"/>
        </w:rPr>
      </w:pPr>
      <w:r>
        <w:rPr>
          <w:rFonts w:hint="eastAsia" w:cs="宋体" w:asciiTheme="minorEastAsia" w:hAnsiTheme="minorEastAsia" w:eastAsiaTheme="minorEastAsia"/>
          <w:color w:val="auto"/>
          <w:sz w:val="24"/>
          <w:szCs w:val="24"/>
          <w:highlight w:val="none"/>
          <w:lang w:val="zh-CN"/>
        </w:rPr>
        <w:t>五、如果成交，</w:t>
      </w:r>
      <w:r>
        <w:rPr>
          <w:rFonts w:hint="eastAsia" w:cs="宋体" w:asciiTheme="minorEastAsia" w:hAnsiTheme="minorEastAsia" w:eastAsiaTheme="minorEastAsia"/>
          <w:color w:val="auto"/>
          <w:sz w:val="24"/>
          <w:szCs w:val="24"/>
          <w:highlight w:val="none"/>
        </w:rPr>
        <w:t>联合体各成员方共同与采购人签订合同，并就采购合同约定的事项对采购人承担连带责任。</w:t>
      </w:r>
    </w:p>
    <w:p>
      <w:pPr>
        <w:snapToGrid w:val="0"/>
        <w:spacing w:line="360" w:lineRule="auto"/>
        <w:ind w:firstLine="576"/>
        <w:rPr>
          <w:rFonts w:cs="宋体" w:asciiTheme="minorEastAsia" w:hAnsiTheme="minorEastAsia" w:eastAsiaTheme="minorEastAsia"/>
          <w:color w:val="auto"/>
          <w:sz w:val="24"/>
          <w:szCs w:val="24"/>
          <w:highlight w:val="none"/>
          <w:lang w:val="zh-CN"/>
        </w:rPr>
      </w:pPr>
      <w:r>
        <w:rPr>
          <w:rFonts w:hint="eastAsia" w:cs="宋体" w:asciiTheme="minorEastAsia" w:hAnsiTheme="minorEastAsia" w:eastAsiaTheme="minorEastAsia"/>
          <w:color w:val="auto"/>
          <w:sz w:val="24"/>
          <w:szCs w:val="24"/>
          <w:highlight w:val="none"/>
          <w:lang w:val="zh-CN"/>
        </w:rPr>
        <w:t>六、有关本次联合响应的其他事宜：</w:t>
      </w:r>
    </w:p>
    <w:p>
      <w:pPr>
        <w:snapToGrid w:val="0"/>
        <w:spacing w:line="360" w:lineRule="auto"/>
        <w:ind w:firstLine="576"/>
        <w:rPr>
          <w:rFonts w:cs="宋体" w:asciiTheme="minorEastAsia" w:hAnsiTheme="minorEastAsia" w:eastAsiaTheme="minorEastAsia"/>
          <w:color w:val="auto"/>
          <w:sz w:val="24"/>
          <w:szCs w:val="24"/>
          <w:highlight w:val="none"/>
          <w:lang w:val="zh-CN"/>
        </w:rPr>
      </w:pPr>
      <w:r>
        <w:rPr>
          <w:rFonts w:hint="eastAsia" w:cs="宋体" w:asciiTheme="minorEastAsia" w:hAnsiTheme="minorEastAsia" w:eastAsiaTheme="minorEastAsia"/>
          <w:color w:val="auto"/>
          <w:sz w:val="24"/>
          <w:szCs w:val="24"/>
          <w:highlight w:val="none"/>
          <w:lang w:val="zh-CN"/>
        </w:rPr>
        <w:t>1、联合体各方不再单独参加或者与其他供应商另外组成联合体参加同一合同项下的政府采购活动。</w:t>
      </w:r>
    </w:p>
    <w:p>
      <w:pPr>
        <w:snapToGrid w:val="0"/>
        <w:spacing w:line="360" w:lineRule="auto"/>
        <w:ind w:firstLine="576"/>
        <w:rPr>
          <w:rFonts w:cs="宋体" w:asciiTheme="minorEastAsia" w:hAnsiTheme="minorEastAsia" w:eastAsiaTheme="minorEastAsia"/>
          <w:color w:val="auto"/>
          <w:sz w:val="24"/>
          <w:szCs w:val="24"/>
          <w:highlight w:val="none"/>
          <w:lang w:val="zh-CN"/>
        </w:rPr>
      </w:pPr>
      <w:r>
        <w:rPr>
          <w:rFonts w:hint="eastAsia" w:cs="宋体" w:asciiTheme="minorEastAsia" w:hAnsiTheme="minorEastAsia" w:eastAsiaTheme="minorEastAsia"/>
          <w:color w:val="auto"/>
          <w:sz w:val="24"/>
          <w:szCs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cs="宋体" w:asciiTheme="minorEastAsia" w:hAnsiTheme="minorEastAsia" w:eastAsiaTheme="minorEastAsia"/>
          <w:color w:val="auto"/>
          <w:sz w:val="24"/>
          <w:szCs w:val="24"/>
          <w:highlight w:val="none"/>
          <w:lang w:val="zh-CN"/>
        </w:rPr>
      </w:pPr>
      <w:r>
        <w:rPr>
          <w:rFonts w:hint="eastAsia" w:cs="宋体" w:asciiTheme="minorEastAsia" w:hAnsiTheme="minorEastAsia" w:eastAsiaTheme="minorEastAsia"/>
          <w:color w:val="auto"/>
          <w:sz w:val="24"/>
          <w:szCs w:val="24"/>
          <w:highlight w:val="none"/>
          <w:lang w:val="zh-CN"/>
        </w:rPr>
        <w:t>3、本协议提交采购人、采购代理机构后，联合体各方不得以任何形式对上述内容进行修改或撤销。</w:t>
      </w:r>
    </w:p>
    <w:p>
      <w:pPr>
        <w:snapToGrid w:val="0"/>
        <w:spacing w:line="360" w:lineRule="auto"/>
        <w:ind w:firstLine="5040" w:firstLineChars="2100"/>
        <w:rPr>
          <w:rFonts w:cs="宋体" w:asciiTheme="minorEastAsia" w:hAnsiTheme="minorEastAsia" w:eastAsiaTheme="minorEastAsia"/>
          <w:color w:val="auto"/>
          <w:sz w:val="24"/>
          <w:szCs w:val="24"/>
          <w:highlight w:val="none"/>
          <w:lang w:val="zh-CN"/>
        </w:rPr>
      </w:pPr>
      <w:r>
        <w:rPr>
          <w:rFonts w:hint="eastAsia" w:cs="宋体" w:asciiTheme="minorEastAsia" w:hAnsiTheme="minorEastAsia" w:eastAsiaTheme="minorEastAsia"/>
          <w:color w:val="auto"/>
          <w:sz w:val="24"/>
          <w:szCs w:val="24"/>
          <w:highlight w:val="none"/>
          <w:lang w:val="zh-CN"/>
        </w:rPr>
        <w:t>联合体成员名称(电子签名/公章)：</w:t>
      </w:r>
    </w:p>
    <w:p>
      <w:pPr>
        <w:snapToGrid w:val="0"/>
        <w:spacing w:line="360" w:lineRule="auto"/>
        <w:ind w:firstLine="5040" w:firstLineChars="2100"/>
        <w:jc w:val="left"/>
        <w:rPr>
          <w:rFonts w:cs="宋体" w:asciiTheme="minorEastAsia" w:hAnsiTheme="minorEastAsia" w:eastAsiaTheme="minorEastAsia"/>
          <w:color w:val="auto"/>
          <w:sz w:val="24"/>
          <w:szCs w:val="24"/>
          <w:highlight w:val="none"/>
          <w:lang w:val="zh-CN"/>
        </w:rPr>
      </w:pPr>
      <w:r>
        <w:rPr>
          <w:rFonts w:hint="eastAsia" w:cs="宋体" w:asciiTheme="minorEastAsia" w:hAnsiTheme="minorEastAsia" w:eastAsiaTheme="minorEastAsia"/>
          <w:color w:val="auto"/>
          <w:sz w:val="24"/>
          <w:szCs w:val="24"/>
          <w:highlight w:val="none"/>
          <w:lang w:val="zh-CN"/>
        </w:rPr>
        <w:t>联合体成员名称(电子签名/公章)：</w:t>
      </w:r>
    </w:p>
    <w:p>
      <w:pPr>
        <w:snapToGrid w:val="0"/>
        <w:spacing w:line="360" w:lineRule="auto"/>
        <w:ind w:firstLine="5760" w:firstLineChars="2400"/>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lang w:val="zh-CN"/>
        </w:rPr>
        <w:t>……</w:t>
      </w:r>
    </w:p>
    <w:p>
      <w:pPr>
        <w:snapToGrid w:val="0"/>
        <w:spacing w:line="360" w:lineRule="auto"/>
        <w:jc w:val="right"/>
        <w:rPr>
          <w:rFonts w:cs="宋体" w:asciiTheme="minorEastAsia" w:hAnsiTheme="minorEastAsia" w:eastAsiaTheme="minorEastAsia"/>
          <w:color w:val="auto"/>
          <w:sz w:val="24"/>
          <w:szCs w:val="24"/>
          <w:highlight w:val="none"/>
          <w:lang w:val="zh-CN"/>
        </w:rPr>
      </w:pPr>
      <w:r>
        <w:rPr>
          <w:rFonts w:hint="eastAsia" w:cs="宋体" w:asciiTheme="minorEastAsia" w:hAnsiTheme="minorEastAsia" w:eastAsiaTheme="minorEastAsia"/>
          <w:color w:val="auto"/>
          <w:sz w:val="24"/>
          <w:szCs w:val="24"/>
          <w:highlight w:val="none"/>
          <w:lang w:val="zh-CN"/>
        </w:rPr>
        <w:t>日期：  年  月   日</w:t>
      </w:r>
    </w:p>
    <w:p>
      <w:pPr>
        <w:spacing w:line="360" w:lineRule="auto"/>
        <w:ind w:right="420"/>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注：按本格式和要求提供。</w:t>
      </w:r>
    </w:p>
    <w:p>
      <w:pPr>
        <w:snapToGrid w:val="0"/>
        <w:spacing w:line="360" w:lineRule="auto"/>
        <w:ind w:right="480"/>
        <w:jc w:val="center"/>
        <w:rPr>
          <w:rFonts w:cs="仿宋_GB2312" w:asciiTheme="minorEastAsia" w:hAnsiTheme="minorEastAsia" w:eastAsiaTheme="minorEastAsia"/>
          <w:b/>
          <w:color w:val="auto"/>
          <w:sz w:val="24"/>
          <w:szCs w:val="24"/>
          <w:highlight w:val="none"/>
        </w:rPr>
      </w:pPr>
    </w:p>
    <w:p>
      <w:pPr>
        <w:widowControl/>
        <w:jc w:val="left"/>
        <w:rPr>
          <w:rFonts w:cs="仿宋_GB2312" w:asciiTheme="minorEastAsia" w:hAnsiTheme="minorEastAsia" w:eastAsiaTheme="minorEastAsia"/>
          <w:b/>
          <w:color w:val="auto"/>
          <w:sz w:val="24"/>
          <w:szCs w:val="24"/>
          <w:highlight w:val="none"/>
        </w:rPr>
      </w:pPr>
      <w:r>
        <w:rPr>
          <w:rFonts w:cs="仿宋_GB2312" w:asciiTheme="minorEastAsia" w:hAnsiTheme="minorEastAsia" w:eastAsiaTheme="minorEastAsia"/>
          <w:b/>
          <w:color w:val="auto"/>
          <w:sz w:val="24"/>
          <w:szCs w:val="24"/>
          <w:highlight w:val="none"/>
        </w:rPr>
        <w:br w:type="page"/>
      </w:r>
    </w:p>
    <w:p>
      <w:pPr>
        <w:rPr>
          <w:b/>
          <w:bCs/>
          <w:color w:val="auto"/>
          <w:sz w:val="24"/>
          <w:szCs w:val="24"/>
          <w:highlight w:val="none"/>
        </w:rPr>
        <w:sectPr>
          <w:pgSz w:w="11906" w:h="16838"/>
          <w:pgMar w:top="1134" w:right="1247" w:bottom="1247" w:left="1304" w:header="794" w:footer="794" w:gutter="0"/>
          <w:cols w:space="720" w:num="1"/>
          <w:docGrid w:type="lines" w:linePitch="312" w:charSpace="0"/>
        </w:sectPr>
      </w:pPr>
    </w:p>
    <w:p>
      <w:pPr>
        <w:jc w:val="center"/>
        <w:rPr>
          <w:color w:val="auto"/>
          <w:sz w:val="24"/>
          <w:szCs w:val="24"/>
          <w:highlight w:val="none"/>
        </w:rPr>
      </w:pPr>
      <w:r>
        <w:rPr>
          <w:rFonts w:hint="eastAsia" w:ascii="??" w:hAnsi="??" w:eastAsia="??" w:cs="宋体"/>
          <w:b/>
          <w:color w:val="auto"/>
          <w:sz w:val="24"/>
          <w:szCs w:val="24"/>
          <w:highlight w:val="none"/>
        </w:rPr>
        <w:t>四</w:t>
      </w:r>
      <w:r>
        <w:rPr>
          <w:rFonts w:hint="eastAsia"/>
          <w:b/>
          <w:color w:val="auto"/>
          <w:sz w:val="24"/>
          <w:szCs w:val="24"/>
          <w:highlight w:val="none"/>
        </w:rPr>
        <w:t>、</w:t>
      </w:r>
      <w:r>
        <w:rPr>
          <w:b/>
          <w:color w:val="auto"/>
          <w:sz w:val="24"/>
          <w:szCs w:val="24"/>
          <w:highlight w:val="none"/>
        </w:rPr>
        <w:t>符合特定资格条件的相关证明材料</w:t>
      </w:r>
      <w:r>
        <w:rPr>
          <w:rFonts w:hint="eastAsia"/>
          <w:b/>
          <w:color w:val="auto"/>
          <w:sz w:val="24"/>
          <w:szCs w:val="24"/>
          <w:highlight w:val="none"/>
        </w:rPr>
        <w:t>（如有）</w:t>
      </w:r>
    </w:p>
    <w:p>
      <w:pPr>
        <w:snapToGrid w:val="0"/>
        <w:spacing w:before="50" w:after="50" w:line="360" w:lineRule="auto"/>
        <w:jc w:val="center"/>
        <w:rPr>
          <w:rFonts w:ascii="仿宋_GB2312" w:hAnsi="仿宋" w:eastAsia="仿宋_GB2312" w:cs="仿宋_GB2312"/>
          <w:b/>
          <w:color w:val="auto"/>
          <w:sz w:val="32"/>
          <w:szCs w:val="32"/>
          <w:highlight w:val="none"/>
        </w:rPr>
      </w:pPr>
    </w:p>
    <w:p>
      <w:pPr>
        <w:rPr>
          <w:rFonts w:ascii="Arial" w:hAnsi="Arial" w:cs="Arial"/>
          <w:color w:val="auto"/>
          <w:szCs w:val="21"/>
          <w:highlight w:val="none"/>
        </w:rPr>
      </w:pPr>
      <w:r>
        <w:rPr>
          <w:rFonts w:ascii="Arial" w:hAnsi="Arial" w:cs="Arial"/>
          <w:color w:val="auto"/>
          <w:szCs w:val="21"/>
          <w:highlight w:val="none"/>
        </w:rPr>
        <w:br w:type="page"/>
      </w:r>
    </w:p>
    <w:p>
      <w:pPr>
        <w:shd w:val="clear" w:color="auto" w:fill="FFFFFF"/>
        <w:adjustRightInd w:val="0"/>
        <w:snapToGrid w:val="0"/>
        <w:spacing w:line="360" w:lineRule="auto"/>
        <w:jc w:val="center"/>
        <w:outlineLvl w:val="1"/>
        <w:rPr>
          <w:rFonts w:ascii="宋体" w:hAnsi="宋体" w:cs="宋体"/>
          <w:b/>
          <w:color w:val="auto"/>
          <w:kern w:val="36"/>
          <w:sz w:val="32"/>
          <w:szCs w:val="28"/>
          <w:highlight w:val="none"/>
        </w:rPr>
      </w:pPr>
      <w:bookmarkStart w:id="81" w:name="_Toc31953"/>
      <w:bookmarkStart w:id="82" w:name="_Toc354996707"/>
      <w:bookmarkStart w:id="83" w:name="_Toc13599"/>
      <w:bookmarkStart w:id="84" w:name="_Toc18112"/>
      <w:bookmarkStart w:id="85" w:name="_Toc2547"/>
      <w:r>
        <w:rPr>
          <w:rFonts w:hint="eastAsia" w:ascii="宋体" w:hAnsi="宋体" w:cs="宋体"/>
          <w:b/>
          <w:color w:val="auto"/>
          <w:kern w:val="36"/>
          <w:sz w:val="32"/>
          <w:szCs w:val="28"/>
          <w:highlight w:val="none"/>
        </w:rPr>
        <w:t>报价文件</w:t>
      </w:r>
      <w:bookmarkEnd w:id="81"/>
      <w:bookmarkEnd w:id="82"/>
      <w:bookmarkEnd w:id="83"/>
      <w:bookmarkEnd w:id="84"/>
      <w:bookmarkEnd w:id="85"/>
    </w:p>
    <w:p>
      <w:pPr>
        <w:shd w:val="clear" w:color="auto" w:fill="FFFFFF"/>
        <w:adjustRightInd w:val="0"/>
        <w:snapToGrid w:val="0"/>
        <w:spacing w:line="360" w:lineRule="auto"/>
        <w:jc w:val="center"/>
        <w:rPr>
          <w:rFonts w:ascii="宋体" w:hAnsi="宋体" w:cs="宋体"/>
          <w:b/>
          <w:bCs/>
          <w:color w:val="auto"/>
          <w:sz w:val="24"/>
          <w:szCs w:val="24"/>
          <w:highlight w:val="none"/>
        </w:rPr>
      </w:pPr>
    </w:p>
    <w:p>
      <w:pPr>
        <w:shd w:val="clear" w:color="auto" w:fill="FFFFFF"/>
        <w:adjustRightInd w:val="0"/>
        <w:snapToGrid w:val="0"/>
        <w:spacing w:line="360" w:lineRule="auto"/>
        <w:jc w:val="center"/>
        <w:rPr>
          <w:rFonts w:ascii="宋体" w:hAnsi="宋体" w:cs="宋体"/>
          <w:b/>
          <w:bCs/>
          <w:color w:val="auto"/>
          <w:sz w:val="24"/>
          <w:szCs w:val="24"/>
          <w:highlight w:val="none"/>
        </w:rPr>
      </w:pPr>
      <w:r>
        <w:rPr>
          <w:rFonts w:hint="eastAsia" w:ascii="宋体" w:hAnsi="宋体" w:cs="宋体"/>
          <w:b/>
          <w:bCs/>
          <w:color w:val="auto"/>
          <w:sz w:val="24"/>
          <w:szCs w:val="24"/>
          <w:highlight w:val="none"/>
        </w:rPr>
        <w:t>目录</w:t>
      </w:r>
    </w:p>
    <w:p>
      <w:pPr>
        <w:shd w:val="clear" w:color="auto" w:fill="FFFFFF"/>
        <w:adjustRightInd w:val="0"/>
        <w:snapToGrid w:val="0"/>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（1）磋商响应初始报价一览表…………………………………………………（页码）</w:t>
      </w:r>
    </w:p>
    <w:p>
      <w:pPr>
        <w:shd w:val="clear" w:color="auto" w:fill="FFFFFF"/>
        <w:adjustRightInd w:val="0"/>
        <w:snapToGrid w:val="0"/>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（2）交纳采购代理服务费承诺书………………………………………………（页码）</w:t>
      </w:r>
    </w:p>
    <w:p>
      <w:pPr>
        <w:pageBreakBefore/>
        <w:shd w:val="clear" w:color="auto" w:fill="FFFFFF"/>
        <w:adjustRightInd w:val="0"/>
        <w:snapToGrid w:val="0"/>
        <w:spacing w:line="360" w:lineRule="auto"/>
        <w:jc w:val="center"/>
        <w:outlineLvl w:val="2"/>
        <w:rPr>
          <w:rFonts w:ascii="宋体" w:hAnsi="宋体" w:cs="宋体"/>
          <w:b/>
          <w:color w:val="auto"/>
          <w:sz w:val="28"/>
          <w:szCs w:val="28"/>
          <w:highlight w:val="none"/>
        </w:rPr>
      </w:pPr>
      <w:bookmarkStart w:id="86" w:name="_Toc233618990"/>
      <w:bookmarkStart w:id="87" w:name="_Toc3213"/>
      <w:r>
        <w:rPr>
          <w:rFonts w:hint="eastAsia" w:ascii="宋体" w:hAnsi="宋体" w:cs="宋体"/>
          <w:b/>
          <w:bCs/>
          <w:color w:val="auto"/>
          <w:sz w:val="24"/>
          <w:highlight w:val="none"/>
        </w:rPr>
        <w:t>一、</w:t>
      </w:r>
      <w:bookmarkEnd w:id="86"/>
      <w:r>
        <w:rPr>
          <w:rFonts w:hint="eastAsia" w:ascii="宋体" w:hAnsi="宋体" w:cs="宋体"/>
          <w:b/>
          <w:color w:val="auto"/>
          <w:sz w:val="28"/>
          <w:szCs w:val="28"/>
          <w:highlight w:val="none"/>
        </w:rPr>
        <w:t>磋商响应初始报价一览表</w:t>
      </w:r>
      <w:bookmarkEnd w:id="87"/>
    </w:p>
    <w:p>
      <w:pPr>
        <w:shd w:val="clear" w:color="auto" w:fill="FFFFFF"/>
        <w:adjustRightInd w:val="0"/>
        <w:snapToGrid w:val="0"/>
        <w:spacing w:line="360" w:lineRule="auto"/>
        <w:rPr>
          <w:rFonts w:ascii="宋体" w:hAnsi="宋体" w:cs="宋体"/>
          <w:color w:val="auto"/>
          <w:sz w:val="24"/>
          <w:szCs w:val="24"/>
          <w:highlight w:val="none"/>
        </w:rPr>
      </w:pPr>
    </w:p>
    <w:p>
      <w:pPr>
        <w:shd w:val="clear" w:color="auto" w:fill="FFFFFF"/>
        <w:adjustRightInd w:val="0"/>
        <w:snapToGrid w:val="0"/>
        <w:spacing w:line="360" w:lineRule="auto"/>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项目名称：浙江省拱宸强制隔离戒毒所“红色基地”整体改造设计项目</w:t>
      </w:r>
    </w:p>
    <w:p>
      <w:pPr>
        <w:shd w:val="clear" w:color="auto" w:fill="FFFFFF"/>
        <w:adjustRightInd w:val="0"/>
        <w:snapToGrid w:val="0"/>
        <w:spacing w:line="360" w:lineRule="auto"/>
        <w:rPr>
          <w:rFonts w:ascii="宋体" w:hAnsi="宋体" w:cs="宋体"/>
          <w:color w:val="auto"/>
          <w:sz w:val="24"/>
          <w:szCs w:val="24"/>
          <w:highlight w:val="none"/>
          <w:lang w:val="zh-CN"/>
        </w:rPr>
      </w:pPr>
      <w:r>
        <w:rPr>
          <w:rFonts w:hint="eastAsia" w:ascii="宋体" w:hAnsi="宋体" w:cs="宋体"/>
          <w:color w:val="auto"/>
          <w:sz w:val="24"/>
          <w:szCs w:val="24"/>
          <w:highlight w:val="none"/>
        </w:rPr>
        <w:t>项目</w:t>
      </w:r>
      <w:r>
        <w:rPr>
          <w:rFonts w:hint="eastAsia" w:ascii="宋体" w:hAnsi="宋体" w:cs="宋体"/>
          <w:color w:val="auto"/>
          <w:sz w:val="24"/>
          <w:szCs w:val="24"/>
          <w:highlight w:val="none"/>
          <w:lang w:val="zh-CN"/>
        </w:rPr>
        <w:t>编号：HSZB-2023-852</w:t>
      </w:r>
    </w:p>
    <w:p>
      <w:pPr>
        <w:spacing w:line="360" w:lineRule="auto"/>
        <w:ind w:right="480"/>
        <w:rPr>
          <w:color w:val="auto"/>
          <w:sz w:val="24"/>
          <w:szCs w:val="24"/>
          <w:highlight w:val="none"/>
        </w:rPr>
      </w:pPr>
    </w:p>
    <w:tbl>
      <w:tblPr>
        <w:tblStyle w:val="32"/>
        <w:tblW w:w="0" w:type="auto"/>
        <w:tblInd w:w="21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8" w:hRule="atLeast"/>
        </w:trPr>
        <w:tc>
          <w:tcPr>
            <w:tcW w:w="8522" w:type="dxa"/>
            <w:noWrap w:val="0"/>
            <w:vAlign w:val="center"/>
          </w:tcPr>
          <w:p>
            <w:pPr>
              <w:adjustRightInd w:val="0"/>
              <w:spacing w:line="360" w:lineRule="auto"/>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总报价（人民币）¥</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w:t>
            </w:r>
          </w:p>
          <w:p>
            <w:pPr>
              <w:adjustRightInd w:val="0"/>
              <w:spacing w:line="360" w:lineRule="auto"/>
              <w:ind w:firstLine="1260" w:firstLineChars="6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大写：</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元</w:t>
            </w:r>
          </w:p>
        </w:tc>
      </w:tr>
    </w:tbl>
    <w:p>
      <w:pPr>
        <w:snapToGrid w:val="0"/>
        <w:spacing w:before="50" w:after="50" w:line="360" w:lineRule="exact"/>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说明：</w:t>
      </w:r>
    </w:p>
    <w:p>
      <w:pPr>
        <w:snapToGrid w:val="0"/>
        <w:spacing w:before="50" w:after="50" w:line="360" w:lineRule="exact"/>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1.有关本项目实施所涉及的一切费用均计入报价；</w:t>
      </w:r>
    </w:p>
    <w:p>
      <w:pPr>
        <w:snapToGrid w:val="0"/>
        <w:spacing w:before="50" w:after="50" w:line="360" w:lineRule="exact"/>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▲2.采购人将以合同形式有偿取得服务，不接受供应商给予的回扣或者与采购无关的其他服务。</w:t>
      </w:r>
    </w:p>
    <w:p>
      <w:pPr>
        <w:shd w:val="clear" w:color="auto" w:fill="FFFFFF"/>
        <w:adjustRightInd w:val="0"/>
        <w:snapToGrid w:val="0"/>
        <w:spacing w:line="360" w:lineRule="auto"/>
        <w:rPr>
          <w:rFonts w:ascii="宋体" w:hAnsi="宋体" w:cs="宋体"/>
          <w:color w:val="auto"/>
          <w:sz w:val="24"/>
          <w:szCs w:val="24"/>
          <w:highlight w:val="none"/>
        </w:rPr>
      </w:pPr>
    </w:p>
    <w:p>
      <w:pPr>
        <w:shd w:val="clear" w:color="auto" w:fill="FFFFFF"/>
        <w:adjustRightInd w:val="0"/>
        <w:snapToGrid w:val="0"/>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供应商名称（公章）:</w:t>
      </w:r>
    </w:p>
    <w:p>
      <w:pPr>
        <w:rPr>
          <w:color w:val="auto"/>
          <w:sz w:val="24"/>
          <w:szCs w:val="24"/>
          <w:highlight w:val="none"/>
          <w:lang w:val="zh-CN"/>
        </w:rPr>
      </w:pPr>
      <w:r>
        <w:rPr>
          <w:rFonts w:hint="eastAsia" w:ascii="宋体" w:hAnsi="宋体" w:cs="宋体"/>
          <w:color w:val="auto"/>
          <w:sz w:val="24"/>
          <w:szCs w:val="24"/>
          <w:highlight w:val="none"/>
          <w:lang w:val="zh-CN"/>
        </w:rPr>
        <w:t>日期：</w:t>
      </w:r>
    </w:p>
    <w:p>
      <w:pPr>
        <w:pStyle w:val="113"/>
        <w:rPr>
          <w:color w:val="auto"/>
          <w:highlight w:val="none"/>
          <w:lang w:val="zh-CN"/>
        </w:rPr>
      </w:pPr>
    </w:p>
    <w:p>
      <w:pPr>
        <w:pStyle w:val="114"/>
        <w:rPr>
          <w:color w:val="auto"/>
          <w:highlight w:val="none"/>
          <w:lang w:val="zh-CN"/>
        </w:rPr>
      </w:pPr>
    </w:p>
    <w:p>
      <w:pPr>
        <w:rPr>
          <w:color w:val="auto"/>
          <w:highlight w:val="none"/>
          <w:lang w:val="zh-CN"/>
        </w:rPr>
      </w:pPr>
    </w:p>
    <w:p>
      <w:pPr>
        <w:shd w:val="clear" w:color="auto" w:fill="FFFFFF"/>
        <w:adjustRightInd w:val="0"/>
        <w:snapToGrid w:val="0"/>
        <w:spacing w:line="360" w:lineRule="auto"/>
        <w:rPr>
          <w:rFonts w:ascii="宋体" w:hAnsi="宋体" w:cs="宋体"/>
          <w:b/>
          <w:bCs/>
          <w:color w:val="auto"/>
          <w:sz w:val="24"/>
          <w:highlight w:val="none"/>
          <w:lang w:val="zh-CN"/>
        </w:rPr>
        <w:sectPr>
          <w:pgSz w:w="11906" w:h="16838"/>
          <w:pgMar w:top="1478" w:right="1474" w:bottom="860" w:left="1588" w:header="851" w:footer="992" w:gutter="0"/>
          <w:cols w:space="720" w:num="1"/>
          <w:docGrid w:type="lines" w:linePitch="312" w:charSpace="0"/>
        </w:sectPr>
      </w:pPr>
    </w:p>
    <w:p>
      <w:pPr>
        <w:pageBreakBefore/>
        <w:shd w:val="clear" w:color="auto" w:fill="FFFFFF"/>
        <w:adjustRightInd w:val="0"/>
        <w:snapToGrid w:val="0"/>
        <w:spacing w:line="360" w:lineRule="auto"/>
        <w:ind w:firstLine="482" w:firstLineChars="200"/>
        <w:jc w:val="center"/>
        <w:outlineLvl w:val="2"/>
        <w:rPr>
          <w:rFonts w:hint="eastAsia" w:ascii="宋体" w:hAnsi="宋体" w:eastAsia="宋体" w:cs="宋体"/>
          <w:b/>
          <w:bCs/>
          <w:color w:val="auto"/>
          <w:sz w:val="24"/>
          <w:szCs w:val="24"/>
          <w:highlight w:val="none"/>
          <w:lang w:val="en-US" w:eastAsia="zh-CN"/>
        </w:rPr>
      </w:pPr>
      <w:bookmarkStart w:id="88" w:name="_Toc7998"/>
      <w:bookmarkStart w:id="89" w:name="_Toc354996708"/>
      <w:r>
        <w:rPr>
          <w:rFonts w:hint="eastAsia" w:ascii="宋体" w:hAnsi="宋体" w:eastAsia="宋体" w:cs="宋体"/>
          <w:b/>
          <w:bCs/>
          <w:color w:val="auto"/>
          <w:sz w:val="24"/>
          <w:szCs w:val="24"/>
          <w:highlight w:val="none"/>
          <w:lang w:val="en-US" w:eastAsia="zh-CN"/>
        </w:rPr>
        <w:t>二、设计费报价明细表</w:t>
      </w:r>
    </w:p>
    <w:p>
      <w:pPr>
        <w:numPr>
          <w:ilvl w:val="0"/>
          <w:numId w:val="0"/>
        </w:numPr>
        <w:bidi w:val="0"/>
        <w:rPr>
          <w:rFonts w:hint="default" w:ascii="宋体" w:hAnsi="宋体" w:cs="宋体"/>
          <w:b/>
          <w:bCs/>
          <w:color w:val="auto"/>
          <w:szCs w:val="24"/>
          <w:highlight w:val="none"/>
          <w:lang w:val="en-US" w:eastAsia="zh-CN"/>
        </w:rPr>
      </w:pPr>
    </w:p>
    <w:p>
      <w:pPr>
        <w:numPr>
          <w:ilvl w:val="0"/>
          <w:numId w:val="0"/>
        </w:numPr>
        <w:bidi w:val="0"/>
        <w:rPr>
          <w:rFonts w:hint="default" w:ascii="宋体" w:hAnsi="宋体" w:cs="宋体"/>
          <w:b/>
          <w:bCs/>
          <w:color w:val="auto"/>
          <w:szCs w:val="24"/>
          <w:highlight w:val="none"/>
          <w:lang w:val="en-US" w:eastAsia="zh-CN"/>
        </w:rPr>
      </w:pPr>
      <w:r>
        <w:rPr>
          <w:rFonts w:hint="default" w:ascii="宋体" w:hAnsi="宋体" w:cs="宋体"/>
          <w:b/>
          <w:bCs/>
          <w:color w:val="auto"/>
          <w:szCs w:val="24"/>
          <w:highlight w:val="none"/>
          <w:lang w:val="en-US" w:eastAsia="zh-CN"/>
        </w:rPr>
        <w:t>项目名称：浙江省拱宸强制隔离戒毒所“红色基地”整体改造设计项目</w:t>
      </w:r>
    </w:p>
    <w:p>
      <w:pPr>
        <w:numPr>
          <w:ilvl w:val="0"/>
          <w:numId w:val="0"/>
        </w:numPr>
        <w:bidi w:val="0"/>
        <w:rPr>
          <w:rFonts w:hint="default" w:ascii="宋体" w:hAnsi="宋体" w:cs="宋体"/>
          <w:b/>
          <w:bCs/>
          <w:color w:val="auto"/>
          <w:szCs w:val="24"/>
          <w:highlight w:val="none"/>
          <w:lang w:val="en-US" w:eastAsia="zh-CN"/>
        </w:rPr>
      </w:pPr>
      <w:r>
        <w:rPr>
          <w:rFonts w:hint="default" w:ascii="宋体" w:hAnsi="宋体" w:cs="宋体"/>
          <w:b/>
          <w:bCs/>
          <w:color w:val="auto"/>
          <w:szCs w:val="24"/>
          <w:highlight w:val="none"/>
          <w:lang w:val="en-US" w:eastAsia="zh-CN"/>
        </w:rPr>
        <w:t>项目编号：HSZB-2023-852</w:t>
      </w:r>
    </w:p>
    <w:p>
      <w:pPr>
        <w:numPr>
          <w:ilvl w:val="0"/>
          <w:numId w:val="0"/>
        </w:numPr>
        <w:bidi w:val="0"/>
        <w:rPr>
          <w:rFonts w:hint="default" w:ascii="宋体" w:hAnsi="宋体" w:cs="宋体"/>
          <w:b/>
          <w:bCs/>
          <w:color w:val="auto"/>
          <w:szCs w:val="24"/>
          <w:highlight w:val="none"/>
          <w:lang w:val="en-US" w:eastAsia="zh-CN"/>
        </w:rPr>
      </w:pPr>
    </w:p>
    <w:p>
      <w:pPr>
        <w:keepNext/>
        <w:keepLines/>
        <w:spacing w:line="360" w:lineRule="auto"/>
        <w:jc w:val="center"/>
        <w:outlineLvl w:val="3"/>
        <w:rPr>
          <w:rFonts w:hint="eastAsia" w:ascii="宋体" w:hAnsi="宋体" w:eastAsia="宋体" w:cs="宋体"/>
          <w:b/>
          <w:bCs/>
          <w:color w:val="auto"/>
          <w:highlight w:val="none"/>
        </w:rPr>
      </w:pPr>
      <w:r>
        <w:rPr>
          <w:rFonts w:hint="eastAsia" w:ascii="宋体" w:hAnsi="宋体" w:eastAsia="宋体" w:cs="宋体"/>
          <w:b/>
          <w:bCs/>
          <w:color w:val="auto"/>
          <w:highlight w:val="none"/>
        </w:rPr>
        <w:t>设计费报价明细</w:t>
      </w:r>
    </w:p>
    <w:tbl>
      <w:tblPr>
        <w:tblStyle w:val="3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0"/>
        <w:gridCol w:w="3380"/>
        <w:gridCol w:w="2410"/>
        <w:gridCol w:w="26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080" w:type="dxa"/>
            <w:noWrap w:val="0"/>
            <w:vAlign w:val="center"/>
          </w:tcPr>
          <w:p>
            <w:pPr>
              <w:tabs>
                <w:tab w:val="left" w:pos="2670"/>
              </w:tabs>
              <w:adjustRightInd w:val="0"/>
              <w:jc w:val="center"/>
              <w:rPr>
                <w:rFonts w:hint="eastAsia" w:ascii="宋体" w:hAnsi="宋体" w:eastAsia="宋体" w:cs="宋体"/>
                <w:b/>
                <w:bCs/>
                <w:color w:val="auto"/>
                <w:szCs w:val="21"/>
                <w:highlight w:val="none"/>
                <w:lang w:val="zh-CN"/>
              </w:rPr>
            </w:pPr>
            <w:r>
              <w:rPr>
                <w:rFonts w:hint="eastAsia" w:ascii="宋体" w:hAnsi="宋体" w:eastAsia="宋体" w:cs="宋体"/>
                <w:b/>
                <w:bCs/>
                <w:color w:val="auto"/>
                <w:szCs w:val="21"/>
                <w:highlight w:val="none"/>
                <w:lang w:val="zh-CN"/>
              </w:rPr>
              <w:t>序号</w:t>
            </w:r>
          </w:p>
        </w:tc>
        <w:tc>
          <w:tcPr>
            <w:tcW w:w="3380" w:type="dxa"/>
            <w:noWrap w:val="0"/>
            <w:vAlign w:val="center"/>
          </w:tcPr>
          <w:p>
            <w:pPr>
              <w:tabs>
                <w:tab w:val="left" w:pos="2670"/>
              </w:tabs>
              <w:adjustRightInd w:val="0"/>
              <w:jc w:val="center"/>
              <w:rPr>
                <w:rFonts w:hint="eastAsia" w:ascii="宋体" w:hAnsi="宋体" w:eastAsia="宋体" w:cs="宋体"/>
                <w:b/>
                <w:bCs/>
                <w:color w:val="auto"/>
                <w:szCs w:val="21"/>
                <w:highlight w:val="none"/>
                <w:lang w:val="zh-CN"/>
              </w:rPr>
            </w:pPr>
            <w:r>
              <w:rPr>
                <w:rFonts w:hint="eastAsia" w:ascii="宋体" w:hAnsi="宋体" w:eastAsia="宋体" w:cs="宋体"/>
                <w:b/>
                <w:bCs/>
                <w:color w:val="auto"/>
                <w:szCs w:val="21"/>
                <w:highlight w:val="none"/>
                <w:lang w:val="zh-CN"/>
              </w:rPr>
              <w:t>项目</w:t>
            </w:r>
          </w:p>
        </w:tc>
        <w:tc>
          <w:tcPr>
            <w:tcW w:w="2410" w:type="dxa"/>
            <w:noWrap w:val="0"/>
            <w:vAlign w:val="center"/>
          </w:tcPr>
          <w:p>
            <w:pPr>
              <w:tabs>
                <w:tab w:val="left" w:pos="2670"/>
              </w:tabs>
              <w:adjustRightInd w:val="0"/>
              <w:jc w:val="center"/>
              <w:rPr>
                <w:rFonts w:hint="eastAsia" w:ascii="宋体" w:hAnsi="宋体" w:eastAsia="宋体" w:cs="宋体"/>
                <w:b/>
                <w:bCs/>
                <w:color w:val="auto"/>
                <w:szCs w:val="21"/>
                <w:highlight w:val="none"/>
                <w:lang w:val="zh-CN"/>
              </w:rPr>
            </w:pPr>
            <w:r>
              <w:rPr>
                <w:rFonts w:hint="eastAsia" w:ascii="宋体" w:hAnsi="宋体" w:eastAsia="宋体" w:cs="宋体"/>
                <w:b/>
                <w:bCs/>
                <w:color w:val="auto"/>
                <w:szCs w:val="21"/>
                <w:highlight w:val="none"/>
                <w:lang w:val="zh-CN"/>
              </w:rPr>
              <w:t>金额（万元）</w:t>
            </w:r>
          </w:p>
        </w:tc>
        <w:tc>
          <w:tcPr>
            <w:tcW w:w="2605" w:type="dxa"/>
            <w:noWrap w:val="0"/>
            <w:vAlign w:val="center"/>
          </w:tcPr>
          <w:p>
            <w:pPr>
              <w:tabs>
                <w:tab w:val="left" w:pos="2670"/>
              </w:tabs>
              <w:adjustRightInd w:val="0"/>
              <w:ind w:firstLine="27" w:firstLineChars="13"/>
              <w:jc w:val="center"/>
              <w:rPr>
                <w:rFonts w:hint="eastAsia" w:ascii="宋体" w:hAnsi="宋体" w:eastAsia="宋体" w:cs="宋体"/>
                <w:b/>
                <w:bCs/>
                <w:color w:val="auto"/>
                <w:szCs w:val="21"/>
                <w:highlight w:val="none"/>
                <w:lang w:val="zh-CN"/>
              </w:rPr>
            </w:pPr>
            <w:r>
              <w:rPr>
                <w:rFonts w:hint="eastAsia" w:ascii="宋体" w:hAnsi="宋体" w:eastAsia="宋体" w:cs="宋体"/>
                <w:b/>
                <w:bCs/>
                <w:color w:val="auto"/>
                <w:szCs w:val="21"/>
                <w:highlight w:val="none"/>
                <w:lang w:val="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080" w:type="dxa"/>
            <w:noWrap w:val="0"/>
            <w:vAlign w:val="center"/>
          </w:tcPr>
          <w:p>
            <w:pPr>
              <w:tabs>
                <w:tab w:val="left" w:pos="2670"/>
              </w:tabs>
              <w:adjustRightInd w:val="0"/>
              <w:rPr>
                <w:rFonts w:hint="eastAsia" w:ascii="宋体" w:hAnsi="宋体" w:eastAsia="宋体" w:cs="宋体"/>
                <w:bCs/>
                <w:color w:val="auto"/>
                <w:szCs w:val="21"/>
                <w:highlight w:val="none"/>
                <w:lang w:val="zh-CN"/>
              </w:rPr>
            </w:pPr>
          </w:p>
        </w:tc>
        <w:tc>
          <w:tcPr>
            <w:tcW w:w="3380" w:type="dxa"/>
            <w:noWrap w:val="0"/>
            <w:vAlign w:val="center"/>
          </w:tcPr>
          <w:p>
            <w:pPr>
              <w:tabs>
                <w:tab w:val="left" w:pos="2670"/>
              </w:tabs>
              <w:adjustRightInd w:val="0"/>
              <w:rPr>
                <w:rFonts w:hint="eastAsia" w:ascii="宋体" w:hAnsi="宋体" w:eastAsia="宋体" w:cs="宋体"/>
                <w:bCs/>
                <w:color w:val="auto"/>
                <w:szCs w:val="21"/>
                <w:highlight w:val="none"/>
                <w:lang w:val="zh-CN"/>
              </w:rPr>
            </w:pPr>
          </w:p>
        </w:tc>
        <w:tc>
          <w:tcPr>
            <w:tcW w:w="2410" w:type="dxa"/>
            <w:noWrap w:val="0"/>
            <w:vAlign w:val="center"/>
          </w:tcPr>
          <w:p>
            <w:pPr>
              <w:tabs>
                <w:tab w:val="left" w:pos="2670"/>
              </w:tabs>
              <w:adjustRightInd w:val="0"/>
              <w:ind w:firstLine="413" w:firstLineChars="196"/>
              <w:rPr>
                <w:rFonts w:hint="eastAsia" w:ascii="宋体" w:hAnsi="宋体" w:eastAsia="宋体" w:cs="宋体"/>
                <w:b/>
                <w:bCs/>
                <w:color w:val="auto"/>
                <w:szCs w:val="21"/>
                <w:highlight w:val="none"/>
                <w:lang w:val="zh-CN"/>
              </w:rPr>
            </w:pPr>
          </w:p>
        </w:tc>
        <w:tc>
          <w:tcPr>
            <w:tcW w:w="2605" w:type="dxa"/>
            <w:noWrap w:val="0"/>
            <w:vAlign w:val="center"/>
          </w:tcPr>
          <w:p>
            <w:pPr>
              <w:tabs>
                <w:tab w:val="left" w:pos="2670"/>
              </w:tabs>
              <w:adjustRightInd w:val="0"/>
              <w:ind w:firstLine="413" w:firstLineChars="196"/>
              <w:rPr>
                <w:rFonts w:hint="eastAsia" w:ascii="宋体" w:hAnsi="宋体" w:eastAsia="宋体" w:cs="宋体"/>
                <w:b/>
                <w:bCs/>
                <w:color w:val="auto"/>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080" w:type="dxa"/>
            <w:noWrap w:val="0"/>
            <w:vAlign w:val="center"/>
          </w:tcPr>
          <w:p>
            <w:pPr>
              <w:tabs>
                <w:tab w:val="left" w:pos="2670"/>
              </w:tabs>
              <w:adjustRightInd w:val="0"/>
              <w:rPr>
                <w:rFonts w:hint="eastAsia" w:ascii="宋体" w:hAnsi="宋体" w:eastAsia="宋体" w:cs="宋体"/>
                <w:bCs/>
                <w:color w:val="auto"/>
                <w:szCs w:val="21"/>
                <w:highlight w:val="none"/>
                <w:lang w:val="zh-CN"/>
              </w:rPr>
            </w:pPr>
          </w:p>
        </w:tc>
        <w:tc>
          <w:tcPr>
            <w:tcW w:w="3380" w:type="dxa"/>
            <w:noWrap w:val="0"/>
            <w:vAlign w:val="center"/>
          </w:tcPr>
          <w:p>
            <w:pPr>
              <w:tabs>
                <w:tab w:val="left" w:pos="2670"/>
              </w:tabs>
              <w:adjustRightInd w:val="0"/>
              <w:rPr>
                <w:rFonts w:hint="eastAsia" w:ascii="宋体" w:hAnsi="宋体" w:eastAsia="宋体" w:cs="宋体"/>
                <w:bCs/>
                <w:color w:val="auto"/>
                <w:szCs w:val="21"/>
                <w:highlight w:val="none"/>
                <w:lang w:val="zh-CN"/>
              </w:rPr>
            </w:pPr>
          </w:p>
        </w:tc>
        <w:tc>
          <w:tcPr>
            <w:tcW w:w="2410" w:type="dxa"/>
            <w:noWrap w:val="0"/>
            <w:vAlign w:val="center"/>
          </w:tcPr>
          <w:p>
            <w:pPr>
              <w:tabs>
                <w:tab w:val="left" w:pos="2670"/>
              </w:tabs>
              <w:adjustRightInd w:val="0"/>
              <w:ind w:firstLine="411" w:firstLineChars="196"/>
              <w:rPr>
                <w:rFonts w:hint="eastAsia" w:ascii="宋体" w:hAnsi="宋体" w:eastAsia="宋体" w:cs="宋体"/>
                <w:bCs/>
                <w:color w:val="auto"/>
                <w:szCs w:val="21"/>
                <w:highlight w:val="none"/>
                <w:lang w:val="zh-CN"/>
              </w:rPr>
            </w:pPr>
          </w:p>
        </w:tc>
        <w:tc>
          <w:tcPr>
            <w:tcW w:w="2605" w:type="dxa"/>
            <w:noWrap w:val="0"/>
            <w:vAlign w:val="center"/>
          </w:tcPr>
          <w:p>
            <w:pPr>
              <w:tabs>
                <w:tab w:val="left" w:pos="2670"/>
              </w:tabs>
              <w:adjustRightInd w:val="0"/>
              <w:rPr>
                <w:rFonts w:hint="eastAsia" w:ascii="宋体" w:hAnsi="宋体" w:eastAsia="宋体" w:cs="宋体"/>
                <w:bCs/>
                <w:color w:val="auto"/>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080" w:type="dxa"/>
            <w:noWrap w:val="0"/>
            <w:vAlign w:val="center"/>
          </w:tcPr>
          <w:p>
            <w:pPr>
              <w:tabs>
                <w:tab w:val="left" w:pos="2670"/>
              </w:tabs>
              <w:adjustRightInd w:val="0"/>
              <w:rPr>
                <w:rFonts w:hint="eastAsia" w:ascii="宋体" w:hAnsi="宋体" w:eastAsia="宋体" w:cs="宋体"/>
                <w:bCs/>
                <w:color w:val="auto"/>
                <w:szCs w:val="21"/>
                <w:highlight w:val="none"/>
                <w:lang w:val="zh-CN"/>
              </w:rPr>
            </w:pPr>
          </w:p>
        </w:tc>
        <w:tc>
          <w:tcPr>
            <w:tcW w:w="3380" w:type="dxa"/>
            <w:noWrap w:val="0"/>
            <w:vAlign w:val="center"/>
          </w:tcPr>
          <w:p>
            <w:pPr>
              <w:tabs>
                <w:tab w:val="left" w:pos="2670"/>
              </w:tabs>
              <w:adjustRightInd w:val="0"/>
              <w:rPr>
                <w:rFonts w:hint="eastAsia" w:ascii="宋体" w:hAnsi="宋体" w:eastAsia="宋体" w:cs="宋体"/>
                <w:bCs/>
                <w:color w:val="auto"/>
                <w:szCs w:val="21"/>
                <w:highlight w:val="none"/>
                <w:lang w:val="zh-CN"/>
              </w:rPr>
            </w:pPr>
          </w:p>
        </w:tc>
        <w:tc>
          <w:tcPr>
            <w:tcW w:w="2410" w:type="dxa"/>
            <w:noWrap w:val="0"/>
            <w:vAlign w:val="center"/>
          </w:tcPr>
          <w:p>
            <w:pPr>
              <w:tabs>
                <w:tab w:val="left" w:pos="2670"/>
              </w:tabs>
              <w:adjustRightInd w:val="0"/>
              <w:ind w:firstLine="413" w:firstLineChars="196"/>
              <w:rPr>
                <w:rFonts w:hint="eastAsia" w:ascii="宋体" w:hAnsi="宋体" w:eastAsia="宋体" w:cs="宋体"/>
                <w:b/>
                <w:bCs/>
                <w:color w:val="auto"/>
                <w:szCs w:val="21"/>
                <w:highlight w:val="none"/>
                <w:lang w:val="zh-CN"/>
              </w:rPr>
            </w:pPr>
          </w:p>
        </w:tc>
        <w:tc>
          <w:tcPr>
            <w:tcW w:w="2605" w:type="dxa"/>
            <w:noWrap w:val="0"/>
            <w:vAlign w:val="center"/>
          </w:tcPr>
          <w:p>
            <w:pPr>
              <w:tabs>
                <w:tab w:val="left" w:pos="2670"/>
              </w:tabs>
              <w:adjustRightInd w:val="0"/>
              <w:ind w:firstLine="413" w:firstLineChars="196"/>
              <w:rPr>
                <w:rFonts w:hint="eastAsia" w:ascii="宋体" w:hAnsi="宋体" w:eastAsia="宋体" w:cs="宋体"/>
                <w:b/>
                <w:bCs/>
                <w:color w:val="auto"/>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080" w:type="dxa"/>
            <w:noWrap w:val="0"/>
            <w:vAlign w:val="center"/>
          </w:tcPr>
          <w:p>
            <w:pPr>
              <w:tabs>
                <w:tab w:val="left" w:pos="2670"/>
              </w:tabs>
              <w:adjustRightInd w:val="0"/>
              <w:rPr>
                <w:rFonts w:hint="eastAsia" w:ascii="宋体" w:hAnsi="宋体" w:eastAsia="宋体" w:cs="宋体"/>
                <w:bCs/>
                <w:color w:val="auto"/>
                <w:szCs w:val="21"/>
                <w:highlight w:val="none"/>
                <w:lang w:val="zh-CN"/>
              </w:rPr>
            </w:pPr>
          </w:p>
        </w:tc>
        <w:tc>
          <w:tcPr>
            <w:tcW w:w="3380" w:type="dxa"/>
            <w:noWrap w:val="0"/>
            <w:vAlign w:val="center"/>
          </w:tcPr>
          <w:p>
            <w:pPr>
              <w:tabs>
                <w:tab w:val="left" w:pos="2670"/>
              </w:tabs>
              <w:adjustRightInd w:val="0"/>
              <w:rPr>
                <w:rFonts w:hint="eastAsia" w:ascii="宋体" w:hAnsi="宋体" w:eastAsia="宋体" w:cs="宋体"/>
                <w:bCs/>
                <w:color w:val="auto"/>
                <w:szCs w:val="21"/>
                <w:highlight w:val="none"/>
                <w:lang w:val="zh-CN"/>
              </w:rPr>
            </w:pPr>
          </w:p>
        </w:tc>
        <w:tc>
          <w:tcPr>
            <w:tcW w:w="2410" w:type="dxa"/>
            <w:noWrap w:val="0"/>
            <w:vAlign w:val="center"/>
          </w:tcPr>
          <w:p>
            <w:pPr>
              <w:tabs>
                <w:tab w:val="left" w:pos="2670"/>
              </w:tabs>
              <w:adjustRightInd w:val="0"/>
              <w:ind w:firstLine="413" w:firstLineChars="196"/>
              <w:rPr>
                <w:rFonts w:hint="eastAsia" w:ascii="宋体" w:hAnsi="宋体" w:eastAsia="宋体" w:cs="宋体"/>
                <w:b/>
                <w:bCs/>
                <w:color w:val="auto"/>
                <w:szCs w:val="21"/>
                <w:highlight w:val="none"/>
                <w:lang w:val="zh-CN"/>
              </w:rPr>
            </w:pPr>
          </w:p>
        </w:tc>
        <w:tc>
          <w:tcPr>
            <w:tcW w:w="2605" w:type="dxa"/>
            <w:noWrap w:val="0"/>
            <w:vAlign w:val="center"/>
          </w:tcPr>
          <w:p>
            <w:pPr>
              <w:tabs>
                <w:tab w:val="left" w:pos="2670"/>
              </w:tabs>
              <w:adjustRightInd w:val="0"/>
              <w:ind w:firstLine="413" w:firstLineChars="196"/>
              <w:rPr>
                <w:rFonts w:hint="eastAsia" w:ascii="宋体" w:hAnsi="宋体" w:eastAsia="宋体" w:cs="宋体"/>
                <w:b/>
                <w:bCs/>
                <w:color w:val="auto"/>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080" w:type="dxa"/>
            <w:noWrap w:val="0"/>
            <w:vAlign w:val="center"/>
          </w:tcPr>
          <w:p>
            <w:pPr>
              <w:tabs>
                <w:tab w:val="left" w:pos="2670"/>
              </w:tabs>
              <w:adjustRightInd w:val="0"/>
              <w:rPr>
                <w:rFonts w:hint="eastAsia" w:ascii="宋体" w:hAnsi="宋体" w:eastAsia="宋体" w:cs="宋体"/>
                <w:bCs/>
                <w:color w:val="auto"/>
                <w:szCs w:val="21"/>
                <w:highlight w:val="none"/>
                <w:lang w:val="zh-CN"/>
              </w:rPr>
            </w:pPr>
          </w:p>
        </w:tc>
        <w:tc>
          <w:tcPr>
            <w:tcW w:w="3380" w:type="dxa"/>
            <w:noWrap w:val="0"/>
            <w:vAlign w:val="center"/>
          </w:tcPr>
          <w:p>
            <w:pPr>
              <w:tabs>
                <w:tab w:val="left" w:pos="2670"/>
              </w:tabs>
              <w:adjustRightInd w:val="0"/>
              <w:rPr>
                <w:rFonts w:hint="eastAsia" w:ascii="宋体" w:hAnsi="宋体" w:eastAsia="宋体" w:cs="宋体"/>
                <w:bCs/>
                <w:color w:val="auto"/>
                <w:szCs w:val="21"/>
                <w:highlight w:val="none"/>
                <w:lang w:val="zh-CN"/>
              </w:rPr>
            </w:pPr>
          </w:p>
        </w:tc>
        <w:tc>
          <w:tcPr>
            <w:tcW w:w="2410" w:type="dxa"/>
            <w:noWrap w:val="0"/>
            <w:vAlign w:val="center"/>
          </w:tcPr>
          <w:p>
            <w:pPr>
              <w:tabs>
                <w:tab w:val="left" w:pos="2670"/>
              </w:tabs>
              <w:adjustRightInd w:val="0"/>
              <w:ind w:firstLine="413" w:firstLineChars="196"/>
              <w:rPr>
                <w:rFonts w:hint="eastAsia" w:ascii="宋体" w:hAnsi="宋体" w:eastAsia="宋体" w:cs="宋体"/>
                <w:b/>
                <w:bCs/>
                <w:color w:val="auto"/>
                <w:szCs w:val="21"/>
                <w:highlight w:val="none"/>
                <w:lang w:val="zh-CN"/>
              </w:rPr>
            </w:pPr>
          </w:p>
        </w:tc>
        <w:tc>
          <w:tcPr>
            <w:tcW w:w="2605" w:type="dxa"/>
            <w:noWrap w:val="0"/>
            <w:vAlign w:val="center"/>
          </w:tcPr>
          <w:p>
            <w:pPr>
              <w:tabs>
                <w:tab w:val="left" w:pos="2670"/>
              </w:tabs>
              <w:adjustRightInd w:val="0"/>
              <w:ind w:firstLine="413" w:firstLineChars="196"/>
              <w:rPr>
                <w:rFonts w:hint="eastAsia" w:ascii="宋体" w:hAnsi="宋体" w:eastAsia="宋体" w:cs="宋体"/>
                <w:b/>
                <w:bCs/>
                <w:color w:val="auto"/>
                <w:szCs w:val="21"/>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4460" w:type="dxa"/>
            <w:gridSpan w:val="2"/>
            <w:noWrap w:val="0"/>
            <w:vAlign w:val="center"/>
          </w:tcPr>
          <w:p>
            <w:pPr>
              <w:tabs>
                <w:tab w:val="left" w:pos="2670"/>
              </w:tabs>
              <w:adjustRightInd w:val="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设计费报价</w:t>
            </w:r>
          </w:p>
        </w:tc>
        <w:tc>
          <w:tcPr>
            <w:tcW w:w="5015" w:type="dxa"/>
            <w:gridSpan w:val="2"/>
            <w:noWrap w:val="0"/>
            <w:vAlign w:val="center"/>
          </w:tcPr>
          <w:p>
            <w:pPr>
              <w:tabs>
                <w:tab w:val="left" w:pos="2670"/>
              </w:tabs>
              <w:adjustRightInd w:val="0"/>
              <w:ind w:firstLine="411" w:firstLineChars="196"/>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大写：</w:t>
            </w:r>
          </w:p>
          <w:p>
            <w:pPr>
              <w:tabs>
                <w:tab w:val="left" w:pos="2670"/>
              </w:tabs>
              <w:adjustRightInd w:val="0"/>
              <w:ind w:firstLine="411" w:firstLineChars="196"/>
              <w:rPr>
                <w:rFonts w:hint="eastAsia" w:ascii="宋体" w:hAnsi="宋体" w:eastAsia="宋体" w:cs="宋体"/>
                <w:b/>
                <w:bCs/>
                <w:color w:val="auto"/>
                <w:szCs w:val="21"/>
                <w:highlight w:val="none"/>
                <w:lang w:val="zh-CN"/>
              </w:rPr>
            </w:pPr>
            <w:r>
              <w:rPr>
                <w:rFonts w:hint="eastAsia" w:ascii="宋体" w:hAnsi="宋体" w:eastAsia="宋体" w:cs="宋体"/>
                <w:bCs/>
                <w:color w:val="auto"/>
                <w:szCs w:val="21"/>
                <w:highlight w:val="none"/>
                <w:lang w:val="zh-CN"/>
              </w:rPr>
              <w:t>小写：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475" w:type="dxa"/>
            <w:gridSpan w:val="4"/>
            <w:noWrap w:val="0"/>
            <w:vAlign w:val="center"/>
          </w:tcPr>
          <w:p>
            <w:pPr>
              <w:tabs>
                <w:tab w:val="left" w:pos="2670"/>
              </w:tabs>
              <w:adjustRightInd w:val="0"/>
              <w:ind w:firstLine="63" w:firstLineChars="3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说明：</w:t>
            </w:r>
          </w:p>
          <w:p>
            <w:pPr>
              <w:tabs>
                <w:tab w:val="left" w:pos="2670"/>
              </w:tabs>
              <w:adjustRightInd w:val="0"/>
              <w:ind w:firstLine="411" w:firstLineChars="196"/>
              <w:rPr>
                <w:rFonts w:hint="eastAsia" w:ascii="宋体" w:hAnsi="宋体" w:eastAsia="宋体" w:cs="宋体"/>
                <w:bCs/>
                <w:color w:val="auto"/>
                <w:szCs w:val="21"/>
                <w:highlight w:val="none"/>
                <w:lang w:val="zh-CN"/>
              </w:rPr>
            </w:pPr>
          </w:p>
          <w:p>
            <w:pPr>
              <w:tabs>
                <w:tab w:val="left" w:pos="2670"/>
              </w:tabs>
              <w:adjustRightInd w:val="0"/>
              <w:ind w:firstLine="411" w:firstLineChars="196"/>
              <w:rPr>
                <w:rFonts w:hint="eastAsia" w:ascii="宋体" w:hAnsi="宋体" w:eastAsia="宋体" w:cs="宋体"/>
                <w:bCs/>
                <w:color w:val="auto"/>
                <w:szCs w:val="21"/>
                <w:highlight w:val="none"/>
                <w:lang w:val="zh-CN"/>
              </w:rPr>
            </w:pPr>
          </w:p>
          <w:p>
            <w:pPr>
              <w:tabs>
                <w:tab w:val="left" w:pos="2670"/>
              </w:tabs>
              <w:adjustRightInd w:val="0"/>
              <w:ind w:firstLine="411" w:firstLineChars="196"/>
              <w:rPr>
                <w:rFonts w:hint="eastAsia" w:ascii="宋体" w:hAnsi="宋体" w:eastAsia="宋体" w:cs="宋体"/>
                <w:bCs/>
                <w:color w:val="auto"/>
                <w:szCs w:val="21"/>
                <w:highlight w:val="none"/>
                <w:lang w:val="zh-CN"/>
              </w:rPr>
            </w:pPr>
          </w:p>
          <w:p>
            <w:pPr>
              <w:tabs>
                <w:tab w:val="left" w:pos="2670"/>
              </w:tabs>
              <w:adjustRightInd w:val="0"/>
              <w:ind w:firstLine="411" w:firstLineChars="196"/>
              <w:rPr>
                <w:rFonts w:hint="eastAsia" w:ascii="宋体" w:hAnsi="宋体" w:eastAsia="宋体" w:cs="宋体"/>
                <w:bCs/>
                <w:color w:val="auto"/>
                <w:szCs w:val="21"/>
                <w:highlight w:val="none"/>
                <w:lang w:val="zh-CN"/>
              </w:rPr>
            </w:pPr>
          </w:p>
          <w:p>
            <w:pPr>
              <w:tabs>
                <w:tab w:val="left" w:pos="2670"/>
              </w:tabs>
              <w:adjustRightInd w:val="0"/>
              <w:ind w:firstLine="411" w:firstLineChars="196"/>
              <w:rPr>
                <w:rFonts w:hint="eastAsia" w:ascii="宋体" w:hAnsi="宋体" w:eastAsia="宋体" w:cs="宋体"/>
                <w:bCs/>
                <w:color w:val="auto"/>
                <w:szCs w:val="21"/>
                <w:highlight w:val="none"/>
                <w:lang w:val="zh-CN"/>
              </w:rPr>
            </w:pPr>
          </w:p>
          <w:p>
            <w:pPr>
              <w:tabs>
                <w:tab w:val="left" w:pos="2670"/>
              </w:tabs>
              <w:adjustRightInd w:val="0"/>
              <w:ind w:firstLine="411" w:firstLineChars="196"/>
              <w:rPr>
                <w:rFonts w:hint="eastAsia" w:ascii="宋体" w:hAnsi="宋体" w:eastAsia="宋体" w:cs="宋体"/>
                <w:bCs/>
                <w:color w:val="auto"/>
                <w:szCs w:val="21"/>
                <w:highlight w:val="none"/>
                <w:lang w:val="zh-CN"/>
              </w:rPr>
            </w:pPr>
          </w:p>
          <w:p>
            <w:pPr>
              <w:tabs>
                <w:tab w:val="left" w:pos="2670"/>
              </w:tabs>
              <w:adjustRightInd w:val="0"/>
              <w:ind w:firstLine="411" w:firstLineChars="196"/>
              <w:rPr>
                <w:rFonts w:hint="eastAsia" w:ascii="宋体" w:hAnsi="宋体" w:eastAsia="宋体" w:cs="宋体"/>
                <w:bCs/>
                <w:color w:val="auto"/>
                <w:szCs w:val="21"/>
                <w:highlight w:val="none"/>
                <w:lang w:val="zh-CN"/>
              </w:rPr>
            </w:pPr>
          </w:p>
          <w:p>
            <w:pPr>
              <w:tabs>
                <w:tab w:val="left" w:pos="2670"/>
              </w:tabs>
              <w:adjustRightInd w:val="0"/>
              <w:ind w:firstLine="411" w:firstLineChars="196"/>
              <w:rPr>
                <w:rFonts w:hint="eastAsia" w:ascii="宋体" w:hAnsi="宋体" w:eastAsia="宋体" w:cs="宋体"/>
                <w:bCs/>
                <w:color w:val="auto"/>
                <w:szCs w:val="21"/>
                <w:highlight w:val="none"/>
                <w:lang w:val="zh-CN"/>
              </w:rPr>
            </w:pPr>
          </w:p>
          <w:p>
            <w:pPr>
              <w:tabs>
                <w:tab w:val="left" w:pos="2670"/>
              </w:tabs>
              <w:adjustRightInd w:val="0"/>
              <w:ind w:firstLine="411" w:firstLineChars="196"/>
              <w:rPr>
                <w:rFonts w:hint="eastAsia" w:ascii="宋体" w:hAnsi="宋体" w:eastAsia="宋体" w:cs="宋体"/>
                <w:bCs/>
                <w:color w:val="auto"/>
                <w:szCs w:val="21"/>
                <w:highlight w:val="none"/>
                <w:lang w:val="zh-CN"/>
              </w:rPr>
            </w:pPr>
          </w:p>
        </w:tc>
      </w:tr>
    </w:tbl>
    <w:p>
      <w:pPr>
        <w:numPr>
          <w:ilvl w:val="0"/>
          <w:numId w:val="0"/>
        </w:numPr>
        <w:bidi w:val="0"/>
        <w:rPr>
          <w:rFonts w:hint="default" w:ascii="宋体" w:hAnsi="宋体" w:cs="宋体"/>
          <w:b/>
          <w:bCs/>
          <w:color w:val="auto"/>
          <w:szCs w:val="24"/>
          <w:highlight w:val="none"/>
          <w:lang w:val="en-US" w:eastAsia="zh-CN"/>
        </w:rPr>
      </w:pPr>
    </w:p>
    <w:p>
      <w:pPr>
        <w:numPr>
          <w:ilvl w:val="0"/>
          <w:numId w:val="0"/>
        </w:numPr>
        <w:bidi w:val="0"/>
        <w:rPr>
          <w:rFonts w:hint="default" w:ascii="宋体" w:hAnsi="宋体" w:cs="宋体"/>
          <w:b/>
          <w:bCs/>
          <w:color w:val="auto"/>
          <w:szCs w:val="24"/>
          <w:highlight w:val="none"/>
          <w:lang w:val="en-US" w:eastAsia="zh-CN"/>
        </w:rPr>
      </w:pPr>
    </w:p>
    <w:p>
      <w:pPr>
        <w:shd w:val="clear" w:color="auto" w:fill="FFFFFF"/>
        <w:adjustRightInd w:val="0"/>
        <w:snapToGrid w:val="0"/>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供应商名称（公章）:</w:t>
      </w:r>
    </w:p>
    <w:p>
      <w:pPr>
        <w:numPr>
          <w:ilvl w:val="0"/>
          <w:numId w:val="0"/>
        </w:numPr>
        <w:bidi w:val="0"/>
        <w:rPr>
          <w:rFonts w:hint="default" w:ascii="宋体" w:hAnsi="宋体" w:cs="宋体"/>
          <w:b/>
          <w:bCs/>
          <w:color w:val="auto"/>
          <w:szCs w:val="24"/>
          <w:highlight w:val="none"/>
          <w:lang w:val="en-US" w:eastAsia="zh-CN"/>
        </w:rPr>
      </w:pPr>
      <w:r>
        <w:rPr>
          <w:rFonts w:hint="eastAsia" w:ascii="宋体" w:hAnsi="宋体" w:cs="宋体"/>
          <w:color w:val="auto"/>
          <w:sz w:val="24"/>
          <w:szCs w:val="24"/>
          <w:highlight w:val="none"/>
          <w:lang w:val="zh-CN"/>
        </w:rPr>
        <w:t>日期：</w:t>
      </w:r>
    </w:p>
    <w:p>
      <w:pPr>
        <w:bidi w:val="0"/>
        <w:rPr>
          <w:rFonts w:hint="eastAsia"/>
          <w:color w:val="auto"/>
          <w:highlight w:val="none"/>
        </w:rPr>
        <w:sectPr>
          <w:pgSz w:w="11906" w:h="16838"/>
          <w:pgMar w:top="2098" w:right="1474" w:bottom="1701" w:left="1588" w:header="851" w:footer="992" w:gutter="0"/>
          <w:cols w:space="720" w:num="1"/>
          <w:docGrid w:type="lines" w:linePitch="312" w:charSpace="0"/>
        </w:sectPr>
      </w:pPr>
    </w:p>
    <w:p>
      <w:pPr>
        <w:pageBreakBefore/>
        <w:shd w:val="clear" w:color="auto" w:fill="FFFFFF"/>
        <w:adjustRightInd w:val="0"/>
        <w:snapToGrid w:val="0"/>
        <w:spacing w:line="360" w:lineRule="auto"/>
        <w:ind w:firstLine="482" w:firstLineChars="200"/>
        <w:jc w:val="center"/>
        <w:outlineLvl w:val="2"/>
        <w:rPr>
          <w:rFonts w:ascii="宋体" w:hAnsi="宋体" w:cs="宋体"/>
          <w:b/>
          <w:bCs/>
          <w:color w:val="auto"/>
          <w:sz w:val="24"/>
          <w:szCs w:val="24"/>
          <w:highlight w:val="none"/>
        </w:rPr>
      </w:pPr>
      <w:r>
        <w:rPr>
          <w:rFonts w:hint="eastAsia" w:ascii="宋体" w:hAnsi="宋体" w:cs="宋体"/>
          <w:b/>
          <w:bCs/>
          <w:color w:val="auto"/>
          <w:sz w:val="24"/>
          <w:szCs w:val="24"/>
          <w:highlight w:val="none"/>
          <w:lang w:val="en-US" w:eastAsia="zh-CN"/>
        </w:rPr>
        <w:t>三、</w:t>
      </w:r>
      <w:r>
        <w:rPr>
          <w:rFonts w:hint="eastAsia" w:ascii="宋体" w:hAnsi="宋体" w:cs="宋体"/>
          <w:b/>
          <w:bCs/>
          <w:color w:val="auto"/>
          <w:sz w:val="24"/>
          <w:szCs w:val="24"/>
          <w:highlight w:val="none"/>
        </w:rPr>
        <w:t>交纳采购代理服务费承诺书</w:t>
      </w:r>
      <w:bookmarkEnd w:id="88"/>
    </w:p>
    <w:p>
      <w:pPr>
        <w:adjustRightInd w:val="0"/>
        <w:snapToGrid w:val="0"/>
        <w:spacing w:line="360" w:lineRule="auto"/>
        <w:outlineLvl w:val="1"/>
        <w:rPr>
          <w:rFonts w:ascii="宋体" w:hAnsi="宋体" w:cs="宋体"/>
          <w:color w:val="auto"/>
          <w:sz w:val="24"/>
          <w:szCs w:val="24"/>
          <w:highlight w:val="none"/>
        </w:rPr>
      </w:pPr>
    </w:p>
    <w:p>
      <w:pPr>
        <w:adjustRightInd w:val="0"/>
        <w:snapToGrid w:val="0"/>
        <w:spacing w:line="360" w:lineRule="auto"/>
        <w:ind w:firstLine="480" w:firstLineChars="200"/>
        <w:outlineLvl w:val="1"/>
        <w:rPr>
          <w:rFonts w:ascii="宋体" w:hAnsi="宋体" w:cs="宋体"/>
          <w:color w:val="auto"/>
          <w:sz w:val="24"/>
          <w:szCs w:val="24"/>
          <w:highlight w:val="none"/>
        </w:rPr>
      </w:pPr>
      <w:bookmarkStart w:id="90" w:name="_Toc10064"/>
      <w:bookmarkStart w:id="91" w:name="_Toc21508"/>
      <w:bookmarkStart w:id="92" w:name="_Toc16064"/>
      <w:r>
        <w:rPr>
          <w:rFonts w:hint="eastAsia" w:ascii="宋体" w:hAnsi="宋体" w:cs="宋体"/>
          <w:color w:val="auto"/>
          <w:sz w:val="24"/>
          <w:szCs w:val="24"/>
          <w:highlight w:val="none"/>
        </w:rPr>
        <w:t>浙江豪圣建设项目管理有限公司：</w:t>
      </w:r>
      <w:bookmarkEnd w:id="90"/>
      <w:bookmarkEnd w:id="91"/>
      <w:bookmarkEnd w:id="92"/>
    </w:p>
    <w:p>
      <w:pPr>
        <w:adjustRightInd w:val="0"/>
        <w:snapToGrid w:val="0"/>
        <w:spacing w:line="360" w:lineRule="auto"/>
        <w:ind w:firstLine="480" w:firstLineChars="200"/>
        <w:outlineLvl w:val="1"/>
        <w:rPr>
          <w:rFonts w:ascii="宋体" w:hAnsi="宋体" w:cs="宋体"/>
          <w:color w:val="auto"/>
          <w:sz w:val="24"/>
          <w:szCs w:val="24"/>
          <w:highlight w:val="none"/>
        </w:rPr>
      </w:pPr>
      <w:bookmarkStart w:id="93" w:name="_Toc132"/>
      <w:bookmarkStart w:id="94" w:name="_Toc981"/>
      <w:bookmarkStart w:id="95" w:name="_Toc7880"/>
      <w:r>
        <w:rPr>
          <w:rFonts w:hint="eastAsia" w:ascii="宋体" w:hAnsi="宋体" w:cs="宋体"/>
          <w:color w:val="auto"/>
          <w:sz w:val="24"/>
          <w:szCs w:val="24"/>
          <w:highlight w:val="none"/>
        </w:rPr>
        <w:t>我公司在你公司组织的</w:t>
      </w:r>
      <w:r>
        <w:rPr>
          <w:rFonts w:hint="eastAsia" w:ascii="宋体" w:hAnsi="宋体" w:cs="宋体"/>
          <w:color w:val="auto"/>
          <w:sz w:val="24"/>
          <w:szCs w:val="24"/>
          <w:highlight w:val="none"/>
          <w:u w:val="single"/>
          <w:lang w:eastAsia="zh-CN"/>
        </w:rPr>
        <w:t>浙江省拱宸强制隔离戒毒所</w:t>
      </w:r>
      <w:r>
        <w:rPr>
          <w:rFonts w:hint="eastAsia" w:ascii="宋体" w:hAnsi="宋体" w:cs="宋体"/>
          <w:color w:val="auto"/>
          <w:sz w:val="24"/>
          <w:szCs w:val="24"/>
          <w:highlight w:val="none"/>
        </w:rPr>
        <w:t>（采购人）</w:t>
      </w:r>
      <w:r>
        <w:rPr>
          <w:rFonts w:hint="eastAsia" w:ascii="宋体" w:hAnsi="宋体" w:cs="宋体"/>
          <w:color w:val="auto"/>
          <w:sz w:val="24"/>
          <w:szCs w:val="24"/>
          <w:highlight w:val="none"/>
          <w:lang w:eastAsia="zh-CN"/>
        </w:rPr>
        <w:t>浙江省拱宸强制隔离戒毒所“红色基地”整体改造设计项目</w:t>
      </w:r>
      <w:r>
        <w:rPr>
          <w:rFonts w:hint="eastAsia" w:ascii="宋体" w:hAnsi="宋体" w:cs="宋体"/>
          <w:color w:val="auto"/>
          <w:sz w:val="24"/>
          <w:szCs w:val="24"/>
          <w:highlight w:val="none"/>
        </w:rPr>
        <w:t>（项目名称）</w:t>
      </w:r>
      <w:r>
        <w:rPr>
          <w:rFonts w:hint="eastAsia" w:ascii="宋体" w:hAnsi="宋体" w:cs="宋体"/>
          <w:color w:val="auto"/>
          <w:sz w:val="24"/>
          <w:szCs w:val="24"/>
          <w:highlight w:val="none"/>
          <w:lang w:eastAsia="zh-CN"/>
        </w:rPr>
        <w:t>HSZB-2023-852</w:t>
      </w:r>
      <w:r>
        <w:rPr>
          <w:rFonts w:hint="eastAsia" w:ascii="宋体" w:hAnsi="宋体" w:cs="宋体"/>
          <w:color w:val="auto"/>
          <w:sz w:val="24"/>
          <w:szCs w:val="24"/>
          <w:highlight w:val="none"/>
        </w:rPr>
        <w:t>（项目编号）的竞争性磋商采购中若获成交，我公司保证在收到你公司通知后按采购文件中前附表的规定，向你公司即浙江豪圣建设项目管理有限公司支付采购代理服务费（户名：浙江豪圣建设项目管理有限公司。开户：上海浦东发展银行股份有限公司杭州和睦支行。账号：95160154800000653）。</w:t>
      </w:r>
      <w:bookmarkEnd w:id="93"/>
      <w:bookmarkEnd w:id="94"/>
      <w:bookmarkEnd w:id="95"/>
    </w:p>
    <w:p>
      <w:pPr>
        <w:adjustRightInd w:val="0"/>
        <w:snapToGrid w:val="0"/>
        <w:spacing w:line="360" w:lineRule="auto"/>
        <w:outlineLvl w:val="1"/>
        <w:rPr>
          <w:rFonts w:ascii="宋体" w:hAnsi="宋体" w:cs="宋体"/>
          <w:color w:val="auto"/>
          <w:sz w:val="24"/>
          <w:szCs w:val="24"/>
          <w:highlight w:val="none"/>
        </w:rPr>
      </w:pPr>
    </w:p>
    <w:p>
      <w:pPr>
        <w:adjustRightInd w:val="0"/>
        <w:snapToGrid w:val="0"/>
        <w:spacing w:line="360" w:lineRule="auto"/>
        <w:outlineLvl w:val="1"/>
        <w:rPr>
          <w:rFonts w:ascii="宋体" w:hAnsi="宋体" w:cs="宋体"/>
          <w:color w:val="auto"/>
          <w:sz w:val="24"/>
          <w:szCs w:val="24"/>
          <w:highlight w:val="none"/>
        </w:rPr>
      </w:pPr>
      <w:bookmarkStart w:id="96" w:name="_Toc17898"/>
      <w:bookmarkStart w:id="97" w:name="_Toc15703"/>
      <w:bookmarkStart w:id="98" w:name="_Toc10102"/>
      <w:r>
        <w:rPr>
          <w:rFonts w:hint="eastAsia" w:ascii="宋体" w:hAnsi="宋体" w:cs="宋体"/>
          <w:color w:val="auto"/>
          <w:sz w:val="24"/>
          <w:szCs w:val="24"/>
          <w:highlight w:val="none"/>
        </w:rPr>
        <w:t>特此承诺。</w:t>
      </w:r>
      <w:bookmarkEnd w:id="96"/>
      <w:bookmarkEnd w:id="97"/>
      <w:bookmarkEnd w:id="98"/>
    </w:p>
    <w:p>
      <w:pPr>
        <w:adjustRightInd w:val="0"/>
        <w:snapToGrid w:val="0"/>
        <w:spacing w:line="360" w:lineRule="auto"/>
        <w:outlineLvl w:val="1"/>
        <w:rPr>
          <w:rFonts w:ascii="宋体" w:hAnsi="宋体" w:cs="宋体"/>
          <w:color w:val="auto"/>
          <w:sz w:val="24"/>
          <w:szCs w:val="24"/>
          <w:highlight w:val="none"/>
        </w:rPr>
      </w:pPr>
      <w:bookmarkStart w:id="99" w:name="_Toc32162"/>
      <w:bookmarkStart w:id="100" w:name="_Toc14944"/>
    </w:p>
    <w:p>
      <w:pPr>
        <w:adjustRightInd w:val="0"/>
        <w:snapToGrid w:val="0"/>
        <w:spacing w:line="360" w:lineRule="auto"/>
        <w:outlineLvl w:val="1"/>
        <w:rPr>
          <w:rFonts w:ascii="宋体" w:hAnsi="宋体" w:cs="宋体"/>
          <w:color w:val="auto"/>
          <w:sz w:val="24"/>
          <w:szCs w:val="24"/>
          <w:highlight w:val="none"/>
        </w:rPr>
      </w:pPr>
    </w:p>
    <w:p>
      <w:pPr>
        <w:adjustRightInd w:val="0"/>
        <w:snapToGrid w:val="0"/>
        <w:spacing w:line="360" w:lineRule="auto"/>
        <w:outlineLvl w:val="1"/>
        <w:rPr>
          <w:rFonts w:ascii="宋体" w:hAnsi="宋体" w:cs="宋体"/>
          <w:color w:val="auto"/>
          <w:sz w:val="24"/>
          <w:szCs w:val="24"/>
          <w:highlight w:val="none"/>
        </w:rPr>
      </w:pPr>
      <w:bookmarkStart w:id="101" w:name="_Toc9678"/>
      <w:r>
        <w:rPr>
          <w:rFonts w:hint="eastAsia" w:ascii="宋体" w:hAnsi="宋体" w:cs="宋体"/>
          <w:color w:val="auto"/>
          <w:sz w:val="24"/>
          <w:szCs w:val="24"/>
          <w:highlight w:val="none"/>
        </w:rPr>
        <w:t>供应商全称（盖单位公章）：</w:t>
      </w:r>
      <w:bookmarkEnd w:id="99"/>
      <w:bookmarkEnd w:id="100"/>
      <w:bookmarkEnd w:id="101"/>
    </w:p>
    <w:p>
      <w:pPr>
        <w:adjustRightInd w:val="0"/>
        <w:snapToGrid w:val="0"/>
        <w:spacing w:line="360" w:lineRule="auto"/>
        <w:outlineLvl w:val="1"/>
        <w:rPr>
          <w:rFonts w:ascii="宋体" w:hAnsi="宋体" w:cs="宋体"/>
          <w:color w:val="auto"/>
          <w:sz w:val="24"/>
          <w:szCs w:val="24"/>
          <w:highlight w:val="none"/>
        </w:rPr>
      </w:pPr>
      <w:bookmarkStart w:id="102" w:name="_Toc31054"/>
      <w:bookmarkStart w:id="103" w:name="_Toc3564"/>
      <w:bookmarkStart w:id="104" w:name="_Toc27026"/>
      <w:r>
        <w:rPr>
          <w:rFonts w:hint="eastAsia" w:ascii="宋体" w:hAnsi="宋体" w:cs="宋体"/>
          <w:color w:val="auto"/>
          <w:sz w:val="24"/>
          <w:szCs w:val="24"/>
          <w:highlight w:val="none"/>
        </w:rPr>
        <w:t>日期：年</w:t>
      </w:r>
      <w:bookmarkEnd w:id="102"/>
      <w:bookmarkEnd w:id="103"/>
      <w:r>
        <w:rPr>
          <w:rFonts w:hint="eastAsia" w:ascii="宋体" w:hAnsi="宋体" w:cs="宋体"/>
          <w:color w:val="auto"/>
          <w:sz w:val="24"/>
          <w:szCs w:val="24"/>
          <w:highlight w:val="none"/>
        </w:rPr>
        <w:t xml:space="preserve"> 月 日</w:t>
      </w:r>
      <w:bookmarkEnd w:id="104"/>
    </w:p>
    <w:p>
      <w:pPr>
        <w:adjustRightInd w:val="0"/>
        <w:snapToGrid w:val="0"/>
        <w:spacing w:line="360" w:lineRule="auto"/>
        <w:outlineLvl w:val="1"/>
        <w:rPr>
          <w:rFonts w:ascii="宋体" w:hAnsi="宋体" w:cs="宋体"/>
          <w:color w:val="auto"/>
          <w:szCs w:val="21"/>
          <w:highlight w:val="none"/>
        </w:rPr>
      </w:pPr>
    </w:p>
    <w:p>
      <w:pPr>
        <w:pStyle w:val="13"/>
        <w:ind w:left="0" w:right="-252"/>
        <w:rPr>
          <w:rFonts w:hint="default"/>
          <w:color w:val="auto"/>
          <w:highlight w:val="none"/>
        </w:rPr>
        <w:sectPr>
          <w:pgSz w:w="11906" w:h="16838"/>
          <w:pgMar w:top="2098" w:right="1474" w:bottom="1701" w:left="1588" w:header="851" w:footer="992" w:gutter="0"/>
          <w:cols w:space="720" w:num="1"/>
          <w:docGrid w:type="lines" w:linePitch="312" w:charSpace="0"/>
        </w:sectPr>
      </w:pPr>
    </w:p>
    <w:p>
      <w:pPr>
        <w:adjustRightInd w:val="0"/>
        <w:snapToGrid w:val="0"/>
        <w:spacing w:line="360" w:lineRule="auto"/>
        <w:outlineLvl w:val="1"/>
        <w:rPr>
          <w:rFonts w:ascii="宋体" w:hAnsi="宋体" w:cs="宋体"/>
          <w:color w:val="auto"/>
          <w:szCs w:val="21"/>
          <w:highlight w:val="none"/>
        </w:rPr>
      </w:pPr>
    </w:p>
    <w:p>
      <w:pPr>
        <w:adjustRightInd w:val="0"/>
        <w:snapToGrid w:val="0"/>
        <w:spacing w:line="360" w:lineRule="auto"/>
        <w:outlineLvl w:val="1"/>
        <w:rPr>
          <w:rFonts w:ascii="宋体" w:hAnsi="宋体" w:cs="宋体"/>
          <w:color w:val="auto"/>
          <w:szCs w:val="21"/>
          <w:highlight w:val="none"/>
        </w:rPr>
      </w:pPr>
    </w:p>
    <w:p>
      <w:pPr>
        <w:adjustRightInd w:val="0"/>
        <w:snapToGrid w:val="0"/>
        <w:spacing w:line="360" w:lineRule="auto"/>
        <w:jc w:val="center"/>
        <w:outlineLvl w:val="1"/>
        <w:rPr>
          <w:rFonts w:ascii="宋体" w:hAnsi="宋体" w:cs="宋体"/>
          <w:b/>
          <w:color w:val="auto"/>
          <w:sz w:val="36"/>
          <w:szCs w:val="36"/>
          <w:highlight w:val="none"/>
        </w:rPr>
      </w:pPr>
      <w:bookmarkStart w:id="105" w:name="_Toc2575"/>
      <w:bookmarkStart w:id="106" w:name="_Toc8933"/>
      <w:bookmarkStart w:id="107" w:name="_Toc16984"/>
      <w:bookmarkStart w:id="108" w:name="_Toc2346"/>
      <w:r>
        <w:rPr>
          <w:rFonts w:hint="eastAsia" w:ascii="宋体" w:hAnsi="宋体" w:cs="宋体"/>
          <w:b/>
          <w:color w:val="auto"/>
          <w:sz w:val="36"/>
          <w:szCs w:val="36"/>
          <w:highlight w:val="none"/>
        </w:rPr>
        <w:t>商务</w:t>
      </w:r>
      <w:bookmarkEnd w:id="89"/>
      <w:bookmarkStart w:id="109" w:name="_Toc354996709"/>
      <w:r>
        <w:rPr>
          <w:rFonts w:hint="eastAsia" w:ascii="宋体" w:hAnsi="宋体" w:cs="宋体"/>
          <w:b/>
          <w:color w:val="auto"/>
          <w:sz w:val="36"/>
          <w:szCs w:val="36"/>
          <w:highlight w:val="none"/>
        </w:rPr>
        <w:t>技术文件</w:t>
      </w:r>
      <w:bookmarkEnd w:id="105"/>
      <w:bookmarkEnd w:id="106"/>
      <w:bookmarkEnd w:id="107"/>
      <w:bookmarkEnd w:id="108"/>
    </w:p>
    <w:p>
      <w:pPr>
        <w:pStyle w:val="2"/>
        <w:snapToGrid w:val="0"/>
        <w:rPr>
          <w:rFonts w:ascii="宋体" w:hAnsi="宋体" w:cs="宋体"/>
          <w:color w:val="auto"/>
          <w:highlight w:val="none"/>
        </w:rPr>
      </w:pPr>
      <w:bookmarkStart w:id="110" w:name="_Toc20650"/>
      <w:bookmarkStart w:id="111" w:name="_Toc7803"/>
      <w:bookmarkStart w:id="112" w:name="_Toc27129"/>
      <w:bookmarkStart w:id="113" w:name="_Toc28323"/>
      <w:bookmarkStart w:id="114" w:name="_Toc13194"/>
      <w:bookmarkStart w:id="115" w:name="_Toc6570"/>
      <w:bookmarkStart w:id="116" w:name="_Toc7660"/>
      <w:bookmarkStart w:id="117" w:name="_Toc7049"/>
      <w:bookmarkStart w:id="118" w:name="_Toc23505"/>
      <w:bookmarkStart w:id="119" w:name="_Toc30182"/>
      <w:bookmarkStart w:id="120" w:name="_Toc11432"/>
      <w:bookmarkStart w:id="121" w:name="_Toc25554"/>
      <w:r>
        <w:rPr>
          <w:rFonts w:hint="eastAsia" w:ascii="宋体" w:hAnsi="宋体" w:cs="宋体"/>
          <w:color w:val="auto"/>
          <w:highlight w:val="none"/>
        </w:rPr>
        <w:t>目录</w:t>
      </w:r>
      <w:bookmarkEnd w:id="110"/>
      <w:bookmarkEnd w:id="111"/>
      <w:bookmarkEnd w:id="112"/>
      <w:bookmarkEnd w:id="113"/>
      <w:bookmarkEnd w:id="114"/>
      <w:bookmarkEnd w:id="115"/>
      <w:bookmarkEnd w:id="116"/>
      <w:bookmarkEnd w:id="117"/>
      <w:bookmarkEnd w:id="118"/>
      <w:bookmarkEnd w:id="119"/>
      <w:bookmarkEnd w:id="120"/>
      <w:bookmarkEnd w:id="121"/>
    </w:p>
    <w:p>
      <w:pPr>
        <w:numPr>
          <w:ilvl w:val="0"/>
          <w:numId w:val="14"/>
        </w:numPr>
        <w:spacing w:line="360" w:lineRule="auto"/>
        <w:rPr>
          <w:color w:val="auto"/>
          <w:sz w:val="24"/>
          <w:szCs w:val="24"/>
          <w:highlight w:val="none"/>
        </w:rPr>
      </w:pPr>
      <w:r>
        <w:rPr>
          <w:rFonts w:hint="eastAsia"/>
          <w:color w:val="auto"/>
          <w:sz w:val="24"/>
          <w:szCs w:val="24"/>
          <w:highlight w:val="none"/>
        </w:rPr>
        <w:t>磋商响应函………………………………………………………………（页码）</w:t>
      </w:r>
    </w:p>
    <w:p>
      <w:pPr>
        <w:numPr>
          <w:ilvl w:val="0"/>
          <w:numId w:val="14"/>
        </w:numPr>
        <w:spacing w:line="360" w:lineRule="auto"/>
        <w:rPr>
          <w:color w:val="auto"/>
          <w:sz w:val="24"/>
          <w:szCs w:val="24"/>
          <w:highlight w:val="none"/>
        </w:rPr>
      </w:pPr>
      <w:r>
        <w:rPr>
          <w:rFonts w:hint="eastAsia"/>
          <w:color w:val="auto"/>
          <w:sz w:val="24"/>
          <w:szCs w:val="24"/>
          <w:highlight w:val="none"/>
        </w:rPr>
        <w:t>法定代表人授权委托书…………………………………………………（页码）</w:t>
      </w:r>
    </w:p>
    <w:p>
      <w:pPr>
        <w:spacing w:line="360" w:lineRule="auto"/>
        <w:rPr>
          <w:color w:val="auto"/>
          <w:sz w:val="24"/>
          <w:szCs w:val="24"/>
          <w:highlight w:val="none"/>
        </w:rPr>
      </w:pPr>
      <w:r>
        <w:rPr>
          <w:rFonts w:hint="eastAsia"/>
          <w:color w:val="auto"/>
          <w:sz w:val="24"/>
          <w:szCs w:val="24"/>
          <w:highlight w:val="none"/>
        </w:rPr>
        <w:t>（3）法定代表人及授权代表人的身份证（复印件）………………………（页码）</w:t>
      </w:r>
    </w:p>
    <w:p>
      <w:pPr>
        <w:spacing w:line="360" w:lineRule="auto"/>
        <w:rPr>
          <w:color w:val="auto"/>
          <w:sz w:val="24"/>
          <w:szCs w:val="24"/>
          <w:highlight w:val="none"/>
        </w:rPr>
      </w:pPr>
      <w:r>
        <w:rPr>
          <w:rFonts w:hint="eastAsia"/>
          <w:color w:val="auto"/>
          <w:sz w:val="24"/>
          <w:szCs w:val="24"/>
          <w:highlight w:val="none"/>
        </w:rPr>
        <w:t>（4）</w:t>
      </w:r>
      <w:r>
        <w:rPr>
          <w:rFonts w:hint="eastAsia" w:ascii="宋体" w:hAnsi="宋体"/>
          <w:bCs/>
          <w:color w:val="auto"/>
          <w:sz w:val="24"/>
          <w:szCs w:val="24"/>
          <w:highlight w:val="none"/>
          <w:lang w:val="zh-CN"/>
        </w:rPr>
        <w:t>公司介绍及提供同类项目经验</w:t>
      </w:r>
      <w:r>
        <w:rPr>
          <w:rFonts w:hint="eastAsia"/>
          <w:color w:val="auto"/>
          <w:sz w:val="24"/>
          <w:szCs w:val="24"/>
          <w:highlight w:val="none"/>
        </w:rPr>
        <w:t>…………………………………………（页码）</w:t>
      </w:r>
    </w:p>
    <w:p>
      <w:pPr>
        <w:rPr>
          <w:color w:val="auto"/>
          <w:sz w:val="24"/>
          <w:szCs w:val="24"/>
          <w:highlight w:val="none"/>
        </w:rPr>
      </w:pPr>
      <w:r>
        <w:rPr>
          <w:rFonts w:hint="eastAsia"/>
          <w:color w:val="auto"/>
          <w:sz w:val="24"/>
          <w:szCs w:val="24"/>
          <w:highlight w:val="none"/>
        </w:rPr>
        <w:t>（5）</w:t>
      </w:r>
      <w:r>
        <w:rPr>
          <w:rFonts w:hint="eastAsia" w:ascii="宋体" w:hAnsi="宋体"/>
          <w:bCs/>
          <w:color w:val="auto"/>
          <w:sz w:val="24"/>
          <w:szCs w:val="24"/>
          <w:highlight w:val="none"/>
          <w:lang w:val="zh-CN"/>
        </w:rPr>
        <w:t>资质文件（如有）</w:t>
      </w:r>
      <w:r>
        <w:rPr>
          <w:rFonts w:hint="eastAsia"/>
          <w:color w:val="auto"/>
          <w:sz w:val="24"/>
          <w:szCs w:val="24"/>
          <w:highlight w:val="none"/>
        </w:rPr>
        <w:t>………………………………………………………（页码）</w:t>
      </w:r>
    </w:p>
    <w:p>
      <w:pPr>
        <w:spacing w:line="360" w:lineRule="auto"/>
        <w:rPr>
          <w:color w:val="auto"/>
          <w:sz w:val="24"/>
          <w:szCs w:val="24"/>
          <w:highlight w:val="none"/>
        </w:rPr>
      </w:pPr>
      <w:r>
        <w:rPr>
          <w:rFonts w:hint="eastAsia"/>
          <w:color w:val="auto"/>
          <w:sz w:val="24"/>
          <w:szCs w:val="24"/>
          <w:highlight w:val="none"/>
        </w:rPr>
        <w:t>（6）商务、</w:t>
      </w:r>
      <w:r>
        <w:rPr>
          <w:rFonts w:hint="eastAsia" w:ascii="宋体" w:hAnsi="宋体"/>
          <w:bCs/>
          <w:color w:val="auto"/>
          <w:sz w:val="24"/>
          <w:szCs w:val="24"/>
          <w:highlight w:val="none"/>
        </w:rPr>
        <w:t>技术偏离表</w:t>
      </w:r>
      <w:r>
        <w:rPr>
          <w:rFonts w:hint="eastAsia"/>
          <w:color w:val="auto"/>
          <w:sz w:val="24"/>
          <w:szCs w:val="24"/>
          <w:highlight w:val="none"/>
        </w:rPr>
        <w:t>………………………………………………………（页码）</w:t>
      </w:r>
    </w:p>
    <w:p>
      <w:pPr>
        <w:rPr>
          <w:color w:val="auto"/>
          <w:sz w:val="24"/>
          <w:szCs w:val="24"/>
          <w:highlight w:val="none"/>
        </w:rPr>
      </w:pPr>
      <w:r>
        <w:rPr>
          <w:rFonts w:hint="eastAsia"/>
          <w:color w:val="auto"/>
          <w:sz w:val="24"/>
          <w:szCs w:val="24"/>
          <w:highlight w:val="none"/>
        </w:rPr>
        <w:t>（7）评审标准相应的商务技术资料…………………………………………（页码）</w:t>
      </w:r>
    </w:p>
    <w:bookmarkEnd w:id="109"/>
    <w:p>
      <w:pPr>
        <w:spacing w:line="360" w:lineRule="auto"/>
        <w:rPr>
          <w:rFonts w:ascii="宋体" w:hAnsi="宋体"/>
          <w:color w:val="auto"/>
          <w:sz w:val="24"/>
          <w:szCs w:val="24"/>
          <w:highlight w:val="none"/>
        </w:rPr>
      </w:pPr>
      <w:r>
        <w:rPr>
          <w:rFonts w:hint="eastAsia"/>
          <w:color w:val="auto"/>
          <w:sz w:val="24"/>
          <w:szCs w:val="24"/>
          <w:highlight w:val="none"/>
        </w:rPr>
        <w:t>（</w:t>
      </w:r>
      <w:r>
        <w:rPr>
          <w:rFonts w:hint="eastAsia" w:ascii="宋体" w:hAnsi="宋体"/>
          <w:color w:val="auto"/>
          <w:sz w:val="24"/>
          <w:szCs w:val="24"/>
          <w:highlight w:val="none"/>
        </w:rPr>
        <w:t>8）分包意向协议（如果有）………………………………………………（页码）</w:t>
      </w:r>
    </w:p>
    <w:p>
      <w:pPr>
        <w:spacing w:line="360" w:lineRule="auto"/>
        <w:rPr>
          <w:rFonts w:ascii="宋体" w:hAnsi="宋体"/>
          <w:color w:val="auto"/>
          <w:sz w:val="24"/>
          <w:szCs w:val="24"/>
          <w:highlight w:val="none"/>
        </w:rPr>
      </w:pPr>
      <w:r>
        <w:rPr>
          <w:rFonts w:hint="eastAsia" w:ascii="宋体" w:hAnsi="宋体"/>
          <w:color w:val="auto"/>
          <w:sz w:val="24"/>
          <w:szCs w:val="24"/>
          <w:highlight w:val="none"/>
        </w:rPr>
        <w:t>（9）其他必要提供的材料………………………………………………</w:t>
      </w:r>
      <w:r>
        <w:rPr>
          <w:rFonts w:hint="eastAsia"/>
          <w:color w:val="auto"/>
          <w:sz w:val="24"/>
          <w:szCs w:val="24"/>
          <w:highlight w:val="none"/>
        </w:rPr>
        <w:t>……</w:t>
      </w:r>
      <w:r>
        <w:rPr>
          <w:rFonts w:hint="eastAsia" w:ascii="宋体" w:hAnsi="宋体"/>
          <w:color w:val="auto"/>
          <w:sz w:val="24"/>
          <w:szCs w:val="24"/>
          <w:highlight w:val="none"/>
        </w:rPr>
        <w:t>（页码）</w:t>
      </w:r>
    </w:p>
    <w:p>
      <w:pPr>
        <w:pStyle w:val="15"/>
        <w:adjustRightInd w:val="0"/>
        <w:snapToGrid w:val="0"/>
        <w:spacing w:line="360" w:lineRule="auto"/>
        <w:outlineLvl w:val="2"/>
        <w:rPr>
          <w:rFonts w:hAnsi="宋体"/>
          <w:color w:val="auto"/>
          <w:sz w:val="24"/>
          <w:szCs w:val="24"/>
          <w:highlight w:val="none"/>
        </w:rPr>
      </w:pPr>
    </w:p>
    <w:p>
      <w:pPr>
        <w:pStyle w:val="15"/>
        <w:adjustRightInd w:val="0"/>
        <w:snapToGrid w:val="0"/>
        <w:spacing w:line="360" w:lineRule="auto"/>
        <w:outlineLvl w:val="2"/>
        <w:rPr>
          <w:rFonts w:hAnsi="宋体"/>
          <w:color w:val="auto"/>
          <w:sz w:val="24"/>
          <w:szCs w:val="24"/>
          <w:highlight w:val="none"/>
        </w:rPr>
      </w:pPr>
    </w:p>
    <w:p>
      <w:pPr>
        <w:pStyle w:val="15"/>
        <w:adjustRightInd w:val="0"/>
        <w:snapToGrid w:val="0"/>
        <w:spacing w:line="360" w:lineRule="auto"/>
        <w:outlineLvl w:val="2"/>
        <w:rPr>
          <w:rFonts w:hAnsi="宋体"/>
          <w:color w:val="auto"/>
          <w:sz w:val="24"/>
          <w:szCs w:val="24"/>
          <w:highlight w:val="none"/>
        </w:rPr>
      </w:pPr>
    </w:p>
    <w:p>
      <w:pPr>
        <w:pStyle w:val="15"/>
        <w:adjustRightInd w:val="0"/>
        <w:snapToGrid w:val="0"/>
        <w:spacing w:line="360" w:lineRule="auto"/>
        <w:outlineLvl w:val="2"/>
        <w:rPr>
          <w:rFonts w:hAnsi="宋体"/>
          <w:color w:val="auto"/>
          <w:sz w:val="24"/>
          <w:szCs w:val="24"/>
          <w:highlight w:val="none"/>
        </w:rPr>
      </w:pPr>
    </w:p>
    <w:p>
      <w:pPr>
        <w:pStyle w:val="15"/>
        <w:adjustRightInd w:val="0"/>
        <w:snapToGrid w:val="0"/>
        <w:spacing w:line="360" w:lineRule="auto"/>
        <w:outlineLvl w:val="2"/>
        <w:rPr>
          <w:rFonts w:hAnsi="宋体"/>
          <w:color w:val="auto"/>
          <w:sz w:val="24"/>
          <w:szCs w:val="24"/>
          <w:highlight w:val="none"/>
        </w:rPr>
        <w:sectPr>
          <w:pgSz w:w="11906" w:h="16838"/>
          <w:pgMar w:top="2098" w:right="1474" w:bottom="1701" w:left="1588" w:header="851" w:footer="992" w:gutter="0"/>
          <w:cols w:space="720" w:num="1"/>
          <w:docGrid w:type="lines" w:linePitch="312" w:charSpace="0"/>
        </w:sectPr>
      </w:pPr>
    </w:p>
    <w:p>
      <w:pPr>
        <w:pageBreakBefore/>
        <w:shd w:val="clear" w:color="auto" w:fill="FFFFFF"/>
        <w:adjustRightInd w:val="0"/>
        <w:snapToGrid w:val="0"/>
        <w:spacing w:line="360" w:lineRule="auto"/>
        <w:jc w:val="center"/>
        <w:outlineLvl w:val="2"/>
        <w:rPr>
          <w:rFonts w:ascii="宋体" w:hAnsi="宋体" w:cs="宋体"/>
          <w:b/>
          <w:bCs/>
          <w:color w:val="auto"/>
          <w:sz w:val="24"/>
          <w:szCs w:val="24"/>
          <w:highlight w:val="none"/>
        </w:rPr>
      </w:pPr>
      <w:bookmarkStart w:id="122" w:name="_Toc8800"/>
      <w:bookmarkStart w:id="123" w:name="_Toc1020"/>
      <w:r>
        <w:rPr>
          <w:b/>
          <w:color w:val="auto"/>
          <w:sz w:val="24"/>
          <w:szCs w:val="24"/>
          <w:highlight w:val="none"/>
          <w:lang w:val="zh-CN"/>
        </w:rPr>
        <w:t>一、</w:t>
      </w:r>
      <w:r>
        <w:rPr>
          <w:rFonts w:hint="eastAsia" w:ascii="宋体" w:hAnsi="宋体" w:cs="宋体"/>
          <w:b/>
          <w:bCs/>
          <w:color w:val="auto"/>
          <w:sz w:val="24"/>
          <w:szCs w:val="24"/>
          <w:highlight w:val="none"/>
        </w:rPr>
        <w:t>磋商响应函</w:t>
      </w:r>
      <w:bookmarkEnd w:id="122"/>
    </w:p>
    <w:p>
      <w:pPr>
        <w:shd w:val="clear" w:color="auto" w:fill="FFFFFF"/>
        <w:adjustRightInd w:val="0"/>
        <w:snapToGrid w:val="0"/>
        <w:spacing w:line="360" w:lineRule="auto"/>
        <w:rPr>
          <w:rFonts w:ascii="宋体" w:hAnsi="宋体" w:cs="宋体"/>
          <w:color w:val="auto"/>
          <w:sz w:val="24"/>
          <w:szCs w:val="24"/>
          <w:highlight w:val="none"/>
        </w:rPr>
      </w:pPr>
      <w:r>
        <w:rPr>
          <w:rFonts w:hint="eastAsia" w:ascii="宋体" w:hAnsi="宋体" w:cs="宋体"/>
          <w:color w:val="auto"/>
          <w:sz w:val="24"/>
          <w:szCs w:val="24"/>
          <w:highlight w:val="none"/>
          <w:lang w:eastAsia="zh-CN"/>
        </w:rPr>
        <w:t>浙江省拱宸强制隔离戒毒所</w:t>
      </w:r>
      <w:r>
        <w:rPr>
          <w:rFonts w:hint="eastAsia" w:ascii="宋体" w:hAnsi="宋体" w:cs="宋体"/>
          <w:color w:val="auto"/>
          <w:sz w:val="24"/>
          <w:szCs w:val="24"/>
          <w:highlight w:val="none"/>
        </w:rPr>
        <w:t>、浙江豪圣建设项目管理有限公司：</w:t>
      </w:r>
    </w:p>
    <w:p>
      <w:pPr>
        <w:shd w:val="clear" w:color="auto" w:fill="FFFFFF"/>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u w:val="single"/>
        </w:rPr>
        <w:t>(供应商全称)</w:t>
      </w:r>
      <w:r>
        <w:rPr>
          <w:rFonts w:hint="eastAsia" w:ascii="宋体" w:hAnsi="宋体" w:cs="宋体"/>
          <w:color w:val="auto"/>
          <w:sz w:val="24"/>
          <w:szCs w:val="24"/>
          <w:highlight w:val="none"/>
        </w:rPr>
        <w:t>授权</w:t>
      </w:r>
      <w:r>
        <w:rPr>
          <w:rFonts w:hint="eastAsia" w:ascii="宋体" w:hAnsi="宋体" w:cs="宋体"/>
          <w:color w:val="auto"/>
          <w:sz w:val="24"/>
          <w:szCs w:val="24"/>
          <w:highlight w:val="none"/>
          <w:u w:val="single"/>
        </w:rPr>
        <w:t>(全权代表姓名)(职务、职称)</w:t>
      </w:r>
      <w:r>
        <w:rPr>
          <w:rFonts w:hint="eastAsia" w:ascii="宋体" w:hAnsi="宋体" w:cs="宋体"/>
          <w:color w:val="auto"/>
          <w:sz w:val="24"/>
          <w:szCs w:val="24"/>
          <w:highlight w:val="none"/>
        </w:rPr>
        <w:t>为全权代表，参加贵方组织的</w:t>
      </w:r>
      <w:r>
        <w:rPr>
          <w:rFonts w:hint="eastAsia" w:ascii="宋体" w:hAnsi="宋体" w:cs="宋体"/>
          <w:color w:val="auto"/>
          <w:sz w:val="24"/>
          <w:szCs w:val="24"/>
          <w:highlight w:val="none"/>
          <w:u w:val="single"/>
          <w:lang w:eastAsia="zh-CN"/>
        </w:rPr>
        <w:t>浙江省拱宸强制隔离戒毒所“红色基地”整体改造设计项目</w:t>
      </w:r>
      <w:r>
        <w:rPr>
          <w:rFonts w:hint="eastAsia" w:ascii="宋体" w:hAnsi="宋体" w:cs="宋体"/>
          <w:color w:val="auto"/>
          <w:sz w:val="24"/>
          <w:szCs w:val="24"/>
          <w:highlight w:val="none"/>
        </w:rPr>
        <w:t>(项目编号：</w:t>
      </w:r>
      <w:r>
        <w:rPr>
          <w:rFonts w:hint="eastAsia" w:ascii="宋体" w:hAnsi="宋体" w:cs="宋体"/>
          <w:color w:val="auto"/>
          <w:sz w:val="24"/>
          <w:szCs w:val="24"/>
          <w:highlight w:val="none"/>
          <w:u w:val="single"/>
          <w:lang w:eastAsia="zh-CN"/>
        </w:rPr>
        <w:t>HSZB-2023-852</w:t>
      </w:r>
      <w:r>
        <w:rPr>
          <w:rFonts w:hint="eastAsia" w:ascii="宋体" w:hAnsi="宋体" w:cs="宋体"/>
          <w:color w:val="auto"/>
          <w:sz w:val="24"/>
          <w:szCs w:val="24"/>
          <w:highlight w:val="none"/>
          <w:lang w:val="zh-CN"/>
        </w:rPr>
        <w:t>)</w:t>
      </w:r>
      <w:r>
        <w:rPr>
          <w:rFonts w:hint="eastAsia" w:ascii="宋体" w:hAnsi="宋体" w:cs="宋体"/>
          <w:color w:val="auto"/>
          <w:sz w:val="24"/>
          <w:szCs w:val="24"/>
          <w:highlight w:val="none"/>
        </w:rPr>
        <w:t>招标的有关活动，并对此项目进行磋商。为此：</w:t>
      </w:r>
    </w:p>
    <w:p>
      <w:pPr>
        <w:shd w:val="clear" w:color="auto" w:fill="FFFFFF"/>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1、我方同意在供应商</w:t>
      </w:r>
      <w:r>
        <w:rPr>
          <w:rFonts w:hint="eastAsia" w:ascii="宋体" w:hAnsi="宋体" w:cs="宋体"/>
          <w:color w:val="auto"/>
          <w:kern w:val="44"/>
          <w:sz w:val="24"/>
          <w:szCs w:val="24"/>
          <w:highlight w:val="none"/>
        </w:rPr>
        <w:t>编制和提交磋商响应文件须知</w:t>
      </w:r>
      <w:r>
        <w:rPr>
          <w:rFonts w:hint="eastAsia" w:ascii="宋体" w:hAnsi="宋体" w:cs="宋体"/>
          <w:color w:val="auto"/>
          <w:sz w:val="24"/>
          <w:szCs w:val="24"/>
          <w:highlight w:val="none"/>
        </w:rPr>
        <w:t>规定的日期起遵守本标书中的承诺且在磋商有效期满之前均具有约束力。</w:t>
      </w:r>
    </w:p>
    <w:p>
      <w:pPr>
        <w:shd w:val="clear" w:color="auto" w:fill="FFFFFF"/>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2、我方承诺已经具备《中华人民共和国政府采购法》中规定的参加政府采购活动的供应商应当具备的条件。</w:t>
      </w:r>
    </w:p>
    <w:p>
      <w:pPr>
        <w:shd w:val="clear" w:color="auto" w:fill="FFFFFF"/>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3、提供</w:t>
      </w:r>
      <w:r>
        <w:rPr>
          <w:rFonts w:hint="eastAsia" w:ascii="宋体" w:hAnsi="宋体" w:cs="宋体"/>
          <w:color w:val="auto"/>
          <w:kern w:val="44"/>
          <w:sz w:val="24"/>
          <w:szCs w:val="24"/>
          <w:highlight w:val="none"/>
        </w:rPr>
        <w:t>编制和提交磋商响应文件须知</w:t>
      </w:r>
      <w:r>
        <w:rPr>
          <w:rFonts w:hint="eastAsia" w:ascii="宋体" w:hAnsi="宋体" w:cs="宋体"/>
          <w:color w:val="auto"/>
          <w:sz w:val="24"/>
          <w:szCs w:val="24"/>
          <w:highlight w:val="none"/>
        </w:rPr>
        <w:t>规定的全部磋商响应文件，包括资格文件、报价文件、商务技术文件。</w:t>
      </w:r>
    </w:p>
    <w:p>
      <w:pPr>
        <w:shd w:val="clear" w:color="auto" w:fill="FFFFFF"/>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4、磋商有效期内不撤回响应文件。</w:t>
      </w:r>
    </w:p>
    <w:p>
      <w:pPr>
        <w:shd w:val="clear" w:color="auto" w:fill="FFFFFF"/>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5、我方完全理解贵方不一定要接受最低价的投标。</w:t>
      </w:r>
    </w:p>
    <w:p>
      <w:pPr>
        <w:shd w:val="clear" w:color="auto" w:fill="FFFFFF"/>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6、我方愿意向贵方提供任何与该项投标有关的数据、情况和服务资料。若贵方需要，我方愿意提供我方作出的一切承诺的证明材料。</w:t>
      </w:r>
    </w:p>
    <w:p>
      <w:pPr>
        <w:shd w:val="clear" w:color="auto" w:fill="FFFFFF"/>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7、我方已详细审核全部采购文件，包括采购文件修改书（如有的话）、参考资料及有关附件，确认无误。我方完全理解并接受采购文件的各项规定和要求，对采购文件的合理性、合法性不再有异议。</w:t>
      </w:r>
    </w:p>
    <w:p>
      <w:pPr>
        <w:shd w:val="clear" w:color="auto" w:fill="FFFFFF"/>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8、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shd w:val="clear" w:color="auto" w:fill="FFFFFF"/>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(1)提供虚假材料谋取成交、成交的。</w:t>
      </w:r>
    </w:p>
    <w:p>
      <w:pPr>
        <w:shd w:val="clear" w:color="auto" w:fill="FFFFFF"/>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(2)采取不正当手段诋毁、排挤其他供应商的。</w:t>
      </w:r>
    </w:p>
    <w:p>
      <w:pPr>
        <w:shd w:val="clear" w:color="auto" w:fill="FFFFFF"/>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(3)与采购人、其它供应商或者采购代理机构恶意串通的。</w:t>
      </w:r>
    </w:p>
    <w:p>
      <w:pPr>
        <w:shd w:val="clear" w:color="auto" w:fill="FFFFFF"/>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(4)向采购人、采购代理机构行贿或者提供其他不正当利益的。</w:t>
      </w:r>
    </w:p>
    <w:p>
      <w:pPr>
        <w:shd w:val="clear" w:color="auto" w:fill="FFFFFF"/>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(5)在招标采购过程中与采购人进行协商谈判的。</w:t>
      </w:r>
    </w:p>
    <w:p>
      <w:pPr>
        <w:shd w:val="clear" w:color="auto" w:fill="FFFFFF"/>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(6)拒绝有关部门监督检查或提供虚假情况的。</w:t>
      </w:r>
    </w:p>
    <w:p>
      <w:pPr>
        <w:shd w:val="clear" w:color="auto" w:fill="FFFFFF"/>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供应商有前款第(1)至(5)项情形之一的，成交、成交无效。</w:t>
      </w:r>
    </w:p>
    <w:p>
      <w:pPr>
        <w:shd w:val="clear" w:color="auto" w:fill="FFFFFF"/>
        <w:adjustRightInd w:val="0"/>
        <w:snapToGrid w:val="0"/>
        <w:spacing w:line="360" w:lineRule="auto"/>
        <w:ind w:left="420" w:leftChars="200"/>
        <w:rPr>
          <w:rFonts w:ascii="宋体" w:hAnsi="宋体" w:cs="宋体"/>
          <w:color w:val="auto"/>
          <w:sz w:val="24"/>
          <w:szCs w:val="24"/>
          <w:highlight w:val="none"/>
          <w:lang w:val="zh-CN"/>
        </w:rPr>
      </w:pPr>
    </w:p>
    <w:p>
      <w:pPr>
        <w:shd w:val="clear" w:color="auto" w:fill="FFFFFF"/>
        <w:adjustRightInd w:val="0"/>
        <w:snapToGrid w:val="0"/>
        <w:spacing w:line="360" w:lineRule="auto"/>
        <w:ind w:left="420" w:leftChars="200"/>
        <w:rPr>
          <w:rFonts w:ascii="宋体" w:hAnsi="宋体" w:cs="宋体"/>
          <w:color w:val="auto"/>
          <w:sz w:val="24"/>
          <w:szCs w:val="24"/>
          <w:highlight w:val="none"/>
          <w:lang w:val="zh-CN"/>
        </w:rPr>
      </w:pPr>
    </w:p>
    <w:p>
      <w:pPr>
        <w:shd w:val="clear" w:color="auto" w:fill="FFFFFF"/>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ab/>
      </w:r>
    </w:p>
    <w:p>
      <w:pPr>
        <w:shd w:val="clear" w:color="auto" w:fill="FFFFFF"/>
        <w:adjustRightInd w:val="0"/>
        <w:snapToGrid w:val="0"/>
        <w:spacing w:line="360" w:lineRule="auto"/>
        <w:ind w:firstLine="480" w:firstLineChars="200"/>
        <w:rPr>
          <w:rFonts w:ascii="宋体" w:hAnsi="宋体" w:cs="宋体"/>
          <w:color w:val="auto"/>
          <w:sz w:val="24"/>
          <w:szCs w:val="24"/>
          <w:highlight w:val="none"/>
          <w:u w:val="single"/>
          <w:lang w:val="zh-CN"/>
        </w:rPr>
      </w:pPr>
      <w:r>
        <w:rPr>
          <w:rFonts w:hint="eastAsia" w:ascii="宋体" w:hAnsi="宋体" w:cs="宋体"/>
          <w:color w:val="auto"/>
          <w:sz w:val="24"/>
          <w:szCs w:val="24"/>
          <w:highlight w:val="none"/>
        </w:rPr>
        <w:t>供应商公</w:t>
      </w:r>
      <w:r>
        <w:rPr>
          <w:rFonts w:hint="eastAsia" w:ascii="宋体" w:hAnsi="宋体" w:cs="宋体"/>
          <w:color w:val="auto"/>
          <w:sz w:val="24"/>
          <w:szCs w:val="24"/>
          <w:highlight w:val="none"/>
          <w:lang w:val="zh-CN"/>
        </w:rPr>
        <w:t>章：</w:t>
      </w:r>
      <w:r>
        <w:rPr>
          <w:rFonts w:hint="eastAsia" w:ascii="宋体" w:hAnsi="宋体" w:cs="宋体"/>
          <w:color w:val="auto"/>
          <w:sz w:val="24"/>
          <w:szCs w:val="24"/>
          <w:highlight w:val="none"/>
        </w:rPr>
        <w:tab/>
      </w:r>
    </w:p>
    <w:p>
      <w:pPr>
        <w:shd w:val="clear" w:color="auto" w:fill="FFFFFF"/>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lang w:val="zh-CN"/>
        </w:rPr>
        <w:t xml:space="preserve">联系电话： 传真：  电子邮件：  </w:t>
      </w:r>
    </w:p>
    <w:p>
      <w:pPr>
        <w:shd w:val="clear" w:color="auto" w:fill="FFFFFF"/>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lang w:val="zh-CN"/>
        </w:rPr>
        <w:t>联系地址：</w:t>
      </w:r>
      <w:r>
        <w:rPr>
          <w:rFonts w:hint="eastAsia" w:ascii="宋体" w:hAnsi="宋体" w:cs="宋体"/>
          <w:color w:val="auto"/>
          <w:sz w:val="24"/>
          <w:szCs w:val="24"/>
          <w:highlight w:val="none"/>
        </w:rPr>
        <w:tab/>
      </w:r>
    </w:p>
    <w:p>
      <w:pPr>
        <w:shd w:val="clear" w:color="auto" w:fill="FFFFFF"/>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lang w:val="zh-CN"/>
        </w:rPr>
        <w:t>邮政编码：传真号码：</w:t>
      </w:r>
    </w:p>
    <w:p>
      <w:pPr>
        <w:shd w:val="clear" w:color="auto" w:fill="FFFFFF"/>
        <w:adjustRightInd w:val="0"/>
        <w:snapToGrid w:val="0"/>
        <w:spacing w:line="360" w:lineRule="auto"/>
        <w:ind w:firstLine="480" w:firstLineChars="200"/>
        <w:rPr>
          <w:rFonts w:ascii="宋体" w:hAnsi="宋体" w:cs="宋体"/>
          <w:color w:val="auto"/>
          <w:sz w:val="24"/>
          <w:szCs w:val="24"/>
          <w:highlight w:val="none"/>
          <w:u w:val="single"/>
        </w:rPr>
      </w:pPr>
      <w:r>
        <w:rPr>
          <w:rFonts w:hint="eastAsia" w:ascii="宋体" w:hAnsi="宋体" w:cs="宋体"/>
          <w:color w:val="auto"/>
          <w:sz w:val="24"/>
          <w:szCs w:val="24"/>
          <w:highlight w:val="none"/>
          <w:lang w:val="zh-CN"/>
        </w:rPr>
        <w:t>日期</w:t>
      </w:r>
      <w:r>
        <w:rPr>
          <w:rFonts w:hint="eastAsia" w:ascii="宋体" w:hAnsi="宋体" w:cs="宋体"/>
          <w:color w:val="auto"/>
          <w:sz w:val="24"/>
          <w:szCs w:val="24"/>
          <w:highlight w:val="none"/>
        </w:rPr>
        <w:t xml:space="preserve">： </w:t>
      </w:r>
      <w:r>
        <w:rPr>
          <w:rFonts w:hint="eastAsia" w:ascii="宋体" w:hAnsi="宋体" w:cs="宋体"/>
          <w:color w:val="auto"/>
          <w:sz w:val="24"/>
          <w:szCs w:val="24"/>
          <w:highlight w:val="none"/>
          <w:lang w:val="zh-CN"/>
        </w:rPr>
        <w:t>年</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lang w:val="zh-CN"/>
        </w:rPr>
        <w:t>月</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lang w:val="zh-CN"/>
        </w:rPr>
        <w:t>日</w:t>
      </w:r>
    </w:p>
    <w:p>
      <w:pPr>
        <w:shd w:val="clear" w:color="auto" w:fill="FFFFFF"/>
        <w:adjustRightInd w:val="0"/>
        <w:snapToGrid w:val="0"/>
        <w:spacing w:line="360" w:lineRule="auto"/>
        <w:rPr>
          <w:rFonts w:ascii="宋体" w:hAnsi="宋体" w:cs="宋体"/>
          <w:b/>
          <w:bCs/>
          <w:color w:val="auto"/>
          <w:sz w:val="24"/>
          <w:szCs w:val="24"/>
          <w:highlight w:val="none"/>
          <w:lang w:val="zh-CN"/>
        </w:rPr>
      </w:pPr>
    </w:p>
    <w:p>
      <w:pPr>
        <w:shd w:val="clear" w:color="auto" w:fill="FFFFFF"/>
        <w:adjustRightInd w:val="0"/>
        <w:snapToGrid w:val="0"/>
        <w:spacing w:line="360" w:lineRule="auto"/>
        <w:rPr>
          <w:rFonts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注：未按照本</w:t>
      </w:r>
      <w:r>
        <w:rPr>
          <w:rFonts w:hint="eastAsia" w:ascii="宋体" w:hAnsi="宋体" w:cs="宋体"/>
          <w:b/>
          <w:bCs/>
          <w:color w:val="auto"/>
          <w:sz w:val="24"/>
          <w:szCs w:val="24"/>
          <w:highlight w:val="none"/>
        </w:rPr>
        <w:t>项目</w:t>
      </w:r>
      <w:r>
        <w:rPr>
          <w:rFonts w:hint="eastAsia" w:ascii="宋体" w:hAnsi="宋体" w:cs="宋体"/>
          <w:b/>
          <w:bCs/>
          <w:color w:val="auto"/>
          <w:sz w:val="24"/>
          <w:szCs w:val="24"/>
          <w:highlight w:val="none"/>
          <w:lang w:val="zh-CN"/>
        </w:rPr>
        <w:t>响应函要求填报的将被视为非实质性响应，从而可能导致该磋商响应文件被拒绝。</w:t>
      </w:r>
    </w:p>
    <w:p>
      <w:pPr>
        <w:pStyle w:val="113"/>
        <w:rPr>
          <w:rFonts w:hAnsi="宋体" w:cs="宋体"/>
          <w:b/>
          <w:bCs/>
          <w:color w:val="auto"/>
          <w:szCs w:val="24"/>
          <w:highlight w:val="none"/>
          <w:lang w:val="zh-CN"/>
        </w:rPr>
      </w:pPr>
    </w:p>
    <w:p>
      <w:pPr>
        <w:pStyle w:val="15"/>
        <w:snapToGrid w:val="0"/>
        <w:spacing w:line="360" w:lineRule="auto"/>
        <w:ind w:firstLine="482" w:firstLineChars="200"/>
        <w:jc w:val="center"/>
        <w:outlineLvl w:val="0"/>
        <w:rPr>
          <w:rFonts w:ascii="Times New Roman" w:hAnsi="Times New Roman"/>
          <w:b/>
          <w:color w:val="auto"/>
          <w:sz w:val="24"/>
          <w:szCs w:val="24"/>
          <w:highlight w:val="none"/>
          <w:lang w:val="zh-CN"/>
        </w:rPr>
      </w:pPr>
    </w:p>
    <w:p>
      <w:pPr>
        <w:pStyle w:val="15"/>
        <w:snapToGrid w:val="0"/>
        <w:spacing w:line="360" w:lineRule="auto"/>
        <w:ind w:firstLine="482" w:firstLineChars="200"/>
        <w:jc w:val="center"/>
        <w:outlineLvl w:val="0"/>
        <w:rPr>
          <w:rFonts w:ascii="Times New Roman" w:hAnsi="Times New Roman"/>
          <w:b/>
          <w:color w:val="auto"/>
          <w:sz w:val="24"/>
          <w:szCs w:val="24"/>
          <w:highlight w:val="none"/>
          <w:lang w:val="zh-CN"/>
        </w:rPr>
      </w:pPr>
    </w:p>
    <w:p>
      <w:pPr>
        <w:pStyle w:val="15"/>
        <w:snapToGrid w:val="0"/>
        <w:spacing w:line="360" w:lineRule="auto"/>
        <w:ind w:firstLine="482" w:firstLineChars="200"/>
        <w:jc w:val="center"/>
        <w:outlineLvl w:val="0"/>
        <w:rPr>
          <w:rFonts w:ascii="Times New Roman" w:hAnsi="Times New Roman"/>
          <w:b/>
          <w:color w:val="auto"/>
          <w:sz w:val="24"/>
          <w:szCs w:val="24"/>
          <w:highlight w:val="none"/>
        </w:rPr>
        <w:sectPr>
          <w:pgSz w:w="11906" w:h="16838"/>
          <w:pgMar w:top="1134" w:right="1247" w:bottom="1247" w:left="1304" w:header="794" w:footer="794" w:gutter="0"/>
          <w:cols w:space="720" w:num="1"/>
          <w:docGrid w:type="lines" w:linePitch="312" w:charSpace="0"/>
        </w:sectPr>
      </w:pPr>
    </w:p>
    <w:p>
      <w:pPr>
        <w:pStyle w:val="15"/>
        <w:snapToGrid w:val="0"/>
        <w:spacing w:line="360" w:lineRule="auto"/>
        <w:ind w:firstLine="482" w:firstLineChars="200"/>
        <w:jc w:val="center"/>
        <w:outlineLvl w:val="0"/>
        <w:rPr>
          <w:rFonts w:ascii="Times New Roman" w:hAnsi="Times New Roman"/>
          <w:b/>
          <w:color w:val="auto"/>
          <w:sz w:val="24"/>
          <w:szCs w:val="24"/>
          <w:highlight w:val="none"/>
          <w:lang w:val="zh-CN"/>
        </w:rPr>
      </w:pPr>
      <w:bookmarkStart w:id="124" w:name="_Toc11164"/>
      <w:r>
        <w:rPr>
          <w:rFonts w:hint="eastAsia" w:ascii="Times New Roman" w:hAnsi="Times New Roman"/>
          <w:b/>
          <w:color w:val="auto"/>
          <w:sz w:val="24"/>
          <w:szCs w:val="24"/>
          <w:highlight w:val="none"/>
        </w:rPr>
        <w:t>二、</w:t>
      </w:r>
      <w:r>
        <w:rPr>
          <w:rFonts w:ascii="Times New Roman" w:hAnsi="Times New Roman"/>
          <w:b/>
          <w:color w:val="auto"/>
          <w:sz w:val="24"/>
          <w:szCs w:val="24"/>
          <w:highlight w:val="none"/>
          <w:lang w:val="zh-CN"/>
        </w:rPr>
        <w:t>法定代表人授权委托书</w:t>
      </w:r>
      <w:bookmarkEnd w:id="123"/>
      <w:r>
        <w:rPr>
          <w:rFonts w:hint="eastAsia" w:ascii="Times New Roman" w:hAnsi="Times New Roman"/>
          <w:b/>
          <w:color w:val="auto"/>
          <w:sz w:val="24"/>
          <w:szCs w:val="24"/>
          <w:highlight w:val="none"/>
          <w:lang w:val="zh-CN"/>
        </w:rPr>
        <w:t>（</w:t>
      </w:r>
      <w:r>
        <w:rPr>
          <w:rFonts w:hint="eastAsia" w:hAnsi="宋体"/>
          <w:b/>
          <w:color w:val="auto"/>
          <w:sz w:val="24"/>
          <w:szCs w:val="24"/>
          <w:highlight w:val="none"/>
          <w:lang w:val="zh-CN"/>
        </w:rPr>
        <w:t>适用于非联合体</w:t>
      </w:r>
      <w:r>
        <w:rPr>
          <w:rFonts w:hint="eastAsia" w:hAnsi="宋体"/>
          <w:b/>
          <w:color w:val="auto"/>
          <w:sz w:val="24"/>
          <w:szCs w:val="24"/>
          <w:highlight w:val="none"/>
        </w:rPr>
        <w:t>响应</w:t>
      </w:r>
      <w:r>
        <w:rPr>
          <w:rFonts w:hint="eastAsia" w:ascii="Times New Roman" w:hAnsi="Times New Roman"/>
          <w:b/>
          <w:color w:val="auto"/>
          <w:sz w:val="24"/>
          <w:szCs w:val="24"/>
          <w:highlight w:val="none"/>
          <w:lang w:val="zh-CN"/>
        </w:rPr>
        <w:t>）</w:t>
      </w:r>
      <w:bookmarkEnd w:id="124"/>
    </w:p>
    <w:p>
      <w:pPr>
        <w:shd w:val="clear" w:color="auto" w:fill="FFFFFF"/>
        <w:snapToGrid w:val="0"/>
        <w:spacing w:line="360" w:lineRule="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浙江省拱宸强制隔离戒毒所</w:t>
      </w:r>
    </w:p>
    <w:p>
      <w:pPr>
        <w:shd w:val="clear" w:color="auto" w:fill="FFFFFF"/>
        <w:snapToGrid w:val="0"/>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浙江豪圣建设项目管理有限公司：</w:t>
      </w:r>
    </w:p>
    <w:p>
      <w:pPr>
        <w:shd w:val="clear" w:color="auto" w:fill="FFFFFF"/>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lang w:val="zh-CN"/>
        </w:rPr>
        <w:t>兹委派我公司</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lang w:val="zh-CN"/>
        </w:rPr>
        <w:t>先生/女士(其在本公司的职务是：</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lang w:val="zh-CN"/>
        </w:rPr>
        <w:t>，联系电话：</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lang w:val="zh-CN"/>
        </w:rPr>
        <w:t>手机：</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lang w:val="zh-CN"/>
        </w:rPr>
        <w:t>传真：</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lang w:val="zh-CN"/>
        </w:rPr>
        <w:t>)，代表我公司全权处理</w:t>
      </w:r>
      <w:r>
        <w:rPr>
          <w:rFonts w:hint="eastAsia" w:ascii="宋体" w:hAnsi="宋体" w:cs="宋体"/>
          <w:color w:val="auto"/>
          <w:sz w:val="24"/>
          <w:szCs w:val="24"/>
          <w:highlight w:val="none"/>
          <w:u w:val="single"/>
        </w:rPr>
        <w:t>(项目编号：</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w:t>
      </w:r>
      <w:r>
        <w:rPr>
          <w:rFonts w:hint="eastAsia" w:ascii="宋体" w:hAnsi="宋体" w:cs="宋体"/>
          <w:color w:val="auto"/>
          <w:sz w:val="24"/>
          <w:szCs w:val="24"/>
          <w:highlight w:val="none"/>
        </w:rPr>
        <w:t>政府采购活动的一切事项，若成交则全权代表本公司签订相关合同，</w:t>
      </w:r>
      <w:r>
        <w:rPr>
          <w:rFonts w:hint="eastAsia" w:ascii="宋体" w:hAnsi="宋体" w:cs="宋体"/>
          <w:color w:val="auto"/>
          <w:sz w:val="24"/>
          <w:szCs w:val="24"/>
          <w:highlight w:val="none"/>
          <w:lang w:val="zh-CN"/>
        </w:rPr>
        <w:t>并负责处理合同履行等事宜。</w:t>
      </w:r>
    </w:p>
    <w:p>
      <w:pPr>
        <w:shd w:val="clear" w:color="auto" w:fill="FFFFFF"/>
        <w:snapToGrid w:val="0"/>
        <w:spacing w:line="360" w:lineRule="auto"/>
        <w:rPr>
          <w:rFonts w:ascii="宋体" w:hAnsi="宋体" w:cs="宋体"/>
          <w:color w:val="auto"/>
          <w:sz w:val="24"/>
          <w:szCs w:val="24"/>
          <w:highlight w:val="none"/>
        </w:rPr>
      </w:pPr>
      <w:r>
        <w:rPr>
          <w:rFonts w:hint="eastAsia" w:ascii="宋体" w:hAnsi="宋体" w:cs="宋体"/>
          <w:color w:val="auto"/>
          <w:sz w:val="24"/>
          <w:szCs w:val="24"/>
          <w:highlight w:val="none"/>
          <w:lang w:val="zh-CN"/>
        </w:rPr>
        <w:t xml:space="preserve">    特此告知。</w:t>
      </w:r>
    </w:p>
    <w:p>
      <w:pPr>
        <w:shd w:val="clear" w:color="auto" w:fill="FFFFFF"/>
        <w:snapToGrid w:val="0"/>
        <w:spacing w:line="360" w:lineRule="auto"/>
        <w:jc w:val="left"/>
        <w:rPr>
          <w:rFonts w:ascii="宋体" w:hAnsi="宋体" w:cs="宋体"/>
          <w:color w:val="auto"/>
          <w:sz w:val="24"/>
          <w:szCs w:val="24"/>
          <w:highlight w:val="none"/>
        </w:rPr>
      </w:pPr>
    </w:p>
    <w:p>
      <w:pPr>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供应商名称（盖章） ：</w:t>
      </w:r>
    </w:p>
    <w:p>
      <w:pPr>
        <w:snapToGrid w:val="0"/>
        <w:spacing w:line="360" w:lineRule="auto"/>
        <w:ind w:firstLine="480" w:firstLineChars="200"/>
        <w:jc w:val="left"/>
        <w:rPr>
          <w:rFonts w:ascii="宋体" w:hAnsi="宋体" w:cs="宋体"/>
          <w:color w:val="auto"/>
          <w:sz w:val="24"/>
          <w:szCs w:val="24"/>
          <w:highlight w:val="none"/>
        </w:rPr>
      </w:pPr>
      <w:r>
        <w:rPr>
          <w:rFonts w:hint="eastAsia" w:ascii="宋体" w:hAnsi="宋体" w:cs="宋体"/>
          <w:color w:val="auto"/>
          <w:sz w:val="24"/>
          <w:szCs w:val="24"/>
          <w:highlight w:val="none"/>
        </w:rPr>
        <w:t>法定代表人或其授权代表（签字或盖章）：</w:t>
      </w:r>
    </w:p>
    <w:p>
      <w:pPr>
        <w:snapToGrid w:val="0"/>
        <w:spacing w:line="360" w:lineRule="auto"/>
        <w:ind w:firstLine="480" w:firstLineChars="200"/>
        <w:jc w:val="left"/>
        <w:rPr>
          <w:rFonts w:ascii="宋体" w:hAnsi="宋体" w:cs="宋体"/>
          <w:color w:val="auto"/>
          <w:sz w:val="24"/>
          <w:szCs w:val="24"/>
          <w:highlight w:val="none"/>
          <w:lang w:val="zh-CN"/>
        </w:rPr>
      </w:pPr>
      <w:r>
        <w:rPr>
          <w:rFonts w:hint="eastAsia" w:ascii="宋体" w:hAnsi="宋体" w:cs="宋体"/>
          <w:color w:val="auto"/>
          <w:sz w:val="24"/>
          <w:szCs w:val="24"/>
          <w:highlight w:val="none"/>
        </w:rPr>
        <w:t>日期：     年  月  日</w:t>
      </w:r>
    </w:p>
    <w:p>
      <w:pPr>
        <w:shd w:val="clear" w:color="auto" w:fill="FFFFFF"/>
        <w:snapToGrid w:val="0"/>
        <w:spacing w:line="360" w:lineRule="auto"/>
        <w:ind w:right="480"/>
        <w:jc w:val="center"/>
        <w:rPr>
          <w:rFonts w:ascii="宋体" w:hAnsi="宋体" w:cs="宋体"/>
          <w:b/>
          <w:bCs/>
          <w:color w:val="auto"/>
          <w:sz w:val="24"/>
          <w:szCs w:val="24"/>
          <w:highlight w:val="none"/>
          <w:lang w:val="zh-CN"/>
        </w:rPr>
      </w:pPr>
    </w:p>
    <w:p>
      <w:pPr>
        <w:pStyle w:val="15"/>
        <w:snapToGrid w:val="0"/>
        <w:spacing w:line="360" w:lineRule="auto"/>
        <w:ind w:firstLine="482" w:firstLineChars="200"/>
        <w:jc w:val="center"/>
        <w:outlineLvl w:val="0"/>
        <w:rPr>
          <w:rFonts w:ascii="Times New Roman" w:hAnsi="Times New Roman"/>
          <w:b/>
          <w:color w:val="auto"/>
          <w:sz w:val="24"/>
          <w:szCs w:val="24"/>
          <w:highlight w:val="none"/>
          <w:lang w:val="zh-CN"/>
        </w:rPr>
      </w:pPr>
    </w:p>
    <w:p>
      <w:pPr>
        <w:pStyle w:val="15"/>
        <w:snapToGrid w:val="0"/>
        <w:spacing w:line="360" w:lineRule="auto"/>
        <w:ind w:firstLine="482" w:firstLineChars="200"/>
        <w:jc w:val="center"/>
        <w:outlineLvl w:val="0"/>
        <w:rPr>
          <w:rFonts w:ascii="Times New Roman" w:hAnsi="Times New Roman"/>
          <w:b/>
          <w:color w:val="auto"/>
          <w:sz w:val="24"/>
          <w:szCs w:val="24"/>
          <w:highlight w:val="none"/>
          <w:lang w:val="zh-CN"/>
        </w:rPr>
      </w:pPr>
      <w:bookmarkStart w:id="125" w:name="_Toc2030"/>
      <w:r>
        <w:rPr>
          <w:rFonts w:ascii="Times New Roman" w:hAnsi="Times New Roman"/>
          <w:b/>
          <w:color w:val="auto"/>
          <w:sz w:val="24"/>
          <w:szCs w:val="24"/>
          <w:highlight w:val="none"/>
          <w:lang w:val="zh-CN"/>
        </w:rPr>
        <w:t>法定代表人授权委托书</w:t>
      </w:r>
      <w:r>
        <w:rPr>
          <w:rFonts w:hint="eastAsia" w:ascii="Times New Roman" w:hAnsi="Times New Roman"/>
          <w:b/>
          <w:color w:val="auto"/>
          <w:sz w:val="24"/>
          <w:szCs w:val="24"/>
          <w:highlight w:val="none"/>
          <w:lang w:val="zh-CN"/>
        </w:rPr>
        <w:t>（</w:t>
      </w:r>
      <w:r>
        <w:rPr>
          <w:rFonts w:hint="eastAsia" w:hAnsi="宋体"/>
          <w:b/>
          <w:color w:val="auto"/>
          <w:sz w:val="24"/>
          <w:szCs w:val="24"/>
          <w:highlight w:val="none"/>
          <w:lang w:val="zh-CN"/>
        </w:rPr>
        <w:t>适用于联合体</w:t>
      </w:r>
      <w:r>
        <w:rPr>
          <w:rFonts w:hint="eastAsia" w:hAnsi="宋体"/>
          <w:b/>
          <w:color w:val="auto"/>
          <w:sz w:val="24"/>
          <w:szCs w:val="24"/>
          <w:highlight w:val="none"/>
        </w:rPr>
        <w:t>响应</w:t>
      </w:r>
      <w:r>
        <w:rPr>
          <w:rFonts w:hint="eastAsia" w:ascii="Times New Roman" w:hAnsi="Times New Roman"/>
          <w:b/>
          <w:color w:val="auto"/>
          <w:sz w:val="24"/>
          <w:szCs w:val="24"/>
          <w:highlight w:val="none"/>
          <w:lang w:val="zh-CN"/>
        </w:rPr>
        <w:t>）</w:t>
      </w:r>
      <w:bookmarkEnd w:id="125"/>
    </w:p>
    <w:p>
      <w:pPr>
        <w:shd w:val="clear" w:color="auto" w:fill="FFFFFF"/>
        <w:snapToGrid w:val="0"/>
        <w:spacing w:line="360" w:lineRule="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浙江省拱宸强制隔离戒毒所</w:t>
      </w:r>
    </w:p>
    <w:p>
      <w:pPr>
        <w:shd w:val="clear" w:color="auto" w:fill="FFFFFF"/>
        <w:snapToGrid w:val="0"/>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浙江豪圣建设项目管理有限公司：</w:t>
      </w:r>
    </w:p>
    <w:p>
      <w:pPr>
        <w:shd w:val="clear" w:color="auto" w:fill="FFFFFF"/>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lang w:val="zh-CN"/>
        </w:rPr>
        <w:t>兹委派我公司</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lang w:val="zh-CN"/>
        </w:rPr>
        <w:t>先生/女士(其在本公司的职务是：</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lang w:val="zh-CN"/>
        </w:rPr>
        <w:t>，联系电话：</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lang w:val="zh-CN"/>
        </w:rPr>
        <w:t>手机：</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lang w:val="zh-CN"/>
        </w:rPr>
        <w:t>传真：</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lang w:val="zh-CN"/>
        </w:rPr>
        <w:t>)，代表我公司全权处理</w:t>
      </w:r>
      <w:r>
        <w:rPr>
          <w:rFonts w:hint="eastAsia" w:ascii="宋体" w:hAnsi="宋体" w:cs="宋体"/>
          <w:color w:val="auto"/>
          <w:sz w:val="24"/>
          <w:szCs w:val="24"/>
          <w:highlight w:val="none"/>
          <w:u w:val="single"/>
        </w:rPr>
        <w:t>(项目编号：</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w:t>
      </w:r>
      <w:r>
        <w:rPr>
          <w:rFonts w:hint="eastAsia" w:ascii="宋体" w:hAnsi="宋体" w:cs="宋体"/>
          <w:color w:val="auto"/>
          <w:sz w:val="24"/>
          <w:szCs w:val="24"/>
          <w:highlight w:val="none"/>
        </w:rPr>
        <w:t>政府采购活动的一切事项，若成交则全权代表本公司签订相关合同，</w:t>
      </w:r>
      <w:r>
        <w:rPr>
          <w:rFonts w:hint="eastAsia" w:ascii="宋体" w:hAnsi="宋体" w:cs="宋体"/>
          <w:color w:val="auto"/>
          <w:sz w:val="24"/>
          <w:szCs w:val="24"/>
          <w:highlight w:val="none"/>
          <w:lang w:val="zh-CN"/>
        </w:rPr>
        <w:t>并负责处理合同履行等事宜。</w:t>
      </w:r>
    </w:p>
    <w:p>
      <w:pPr>
        <w:shd w:val="clear" w:color="auto" w:fill="FFFFFF"/>
        <w:snapToGrid w:val="0"/>
        <w:spacing w:line="360" w:lineRule="auto"/>
        <w:rPr>
          <w:rFonts w:ascii="宋体" w:hAnsi="宋体" w:cs="宋体"/>
          <w:color w:val="auto"/>
          <w:sz w:val="24"/>
          <w:szCs w:val="24"/>
          <w:highlight w:val="none"/>
        </w:rPr>
      </w:pPr>
      <w:r>
        <w:rPr>
          <w:rFonts w:hint="eastAsia" w:ascii="宋体" w:hAnsi="宋体" w:cs="宋体"/>
          <w:color w:val="auto"/>
          <w:sz w:val="24"/>
          <w:szCs w:val="24"/>
          <w:highlight w:val="none"/>
          <w:lang w:val="zh-CN"/>
        </w:rPr>
        <w:t xml:space="preserve">    特此告知。</w:t>
      </w:r>
    </w:p>
    <w:p>
      <w:pPr>
        <w:shd w:val="clear" w:color="auto" w:fill="FFFFFF"/>
        <w:snapToGrid w:val="0"/>
        <w:spacing w:line="360" w:lineRule="auto"/>
        <w:jc w:val="left"/>
        <w:rPr>
          <w:rFonts w:ascii="宋体" w:hAnsi="宋体" w:cs="宋体"/>
          <w:color w:val="auto"/>
          <w:sz w:val="24"/>
          <w:szCs w:val="24"/>
          <w:highlight w:val="none"/>
        </w:rPr>
      </w:pPr>
    </w:p>
    <w:p>
      <w:pPr>
        <w:snapToGrid w:val="0"/>
        <w:spacing w:line="360" w:lineRule="auto"/>
        <w:ind w:firstLine="5040" w:firstLineChars="2100"/>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联合体成员名称(公章)：</w:t>
      </w:r>
    </w:p>
    <w:p>
      <w:pPr>
        <w:snapToGrid w:val="0"/>
        <w:spacing w:line="360" w:lineRule="auto"/>
        <w:ind w:firstLine="5040" w:firstLineChars="2100"/>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联合体成员名称(公章)：</w:t>
      </w:r>
    </w:p>
    <w:p>
      <w:pPr>
        <w:snapToGrid w:val="0"/>
        <w:spacing w:line="360" w:lineRule="auto"/>
        <w:ind w:firstLine="5760" w:firstLineChars="2400"/>
        <w:rPr>
          <w:rFonts w:ascii="宋体" w:hAnsi="宋体" w:cs="宋体"/>
          <w:color w:val="auto"/>
          <w:sz w:val="24"/>
          <w:szCs w:val="24"/>
          <w:highlight w:val="none"/>
        </w:rPr>
      </w:pPr>
      <w:r>
        <w:rPr>
          <w:rFonts w:hint="eastAsia" w:ascii="宋体" w:hAnsi="宋体" w:cs="宋体"/>
          <w:color w:val="auto"/>
          <w:sz w:val="24"/>
          <w:szCs w:val="24"/>
          <w:highlight w:val="none"/>
          <w:lang w:val="zh-CN"/>
        </w:rPr>
        <w:t>……</w:t>
      </w:r>
    </w:p>
    <w:p>
      <w:pPr>
        <w:pStyle w:val="15"/>
        <w:snapToGrid w:val="0"/>
        <w:spacing w:line="360" w:lineRule="auto"/>
        <w:ind w:firstLine="480" w:firstLineChars="200"/>
        <w:jc w:val="center"/>
        <w:outlineLvl w:val="0"/>
        <w:rPr>
          <w:rFonts w:hAnsi="宋体"/>
          <w:b/>
          <w:color w:val="auto"/>
          <w:sz w:val="24"/>
          <w:szCs w:val="24"/>
          <w:highlight w:val="none"/>
          <w:lang w:val="zh-CN"/>
        </w:rPr>
      </w:pPr>
      <w:bookmarkStart w:id="126" w:name="_Toc9563"/>
      <w:r>
        <w:rPr>
          <w:rFonts w:hint="eastAsia" w:hAnsi="宋体"/>
          <w:color w:val="auto"/>
          <w:sz w:val="24"/>
          <w:szCs w:val="24"/>
          <w:highlight w:val="none"/>
        </w:rPr>
        <w:t>日期：     年  月  日</w:t>
      </w:r>
      <w:bookmarkEnd w:id="126"/>
    </w:p>
    <w:p>
      <w:pPr>
        <w:pStyle w:val="15"/>
        <w:snapToGrid w:val="0"/>
        <w:spacing w:line="360" w:lineRule="auto"/>
        <w:ind w:firstLine="482" w:firstLineChars="200"/>
        <w:jc w:val="center"/>
        <w:outlineLvl w:val="0"/>
        <w:rPr>
          <w:rFonts w:hAnsi="宋体"/>
          <w:b/>
          <w:color w:val="auto"/>
          <w:sz w:val="24"/>
          <w:szCs w:val="24"/>
          <w:highlight w:val="none"/>
          <w:lang w:val="zh-CN"/>
        </w:rPr>
        <w:sectPr>
          <w:pgSz w:w="11906" w:h="16838"/>
          <w:pgMar w:top="1134" w:right="1247" w:bottom="1247" w:left="1304" w:header="794" w:footer="794" w:gutter="0"/>
          <w:cols w:space="720" w:num="1"/>
          <w:docGrid w:type="lines" w:linePitch="312" w:charSpace="0"/>
        </w:sectPr>
      </w:pPr>
    </w:p>
    <w:p>
      <w:pPr>
        <w:shd w:val="clear" w:color="auto" w:fill="FFFFFF"/>
        <w:adjustRightInd w:val="0"/>
        <w:snapToGrid w:val="0"/>
        <w:spacing w:line="360" w:lineRule="auto"/>
        <w:ind w:firstLine="482" w:firstLineChars="200"/>
        <w:rPr>
          <w:rFonts w:ascii="宋体" w:hAnsi="宋体" w:cs="宋体"/>
          <w:b/>
          <w:bCs/>
          <w:color w:val="auto"/>
          <w:sz w:val="24"/>
          <w:szCs w:val="24"/>
          <w:highlight w:val="none"/>
          <w:lang w:val="zh-CN"/>
        </w:rPr>
      </w:pPr>
    </w:p>
    <w:p>
      <w:pPr>
        <w:pStyle w:val="114"/>
        <w:rPr>
          <w:color w:val="auto"/>
          <w:sz w:val="24"/>
          <w:szCs w:val="24"/>
          <w:highlight w:val="none"/>
          <w:lang w:val="zh-CN"/>
        </w:rPr>
      </w:pPr>
    </w:p>
    <w:p>
      <w:pPr>
        <w:pStyle w:val="15"/>
        <w:snapToGrid w:val="0"/>
        <w:spacing w:line="360" w:lineRule="auto"/>
        <w:outlineLvl w:val="0"/>
        <w:rPr>
          <w:rFonts w:ascii="Times New Roman" w:hAnsi="Times New Roman"/>
          <w:b/>
          <w:color w:val="auto"/>
          <w:sz w:val="24"/>
          <w:szCs w:val="24"/>
          <w:highlight w:val="none"/>
          <w:lang w:val="zh-CN"/>
        </w:rPr>
      </w:pPr>
      <w:bookmarkStart w:id="127" w:name="_Toc9880"/>
      <w:r>
        <w:rPr>
          <w:rFonts w:hint="eastAsia" w:ascii="Times New Roman" w:hAnsi="Times New Roman"/>
          <w:b/>
          <w:color w:val="auto"/>
          <w:sz w:val="24"/>
          <w:szCs w:val="24"/>
          <w:highlight w:val="none"/>
        </w:rPr>
        <w:t>三</w:t>
      </w:r>
      <w:r>
        <w:rPr>
          <w:rFonts w:ascii="Times New Roman" w:hAnsi="Times New Roman"/>
          <w:b/>
          <w:color w:val="auto"/>
          <w:sz w:val="24"/>
          <w:szCs w:val="24"/>
          <w:highlight w:val="none"/>
          <w:lang w:val="zh-CN"/>
        </w:rPr>
        <w:t>、法定代表人及授权代表人的身份证 (复印件加盖公章)</w:t>
      </w:r>
      <w:bookmarkEnd w:id="127"/>
    </w:p>
    <w:p>
      <w:pPr>
        <w:pStyle w:val="15"/>
        <w:snapToGrid w:val="0"/>
        <w:spacing w:line="360" w:lineRule="auto"/>
        <w:outlineLvl w:val="0"/>
        <w:rPr>
          <w:rFonts w:ascii="Times New Roman" w:hAnsi="Times New Roman"/>
          <w:b/>
          <w:color w:val="auto"/>
          <w:sz w:val="24"/>
          <w:szCs w:val="24"/>
          <w:highlight w:val="none"/>
        </w:rPr>
      </w:pPr>
    </w:p>
    <w:p>
      <w:pPr>
        <w:pStyle w:val="15"/>
        <w:snapToGrid w:val="0"/>
        <w:spacing w:line="360" w:lineRule="auto"/>
        <w:outlineLvl w:val="0"/>
        <w:rPr>
          <w:rFonts w:ascii="Times New Roman" w:hAnsi="Times New Roman"/>
          <w:b/>
          <w:color w:val="auto"/>
          <w:sz w:val="24"/>
          <w:szCs w:val="24"/>
          <w:highlight w:val="none"/>
          <w:lang w:val="zh-CN"/>
        </w:rPr>
      </w:pPr>
      <w:bookmarkStart w:id="128" w:name="_Toc1097"/>
      <w:r>
        <w:rPr>
          <w:rFonts w:hint="eastAsia" w:ascii="Times New Roman" w:hAnsi="Times New Roman"/>
          <w:b/>
          <w:color w:val="auto"/>
          <w:sz w:val="24"/>
          <w:szCs w:val="24"/>
          <w:highlight w:val="none"/>
        </w:rPr>
        <w:t>四、</w:t>
      </w:r>
      <w:r>
        <w:rPr>
          <w:rFonts w:ascii="Times New Roman" w:hAnsi="Times New Roman"/>
          <w:b/>
          <w:color w:val="auto"/>
          <w:sz w:val="24"/>
          <w:szCs w:val="24"/>
          <w:highlight w:val="none"/>
          <w:lang w:val="zh-CN"/>
        </w:rPr>
        <w:t>公司介绍及提供同类项目经验</w:t>
      </w:r>
      <w:bookmarkEnd w:id="128"/>
    </w:p>
    <w:p>
      <w:pPr>
        <w:pStyle w:val="15"/>
        <w:snapToGrid w:val="0"/>
        <w:spacing w:line="360" w:lineRule="auto"/>
        <w:ind w:firstLine="482" w:firstLineChars="200"/>
        <w:outlineLvl w:val="0"/>
        <w:rPr>
          <w:rFonts w:ascii="Times New Roman" w:hAnsi="Times New Roman"/>
          <w:b/>
          <w:color w:val="auto"/>
          <w:sz w:val="24"/>
          <w:szCs w:val="24"/>
          <w:highlight w:val="none"/>
        </w:rPr>
      </w:pPr>
    </w:p>
    <w:p>
      <w:pPr>
        <w:pStyle w:val="15"/>
        <w:snapToGrid w:val="0"/>
        <w:spacing w:line="360" w:lineRule="auto"/>
        <w:outlineLvl w:val="0"/>
        <w:rPr>
          <w:rFonts w:ascii="Times New Roman" w:hAnsi="Times New Roman"/>
          <w:b/>
          <w:color w:val="auto"/>
          <w:sz w:val="24"/>
          <w:szCs w:val="24"/>
          <w:highlight w:val="none"/>
          <w:lang w:val="zh-CN"/>
        </w:rPr>
      </w:pPr>
      <w:bookmarkStart w:id="129" w:name="_Toc15661"/>
      <w:r>
        <w:rPr>
          <w:rFonts w:hint="eastAsia" w:ascii="Times New Roman" w:hAnsi="Times New Roman"/>
          <w:b/>
          <w:color w:val="auto"/>
          <w:sz w:val="24"/>
          <w:szCs w:val="24"/>
          <w:highlight w:val="none"/>
        </w:rPr>
        <w:t>五、</w:t>
      </w:r>
      <w:r>
        <w:rPr>
          <w:rFonts w:ascii="Times New Roman" w:hAnsi="Times New Roman"/>
          <w:b/>
          <w:color w:val="auto"/>
          <w:sz w:val="24"/>
          <w:szCs w:val="24"/>
          <w:highlight w:val="none"/>
          <w:lang w:val="zh-CN"/>
        </w:rPr>
        <w:t>资质文件（如有）</w:t>
      </w:r>
      <w:bookmarkEnd w:id="129"/>
    </w:p>
    <w:p>
      <w:pPr>
        <w:pStyle w:val="15"/>
        <w:snapToGrid w:val="0"/>
        <w:spacing w:line="360" w:lineRule="auto"/>
        <w:ind w:firstLine="482" w:firstLineChars="200"/>
        <w:jc w:val="center"/>
        <w:outlineLvl w:val="0"/>
        <w:rPr>
          <w:rFonts w:ascii="Times New Roman" w:hAnsi="Times New Roman"/>
          <w:b/>
          <w:color w:val="auto"/>
          <w:sz w:val="24"/>
          <w:szCs w:val="24"/>
          <w:highlight w:val="none"/>
        </w:rPr>
      </w:pPr>
    </w:p>
    <w:p>
      <w:pPr>
        <w:pStyle w:val="15"/>
        <w:snapToGrid w:val="0"/>
        <w:spacing w:line="360" w:lineRule="auto"/>
        <w:ind w:firstLine="482" w:firstLineChars="200"/>
        <w:jc w:val="center"/>
        <w:outlineLvl w:val="0"/>
        <w:rPr>
          <w:rFonts w:ascii="Times New Roman" w:hAnsi="Times New Roman"/>
          <w:b/>
          <w:color w:val="auto"/>
          <w:sz w:val="24"/>
          <w:szCs w:val="24"/>
          <w:highlight w:val="none"/>
        </w:rPr>
      </w:pPr>
    </w:p>
    <w:p>
      <w:pPr>
        <w:pStyle w:val="15"/>
        <w:snapToGrid w:val="0"/>
        <w:spacing w:line="360" w:lineRule="auto"/>
        <w:ind w:firstLine="482" w:firstLineChars="200"/>
        <w:jc w:val="center"/>
        <w:outlineLvl w:val="0"/>
        <w:rPr>
          <w:rFonts w:ascii="Times New Roman" w:hAnsi="Times New Roman"/>
          <w:b/>
          <w:color w:val="auto"/>
          <w:sz w:val="24"/>
          <w:szCs w:val="24"/>
          <w:highlight w:val="none"/>
        </w:rPr>
      </w:pPr>
    </w:p>
    <w:p>
      <w:pPr>
        <w:pStyle w:val="15"/>
        <w:snapToGrid w:val="0"/>
        <w:spacing w:line="360" w:lineRule="auto"/>
        <w:outlineLvl w:val="0"/>
        <w:rPr>
          <w:rFonts w:ascii="Times New Roman" w:hAnsi="Times New Roman"/>
          <w:b/>
          <w:color w:val="auto"/>
          <w:sz w:val="24"/>
          <w:szCs w:val="24"/>
          <w:highlight w:val="none"/>
        </w:rPr>
        <w:sectPr>
          <w:pgSz w:w="11906" w:h="16838"/>
          <w:pgMar w:top="1134" w:right="1247" w:bottom="1247" w:left="1304" w:header="794" w:footer="794" w:gutter="0"/>
          <w:cols w:space="720" w:num="1"/>
          <w:docGrid w:type="lines" w:linePitch="312" w:charSpace="0"/>
        </w:sectPr>
      </w:pPr>
    </w:p>
    <w:p>
      <w:pPr>
        <w:pStyle w:val="15"/>
        <w:snapToGrid w:val="0"/>
        <w:spacing w:line="360" w:lineRule="auto"/>
        <w:outlineLvl w:val="0"/>
        <w:rPr>
          <w:rFonts w:ascii="Times New Roman" w:hAnsi="Times New Roman"/>
          <w:b/>
          <w:color w:val="auto"/>
          <w:sz w:val="24"/>
          <w:szCs w:val="24"/>
          <w:highlight w:val="none"/>
          <w:lang w:val="zh-CN"/>
        </w:rPr>
      </w:pPr>
      <w:bookmarkStart w:id="130" w:name="_Toc31239"/>
      <w:r>
        <w:rPr>
          <w:rFonts w:hint="eastAsia" w:ascii="Times New Roman" w:hAnsi="Times New Roman"/>
          <w:b/>
          <w:color w:val="auto"/>
          <w:sz w:val="24"/>
          <w:szCs w:val="24"/>
          <w:highlight w:val="none"/>
        </w:rPr>
        <w:t>六、商务、</w:t>
      </w:r>
      <w:r>
        <w:rPr>
          <w:rFonts w:ascii="Times New Roman" w:hAnsi="Times New Roman"/>
          <w:b/>
          <w:color w:val="auto"/>
          <w:sz w:val="24"/>
          <w:szCs w:val="24"/>
          <w:highlight w:val="none"/>
          <w:lang w:val="zh-CN"/>
        </w:rPr>
        <w:t>技术偏离表</w:t>
      </w:r>
      <w:bookmarkEnd w:id="130"/>
    </w:p>
    <w:p>
      <w:pPr>
        <w:shd w:val="clear" w:color="auto" w:fill="FFFFFF"/>
        <w:adjustRightInd w:val="0"/>
        <w:snapToGrid w:val="0"/>
        <w:spacing w:line="360" w:lineRule="auto"/>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项目名称：浙江省拱宸强制隔离戒毒所“红色基地”整体改造设计项目</w:t>
      </w:r>
    </w:p>
    <w:p>
      <w:pPr>
        <w:shd w:val="clear" w:color="auto" w:fill="FFFFFF"/>
        <w:adjustRightInd w:val="0"/>
        <w:snapToGrid w:val="0"/>
        <w:spacing w:line="360" w:lineRule="auto"/>
        <w:rPr>
          <w:rFonts w:ascii="宋体" w:hAnsi="宋体" w:cs="宋体"/>
          <w:color w:val="auto"/>
          <w:sz w:val="24"/>
          <w:szCs w:val="24"/>
          <w:highlight w:val="none"/>
          <w:lang w:val="zh-CN"/>
        </w:rPr>
      </w:pPr>
      <w:r>
        <w:rPr>
          <w:rFonts w:hint="eastAsia" w:ascii="宋体" w:hAnsi="宋体" w:cs="宋体"/>
          <w:color w:val="auto"/>
          <w:sz w:val="24"/>
          <w:szCs w:val="24"/>
          <w:highlight w:val="none"/>
        </w:rPr>
        <w:t>项目</w:t>
      </w:r>
      <w:r>
        <w:rPr>
          <w:rFonts w:hint="eastAsia" w:ascii="宋体" w:hAnsi="宋体" w:cs="宋体"/>
          <w:color w:val="auto"/>
          <w:sz w:val="24"/>
          <w:szCs w:val="24"/>
          <w:highlight w:val="none"/>
          <w:lang w:val="zh-CN"/>
        </w:rPr>
        <w:t>编号：HSZB-2023-852</w:t>
      </w:r>
    </w:p>
    <w:p>
      <w:pPr>
        <w:tabs>
          <w:tab w:val="left" w:pos="1418"/>
        </w:tabs>
        <w:snapToGrid w:val="0"/>
        <w:spacing w:before="50" w:after="50" w:line="360" w:lineRule="auto"/>
        <w:ind w:firstLine="480" w:firstLineChars="200"/>
        <w:rPr>
          <w:color w:val="auto"/>
          <w:sz w:val="24"/>
          <w:szCs w:val="24"/>
          <w:highlight w:val="none"/>
        </w:rPr>
      </w:pPr>
    </w:p>
    <w:tbl>
      <w:tblPr>
        <w:tblStyle w:val="32"/>
        <w:tblW w:w="4999"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2769"/>
        <w:gridCol w:w="2152"/>
        <w:gridCol w:w="2169"/>
        <w:gridCol w:w="247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446" w:type="pct"/>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color w:val="auto"/>
                <w:sz w:val="24"/>
                <w:szCs w:val="24"/>
                <w:highlight w:val="none"/>
              </w:rPr>
            </w:pPr>
            <w:r>
              <w:rPr>
                <w:color w:val="auto"/>
                <w:sz w:val="24"/>
                <w:szCs w:val="24"/>
                <w:highlight w:val="none"/>
              </w:rPr>
              <w:t>采购文件要求</w:t>
            </w:r>
          </w:p>
        </w:tc>
        <w:tc>
          <w:tcPr>
            <w:tcW w:w="1124" w:type="pct"/>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color w:val="auto"/>
                <w:sz w:val="24"/>
                <w:szCs w:val="24"/>
                <w:highlight w:val="none"/>
              </w:rPr>
            </w:pPr>
            <w:r>
              <w:rPr>
                <w:color w:val="auto"/>
                <w:sz w:val="24"/>
                <w:szCs w:val="24"/>
                <w:highlight w:val="none"/>
              </w:rPr>
              <w:t>采购文件响应</w:t>
            </w:r>
          </w:p>
        </w:tc>
        <w:tc>
          <w:tcPr>
            <w:tcW w:w="1133" w:type="pct"/>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color w:val="auto"/>
                <w:sz w:val="24"/>
                <w:szCs w:val="24"/>
                <w:highlight w:val="none"/>
              </w:rPr>
            </w:pPr>
            <w:r>
              <w:rPr>
                <w:color w:val="auto"/>
                <w:sz w:val="24"/>
                <w:szCs w:val="24"/>
                <w:highlight w:val="none"/>
              </w:rPr>
              <w:t>偏离</w:t>
            </w:r>
          </w:p>
        </w:tc>
        <w:tc>
          <w:tcPr>
            <w:tcW w:w="1295" w:type="pct"/>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color w:val="auto"/>
                <w:sz w:val="24"/>
                <w:szCs w:val="24"/>
                <w:highlight w:val="none"/>
              </w:rPr>
            </w:pPr>
            <w:r>
              <w:rPr>
                <w:color w:val="auto"/>
                <w:sz w:val="24"/>
                <w:szCs w:val="24"/>
                <w:highlight w:val="none"/>
              </w:rPr>
              <w:t>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446" w:type="pct"/>
            <w:tcBorders>
              <w:top w:val="single" w:color="auto" w:sz="4" w:space="0"/>
              <w:left w:val="single" w:color="auto" w:sz="4" w:space="0"/>
              <w:bottom w:val="single" w:color="auto" w:sz="4" w:space="0"/>
              <w:right w:val="single" w:color="auto" w:sz="4" w:space="0"/>
            </w:tcBorders>
          </w:tcPr>
          <w:p>
            <w:pPr>
              <w:snapToGrid w:val="0"/>
              <w:spacing w:line="360" w:lineRule="auto"/>
              <w:jc w:val="center"/>
              <w:rPr>
                <w:color w:val="auto"/>
                <w:sz w:val="24"/>
                <w:szCs w:val="24"/>
                <w:highlight w:val="none"/>
              </w:rPr>
            </w:pPr>
          </w:p>
        </w:tc>
        <w:tc>
          <w:tcPr>
            <w:tcW w:w="1124" w:type="pct"/>
            <w:tcBorders>
              <w:top w:val="single" w:color="auto" w:sz="4" w:space="0"/>
              <w:left w:val="single" w:color="auto" w:sz="4" w:space="0"/>
              <w:bottom w:val="single" w:color="auto" w:sz="4" w:space="0"/>
              <w:right w:val="single" w:color="auto" w:sz="4" w:space="0"/>
            </w:tcBorders>
          </w:tcPr>
          <w:p>
            <w:pPr>
              <w:snapToGrid w:val="0"/>
              <w:spacing w:line="360" w:lineRule="auto"/>
              <w:jc w:val="center"/>
              <w:rPr>
                <w:color w:val="auto"/>
                <w:sz w:val="24"/>
                <w:szCs w:val="24"/>
                <w:highlight w:val="none"/>
              </w:rPr>
            </w:pPr>
          </w:p>
        </w:tc>
        <w:tc>
          <w:tcPr>
            <w:tcW w:w="1133" w:type="pct"/>
            <w:tcBorders>
              <w:top w:val="single" w:color="auto" w:sz="4" w:space="0"/>
              <w:left w:val="single" w:color="auto" w:sz="4" w:space="0"/>
              <w:bottom w:val="single" w:color="auto" w:sz="4" w:space="0"/>
              <w:right w:val="single" w:color="auto" w:sz="4" w:space="0"/>
            </w:tcBorders>
          </w:tcPr>
          <w:p>
            <w:pPr>
              <w:snapToGrid w:val="0"/>
              <w:spacing w:line="360" w:lineRule="auto"/>
              <w:jc w:val="center"/>
              <w:rPr>
                <w:color w:val="auto"/>
                <w:sz w:val="24"/>
                <w:szCs w:val="24"/>
                <w:highlight w:val="none"/>
              </w:rPr>
            </w:pPr>
          </w:p>
        </w:tc>
        <w:tc>
          <w:tcPr>
            <w:tcW w:w="1295" w:type="pct"/>
            <w:tcBorders>
              <w:top w:val="single" w:color="auto" w:sz="4" w:space="0"/>
              <w:left w:val="single" w:color="auto" w:sz="4" w:space="0"/>
              <w:bottom w:val="single" w:color="auto" w:sz="4" w:space="0"/>
              <w:right w:val="single" w:color="auto" w:sz="4" w:space="0"/>
            </w:tcBorders>
          </w:tcPr>
          <w:p>
            <w:pPr>
              <w:snapToGrid w:val="0"/>
              <w:spacing w:line="360" w:lineRule="auto"/>
              <w:jc w:val="center"/>
              <w:rPr>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446" w:type="pct"/>
            <w:tcBorders>
              <w:top w:val="single" w:color="auto" w:sz="4" w:space="0"/>
              <w:left w:val="single" w:color="auto" w:sz="4" w:space="0"/>
              <w:bottom w:val="single" w:color="auto" w:sz="4" w:space="0"/>
              <w:right w:val="single" w:color="auto" w:sz="4" w:space="0"/>
            </w:tcBorders>
          </w:tcPr>
          <w:p>
            <w:pPr>
              <w:snapToGrid w:val="0"/>
              <w:spacing w:line="360" w:lineRule="auto"/>
              <w:jc w:val="center"/>
              <w:rPr>
                <w:color w:val="auto"/>
                <w:sz w:val="24"/>
                <w:szCs w:val="24"/>
                <w:highlight w:val="none"/>
              </w:rPr>
            </w:pPr>
          </w:p>
        </w:tc>
        <w:tc>
          <w:tcPr>
            <w:tcW w:w="1124" w:type="pct"/>
            <w:tcBorders>
              <w:top w:val="single" w:color="auto" w:sz="4" w:space="0"/>
              <w:left w:val="single" w:color="auto" w:sz="4" w:space="0"/>
              <w:bottom w:val="single" w:color="auto" w:sz="4" w:space="0"/>
              <w:right w:val="single" w:color="auto" w:sz="4" w:space="0"/>
            </w:tcBorders>
          </w:tcPr>
          <w:p>
            <w:pPr>
              <w:snapToGrid w:val="0"/>
              <w:spacing w:line="360" w:lineRule="auto"/>
              <w:jc w:val="center"/>
              <w:rPr>
                <w:color w:val="auto"/>
                <w:sz w:val="24"/>
                <w:szCs w:val="24"/>
                <w:highlight w:val="none"/>
              </w:rPr>
            </w:pPr>
          </w:p>
        </w:tc>
        <w:tc>
          <w:tcPr>
            <w:tcW w:w="1133" w:type="pct"/>
            <w:tcBorders>
              <w:top w:val="single" w:color="auto" w:sz="4" w:space="0"/>
              <w:left w:val="single" w:color="auto" w:sz="4" w:space="0"/>
              <w:bottom w:val="single" w:color="auto" w:sz="4" w:space="0"/>
              <w:right w:val="single" w:color="auto" w:sz="4" w:space="0"/>
            </w:tcBorders>
          </w:tcPr>
          <w:p>
            <w:pPr>
              <w:snapToGrid w:val="0"/>
              <w:spacing w:line="360" w:lineRule="auto"/>
              <w:jc w:val="center"/>
              <w:rPr>
                <w:color w:val="auto"/>
                <w:sz w:val="24"/>
                <w:szCs w:val="24"/>
                <w:highlight w:val="none"/>
              </w:rPr>
            </w:pPr>
          </w:p>
        </w:tc>
        <w:tc>
          <w:tcPr>
            <w:tcW w:w="1295" w:type="pct"/>
            <w:tcBorders>
              <w:top w:val="single" w:color="auto" w:sz="4" w:space="0"/>
              <w:left w:val="single" w:color="auto" w:sz="4" w:space="0"/>
              <w:bottom w:val="single" w:color="auto" w:sz="4" w:space="0"/>
              <w:right w:val="single" w:color="auto" w:sz="4" w:space="0"/>
            </w:tcBorders>
          </w:tcPr>
          <w:p>
            <w:pPr>
              <w:snapToGrid w:val="0"/>
              <w:spacing w:line="360" w:lineRule="auto"/>
              <w:jc w:val="center"/>
              <w:rPr>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446" w:type="pct"/>
            <w:tcBorders>
              <w:top w:val="single" w:color="auto" w:sz="4" w:space="0"/>
              <w:left w:val="single" w:color="auto" w:sz="4" w:space="0"/>
              <w:bottom w:val="single" w:color="auto" w:sz="4" w:space="0"/>
              <w:right w:val="single" w:color="auto" w:sz="4" w:space="0"/>
            </w:tcBorders>
          </w:tcPr>
          <w:p>
            <w:pPr>
              <w:snapToGrid w:val="0"/>
              <w:spacing w:line="360" w:lineRule="auto"/>
              <w:jc w:val="center"/>
              <w:rPr>
                <w:color w:val="auto"/>
                <w:sz w:val="24"/>
                <w:szCs w:val="24"/>
                <w:highlight w:val="none"/>
              </w:rPr>
            </w:pPr>
          </w:p>
        </w:tc>
        <w:tc>
          <w:tcPr>
            <w:tcW w:w="1124" w:type="pct"/>
            <w:tcBorders>
              <w:top w:val="single" w:color="auto" w:sz="4" w:space="0"/>
              <w:left w:val="single" w:color="auto" w:sz="4" w:space="0"/>
              <w:bottom w:val="single" w:color="auto" w:sz="4" w:space="0"/>
              <w:right w:val="single" w:color="auto" w:sz="4" w:space="0"/>
            </w:tcBorders>
          </w:tcPr>
          <w:p>
            <w:pPr>
              <w:snapToGrid w:val="0"/>
              <w:spacing w:line="360" w:lineRule="auto"/>
              <w:jc w:val="center"/>
              <w:rPr>
                <w:color w:val="auto"/>
                <w:sz w:val="24"/>
                <w:szCs w:val="24"/>
                <w:highlight w:val="none"/>
              </w:rPr>
            </w:pPr>
          </w:p>
        </w:tc>
        <w:tc>
          <w:tcPr>
            <w:tcW w:w="1133" w:type="pct"/>
            <w:tcBorders>
              <w:top w:val="single" w:color="auto" w:sz="4" w:space="0"/>
              <w:left w:val="single" w:color="auto" w:sz="4" w:space="0"/>
              <w:bottom w:val="single" w:color="auto" w:sz="4" w:space="0"/>
              <w:right w:val="single" w:color="auto" w:sz="4" w:space="0"/>
            </w:tcBorders>
          </w:tcPr>
          <w:p>
            <w:pPr>
              <w:snapToGrid w:val="0"/>
              <w:spacing w:line="360" w:lineRule="auto"/>
              <w:jc w:val="center"/>
              <w:rPr>
                <w:color w:val="auto"/>
                <w:sz w:val="24"/>
                <w:szCs w:val="24"/>
                <w:highlight w:val="none"/>
              </w:rPr>
            </w:pPr>
          </w:p>
        </w:tc>
        <w:tc>
          <w:tcPr>
            <w:tcW w:w="1295" w:type="pct"/>
            <w:tcBorders>
              <w:top w:val="single" w:color="auto" w:sz="4" w:space="0"/>
              <w:left w:val="single" w:color="auto" w:sz="4" w:space="0"/>
              <w:bottom w:val="single" w:color="auto" w:sz="4" w:space="0"/>
              <w:right w:val="single" w:color="auto" w:sz="4" w:space="0"/>
            </w:tcBorders>
          </w:tcPr>
          <w:p>
            <w:pPr>
              <w:snapToGrid w:val="0"/>
              <w:spacing w:line="360" w:lineRule="auto"/>
              <w:jc w:val="center"/>
              <w:rPr>
                <w:color w:val="auto"/>
                <w:sz w:val="24"/>
                <w:szCs w:val="24"/>
                <w:highlight w:val="none"/>
              </w:rPr>
            </w:pPr>
          </w:p>
        </w:tc>
      </w:tr>
    </w:tbl>
    <w:p>
      <w:pPr>
        <w:snapToGrid w:val="0"/>
        <w:spacing w:line="360" w:lineRule="auto"/>
        <w:ind w:firstLine="240" w:firstLineChars="100"/>
        <w:rPr>
          <w:b/>
          <w:bCs/>
          <w:color w:val="auto"/>
          <w:sz w:val="24"/>
          <w:szCs w:val="24"/>
          <w:highlight w:val="none"/>
        </w:rPr>
      </w:pPr>
      <w:r>
        <w:rPr>
          <w:rFonts w:hint="eastAsia" w:ascii="宋体"/>
          <w:color w:val="auto"/>
          <w:sz w:val="24"/>
          <w:szCs w:val="24"/>
          <w:highlight w:val="none"/>
        </w:rPr>
        <w:t>注：供应商应根据商务、技术要求、对照采购文件要求在“偏离情况”栏注明“正偏离”、“负偏离”或“无偏离”。</w:t>
      </w:r>
    </w:p>
    <w:p>
      <w:pPr>
        <w:autoSpaceDE w:val="0"/>
        <w:autoSpaceDN w:val="0"/>
        <w:snapToGrid w:val="0"/>
        <w:spacing w:line="360" w:lineRule="auto"/>
        <w:ind w:firstLine="5160" w:firstLineChars="2150"/>
        <w:rPr>
          <w:color w:val="auto"/>
          <w:sz w:val="24"/>
          <w:szCs w:val="24"/>
          <w:highlight w:val="none"/>
          <w:lang w:val="zh-CN"/>
        </w:rPr>
      </w:pPr>
    </w:p>
    <w:p>
      <w:pPr>
        <w:snapToGrid w:val="0"/>
        <w:spacing w:line="360" w:lineRule="auto"/>
        <w:ind w:firstLine="480" w:firstLineChars="200"/>
        <w:jc w:val="left"/>
        <w:rPr>
          <w:color w:val="auto"/>
          <w:sz w:val="24"/>
          <w:szCs w:val="24"/>
          <w:highlight w:val="none"/>
        </w:rPr>
      </w:pPr>
      <w:r>
        <w:rPr>
          <w:color w:val="auto"/>
          <w:sz w:val="24"/>
          <w:szCs w:val="24"/>
          <w:highlight w:val="none"/>
        </w:rPr>
        <w:t>供应商名称（盖章）：</w:t>
      </w:r>
    </w:p>
    <w:p>
      <w:pPr>
        <w:autoSpaceDE w:val="0"/>
        <w:autoSpaceDN w:val="0"/>
        <w:snapToGrid w:val="0"/>
        <w:spacing w:line="360" w:lineRule="auto"/>
        <w:ind w:firstLine="480" w:firstLineChars="200"/>
        <w:rPr>
          <w:color w:val="auto"/>
          <w:sz w:val="24"/>
          <w:szCs w:val="24"/>
          <w:highlight w:val="none"/>
          <w:lang w:val="zh-CN"/>
        </w:rPr>
      </w:pPr>
      <w:r>
        <w:rPr>
          <w:color w:val="auto"/>
          <w:sz w:val="24"/>
          <w:szCs w:val="24"/>
          <w:highlight w:val="none"/>
        </w:rPr>
        <w:t>日期：年月日</w:t>
      </w:r>
    </w:p>
    <w:p>
      <w:pPr>
        <w:snapToGrid w:val="0"/>
        <w:spacing w:line="360" w:lineRule="auto"/>
        <w:ind w:firstLine="241" w:firstLineChars="100"/>
        <w:rPr>
          <w:b/>
          <w:bCs/>
          <w:color w:val="auto"/>
          <w:sz w:val="24"/>
          <w:szCs w:val="24"/>
          <w:highlight w:val="none"/>
        </w:rPr>
      </w:pPr>
    </w:p>
    <w:p>
      <w:pPr>
        <w:pStyle w:val="15"/>
        <w:snapToGrid w:val="0"/>
        <w:spacing w:line="360" w:lineRule="auto"/>
        <w:ind w:firstLine="482" w:firstLineChars="200"/>
        <w:jc w:val="center"/>
        <w:outlineLvl w:val="0"/>
        <w:rPr>
          <w:rFonts w:ascii="Times New Roman" w:hAnsi="Times New Roman"/>
          <w:b/>
          <w:color w:val="auto"/>
          <w:sz w:val="24"/>
          <w:szCs w:val="24"/>
          <w:highlight w:val="none"/>
          <w:lang w:val="zh-CN"/>
        </w:rPr>
        <w:sectPr>
          <w:pgSz w:w="11906" w:h="16838"/>
          <w:pgMar w:top="1134" w:right="1247" w:bottom="1247" w:left="1304" w:header="794" w:footer="794" w:gutter="0"/>
          <w:cols w:space="720" w:num="1"/>
          <w:docGrid w:type="lines" w:linePitch="312" w:charSpace="0"/>
        </w:sectPr>
      </w:pPr>
    </w:p>
    <w:p>
      <w:pPr>
        <w:pStyle w:val="15"/>
        <w:snapToGrid w:val="0"/>
        <w:spacing w:line="360" w:lineRule="auto"/>
        <w:outlineLvl w:val="0"/>
        <w:rPr>
          <w:rFonts w:ascii="Times New Roman" w:hAnsi="Times New Roman"/>
          <w:b/>
          <w:color w:val="auto"/>
          <w:sz w:val="24"/>
          <w:szCs w:val="24"/>
          <w:highlight w:val="none"/>
          <w:lang w:val="zh-CN"/>
        </w:rPr>
      </w:pPr>
      <w:bookmarkStart w:id="131" w:name="_Toc13462"/>
      <w:r>
        <w:rPr>
          <w:rFonts w:hint="eastAsia" w:ascii="Times New Roman" w:hAnsi="Times New Roman"/>
          <w:b/>
          <w:color w:val="auto"/>
          <w:sz w:val="24"/>
          <w:szCs w:val="24"/>
          <w:highlight w:val="none"/>
        </w:rPr>
        <w:t>七、</w:t>
      </w:r>
      <w:r>
        <w:rPr>
          <w:rFonts w:hint="eastAsia" w:ascii="Times New Roman" w:hAnsi="Times New Roman"/>
          <w:b/>
          <w:color w:val="auto"/>
          <w:sz w:val="24"/>
          <w:szCs w:val="24"/>
          <w:highlight w:val="none"/>
          <w:lang w:val="zh-CN"/>
        </w:rPr>
        <w:t>评</w:t>
      </w:r>
      <w:r>
        <w:rPr>
          <w:rFonts w:hint="eastAsia" w:ascii="Times New Roman" w:hAnsi="Times New Roman"/>
          <w:b/>
          <w:color w:val="auto"/>
          <w:sz w:val="24"/>
          <w:szCs w:val="24"/>
          <w:highlight w:val="none"/>
        </w:rPr>
        <w:t>审</w:t>
      </w:r>
      <w:r>
        <w:rPr>
          <w:rFonts w:hint="eastAsia" w:ascii="Times New Roman" w:hAnsi="Times New Roman"/>
          <w:b/>
          <w:color w:val="auto"/>
          <w:sz w:val="24"/>
          <w:szCs w:val="24"/>
          <w:highlight w:val="none"/>
          <w:lang w:val="zh-CN"/>
        </w:rPr>
        <w:t>标准相应的商务技术资料</w:t>
      </w:r>
      <w:bookmarkEnd w:id="131"/>
    </w:p>
    <w:p>
      <w:pPr>
        <w:rPr>
          <w:color w:val="auto"/>
          <w:highlight w:val="none"/>
          <w:lang w:val="zh-CN"/>
        </w:rPr>
      </w:pPr>
    </w:p>
    <w:p>
      <w:pPr>
        <w:pStyle w:val="21"/>
        <w:rPr>
          <w:color w:val="auto"/>
          <w:highlight w:val="none"/>
          <w:lang w:val="zh-CN"/>
        </w:rPr>
      </w:pPr>
    </w:p>
    <w:p>
      <w:pPr>
        <w:rPr>
          <w:color w:val="auto"/>
          <w:highlight w:val="none"/>
          <w:lang w:val="zh-CN"/>
        </w:rPr>
      </w:pPr>
    </w:p>
    <w:p>
      <w:pPr>
        <w:pStyle w:val="21"/>
        <w:rPr>
          <w:color w:val="auto"/>
          <w:highlight w:val="none"/>
        </w:rPr>
      </w:pPr>
    </w:p>
    <w:p>
      <w:pPr>
        <w:snapToGrid w:val="0"/>
        <w:spacing w:line="360" w:lineRule="auto"/>
        <w:rPr>
          <w:rFonts w:ascii="宋体" w:hAnsi="宋体" w:cs="宋体"/>
          <w:b/>
          <w:bCs/>
          <w:color w:val="auto"/>
          <w:szCs w:val="21"/>
          <w:highlight w:val="none"/>
        </w:rPr>
      </w:pPr>
      <w:r>
        <w:rPr>
          <w:rFonts w:hint="eastAsia"/>
          <w:b/>
          <w:color w:val="auto"/>
          <w:sz w:val="32"/>
          <w:szCs w:val="32"/>
          <w:highlight w:val="none"/>
        </w:rPr>
        <w:br w:type="page"/>
      </w:r>
      <w:r>
        <w:rPr>
          <w:rFonts w:hint="eastAsia"/>
          <w:b/>
          <w:color w:val="auto"/>
          <w:sz w:val="24"/>
          <w:szCs w:val="24"/>
          <w:highlight w:val="none"/>
        </w:rPr>
        <w:t>八、分包意向协议（如果有）</w:t>
      </w:r>
    </w:p>
    <w:p>
      <w:pPr>
        <w:widowControl/>
        <w:spacing w:line="360" w:lineRule="auto"/>
        <w:ind w:firstLine="120" w:firstLineChars="5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b/>
          <w:color w:val="auto"/>
          <w:sz w:val="24"/>
          <w:highlight w:val="none"/>
        </w:rPr>
        <w:t>成交后以分包方式履行合同的，提供分包意向协议；采购人不同意分包或者供应商成交后不以分包方式履行合同的，则不需要提供。</w:t>
      </w:r>
      <w:r>
        <w:rPr>
          <w:rFonts w:hint="eastAsia" w:cs="宋体" w:asciiTheme="minorEastAsia" w:hAnsiTheme="minorEastAsia" w:eastAsiaTheme="minorEastAsia"/>
          <w:color w:val="auto"/>
          <w:sz w:val="24"/>
          <w:highlight w:val="none"/>
        </w:rPr>
        <w:t>）</w:t>
      </w:r>
    </w:p>
    <w:p>
      <w:pPr>
        <w:snapToGrid w:val="0"/>
        <w:spacing w:line="360" w:lineRule="auto"/>
        <w:ind w:firstLine="576"/>
        <w:rPr>
          <w:rFonts w:cs="宋体" w:asciiTheme="minorEastAsia" w:hAnsiTheme="minorEastAsia" w:eastAsiaTheme="minorEastAsia"/>
          <w:color w:val="auto"/>
          <w:sz w:val="24"/>
          <w:highlight w:val="none"/>
          <w:lang w:val="zh-CN"/>
        </w:rPr>
      </w:pPr>
      <w:r>
        <w:rPr>
          <w:rFonts w:hint="eastAsia" w:cs="宋体" w:asciiTheme="minorEastAsia" w:hAnsiTheme="minorEastAsia" w:eastAsiaTheme="minorEastAsia"/>
          <w:color w:val="auto"/>
          <w:sz w:val="24"/>
          <w:highlight w:val="none"/>
          <w:u w:val="single"/>
        </w:rPr>
        <w:t>（供应商名称）</w:t>
      </w:r>
      <w:r>
        <w:rPr>
          <w:rFonts w:hint="eastAsia" w:cs="宋体" w:asciiTheme="minorEastAsia" w:hAnsiTheme="minorEastAsia" w:eastAsiaTheme="minorEastAsia"/>
          <w:color w:val="auto"/>
          <w:sz w:val="24"/>
          <w:highlight w:val="none"/>
          <w:lang w:val="zh-CN"/>
        </w:rPr>
        <w:t>若成为</w:t>
      </w:r>
      <w:r>
        <w:rPr>
          <w:rFonts w:hint="eastAsia" w:cs="宋体" w:asciiTheme="minorEastAsia" w:hAnsiTheme="minorEastAsia" w:eastAsiaTheme="minorEastAsia"/>
          <w:color w:val="auto"/>
          <w:sz w:val="24"/>
          <w:highlight w:val="none"/>
        </w:rPr>
        <w:t>（项目名称）【项目编号：（采购编号）】</w:t>
      </w:r>
      <w:r>
        <w:rPr>
          <w:rFonts w:hint="eastAsia" w:cs="宋体" w:asciiTheme="minorEastAsia" w:hAnsiTheme="minorEastAsia" w:eastAsiaTheme="minorEastAsia"/>
          <w:color w:val="auto"/>
          <w:sz w:val="24"/>
          <w:highlight w:val="none"/>
          <w:lang w:val="zh-CN"/>
        </w:rPr>
        <w:t>的成交供应商，将依法采取分包方式履行合同。</w:t>
      </w:r>
      <w:r>
        <w:rPr>
          <w:rFonts w:hint="eastAsia" w:cs="宋体" w:asciiTheme="minorEastAsia" w:hAnsiTheme="minorEastAsia" w:eastAsiaTheme="minorEastAsia"/>
          <w:color w:val="auto"/>
          <w:sz w:val="24"/>
          <w:highlight w:val="none"/>
          <w:u w:val="single"/>
        </w:rPr>
        <w:t>（供应商名称）</w:t>
      </w:r>
      <w:r>
        <w:rPr>
          <w:rFonts w:hint="eastAsia" w:cs="宋体" w:asciiTheme="minorEastAsia" w:hAnsiTheme="minorEastAsia" w:eastAsiaTheme="minorEastAsia"/>
          <w:color w:val="auto"/>
          <w:sz w:val="24"/>
          <w:highlight w:val="none"/>
        </w:rPr>
        <w:t>与</w:t>
      </w:r>
      <w:r>
        <w:rPr>
          <w:rFonts w:hint="eastAsia" w:cs="宋体" w:asciiTheme="minorEastAsia" w:hAnsiTheme="minorEastAsia" w:eastAsiaTheme="minorEastAsia"/>
          <w:color w:val="auto"/>
          <w:sz w:val="24"/>
          <w:highlight w:val="none"/>
          <w:u w:val="single"/>
        </w:rPr>
        <w:t>（所有分包供应商名称）</w:t>
      </w:r>
      <w:r>
        <w:rPr>
          <w:rFonts w:hint="eastAsia" w:cs="宋体" w:asciiTheme="minorEastAsia" w:hAnsiTheme="minorEastAsia" w:eastAsiaTheme="minorEastAsia"/>
          <w:color w:val="auto"/>
          <w:sz w:val="24"/>
          <w:highlight w:val="none"/>
        </w:rPr>
        <w:t>达成分包意向协议</w:t>
      </w:r>
      <w:r>
        <w:rPr>
          <w:rFonts w:hint="eastAsia" w:cs="宋体" w:asciiTheme="minorEastAsia" w:hAnsiTheme="minorEastAsia" w:eastAsiaTheme="minorEastAsia"/>
          <w:color w:val="auto"/>
          <w:sz w:val="24"/>
          <w:highlight w:val="none"/>
          <w:lang w:val="zh-CN"/>
        </w:rPr>
        <w:t xml:space="preserve">。 </w:t>
      </w:r>
    </w:p>
    <w:p>
      <w:pPr>
        <w:snapToGrid w:val="0"/>
        <w:spacing w:line="360" w:lineRule="auto"/>
        <w:ind w:firstLine="576"/>
        <w:rPr>
          <w:rFonts w:cs="宋体" w:asciiTheme="minorEastAsia" w:hAnsiTheme="minorEastAsia" w:eastAsiaTheme="minorEastAsia"/>
          <w:color w:val="auto"/>
          <w:sz w:val="24"/>
          <w:highlight w:val="none"/>
          <w:lang w:val="zh-CN"/>
        </w:rPr>
      </w:pPr>
      <w:r>
        <w:rPr>
          <w:rFonts w:hint="eastAsia" w:cs="宋体" w:asciiTheme="minorEastAsia" w:hAnsiTheme="minorEastAsia" w:eastAsiaTheme="minorEastAsia"/>
          <w:color w:val="auto"/>
          <w:sz w:val="24"/>
          <w:highlight w:val="none"/>
          <w:lang w:val="zh-CN"/>
        </w:rPr>
        <w:t>一、分包标的及数量</w:t>
      </w:r>
    </w:p>
    <w:p>
      <w:pPr>
        <w:snapToGrid w:val="0"/>
        <w:spacing w:line="360" w:lineRule="auto"/>
        <w:ind w:firstLine="576"/>
        <w:rPr>
          <w:rFonts w:cs="宋体" w:asciiTheme="minorEastAsia" w:hAnsiTheme="minorEastAsia" w:eastAsiaTheme="minorEastAsia"/>
          <w:color w:val="auto"/>
          <w:sz w:val="24"/>
          <w:highlight w:val="none"/>
          <w:lang w:val="zh-CN"/>
        </w:rPr>
      </w:pPr>
      <w:r>
        <w:rPr>
          <w:rFonts w:hint="eastAsia" w:cs="宋体" w:asciiTheme="minorEastAsia" w:hAnsiTheme="minorEastAsia" w:eastAsiaTheme="minorEastAsia"/>
          <w:color w:val="auto"/>
          <w:sz w:val="24"/>
          <w:highlight w:val="none"/>
          <w:u w:val="single"/>
        </w:rPr>
        <w:t>（供应商名称）</w:t>
      </w:r>
      <w:r>
        <w:rPr>
          <w:rFonts w:hint="eastAsia" w:cs="宋体" w:asciiTheme="minorEastAsia" w:hAnsiTheme="minorEastAsia" w:eastAsiaTheme="minorEastAsia"/>
          <w:color w:val="auto"/>
          <w:sz w:val="24"/>
          <w:highlight w:val="none"/>
          <w:lang w:val="zh-CN"/>
        </w:rPr>
        <w:t>将</w:t>
      </w:r>
      <w:r>
        <w:rPr>
          <w:rFonts w:cs="宋体" w:asciiTheme="minorEastAsia" w:hAnsiTheme="minorEastAsia" w:eastAsiaTheme="minorEastAsia"/>
          <w:color w:val="auto"/>
          <w:sz w:val="24"/>
          <w:highlight w:val="none"/>
          <w:u w:val="single"/>
        </w:rPr>
        <w:t xml:space="preserve"> XX工作内容   </w:t>
      </w:r>
      <w:r>
        <w:rPr>
          <w:rFonts w:hint="eastAsia" w:cs="宋体" w:asciiTheme="minorEastAsia" w:hAnsiTheme="minorEastAsia" w:eastAsiaTheme="minorEastAsia"/>
          <w:color w:val="auto"/>
          <w:sz w:val="24"/>
          <w:highlight w:val="none"/>
        </w:rPr>
        <w:t>分包给</w:t>
      </w:r>
      <w:r>
        <w:rPr>
          <w:rFonts w:hint="eastAsia" w:cs="宋体" w:asciiTheme="minorEastAsia" w:hAnsiTheme="minorEastAsia" w:eastAsiaTheme="minorEastAsia"/>
          <w:color w:val="auto"/>
          <w:sz w:val="24"/>
          <w:highlight w:val="none"/>
          <w:u w:val="single"/>
        </w:rPr>
        <w:t>（分包供应商1名称）</w:t>
      </w:r>
      <w:r>
        <w:rPr>
          <w:rFonts w:hint="eastAsia" w:cs="宋体" w:asciiTheme="minorEastAsia" w:hAnsiTheme="minorEastAsia" w:eastAsiaTheme="minorEastAsia"/>
          <w:color w:val="auto"/>
          <w:sz w:val="24"/>
          <w:highlight w:val="none"/>
          <w:lang w:val="zh-CN"/>
        </w:rPr>
        <w:t>，</w:t>
      </w:r>
      <w:r>
        <w:rPr>
          <w:rFonts w:hint="eastAsia" w:cs="宋体" w:asciiTheme="minorEastAsia" w:hAnsiTheme="minorEastAsia" w:eastAsiaTheme="minorEastAsia"/>
          <w:color w:val="auto"/>
          <w:sz w:val="24"/>
          <w:highlight w:val="none"/>
          <w:u w:val="single"/>
        </w:rPr>
        <w:t>（分包供应商2名称），</w:t>
      </w:r>
      <w:r>
        <w:rPr>
          <w:rFonts w:hint="eastAsia" w:cs="宋体" w:asciiTheme="minorEastAsia" w:hAnsiTheme="minorEastAsia" w:eastAsiaTheme="minorEastAsia"/>
          <w:color w:val="auto"/>
          <w:sz w:val="24"/>
          <w:highlight w:val="none"/>
          <w:lang w:val="zh-CN"/>
        </w:rPr>
        <w:t>具备承</w:t>
      </w:r>
      <w:r>
        <w:rPr>
          <w:rFonts w:hint="eastAsia" w:cs="宋体" w:asciiTheme="minorEastAsia" w:hAnsiTheme="minorEastAsia" w:eastAsiaTheme="minorEastAsia"/>
          <w:color w:val="auto"/>
          <w:sz w:val="24"/>
          <w:highlight w:val="none"/>
        </w:rPr>
        <w:t>担</w:t>
      </w:r>
      <w:r>
        <w:rPr>
          <w:rFonts w:hint="eastAsia" w:cs="宋体" w:asciiTheme="minorEastAsia" w:hAnsiTheme="minorEastAsia" w:eastAsiaTheme="minorEastAsia"/>
          <w:color w:val="auto"/>
          <w:sz w:val="24"/>
          <w:highlight w:val="none"/>
          <w:u w:val="single"/>
          <w:lang w:val="zh-CN"/>
        </w:rPr>
        <w:t>XX工作内容</w:t>
      </w:r>
      <w:r>
        <w:rPr>
          <w:rFonts w:hint="eastAsia" w:cs="宋体" w:asciiTheme="minorEastAsia" w:hAnsiTheme="minorEastAsia" w:eastAsiaTheme="minorEastAsia"/>
          <w:color w:val="auto"/>
          <w:sz w:val="24"/>
          <w:highlight w:val="none"/>
          <w:lang w:val="zh-CN"/>
        </w:rPr>
        <w:t>相应资质条件且不得再次分包；</w:t>
      </w:r>
    </w:p>
    <w:p>
      <w:pPr>
        <w:pStyle w:val="3"/>
        <w:ind w:left="664" w:leftChars="316" w:firstLine="228" w:firstLineChars="95"/>
        <w:rPr>
          <w:rFonts w:cs="宋体" w:asciiTheme="minorEastAsia" w:hAnsiTheme="minorEastAsia" w:eastAsiaTheme="minorEastAsia"/>
          <w:color w:val="auto"/>
          <w:sz w:val="24"/>
          <w:szCs w:val="24"/>
          <w:highlight w:val="none"/>
        </w:rPr>
      </w:pPr>
      <w:bookmarkStart w:id="132" w:name="_Toc31362"/>
      <w:r>
        <w:rPr>
          <w:rFonts w:hint="eastAsia" w:cs="宋体" w:asciiTheme="minorEastAsia" w:hAnsiTheme="minorEastAsia" w:eastAsiaTheme="minorEastAsia"/>
          <w:color w:val="auto"/>
          <w:sz w:val="24"/>
          <w:szCs w:val="24"/>
          <w:highlight w:val="none"/>
        </w:rPr>
        <w:t>……</w:t>
      </w:r>
      <w:bookmarkEnd w:id="132"/>
    </w:p>
    <w:p>
      <w:pPr>
        <w:ind w:firstLine="305"/>
        <w:rPr>
          <w:rFonts w:asciiTheme="minorEastAsia" w:hAnsiTheme="minorEastAsia" w:eastAsiaTheme="minorEastAsia"/>
          <w:color w:val="auto"/>
          <w:highlight w:val="none"/>
        </w:rPr>
      </w:pPr>
    </w:p>
    <w:p>
      <w:pPr>
        <w:snapToGrid w:val="0"/>
        <w:spacing w:line="360" w:lineRule="auto"/>
        <w:ind w:firstLine="576"/>
        <w:rPr>
          <w:rFonts w:cs="宋体" w:asciiTheme="minorEastAsia" w:hAnsiTheme="minorEastAsia" w:eastAsiaTheme="minorEastAsia"/>
          <w:color w:val="auto"/>
          <w:sz w:val="24"/>
          <w:highlight w:val="none"/>
          <w:lang w:val="zh-CN"/>
        </w:rPr>
      </w:pPr>
      <w:r>
        <w:rPr>
          <w:rFonts w:hint="eastAsia" w:cs="宋体" w:asciiTheme="minorEastAsia" w:hAnsiTheme="minorEastAsia" w:eastAsiaTheme="minorEastAsia"/>
          <w:color w:val="auto"/>
          <w:sz w:val="24"/>
          <w:highlight w:val="none"/>
          <w:lang w:val="zh-CN"/>
        </w:rPr>
        <w:t>二、分包供应商中小企业合同份额（如果有）</w:t>
      </w:r>
    </w:p>
    <w:p>
      <w:pPr>
        <w:snapToGrid w:val="0"/>
        <w:spacing w:line="360" w:lineRule="auto"/>
        <w:ind w:firstLine="576"/>
        <w:rPr>
          <w:rFonts w:cs="宋体" w:asciiTheme="minorEastAsia" w:hAnsiTheme="minorEastAsia" w:eastAsiaTheme="minorEastAsia"/>
          <w:b/>
          <w:color w:val="auto"/>
          <w:sz w:val="24"/>
          <w:highlight w:val="none"/>
          <w:lang w:val="zh-CN"/>
        </w:rPr>
      </w:pPr>
      <w:r>
        <w:rPr>
          <w:rFonts w:cs="宋体" w:asciiTheme="minorEastAsia" w:hAnsiTheme="minorEastAsia" w:eastAsiaTheme="minorEastAsia"/>
          <w:color w:val="auto"/>
          <w:sz w:val="24"/>
          <w:highlight w:val="none"/>
        </w:rPr>
        <w:t>1、</w:t>
      </w:r>
      <w:r>
        <w:rPr>
          <w:rFonts w:hint="eastAsia" w:cs="宋体" w:asciiTheme="minorEastAsia" w:hAnsiTheme="minorEastAsia" w:eastAsiaTheme="minorEastAsia"/>
          <w:color w:val="auto"/>
          <w:sz w:val="24"/>
          <w:highlight w:val="none"/>
          <w:u w:val="single"/>
        </w:rPr>
        <w:t>（分包供应商X</w:t>
      </w:r>
      <w:r>
        <w:rPr>
          <w:rFonts w:cs="宋体" w:asciiTheme="minorEastAsia" w:hAnsiTheme="minorEastAsia" w:eastAsiaTheme="minorEastAsia"/>
          <w:color w:val="auto"/>
          <w:sz w:val="24"/>
          <w:highlight w:val="none"/>
          <w:u w:val="single"/>
        </w:rPr>
        <w:t>,</w:t>
      </w:r>
      <w:r>
        <w:rPr>
          <w:rFonts w:hint="eastAsia" w:cs="宋体" w:asciiTheme="minorEastAsia" w:hAnsiTheme="minorEastAsia" w:eastAsiaTheme="minorEastAsia"/>
          <w:color w:val="auto"/>
          <w:sz w:val="24"/>
          <w:highlight w:val="none"/>
          <w:u w:val="single"/>
        </w:rPr>
        <w:t>……）提供的服务全部由小微企业承接，</w:t>
      </w:r>
      <w:r>
        <w:rPr>
          <w:rFonts w:hint="eastAsia" w:cs="宋体" w:asciiTheme="minorEastAsia" w:hAnsiTheme="minorEastAsia" w:eastAsiaTheme="minorEastAsia"/>
          <w:color w:val="auto"/>
          <w:sz w:val="24"/>
          <w:highlight w:val="none"/>
        </w:rPr>
        <w:t>其合同份额占到合同总金额</w:t>
      </w:r>
      <w:r>
        <w:rPr>
          <w:rFonts w:hint="eastAsia" w:cs="宋体" w:asciiTheme="minorEastAsia" w:hAnsiTheme="minorEastAsia" w:eastAsiaTheme="minorEastAsia"/>
          <w:color w:val="auto"/>
          <w:sz w:val="24"/>
          <w:highlight w:val="none"/>
          <w:u w:val="single"/>
          <w:lang w:val="en-US" w:eastAsia="zh-CN"/>
        </w:rPr>
        <w:t xml:space="preserve">  </w:t>
      </w:r>
      <w:r>
        <w:rPr>
          <w:rFonts w:hint="eastAsia" w:cs="宋体" w:asciiTheme="minorEastAsia" w:hAnsiTheme="minorEastAsia" w:eastAsiaTheme="minorEastAsia"/>
          <w:color w:val="auto"/>
          <w:sz w:val="24"/>
          <w:highlight w:val="none"/>
        </w:rPr>
        <w:t>%以上</w:t>
      </w:r>
      <w:r>
        <w:rPr>
          <w:rFonts w:hint="eastAsia" w:cs="宋体" w:asciiTheme="minorEastAsia" w:hAnsiTheme="minorEastAsia" w:eastAsiaTheme="minorEastAsia"/>
          <w:color w:val="auto"/>
          <w:highlight w:val="none"/>
        </w:rPr>
        <w:t>。</w:t>
      </w:r>
      <w:r>
        <w:rPr>
          <w:rFonts w:hint="eastAsia" w:cs="宋体" w:asciiTheme="minorEastAsia" w:hAnsiTheme="minorEastAsia" w:eastAsiaTheme="minorEastAsia"/>
          <w:b/>
          <w:color w:val="auto"/>
          <w:sz w:val="24"/>
          <w:highlight w:val="none"/>
          <w:lang w:val="zh-CN"/>
        </w:rPr>
        <w:t>（未预留份额专门面向中小企业采购的采购项目，以及预留份额中的非预留部分采购包，允许分包的，分包意向协议约定小微企业的合同份额占到合同总金额30%以上的，</w:t>
      </w:r>
      <w:r>
        <w:rPr>
          <w:rFonts w:hint="eastAsia" w:ascii="宋体" w:hAnsi="宋体" w:cs="宋体"/>
          <w:b/>
          <w:color w:val="auto"/>
          <w:sz w:val="24"/>
          <w:highlight w:val="none"/>
          <w:lang w:val="zh-CN"/>
        </w:rPr>
        <w:t>对大中型企业的报价按评标标准确定的比例给予扣除</w:t>
      </w:r>
      <w:r>
        <w:rPr>
          <w:rFonts w:hint="eastAsia" w:cs="宋体" w:asciiTheme="minorEastAsia" w:hAnsiTheme="minorEastAsia" w:eastAsiaTheme="minorEastAsia"/>
          <w:b/>
          <w:color w:val="auto"/>
          <w:sz w:val="24"/>
          <w:highlight w:val="none"/>
          <w:lang w:val="zh-CN"/>
        </w:rPr>
        <w:t>。供应商</w:t>
      </w:r>
      <w:r>
        <w:rPr>
          <w:rFonts w:hint="eastAsia" w:cs="宋体" w:asciiTheme="minorEastAsia" w:hAnsiTheme="minorEastAsia" w:eastAsiaTheme="minorEastAsia"/>
          <w:b/>
          <w:color w:val="auto"/>
          <w:sz w:val="24"/>
          <w:highlight w:val="none"/>
        </w:rPr>
        <w:t>拟享受以上价格扣除政策的，填写有关内容。</w:t>
      </w:r>
      <w:r>
        <w:rPr>
          <w:rFonts w:hint="eastAsia" w:cs="宋体" w:asciiTheme="minorEastAsia" w:hAnsiTheme="minorEastAsia" w:eastAsiaTheme="minorEastAsia"/>
          <w:b/>
          <w:color w:val="auto"/>
          <w:sz w:val="24"/>
          <w:highlight w:val="none"/>
          <w:lang w:val="zh-CN"/>
        </w:rPr>
        <w:t>）</w:t>
      </w:r>
    </w:p>
    <w:p>
      <w:pPr>
        <w:spacing w:line="360" w:lineRule="auto"/>
        <w:ind w:firstLine="480" w:firstLineChars="200"/>
        <w:rPr>
          <w:rFonts w:cs="宋体" w:asciiTheme="minorEastAsia" w:hAnsiTheme="minorEastAsia" w:eastAsiaTheme="minorEastAsia"/>
          <w:b/>
          <w:bCs/>
          <w:color w:val="auto"/>
          <w:sz w:val="24"/>
          <w:highlight w:val="none"/>
          <w:lang w:val="zh-CN"/>
        </w:rPr>
      </w:pPr>
      <w:r>
        <w:rPr>
          <w:rFonts w:hint="eastAsia" w:cs="宋体" w:asciiTheme="minorEastAsia" w:hAnsiTheme="minorEastAsia" w:eastAsiaTheme="minorEastAsia"/>
          <w:color w:val="auto"/>
          <w:sz w:val="24"/>
          <w:highlight w:val="none"/>
        </w:rPr>
        <w:t>2、中小企业合同金额达到</w:t>
      </w:r>
      <w:r>
        <w:rPr>
          <w:rFonts w:hint="eastAsia" w:cs="宋体" w:asciiTheme="minorEastAsia" w:hAnsiTheme="minorEastAsia" w:eastAsiaTheme="minorEastAsia"/>
          <w:color w:val="auto"/>
          <w:sz w:val="24"/>
          <w:highlight w:val="none"/>
          <w:u w:val="single"/>
          <w:lang w:val="en-US" w:eastAsia="zh-CN"/>
        </w:rPr>
        <w:t xml:space="preserve">  </w:t>
      </w:r>
      <w:r>
        <w:rPr>
          <w:rFonts w:hint="eastAsia" w:cs="宋体" w:asciiTheme="minorEastAsia" w:hAnsiTheme="minorEastAsia" w:eastAsiaTheme="minorEastAsia"/>
          <w:color w:val="auto"/>
          <w:sz w:val="24"/>
          <w:highlight w:val="none"/>
        </w:rPr>
        <w:t>%，其中小微企业合同金额达到</w:t>
      </w:r>
      <w:r>
        <w:rPr>
          <w:rFonts w:hint="eastAsia" w:cs="宋体" w:asciiTheme="minorEastAsia" w:hAnsiTheme="minorEastAsia" w:eastAsiaTheme="minorEastAsia"/>
          <w:color w:val="auto"/>
          <w:sz w:val="24"/>
          <w:highlight w:val="none"/>
          <w:u w:val="single"/>
          <w:lang w:val="en-US" w:eastAsia="zh-CN"/>
        </w:rPr>
        <w:t xml:space="preserve">  </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lang w:val="zh-CN"/>
        </w:rPr>
        <w:t>。</w:t>
      </w:r>
      <w:r>
        <w:rPr>
          <w:rFonts w:hint="eastAsia" w:cs="宋体" w:asciiTheme="minorEastAsia" w:hAnsiTheme="minorEastAsia" w:eastAsiaTheme="minorEastAsia"/>
          <w:b/>
          <w:bCs/>
          <w:color w:val="auto"/>
          <w:sz w:val="24"/>
          <w:highlight w:val="none"/>
          <w:lang w:val="zh-CN"/>
        </w:rPr>
        <w:t>（</w:t>
      </w:r>
      <w:r>
        <w:rPr>
          <w:rFonts w:hint="eastAsia" w:cs="宋体" w:asciiTheme="minorEastAsia" w:hAnsiTheme="minorEastAsia" w:eastAsiaTheme="minorEastAsia"/>
          <w:b/>
          <w:bCs/>
          <w:color w:val="auto"/>
          <w:sz w:val="24"/>
          <w:highlight w:val="none"/>
        </w:rPr>
        <w:t>要求合同分包形式参加的项目或采购包，供应商按磋商文件第一部分竞争性磋商邀请公告申请人的资格要求中规定的</w:t>
      </w:r>
      <w:r>
        <w:rPr>
          <w:rFonts w:hint="eastAsia" w:cs="宋体" w:asciiTheme="minorEastAsia" w:hAnsiTheme="minorEastAsia" w:eastAsiaTheme="minorEastAsia"/>
          <w:b/>
          <w:color w:val="auto"/>
          <w:sz w:val="24"/>
          <w:highlight w:val="none"/>
          <w:lang w:val="zh-CN"/>
        </w:rPr>
        <w:t>分包意向协议</w:t>
      </w:r>
      <w:r>
        <w:rPr>
          <w:rFonts w:hint="eastAsia" w:cs="宋体" w:asciiTheme="minorEastAsia" w:hAnsiTheme="minorEastAsia" w:eastAsiaTheme="minorEastAsia"/>
          <w:b/>
          <w:bCs/>
          <w:color w:val="auto"/>
          <w:sz w:val="24"/>
          <w:highlight w:val="none"/>
        </w:rPr>
        <w:t>中中小企业、小微企业合同金额应当达到的比例要求填写。</w:t>
      </w:r>
      <w:r>
        <w:rPr>
          <w:rFonts w:hint="eastAsia" w:cs="宋体" w:asciiTheme="minorEastAsia" w:hAnsiTheme="minorEastAsia" w:eastAsiaTheme="minorEastAsia"/>
          <w:b/>
          <w:bCs/>
          <w:color w:val="auto"/>
          <w:sz w:val="24"/>
          <w:highlight w:val="none"/>
          <w:lang w:val="zh-CN"/>
        </w:rPr>
        <w:t>）</w:t>
      </w:r>
    </w:p>
    <w:p>
      <w:pPr>
        <w:snapToGrid w:val="0"/>
        <w:spacing w:line="360" w:lineRule="auto"/>
        <w:ind w:firstLine="576"/>
        <w:rPr>
          <w:rFonts w:cs="宋体" w:asciiTheme="minorEastAsia" w:hAnsiTheme="minorEastAsia" w:eastAsiaTheme="minorEastAsia"/>
          <w:color w:val="auto"/>
          <w:sz w:val="24"/>
          <w:highlight w:val="none"/>
          <w:lang w:val="zh-CN"/>
        </w:rPr>
      </w:pPr>
      <w:r>
        <w:rPr>
          <w:rFonts w:hint="eastAsia" w:cs="宋体" w:asciiTheme="minorEastAsia" w:hAnsiTheme="minorEastAsia" w:eastAsiaTheme="minorEastAsia"/>
          <w:color w:val="auto"/>
          <w:sz w:val="24"/>
          <w:highlight w:val="none"/>
          <w:lang w:val="zh-CN"/>
        </w:rPr>
        <w:t>三、分包工作履行期限、地点、方式</w:t>
      </w:r>
    </w:p>
    <w:p>
      <w:pPr>
        <w:snapToGrid w:val="0"/>
        <w:spacing w:line="360" w:lineRule="auto"/>
        <w:ind w:firstLine="576"/>
        <w:rPr>
          <w:rFonts w:cs="宋体" w:asciiTheme="minorEastAsia" w:hAnsiTheme="minorEastAsia" w:eastAsiaTheme="minorEastAsia"/>
          <w:color w:val="auto"/>
          <w:highlight w:val="none"/>
          <w:u w:val="single"/>
        </w:rPr>
      </w:pPr>
    </w:p>
    <w:p>
      <w:pPr>
        <w:snapToGrid w:val="0"/>
        <w:spacing w:line="360" w:lineRule="auto"/>
        <w:ind w:firstLine="576"/>
        <w:rPr>
          <w:rFonts w:cs="宋体" w:asciiTheme="minorEastAsia" w:hAnsiTheme="minorEastAsia" w:eastAsiaTheme="minorEastAsia"/>
          <w:color w:val="auto"/>
          <w:sz w:val="24"/>
          <w:highlight w:val="none"/>
          <w:lang w:val="zh-CN"/>
        </w:rPr>
      </w:pPr>
      <w:r>
        <w:rPr>
          <w:rFonts w:hint="eastAsia" w:cs="宋体" w:asciiTheme="minorEastAsia" w:hAnsiTheme="minorEastAsia" w:eastAsiaTheme="minorEastAsia"/>
          <w:color w:val="auto"/>
          <w:sz w:val="24"/>
          <w:highlight w:val="none"/>
          <w:lang w:val="zh-CN"/>
        </w:rPr>
        <w:t>四、质量</w:t>
      </w:r>
    </w:p>
    <w:p>
      <w:pPr>
        <w:snapToGrid w:val="0"/>
        <w:spacing w:line="360" w:lineRule="auto"/>
        <w:ind w:firstLine="576"/>
        <w:rPr>
          <w:rFonts w:cs="宋体" w:asciiTheme="minorEastAsia" w:hAnsiTheme="minorEastAsia" w:eastAsiaTheme="minorEastAsia"/>
          <w:color w:val="auto"/>
          <w:sz w:val="24"/>
          <w:highlight w:val="none"/>
          <w:lang w:val="zh-CN"/>
        </w:rPr>
      </w:pPr>
    </w:p>
    <w:p>
      <w:pPr>
        <w:snapToGrid w:val="0"/>
        <w:spacing w:line="360" w:lineRule="auto"/>
        <w:ind w:firstLine="576"/>
        <w:rPr>
          <w:rFonts w:cs="宋体" w:asciiTheme="minorEastAsia" w:hAnsiTheme="minorEastAsia" w:eastAsiaTheme="minorEastAsia"/>
          <w:color w:val="auto"/>
          <w:sz w:val="24"/>
          <w:highlight w:val="none"/>
          <w:lang w:val="zh-CN"/>
        </w:rPr>
      </w:pPr>
      <w:r>
        <w:rPr>
          <w:rFonts w:hint="eastAsia" w:cs="宋体" w:asciiTheme="minorEastAsia" w:hAnsiTheme="minorEastAsia" w:eastAsiaTheme="minorEastAsia"/>
          <w:color w:val="auto"/>
          <w:sz w:val="24"/>
          <w:highlight w:val="none"/>
          <w:lang w:val="zh-CN"/>
        </w:rPr>
        <w:t>五、价款或者报酬</w:t>
      </w:r>
    </w:p>
    <w:p>
      <w:pPr>
        <w:snapToGrid w:val="0"/>
        <w:spacing w:line="360" w:lineRule="auto"/>
        <w:ind w:left="573" w:leftChars="273"/>
        <w:rPr>
          <w:rFonts w:cs="宋体" w:asciiTheme="minorEastAsia" w:hAnsiTheme="minorEastAsia" w:eastAsiaTheme="minorEastAsia"/>
          <w:color w:val="auto"/>
          <w:sz w:val="24"/>
          <w:highlight w:val="none"/>
          <w:lang w:val="zh-CN"/>
        </w:rPr>
      </w:pPr>
    </w:p>
    <w:p>
      <w:pPr>
        <w:snapToGrid w:val="0"/>
        <w:spacing w:line="360" w:lineRule="auto"/>
        <w:ind w:left="573" w:leftChars="273"/>
        <w:rPr>
          <w:rFonts w:cs="宋体" w:asciiTheme="minorEastAsia" w:hAnsiTheme="minorEastAsia" w:eastAsiaTheme="minorEastAsia"/>
          <w:color w:val="auto"/>
          <w:sz w:val="24"/>
          <w:highlight w:val="none"/>
          <w:lang w:val="zh-CN"/>
        </w:rPr>
      </w:pPr>
      <w:r>
        <w:rPr>
          <w:rFonts w:hint="eastAsia" w:cs="宋体" w:asciiTheme="minorEastAsia" w:hAnsiTheme="minorEastAsia" w:eastAsiaTheme="minorEastAsia"/>
          <w:color w:val="auto"/>
          <w:sz w:val="24"/>
          <w:highlight w:val="none"/>
          <w:lang w:val="zh-CN"/>
        </w:rPr>
        <w:t>六、违约责任</w:t>
      </w:r>
    </w:p>
    <w:p>
      <w:pPr>
        <w:snapToGrid w:val="0"/>
        <w:spacing w:line="360" w:lineRule="auto"/>
        <w:ind w:firstLine="576"/>
        <w:rPr>
          <w:rFonts w:cs="宋体" w:asciiTheme="minorEastAsia" w:hAnsiTheme="minorEastAsia" w:eastAsiaTheme="minorEastAsia"/>
          <w:color w:val="auto"/>
          <w:sz w:val="24"/>
          <w:highlight w:val="none"/>
          <w:lang w:val="zh-CN"/>
        </w:rPr>
      </w:pPr>
    </w:p>
    <w:p>
      <w:pPr>
        <w:snapToGrid w:val="0"/>
        <w:spacing w:line="360" w:lineRule="auto"/>
        <w:ind w:firstLine="576"/>
        <w:rPr>
          <w:rFonts w:cs="宋体" w:asciiTheme="minorEastAsia" w:hAnsiTheme="minorEastAsia" w:eastAsiaTheme="minorEastAsia"/>
          <w:color w:val="auto"/>
          <w:sz w:val="24"/>
          <w:highlight w:val="none"/>
          <w:lang w:val="zh-CN"/>
        </w:rPr>
      </w:pPr>
      <w:r>
        <w:rPr>
          <w:rFonts w:hint="eastAsia" w:cs="宋体" w:asciiTheme="minorEastAsia" w:hAnsiTheme="minorEastAsia" w:eastAsiaTheme="minorEastAsia"/>
          <w:color w:val="auto"/>
          <w:sz w:val="24"/>
          <w:highlight w:val="none"/>
          <w:lang w:val="zh-CN"/>
        </w:rPr>
        <w:t>七、争议解决的办法</w:t>
      </w:r>
    </w:p>
    <w:p>
      <w:pPr>
        <w:snapToGrid w:val="0"/>
        <w:spacing w:line="360" w:lineRule="auto"/>
        <w:ind w:firstLine="576"/>
        <w:rPr>
          <w:rFonts w:cs="宋体" w:asciiTheme="minorEastAsia" w:hAnsiTheme="minorEastAsia" w:eastAsiaTheme="minorEastAsia"/>
          <w:color w:val="auto"/>
          <w:sz w:val="24"/>
          <w:highlight w:val="none"/>
          <w:lang w:val="zh-CN"/>
        </w:rPr>
      </w:pPr>
    </w:p>
    <w:p>
      <w:pPr>
        <w:snapToGrid w:val="0"/>
        <w:spacing w:line="360" w:lineRule="auto"/>
        <w:ind w:firstLine="576"/>
        <w:rPr>
          <w:rFonts w:cs="宋体" w:asciiTheme="minorEastAsia" w:hAnsiTheme="minorEastAsia" w:eastAsiaTheme="minorEastAsia"/>
          <w:color w:val="auto"/>
          <w:sz w:val="24"/>
          <w:highlight w:val="none"/>
          <w:lang w:val="zh-CN"/>
        </w:rPr>
      </w:pPr>
      <w:r>
        <w:rPr>
          <w:rFonts w:hint="eastAsia" w:cs="宋体" w:asciiTheme="minorEastAsia" w:hAnsiTheme="minorEastAsia" w:eastAsiaTheme="minorEastAsia"/>
          <w:color w:val="auto"/>
          <w:sz w:val="24"/>
          <w:highlight w:val="none"/>
          <w:lang w:val="zh-CN"/>
        </w:rPr>
        <w:t>八、其他</w:t>
      </w:r>
    </w:p>
    <w:p>
      <w:pPr>
        <w:snapToGrid w:val="0"/>
        <w:spacing w:line="360" w:lineRule="auto"/>
        <w:ind w:left="5758" w:leftChars="342" w:hanging="5040" w:hangingChars="2100"/>
        <w:rPr>
          <w:rFonts w:cs="宋体" w:asciiTheme="minorEastAsia" w:hAnsiTheme="minorEastAsia" w:eastAsiaTheme="minorEastAsia"/>
          <w:color w:val="auto"/>
          <w:sz w:val="24"/>
          <w:highlight w:val="none"/>
          <w:lang w:val="zh-CN"/>
        </w:rPr>
      </w:pPr>
      <w:r>
        <w:rPr>
          <w:rFonts w:hint="eastAsia" w:cs="宋体" w:asciiTheme="minorEastAsia" w:hAnsiTheme="minorEastAsia" w:eastAsiaTheme="minorEastAsia"/>
          <w:color w:val="auto"/>
          <w:sz w:val="24"/>
          <w:highlight w:val="none"/>
        </w:rPr>
        <w:t>中小企业合同金额达到</w:t>
      </w:r>
      <w:r>
        <w:rPr>
          <w:rFonts w:hint="eastAsia" w:cs="宋体" w:asciiTheme="minorEastAsia" w:hAnsiTheme="minorEastAsia" w:eastAsiaTheme="minorEastAsia"/>
          <w:color w:val="auto"/>
          <w:sz w:val="24"/>
          <w:highlight w:val="none"/>
          <w:u w:val="single"/>
          <w:lang w:val="en-US" w:eastAsia="zh-CN"/>
        </w:rPr>
        <w:t xml:space="preserve">  </w:t>
      </w:r>
      <w:r>
        <w:rPr>
          <w:rFonts w:hint="eastAsia" w:cs="宋体" w:asciiTheme="minorEastAsia" w:hAnsiTheme="minorEastAsia" w:eastAsiaTheme="minorEastAsia"/>
          <w:color w:val="auto"/>
          <w:sz w:val="24"/>
          <w:highlight w:val="none"/>
        </w:rPr>
        <w:t>%，小微企业合同金额达到</w:t>
      </w:r>
      <w:r>
        <w:rPr>
          <w:rFonts w:hint="eastAsia" w:cs="宋体" w:asciiTheme="minorEastAsia" w:hAnsiTheme="minorEastAsia" w:eastAsiaTheme="minorEastAsia"/>
          <w:color w:val="auto"/>
          <w:sz w:val="24"/>
          <w:highlight w:val="none"/>
          <w:u w:val="single"/>
          <w:lang w:val="en-US" w:eastAsia="zh-CN"/>
        </w:rPr>
        <w:t xml:space="preserve">  </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lang w:val="zh-CN"/>
        </w:rPr>
        <w:t xml:space="preserve">  。                                           供应商名称(电子签名)：</w:t>
      </w:r>
    </w:p>
    <w:p>
      <w:pPr>
        <w:snapToGrid w:val="0"/>
        <w:spacing w:line="360" w:lineRule="auto"/>
        <w:jc w:val="right"/>
        <w:rPr>
          <w:rFonts w:cs="宋体" w:asciiTheme="minorEastAsia" w:hAnsiTheme="minorEastAsia" w:eastAsiaTheme="minorEastAsia"/>
          <w:color w:val="auto"/>
          <w:sz w:val="24"/>
          <w:highlight w:val="none"/>
          <w:lang w:val="zh-CN"/>
        </w:rPr>
      </w:pPr>
      <w:r>
        <w:rPr>
          <w:rFonts w:hint="eastAsia" w:cs="宋体" w:asciiTheme="minorEastAsia" w:hAnsiTheme="minorEastAsia" w:eastAsiaTheme="minorEastAsia"/>
          <w:color w:val="auto"/>
          <w:sz w:val="24"/>
          <w:highlight w:val="none"/>
          <w:lang w:val="zh-CN"/>
        </w:rPr>
        <w:t>分包供应商名称(电子签名/公章)：</w:t>
      </w:r>
    </w:p>
    <w:p>
      <w:pPr>
        <w:snapToGrid w:val="0"/>
        <w:spacing w:line="360" w:lineRule="auto"/>
        <w:ind w:firstLine="5760" w:firstLineChars="24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sz w:val="24"/>
          <w:highlight w:val="none"/>
          <w:lang w:val="zh-CN"/>
        </w:rPr>
        <w:t>……</w:t>
      </w:r>
    </w:p>
    <w:p>
      <w:pPr>
        <w:spacing w:line="360" w:lineRule="auto"/>
        <w:jc w:val="center"/>
        <w:rPr>
          <w:rFonts w:cs="宋体" w:asciiTheme="minorEastAsia" w:hAnsiTheme="minorEastAsia" w:eastAsiaTheme="minorEastAsia"/>
          <w:color w:val="auto"/>
          <w:sz w:val="24"/>
          <w:highlight w:val="none"/>
          <w:lang w:val="zh-CN"/>
        </w:rPr>
      </w:pPr>
      <w:r>
        <w:rPr>
          <w:rFonts w:hint="eastAsia" w:cs="宋体" w:asciiTheme="minorEastAsia" w:hAnsiTheme="minorEastAsia" w:eastAsiaTheme="minorEastAsia"/>
          <w:color w:val="auto"/>
          <w:sz w:val="24"/>
          <w:highlight w:val="none"/>
          <w:lang w:val="zh-CN"/>
        </w:rPr>
        <w:t xml:space="preserve">                                        日期：  年  月   日</w:t>
      </w:r>
    </w:p>
    <w:p>
      <w:pPr>
        <w:spacing w:line="360" w:lineRule="auto"/>
        <w:ind w:right="420"/>
        <w:rPr>
          <w:rFonts w:ascii="宋体" w:hAnsi="宋体" w:cs="宋体"/>
          <w:color w:val="auto"/>
          <w:sz w:val="24"/>
          <w:szCs w:val="24"/>
          <w:highlight w:val="none"/>
          <w:lang w:val="zh-CN"/>
        </w:rPr>
      </w:pPr>
    </w:p>
    <w:p>
      <w:pPr>
        <w:spacing w:line="360" w:lineRule="auto"/>
        <w:ind w:right="420"/>
        <w:rPr>
          <w:rFonts w:ascii="宋体" w:hAnsi="宋体" w:cs="宋体"/>
          <w:color w:val="auto"/>
          <w:sz w:val="24"/>
          <w:szCs w:val="24"/>
          <w:highlight w:val="none"/>
        </w:rPr>
      </w:pPr>
      <w:r>
        <w:rPr>
          <w:rFonts w:hint="eastAsia" w:ascii="宋体" w:hAnsi="宋体" w:cs="宋体"/>
          <w:color w:val="auto"/>
          <w:sz w:val="24"/>
          <w:szCs w:val="24"/>
          <w:highlight w:val="none"/>
        </w:rPr>
        <w:t>注：按本格式和要求提供。</w:t>
      </w:r>
    </w:p>
    <w:p>
      <w:pPr>
        <w:pStyle w:val="15"/>
        <w:snapToGrid w:val="0"/>
        <w:spacing w:line="360" w:lineRule="auto"/>
        <w:ind w:firstLine="643" w:firstLineChars="200"/>
        <w:jc w:val="center"/>
        <w:outlineLvl w:val="0"/>
        <w:rPr>
          <w:rFonts w:ascii="Times New Roman" w:hAnsi="Times New Roman"/>
          <w:b/>
          <w:color w:val="auto"/>
          <w:sz w:val="32"/>
          <w:szCs w:val="32"/>
          <w:highlight w:val="none"/>
        </w:rPr>
      </w:pPr>
    </w:p>
    <w:p>
      <w:pPr>
        <w:pStyle w:val="78"/>
        <w:snapToGrid w:val="0"/>
        <w:spacing w:line="360" w:lineRule="auto"/>
        <w:ind w:firstLine="643"/>
        <w:rPr>
          <w:rFonts w:ascii="Times New Roman" w:hAnsi="Times New Roman"/>
          <w:b/>
          <w:color w:val="auto"/>
          <w:sz w:val="32"/>
          <w:szCs w:val="32"/>
          <w:highlight w:val="none"/>
        </w:rPr>
        <w:sectPr>
          <w:pgSz w:w="11906" w:h="16838"/>
          <w:pgMar w:top="1440" w:right="1474" w:bottom="1440" w:left="1474" w:header="851" w:footer="851" w:gutter="0"/>
          <w:cols w:space="720" w:num="1"/>
          <w:titlePg/>
          <w:docGrid w:linePitch="312" w:charSpace="0"/>
        </w:sectPr>
      </w:pPr>
    </w:p>
    <w:p>
      <w:pPr>
        <w:pStyle w:val="78"/>
        <w:snapToGrid w:val="0"/>
        <w:spacing w:line="360" w:lineRule="auto"/>
        <w:ind w:firstLine="0" w:firstLineChars="0"/>
        <w:rPr>
          <w:rFonts w:ascii="宋体" w:hAnsi="宋体" w:cs="宋体"/>
          <w:color w:val="auto"/>
          <w:sz w:val="24"/>
          <w:highlight w:val="none"/>
        </w:rPr>
      </w:pPr>
      <w:r>
        <w:rPr>
          <w:rFonts w:hint="eastAsia" w:ascii="Times New Roman" w:hAnsi="Times New Roman"/>
          <w:b/>
          <w:color w:val="auto"/>
          <w:sz w:val="24"/>
          <w:highlight w:val="none"/>
        </w:rPr>
        <w:t>九、</w:t>
      </w:r>
      <w:r>
        <w:rPr>
          <w:rFonts w:ascii="Times New Roman" w:hAnsi="Times New Roman"/>
          <w:b/>
          <w:color w:val="auto"/>
          <w:sz w:val="24"/>
          <w:highlight w:val="none"/>
          <w:lang w:val="zh-CN"/>
        </w:rPr>
        <w:t>其他必要提供的资料</w:t>
      </w:r>
      <w:r>
        <w:rPr>
          <w:rFonts w:hint="eastAsia" w:ascii="宋体" w:hAnsi="宋体" w:cs="宋体"/>
          <w:color w:val="auto"/>
          <w:sz w:val="24"/>
          <w:highlight w:val="none"/>
        </w:rPr>
        <w:t>。</w:t>
      </w:r>
    </w:p>
    <w:p>
      <w:pPr>
        <w:pStyle w:val="78"/>
        <w:snapToGrid w:val="0"/>
        <w:spacing w:line="360" w:lineRule="auto"/>
        <w:ind w:firstLine="420"/>
        <w:rPr>
          <w:rFonts w:ascii="宋体" w:hAnsi="宋体" w:cs="宋体"/>
          <w:color w:val="auto"/>
          <w:szCs w:val="21"/>
          <w:highlight w:val="none"/>
        </w:rPr>
      </w:pPr>
    </w:p>
    <w:p>
      <w:pPr>
        <w:pStyle w:val="84"/>
        <w:ind w:left="0" w:leftChars="0" w:firstLine="422" w:firstLineChars="200"/>
        <w:rPr>
          <w:rFonts w:ascii="Times New Roman" w:hAnsi="Times New Roman"/>
          <w:b w:val="0"/>
          <w:bCs w:val="0"/>
          <w:color w:val="auto"/>
          <w:sz w:val="24"/>
          <w:szCs w:val="24"/>
          <w:highlight w:val="none"/>
        </w:rPr>
      </w:pPr>
      <w:r>
        <w:rPr>
          <w:rFonts w:hint="eastAsia"/>
          <w:color w:val="auto"/>
          <w:highlight w:val="none"/>
        </w:rPr>
        <w:br w:type="page"/>
      </w:r>
    </w:p>
    <w:p>
      <w:pPr>
        <w:spacing w:line="360" w:lineRule="auto"/>
        <w:jc w:val="left"/>
        <w:rPr>
          <w:b/>
          <w:color w:val="auto"/>
          <w:spacing w:val="6"/>
          <w:sz w:val="24"/>
          <w:szCs w:val="24"/>
          <w:highlight w:val="none"/>
        </w:rPr>
      </w:pPr>
      <w:r>
        <w:rPr>
          <w:b/>
          <w:color w:val="auto"/>
          <w:spacing w:val="6"/>
          <w:sz w:val="24"/>
          <w:szCs w:val="24"/>
          <w:highlight w:val="none"/>
        </w:rPr>
        <w:t>附件</w:t>
      </w:r>
      <w:r>
        <w:rPr>
          <w:rFonts w:hint="eastAsia"/>
          <w:b/>
          <w:color w:val="auto"/>
          <w:spacing w:val="6"/>
          <w:sz w:val="24"/>
          <w:szCs w:val="24"/>
          <w:highlight w:val="none"/>
        </w:rPr>
        <w:t>1</w:t>
      </w:r>
      <w:r>
        <w:rPr>
          <w:b/>
          <w:color w:val="auto"/>
          <w:spacing w:val="6"/>
          <w:sz w:val="24"/>
          <w:szCs w:val="24"/>
          <w:highlight w:val="none"/>
        </w:rPr>
        <w:t>：质疑函范本及制作说明</w:t>
      </w:r>
    </w:p>
    <w:p>
      <w:pPr>
        <w:spacing w:line="360" w:lineRule="auto"/>
        <w:jc w:val="center"/>
        <w:rPr>
          <w:b/>
          <w:color w:val="auto"/>
          <w:spacing w:val="6"/>
          <w:sz w:val="24"/>
          <w:szCs w:val="24"/>
          <w:highlight w:val="none"/>
        </w:rPr>
      </w:pPr>
      <w:r>
        <w:rPr>
          <w:b/>
          <w:color w:val="auto"/>
          <w:spacing w:val="6"/>
          <w:sz w:val="24"/>
          <w:szCs w:val="24"/>
          <w:highlight w:val="none"/>
        </w:rPr>
        <w:t>质疑函范本</w:t>
      </w:r>
    </w:p>
    <w:p>
      <w:pPr>
        <w:snapToGrid w:val="0"/>
        <w:spacing w:beforeLines="100" w:line="360" w:lineRule="auto"/>
        <w:rPr>
          <w:bCs/>
          <w:color w:val="auto"/>
          <w:sz w:val="24"/>
          <w:szCs w:val="24"/>
          <w:highlight w:val="none"/>
        </w:rPr>
      </w:pPr>
      <w:r>
        <w:rPr>
          <w:bCs/>
          <w:color w:val="auto"/>
          <w:sz w:val="24"/>
          <w:szCs w:val="24"/>
          <w:highlight w:val="none"/>
        </w:rPr>
        <w:t>一、质疑供应商基本信息</w:t>
      </w:r>
    </w:p>
    <w:p>
      <w:pPr>
        <w:snapToGrid w:val="0"/>
        <w:spacing w:line="360" w:lineRule="auto"/>
        <w:rPr>
          <w:color w:val="auto"/>
          <w:sz w:val="24"/>
          <w:szCs w:val="24"/>
          <w:highlight w:val="none"/>
          <w:u w:val="dotted"/>
        </w:rPr>
      </w:pPr>
      <w:r>
        <w:rPr>
          <w:color w:val="auto"/>
          <w:sz w:val="24"/>
          <w:szCs w:val="24"/>
          <w:highlight w:val="none"/>
        </w:rPr>
        <w:t>质疑供应商：</w:t>
      </w:r>
    </w:p>
    <w:p>
      <w:pPr>
        <w:snapToGrid w:val="0"/>
        <w:spacing w:line="360" w:lineRule="auto"/>
        <w:rPr>
          <w:color w:val="auto"/>
          <w:sz w:val="24"/>
          <w:szCs w:val="24"/>
          <w:highlight w:val="none"/>
        </w:rPr>
      </w:pPr>
      <w:r>
        <w:rPr>
          <w:color w:val="auto"/>
          <w:sz w:val="24"/>
          <w:szCs w:val="24"/>
          <w:highlight w:val="none"/>
        </w:rPr>
        <w:t>地址：邮编：</w:t>
      </w:r>
    </w:p>
    <w:p>
      <w:pPr>
        <w:snapToGrid w:val="0"/>
        <w:spacing w:line="360" w:lineRule="auto"/>
        <w:rPr>
          <w:color w:val="auto"/>
          <w:sz w:val="24"/>
          <w:szCs w:val="24"/>
          <w:highlight w:val="none"/>
        </w:rPr>
      </w:pPr>
      <w:r>
        <w:rPr>
          <w:color w:val="auto"/>
          <w:sz w:val="24"/>
          <w:szCs w:val="24"/>
          <w:highlight w:val="none"/>
        </w:rPr>
        <w:t>联系人：联系电话：</w:t>
      </w:r>
    </w:p>
    <w:p>
      <w:pPr>
        <w:snapToGrid w:val="0"/>
        <w:spacing w:line="360" w:lineRule="auto"/>
        <w:rPr>
          <w:color w:val="auto"/>
          <w:sz w:val="24"/>
          <w:szCs w:val="24"/>
          <w:highlight w:val="none"/>
          <w:u w:val="dotted"/>
        </w:rPr>
      </w:pPr>
      <w:r>
        <w:rPr>
          <w:color w:val="auto"/>
          <w:sz w:val="24"/>
          <w:szCs w:val="24"/>
          <w:highlight w:val="none"/>
        </w:rPr>
        <w:t>授权代表：</w:t>
      </w:r>
    </w:p>
    <w:p>
      <w:pPr>
        <w:snapToGrid w:val="0"/>
        <w:spacing w:line="360" w:lineRule="auto"/>
        <w:rPr>
          <w:color w:val="auto"/>
          <w:sz w:val="24"/>
          <w:szCs w:val="24"/>
          <w:highlight w:val="none"/>
        </w:rPr>
      </w:pPr>
      <w:r>
        <w:rPr>
          <w:color w:val="auto"/>
          <w:sz w:val="24"/>
          <w:szCs w:val="24"/>
          <w:highlight w:val="none"/>
        </w:rPr>
        <w:t>联系电话：</w:t>
      </w:r>
    </w:p>
    <w:p>
      <w:pPr>
        <w:snapToGrid w:val="0"/>
        <w:spacing w:line="360" w:lineRule="auto"/>
        <w:rPr>
          <w:color w:val="auto"/>
          <w:sz w:val="24"/>
          <w:szCs w:val="24"/>
          <w:highlight w:val="none"/>
        </w:rPr>
      </w:pPr>
      <w:r>
        <w:rPr>
          <w:color w:val="auto"/>
          <w:sz w:val="24"/>
          <w:szCs w:val="24"/>
          <w:highlight w:val="none"/>
        </w:rPr>
        <w:t>地址：邮编：</w:t>
      </w:r>
    </w:p>
    <w:p>
      <w:pPr>
        <w:snapToGrid w:val="0"/>
        <w:spacing w:line="360" w:lineRule="auto"/>
        <w:rPr>
          <w:bCs/>
          <w:color w:val="auto"/>
          <w:sz w:val="24"/>
          <w:szCs w:val="24"/>
          <w:highlight w:val="none"/>
        </w:rPr>
      </w:pPr>
      <w:r>
        <w:rPr>
          <w:bCs/>
          <w:color w:val="auto"/>
          <w:sz w:val="24"/>
          <w:szCs w:val="24"/>
          <w:highlight w:val="none"/>
        </w:rPr>
        <w:t>二、质疑项目基本情况</w:t>
      </w:r>
    </w:p>
    <w:p>
      <w:pPr>
        <w:snapToGrid w:val="0"/>
        <w:spacing w:line="360" w:lineRule="auto"/>
        <w:rPr>
          <w:color w:val="auto"/>
          <w:sz w:val="24"/>
          <w:szCs w:val="24"/>
          <w:highlight w:val="none"/>
        </w:rPr>
      </w:pPr>
      <w:r>
        <w:rPr>
          <w:color w:val="auto"/>
          <w:sz w:val="24"/>
          <w:szCs w:val="24"/>
          <w:highlight w:val="none"/>
        </w:rPr>
        <w:t>质疑项目的名称：</w:t>
      </w:r>
    </w:p>
    <w:p>
      <w:pPr>
        <w:snapToGrid w:val="0"/>
        <w:spacing w:line="360" w:lineRule="auto"/>
        <w:rPr>
          <w:color w:val="auto"/>
          <w:sz w:val="24"/>
          <w:szCs w:val="24"/>
          <w:highlight w:val="none"/>
        </w:rPr>
      </w:pPr>
      <w:r>
        <w:rPr>
          <w:color w:val="auto"/>
          <w:sz w:val="24"/>
          <w:szCs w:val="24"/>
          <w:highlight w:val="none"/>
        </w:rPr>
        <w:t>质疑项目的编号：包号：</w:t>
      </w:r>
    </w:p>
    <w:p>
      <w:pPr>
        <w:snapToGrid w:val="0"/>
        <w:spacing w:line="360" w:lineRule="auto"/>
        <w:rPr>
          <w:color w:val="auto"/>
          <w:sz w:val="24"/>
          <w:szCs w:val="24"/>
          <w:highlight w:val="none"/>
          <w:u w:val="dotted"/>
        </w:rPr>
      </w:pPr>
      <w:r>
        <w:rPr>
          <w:color w:val="auto"/>
          <w:sz w:val="24"/>
          <w:szCs w:val="24"/>
          <w:highlight w:val="none"/>
        </w:rPr>
        <w:t>采购人名称：</w:t>
      </w:r>
    </w:p>
    <w:p>
      <w:pPr>
        <w:snapToGrid w:val="0"/>
        <w:spacing w:line="360" w:lineRule="auto"/>
        <w:rPr>
          <w:color w:val="auto"/>
          <w:sz w:val="24"/>
          <w:szCs w:val="24"/>
          <w:highlight w:val="none"/>
        </w:rPr>
      </w:pPr>
      <w:r>
        <w:rPr>
          <w:color w:val="auto"/>
          <w:sz w:val="24"/>
          <w:szCs w:val="24"/>
          <w:highlight w:val="none"/>
        </w:rPr>
        <w:t>采购文件获取日期：</w:t>
      </w:r>
    </w:p>
    <w:p>
      <w:pPr>
        <w:snapToGrid w:val="0"/>
        <w:spacing w:line="360" w:lineRule="auto"/>
        <w:rPr>
          <w:bCs/>
          <w:color w:val="auto"/>
          <w:sz w:val="24"/>
          <w:szCs w:val="24"/>
          <w:highlight w:val="none"/>
        </w:rPr>
      </w:pPr>
      <w:r>
        <w:rPr>
          <w:bCs/>
          <w:color w:val="auto"/>
          <w:sz w:val="24"/>
          <w:szCs w:val="24"/>
          <w:highlight w:val="none"/>
        </w:rPr>
        <w:t>三、质疑事项具体内容</w:t>
      </w:r>
    </w:p>
    <w:p>
      <w:pPr>
        <w:snapToGrid w:val="0"/>
        <w:spacing w:line="360" w:lineRule="auto"/>
        <w:rPr>
          <w:color w:val="auto"/>
          <w:sz w:val="24"/>
          <w:szCs w:val="24"/>
          <w:highlight w:val="none"/>
          <w:u w:val="dotted"/>
        </w:rPr>
      </w:pPr>
      <w:r>
        <w:rPr>
          <w:color w:val="auto"/>
          <w:sz w:val="24"/>
          <w:szCs w:val="24"/>
          <w:highlight w:val="none"/>
        </w:rPr>
        <w:t>质疑事项1：</w:t>
      </w:r>
    </w:p>
    <w:p>
      <w:pPr>
        <w:snapToGrid w:val="0"/>
        <w:spacing w:line="360" w:lineRule="auto"/>
        <w:rPr>
          <w:color w:val="auto"/>
          <w:sz w:val="24"/>
          <w:szCs w:val="24"/>
          <w:highlight w:val="none"/>
          <w:u w:val="dotted"/>
        </w:rPr>
      </w:pPr>
      <w:r>
        <w:rPr>
          <w:color w:val="auto"/>
          <w:sz w:val="24"/>
          <w:szCs w:val="24"/>
          <w:highlight w:val="none"/>
        </w:rPr>
        <w:t>事实依据：</w:t>
      </w:r>
    </w:p>
    <w:p>
      <w:pPr>
        <w:snapToGrid w:val="0"/>
        <w:spacing w:line="360" w:lineRule="auto"/>
        <w:rPr>
          <w:color w:val="auto"/>
          <w:sz w:val="24"/>
          <w:szCs w:val="24"/>
          <w:highlight w:val="none"/>
        </w:rPr>
      </w:pPr>
    </w:p>
    <w:p>
      <w:pPr>
        <w:snapToGrid w:val="0"/>
        <w:spacing w:line="360" w:lineRule="auto"/>
        <w:rPr>
          <w:color w:val="auto"/>
          <w:sz w:val="24"/>
          <w:szCs w:val="24"/>
          <w:highlight w:val="none"/>
          <w:u w:val="dotted"/>
        </w:rPr>
      </w:pPr>
      <w:r>
        <w:rPr>
          <w:color w:val="auto"/>
          <w:sz w:val="24"/>
          <w:szCs w:val="24"/>
          <w:highlight w:val="none"/>
        </w:rPr>
        <w:t>法律依据：</w:t>
      </w:r>
    </w:p>
    <w:p>
      <w:pPr>
        <w:snapToGrid w:val="0"/>
        <w:spacing w:line="360" w:lineRule="auto"/>
        <w:rPr>
          <w:color w:val="auto"/>
          <w:sz w:val="24"/>
          <w:szCs w:val="24"/>
          <w:highlight w:val="none"/>
          <w:u w:val="dotted"/>
        </w:rPr>
      </w:pPr>
    </w:p>
    <w:p>
      <w:pPr>
        <w:snapToGrid w:val="0"/>
        <w:spacing w:line="360" w:lineRule="auto"/>
        <w:rPr>
          <w:color w:val="auto"/>
          <w:sz w:val="24"/>
          <w:szCs w:val="24"/>
          <w:highlight w:val="none"/>
          <w:u w:val="dotted"/>
        </w:rPr>
      </w:pPr>
      <w:r>
        <w:rPr>
          <w:color w:val="auto"/>
          <w:sz w:val="24"/>
          <w:szCs w:val="24"/>
          <w:highlight w:val="none"/>
        </w:rPr>
        <w:t>质疑事项2</w:t>
      </w:r>
    </w:p>
    <w:p>
      <w:pPr>
        <w:snapToGrid w:val="0"/>
        <w:spacing w:line="360" w:lineRule="auto"/>
        <w:rPr>
          <w:color w:val="auto"/>
          <w:sz w:val="24"/>
          <w:szCs w:val="24"/>
          <w:highlight w:val="none"/>
        </w:rPr>
      </w:pPr>
      <w:r>
        <w:rPr>
          <w:color w:val="auto"/>
          <w:sz w:val="24"/>
          <w:szCs w:val="24"/>
          <w:highlight w:val="none"/>
        </w:rPr>
        <w:t>……</w:t>
      </w:r>
    </w:p>
    <w:p>
      <w:pPr>
        <w:snapToGrid w:val="0"/>
        <w:spacing w:line="360" w:lineRule="auto"/>
        <w:rPr>
          <w:bCs/>
          <w:color w:val="auto"/>
          <w:sz w:val="24"/>
          <w:szCs w:val="24"/>
          <w:highlight w:val="none"/>
        </w:rPr>
      </w:pPr>
      <w:r>
        <w:rPr>
          <w:bCs/>
          <w:color w:val="auto"/>
          <w:sz w:val="24"/>
          <w:szCs w:val="24"/>
          <w:highlight w:val="none"/>
        </w:rPr>
        <w:t>四、与质疑事项相关的质疑请求</w:t>
      </w:r>
    </w:p>
    <w:p>
      <w:pPr>
        <w:snapToGrid w:val="0"/>
        <w:spacing w:line="360" w:lineRule="auto"/>
        <w:rPr>
          <w:color w:val="auto"/>
          <w:sz w:val="24"/>
          <w:szCs w:val="24"/>
          <w:highlight w:val="none"/>
          <w:u w:val="dotted"/>
        </w:rPr>
      </w:pPr>
      <w:r>
        <w:rPr>
          <w:color w:val="auto"/>
          <w:sz w:val="24"/>
          <w:szCs w:val="24"/>
          <w:highlight w:val="none"/>
        </w:rPr>
        <w:t>请求：</w:t>
      </w:r>
    </w:p>
    <w:p>
      <w:pPr>
        <w:spacing w:line="360" w:lineRule="auto"/>
        <w:rPr>
          <w:color w:val="auto"/>
          <w:sz w:val="24"/>
          <w:szCs w:val="24"/>
          <w:highlight w:val="none"/>
        </w:rPr>
      </w:pPr>
      <w:r>
        <w:rPr>
          <w:color w:val="auto"/>
          <w:sz w:val="24"/>
          <w:szCs w:val="24"/>
          <w:highlight w:val="none"/>
        </w:rPr>
        <w:t>签字(签章)：公章：</w:t>
      </w:r>
    </w:p>
    <w:p>
      <w:pPr>
        <w:spacing w:line="360" w:lineRule="auto"/>
        <w:rPr>
          <w:color w:val="auto"/>
          <w:sz w:val="24"/>
          <w:szCs w:val="24"/>
          <w:highlight w:val="none"/>
        </w:rPr>
      </w:pPr>
      <w:r>
        <w:rPr>
          <w:color w:val="auto"/>
          <w:sz w:val="24"/>
          <w:szCs w:val="24"/>
          <w:highlight w:val="none"/>
        </w:rPr>
        <w:t>日期：</w:t>
      </w:r>
    </w:p>
    <w:p>
      <w:pPr>
        <w:spacing w:line="360" w:lineRule="auto"/>
        <w:rPr>
          <w:b/>
          <w:color w:val="auto"/>
          <w:sz w:val="24"/>
          <w:szCs w:val="24"/>
          <w:highlight w:val="none"/>
        </w:rPr>
      </w:pPr>
    </w:p>
    <w:p>
      <w:pPr>
        <w:spacing w:line="360" w:lineRule="auto"/>
        <w:rPr>
          <w:b/>
          <w:color w:val="auto"/>
          <w:sz w:val="24"/>
          <w:szCs w:val="24"/>
          <w:highlight w:val="none"/>
        </w:rPr>
      </w:pPr>
    </w:p>
    <w:p>
      <w:pPr>
        <w:spacing w:line="360" w:lineRule="auto"/>
        <w:rPr>
          <w:b/>
          <w:color w:val="auto"/>
          <w:sz w:val="24"/>
          <w:szCs w:val="24"/>
          <w:highlight w:val="none"/>
        </w:rPr>
      </w:pPr>
      <w:r>
        <w:rPr>
          <w:b/>
          <w:color w:val="auto"/>
          <w:sz w:val="24"/>
          <w:szCs w:val="24"/>
          <w:highlight w:val="none"/>
        </w:rPr>
        <w:t>质疑函制作说明：</w:t>
      </w:r>
    </w:p>
    <w:p>
      <w:pPr>
        <w:widowControl/>
        <w:spacing w:line="360" w:lineRule="auto"/>
        <w:ind w:firstLine="480" w:firstLineChars="200"/>
        <w:jc w:val="left"/>
        <w:rPr>
          <w:color w:val="auto"/>
          <w:sz w:val="24"/>
          <w:szCs w:val="24"/>
          <w:highlight w:val="none"/>
        </w:rPr>
      </w:pPr>
      <w:r>
        <w:rPr>
          <w:color w:val="auto"/>
          <w:sz w:val="24"/>
          <w:szCs w:val="24"/>
          <w:highlight w:val="none"/>
        </w:rPr>
        <w:t>1.供应商提出质疑时，应提交质疑函和必要的证明材料。</w:t>
      </w:r>
    </w:p>
    <w:p>
      <w:pPr>
        <w:widowControl/>
        <w:spacing w:line="360" w:lineRule="auto"/>
        <w:ind w:firstLine="480" w:firstLineChars="200"/>
        <w:jc w:val="left"/>
        <w:rPr>
          <w:color w:val="auto"/>
          <w:sz w:val="24"/>
          <w:szCs w:val="24"/>
          <w:highlight w:val="none"/>
        </w:rPr>
      </w:pPr>
      <w:r>
        <w:rPr>
          <w:color w:val="auto"/>
          <w:sz w:val="24"/>
          <w:szCs w:val="24"/>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pPr>
        <w:widowControl/>
        <w:spacing w:line="360" w:lineRule="auto"/>
        <w:ind w:firstLine="480" w:firstLineChars="200"/>
        <w:jc w:val="left"/>
        <w:rPr>
          <w:color w:val="auto"/>
          <w:sz w:val="24"/>
          <w:szCs w:val="24"/>
          <w:highlight w:val="none"/>
        </w:rPr>
      </w:pPr>
      <w:r>
        <w:rPr>
          <w:color w:val="auto"/>
          <w:sz w:val="24"/>
          <w:szCs w:val="24"/>
          <w:highlight w:val="none"/>
        </w:rPr>
        <w:t>3.质疑供应商若对项目的某一分包进行质疑，质疑函中应列明具体分包号。</w:t>
      </w:r>
    </w:p>
    <w:p>
      <w:pPr>
        <w:widowControl/>
        <w:spacing w:line="360" w:lineRule="auto"/>
        <w:ind w:firstLine="480" w:firstLineChars="200"/>
        <w:jc w:val="left"/>
        <w:rPr>
          <w:color w:val="auto"/>
          <w:sz w:val="24"/>
          <w:szCs w:val="24"/>
          <w:highlight w:val="none"/>
        </w:rPr>
      </w:pPr>
      <w:r>
        <w:rPr>
          <w:color w:val="auto"/>
          <w:sz w:val="24"/>
          <w:szCs w:val="24"/>
          <w:highlight w:val="none"/>
        </w:rPr>
        <w:t>4.质疑函的质疑事项应具体、明确，并有必要的事实依据和法律依据。</w:t>
      </w:r>
    </w:p>
    <w:p>
      <w:pPr>
        <w:widowControl/>
        <w:spacing w:line="360" w:lineRule="auto"/>
        <w:ind w:firstLine="480" w:firstLineChars="200"/>
        <w:jc w:val="left"/>
        <w:rPr>
          <w:color w:val="auto"/>
          <w:sz w:val="24"/>
          <w:szCs w:val="24"/>
          <w:highlight w:val="none"/>
        </w:rPr>
      </w:pPr>
      <w:r>
        <w:rPr>
          <w:color w:val="auto"/>
          <w:sz w:val="24"/>
          <w:szCs w:val="24"/>
          <w:highlight w:val="none"/>
        </w:rPr>
        <w:t>5.质疑函的质疑请求应与质疑事项相关。</w:t>
      </w:r>
    </w:p>
    <w:p>
      <w:pPr>
        <w:widowControl/>
        <w:spacing w:line="360" w:lineRule="auto"/>
        <w:ind w:firstLine="480" w:firstLineChars="200"/>
        <w:jc w:val="left"/>
        <w:rPr>
          <w:color w:val="auto"/>
          <w:sz w:val="24"/>
          <w:szCs w:val="24"/>
          <w:highlight w:val="none"/>
        </w:rPr>
      </w:pPr>
      <w:r>
        <w:rPr>
          <w:color w:val="auto"/>
          <w:sz w:val="24"/>
          <w:szCs w:val="24"/>
          <w:highlight w:val="none"/>
        </w:rPr>
        <w:t>6.质疑供应商为自然人的，质疑函应由本人签字；质疑供应商为法人或者其他组织的，质疑函应由法定代表人、主要负责人，或者其授权代表签字或者盖章，并加盖公章。</w:t>
      </w:r>
    </w:p>
    <w:p>
      <w:pPr>
        <w:spacing w:line="360" w:lineRule="auto"/>
        <w:jc w:val="left"/>
        <w:rPr>
          <w:b/>
          <w:color w:val="auto"/>
          <w:spacing w:val="6"/>
          <w:sz w:val="24"/>
          <w:szCs w:val="24"/>
          <w:highlight w:val="none"/>
        </w:rPr>
      </w:pPr>
      <w:r>
        <w:rPr>
          <w:b/>
          <w:color w:val="auto"/>
          <w:spacing w:val="6"/>
          <w:sz w:val="24"/>
          <w:szCs w:val="24"/>
          <w:highlight w:val="none"/>
        </w:rPr>
        <w:br w:type="page"/>
      </w:r>
      <w:r>
        <w:rPr>
          <w:b/>
          <w:color w:val="auto"/>
          <w:spacing w:val="6"/>
          <w:sz w:val="24"/>
          <w:szCs w:val="24"/>
          <w:highlight w:val="none"/>
        </w:rPr>
        <w:t>附件</w:t>
      </w:r>
      <w:r>
        <w:rPr>
          <w:rFonts w:hint="eastAsia"/>
          <w:b/>
          <w:color w:val="auto"/>
          <w:spacing w:val="6"/>
          <w:sz w:val="24"/>
          <w:szCs w:val="24"/>
          <w:highlight w:val="none"/>
        </w:rPr>
        <w:t>2</w:t>
      </w:r>
      <w:r>
        <w:rPr>
          <w:b/>
          <w:color w:val="auto"/>
          <w:spacing w:val="6"/>
          <w:sz w:val="24"/>
          <w:szCs w:val="24"/>
          <w:highlight w:val="none"/>
        </w:rPr>
        <w:t>：投诉书范本及制作说明</w:t>
      </w:r>
    </w:p>
    <w:p>
      <w:pPr>
        <w:spacing w:line="360" w:lineRule="auto"/>
        <w:jc w:val="center"/>
        <w:rPr>
          <w:b/>
          <w:color w:val="auto"/>
          <w:sz w:val="24"/>
          <w:szCs w:val="24"/>
          <w:highlight w:val="none"/>
        </w:rPr>
      </w:pPr>
    </w:p>
    <w:p>
      <w:pPr>
        <w:spacing w:line="360" w:lineRule="auto"/>
        <w:jc w:val="center"/>
        <w:rPr>
          <w:b/>
          <w:color w:val="auto"/>
          <w:spacing w:val="6"/>
          <w:sz w:val="24"/>
          <w:szCs w:val="24"/>
          <w:highlight w:val="none"/>
        </w:rPr>
      </w:pPr>
      <w:r>
        <w:rPr>
          <w:b/>
          <w:color w:val="auto"/>
          <w:spacing w:val="6"/>
          <w:sz w:val="24"/>
          <w:szCs w:val="24"/>
          <w:highlight w:val="none"/>
        </w:rPr>
        <w:t>投诉书范本</w:t>
      </w:r>
    </w:p>
    <w:p>
      <w:pPr>
        <w:spacing w:line="360" w:lineRule="auto"/>
        <w:rPr>
          <w:color w:val="auto"/>
          <w:sz w:val="24"/>
          <w:szCs w:val="24"/>
          <w:highlight w:val="none"/>
        </w:rPr>
      </w:pPr>
      <w:r>
        <w:rPr>
          <w:color w:val="auto"/>
          <w:sz w:val="24"/>
          <w:szCs w:val="24"/>
          <w:highlight w:val="none"/>
        </w:rPr>
        <w:t>一、投诉相关主体基本情况</w:t>
      </w:r>
    </w:p>
    <w:p>
      <w:pPr>
        <w:spacing w:line="360" w:lineRule="auto"/>
        <w:rPr>
          <w:color w:val="auto"/>
          <w:sz w:val="24"/>
          <w:szCs w:val="24"/>
          <w:highlight w:val="none"/>
          <w:u w:val="dotted"/>
        </w:rPr>
      </w:pPr>
      <w:r>
        <w:rPr>
          <w:color w:val="auto"/>
          <w:sz w:val="24"/>
          <w:szCs w:val="24"/>
          <w:highlight w:val="none"/>
        </w:rPr>
        <w:t>投诉人：</w:t>
      </w:r>
    </w:p>
    <w:p>
      <w:pPr>
        <w:spacing w:line="360" w:lineRule="auto"/>
        <w:rPr>
          <w:color w:val="auto"/>
          <w:sz w:val="24"/>
          <w:szCs w:val="24"/>
          <w:highlight w:val="none"/>
          <w:u w:val="single"/>
        </w:rPr>
      </w:pPr>
      <w:r>
        <w:rPr>
          <w:color w:val="auto"/>
          <w:sz w:val="24"/>
          <w:szCs w:val="24"/>
          <w:highlight w:val="none"/>
        </w:rPr>
        <w:t>地址：邮编：</w:t>
      </w:r>
    </w:p>
    <w:p>
      <w:pPr>
        <w:tabs>
          <w:tab w:val="left" w:pos="6510"/>
        </w:tabs>
        <w:spacing w:line="360" w:lineRule="auto"/>
        <w:jc w:val="left"/>
        <w:rPr>
          <w:color w:val="auto"/>
          <w:sz w:val="24"/>
          <w:szCs w:val="24"/>
          <w:highlight w:val="none"/>
        </w:rPr>
      </w:pPr>
      <w:r>
        <w:rPr>
          <w:color w:val="auto"/>
          <w:sz w:val="24"/>
          <w:szCs w:val="24"/>
          <w:highlight w:val="none"/>
        </w:rPr>
        <w:t>法定代表人/主要负责人：</w:t>
      </w:r>
    </w:p>
    <w:p>
      <w:pPr>
        <w:tabs>
          <w:tab w:val="left" w:pos="6510"/>
        </w:tabs>
        <w:spacing w:line="360" w:lineRule="auto"/>
        <w:rPr>
          <w:color w:val="auto"/>
          <w:sz w:val="24"/>
          <w:szCs w:val="24"/>
          <w:highlight w:val="none"/>
          <w:u w:val="dotted"/>
        </w:rPr>
      </w:pPr>
      <w:r>
        <w:rPr>
          <w:color w:val="auto"/>
          <w:sz w:val="24"/>
          <w:szCs w:val="24"/>
          <w:highlight w:val="none"/>
        </w:rPr>
        <w:t>联系电话：</w:t>
      </w:r>
    </w:p>
    <w:p>
      <w:pPr>
        <w:spacing w:line="360" w:lineRule="auto"/>
        <w:rPr>
          <w:color w:val="auto"/>
          <w:sz w:val="24"/>
          <w:szCs w:val="24"/>
          <w:highlight w:val="none"/>
          <w:u w:val="dotted"/>
        </w:rPr>
      </w:pPr>
      <w:r>
        <w:rPr>
          <w:color w:val="auto"/>
          <w:sz w:val="24"/>
          <w:szCs w:val="24"/>
          <w:highlight w:val="none"/>
        </w:rPr>
        <w:t>授权代表：联系电话</w:t>
      </w:r>
      <w:r>
        <w:rPr>
          <w:color w:val="auto"/>
          <w:sz w:val="24"/>
          <w:szCs w:val="24"/>
          <w:highlight w:val="none"/>
          <w:u w:val="dotted"/>
        </w:rPr>
        <w:t>：</w:t>
      </w:r>
    </w:p>
    <w:p>
      <w:pPr>
        <w:spacing w:line="360" w:lineRule="auto"/>
        <w:rPr>
          <w:color w:val="auto"/>
          <w:sz w:val="24"/>
          <w:szCs w:val="24"/>
          <w:highlight w:val="none"/>
          <w:u w:val="dotted"/>
        </w:rPr>
      </w:pPr>
      <w:r>
        <w:rPr>
          <w:color w:val="auto"/>
          <w:sz w:val="24"/>
          <w:szCs w:val="24"/>
          <w:highlight w:val="none"/>
        </w:rPr>
        <w:t>地址：邮编：</w:t>
      </w:r>
    </w:p>
    <w:p>
      <w:pPr>
        <w:spacing w:line="360" w:lineRule="auto"/>
        <w:rPr>
          <w:color w:val="auto"/>
          <w:sz w:val="24"/>
          <w:szCs w:val="24"/>
          <w:highlight w:val="none"/>
          <w:u w:val="single"/>
        </w:rPr>
      </w:pPr>
      <w:r>
        <w:rPr>
          <w:color w:val="auto"/>
          <w:sz w:val="24"/>
          <w:szCs w:val="24"/>
          <w:highlight w:val="none"/>
        </w:rPr>
        <w:t>被投诉人1：</w:t>
      </w:r>
    </w:p>
    <w:p>
      <w:pPr>
        <w:spacing w:line="360" w:lineRule="auto"/>
        <w:rPr>
          <w:color w:val="auto"/>
          <w:sz w:val="24"/>
          <w:szCs w:val="24"/>
          <w:highlight w:val="none"/>
          <w:u w:val="single"/>
        </w:rPr>
      </w:pPr>
      <w:r>
        <w:rPr>
          <w:color w:val="auto"/>
          <w:sz w:val="24"/>
          <w:szCs w:val="24"/>
          <w:highlight w:val="none"/>
        </w:rPr>
        <w:t>地址：邮编：</w:t>
      </w:r>
    </w:p>
    <w:p>
      <w:pPr>
        <w:spacing w:line="360" w:lineRule="auto"/>
        <w:rPr>
          <w:color w:val="auto"/>
          <w:sz w:val="24"/>
          <w:szCs w:val="24"/>
          <w:highlight w:val="none"/>
          <w:u w:val="single"/>
        </w:rPr>
      </w:pPr>
      <w:r>
        <w:rPr>
          <w:color w:val="auto"/>
          <w:sz w:val="24"/>
          <w:szCs w:val="24"/>
          <w:highlight w:val="none"/>
        </w:rPr>
        <w:t>联系人：联系电话：</w:t>
      </w:r>
    </w:p>
    <w:p>
      <w:pPr>
        <w:spacing w:line="360" w:lineRule="auto"/>
        <w:rPr>
          <w:color w:val="auto"/>
          <w:sz w:val="24"/>
          <w:szCs w:val="24"/>
          <w:highlight w:val="none"/>
        </w:rPr>
      </w:pPr>
      <w:r>
        <w:rPr>
          <w:color w:val="auto"/>
          <w:sz w:val="24"/>
          <w:szCs w:val="24"/>
          <w:highlight w:val="none"/>
        </w:rPr>
        <w:t>被投诉人2</w:t>
      </w:r>
    </w:p>
    <w:p>
      <w:pPr>
        <w:spacing w:line="360" w:lineRule="auto"/>
        <w:rPr>
          <w:color w:val="auto"/>
          <w:sz w:val="24"/>
          <w:szCs w:val="24"/>
          <w:highlight w:val="none"/>
          <w:u w:val="dotted"/>
        </w:rPr>
      </w:pPr>
      <w:r>
        <w:rPr>
          <w:color w:val="auto"/>
          <w:sz w:val="24"/>
          <w:szCs w:val="24"/>
          <w:highlight w:val="none"/>
        </w:rPr>
        <w:t>……</w:t>
      </w:r>
    </w:p>
    <w:p>
      <w:pPr>
        <w:spacing w:line="360" w:lineRule="auto"/>
        <w:rPr>
          <w:color w:val="auto"/>
          <w:sz w:val="24"/>
          <w:szCs w:val="24"/>
          <w:highlight w:val="none"/>
          <w:u w:val="single"/>
        </w:rPr>
      </w:pPr>
      <w:r>
        <w:rPr>
          <w:color w:val="auto"/>
          <w:sz w:val="24"/>
          <w:szCs w:val="24"/>
          <w:highlight w:val="none"/>
        </w:rPr>
        <w:t>相关供应商：</w:t>
      </w:r>
    </w:p>
    <w:p>
      <w:pPr>
        <w:spacing w:line="360" w:lineRule="auto"/>
        <w:rPr>
          <w:color w:val="auto"/>
          <w:sz w:val="24"/>
          <w:szCs w:val="24"/>
          <w:highlight w:val="none"/>
          <w:u w:val="single"/>
        </w:rPr>
      </w:pPr>
      <w:r>
        <w:rPr>
          <w:color w:val="auto"/>
          <w:sz w:val="24"/>
          <w:szCs w:val="24"/>
          <w:highlight w:val="none"/>
        </w:rPr>
        <w:t>地址：邮编：</w:t>
      </w:r>
    </w:p>
    <w:p>
      <w:pPr>
        <w:spacing w:line="360" w:lineRule="auto"/>
        <w:rPr>
          <w:color w:val="auto"/>
          <w:sz w:val="24"/>
          <w:szCs w:val="24"/>
          <w:highlight w:val="none"/>
          <w:u w:val="single"/>
        </w:rPr>
      </w:pPr>
      <w:r>
        <w:rPr>
          <w:color w:val="auto"/>
          <w:sz w:val="24"/>
          <w:szCs w:val="24"/>
          <w:highlight w:val="none"/>
        </w:rPr>
        <w:t>联系人：联系电话：</w:t>
      </w:r>
    </w:p>
    <w:p>
      <w:pPr>
        <w:spacing w:line="360" w:lineRule="auto"/>
        <w:rPr>
          <w:color w:val="auto"/>
          <w:sz w:val="24"/>
          <w:szCs w:val="24"/>
          <w:highlight w:val="none"/>
        </w:rPr>
      </w:pPr>
      <w:r>
        <w:rPr>
          <w:color w:val="auto"/>
          <w:sz w:val="24"/>
          <w:szCs w:val="24"/>
          <w:highlight w:val="none"/>
        </w:rPr>
        <w:t>二、投诉项目基本情况</w:t>
      </w:r>
    </w:p>
    <w:p>
      <w:pPr>
        <w:spacing w:line="360" w:lineRule="auto"/>
        <w:rPr>
          <w:color w:val="auto"/>
          <w:sz w:val="24"/>
          <w:szCs w:val="24"/>
          <w:highlight w:val="none"/>
          <w:u w:val="dotted"/>
        </w:rPr>
      </w:pPr>
      <w:r>
        <w:rPr>
          <w:color w:val="auto"/>
          <w:sz w:val="24"/>
          <w:szCs w:val="24"/>
          <w:highlight w:val="none"/>
        </w:rPr>
        <w:t>采购</w:t>
      </w:r>
      <w:r>
        <w:rPr>
          <w:color w:val="auto"/>
          <w:sz w:val="24"/>
          <w:szCs w:val="24"/>
          <w:highlight w:val="none"/>
          <w:lang w:val="zh-CN"/>
        </w:rPr>
        <w:t>项目名称</w:t>
      </w:r>
      <w:r>
        <w:rPr>
          <w:color w:val="auto"/>
          <w:sz w:val="24"/>
          <w:szCs w:val="24"/>
          <w:highlight w:val="none"/>
        </w:rPr>
        <w:t>：</w:t>
      </w:r>
    </w:p>
    <w:p>
      <w:pPr>
        <w:spacing w:line="360" w:lineRule="auto"/>
        <w:rPr>
          <w:color w:val="auto"/>
          <w:sz w:val="24"/>
          <w:szCs w:val="24"/>
          <w:highlight w:val="none"/>
          <w:u w:val="single"/>
        </w:rPr>
      </w:pPr>
      <w:r>
        <w:rPr>
          <w:color w:val="auto"/>
          <w:sz w:val="24"/>
          <w:szCs w:val="24"/>
          <w:highlight w:val="none"/>
        </w:rPr>
        <w:t>采购项目编号：包号：</w:t>
      </w:r>
    </w:p>
    <w:p>
      <w:pPr>
        <w:spacing w:line="360" w:lineRule="auto"/>
        <w:rPr>
          <w:color w:val="auto"/>
          <w:sz w:val="24"/>
          <w:szCs w:val="24"/>
          <w:highlight w:val="none"/>
        </w:rPr>
      </w:pPr>
      <w:r>
        <w:rPr>
          <w:color w:val="auto"/>
          <w:sz w:val="24"/>
          <w:szCs w:val="24"/>
          <w:highlight w:val="none"/>
        </w:rPr>
        <w:t>采购人名称：</w:t>
      </w:r>
    </w:p>
    <w:p>
      <w:pPr>
        <w:spacing w:line="360" w:lineRule="auto"/>
        <w:rPr>
          <w:color w:val="auto"/>
          <w:sz w:val="24"/>
          <w:szCs w:val="24"/>
          <w:highlight w:val="none"/>
          <w:u w:val="single"/>
        </w:rPr>
      </w:pPr>
      <w:r>
        <w:rPr>
          <w:color w:val="auto"/>
          <w:sz w:val="24"/>
          <w:szCs w:val="24"/>
          <w:highlight w:val="none"/>
        </w:rPr>
        <w:t>代理机构名称：</w:t>
      </w:r>
    </w:p>
    <w:p>
      <w:pPr>
        <w:spacing w:line="360" w:lineRule="auto"/>
        <w:rPr>
          <w:color w:val="auto"/>
          <w:sz w:val="24"/>
          <w:szCs w:val="24"/>
          <w:highlight w:val="none"/>
          <w:u w:val="dotted"/>
        </w:rPr>
      </w:pPr>
      <w:r>
        <w:rPr>
          <w:color w:val="auto"/>
          <w:sz w:val="24"/>
          <w:szCs w:val="24"/>
          <w:highlight w:val="none"/>
        </w:rPr>
        <w:t>采购文件公告：</w:t>
      </w:r>
      <w:r>
        <w:rPr>
          <w:color w:val="auto"/>
          <w:sz w:val="24"/>
          <w:szCs w:val="24"/>
          <w:highlight w:val="none"/>
          <w:u w:val="dotted"/>
        </w:rPr>
        <w:t>是/否</w:t>
      </w:r>
      <w:r>
        <w:rPr>
          <w:color w:val="auto"/>
          <w:sz w:val="24"/>
          <w:szCs w:val="24"/>
          <w:highlight w:val="none"/>
        </w:rPr>
        <w:t>公告期限：</w:t>
      </w:r>
    </w:p>
    <w:p>
      <w:pPr>
        <w:spacing w:line="360" w:lineRule="auto"/>
        <w:rPr>
          <w:color w:val="auto"/>
          <w:sz w:val="24"/>
          <w:szCs w:val="24"/>
          <w:highlight w:val="none"/>
          <w:u w:val="single"/>
        </w:rPr>
      </w:pPr>
      <w:r>
        <w:rPr>
          <w:color w:val="auto"/>
          <w:sz w:val="24"/>
          <w:szCs w:val="24"/>
          <w:highlight w:val="none"/>
        </w:rPr>
        <w:t>采购结果公告：</w:t>
      </w:r>
      <w:r>
        <w:rPr>
          <w:color w:val="auto"/>
          <w:sz w:val="24"/>
          <w:szCs w:val="24"/>
          <w:highlight w:val="none"/>
          <w:u w:val="dotted"/>
        </w:rPr>
        <w:t>是/否</w:t>
      </w:r>
      <w:r>
        <w:rPr>
          <w:color w:val="auto"/>
          <w:sz w:val="24"/>
          <w:szCs w:val="24"/>
          <w:highlight w:val="none"/>
        </w:rPr>
        <w:t>公告期限：</w:t>
      </w:r>
    </w:p>
    <w:p>
      <w:pPr>
        <w:spacing w:line="360" w:lineRule="auto"/>
        <w:rPr>
          <w:color w:val="auto"/>
          <w:sz w:val="24"/>
          <w:szCs w:val="24"/>
          <w:highlight w:val="none"/>
        </w:rPr>
      </w:pPr>
      <w:r>
        <w:rPr>
          <w:color w:val="auto"/>
          <w:sz w:val="24"/>
          <w:szCs w:val="24"/>
          <w:highlight w:val="none"/>
        </w:rPr>
        <w:t>三、质疑基本情况</w:t>
      </w:r>
    </w:p>
    <w:p>
      <w:pPr>
        <w:spacing w:line="360" w:lineRule="auto"/>
        <w:ind w:firstLine="480" w:firstLineChars="200"/>
        <w:rPr>
          <w:color w:val="auto"/>
          <w:sz w:val="24"/>
          <w:szCs w:val="24"/>
          <w:highlight w:val="none"/>
          <w:u w:val="dotted"/>
        </w:rPr>
      </w:pPr>
      <w:r>
        <w:rPr>
          <w:color w:val="auto"/>
          <w:sz w:val="24"/>
          <w:szCs w:val="24"/>
          <w:highlight w:val="none"/>
        </w:rPr>
        <w:t>投诉人于年月日</w:t>
      </w:r>
      <w:r>
        <w:rPr>
          <w:rFonts w:hint="eastAsia"/>
          <w:color w:val="auto"/>
          <w:sz w:val="24"/>
          <w:szCs w:val="24"/>
          <w:highlight w:val="none"/>
        </w:rPr>
        <w:t>，</w:t>
      </w:r>
      <w:r>
        <w:rPr>
          <w:color w:val="auto"/>
          <w:sz w:val="24"/>
          <w:szCs w:val="24"/>
          <w:highlight w:val="none"/>
        </w:rPr>
        <w:t>向提出质疑，质疑事项为：</w:t>
      </w:r>
    </w:p>
    <w:p>
      <w:pPr>
        <w:spacing w:line="360" w:lineRule="auto"/>
        <w:rPr>
          <w:color w:val="auto"/>
          <w:sz w:val="24"/>
          <w:szCs w:val="24"/>
          <w:highlight w:val="none"/>
          <w:u w:val="dotted"/>
        </w:rPr>
      </w:pPr>
    </w:p>
    <w:p>
      <w:pPr>
        <w:spacing w:line="360" w:lineRule="auto"/>
        <w:ind w:firstLine="360" w:firstLineChars="150"/>
        <w:rPr>
          <w:color w:val="auto"/>
          <w:sz w:val="24"/>
          <w:szCs w:val="24"/>
          <w:highlight w:val="none"/>
        </w:rPr>
      </w:pPr>
      <w:r>
        <w:rPr>
          <w:color w:val="auto"/>
          <w:sz w:val="24"/>
          <w:szCs w:val="24"/>
          <w:highlight w:val="none"/>
          <w:u w:val="dotted"/>
        </w:rPr>
        <w:t>采购人/代理机构</w:t>
      </w:r>
      <w:r>
        <w:rPr>
          <w:color w:val="auto"/>
          <w:sz w:val="24"/>
          <w:szCs w:val="24"/>
          <w:highlight w:val="none"/>
        </w:rPr>
        <w:t>于年月日</w:t>
      </w:r>
      <w:r>
        <w:rPr>
          <w:rFonts w:hint="eastAsia"/>
          <w:color w:val="auto"/>
          <w:sz w:val="24"/>
          <w:szCs w:val="24"/>
          <w:highlight w:val="none"/>
        </w:rPr>
        <w:t>，</w:t>
      </w:r>
      <w:r>
        <w:rPr>
          <w:color w:val="auto"/>
          <w:sz w:val="24"/>
          <w:szCs w:val="24"/>
          <w:highlight w:val="none"/>
        </w:rPr>
        <w:t>就质疑事项作出了答复/没有在法定期限内作出答复。</w:t>
      </w:r>
    </w:p>
    <w:p>
      <w:pPr>
        <w:spacing w:line="360" w:lineRule="auto"/>
        <w:rPr>
          <w:color w:val="auto"/>
          <w:sz w:val="24"/>
          <w:szCs w:val="24"/>
          <w:highlight w:val="none"/>
        </w:rPr>
      </w:pPr>
      <w:r>
        <w:rPr>
          <w:color w:val="auto"/>
          <w:sz w:val="24"/>
          <w:szCs w:val="24"/>
          <w:highlight w:val="none"/>
        </w:rPr>
        <w:t>四、投诉事项具体内容</w:t>
      </w:r>
    </w:p>
    <w:p>
      <w:pPr>
        <w:spacing w:line="360" w:lineRule="auto"/>
        <w:rPr>
          <w:color w:val="auto"/>
          <w:sz w:val="24"/>
          <w:szCs w:val="24"/>
          <w:highlight w:val="none"/>
          <w:u w:val="single"/>
        </w:rPr>
      </w:pPr>
      <w:r>
        <w:rPr>
          <w:color w:val="auto"/>
          <w:sz w:val="24"/>
          <w:szCs w:val="24"/>
          <w:highlight w:val="none"/>
        </w:rPr>
        <w:t>投诉事项 1：</w:t>
      </w:r>
    </w:p>
    <w:p>
      <w:pPr>
        <w:spacing w:line="360" w:lineRule="auto"/>
        <w:rPr>
          <w:color w:val="auto"/>
          <w:sz w:val="24"/>
          <w:szCs w:val="24"/>
          <w:highlight w:val="none"/>
        </w:rPr>
      </w:pPr>
      <w:r>
        <w:rPr>
          <w:color w:val="auto"/>
          <w:sz w:val="24"/>
          <w:szCs w:val="24"/>
          <w:highlight w:val="none"/>
        </w:rPr>
        <w:t>事实依据：</w:t>
      </w:r>
    </w:p>
    <w:p>
      <w:pPr>
        <w:spacing w:line="360" w:lineRule="auto"/>
        <w:rPr>
          <w:color w:val="auto"/>
          <w:sz w:val="24"/>
          <w:szCs w:val="24"/>
          <w:highlight w:val="none"/>
          <w:u w:val="dotted"/>
        </w:rPr>
      </w:pPr>
    </w:p>
    <w:p>
      <w:pPr>
        <w:spacing w:line="360" w:lineRule="auto"/>
        <w:rPr>
          <w:color w:val="auto"/>
          <w:sz w:val="24"/>
          <w:szCs w:val="24"/>
          <w:highlight w:val="none"/>
          <w:u w:val="single"/>
        </w:rPr>
      </w:pPr>
      <w:r>
        <w:rPr>
          <w:color w:val="auto"/>
          <w:sz w:val="24"/>
          <w:szCs w:val="24"/>
          <w:highlight w:val="none"/>
        </w:rPr>
        <w:t>法律依据：</w:t>
      </w:r>
    </w:p>
    <w:p>
      <w:pPr>
        <w:spacing w:line="360" w:lineRule="auto"/>
        <w:rPr>
          <w:color w:val="auto"/>
          <w:sz w:val="24"/>
          <w:szCs w:val="24"/>
          <w:highlight w:val="none"/>
          <w:u w:val="dotted"/>
        </w:rPr>
      </w:pPr>
    </w:p>
    <w:p>
      <w:pPr>
        <w:spacing w:line="360" w:lineRule="auto"/>
        <w:rPr>
          <w:color w:val="auto"/>
          <w:sz w:val="24"/>
          <w:szCs w:val="24"/>
          <w:highlight w:val="none"/>
        </w:rPr>
      </w:pPr>
      <w:r>
        <w:rPr>
          <w:color w:val="auto"/>
          <w:sz w:val="24"/>
          <w:szCs w:val="24"/>
          <w:highlight w:val="none"/>
        </w:rPr>
        <w:t>投诉事项2</w:t>
      </w:r>
    </w:p>
    <w:p>
      <w:pPr>
        <w:spacing w:line="360" w:lineRule="auto"/>
        <w:rPr>
          <w:color w:val="auto"/>
          <w:sz w:val="24"/>
          <w:szCs w:val="24"/>
          <w:highlight w:val="none"/>
          <w:u w:val="dotted"/>
        </w:rPr>
      </w:pPr>
      <w:r>
        <w:rPr>
          <w:color w:val="auto"/>
          <w:sz w:val="24"/>
          <w:szCs w:val="24"/>
          <w:highlight w:val="none"/>
        </w:rPr>
        <w:t>……</w:t>
      </w:r>
    </w:p>
    <w:p>
      <w:pPr>
        <w:spacing w:line="360" w:lineRule="auto"/>
        <w:rPr>
          <w:color w:val="auto"/>
          <w:sz w:val="24"/>
          <w:szCs w:val="24"/>
          <w:highlight w:val="none"/>
        </w:rPr>
      </w:pPr>
      <w:r>
        <w:rPr>
          <w:color w:val="auto"/>
          <w:sz w:val="24"/>
          <w:szCs w:val="24"/>
          <w:highlight w:val="none"/>
        </w:rPr>
        <w:t>五、与投诉事项相关的投诉请求</w:t>
      </w:r>
    </w:p>
    <w:p>
      <w:pPr>
        <w:spacing w:line="360" w:lineRule="auto"/>
        <w:rPr>
          <w:color w:val="auto"/>
          <w:sz w:val="24"/>
          <w:szCs w:val="24"/>
          <w:highlight w:val="none"/>
        </w:rPr>
      </w:pPr>
      <w:r>
        <w:rPr>
          <w:color w:val="auto"/>
          <w:sz w:val="24"/>
          <w:szCs w:val="24"/>
          <w:highlight w:val="none"/>
        </w:rPr>
        <w:t>请求：</w:t>
      </w:r>
    </w:p>
    <w:p>
      <w:pPr>
        <w:spacing w:line="360" w:lineRule="auto"/>
        <w:rPr>
          <w:color w:val="auto"/>
          <w:sz w:val="24"/>
          <w:szCs w:val="24"/>
          <w:highlight w:val="none"/>
          <w:u w:val="single"/>
        </w:rPr>
      </w:pPr>
    </w:p>
    <w:p>
      <w:pPr>
        <w:spacing w:line="360" w:lineRule="auto"/>
        <w:rPr>
          <w:color w:val="auto"/>
          <w:sz w:val="24"/>
          <w:szCs w:val="24"/>
          <w:highlight w:val="none"/>
        </w:rPr>
      </w:pPr>
      <w:r>
        <w:rPr>
          <w:color w:val="auto"/>
          <w:sz w:val="24"/>
          <w:szCs w:val="24"/>
          <w:highlight w:val="none"/>
        </w:rPr>
        <w:t>签字(签章)：公章：</w:t>
      </w:r>
    </w:p>
    <w:p>
      <w:pPr>
        <w:spacing w:line="360" w:lineRule="auto"/>
        <w:rPr>
          <w:color w:val="auto"/>
          <w:sz w:val="24"/>
          <w:szCs w:val="24"/>
          <w:highlight w:val="none"/>
        </w:rPr>
      </w:pPr>
      <w:r>
        <w:rPr>
          <w:color w:val="auto"/>
          <w:sz w:val="24"/>
          <w:szCs w:val="24"/>
          <w:highlight w:val="none"/>
        </w:rPr>
        <w:t>日期：</w:t>
      </w:r>
    </w:p>
    <w:p>
      <w:pPr>
        <w:spacing w:line="360" w:lineRule="auto"/>
        <w:rPr>
          <w:b/>
          <w:color w:val="auto"/>
          <w:sz w:val="24"/>
          <w:szCs w:val="24"/>
          <w:highlight w:val="none"/>
        </w:rPr>
      </w:pPr>
    </w:p>
    <w:p>
      <w:pPr>
        <w:spacing w:line="360" w:lineRule="auto"/>
        <w:rPr>
          <w:b/>
          <w:color w:val="auto"/>
          <w:sz w:val="24"/>
          <w:szCs w:val="24"/>
          <w:highlight w:val="none"/>
        </w:rPr>
      </w:pPr>
    </w:p>
    <w:p>
      <w:pPr>
        <w:spacing w:line="360" w:lineRule="auto"/>
        <w:rPr>
          <w:b/>
          <w:color w:val="auto"/>
          <w:sz w:val="24"/>
          <w:szCs w:val="24"/>
          <w:highlight w:val="none"/>
        </w:rPr>
      </w:pPr>
      <w:r>
        <w:rPr>
          <w:b/>
          <w:color w:val="auto"/>
          <w:sz w:val="24"/>
          <w:szCs w:val="24"/>
          <w:highlight w:val="none"/>
        </w:rPr>
        <w:t>投诉书制作说明：</w:t>
      </w:r>
    </w:p>
    <w:p>
      <w:pPr>
        <w:widowControl/>
        <w:spacing w:line="360" w:lineRule="auto"/>
        <w:ind w:firstLine="480" w:firstLineChars="200"/>
        <w:rPr>
          <w:color w:val="auto"/>
          <w:sz w:val="24"/>
          <w:szCs w:val="24"/>
          <w:highlight w:val="none"/>
        </w:rPr>
      </w:pPr>
      <w:r>
        <w:rPr>
          <w:color w:val="auto"/>
          <w:sz w:val="24"/>
          <w:szCs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color w:val="auto"/>
          <w:sz w:val="24"/>
          <w:szCs w:val="24"/>
          <w:highlight w:val="none"/>
        </w:rPr>
      </w:pPr>
      <w:r>
        <w:rPr>
          <w:color w:val="auto"/>
          <w:sz w:val="24"/>
          <w:szCs w:val="24"/>
          <w:highlight w:val="none"/>
        </w:rPr>
        <w:t>2.投诉人若委托代理人进行投诉的，投诉书应按照要求列明“授权代表”的有关内容，并在附件中提交由投诉人签署的授权委托书。授权委托书应当载明代理人的姓名或者名称、代理事项、具体权限、期限和相关事项。</w:t>
      </w:r>
    </w:p>
    <w:p>
      <w:pPr>
        <w:widowControl/>
        <w:spacing w:line="360" w:lineRule="auto"/>
        <w:ind w:firstLine="480" w:firstLineChars="200"/>
        <w:jc w:val="left"/>
        <w:rPr>
          <w:color w:val="auto"/>
          <w:sz w:val="24"/>
          <w:szCs w:val="24"/>
          <w:highlight w:val="none"/>
        </w:rPr>
      </w:pPr>
      <w:r>
        <w:rPr>
          <w:color w:val="auto"/>
          <w:sz w:val="24"/>
          <w:szCs w:val="24"/>
          <w:highlight w:val="none"/>
        </w:rPr>
        <w:t>3.投诉人若对项目的某一分包进行投诉，投诉书应列明具体分包号。</w:t>
      </w:r>
    </w:p>
    <w:p>
      <w:pPr>
        <w:widowControl/>
        <w:spacing w:line="360" w:lineRule="auto"/>
        <w:ind w:firstLine="480" w:firstLineChars="200"/>
        <w:jc w:val="left"/>
        <w:rPr>
          <w:color w:val="auto"/>
          <w:sz w:val="24"/>
          <w:szCs w:val="24"/>
          <w:highlight w:val="none"/>
        </w:rPr>
      </w:pPr>
      <w:r>
        <w:rPr>
          <w:color w:val="auto"/>
          <w:sz w:val="24"/>
          <w:szCs w:val="24"/>
          <w:highlight w:val="none"/>
        </w:rPr>
        <w:t>4.投诉书应简要列明质疑事项，质疑函、质疑答复等作为附件材料提供。</w:t>
      </w:r>
    </w:p>
    <w:p>
      <w:pPr>
        <w:widowControl/>
        <w:spacing w:line="360" w:lineRule="auto"/>
        <w:ind w:firstLine="480" w:firstLineChars="200"/>
        <w:jc w:val="left"/>
        <w:rPr>
          <w:color w:val="auto"/>
          <w:sz w:val="24"/>
          <w:szCs w:val="24"/>
          <w:highlight w:val="none"/>
        </w:rPr>
      </w:pPr>
      <w:r>
        <w:rPr>
          <w:color w:val="auto"/>
          <w:sz w:val="24"/>
          <w:szCs w:val="24"/>
          <w:highlight w:val="none"/>
        </w:rPr>
        <w:t>5.投诉书的投诉事项应具体、明确，并有必要的事实依据和法律依据。</w:t>
      </w:r>
    </w:p>
    <w:p>
      <w:pPr>
        <w:widowControl/>
        <w:spacing w:line="360" w:lineRule="auto"/>
        <w:ind w:firstLine="480" w:firstLineChars="200"/>
        <w:jc w:val="left"/>
        <w:rPr>
          <w:color w:val="auto"/>
          <w:sz w:val="24"/>
          <w:szCs w:val="24"/>
          <w:highlight w:val="none"/>
        </w:rPr>
      </w:pPr>
      <w:r>
        <w:rPr>
          <w:color w:val="auto"/>
          <w:sz w:val="24"/>
          <w:szCs w:val="24"/>
          <w:highlight w:val="none"/>
        </w:rPr>
        <w:t>6.投诉书的投诉请求应与投诉事项相关。</w:t>
      </w:r>
    </w:p>
    <w:p>
      <w:pPr>
        <w:widowControl/>
        <w:spacing w:line="360" w:lineRule="auto"/>
        <w:ind w:firstLine="480" w:firstLineChars="200"/>
        <w:jc w:val="left"/>
        <w:rPr>
          <w:color w:val="auto"/>
          <w:sz w:val="24"/>
          <w:szCs w:val="24"/>
          <w:highlight w:val="none"/>
        </w:rPr>
      </w:pPr>
      <w:r>
        <w:rPr>
          <w:color w:val="auto"/>
          <w:sz w:val="24"/>
          <w:szCs w:val="24"/>
          <w:highlight w:val="none"/>
        </w:rPr>
        <w:t>7.投诉人为自然人的，投诉书应当由本人签字；投诉人为法人或者其他组织的，投诉书应当由法定代表人、主要负责人，或者其授权代表签字或者盖章，并加盖公章。</w:t>
      </w:r>
    </w:p>
    <w:p>
      <w:pPr>
        <w:pStyle w:val="84"/>
        <w:ind w:left="0" w:leftChars="0" w:firstLine="422" w:firstLineChars="200"/>
        <w:rPr>
          <w:rFonts w:ascii="Times New Roman" w:hAnsi="Times New Roman"/>
          <w:color w:val="auto"/>
          <w:highlight w:val="none"/>
        </w:rPr>
      </w:pPr>
    </w:p>
    <w:p>
      <w:pPr>
        <w:pStyle w:val="78"/>
        <w:snapToGrid w:val="0"/>
        <w:spacing w:line="360" w:lineRule="auto"/>
        <w:ind w:firstLine="480"/>
        <w:rPr>
          <w:rFonts w:ascii="Times New Roman" w:hAnsi="Times New Roman"/>
          <w:color w:val="auto"/>
          <w:sz w:val="24"/>
          <w:highlight w:val="none"/>
        </w:rPr>
      </w:pPr>
    </w:p>
    <w:p>
      <w:pPr>
        <w:pStyle w:val="78"/>
        <w:snapToGrid w:val="0"/>
        <w:spacing w:line="360" w:lineRule="auto"/>
        <w:ind w:firstLine="480"/>
        <w:rPr>
          <w:rFonts w:ascii="Times New Roman" w:hAnsi="Times New Roman"/>
          <w:color w:val="auto"/>
          <w:sz w:val="24"/>
          <w:highlight w:val="none"/>
        </w:rPr>
      </w:pPr>
    </w:p>
    <w:sectPr>
      <w:headerReference r:id="rId12" w:type="default"/>
      <w:footerReference r:id="rId13" w:type="default"/>
      <w:pgSz w:w="11906" w:h="16838"/>
      <w:pgMar w:top="1440" w:right="1474" w:bottom="1440" w:left="1474" w:header="851" w:footer="851"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ˎ̥">
    <w:altName w:val="Segoe Print"/>
    <w:panose1 w:val="00000000000000000000"/>
    <w:charset w:val="00"/>
    <w:family w:val="roman"/>
    <w:pitch w:val="default"/>
    <w:sig w:usb0="00000000" w:usb1="00000000" w:usb2="00000000" w:usb3="00000000" w:csb0="00000000" w:csb1="00000000"/>
  </w:font>
  <w:font w:name="Century Gothic">
    <w:panose1 w:val="020B0502020202020204"/>
    <w:charset w:val="00"/>
    <w:family w:val="swiss"/>
    <w:pitch w:val="default"/>
    <w:sig w:usb0="00000287" w:usb1="00000000" w:usb2="00000000" w:usb3="00000000" w:csb0="2000009F" w:csb1="DFD70000"/>
  </w:font>
  <w:font w:name="楷体_GB2312">
    <w:altName w:val="楷体"/>
    <w:panose1 w:val="00000000000000000000"/>
    <w:charset w:val="86"/>
    <w:family w:val="modern"/>
    <w:pitch w:val="default"/>
    <w:sig w:usb0="00000000" w:usb1="00000000" w:usb2="00000010" w:usb3="00000000" w:csb0="00040000" w:csb1="00000000"/>
  </w:font>
  <w:font w:name="_x000B__x000C_">
    <w:altName w:val="微软雅黑"/>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MS Mincho">
    <w:altName w:val="Yu Gothic UI"/>
    <w:panose1 w:val="02020609040205080304"/>
    <w:charset w:val="80"/>
    <w:family w:val="modern"/>
    <w:pitch w:val="default"/>
    <w:sig w:usb0="00000000" w:usb1="00000000" w:usb2="00000012" w:usb3="00000000" w:csb0="0002009F" w:csb1="00000000"/>
  </w:font>
  <w:font w:name="微软雅黑">
    <w:panose1 w:val="020B0503020204020204"/>
    <w:charset w:val="86"/>
    <w:family w:val="swiss"/>
    <w:pitch w:val="default"/>
    <w:sig w:usb0="80000287" w:usb1="2ACF3C50" w:usb2="00000016" w:usb3="00000000" w:csb0="0004001F" w:csb1="00000000"/>
  </w:font>
  <w:font w:name="Batang">
    <w:altName w:val="Malgun Gothic"/>
    <w:panose1 w:val="02030600000101010101"/>
    <w:charset w:val="81"/>
    <w:family w:val="roman"/>
    <w:pitch w:val="default"/>
    <w:sig w:usb0="00000000" w:usb1="00000000" w:usb2="00000030" w:usb3="00000000" w:csb0="0008009F" w:csb1="00000000"/>
  </w:font>
  <w:font w:name="Wingdings 2">
    <w:panose1 w:val="05020102010507070707"/>
    <w:charset w:val="02"/>
    <w:family w:val="roman"/>
    <w:pitch w:val="default"/>
    <w:sig w:usb0="00000000" w:usb1="00000000" w:usb2="00000000" w:usb3="00000000" w:csb0="80000000" w:csb1="00000000"/>
  </w:font>
  <w:font w:name="??">
    <w:altName w:val="微软雅黑"/>
    <w:panose1 w:val="00000000000000000000"/>
    <w:charset w:val="00"/>
    <w:family w:val="roman"/>
    <w:pitch w:val="default"/>
    <w:sig w:usb0="00000000" w:usb1="00000000" w:usb2="00000000" w:usb3="00000000" w:csb0="00040001"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360" w:lineRule="auto"/>
      <w:ind w:firstLine="480" w:firstLineChars="200"/>
      <w:rPr>
        <w:rFonts w:ascii="宋体" w:hAnsi="宋体"/>
        <w:sz w:val="24"/>
      </w:rPr>
    </w:pPr>
  </w:p>
  <w:p>
    <w:pPr>
      <w:rPr>
        <w:rFonts w:ascii="宋体" w:hAnsi="宋体"/>
        <w:sz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jc w:val="center"/>
      <w:rPr>
        <w:rFonts w:hint="eastAsia"/>
      </w:rPr>
    </w:pPr>
    <w:r>
      <w:rPr>
        <w:rFonts w:hint="eastAsia"/>
      </w:rPr>
      <w:fldChar w:fldCharType="begin"/>
    </w:r>
    <w:r>
      <w:rPr>
        <w:rFonts w:hint="eastAsia"/>
      </w:rPr>
      <w:instrText xml:space="preserve"> PAGE  \* MERGEFORMAT </w:instrText>
    </w:r>
    <w:r>
      <w:rPr>
        <w:rFonts w:hint="eastAsia"/>
      </w:rPr>
      <w:fldChar w:fldCharType="separate"/>
    </w:r>
    <w:r>
      <w:t>36</w:t>
    </w:r>
    <w:r>
      <w:rPr>
        <w:rFonts w:hint="eastAsia"/>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r>
      <w:pict>
        <v:shape id="文本框 4" o:spid="_x0000_s1026" o:spt="202" type="#_x0000_t202" style="position:absolute;left:0pt;margin-top:0pt;height:10.35pt;width:4.55pt;mso-position-horizontal:center;mso-position-horizontal-relative:margin;mso-wrap-style:none;z-index:251659264;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iumg/wEAAPcDAAAOAAAAZHJzL2Uyb0RvYy54bWysU11v0zAUfUfiP1h+p2m3dZuiplPZVIRU&#10;sUkd4tl17CbC9rXs2ybj13PtJi0CnhAvzo3v5zn3ePHQW8OOKsQWXMVnkylnykmoW7ev+NfX9Yd7&#10;ziIKVwsDTlX8TUX+sHz/btH5Ul1BA6ZWgVERF8vOV7xB9GVRRNkoK+IEvHLk1BCsQPoN+6IOoqPq&#10;1hRX0+lt0UGofQCpYqTbp5OTL3N9rZXEZ62jQmYqTrNhPkM+d+kslgtR7oPwTSuHMcQ/TGFF66jp&#10;udSTQMEOof2jlG1lgAgaJxJsAVq3UmUMhGY2/Q3NthFeZSxETvRnmuL/Kyu/HLf+JTDsP0JPC8wg&#10;ot+A/B6Jm6LzsRxiEqexjBSdgPY62PQlCIwSidu3M5+qRybpcn53dz/nTJJndj27uZknuotLrg8R&#10;PymwLBkVD7St3F8cNxFPoWNIauVg3RqTN2Yc6yp+ez2f5oSzh4obN4x9mjTNjP2up7Rk7qB+I7gB&#10;TkqIXq5bar4REV9EoNUTEJIzPtOhDVATGCzOGgg//naf4mkj5OWsIylV3JHWOTOfHW0qqW40wmjs&#10;RsMd7COQNmf0TLzMJiUENKOpA9hvpPFV6kEu4SR1qjiO5iOe5ExvRKrVKgeRtrzAjdt6ednp6oBE&#10;YOb1wsTAFakrb2Z4CUm+v/7nqMt7Xf4EAAD//wMAUEsDBBQABgAIAAAAIQDW5iBP2AAAAAIBAAAP&#10;AAAAZHJzL2Rvd25yZXYueG1sTI/NTsMwEITvSLyDtUjcqNOC+AlxqrYiHJHacOC4jZckrb2ObDcN&#10;b4/hApeVRjOa+bZYTtaIkXzoHSuYzzIQxI3TPbcK3uvq5hFEiMgajWNS8EUBluXlRYG5dmfe0riL&#10;rUglHHJU0MU45FKGpiOLYeYG4uR9Om8xJulbqT2eU7k1cpFl99Jiz2mhw4E2HTXH3ckq2FR17UcK&#10;3nzQa3V7eFvf0cuk1PXVtHoGEWmKf2H4wU/oUCamvTuxDsIoSI/E35u8pzmIvYJF9gCyLOR/9PIb&#10;AAD//wMAUEsBAi0AFAAGAAgAAAAhALaDOJL+AAAA4QEAABMAAAAAAAAAAAAAAAAAAAAAAFtDb250&#10;ZW50X1R5cGVzXS54bWxQSwECLQAUAAYACAAAACEAOP0h/9YAAACUAQAACwAAAAAAAAAAAAAAAAAv&#10;AQAAX3JlbHMvLnJlbHNQSwECLQAUAAYACAAAACEAeYrpoP8BAAD3AwAADgAAAAAAAAAAAAAAAAAu&#10;AgAAZHJzL2Uyb0RvYy54bWxQSwECLQAUAAYACAAAACEA1uYgT9gAAAACAQAADwAAAAAAAAAAAAAA&#10;AABZBAAAZHJzL2Rvd25yZXYueG1sUEsFBgAAAAAEAAQA8wAAAF4FAAAAAA==&#10;">
          <v:path/>
          <v:fill on="f" focussize="0,0"/>
          <v:stroke on="f" weight="0.5pt" joinstyle="miter"/>
          <v:imagedata o:title=""/>
          <o:lock v:ext="edit"/>
          <v:textbox inset="0mm,0mm,0mm,0mm" style="mso-fit-shape-to-text:t;">
            <w:txbxContent>
              <w:p>
                <w:pPr>
                  <w:pStyle w:val="19"/>
                </w:pPr>
                <w:r>
                  <w:fldChar w:fldCharType="begin"/>
                </w:r>
                <w:r>
                  <w:instrText xml:space="preserve"> PAGE  \* MERGEFORMAT </w:instrText>
                </w:r>
                <w:r>
                  <w:fldChar w:fldCharType="separate"/>
                </w:r>
                <w:r>
                  <w:t>31</w:t>
                </w:r>
                <w: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framePr w:wrap="around" w:vAnchor="text" w:hAnchor="margin" w:xAlign="center" w:y="1"/>
      <w:rPr>
        <w:rStyle w:val="37"/>
      </w:rPr>
    </w:pPr>
    <w:r>
      <w:fldChar w:fldCharType="begin"/>
    </w:r>
    <w:r>
      <w:rPr>
        <w:rStyle w:val="37"/>
      </w:rPr>
      <w:instrText xml:space="preserve">PAGE  </w:instrText>
    </w:r>
    <w:r>
      <w:fldChar w:fldCharType="end"/>
    </w:r>
  </w:p>
  <w:p>
    <w:pPr>
      <w:pStyle w:val="19"/>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r>
      <w:pict>
        <v:shape id="_x0000_s1027" o:spid="_x0000_s1027" o:spt="202" type="#_x0000_t202" style="position:absolute;left:0pt;margin-top:0pt;height:10.35pt;width:4.55pt;mso-position-horizontal:center;mso-position-horizontal-relative:margin;mso-wrap-style:none;z-index:251660288;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XCy3AwIAAP4DAAAOAAAAZHJzL2Uyb0RvYy54bWysU11v0zAUfUfiP1h+p2m3dZuiplPZVIRU&#10;sUkd4tl17CbC9rV83Sbj13PtJi0CnhAvzo3v5zn3ePHQW8OOKmALruKzyZQz5STUrdtX/Ovr+sM9&#10;ZxiFq4UBpyr+ppA/LN+/W3S+VFfQgKlVYFTEYdn5ijcx+rIoUDbKCpyAV46cGoIVkX7DvqiD6Ki6&#10;NcXVdHpbdBBqH0AqRLp9Ojn5MtfXWsn4rDWqyEzFabaYz5DPXTqL5UKU+yB808phDPEPU1jROmp6&#10;LvUkomCH0P5RyrYyAIKOEwm2AK1bqTIGQjOb/oZm2wivMhYiB/2ZJvx/ZeWX49a/BBb7j9DTAjMI&#10;9BuQ35G4KTqP5RCTOMUSKToB7XWw6UsQGCUSt29nPlUfmaTL+d3d/ZwzSZ7Z9ezmZp7oLi65PmD8&#10;pMCyZFQ80LZyf3HcYDyFjiGplYN1a0zemHGsq/jt9XyaE84eKm7cMPZp0jRz7Hc9a+sEj7LTzQ7q&#10;N0Id4CQI9HLd0gwbgfFFBFIA4SFVx2c6tAHqBYPFWQPhx9/uUzwthrycdaSoijuSPGfms6OFJfGN&#10;RhiN3Wi4g30EkuiMXouX2aSEEM1o6gD2G0l9lXqQSzhJnSoeR/MxnlRNT0Wq1SoHkcS8iBu39fKy&#10;2tUhEo+Z3gsTA2Uksryg4UEkFf/6n6Muz3b5EwAA//8DAFBLAwQUAAYACAAAACEA1uYgT9gAAAAC&#10;AQAADwAAAGRycy9kb3ducmV2LnhtbEyPzU7DMBCE70i8g7VI3KjTgvgJcaq2IhyR2nDguI2XJK29&#10;jmw3DW+P4QKXlUYzmvm2WE7WiJF86B0rmM8yEMSN0z23Ct7r6uYRRIjIGo1jUvBFAZbl5UWBuXZn&#10;3tK4i61IJRxyVNDFOORShqYji2HmBuLkfTpvMSbpW6k9nlO5NXKRZffSYs9pocOBNh01x93JKthU&#10;de1HCt580Gt1e3hb39HLpNT11bR6BhFpin9h+MFP6FAmpr07sQ7CKEiPxN+bvKc5iL2CRfYAsizk&#10;f/TyGwAA//8DAFBLAQItABQABgAIAAAAIQC2gziS/gAAAOEBAAATAAAAAAAAAAAAAAAAAAAAAABb&#10;Q29udGVudF9UeXBlc10ueG1sUEsBAi0AFAAGAAgAAAAhADj9If/WAAAAlAEAAAsAAAAAAAAAAAAA&#10;AAAALwEAAF9yZWxzLy5yZWxzUEsBAi0AFAAGAAgAAAAhAGZcLLcDAgAA/gMAAA4AAAAAAAAAAAAA&#10;AAAALgIAAGRycy9lMm9Eb2MueG1sUEsBAi0AFAAGAAgAAAAhANbmIE/YAAAAAgEAAA8AAAAAAAAA&#10;AAAAAAAAXQQAAGRycy9kb3ducmV2LnhtbFBLBQYAAAAABAAEAPMAAABiBQAAAAA=&#10;">
          <v:path/>
          <v:fill on="f" focussize="0,0"/>
          <v:stroke on="f" weight="0.5pt" joinstyle="miter"/>
          <v:imagedata o:title=""/>
          <o:lock v:ext="edit"/>
          <v:textbox inset="0mm,0mm,0mm,0mm" style="mso-fit-shape-to-text:t;">
            <w:txbxContent>
              <w:p>
                <w:pPr>
                  <w:pStyle w:val="19"/>
                </w:pPr>
                <w:r>
                  <w:fldChar w:fldCharType="begin"/>
                </w:r>
                <w:r>
                  <w:instrText xml:space="preserve"> PAGE  \* MERGEFORMAT </w:instrText>
                </w:r>
                <w:r>
                  <w:fldChar w:fldCharType="separate"/>
                </w:r>
                <w:r>
                  <w:t>1</w:t>
                </w:r>
                <w: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jc w:val="center"/>
    </w:pPr>
    <w:r>
      <w:pict>
        <v:shape id="文本框 2" o:spid="_x0000_s1028" o:spt="202" type="#_x0000_t202" style="position:absolute;left:0pt;margin-top:0pt;height:10.35pt;width:9.05pt;mso-position-horizontal:center;mso-position-horizontal-relative:margin;mso-wrap-style:none;z-index:251661312;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4EEeBAIAAP8DAAAOAAAAZHJzL2Uyb0RvYy54bWysU02L2zAQvRf6H4TujeN8LF0TZ0l3SSmE&#10;7kK69KzIUmwqaYSkxE5/fUeynZRtT6UXeaz5fG+eVg+dVuQsnG/AlDSfTCkRhkPVmGNJX79tP3yk&#10;xAdmKqbAiJJehKcP6/fvVq0txAxqUJVwBIsYX7S2pHUItsgyz2uhmZ+AFQadEpxmAX/dMasca7G6&#10;VtlsOr3LWnCVdcCF93j71DvpOtWXUvDwLKUXgaiS4mwhnS6dh3hm6xUrjo7ZuuHDGOwfptCsMdj0&#10;WuqJBUZOrvmjlG64Aw8yTDjoDKRsuEgYEE0+fYNmXzMrEhYkx9srTf7/leVfz3v74kjoPkGHC0wg&#10;vN0B/+GRm6y1vhhiIqe+8BgdgXbS6fhFCAQTkdvLlU/RBcJjtXxxP19SwtGVz/PFYhn5zm7J1vnw&#10;WYAm0Sipw3WlAdh550MfOobEXga2jVJpZcqQtqR38+U0JVw9WFyZYe5+1Dh06A4daaqSzuIA8eYA&#10;1QVhO+gV4S3fNjjDjvnwwhxKAAGhrMMzHlIB9oLBoqQG9/Nv9zEeN4NeSlqUVEkNap4S9cXgxqL6&#10;RsONxmE0zEk/Amo0x+dieTIxwQU1mtKB/o5a38Qe6GKGY6eShtF8DL2s8a1wsdmkINSYZWFn9pbf&#10;drs5BeQx0XtjYqAMVZYWNLyIKOPf/1PU7d2ufwEAAP//AwBQSwMEFAAGAAgAAAAhAO6wHi3YAAAA&#10;AwEAAA8AAABkcnMvZG93bnJldi54bWxMj8FOwzAQRO9I/QdrK3GjTguCKsSp2opwRKLhwHEbL0nA&#10;Xke2m4a/x+UCl5VGM5p5W2wma8RIPvSOFSwXGQjixumeWwVvdXWzBhEiskbjmBR8U4BNObsqMNfu&#10;zK80HmIrUgmHHBV0MQ65lKHpyGJYuIE4eR/OW4xJ+lZqj+dUbo1cZdm9tNhzWuhwoH1HzdfhZBXs&#10;q7r2IwVv3um5uv182d3R06TU9XzaPoKINMW/MFzwEzqUienoTqyDMArSI/H3Xrz1EsRRwSp7AFkW&#10;8j97+QMAAP//AwBQSwECLQAUAAYACAAAACEAtoM4kv4AAADhAQAAEwAAAAAAAAAAAAAAAAAAAAAA&#10;W0NvbnRlbnRfVHlwZXNdLnhtbFBLAQItABQABgAIAAAAIQA4/SH/1gAAAJQBAAALAAAAAAAAAAAA&#10;AAAAAC8BAABfcmVscy8ucmVsc1BLAQItABQABgAIAAAAIQAr4EEeBAIAAP8DAAAOAAAAAAAAAAAA&#10;AAAAAC4CAABkcnMvZTJvRG9jLnhtbFBLAQItABQABgAIAAAAIQDusB4t2AAAAAMBAAAPAAAAAAAA&#10;AAAAAAAAAF4EAABkcnMvZG93bnJldi54bWxQSwUGAAAAAAQABADzAAAAYwUAAAAA&#10;">
          <v:path/>
          <v:fill on="f" focussize="0,0"/>
          <v:stroke on="f" weight="0.5pt" joinstyle="miter"/>
          <v:imagedata o:title=""/>
          <o:lock v:ext="edit"/>
          <v:textbox inset="0mm,0mm,0mm,0mm" style="mso-fit-shape-to-text:t;">
            <w:txbxContent>
              <w:p>
                <w:pPr>
                  <w:pStyle w:val="19"/>
                  <w:jc w:val="center"/>
                </w:pPr>
                <w:r>
                  <w:fldChar w:fldCharType="begin"/>
                </w:r>
                <w:r>
                  <w:instrText xml:space="preserve"> PAGE   \* MERGEFORMAT </w:instrText>
                </w:r>
                <w:r>
                  <w:fldChar w:fldCharType="separate"/>
                </w:r>
                <w:r>
                  <w:rPr>
                    <w:lang w:val="zh-CN"/>
                  </w:rPr>
                  <w:t>34</w:t>
                </w:r>
                <w:r>
                  <w:rPr>
                    <w:lang w:val="zh-CN"/>
                  </w:rPr>
                  <w:fldChar w:fldCharType="end"/>
                </w:r>
              </w:p>
            </w:txbxContent>
          </v:textbox>
        </v:shape>
      </w:pict>
    </w:r>
  </w:p>
  <w:p>
    <w:pPr>
      <w:pStyle w:val="19"/>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jc w:val="center"/>
    </w:pPr>
    <w:r>
      <w:pict>
        <v:shape id="文本框 1" o:spid="_x0000_s1029" o:spt="202" type="#_x0000_t202" style="position:absolute;left:0pt;margin-top:0pt;height:10.35pt;width:9.05pt;mso-position-horizontal:center;mso-position-horizontal-relative:margin;mso-wrap-style:none;z-index:251662336;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Z4blBAIAAP8DAAAOAAAAZHJzL2Uyb0RvYy54bWysU02P0zAQvSPxHyzfaZJtu2KjpquyqyKk&#10;il2pIM6uYzcRtsey3Sbl1zN2khYBJ8TFmXg+35vn1WOvFTkL51swFS1mOSXCcKhbc6zo1y/bd+8p&#10;8YGZmikwoqIX4enj+u2bVWdLcQcNqFo4gkWMLztb0SYEW2aZ543QzM/ACoNOCU6zgL/umNWOdVhd&#10;q+wuz++zDlxtHXDhPd4+D066TvWlFDy8SOlFIKqiOFtIp0vnIZ7ZesXKo2O2afk4BvuHKTRrDTa9&#10;lnpmgZGTa/8opVvuwIMMMw46AylbLhIGRFPkv6HZN8yKhAXJ8fZKk/9/Zfnn896+OhL6D9DjAhMI&#10;b3fAv3vkJuusL8eYyKkvPUZHoL10On4RAsFE5PZy5VP0gfBYrVg8zJeUcHQV82KxWEa+s1uydT58&#10;FKBJNCrqcF1pAHbe+TCETiGxl4Ftq1RamTKkq+j9fJmnhKsHiyszzj2MGocO/aEnbV3ReRwg3hyg&#10;viBsB4MivOXbFmfYMR9emUMJICCUdXjBQyrAXjBalDTgfvztPsbjZtBLSYeSqqhBzVOiPhncWFTf&#10;ZLjJOEyGOeknQI0W+FwsTyYmuKAmUzrQ31Drm9gDXcxw7FTRMJlPYZA1vhUuNpsUhBqzLOzM3vLb&#10;bjengDwmem9MjJShytKCxhcRZfzrf4q6vdv1TwAAAP//AwBQSwMEFAAGAAgAAAAhAO6wHi3YAAAA&#10;AwEAAA8AAABkcnMvZG93bnJldi54bWxMj8FOwzAQRO9I/QdrK3GjTguCKsSp2opwRKLhwHEbL0nA&#10;Xke2m4a/x+UCl5VGM5p5W2wma8RIPvSOFSwXGQjixumeWwVvdXWzBhEiskbjmBR8U4BNObsqMNfu&#10;zK80HmIrUgmHHBV0MQ65lKHpyGJYuIE4eR/OW4xJ+lZqj+dUbo1cZdm9tNhzWuhwoH1HzdfhZBXs&#10;q7r2IwVv3um5uv182d3R06TU9XzaPoKINMW/MFzwEzqUienoTqyDMArSI/H3Xrz1EsRRwSp7AFkW&#10;8j97+QMAAP//AwBQSwECLQAUAAYACAAAACEAtoM4kv4AAADhAQAAEwAAAAAAAAAAAAAAAAAAAAAA&#10;W0NvbnRlbnRfVHlwZXNdLnhtbFBLAQItABQABgAIAAAAIQA4/SH/1gAAAJQBAAALAAAAAAAAAAAA&#10;AAAAAC8BAABfcmVscy8ucmVsc1BLAQItABQABgAIAAAAIQBrZ4blBAIAAP8DAAAOAAAAAAAAAAAA&#10;AAAAAC4CAABkcnMvZTJvRG9jLnhtbFBLAQItABQABgAIAAAAIQDusB4t2AAAAAMBAAAPAAAAAAAA&#10;AAAAAAAAAF4EAABkcnMvZG93bnJldi54bWxQSwUGAAAAAAQABADzAAAAYwUAAAAA&#10;">
          <v:path/>
          <v:fill on="f" focussize="0,0"/>
          <v:stroke on="f" weight="0.5pt" joinstyle="miter"/>
          <v:imagedata o:title=""/>
          <o:lock v:ext="edit"/>
          <v:textbox inset="0mm,0mm,0mm,0mm" style="mso-fit-shape-to-text:t;">
            <w:txbxContent>
              <w:p>
                <w:pPr>
                  <w:pStyle w:val="19"/>
                  <w:jc w:val="center"/>
                </w:pPr>
                <w:r>
                  <w:fldChar w:fldCharType="begin"/>
                </w:r>
                <w:r>
                  <w:instrText xml:space="preserve"> PAGE   \* MERGEFORMAT </w:instrText>
                </w:r>
                <w:r>
                  <w:fldChar w:fldCharType="separate"/>
                </w:r>
                <w:r>
                  <w:rPr>
                    <w:lang w:val="zh-CN"/>
                  </w:rPr>
                  <w:t>59</w:t>
                </w:r>
                <w:r>
                  <w:rPr>
                    <w:lang w:val="zh-CN"/>
                  </w:rPr>
                  <w:fldChar w:fldCharType="end"/>
                </w:r>
              </w:p>
            </w:txbxContent>
          </v:textbox>
        </v:shape>
      </w:pict>
    </w:r>
  </w:p>
  <w:p>
    <w:pPr>
      <w:pStyle w:val="19"/>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Bdr>
        <w:bottom w:val="single" w:color="auto" w:sz="6" w:space="0"/>
      </w:pBdr>
      <w:jc w:val="right"/>
      <w:rPr>
        <w:rFonts w:ascii="宋体" w:hAnsi="宋体"/>
        <w:szCs w:val="18"/>
      </w:rPr>
    </w:pPr>
    <w:r>
      <w:rPr>
        <w:rFonts w:hint="eastAsia" w:ascii="宋体" w:hAnsi="宋体"/>
        <w:szCs w:val="18"/>
      </w:rPr>
      <w:t>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F26FDA2"/>
    <w:multiLevelType w:val="singleLevel"/>
    <w:tmpl w:val="9F26FDA2"/>
    <w:lvl w:ilvl="0" w:tentative="0">
      <w:start w:val="1"/>
      <w:numFmt w:val="decimal"/>
      <w:suff w:val="nothing"/>
      <w:lvlText w:val="（%1）"/>
      <w:lvlJc w:val="left"/>
    </w:lvl>
  </w:abstractNum>
  <w:abstractNum w:abstractNumId="1">
    <w:nsid w:val="AAC310AA"/>
    <w:multiLevelType w:val="singleLevel"/>
    <w:tmpl w:val="AAC310AA"/>
    <w:lvl w:ilvl="0" w:tentative="0">
      <w:start w:val="1"/>
      <w:numFmt w:val="decimal"/>
      <w:suff w:val="nothing"/>
      <w:lvlText w:val="（%1）"/>
      <w:lvlJc w:val="left"/>
    </w:lvl>
  </w:abstractNum>
  <w:abstractNum w:abstractNumId="2">
    <w:nsid w:val="C0C92AC6"/>
    <w:multiLevelType w:val="singleLevel"/>
    <w:tmpl w:val="C0C92AC6"/>
    <w:lvl w:ilvl="0" w:tentative="0">
      <w:start w:val="1"/>
      <w:numFmt w:val="decimal"/>
      <w:suff w:val="nothing"/>
      <w:lvlText w:val="%1、"/>
      <w:lvlJc w:val="left"/>
    </w:lvl>
  </w:abstractNum>
  <w:abstractNum w:abstractNumId="3">
    <w:nsid w:val="CEB0BA44"/>
    <w:multiLevelType w:val="singleLevel"/>
    <w:tmpl w:val="CEB0BA44"/>
    <w:lvl w:ilvl="0" w:tentative="0">
      <w:start w:val="3"/>
      <w:numFmt w:val="chineseCounting"/>
      <w:suff w:val="nothing"/>
      <w:lvlText w:val="%1、"/>
      <w:lvlJc w:val="left"/>
      <w:pPr>
        <w:ind w:left="210"/>
      </w:pPr>
      <w:rPr>
        <w:rFonts w:hint="eastAsia"/>
      </w:rPr>
    </w:lvl>
  </w:abstractNum>
  <w:abstractNum w:abstractNumId="4">
    <w:nsid w:val="E455486A"/>
    <w:multiLevelType w:val="singleLevel"/>
    <w:tmpl w:val="E455486A"/>
    <w:lvl w:ilvl="0" w:tentative="0">
      <w:start w:val="1"/>
      <w:numFmt w:val="decimal"/>
      <w:lvlText w:val="%1."/>
      <w:lvlJc w:val="left"/>
      <w:pPr>
        <w:tabs>
          <w:tab w:val="left" w:pos="312"/>
        </w:tabs>
      </w:pPr>
    </w:lvl>
  </w:abstractNum>
  <w:abstractNum w:abstractNumId="5">
    <w:nsid w:val="E85D33EF"/>
    <w:multiLevelType w:val="singleLevel"/>
    <w:tmpl w:val="E85D33EF"/>
    <w:lvl w:ilvl="0" w:tentative="0">
      <w:start w:val="1"/>
      <w:numFmt w:val="decimal"/>
      <w:suff w:val="nothing"/>
      <w:lvlText w:val="（%1）"/>
      <w:lvlJc w:val="left"/>
    </w:lvl>
  </w:abstractNum>
  <w:abstractNum w:abstractNumId="6">
    <w:nsid w:val="2A03E092"/>
    <w:multiLevelType w:val="singleLevel"/>
    <w:tmpl w:val="2A03E092"/>
    <w:lvl w:ilvl="0" w:tentative="0">
      <w:start w:val="4"/>
      <w:numFmt w:val="chineseCounting"/>
      <w:suff w:val="space"/>
      <w:lvlText w:val="第%1部分"/>
      <w:lvlJc w:val="left"/>
      <w:rPr>
        <w:rFonts w:hint="eastAsia"/>
      </w:rPr>
    </w:lvl>
  </w:abstractNum>
  <w:abstractNum w:abstractNumId="7">
    <w:nsid w:val="2A390727"/>
    <w:multiLevelType w:val="singleLevel"/>
    <w:tmpl w:val="2A390727"/>
    <w:lvl w:ilvl="0" w:tentative="0">
      <w:start w:val="1"/>
      <w:numFmt w:val="decimal"/>
      <w:suff w:val="nothing"/>
      <w:lvlText w:val="（%1）"/>
      <w:lvlJc w:val="left"/>
    </w:lvl>
  </w:abstractNum>
  <w:abstractNum w:abstractNumId="8">
    <w:nsid w:val="3012CF34"/>
    <w:multiLevelType w:val="singleLevel"/>
    <w:tmpl w:val="3012CF34"/>
    <w:lvl w:ilvl="0" w:tentative="0">
      <w:start w:val="1"/>
      <w:numFmt w:val="chineseCounting"/>
      <w:suff w:val="nothing"/>
      <w:lvlText w:val="%1、"/>
      <w:lvlJc w:val="left"/>
      <w:rPr>
        <w:rFonts w:hint="eastAsia"/>
      </w:rPr>
    </w:lvl>
  </w:abstractNum>
  <w:abstractNum w:abstractNumId="9">
    <w:nsid w:val="3B0B1E63"/>
    <w:multiLevelType w:val="singleLevel"/>
    <w:tmpl w:val="3B0B1E63"/>
    <w:lvl w:ilvl="0" w:tentative="0">
      <w:start w:val="1"/>
      <w:numFmt w:val="decimal"/>
      <w:lvlText w:val="%1."/>
      <w:lvlJc w:val="left"/>
      <w:pPr>
        <w:tabs>
          <w:tab w:val="left" w:pos="312"/>
        </w:tabs>
      </w:pPr>
    </w:lvl>
  </w:abstractNum>
  <w:abstractNum w:abstractNumId="10">
    <w:nsid w:val="55CE5A7A"/>
    <w:multiLevelType w:val="singleLevel"/>
    <w:tmpl w:val="55CE5A7A"/>
    <w:lvl w:ilvl="0" w:tentative="0">
      <w:start w:val="1"/>
      <w:numFmt w:val="decimal"/>
      <w:suff w:val="nothing"/>
      <w:lvlText w:val="（%1）"/>
      <w:lvlJc w:val="left"/>
    </w:lvl>
  </w:abstractNum>
  <w:abstractNum w:abstractNumId="11">
    <w:nsid w:val="6013EB39"/>
    <w:multiLevelType w:val="singleLevel"/>
    <w:tmpl w:val="6013EB39"/>
    <w:lvl w:ilvl="0" w:tentative="0">
      <w:start w:val="1"/>
      <w:numFmt w:val="decimal"/>
      <w:suff w:val="nothing"/>
      <w:lvlText w:val="（%1）"/>
      <w:lvlJc w:val="left"/>
    </w:lvl>
  </w:abstractNum>
  <w:abstractNum w:abstractNumId="12">
    <w:nsid w:val="6170BC7F"/>
    <w:multiLevelType w:val="singleLevel"/>
    <w:tmpl w:val="6170BC7F"/>
    <w:lvl w:ilvl="0" w:tentative="0">
      <w:start w:val="1"/>
      <w:numFmt w:val="decimal"/>
      <w:lvlText w:val="%1."/>
      <w:lvlJc w:val="left"/>
      <w:pPr>
        <w:tabs>
          <w:tab w:val="left" w:pos="312"/>
        </w:tabs>
      </w:pPr>
    </w:lvl>
  </w:abstractNum>
  <w:abstractNum w:abstractNumId="13">
    <w:nsid w:val="6388745B"/>
    <w:multiLevelType w:val="singleLevel"/>
    <w:tmpl w:val="6388745B"/>
    <w:lvl w:ilvl="0" w:tentative="0">
      <w:start w:val="1"/>
      <w:numFmt w:val="decimal"/>
      <w:suff w:val="nothing"/>
      <w:lvlText w:val="（%1）"/>
      <w:lvlJc w:val="left"/>
    </w:lvl>
  </w:abstractNum>
  <w:num w:numId="1">
    <w:abstractNumId w:val="2"/>
  </w:num>
  <w:num w:numId="2">
    <w:abstractNumId w:val="10"/>
  </w:num>
  <w:num w:numId="3">
    <w:abstractNumId w:val="8"/>
  </w:num>
  <w:num w:numId="4">
    <w:abstractNumId w:val="9"/>
  </w:num>
  <w:num w:numId="5">
    <w:abstractNumId w:val="4"/>
  </w:num>
  <w:num w:numId="6">
    <w:abstractNumId w:val="11"/>
  </w:num>
  <w:num w:numId="7">
    <w:abstractNumId w:val="0"/>
  </w:num>
  <w:num w:numId="8">
    <w:abstractNumId w:val="1"/>
  </w:num>
  <w:num w:numId="9">
    <w:abstractNumId w:val="7"/>
  </w:num>
  <w:num w:numId="10">
    <w:abstractNumId w:val="13"/>
  </w:num>
  <w:num w:numId="11">
    <w:abstractNumId w:val="6"/>
  </w:num>
  <w:num w:numId="12">
    <w:abstractNumId w:val="12"/>
  </w:num>
  <w:num w:numId="13">
    <w:abstractNumId w:val="3"/>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MDdiYWVjYzNjM2Q3MDVlNWEzYWIwMjY4YzcyMTM0ZmUifQ=="/>
  </w:docVars>
  <w:rsids>
    <w:rsidRoot w:val="00172A27"/>
    <w:rsid w:val="00004734"/>
    <w:rsid w:val="000364EC"/>
    <w:rsid w:val="00067867"/>
    <w:rsid w:val="00071320"/>
    <w:rsid w:val="000759B9"/>
    <w:rsid w:val="00084815"/>
    <w:rsid w:val="00095F84"/>
    <w:rsid w:val="000A74BA"/>
    <w:rsid w:val="000B6743"/>
    <w:rsid w:val="000C0B70"/>
    <w:rsid w:val="000D1925"/>
    <w:rsid w:val="000D35FE"/>
    <w:rsid w:val="000E6F99"/>
    <w:rsid w:val="000F28BF"/>
    <w:rsid w:val="000F33B6"/>
    <w:rsid w:val="001045D4"/>
    <w:rsid w:val="00107F3A"/>
    <w:rsid w:val="00110646"/>
    <w:rsid w:val="001171F7"/>
    <w:rsid w:val="00123E1F"/>
    <w:rsid w:val="001271DC"/>
    <w:rsid w:val="001348B2"/>
    <w:rsid w:val="00134B0F"/>
    <w:rsid w:val="00145142"/>
    <w:rsid w:val="00164FC5"/>
    <w:rsid w:val="00170734"/>
    <w:rsid w:val="00172A27"/>
    <w:rsid w:val="00187541"/>
    <w:rsid w:val="00196909"/>
    <w:rsid w:val="001A1572"/>
    <w:rsid w:val="001A5570"/>
    <w:rsid w:val="001B4307"/>
    <w:rsid w:val="001B477B"/>
    <w:rsid w:val="001B75AA"/>
    <w:rsid w:val="001B7742"/>
    <w:rsid w:val="001C63BB"/>
    <w:rsid w:val="0020447A"/>
    <w:rsid w:val="002143FD"/>
    <w:rsid w:val="002204E1"/>
    <w:rsid w:val="00256E33"/>
    <w:rsid w:val="00281692"/>
    <w:rsid w:val="002822B9"/>
    <w:rsid w:val="0028722B"/>
    <w:rsid w:val="002921AA"/>
    <w:rsid w:val="00296A2E"/>
    <w:rsid w:val="002A2E79"/>
    <w:rsid w:val="002A3D37"/>
    <w:rsid w:val="002A51CE"/>
    <w:rsid w:val="002B60A5"/>
    <w:rsid w:val="002C6300"/>
    <w:rsid w:val="002D69B4"/>
    <w:rsid w:val="002F3BF8"/>
    <w:rsid w:val="00300D1A"/>
    <w:rsid w:val="00303033"/>
    <w:rsid w:val="00322999"/>
    <w:rsid w:val="00327CB3"/>
    <w:rsid w:val="00331F26"/>
    <w:rsid w:val="003464F3"/>
    <w:rsid w:val="00350FBC"/>
    <w:rsid w:val="003673D8"/>
    <w:rsid w:val="00377487"/>
    <w:rsid w:val="0038226B"/>
    <w:rsid w:val="0038576C"/>
    <w:rsid w:val="00392364"/>
    <w:rsid w:val="003A264E"/>
    <w:rsid w:val="003A4A73"/>
    <w:rsid w:val="003B2948"/>
    <w:rsid w:val="003C4D93"/>
    <w:rsid w:val="003D003B"/>
    <w:rsid w:val="003D7935"/>
    <w:rsid w:val="003E0569"/>
    <w:rsid w:val="003E687D"/>
    <w:rsid w:val="003F47AF"/>
    <w:rsid w:val="003F5325"/>
    <w:rsid w:val="003F64D8"/>
    <w:rsid w:val="003F7F48"/>
    <w:rsid w:val="00414937"/>
    <w:rsid w:val="00416998"/>
    <w:rsid w:val="0042001A"/>
    <w:rsid w:val="00432A33"/>
    <w:rsid w:val="00432AA8"/>
    <w:rsid w:val="004362C1"/>
    <w:rsid w:val="0043696D"/>
    <w:rsid w:val="00444991"/>
    <w:rsid w:val="004455C2"/>
    <w:rsid w:val="0045277E"/>
    <w:rsid w:val="00460BA8"/>
    <w:rsid w:val="00463405"/>
    <w:rsid w:val="0047791F"/>
    <w:rsid w:val="00481497"/>
    <w:rsid w:val="004B5245"/>
    <w:rsid w:val="004C2D4F"/>
    <w:rsid w:val="004C662A"/>
    <w:rsid w:val="004C7111"/>
    <w:rsid w:val="004D6575"/>
    <w:rsid w:val="004E7D09"/>
    <w:rsid w:val="004F5188"/>
    <w:rsid w:val="004F603C"/>
    <w:rsid w:val="00510DEA"/>
    <w:rsid w:val="00516C33"/>
    <w:rsid w:val="005176A0"/>
    <w:rsid w:val="00524002"/>
    <w:rsid w:val="0053221C"/>
    <w:rsid w:val="0054004F"/>
    <w:rsid w:val="00540D90"/>
    <w:rsid w:val="005417E1"/>
    <w:rsid w:val="005447FC"/>
    <w:rsid w:val="00545347"/>
    <w:rsid w:val="00554AE1"/>
    <w:rsid w:val="00573CC1"/>
    <w:rsid w:val="00574C52"/>
    <w:rsid w:val="00586F8C"/>
    <w:rsid w:val="00591CA5"/>
    <w:rsid w:val="0059539D"/>
    <w:rsid w:val="00597389"/>
    <w:rsid w:val="005A7ADD"/>
    <w:rsid w:val="005B6AD0"/>
    <w:rsid w:val="005C1FA7"/>
    <w:rsid w:val="005C2ABF"/>
    <w:rsid w:val="005C5DCC"/>
    <w:rsid w:val="005C7FFB"/>
    <w:rsid w:val="005E541B"/>
    <w:rsid w:val="00600139"/>
    <w:rsid w:val="0061509D"/>
    <w:rsid w:val="00616658"/>
    <w:rsid w:val="00634201"/>
    <w:rsid w:val="00642195"/>
    <w:rsid w:val="0064283B"/>
    <w:rsid w:val="00653494"/>
    <w:rsid w:val="006553B8"/>
    <w:rsid w:val="006564C1"/>
    <w:rsid w:val="00671CE5"/>
    <w:rsid w:val="00680C88"/>
    <w:rsid w:val="00681AE3"/>
    <w:rsid w:val="00682F14"/>
    <w:rsid w:val="006874AE"/>
    <w:rsid w:val="006918A4"/>
    <w:rsid w:val="006A1D8E"/>
    <w:rsid w:val="006B6C9B"/>
    <w:rsid w:val="006C44FB"/>
    <w:rsid w:val="006D75AB"/>
    <w:rsid w:val="00712BEA"/>
    <w:rsid w:val="007141CD"/>
    <w:rsid w:val="00722EF7"/>
    <w:rsid w:val="00723624"/>
    <w:rsid w:val="00743376"/>
    <w:rsid w:val="0074477D"/>
    <w:rsid w:val="007476FB"/>
    <w:rsid w:val="00757AE7"/>
    <w:rsid w:val="00763B5F"/>
    <w:rsid w:val="00767F8E"/>
    <w:rsid w:val="00772009"/>
    <w:rsid w:val="00775E86"/>
    <w:rsid w:val="007816BD"/>
    <w:rsid w:val="00782ACA"/>
    <w:rsid w:val="00783D68"/>
    <w:rsid w:val="007865E0"/>
    <w:rsid w:val="00797211"/>
    <w:rsid w:val="007A005E"/>
    <w:rsid w:val="007A713F"/>
    <w:rsid w:val="007A7541"/>
    <w:rsid w:val="007B4FA5"/>
    <w:rsid w:val="007D1D69"/>
    <w:rsid w:val="007D608F"/>
    <w:rsid w:val="007D675C"/>
    <w:rsid w:val="007E429C"/>
    <w:rsid w:val="007F1FC3"/>
    <w:rsid w:val="00800707"/>
    <w:rsid w:val="0080379E"/>
    <w:rsid w:val="00814A1A"/>
    <w:rsid w:val="008151C9"/>
    <w:rsid w:val="00820B04"/>
    <w:rsid w:val="00833358"/>
    <w:rsid w:val="008420E3"/>
    <w:rsid w:val="00844555"/>
    <w:rsid w:val="008467FD"/>
    <w:rsid w:val="00847409"/>
    <w:rsid w:val="00856C80"/>
    <w:rsid w:val="00862438"/>
    <w:rsid w:val="00865C12"/>
    <w:rsid w:val="0088482D"/>
    <w:rsid w:val="00885748"/>
    <w:rsid w:val="00892CEA"/>
    <w:rsid w:val="0089769B"/>
    <w:rsid w:val="008B14BC"/>
    <w:rsid w:val="008B385A"/>
    <w:rsid w:val="008B6F40"/>
    <w:rsid w:val="008C2B8C"/>
    <w:rsid w:val="008C5FAF"/>
    <w:rsid w:val="008F118E"/>
    <w:rsid w:val="008F388F"/>
    <w:rsid w:val="008F465A"/>
    <w:rsid w:val="008F6CB8"/>
    <w:rsid w:val="008F7251"/>
    <w:rsid w:val="00902498"/>
    <w:rsid w:val="00904EC6"/>
    <w:rsid w:val="00911982"/>
    <w:rsid w:val="009226C8"/>
    <w:rsid w:val="00926A8B"/>
    <w:rsid w:val="009436BA"/>
    <w:rsid w:val="0095086C"/>
    <w:rsid w:val="00956546"/>
    <w:rsid w:val="0096093D"/>
    <w:rsid w:val="00974B24"/>
    <w:rsid w:val="00976AFD"/>
    <w:rsid w:val="00980B3A"/>
    <w:rsid w:val="009850F5"/>
    <w:rsid w:val="009B11BC"/>
    <w:rsid w:val="009B156C"/>
    <w:rsid w:val="009B3DFA"/>
    <w:rsid w:val="009B5351"/>
    <w:rsid w:val="009C12A6"/>
    <w:rsid w:val="009C2D67"/>
    <w:rsid w:val="009E7C40"/>
    <w:rsid w:val="009F0610"/>
    <w:rsid w:val="009F0D98"/>
    <w:rsid w:val="009F2F99"/>
    <w:rsid w:val="009F577F"/>
    <w:rsid w:val="00A01BF4"/>
    <w:rsid w:val="00A06296"/>
    <w:rsid w:val="00A31E39"/>
    <w:rsid w:val="00A32E7A"/>
    <w:rsid w:val="00A351A2"/>
    <w:rsid w:val="00A3657D"/>
    <w:rsid w:val="00A479F2"/>
    <w:rsid w:val="00A537CE"/>
    <w:rsid w:val="00A53C5C"/>
    <w:rsid w:val="00A55BFC"/>
    <w:rsid w:val="00A63373"/>
    <w:rsid w:val="00A72E42"/>
    <w:rsid w:val="00A77037"/>
    <w:rsid w:val="00A810F4"/>
    <w:rsid w:val="00A82CAA"/>
    <w:rsid w:val="00A874F4"/>
    <w:rsid w:val="00AA6D30"/>
    <w:rsid w:val="00AA7FEF"/>
    <w:rsid w:val="00AC4C44"/>
    <w:rsid w:val="00AE2FA8"/>
    <w:rsid w:val="00AE33B5"/>
    <w:rsid w:val="00AE438B"/>
    <w:rsid w:val="00AF1CB8"/>
    <w:rsid w:val="00AF27CE"/>
    <w:rsid w:val="00B03EE5"/>
    <w:rsid w:val="00B05CB6"/>
    <w:rsid w:val="00B12C8F"/>
    <w:rsid w:val="00B25C7F"/>
    <w:rsid w:val="00B316E1"/>
    <w:rsid w:val="00B32882"/>
    <w:rsid w:val="00B4527C"/>
    <w:rsid w:val="00B52D3D"/>
    <w:rsid w:val="00B70942"/>
    <w:rsid w:val="00B762EB"/>
    <w:rsid w:val="00B82EF0"/>
    <w:rsid w:val="00B8742A"/>
    <w:rsid w:val="00B93C1D"/>
    <w:rsid w:val="00B95967"/>
    <w:rsid w:val="00BA6CF5"/>
    <w:rsid w:val="00BB12E2"/>
    <w:rsid w:val="00BB1372"/>
    <w:rsid w:val="00BB324E"/>
    <w:rsid w:val="00BD3D2F"/>
    <w:rsid w:val="00BD3DEF"/>
    <w:rsid w:val="00BD717A"/>
    <w:rsid w:val="00BE2713"/>
    <w:rsid w:val="00BE4DD3"/>
    <w:rsid w:val="00BE5996"/>
    <w:rsid w:val="00BF7878"/>
    <w:rsid w:val="00C06499"/>
    <w:rsid w:val="00C13C83"/>
    <w:rsid w:val="00C20AC9"/>
    <w:rsid w:val="00C274B9"/>
    <w:rsid w:val="00C476C9"/>
    <w:rsid w:val="00C74202"/>
    <w:rsid w:val="00C80D1B"/>
    <w:rsid w:val="00C82B2C"/>
    <w:rsid w:val="00C863AC"/>
    <w:rsid w:val="00C948C3"/>
    <w:rsid w:val="00C94E1D"/>
    <w:rsid w:val="00CB5DB4"/>
    <w:rsid w:val="00CB774F"/>
    <w:rsid w:val="00CC42D6"/>
    <w:rsid w:val="00CD5D21"/>
    <w:rsid w:val="00CE04BC"/>
    <w:rsid w:val="00CE4126"/>
    <w:rsid w:val="00CE593E"/>
    <w:rsid w:val="00CF7E2D"/>
    <w:rsid w:val="00D074D3"/>
    <w:rsid w:val="00D13ED1"/>
    <w:rsid w:val="00D15812"/>
    <w:rsid w:val="00D15F7C"/>
    <w:rsid w:val="00D16A2A"/>
    <w:rsid w:val="00D24C36"/>
    <w:rsid w:val="00D300ED"/>
    <w:rsid w:val="00D30C66"/>
    <w:rsid w:val="00D342F5"/>
    <w:rsid w:val="00D35DC1"/>
    <w:rsid w:val="00D47F3E"/>
    <w:rsid w:val="00D51DBC"/>
    <w:rsid w:val="00D70183"/>
    <w:rsid w:val="00D70942"/>
    <w:rsid w:val="00D76077"/>
    <w:rsid w:val="00D806E1"/>
    <w:rsid w:val="00D83775"/>
    <w:rsid w:val="00D86086"/>
    <w:rsid w:val="00DA0022"/>
    <w:rsid w:val="00DB4C9C"/>
    <w:rsid w:val="00DB7DC3"/>
    <w:rsid w:val="00DC1285"/>
    <w:rsid w:val="00DC598A"/>
    <w:rsid w:val="00DC7587"/>
    <w:rsid w:val="00DF168E"/>
    <w:rsid w:val="00DF5176"/>
    <w:rsid w:val="00DF5834"/>
    <w:rsid w:val="00DF60A4"/>
    <w:rsid w:val="00E0023C"/>
    <w:rsid w:val="00E11AB5"/>
    <w:rsid w:val="00E12C1C"/>
    <w:rsid w:val="00E35FF1"/>
    <w:rsid w:val="00E419E7"/>
    <w:rsid w:val="00E421EC"/>
    <w:rsid w:val="00E56430"/>
    <w:rsid w:val="00E737C0"/>
    <w:rsid w:val="00E75DD3"/>
    <w:rsid w:val="00E82881"/>
    <w:rsid w:val="00E9078D"/>
    <w:rsid w:val="00E96815"/>
    <w:rsid w:val="00EA4D48"/>
    <w:rsid w:val="00EB524A"/>
    <w:rsid w:val="00EC7686"/>
    <w:rsid w:val="00EC78CF"/>
    <w:rsid w:val="00EE57A5"/>
    <w:rsid w:val="00EF3BF0"/>
    <w:rsid w:val="00F01EE3"/>
    <w:rsid w:val="00F02F4B"/>
    <w:rsid w:val="00F1056F"/>
    <w:rsid w:val="00F11D9F"/>
    <w:rsid w:val="00F14D1B"/>
    <w:rsid w:val="00F156DB"/>
    <w:rsid w:val="00F33CBB"/>
    <w:rsid w:val="00F34FD1"/>
    <w:rsid w:val="00F50507"/>
    <w:rsid w:val="00F50CEA"/>
    <w:rsid w:val="00F6749F"/>
    <w:rsid w:val="00F77B7D"/>
    <w:rsid w:val="00F8358C"/>
    <w:rsid w:val="00F9600D"/>
    <w:rsid w:val="00FB6553"/>
    <w:rsid w:val="00FD18FD"/>
    <w:rsid w:val="00FE00AD"/>
    <w:rsid w:val="00FE1D12"/>
    <w:rsid w:val="00FE25C4"/>
    <w:rsid w:val="00FF6E41"/>
    <w:rsid w:val="01423F24"/>
    <w:rsid w:val="01431A4A"/>
    <w:rsid w:val="0165714A"/>
    <w:rsid w:val="016F68C5"/>
    <w:rsid w:val="019853F7"/>
    <w:rsid w:val="01D80D46"/>
    <w:rsid w:val="01FA6B5C"/>
    <w:rsid w:val="0209362A"/>
    <w:rsid w:val="020D4761"/>
    <w:rsid w:val="021A4886"/>
    <w:rsid w:val="021F26CF"/>
    <w:rsid w:val="021F2CA5"/>
    <w:rsid w:val="025F480D"/>
    <w:rsid w:val="026634DC"/>
    <w:rsid w:val="02CB7F49"/>
    <w:rsid w:val="03237D85"/>
    <w:rsid w:val="035A28EF"/>
    <w:rsid w:val="036C7CCE"/>
    <w:rsid w:val="036F0B74"/>
    <w:rsid w:val="03744955"/>
    <w:rsid w:val="037643CD"/>
    <w:rsid w:val="03837C82"/>
    <w:rsid w:val="03B85085"/>
    <w:rsid w:val="03C87E21"/>
    <w:rsid w:val="03CE407A"/>
    <w:rsid w:val="03F40A20"/>
    <w:rsid w:val="04106133"/>
    <w:rsid w:val="04345EF4"/>
    <w:rsid w:val="044C7C22"/>
    <w:rsid w:val="04BF39A8"/>
    <w:rsid w:val="04D10A4A"/>
    <w:rsid w:val="0554560E"/>
    <w:rsid w:val="05D610DF"/>
    <w:rsid w:val="05EA1FEE"/>
    <w:rsid w:val="06164AF9"/>
    <w:rsid w:val="06294610"/>
    <w:rsid w:val="06711DA1"/>
    <w:rsid w:val="06B01A43"/>
    <w:rsid w:val="06C10522"/>
    <w:rsid w:val="071214F2"/>
    <w:rsid w:val="07502BC5"/>
    <w:rsid w:val="07590995"/>
    <w:rsid w:val="076B31DA"/>
    <w:rsid w:val="078D1C71"/>
    <w:rsid w:val="07A200A1"/>
    <w:rsid w:val="07D048E7"/>
    <w:rsid w:val="07F87CFE"/>
    <w:rsid w:val="085D556B"/>
    <w:rsid w:val="08663850"/>
    <w:rsid w:val="087D3A94"/>
    <w:rsid w:val="088A4E2E"/>
    <w:rsid w:val="089F443E"/>
    <w:rsid w:val="08B74A64"/>
    <w:rsid w:val="08C727F0"/>
    <w:rsid w:val="08DD60BF"/>
    <w:rsid w:val="08E17ACF"/>
    <w:rsid w:val="09016E32"/>
    <w:rsid w:val="09153CCC"/>
    <w:rsid w:val="092A1D77"/>
    <w:rsid w:val="09475EBF"/>
    <w:rsid w:val="09557CF2"/>
    <w:rsid w:val="09950EA6"/>
    <w:rsid w:val="09EB2F2C"/>
    <w:rsid w:val="0A18367D"/>
    <w:rsid w:val="0A2F2679"/>
    <w:rsid w:val="0A3616A9"/>
    <w:rsid w:val="0A36214C"/>
    <w:rsid w:val="0A735B07"/>
    <w:rsid w:val="0A91725E"/>
    <w:rsid w:val="0ACA06AE"/>
    <w:rsid w:val="0ACB20AB"/>
    <w:rsid w:val="0AD60521"/>
    <w:rsid w:val="0AE06360"/>
    <w:rsid w:val="0AF14EA1"/>
    <w:rsid w:val="0AF77559"/>
    <w:rsid w:val="0B074539"/>
    <w:rsid w:val="0B2F2F20"/>
    <w:rsid w:val="0B4C694E"/>
    <w:rsid w:val="0B681FBF"/>
    <w:rsid w:val="0B6F1031"/>
    <w:rsid w:val="0B8C6DF9"/>
    <w:rsid w:val="0B8D75A6"/>
    <w:rsid w:val="0BDD1529"/>
    <w:rsid w:val="0C2740A2"/>
    <w:rsid w:val="0C3B1467"/>
    <w:rsid w:val="0C5E4584"/>
    <w:rsid w:val="0C7B16AC"/>
    <w:rsid w:val="0C816F69"/>
    <w:rsid w:val="0CDA2D97"/>
    <w:rsid w:val="0CDA39F0"/>
    <w:rsid w:val="0CDE7756"/>
    <w:rsid w:val="0CF63E15"/>
    <w:rsid w:val="0D1F42A1"/>
    <w:rsid w:val="0D3D4D95"/>
    <w:rsid w:val="0D467F55"/>
    <w:rsid w:val="0D4B5AF9"/>
    <w:rsid w:val="0D4E6A52"/>
    <w:rsid w:val="0D775CAC"/>
    <w:rsid w:val="0D846F10"/>
    <w:rsid w:val="0D880188"/>
    <w:rsid w:val="0DAA59D8"/>
    <w:rsid w:val="0DF86F00"/>
    <w:rsid w:val="0E134507"/>
    <w:rsid w:val="0E2C0108"/>
    <w:rsid w:val="0E2D1202"/>
    <w:rsid w:val="0E4E1508"/>
    <w:rsid w:val="0EA12902"/>
    <w:rsid w:val="0EF04211"/>
    <w:rsid w:val="0F0873BD"/>
    <w:rsid w:val="0F3629CD"/>
    <w:rsid w:val="0F3A5023"/>
    <w:rsid w:val="0F414B07"/>
    <w:rsid w:val="0F4A6BCD"/>
    <w:rsid w:val="0F591568"/>
    <w:rsid w:val="0F5F7692"/>
    <w:rsid w:val="0F7303B0"/>
    <w:rsid w:val="0F925E63"/>
    <w:rsid w:val="0FAB02D0"/>
    <w:rsid w:val="0FB376F0"/>
    <w:rsid w:val="0FD94280"/>
    <w:rsid w:val="0FE51973"/>
    <w:rsid w:val="0FEB18D7"/>
    <w:rsid w:val="0FEB1D6F"/>
    <w:rsid w:val="100174C5"/>
    <w:rsid w:val="10054FFB"/>
    <w:rsid w:val="10A975EF"/>
    <w:rsid w:val="10BA08BA"/>
    <w:rsid w:val="10DC2023"/>
    <w:rsid w:val="110B3874"/>
    <w:rsid w:val="110D6797"/>
    <w:rsid w:val="11490B15"/>
    <w:rsid w:val="11625667"/>
    <w:rsid w:val="116B1F19"/>
    <w:rsid w:val="1191023F"/>
    <w:rsid w:val="1193615D"/>
    <w:rsid w:val="11AA0FB5"/>
    <w:rsid w:val="121121CD"/>
    <w:rsid w:val="12126943"/>
    <w:rsid w:val="12407B3F"/>
    <w:rsid w:val="12476487"/>
    <w:rsid w:val="1267001C"/>
    <w:rsid w:val="127F7A4D"/>
    <w:rsid w:val="12850556"/>
    <w:rsid w:val="12A85D6B"/>
    <w:rsid w:val="130B0211"/>
    <w:rsid w:val="130B5189"/>
    <w:rsid w:val="133B7FAB"/>
    <w:rsid w:val="136965BC"/>
    <w:rsid w:val="13737D2E"/>
    <w:rsid w:val="139B11DE"/>
    <w:rsid w:val="13ED55EE"/>
    <w:rsid w:val="13EE271D"/>
    <w:rsid w:val="13FD017F"/>
    <w:rsid w:val="140674F8"/>
    <w:rsid w:val="143342B5"/>
    <w:rsid w:val="147D3956"/>
    <w:rsid w:val="14AE0463"/>
    <w:rsid w:val="14C62C53"/>
    <w:rsid w:val="15053916"/>
    <w:rsid w:val="151F6699"/>
    <w:rsid w:val="15447DA3"/>
    <w:rsid w:val="155E338B"/>
    <w:rsid w:val="15791863"/>
    <w:rsid w:val="15EC1CF6"/>
    <w:rsid w:val="161114EA"/>
    <w:rsid w:val="164D2E35"/>
    <w:rsid w:val="1651030E"/>
    <w:rsid w:val="16562A9F"/>
    <w:rsid w:val="166A5AA2"/>
    <w:rsid w:val="1672148B"/>
    <w:rsid w:val="16942329"/>
    <w:rsid w:val="16B24C13"/>
    <w:rsid w:val="16C26A69"/>
    <w:rsid w:val="16CE6AAB"/>
    <w:rsid w:val="16F86885"/>
    <w:rsid w:val="1726068E"/>
    <w:rsid w:val="17316703"/>
    <w:rsid w:val="174560B2"/>
    <w:rsid w:val="17524006"/>
    <w:rsid w:val="175F7A20"/>
    <w:rsid w:val="176166EE"/>
    <w:rsid w:val="176A259A"/>
    <w:rsid w:val="179230B5"/>
    <w:rsid w:val="17A54136"/>
    <w:rsid w:val="17A96653"/>
    <w:rsid w:val="17B21D81"/>
    <w:rsid w:val="17DF7A18"/>
    <w:rsid w:val="17E164A9"/>
    <w:rsid w:val="17EA58D2"/>
    <w:rsid w:val="17ED2798"/>
    <w:rsid w:val="182D0F11"/>
    <w:rsid w:val="183E5F4E"/>
    <w:rsid w:val="18816E3D"/>
    <w:rsid w:val="188E3DFC"/>
    <w:rsid w:val="18C608E6"/>
    <w:rsid w:val="18D551B0"/>
    <w:rsid w:val="192009F5"/>
    <w:rsid w:val="19480EF8"/>
    <w:rsid w:val="1968374A"/>
    <w:rsid w:val="19734691"/>
    <w:rsid w:val="19834F6B"/>
    <w:rsid w:val="1985743E"/>
    <w:rsid w:val="198C0F3B"/>
    <w:rsid w:val="19B03B06"/>
    <w:rsid w:val="19D96F0B"/>
    <w:rsid w:val="19E85764"/>
    <w:rsid w:val="1A232B86"/>
    <w:rsid w:val="1A5C711A"/>
    <w:rsid w:val="1A714CF0"/>
    <w:rsid w:val="1A814CA1"/>
    <w:rsid w:val="1AAD7038"/>
    <w:rsid w:val="1AFE6CB6"/>
    <w:rsid w:val="1B1C7B25"/>
    <w:rsid w:val="1B4F4D9F"/>
    <w:rsid w:val="1B615B0E"/>
    <w:rsid w:val="1B7E75C7"/>
    <w:rsid w:val="1B9B0E32"/>
    <w:rsid w:val="1B9F5E4F"/>
    <w:rsid w:val="1BAD330A"/>
    <w:rsid w:val="1BDC36F2"/>
    <w:rsid w:val="1C2414F4"/>
    <w:rsid w:val="1C2D5AE3"/>
    <w:rsid w:val="1C67349F"/>
    <w:rsid w:val="1C7A0918"/>
    <w:rsid w:val="1C810093"/>
    <w:rsid w:val="1CA22BE9"/>
    <w:rsid w:val="1CA94568"/>
    <w:rsid w:val="1CA968CD"/>
    <w:rsid w:val="1CBA6C0D"/>
    <w:rsid w:val="1CC730D8"/>
    <w:rsid w:val="1CD6400C"/>
    <w:rsid w:val="1CF0262F"/>
    <w:rsid w:val="1CF9107B"/>
    <w:rsid w:val="1CFA0FA2"/>
    <w:rsid w:val="1D240A6A"/>
    <w:rsid w:val="1D2B389C"/>
    <w:rsid w:val="1D385B0F"/>
    <w:rsid w:val="1D4320AC"/>
    <w:rsid w:val="1D5F39E6"/>
    <w:rsid w:val="1DD956F5"/>
    <w:rsid w:val="1E560912"/>
    <w:rsid w:val="1EC11D51"/>
    <w:rsid w:val="1F05596F"/>
    <w:rsid w:val="1F210B6A"/>
    <w:rsid w:val="1F222BF7"/>
    <w:rsid w:val="1F2671B1"/>
    <w:rsid w:val="1F4D4A33"/>
    <w:rsid w:val="1F51312D"/>
    <w:rsid w:val="1F526D55"/>
    <w:rsid w:val="1F7076AD"/>
    <w:rsid w:val="1F885013"/>
    <w:rsid w:val="1FD75351"/>
    <w:rsid w:val="20050785"/>
    <w:rsid w:val="2012006D"/>
    <w:rsid w:val="204E38FE"/>
    <w:rsid w:val="20560998"/>
    <w:rsid w:val="206F2772"/>
    <w:rsid w:val="209B0B03"/>
    <w:rsid w:val="209E6880"/>
    <w:rsid w:val="20AB14B4"/>
    <w:rsid w:val="20CF22D2"/>
    <w:rsid w:val="21142177"/>
    <w:rsid w:val="212E40DA"/>
    <w:rsid w:val="217B0AF2"/>
    <w:rsid w:val="217C494B"/>
    <w:rsid w:val="218B7F63"/>
    <w:rsid w:val="21C829EF"/>
    <w:rsid w:val="21D5153C"/>
    <w:rsid w:val="21F91072"/>
    <w:rsid w:val="22153FB8"/>
    <w:rsid w:val="22467D6B"/>
    <w:rsid w:val="22625D7D"/>
    <w:rsid w:val="227534CC"/>
    <w:rsid w:val="228E7CE1"/>
    <w:rsid w:val="23526096"/>
    <w:rsid w:val="238A6AD1"/>
    <w:rsid w:val="23962B7F"/>
    <w:rsid w:val="23A906E2"/>
    <w:rsid w:val="23AA508F"/>
    <w:rsid w:val="23CC652E"/>
    <w:rsid w:val="24052EC6"/>
    <w:rsid w:val="240C743C"/>
    <w:rsid w:val="242205DF"/>
    <w:rsid w:val="2424430F"/>
    <w:rsid w:val="24380146"/>
    <w:rsid w:val="243879CA"/>
    <w:rsid w:val="24456CEE"/>
    <w:rsid w:val="249653BF"/>
    <w:rsid w:val="24971C81"/>
    <w:rsid w:val="24DC3FB1"/>
    <w:rsid w:val="24EE6F91"/>
    <w:rsid w:val="24FE4F80"/>
    <w:rsid w:val="252E7808"/>
    <w:rsid w:val="25536A4A"/>
    <w:rsid w:val="2595159B"/>
    <w:rsid w:val="25AA2CE7"/>
    <w:rsid w:val="25BD2084"/>
    <w:rsid w:val="25CE25A7"/>
    <w:rsid w:val="26037349"/>
    <w:rsid w:val="26180518"/>
    <w:rsid w:val="26323949"/>
    <w:rsid w:val="265B3884"/>
    <w:rsid w:val="26621519"/>
    <w:rsid w:val="26722E4A"/>
    <w:rsid w:val="268C3224"/>
    <w:rsid w:val="26DB1683"/>
    <w:rsid w:val="26E3420A"/>
    <w:rsid w:val="26F91541"/>
    <w:rsid w:val="26FE46B2"/>
    <w:rsid w:val="271D20B1"/>
    <w:rsid w:val="273A5675"/>
    <w:rsid w:val="274912C3"/>
    <w:rsid w:val="27685787"/>
    <w:rsid w:val="276B56D3"/>
    <w:rsid w:val="276E0B16"/>
    <w:rsid w:val="27733467"/>
    <w:rsid w:val="278E44AA"/>
    <w:rsid w:val="279A222A"/>
    <w:rsid w:val="27BF1CB1"/>
    <w:rsid w:val="27CF188E"/>
    <w:rsid w:val="280676DE"/>
    <w:rsid w:val="28241632"/>
    <w:rsid w:val="28341AE7"/>
    <w:rsid w:val="28672470"/>
    <w:rsid w:val="28BB337B"/>
    <w:rsid w:val="28BE589A"/>
    <w:rsid w:val="28D217D4"/>
    <w:rsid w:val="28E05903"/>
    <w:rsid w:val="29152D0A"/>
    <w:rsid w:val="2921517C"/>
    <w:rsid w:val="2939710B"/>
    <w:rsid w:val="29413716"/>
    <w:rsid w:val="295E434F"/>
    <w:rsid w:val="29601DA3"/>
    <w:rsid w:val="29754832"/>
    <w:rsid w:val="2987256D"/>
    <w:rsid w:val="29BB507A"/>
    <w:rsid w:val="29CE5939"/>
    <w:rsid w:val="29D645DC"/>
    <w:rsid w:val="2A591F7E"/>
    <w:rsid w:val="2A7739C7"/>
    <w:rsid w:val="2A793CAF"/>
    <w:rsid w:val="2AA211B9"/>
    <w:rsid w:val="2AD2569A"/>
    <w:rsid w:val="2AEC6B2B"/>
    <w:rsid w:val="2AEE68BB"/>
    <w:rsid w:val="2B510A87"/>
    <w:rsid w:val="2B576555"/>
    <w:rsid w:val="2B6F0678"/>
    <w:rsid w:val="2B9D427C"/>
    <w:rsid w:val="2B9D6077"/>
    <w:rsid w:val="2BCD4D24"/>
    <w:rsid w:val="2BF4207C"/>
    <w:rsid w:val="2C0B34FA"/>
    <w:rsid w:val="2C314F00"/>
    <w:rsid w:val="2C554CD9"/>
    <w:rsid w:val="2C66471F"/>
    <w:rsid w:val="2C6819C3"/>
    <w:rsid w:val="2C7D20DA"/>
    <w:rsid w:val="2C963707"/>
    <w:rsid w:val="2C9B31BC"/>
    <w:rsid w:val="2CAA35C4"/>
    <w:rsid w:val="2CDB616F"/>
    <w:rsid w:val="2CEC72A3"/>
    <w:rsid w:val="2D024941"/>
    <w:rsid w:val="2D1F3FC6"/>
    <w:rsid w:val="2D230631"/>
    <w:rsid w:val="2D2B2200"/>
    <w:rsid w:val="2D465F06"/>
    <w:rsid w:val="2D48799E"/>
    <w:rsid w:val="2D505AFB"/>
    <w:rsid w:val="2D75015B"/>
    <w:rsid w:val="2DBF7A31"/>
    <w:rsid w:val="2DD85145"/>
    <w:rsid w:val="2E100DC0"/>
    <w:rsid w:val="2E3524C8"/>
    <w:rsid w:val="2E49542F"/>
    <w:rsid w:val="2E897842"/>
    <w:rsid w:val="2E8B2E8B"/>
    <w:rsid w:val="2EBD1298"/>
    <w:rsid w:val="2F162970"/>
    <w:rsid w:val="2F390BC0"/>
    <w:rsid w:val="2F3E5FD5"/>
    <w:rsid w:val="2F457DAF"/>
    <w:rsid w:val="2F624E5B"/>
    <w:rsid w:val="2F851376"/>
    <w:rsid w:val="2FAD422F"/>
    <w:rsid w:val="2FDB73C6"/>
    <w:rsid w:val="2FFF629D"/>
    <w:rsid w:val="30086D8F"/>
    <w:rsid w:val="301804B5"/>
    <w:rsid w:val="3043681D"/>
    <w:rsid w:val="30463938"/>
    <w:rsid w:val="30B00A80"/>
    <w:rsid w:val="31232DD5"/>
    <w:rsid w:val="316A2C3E"/>
    <w:rsid w:val="31B17371"/>
    <w:rsid w:val="31F47E02"/>
    <w:rsid w:val="32004E40"/>
    <w:rsid w:val="326C1BC8"/>
    <w:rsid w:val="326F2A9A"/>
    <w:rsid w:val="329C1328"/>
    <w:rsid w:val="329F03F7"/>
    <w:rsid w:val="32BF1280"/>
    <w:rsid w:val="32BF4DBA"/>
    <w:rsid w:val="32E123A2"/>
    <w:rsid w:val="3323456B"/>
    <w:rsid w:val="332F0109"/>
    <w:rsid w:val="334555F9"/>
    <w:rsid w:val="33492A61"/>
    <w:rsid w:val="33866157"/>
    <w:rsid w:val="338E62A6"/>
    <w:rsid w:val="33A40695"/>
    <w:rsid w:val="33AF10BE"/>
    <w:rsid w:val="33B55247"/>
    <w:rsid w:val="33B90BDF"/>
    <w:rsid w:val="33D36D20"/>
    <w:rsid w:val="33D4621B"/>
    <w:rsid w:val="33DA1E6F"/>
    <w:rsid w:val="33F111AB"/>
    <w:rsid w:val="343E3646"/>
    <w:rsid w:val="345C0B7C"/>
    <w:rsid w:val="34611671"/>
    <w:rsid w:val="349D62DF"/>
    <w:rsid w:val="34A37623"/>
    <w:rsid w:val="34B61C84"/>
    <w:rsid w:val="34BE6897"/>
    <w:rsid w:val="34C870CF"/>
    <w:rsid w:val="34F0372F"/>
    <w:rsid w:val="353B1039"/>
    <w:rsid w:val="354E1DDD"/>
    <w:rsid w:val="35643762"/>
    <w:rsid w:val="35A0162C"/>
    <w:rsid w:val="35B9597A"/>
    <w:rsid w:val="35E7490B"/>
    <w:rsid w:val="35F764FF"/>
    <w:rsid w:val="35FD38BD"/>
    <w:rsid w:val="36071256"/>
    <w:rsid w:val="3664644A"/>
    <w:rsid w:val="36880D03"/>
    <w:rsid w:val="36C26001"/>
    <w:rsid w:val="36F30B34"/>
    <w:rsid w:val="37246703"/>
    <w:rsid w:val="372937B8"/>
    <w:rsid w:val="374B753B"/>
    <w:rsid w:val="37865535"/>
    <w:rsid w:val="379B72C3"/>
    <w:rsid w:val="37A600D9"/>
    <w:rsid w:val="37CE6FD5"/>
    <w:rsid w:val="37D36066"/>
    <w:rsid w:val="37DD0E0A"/>
    <w:rsid w:val="37FD794D"/>
    <w:rsid w:val="380312A8"/>
    <w:rsid w:val="38123D2F"/>
    <w:rsid w:val="381979D3"/>
    <w:rsid w:val="383265D5"/>
    <w:rsid w:val="38A02D03"/>
    <w:rsid w:val="38A32C49"/>
    <w:rsid w:val="38C3109C"/>
    <w:rsid w:val="38C93E61"/>
    <w:rsid w:val="38F94F64"/>
    <w:rsid w:val="393771B2"/>
    <w:rsid w:val="39521898"/>
    <w:rsid w:val="3986644A"/>
    <w:rsid w:val="399E09C8"/>
    <w:rsid w:val="39AD3F79"/>
    <w:rsid w:val="39B44E00"/>
    <w:rsid w:val="39B46C15"/>
    <w:rsid w:val="39D476C7"/>
    <w:rsid w:val="39D53A19"/>
    <w:rsid w:val="3A2623C2"/>
    <w:rsid w:val="3A437DEA"/>
    <w:rsid w:val="3A463062"/>
    <w:rsid w:val="3A4C526C"/>
    <w:rsid w:val="3A536EA3"/>
    <w:rsid w:val="3A5E432A"/>
    <w:rsid w:val="3A6775DB"/>
    <w:rsid w:val="3AC03CA8"/>
    <w:rsid w:val="3AC32CD9"/>
    <w:rsid w:val="3AFC3255"/>
    <w:rsid w:val="3B0F799F"/>
    <w:rsid w:val="3B7A783B"/>
    <w:rsid w:val="3B7B1CA2"/>
    <w:rsid w:val="3BA53B32"/>
    <w:rsid w:val="3BA96372"/>
    <w:rsid w:val="3C0D65A5"/>
    <w:rsid w:val="3C4317FF"/>
    <w:rsid w:val="3C7929EB"/>
    <w:rsid w:val="3C945731"/>
    <w:rsid w:val="3CA346C8"/>
    <w:rsid w:val="3CBE57E4"/>
    <w:rsid w:val="3CC37F2F"/>
    <w:rsid w:val="3CCF105E"/>
    <w:rsid w:val="3D1C1ACB"/>
    <w:rsid w:val="3D450E66"/>
    <w:rsid w:val="3D6836B5"/>
    <w:rsid w:val="3D6A71F6"/>
    <w:rsid w:val="3DB16FED"/>
    <w:rsid w:val="3DB46E9A"/>
    <w:rsid w:val="3DED0EF6"/>
    <w:rsid w:val="3E161ECB"/>
    <w:rsid w:val="3E1A7AB5"/>
    <w:rsid w:val="3E21784F"/>
    <w:rsid w:val="3E360670"/>
    <w:rsid w:val="3E44649A"/>
    <w:rsid w:val="3E5E02DF"/>
    <w:rsid w:val="3E641AD9"/>
    <w:rsid w:val="3E9A57E2"/>
    <w:rsid w:val="3EA923F0"/>
    <w:rsid w:val="3EAB301F"/>
    <w:rsid w:val="3ECB02B0"/>
    <w:rsid w:val="3EFC3727"/>
    <w:rsid w:val="3F3C0C82"/>
    <w:rsid w:val="3F556DF4"/>
    <w:rsid w:val="3F687A8A"/>
    <w:rsid w:val="3F697CA7"/>
    <w:rsid w:val="3F8348E0"/>
    <w:rsid w:val="3F9570A5"/>
    <w:rsid w:val="3F9D7666"/>
    <w:rsid w:val="3FA1384F"/>
    <w:rsid w:val="3FA83A62"/>
    <w:rsid w:val="401E3262"/>
    <w:rsid w:val="403A6402"/>
    <w:rsid w:val="405A2FCF"/>
    <w:rsid w:val="406D492B"/>
    <w:rsid w:val="40945AE1"/>
    <w:rsid w:val="40F55357"/>
    <w:rsid w:val="41024A85"/>
    <w:rsid w:val="411A16FA"/>
    <w:rsid w:val="41206D85"/>
    <w:rsid w:val="4126702E"/>
    <w:rsid w:val="413211FF"/>
    <w:rsid w:val="413D135F"/>
    <w:rsid w:val="420B2206"/>
    <w:rsid w:val="42A13F75"/>
    <w:rsid w:val="42A42425"/>
    <w:rsid w:val="42A762D8"/>
    <w:rsid w:val="42B95262"/>
    <w:rsid w:val="433C165A"/>
    <w:rsid w:val="433D34E8"/>
    <w:rsid w:val="438925E7"/>
    <w:rsid w:val="43923B90"/>
    <w:rsid w:val="43984C88"/>
    <w:rsid w:val="43A93A11"/>
    <w:rsid w:val="43AC6679"/>
    <w:rsid w:val="43DA0BC1"/>
    <w:rsid w:val="43DD2F66"/>
    <w:rsid w:val="4411307B"/>
    <w:rsid w:val="44122CDB"/>
    <w:rsid w:val="44155990"/>
    <w:rsid w:val="44954DF9"/>
    <w:rsid w:val="44B90275"/>
    <w:rsid w:val="44C14826"/>
    <w:rsid w:val="44F52B95"/>
    <w:rsid w:val="45127A01"/>
    <w:rsid w:val="451C4040"/>
    <w:rsid w:val="45763E74"/>
    <w:rsid w:val="45896CF6"/>
    <w:rsid w:val="459B2399"/>
    <w:rsid w:val="45A234C5"/>
    <w:rsid w:val="45A36441"/>
    <w:rsid w:val="45EB4816"/>
    <w:rsid w:val="45F56C73"/>
    <w:rsid w:val="46431CB9"/>
    <w:rsid w:val="46875747"/>
    <w:rsid w:val="468C573F"/>
    <w:rsid w:val="469A4229"/>
    <w:rsid w:val="46A43EC2"/>
    <w:rsid w:val="46AD7A5C"/>
    <w:rsid w:val="46B32903"/>
    <w:rsid w:val="46DD1F2A"/>
    <w:rsid w:val="46F905A8"/>
    <w:rsid w:val="470D2023"/>
    <w:rsid w:val="47192335"/>
    <w:rsid w:val="47332171"/>
    <w:rsid w:val="473C453F"/>
    <w:rsid w:val="47686111"/>
    <w:rsid w:val="476B05A1"/>
    <w:rsid w:val="478A1BBC"/>
    <w:rsid w:val="47B24801"/>
    <w:rsid w:val="47D03DCF"/>
    <w:rsid w:val="47F62507"/>
    <w:rsid w:val="48050DD4"/>
    <w:rsid w:val="4805365E"/>
    <w:rsid w:val="48111808"/>
    <w:rsid w:val="48145615"/>
    <w:rsid w:val="48404786"/>
    <w:rsid w:val="48484B2D"/>
    <w:rsid w:val="484F3DFE"/>
    <w:rsid w:val="485F79BF"/>
    <w:rsid w:val="48625D9D"/>
    <w:rsid w:val="4875388B"/>
    <w:rsid w:val="48767635"/>
    <w:rsid w:val="487D25BC"/>
    <w:rsid w:val="487F6509"/>
    <w:rsid w:val="48837D83"/>
    <w:rsid w:val="48D4251C"/>
    <w:rsid w:val="49C1296B"/>
    <w:rsid w:val="49ED38CE"/>
    <w:rsid w:val="49EE3793"/>
    <w:rsid w:val="4A017B23"/>
    <w:rsid w:val="4A2E6A4A"/>
    <w:rsid w:val="4A3E133F"/>
    <w:rsid w:val="4A95555B"/>
    <w:rsid w:val="4AAA778D"/>
    <w:rsid w:val="4AD20BDA"/>
    <w:rsid w:val="4ADC507E"/>
    <w:rsid w:val="4AEB7295"/>
    <w:rsid w:val="4B121A12"/>
    <w:rsid w:val="4B3A7CE1"/>
    <w:rsid w:val="4B837D85"/>
    <w:rsid w:val="4BA80CF1"/>
    <w:rsid w:val="4BC7393A"/>
    <w:rsid w:val="4BC90193"/>
    <w:rsid w:val="4BE32C32"/>
    <w:rsid w:val="4C027A88"/>
    <w:rsid w:val="4C177611"/>
    <w:rsid w:val="4C2A441A"/>
    <w:rsid w:val="4C491841"/>
    <w:rsid w:val="4C504C94"/>
    <w:rsid w:val="4C8D36E7"/>
    <w:rsid w:val="4C986833"/>
    <w:rsid w:val="4C9B4D41"/>
    <w:rsid w:val="4C9D15DC"/>
    <w:rsid w:val="4CB90DC7"/>
    <w:rsid w:val="4CC65D1A"/>
    <w:rsid w:val="4CFF682F"/>
    <w:rsid w:val="4D1C5957"/>
    <w:rsid w:val="4D2174CF"/>
    <w:rsid w:val="4D951FB6"/>
    <w:rsid w:val="4D97316F"/>
    <w:rsid w:val="4DCC4493"/>
    <w:rsid w:val="4DD31BCA"/>
    <w:rsid w:val="4DEE735D"/>
    <w:rsid w:val="4E1F3F3D"/>
    <w:rsid w:val="4E215F34"/>
    <w:rsid w:val="4E2852C8"/>
    <w:rsid w:val="4E3312F1"/>
    <w:rsid w:val="4E465203"/>
    <w:rsid w:val="4E4E7624"/>
    <w:rsid w:val="4E603C24"/>
    <w:rsid w:val="4E6D1805"/>
    <w:rsid w:val="4E8244AF"/>
    <w:rsid w:val="4E9D21EE"/>
    <w:rsid w:val="4EA83CEB"/>
    <w:rsid w:val="4EF37391"/>
    <w:rsid w:val="4F0330E5"/>
    <w:rsid w:val="4F1C492D"/>
    <w:rsid w:val="4F3C18B2"/>
    <w:rsid w:val="4F573A4F"/>
    <w:rsid w:val="4F9A33CF"/>
    <w:rsid w:val="4FBC3957"/>
    <w:rsid w:val="4FF57980"/>
    <w:rsid w:val="500E0296"/>
    <w:rsid w:val="5023542A"/>
    <w:rsid w:val="502B5623"/>
    <w:rsid w:val="5032662A"/>
    <w:rsid w:val="50566671"/>
    <w:rsid w:val="510140C9"/>
    <w:rsid w:val="510475E0"/>
    <w:rsid w:val="510574A1"/>
    <w:rsid w:val="510C0841"/>
    <w:rsid w:val="511B4B59"/>
    <w:rsid w:val="5128339F"/>
    <w:rsid w:val="514B6505"/>
    <w:rsid w:val="516D38E3"/>
    <w:rsid w:val="51883D8E"/>
    <w:rsid w:val="51940C61"/>
    <w:rsid w:val="51AB5175"/>
    <w:rsid w:val="51F22754"/>
    <w:rsid w:val="51F824BB"/>
    <w:rsid w:val="520A5DFB"/>
    <w:rsid w:val="526F2713"/>
    <w:rsid w:val="5283057B"/>
    <w:rsid w:val="52BB7C58"/>
    <w:rsid w:val="52E071BC"/>
    <w:rsid w:val="530E2443"/>
    <w:rsid w:val="53187C7A"/>
    <w:rsid w:val="5323640D"/>
    <w:rsid w:val="53270B28"/>
    <w:rsid w:val="533649B7"/>
    <w:rsid w:val="533F1E53"/>
    <w:rsid w:val="53453779"/>
    <w:rsid w:val="536856CA"/>
    <w:rsid w:val="53813EA6"/>
    <w:rsid w:val="53904BB1"/>
    <w:rsid w:val="53AA438D"/>
    <w:rsid w:val="53FF492A"/>
    <w:rsid w:val="540F5178"/>
    <w:rsid w:val="54390BFE"/>
    <w:rsid w:val="546D7F23"/>
    <w:rsid w:val="549A0232"/>
    <w:rsid w:val="54AA3A8C"/>
    <w:rsid w:val="54B95EC5"/>
    <w:rsid w:val="54CB0723"/>
    <w:rsid w:val="54DF05FB"/>
    <w:rsid w:val="55182F81"/>
    <w:rsid w:val="554B7D0A"/>
    <w:rsid w:val="55501E7E"/>
    <w:rsid w:val="55784B1B"/>
    <w:rsid w:val="55BA1D79"/>
    <w:rsid w:val="55CB4D49"/>
    <w:rsid w:val="55F76A1D"/>
    <w:rsid w:val="563706ED"/>
    <w:rsid w:val="56413EA5"/>
    <w:rsid w:val="56712969"/>
    <w:rsid w:val="56884E98"/>
    <w:rsid w:val="56924991"/>
    <w:rsid w:val="56C63740"/>
    <w:rsid w:val="56C91A68"/>
    <w:rsid w:val="56CD6408"/>
    <w:rsid w:val="56FB4CDC"/>
    <w:rsid w:val="570A4F0F"/>
    <w:rsid w:val="575624C8"/>
    <w:rsid w:val="575E605E"/>
    <w:rsid w:val="576311BA"/>
    <w:rsid w:val="57D7775E"/>
    <w:rsid w:val="57EE40DE"/>
    <w:rsid w:val="57F917D3"/>
    <w:rsid w:val="58196CEC"/>
    <w:rsid w:val="582F73D2"/>
    <w:rsid w:val="5840238B"/>
    <w:rsid w:val="586D2AC3"/>
    <w:rsid w:val="58765C5B"/>
    <w:rsid w:val="589E0E93"/>
    <w:rsid w:val="590B5B1F"/>
    <w:rsid w:val="591666E5"/>
    <w:rsid w:val="59176660"/>
    <w:rsid w:val="59926240"/>
    <w:rsid w:val="59930866"/>
    <w:rsid w:val="59A25B0F"/>
    <w:rsid w:val="59A8546F"/>
    <w:rsid w:val="59B40AA8"/>
    <w:rsid w:val="59B55BC8"/>
    <w:rsid w:val="59FB201F"/>
    <w:rsid w:val="5A8347E3"/>
    <w:rsid w:val="5ABD472B"/>
    <w:rsid w:val="5AE35843"/>
    <w:rsid w:val="5AEF4361"/>
    <w:rsid w:val="5AF52110"/>
    <w:rsid w:val="5B1204F1"/>
    <w:rsid w:val="5B194CD3"/>
    <w:rsid w:val="5B2030B3"/>
    <w:rsid w:val="5B834AED"/>
    <w:rsid w:val="5BDB3ECE"/>
    <w:rsid w:val="5BE675EC"/>
    <w:rsid w:val="5C1817C0"/>
    <w:rsid w:val="5C3B4476"/>
    <w:rsid w:val="5C5114DC"/>
    <w:rsid w:val="5C7B4C4B"/>
    <w:rsid w:val="5CA2774F"/>
    <w:rsid w:val="5CAC5787"/>
    <w:rsid w:val="5CB32AB9"/>
    <w:rsid w:val="5CFD6460"/>
    <w:rsid w:val="5D18743D"/>
    <w:rsid w:val="5D2033B6"/>
    <w:rsid w:val="5D331D0C"/>
    <w:rsid w:val="5D5A52EE"/>
    <w:rsid w:val="5DAB2616"/>
    <w:rsid w:val="5DDD4FFC"/>
    <w:rsid w:val="5E0D5D5F"/>
    <w:rsid w:val="5E7B45C1"/>
    <w:rsid w:val="5E8354A3"/>
    <w:rsid w:val="5E952B8C"/>
    <w:rsid w:val="5EAD0960"/>
    <w:rsid w:val="5EBD1ABC"/>
    <w:rsid w:val="5EE65895"/>
    <w:rsid w:val="5F1A3A18"/>
    <w:rsid w:val="5F322664"/>
    <w:rsid w:val="5F3D4855"/>
    <w:rsid w:val="5F8403D9"/>
    <w:rsid w:val="5F9C623F"/>
    <w:rsid w:val="5FA748FE"/>
    <w:rsid w:val="5FEF76B3"/>
    <w:rsid w:val="60246F68"/>
    <w:rsid w:val="60314542"/>
    <w:rsid w:val="604374AD"/>
    <w:rsid w:val="605D29DA"/>
    <w:rsid w:val="606F64C1"/>
    <w:rsid w:val="60DD5FF3"/>
    <w:rsid w:val="60E63C33"/>
    <w:rsid w:val="61113C82"/>
    <w:rsid w:val="612C0C42"/>
    <w:rsid w:val="613E6B33"/>
    <w:rsid w:val="61507D97"/>
    <w:rsid w:val="615C7039"/>
    <w:rsid w:val="615D0A39"/>
    <w:rsid w:val="61915576"/>
    <w:rsid w:val="61942389"/>
    <w:rsid w:val="61B52159"/>
    <w:rsid w:val="61C96995"/>
    <w:rsid w:val="61D07906"/>
    <w:rsid w:val="61FF3DA0"/>
    <w:rsid w:val="6205072F"/>
    <w:rsid w:val="621F4953"/>
    <w:rsid w:val="62443D64"/>
    <w:rsid w:val="62CF71F9"/>
    <w:rsid w:val="62E05B1A"/>
    <w:rsid w:val="62FE2E0A"/>
    <w:rsid w:val="62FF7D00"/>
    <w:rsid w:val="630A2C35"/>
    <w:rsid w:val="630A4761"/>
    <w:rsid w:val="63132E06"/>
    <w:rsid w:val="63416F57"/>
    <w:rsid w:val="637745AC"/>
    <w:rsid w:val="63782BD8"/>
    <w:rsid w:val="63A40D7B"/>
    <w:rsid w:val="63B04FD9"/>
    <w:rsid w:val="64067FA2"/>
    <w:rsid w:val="6418197E"/>
    <w:rsid w:val="641C0268"/>
    <w:rsid w:val="642E137A"/>
    <w:rsid w:val="643B49CF"/>
    <w:rsid w:val="645D1142"/>
    <w:rsid w:val="646769AA"/>
    <w:rsid w:val="647B02FD"/>
    <w:rsid w:val="64EF3851"/>
    <w:rsid w:val="64F7065E"/>
    <w:rsid w:val="64F71F4E"/>
    <w:rsid w:val="65192323"/>
    <w:rsid w:val="651A0203"/>
    <w:rsid w:val="654F6076"/>
    <w:rsid w:val="658874BF"/>
    <w:rsid w:val="659D459B"/>
    <w:rsid w:val="65D9769B"/>
    <w:rsid w:val="65DE2E35"/>
    <w:rsid w:val="664D5842"/>
    <w:rsid w:val="668E558C"/>
    <w:rsid w:val="668F38C9"/>
    <w:rsid w:val="66A15F8C"/>
    <w:rsid w:val="66D40957"/>
    <w:rsid w:val="66E736EF"/>
    <w:rsid w:val="66E91464"/>
    <w:rsid w:val="66EA59CC"/>
    <w:rsid w:val="66FD62DF"/>
    <w:rsid w:val="66FF3893"/>
    <w:rsid w:val="670B79C8"/>
    <w:rsid w:val="674D643B"/>
    <w:rsid w:val="67765C6D"/>
    <w:rsid w:val="677E1BB2"/>
    <w:rsid w:val="679940EF"/>
    <w:rsid w:val="67BE6269"/>
    <w:rsid w:val="67E26D07"/>
    <w:rsid w:val="680416B1"/>
    <w:rsid w:val="681D5FEE"/>
    <w:rsid w:val="686D47D1"/>
    <w:rsid w:val="687234C5"/>
    <w:rsid w:val="6892330A"/>
    <w:rsid w:val="689E221B"/>
    <w:rsid w:val="68A609B4"/>
    <w:rsid w:val="68AF11C7"/>
    <w:rsid w:val="68E6306A"/>
    <w:rsid w:val="68E70185"/>
    <w:rsid w:val="68EE258F"/>
    <w:rsid w:val="68F360D7"/>
    <w:rsid w:val="68F91369"/>
    <w:rsid w:val="691E7C52"/>
    <w:rsid w:val="69595686"/>
    <w:rsid w:val="696B2113"/>
    <w:rsid w:val="698E432E"/>
    <w:rsid w:val="69982030"/>
    <w:rsid w:val="69992087"/>
    <w:rsid w:val="69AE0348"/>
    <w:rsid w:val="6A3A710B"/>
    <w:rsid w:val="6A3E2A04"/>
    <w:rsid w:val="6A6178C5"/>
    <w:rsid w:val="6A794558"/>
    <w:rsid w:val="6A7E1356"/>
    <w:rsid w:val="6A826A16"/>
    <w:rsid w:val="6A8553A6"/>
    <w:rsid w:val="6A9D79A6"/>
    <w:rsid w:val="6ABD487E"/>
    <w:rsid w:val="6AC95AE7"/>
    <w:rsid w:val="6AD272FC"/>
    <w:rsid w:val="6ADB088E"/>
    <w:rsid w:val="6ADC53BD"/>
    <w:rsid w:val="6ADC5A6A"/>
    <w:rsid w:val="6AF905A1"/>
    <w:rsid w:val="6B1465D4"/>
    <w:rsid w:val="6B3A0B47"/>
    <w:rsid w:val="6B6D15B6"/>
    <w:rsid w:val="6B6E6FC2"/>
    <w:rsid w:val="6BC622F7"/>
    <w:rsid w:val="6C4B55FE"/>
    <w:rsid w:val="6C536C92"/>
    <w:rsid w:val="6D0B69C9"/>
    <w:rsid w:val="6D5362F6"/>
    <w:rsid w:val="6D806E3B"/>
    <w:rsid w:val="6DBD5B53"/>
    <w:rsid w:val="6DED4E30"/>
    <w:rsid w:val="6E150720"/>
    <w:rsid w:val="6E7D5CCE"/>
    <w:rsid w:val="6E822886"/>
    <w:rsid w:val="6ED96009"/>
    <w:rsid w:val="6EEE6670"/>
    <w:rsid w:val="6F07697E"/>
    <w:rsid w:val="6F126316"/>
    <w:rsid w:val="6F1674AC"/>
    <w:rsid w:val="6F1B1208"/>
    <w:rsid w:val="6F2C5D3A"/>
    <w:rsid w:val="6F2D5266"/>
    <w:rsid w:val="6F54601A"/>
    <w:rsid w:val="6F6D20B0"/>
    <w:rsid w:val="6F7B1890"/>
    <w:rsid w:val="6F7B388D"/>
    <w:rsid w:val="6FAA4F01"/>
    <w:rsid w:val="6FAA6F01"/>
    <w:rsid w:val="6FB95B0B"/>
    <w:rsid w:val="6FBB4DFF"/>
    <w:rsid w:val="6FE109BE"/>
    <w:rsid w:val="6FE473BF"/>
    <w:rsid w:val="70005458"/>
    <w:rsid w:val="7029414E"/>
    <w:rsid w:val="702E0619"/>
    <w:rsid w:val="703557D0"/>
    <w:rsid w:val="706C6A24"/>
    <w:rsid w:val="70C47306"/>
    <w:rsid w:val="70EC0C42"/>
    <w:rsid w:val="70F6048D"/>
    <w:rsid w:val="70F63FC9"/>
    <w:rsid w:val="7132597E"/>
    <w:rsid w:val="7145521E"/>
    <w:rsid w:val="71665B90"/>
    <w:rsid w:val="716A529F"/>
    <w:rsid w:val="716C455C"/>
    <w:rsid w:val="717E2EDA"/>
    <w:rsid w:val="71AA0173"/>
    <w:rsid w:val="71AA6C18"/>
    <w:rsid w:val="71DA6D20"/>
    <w:rsid w:val="71DD7C5B"/>
    <w:rsid w:val="7256744C"/>
    <w:rsid w:val="72583B66"/>
    <w:rsid w:val="726D5B10"/>
    <w:rsid w:val="728D417C"/>
    <w:rsid w:val="72CE407D"/>
    <w:rsid w:val="72D330A6"/>
    <w:rsid w:val="72DE0766"/>
    <w:rsid w:val="73187C51"/>
    <w:rsid w:val="732C1A50"/>
    <w:rsid w:val="732C7D50"/>
    <w:rsid w:val="733E745C"/>
    <w:rsid w:val="7357572F"/>
    <w:rsid w:val="73865F71"/>
    <w:rsid w:val="739566DA"/>
    <w:rsid w:val="7398003B"/>
    <w:rsid w:val="739E5A62"/>
    <w:rsid w:val="73B71809"/>
    <w:rsid w:val="73BC72EA"/>
    <w:rsid w:val="73D834C2"/>
    <w:rsid w:val="74266B54"/>
    <w:rsid w:val="74767E7F"/>
    <w:rsid w:val="749D628C"/>
    <w:rsid w:val="7513594C"/>
    <w:rsid w:val="75172F05"/>
    <w:rsid w:val="753A7BAE"/>
    <w:rsid w:val="75412B9C"/>
    <w:rsid w:val="754A2052"/>
    <w:rsid w:val="75665467"/>
    <w:rsid w:val="756A2CCD"/>
    <w:rsid w:val="757C3038"/>
    <w:rsid w:val="75D55155"/>
    <w:rsid w:val="7680022E"/>
    <w:rsid w:val="76956DE9"/>
    <w:rsid w:val="769F4072"/>
    <w:rsid w:val="76AC3EF4"/>
    <w:rsid w:val="76AC6402"/>
    <w:rsid w:val="76C059AC"/>
    <w:rsid w:val="77083859"/>
    <w:rsid w:val="77203C9A"/>
    <w:rsid w:val="777121EE"/>
    <w:rsid w:val="777F6EA5"/>
    <w:rsid w:val="779D7E32"/>
    <w:rsid w:val="77DA10F9"/>
    <w:rsid w:val="77F44DF9"/>
    <w:rsid w:val="77FD5BCE"/>
    <w:rsid w:val="780753B3"/>
    <w:rsid w:val="781951CD"/>
    <w:rsid w:val="782C7B34"/>
    <w:rsid w:val="78386EAA"/>
    <w:rsid w:val="783F1588"/>
    <w:rsid w:val="784254D8"/>
    <w:rsid w:val="78455757"/>
    <w:rsid w:val="78476C5D"/>
    <w:rsid w:val="784A21E6"/>
    <w:rsid w:val="784E3B44"/>
    <w:rsid w:val="78626FA7"/>
    <w:rsid w:val="78651557"/>
    <w:rsid w:val="787313AE"/>
    <w:rsid w:val="788D668F"/>
    <w:rsid w:val="789655F3"/>
    <w:rsid w:val="789926C4"/>
    <w:rsid w:val="78C80EDF"/>
    <w:rsid w:val="78E827A9"/>
    <w:rsid w:val="78FE1BD2"/>
    <w:rsid w:val="792C1D97"/>
    <w:rsid w:val="79663965"/>
    <w:rsid w:val="797C5869"/>
    <w:rsid w:val="797E1F36"/>
    <w:rsid w:val="798C22C8"/>
    <w:rsid w:val="79AA7E9C"/>
    <w:rsid w:val="79C0507A"/>
    <w:rsid w:val="79C977A3"/>
    <w:rsid w:val="79DF6906"/>
    <w:rsid w:val="7A19629D"/>
    <w:rsid w:val="7A1F6F77"/>
    <w:rsid w:val="7A3745DC"/>
    <w:rsid w:val="7A490BC9"/>
    <w:rsid w:val="7A812A54"/>
    <w:rsid w:val="7A8C172A"/>
    <w:rsid w:val="7B0836FF"/>
    <w:rsid w:val="7B1E128A"/>
    <w:rsid w:val="7B2715D6"/>
    <w:rsid w:val="7B2D6D44"/>
    <w:rsid w:val="7B340AAD"/>
    <w:rsid w:val="7B377F3A"/>
    <w:rsid w:val="7B916A17"/>
    <w:rsid w:val="7BBD4959"/>
    <w:rsid w:val="7BEE5628"/>
    <w:rsid w:val="7BFFC458"/>
    <w:rsid w:val="7C580611"/>
    <w:rsid w:val="7C606BB1"/>
    <w:rsid w:val="7C90293E"/>
    <w:rsid w:val="7CD21C1C"/>
    <w:rsid w:val="7D041F52"/>
    <w:rsid w:val="7D34594F"/>
    <w:rsid w:val="7D6F3D4F"/>
    <w:rsid w:val="7D756768"/>
    <w:rsid w:val="7D7A1872"/>
    <w:rsid w:val="7D7D7B35"/>
    <w:rsid w:val="7DB05D0B"/>
    <w:rsid w:val="7DB62B57"/>
    <w:rsid w:val="7DD722F0"/>
    <w:rsid w:val="7E02215E"/>
    <w:rsid w:val="7E12071B"/>
    <w:rsid w:val="7E2339C1"/>
    <w:rsid w:val="7EE86212"/>
    <w:rsid w:val="7F0843CD"/>
    <w:rsid w:val="7F1255AA"/>
    <w:rsid w:val="7F52665E"/>
    <w:rsid w:val="7F9721A4"/>
    <w:rsid w:val="7FAF2DF8"/>
    <w:rsid w:val="7FC20D7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uiPriority="39" w:name="toc 4"/>
    <w:lsdException w:uiPriority="39" w:name="toc 5"/>
    <w:lsdException w:qFormat="1" w:unhideWhenUsed="0" w:uiPriority="0" w:semiHidden="0" w:name="toc 6"/>
    <w:lsdException w:uiPriority="39" w:name="toc 7"/>
    <w:lsdException w:uiPriority="39" w:name="toc 8"/>
    <w:lsdException w:qFormat="1" w:unhideWhenUsed="0" w:uiPriority="0" w:semiHidden="0" w:name="toc 9"/>
    <w:lsdException w:qFormat="1" w:unhideWhenUsed="0" w:uiPriority="0" w:semiHidden="0" w:name="Normal Indent"/>
    <w:lsdException w:uiPriority="99"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nhideWhenUsed="0" w:uiPriority="0" w:semiHidden="0" w:name="Body Text First Indent"/>
    <w:lsdException w:uiPriority="99"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uiPriority="99"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qFormat="1"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qFormat="1" w:unhideWhenUsed="0" w:uiPriority="99" w:name="Placeholder Text"/>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snapToGrid w:val="0"/>
      <w:sz w:val="21"/>
      <w:lang w:val="en-US" w:eastAsia="zh-CN" w:bidi="ar-SA"/>
    </w:rPr>
  </w:style>
  <w:style w:type="paragraph" w:styleId="2">
    <w:name w:val="heading 1"/>
    <w:basedOn w:val="1"/>
    <w:next w:val="1"/>
    <w:link w:val="68"/>
    <w:qFormat/>
    <w:uiPriority w:val="0"/>
    <w:pPr>
      <w:keepNext/>
      <w:keepLines/>
      <w:adjustRightInd w:val="0"/>
      <w:spacing w:line="360" w:lineRule="auto"/>
      <w:jc w:val="center"/>
      <w:outlineLvl w:val="0"/>
    </w:pPr>
    <w:rPr>
      <w:rFonts w:eastAsia="黑体"/>
      <w:b/>
      <w:snapToGrid/>
      <w:kern w:val="44"/>
      <w:sz w:val="36"/>
    </w:rPr>
  </w:style>
  <w:style w:type="paragraph" w:styleId="3">
    <w:name w:val="heading 2"/>
    <w:basedOn w:val="1"/>
    <w:next w:val="1"/>
    <w:qFormat/>
    <w:uiPriority w:val="0"/>
    <w:pPr>
      <w:keepNext/>
      <w:keepLines/>
      <w:spacing w:line="413" w:lineRule="auto"/>
      <w:outlineLvl w:val="1"/>
    </w:pPr>
    <w:rPr>
      <w:rFonts w:ascii="Arial" w:hAnsi="Arial" w:eastAsia="黑体"/>
      <w:sz w:val="28"/>
    </w:rPr>
  </w:style>
  <w:style w:type="paragraph" w:styleId="4">
    <w:name w:val="heading 3"/>
    <w:basedOn w:val="1"/>
    <w:next w:val="1"/>
    <w:qFormat/>
    <w:uiPriority w:val="0"/>
    <w:pPr>
      <w:keepNext/>
      <w:tabs>
        <w:tab w:val="left" w:pos="1275"/>
      </w:tabs>
      <w:spacing w:line="216" w:lineRule="auto"/>
      <w:ind w:left="1275" w:hanging="720"/>
      <w:outlineLvl w:val="2"/>
    </w:pPr>
    <w:rPr>
      <w:rFonts w:ascii="宋体"/>
      <w:b/>
      <w:snapToGrid/>
      <w:kern w:val="2"/>
      <w:sz w:val="28"/>
    </w:rPr>
  </w:style>
  <w:style w:type="paragraph" w:styleId="5">
    <w:name w:val="heading 4"/>
    <w:basedOn w:val="1"/>
    <w:next w:val="1"/>
    <w:qFormat/>
    <w:uiPriority w:val="0"/>
    <w:pPr>
      <w:keepNext/>
      <w:tabs>
        <w:tab w:val="left" w:pos="1035"/>
      </w:tabs>
      <w:spacing w:line="216" w:lineRule="auto"/>
      <w:ind w:left="1035" w:hanging="420"/>
      <w:outlineLvl w:val="3"/>
    </w:pPr>
    <w:rPr>
      <w:rFonts w:ascii="黑体" w:eastAsia="黑体"/>
      <w:b/>
      <w:snapToGrid/>
      <w:kern w:val="2"/>
      <w:sz w:val="24"/>
    </w:rPr>
  </w:style>
  <w:style w:type="paragraph" w:styleId="6">
    <w:name w:val="heading 5"/>
    <w:basedOn w:val="1"/>
    <w:next w:val="1"/>
    <w:qFormat/>
    <w:uiPriority w:val="0"/>
    <w:pPr>
      <w:keepNext/>
      <w:keepLines/>
      <w:spacing w:line="376" w:lineRule="auto"/>
      <w:outlineLvl w:val="4"/>
    </w:pPr>
    <w:rPr>
      <w:b/>
      <w:bCs/>
      <w:sz w:val="28"/>
      <w:szCs w:val="28"/>
    </w:rPr>
  </w:style>
  <w:style w:type="character" w:default="1" w:styleId="35">
    <w:name w:val="Default Paragraph Font"/>
    <w:semiHidden/>
    <w:unhideWhenUsed/>
    <w:qFormat/>
    <w:uiPriority w:val="1"/>
  </w:style>
  <w:style w:type="table" w:default="1" w:styleId="32">
    <w:name w:val="Normal Table"/>
    <w:semiHidden/>
    <w:unhideWhenUsed/>
    <w:qFormat/>
    <w:uiPriority w:val="99"/>
    <w:tblPr>
      <w:tblCellMar>
        <w:top w:w="0" w:type="dxa"/>
        <w:left w:w="108" w:type="dxa"/>
        <w:bottom w:w="0" w:type="dxa"/>
        <w:right w:w="108" w:type="dxa"/>
      </w:tblCellMar>
    </w:tblPr>
  </w:style>
  <w:style w:type="paragraph" w:styleId="7">
    <w:name w:val="Normal Indent"/>
    <w:basedOn w:val="1"/>
    <w:next w:val="1"/>
    <w:link w:val="45"/>
    <w:qFormat/>
    <w:uiPriority w:val="0"/>
    <w:pPr>
      <w:ind w:firstLine="420"/>
    </w:pPr>
    <w:rPr>
      <w:snapToGrid/>
      <w:kern w:val="2"/>
    </w:rPr>
  </w:style>
  <w:style w:type="paragraph" w:styleId="8">
    <w:name w:val="Document Map"/>
    <w:basedOn w:val="1"/>
    <w:qFormat/>
    <w:uiPriority w:val="0"/>
    <w:pPr>
      <w:shd w:val="clear" w:color="auto" w:fill="000080"/>
    </w:pPr>
  </w:style>
  <w:style w:type="paragraph" w:styleId="9">
    <w:name w:val="annotation text"/>
    <w:basedOn w:val="1"/>
    <w:link w:val="46"/>
    <w:qFormat/>
    <w:uiPriority w:val="0"/>
    <w:pPr>
      <w:jc w:val="left"/>
    </w:pPr>
    <w:rPr>
      <w:snapToGrid/>
      <w:kern w:val="2"/>
    </w:rPr>
  </w:style>
  <w:style w:type="paragraph" w:styleId="10">
    <w:name w:val="Body Text 3"/>
    <w:basedOn w:val="1"/>
    <w:qFormat/>
    <w:uiPriority w:val="0"/>
    <w:pPr>
      <w:spacing w:line="480" w:lineRule="exact"/>
    </w:pPr>
    <w:rPr>
      <w:snapToGrid/>
      <w:kern w:val="2"/>
      <w:sz w:val="16"/>
    </w:rPr>
  </w:style>
  <w:style w:type="paragraph" w:styleId="11">
    <w:name w:val="Body Text"/>
    <w:basedOn w:val="1"/>
    <w:next w:val="1"/>
    <w:link w:val="47"/>
    <w:qFormat/>
    <w:uiPriority w:val="0"/>
    <w:rPr>
      <w:snapToGrid/>
    </w:rPr>
  </w:style>
  <w:style w:type="paragraph" w:styleId="12">
    <w:name w:val="Body Text Indent"/>
    <w:basedOn w:val="1"/>
    <w:qFormat/>
    <w:uiPriority w:val="0"/>
    <w:pPr>
      <w:adjustRightInd w:val="0"/>
      <w:spacing w:line="360" w:lineRule="auto"/>
      <w:ind w:firstLine="490"/>
      <w:jc w:val="left"/>
    </w:pPr>
    <w:rPr>
      <w:rFonts w:hint="eastAsia" w:ascii="宋体" w:hAnsi="宋体"/>
      <w:sz w:val="24"/>
    </w:rPr>
  </w:style>
  <w:style w:type="paragraph" w:styleId="13">
    <w:name w:val="Block Text"/>
    <w:basedOn w:val="1"/>
    <w:qFormat/>
    <w:uiPriority w:val="0"/>
    <w:pPr>
      <w:adjustRightInd w:val="0"/>
      <w:snapToGrid w:val="0"/>
      <w:spacing w:line="300" w:lineRule="auto"/>
      <w:ind w:left="958" w:right="-120" w:rightChars="-120"/>
      <w:jc w:val="left"/>
    </w:pPr>
    <w:rPr>
      <w:rFonts w:hint="eastAsia" w:ascii="宋体" w:hAnsi="宋体"/>
      <w:snapToGrid/>
      <w:kern w:val="2"/>
      <w:sz w:val="28"/>
    </w:rPr>
  </w:style>
  <w:style w:type="paragraph" w:styleId="14">
    <w:name w:val="toc 3"/>
    <w:basedOn w:val="1"/>
    <w:next w:val="1"/>
    <w:qFormat/>
    <w:uiPriority w:val="0"/>
    <w:pPr>
      <w:ind w:left="840" w:leftChars="400"/>
    </w:pPr>
  </w:style>
  <w:style w:type="paragraph" w:styleId="15">
    <w:name w:val="Plain Text"/>
    <w:basedOn w:val="1"/>
    <w:link w:val="44"/>
    <w:qFormat/>
    <w:uiPriority w:val="0"/>
    <w:rPr>
      <w:rFonts w:ascii="宋体" w:hAnsi="Courier New"/>
      <w:snapToGrid/>
      <w:sz w:val="18"/>
    </w:rPr>
  </w:style>
  <w:style w:type="paragraph" w:styleId="16">
    <w:name w:val="Date"/>
    <w:basedOn w:val="1"/>
    <w:next w:val="1"/>
    <w:qFormat/>
    <w:uiPriority w:val="0"/>
    <w:pPr>
      <w:ind w:left="2500" w:leftChars="2500"/>
    </w:pPr>
    <w:rPr>
      <w:rFonts w:hint="eastAsia" w:ascii="宋体" w:hAnsi="宋体"/>
      <w:snapToGrid/>
      <w:kern w:val="2"/>
      <w:sz w:val="24"/>
    </w:rPr>
  </w:style>
  <w:style w:type="paragraph" w:styleId="17">
    <w:name w:val="Body Text Indent 2"/>
    <w:basedOn w:val="1"/>
    <w:qFormat/>
    <w:uiPriority w:val="0"/>
    <w:pPr>
      <w:spacing w:line="480" w:lineRule="auto"/>
      <w:ind w:left="420" w:leftChars="200"/>
    </w:pPr>
    <w:rPr>
      <w:snapToGrid/>
      <w:kern w:val="2"/>
    </w:rPr>
  </w:style>
  <w:style w:type="paragraph" w:styleId="18">
    <w:name w:val="Balloon Text"/>
    <w:basedOn w:val="1"/>
    <w:qFormat/>
    <w:uiPriority w:val="0"/>
    <w:rPr>
      <w:sz w:val="18"/>
    </w:rPr>
  </w:style>
  <w:style w:type="paragraph" w:styleId="19">
    <w:name w:val="footer"/>
    <w:basedOn w:val="1"/>
    <w:qFormat/>
    <w:uiPriority w:val="0"/>
    <w:pPr>
      <w:tabs>
        <w:tab w:val="center" w:pos="4153"/>
        <w:tab w:val="right" w:pos="8306"/>
      </w:tabs>
      <w:snapToGrid w:val="0"/>
      <w:jc w:val="left"/>
    </w:pPr>
    <w:rPr>
      <w:sz w:val="18"/>
    </w:rPr>
  </w:style>
  <w:style w:type="paragraph" w:styleId="20">
    <w:name w:val="header"/>
    <w:basedOn w:val="1"/>
    <w:link w:val="48"/>
    <w:qFormat/>
    <w:uiPriority w:val="0"/>
    <w:pPr>
      <w:pBdr>
        <w:bottom w:val="single" w:color="auto" w:sz="6" w:space="1"/>
      </w:pBdr>
      <w:tabs>
        <w:tab w:val="center" w:pos="4153"/>
        <w:tab w:val="right" w:pos="8306"/>
      </w:tabs>
      <w:snapToGrid w:val="0"/>
      <w:jc w:val="center"/>
    </w:pPr>
    <w:rPr>
      <w:sz w:val="18"/>
    </w:rPr>
  </w:style>
  <w:style w:type="paragraph" w:styleId="21">
    <w:name w:val="toc 1"/>
    <w:basedOn w:val="1"/>
    <w:next w:val="1"/>
    <w:qFormat/>
    <w:uiPriority w:val="0"/>
    <w:pPr>
      <w:spacing w:line="360" w:lineRule="atLeast"/>
      <w:ind w:firstLine="100" w:firstLineChars="50"/>
      <w:jc w:val="center"/>
    </w:pPr>
    <w:rPr>
      <w:rFonts w:ascii="宋体" w:hAnsi="宋体"/>
      <w:caps/>
      <w:sz w:val="20"/>
    </w:rPr>
  </w:style>
  <w:style w:type="paragraph" w:styleId="22">
    <w:name w:val="Subtitle"/>
    <w:basedOn w:val="1"/>
    <w:next w:val="1"/>
    <w:qFormat/>
    <w:uiPriority w:val="0"/>
    <w:pPr>
      <w:spacing w:line="312" w:lineRule="auto"/>
      <w:jc w:val="center"/>
      <w:outlineLvl w:val="1"/>
    </w:pPr>
    <w:rPr>
      <w:rFonts w:ascii="Cambria" w:hAnsi="Cambria"/>
      <w:b/>
      <w:bCs/>
      <w:kern w:val="28"/>
      <w:sz w:val="32"/>
      <w:szCs w:val="32"/>
    </w:rPr>
  </w:style>
  <w:style w:type="paragraph" w:styleId="23">
    <w:name w:val="toc 6"/>
    <w:basedOn w:val="1"/>
    <w:next w:val="1"/>
    <w:qFormat/>
    <w:uiPriority w:val="0"/>
    <w:pPr>
      <w:ind w:left="1050"/>
      <w:jc w:val="left"/>
    </w:pPr>
    <w:rPr>
      <w:rFonts w:ascii="仿宋_GB2312" w:eastAsia="仿宋_GB2312"/>
      <w:sz w:val="18"/>
      <w:szCs w:val="18"/>
    </w:rPr>
  </w:style>
  <w:style w:type="paragraph" w:styleId="24">
    <w:name w:val="Body Text Indent 3"/>
    <w:basedOn w:val="1"/>
    <w:qFormat/>
    <w:uiPriority w:val="0"/>
    <w:pPr>
      <w:ind w:left="420" w:leftChars="200"/>
    </w:pPr>
    <w:rPr>
      <w:sz w:val="16"/>
    </w:rPr>
  </w:style>
  <w:style w:type="paragraph" w:styleId="25">
    <w:name w:val="toc 2"/>
    <w:basedOn w:val="1"/>
    <w:next w:val="1"/>
    <w:qFormat/>
    <w:uiPriority w:val="0"/>
    <w:pPr>
      <w:ind w:left="420" w:leftChars="200"/>
    </w:pPr>
  </w:style>
  <w:style w:type="paragraph" w:styleId="26">
    <w:name w:val="toc 9"/>
    <w:basedOn w:val="1"/>
    <w:next w:val="1"/>
    <w:qFormat/>
    <w:uiPriority w:val="0"/>
    <w:pPr>
      <w:ind w:left="1680"/>
      <w:jc w:val="left"/>
    </w:pPr>
    <w:rPr>
      <w:sz w:val="18"/>
      <w:szCs w:val="18"/>
    </w:rPr>
  </w:style>
  <w:style w:type="paragraph" w:styleId="27">
    <w:name w:val="Body Text 2"/>
    <w:basedOn w:val="1"/>
    <w:link w:val="49"/>
    <w:qFormat/>
    <w:uiPriority w:val="0"/>
    <w:pPr>
      <w:spacing w:line="120" w:lineRule="atLeast"/>
    </w:pPr>
    <w:rPr>
      <w:snapToGrid/>
      <w:kern w:val="2"/>
      <w:sz w:val="24"/>
    </w:rPr>
  </w:style>
  <w:style w:type="paragraph" w:styleId="28">
    <w:name w:val="Normal (Web)"/>
    <w:basedOn w:val="1"/>
    <w:link w:val="50"/>
    <w:qFormat/>
    <w:uiPriority w:val="0"/>
    <w:pPr>
      <w:widowControl/>
      <w:spacing w:beforeAutospacing="1" w:afterAutospacing="1"/>
      <w:jc w:val="left"/>
    </w:pPr>
    <w:rPr>
      <w:rFonts w:ascii="宋体" w:hAnsi="宋体"/>
      <w:snapToGrid/>
      <w:sz w:val="24"/>
    </w:rPr>
  </w:style>
  <w:style w:type="paragraph" w:styleId="29">
    <w:name w:val="Title"/>
    <w:basedOn w:val="1"/>
    <w:next w:val="1"/>
    <w:qFormat/>
    <w:uiPriority w:val="0"/>
    <w:pPr>
      <w:jc w:val="center"/>
    </w:pPr>
    <w:rPr>
      <w:kern w:val="2"/>
      <w:sz w:val="30"/>
      <w:szCs w:val="24"/>
    </w:rPr>
  </w:style>
  <w:style w:type="paragraph" w:styleId="30">
    <w:name w:val="annotation subject"/>
    <w:basedOn w:val="9"/>
    <w:next w:val="9"/>
    <w:link w:val="51"/>
    <w:qFormat/>
    <w:uiPriority w:val="0"/>
    <w:rPr>
      <w:b/>
      <w:bCs/>
    </w:rPr>
  </w:style>
  <w:style w:type="paragraph" w:styleId="31">
    <w:name w:val="Body Text First Indent"/>
    <w:basedOn w:val="11"/>
    <w:next w:val="1"/>
    <w:link w:val="52"/>
    <w:qFormat/>
    <w:uiPriority w:val="0"/>
    <w:pPr>
      <w:ind w:firstLine="420" w:firstLineChars="100"/>
    </w:pPr>
  </w:style>
  <w:style w:type="table" w:styleId="33">
    <w:name w:val="Table Grid"/>
    <w:basedOn w:val="32"/>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34">
    <w:name w:val="Table Elegant"/>
    <w:basedOn w:val="32"/>
    <w:qFormat/>
    <w:uiPriority w:val="0"/>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character" w:styleId="36">
    <w:name w:val="Strong"/>
    <w:qFormat/>
    <w:uiPriority w:val="0"/>
    <w:rPr>
      <w:b/>
    </w:rPr>
  </w:style>
  <w:style w:type="character" w:styleId="37">
    <w:name w:val="page number"/>
    <w:qFormat/>
    <w:uiPriority w:val="0"/>
    <w:rPr>
      <w:rFonts w:ascii="Times New Roman" w:hAnsi="Times New Roman" w:eastAsia="Arial" w:cs="Times New Roman"/>
    </w:rPr>
  </w:style>
  <w:style w:type="character" w:styleId="38">
    <w:name w:val="Emphasis"/>
    <w:basedOn w:val="35"/>
    <w:qFormat/>
    <w:uiPriority w:val="20"/>
    <w:rPr>
      <w:i/>
    </w:rPr>
  </w:style>
  <w:style w:type="character" w:styleId="39">
    <w:name w:val="Hyperlink"/>
    <w:qFormat/>
    <w:uiPriority w:val="0"/>
    <w:rPr>
      <w:color w:val="0000FF"/>
      <w:u w:val="single"/>
    </w:rPr>
  </w:style>
  <w:style w:type="character" w:styleId="40">
    <w:name w:val="annotation reference"/>
    <w:basedOn w:val="35"/>
    <w:qFormat/>
    <w:uiPriority w:val="0"/>
    <w:rPr>
      <w:sz w:val="21"/>
      <w:szCs w:val="21"/>
    </w:rPr>
  </w:style>
  <w:style w:type="character" w:styleId="41">
    <w:name w:val="HTML Sample"/>
    <w:basedOn w:val="35"/>
    <w:semiHidden/>
    <w:unhideWhenUsed/>
    <w:qFormat/>
    <w:uiPriority w:val="99"/>
    <w:rPr>
      <w:rFonts w:ascii="Courier New" w:hAnsi="Courier New"/>
    </w:rPr>
  </w:style>
  <w:style w:type="paragraph" w:customStyle="1" w:styleId="42">
    <w:name w:val="Normal Indent1"/>
    <w:qFormat/>
    <w:uiPriority w:val="0"/>
    <w:pPr>
      <w:ind w:firstLine="420"/>
    </w:pPr>
    <w:rPr>
      <w:rFonts w:ascii="Times New Roman" w:hAnsi="Times New Roman" w:eastAsia="仿宋_GB2312" w:cs="宋体"/>
      <w:b/>
      <w:bCs/>
      <w:color w:val="000000"/>
      <w:sz w:val="21"/>
      <w:lang w:val="en-US" w:eastAsia="zh-CN" w:bidi="ar-SA"/>
    </w:rPr>
  </w:style>
  <w:style w:type="character" w:customStyle="1" w:styleId="43">
    <w:name w:val="标题 1 Char1"/>
    <w:qFormat/>
    <w:uiPriority w:val="0"/>
    <w:rPr>
      <w:rFonts w:eastAsia="黑体"/>
      <w:b/>
      <w:kern w:val="44"/>
      <w:sz w:val="36"/>
    </w:rPr>
  </w:style>
  <w:style w:type="character" w:customStyle="1" w:styleId="44">
    <w:name w:val="纯文本 Char"/>
    <w:link w:val="15"/>
    <w:qFormat/>
    <w:uiPriority w:val="0"/>
    <w:rPr>
      <w:rFonts w:ascii="宋体" w:hAnsi="Courier New"/>
      <w:snapToGrid/>
      <w:sz w:val="18"/>
    </w:rPr>
  </w:style>
  <w:style w:type="character" w:customStyle="1" w:styleId="45">
    <w:name w:val="正文缩进 Char"/>
    <w:link w:val="7"/>
    <w:qFormat/>
    <w:uiPriority w:val="0"/>
    <w:rPr>
      <w:rFonts w:eastAsia="宋体"/>
      <w:kern w:val="2"/>
      <w:sz w:val="21"/>
      <w:lang w:val="en-US" w:eastAsia="zh-CN"/>
    </w:rPr>
  </w:style>
  <w:style w:type="character" w:customStyle="1" w:styleId="46">
    <w:name w:val="批注文字 Char"/>
    <w:link w:val="9"/>
    <w:qFormat/>
    <w:uiPriority w:val="0"/>
    <w:rPr>
      <w:kern w:val="2"/>
      <w:sz w:val="21"/>
    </w:rPr>
  </w:style>
  <w:style w:type="character" w:customStyle="1" w:styleId="47">
    <w:name w:val="正文文本 Char"/>
    <w:link w:val="11"/>
    <w:qFormat/>
    <w:uiPriority w:val="0"/>
    <w:rPr>
      <w:snapToGrid/>
      <w:sz w:val="21"/>
    </w:rPr>
  </w:style>
  <w:style w:type="character" w:customStyle="1" w:styleId="48">
    <w:name w:val="页眉 Char"/>
    <w:link w:val="20"/>
    <w:qFormat/>
    <w:uiPriority w:val="0"/>
    <w:rPr>
      <w:rFonts w:eastAsia="宋体"/>
      <w:snapToGrid w:val="0"/>
      <w:sz w:val="18"/>
      <w:lang w:val="en-US" w:eastAsia="zh-CN"/>
    </w:rPr>
  </w:style>
  <w:style w:type="character" w:customStyle="1" w:styleId="49">
    <w:name w:val="正文文本 2 Char"/>
    <w:link w:val="27"/>
    <w:qFormat/>
    <w:uiPriority w:val="0"/>
    <w:rPr>
      <w:rFonts w:eastAsia="宋体"/>
      <w:kern w:val="2"/>
      <w:sz w:val="24"/>
      <w:lang w:val="en-US" w:eastAsia="zh-CN"/>
    </w:rPr>
  </w:style>
  <w:style w:type="character" w:customStyle="1" w:styleId="50">
    <w:name w:val="普通(网站) Char"/>
    <w:link w:val="28"/>
    <w:qFormat/>
    <w:uiPriority w:val="0"/>
    <w:rPr>
      <w:rFonts w:ascii="宋体" w:hAnsi="宋体"/>
      <w:sz w:val="24"/>
    </w:rPr>
  </w:style>
  <w:style w:type="character" w:customStyle="1" w:styleId="51">
    <w:name w:val="批注主题 Char"/>
    <w:link w:val="30"/>
    <w:qFormat/>
    <w:uiPriority w:val="0"/>
    <w:rPr>
      <w:b/>
      <w:bCs/>
      <w:snapToGrid/>
      <w:kern w:val="2"/>
      <w:sz w:val="21"/>
    </w:rPr>
  </w:style>
  <w:style w:type="character" w:customStyle="1" w:styleId="52">
    <w:name w:val="正文首行缩进 Char"/>
    <w:basedOn w:val="47"/>
    <w:link w:val="31"/>
    <w:qFormat/>
    <w:uiPriority w:val="0"/>
    <w:rPr>
      <w:snapToGrid/>
      <w:sz w:val="21"/>
    </w:rPr>
  </w:style>
  <w:style w:type="character" w:customStyle="1" w:styleId="53">
    <w:name w:val="纯文本 字符"/>
    <w:qFormat/>
    <w:uiPriority w:val="0"/>
    <w:rPr>
      <w:rFonts w:ascii="宋体" w:hAnsi="Courier New" w:eastAsia="宋体"/>
      <w:kern w:val="2"/>
      <w:sz w:val="21"/>
      <w:lang w:val="en-US" w:eastAsia="zh-CN" w:bidi="ar-SA"/>
    </w:rPr>
  </w:style>
  <w:style w:type="character" w:customStyle="1" w:styleId="54">
    <w:name w:val="正文段 Char Char"/>
    <w:link w:val="55"/>
    <w:qFormat/>
    <w:uiPriority w:val="0"/>
    <w:rPr>
      <w:sz w:val="24"/>
    </w:rPr>
  </w:style>
  <w:style w:type="paragraph" w:customStyle="1" w:styleId="55">
    <w:name w:val="正文段"/>
    <w:basedOn w:val="1"/>
    <w:link w:val="54"/>
    <w:qFormat/>
    <w:uiPriority w:val="0"/>
    <w:pPr>
      <w:widowControl/>
      <w:snapToGrid w:val="0"/>
      <w:spacing w:afterLines="50"/>
      <w:ind w:firstLine="200" w:firstLineChars="200"/>
    </w:pPr>
    <w:rPr>
      <w:snapToGrid/>
      <w:sz w:val="24"/>
    </w:rPr>
  </w:style>
  <w:style w:type="character" w:customStyle="1" w:styleId="56">
    <w:name w:val="font21"/>
    <w:qFormat/>
    <w:uiPriority w:val="0"/>
    <w:rPr>
      <w:rFonts w:hint="eastAsia" w:ascii="宋体" w:hAnsi="宋体" w:eastAsia="宋体" w:cs="宋体"/>
      <w:b/>
      <w:color w:val="000000"/>
      <w:sz w:val="20"/>
      <w:szCs w:val="20"/>
      <w:u w:val="none"/>
    </w:rPr>
  </w:style>
  <w:style w:type="character" w:customStyle="1" w:styleId="57">
    <w:name w:val="font41"/>
    <w:qFormat/>
    <w:uiPriority w:val="0"/>
    <w:rPr>
      <w:rFonts w:hint="default" w:ascii="Times New Roman" w:hAnsi="Times New Roman" w:cs="Times New Roman"/>
      <w:b/>
      <w:color w:val="000000"/>
      <w:sz w:val="20"/>
      <w:szCs w:val="20"/>
      <w:u w:val="none"/>
    </w:rPr>
  </w:style>
  <w:style w:type="character" w:customStyle="1" w:styleId="58">
    <w:name w:val="列出段落 Char"/>
    <w:link w:val="59"/>
    <w:qFormat/>
    <w:uiPriority w:val="0"/>
    <w:rPr>
      <w:rFonts w:eastAsia="宋体"/>
      <w:kern w:val="2"/>
      <w:sz w:val="21"/>
      <w:szCs w:val="24"/>
      <w:lang w:val="en-US" w:eastAsia="zh-CN" w:bidi="ar-SA"/>
    </w:rPr>
  </w:style>
  <w:style w:type="paragraph" w:customStyle="1" w:styleId="59">
    <w:name w:val="列出段落1"/>
    <w:basedOn w:val="1"/>
    <w:link w:val="58"/>
    <w:qFormat/>
    <w:uiPriority w:val="0"/>
    <w:pPr>
      <w:ind w:firstLine="420" w:firstLineChars="200"/>
    </w:pPr>
    <w:rPr>
      <w:snapToGrid/>
      <w:kern w:val="2"/>
      <w:szCs w:val="24"/>
    </w:rPr>
  </w:style>
  <w:style w:type="character" w:customStyle="1" w:styleId="60">
    <w:name w:val="自定义正文 Char Char"/>
    <w:link w:val="61"/>
    <w:qFormat/>
    <w:uiPriority w:val="0"/>
    <w:rPr>
      <w:rFonts w:ascii="仿宋_GB2312" w:eastAsia="仿宋_GB2312"/>
      <w:kern w:val="2"/>
      <w:sz w:val="24"/>
      <w:szCs w:val="24"/>
      <w:lang w:bidi="ar-SA"/>
    </w:rPr>
  </w:style>
  <w:style w:type="paragraph" w:customStyle="1" w:styleId="61">
    <w:name w:val="自定义正文"/>
    <w:basedOn w:val="1"/>
    <w:link w:val="60"/>
    <w:qFormat/>
    <w:uiPriority w:val="0"/>
    <w:pPr>
      <w:spacing w:line="400" w:lineRule="exact"/>
      <w:ind w:firstLine="200" w:firstLineChars="200"/>
      <w:jc w:val="left"/>
    </w:pPr>
    <w:rPr>
      <w:rFonts w:ascii="仿宋_GB2312" w:eastAsia="仿宋_GB2312"/>
      <w:snapToGrid/>
      <w:kern w:val="2"/>
      <w:sz w:val="24"/>
      <w:szCs w:val="24"/>
    </w:rPr>
  </w:style>
  <w:style w:type="character" w:customStyle="1" w:styleId="62">
    <w:name w:val="纯文本 Char Char Char Char Char Char Char Char Char Char Char Char Char Char3"/>
    <w:qFormat/>
    <w:uiPriority w:val="0"/>
    <w:rPr>
      <w:rFonts w:ascii="宋体" w:hAnsi="Courier New"/>
      <w:snapToGrid/>
      <w:sz w:val="18"/>
    </w:rPr>
  </w:style>
  <w:style w:type="character" w:customStyle="1" w:styleId="63">
    <w:name w:val="font11"/>
    <w:qFormat/>
    <w:uiPriority w:val="0"/>
    <w:rPr>
      <w:rFonts w:hint="default" w:ascii="Times New Roman" w:hAnsi="Times New Roman" w:cs="Times New Roman"/>
      <w:color w:val="000000"/>
      <w:sz w:val="20"/>
      <w:szCs w:val="20"/>
      <w:u w:val="none"/>
    </w:rPr>
  </w:style>
  <w:style w:type="character" w:customStyle="1" w:styleId="64">
    <w:name w:val="ziti11"/>
    <w:qFormat/>
    <w:uiPriority w:val="0"/>
    <w:rPr>
      <w:rFonts w:hint="default" w:ascii="ˎ̥" w:hAnsi="ˎ̥"/>
      <w:color w:val="000000"/>
      <w:sz w:val="18"/>
    </w:rPr>
  </w:style>
  <w:style w:type="character" w:customStyle="1" w:styleId="65">
    <w:name w:val="纯文本 Char Char"/>
    <w:link w:val="66"/>
    <w:qFormat/>
    <w:uiPriority w:val="0"/>
    <w:rPr>
      <w:rFonts w:ascii="Century Gothic" w:hAnsi="楷体_GB2312" w:eastAsia="Century Gothic"/>
      <w:kern w:val="2"/>
      <w:sz w:val="21"/>
      <w:lang w:bidi="ar-SA"/>
    </w:rPr>
  </w:style>
  <w:style w:type="paragraph" w:customStyle="1" w:styleId="66">
    <w:name w:val="纯文本1"/>
    <w:basedOn w:val="67"/>
    <w:link w:val="65"/>
    <w:qFormat/>
    <w:uiPriority w:val="0"/>
    <w:pPr>
      <w:snapToGrid w:val="0"/>
      <w:jc w:val="left"/>
    </w:pPr>
    <w:rPr>
      <w:rFonts w:hint="default" w:ascii="Century Gothic" w:hAnsi="楷体_GB2312" w:eastAsia="Century Gothic"/>
    </w:rPr>
  </w:style>
  <w:style w:type="paragraph" w:customStyle="1" w:styleId="67">
    <w:name w:val="正文1"/>
    <w:qFormat/>
    <w:uiPriority w:val="0"/>
    <w:pPr>
      <w:widowControl w:val="0"/>
      <w:jc w:val="both"/>
    </w:pPr>
    <w:rPr>
      <w:rFonts w:hint="eastAsia" w:ascii="Times New Roman" w:hAnsi="Times New Roman" w:eastAsia="宋体" w:cs="Times New Roman"/>
      <w:kern w:val="2"/>
      <w:sz w:val="21"/>
      <w:lang w:val="en-US" w:eastAsia="zh-CN" w:bidi="ar-SA"/>
    </w:rPr>
  </w:style>
  <w:style w:type="character" w:customStyle="1" w:styleId="68">
    <w:name w:val="标题 1 Char"/>
    <w:link w:val="2"/>
    <w:qFormat/>
    <w:uiPriority w:val="0"/>
    <w:rPr>
      <w:rFonts w:eastAsia="黑体"/>
      <w:b/>
      <w:snapToGrid w:val="0"/>
      <w:kern w:val="44"/>
      <w:sz w:val="36"/>
      <w:lang w:val="en-US" w:eastAsia="zh-CN"/>
    </w:rPr>
  </w:style>
  <w:style w:type="character" w:customStyle="1" w:styleId="69">
    <w:name w:val="text5"/>
    <w:qFormat/>
    <w:uiPriority w:val="0"/>
    <w:rPr>
      <w:rFonts w:ascii="_x000B__x000C_" w:hAnsi="_x000B__x000C_"/>
      <w:color w:val="000066"/>
      <w:spacing w:val="0"/>
      <w:sz w:val="18"/>
    </w:rPr>
  </w:style>
  <w:style w:type="character" w:customStyle="1" w:styleId="70">
    <w:name w:val="htd0"/>
    <w:basedOn w:val="35"/>
    <w:qFormat/>
    <w:uiPriority w:val="0"/>
  </w:style>
  <w:style w:type="character" w:customStyle="1" w:styleId="71">
    <w:name w:val="正文标准 Char Char"/>
    <w:link w:val="72"/>
    <w:qFormat/>
    <w:uiPriority w:val="0"/>
    <w:rPr>
      <w:kern w:val="2"/>
      <w:sz w:val="24"/>
      <w:szCs w:val="21"/>
    </w:rPr>
  </w:style>
  <w:style w:type="paragraph" w:customStyle="1" w:styleId="72">
    <w:name w:val="正文标准"/>
    <w:basedOn w:val="1"/>
    <w:link w:val="71"/>
    <w:qFormat/>
    <w:uiPriority w:val="0"/>
    <w:pPr>
      <w:spacing w:beforeLines="50"/>
      <w:ind w:firstLine="200" w:firstLineChars="200"/>
    </w:pPr>
    <w:rPr>
      <w:snapToGrid/>
      <w:kern w:val="2"/>
      <w:sz w:val="24"/>
      <w:szCs w:val="21"/>
    </w:rPr>
  </w:style>
  <w:style w:type="character" w:customStyle="1" w:styleId="73">
    <w:name w:val="字元 字元1"/>
    <w:qFormat/>
    <w:uiPriority w:val="0"/>
    <w:rPr>
      <w:rFonts w:ascii="Arial" w:hAnsi="Arial" w:eastAsia="Times New Roman" w:cs="Times New Roman"/>
      <w:b/>
      <w:bCs/>
      <w:lang w:val="en-GB"/>
    </w:rPr>
  </w:style>
  <w:style w:type="character" w:customStyle="1" w:styleId="74">
    <w:name w:val="Comment Text Char"/>
    <w:qFormat/>
    <w:uiPriority w:val="0"/>
    <w:rPr>
      <w:rFonts w:ascii="Calibri" w:hAnsi="Calibri" w:cs="Times New Roman"/>
      <w:kern w:val="2"/>
      <w:sz w:val="24"/>
      <w:szCs w:val="24"/>
    </w:rPr>
  </w:style>
  <w:style w:type="character" w:customStyle="1" w:styleId="75">
    <w:name w:val="Char Char24"/>
    <w:qFormat/>
    <w:uiPriority w:val="0"/>
    <w:rPr>
      <w:rFonts w:ascii="宋体" w:hAnsi="Courier New" w:eastAsia="宋体"/>
      <w:kern w:val="2"/>
      <w:sz w:val="21"/>
      <w:lang w:val="en-US" w:eastAsia="zh-CN" w:bidi="ar-SA"/>
    </w:rPr>
  </w:style>
  <w:style w:type="character" w:customStyle="1" w:styleId="76">
    <w:name w:val="页脚 Char Char"/>
    <w:qFormat/>
    <w:uiPriority w:val="0"/>
    <w:rPr>
      <w:rFonts w:eastAsia="宋体"/>
      <w:snapToGrid w:val="0"/>
      <w:sz w:val="18"/>
      <w:lang w:val="en-US" w:eastAsia="zh-CN"/>
    </w:rPr>
  </w:style>
  <w:style w:type="character" w:customStyle="1" w:styleId="77">
    <w:name w:val="样式1 Char Char"/>
    <w:link w:val="78"/>
    <w:qFormat/>
    <w:uiPriority w:val="0"/>
    <w:rPr>
      <w:rFonts w:ascii="Arial" w:hAnsi="Arial"/>
      <w:kern w:val="2"/>
      <w:sz w:val="21"/>
      <w:szCs w:val="24"/>
    </w:rPr>
  </w:style>
  <w:style w:type="paragraph" w:customStyle="1" w:styleId="78">
    <w:name w:val="样式1"/>
    <w:basedOn w:val="1"/>
    <w:link w:val="77"/>
    <w:qFormat/>
    <w:uiPriority w:val="0"/>
    <w:pPr>
      <w:spacing w:line="360" w:lineRule="exact"/>
      <w:ind w:firstLine="200" w:firstLineChars="200"/>
    </w:pPr>
    <w:rPr>
      <w:rFonts w:ascii="Arial" w:hAnsi="Arial"/>
      <w:snapToGrid/>
      <w:kern w:val="2"/>
      <w:szCs w:val="24"/>
    </w:rPr>
  </w:style>
  <w:style w:type="character" w:customStyle="1" w:styleId="79">
    <w:name w:val="纯文本 Char Char Char Char Char Char Char Char Char Char Char Char Char Char2"/>
    <w:qFormat/>
    <w:uiPriority w:val="0"/>
    <w:rPr>
      <w:rFonts w:ascii="Century Gothic" w:hAnsi="楷体_GB2312" w:eastAsia="Century Gothic" w:cs="楷体_GB2312"/>
      <w:kern w:val="2"/>
      <w:sz w:val="21"/>
      <w:szCs w:val="21"/>
      <w:lang w:val="en-US" w:eastAsia="zh-CN" w:bidi="ar-SA"/>
    </w:rPr>
  </w:style>
  <w:style w:type="character" w:customStyle="1" w:styleId="80">
    <w:name w:val="NormalCharacter"/>
    <w:qFormat/>
    <w:uiPriority w:val="0"/>
  </w:style>
  <w:style w:type="character" w:customStyle="1" w:styleId="81">
    <w:name w:val="new1"/>
    <w:qFormat/>
    <w:uiPriority w:val="0"/>
    <w:rPr>
      <w:sz w:val="21"/>
      <w:szCs w:val="21"/>
    </w:rPr>
  </w:style>
  <w:style w:type="character" w:customStyle="1" w:styleId="82">
    <w:name w:val="font31"/>
    <w:qFormat/>
    <w:uiPriority w:val="0"/>
    <w:rPr>
      <w:rFonts w:hint="eastAsia" w:ascii="宋体" w:hAnsi="宋体" w:eastAsia="宋体" w:cs="宋体"/>
      <w:color w:val="000000"/>
      <w:sz w:val="20"/>
      <w:szCs w:val="20"/>
      <w:u w:val="none"/>
    </w:rPr>
  </w:style>
  <w:style w:type="paragraph" w:styleId="83">
    <w:name w:val="No Spacing"/>
    <w:qFormat/>
    <w:uiPriority w:val="0"/>
    <w:pPr>
      <w:widowControl w:val="0"/>
      <w:jc w:val="both"/>
    </w:pPr>
    <w:rPr>
      <w:rFonts w:ascii="Calibri" w:hAnsi="Calibri" w:eastAsia="宋体" w:cs="Times New Roman"/>
      <w:kern w:val="2"/>
      <w:sz w:val="21"/>
      <w:szCs w:val="24"/>
      <w:lang w:val="en-US" w:eastAsia="zh-CN" w:bidi="ar-SA"/>
    </w:rPr>
  </w:style>
  <w:style w:type="paragraph" w:customStyle="1" w:styleId="84">
    <w:name w:val="DAS正文"/>
    <w:basedOn w:val="1"/>
    <w:qFormat/>
    <w:uiPriority w:val="0"/>
    <w:pPr>
      <w:tabs>
        <w:tab w:val="left" w:pos="1200"/>
      </w:tabs>
      <w:spacing w:line="360" w:lineRule="exact"/>
      <w:ind w:left="-17" w:leftChars="-8" w:right="181" w:firstLine="632" w:firstLineChars="300"/>
    </w:pPr>
    <w:rPr>
      <w:rFonts w:ascii="Verdana" w:hAnsi="Verdana"/>
      <w:b/>
      <w:bCs/>
      <w:szCs w:val="21"/>
    </w:rPr>
  </w:style>
  <w:style w:type="paragraph" w:customStyle="1" w:styleId="85">
    <w:name w:val="默认段落字体 Para Char Char Char Char Char Char Char Char Char1 Char Char Char Char"/>
    <w:basedOn w:val="1"/>
    <w:qFormat/>
    <w:uiPriority w:val="0"/>
    <w:rPr>
      <w:rFonts w:ascii="Tahoma" w:hAnsi="Tahoma"/>
      <w:snapToGrid/>
      <w:kern w:val="2"/>
      <w:sz w:val="24"/>
    </w:rPr>
  </w:style>
  <w:style w:type="paragraph" w:customStyle="1" w:styleId="86">
    <w:name w:val="Char Char Char Char Char Char Char"/>
    <w:basedOn w:val="1"/>
    <w:qFormat/>
    <w:uiPriority w:val="0"/>
    <w:pPr>
      <w:tabs>
        <w:tab w:val="left" w:pos="432"/>
      </w:tabs>
      <w:ind w:left="432" w:hanging="432"/>
    </w:pPr>
    <w:rPr>
      <w:rFonts w:ascii="Tahoma" w:hAnsi="Tahoma"/>
      <w:snapToGrid/>
      <w:kern w:val="2"/>
      <w:sz w:val="24"/>
    </w:rPr>
  </w:style>
  <w:style w:type="paragraph" w:customStyle="1" w:styleId="87">
    <w:name w:val="Char3 Char Char Char Char Char Char"/>
    <w:basedOn w:val="1"/>
    <w:qFormat/>
    <w:uiPriority w:val="0"/>
    <w:pPr>
      <w:widowControl/>
      <w:spacing w:line="240" w:lineRule="exact"/>
      <w:jc w:val="left"/>
    </w:pPr>
    <w:rPr>
      <w:rFonts w:ascii="Verdana" w:hAnsi="Verdana"/>
      <w:snapToGrid/>
      <w:sz w:val="18"/>
      <w:lang w:eastAsia="en-US"/>
    </w:rPr>
  </w:style>
  <w:style w:type="paragraph" w:customStyle="1" w:styleId="88">
    <w:name w:val="默认段落字体 Para Char Char Char Char Char Char Char"/>
    <w:basedOn w:val="1"/>
    <w:qFormat/>
    <w:uiPriority w:val="0"/>
    <w:rPr>
      <w:snapToGrid/>
      <w:kern w:val="2"/>
    </w:rPr>
  </w:style>
  <w:style w:type="paragraph" w:customStyle="1" w:styleId="89">
    <w:name w:val="正文－恩普"/>
    <w:basedOn w:val="7"/>
    <w:qFormat/>
    <w:uiPriority w:val="0"/>
    <w:pPr>
      <w:widowControl/>
      <w:spacing w:afterLines="50" w:line="360" w:lineRule="auto"/>
      <w:ind w:firstLine="480" w:firstLineChars="200"/>
      <w:jc w:val="left"/>
    </w:pPr>
    <w:rPr>
      <w:kern w:val="0"/>
      <w:sz w:val="24"/>
    </w:rPr>
  </w:style>
  <w:style w:type="paragraph" w:customStyle="1" w:styleId="90">
    <w:name w:val="正文文字"/>
    <w:basedOn w:val="1"/>
    <w:qFormat/>
    <w:uiPriority w:val="0"/>
    <w:pPr>
      <w:widowControl/>
      <w:spacing w:line="952" w:lineRule="atLeast"/>
      <w:ind w:firstLine="419"/>
      <w:textAlignment w:val="baseline"/>
    </w:pPr>
    <w:rPr>
      <w:b/>
      <w:snapToGrid/>
      <w:color w:val="000000"/>
      <w:sz w:val="44"/>
      <w:u w:color="000000"/>
    </w:rPr>
  </w:style>
  <w:style w:type="paragraph" w:customStyle="1" w:styleId="91">
    <w:name w:val="Char Char1 Char Char Char Char Char Char"/>
    <w:basedOn w:val="1"/>
    <w:qFormat/>
    <w:uiPriority w:val="0"/>
    <w:pPr>
      <w:widowControl/>
      <w:spacing w:line="240" w:lineRule="exact"/>
      <w:jc w:val="left"/>
    </w:pPr>
  </w:style>
  <w:style w:type="paragraph" w:customStyle="1" w:styleId="92">
    <w:name w:val="List Paragraph_23fe4057-0b61-4cc6-8901-e2d1d58ffaab"/>
    <w:basedOn w:val="1"/>
    <w:qFormat/>
    <w:uiPriority w:val="0"/>
    <w:pPr>
      <w:ind w:firstLine="420" w:firstLineChars="200"/>
    </w:pPr>
    <w:rPr>
      <w:rFonts w:ascii="Calibri" w:hAnsi="Calibri"/>
      <w:snapToGrid/>
      <w:kern w:val="2"/>
      <w:szCs w:val="22"/>
    </w:rPr>
  </w:style>
  <w:style w:type="paragraph" w:customStyle="1" w:styleId="93">
    <w:name w:val="普通(网站)1"/>
    <w:basedOn w:val="1"/>
    <w:qFormat/>
    <w:uiPriority w:val="0"/>
    <w:pPr>
      <w:widowControl/>
      <w:spacing w:beforeAutospacing="1" w:afterAutospacing="1"/>
      <w:jc w:val="left"/>
    </w:pPr>
    <w:rPr>
      <w:rFonts w:ascii="宋体" w:hAnsi="宋体" w:cs="宋体"/>
      <w:sz w:val="24"/>
    </w:rPr>
  </w:style>
  <w:style w:type="paragraph" w:customStyle="1" w:styleId="94">
    <w:name w:val="Char1"/>
    <w:basedOn w:val="1"/>
    <w:qFormat/>
    <w:uiPriority w:val="0"/>
    <w:pPr>
      <w:widowControl/>
      <w:spacing w:line="360" w:lineRule="auto"/>
      <w:ind w:firstLine="200" w:firstLineChars="200"/>
      <w:jc w:val="left"/>
    </w:pPr>
    <w:rPr>
      <w:rFonts w:ascii="Verdana" w:hAnsi="Verdana" w:eastAsia="黑体"/>
      <w:snapToGrid/>
      <w:lang w:eastAsia="en-US"/>
    </w:rPr>
  </w:style>
  <w:style w:type="paragraph" w:customStyle="1" w:styleId="95">
    <w:name w:val="表内文字"/>
    <w:basedOn w:val="1"/>
    <w:qFormat/>
    <w:uiPriority w:val="0"/>
    <w:pPr>
      <w:tabs>
        <w:tab w:val="left" w:pos="1418"/>
      </w:tabs>
      <w:spacing w:line="360" w:lineRule="auto"/>
      <w:jc w:val="center"/>
    </w:pPr>
    <w:rPr>
      <w:rFonts w:hint="eastAsia" w:ascii="仿宋_GB2312" w:eastAsia="仿宋_GB2312"/>
      <w:snapToGrid/>
      <w:spacing w:val="-20"/>
      <w:sz w:val="24"/>
      <w:szCs w:val="24"/>
    </w:rPr>
  </w:style>
  <w:style w:type="paragraph" w:customStyle="1" w:styleId="96">
    <w:name w:val="Char Char Char Char Char Char Char Char Char Char Char Char Char Char Char Char"/>
    <w:basedOn w:val="1"/>
    <w:qFormat/>
    <w:uiPriority w:val="0"/>
    <w:pPr>
      <w:tabs>
        <w:tab w:val="left" w:pos="885"/>
      </w:tabs>
      <w:ind w:left="885" w:hanging="360"/>
    </w:pPr>
    <w:rPr>
      <w:snapToGrid/>
      <w:kern w:val="2"/>
      <w:sz w:val="24"/>
      <w:szCs w:val="24"/>
    </w:rPr>
  </w:style>
  <w:style w:type="paragraph" w:customStyle="1" w:styleId="9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98">
    <w:name w:val="正文文本 21"/>
    <w:basedOn w:val="1"/>
    <w:qFormat/>
    <w:uiPriority w:val="0"/>
    <w:pPr>
      <w:adjustRightInd w:val="0"/>
      <w:spacing w:line="300" w:lineRule="auto"/>
      <w:jc w:val="center"/>
    </w:pPr>
    <w:rPr>
      <w:rFonts w:hint="eastAsia" w:ascii="宋体" w:hAnsi="宋体"/>
      <w:sz w:val="24"/>
    </w:rPr>
  </w:style>
  <w:style w:type="paragraph" w:customStyle="1" w:styleId="99">
    <w:name w:val="Char Char2 Char"/>
    <w:basedOn w:val="1"/>
    <w:qFormat/>
    <w:uiPriority w:val="0"/>
    <w:pPr>
      <w:keepNext/>
      <w:keepLines/>
      <w:pageBreakBefore/>
      <w:tabs>
        <w:tab w:val="left" w:pos="845"/>
      </w:tabs>
      <w:ind w:left="845" w:hanging="420"/>
    </w:pPr>
    <w:rPr>
      <w:rFonts w:ascii="Tahoma" w:hAnsi="Tahoma"/>
      <w:snapToGrid/>
      <w:kern w:val="2"/>
      <w:sz w:val="24"/>
    </w:rPr>
  </w:style>
  <w:style w:type="paragraph" w:customStyle="1" w:styleId="100">
    <w:name w:val="Bullets"/>
    <w:basedOn w:val="1"/>
    <w:qFormat/>
    <w:uiPriority w:val="0"/>
    <w:pPr>
      <w:widowControl/>
    </w:pPr>
    <w:rPr>
      <w:rFonts w:ascii="Arial" w:hAnsi="Arial" w:eastAsia="MS Mincho"/>
      <w:snapToGrid/>
      <w:sz w:val="24"/>
      <w:lang w:eastAsia="de-DE"/>
    </w:rPr>
  </w:style>
  <w:style w:type="paragraph" w:customStyle="1" w:styleId="101">
    <w:name w:val="Char Char Char Char Char Char Char1"/>
    <w:basedOn w:val="1"/>
    <w:qFormat/>
    <w:uiPriority w:val="0"/>
    <w:pPr>
      <w:tabs>
        <w:tab w:val="left" w:pos="432"/>
      </w:tabs>
      <w:ind w:left="432" w:hanging="432"/>
    </w:pPr>
    <w:rPr>
      <w:rFonts w:ascii="Tahoma" w:hAnsi="Tahoma"/>
      <w:snapToGrid/>
      <w:kern w:val="2"/>
      <w:sz w:val="24"/>
    </w:rPr>
  </w:style>
  <w:style w:type="paragraph" w:customStyle="1" w:styleId="102">
    <w:name w:val="Char Char4 Char Char"/>
    <w:basedOn w:val="1"/>
    <w:qFormat/>
    <w:uiPriority w:val="0"/>
    <w:pPr>
      <w:adjustRightInd w:val="0"/>
    </w:pPr>
    <w:rPr>
      <w:rFonts w:ascii="仿宋_GB2312" w:eastAsia="仿宋_GB2312"/>
      <w:b/>
      <w:snapToGrid/>
      <w:kern w:val="2"/>
      <w:sz w:val="32"/>
      <w:szCs w:val="32"/>
    </w:rPr>
  </w:style>
  <w:style w:type="paragraph" w:customStyle="1" w:styleId="103">
    <w:name w:val="标书-正文"/>
    <w:basedOn w:val="1"/>
    <w:qFormat/>
    <w:uiPriority w:val="0"/>
    <w:pPr>
      <w:spacing w:line="360" w:lineRule="auto"/>
      <w:ind w:firstLine="200" w:firstLineChars="200"/>
    </w:pPr>
    <w:rPr>
      <w:rFonts w:ascii="Arial" w:hAnsi="Arial"/>
      <w:sz w:val="24"/>
    </w:rPr>
  </w:style>
  <w:style w:type="paragraph" w:customStyle="1" w:styleId="104">
    <w:name w:val="Char"/>
    <w:basedOn w:val="1"/>
    <w:qFormat/>
    <w:uiPriority w:val="0"/>
    <w:pPr>
      <w:spacing w:line="360" w:lineRule="auto"/>
      <w:ind w:firstLine="420" w:firstLineChars="200"/>
    </w:pPr>
    <w:rPr>
      <w:rFonts w:ascii="宋体" w:hAnsi="宋体"/>
      <w:snapToGrid/>
      <w:kern w:val="2"/>
    </w:rPr>
  </w:style>
  <w:style w:type="paragraph" w:customStyle="1" w:styleId="105">
    <w:name w:val="表格内"/>
    <w:basedOn w:val="1"/>
    <w:qFormat/>
    <w:uiPriority w:val="0"/>
    <w:rPr>
      <w:rFonts w:cs="宋体"/>
    </w:rPr>
  </w:style>
  <w:style w:type="paragraph" w:customStyle="1" w:styleId="106">
    <w:name w:val="Char2"/>
    <w:basedOn w:val="1"/>
    <w:qFormat/>
    <w:uiPriority w:val="0"/>
    <w:rPr>
      <w:sz w:val="18"/>
    </w:rPr>
  </w:style>
  <w:style w:type="paragraph" w:customStyle="1" w:styleId="107">
    <w:name w:val="软著正文"/>
    <w:basedOn w:val="1"/>
    <w:qFormat/>
    <w:uiPriority w:val="0"/>
    <w:pPr>
      <w:spacing w:line="360" w:lineRule="auto"/>
      <w:ind w:firstLine="200" w:firstLineChars="200"/>
    </w:pPr>
    <w:rPr>
      <w:sz w:val="24"/>
    </w:rPr>
  </w:style>
  <w:style w:type="paragraph" w:customStyle="1" w:styleId="108">
    <w:name w:val="p0"/>
    <w:basedOn w:val="1"/>
    <w:qFormat/>
    <w:uiPriority w:val="0"/>
    <w:pPr>
      <w:widowControl/>
    </w:pPr>
    <w:rPr>
      <w:rFonts w:ascii="Calibri" w:hAnsi="Calibri" w:cs="宋体"/>
      <w:snapToGrid/>
      <w:szCs w:val="21"/>
    </w:rPr>
  </w:style>
  <w:style w:type="paragraph" w:customStyle="1" w:styleId="109">
    <w:name w:val="Char Char Char Char Char Char Char Char Char Char Char Char Char Char Char Char Char Char Char Char Char Char"/>
    <w:basedOn w:val="1"/>
    <w:qFormat/>
    <w:uiPriority w:val="0"/>
    <w:rPr>
      <w:rFonts w:ascii="Tahoma" w:hAnsi="Tahoma"/>
      <w:snapToGrid/>
      <w:kern w:val="2"/>
      <w:sz w:val="24"/>
    </w:rPr>
  </w:style>
  <w:style w:type="paragraph" w:customStyle="1" w:styleId="110">
    <w:name w:val="xl46"/>
    <w:basedOn w:val="1"/>
    <w:qFormat/>
    <w:uiPriority w:val="0"/>
    <w:pPr>
      <w:widowControl/>
      <w:pBdr>
        <w:top w:val="single" w:color="auto" w:sz="8" w:space="0"/>
        <w:bottom w:val="single" w:color="auto" w:sz="8" w:space="0"/>
        <w:right w:val="single" w:color="000000" w:sz="8" w:space="0"/>
      </w:pBdr>
      <w:spacing w:beforeAutospacing="1" w:afterAutospacing="1"/>
      <w:jc w:val="center"/>
      <w:textAlignment w:val="center"/>
    </w:pPr>
    <w:rPr>
      <w:rFonts w:ascii="宋体" w:hAnsi="宋体" w:cs="宋体"/>
      <w:snapToGrid/>
      <w:sz w:val="18"/>
      <w:szCs w:val="18"/>
    </w:rPr>
  </w:style>
  <w:style w:type="paragraph" w:styleId="111">
    <w:name w:val="List Paragraph"/>
    <w:basedOn w:val="1"/>
    <w:qFormat/>
    <w:uiPriority w:val="0"/>
    <w:pPr>
      <w:ind w:firstLine="420" w:firstLineChars="200"/>
    </w:pPr>
    <w:rPr>
      <w:rFonts w:ascii="Calibri" w:hAnsi="Calibri"/>
      <w:snapToGrid/>
      <w:kern w:val="2"/>
    </w:rPr>
  </w:style>
  <w:style w:type="paragraph" w:customStyle="1" w:styleId="112">
    <w:name w:val="Char3 Char Char Char"/>
    <w:basedOn w:val="1"/>
    <w:qFormat/>
    <w:uiPriority w:val="0"/>
    <w:pPr>
      <w:widowControl/>
      <w:spacing w:line="240" w:lineRule="exact"/>
      <w:jc w:val="left"/>
    </w:pPr>
    <w:rPr>
      <w:snapToGrid/>
      <w:kern w:val="2"/>
    </w:rPr>
  </w:style>
  <w:style w:type="paragraph" w:customStyle="1" w:styleId="113">
    <w:name w:val="Default"/>
    <w:next w:val="114"/>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paragraph" w:customStyle="1" w:styleId="114">
    <w:name w:val="目录 71"/>
    <w:next w:val="1"/>
    <w:qFormat/>
    <w:uiPriority w:val="0"/>
    <w:pPr>
      <w:wordWrap w:val="0"/>
      <w:ind w:left="2550"/>
      <w:jc w:val="both"/>
    </w:pPr>
    <w:rPr>
      <w:rFonts w:ascii="Calibri" w:hAnsi="Calibri" w:eastAsia="宋体" w:cs="Times New Roman"/>
      <w:sz w:val="21"/>
      <w:szCs w:val="22"/>
      <w:lang w:val="en-US" w:eastAsia="zh-CN" w:bidi="ar-SA"/>
    </w:rPr>
  </w:style>
  <w:style w:type="paragraph" w:customStyle="1" w:styleId="115">
    <w:name w:val="List Paragraph1"/>
    <w:basedOn w:val="1"/>
    <w:qFormat/>
    <w:uiPriority w:val="0"/>
    <w:pPr>
      <w:ind w:firstLine="420" w:firstLineChars="200"/>
    </w:pPr>
    <w:rPr>
      <w:snapToGrid/>
      <w:kern w:val="2"/>
      <w:szCs w:val="24"/>
    </w:rPr>
  </w:style>
  <w:style w:type="paragraph" w:customStyle="1" w:styleId="116">
    <w:name w:val="样式 首行缩进:  0.77 厘米 行距: 1.5 倍行距"/>
    <w:basedOn w:val="1"/>
    <w:qFormat/>
    <w:uiPriority w:val="0"/>
    <w:pPr>
      <w:spacing w:line="360" w:lineRule="auto"/>
      <w:ind w:firstLine="420"/>
    </w:pPr>
    <w:rPr>
      <w:rFonts w:cs="宋体"/>
      <w:snapToGrid/>
      <w:kern w:val="2"/>
    </w:rPr>
  </w:style>
  <w:style w:type="paragraph" w:customStyle="1" w:styleId="117">
    <w:name w:val="一级标题"/>
    <w:basedOn w:val="15"/>
    <w:qFormat/>
    <w:uiPriority w:val="0"/>
    <w:pPr>
      <w:tabs>
        <w:tab w:val="left" w:pos="1050"/>
      </w:tabs>
      <w:adjustRightInd w:val="0"/>
      <w:snapToGrid w:val="0"/>
      <w:spacing w:line="360" w:lineRule="auto"/>
      <w:jc w:val="center"/>
    </w:pPr>
    <w:rPr>
      <w:rFonts w:ascii="Arial" w:hAnsi="Arial" w:eastAsia="黑体" w:cs="Arial"/>
      <w:color w:val="000000"/>
      <w:w w:val="80"/>
      <w:kern w:val="2"/>
      <w:sz w:val="48"/>
      <w:szCs w:val="48"/>
    </w:rPr>
  </w:style>
  <w:style w:type="paragraph" w:customStyle="1" w:styleId="118">
    <w:name w:val="正文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9">
    <w:name w:val="Char Char Char"/>
    <w:basedOn w:val="1"/>
    <w:qFormat/>
    <w:uiPriority w:val="0"/>
    <w:rPr>
      <w:rFonts w:ascii="Tahoma" w:hAnsi="Tahoma"/>
      <w:snapToGrid/>
      <w:kern w:val="2"/>
      <w:sz w:val="24"/>
    </w:rPr>
  </w:style>
  <w:style w:type="paragraph" w:customStyle="1" w:styleId="120">
    <w:name w:val="style1"/>
    <w:basedOn w:val="1"/>
    <w:next w:val="1"/>
    <w:qFormat/>
    <w:uiPriority w:val="0"/>
    <w:pPr>
      <w:tabs>
        <w:tab w:val="left" w:pos="845"/>
      </w:tabs>
      <w:adjustRightInd w:val="0"/>
      <w:spacing w:line="264" w:lineRule="auto"/>
      <w:ind w:left="840" w:hanging="420"/>
      <w:textAlignment w:val="baseline"/>
      <w:outlineLvl w:val="1"/>
    </w:pPr>
    <w:rPr>
      <w:b/>
      <w:snapToGrid/>
      <w:sz w:val="28"/>
    </w:rPr>
  </w:style>
  <w:style w:type="character" w:styleId="121">
    <w:name w:val="Placeholder Text"/>
    <w:basedOn w:val="35"/>
    <w:semiHidden/>
    <w:qFormat/>
    <w:uiPriority w:val="99"/>
    <w:rPr>
      <w:color w:val="808080"/>
    </w:rPr>
  </w:style>
  <w:style w:type="paragraph" w:customStyle="1" w:styleId="122">
    <w:name w:val="修订1"/>
    <w:hidden/>
    <w:semiHidden/>
    <w:qFormat/>
    <w:uiPriority w:val="99"/>
    <w:rPr>
      <w:rFonts w:ascii="Times New Roman" w:hAnsi="Times New Roman" w:eastAsia="宋体" w:cs="Times New Roman"/>
      <w:snapToGrid w:val="0"/>
      <w:sz w:val="21"/>
      <w:lang w:val="en-US" w:eastAsia="zh-CN" w:bidi="ar-SA"/>
    </w:rPr>
  </w:style>
  <w:style w:type="table" w:customStyle="1" w:styleId="123">
    <w:name w:val="Table Normal"/>
    <w:unhideWhenUsed/>
    <w:qFormat/>
    <w:uiPriority w:val="2"/>
    <w:tblPr>
      <w:tblCellMar>
        <w:top w:w="0" w:type="dxa"/>
        <w:left w:w="0" w:type="dxa"/>
        <w:bottom w:w="0" w:type="dxa"/>
        <w:right w:w="0" w:type="dxa"/>
      </w:tblCellMar>
    </w:tblPr>
  </w:style>
  <w:style w:type="paragraph" w:customStyle="1" w:styleId="124">
    <w:name w:val="Table Paragraph"/>
    <w:basedOn w:val="1"/>
    <w:qFormat/>
    <w:uiPriority w:val="1"/>
    <w:pPr>
      <w:autoSpaceDE w:val="0"/>
      <w:autoSpaceDN w:val="0"/>
      <w:spacing w:line="246" w:lineRule="exact"/>
      <w:jc w:val="center"/>
    </w:pPr>
    <w:rPr>
      <w:rFonts w:ascii="微软雅黑" w:hAnsi="微软雅黑" w:eastAsia="微软雅黑" w:cs="微软雅黑"/>
      <w:sz w:val="22"/>
      <w:szCs w:val="22"/>
      <w:lang w:val="zh-CN" w:bidi="zh-CN"/>
    </w:rPr>
  </w:style>
  <w:style w:type="paragraph" w:customStyle="1" w:styleId="125">
    <w:name w:val="正文（缩进）"/>
    <w:basedOn w:val="1"/>
    <w:qFormat/>
    <w:uiPriority w:val="0"/>
    <w:pPr>
      <w:spacing w:before="50" w:after="50"/>
      <w:ind w:firstLine="200"/>
    </w:pPr>
    <w:rPr>
      <w:rFonts w:ascii="Calibri" w:hAnsi="Calibri"/>
    </w:rPr>
  </w:style>
  <w:style w:type="paragraph" w:customStyle="1" w:styleId="126">
    <w:name w:val="表格"/>
    <w:basedOn w:val="1"/>
    <w:next w:val="1"/>
    <w:qFormat/>
    <w:uiPriority w:val="0"/>
    <w:pPr>
      <w:spacing w:line="360" w:lineRule="auto"/>
      <w:jc w:val="center"/>
    </w:pPr>
    <w:rPr>
      <w:rFonts w:eastAsia="黑体"/>
      <w:snapToGrid/>
      <w:kern w:val="2"/>
      <w:sz w:val="24"/>
      <w:szCs w:val="24"/>
    </w:rPr>
  </w:style>
  <w:style w:type="character" w:customStyle="1" w:styleId="127">
    <w:name w:val="font122"/>
    <w:basedOn w:val="35"/>
    <w:qFormat/>
    <w:uiPriority w:val="0"/>
    <w:rPr>
      <w:rFonts w:hint="eastAsia" w:ascii="宋体" w:hAnsi="宋体" w:eastAsia="宋体" w:cs="宋体"/>
      <w:color w:val="000000"/>
      <w:sz w:val="20"/>
      <w:szCs w:val="20"/>
      <w:u w:val="none"/>
    </w:rPr>
  </w:style>
  <w:style w:type="character" w:customStyle="1" w:styleId="128">
    <w:name w:val="font131"/>
    <w:basedOn w:val="35"/>
    <w:qFormat/>
    <w:uiPriority w:val="0"/>
    <w:rPr>
      <w:rFonts w:hint="default" w:ascii="Arial" w:hAnsi="Arial" w:cs="Arial"/>
      <w:color w:val="000000"/>
      <w:sz w:val="20"/>
      <w:szCs w:val="20"/>
      <w:u w:val="none"/>
    </w:rPr>
  </w:style>
  <w:style w:type="character" w:customStyle="1" w:styleId="129">
    <w:name w:val="font61"/>
    <w:basedOn w:val="35"/>
    <w:qFormat/>
    <w:uiPriority w:val="0"/>
    <w:rPr>
      <w:rFonts w:hint="eastAsia" w:ascii="宋体" w:hAnsi="宋体" w:eastAsia="宋体" w:cs="宋体"/>
      <w:color w:val="000000"/>
      <w:sz w:val="20"/>
      <w:szCs w:val="20"/>
      <w:u w:val="none"/>
    </w:rPr>
  </w:style>
  <w:style w:type="character" w:customStyle="1" w:styleId="130">
    <w:name w:val="font01"/>
    <w:basedOn w:val="35"/>
    <w:qFormat/>
    <w:uiPriority w:val="0"/>
    <w:rPr>
      <w:rFonts w:hint="default" w:ascii="Arial" w:hAnsi="Arial" w:cs="Arial"/>
      <w:color w:val="000000"/>
      <w:sz w:val="20"/>
      <w:szCs w:val="20"/>
      <w:u w:val="none"/>
    </w:rPr>
  </w:style>
  <w:style w:type="character" w:customStyle="1" w:styleId="131">
    <w:name w:val="font141"/>
    <w:basedOn w:val="35"/>
    <w:qFormat/>
    <w:uiPriority w:val="0"/>
    <w:rPr>
      <w:rFonts w:hint="default" w:ascii="Arial" w:hAnsi="Arial" w:cs="Arial"/>
      <w:color w:val="000000"/>
      <w:sz w:val="20"/>
      <w:szCs w:val="20"/>
      <w:u w:val="none"/>
    </w:rPr>
  </w:style>
  <w:style w:type="character" w:customStyle="1" w:styleId="132">
    <w:name w:val="font12"/>
    <w:basedOn w:val="35"/>
    <w:qFormat/>
    <w:uiPriority w:val="0"/>
    <w:rPr>
      <w:rFonts w:hint="eastAsia" w:ascii="宋体" w:hAnsi="宋体" w:eastAsia="宋体" w:cs="宋体"/>
      <w:color w:val="000000"/>
      <w:sz w:val="20"/>
      <w:szCs w:val="20"/>
      <w:u w:val="none"/>
    </w:rPr>
  </w:style>
  <w:style w:type="character" w:customStyle="1" w:styleId="133">
    <w:name w:val="font151"/>
    <w:basedOn w:val="35"/>
    <w:qFormat/>
    <w:uiPriority w:val="0"/>
    <w:rPr>
      <w:rFonts w:hint="eastAsia" w:ascii="宋体" w:hAnsi="宋体" w:eastAsia="宋体" w:cs="宋体"/>
      <w:color w:val="000000"/>
      <w:sz w:val="20"/>
      <w:szCs w:val="20"/>
      <w:u w:val="none"/>
    </w:rPr>
  </w:style>
  <w:style w:type="character" w:customStyle="1" w:styleId="134">
    <w:name w:val="font101"/>
    <w:basedOn w:val="35"/>
    <w:qFormat/>
    <w:uiPriority w:val="0"/>
    <w:rPr>
      <w:rFonts w:hint="default" w:ascii="Arial" w:hAnsi="Arial" w:cs="Arial"/>
      <w:color w:val="000000"/>
      <w:sz w:val="20"/>
      <w:szCs w:val="20"/>
      <w:u w:val="none"/>
    </w:rPr>
  </w:style>
  <w:style w:type="character" w:customStyle="1" w:styleId="135">
    <w:name w:val="font111"/>
    <w:basedOn w:val="35"/>
    <w:qFormat/>
    <w:uiPriority w:val="0"/>
    <w:rPr>
      <w:rFonts w:ascii="Batang" w:hAnsi="Batang" w:eastAsia="Batang" w:cs="Batang"/>
      <w:color w:val="000000"/>
      <w:sz w:val="21"/>
      <w:szCs w:val="21"/>
      <w:u w:val="none"/>
    </w:rPr>
  </w:style>
  <w:style w:type="character" w:customStyle="1" w:styleId="136">
    <w:name w:val="font161"/>
    <w:basedOn w:val="35"/>
    <w:qFormat/>
    <w:uiPriority w:val="0"/>
    <w:rPr>
      <w:rFonts w:hint="eastAsia" w:ascii="宋体" w:hAnsi="宋体" w:eastAsia="宋体" w:cs="宋体"/>
      <w:color w:val="000000"/>
      <w:sz w:val="21"/>
      <w:szCs w:val="21"/>
      <w:u w:val="none"/>
    </w:rPr>
  </w:style>
  <w:style w:type="paragraph" w:customStyle="1" w:styleId="137">
    <w:name w:val="Body text|1"/>
    <w:basedOn w:val="1"/>
    <w:qFormat/>
    <w:uiPriority w:val="0"/>
    <w:pPr>
      <w:spacing w:line="442" w:lineRule="auto"/>
      <w:ind w:firstLine="400"/>
    </w:pPr>
    <w:rPr>
      <w:rFonts w:ascii="宋体" w:hAnsi="宋体" w:cs="宋体"/>
      <w:sz w:val="22"/>
      <w:szCs w:val="22"/>
      <w:lang w:val="zh-TW" w:eastAsia="zh-TW"/>
    </w:rPr>
  </w:style>
  <w:style w:type="paragraph" w:customStyle="1" w:styleId="138">
    <w:name w:val="正文首行缩进1"/>
    <w:basedOn w:val="11"/>
    <w:qFormat/>
    <w:uiPriority w:val="0"/>
    <w:pPr>
      <w:spacing w:before="100" w:beforeAutospacing="1"/>
      <w:ind w:firstLine="420" w:firstLineChars="100"/>
    </w:pPr>
  </w:style>
  <w:style w:type="paragraph" w:customStyle="1" w:styleId="139">
    <w:name w:val="_Style 1"/>
    <w:qFormat/>
    <w:uiPriority w:val="0"/>
    <w:rPr>
      <w:rFonts w:ascii="Calibri" w:hAnsi="Calibri" w:eastAsia="宋体" w:cs="宋体"/>
      <w:kern w:val="2"/>
      <w:sz w:val="28"/>
      <w:szCs w:val="22"/>
      <w:lang w:val="en-US" w:eastAsia="zh-CN" w:bidi="ar-SA"/>
    </w:rPr>
  </w:style>
  <w:style w:type="character" w:customStyle="1" w:styleId="140">
    <w:name w:val="无"/>
    <w:qFormat/>
    <w:uiPriority w:val="0"/>
  </w:style>
  <w:style w:type="paragraph" w:customStyle="1" w:styleId="141">
    <w:name w:val="Revision"/>
    <w:hidden/>
    <w:unhideWhenUsed/>
    <w:qFormat/>
    <w:uiPriority w:val="99"/>
    <w:rPr>
      <w:rFonts w:ascii="Times New Roman" w:hAnsi="Times New Roman" w:eastAsia="宋体" w:cs="Times New Roman"/>
      <w:snapToGrid w:val="0"/>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7.xml"/><Relationship Id="rId12" Type="http://schemas.openxmlformats.org/officeDocument/2006/relationships/header" Target="header4.xml"/><Relationship Id="rId11" Type="http://schemas.openxmlformats.org/officeDocument/2006/relationships/footer" Target="footer6.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ops>
  <customShpExts>
    <customShpInfo spid="_x0000_s1026"/>
    <customShpInfo spid="_x0000_s1027"/>
    <customShpInfo spid="_x0000_s1028"/>
    <customShpInfo spid="_x0000_s102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Users</Company>
  <Pages>64</Pages>
  <Words>30326</Words>
  <Characters>31595</Characters>
  <Lines>223</Lines>
  <Paragraphs>62</Paragraphs>
  <TotalTime>7</TotalTime>
  <ScaleCrop>false</ScaleCrop>
  <LinksUpToDate>false</LinksUpToDate>
  <CharactersWithSpaces>32709</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2023-10-20T16:43:00Z</dcterms:created>
  <dc:creator>黎似玖</dc:creator>
  <cp:lastModifiedBy>豪圣</cp:lastModifiedBy>
  <cp:lastPrinted>2022-06-06T13:49:00Z</cp:lastPrinted>
  <dcterms:modified xsi:type="dcterms:W3CDTF">2023-11-03T11:36:51Z</dcterms:modified>
  <dc:title>开发区环境监测站部分仪器采购</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F64B749CFAAF450EA100D4C65C0AC5FC</vt:lpwstr>
  </property>
  <property fmtid="{D5CDD505-2E9C-101B-9397-08002B2CF9AE}" pid="4" name="commondata">
    <vt:lpwstr>eyJoZGlkIjoiMzEyNDE3ZTQ1MDc1YTkwN2MxZjdkNDZlOWQwZjJlNzcifQ==</vt:lpwstr>
  </property>
</Properties>
</file>