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0" w:beforeLines="250" w:line="312" w:lineRule="auto"/>
        <w:jc w:val="center"/>
        <w:rPr>
          <w:rFonts w:hint="eastAsia" w:ascii="宋体" w:hAnsi="宋体" w:cs="宋体"/>
          <w:sz w:val="52"/>
          <w:szCs w:val="52"/>
          <w:highlight w:val="none"/>
          <w:lang w:eastAsia="zh-CN"/>
        </w:rPr>
      </w:pPr>
      <w:r>
        <w:rPr>
          <w:rFonts w:hint="eastAsia" w:ascii="宋体" w:hAnsi="宋体" w:cs="宋体"/>
          <w:sz w:val="52"/>
          <w:szCs w:val="52"/>
          <w:highlight w:val="none"/>
          <w:lang w:eastAsia="zh-CN"/>
        </w:rPr>
        <w:t>衢州市气象局</w:t>
      </w:r>
    </w:p>
    <w:p>
      <w:pPr>
        <w:spacing w:before="600" w:beforeLines="250" w:line="312" w:lineRule="auto"/>
        <w:jc w:val="center"/>
        <w:rPr>
          <w:rFonts w:hint="eastAsia" w:ascii="宋体" w:hAnsi="宋体" w:cs="宋体"/>
          <w:sz w:val="52"/>
          <w:szCs w:val="52"/>
          <w:highlight w:val="none"/>
          <w:lang w:eastAsia="zh-CN"/>
        </w:rPr>
      </w:pPr>
      <w:r>
        <w:rPr>
          <w:rFonts w:hint="eastAsia" w:ascii="宋体" w:hAnsi="宋体" w:cs="宋体"/>
          <w:sz w:val="52"/>
          <w:szCs w:val="52"/>
          <w:highlight w:val="none"/>
          <w:lang w:eastAsia="zh-CN"/>
        </w:rPr>
        <w:t>浙江省气象高质量发展“补短板”工程（一期）柯城X波段相控阵天气雷达项目</w:t>
      </w:r>
    </w:p>
    <w:p>
      <w:pPr>
        <w:spacing w:before="600" w:beforeLines="250" w:line="312" w:lineRule="auto"/>
        <w:jc w:val="center"/>
        <w:rPr>
          <w:rFonts w:hint="eastAsia" w:ascii="宋体" w:hAnsi="宋体" w:eastAsia="宋体" w:cs="宋体"/>
          <w:bCs/>
          <w:sz w:val="90"/>
          <w:szCs w:val="90"/>
          <w:highlight w:val="none"/>
        </w:rPr>
      </w:pPr>
      <w:r>
        <w:rPr>
          <w:rFonts w:hint="eastAsia" w:ascii="宋体" w:hAnsi="宋体" w:eastAsia="宋体" w:cs="宋体"/>
          <w:bCs/>
          <w:sz w:val="96"/>
          <w:szCs w:val="96"/>
          <w:highlight w:val="none"/>
        </w:rPr>
        <w:t>招 标 文 件</w:t>
      </w:r>
    </w:p>
    <w:p>
      <w:pPr>
        <w:spacing w:line="312" w:lineRule="auto"/>
        <w:rPr>
          <w:rFonts w:hint="eastAsia" w:ascii="宋体" w:hAnsi="宋体" w:eastAsia="宋体" w:cs="宋体"/>
          <w:sz w:val="28"/>
          <w:szCs w:val="28"/>
          <w:highlight w:val="none"/>
        </w:rPr>
      </w:pPr>
    </w:p>
    <w:p>
      <w:pPr>
        <w:spacing w:line="312" w:lineRule="auto"/>
        <w:rPr>
          <w:rFonts w:hint="eastAsia" w:ascii="宋体" w:hAnsi="宋体" w:eastAsia="宋体" w:cs="宋体"/>
          <w:sz w:val="28"/>
          <w:szCs w:val="28"/>
          <w:highlight w:val="none"/>
        </w:rPr>
      </w:pPr>
    </w:p>
    <w:p>
      <w:pPr>
        <w:spacing w:line="480" w:lineRule="auto"/>
        <w:ind w:left="2558" w:leftChars="456" w:hanging="1600" w:hangingChars="500"/>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项目名称：</w:t>
      </w:r>
      <w:r>
        <w:rPr>
          <w:rFonts w:hint="eastAsia" w:ascii="宋体" w:hAnsi="宋体" w:cs="宋体"/>
          <w:sz w:val="32"/>
          <w:szCs w:val="32"/>
          <w:highlight w:val="none"/>
          <w:lang w:eastAsia="zh-CN"/>
        </w:rPr>
        <w:t>浙江省气象高质量发展“补短板”工程（一期）柯城X波段相控阵天气雷达项目</w:t>
      </w:r>
    </w:p>
    <w:p>
      <w:pPr>
        <w:spacing w:line="480" w:lineRule="auto"/>
        <w:ind w:firstLine="960" w:firstLineChars="300"/>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项目编号：</w:t>
      </w:r>
      <w:r>
        <w:rPr>
          <w:rFonts w:hint="eastAsia" w:ascii="宋体" w:hAnsi="宋体" w:cs="宋体"/>
          <w:sz w:val="32"/>
          <w:szCs w:val="32"/>
          <w:highlight w:val="none"/>
          <w:lang w:eastAsia="zh-CN"/>
        </w:rPr>
        <w:t>ZJCT-Z20240031</w:t>
      </w:r>
    </w:p>
    <w:p>
      <w:pPr>
        <w:spacing w:line="480" w:lineRule="auto"/>
        <w:ind w:firstLine="960" w:firstLineChars="300"/>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采 购 人：</w:t>
      </w:r>
      <w:r>
        <w:rPr>
          <w:rFonts w:hint="eastAsia" w:ascii="宋体" w:hAnsi="宋体" w:cs="宋体"/>
          <w:sz w:val="32"/>
          <w:szCs w:val="32"/>
          <w:highlight w:val="none"/>
          <w:lang w:eastAsia="zh-CN"/>
        </w:rPr>
        <w:t>衢州市气象局</w:t>
      </w:r>
    </w:p>
    <w:p>
      <w:pPr>
        <w:spacing w:line="480" w:lineRule="auto"/>
        <w:ind w:firstLine="960" w:firstLineChars="300"/>
        <w:rPr>
          <w:rFonts w:hint="eastAsia" w:ascii="宋体" w:hAnsi="宋体" w:eastAsia="宋体" w:cs="宋体"/>
          <w:sz w:val="32"/>
          <w:szCs w:val="32"/>
          <w:highlight w:val="none"/>
        </w:rPr>
      </w:pPr>
      <w:r>
        <w:rPr>
          <w:rFonts w:hint="eastAsia" w:ascii="宋体" w:hAnsi="宋体" w:eastAsia="宋体" w:cs="宋体"/>
          <w:sz w:val="32"/>
          <w:szCs w:val="32"/>
          <w:highlight w:val="none"/>
        </w:rPr>
        <w:t>代理机构：浙江省成套工程有限公司</w:t>
      </w:r>
    </w:p>
    <w:p>
      <w:pPr>
        <w:spacing w:line="312" w:lineRule="auto"/>
        <w:jc w:val="center"/>
        <w:rPr>
          <w:rFonts w:hint="eastAsia" w:ascii="宋体" w:hAnsi="宋体" w:eastAsia="宋体" w:cs="宋体"/>
          <w:sz w:val="32"/>
          <w:szCs w:val="32"/>
          <w:highlight w:val="none"/>
        </w:rPr>
      </w:pPr>
    </w:p>
    <w:p>
      <w:pPr>
        <w:pStyle w:val="11"/>
        <w:rPr>
          <w:rFonts w:hint="eastAsia" w:ascii="宋体" w:hAnsi="宋体" w:eastAsia="宋体" w:cs="宋体"/>
          <w:sz w:val="32"/>
          <w:szCs w:val="32"/>
          <w:highlight w:val="none"/>
        </w:rPr>
      </w:pPr>
    </w:p>
    <w:p>
      <w:pPr>
        <w:spacing w:line="312" w:lineRule="auto"/>
        <w:jc w:val="center"/>
        <w:rPr>
          <w:rFonts w:hint="eastAsia" w:ascii="宋体" w:hAnsi="宋体" w:eastAsia="宋体" w:cs="宋体"/>
          <w:sz w:val="32"/>
          <w:szCs w:val="32"/>
          <w:highlight w:val="none"/>
        </w:rPr>
        <w:sectPr>
          <w:headerReference r:id="rId3" w:type="default"/>
          <w:footerReference r:id="rId4" w:type="default"/>
          <w:pgSz w:w="11906" w:h="16838"/>
          <w:pgMar w:top="1389" w:right="1134" w:bottom="1389" w:left="1417" w:header="851" w:footer="992" w:gutter="283"/>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cs="宋体"/>
          <w:sz w:val="32"/>
          <w:szCs w:val="32"/>
          <w:highlight w:val="none"/>
          <w:lang w:eastAsia="zh-CN"/>
        </w:rPr>
        <w:t>202</w:t>
      </w:r>
      <w:r>
        <w:rPr>
          <w:rFonts w:hint="eastAsia" w:ascii="宋体" w:hAnsi="宋体" w:cs="宋体"/>
          <w:sz w:val="32"/>
          <w:szCs w:val="32"/>
          <w:highlight w:val="none"/>
          <w:lang w:val="en-US" w:eastAsia="zh-CN"/>
        </w:rPr>
        <w:t>4</w:t>
      </w:r>
      <w:r>
        <w:rPr>
          <w:rFonts w:hint="eastAsia" w:ascii="宋体" w:hAnsi="宋体" w:eastAsia="宋体" w:cs="宋体"/>
          <w:sz w:val="32"/>
          <w:szCs w:val="32"/>
          <w:highlight w:val="none"/>
          <w:lang w:eastAsia="zh-CN"/>
        </w:rPr>
        <w:t>年</w:t>
      </w:r>
      <w:r>
        <w:rPr>
          <w:rFonts w:hint="eastAsia" w:ascii="宋体" w:hAnsi="宋体" w:cs="宋体"/>
          <w:sz w:val="32"/>
          <w:szCs w:val="32"/>
          <w:highlight w:val="none"/>
          <w:lang w:val="en-US" w:eastAsia="zh-CN"/>
        </w:rPr>
        <w:t>4</w:t>
      </w:r>
      <w:r>
        <w:rPr>
          <w:rFonts w:hint="eastAsia" w:ascii="宋体" w:hAnsi="宋体" w:eastAsia="宋体" w:cs="宋体"/>
          <w:sz w:val="32"/>
          <w:szCs w:val="32"/>
          <w:highlight w:val="none"/>
        </w:rPr>
        <w:t>月</w:t>
      </w:r>
    </w:p>
    <w:p>
      <w:pPr>
        <w:snapToGrid w:val="0"/>
        <w:spacing w:line="312" w:lineRule="auto"/>
        <w:jc w:val="center"/>
        <w:rPr>
          <w:rFonts w:hint="eastAsia" w:ascii="宋体" w:hAnsi="宋体" w:eastAsia="宋体" w:cs="宋体"/>
          <w:bCs/>
          <w:sz w:val="28"/>
          <w:szCs w:val="28"/>
          <w:highlight w:val="none"/>
        </w:rPr>
      </w:pPr>
    </w:p>
    <w:p>
      <w:pPr>
        <w:snapToGrid w:val="0"/>
        <w:spacing w:line="312" w:lineRule="auto"/>
        <w:jc w:val="center"/>
        <w:rPr>
          <w:rFonts w:hint="eastAsia" w:ascii="宋体" w:hAnsi="宋体" w:eastAsia="宋体" w:cs="宋体"/>
          <w:bCs/>
          <w:sz w:val="28"/>
          <w:szCs w:val="28"/>
          <w:highlight w:val="none"/>
        </w:rPr>
      </w:pPr>
      <w:r>
        <w:rPr>
          <w:rFonts w:hint="eastAsia" w:ascii="宋体" w:hAnsi="宋体" w:eastAsia="宋体" w:cs="宋体"/>
          <w:bCs/>
          <w:sz w:val="28"/>
          <w:szCs w:val="28"/>
          <w:highlight w:val="none"/>
        </w:rPr>
        <w:t>目  录</w:t>
      </w:r>
    </w:p>
    <w:p>
      <w:pPr>
        <w:pStyle w:val="17"/>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TOC \o "1-3" \h \z \u </w:instrText>
      </w:r>
      <w:r>
        <w:rPr>
          <w:rFonts w:hint="eastAsia" w:ascii="宋体" w:hAnsi="宋体" w:eastAsia="宋体" w:cs="宋体"/>
          <w:sz w:val="21"/>
          <w:szCs w:val="21"/>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"_Toc12559"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第一章  招标公告</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_Toc12559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2</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7"/>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"_Toc26924"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第二章  投标须知前附表及投标须知</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_Toc26924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4</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"_Toc13978"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一、 投标须知前附表</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_Toc13978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4</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"_Toc13996"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二、 投标须知</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_Toc13996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5</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"_Toc24659"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三、 招标文件说明</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_Toc24659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6</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"_Toc31995"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四、 投标文件的编制</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_Toc31995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7</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"_Toc21663"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五、 投标文件的签署及规定</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_Toc21663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8</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"_Toc5517"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六、 投标文件的递交</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_Toc5517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9</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"_Toc18724"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七、 投标无效的情形</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_Toc18724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9</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"_Toc8559"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八、 串通投标的情形</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_Toc8559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9</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"_Toc31946"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九、 废标的情形</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_Toc31946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10</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"_Toc17839"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十、 开标和评标</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_Toc17839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10</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"_Toc784"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十一、 定标</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_Toc784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12</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"_Toc18414"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十二、 质疑与投诉</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_Toc18414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12</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"_Toc29377"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十三、 法律责任</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_Toc29377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13</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"_Toc29877"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十四、 代理服务费</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_Toc29877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13</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9"/>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"_Toc23429"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十五、 其他</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_Toc23429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13</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7"/>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"_Toc17730"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第三章  采购内容及要求</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_Toc17730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14</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7"/>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"_Toc10473"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第四章  合同主要条款</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_Toc10473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17</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7"/>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"_Toc3822"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rPr>
        <w:t>第五章  应提交的有关格式范例</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_Toc3822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21</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7"/>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"_Toc23244" </w:instrText>
      </w:r>
      <w:r>
        <w:rPr>
          <w:rFonts w:hint="eastAsia" w:ascii="宋体" w:hAnsi="宋体" w:eastAsia="宋体" w:cs="宋体"/>
          <w:highlight w:val="none"/>
        </w:rPr>
        <w:fldChar w:fldCharType="separate"/>
      </w:r>
      <w:r>
        <w:rPr>
          <w:rFonts w:hint="eastAsia" w:ascii="宋体" w:hAnsi="宋体" w:eastAsia="宋体" w:cs="宋体"/>
          <w:bCs/>
          <w:sz w:val="21"/>
          <w:szCs w:val="21"/>
          <w:highlight w:val="none"/>
          <w:lang w:val="zh-CN"/>
        </w:rPr>
        <w:t>第六章</w:t>
      </w:r>
      <w:r>
        <w:rPr>
          <w:rFonts w:hint="eastAsia" w:ascii="宋体" w:hAnsi="宋体" w:eastAsia="宋体" w:cs="宋体"/>
          <w:bCs/>
          <w:sz w:val="21"/>
          <w:szCs w:val="21"/>
          <w:highlight w:val="none"/>
        </w:rPr>
        <w:t xml:space="preserve">  </w:t>
      </w:r>
      <w:r>
        <w:rPr>
          <w:rFonts w:hint="eastAsia" w:ascii="宋体" w:hAnsi="宋体" w:eastAsia="宋体" w:cs="宋体"/>
          <w:bCs/>
          <w:sz w:val="21"/>
          <w:szCs w:val="21"/>
          <w:highlight w:val="none"/>
          <w:lang w:val="zh-CN"/>
        </w:rPr>
        <w:t>评标办法及开标程序</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_Toc23244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28</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pStyle w:val="17"/>
        <w:tabs>
          <w:tab w:val="right" w:leader="dot" w:pos="9128"/>
        </w:tabs>
        <w:spacing w:line="312" w:lineRule="auto"/>
        <w:rPr>
          <w:rFonts w:hint="eastAsia" w:ascii="宋体" w:hAnsi="宋体" w:eastAsia="宋体" w:cs="宋体"/>
          <w:sz w:val="21"/>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"_Toc15603" </w:instrText>
      </w:r>
      <w:r>
        <w:rPr>
          <w:rFonts w:hint="eastAsia" w:ascii="宋体" w:hAnsi="宋体" w:eastAsia="宋体" w:cs="宋体"/>
          <w:highlight w:val="none"/>
        </w:rPr>
        <w:fldChar w:fldCharType="separate"/>
      </w:r>
      <w:r>
        <w:rPr>
          <w:rFonts w:hint="eastAsia" w:ascii="宋体" w:hAnsi="宋体" w:eastAsia="宋体" w:cs="宋体"/>
          <w:bCs/>
          <w:sz w:val="21"/>
          <w:szCs w:val="21"/>
          <w:highlight w:val="none"/>
          <w:lang w:val="zh-CN"/>
        </w:rPr>
        <w:t xml:space="preserve">第七章  </w:t>
      </w:r>
      <w:r>
        <w:rPr>
          <w:rFonts w:hint="eastAsia" w:ascii="宋体" w:hAnsi="宋体" w:eastAsia="宋体" w:cs="宋体"/>
          <w:bCs/>
          <w:sz w:val="21"/>
          <w:szCs w:val="21"/>
          <w:highlight w:val="none"/>
          <w:lang w:val="en-US" w:eastAsia="zh-CN"/>
        </w:rPr>
        <w:t>附件</w:t>
      </w:r>
      <w:r>
        <w:rPr>
          <w:rFonts w:hint="eastAsia" w:ascii="宋体" w:hAnsi="宋体" w:eastAsia="宋体" w:cs="宋体"/>
          <w:sz w:val="21"/>
          <w:szCs w:val="21"/>
          <w:highlight w:val="none"/>
        </w:rPr>
        <w:tab/>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PAGEREF _Toc15603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30</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fldChar w:fldCharType="end"/>
      </w:r>
    </w:p>
    <w:p>
      <w:pPr>
        <w:snapToGrid w:val="0"/>
        <w:spacing w:line="312" w:lineRule="auto"/>
        <w:jc w:val="center"/>
        <w:rPr>
          <w:rFonts w:hint="eastAsia" w:ascii="宋体" w:hAnsi="宋体" w:eastAsia="宋体" w:cs="宋体"/>
          <w:szCs w:val="21"/>
          <w:highlight w:val="none"/>
        </w:rPr>
      </w:pPr>
      <w:r>
        <w:rPr>
          <w:rFonts w:hint="eastAsia" w:ascii="宋体" w:hAnsi="宋体" w:eastAsia="宋体" w:cs="宋体"/>
          <w:szCs w:val="21"/>
          <w:highlight w:val="none"/>
        </w:rPr>
        <w:fldChar w:fldCharType="end"/>
      </w:r>
      <w:bookmarkStart w:id="0" w:name="_Toc354491895"/>
      <w:bookmarkStart w:id="1" w:name="_Toc356371429"/>
    </w:p>
    <w:p>
      <w:pPr>
        <w:snapToGrid w:val="0"/>
        <w:spacing w:line="312" w:lineRule="auto"/>
        <w:jc w:val="center"/>
        <w:outlineLvl w:val="0"/>
        <w:rPr>
          <w:rFonts w:hint="eastAsia" w:ascii="宋体" w:hAnsi="宋体" w:eastAsia="宋体" w:cs="宋体"/>
          <w:bCs/>
          <w:szCs w:val="21"/>
          <w:highlight w:val="none"/>
        </w:rPr>
      </w:pPr>
      <w:r>
        <w:rPr>
          <w:rFonts w:hint="eastAsia" w:ascii="宋体" w:hAnsi="宋体" w:eastAsia="宋体" w:cs="宋体"/>
          <w:szCs w:val="21"/>
          <w:highlight w:val="none"/>
        </w:rPr>
        <w:br w:type="page"/>
      </w:r>
      <w:bookmarkStart w:id="2" w:name="_Toc12559"/>
      <w:bookmarkStart w:id="3" w:name="_Toc2041"/>
      <w:r>
        <w:rPr>
          <w:rFonts w:hint="eastAsia" w:ascii="宋体" w:hAnsi="宋体" w:eastAsia="宋体" w:cs="宋体"/>
          <w:b/>
          <w:bCs w:val="0"/>
          <w:szCs w:val="21"/>
          <w:highlight w:val="none"/>
        </w:rPr>
        <w:t xml:space="preserve">第一章  </w:t>
      </w:r>
      <w:bookmarkEnd w:id="0"/>
      <w:r>
        <w:rPr>
          <w:rFonts w:hint="eastAsia" w:ascii="宋体" w:hAnsi="宋体" w:eastAsia="宋体" w:cs="宋体"/>
          <w:b/>
          <w:bCs w:val="0"/>
          <w:szCs w:val="21"/>
          <w:highlight w:val="none"/>
        </w:rPr>
        <w:t>招标公告</w:t>
      </w:r>
      <w:bookmarkEnd w:id="1"/>
      <w:bookmarkEnd w:id="2"/>
      <w:bookmarkEnd w:id="3"/>
    </w:p>
    <w:p>
      <w:pPr>
        <w:spacing w:line="312" w:lineRule="auto"/>
        <w:jc w:val="center"/>
        <w:rPr>
          <w:rFonts w:hint="eastAsia" w:ascii="宋体" w:hAnsi="宋体" w:eastAsia="宋体" w:cs="宋体"/>
          <w:b/>
          <w:sz w:val="21"/>
          <w:szCs w:val="21"/>
          <w:highlight w:val="none"/>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u w:val="single"/>
          <w:lang w:eastAsia="zh-CN"/>
        </w:rPr>
        <w:t>浙江省气象高质量发展“补短板”工程（一期）柯城X波段相控阵天气雷达项目</w:t>
      </w:r>
      <w:r>
        <w:rPr>
          <w:rFonts w:hint="eastAsia" w:ascii="宋体" w:hAnsi="宋体" w:eastAsia="宋体" w:cs="宋体"/>
          <w:color w:val="auto"/>
          <w:sz w:val="21"/>
          <w:szCs w:val="21"/>
          <w:highlight w:val="none"/>
        </w:rPr>
        <w:t>的潜在供应商应在</w:t>
      </w:r>
      <w:r>
        <w:rPr>
          <w:rFonts w:hint="eastAsia" w:ascii="宋体" w:hAnsi="宋体" w:eastAsia="宋体" w:cs="宋体"/>
          <w:color w:val="auto"/>
          <w:sz w:val="21"/>
          <w:szCs w:val="21"/>
          <w:highlight w:val="none"/>
          <w:u w:val="single"/>
        </w:rPr>
        <w:t>浙江政府采购网上</w:t>
      </w:r>
      <w:r>
        <w:rPr>
          <w:rFonts w:hint="eastAsia" w:ascii="宋体" w:hAnsi="宋体" w:eastAsia="宋体" w:cs="宋体"/>
          <w:color w:val="auto"/>
          <w:sz w:val="21"/>
          <w:szCs w:val="21"/>
          <w:highlight w:val="none"/>
        </w:rPr>
        <w:t>获取采购文件，并于</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2024年</w:t>
      </w:r>
      <w:r>
        <w:rPr>
          <w:rFonts w:hint="eastAsia" w:ascii="宋体" w:hAnsi="宋体" w:cs="宋体"/>
          <w:bCs/>
          <w:color w:val="auto"/>
          <w:sz w:val="21"/>
          <w:szCs w:val="21"/>
          <w:highlight w:val="none"/>
          <w:u w:val="single"/>
          <w:lang w:val="en-US" w:eastAsia="zh-CN"/>
        </w:rPr>
        <w:t>5</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11</w:t>
      </w:r>
      <w:r>
        <w:rPr>
          <w:rFonts w:hint="eastAsia" w:ascii="宋体" w:hAnsi="宋体" w:eastAsia="宋体" w:cs="宋体"/>
          <w:bCs/>
          <w:color w:val="auto"/>
          <w:sz w:val="21"/>
          <w:szCs w:val="21"/>
          <w:highlight w:val="none"/>
          <w:u w:val="single"/>
        </w:rPr>
        <w:t>日</w:t>
      </w:r>
      <w:r>
        <w:rPr>
          <w:rFonts w:hint="eastAsia" w:ascii="宋体" w:hAnsi="宋体" w:eastAsia="宋体" w:cs="宋体"/>
          <w:bCs/>
          <w:color w:val="auto"/>
          <w:sz w:val="21"/>
          <w:szCs w:val="21"/>
          <w:highlight w:val="none"/>
          <w:u w:val="single"/>
          <w:lang w:val="en-US" w:eastAsia="zh-CN"/>
        </w:rPr>
        <w:t>09</w:t>
      </w:r>
      <w:r>
        <w:rPr>
          <w:rFonts w:hint="eastAsia" w:ascii="宋体" w:hAnsi="宋体" w:eastAsia="宋体" w:cs="宋体"/>
          <w:bCs/>
          <w:color w:val="auto"/>
          <w:sz w:val="21"/>
          <w:szCs w:val="21"/>
          <w:highlight w:val="none"/>
          <w:u w:val="single"/>
        </w:rPr>
        <w:t>点</w:t>
      </w:r>
      <w:r>
        <w:rPr>
          <w:rFonts w:hint="eastAsia" w:ascii="宋体" w:hAnsi="宋体" w:eastAsia="宋体" w:cs="宋体"/>
          <w:bCs/>
          <w:color w:val="auto"/>
          <w:sz w:val="21"/>
          <w:szCs w:val="21"/>
          <w:highlight w:val="none"/>
          <w:u w:val="single"/>
          <w:lang w:val="en-US" w:eastAsia="zh-CN"/>
        </w:rPr>
        <w:t>3</w:t>
      </w:r>
      <w:r>
        <w:rPr>
          <w:rFonts w:hint="eastAsia" w:ascii="宋体" w:hAnsi="宋体" w:eastAsia="宋体" w:cs="宋体"/>
          <w:bCs/>
          <w:color w:val="auto"/>
          <w:sz w:val="21"/>
          <w:szCs w:val="21"/>
          <w:highlight w:val="none"/>
          <w:u w:val="single"/>
        </w:rPr>
        <w:t>0分</w:t>
      </w:r>
      <w:r>
        <w:rPr>
          <w:rFonts w:hint="eastAsia" w:ascii="宋体" w:hAnsi="宋体" w:eastAsia="宋体" w:cs="宋体"/>
          <w:bCs/>
          <w:color w:val="auto"/>
          <w:sz w:val="21"/>
          <w:szCs w:val="21"/>
          <w:highlight w:val="none"/>
        </w:rPr>
        <w:t>（北京时间）前提交响应文件</w:t>
      </w:r>
      <w:r>
        <w:rPr>
          <w:rFonts w:hint="eastAsia" w:ascii="宋体" w:hAnsi="宋体" w:eastAsia="宋体" w:cs="宋体"/>
          <w:color w:val="auto"/>
          <w:sz w:val="21"/>
          <w:szCs w:val="21"/>
          <w:highlight w:val="none"/>
        </w:rPr>
        <w:t>。</w:t>
      </w:r>
    </w:p>
    <w:p>
      <w:pPr>
        <w:pStyle w:val="4"/>
        <w:spacing w:before="0" w:after="0" w:line="360" w:lineRule="auto"/>
        <w:ind w:firstLine="422" w:firstLineChars="200"/>
        <w:rPr>
          <w:rFonts w:hint="eastAsia" w:ascii="宋体" w:hAnsi="宋体" w:eastAsia="宋体" w:cs="宋体"/>
          <w:b/>
          <w:color w:val="auto"/>
          <w:sz w:val="21"/>
          <w:szCs w:val="21"/>
          <w:highlight w:val="none"/>
        </w:rPr>
      </w:pPr>
      <w:bookmarkStart w:id="4" w:name="_Toc29280"/>
      <w:bookmarkStart w:id="5" w:name="_Toc28359089"/>
      <w:bookmarkStart w:id="6" w:name="_Toc28359012"/>
      <w:bookmarkStart w:id="7" w:name="_Toc35393798"/>
      <w:bookmarkStart w:id="8" w:name="_Toc35393629"/>
      <w:r>
        <w:rPr>
          <w:rFonts w:hint="eastAsia" w:ascii="宋体" w:hAnsi="宋体" w:eastAsia="宋体" w:cs="宋体"/>
          <w:b/>
          <w:color w:val="auto"/>
          <w:sz w:val="21"/>
          <w:szCs w:val="21"/>
          <w:highlight w:val="none"/>
        </w:rPr>
        <w:t>一、项目基本情况</w:t>
      </w:r>
      <w:bookmarkEnd w:id="4"/>
      <w:bookmarkEnd w:id="5"/>
      <w:bookmarkEnd w:id="6"/>
      <w:bookmarkEnd w:id="7"/>
      <w:bookmarkEnd w:id="8"/>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ZJCT-Z20240031</w:t>
      </w:r>
      <w:r>
        <w:rPr>
          <w:rFonts w:hint="eastAsia" w:ascii="宋体" w:hAnsi="宋体" w:cs="宋体"/>
          <w:color w:val="auto"/>
          <w:sz w:val="21"/>
          <w:szCs w:val="21"/>
          <w:highlight w:val="none"/>
          <w:lang w:val="en-US" w:eastAsia="zh-CN"/>
        </w:rPr>
        <w:t xml:space="preserve"> </w:t>
      </w:r>
    </w:p>
    <w:p>
      <w:pPr>
        <w:spacing w:line="360" w:lineRule="auto"/>
        <w:ind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项目名称：</w:t>
      </w:r>
      <w:r>
        <w:rPr>
          <w:rFonts w:hint="eastAsia" w:ascii="宋体" w:hAnsi="宋体" w:cs="宋体"/>
          <w:bCs/>
          <w:color w:val="auto"/>
          <w:sz w:val="21"/>
          <w:szCs w:val="21"/>
          <w:highlight w:val="none"/>
          <w:lang w:eastAsia="zh-CN"/>
        </w:rPr>
        <w:t>浙江省气象高质量发展“补短板”工程（一期）柯城X波段相控阵天气雷达项目</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采购方式：</w:t>
      </w:r>
      <w:r>
        <w:rPr>
          <w:rFonts w:hint="eastAsia" w:ascii="宋体" w:hAnsi="宋体" w:cs="宋体"/>
          <w:color w:val="auto"/>
          <w:sz w:val="21"/>
          <w:szCs w:val="21"/>
          <w:highlight w:val="none"/>
          <w:lang w:val="en-US" w:eastAsia="zh-CN"/>
        </w:rPr>
        <w:t>公开招标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r>
        <w:rPr>
          <w:rFonts w:hint="eastAsia" w:ascii="宋体" w:hAnsi="宋体" w:cs="宋体"/>
          <w:color w:val="auto"/>
          <w:sz w:val="21"/>
          <w:szCs w:val="21"/>
          <w:highlight w:val="none"/>
          <w:lang w:val="en-US" w:eastAsia="zh-CN"/>
        </w:rPr>
        <w:t>8770000.00</w:t>
      </w:r>
      <w:r>
        <w:rPr>
          <w:rFonts w:hint="eastAsia" w:ascii="宋体" w:hAnsi="宋体" w:eastAsia="宋体" w:cs="宋体"/>
          <w:color w:val="auto"/>
          <w:sz w:val="21"/>
          <w:szCs w:val="21"/>
          <w:highlight w:val="none"/>
          <w:lang w:val="en-US" w:eastAsia="zh-CN"/>
        </w:rPr>
        <w:t>元</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最高限价：</w:t>
      </w:r>
      <w:r>
        <w:rPr>
          <w:rFonts w:hint="eastAsia" w:ascii="宋体" w:hAnsi="宋体" w:cs="宋体"/>
          <w:color w:val="auto"/>
          <w:sz w:val="21"/>
          <w:szCs w:val="21"/>
          <w:highlight w:val="none"/>
          <w:lang w:val="en-US" w:eastAsia="zh-CN"/>
        </w:rPr>
        <w:t>8770000.00 元</w:t>
      </w:r>
    </w:p>
    <w:p>
      <w:pPr>
        <w:pStyle w:val="14"/>
        <w:spacing w:line="360" w:lineRule="auto"/>
        <w:ind w:firstLine="420" w:firstLineChars="200"/>
        <w:rPr>
          <w:rFonts w:hint="eastAsia" w:hAnsi="宋体" w:cs="宋体"/>
          <w:color w:val="auto"/>
          <w:sz w:val="21"/>
          <w:szCs w:val="21"/>
          <w:highlight w:val="none"/>
          <w:lang w:val="en-US" w:eastAsia="zh-CN"/>
        </w:rPr>
      </w:pPr>
      <w:r>
        <w:rPr>
          <w:rFonts w:hint="eastAsia" w:ascii="宋体" w:hAnsi="宋体" w:eastAsia="宋体" w:cs="宋体"/>
          <w:color w:val="auto"/>
          <w:sz w:val="21"/>
          <w:szCs w:val="21"/>
          <w:highlight w:val="none"/>
        </w:rPr>
        <w:t>采购需求：</w:t>
      </w:r>
      <w:r>
        <w:rPr>
          <w:rFonts w:hint="eastAsia" w:hAnsi="宋体" w:cs="宋体"/>
          <w:color w:val="auto"/>
          <w:sz w:val="21"/>
          <w:szCs w:val="21"/>
          <w:highlight w:val="none"/>
          <w:lang w:val="en-US" w:eastAsia="zh-CN"/>
        </w:rPr>
        <w:t xml:space="preserve"> </w:t>
      </w:r>
    </w:p>
    <w:p>
      <w:pPr>
        <w:pStyle w:val="14"/>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标项名称: </w:t>
      </w:r>
      <w:r>
        <w:rPr>
          <w:rFonts w:hint="eastAsia" w:hAnsi="宋体" w:cs="宋体"/>
          <w:bCs/>
          <w:color w:val="auto"/>
          <w:sz w:val="21"/>
          <w:szCs w:val="21"/>
          <w:highlight w:val="none"/>
          <w:lang w:val="en-US" w:eastAsia="zh-CN"/>
        </w:rPr>
        <w:t>浙江省气象高质量发展“补短板”工程（一期）柯城X波段相控阵天气雷达项目</w:t>
      </w:r>
    </w:p>
    <w:p>
      <w:pPr>
        <w:pStyle w:val="14"/>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数量:</w:t>
      </w:r>
      <w:r>
        <w:rPr>
          <w:rFonts w:hint="eastAsia" w:hAnsi="宋体" w:cs="宋体"/>
          <w:color w:val="auto"/>
          <w:sz w:val="21"/>
          <w:szCs w:val="21"/>
          <w:highlight w:val="none"/>
          <w:lang w:val="en-US" w:eastAsia="zh-CN"/>
        </w:rPr>
        <w:t>1</w:t>
      </w:r>
    </w:p>
    <w:p>
      <w:pPr>
        <w:pStyle w:val="14"/>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预算金额（元）:</w:t>
      </w:r>
      <w:r>
        <w:rPr>
          <w:rFonts w:hint="eastAsia" w:hAnsi="宋体" w:cs="宋体"/>
          <w:color w:val="auto"/>
          <w:sz w:val="21"/>
          <w:szCs w:val="21"/>
          <w:highlight w:val="none"/>
          <w:lang w:val="en-US" w:eastAsia="zh-CN"/>
        </w:rPr>
        <w:t>8770000.00</w:t>
      </w:r>
      <w:r>
        <w:rPr>
          <w:rFonts w:hint="eastAsia" w:ascii="宋体" w:hAnsi="宋体" w:eastAsia="宋体" w:cs="宋体"/>
          <w:color w:val="auto"/>
          <w:sz w:val="21"/>
          <w:szCs w:val="21"/>
          <w:highlight w:val="none"/>
          <w:lang w:val="en-US" w:eastAsia="zh-CN"/>
        </w:rPr>
        <w:t xml:space="preserve">              </w:t>
      </w:r>
    </w:p>
    <w:p>
      <w:pPr>
        <w:spacing w:line="360" w:lineRule="auto"/>
        <w:ind w:firstLine="420" w:firstLineChars="200"/>
        <w:rPr>
          <w:rFonts w:hint="eastAsia" w:ascii="宋体" w:hAnsi="宋体" w:eastAsia="宋体" w:cs="宋体"/>
          <w:bCs/>
          <w:color w:val="FF0000"/>
          <w:kern w:val="2"/>
          <w:sz w:val="21"/>
          <w:szCs w:val="21"/>
          <w:highlight w:val="none"/>
          <w:lang w:val="en-US" w:eastAsia="zh-CN" w:bidi="ar-SA"/>
        </w:rPr>
      </w:pPr>
      <w:r>
        <w:rPr>
          <w:rFonts w:hint="eastAsia" w:ascii="宋体" w:hAnsi="宋体" w:eastAsia="宋体" w:cs="宋体"/>
          <w:color w:val="auto"/>
          <w:sz w:val="21"/>
          <w:szCs w:val="21"/>
          <w:highlight w:val="none"/>
        </w:rPr>
        <w:t>简要规格描述或项目基本概况介绍、用途：</w:t>
      </w:r>
      <w:r>
        <w:rPr>
          <w:rFonts w:hint="eastAsia" w:ascii="宋体" w:hAnsi="宋体" w:cs="宋体"/>
          <w:color w:val="auto"/>
          <w:sz w:val="21"/>
          <w:szCs w:val="21"/>
          <w:highlight w:val="none"/>
          <w:lang w:val="en-US" w:eastAsia="zh-CN"/>
        </w:rPr>
        <w:t>/</w:t>
      </w:r>
    </w:p>
    <w:p>
      <w:pPr>
        <w:pStyle w:val="14"/>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备注：</w:t>
      </w:r>
      <w:r>
        <w:rPr>
          <w:rFonts w:hint="eastAsia" w:ascii="宋体" w:hAnsi="宋体" w:eastAsia="宋体" w:cs="宋体"/>
          <w:bCs/>
          <w:color w:val="auto"/>
          <w:sz w:val="21"/>
          <w:szCs w:val="21"/>
          <w:highlight w:val="none"/>
        </w:rPr>
        <w:t>详细采购需求见</w:t>
      </w:r>
      <w:r>
        <w:rPr>
          <w:rFonts w:hint="eastAsia" w:hAnsi="宋体" w:cs="宋体"/>
          <w:bCs/>
          <w:color w:val="auto"/>
          <w:sz w:val="21"/>
          <w:szCs w:val="21"/>
          <w:highlight w:val="none"/>
          <w:lang w:val="en-US" w:eastAsia="zh-CN"/>
        </w:rPr>
        <w:t>招标</w:t>
      </w:r>
      <w:r>
        <w:rPr>
          <w:rFonts w:hint="eastAsia" w:ascii="宋体" w:hAnsi="宋体" w:eastAsia="宋体" w:cs="宋体"/>
          <w:bCs/>
          <w:color w:val="auto"/>
          <w:sz w:val="21"/>
          <w:szCs w:val="21"/>
          <w:highlight w:val="none"/>
        </w:rPr>
        <w:t>文件第三部分</w:t>
      </w:r>
    </w:p>
    <w:p>
      <w:pPr>
        <w:rPr>
          <w:rFonts w:hint="eastAsia"/>
          <w:highlight w:val="none"/>
        </w:rPr>
      </w:pPr>
    </w:p>
    <w:p>
      <w:pPr>
        <w:spacing w:line="360" w:lineRule="auto"/>
        <w:ind w:firstLine="420" w:firstLineChars="2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合同履行期限：</w:t>
      </w:r>
      <w:r>
        <w:rPr>
          <w:rFonts w:hint="eastAsia" w:ascii="宋体" w:hAnsi="宋体" w:eastAsia="宋体" w:cs="宋体"/>
          <w:color w:val="auto"/>
          <w:sz w:val="21"/>
          <w:szCs w:val="21"/>
          <w:highlight w:val="none"/>
          <w:lang w:val="en-US" w:eastAsia="zh-CN"/>
        </w:rPr>
        <w:t>/</w:t>
      </w:r>
    </w:p>
    <w:p>
      <w:pPr>
        <w:spacing w:line="360" w:lineRule="auto"/>
        <w:ind w:firstLine="420" w:firstLineChars="200"/>
        <w:rPr>
          <w:rFonts w:hint="eastAsia" w:hAnsi="宋体" w:cs="宋体"/>
          <w:b w:val="0"/>
          <w:bCs/>
          <w:snapToGrid/>
          <w:color w:val="auto"/>
          <w:kern w:val="2"/>
          <w:sz w:val="21"/>
          <w:szCs w:val="21"/>
          <w:highlight w:val="none"/>
          <w:lang w:val="en-US" w:eastAsia="zh-CN"/>
        </w:rPr>
      </w:pPr>
      <w:bookmarkStart w:id="9" w:name="_Toc28359013"/>
      <w:bookmarkStart w:id="10" w:name="_Toc35393799"/>
      <w:bookmarkStart w:id="11" w:name="_Toc35393630"/>
      <w:bookmarkStart w:id="12" w:name="_Toc28359090"/>
      <w:r>
        <w:rPr>
          <w:rFonts w:hint="eastAsia" w:hAnsi="宋体" w:cs="宋体"/>
          <w:b w:val="0"/>
          <w:bCs/>
          <w:color w:val="auto"/>
          <w:sz w:val="21"/>
          <w:szCs w:val="21"/>
          <w:highlight w:val="none"/>
        </w:rPr>
        <w:t>本项目接受联合体投标：</w:t>
      </w:r>
      <w:sdt>
        <w:sdtPr>
          <w:rPr>
            <w:rFonts w:hint="eastAsia" w:ascii="宋体" w:hAnsi="宋体" w:cs="宋体"/>
            <w:b w:val="0"/>
            <w:bCs/>
            <w:color w:val="auto"/>
            <w:kern w:val="0"/>
            <w:sz w:val="21"/>
            <w:szCs w:val="21"/>
            <w:highlight w:val="none"/>
          </w:rPr>
          <w:id w:val="4648"/>
          <w14:checkbox>
            <w14:checked w14:val="0"/>
            <w14:checkedState w14:val="00FE" w14:font="Wingdings"/>
            <w14:uncheckedState w14:val="2610" w14:font="MS Gothic"/>
          </w14:checkbox>
        </w:sdtPr>
        <w:sdtEndPr>
          <w:rPr>
            <w:rFonts w:hint="eastAsia" w:ascii="宋体" w:hAnsi="宋体" w:cs="宋体"/>
            <w:b w:val="0"/>
            <w:bCs/>
            <w:snapToGrid/>
            <w:color w:val="auto"/>
            <w:kern w:val="2"/>
            <w:sz w:val="21"/>
            <w:szCs w:val="21"/>
            <w:highlight w:val="none"/>
          </w:rPr>
        </w:sdtEndPr>
        <w:sdtContent>
          <w:r>
            <w:rPr>
              <w:rFonts w:hint="eastAsia" w:ascii="MS Gothic" w:hAnsi="MS Gothic" w:eastAsia="宋体" w:cs="宋体"/>
              <w:b w:val="0"/>
              <w:bCs/>
              <w:snapToGrid/>
              <w:color w:val="auto"/>
              <w:kern w:val="2"/>
              <w:sz w:val="21"/>
              <w:szCs w:val="21"/>
              <w:highlight w:val="none"/>
              <w:lang w:val="en-US" w:eastAsia="zh-CN" w:bidi="ar-SA"/>
            </w:rPr>
            <w:t>☐</w:t>
          </w:r>
        </w:sdtContent>
      </w:sdt>
      <w:r>
        <w:rPr>
          <w:rFonts w:hint="eastAsia" w:ascii="宋体" w:hAnsi="宋体" w:cs="宋体"/>
          <w:b w:val="0"/>
          <w:bCs/>
          <w:snapToGrid/>
          <w:color w:val="auto"/>
          <w:kern w:val="2"/>
          <w:sz w:val="21"/>
          <w:szCs w:val="21"/>
          <w:highlight w:val="none"/>
        </w:rPr>
        <w:t xml:space="preserve"> </w:t>
      </w:r>
      <w:r>
        <w:rPr>
          <w:rFonts w:hint="eastAsia" w:hAnsi="宋体" w:cs="宋体"/>
          <w:b w:val="0"/>
          <w:bCs/>
          <w:snapToGrid/>
          <w:color w:val="auto"/>
          <w:kern w:val="2"/>
          <w:sz w:val="21"/>
          <w:szCs w:val="21"/>
          <w:highlight w:val="none"/>
          <w:lang w:val="en-US" w:eastAsia="zh-CN"/>
        </w:rPr>
        <w:t>是；</w:t>
      </w:r>
      <w:sdt>
        <w:sdtPr>
          <w:rPr>
            <w:rFonts w:hint="eastAsia" w:ascii="宋体" w:hAnsi="宋体" w:cs="宋体"/>
            <w:b w:val="0"/>
            <w:bCs/>
            <w:snapToGrid/>
            <w:color w:val="auto"/>
            <w:kern w:val="2"/>
            <w:sz w:val="21"/>
            <w:szCs w:val="21"/>
            <w:highlight w:val="none"/>
          </w:rPr>
          <w:id w:val="4649"/>
          <w14:checkbox>
            <w14:checked w14:val="1"/>
            <w14:checkedState w14:val="00FE" w14:font="Wingdings"/>
            <w14:uncheckedState w14:val="2610" w14:font="MS Gothic"/>
          </w14:checkbox>
        </w:sdtPr>
        <w:sdtEndPr>
          <w:rPr>
            <w:rFonts w:hint="eastAsia" w:ascii="宋体" w:hAnsi="宋体" w:cs="宋体"/>
            <w:b w:val="0"/>
            <w:bCs/>
            <w:snapToGrid/>
            <w:color w:val="auto"/>
            <w:kern w:val="2"/>
            <w:sz w:val="21"/>
            <w:szCs w:val="21"/>
            <w:highlight w:val="none"/>
          </w:rPr>
        </w:sdtEndPr>
        <w:sdtContent>
          <w:r>
            <w:rPr>
              <w:rFonts w:hint="eastAsia" w:ascii="Wingdings" w:hAnsi="Wingdings" w:eastAsia="宋体" w:cs="宋体"/>
              <w:b w:val="0"/>
              <w:bCs/>
              <w:snapToGrid/>
              <w:color w:val="auto"/>
              <w:kern w:val="2"/>
              <w:sz w:val="21"/>
              <w:szCs w:val="21"/>
              <w:highlight w:val="none"/>
              <w:lang w:val="en-US" w:eastAsia="zh-CN" w:bidi="ar-SA"/>
            </w:rPr>
            <w:t>þ</w:t>
          </w:r>
        </w:sdtContent>
      </w:sdt>
      <w:r>
        <w:rPr>
          <w:rFonts w:hint="eastAsia" w:ascii="宋体" w:hAnsi="宋体" w:cs="宋体"/>
          <w:b w:val="0"/>
          <w:bCs/>
          <w:snapToGrid/>
          <w:color w:val="auto"/>
          <w:kern w:val="2"/>
          <w:sz w:val="21"/>
          <w:szCs w:val="21"/>
          <w:highlight w:val="none"/>
        </w:rPr>
        <w:t xml:space="preserve"> </w:t>
      </w:r>
      <w:r>
        <w:rPr>
          <w:rFonts w:hint="eastAsia" w:hAnsi="宋体" w:cs="宋体"/>
          <w:b w:val="0"/>
          <w:bCs/>
          <w:snapToGrid/>
          <w:color w:val="auto"/>
          <w:kern w:val="2"/>
          <w:sz w:val="21"/>
          <w:szCs w:val="21"/>
          <w:highlight w:val="none"/>
          <w:lang w:val="en-US" w:eastAsia="zh-CN"/>
        </w:rPr>
        <w:t>否</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二、申请人的资格要求：</w:t>
      </w:r>
      <w:bookmarkEnd w:id="9"/>
      <w:bookmarkEnd w:id="10"/>
      <w:bookmarkEnd w:id="11"/>
      <w:bookmarkEnd w:id="12"/>
    </w:p>
    <w:p>
      <w:pPr>
        <w:spacing w:line="360" w:lineRule="auto"/>
        <w:ind w:firstLine="420" w:firstLineChars="200"/>
        <w:rPr>
          <w:rFonts w:hint="eastAsia" w:ascii="宋体" w:hAnsi="宋体" w:eastAsia="宋体" w:cs="宋体"/>
          <w:color w:val="auto"/>
          <w:sz w:val="21"/>
          <w:szCs w:val="21"/>
          <w:highlight w:val="none"/>
        </w:rPr>
      </w:pPr>
      <w:bookmarkStart w:id="13" w:name="_Toc28359091"/>
      <w:bookmarkStart w:id="14" w:name="_Toc28359014"/>
      <w:r>
        <w:rPr>
          <w:rFonts w:hint="eastAsia" w:ascii="宋体" w:hAnsi="宋体" w:eastAsia="宋体" w:cs="宋体"/>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hd w:val="clear"/>
        <w:spacing w:line="360" w:lineRule="auto"/>
        <w:ind w:firstLine="420" w:firstLineChars="200"/>
        <w:rPr>
          <w:rFonts w:ascii="宋体" w:hAnsi="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w:t>
      </w:r>
      <w:sdt>
        <w:sdtPr>
          <w:rPr>
            <w:rFonts w:hint="eastAsia" w:ascii="宋体" w:hAnsi="宋体" w:cs="宋体"/>
            <w:color w:val="auto"/>
            <w:kern w:val="0"/>
            <w:sz w:val="21"/>
            <w:szCs w:val="21"/>
            <w:highlight w:val="none"/>
          </w:rPr>
          <w:id w:val="4650"/>
          <w14:checkbox>
            <w14:checked w14:val="0"/>
            <w14:checkedState w14:val="00FE" w14:font="Wingdings"/>
            <w14:uncheckedState w14:val="2610" w14:font="MS Gothic"/>
          </w14:checkbox>
        </w:sdtPr>
        <w:sdtEndPr>
          <w:rPr>
            <w:rFonts w:hint="eastAsia" w:ascii="宋体" w:hAnsi="宋体" w:cs="宋体"/>
            <w:color w:val="auto"/>
            <w:kern w:val="0"/>
            <w:sz w:val="21"/>
            <w:szCs w:val="21"/>
            <w:highlight w:val="none"/>
          </w:rPr>
        </w:sdtEndPr>
        <w:sdtContent>
          <w:r>
            <w:rPr>
              <w:rFonts w:hint="eastAsia" w:ascii="MS Gothic" w:hAnsi="MS Gothic" w:eastAsia="宋体" w:cs="宋体"/>
              <w:color w:val="auto"/>
              <w:kern w:val="0"/>
              <w:sz w:val="21"/>
              <w:szCs w:val="21"/>
              <w:highlight w:val="none"/>
              <w:lang w:val="en-US" w:eastAsia="zh-CN" w:bidi="ar-SA"/>
            </w:rPr>
            <w:t>☐</w:t>
          </w:r>
        </w:sdtContent>
      </w:sdt>
      <w:r>
        <w:rPr>
          <w:rFonts w:hint="eastAsia" w:ascii="宋体" w:hAnsi="宋体" w:cs="宋体"/>
          <w:color w:val="auto"/>
          <w:kern w:val="0"/>
          <w:sz w:val="21"/>
          <w:szCs w:val="21"/>
          <w:highlight w:val="none"/>
        </w:rPr>
        <w:t xml:space="preserve"> </w:t>
      </w:r>
      <w:r>
        <w:rPr>
          <w:rFonts w:hint="eastAsia" w:ascii="宋体" w:hAnsi="宋体" w:cs="宋体"/>
          <w:color w:val="auto"/>
          <w:sz w:val="21"/>
          <w:szCs w:val="21"/>
          <w:highlight w:val="none"/>
        </w:rPr>
        <w:t>无</w:t>
      </w:r>
      <w:r>
        <w:rPr>
          <w:rFonts w:hint="eastAsia" w:ascii="宋体" w:hAnsi="宋体" w:cs="宋体"/>
          <w:snapToGrid w:val="0"/>
          <w:color w:val="auto"/>
          <w:kern w:val="28"/>
          <w:sz w:val="21"/>
          <w:szCs w:val="21"/>
          <w:highlight w:val="none"/>
        </w:rPr>
        <w:t>（注：不得限制大中型企业与小微企业组成联合体参与投标）</w:t>
      </w:r>
      <w:r>
        <w:rPr>
          <w:rFonts w:hint="eastAsia" w:ascii="宋体" w:hAnsi="宋体" w:cs="宋体"/>
          <w:color w:val="auto"/>
          <w:sz w:val="21"/>
          <w:szCs w:val="21"/>
          <w:highlight w:val="none"/>
        </w:rPr>
        <w:t>；</w:t>
      </w:r>
    </w:p>
    <w:p>
      <w:pPr>
        <w:shd w:val="clear"/>
        <w:spacing w:line="360" w:lineRule="auto"/>
        <w:ind w:firstLine="420" w:firstLineChars="200"/>
        <w:rPr>
          <w:rFonts w:ascii="宋体" w:hAnsi="宋体" w:cs="宋体"/>
          <w:color w:val="auto"/>
          <w:sz w:val="21"/>
          <w:szCs w:val="21"/>
          <w:highlight w:val="none"/>
        </w:rPr>
      </w:pPr>
      <w:sdt>
        <w:sdtPr>
          <w:rPr>
            <w:rFonts w:hint="eastAsia" w:ascii="宋体" w:hAnsi="宋体" w:cs="宋体"/>
            <w:color w:val="auto"/>
            <w:kern w:val="0"/>
            <w:sz w:val="21"/>
            <w:szCs w:val="21"/>
            <w:highlight w:val="none"/>
          </w:rPr>
          <w:id w:val="4651"/>
          <w14:checkbox>
            <w14:checked w14:val="1"/>
            <w14:checkedState w14:val="00FE" w14:font="Wingdings"/>
            <w14:uncheckedState w14:val="2610" w14:font="MS Gothic"/>
          </w14:checkbox>
        </w:sdtPr>
        <w:sdtEndPr>
          <w:rPr>
            <w:rFonts w:hint="eastAsia" w:ascii="宋体" w:hAnsi="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r>
        <w:rPr>
          <w:rFonts w:hint="eastAsia" w:ascii="宋体" w:hAnsi="宋体" w:cs="宋体"/>
          <w:color w:val="auto"/>
          <w:kern w:val="0"/>
          <w:sz w:val="21"/>
          <w:szCs w:val="21"/>
          <w:highlight w:val="none"/>
        </w:rPr>
        <w:t xml:space="preserve"> 专</w:t>
      </w:r>
      <w:r>
        <w:rPr>
          <w:rFonts w:hint="eastAsia" w:ascii="宋体" w:hAnsi="宋体" w:cs="宋体"/>
          <w:color w:val="auto"/>
          <w:sz w:val="21"/>
          <w:szCs w:val="21"/>
          <w:highlight w:val="none"/>
        </w:rPr>
        <w:t>门面向中小企业</w:t>
      </w:r>
    </w:p>
    <w:p>
      <w:pPr>
        <w:shd w:val="clear"/>
        <w:spacing w:line="360" w:lineRule="auto"/>
        <w:ind w:firstLine="785" w:firstLineChars="374"/>
        <w:rPr>
          <w:rFonts w:ascii="宋体" w:hAnsi="宋体" w:cs="宋体"/>
          <w:color w:val="auto"/>
          <w:sz w:val="21"/>
          <w:szCs w:val="21"/>
          <w:highlight w:val="none"/>
          <w:u w:val="single"/>
        </w:rPr>
      </w:pPr>
      <w:sdt>
        <w:sdtPr>
          <w:rPr>
            <w:rFonts w:hint="eastAsia" w:ascii="宋体" w:hAnsi="宋体" w:cs="宋体"/>
            <w:color w:val="auto"/>
            <w:kern w:val="0"/>
            <w:sz w:val="21"/>
            <w:szCs w:val="21"/>
            <w:highlight w:val="none"/>
          </w:rPr>
          <w:id w:val="4652"/>
          <w14:checkbox>
            <w14:checked w14:val="1"/>
            <w14:checkedState w14:val="00FE" w14:font="Wingdings"/>
            <w14:uncheckedState w14:val="2610" w14:font="MS Gothic"/>
          </w14:checkbox>
        </w:sdtPr>
        <w:sdtEndPr>
          <w:rPr>
            <w:rFonts w:hint="eastAsia" w:ascii="宋体" w:hAnsi="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r>
        <w:rPr>
          <w:rFonts w:hint="eastAsia" w:ascii="宋体" w:hAnsi="宋体" w:cs="宋体"/>
          <w:color w:val="auto"/>
          <w:kern w:val="0"/>
          <w:sz w:val="21"/>
          <w:szCs w:val="21"/>
          <w:highlight w:val="none"/>
        </w:rPr>
        <w:t xml:space="preserve"> </w:t>
      </w:r>
      <w:r>
        <w:rPr>
          <w:rFonts w:hint="eastAsia" w:ascii="宋体" w:hAnsi="宋体" w:cs="宋体"/>
          <w:color w:val="auto"/>
          <w:sz w:val="21"/>
          <w:szCs w:val="21"/>
          <w:highlight w:val="none"/>
        </w:rPr>
        <w:t>货物全部由符合政策要求的中小企业制造，提供中小企业声明函；</w:t>
      </w:r>
    </w:p>
    <w:p>
      <w:pPr>
        <w:shd w:val="clear"/>
        <w:spacing w:line="360" w:lineRule="auto"/>
        <w:ind w:firstLine="785" w:firstLineChars="374"/>
        <w:rPr>
          <w:rFonts w:ascii="宋体" w:hAnsi="宋体" w:cs="宋体"/>
          <w:color w:val="auto"/>
          <w:sz w:val="21"/>
          <w:szCs w:val="21"/>
          <w:highlight w:val="none"/>
        </w:rPr>
      </w:pPr>
      <w:sdt>
        <w:sdtPr>
          <w:rPr>
            <w:rFonts w:hint="eastAsia" w:ascii="宋体" w:hAnsi="宋体" w:cs="宋体"/>
            <w:color w:val="auto"/>
            <w:kern w:val="0"/>
            <w:sz w:val="21"/>
            <w:szCs w:val="21"/>
            <w:highlight w:val="none"/>
          </w:rPr>
          <w:id w:val="4653"/>
          <w14:checkbox>
            <w14:checked w14:val="0"/>
            <w14:checkedState w14:val="00FE" w14:font="Wingdings"/>
            <w14:uncheckedState w14:val="2610" w14:font="MS Gothic"/>
          </w14:checkbox>
        </w:sdtPr>
        <w:sdtEndPr>
          <w:rPr>
            <w:rFonts w:hint="eastAsia" w:ascii="宋体" w:hAnsi="宋体" w:cs="宋体"/>
            <w:color w:val="auto"/>
            <w:kern w:val="0"/>
            <w:sz w:val="21"/>
            <w:szCs w:val="21"/>
            <w:highlight w:val="none"/>
          </w:rPr>
        </w:sdtEndPr>
        <w:sdtContent>
          <w:r>
            <w:rPr>
              <w:rFonts w:hint="eastAsia" w:ascii="MS Gothic" w:hAnsi="MS Gothic" w:cs="宋体"/>
              <w:color w:val="auto"/>
              <w:kern w:val="0"/>
              <w:sz w:val="21"/>
              <w:szCs w:val="21"/>
              <w:highlight w:val="none"/>
            </w:rPr>
            <w:t>☐</w:t>
          </w:r>
        </w:sdtContent>
      </w:sdt>
      <w:r>
        <w:rPr>
          <w:rFonts w:hint="eastAsia" w:ascii="宋体" w:hAnsi="宋体" w:cs="宋体"/>
          <w:color w:val="auto"/>
          <w:kern w:val="0"/>
          <w:sz w:val="21"/>
          <w:szCs w:val="21"/>
          <w:highlight w:val="none"/>
        </w:rPr>
        <w:t xml:space="preserve"> </w:t>
      </w:r>
      <w:r>
        <w:rPr>
          <w:rFonts w:hint="eastAsia" w:ascii="宋体" w:hAnsi="宋体" w:cs="宋体"/>
          <w:color w:val="auto"/>
          <w:sz w:val="21"/>
          <w:szCs w:val="21"/>
          <w:highlight w:val="none"/>
        </w:rPr>
        <w:t>货物全部由符合政策要求的小微企业制造，提供中小企业声明函；</w:t>
      </w:r>
    </w:p>
    <w:p>
      <w:pPr>
        <w:shd w:val="clear"/>
        <w:spacing w:line="360" w:lineRule="auto"/>
        <w:ind w:firstLine="420" w:firstLineChars="200"/>
        <w:rPr>
          <w:rFonts w:ascii="宋体" w:hAnsi="宋体" w:cs="宋体"/>
          <w:color w:val="auto"/>
          <w:sz w:val="21"/>
          <w:szCs w:val="21"/>
          <w:highlight w:val="none"/>
        </w:rPr>
      </w:pPr>
      <w:bookmarkStart w:id="15" w:name="_Hlk101132524"/>
      <w:sdt>
        <w:sdtPr>
          <w:rPr>
            <w:rFonts w:hint="eastAsia" w:ascii="宋体" w:hAnsi="宋体" w:cs="宋体"/>
            <w:color w:val="auto"/>
            <w:kern w:val="0"/>
            <w:sz w:val="21"/>
            <w:szCs w:val="21"/>
            <w:highlight w:val="none"/>
          </w:rPr>
          <w:id w:val="4654"/>
          <w14:checkbox>
            <w14:checked w14:val="0"/>
            <w14:checkedState w14:val="00FE" w14:font="Wingdings"/>
            <w14:uncheckedState w14:val="2610" w14:font="MS Gothic"/>
          </w14:checkbox>
        </w:sdtPr>
        <w:sdtEndPr>
          <w:rPr>
            <w:rFonts w:hint="eastAsia" w:ascii="宋体" w:hAnsi="宋体" w:cs="宋体"/>
            <w:color w:val="auto"/>
            <w:kern w:val="0"/>
            <w:sz w:val="21"/>
            <w:szCs w:val="21"/>
            <w:highlight w:val="none"/>
          </w:rPr>
        </w:sdtEndPr>
        <w:sdtContent>
          <w:r>
            <w:rPr>
              <w:rFonts w:hint="eastAsia" w:ascii="MS Gothic" w:hAnsi="MS Gothic" w:eastAsia="宋体" w:cs="宋体"/>
              <w:color w:val="auto"/>
              <w:kern w:val="0"/>
              <w:sz w:val="21"/>
              <w:szCs w:val="21"/>
              <w:highlight w:val="none"/>
              <w:lang w:val="en-US" w:eastAsia="zh-CN" w:bidi="ar-SA"/>
            </w:rPr>
            <w:t>☐</w:t>
          </w:r>
        </w:sdtContent>
      </w:sdt>
      <w:r>
        <w:rPr>
          <w:rFonts w:hint="eastAsia" w:ascii="宋体" w:hAnsi="宋体" w:cs="宋体"/>
          <w:color w:val="auto"/>
          <w:kern w:val="0"/>
          <w:sz w:val="21"/>
          <w:szCs w:val="21"/>
          <w:highlight w:val="none"/>
        </w:rPr>
        <w:t xml:space="preserve"> </w:t>
      </w:r>
      <w:r>
        <w:rPr>
          <w:rFonts w:hint="eastAsia" w:ascii="宋体" w:hAnsi="宋体" w:cs="宋体"/>
          <w:color w:val="auto"/>
          <w:sz w:val="21"/>
          <w:szCs w:val="21"/>
          <w:highlight w:val="none"/>
        </w:rPr>
        <w:t>要求以联合体形式参加，提供联合协议和中小企业声明函，联合协议中中小企业合同金额应当达到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%，其中小微企业合同金额应当达到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r>
        <w:rPr>
          <w:rFonts w:hint="eastAsia" w:ascii="宋体" w:hAnsi="宋体" w:cs="宋体"/>
          <w:color w:val="auto"/>
          <w:spacing w:val="8"/>
          <w:kern w:val="0"/>
          <w:sz w:val="21"/>
          <w:szCs w:val="21"/>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1"/>
          <w:szCs w:val="21"/>
          <w:highlight w:val="none"/>
        </w:rPr>
        <w:t>；</w:t>
      </w:r>
    </w:p>
    <w:bookmarkEnd w:id="15"/>
    <w:p>
      <w:pPr>
        <w:shd w:val="clear"/>
        <w:spacing w:line="360" w:lineRule="auto"/>
        <w:ind w:firstLine="420" w:firstLineChars="200"/>
        <w:rPr>
          <w:rFonts w:ascii="宋体" w:hAnsi="宋体" w:cs="宋体"/>
          <w:color w:val="auto"/>
          <w:sz w:val="21"/>
          <w:szCs w:val="21"/>
          <w:highlight w:val="none"/>
        </w:rPr>
      </w:pPr>
      <w:sdt>
        <w:sdtPr>
          <w:rPr>
            <w:rFonts w:hint="eastAsia" w:ascii="宋体" w:hAnsi="宋体" w:cs="宋体"/>
            <w:color w:val="auto"/>
            <w:kern w:val="0"/>
            <w:sz w:val="21"/>
            <w:szCs w:val="21"/>
            <w:highlight w:val="none"/>
          </w:rPr>
          <w:id w:val="4655"/>
          <w14:checkbox>
            <w14:checked w14:val="0"/>
            <w14:checkedState w14:val="00FE" w14:font="Wingdings"/>
            <w14:uncheckedState w14:val="2610" w14:font="MS Gothic"/>
          </w14:checkbox>
        </w:sdtPr>
        <w:sdtEndPr>
          <w:rPr>
            <w:rFonts w:hint="eastAsia" w:ascii="宋体" w:hAnsi="宋体" w:cs="宋体"/>
            <w:color w:val="auto"/>
            <w:kern w:val="0"/>
            <w:sz w:val="21"/>
            <w:szCs w:val="21"/>
            <w:highlight w:val="none"/>
          </w:rPr>
        </w:sdtEndPr>
        <w:sdtContent>
          <w:r>
            <w:rPr>
              <w:rFonts w:hint="eastAsia" w:ascii="MS Gothic" w:hAnsi="MS Gothic" w:cs="宋体"/>
              <w:color w:val="auto"/>
              <w:kern w:val="0"/>
              <w:sz w:val="21"/>
              <w:szCs w:val="21"/>
              <w:highlight w:val="none"/>
            </w:rPr>
            <w:t>☐</w:t>
          </w:r>
        </w:sdtContent>
      </w:sdt>
      <w:r>
        <w:rPr>
          <w:rFonts w:hint="eastAsia" w:ascii="宋体" w:hAnsi="宋体" w:cs="宋体"/>
          <w:color w:val="auto"/>
          <w:kern w:val="0"/>
          <w:sz w:val="21"/>
          <w:szCs w:val="21"/>
          <w:highlight w:val="none"/>
        </w:rPr>
        <w:t xml:space="preserve"> </w:t>
      </w:r>
      <w:r>
        <w:rPr>
          <w:rFonts w:hint="eastAsia" w:ascii="宋体" w:hAnsi="宋体" w:cs="宋体"/>
          <w:color w:val="auto"/>
          <w:sz w:val="21"/>
          <w:szCs w:val="21"/>
          <w:highlight w:val="none"/>
        </w:rPr>
        <w:t>要求合同分包，提供分包意向协议和中小企业声明函，分包意向协议中中小企业合同金额应当达到达到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，其中小微企业合同金额应当达到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w:t>
      </w:r>
      <w:r>
        <w:rPr>
          <w:rFonts w:hint="eastAsia" w:ascii="宋体" w:hAnsi="宋体" w:cs="宋体"/>
          <w:color w:val="auto"/>
          <w:spacing w:val="8"/>
          <w:kern w:val="0"/>
          <w:sz w:val="21"/>
          <w:szCs w:val="21"/>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1"/>
          <w:szCs w:val="21"/>
          <w:highlight w:val="none"/>
        </w:rPr>
        <w:t>；</w:t>
      </w:r>
    </w:p>
    <w:p>
      <w:pPr>
        <w:spacing w:line="360" w:lineRule="auto"/>
        <w:ind w:firstLine="420" w:firstLineChars="200"/>
        <w:rPr>
          <w:rFonts w:hint="eastAsia" w:ascii="宋体" w:hAnsi="宋体" w:eastAsia="宋体" w:cs="宋体"/>
          <w:i/>
          <w:iCs/>
          <w:color w:val="auto"/>
          <w:sz w:val="21"/>
          <w:szCs w:val="21"/>
          <w:highlight w:val="none"/>
          <w:u w:val="single"/>
        </w:rPr>
      </w:pPr>
      <w:r>
        <w:rPr>
          <w:rFonts w:hint="eastAsia" w:ascii="宋体" w:hAnsi="宋体" w:eastAsia="宋体" w:cs="宋体"/>
          <w:color w:val="auto"/>
          <w:sz w:val="21"/>
          <w:szCs w:val="21"/>
          <w:highlight w:val="none"/>
        </w:rPr>
        <w:t>3.本项目的特定资格要求：</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w:t>
      </w:r>
    </w:p>
    <w:p>
      <w:pPr>
        <w:pStyle w:val="4"/>
        <w:spacing w:before="0" w:after="0" w:line="360" w:lineRule="auto"/>
        <w:ind w:firstLine="422" w:firstLineChars="200"/>
        <w:rPr>
          <w:rFonts w:hint="eastAsia" w:ascii="宋体" w:hAnsi="宋体" w:eastAsia="宋体" w:cs="宋体"/>
          <w:b/>
          <w:color w:val="auto"/>
          <w:sz w:val="21"/>
          <w:szCs w:val="21"/>
          <w:highlight w:val="none"/>
        </w:rPr>
      </w:pPr>
      <w:bookmarkStart w:id="16" w:name="_Toc35393800"/>
      <w:bookmarkStart w:id="17" w:name="_Toc17427"/>
      <w:bookmarkStart w:id="18" w:name="_Toc35393631"/>
      <w:r>
        <w:rPr>
          <w:rFonts w:hint="eastAsia" w:ascii="宋体" w:hAnsi="宋体" w:eastAsia="宋体" w:cs="宋体"/>
          <w:b/>
          <w:color w:val="auto"/>
          <w:sz w:val="21"/>
          <w:szCs w:val="21"/>
          <w:highlight w:val="none"/>
        </w:rPr>
        <w:t>三、获取采购文件</w:t>
      </w:r>
      <w:bookmarkEnd w:id="13"/>
      <w:bookmarkEnd w:id="14"/>
      <w:bookmarkEnd w:id="16"/>
      <w:bookmarkEnd w:id="17"/>
      <w:bookmarkEnd w:id="18"/>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时间：/至</w:t>
      </w:r>
      <w:r>
        <w:rPr>
          <w:rFonts w:hint="eastAsia" w:ascii="宋体" w:hAnsi="宋体" w:cs="宋体"/>
          <w:color w:val="auto"/>
          <w:sz w:val="21"/>
          <w:szCs w:val="21"/>
          <w:highlight w:val="none"/>
          <w:lang w:eastAsia="zh-CN"/>
        </w:rPr>
        <w:t>2024年</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日 ，每天上午00:00至12:00 ，下午12:00至23:59（北京时间，线上获取法定节假日均可，线下获取文件法定节假日除外）</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地点（网址）：浙江政府采购网（http://zfcg.czt.zj.gov.cn/）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方式：供应商通过“浙江政府采购网”在线获取（招标公告下方选取“潜在供应商”处“获取采购文件”），不提供纸制版招标文件；供应商只有在“浙江政府采购网”完成获取招标文件申请并下载了招标文件后才视作依法获取招标文件，联合体由主办单位获取招标文件。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售价（元）：0 </w:t>
      </w:r>
    </w:p>
    <w:p>
      <w:pPr>
        <w:pStyle w:val="4"/>
        <w:spacing w:before="0" w:after="0" w:line="360" w:lineRule="auto"/>
        <w:ind w:firstLine="422" w:firstLineChars="200"/>
        <w:rPr>
          <w:rFonts w:hint="eastAsia" w:ascii="宋体" w:hAnsi="宋体" w:eastAsia="宋体" w:cs="宋体"/>
          <w:b/>
          <w:color w:val="auto"/>
          <w:sz w:val="21"/>
          <w:szCs w:val="21"/>
          <w:highlight w:val="none"/>
        </w:rPr>
      </w:pPr>
      <w:bookmarkStart w:id="19" w:name="_Toc28359015"/>
      <w:bookmarkStart w:id="20" w:name="_Toc35393632"/>
      <w:bookmarkStart w:id="21" w:name="_Toc28359092"/>
      <w:bookmarkStart w:id="22" w:name="_Toc18004"/>
      <w:bookmarkStart w:id="23" w:name="_Toc35393801"/>
      <w:r>
        <w:rPr>
          <w:rFonts w:hint="eastAsia" w:ascii="宋体" w:hAnsi="宋体" w:eastAsia="宋体" w:cs="宋体"/>
          <w:b/>
          <w:color w:val="auto"/>
          <w:sz w:val="21"/>
          <w:szCs w:val="21"/>
          <w:highlight w:val="none"/>
        </w:rPr>
        <w:t>四、</w:t>
      </w:r>
      <w:r>
        <w:rPr>
          <w:rFonts w:hint="eastAsia" w:ascii="宋体" w:hAnsi="宋体" w:eastAsia="宋体" w:cs="宋体"/>
          <w:b/>
          <w:color w:val="auto"/>
          <w:sz w:val="21"/>
          <w:szCs w:val="21"/>
          <w:highlight w:val="none"/>
          <w:lang w:val="en-US" w:eastAsia="zh-CN"/>
        </w:rPr>
        <w:t>投标</w:t>
      </w:r>
      <w:r>
        <w:rPr>
          <w:rFonts w:hint="eastAsia" w:ascii="宋体" w:hAnsi="宋体" w:eastAsia="宋体" w:cs="宋体"/>
          <w:b/>
          <w:color w:val="auto"/>
          <w:sz w:val="21"/>
          <w:szCs w:val="21"/>
          <w:highlight w:val="none"/>
        </w:rPr>
        <w:t>文件提交</w:t>
      </w:r>
      <w:bookmarkEnd w:id="19"/>
      <w:bookmarkEnd w:id="20"/>
      <w:bookmarkEnd w:id="21"/>
      <w:bookmarkEnd w:id="22"/>
      <w:bookmarkEnd w:id="23"/>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截止时间：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2024年</w:t>
      </w:r>
      <w:r>
        <w:rPr>
          <w:rFonts w:hint="eastAsia" w:ascii="宋体" w:hAnsi="宋体" w:cs="宋体"/>
          <w:color w:val="auto"/>
          <w:sz w:val="21"/>
          <w:szCs w:val="21"/>
          <w:highlight w:val="none"/>
          <w:u w:val="single"/>
          <w:lang w:val="en-US" w:eastAsia="zh-CN"/>
        </w:rPr>
        <w:t>5</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11</w:t>
      </w:r>
      <w:r>
        <w:rPr>
          <w:rFonts w:hint="eastAsia" w:ascii="宋体" w:hAnsi="宋体" w:eastAsia="宋体" w:cs="宋体"/>
          <w:bCs/>
          <w:color w:val="auto"/>
          <w:sz w:val="21"/>
          <w:szCs w:val="21"/>
          <w:highlight w:val="none"/>
          <w:u w:val="single"/>
        </w:rPr>
        <w:t>日</w:t>
      </w:r>
      <w:r>
        <w:rPr>
          <w:rFonts w:hint="eastAsia" w:ascii="宋体" w:hAnsi="宋体" w:eastAsia="宋体" w:cs="宋体"/>
          <w:bCs/>
          <w:color w:val="auto"/>
          <w:sz w:val="21"/>
          <w:szCs w:val="21"/>
          <w:highlight w:val="none"/>
          <w:u w:val="single"/>
          <w:lang w:val="en-US" w:eastAsia="zh-CN"/>
        </w:rPr>
        <w:t>09</w:t>
      </w:r>
      <w:r>
        <w:rPr>
          <w:rFonts w:hint="eastAsia" w:ascii="宋体" w:hAnsi="宋体" w:eastAsia="宋体" w:cs="宋体"/>
          <w:bCs/>
          <w:color w:val="auto"/>
          <w:sz w:val="21"/>
          <w:szCs w:val="21"/>
          <w:highlight w:val="none"/>
          <w:u w:val="single"/>
        </w:rPr>
        <w:t>点</w:t>
      </w:r>
      <w:r>
        <w:rPr>
          <w:rFonts w:hint="eastAsia" w:ascii="宋体" w:hAnsi="宋体" w:eastAsia="宋体" w:cs="宋体"/>
          <w:bCs/>
          <w:color w:val="auto"/>
          <w:sz w:val="21"/>
          <w:szCs w:val="21"/>
          <w:highlight w:val="none"/>
          <w:u w:val="single"/>
          <w:lang w:val="en-US" w:eastAsia="zh-CN"/>
        </w:rPr>
        <w:t>3</w:t>
      </w:r>
      <w:r>
        <w:rPr>
          <w:rFonts w:hint="eastAsia" w:ascii="宋体" w:hAnsi="宋体" w:eastAsia="宋体" w:cs="宋体"/>
          <w:bCs/>
          <w:color w:val="auto"/>
          <w:sz w:val="21"/>
          <w:szCs w:val="21"/>
          <w:highlight w:val="none"/>
          <w:u w:val="single"/>
        </w:rPr>
        <w:t>0分</w:t>
      </w:r>
      <w:r>
        <w:rPr>
          <w:rFonts w:hint="eastAsia" w:ascii="宋体" w:hAnsi="宋体" w:eastAsia="宋体" w:cs="宋体"/>
          <w:bCs/>
          <w:color w:val="auto"/>
          <w:sz w:val="21"/>
          <w:szCs w:val="21"/>
          <w:highlight w:val="none"/>
        </w:rPr>
        <w:t>（北京时间）</w:t>
      </w:r>
    </w:p>
    <w:p>
      <w:pP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地点：供应商应于投标文件提交截止时间前按照电子投标要求将电子加密标书上传到“政采云”平台，逾期或未上传成功的将被政府采购云平台拒收。</w:t>
      </w:r>
    </w:p>
    <w:p>
      <w:pPr>
        <w:pStyle w:val="4"/>
        <w:spacing w:before="0" w:after="0" w:line="360" w:lineRule="auto"/>
        <w:ind w:firstLine="422" w:firstLineChars="200"/>
        <w:rPr>
          <w:rFonts w:hint="eastAsia" w:ascii="宋体" w:hAnsi="宋体" w:eastAsia="宋体" w:cs="宋体"/>
          <w:b/>
          <w:color w:val="auto"/>
          <w:sz w:val="21"/>
          <w:szCs w:val="21"/>
          <w:highlight w:val="none"/>
        </w:rPr>
      </w:pPr>
      <w:bookmarkStart w:id="24" w:name="_Toc12084"/>
      <w:bookmarkStart w:id="25" w:name="_Toc35393633"/>
      <w:bookmarkStart w:id="26" w:name="_Toc28359093"/>
      <w:bookmarkStart w:id="27" w:name="_Toc28359016"/>
      <w:bookmarkStart w:id="28" w:name="_Toc35393802"/>
      <w:r>
        <w:rPr>
          <w:rFonts w:hint="eastAsia" w:ascii="宋体" w:hAnsi="宋体" w:eastAsia="宋体" w:cs="宋体"/>
          <w:b/>
          <w:color w:val="auto"/>
          <w:sz w:val="21"/>
          <w:szCs w:val="21"/>
          <w:highlight w:val="none"/>
        </w:rPr>
        <w:t>五、开启</w:t>
      </w:r>
      <w:bookmarkEnd w:id="24"/>
      <w:bookmarkEnd w:id="25"/>
      <w:bookmarkEnd w:id="26"/>
      <w:bookmarkEnd w:id="27"/>
      <w:bookmarkEnd w:id="28"/>
    </w:p>
    <w:p>
      <w:pP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2024年</w:t>
      </w:r>
      <w:r>
        <w:rPr>
          <w:rFonts w:hint="eastAsia" w:ascii="宋体" w:hAnsi="宋体" w:cs="宋体"/>
          <w:bCs/>
          <w:color w:val="auto"/>
          <w:sz w:val="21"/>
          <w:szCs w:val="21"/>
          <w:highlight w:val="none"/>
          <w:u w:val="single"/>
          <w:lang w:val="en-US" w:eastAsia="zh-CN"/>
        </w:rPr>
        <w:t>5</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11</w:t>
      </w:r>
      <w:r>
        <w:rPr>
          <w:rFonts w:hint="eastAsia" w:ascii="宋体" w:hAnsi="宋体" w:eastAsia="宋体" w:cs="宋体"/>
          <w:bCs/>
          <w:color w:val="auto"/>
          <w:sz w:val="21"/>
          <w:szCs w:val="21"/>
          <w:highlight w:val="none"/>
          <w:u w:val="single"/>
        </w:rPr>
        <w:t>日</w:t>
      </w:r>
      <w:r>
        <w:rPr>
          <w:rFonts w:hint="eastAsia" w:ascii="宋体" w:hAnsi="宋体" w:eastAsia="宋体" w:cs="宋体"/>
          <w:bCs/>
          <w:color w:val="auto"/>
          <w:sz w:val="21"/>
          <w:szCs w:val="21"/>
          <w:highlight w:val="none"/>
          <w:u w:val="single"/>
          <w:lang w:val="en-US" w:eastAsia="zh-CN"/>
        </w:rPr>
        <w:t>09</w:t>
      </w:r>
      <w:r>
        <w:rPr>
          <w:rFonts w:hint="eastAsia" w:ascii="宋体" w:hAnsi="宋体" w:eastAsia="宋体" w:cs="宋体"/>
          <w:bCs/>
          <w:color w:val="auto"/>
          <w:sz w:val="21"/>
          <w:szCs w:val="21"/>
          <w:highlight w:val="none"/>
          <w:u w:val="single"/>
        </w:rPr>
        <w:t>点</w:t>
      </w:r>
      <w:r>
        <w:rPr>
          <w:rFonts w:hint="eastAsia" w:ascii="宋体" w:hAnsi="宋体" w:eastAsia="宋体" w:cs="宋体"/>
          <w:bCs/>
          <w:color w:val="auto"/>
          <w:sz w:val="21"/>
          <w:szCs w:val="21"/>
          <w:highlight w:val="none"/>
          <w:u w:val="single"/>
          <w:lang w:val="en-US" w:eastAsia="zh-CN"/>
        </w:rPr>
        <w:t>3</w:t>
      </w:r>
      <w:r>
        <w:rPr>
          <w:rFonts w:hint="eastAsia" w:ascii="宋体" w:hAnsi="宋体" w:eastAsia="宋体" w:cs="宋体"/>
          <w:bCs/>
          <w:color w:val="auto"/>
          <w:sz w:val="21"/>
          <w:szCs w:val="21"/>
          <w:highlight w:val="none"/>
          <w:u w:val="single"/>
        </w:rPr>
        <w:t>0分</w:t>
      </w:r>
      <w:r>
        <w:rPr>
          <w:rFonts w:hint="eastAsia" w:ascii="宋体" w:hAnsi="宋体" w:eastAsia="宋体" w:cs="宋体"/>
          <w:bCs/>
          <w:color w:val="auto"/>
          <w:sz w:val="21"/>
          <w:szCs w:val="21"/>
          <w:highlight w:val="none"/>
        </w:rPr>
        <w:t>（北京时间）</w:t>
      </w:r>
    </w:p>
    <w:p>
      <w:pPr>
        <w:spacing w:line="360" w:lineRule="auto"/>
        <w:ind w:firstLine="420" w:firstLineChars="200"/>
        <w:rPr>
          <w:rFonts w:hint="eastAsia" w:ascii="宋体" w:hAnsi="宋体" w:eastAsia="宋体" w:cs="宋体"/>
          <w:bCs/>
          <w:color w:val="auto"/>
          <w:sz w:val="21"/>
          <w:szCs w:val="21"/>
          <w:highlight w:val="none"/>
          <w:u w:val="single"/>
          <w:lang w:eastAsia="zh-CN"/>
        </w:rPr>
      </w:pPr>
      <w:r>
        <w:rPr>
          <w:rFonts w:hint="eastAsia" w:ascii="宋体" w:hAnsi="宋体" w:eastAsia="宋体" w:cs="宋体"/>
          <w:color w:val="auto"/>
          <w:sz w:val="21"/>
          <w:szCs w:val="21"/>
          <w:highlight w:val="none"/>
        </w:rPr>
        <w:t>地点：</w:t>
      </w:r>
      <w:r>
        <w:rPr>
          <w:rFonts w:hint="eastAsia" w:ascii="宋体" w:hAnsi="宋体" w:cs="宋体"/>
          <w:color w:val="auto"/>
          <w:sz w:val="21"/>
          <w:szCs w:val="21"/>
          <w:highlight w:val="none"/>
          <w:lang w:eastAsia="zh-CN"/>
        </w:rPr>
        <w:t>政采云平台（https://www.zcygov.cn/）</w:t>
      </w:r>
      <w:r>
        <w:rPr>
          <w:rFonts w:hint="eastAsia" w:ascii="宋体" w:hAnsi="宋体" w:eastAsia="宋体" w:cs="宋体"/>
          <w:color w:val="auto"/>
          <w:sz w:val="21"/>
          <w:szCs w:val="21"/>
          <w:highlight w:val="none"/>
          <w:lang w:eastAsia="zh-CN"/>
        </w:rPr>
        <w:t xml:space="preserve">。 </w:t>
      </w:r>
    </w:p>
    <w:p>
      <w:pPr>
        <w:pStyle w:val="4"/>
        <w:spacing w:before="0" w:after="0" w:line="360" w:lineRule="auto"/>
        <w:ind w:firstLine="422" w:firstLineChars="200"/>
        <w:rPr>
          <w:rFonts w:hint="eastAsia" w:ascii="宋体" w:hAnsi="宋体" w:eastAsia="宋体" w:cs="宋体"/>
          <w:b/>
          <w:color w:val="auto"/>
          <w:sz w:val="21"/>
          <w:szCs w:val="21"/>
          <w:highlight w:val="none"/>
        </w:rPr>
      </w:pPr>
      <w:bookmarkStart w:id="29" w:name="_Toc35393634"/>
      <w:bookmarkStart w:id="30" w:name="_Toc35393803"/>
      <w:bookmarkStart w:id="31" w:name="_Toc28359017"/>
      <w:bookmarkStart w:id="32" w:name="_Toc25756"/>
      <w:bookmarkStart w:id="33" w:name="_Toc28359094"/>
      <w:r>
        <w:rPr>
          <w:rFonts w:hint="eastAsia" w:ascii="宋体" w:hAnsi="宋体" w:eastAsia="宋体" w:cs="宋体"/>
          <w:b/>
          <w:color w:val="auto"/>
          <w:sz w:val="21"/>
          <w:szCs w:val="21"/>
          <w:highlight w:val="none"/>
          <w:lang w:val="en-US" w:eastAsia="zh-CN"/>
        </w:rPr>
        <w:t>六</w:t>
      </w:r>
      <w:r>
        <w:rPr>
          <w:rFonts w:hint="eastAsia" w:ascii="宋体" w:hAnsi="宋体" w:eastAsia="宋体" w:cs="宋体"/>
          <w:b/>
          <w:color w:val="auto"/>
          <w:sz w:val="21"/>
          <w:szCs w:val="21"/>
          <w:highlight w:val="none"/>
        </w:rPr>
        <w:t>、公告期限</w:t>
      </w:r>
      <w:bookmarkEnd w:id="29"/>
      <w:bookmarkEnd w:id="30"/>
      <w:bookmarkEnd w:id="31"/>
      <w:bookmarkEnd w:id="32"/>
      <w:bookmarkEnd w:id="33"/>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个工作日。</w:t>
      </w:r>
    </w:p>
    <w:p>
      <w:pPr>
        <w:pStyle w:val="4"/>
        <w:numPr>
          <w:ilvl w:val="0"/>
          <w:numId w:val="0"/>
        </w:numPr>
        <w:spacing w:before="0" w:after="0" w:line="360" w:lineRule="auto"/>
        <w:ind w:firstLine="422" w:firstLineChars="200"/>
        <w:rPr>
          <w:rFonts w:hint="eastAsia" w:ascii="宋体" w:hAnsi="宋体" w:eastAsia="宋体" w:cs="宋体"/>
          <w:b/>
          <w:color w:val="auto"/>
          <w:sz w:val="21"/>
          <w:szCs w:val="21"/>
          <w:highlight w:val="none"/>
        </w:rPr>
      </w:pPr>
      <w:bookmarkStart w:id="34" w:name="_Toc35393804"/>
      <w:bookmarkStart w:id="35" w:name="_Toc35393635"/>
      <w:bookmarkStart w:id="36" w:name="_Toc30589"/>
      <w:r>
        <w:rPr>
          <w:rFonts w:hint="eastAsia" w:ascii="宋体" w:hAnsi="宋体" w:eastAsia="宋体" w:cs="宋体"/>
          <w:b/>
          <w:color w:val="auto"/>
          <w:sz w:val="21"/>
          <w:szCs w:val="21"/>
          <w:highlight w:val="none"/>
          <w:lang w:val="en-US" w:eastAsia="zh-CN"/>
        </w:rPr>
        <w:t>七、</w:t>
      </w:r>
      <w:r>
        <w:rPr>
          <w:rFonts w:hint="eastAsia" w:ascii="宋体" w:hAnsi="宋体" w:eastAsia="宋体" w:cs="宋体"/>
          <w:b/>
          <w:color w:val="auto"/>
          <w:sz w:val="21"/>
          <w:szCs w:val="21"/>
          <w:highlight w:val="none"/>
        </w:rPr>
        <w:t>其他补充事宜</w:t>
      </w:r>
      <w:bookmarkEnd w:id="34"/>
      <w:bookmarkEnd w:id="35"/>
      <w:bookmarkEnd w:id="36"/>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1.</w:t>
      </w:r>
      <w:r>
        <w:rPr>
          <w:rFonts w:hint="eastAsia" w:ascii="宋体" w:hAnsi="宋体" w:eastAsia="宋体" w:cs="宋体"/>
          <w:color w:val="auto"/>
          <w:sz w:val="21"/>
          <w:szCs w:val="21"/>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20" w:firstLineChars="200"/>
        <w:rPr>
          <w:rFonts w:ascii="宋体" w:cs="宋体"/>
          <w:sz w:val="21"/>
          <w:szCs w:val="21"/>
          <w:highlight w:val="none"/>
        </w:rPr>
      </w:pPr>
      <w:r>
        <w:rPr>
          <w:rFonts w:hint="eastAsia" w:ascii="宋体" w:hAnsi="宋体" w:cs="宋体"/>
          <w:sz w:val="21"/>
          <w:szCs w:val="21"/>
          <w:highlight w:val="none"/>
          <w:lang w:val="en-US" w:eastAsia="zh-CN"/>
        </w:rPr>
        <w:t>4</w:t>
      </w:r>
      <w:r>
        <w:rPr>
          <w:rFonts w:ascii="宋体" w:hAnsi="宋体" w:cs="宋体"/>
          <w:sz w:val="21"/>
          <w:szCs w:val="21"/>
          <w:highlight w:val="none"/>
        </w:rPr>
        <w:t>.</w:t>
      </w:r>
      <w:r>
        <w:rPr>
          <w:rFonts w:hint="eastAsia" w:ascii="宋体" w:hAnsi="宋体" w:cs="宋体"/>
          <w:color w:val="000000"/>
          <w:sz w:val="21"/>
          <w:szCs w:val="21"/>
          <w:highlight w:val="none"/>
        </w:rPr>
        <w:t>在线投标响应（电子投标）说明</w:t>
      </w:r>
    </w:p>
    <w:p>
      <w:pPr>
        <w:spacing w:line="360" w:lineRule="auto"/>
        <w:ind w:firstLine="420" w:firstLineChars="200"/>
        <w:rPr>
          <w:rFonts w:ascii="宋体" w:cs="宋体"/>
          <w:color w:val="000000"/>
          <w:sz w:val="21"/>
          <w:szCs w:val="21"/>
          <w:highlight w:val="none"/>
        </w:rPr>
      </w:pPr>
      <w:r>
        <w:rPr>
          <w:rFonts w:hint="eastAsia" w:ascii="宋体" w:hAnsi="宋体" w:cs="宋体"/>
          <w:color w:val="000000"/>
          <w:sz w:val="21"/>
          <w:szCs w:val="21"/>
          <w:highlight w:val="none"/>
          <w:lang w:val="en-US" w:eastAsia="zh-CN"/>
        </w:rPr>
        <w:t>4</w:t>
      </w:r>
      <w:r>
        <w:rPr>
          <w:rFonts w:ascii="宋体" w:hAnsi="宋体" w:cs="宋体"/>
          <w:color w:val="000000"/>
          <w:sz w:val="21"/>
          <w:szCs w:val="21"/>
          <w:highlight w:val="none"/>
        </w:rPr>
        <w:t>.1</w:t>
      </w:r>
      <w:r>
        <w:rPr>
          <w:rFonts w:hint="eastAsia" w:ascii="宋体" w:hAnsi="宋体" w:cs="宋体"/>
          <w:color w:val="000000"/>
          <w:sz w:val="21"/>
          <w:szCs w:val="21"/>
          <w:highlight w:val="none"/>
          <w:u w:val="single"/>
        </w:rPr>
        <w:t>本项目通过“政府采购云平台（</w:t>
      </w:r>
      <w:r>
        <w:rPr>
          <w:rFonts w:ascii="宋体" w:hAnsi="宋体" w:cs="宋体"/>
          <w:color w:val="000000"/>
          <w:sz w:val="21"/>
          <w:szCs w:val="21"/>
          <w:highlight w:val="none"/>
          <w:u w:val="single"/>
        </w:rPr>
        <w:t>www.zcygov.cn</w:t>
      </w:r>
      <w:r>
        <w:rPr>
          <w:rFonts w:hint="eastAsia" w:ascii="宋体" w:hAnsi="宋体" w:cs="宋体"/>
          <w:color w:val="000000"/>
          <w:sz w:val="21"/>
          <w:szCs w:val="21"/>
          <w:highlight w:val="none"/>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宋体"/>
          <w:color w:val="000000"/>
          <w:sz w:val="21"/>
          <w:szCs w:val="21"/>
          <w:highlight w:val="none"/>
        </w:rPr>
        <w:t>。</w:t>
      </w:r>
    </w:p>
    <w:p>
      <w:pPr>
        <w:spacing w:line="360" w:lineRule="auto"/>
        <w:ind w:firstLine="420" w:firstLineChars="200"/>
        <w:rPr>
          <w:rFonts w:ascii="宋体" w:cs="宋体"/>
          <w:color w:val="000000"/>
          <w:sz w:val="21"/>
          <w:szCs w:val="21"/>
          <w:highlight w:val="none"/>
          <w:u w:val="single"/>
        </w:rPr>
      </w:pPr>
      <w:r>
        <w:rPr>
          <w:rFonts w:hint="eastAsia" w:ascii="宋体" w:hAnsi="宋体" w:cs="宋体"/>
          <w:color w:val="000000"/>
          <w:sz w:val="21"/>
          <w:szCs w:val="21"/>
          <w:highlight w:val="none"/>
        </w:rPr>
        <w:t>“政采云电子交易客户端”请自行前往“浙江政府采购网</w:t>
      </w:r>
      <w:r>
        <w:rPr>
          <w:rFonts w:ascii="宋体" w:hAnsi="宋体" w:cs="宋体"/>
          <w:color w:val="000000"/>
          <w:sz w:val="21"/>
          <w:szCs w:val="21"/>
          <w:highlight w:val="none"/>
        </w:rPr>
        <w:t>-</w:t>
      </w:r>
      <w:r>
        <w:rPr>
          <w:rFonts w:hint="eastAsia" w:ascii="宋体" w:hAnsi="宋体" w:cs="宋体"/>
          <w:color w:val="000000"/>
          <w:sz w:val="21"/>
          <w:szCs w:val="21"/>
          <w:highlight w:val="none"/>
        </w:rPr>
        <w:t>下载专区</w:t>
      </w:r>
      <w:r>
        <w:rPr>
          <w:rFonts w:ascii="宋体" w:hAnsi="宋体" w:cs="宋体"/>
          <w:color w:val="000000"/>
          <w:sz w:val="21"/>
          <w:szCs w:val="21"/>
          <w:highlight w:val="none"/>
        </w:rPr>
        <w:t>-</w:t>
      </w:r>
      <w:r>
        <w:rPr>
          <w:rFonts w:hint="eastAsia" w:ascii="宋体" w:hAnsi="宋体" w:cs="宋体"/>
          <w:color w:val="000000"/>
          <w:sz w:val="21"/>
          <w:szCs w:val="21"/>
          <w:highlight w:val="none"/>
        </w:rPr>
        <w:t>电子交易客户端”进行下载；电子投标具体操作流程文档详见网址：</w:t>
      </w:r>
      <w:r>
        <w:rPr>
          <w:rFonts w:ascii="宋体" w:hAnsi="宋体" w:cs="宋体"/>
          <w:color w:val="000000"/>
          <w:sz w:val="21"/>
          <w:szCs w:val="21"/>
          <w:highlight w:val="none"/>
        </w:rPr>
        <w:t>https://help.zcygov.cn/web/site_2/2018/12-28/2573.html</w:t>
      </w:r>
      <w:r>
        <w:rPr>
          <w:rFonts w:hint="eastAsia" w:ascii="宋体" w:hAnsi="宋体" w:cs="宋体"/>
          <w:color w:val="000000"/>
          <w:sz w:val="21"/>
          <w:szCs w:val="21"/>
          <w:highlight w:val="none"/>
        </w:rPr>
        <w:t>；通过“政府采购云平台”参与在线投标时如遇平台技术问题详询</w:t>
      </w:r>
      <w:r>
        <w:rPr>
          <w:rFonts w:ascii="宋体" w:hAnsi="宋体" w:cs="宋体"/>
          <w:color w:val="000000"/>
          <w:sz w:val="21"/>
          <w:szCs w:val="21"/>
          <w:highlight w:val="none"/>
        </w:rPr>
        <w:t>400-881-7190</w:t>
      </w:r>
      <w:r>
        <w:rPr>
          <w:rFonts w:hint="eastAsia" w:ascii="宋体" w:hAnsi="宋体" w:cs="宋体"/>
          <w:color w:val="000000"/>
          <w:sz w:val="21"/>
          <w:szCs w:val="21"/>
          <w:highlight w:val="none"/>
        </w:rPr>
        <w:t>。</w:t>
      </w:r>
    </w:p>
    <w:p>
      <w:pPr>
        <w:spacing w:line="360" w:lineRule="auto"/>
        <w:ind w:firstLine="420" w:firstLineChars="200"/>
        <w:rPr>
          <w:rFonts w:ascii="宋体" w:cs="宋体"/>
          <w:color w:val="000000"/>
          <w:sz w:val="21"/>
          <w:szCs w:val="21"/>
          <w:highlight w:val="none"/>
        </w:rPr>
      </w:pPr>
      <w:r>
        <w:rPr>
          <w:rFonts w:hint="eastAsia" w:ascii="宋体" w:hAnsi="宋体" w:cs="宋体"/>
          <w:color w:val="000000"/>
          <w:sz w:val="21"/>
          <w:szCs w:val="21"/>
          <w:highlight w:val="none"/>
          <w:lang w:val="en-US" w:eastAsia="zh-CN"/>
        </w:rPr>
        <w:t>4</w:t>
      </w:r>
      <w:r>
        <w:rPr>
          <w:rFonts w:ascii="宋体" w:hAnsi="宋体" w:cs="宋体"/>
          <w:color w:val="000000"/>
          <w:sz w:val="21"/>
          <w:szCs w:val="21"/>
          <w:highlight w:val="none"/>
        </w:rPr>
        <w:t>.2</w:t>
      </w:r>
      <w:r>
        <w:rPr>
          <w:rFonts w:hint="eastAsia" w:ascii="宋体" w:hAnsi="宋体" w:cs="宋体"/>
          <w:color w:val="000000"/>
          <w:sz w:val="21"/>
          <w:szCs w:val="21"/>
          <w:highlight w:val="none"/>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color w:val="000000"/>
          <w:sz w:val="21"/>
          <w:szCs w:val="21"/>
          <w:highlight w:val="none"/>
        </w:rPr>
        <w:t>。使用“政采云电子交易客户端”需要提前申领</w:t>
      </w:r>
      <w:r>
        <w:rPr>
          <w:rFonts w:ascii="宋体" w:hAnsi="宋体" w:cs="宋体"/>
          <w:color w:val="000000"/>
          <w:sz w:val="21"/>
          <w:szCs w:val="21"/>
          <w:highlight w:val="none"/>
        </w:rPr>
        <w:t>CA</w:t>
      </w:r>
      <w:r>
        <w:rPr>
          <w:rFonts w:hint="eastAsia" w:ascii="宋体" w:hAnsi="宋体" w:cs="宋体"/>
          <w:color w:val="000000"/>
          <w:sz w:val="21"/>
          <w:szCs w:val="21"/>
          <w:highlight w:val="none"/>
        </w:rPr>
        <w:t>数字证书，申领流程请自行前往“浙江政府采购网</w:t>
      </w:r>
      <w:r>
        <w:rPr>
          <w:rFonts w:ascii="宋体" w:hAnsi="宋体" w:cs="宋体"/>
          <w:color w:val="000000"/>
          <w:sz w:val="21"/>
          <w:szCs w:val="21"/>
          <w:highlight w:val="none"/>
        </w:rPr>
        <w:t>-</w:t>
      </w:r>
      <w:r>
        <w:rPr>
          <w:rFonts w:hint="eastAsia" w:ascii="宋体" w:hAnsi="宋体" w:cs="宋体"/>
          <w:color w:val="000000"/>
          <w:sz w:val="21"/>
          <w:szCs w:val="21"/>
          <w:highlight w:val="none"/>
        </w:rPr>
        <w:t>下载专区</w:t>
      </w:r>
      <w:r>
        <w:rPr>
          <w:rFonts w:ascii="宋体" w:hAnsi="宋体" w:cs="宋体"/>
          <w:color w:val="000000"/>
          <w:sz w:val="21"/>
          <w:szCs w:val="21"/>
          <w:highlight w:val="none"/>
        </w:rPr>
        <w:t>-</w:t>
      </w:r>
      <w:r>
        <w:rPr>
          <w:rFonts w:hint="eastAsia" w:ascii="宋体" w:hAnsi="宋体" w:cs="宋体"/>
          <w:color w:val="000000"/>
          <w:sz w:val="21"/>
          <w:szCs w:val="21"/>
          <w:highlight w:val="none"/>
        </w:rPr>
        <w:t>电子交易客户端</w:t>
      </w:r>
      <w:r>
        <w:rPr>
          <w:rFonts w:ascii="宋体" w:hAnsi="宋体" w:cs="宋体"/>
          <w:color w:val="000000"/>
          <w:sz w:val="21"/>
          <w:szCs w:val="21"/>
          <w:highlight w:val="none"/>
        </w:rPr>
        <w:t>-</w:t>
      </w:r>
      <w:r>
        <w:rPr>
          <w:sz w:val="21"/>
          <w:szCs w:val="21"/>
          <w:highlight w:val="none"/>
        </w:rPr>
        <w:fldChar w:fldCharType="begin"/>
      </w:r>
      <w:r>
        <w:rPr>
          <w:sz w:val="21"/>
          <w:szCs w:val="21"/>
          <w:highlight w:val="none"/>
        </w:rPr>
        <w:instrText xml:space="preserve"> HYPERLINK "http://www.zjzfcg.gov.cn/bidClientTemplate/2019-05-27/12945.html" \t "_blank" \o "CA驱动和申领流程" </w:instrText>
      </w:r>
      <w:r>
        <w:rPr>
          <w:sz w:val="21"/>
          <w:szCs w:val="21"/>
          <w:highlight w:val="none"/>
        </w:rPr>
        <w:fldChar w:fldCharType="separate"/>
      </w:r>
      <w:r>
        <w:rPr>
          <w:rFonts w:ascii="宋体" w:hAnsi="宋体" w:cs="宋体"/>
          <w:color w:val="000000"/>
          <w:sz w:val="21"/>
          <w:szCs w:val="21"/>
          <w:highlight w:val="none"/>
        </w:rPr>
        <w:t>CA</w:t>
      </w:r>
      <w:r>
        <w:rPr>
          <w:rFonts w:hint="eastAsia" w:ascii="宋体" w:hAnsi="宋体" w:cs="宋体"/>
          <w:color w:val="000000"/>
          <w:sz w:val="21"/>
          <w:szCs w:val="21"/>
          <w:highlight w:val="none"/>
        </w:rPr>
        <w:t>驱动和申领流程</w:t>
      </w:r>
      <w:r>
        <w:rPr>
          <w:rFonts w:hint="eastAsia" w:ascii="宋体" w:hAnsi="宋体" w:cs="宋体"/>
          <w:color w:val="000000"/>
          <w:sz w:val="21"/>
          <w:szCs w:val="21"/>
          <w:highlight w:val="none"/>
        </w:rPr>
        <w:fldChar w:fldCharType="end"/>
      </w:r>
      <w:r>
        <w:rPr>
          <w:rFonts w:hint="eastAsia" w:ascii="宋体" w:hAnsi="宋体" w:cs="宋体"/>
          <w:color w:val="000000"/>
          <w:sz w:val="21"/>
          <w:szCs w:val="21"/>
          <w:highlight w:val="none"/>
        </w:rPr>
        <w:t>”进行查阅；</w:t>
      </w:r>
    </w:p>
    <w:p>
      <w:pPr>
        <w:spacing w:line="360" w:lineRule="auto"/>
        <w:ind w:firstLine="420" w:firstLineChars="200"/>
        <w:rPr>
          <w:rFonts w:ascii="宋体" w:cs="宋体"/>
          <w:color w:val="000000"/>
          <w:sz w:val="21"/>
          <w:szCs w:val="21"/>
          <w:highlight w:val="none"/>
        </w:rPr>
      </w:pPr>
      <w:r>
        <w:rPr>
          <w:rFonts w:hint="eastAsia" w:ascii="宋体" w:hAnsi="宋体" w:cs="宋体"/>
          <w:color w:val="000000"/>
          <w:sz w:val="21"/>
          <w:szCs w:val="21"/>
          <w:highlight w:val="none"/>
          <w:lang w:val="en-US" w:eastAsia="zh-CN"/>
        </w:rPr>
        <w:t>4</w:t>
      </w:r>
      <w:r>
        <w:rPr>
          <w:rFonts w:ascii="宋体" w:hAnsi="宋体" w:cs="宋体"/>
          <w:color w:val="000000"/>
          <w:sz w:val="21"/>
          <w:szCs w:val="21"/>
          <w:highlight w:val="none"/>
        </w:rPr>
        <w:t>.3</w:t>
      </w:r>
      <w:r>
        <w:rPr>
          <w:rFonts w:hint="eastAsia" w:ascii="宋体" w:hAnsi="宋体" w:cs="宋体"/>
          <w:color w:val="000000"/>
          <w:sz w:val="21"/>
          <w:szCs w:val="21"/>
          <w:highlight w:val="none"/>
        </w:rPr>
        <w:t>投标供应商应当在投标文件递交截止时间前，将系统上生成的“电子加密投标文件（即后缀格式为</w:t>
      </w:r>
      <w:r>
        <w:rPr>
          <w:rFonts w:ascii="宋体" w:hAnsi="宋体" w:cs="宋体"/>
          <w:color w:val="000000"/>
          <w:sz w:val="21"/>
          <w:szCs w:val="21"/>
          <w:highlight w:val="none"/>
        </w:rPr>
        <w:t>.jmbs</w:t>
      </w:r>
      <w:r>
        <w:rPr>
          <w:rFonts w:hint="eastAsia" w:ascii="宋体" w:hAnsi="宋体" w:cs="宋体"/>
          <w:color w:val="000000"/>
          <w:sz w:val="21"/>
          <w:szCs w:val="21"/>
          <w:highlight w:val="none"/>
        </w:rPr>
        <w:t>的加密标书，下同）”上传递交至“政府采购云平台”。投标文件递交截止时间以后上传递交的电子加密投标文件将被“政府采购云平台”拒收，投标文件递交截止时间前可以补充、修改或者撤回。补充或者修改电子加密投标文件的，应当先行撤回原文件，补充、修改后重新传输提交。投标文件递交截止时间前未完成传输的，视为撤回投标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lang w:val="en-US" w:eastAsia="zh-CN"/>
        </w:rPr>
        <w:t>4</w:t>
      </w:r>
      <w:r>
        <w:rPr>
          <w:rFonts w:ascii="宋体" w:hAnsi="宋体" w:eastAsia="宋体" w:cs="宋体"/>
          <w:color w:val="000000"/>
          <w:sz w:val="21"/>
          <w:szCs w:val="21"/>
          <w:highlight w:val="none"/>
        </w:rPr>
        <w:t>.4</w:t>
      </w:r>
      <w:r>
        <w:rPr>
          <w:rFonts w:hint="eastAsia" w:ascii="宋体" w:hAnsi="宋体" w:eastAsia="宋体" w:cs="宋体"/>
          <w:color w:val="000000"/>
          <w:sz w:val="21"/>
          <w:szCs w:val="21"/>
          <w:highlight w:val="none"/>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4"/>
        <w:spacing w:before="0" w:after="0" w:line="360" w:lineRule="auto"/>
        <w:ind w:firstLine="422" w:firstLineChars="200"/>
        <w:rPr>
          <w:rFonts w:hint="eastAsia" w:ascii="宋体" w:hAnsi="宋体" w:eastAsia="宋体" w:cs="宋体"/>
          <w:b/>
          <w:color w:val="auto"/>
          <w:sz w:val="21"/>
          <w:szCs w:val="21"/>
          <w:highlight w:val="none"/>
        </w:rPr>
      </w:pPr>
      <w:bookmarkStart w:id="37" w:name="_Toc23548"/>
      <w:bookmarkStart w:id="38" w:name="_Toc28359018"/>
      <w:bookmarkStart w:id="39" w:name="_Toc35393805"/>
      <w:bookmarkStart w:id="40" w:name="_Toc28359095"/>
      <w:bookmarkStart w:id="41" w:name="_Toc35393636"/>
      <w:r>
        <w:rPr>
          <w:rFonts w:hint="eastAsia" w:ascii="宋体" w:hAnsi="宋体" w:eastAsia="宋体" w:cs="宋体"/>
          <w:b/>
          <w:color w:val="auto"/>
          <w:sz w:val="21"/>
          <w:szCs w:val="21"/>
          <w:highlight w:val="none"/>
          <w:lang w:val="en-US" w:eastAsia="zh-CN"/>
        </w:rPr>
        <w:t>八</w:t>
      </w:r>
      <w:r>
        <w:rPr>
          <w:rFonts w:hint="eastAsia" w:ascii="宋体" w:hAnsi="宋体" w:eastAsia="宋体" w:cs="宋体"/>
          <w:b/>
          <w:color w:val="auto"/>
          <w:sz w:val="21"/>
          <w:szCs w:val="21"/>
          <w:highlight w:val="none"/>
        </w:rPr>
        <w:t>、凡对本次采购提出询问，请按以下方式联系。</w:t>
      </w:r>
      <w:bookmarkEnd w:id="37"/>
      <w:bookmarkEnd w:id="38"/>
      <w:bookmarkEnd w:id="39"/>
      <w:bookmarkEnd w:id="40"/>
      <w:bookmarkEnd w:id="41"/>
    </w:p>
    <w:p>
      <w:pPr>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采购人：</w:t>
      </w:r>
      <w:r>
        <w:rPr>
          <w:rFonts w:hint="eastAsia" w:ascii="宋体" w:hAnsi="宋体" w:cs="宋体"/>
          <w:bCs/>
          <w:color w:val="auto"/>
          <w:sz w:val="21"/>
          <w:szCs w:val="21"/>
          <w:highlight w:val="none"/>
          <w:lang w:eastAsia="zh-CN"/>
        </w:rPr>
        <w:t>衢州市气象局</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 系 人：</w:t>
      </w:r>
      <w:r>
        <w:rPr>
          <w:rFonts w:hint="eastAsia" w:ascii="宋体" w:hAnsi="宋体" w:cs="宋体"/>
          <w:bCs/>
          <w:color w:val="auto"/>
          <w:sz w:val="21"/>
          <w:szCs w:val="21"/>
          <w:highlight w:val="none"/>
          <w:lang w:val="en-US" w:eastAsia="zh-CN"/>
        </w:rPr>
        <w:t>叶先生</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联系电话：</w:t>
      </w:r>
      <w:r>
        <w:rPr>
          <w:rFonts w:hint="eastAsia" w:ascii="宋体" w:hAnsi="宋体" w:cs="宋体"/>
          <w:bCs/>
          <w:color w:val="auto"/>
          <w:sz w:val="21"/>
          <w:szCs w:val="21"/>
          <w:highlight w:val="none"/>
          <w:lang w:val="en-US" w:eastAsia="zh-CN"/>
        </w:rPr>
        <w:t>0570-3022157</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w:t>
      </w:r>
    </w:p>
    <w:p>
      <w:pPr>
        <w:spacing w:line="360" w:lineRule="auto"/>
        <w:ind w:firstLine="420" w:firstLineChars="200"/>
        <w:rPr>
          <w:rFonts w:hint="eastAsia" w:ascii="宋体" w:hAnsi="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质疑受理人：</w:t>
      </w:r>
      <w:r>
        <w:rPr>
          <w:rFonts w:hint="eastAsia" w:ascii="宋体" w:hAnsi="宋体" w:cs="宋体"/>
          <w:bCs/>
          <w:color w:val="auto"/>
          <w:sz w:val="21"/>
          <w:szCs w:val="21"/>
          <w:highlight w:val="none"/>
          <w:lang w:val="en-US" w:eastAsia="zh-CN"/>
        </w:rPr>
        <w:t>徐先生</w:t>
      </w:r>
      <w:r>
        <w:rPr>
          <w:rFonts w:hint="eastAsia" w:ascii="宋体" w:hAnsi="宋体" w:eastAsia="宋体" w:cs="宋体"/>
          <w:bCs/>
          <w:color w:val="auto"/>
          <w:sz w:val="21"/>
          <w:szCs w:val="21"/>
          <w:highlight w:val="none"/>
          <w:lang w:val="en-US" w:eastAsia="zh-CN"/>
        </w:rPr>
        <w:t>，联系电话：</w:t>
      </w:r>
      <w:r>
        <w:rPr>
          <w:rFonts w:hint="eastAsia" w:ascii="宋体" w:hAnsi="宋体" w:cs="宋体"/>
          <w:bCs/>
          <w:color w:val="auto"/>
          <w:sz w:val="21"/>
          <w:szCs w:val="21"/>
          <w:highlight w:val="none"/>
          <w:lang w:val="en-US" w:eastAsia="zh-CN"/>
        </w:rPr>
        <w:t xml:space="preserve">0570-3026613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采购代理机构名称：浙江省成套工程有限公司</w:t>
      </w:r>
    </w:p>
    <w:p>
      <w:pPr>
        <w:spacing w:line="360" w:lineRule="auto"/>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项目联系人：吴先生，联系电话：</w:t>
      </w:r>
      <w:r>
        <w:rPr>
          <w:rFonts w:hint="eastAsia" w:ascii="宋体" w:hAnsi="宋体" w:eastAsia="宋体" w:cs="宋体"/>
          <w:bCs/>
          <w:color w:val="auto"/>
          <w:sz w:val="21"/>
          <w:szCs w:val="21"/>
          <w:highlight w:val="none"/>
          <w:lang w:eastAsia="zh-CN"/>
        </w:rPr>
        <w:t>0570-875758</w:t>
      </w:r>
      <w:r>
        <w:rPr>
          <w:rFonts w:hint="eastAsia" w:ascii="宋体" w:hAnsi="宋体" w:eastAsia="宋体" w:cs="宋体"/>
          <w:bCs/>
          <w:color w:val="auto"/>
          <w:sz w:val="21"/>
          <w:szCs w:val="21"/>
          <w:highlight w:val="none"/>
          <w:lang w:val="en-US" w:eastAsia="zh-CN"/>
        </w:rPr>
        <w:t>7/18367054001</w:t>
      </w:r>
    </w:p>
    <w:p>
      <w:pPr>
        <w:spacing w:line="360" w:lineRule="auto"/>
        <w:ind w:firstLine="420" w:firstLineChars="200"/>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质疑受理人：</w:t>
      </w:r>
      <w:r>
        <w:rPr>
          <w:rFonts w:hint="eastAsia" w:ascii="宋体" w:hAnsi="宋体" w:cs="宋体"/>
          <w:bCs/>
          <w:color w:val="auto"/>
          <w:sz w:val="21"/>
          <w:szCs w:val="21"/>
          <w:highlight w:val="none"/>
          <w:lang w:val="en-US" w:eastAsia="zh-CN"/>
        </w:rPr>
        <w:t>毛</w:t>
      </w:r>
      <w:r>
        <w:rPr>
          <w:rFonts w:hint="eastAsia" w:ascii="宋体" w:hAnsi="宋体" w:eastAsia="宋体" w:cs="宋体"/>
          <w:bCs/>
          <w:color w:val="auto"/>
          <w:sz w:val="21"/>
          <w:szCs w:val="21"/>
          <w:highlight w:val="none"/>
        </w:rPr>
        <w:t>女士</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联系电话：0570-875758</w:t>
      </w:r>
      <w:r>
        <w:rPr>
          <w:rFonts w:hint="eastAsia" w:ascii="宋体" w:hAnsi="宋体" w:cs="宋体"/>
          <w:bCs/>
          <w:color w:val="auto"/>
          <w:sz w:val="21"/>
          <w:szCs w:val="21"/>
          <w:highlight w:val="none"/>
          <w:lang w:val="en-US" w:eastAsia="zh-CN"/>
        </w:rPr>
        <w:t xml:space="preserve">9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传真：0570-8757585</w:t>
      </w:r>
    </w:p>
    <w:p>
      <w:pPr>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同级政府采购监督管理部门名称：</w:t>
      </w:r>
      <w:r>
        <w:rPr>
          <w:rFonts w:hint="eastAsia" w:ascii="宋体" w:hAnsi="宋体" w:eastAsia="宋体" w:cs="宋体"/>
          <w:bCs/>
          <w:color w:val="auto"/>
          <w:sz w:val="21"/>
          <w:szCs w:val="21"/>
          <w:highlight w:val="none"/>
          <w:lang w:eastAsia="zh-CN"/>
        </w:rPr>
        <w:t>衢州市财政局</w:t>
      </w:r>
    </w:p>
    <w:p>
      <w:pPr>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联系人：</w:t>
      </w:r>
      <w:r>
        <w:rPr>
          <w:rFonts w:hint="eastAsia" w:ascii="宋体" w:hAnsi="宋体" w:eastAsia="宋体" w:cs="宋体"/>
          <w:bCs/>
          <w:color w:val="auto"/>
          <w:sz w:val="21"/>
          <w:szCs w:val="21"/>
          <w:highlight w:val="none"/>
          <w:lang w:eastAsia="zh-CN"/>
        </w:rPr>
        <w:t>徐先生</w:t>
      </w:r>
    </w:p>
    <w:p>
      <w:pPr>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监督投诉电话：0570-8757615</w:t>
      </w:r>
    </w:p>
    <w:p>
      <w:pPr>
        <w:spacing w:line="360" w:lineRule="auto"/>
        <w:ind w:firstLine="420" w:firstLineChars="200"/>
        <w:rPr>
          <w:rFonts w:hint="eastAsia" w:ascii="宋体" w:hAnsi="宋体" w:eastAsia="宋体" w:cs="宋体"/>
          <w:bCs/>
          <w:color w:val="auto"/>
          <w:sz w:val="21"/>
          <w:szCs w:val="21"/>
          <w:highlight w:val="none"/>
          <w:lang w:eastAsia="zh-CN"/>
        </w:rPr>
      </w:pPr>
      <w:bookmarkStart w:id="42" w:name="_Toc19792"/>
      <w:r>
        <w:rPr>
          <w:rFonts w:hint="eastAsia" w:ascii="宋体" w:hAnsi="宋体" w:eastAsia="宋体" w:cs="宋体"/>
          <w:bCs/>
          <w:color w:val="auto"/>
          <w:sz w:val="21"/>
          <w:szCs w:val="21"/>
          <w:highlight w:val="none"/>
          <w:lang w:eastAsia="zh-CN"/>
        </w:rPr>
        <w:t>地址：</w:t>
      </w:r>
      <w:bookmarkEnd w:id="42"/>
      <w:r>
        <w:rPr>
          <w:rFonts w:hint="eastAsia" w:ascii="宋体" w:hAnsi="宋体" w:eastAsia="宋体" w:cs="宋体"/>
          <w:bCs/>
          <w:color w:val="auto"/>
          <w:sz w:val="21"/>
          <w:szCs w:val="21"/>
          <w:highlight w:val="none"/>
          <w:lang w:eastAsia="zh-CN"/>
        </w:rPr>
        <w:t xml:space="preserve">衢州市三江东路28号 </w:t>
      </w: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bookmarkStart w:id="43" w:name="_Toc354491896"/>
      <w:bookmarkStart w:id="44" w:name="_Toc322352982"/>
      <w:bookmarkStart w:id="45" w:name="_Toc31264"/>
      <w:bookmarkStart w:id="46" w:name="_Toc26924"/>
      <w:bookmarkStart w:id="47" w:name="_Toc356371430"/>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
          <w:bCs w:val="0"/>
          <w:szCs w:val="21"/>
          <w:highlight w:val="none"/>
        </w:rPr>
      </w:pPr>
    </w:p>
    <w:p>
      <w:pPr>
        <w:snapToGrid w:val="0"/>
        <w:spacing w:before="120" w:beforeLines="50" w:after="120" w:afterLines="50" w:line="312" w:lineRule="auto"/>
        <w:jc w:val="center"/>
        <w:outlineLvl w:val="0"/>
        <w:rPr>
          <w:rFonts w:hint="eastAsia" w:ascii="宋体" w:hAnsi="宋体" w:eastAsia="宋体" w:cs="宋体"/>
          <w:bCs/>
          <w:szCs w:val="21"/>
          <w:highlight w:val="none"/>
        </w:rPr>
      </w:pPr>
      <w:r>
        <w:rPr>
          <w:rFonts w:hint="eastAsia" w:ascii="宋体" w:hAnsi="宋体" w:eastAsia="宋体" w:cs="宋体"/>
          <w:b/>
          <w:bCs w:val="0"/>
          <w:szCs w:val="21"/>
          <w:highlight w:val="none"/>
        </w:rPr>
        <w:t>第二章  投标</w:t>
      </w:r>
      <w:bookmarkEnd w:id="43"/>
      <w:bookmarkEnd w:id="44"/>
      <w:r>
        <w:rPr>
          <w:rFonts w:hint="eastAsia" w:ascii="宋体" w:hAnsi="宋体" w:eastAsia="宋体" w:cs="宋体"/>
          <w:b/>
          <w:bCs w:val="0"/>
          <w:szCs w:val="21"/>
          <w:highlight w:val="none"/>
        </w:rPr>
        <w:t>须知前附表及投标须知</w:t>
      </w:r>
      <w:bookmarkEnd w:id="45"/>
      <w:bookmarkEnd w:id="46"/>
      <w:bookmarkEnd w:id="47"/>
    </w:p>
    <w:p>
      <w:pPr>
        <w:snapToGrid w:val="0"/>
        <w:spacing w:before="120" w:beforeLines="50" w:after="120" w:afterLines="50" w:line="312" w:lineRule="auto"/>
        <w:ind w:firstLine="422" w:firstLineChars="200"/>
        <w:outlineLvl w:val="1"/>
        <w:rPr>
          <w:rFonts w:hint="eastAsia" w:ascii="宋体" w:hAnsi="宋体" w:eastAsia="宋体" w:cs="宋体"/>
          <w:b/>
          <w:bCs w:val="0"/>
          <w:szCs w:val="21"/>
          <w:highlight w:val="none"/>
        </w:rPr>
      </w:pPr>
      <w:bookmarkStart w:id="48" w:name="_Toc356371431"/>
      <w:bookmarkStart w:id="49" w:name="_Toc13978"/>
      <w:bookmarkStart w:id="50" w:name="_Toc6759"/>
      <w:r>
        <w:rPr>
          <w:rFonts w:hint="eastAsia" w:ascii="宋体" w:hAnsi="宋体" w:eastAsia="宋体" w:cs="宋体"/>
          <w:b/>
          <w:bCs w:val="0"/>
          <w:szCs w:val="21"/>
          <w:highlight w:val="none"/>
        </w:rPr>
        <w:t>一、投标须知前附表</w:t>
      </w:r>
      <w:bookmarkEnd w:id="48"/>
      <w:bookmarkEnd w:id="49"/>
      <w:bookmarkEnd w:id="50"/>
    </w:p>
    <w:tbl>
      <w:tblPr>
        <w:tblStyle w:val="23"/>
        <w:tblW w:w="10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999"/>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内  容</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 购 人</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ind w:firstLine="210" w:firstLineChars="1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衢州市气象局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40" w:lineRule="auto"/>
              <w:rPr>
                <w:rFonts w:hint="eastAsia" w:ascii="宋体" w:hAnsi="宋体" w:eastAsia="宋体" w:cs="宋体"/>
                <w:color w:val="000000"/>
                <w:sz w:val="21"/>
                <w:szCs w:val="21"/>
                <w:highlight w:val="none"/>
                <w:lang w:eastAsia="zh-CN"/>
              </w:rPr>
            </w:pPr>
            <w:r>
              <w:rPr>
                <w:rFonts w:hint="eastAsia" w:ascii="宋体" w:hAnsi="宋体" w:cs="宋体"/>
                <w:bCs/>
                <w:color w:val="000000"/>
                <w:sz w:val="21"/>
                <w:szCs w:val="21"/>
                <w:highlight w:val="none"/>
                <w:lang w:eastAsia="zh-CN"/>
              </w:rPr>
              <w:t>浙江省气象高质量发展“补短板”工程（一期）柯城X波段相控阵天气雷达项目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最高限价</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val="en-US" w:eastAsia="zh-CN"/>
              </w:rPr>
              <w:t>8</w:t>
            </w:r>
            <w:r>
              <w:rPr>
                <w:rFonts w:hint="eastAsia" w:ascii="宋体" w:hAnsi="宋体" w:cs="宋体"/>
                <w:color w:val="000000"/>
                <w:kern w:val="0"/>
                <w:sz w:val="21"/>
                <w:szCs w:val="21"/>
                <w:highlight w:val="none"/>
                <w:lang w:val="en-US" w:eastAsia="zh-CN"/>
              </w:rPr>
              <w:t>770000</w:t>
            </w:r>
            <w:r>
              <w:rPr>
                <w:rFonts w:hint="eastAsia" w:ascii="宋体" w:hAnsi="宋体" w:eastAsia="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en-US" w:eastAsia="zh-CN"/>
              </w:rPr>
              <w:t>0</w:t>
            </w:r>
            <w:r>
              <w:rPr>
                <w:rFonts w:hint="eastAsia" w:ascii="宋体" w:hAnsi="宋体" w:eastAsia="宋体" w:cs="宋体"/>
                <w:color w:val="000000"/>
                <w:kern w:val="0"/>
                <w:sz w:val="21"/>
                <w:szCs w:val="21"/>
                <w:highlight w:val="none"/>
                <w:lang w:val="en-US" w:eastAsia="zh-CN"/>
              </w:rPr>
              <w:t>0</w:t>
            </w:r>
            <w:r>
              <w:rPr>
                <w:rFonts w:hint="eastAsia" w:ascii="宋体" w:hAnsi="宋体" w:eastAsia="宋体" w:cs="宋体"/>
                <w:color w:val="000000"/>
                <w:kern w:val="0"/>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交 货 </w:t>
            </w:r>
            <w:r>
              <w:rPr>
                <w:rFonts w:hint="eastAsia" w:ascii="宋体" w:hAnsi="宋体" w:eastAsia="宋体" w:cs="宋体"/>
                <w:color w:val="000000"/>
                <w:sz w:val="21"/>
                <w:szCs w:val="21"/>
                <w:highlight w:val="none"/>
              </w:rPr>
              <w:t>期</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ind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合同签订后7个月内完成基建工程的实施及设备的供货、安装、调试及验收。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现场踏勘</w:t>
            </w:r>
          </w:p>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（如有）</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采购人不组织踏勘现场，但投标人须自行安排踏勘现场情况和周边的情况，掌握和分析与投标和报价相关的一切信息，并自行承担踏勘现场的一切费用和风险。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投标有效期</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pacing w:val="-20"/>
                <w:sz w:val="21"/>
                <w:szCs w:val="21"/>
                <w:highlight w:val="none"/>
              </w:rPr>
            </w:pPr>
            <w:r>
              <w:rPr>
                <w:rFonts w:hint="eastAsia" w:ascii="宋体" w:hAnsi="宋体" w:eastAsia="宋体" w:cs="宋体"/>
                <w:color w:val="000000"/>
                <w:sz w:val="21"/>
                <w:szCs w:val="21"/>
                <w:highlight w:val="none"/>
              </w:rPr>
              <w:t>投标文件的签章</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投标文件的</w:t>
            </w:r>
          </w:p>
          <w:p>
            <w:pPr>
              <w:pStyle w:val="14"/>
              <w:snapToGrid w:val="0"/>
              <w:spacing w:line="240" w:lineRule="auto"/>
              <w:jc w:val="center"/>
              <w:rPr>
                <w:rFonts w:hint="eastAsia" w:ascii="宋体" w:hAnsi="宋体" w:eastAsia="宋体" w:cs="宋体"/>
                <w:color w:val="000000"/>
                <w:spacing w:val="-20"/>
                <w:sz w:val="21"/>
                <w:szCs w:val="21"/>
                <w:highlight w:val="none"/>
              </w:rPr>
            </w:pPr>
            <w:r>
              <w:rPr>
                <w:rFonts w:hint="eastAsia" w:ascii="宋体" w:hAnsi="宋体" w:eastAsia="宋体" w:cs="宋体"/>
                <w:color w:val="000000"/>
                <w:sz w:val="21"/>
                <w:szCs w:val="21"/>
                <w:highlight w:val="none"/>
              </w:rPr>
              <w:t>编制及形式</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供应商应先安装“政采云电子交易客户端”，并按照本招标文件和“政府采购云平台”的要求，通过“政采云电子交易客户端”编制并加密投标文件,包括“电子加密投标文件”和“备份投标文件”。</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（1）“电子加密投标文件”是指通过“政采云电子交易客户端”完成投标文件编制后生成并加密的数据电文形式的投标文件。</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（2）“备份投标文件”是指与“电子加密投标文件”同时生成的数据电文形式的电子文件（备份标书），其他方式编制的备份投标文件视为无效备份投标文件。</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（3）投标文件编制参照政采云平台供应商项目采购-电子招投标操作指南（网址：</w:t>
            </w:r>
            <w:r>
              <w:rPr>
                <w:rFonts w:hint="eastAsia" w:ascii="宋体" w:hAnsi="宋体" w:eastAsia="宋体" w:cs="宋体"/>
                <w:color w:val="000000"/>
                <w:spacing w:val="-20"/>
                <w:sz w:val="21"/>
                <w:szCs w:val="21"/>
                <w:highlight w:val="none"/>
              </w:rPr>
              <w:t>https://</w:t>
            </w:r>
            <w:r>
              <w:rPr>
                <w:rFonts w:hint="eastAsia" w:ascii="宋体" w:hAnsi="宋体" w:eastAsia="宋体" w:cs="宋体"/>
                <w:color w:val="000000"/>
                <w:spacing w:val="-17"/>
                <w:sz w:val="21"/>
                <w:szCs w:val="21"/>
                <w:highlight w:val="none"/>
              </w:rPr>
              <w:t>help.zcygov.cn/web/site_2/2018/12-28/2573.html</w:t>
            </w:r>
            <w:r>
              <w:rPr>
                <w:rFonts w:hint="eastAsia" w:ascii="宋体" w:hAnsi="宋体" w:eastAsia="宋体" w:cs="宋体"/>
                <w:color w:val="000000"/>
                <w:spacing w:val="-2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6"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投标文件的</w:t>
            </w:r>
          </w:p>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上传和递交</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（1）“电子加密投标文件”的上传、递交：</w:t>
            </w:r>
          </w:p>
          <w:p>
            <w:pPr>
              <w:pStyle w:val="14"/>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a.投标供应商应在投标截止时间前将“电子加密投标文件”成功上传递交至“政府采购云平台”，否则投标无效。</w:t>
            </w:r>
          </w:p>
          <w:p>
            <w:pPr>
              <w:pStyle w:val="14"/>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b.“电子加密投标文件”成功上传递交后，供应商可自行打印投标文件接收回执。</w:t>
            </w:r>
          </w:p>
          <w:p>
            <w:pPr>
              <w:pStyle w:val="14"/>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（2）“备份投标文件”的递交：</w:t>
            </w:r>
          </w:p>
          <w:p>
            <w:pPr>
              <w:pStyle w:val="14"/>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a.投标供应商在“政府采购云平台”完成“电子加密投标文件”的上传递交后，还可以在投标截止时间前将“备份投标文件”（一份）采用邮箱发送至项目负责人邮箱（3477872623@qq.com），逾期发送至邮箱的“备份投标文件”将不予接收；解密CA必须是上传并制作电子投标文件CA锁。</w:t>
            </w:r>
          </w:p>
          <w:p>
            <w:pPr>
              <w:pStyle w:val="14"/>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电子加密投标文件的解密和异常情况处理</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（1）开标后，采购组织机构将向各投标供应商发出“电子加密投标文件”的解密通知，各投标供应商代表应当在接到解密通知后30分钟内自行完成“电子加密投标文件”的在线解密。</w:t>
            </w:r>
          </w:p>
          <w:p>
            <w:pPr>
              <w:pStyle w:val="14"/>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4"/>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投标文件递交</w:t>
            </w:r>
          </w:p>
          <w:p>
            <w:pPr>
              <w:pStyle w:val="14"/>
              <w:snapToGrid w:val="0"/>
              <w:spacing w:line="240" w:lineRule="auto"/>
              <w:jc w:val="center"/>
              <w:rPr>
                <w:rFonts w:hint="eastAsia" w:ascii="宋体" w:hAnsi="宋体" w:eastAsia="宋体" w:cs="宋体"/>
                <w:color w:val="000000"/>
                <w:spacing w:val="-20"/>
                <w:sz w:val="21"/>
                <w:szCs w:val="21"/>
                <w:highlight w:val="none"/>
              </w:rPr>
            </w:pPr>
            <w:r>
              <w:rPr>
                <w:rFonts w:hint="eastAsia" w:ascii="宋体" w:hAnsi="宋体" w:eastAsia="宋体" w:cs="宋体"/>
                <w:color w:val="000000"/>
                <w:sz w:val="21"/>
                <w:szCs w:val="21"/>
                <w:highlight w:val="none"/>
              </w:rPr>
              <w:t>截止时间</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lang w:eastAsia="zh-CN"/>
              </w:rPr>
              <w:t>2024年</w:t>
            </w:r>
            <w:r>
              <w:rPr>
                <w:rFonts w:hint="eastAsia" w:hAnsi="宋体" w:cs="宋体"/>
                <w:sz w:val="21"/>
                <w:szCs w:val="21"/>
                <w:highlight w:val="none"/>
                <w:lang w:val="en-US" w:eastAsia="zh-CN"/>
              </w:rPr>
              <w:t>5</w:t>
            </w:r>
            <w:r>
              <w:rPr>
                <w:rFonts w:hint="eastAsia" w:ascii="宋体" w:hAnsi="宋体" w:eastAsia="宋体" w:cs="宋体"/>
                <w:sz w:val="21"/>
                <w:szCs w:val="21"/>
                <w:highlight w:val="none"/>
              </w:rPr>
              <w:t>月</w:t>
            </w:r>
            <w:r>
              <w:rPr>
                <w:rFonts w:hint="eastAsia" w:hAnsi="宋体" w:cs="宋体"/>
                <w:sz w:val="21"/>
                <w:szCs w:val="21"/>
                <w:highlight w:val="none"/>
                <w:lang w:val="en-US" w:eastAsia="zh-CN"/>
              </w:rPr>
              <w:t>11</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val="en-US" w:eastAsia="zh-CN"/>
              </w:rPr>
              <w:t>09</w:t>
            </w:r>
            <w:r>
              <w:rPr>
                <w:rFonts w:hint="eastAsia" w:ascii="宋体" w:hAnsi="宋体" w:eastAsia="宋体" w:cs="宋体"/>
                <w:sz w:val="21"/>
                <w:szCs w:val="21"/>
                <w:highlight w:val="none"/>
              </w:rPr>
              <w:t>时</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分</w:t>
            </w:r>
            <w:r>
              <w:rPr>
                <w:rFonts w:hint="eastAsia" w:ascii="宋体" w:hAnsi="宋体" w:eastAsia="宋体" w:cs="宋体"/>
                <w:color w:val="000000"/>
                <w:sz w:val="21"/>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12</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pacing w:val="-20"/>
                <w:sz w:val="21"/>
                <w:szCs w:val="21"/>
                <w:highlight w:val="none"/>
              </w:rPr>
            </w:pPr>
            <w:r>
              <w:rPr>
                <w:rFonts w:hint="eastAsia" w:ascii="宋体" w:hAnsi="宋体" w:eastAsia="宋体" w:cs="宋体"/>
                <w:color w:val="000000"/>
                <w:sz w:val="21"/>
                <w:szCs w:val="21"/>
                <w:highlight w:val="none"/>
              </w:rPr>
              <w:t>开标地点</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13</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开标时间</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lang w:eastAsia="zh-CN"/>
              </w:rPr>
              <w:t>2024年</w:t>
            </w:r>
            <w:r>
              <w:rPr>
                <w:rFonts w:hint="eastAsia" w:hAnsi="宋体" w:cs="宋体"/>
                <w:sz w:val="21"/>
                <w:szCs w:val="21"/>
                <w:highlight w:val="none"/>
                <w:lang w:val="en-US" w:eastAsia="zh-CN"/>
              </w:rPr>
              <w:t>5</w:t>
            </w:r>
            <w:r>
              <w:rPr>
                <w:rFonts w:hint="eastAsia" w:ascii="宋体" w:hAnsi="宋体" w:eastAsia="宋体" w:cs="宋体"/>
                <w:sz w:val="21"/>
                <w:szCs w:val="21"/>
                <w:highlight w:val="none"/>
                <w:lang w:eastAsia="zh-CN"/>
              </w:rPr>
              <w:t>月</w:t>
            </w:r>
            <w:r>
              <w:rPr>
                <w:rFonts w:hint="eastAsia" w:hAnsi="宋体" w:cs="宋体"/>
                <w:sz w:val="21"/>
                <w:szCs w:val="21"/>
                <w:highlight w:val="none"/>
                <w:lang w:val="en-US" w:eastAsia="zh-CN"/>
              </w:rPr>
              <w:t>11</w:t>
            </w:r>
            <w:r>
              <w:rPr>
                <w:rFonts w:hint="eastAsia" w:ascii="宋体" w:hAnsi="宋体" w:eastAsia="宋体" w:cs="宋体"/>
                <w:sz w:val="21"/>
                <w:szCs w:val="21"/>
                <w:highlight w:val="none"/>
                <w:lang w:eastAsia="zh-CN"/>
              </w:rPr>
              <w:t>日09时30分</w:t>
            </w:r>
            <w:r>
              <w:rPr>
                <w:rFonts w:hint="eastAsia" w:ascii="宋体" w:hAnsi="宋体" w:eastAsia="宋体" w:cs="宋体"/>
                <w:color w:val="000000"/>
                <w:sz w:val="21"/>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14</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签订合同</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中标通知书发出后三十天内签订合同。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15</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履约保证金交纳</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color w:val="000000"/>
                <w:sz w:val="21"/>
                <w:szCs w:val="21"/>
                <w:highlight w:val="none"/>
                <w:lang w:val="zh-CN"/>
              </w:rPr>
            </w:pPr>
            <w:r>
              <w:rPr>
                <w:rFonts w:hint="eastAsia" w:ascii="宋体" w:hAnsi="宋体" w:eastAsia="宋体" w:cs="宋体"/>
                <w:color w:val="000000" w:themeColor="text1"/>
                <w:sz w:val="21"/>
                <w:szCs w:val="21"/>
                <w:highlight w:val="none"/>
                <w14:textFill>
                  <w14:solidFill>
                    <w14:schemeClr w14:val="tx1"/>
                  </w14:solidFill>
                </w14:textFill>
              </w:rPr>
              <w:t>中标通知书发出后三十天内，中标人通过电汇、转账、银行或保险公司出具的履约保函</w:t>
            </w:r>
            <w:r>
              <w:rPr>
                <w:rFonts w:hint="eastAsia" w:ascii="宋体" w:hAnsi="宋体" w:eastAsia="宋体" w:cs="宋体"/>
                <w:color w:val="000000" w:themeColor="text1"/>
                <w:sz w:val="21"/>
                <w:szCs w:val="21"/>
                <w:highlight w:val="none"/>
                <w:lang w:val="en-US" w:eastAsia="zh-CN"/>
                <w14:textFill>
                  <w14:solidFill>
                    <w14:schemeClr w14:val="tx1"/>
                  </w14:solidFill>
                </w14:textFill>
              </w:rPr>
              <w:t>等方式</w:t>
            </w:r>
            <w:r>
              <w:rPr>
                <w:rFonts w:hint="eastAsia" w:ascii="宋体" w:hAnsi="宋体" w:eastAsia="宋体" w:cs="宋体"/>
                <w:color w:val="000000" w:themeColor="text1"/>
                <w:sz w:val="21"/>
                <w:szCs w:val="21"/>
                <w:highlight w:val="none"/>
                <w14:textFill>
                  <w14:solidFill>
                    <w14:schemeClr w14:val="tx1"/>
                  </w14:solidFill>
                </w14:textFill>
              </w:rPr>
              <w:t>向采购人交纳</w:t>
            </w:r>
            <w:r>
              <w:rPr>
                <w:rFonts w:hint="eastAsia" w:ascii="宋体" w:hAnsi="宋体" w:eastAsia="宋体" w:cs="宋体"/>
                <w:color w:val="000000" w:themeColor="text1"/>
                <w:sz w:val="21"/>
                <w:szCs w:val="21"/>
                <w:highlight w:val="none"/>
                <w:lang w:val="en-US" w:eastAsia="zh-CN"/>
                <w14:textFill>
                  <w14:solidFill>
                    <w14:schemeClr w14:val="tx1"/>
                  </w14:solidFill>
                </w14:textFill>
              </w:rPr>
              <w:t>合同</w:t>
            </w:r>
            <w:r>
              <w:rPr>
                <w:rFonts w:hint="eastAsia" w:ascii="宋体" w:hAnsi="宋体" w:eastAsia="宋体" w:cs="宋体"/>
                <w:color w:val="000000" w:themeColor="text1"/>
                <w:sz w:val="21"/>
                <w:szCs w:val="21"/>
                <w:highlight w:val="none"/>
                <w14:textFill>
                  <w14:solidFill>
                    <w14:schemeClr w14:val="tx1"/>
                  </w14:solidFill>
                </w14:textFill>
              </w:rPr>
              <w:t>金额的</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作为</w:t>
            </w:r>
            <w:r>
              <w:rPr>
                <w:rFonts w:hint="eastAsia" w:ascii="宋体" w:hAnsi="宋体" w:eastAsia="宋体" w:cs="宋体"/>
                <w:color w:val="000000" w:themeColor="text1"/>
                <w:sz w:val="21"/>
                <w:szCs w:val="21"/>
                <w:highlight w:val="none"/>
                <w14:textFill>
                  <w14:solidFill>
                    <w14:schemeClr w14:val="tx1"/>
                  </w14:solidFill>
                </w14:textFill>
              </w:rPr>
              <w:t>履约保证金。</w:t>
            </w:r>
            <w:r>
              <w:rPr>
                <w:rFonts w:hint="eastAsia" w:hAnsi="宋体" w:cs="宋体"/>
                <w:color w:val="000000" w:themeColor="text1"/>
                <w:sz w:val="21"/>
                <w:szCs w:val="21"/>
                <w:highlight w:val="none"/>
                <w:lang w:val="en-US" w:eastAsia="zh-CN"/>
                <w14:textFill>
                  <w14:solidFill>
                    <w14:schemeClr w14:val="tx1"/>
                  </w14:solidFill>
                </w14:textFill>
              </w:rPr>
              <w:t>项目验收合格</w:t>
            </w:r>
            <w:r>
              <w:rPr>
                <w:rFonts w:hint="eastAsia" w:ascii="宋体" w:hAnsi="宋体" w:eastAsia="宋体" w:cs="宋体"/>
                <w:color w:val="000000" w:themeColor="text1"/>
                <w:sz w:val="21"/>
                <w:szCs w:val="21"/>
                <w:highlight w:val="none"/>
                <w:lang w:val="en-US" w:eastAsia="zh-CN"/>
                <w14:textFill>
                  <w14:solidFill>
                    <w14:schemeClr w14:val="tx1"/>
                  </w14:solidFill>
                </w14:textFill>
              </w:rPr>
              <w:t>后无息退回履约保证金。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exac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16</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联系方式</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40" w:lineRule="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采购人：</w:t>
            </w:r>
            <w:r>
              <w:rPr>
                <w:rFonts w:hint="eastAsia" w:ascii="宋体" w:hAnsi="宋体" w:eastAsia="宋体" w:cs="宋体"/>
                <w:color w:val="000000"/>
                <w:sz w:val="21"/>
                <w:szCs w:val="21"/>
                <w:highlight w:val="none"/>
                <w:lang w:eastAsia="zh-CN"/>
              </w:rPr>
              <w:t>衢州市气象局</w:t>
            </w:r>
          </w:p>
          <w:p>
            <w:pPr>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采购代理机构名称：浙江省成套工程有限公司</w:t>
            </w:r>
          </w:p>
          <w:p>
            <w:pPr>
              <w:snapToGrid w:val="0"/>
              <w:spacing w:line="240" w:lineRule="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项目联系人：</w:t>
            </w:r>
            <w:r>
              <w:rPr>
                <w:rFonts w:hint="eastAsia" w:ascii="宋体" w:hAnsi="宋体" w:eastAsia="宋体" w:cs="宋体"/>
                <w:color w:val="000000"/>
                <w:sz w:val="21"/>
                <w:szCs w:val="21"/>
                <w:highlight w:val="none"/>
                <w:lang w:eastAsia="zh-CN"/>
              </w:rPr>
              <w:t>吴</w:t>
            </w:r>
            <w:r>
              <w:rPr>
                <w:rFonts w:hint="eastAsia" w:ascii="宋体" w:hAnsi="宋体" w:eastAsia="宋体" w:cs="宋体"/>
                <w:color w:val="000000"/>
                <w:sz w:val="21"/>
                <w:szCs w:val="21"/>
                <w:highlight w:val="none"/>
                <w:lang w:val="en-US" w:eastAsia="zh-CN"/>
              </w:rPr>
              <w:t>先生</w:t>
            </w:r>
          </w:p>
          <w:p>
            <w:pPr>
              <w:snapToGrid w:val="0"/>
              <w:spacing w:line="240" w:lineRule="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联系电话：0570-8757</w:t>
            </w:r>
            <w:r>
              <w:rPr>
                <w:rFonts w:hint="eastAsia" w:ascii="宋体" w:hAnsi="宋体" w:eastAsia="宋体" w:cs="宋体"/>
                <w:color w:val="000000"/>
                <w:sz w:val="21"/>
                <w:szCs w:val="21"/>
                <w:highlight w:val="none"/>
                <w:lang w:eastAsia="zh-CN"/>
              </w:rPr>
              <w:t>58</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18367054001</w:t>
            </w:r>
          </w:p>
          <w:p>
            <w:pPr>
              <w:snapToGrid w:val="0"/>
              <w:spacing w:line="24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传真：0570-8757585</w:t>
            </w:r>
          </w:p>
          <w:p>
            <w:pPr>
              <w:tabs>
                <w:tab w:val="left" w:pos="0"/>
              </w:tabs>
              <w:snapToGrid w:val="0"/>
              <w:spacing w:line="240" w:lineRule="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地点：衢州市西区花园中大道91号鑫港大厦7楼709室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17</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注意事项</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根据《关于在政府采购活动中查询及使用信用记录有关问题的通知》财库[2016]125号的规定：</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（1）采购人或采购代理机构将对本项目供应商的信用记录进行查询。查询渠道为信用中国网站（www.creditchina.gov.cn）、中国政府采购网（www.ccgp.gov.cn）。</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（2）截止时点：提交投标文件（响应文件）截止时间前3年内。</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（3）查询记录和证据的留存：信用信息查询记录和证据以网页截图等方式留存。</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（4）使用规则：被列入失信被执行人、重大税收违法案件当事人名单、政府采购严重违法失信行为记录名单及其它不符合《中华人民共和国政府采购法》第二十二条规定条件的，其投标将被拒绝。</w:t>
            </w:r>
          </w:p>
          <w:p>
            <w:pPr>
              <w:pStyle w:val="14"/>
              <w:snapToGrid w:val="0"/>
              <w:spacing w:line="240" w:lineRule="auto"/>
              <w:ind w:firstLine="420" w:firstLineChars="20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采购公告，更正公告，中标公示发布网址</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浙江政府采购网（</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"http://www.zjzfcg.gov.cn" </w:instrText>
            </w:r>
            <w:r>
              <w:rPr>
                <w:rFonts w:hint="eastAsia" w:ascii="宋体" w:hAnsi="宋体" w:eastAsia="宋体" w:cs="宋体"/>
                <w:sz w:val="21"/>
                <w:szCs w:val="21"/>
                <w:highlight w:val="none"/>
              </w:rPr>
              <w:fldChar w:fldCharType="separate"/>
            </w:r>
            <w:r>
              <w:rPr>
                <w:rFonts w:hint="eastAsia" w:ascii="宋体" w:hAnsi="宋体" w:eastAsia="宋体" w:cs="宋体"/>
                <w:color w:val="000000"/>
                <w:sz w:val="21"/>
                <w:szCs w:val="21"/>
                <w:highlight w:val="none"/>
              </w:rPr>
              <w:t>http://www.zjzfcg.gov.cn</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19</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keepNext w:val="0"/>
              <w:keepLines w:val="0"/>
              <w:pageBreakBefore w:val="0"/>
              <w:kinsoku/>
              <w:overflowPunct/>
              <w:topLinePunct w:val="0"/>
              <w:bidi w:val="0"/>
              <w:snapToGrid w:val="0"/>
              <w:spacing w:line="240" w:lineRule="auto"/>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auto"/>
                <w:sz w:val="21"/>
                <w:szCs w:val="21"/>
                <w:highlight w:val="none"/>
              </w:rPr>
              <w:t>支持中小企业发展</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w:t>
            </w:r>
            <w:r>
              <w:rPr>
                <w:rFonts w:hint="eastAsia" w:ascii="宋体" w:hAnsi="宋体" w:eastAsia="宋体" w:cs="宋体"/>
                <w:b/>
                <w:bCs/>
                <w:color w:val="000000"/>
                <w:sz w:val="21"/>
                <w:szCs w:val="21"/>
                <w:highlight w:val="none"/>
                <w:lang w:val="en-US" w:eastAsia="zh-CN"/>
              </w:rPr>
              <w:t>本项目专门面向</w:t>
            </w:r>
            <w:r>
              <w:rPr>
                <w:rFonts w:hint="eastAsia" w:ascii="宋体" w:hAnsi="宋体" w:eastAsia="宋体" w:cs="宋体"/>
                <w:b/>
                <w:bCs/>
                <w:color w:val="000000"/>
                <w:sz w:val="21"/>
                <w:szCs w:val="21"/>
                <w:highlight w:val="none"/>
              </w:rPr>
              <w:t>中小企业</w:t>
            </w:r>
            <w:r>
              <w:rPr>
                <w:rFonts w:hint="eastAsia" w:ascii="宋体" w:hAnsi="宋体" w:eastAsia="宋体" w:cs="宋体"/>
                <w:b/>
                <w:bCs/>
                <w:color w:val="000000"/>
                <w:sz w:val="21"/>
                <w:szCs w:val="21"/>
                <w:highlight w:val="none"/>
                <w:lang w:eastAsia="zh-CN"/>
              </w:rPr>
              <w:t>。</w:t>
            </w:r>
            <w:r>
              <w:rPr>
                <w:rFonts w:hint="eastAsia" w:ascii="宋体" w:hAnsi="宋体" w:eastAsia="宋体" w:cs="宋体"/>
                <w:color w:val="000000"/>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符合中小企业划分标准的个体工商户，在政府采购活动中视同中小企业。</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在政府采购活动中，投标人提供的货物、工程或者服务符合下列情形的，享受中小企业扶持政策：</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2.1在货物采购项目中，货物由中小企业制造，即货物由中小企业生产且使用该中小企业商号或者注册商标；</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2.2在工程采购项目中，工程由中小企业承建，即工程施工单位为中小企业；</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2.3在服务采购项目中，服务由中小企业承接，即提供服务的人员为中小企业依照《中华人民共和国劳动合同法》订立劳动合同的从业人员。</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在货物采购项目中，投标人提供的货物既有中小企业制造货物，也有大型企业制造货物的，不享受中小企业扶持政策。</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以联合体形式参加政府采购活动，联合体各方均为中小企业的，联合体视同中小企业。其中，联合体各方均为小微企业的，联合体视同小微企业。</w:t>
            </w:r>
          </w:p>
          <w:p>
            <w:pPr>
              <w:pStyle w:val="14"/>
              <w:snapToGrid w:val="0"/>
              <w:spacing w:line="24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%的扣除，用扣除后的价格参加评审。组成联合体或者接受分包的小微企业与联合体内其他企业、分包企业之间存在直接控股、管理关系的，不享受价格扣除优惠政策。</w:t>
            </w:r>
            <w:r>
              <w:rPr>
                <w:rFonts w:hint="eastAsia" w:hAnsi="宋体" w:cs="宋体"/>
                <w:b/>
                <w:bCs/>
                <w:color w:val="000000"/>
                <w:sz w:val="21"/>
                <w:szCs w:val="21"/>
                <w:highlight w:val="none"/>
                <w:lang w:eastAsia="zh-CN"/>
              </w:rPr>
              <w:t>（</w:t>
            </w:r>
            <w:r>
              <w:rPr>
                <w:rFonts w:hint="eastAsia" w:hAnsi="宋体" w:cs="宋体"/>
                <w:b/>
                <w:bCs/>
                <w:color w:val="000000"/>
                <w:sz w:val="21"/>
                <w:szCs w:val="21"/>
                <w:highlight w:val="none"/>
                <w:lang w:val="en-US" w:eastAsia="zh-CN"/>
              </w:rPr>
              <w:t>本项目不适用</w:t>
            </w:r>
            <w:r>
              <w:rPr>
                <w:rFonts w:hint="eastAsia" w:hAnsi="宋体" w:cs="宋体"/>
                <w:b/>
                <w:bCs/>
                <w:color w:val="000000"/>
                <w:sz w:val="21"/>
                <w:szCs w:val="21"/>
                <w:highlight w:val="none"/>
                <w:lang w:eastAsia="zh-CN"/>
              </w:rPr>
              <w:t>）</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符合《关于促进残疾人就业政府采购政策的通知》（财库〔2017〕141号）规定的条件并提供《残疾人福利性单位声明函》（附件）的残疾人福利性单位视同小型、微型企业；</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4"/>
              <w:snapToGrid w:val="0"/>
              <w:spacing w:line="24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Style w:val="14"/>
              <w:snapToGrid w:val="0"/>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7</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中小企业享受扶持政策获得政府采购合同的，小微企业不得将合同分包给大中型企业，中型企业不得将合同分包</w:t>
            </w:r>
            <w:r>
              <w:rPr>
                <w:rFonts w:hint="eastAsia" w:ascii="宋体" w:hAnsi="宋体" w:eastAsia="宋体" w:cs="宋体"/>
                <w:sz w:val="21"/>
                <w:szCs w:val="21"/>
                <w:highlight w:val="none"/>
              </w:rPr>
              <w:t>给大型企业。</w:t>
            </w:r>
          </w:p>
          <w:p>
            <w:pPr>
              <w:spacing w:line="240" w:lineRule="auto"/>
              <w:ind w:firstLine="422" w:firstLineChars="200"/>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val="zh-CN"/>
              </w:rPr>
              <w:t>标的名称：</w:t>
            </w:r>
            <w:r>
              <w:rPr>
                <w:rFonts w:hint="eastAsia" w:ascii="宋体" w:hAnsi="宋体" w:cs="宋体"/>
                <w:b/>
                <w:bCs/>
                <w:color w:val="auto"/>
                <w:sz w:val="21"/>
                <w:szCs w:val="21"/>
                <w:highlight w:val="none"/>
                <w:lang w:val="zh-CN" w:eastAsia="zh-Hans"/>
              </w:rPr>
              <w:t>浙江省气象高质量发展“补短板”工程（一期）柯城X波段相控阵天气雷达项目</w:t>
            </w:r>
            <w:r>
              <w:rPr>
                <w:rFonts w:hint="eastAsia" w:ascii="宋体" w:hAnsi="宋体" w:eastAsia="宋体" w:cs="宋体"/>
                <w:b/>
                <w:bCs/>
                <w:color w:val="auto"/>
                <w:sz w:val="21"/>
                <w:szCs w:val="21"/>
                <w:highlight w:val="none"/>
                <w:lang w:val="zh-CN"/>
              </w:rPr>
              <w:t>，所属行业：</w:t>
            </w:r>
            <w:r>
              <w:rPr>
                <w:rFonts w:hint="eastAsia" w:ascii="宋体" w:hAnsi="宋体" w:eastAsia="宋体" w:cs="宋体"/>
                <w:b/>
                <w:bCs/>
                <w:color w:val="auto"/>
                <w:sz w:val="21"/>
                <w:szCs w:val="21"/>
                <w:highlight w:val="none"/>
                <w:lang w:val="en-US" w:eastAsia="zh-CN"/>
              </w:rPr>
              <w:t>工业行业</w:t>
            </w:r>
            <w:r>
              <w:rPr>
                <w:rFonts w:hint="eastAsia" w:ascii="宋体" w:hAnsi="宋体" w:eastAsia="宋体" w:cs="宋体"/>
                <w:b/>
                <w:bCs/>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lang w:val="en-US" w:eastAsia="zh-CN"/>
              </w:rPr>
            </w:pPr>
            <w:bookmarkStart w:id="51" w:name="_Toc356371433"/>
            <w:bookmarkStart w:id="52" w:name="_Toc16402"/>
            <w:bookmarkStart w:id="53" w:name="_Toc13996"/>
            <w:bookmarkStart w:id="54" w:name="_Toc356371435"/>
            <w:bookmarkStart w:id="55" w:name="_Toc17416"/>
            <w:r>
              <w:rPr>
                <w:rFonts w:hint="eastAsia" w:ascii="宋体" w:hAnsi="宋体" w:eastAsia="宋体" w:cs="宋体"/>
                <w:color w:val="000000"/>
                <w:sz w:val="21"/>
                <w:szCs w:val="21"/>
                <w:highlight w:val="none"/>
                <w:lang w:val="en-US" w:eastAsia="zh-CN"/>
              </w:rPr>
              <w:t>20</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rPr>
              <w:t>支持绿色发展</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240"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w:t>
            </w:r>
            <w:r>
              <w:rPr>
                <w:rFonts w:hint="eastAsia" w:ascii="宋体" w:hAnsi="宋体" w:eastAsia="宋体" w:cs="宋体"/>
                <w:snapToGrid w:val="0"/>
                <w:color w:val="auto"/>
                <w:sz w:val="21"/>
                <w:szCs w:val="21"/>
                <w:highlight w:val="none"/>
                <w:lang w:val="en-US" w:eastAsia="zh-CN"/>
              </w:rPr>
              <w:t>.</w:t>
            </w:r>
            <w:r>
              <w:rPr>
                <w:rFonts w:hint="eastAsia" w:ascii="宋体" w:hAnsi="宋体" w:eastAsia="宋体" w:cs="宋体"/>
                <w:snapToGrid w:val="0"/>
                <w:color w:val="auto"/>
                <w:sz w:val="21"/>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djustRightInd w:val="0"/>
              <w:snapToGrid w:val="0"/>
              <w:spacing w:line="240"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w:t>
            </w:r>
            <w:r>
              <w:rPr>
                <w:rFonts w:hint="eastAsia" w:ascii="宋体" w:hAnsi="宋体" w:eastAsia="宋体" w:cs="宋体"/>
                <w:snapToGrid w:val="0"/>
                <w:color w:val="auto"/>
                <w:sz w:val="21"/>
                <w:szCs w:val="21"/>
                <w:highlight w:val="none"/>
                <w:lang w:val="en-US" w:eastAsia="zh-CN"/>
              </w:rPr>
              <w:t>.</w:t>
            </w:r>
            <w:r>
              <w:rPr>
                <w:rFonts w:hint="eastAsia" w:ascii="宋体" w:hAnsi="宋体" w:eastAsia="宋体" w:cs="宋体"/>
                <w:snapToGrid w:val="0"/>
                <w:color w:val="auto"/>
                <w:sz w:val="21"/>
                <w:szCs w:val="21"/>
                <w:highlight w:val="none"/>
              </w:rPr>
              <w:t>纳入政府采购管理的修缮、装修类项目采购建材的，鼓励采购单位将绿色建材性能、指标等作为实质性条件纳入采购文件和合同，具体性能指标要求参考相关绿色建材政府采购需求标准。</w:t>
            </w:r>
          </w:p>
          <w:p>
            <w:pPr>
              <w:adjustRightInd w:val="0"/>
              <w:snapToGrid w:val="0"/>
              <w:spacing w:line="240" w:lineRule="auto"/>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rPr>
              <w:t>3</w:t>
            </w:r>
            <w:r>
              <w:rPr>
                <w:rFonts w:hint="eastAsia" w:ascii="宋体" w:hAnsi="宋体" w:eastAsia="宋体" w:cs="宋体"/>
                <w:snapToGrid w:val="0"/>
                <w:color w:val="auto"/>
                <w:sz w:val="21"/>
                <w:szCs w:val="21"/>
                <w:highlight w:val="none"/>
                <w:lang w:val="en-US" w:eastAsia="zh-CN"/>
              </w:rPr>
              <w:t>.</w:t>
            </w:r>
            <w:r>
              <w:rPr>
                <w:rFonts w:hint="eastAsia" w:ascii="宋体" w:hAnsi="宋体" w:eastAsia="宋体" w:cs="宋体"/>
                <w:snapToGrid w:val="0"/>
                <w:color w:val="auto"/>
                <w:sz w:val="21"/>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21</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rPr>
              <w:t>支持创新发展</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240"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w:t>
            </w:r>
            <w:r>
              <w:rPr>
                <w:rFonts w:hint="eastAsia" w:ascii="宋体" w:hAnsi="宋体" w:eastAsia="宋体" w:cs="宋体"/>
                <w:snapToGrid w:val="0"/>
                <w:color w:val="auto"/>
                <w:sz w:val="21"/>
                <w:szCs w:val="21"/>
                <w:highlight w:val="none"/>
                <w:lang w:val="en-US" w:eastAsia="zh-CN"/>
              </w:rPr>
              <w:t>.</w:t>
            </w:r>
            <w:r>
              <w:rPr>
                <w:rFonts w:hint="eastAsia" w:ascii="宋体" w:hAnsi="宋体" w:eastAsia="宋体" w:cs="宋体"/>
                <w:snapToGrid w:val="0"/>
                <w:color w:val="auto"/>
                <w:sz w:val="21"/>
                <w:szCs w:val="21"/>
                <w:highlight w:val="none"/>
              </w:rPr>
              <w:t>采购人优先采购被认定为首台套产品和“制造精品”的自主创新产品。</w:t>
            </w:r>
          </w:p>
          <w:p>
            <w:pPr>
              <w:adjustRightInd w:val="0"/>
              <w:snapToGrid w:val="0"/>
              <w:spacing w:line="240" w:lineRule="auto"/>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rPr>
              <w:t>2</w:t>
            </w:r>
            <w:r>
              <w:rPr>
                <w:rFonts w:hint="eastAsia" w:ascii="宋体" w:hAnsi="宋体" w:eastAsia="宋体" w:cs="宋体"/>
                <w:snapToGrid w:val="0"/>
                <w:color w:val="auto"/>
                <w:sz w:val="21"/>
                <w:szCs w:val="21"/>
                <w:highlight w:val="none"/>
                <w:lang w:val="en-US" w:eastAsia="zh-CN"/>
              </w:rPr>
              <w:t>.</w:t>
            </w:r>
            <w:r>
              <w:rPr>
                <w:rFonts w:hint="eastAsia" w:ascii="宋体" w:hAnsi="宋体" w:eastAsia="宋体" w:cs="宋体"/>
                <w:snapToGrid w:val="0"/>
                <w:color w:val="auto"/>
                <w:sz w:val="21"/>
                <w:szCs w:val="21"/>
                <w:highlight w:val="none"/>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jc w:val="center"/>
        </w:trPr>
        <w:tc>
          <w:tcPr>
            <w:tcW w:w="6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snapToGrid w:val="0"/>
              <w:spacing w:line="240" w:lineRule="auto"/>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22</w:t>
            </w:r>
          </w:p>
        </w:tc>
        <w:tc>
          <w:tcPr>
            <w:tcW w:w="1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240" w:lineRule="auto"/>
              <w:jc w:val="left"/>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lang w:val="en-US" w:eastAsia="zh-CN"/>
              </w:rPr>
              <w:t>中标候选人</w:t>
            </w:r>
          </w:p>
        </w:tc>
        <w:tc>
          <w:tcPr>
            <w:tcW w:w="7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240" w:lineRule="auto"/>
              <w:jc w:val="left"/>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lang w:val="en-US" w:eastAsia="zh-CN"/>
              </w:rPr>
              <w:t>1名</w:t>
            </w:r>
          </w:p>
        </w:tc>
      </w:tr>
    </w:tbl>
    <w:p>
      <w:pPr>
        <w:snapToGrid w:val="0"/>
        <w:spacing w:before="48" w:beforeLines="20" w:after="48" w:afterLines="20" w:line="312" w:lineRule="auto"/>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二、投标须知</w:t>
      </w:r>
      <w:bookmarkEnd w:id="51"/>
      <w:bookmarkEnd w:id="52"/>
      <w:bookmarkEnd w:id="53"/>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适用范围</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本招标文件仅适用于本次招标采购项目的招标、投标、评标、定标、验收、合同履约、付款等行为。</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定义</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 “采购人”系指招标公告中载明的本项目的采购人。</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2.2 “</w:t>
      </w:r>
      <w:r>
        <w:rPr>
          <w:rFonts w:hint="eastAsia" w:ascii="宋体" w:hAnsi="宋体" w:eastAsia="宋体" w:cs="宋体"/>
          <w:szCs w:val="21"/>
          <w:highlight w:val="none"/>
          <w:lang w:eastAsia="zh-CN"/>
        </w:rPr>
        <w:t>采购代理机构</w:t>
      </w:r>
      <w:r>
        <w:rPr>
          <w:rFonts w:hint="eastAsia" w:ascii="宋体" w:hAnsi="宋体" w:eastAsia="宋体" w:cs="宋体"/>
          <w:szCs w:val="21"/>
          <w:highlight w:val="none"/>
        </w:rPr>
        <w:t>”系指招标公告中载明的本项目的</w:t>
      </w:r>
      <w:r>
        <w:rPr>
          <w:rFonts w:hint="eastAsia" w:ascii="宋体" w:hAnsi="宋体" w:eastAsia="宋体" w:cs="宋体"/>
          <w:szCs w:val="21"/>
          <w:highlight w:val="none"/>
          <w:lang w:eastAsia="zh-CN"/>
        </w:rPr>
        <w:t>采购代理机构</w:t>
      </w:r>
      <w:r>
        <w:rPr>
          <w:rFonts w:hint="eastAsia" w:ascii="宋体" w:hAnsi="宋体" w:eastAsia="宋体" w:cs="宋体"/>
          <w:szCs w:val="21"/>
          <w:highlight w:val="none"/>
        </w:rPr>
        <w:t>。</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2.3 “投标人”“供应商”系指是指响应招标、参加投标竞争的法人、其他组织或者自然人。</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2.4</w:t>
      </w:r>
      <w:r>
        <w:rPr>
          <w:rFonts w:hint="eastAsia" w:ascii="宋体" w:hAnsi="宋体" w:eastAsia="宋体" w:cs="宋体"/>
          <w:szCs w:val="21"/>
          <w:highlight w:val="none"/>
        </w:rPr>
        <w:t>“监督单位”系指政府采购法定义监督管理部门</w:t>
      </w:r>
      <w:r>
        <w:rPr>
          <w:rFonts w:hint="eastAsia" w:ascii="宋体" w:hAnsi="宋体" w:eastAsia="宋体" w:cs="宋体"/>
          <w:szCs w:val="21"/>
          <w:highlight w:val="none"/>
          <w:lang w:val="en-US" w:eastAsia="zh-CN"/>
        </w:rPr>
        <w:t>。</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 xml:space="preserve"> “负责人”系指法人企业的法定负责人，或其他组织为法律、行政法规规定代表单位行使职权的主要负责人，或自然人本人。</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w:t>
      </w:r>
      <w:r>
        <w:rPr>
          <w:rFonts w:hint="eastAsia" w:ascii="宋体" w:hAnsi="宋体" w:cs="宋体"/>
          <w:szCs w:val="21"/>
          <w:highlight w:val="none"/>
          <w:lang w:val="en-US" w:eastAsia="zh-CN"/>
        </w:rPr>
        <w:t>详见附件</w:t>
      </w:r>
      <w:r>
        <w:rPr>
          <w:rFonts w:hint="eastAsia" w:ascii="宋体" w:hAnsi="宋体" w:eastAsia="宋体" w:cs="宋体"/>
          <w:szCs w:val="21"/>
          <w:highlight w:val="none"/>
        </w:rPr>
        <w:t>）。</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“电子交易平台”</w:t>
      </w:r>
      <w:r>
        <w:rPr>
          <w:rFonts w:hint="eastAsia" w:ascii="宋体" w:hAnsi="宋体" w:eastAsia="宋体" w:cs="宋体"/>
          <w:szCs w:val="21"/>
          <w:highlight w:val="none"/>
          <w:lang w:val="en-US" w:eastAsia="zh-CN"/>
        </w:rPr>
        <w:t>系</w:t>
      </w:r>
      <w:r>
        <w:rPr>
          <w:rFonts w:hint="eastAsia" w:ascii="宋体" w:hAnsi="宋体" w:eastAsia="宋体" w:cs="宋体"/>
          <w:szCs w:val="21"/>
          <w:highlight w:val="none"/>
        </w:rPr>
        <w:t>指本项目政府采购活动所依托的政府采购云平台（https://www.zcygov.cn/）。</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“▲”系指实质性指标要求条款，如任意一条打“▲”的指标出现负偏离视为实质性不响应招标文件要求，作无效投标处理。“</w:t>
      </w:r>
      <w:r>
        <w:rPr>
          <w:rFonts w:hint="eastAsia" w:ascii="宋体" w:hAnsi="宋体" w:eastAsia="宋体" w:cs="宋体"/>
          <w:szCs w:val="21"/>
          <w:highlight w:val="none"/>
          <w:lang w:eastAsia="zh-CN"/>
        </w:rPr>
        <w:t>☑</w:t>
      </w:r>
      <w:r>
        <w:rPr>
          <w:rFonts w:hint="eastAsia" w:ascii="宋体" w:hAnsi="宋体" w:eastAsia="宋体" w:cs="宋体"/>
          <w:szCs w:val="21"/>
          <w:highlight w:val="none"/>
        </w:rPr>
        <w:t>”系指适用本项目的要求，“☐”系指不适用本项目的要求。</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投标费用</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不论投标结果如何，投标人均应自行承担所有与投标有关的全部费用。</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招标方式</w:t>
      </w:r>
    </w:p>
    <w:p>
      <w:pPr>
        <w:snapToGrid w:val="0"/>
        <w:spacing w:line="312"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本次招标采用公开招标方式进行。</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投标委托</w:t>
      </w:r>
    </w:p>
    <w:p>
      <w:pPr>
        <w:snapToGrid w:val="0"/>
        <w:spacing w:line="312"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投标人代表须具有身份证明文件。</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联合体投标</w:t>
      </w:r>
    </w:p>
    <w:p>
      <w:pPr>
        <w:snapToGrid w:val="0"/>
        <w:spacing w:line="312"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本项目不接受联合体投标。</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转包与分包</w:t>
      </w:r>
    </w:p>
    <w:p>
      <w:pPr>
        <w:snapToGrid w:val="0"/>
        <w:spacing w:line="312"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本项目不允许转包。雷达站基建工程内的相关项目允许分包。</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特别说明</w:t>
      </w:r>
    </w:p>
    <w:p>
      <w:pPr>
        <w:keepNext w:val="0"/>
        <w:keepLines w:val="0"/>
        <w:pageBreakBefore w:val="0"/>
        <w:numPr>
          <w:ilvl w:val="2"/>
          <w:numId w:val="3"/>
        </w:numPr>
        <w:kinsoku/>
        <w:overflowPunct/>
        <w:topLinePunct w:val="0"/>
        <w:bidi w:val="0"/>
        <w:snapToGrid w:val="0"/>
        <w:spacing w:line="312" w:lineRule="auto"/>
        <w:ind w:firstLine="420" w:firstLineChars="200"/>
        <w:textAlignment w:val="auto"/>
        <w:rPr>
          <w:rFonts w:hint="eastAsia" w:ascii="宋体" w:hAnsi="宋体" w:cs="宋体"/>
          <w:b/>
          <w:color w:val="000000" w:themeColor="text1"/>
          <w:szCs w:val="21"/>
          <w:highlight w:val="none"/>
          <w14:textFill>
            <w14:solidFill>
              <w14:schemeClr w14:val="tx1"/>
            </w14:solidFill>
          </w14:textFill>
        </w:rPr>
      </w:pPr>
      <w:bookmarkStart w:id="56" w:name="_Toc356371434"/>
      <w:bookmarkStart w:id="57" w:name="_Toc24659"/>
      <w:bookmarkStart w:id="58" w:name="_Toc15235"/>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技术商务分与报价分合计得分最高者为第一中标候选人，总分相同时，价格低者优先，若最高总得分与报价均相同时，由采购人当场随机抽签选定第一中标候选人。</w:t>
      </w:r>
    </w:p>
    <w:p>
      <w:pPr>
        <w:keepNext w:val="0"/>
        <w:keepLines w:val="0"/>
        <w:pageBreakBefore w:val="0"/>
        <w:numPr>
          <w:ilvl w:val="2"/>
          <w:numId w:val="3"/>
        </w:numPr>
        <w:kinsoku/>
        <w:overflowPunct/>
        <w:topLinePunct w:val="0"/>
        <w:bidi w:val="0"/>
        <w:snapToGrid w:val="0"/>
        <w:spacing w:line="312"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numPr>
          <w:ilvl w:val="2"/>
          <w:numId w:val="3"/>
        </w:numPr>
        <w:kinsoku/>
        <w:overflowPunct/>
        <w:topLinePunct w:val="0"/>
        <w:bidi w:val="0"/>
        <w:snapToGrid w:val="0"/>
        <w:spacing w:line="312"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非单一产品采购项目中，多家投标人提供的核心产品品牌相同的，按一家投标人认定</w:t>
      </w:r>
      <w:r>
        <w:rPr>
          <w:rFonts w:hint="eastAsia" w:ascii="宋体" w:hAnsi="宋体" w:cs="宋体"/>
          <w:b/>
          <w:bCs/>
          <w:color w:val="000000" w:themeColor="text1"/>
          <w:kern w:val="0"/>
          <w:szCs w:val="21"/>
          <w:highlight w:val="none"/>
          <w:lang w:eastAsia="zh-CN"/>
          <w14:textFill>
            <w14:solidFill>
              <w14:schemeClr w14:val="tx1"/>
            </w14:solidFill>
          </w14:textFill>
        </w:rPr>
        <w:t>（</w:t>
      </w:r>
      <w:r>
        <w:rPr>
          <w:rFonts w:hint="eastAsia" w:ascii="宋体" w:hAnsi="宋体" w:cs="宋体"/>
          <w:b/>
          <w:bCs/>
          <w:color w:val="000000" w:themeColor="text1"/>
          <w:kern w:val="0"/>
          <w:szCs w:val="21"/>
          <w:highlight w:val="none"/>
          <w:lang w:val="en-US" w:eastAsia="zh-CN"/>
          <w14:textFill>
            <w14:solidFill>
              <w14:schemeClr w14:val="tx1"/>
            </w14:solidFill>
          </w14:textFill>
        </w:rPr>
        <w:t>本项目核心产品为X波段双偏振相控阵天气雷达</w:t>
      </w:r>
      <w:r>
        <w:rPr>
          <w:rFonts w:hint="eastAsia" w:ascii="宋体" w:hAnsi="宋体" w:cs="宋体"/>
          <w:b/>
          <w:bCs/>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numPr>
          <w:ilvl w:val="2"/>
          <w:numId w:val="3"/>
        </w:numPr>
        <w:kinsoku/>
        <w:overflowPunct/>
        <w:topLinePunct w:val="0"/>
        <w:bidi w:val="0"/>
        <w:snapToGrid w:val="0"/>
        <w:spacing w:line="312"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▲投标人应仔细阅读招标文件的所有内容，按照招标文件的要求提交投标文件，并对所提供的全部资料的真实性承担法律责任。</w:t>
      </w:r>
    </w:p>
    <w:p>
      <w:pPr>
        <w:keepNext w:val="0"/>
        <w:keepLines w:val="0"/>
        <w:pageBreakBefore w:val="0"/>
        <w:numPr>
          <w:ilvl w:val="2"/>
          <w:numId w:val="3"/>
        </w:numPr>
        <w:kinsoku/>
        <w:overflowPunct/>
        <w:topLinePunct w:val="0"/>
        <w:bidi w:val="0"/>
        <w:snapToGrid w:val="0"/>
        <w:spacing w:line="312" w:lineRule="auto"/>
        <w:ind w:firstLine="420" w:firstLineChars="200"/>
        <w:textAlignment w:val="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napToGrid w:val="0"/>
        <w:spacing w:before="48" w:beforeLines="20" w:after="48" w:afterLines="20"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三、招标文件说明</w:t>
      </w:r>
      <w:bookmarkEnd w:id="56"/>
      <w:bookmarkEnd w:id="57"/>
      <w:bookmarkEnd w:id="58"/>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招标文件的组成</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招标公告；</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投标须知前附表及投标须知；</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采购内容及要求；</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合同文本；</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应提交的有关格式范例；</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评标办法及开标程序。</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招标文件的澄清及修改</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采购人可对已发出的招标文件进行必要的澄清或修改，如澄清或修改的内容可能影响投标文件编制的，采购人应当在投标截止时间至少15日前，在采购公告原发布媒体上发布更正公告，更正内容作为招标文件的组成部分；不足15日的，采购人将顺延提交投标文件的截止时间。如澄清或修改的内容不影响投标文件编制的，采购人将不延长提交投标文件的截止时间。</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59" w:name="_Toc31995"/>
      <w:r>
        <w:rPr>
          <w:rFonts w:hint="eastAsia" w:ascii="宋体" w:hAnsi="宋体" w:eastAsia="宋体" w:cs="宋体"/>
          <w:szCs w:val="21"/>
          <w:highlight w:val="none"/>
        </w:rPr>
        <w:t>四、投标文件的编制</w:t>
      </w:r>
      <w:bookmarkEnd w:id="54"/>
      <w:bookmarkEnd w:id="55"/>
      <w:bookmarkEnd w:id="59"/>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总体要求</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供应商应仔细阅读招标文件的所有内容，按本文件的要求提供投标文件，并保证所提供的全部资料的真实性，以使其投标文件对招标文件作出实质性响应，否则，投标文件可能视为无效投标文件。</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投标文件及供应商与采购有关的来往通知，函件和文件均应使用中文。</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供应商应按本文件中提供的文件格式、内容和要求制作投标文件。</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投标文件的组成及份数</w:t>
      </w:r>
    </w:p>
    <w:p>
      <w:pPr>
        <w:tabs>
          <w:tab w:val="left" w:pos="0"/>
          <w:tab w:val="left" w:pos="900"/>
          <w:tab w:val="left" w:pos="7020"/>
          <w:tab w:val="left" w:pos="8460"/>
        </w:tabs>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▲投标文件应分为【资格文件】、【商务技术文件】和【报价文件】。</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【资格文件】</w:t>
      </w:r>
    </w:p>
    <w:p>
      <w:pPr>
        <w:snapToGrid w:val="0"/>
        <w:spacing w:line="312" w:lineRule="auto"/>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（1）具有参与政府采购活动一般资格条件的声明函</w:t>
      </w:r>
      <w:r>
        <w:rPr>
          <w:rFonts w:hint="eastAsia" w:ascii="宋体" w:hAnsi="宋体" w:cs="宋体"/>
          <w:szCs w:val="21"/>
          <w:highlight w:val="none"/>
          <w:lang w:eastAsia="zh-CN"/>
        </w:rPr>
        <w:t>；</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2</w:t>
      </w:r>
      <w:r>
        <w:rPr>
          <w:rFonts w:hint="eastAsia" w:ascii="宋体" w:hAnsi="宋体" w:eastAsia="宋体" w:cs="宋体"/>
          <w:szCs w:val="21"/>
          <w:highlight w:val="none"/>
        </w:rPr>
        <w:t xml:space="preserve">）有效的投标人《企业法人营业执照》； </w:t>
      </w:r>
    </w:p>
    <w:p>
      <w:pPr>
        <w:snapToGrid w:val="0"/>
        <w:spacing w:line="312" w:lineRule="auto"/>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w:t>
      </w:r>
      <w:r>
        <w:rPr>
          <w:rFonts w:hint="eastAsia" w:ascii="宋体" w:hAnsi="宋体" w:eastAsia="宋体" w:cs="宋体"/>
          <w:szCs w:val="21"/>
          <w:highlight w:val="none"/>
          <w:lang w:eastAsia="zh-CN"/>
        </w:rPr>
        <w:t>联合协议（如果有)；</w:t>
      </w:r>
    </w:p>
    <w:p>
      <w:pPr>
        <w:snapToGrid w:val="0"/>
        <w:spacing w:line="312" w:lineRule="auto"/>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lang w:eastAsia="zh-CN"/>
        </w:rPr>
        <w:t>）</w:t>
      </w:r>
      <w:r>
        <w:rPr>
          <w:rFonts w:hint="eastAsia" w:ascii="宋体" w:hAnsi="宋体" w:eastAsia="宋体" w:cs="宋体"/>
          <w:szCs w:val="21"/>
          <w:highlight w:val="none"/>
        </w:rPr>
        <w:t>分包意向协议（如果有)；</w:t>
      </w:r>
    </w:p>
    <w:p>
      <w:pPr>
        <w:snapToGrid w:val="0"/>
        <w:spacing w:line="312" w:lineRule="auto"/>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eastAsia="zh-CN"/>
        </w:rPr>
        <w:t>落实政府采购政策需满足的资格要求</w:t>
      </w:r>
      <w:r>
        <w:rPr>
          <w:rFonts w:hint="eastAsia" w:ascii="宋体" w:hAnsi="宋体" w:cs="宋体"/>
          <w:szCs w:val="21"/>
          <w:highlight w:val="none"/>
          <w:lang w:eastAsia="zh-CN"/>
        </w:rPr>
        <w:t>：</w:t>
      </w:r>
    </w:p>
    <w:p>
      <w:pPr>
        <w:snapToGrid w:val="0"/>
        <w:spacing w:line="312" w:lineRule="auto"/>
        <w:ind w:firstLine="840" w:firstLineChars="400"/>
        <w:rPr>
          <w:rFonts w:hint="eastAsia" w:ascii="宋体" w:hAnsi="宋体" w:eastAsia="宋体" w:cs="宋体"/>
          <w:szCs w:val="21"/>
          <w:highlight w:val="none"/>
        </w:rPr>
      </w:pPr>
      <w:r>
        <w:rPr>
          <w:rFonts w:hint="eastAsia" w:ascii="Calibri" w:hAnsi="Calibri" w:cs="Calibri"/>
          <w:szCs w:val="21"/>
          <w:highlight w:val="none"/>
          <w:lang w:val="en-US" w:eastAsia="zh-CN"/>
        </w:rPr>
        <w:t>1）</w:t>
      </w:r>
      <w:r>
        <w:rPr>
          <w:rFonts w:hint="eastAsia" w:ascii="宋体" w:hAnsi="宋体" w:eastAsia="宋体" w:cs="宋体"/>
          <w:szCs w:val="21"/>
          <w:highlight w:val="none"/>
        </w:rPr>
        <w:t>《中小企业声明函》；</w:t>
      </w:r>
    </w:p>
    <w:p>
      <w:pPr>
        <w:snapToGrid w:val="0"/>
        <w:spacing w:line="312" w:lineRule="auto"/>
        <w:ind w:firstLine="840" w:firstLineChars="400"/>
        <w:rPr>
          <w:rFonts w:hint="eastAsia" w:ascii="宋体" w:hAnsi="宋体" w:eastAsia="宋体" w:cs="宋体"/>
          <w:szCs w:val="21"/>
          <w:highlight w:val="none"/>
          <w:lang w:eastAsia="zh-CN"/>
        </w:rPr>
      </w:pPr>
      <w:r>
        <w:rPr>
          <w:rFonts w:hint="eastAsia" w:ascii="Calibri" w:hAnsi="Calibri" w:cs="Calibri"/>
          <w:szCs w:val="21"/>
          <w:highlight w:val="none"/>
          <w:lang w:val="en-US" w:eastAsia="zh-CN"/>
        </w:rPr>
        <w:t>2）</w:t>
      </w:r>
      <w:r>
        <w:rPr>
          <w:rFonts w:hint="eastAsia" w:ascii="宋体" w:hAnsi="宋体" w:eastAsia="宋体" w:cs="宋体"/>
          <w:szCs w:val="21"/>
          <w:highlight w:val="none"/>
        </w:rPr>
        <w:t>监狱和戒毒企业应提供由省级以上监狱管理局、戒毒管理局（含新疆生产建设兵团）出具的属于监狱企业的证明文件；</w:t>
      </w:r>
      <w:r>
        <w:rPr>
          <w:rFonts w:hint="eastAsia" w:ascii="宋体" w:hAnsi="宋体" w:cs="宋体"/>
          <w:szCs w:val="21"/>
          <w:highlight w:val="none"/>
          <w:lang w:eastAsia="zh-CN"/>
        </w:rPr>
        <w:t>（</w:t>
      </w:r>
      <w:r>
        <w:rPr>
          <w:rFonts w:hint="eastAsia" w:ascii="宋体" w:hAnsi="宋体" w:eastAsia="宋体" w:cs="宋体"/>
          <w:szCs w:val="21"/>
          <w:highlight w:val="none"/>
        </w:rPr>
        <w:t>监狱和戒毒企业提供</w:t>
      </w:r>
      <w:r>
        <w:rPr>
          <w:rFonts w:hint="eastAsia" w:ascii="宋体" w:hAnsi="宋体" w:cs="宋体"/>
          <w:szCs w:val="21"/>
          <w:highlight w:val="none"/>
          <w:lang w:eastAsia="zh-CN"/>
        </w:rPr>
        <w:t>）</w:t>
      </w:r>
    </w:p>
    <w:p>
      <w:pPr>
        <w:snapToGrid w:val="0"/>
        <w:spacing w:line="312" w:lineRule="auto"/>
        <w:ind w:firstLine="840" w:firstLineChars="400"/>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lang w:val="en-GB"/>
        </w:rPr>
        <w:t>《产品适用</w:t>
      </w:r>
      <w:r>
        <w:rPr>
          <w:rFonts w:hint="eastAsia" w:ascii="宋体" w:hAnsi="宋体" w:eastAsia="宋体" w:cs="宋体"/>
          <w:szCs w:val="21"/>
          <w:highlight w:val="none"/>
        </w:rPr>
        <w:t>监狱和戒毒企业</w:t>
      </w:r>
      <w:r>
        <w:rPr>
          <w:rFonts w:hint="eastAsia" w:ascii="宋体" w:hAnsi="宋体" w:eastAsia="宋体" w:cs="宋体"/>
          <w:szCs w:val="21"/>
          <w:highlight w:val="none"/>
          <w:lang w:val="en-GB"/>
        </w:rPr>
        <w:t>政策情况表》；</w:t>
      </w:r>
      <w:r>
        <w:rPr>
          <w:rFonts w:hint="eastAsia" w:ascii="宋体" w:hAnsi="宋体" w:eastAsia="宋体" w:cs="宋体"/>
          <w:szCs w:val="21"/>
          <w:highlight w:val="none"/>
          <w:lang w:eastAsia="zh-CN"/>
        </w:rPr>
        <w:t>（</w:t>
      </w:r>
      <w:r>
        <w:rPr>
          <w:rFonts w:hint="eastAsia" w:ascii="宋体" w:hAnsi="宋体" w:eastAsia="宋体" w:cs="宋体"/>
          <w:szCs w:val="21"/>
          <w:highlight w:val="none"/>
        </w:rPr>
        <w:t>监狱和戒毒企业提供</w:t>
      </w:r>
      <w:r>
        <w:rPr>
          <w:rFonts w:hint="eastAsia" w:ascii="宋体" w:hAnsi="宋体" w:eastAsia="宋体" w:cs="宋体"/>
          <w:szCs w:val="21"/>
          <w:highlight w:val="none"/>
          <w:lang w:eastAsia="zh-CN"/>
        </w:rPr>
        <w:t>）</w:t>
      </w:r>
    </w:p>
    <w:p>
      <w:pPr>
        <w:snapToGrid w:val="0"/>
        <w:spacing w:line="312" w:lineRule="auto"/>
        <w:ind w:firstLine="840" w:firstLineChars="40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残疾人福利性单位应提供残疾人福利性单位声明函；</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残疾人福利单位提供</w:t>
      </w:r>
      <w:r>
        <w:rPr>
          <w:rFonts w:hint="eastAsia" w:ascii="宋体" w:hAnsi="宋体" w:eastAsia="宋体" w:cs="宋体"/>
          <w:szCs w:val="21"/>
          <w:highlight w:val="none"/>
          <w:lang w:eastAsia="zh-CN"/>
        </w:rPr>
        <w:t>）</w:t>
      </w:r>
    </w:p>
    <w:p>
      <w:pPr>
        <w:snapToGrid w:val="0"/>
        <w:spacing w:line="312" w:lineRule="auto"/>
        <w:ind w:firstLine="840" w:firstLineChars="40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en-GB" w:eastAsia="zh-CN"/>
        </w:rPr>
        <w:t>）</w:t>
      </w:r>
      <w:r>
        <w:rPr>
          <w:rFonts w:hint="eastAsia" w:ascii="宋体" w:hAnsi="宋体" w:eastAsia="宋体" w:cs="宋体"/>
          <w:szCs w:val="21"/>
          <w:highlight w:val="none"/>
          <w:lang w:val="en-GB"/>
        </w:rPr>
        <w:t>《产品适用</w:t>
      </w:r>
      <w:r>
        <w:rPr>
          <w:rFonts w:hint="eastAsia" w:ascii="宋体" w:hAnsi="宋体" w:eastAsia="宋体" w:cs="宋体"/>
          <w:szCs w:val="21"/>
          <w:highlight w:val="none"/>
        </w:rPr>
        <w:t>残疾人福利性单位</w:t>
      </w:r>
      <w:r>
        <w:rPr>
          <w:rFonts w:hint="eastAsia" w:ascii="宋体" w:hAnsi="宋体" w:eastAsia="宋体" w:cs="宋体"/>
          <w:szCs w:val="21"/>
          <w:highlight w:val="none"/>
          <w:lang w:val="en-GB"/>
        </w:rPr>
        <w:t>政策情况表》；</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残疾人福利单位提供</w:t>
      </w:r>
      <w:r>
        <w:rPr>
          <w:rFonts w:hint="eastAsia" w:ascii="宋体" w:hAnsi="宋体" w:eastAsia="宋体" w:cs="宋体"/>
          <w:szCs w:val="21"/>
          <w:highlight w:val="none"/>
          <w:lang w:eastAsia="zh-CN"/>
        </w:rPr>
        <w:t>）</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【商务技术文件】</w:t>
      </w:r>
    </w:p>
    <w:p>
      <w:pPr>
        <w:snapToGrid w:val="0"/>
        <w:spacing w:line="312" w:lineRule="auto"/>
        <w:ind w:firstLine="420" w:firstLineChars="200"/>
        <w:rPr>
          <w:rFonts w:hint="eastAsia" w:ascii="宋体" w:hAnsi="宋体" w:eastAsia="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lang w:val="en-US" w:eastAsia="zh-CN"/>
        </w:rPr>
        <w:t>1</w:t>
      </w:r>
      <w:r>
        <w:rPr>
          <w:rFonts w:hint="eastAsia" w:ascii="宋体" w:hAnsi="宋体" w:cs="宋体"/>
          <w:szCs w:val="21"/>
          <w:highlight w:val="none"/>
          <w:lang w:val="zh-CN"/>
        </w:rPr>
        <w:t>）</w:t>
      </w:r>
      <w:r>
        <w:rPr>
          <w:rFonts w:hint="eastAsia" w:ascii="宋体" w:hAnsi="宋体" w:eastAsia="宋体" w:cs="宋体"/>
          <w:szCs w:val="21"/>
          <w:highlight w:val="none"/>
          <w:lang w:val="zh-CN"/>
        </w:rPr>
        <w:t>自评分表（由投标人自行编制）；</w:t>
      </w:r>
    </w:p>
    <w:p>
      <w:pPr>
        <w:snapToGrid w:val="0"/>
        <w:spacing w:line="312" w:lineRule="auto"/>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lang w:val="zh-CN"/>
        </w:rPr>
        <w:t>（</w:t>
      </w:r>
      <w:r>
        <w:rPr>
          <w:rFonts w:hint="eastAsia" w:ascii="宋体" w:hAnsi="宋体" w:cs="宋体"/>
          <w:szCs w:val="21"/>
          <w:highlight w:val="none"/>
          <w:lang w:val="en-US" w:eastAsia="zh-CN"/>
        </w:rPr>
        <w:t>2</w:t>
      </w:r>
      <w:r>
        <w:rPr>
          <w:rFonts w:hint="eastAsia" w:ascii="宋体" w:hAnsi="宋体" w:cs="宋体"/>
          <w:szCs w:val="21"/>
          <w:highlight w:val="none"/>
          <w:lang w:val="zh-CN"/>
        </w:rPr>
        <w:t>）</w:t>
      </w:r>
      <w:r>
        <w:rPr>
          <w:rFonts w:hint="eastAsia" w:ascii="宋体" w:hAnsi="宋体" w:cs="宋体"/>
          <w:szCs w:val="21"/>
          <w:highlight w:val="none"/>
          <w:lang w:val="en-US" w:eastAsia="zh-CN"/>
        </w:rPr>
        <w:t>投标函；</w:t>
      </w:r>
    </w:p>
    <w:p>
      <w:pPr>
        <w:pStyle w:val="42"/>
        <w:numPr>
          <w:ilvl w:val="0"/>
          <w:numId w:val="0"/>
        </w:numPr>
        <w:spacing w:line="336" w:lineRule="auto"/>
        <w:ind w:leftChars="0"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法定代表人授权书 </w:t>
      </w:r>
      <w:r>
        <w:rPr>
          <w:rFonts w:hint="eastAsia" w:ascii="宋体" w:hAnsi="宋体" w:eastAsia="宋体" w:cs="宋体"/>
          <w:color w:val="auto"/>
          <w:sz w:val="21"/>
          <w:szCs w:val="21"/>
          <w:highlight w:val="none"/>
          <w:lang w:eastAsia="zh-CN"/>
        </w:rPr>
        <w:t>；</w:t>
      </w:r>
    </w:p>
    <w:p>
      <w:pPr>
        <w:pStyle w:val="42"/>
        <w:numPr>
          <w:ilvl w:val="0"/>
          <w:numId w:val="0"/>
        </w:numPr>
        <w:spacing w:line="336" w:lineRule="auto"/>
        <w:ind w:leftChars="0"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法定代表人及其授权代表身份证复印件（复印件）</w:t>
      </w:r>
      <w:r>
        <w:rPr>
          <w:rFonts w:hint="eastAsia" w:ascii="宋体" w:hAnsi="宋体" w:eastAsia="宋体" w:cs="宋体"/>
          <w:color w:val="auto"/>
          <w:sz w:val="21"/>
          <w:szCs w:val="21"/>
          <w:highlight w:val="none"/>
          <w:lang w:eastAsia="zh-CN"/>
        </w:rPr>
        <w:t>；</w:t>
      </w:r>
    </w:p>
    <w:p>
      <w:pPr>
        <w:pStyle w:val="42"/>
        <w:numPr>
          <w:ilvl w:val="0"/>
          <w:numId w:val="0"/>
        </w:numPr>
        <w:spacing w:line="336" w:lineRule="auto"/>
        <w:ind w:leftChars="0"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法定代表人身份证明书</w:t>
      </w:r>
      <w:r>
        <w:rPr>
          <w:rFonts w:hint="eastAsia" w:ascii="宋体" w:hAnsi="宋体" w:eastAsia="宋体" w:cs="宋体"/>
          <w:color w:val="auto"/>
          <w:sz w:val="21"/>
          <w:szCs w:val="21"/>
          <w:highlight w:val="none"/>
          <w:lang w:eastAsia="zh-CN"/>
        </w:rPr>
        <w:t>；</w:t>
      </w:r>
    </w:p>
    <w:p>
      <w:pPr>
        <w:pStyle w:val="42"/>
        <w:numPr>
          <w:ilvl w:val="0"/>
          <w:numId w:val="0"/>
        </w:numPr>
        <w:spacing w:line="336" w:lineRule="auto"/>
        <w:ind w:leftChars="0"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符合性审查资料</w:t>
      </w:r>
      <w:r>
        <w:rPr>
          <w:rFonts w:hint="eastAsia" w:ascii="宋体" w:hAnsi="宋体" w:eastAsia="宋体" w:cs="宋体"/>
          <w:color w:val="auto"/>
          <w:sz w:val="21"/>
          <w:szCs w:val="21"/>
          <w:highlight w:val="none"/>
          <w:lang w:eastAsia="zh-CN"/>
        </w:rPr>
        <w:t>；</w:t>
      </w:r>
    </w:p>
    <w:p>
      <w:pPr>
        <w:snapToGrid w:val="0"/>
        <w:spacing w:line="312" w:lineRule="auto"/>
        <w:ind w:firstLine="420" w:firstLineChars="200"/>
        <w:rPr>
          <w:rFonts w:hint="eastAsia" w:ascii="宋体" w:hAnsi="宋体" w:cs="宋体"/>
          <w:szCs w:val="21"/>
          <w:highlight w:val="none"/>
          <w:lang w:val="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商务技术</w:t>
      </w:r>
      <w:r>
        <w:rPr>
          <w:rFonts w:hint="eastAsia" w:ascii="宋体" w:hAnsi="宋体" w:eastAsia="宋体" w:cs="宋体"/>
          <w:color w:val="auto"/>
          <w:sz w:val="21"/>
          <w:szCs w:val="21"/>
          <w:highlight w:val="none"/>
          <w:lang w:eastAsia="zh-CN"/>
        </w:rPr>
        <w:t>偏离表</w:t>
      </w:r>
      <w:r>
        <w:rPr>
          <w:rFonts w:hint="eastAsia" w:ascii="宋体" w:hAnsi="宋体" w:cs="宋体"/>
          <w:color w:val="auto"/>
          <w:sz w:val="21"/>
          <w:szCs w:val="21"/>
          <w:highlight w:val="none"/>
          <w:lang w:eastAsia="zh-CN"/>
        </w:rPr>
        <w:t>；</w:t>
      </w:r>
    </w:p>
    <w:p>
      <w:pPr>
        <w:snapToGrid w:val="0"/>
        <w:spacing w:line="312" w:lineRule="auto"/>
        <w:ind w:firstLine="420" w:firstLineChars="200"/>
        <w:rPr>
          <w:rFonts w:hint="eastAsia" w:ascii="宋体" w:hAnsi="宋体" w:eastAsia="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lang w:val="en-US" w:eastAsia="zh-CN"/>
        </w:rPr>
        <w:t>8</w:t>
      </w:r>
      <w:r>
        <w:rPr>
          <w:rFonts w:hint="eastAsia" w:ascii="宋体" w:hAnsi="宋体" w:cs="宋体"/>
          <w:szCs w:val="21"/>
          <w:highlight w:val="none"/>
          <w:lang w:val="zh-CN"/>
        </w:rPr>
        <w:t>）</w:t>
      </w:r>
      <w:r>
        <w:rPr>
          <w:rFonts w:hint="eastAsia" w:ascii="宋体" w:hAnsi="宋体" w:eastAsia="宋体" w:cs="宋体"/>
          <w:szCs w:val="21"/>
          <w:highlight w:val="none"/>
          <w:lang w:val="zh-CN"/>
        </w:rPr>
        <w:t>技术支持及服务承诺书；</w:t>
      </w:r>
    </w:p>
    <w:p>
      <w:pPr>
        <w:snapToGrid w:val="0"/>
        <w:spacing w:line="312" w:lineRule="auto"/>
        <w:ind w:firstLine="420" w:firstLineChars="200"/>
        <w:rPr>
          <w:rFonts w:hint="eastAsia" w:ascii="宋体" w:hAnsi="宋体" w:eastAsia="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lang w:val="en-US" w:eastAsia="zh-CN"/>
        </w:rPr>
        <w:t>9</w:t>
      </w:r>
      <w:r>
        <w:rPr>
          <w:rFonts w:hint="eastAsia" w:ascii="宋体" w:hAnsi="宋体" w:cs="宋体"/>
          <w:szCs w:val="21"/>
          <w:highlight w:val="none"/>
          <w:lang w:val="zh-CN"/>
        </w:rPr>
        <w:t>）</w:t>
      </w:r>
      <w:r>
        <w:rPr>
          <w:rFonts w:hint="eastAsia" w:ascii="宋体" w:hAnsi="宋体" w:eastAsia="宋体" w:cs="宋体"/>
          <w:szCs w:val="21"/>
          <w:highlight w:val="none"/>
          <w:lang w:val="zh-CN"/>
        </w:rPr>
        <w:t>投标人的类似成功案例的业绩证明文件；</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10</w:t>
      </w:r>
      <w:r>
        <w:rPr>
          <w:rFonts w:hint="eastAsia" w:ascii="宋体" w:hAnsi="宋体" w:cs="宋体"/>
          <w:szCs w:val="21"/>
          <w:highlight w:val="none"/>
          <w:lang w:eastAsia="zh-CN"/>
        </w:rPr>
        <w:t>）</w:t>
      </w:r>
      <w:r>
        <w:rPr>
          <w:rFonts w:hint="eastAsia" w:ascii="宋体" w:hAnsi="宋体" w:eastAsia="宋体" w:cs="宋体"/>
          <w:szCs w:val="21"/>
          <w:highlight w:val="none"/>
        </w:rPr>
        <w:t>供应商</w:t>
      </w:r>
      <w:r>
        <w:rPr>
          <w:rFonts w:hint="eastAsia" w:ascii="宋体" w:hAnsi="宋体" w:eastAsia="宋体" w:cs="宋体"/>
          <w:szCs w:val="21"/>
          <w:highlight w:val="none"/>
          <w:lang w:val="en-US" w:eastAsia="zh-CN"/>
        </w:rPr>
        <w:t>根据评分标准</w:t>
      </w:r>
      <w:r>
        <w:rPr>
          <w:rFonts w:hint="eastAsia" w:ascii="宋体" w:hAnsi="宋体" w:eastAsia="宋体" w:cs="宋体"/>
          <w:szCs w:val="21"/>
          <w:highlight w:val="none"/>
        </w:rPr>
        <w:t>认为需要的其他</w:t>
      </w:r>
      <w:r>
        <w:rPr>
          <w:rFonts w:hint="eastAsia" w:ascii="宋体" w:hAnsi="宋体" w:eastAsia="宋体" w:cs="宋体"/>
          <w:szCs w:val="21"/>
          <w:highlight w:val="none"/>
          <w:lang w:eastAsia="zh-CN"/>
        </w:rPr>
        <w:t>技术商务</w:t>
      </w:r>
      <w:r>
        <w:rPr>
          <w:rFonts w:hint="eastAsia" w:ascii="宋体" w:hAnsi="宋体" w:eastAsia="宋体" w:cs="宋体"/>
          <w:szCs w:val="21"/>
          <w:highlight w:val="none"/>
        </w:rPr>
        <w:t>资料。</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【报价文件】</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1</w:t>
      </w:r>
      <w:r>
        <w:rPr>
          <w:rFonts w:hint="eastAsia" w:ascii="宋体" w:hAnsi="宋体" w:eastAsia="宋体" w:cs="宋体"/>
          <w:szCs w:val="21"/>
          <w:highlight w:val="none"/>
        </w:rPr>
        <w:t>）开标一览表（格式见第五章）；</w:t>
      </w:r>
    </w:p>
    <w:p>
      <w:pPr>
        <w:snapToGrid w:val="0"/>
        <w:spacing w:line="312" w:lineRule="auto"/>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eastAsia="zh-CN"/>
        </w:rPr>
        <w:t>）</w:t>
      </w:r>
      <w:r>
        <w:rPr>
          <w:rFonts w:hint="eastAsia" w:ascii="宋体" w:hAnsi="宋体" w:eastAsia="宋体" w:cs="宋体"/>
          <w:szCs w:val="21"/>
          <w:highlight w:val="none"/>
        </w:rPr>
        <w:t>投标产品报价明细表（格式见第五章）</w:t>
      </w:r>
      <w:r>
        <w:rPr>
          <w:rFonts w:hint="eastAsia" w:ascii="宋体" w:hAnsi="宋体" w:eastAsia="宋体" w:cs="宋体"/>
          <w:szCs w:val="21"/>
          <w:highlight w:val="none"/>
          <w:lang w:eastAsia="zh-CN"/>
        </w:rPr>
        <w:t>；</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（3）投标人认为需要提供的其他商务资料。</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投标文件内容填写说明 </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应在认真阅读招标文件所有内容的基础上，按照招标文件的要求编制完整的投标文件。投标文件应按照招标文件中规定的统一格式填写，严格按照规定的顺序编制目录，混乱的编排导致投标文件被误读或采购人查找不到有效文件是供应商的风险。招标文件对投标文件格式有要求的应按格式逐项填写内容，不准有空项；无相应内容可填的项应填写“无”、“未测试”、“没有相应指标”等明确的回答文字。</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供应商必须保证投标文件所提供的全部资料真实可靠，并接受采购人对其中任何资料进一步审查的要求。</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《开标一览表》为</w:t>
      </w:r>
      <w:r>
        <w:rPr>
          <w:rFonts w:hint="eastAsia" w:ascii="宋体" w:hAnsi="宋体" w:eastAsia="宋体" w:cs="宋体"/>
          <w:spacing w:val="-6"/>
          <w:szCs w:val="21"/>
          <w:highlight w:val="none"/>
        </w:rPr>
        <w:t>在开标仪式上唱标的内容，要求按格式填写、统一规范，不得自行增减内容。</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投标文件须对招标文件中的内容做出实质性的和完整的响应，否则其投标将被拒绝。如果投标</w:t>
      </w:r>
      <w:r>
        <w:rPr>
          <w:rFonts w:hint="eastAsia" w:ascii="宋体" w:hAnsi="宋体" w:eastAsia="宋体" w:cs="宋体"/>
          <w:spacing w:val="-6"/>
          <w:szCs w:val="21"/>
          <w:highlight w:val="none"/>
        </w:rPr>
        <w:t>文件填报的内容资料不详，或没有提供招标文件中所要求的全部资料及数据，将会导致投标被拒绝。</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采购人可以拒绝其投标文件。</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w:t>
      </w:r>
      <w:r>
        <w:rPr>
          <w:rFonts w:hint="eastAsia" w:ascii="宋体" w:hAnsi="宋体" w:eastAsia="宋体" w:cs="宋体"/>
          <w:spacing w:val="-6"/>
          <w:szCs w:val="21"/>
          <w:highlight w:val="none"/>
        </w:rPr>
        <w:t>标文件不得涂改和增删，如有错漏必须修改，修改处须由法定代表人或授权委托人签字或盖章。</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由于字迹模糊或表达不清引起的后果由投标人负责。</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技术偏离表：所投产品如与采购产品在型号、规格、技术参数、性能、工艺、材料、质量等方面有偏离或对产品配置有好的建议，应填写《技术偏离表》，否则认为响应招标文件要求。</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投标报价</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投标报价应按招标文件中相关附表格式填写。</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highlight w:val="none"/>
        </w:rPr>
        <w:t>本项目投标</w:t>
      </w:r>
      <w:r>
        <w:rPr>
          <w:rFonts w:hint="eastAsia"/>
          <w:color w:val="000000" w:themeColor="text1"/>
          <w:highlight w:val="none"/>
          <w14:textFill>
            <w14:solidFill>
              <w14:schemeClr w14:val="tx1"/>
            </w14:solidFill>
          </w14:textFill>
        </w:rPr>
        <w:t>报价中必须包含服务期间所有的费用、全额含税发票、雇员费用、合同实施过程中的应预见和不可预见费用等。</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投标人所报的</w:t>
      </w:r>
      <w:r>
        <w:rPr>
          <w:rFonts w:hint="eastAsia" w:ascii="宋体" w:hAnsi="宋体" w:cs="宋体"/>
          <w:szCs w:val="21"/>
          <w:highlight w:val="none"/>
          <w:lang w:val="en-US" w:eastAsia="zh-CN"/>
        </w:rPr>
        <w:t>报价</w:t>
      </w:r>
      <w:r>
        <w:rPr>
          <w:rFonts w:hint="eastAsia" w:ascii="宋体" w:hAnsi="宋体" w:eastAsia="宋体" w:cs="宋体"/>
          <w:szCs w:val="21"/>
          <w:highlight w:val="none"/>
        </w:rPr>
        <w:t>在本项目合同执行过程中是固定的，不论其他任何原因，未经招标人认可，不得以任何理由予以变更。投标人在投标报价时应充分考虑上述原则。</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投标文件只允许有一个报价，有选择的或有条件的报价将不予接受。</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投标有效期</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▲投标文件从投标文件递交截止之日起，有效期为90天；</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特殊情况下，在原投标文件有效期截止之前，采购人可要求投标人同意延长投标文件有效期。这种要求与答复均应以书面形式提交。供应商可拒绝采购人的这种要求。接受延长投标文件有效期的投标人将不会被要求和允许修正投标文件。</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60" w:name="_Toc21663"/>
      <w:bookmarkStart w:id="61" w:name="_Toc14685"/>
      <w:r>
        <w:rPr>
          <w:rFonts w:hint="eastAsia" w:ascii="宋体" w:hAnsi="宋体" w:eastAsia="宋体" w:cs="宋体"/>
          <w:szCs w:val="21"/>
          <w:highlight w:val="none"/>
        </w:rPr>
        <w:t>五、投标文件的签署及规定</w:t>
      </w:r>
      <w:bookmarkEnd w:id="60"/>
      <w:bookmarkEnd w:id="61"/>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《投标文件》的签章：见《前附表》。</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《投标文件》应由投标供应商法定代表人或其授权代表签字（或盖章），并时加盖投标供应商公章。</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62" w:name="_Toc5517"/>
      <w:bookmarkStart w:id="63" w:name="_Toc356371437"/>
      <w:bookmarkStart w:id="64" w:name="_Toc28256"/>
      <w:r>
        <w:rPr>
          <w:rFonts w:hint="eastAsia" w:ascii="宋体" w:hAnsi="宋体" w:eastAsia="宋体" w:cs="宋体"/>
          <w:szCs w:val="21"/>
          <w:highlight w:val="none"/>
        </w:rPr>
        <w:t>六、投标文件的递交</w:t>
      </w:r>
      <w:bookmarkEnd w:id="62"/>
      <w:bookmarkEnd w:id="63"/>
      <w:bookmarkEnd w:id="64"/>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递交投标文件截止期</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投标供应商应在投标截止时间前将“电子加密投标文件”成功上传递交至“政府采购云平台”，否则投标无效。</w:t>
      </w:r>
    </w:p>
    <w:p>
      <w:pPr>
        <w:numPr>
          <w:ilvl w:val="2"/>
          <w:numId w:val="3"/>
        </w:numPr>
        <w:snapToGrid w:val="0"/>
        <w:spacing w:line="312" w:lineRule="auto"/>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rPr>
        <w:t>“电子加密投标文件”成功上传递交后，供应商可自行打印投标文件接收回执。</w:t>
      </w:r>
    </w:p>
    <w:p>
      <w:pPr>
        <w:numPr>
          <w:ilvl w:val="1"/>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投标文件的修改和撤销</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在递交投标文件截止时间后，供应商不得对其投标文件做任何修改。</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递交投标文件截止时间后，供应商不得撤回其投标文件。</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实质上没有响应本文件要求的投标文件将被拒绝。供应商不得通过修正或撤销不合要求的偏离或保留从而使其投标文件成为实质上响应的文件。</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65" w:name="_Toc2881"/>
      <w:bookmarkStart w:id="66" w:name="_Toc18724"/>
      <w:bookmarkStart w:id="67" w:name="_Toc356371438"/>
      <w:r>
        <w:rPr>
          <w:rFonts w:hint="eastAsia" w:ascii="宋体" w:hAnsi="宋体" w:eastAsia="宋体" w:cs="宋体"/>
          <w:szCs w:val="21"/>
          <w:highlight w:val="none"/>
        </w:rPr>
        <w:t>七、投标无效的情形</w:t>
      </w:r>
      <w:bookmarkEnd w:id="65"/>
      <w:bookmarkEnd w:id="66"/>
      <w:bookmarkEnd w:id="67"/>
    </w:p>
    <w:p>
      <w:pPr>
        <w:numPr>
          <w:ilvl w:val="1"/>
          <w:numId w:val="3"/>
        </w:numPr>
        <w:snapToGrid w:val="0"/>
        <w:spacing w:line="312" w:lineRule="auto"/>
        <w:ind w:firstLine="420" w:firstLineChars="200"/>
        <w:rPr>
          <w:rFonts w:hint="eastAsia" w:ascii="宋体" w:hAnsi="宋体" w:eastAsia="宋体" w:cs="宋体"/>
          <w:szCs w:val="21"/>
          <w:highlight w:val="none"/>
        </w:rPr>
      </w:pPr>
      <w:bookmarkStart w:id="68" w:name="_Toc356371439"/>
      <w:r>
        <w:rPr>
          <w:rFonts w:hint="eastAsia" w:ascii="宋体" w:hAnsi="宋体" w:eastAsia="宋体" w:cs="宋体"/>
          <w:szCs w:val="21"/>
          <w:highlight w:val="none"/>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不具备招标文件规定资格要求；</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投标文件未按招标文件要求签署、盖章的，未有效授权的；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招标文件中有▲处条款投标人未作实质性响应的；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资格文件或商务技术文件中包含报价的；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投标人的报价明显低于其他通过符合性审查投标人的报价，投标人不能证明其报价合理性，并在评标现场合理的时间内提供书面说明与相关证明材料的；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投标文件关键内容字迹模糊、无法辨认的；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投标文件含有采购人不能接受的附加条件的；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报价超出招标文件中规定的预算金额或者最高限价的；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提供虚假材料谋取中标的；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投标人串通投标的；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电子投标文件解密失败的，且未在规定时间内提交电子备份投标文件的；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仅提交“备份投标文件”的；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电子投标文件未按规定要求提供电子签章的；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电子备份投标文件启用后，未按规定要求提供电子签章的；</w:t>
      </w:r>
    </w:p>
    <w:p>
      <w:pPr>
        <w:numPr>
          <w:ilvl w:val="2"/>
          <w:numId w:val="3"/>
        </w:num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不符合法律、法规和招标文件规定的其他实质性要求的。</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69" w:name="_Toc8559"/>
      <w:bookmarkStart w:id="70" w:name="串通投标的情形"/>
      <w:r>
        <w:rPr>
          <w:rFonts w:hint="eastAsia" w:ascii="宋体" w:hAnsi="宋体" w:eastAsia="宋体" w:cs="宋体"/>
          <w:szCs w:val="21"/>
          <w:highlight w:val="none"/>
        </w:rPr>
        <w:t>八、串通投标的情形</w:t>
      </w:r>
      <w:bookmarkEnd w:id="69"/>
    </w:p>
    <w:bookmarkEnd w:id="70"/>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21.有下列情形之一的，视为供应商串通投标，其投标无效：</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cs="宋体"/>
          <w:szCs w:val="21"/>
          <w:highlight w:val="none"/>
          <w:lang w:val="en-US" w:eastAsia="zh-CN"/>
        </w:rPr>
        <w:t>21.1</w:t>
      </w:r>
      <w:r>
        <w:rPr>
          <w:rFonts w:hint="eastAsia" w:ascii="宋体" w:hAnsi="宋体" w:eastAsia="宋体" w:cs="宋体"/>
          <w:szCs w:val="21"/>
          <w:highlight w:val="none"/>
        </w:rPr>
        <w:t>不同投标人的投标文件由同一单位或者个人编制</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w:t>
      </w:r>
      <w:r>
        <w:rPr>
          <w:rFonts w:hint="eastAsia" w:ascii="宋体" w:hAnsi="宋体" w:cs="宋体"/>
          <w:szCs w:val="21"/>
          <w:highlight w:val="none"/>
          <w:lang w:val="en-US" w:eastAsia="zh-CN"/>
        </w:rPr>
        <w:t>2</w:t>
      </w:r>
      <w:r>
        <w:rPr>
          <w:rFonts w:hint="eastAsia" w:ascii="宋体" w:hAnsi="宋体" w:eastAsia="宋体" w:cs="宋体"/>
          <w:szCs w:val="21"/>
          <w:highlight w:val="none"/>
        </w:rPr>
        <w:t>不同投标人委托同一单位或者个人办理投标事宜；</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w:t>
      </w:r>
      <w:r>
        <w:rPr>
          <w:rFonts w:hint="eastAsia" w:ascii="宋体" w:hAnsi="宋体" w:cs="宋体"/>
          <w:szCs w:val="21"/>
          <w:highlight w:val="none"/>
          <w:lang w:val="en-US" w:eastAsia="zh-CN"/>
        </w:rPr>
        <w:t>3</w:t>
      </w:r>
      <w:r>
        <w:rPr>
          <w:rFonts w:hint="eastAsia" w:ascii="宋体" w:hAnsi="宋体" w:eastAsia="宋体" w:cs="宋体"/>
          <w:szCs w:val="21"/>
          <w:highlight w:val="none"/>
        </w:rPr>
        <w:t>不同投标人的投标文件载明的项目管理成员或者联系人员为同一人；</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w:t>
      </w:r>
      <w:r>
        <w:rPr>
          <w:rFonts w:hint="eastAsia" w:ascii="宋体" w:hAnsi="宋体" w:cs="宋体"/>
          <w:szCs w:val="21"/>
          <w:highlight w:val="none"/>
          <w:lang w:val="en-US" w:eastAsia="zh-CN"/>
        </w:rPr>
        <w:t>4</w:t>
      </w:r>
      <w:r>
        <w:rPr>
          <w:rFonts w:hint="eastAsia" w:ascii="宋体" w:hAnsi="宋体" w:eastAsia="宋体" w:cs="宋体"/>
          <w:szCs w:val="21"/>
          <w:highlight w:val="none"/>
        </w:rPr>
        <w:t>不同投标人的投标文件异常一致或者投标报价呈规律性差异；</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w:t>
      </w:r>
      <w:r>
        <w:rPr>
          <w:rFonts w:hint="eastAsia" w:ascii="宋体" w:hAnsi="宋体" w:cs="宋体"/>
          <w:szCs w:val="21"/>
          <w:highlight w:val="none"/>
          <w:lang w:val="en-US" w:eastAsia="zh-CN"/>
        </w:rPr>
        <w:t>5</w:t>
      </w:r>
      <w:r>
        <w:rPr>
          <w:rFonts w:hint="eastAsia" w:ascii="宋体" w:hAnsi="宋体" w:eastAsia="宋体" w:cs="宋体"/>
          <w:szCs w:val="21"/>
          <w:highlight w:val="none"/>
        </w:rPr>
        <w:t>不同投标人的投标文件相互混装。</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71" w:name="_Toc31946"/>
      <w:bookmarkStart w:id="72" w:name="_Toc20496"/>
      <w:bookmarkStart w:id="73" w:name="_Toc359592368"/>
      <w:r>
        <w:rPr>
          <w:rFonts w:hint="eastAsia" w:ascii="宋体" w:hAnsi="宋体" w:eastAsia="宋体" w:cs="宋体"/>
          <w:szCs w:val="21"/>
          <w:highlight w:val="none"/>
        </w:rPr>
        <w:t>九、废标的情形</w:t>
      </w:r>
      <w:bookmarkEnd w:id="71"/>
      <w:bookmarkEnd w:id="72"/>
      <w:bookmarkEnd w:id="73"/>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22.采购中，出现下列情形之一的，应予废标，废标后，采购人将废标理由通知所有投标人：</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22.1符合专业条件的投标人或对招标文件作实质性响应的投标人不足三家的；</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22.2出现影响采购公证的违法、违规行为的；</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22.3投标人的报价均超过了采购预算（最高限价），采购人不能支付的；</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22.4因重大变故，采购任务取消的。</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74" w:name="_Toc446"/>
      <w:bookmarkStart w:id="75" w:name="_Toc17839"/>
      <w:r>
        <w:rPr>
          <w:rFonts w:hint="eastAsia" w:ascii="宋体" w:hAnsi="宋体" w:eastAsia="宋体" w:cs="宋体"/>
          <w:szCs w:val="21"/>
          <w:highlight w:val="none"/>
        </w:rPr>
        <w:t>十、开标</w:t>
      </w:r>
      <w:bookmarkEnd w:id="68"/>
      <w:r>
        <w:rPr>
          <w:rFonts w:hint="eastAsia" w:ascii="宋体" w:hAnsi="宋体" w:eastAsia="宋体" w:cs="宋体"/>
          <w:szCs w:val="21"/>
          <w:highlight w:val="none"/>
        </w:rPr>
        <w:t>和评标</w:t>
      </w:r>
      <w:bookmarkEnd w:id="74"/>
      <w:bookmarkEnd w:id="75"/>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23.开标形式</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23.1采购组织机构将按照招标文件规定的时间通过“政府采购云平台”组织开标、开启投标文件，所有供应商均应当准时在线参加。</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24.开标准备</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24.1开标的准备工作由采购组织机构负责落实；</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24.2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25.开标流程（两阶段）</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25.1开标第一阶段</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（2）投标文件解密结束，通过邮件形式发送各投标人组织签署《政府采购活动现场确认声明书》；</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（3）开启投标文件，进入资格审查；</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（4）开启资格审查通过的投标供应商的商务技术文件进入符合性审查、商务技术评审；</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（5）第一阶段开标结束。</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备注：开标的第一阶段结束后，采购人或采购代理机构将对依法对投标供应商的资格进行审查，资格审查结束后进入符合性审查和商务技术的评审工作，具体见本章节“投标供应商资格审查”相关规定。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25.2开标第二阶段</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符合性审查、商务技术评审结束后，举行开标第二阶段会议。首先通过发送邮件形式公布符合性审查、商务技术评审无效供应商名称及理由；公布经商务技术评审后有效投标供应商的名单，同时公布其商务技术部分得分情况。</w:t>
      </w:r>
    </w:p>
    <w:p>
      <w:pPr>
        <w:spacing w:line="312" w:lineRule="auto"/>
        <w:ind w:firstLine="420" w:firstLineChars="200"/>
        <w:jc w:val="left"/>
        <w:rPr>
          <w:rFonts w:hint="eastAsia" w:ascii="宋体" w:hAnsi="宋体" w:eastAsia="宋体" w:cs="宋体"/>
          <w:spacing w:val="-6"/>
          <w:kern w:val="0"/>
          <w:szCs w:val="21"/>
          <w:highlight w:val="none"/>
        </w:rPr>
      </w:pPr>
      <w:r>
        <w:rPr>
          <w:rFonts w:hint="eastAsia" w:ascii="宋体" w:hAnsi="宋体" w:eastAsia="宋体" w:cs="宋体"/>
          <w:kern w:val="0"/>
          <w:szCs w:val="21"/>
          <w:highlight w:val="none"/>
        </w:rPr>
        <w:t>（2）开启符合性审查、商务技术评审有效投标供应商的《报价文件》，通过发送邮件形式公布开标一览表有关内容，同时当场制作开标记录表，供应商通过发送邮件形式签字确认（不予确认的应</w:t>
      </w:r>
      <w:r>
        <w:rPr>
          <w:rFonts w:hint="eastAsia" w:ascii="宋体" w:hAnsi="宋体" w:eastAsia="宋体" w:cs="宋体"/>
          <w:spacing w:val="-6"/>
          <w:kern w:val="0"/>
          <w:szCs w:val="21"/>
          <w:highlight w:val="none"/>
        </w:rPr>
        <w:t>说明理由，否则视为无异议）。唱标结束后，由评标委员会对报价的合理性、准确性等进行审查核实。</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（3）评审结束后，通过发送邮件形式公布中标（成交）候选供应商名单，及采购人最终确定中标或成交供应商名单的时间和公告方式等。</w:t>
      </w:r>
    </w:p>
    <w:p>
      <w:pPr>
        <w:spacing w:line="312"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特别说明：如遇“政府采购云平台”电子化开标或评审程序调整的，按调整后程序执行。</w:t>
      </w:r>
    </w:p>
    <w:p>
      <w:pPr>
        <w:snapToGrid w:val="0"/>
        <w:spacing w:line="312" w:lineRule="auto"/>
        <w:ind w:left="420" w:leftChars="200"/>
        <w:rPr>
          <w:rFonts w:hint="eastAsia" w:ascii="宋体" w:hAnsi="宋体" w:eastAsia="宋体" w:cs="宋体"/>
          <w:szCs w:val="21"/>
          <w:highlight w:val="none"/>
        </w:rPr>
      </w:pPr>
      <w:bookmarkStart w:id="76" w:name="_Toc24550037"/>
      <w:bookmarkStart w:id="77" w:name="_Toc33194393"/>
      <w:r>
        <w:rPr>
          <w:rFonts w:hint="eastAsia" w:ascii="宋体" w:hAnsi="宋体" w:eastAsia="宋体" w:cs="宋体"/>
          <w:szCs w:val="21"/>
          <w:highlight w:val="none"/>
        </w:rPr>
        <w:t>26.投标供应商资格审查</w:t>
      </w:r>
      <w:bookmarkEnd w:id="76"/>
      <w:bookmarkEnd w:id="77"/>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26.1开标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26.2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26.3单位负责人为同一人或者存在直接控股、管理关系的不同供应商参加同一合同项下的政府采购活动的，相关投标供应商均作资格无效处理。</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27.评标委员会</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27.1采购代理机构和采购人将根据招标采购货物的特点组建评标委员会，其成员由技术、经济等方面的专家和采购人代表组成。评标委员会对投标文件进行审查、询标、评议和推荐中标候选人。</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27.2在评标期间，若有需要投标人应派代表参加询标。</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28.对投标文件的审查和响应性的确定</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28.1评标委员会将审查投标文件是否真实、完整，总体编排是否有序，文件签署是否正确，有无计算上的错误等。</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29.算术错误将按以下方法更正</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29.1开标时，投标文件中开标一览表（报价表）内容与投标文件中明细表内容不一致的，以开标一览表（报价表）为准；</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29.2投标文件的大写金额和小写金额不一致的，以大写金额为准；</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29.3单价金额小数点或百分比有明显错位的，以开标一览表的总价为准，并修改单价；</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29.4总价金额与按单价汇总金额不一致的，以单价金额计算结果为准；同时出现两种以上不一致的，</w:t>
      </w:r>
      <w:r>
        <w:rPr>
          <w:rFonts w:hint="eastAsia" w:ascii="宋体" w:hAnsi="宋体" w:eastAsia="宋体" w:cs="宋体"/>
          <w:spacing w:val="-6"/>
          <w:szCs w:val="21"/>
          <w:highlight w:val="none"/>
        </w:rPr>
        <w:t>按照前款规定的顺序修正，修正后的报价应经投标人书面确认，投标人不予确认的，其投标无效。</w:t>
      </w:r>
    </w:p>
    <w:p>
      <w:pPr>
        <w:snapToGrid w:val="0"/>
        <w:spacing w:line="312" w:lineRule="auto"/>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对不同文字文本投标文件的解释发生异议的，以中文文本为准。</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30.评标</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 xml:space="preserve">30.1评定原则：根据符合采购需求、质量和服务等要求，综合评分确定中标人。 </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30.2投标文件的澄清：在评标期间，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30.3评标报告：评标委员会完成评定后，向采购人提交经各评标委员会成员签字的评定结果报告，并按评定办法推荐中标候选人。</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31.保密</w:t>
      </w:r>
    </w:p>
    <w:p>
      <w:pPr>
        <w:snapToGrid w:val="0"/>
        <w:spacing w:line="312" w:lineRule="auto"/>
        <w:ind w:firstLine="420" w:firstLineChars="200"/>
        <w:rPr>
          <w:rFonts w:hint="eastAsia" w:ascii="宋体" w:hAnsi="宋体" w:eastAsia="宋体" w:cs="宋体"/>
          <w:szCs w:val="21"/>
          <w:highlight w:val="none"/>
        </w:rPr>
      </w:pPr>
      <w:bookmarkStart w:id="78" w:name="_Toc356371440"/>
      <w:r>
        <w:rPr>
          <w:rFonts w:hint="eastAsia" w:ascii="宋体" w:hAnsi="宋体" w:eastAsia="宋体" w:cs="宋体"/>
          <w:szCs w:val="21"/>
          <w:highlight w:val="none"/>
        </w:rPr>
        <w:t>31.1公开开标后直到宣布授予中标人合同为止，凡属于审查、澄清、评估和比较投标的有关资料且与授予合同有关的信息都不得向任何投标人或与上述评标过程无关的人员透露。</w:t>
      </w:r>
    </w:p>
    <w:p>
      <w:pPr>
        <w:snapToGrid w:val="0"/>
        <w:spacing w:line="312" w:lineRule="auto"/>
        <w:ind w:firstLine="420" w:firstLineChars="200"/>
        <w:rPr>
          <w:rFonts w:hint="eastAsia" w:ascii="宋体" w:hAnsi="宋体" w:eastAsia="宋体" w:cs="宋体"/>
          <w:spacing w:val="-6"/>
          <w:szCs w:val="21"/>
          <w:highlight w:val="none"/>
        </w:rPr>
      </w:pPr>
      <w:r>
        <w:rPr>
          <w:rFonts w:hint="eastAsia" w:ascii="宋体" w:hAnsi="宋体" w:eastAsia="宋体" w:cs="宋体"/>
          <w:szCs w:val="21"/>
          <w:highlight w:val="none"/>
        </w:rPr>
        <w:t>31.2投标人对评标、比较</w:t>
      </w:r>
      <w:r>
        <w:rPr>
          <w:rFonts w:hint="eastAsia" w:ascii="宋体" w:hAnsi="宋体" w:eastAsia="宋体" w:cs="宋体"/>
          <w:spacing w:val="-6"/>
          <w:szCs w:val="21"/>
          <w:highlight w:val="none"/>
        </w:rPr>
        <w:t>或授予合同决定的过程施加影响的企图和行为，都可能导致其投标被拒绝。</w:t>
      </w:r>
    </w:p>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32.可中止电子交易活动的情形</w:t>
      </w:r>
    </w:p>
    <w:p>
      <w:pPr>
        <w:spacing w:line="312" w:lineRule="auto"/>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采购过程中出现以下情形，导致电子交易平台无法正常运行，或者无法保证电子交易的公平、公正和安全时，采购组织机构可中止电子交易活动：</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32.1电子交易平台发生故障而无法登录访问的；</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32.2电子交易平台应用或数据库出现错误，不能进行正常操作的；</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32.3电子交易平台发现严重安全漏洞，有潜在泄密危险的；</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32.4病毒发作导致不能进行正常操作的；</w:t>
      </w:r>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32.5其他无法保证电子交易的公平、公正和安全的情况。</w:t>
      </w:r>
    </w:p>
    <w:p>
      <w:pPr>
        <w:spacing w:line="312" w:lineRule="auto"/>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出现前款规定情形，不影响采购公平、公正性的，采购组织机构可以待上述情形消除后继续组织电子交易活动；影响或可能影响采购公平、公正性的，应当重新采购。</w:t>
      </w:r>
    </w:p>
    <w:p>
      <w:pPr>
        <w:snapToGrid w:val="0"/>
        <w:spacing w:before="48" w:beforeLines="20" w:after="48" w:afterLines="20" w:line="312" w:lineRule="auto"/>
        <w:ind w:firstLine="420" w:firstLineChars="200"/>
        <w:rPr>
          <w:rFonts w:hint="eastAsia" w:ascii="宋体" w:hAnsi="宋体" w:eastAsia="宋体" w:cs="宋体"/>
          <w:bCs/>
          <w:szCs w:val="21"/>
          <w:highlight w:val="none"/>
        </w:rPr>
      </w:pPr>
      <w:bookmarkStart w:id="79" w:name="_Toc784"/>
      <w:r>
        <w:rPr>
          <w:rFonts w:hint="eastAsia" w:ascii="宋体" w:hAnsi="宋体" w:eastAsia="宋体" w:cs="宋体"/>
          <w:bCs/>
          <w:szCs w:val="21"/>
          <w:highlight w:val="none"/>
        </w:rPr>
        <w:t>十一、定标</w:t>
      </w:r>
      <w:bookmarkEnd w:id="79"/>
    </w:p>
    <w:bookmarkEnd w:id="78"/>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33.中标通知和合同授予</w:t>
      </w:r>
    </w:p>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33.1中标通知书：评定结果经公示1个工作日后，采购代理机构将以书面形式发出《中标通知书》。《中标通知书》一经发出即发生法律效力。采购人无义务向未中标供应商解释落选原因，不退回投标文件。《中标通知书》将作为签订合同的依据。</w:t>
      </w:r>
    </w:p>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33.2签订合同：中标人按《中标通知书》指定的时间、地点与甲方直接签订合同。在有合理证据证明供应商在投标过程中承诺的内容不能实质响应的，采购人有权拒签合同。</w:t>
      </w:r>
    </w:p>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33.3招标文件、澄清文件、投标文件等，均为签订合同的依据。中标人接到中标通知书后在规定的时间内与采购人签定合同。</w:t>
      </w:r>
    </w:p>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33.4中标人不遵守投标文件的要约、承诺，擅自修改投标文件的内容或在接到中标通知书规定的时间内，借故拖延、拒签合同者，采购人将取消该供应商的中标资格。</w:t>
      </w:r>
    </w:p>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33.5中标人因自身原因放弃中标或因不可抗力不能履行合同的；经质疑，采购人审查确定因中标人在本次招标活动中存在违规行为或其他原因使质疑成立的；采购人可以与综合得分排名靠后的中标候选人依次签订合同，也可重新组织招标。</w:t>
      </w:r>
    </w:p>
    <w:p>
      <w:pPr>
        <w:snapToGrid w:val="0"/>
        <w:spacing w:line="312" w:lineRule="auto"/>
        <w:ind w:left="-19" w:leftChars="-9" w:firstLine="438" w:firstLineChars="209"/>
        <w:rPr>
          <w:rFonts w:hint="eastAsia" w:ascii="宋体" w:hAnsi="宋体" w:eastAsia="宋体" w:cs="宋体"/>
          <w:szCs w:val="21"/>
          <w:highlight w:val="none"/>
        </w:rPr>
      </w:pPr>
      <w:r>
        <w:rPr>
          <w:rFonts w:hint="eastAsia" w:ascii="宋体" w:hAnsi="宋体" w:eastAsia="宋体" w:cs="宋体"/>
          <w:szCs w:val="21"/>
          <w:highlight w:val="none"/>
        </w:rPr>
        <w:t>33.6签约后即为招标结束。投标文件一律不退。</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80" w:name="质疑与投诉"/>
      <w:bookmarkStart w:id="81" w:name="_Toc18414"/>
      <w:bookmarkStart w:id="82" w:name="_Toc10212"/>
      <w:bookmarkStart w:id="83" w:name="_Toc356371441"/>
      <w:r>
        <w:rPr>
          <w:rFonts w:hint="eastAsia" w:ascii="宋体" w:hAnsi="宋体" w:eastAsia="宋体" w:cs="宋体"/>
          <w:szCs w:val="21"/>
          <w:highlight w:val="none"/>
        </w:rPr>
        <w:t>十二、质疑与投诉</w:t>
      </w:r>
      <w:bookmarkEnd w:id="80"/>
      <w:bookmarkEnd w:id="81"/>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34.</w:t>
      </w:r>
      <w:r>
        <w:rPr>
          <w:rFonts w:hint="eastAsia" w:ascii="宋体" w:hAnsi="宋体" w:eastAsia="宋体" w:cs="宋体"/>
          <w:szCs w:val="21"/>
          <w:highlight w:val="none"/>
          <w:lang w:val="zh-CN"/>
        </w:rPr>
        <w:t>根据《中华人民共和国政府采购法》、《中华人民共和国政府采购法实施条例》、</w:t>
      </w:r>
      <w:r>
        <w:rPr>
          <w:rFonts w:hint="eastAsia" w:ascii="宋体" w:hAnsi="宋体" w:eastAsia="宋体" w:cs="宋体"/>
          <w:szCs w:val="21"/>
          <w:highlight w:val="none"/>
        </w:rPr>
        <w:t>《政府采购质疑和投诉办法》</w:t>
      </w:r>
      <w:r>
        <w:rPr>
          <w:rFonts w:hint="eastAsia" w:ascii="宋体" w:hAnsi="宋体" w:eastAsia="宋体" w:cs="宋体"/>
          <w:szCs w:val="21"/>
          <w:highlight w:val="none"/>
          <w:lang w:val="zh-CN"/>
        </w:rPr>
        <w:t>(</w:t>
      </w:r>
      <w:r>
        <w:rPr>
          <w:rFonts w:hint="eastAsia" w:ascii="宋体" w:hAnsi="宋体" w:eastAsia="宋体" w:cs="宋体"/>
          <w:szCs w:val="21"/>
          <w:highlight w:val="none"/>
        </w:rPr>
        <w:t>财政部令第94号</w:t>
      </w:r>
      <w:r>
        <w:rPr>
          <w:rFonts w:hint="eastAsia" w:ascii="宋体" w:hAnsi="宋体" w:eastAsia="宋体" w:cs="宋体"/>
          <w:szCs w:val="21"/>
          <w:highlight w:val="none"/>
          <w:lang w:val="zh-CN"/>
        </w:rPr>
        <w:t>)，政府采购供应商可以依法提起质疑和投诉。</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35.供应商询问</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zh-CN"/>
        </w:rPr>
        <w:t>供应商对政府采购活动事项有疑问的，可以向采购机构提出询问，采购机构在3个工作日内作出答复，但答复的内容不得涉及商业秘密。</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36.供应商质疑</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供应商认为招标文件、采购过程和中标、成交结果使自己的权益受到损害的，可以在知道或者应知其权益受到损害之日起七个工作日内，以书面形式向采购机构提出质疑。</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政府采购法第五十二条规定的供应商应知其权益受到损害之日，是指：</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36.1对采购文件提出质疑的，应当在获取采购文件或者采购文件公告期限届满之日起7个工作日内提出。</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36.2对采购过程提出质疑的，为各采购程序环节结束之日。</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36.3对中标结果提出质疑的，为中标结果公告期限届满之日。</w:t>
      </w:r>
    </w:p>
    <w:p>
      <w:pPr>
        <w:snapToGrid w:val="0"/>
        <w:spacing w:line="312" w:lineRule="auto"/>
        <w:ind w:firstLine="420" w:firstLineChars="200"/>
        <w:rPr>
          <w:rFonts w:hint="eastAsia" w:ascii="宋体" w:hAnsi="宋体" w:eastAsia="宋体" w:cs="宋体"/>
          <w:spacing w:val="-17"/>
          <w:szCs w:val="21"/>
          <w:highlight w:val="none"/>
          <w:lang w:val="en-US" w:eastAsia="zh-CN"/>
        </w:rPr>
      </w:pPr>
      <w:r>
        <w:rPr>
          <w:rFonts w:hint="eastAsia" w:ascii="宋体" w:hAnsi="宋体" w:eastAsia="宋体" w:cs="宋体"/>
          <w:szCs w:val="21"/>
          <w:highlight w:val="none"/>
        </w:rPr>
        <w:t>36.4供应商质疑应当有明确的请求和必要的证明材料。供应商提交的质疑书需一式三份，由法定代表人签字（或盖章）并加盖单位公章。质疑书格式范本详见</w:t>
      </w:r>
      <w:r>
        <w:rPr>
          <w:rFonts w:hint="eastAsia" w:ascii="宋体" w:hAnsi="宋体" w:cs="宋体"/>
          <w:szCs w:val="21"/>
          <w:highlight w:val="none"/>
          <w:lang w:val="en-US" w:eastAsia="zh-CN"/>
        </w:rPr>
        <w:t>附件。</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36.5采购机构应当在收到供应商的书面质疑后七个工作日内作出答复，并以书面形式通知质疑供应商和其他与质疑处理结果有利害关系的政府采购当事人，但答复的内容不得涉及商业秘密。</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37.供应商投诉</w:t>
      </w:r>
    </w:p>
    <w:p>
      <w:pPr>
        <w:snapToGrid w:val="0"/>
        <w:spacing w:line="312" w:lineRule="auto"/>
        <w:ind w:firstLine="420" w:firstLineChars="200"/>
        <w:rPr>
          <w:rFonts w:hint="default" w:ascii="宋体" w:hAnsi="宋体" w:eastAsia="宋体" w:cs="宋体"/>
          <w:szCs w:val="21"/>
          <w:highlight w:val="none"/>
          <w:lang w:val="en-US" w:eastAsia="zh-CN"/>
        </w:rPr>
      </w:pPr>
      <w:r>
        <w:rPr>
          <w:rFonts w:hint="eastAsia" w:ascii="宋体" w:hAnsi="宋体" w:eastAsia="宋体" w:cs="宋体"/>
          <w:szCs w:val="21"/>
          <w:highlight w:val="none"/>
        </w:rPr>
        <w:t>37.1质疑供应商对采购机构的答复不满意或者采购机构未在规定的时间内作出答复的，可以在答复期满后十五个工作日内向同级政府采购监督管理部门提出投诉。</w:t>
      </w:r>
      <w:r>
        <w:rPr>
          <w:rFonts w:hint="eastAsia" w:ascii="宋体" w:hAnsi="宋体" w:cs="宋体"/>
          <w:szCs w:val="21"/>
          <w:highlight w:val="none"/>
          <w:lang w:val="en-US" w:eastAsia="zh-CN"/>
        </w:rPr>
        <w:t>投诉书格式范本见附件。</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84" w:name="_Toc29377"/>
      <w:r>
        <w:rPr>
          <w:rFonts w:hint="eastAsia" w:ascii="宋体" w:hAnsi="宋体" w:eastAsia="宋体" w:cs="宋体"/>
          <w:szCs w:val="21"/>
          <w:highlight w:val="none"/>
        </w:rPr>
        <w:t>十三、法律责任</w:t>
      </w:r>
      <w:bookmarkEnd w:id="82"/>
      <w:bookmarkEnd w:id="83"/>
      <w:bookmarkEnd w:id="84"/>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38.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38.1提供虚假材料谋取中标的；</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38.2采取不正当手段诋毁、排挤其他投标人的；</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38.3与采购人、采购代理机构、其他投标人恶意串通的；</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38.4向采购人、采购代理机构行贿或者提供其他不正当利益的；</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38.5在招标过程中与采购人进行协商谈判、不按照招标文件和中标人的投标文件订立合同，或者与采购人另行订立背离合同实质性内容的协议的；</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38.6拒绝有关部门监督检查或者提供虚假情况的。</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85" w:name="_Toc29877"/>
      <w:r>
        <w:rPr>
          <w:rFonts w:hint="eastAsia" w:ascii="宋体" w:hAnsi="宋体" w:eastAsia="宋体" w:cs="宋体"/>
          <w:szCs w:val="21"/>
          <w:highlight w:val="none"/>
        </w:rPr>
        <w:t>十四、代理服务费</w:t>
      </w:r>
      <w:bookmarkEnd w:id="85"/>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39.招标代理服务费由中标单位支付，由招标代理人在发中标通知书时按中标金额向中标单位一次性收取。  </w:t>
      </w:r>
    </w:p>
    <w:p>
      <w:pPr>
        <w:snapToGrid w:val="0"/>
        <w:spacing w:line="312"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40.招标代理服务收费标准按国家发展计划委员会计价格</w:t>
      </w:r>
      <w:r>
        <w:rPr>
          <w:rFonts w:hint="eastAsia" w:ascii="宋体" w:hAnsi="宋体" w:eastAsia="宋体" w:cs="宋体"/>
          <w:szCs w:val="21"/>
          <w:highlight w:val="none"/>
          <w:lang w:eastAsia="zh-CN"/>
        </w:rPr>
        <w:t>[2002]1980号文件收取</w:t>
      </w:r>
      <w:r>
        <w:rPr>
          <w:rFonts w:hint="eastAsia" w:ascii="宋体" w:hAnsi="宋体" w:eastAsia="宋体" w:cs="宋体"/>
          <w:szCs w:val="21"/>
          <w:highlight w:val="none"/>
        </w:rPr>
        <w:t>，按差额定率累进法计算。</w:t>
      </w:r>
    </w:p>
    <w:p>
      <w:pPr>
        <w:snapToGrid w:val="0"/>
        <w:spacing w:line="312" w:lineRule="auto"/>
        <w:ind w:firstLine="420" w:firstLineChars="200"/>
        <w:jc w:val="center"/>
        <w:rPr>
          <w:rFonts w:hint="eastAsia" w:ascii="宋体" w:hAnsi="宋体" w:eastAsia="宋体" w:cs="宋体"/>
          <w:szCs w:val="21"/>
          <w:highlight w:val="none"/>
        </w:rPr>
      </w:pPr>
      <w:r>
        <w:rPr>
          <w:rFonts w:hint="eastAsia" w:ascii="宋体" w:hAnsi="宋体" w:eastAsia="宋体" w:cs="宋体"/>
          <w:szCs w:val="21"/>
          <w:highlight w:val="none"/>
        </w:rPr>
        <w:t>招标代理服务收费标准</w:t>
      </w:r>
    </w:p>
    <w:tbl>
      <w:tblPr>
        <w:tblStyle w:val="23"/>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3"/>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23" w:type="dxa"/>
            <w:tcBorders>
              <w:tl2br w:val="single" w:color="auto" w:sz="4" w:space="0"/>
            </w:tcBorders>
          </w:tcPr>
          <w:p>
            <w:pPr>
              <w:snapToGrid w:val="0"/>
              <w:spacing w:line="100" w:lineRule="exact"/>
              <w:ind w:firstLine="420" w:firstLineChars="200"/>
              <w:rPr>
                <w:rFonts w:hint="eastAsia" w:ascii="宋体" w:hAnsi="宋体" w:eastAsia="宋体" w:cs="宋体"/>
                <w:szCs w:val="21"/>
                <w:highlight w:val="none"/>
              </w:rPr>
            </w:pPr>
          </w:p>
          <w:p>
            <w:pPr>
              <w:snapToGrid w:val="0"/>
              <w:spacing w:line="2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                             费率</w:t>
            </w:r>
          </w:p>
          <w:p>
            <w:pPr>
              <w:snapToGrid w:val="0"/>
              <w:spacing w:line="2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中标金额（万元）</w:t>
            </w:r>
          </w:p>
        </w:tc>
        <w:tc>
          <w:tcPr>
            <w:tcW w:w="3990" w:type="dxa"/>
            <w:vAlign w:val="center"/>
          </w:tcPr>
          <w:p>
            <w:pPr>
              <w:snapToGrid w:val="0"/>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23" w:type="dxa"/>
            <w:vAlign w:val="center"/>
          </w:tcPr>
          <w:p>
            <w:pPr>
              <w:snapToGrid w:val="0"/>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100以下</w:t>
            </w:r>
          </w:p>
        </w:tc>
        <w:tc>
          <w:tcPr>
            <w:tcW w:w="3990" w:type="dxa"/>
            <w:vAlign w:val="center"/>
          </w:tcPr>
          <w:p>
            <w:pPr>
              <w:snapToGrid w:val="0"/>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23" w:type="dxa"/>
            <w:vAlign w:val="center"/>
          </w:tcPr>
          <w:p>
            <w:pPr>
              <w:snapToGrid w:val="0"/>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100-500</w:t>
            </w:r>
          </w:p>
        </w:tc>
        <w:tc>
          <w:tcPr>
            <w:tcW w:w="3990" w:type="dxa"/>
            <w:vAlign w:val="center"/>
          </w:tcPr>
          <w:p>
            <w:pPr>
              <w:snapToGrid w:val="0"/>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23" w:type="dxa"/>
            <w:vAlign w:val="center"/>
          </w:tcPr>
          <w:p>
            <w:pPr>
              <w:snapToGrid w:val="0"/>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500-1000</w:t>
            </w:r>
          </w:p>
        </w:tc>
        <w:tc>
          <w:tcPr>
            <w:tcW w:w="3990" w:type="dxa"/>
            <w:vAlign w:val="center"/>
          </w:tcPr>
          <w:p>
            <w:pPr>
              <w:snapToGrid w:val="0"/>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0.8%</w:t>
            </w:r>
          </w:p>
        </w:tc>
      </w:tr>
    </w:tbl>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cs="宋体"/>
          <w:szCs w:val="21"/>
          <w:highlight w:val="none"/>
          <w:lang w:val="en-US" w:eastAsia="zh-CN"/>
        </w:rPr>
        <w:t>1</w:t>
      </w:r>
      <w:r>
        <w:rPr>
          <w:rFonts w:hint="eastAsia" w:ascii="宋体" w:hAnsi="宋体" w:eastAsia="宋体" w:cs="宋体"/>
          <w:szCs w:val="21"/>
          <w:highlight w:val="none"/>
        </w:rPr>
        <w:t>.服务费以人民币收取。</w:t>
      </w:r>
    </w:p>
    <w:p>
      <w:pPr>
        <w:snapToGrid w:val="0"/>
        <w:spacing w:before="48" w:beforeLines="20" w:after="48" w:afterLines="20" w:line="312" w:lineRule="auto"/>
        <w:ind w:firstLine="420" w:firstLineChars="200"/>
        <w:rPr>
          <w:rFonts w:hint="eastAsia" w:ascii="宋体" w:hAnsi="宋体" w:eastAsia="宋体" w:cs="宋体"/>
          <w:szCs w:val="21"/>
          <w:highlight w:val="none"/>
        </w:rPr>
      </w:pPr>
      <w:bookmarkStart w:id="86" w:name="_Toc23429"/>
      <w:bookmarkStart w:id="87" w:name="_Toc356371442"/>
      <w:bookmarkStart w:id="88" w:name="_Toc14136"/>
      <w:r>
        <w:rPr>
          <w:rFonts w:hint="eastAsia" w:ascii="宋体" w:hAnsi="宋体" w:eastAsia="宋体" w:cs="宋体"/>
          <w:szCs w:val="21"/>
          <w:highlight w:val="none"/>
        </w:rPr>
        <w:t>十五、其他</w:t>
      </w:r>
      <w:bookmarkEnd w:id="86"/>
      <w:bookmarkEnd w:id="87"/>
      <w:bookmarkEnd w:id="88"/>
    </w:p>
    <w:p>
      <w:pPr>
        <w:snapToGrid w:val="0"/>
        <w:spacing w:line="312" w:lineRule="auto"/>
        <w:ind w:left="420" w:leftChars="200"/>
        <w:rPr>
          <w:rFonts w:hint="eastAsia"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cs="宋体"/>
          <w:szCs w:val="21"/>
          <w:highlight w:val="none"/>
          <w:lang w:val="en-US" w:eastAsia="zh-CN"/>
        </w:rPr>
        <w:t>2</w:t>
      </w:r>
      <w:r>
        <w:rPr>
          <w:rFonts w:hint="eastAsia" w:ascii="宋体" w:hAnsi="宋体" w:eastAsia="宋体" w:cs="宋体"/>
          <w:szCs w:val="21"/>
          <w:highlight w:val="none"/>
        </w:rPr>
        <w:t>.解释权：本招标文件是依据《政府采购法》及有关规定编制的，解释权属采购人。</w:t>
      </w:r>
    </w:p>
    <w:p>
      <w:pPr>
        <w:spacing w:line="312" w:lineRule="auto"/>
        <w:rPr>
          <w:rFonts w:hint="eastAsia" w:ascii="宋体" w:hAnsi="宋体" w:eastAsia="宋体" w:cs="宋体"/>
          <w:szCs w:val="21"/>
          <w:highlight w:val="none"/>
        </w:rPr>
        <w:sectPr>
          <w:headerReference r:id="rId5" w:type="default"/>
          <w:footerReference r:id="rId6" w:type="default"/>
          <w:pgSz w:w="11906" w:h="16838"/>
          <w:pgMar w:top="1389" w:right="1247" w:bottom="1389" w:left="1247" w:header="851" w:footer="992" w:gutter="284"/>
          <w:pgBorders>
            <w:top w:val="none" w:sz="0" w:space="0"/>
            <w:left w:val="none" w:sz="0" w:space="0"/>
            <w:bottom w:val="none" w:sz="0" w:space="0"/>
            <w:right w:val="none" w:sz="0" w:space="0"/>
          </w:pgBorders>
          <w:pgNumType w:start="1"/>
          <w:cols w:space="720" w:num="1"/>
          <w:docGrid w:linePitch="312" w:charSpace="0"/>
        </w:sectPr>
      </w:pPr>
    </w:p>
    <w:p>
      <w:pPr>
        <w:snapToGrid w:val="0"/>
        <w:spacing w:line="312" w:lineRule="auto"/>
        <w:jc w:val="center"/>
        <w:outlineLvl w:val="0"/>
        <w:rPr>
          <w:rFonts w:hint="eastAsia" w:ascii="宋体" w:hAnsi="宋体" w:eastAsia="宋体" w:cs="宋体"/>
          <w:b/>
          <w:bCs w:val="0"/>
          <w:szCs w:val="21"/>
          <w:highlight w:val="none"/>
        </w:rPr>
      </w:pPr>
      <w:bookmarkStart w:id="89" w:name="_Toc26454"/>
      <w:bookmarkStart w:id="90" w:name="_Toc17730"/>
      <w:bookmarkStart w:id="91" w:name="_Toc354401531"/>
      <w:bookmarkStart w:id="92" w:name="_Toc350256314"/>
      <w:bookmarkStart w:id="93" w:name="_Toc322352983"/>
      <w:r>
        <w:rPr>
          <w:rFonts w:hint="eastAsia" w:ascii="宋体" w:hAnsi="宋体" w:eastAsia="宋体" w:cs="宋体"/>
          <w:b/>
          <w:bCs w:val="0"/>
          <w:szCs w:val="21"/>
          <w:highlight w:val="none"/>
        </w:rPr>
        <w:t>第三章  采购内容及要求</w:t>
      </w:r>
      <w:bookmarkEnd w:id="89"/>
      <w:bookmarkEnd w:id="90"/>
      <w:bookmarkEnd w:id="91"/>
      <w:bookmarkEnd w:id="92"/>
      <w:bookmarkEnd w:id="93"/>
    </w:p>
    <w:p>
      <w:pPr>
        <w:snapToGrid w:val="0"/>
        <w:spacing w:line="312" w:lineRule="auto"/>
        <w:jc w:val="center"/>
        <w:outlineLvl w:val="0"/>
        <w:rPr>
          <w:rFonts w:hint="eastAsia" w:ascii="宋体" w:hAnsi="宋体" w:eastAsia="宋体" w:cs="宋体"/>
          <w:bCs/>
          <w:szCs w:val="21"/>
          <w:highlight w:val="none"/>
        </w:rPr>
      </w:pPr>
      <w:bookmarkStart w:id="94" w:name="_Toc322352984"/>
      <w:bookmarkStart w:id="95" w:name="_Toc354401534"/>
      <w:bookmarkStart w:id="96" w:name="_Toc10473"/>
      <w:bookmarkStart w:id="97" w:name="_Toc350256315"/>
      <w:bookmarkStart w:id="98" w:name="_Toc15447"/>
    </w:p>
    <w:p>
      <w:pPr>
        <w:tabs>
          <w:tab w:val="left" w:pos="0"/>
          <w:tab w:val="left" w:pos="900"/>
          <w:tab w:val="left" w:pos="7020"/>
          <w:tab w:val="left" w:pos="8460"/>
        </w:tabs>
        <w:snapToGrid w:val="0"/>
        <w:spacing w:line="360" w:lineRule="auto"/>
        <w:ind w:firstLine="422" w:firstLineChars="200"/>
        <w:outlineLvl w:val="1"/>
        <w:rPr>
          <w:rFonts w:hint="default" w:ascii="宋体" w:hAnsi="宋体" w:eastAsia="宋体"/>
          <w:b/>
          <w:bCs/>
          <w:sz w:val="21"/>
          <w:szCs w:val="21"/>
          <w:highlight w:val="none"/>
          <w:lang w:val="en-US" w:eastAsia="zh-CN"/>
        </w:rPr>
      </w:pPr>
      <w:r>
        <w:rPr>
          <w:rFonts w:hint="eastAsia" w:ascii="宋体" w:hAnsi="宋体"/>
          <w:b/>
          <w:bCs/>
          <w:sz w:val="21"/>
          <w:szCs w:val="21"/>
          <w:highlight w:val="none"/>
        </w:rPr>
        <w:t>一、</w:t>
      </w:r>
      <w:r>
        <w:rPr>
          <w:rFonts w:hint="eastAsia" w:ascii="宋体" w:hAnsi="宋体"/>
          <w:b/>
          <w:bCs/>
          <w:sz w:val="21"/>
          <w:szCs w:val="21"/>
          <w:highlight w:val="none"/>
          <w:lang w:val="en-US" w:eastAsia="zh-CN"/>
        </w:rPr>
        <w:t>采购内容</w:t>
      </w:r>
    </w:p>
    <w:tbl>
      <w:tblPr>
        <w:tblStyle w:val="23"/>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610"/>
        <w:gridCol w:w="1461"/>
        <w:gridCol w:w="1638"/>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标项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内容</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数量</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预算金额</w:t>
            </w:r>
          </w:p>
        </w:tc>
        <w:tc>
          <w:tcPr>
            <w:tcW w:w="1640" w:type="dxa"/>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浙江省气象高质量发展“补短板”工程（一期）柯城X波段相控阵天气雷达项目</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1批</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val="0"/>
              <w:spacing w:line="312" w:lineRule="auto"/>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8770000.00元</w:t>
            </w:r>
          </w:p>
        </w:tc>
        <w:tc>
          <w:tcPr>
            <w:tcW w:w="1640" w:type="dxa"/>
            <w:noWrap w:val="0"/>
            <w:vAlign w:val="center"/>
          </w:tcPr>
          <w:p>
            <w:pPr>
              <w:keepNext w:val="0"/>
              <w:keepLines w:val="0"/>
              <w:pageBreakBefore w:val="0"/>
              <w:kinsoku/>
              <w:overflowPunct/>
              <w:topLinePunct w:val="0"/>
              <w:bidi w:val="0"/>
              <w:snapToGrid w:val="0"/>
              <w:spacing w:line="312" w:lineRule="auto"/>
              <w:jc w:val="center"/>
              <w:textAlignment w:val="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8770000.00元</w:t>
            </w:r>
          </w:p>
        </w:tc>
      </w:tr>
    </w:tbl>
    <w:p>
      <w:pPr>
        <w:numPr>
          <w:ilvl w:val="0"/>
          <w:numId w:val="4"/>
        </w:numPr>
        <w:snapToGrid w:val="0"/>
        <w:spacing w:line="312" w:lineRule="auto"/>
        <w:ind w:firstLine="422" w:firstLineChars="200"/>
        <w:jc w:val="left"/>
        <w:outlineLvl w:val="0"/>
        <w:rPr>
          <w:rFonts w:hint="eastAsia" w:hAnsi="宋体"/>
          <w:b/>
          <w:bCs/>
          <w:sz w:val="21"/>
          <w:szCs w:val="21"/>
          <w:highlight w:val="none"/>
          <w:lang w:val="en-US" w:eastAsia="zh-CN"/>
        </w:rPr>
      </w:pPr>
      <w:r>
        <w:rPr>
          <w:rFonts w:hint="eastAsia" w:hAnsi="宋体"/>
          <w:b/>
          <w:bCs/>
          <w:sz w:val="21"/>
          <w:szCs w:val="21"/>
          <w:highlight w:val="none"/>
          <w:lang w:val="en-US" w:eastAsia="zh-CN"/>
        </w:rPr>
        <w:t>技术参数</w:t>
      </w:r>
    </w:p>
    <w:tbl>
      <w:tblPr>
        <w:tblStyle w:val="23"/>
        <w:tblW w:w="10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6"/>
        <w:gridCol w:w="1069"/>
        <w:gridCol w:w="4738"/>
        <w:gridCol w:w="1142"/>
        <w:gridCol w:w="846"/>
        <w:gridCol w:w="685"/>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jc w:val="center"/>
        </w:trPr>
        <w:tc>
          <w:tcPr>
            <w:tcW w:w="68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06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设备名称</w:t>
            </w:r>
          </w:p>
        </w:tc>
        <w:tc>
          <w:tcPr>
            <w:tcW w:w="4738"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简要规格</w:t>
            </w:r>
          </w:p>
        </w:tc>
        <w:tc>
          <w:tcPr>
            <w:tcW w:w="114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设备必要性</w:t>
            </w:r>
          </w:p>
        </w:tc>
        <w:tc>
          <w:tcPr>
            <w:tcW w:w="84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68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c>
          <w:tcPr>
            <w:tcW w:w="128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106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雷达设备</w:t>
            </w:r>
          </w:p>
        </w:tc>
        <w:tc>
          <w:tcPr>
            <w:tcW w:w="47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雷达主机设备</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固态、全相参多普勒、方位机扫、俯仰相扫、双线偏振、数字波束形成。包含1台X波段双偏振相控阵天气雷达主机（8年质保）；监控终端软件；产品终端软件；精细化短时强天气监测预警系统（随机配套软件，无需采购）</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雷达主体设备</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详细参数见附表1.X波段双偏振相控阵天气雷达及配套软件技术参数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86" w:type="dxa"/>
            <w:tcBorders>
              <w:top w:val="single" w:color="auto"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0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天线罩</w:t>
            </w:r>
          </w:p>
        </w:tc>
        <w:tc>
          <w:tcPr>
            <w:tcW w:w="473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①天线罩直径大于3.00米，小于3.5米；②玻璃钢材质；③天线罩工作频段及损耗：X频段：9.3GHz～9.5GHz≤0.5dB。④天线罩抗风等级为16级以上；</w:t>
            </w:r>
          </w:p>
        </w:tc>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保护天线阵面，可以避免因为极端天气（冰雹、沙尘等）对于雷达阵面的损坏</w:t>
            </w:r>
          </w:p>
        </w:tc>
        <w:tc>
          <w:tcPr>
            <w:tcW w:w="8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6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6"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1069"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环境综合监控</w:t>
            </w:r>
          </w:p>
        </w:tc>
        <w:tc>
          <w:tcPr>
            <w:tcW w:w="473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20"/>
                <w:szCs w:val="20"/>
                <w:highlight w:val="none"/>
                <w:u w:val="none"/>
                <w:lang w:val="en-US" w:eastAsia="zh-CN" w:bidi="ar-SA"/>
              </w:rPr>
            </w:pPr>
            <w:r>
              <w:rPr>
                <w:rFonts w:ascii="宋体" w:hAnsi="宋体" w:eastAsia="宋体" w:cs="宋体"/>
                <w:i w:val="0"/>
                <w:iCs w:val="0"/>
                <w:color w:val="000000"/>
                <w:kern w:val="0"/>
                <w:sz w:val="20"/>
                <w:szCs w:val="20"/>
                <w:highlight w:val="none"/>
                <w:u w:val="none"/>
                <w:lang w:val="en-US" w:eastAsia="zh-CN" w:bidi="ar"/>
              </w:rPr>
              <w:t>除湿设备</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除湿量：20L/天(35℃ 90%RH)，额定电源：220V-50Hz，湿度控制进度：±3%，湿度调节范围：10%-80%，电源插头：16A（空调插头），尺寸：≤小于229*381*579mm</w:t>
            </w:r>
          </w:p>
        </w:tc>
        <w:tc>
          <w:tcPr>
            <w:tcW w:w="114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天线罩内配套配置</w:t>
            </w:r>
          </w:p>
        </w:tc>
        <w:tc>
          <w:tcPr>
            <w:tcW w:w="8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台</w:t>
            </w:r>
          </w:p>
        </w:tc>
        <w:tc>
          <w:tcPr>
            <w:tcW w:w="6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highlight w:val="none"/>
                <w:u w:val="none"/>
                <w:lang w:val="en-US" w:eastAsia="zh-CN" w:bidi="ar-SA"/>
              </w:rPr>
            </w:pPr>
            <w:r>
              <w:rPr>
                <w:rFonts w:hint="default" w:ascii="Times New Roman" w:hAnsi="Times New Roman" w:eastAsia="宋体" w:cs="Times New Roman"/>
                <w:i w:val="0"/>
                <w:iCs w:val="0"/>
                <w:color w:val="000000"/>
                <w:kern w:val="0"/>
                <w:sz w:val="20"/>
                <w:szCs w:val="20"/>
                <w:highlight w:val="none"/>
                <w:u w:val="none"/>
                <w:lang w:val="en-US" w:eastAsia="zh-CN" w:bidi="ar"/>
              </w:rPr>
              <w:t>2</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kern w:val="2"/>
                <w:sz w:val="20"/>
                <w:szCs w:val="20"/>
                <w:highlight w:val="none"/>
                <w:u w:val="none"/>
                <w:lang w:val="en-US" w:eastAsia="zh-CN" w:bidi="ar-SA"/>
              </w:rPr>
            </w:pPr>
            <w:r>
              <w:rPr>
                <w:rFonts w:ascii="宋体" w:hAnsi="宋体" w:eastAsia="宋体" w:cs="宋体"/>
                <w:i w:val="0"/>
                <w:iCs w:val="0"/>
                <w:color w:val="000000"/>
                <w:kern w:val="0"/>
                <w:sz w:val="20"/>
                <w:szCs w:val="20"/>
                <w:highlight w:val="none"/>
                <w:u w:val="none"/>
                <w:lang w:val="en-US" w:eastAsia="zh-CN" w:bidi="ar"/>
              </w:rPr>
              <w:t>除湿设备</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名义除湿量：2.53kg/h(27℃ 60%RH)，除湿量：150L/天(35℃ 90%RH)，额定电源：220V-50Hz，湿度控制进度：±3%，湿度调节范围：10%-90%，电源插头：16A（空调插头），尺寸：≤小于500mm*500mm*1000mm</w:t>
            </w:r>
          </w:p>
        </w:tc>
        <w:tc>
          <w:tcPr>
            <w:tcW w:w="114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机房内配套配置</w:t>
            </w:r>
          </w:p>
        </w:tc>
        <w:tc>
          <w:tcPr>
            <w:tcW w:w="8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项</w:t>
            </w:r>
          </w:p>
        </w:tc>
        <w:tc>
          <w:tcPr>
            <w:tcW w:w="6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highlight w:val="none"/>
                <w:u w:val="none"/>
                <w:lang w:val="en-US" w:eastAsia="zh-CN" w:bidi="ar-SA"/>
              </w:rPr>
            </w:pPr>
            <w:r>
              <w:rPr>
                <w:rFonts w:hint="default" w:ascii="Times New Roman" w:hAnsi="Times New Roman" w:eastAsia="宋体" w:cs="Times New Roman"/>
                <w:i w:val="0"/>
                <w:iCs w:val="0"/>
                <w:color w:val="000000"/>
                <w:kern w:val="0"/>
                <w:sz w:val="20"/>
                <w:szCs w:val="20"/>
                <w:highlight w:val="none"/>
                <w:u w:val="none"/>
                <w:lang w:val="en-US" w:eastAsia="zh-CN" w:bidi="ar"/>
              </w:rPr>
              <w:t>3</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kern w:val="2"/>
                <w:sz w:val="20"/>
                <w:szCs w:val="20"/>
                <w:highlight w:val="none"/>
                <w:u w:val="none"/>
                <w:lang w:val="en-US" w:eastAsia="zh-CN" w:bidi="ar-SA"/>
              </w:rPr>
            </w:pPr>
            <w:r>
              <w:rPr>
                <w:rFonts w:ascii="宋体" w:hAnsi="宋体" w:eastAsia="宋体" w:cs="宋体"/>
                <w:i w:val="0"/>
                <w:iCs w:val="0"/>
                <w:color w:val="000000"/>
                <w:kern w:val="0"/>
                <w:sz w:val="20"/>
                <w:szCs w:val="20"/>
                <w:highlight w:val="none"/>
                <w:u w:val="none"/>
                <w:lang w:val="en-US" w:eastAsia="zh-CN" w:bidi="ar"/>
              </w:rPr>
              <w:t>自动灭火装置</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七氟丙烷自动灭火装置购置和安装。形式：柜式，充装压力：2.5MPa (20 ℃时），气瓶容积L：40L以上，储瓶间环境温度：0 ～50 ℃，启动延时：0～ 30 S（可调）</w:t>
            </w:r>
          </w:p>
        </w:tc>
        <w:tc>
          <w:tcPr>
            <w:tcW w:w="114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机房内防火</w:t>
            </w:r>
          </w:p>
        </w:tc>
        <w:tc>
          <w:tcPr>
            <w:tcW w:w="8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项</w:t>
            </w:r>
          </w:p>
        </w:tc>
        <w:tc>
          <w:tcPr>
            <w:tcW w:w="6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highlight w:val="none"/>
                <w:u w:val="none"/>
                <w:lang w:val="en-US" w:eastAsia="zh-CN" w:bidi="ar-SA"/>
              </w:rPr>
            </w:pPr>
            <w:r>
              <w:rPr>
                <w:rFonts w:hint="default" w:ascii="Times New Roman" w:hAnsi="Times New Roman" w:eastAsia="宋体" w:cs="Times New Roman"/>
                <w:i w:val="0"/>
                <w:iCs w:val="0"/>
                <w:color w:val="000000"/>
                <w:kern w:val="0"/>
                <w:sz w:val="20"/>
                <w:szCs w:val="20"/>
                <w:highlight w:val="none"/>
                <w:u w:val="none"/>
                <w:lang w:val="en-US" w:eastAsia="zh-CN" w:bidi="ar"/>
              </w:rPr>
              <w:t>4</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kern w:val="2"/>
                <w:sz w:val="20"/>
                <w:szCs w:val="20"/>
                <w:highlight w:val="none"/>
                <w:u w:val="none"/>
                <w:lang w:val="en-US" w:eastAsia="zh-CN" w:bidi="ar-SA"/>
              </w:rPr>
            </w:pPr>
            <w:r>
              <w:rPr>
                <w:rFonts w:ascii="宋体" w:hAnsi="宋体" w:eastAsia="宋体" w:cs="宋体"/>
                <w:i w:val="0"/>
                <w:iCs w:val="0"/>
                <w:color w:val="000000"/>
                <w:kern w:val="0"/>
                <w:sz w:val="20"/>
                <w:szCs w:val="20"/>
                <w:highlight w:val="none"/>
                <w:u w:val="none"/>
                <w:lang w:val="en-US" w:eastAsia="zh-CN" w:bidi="ar"/>
              </w:rPr>
              <w:t>视频监控系统</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视频监控设施包含1个枪机、4个半球机、8路NVR购置和安装；1.枪机摄像头：清晰度≥1080P，焦距≥4mm，像素≥350万，呈像颜色：彩色；2.半球摄像头：清晰度≥1080P，焦距≥2.8mm，像素≥350万，呈像颜色：彩色；3.系统参数：视频接入路数&gt;=8，网络输出宽&gt;=80Mps；4.视频参数：视频输出：一路HDMI，一路VGA；解码能力：6*1080P；5.同步回放：8，视频解码格式：H265,H264；6.POE：支持8个POE供电端口；7.硬盘类型：监控级硬盘，存储：8TB</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用于雷达站监控</w:t>
            </w:r>
          </w:p>
        </w:tc>
        <w:tc>
          <w:tcPr>
            <w:tcW w:w="8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项</w:t>
            </w:r>
          </w:p>
        </w:tc>
        <w:tc>
          <w:tcPr>
            <w:tcW w:w="6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highlight w:val="none"/>
                <w:u w:val="none"/>
                <w:lang w:val="en-US" w:eastAsia="zh-CN" w:bidi="ar-SA"/>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kern w:val="2"/>
                <w:sz w:val="20"/>
                <w:szCs w:val="20"/>
                <w:highlight w:val="none"/>
                <w:u w:val="none"/>
                <w:lang w:val="en-US" w:eastAsia="zh-CN" w:bidi="ar-SA"/>
              </w:rPr>
            </w:pPr>
            <w:r>
              <w:rPr>
                <w:rFonts w:ascii="宋体" w:hAnsi="宋体" w:eastAsia="宋体" w:cs="宋体"/>
                <w:i w:val="0"/>
                <w:iCs w:val="0"/>
                <w:color w:val="000000"/>
                <w:kern w:val="0"/>
                <w:sz w:val="20"/>
                <w:szCs w:val="20"/>
                <w:highlight w:val="none"/>
                <w:u w:val="none"/>
                <w:lang w:val="en-US" w:eastAsia="zh-CN" w:bidi="ar"/>
              </w:rPr>
              <w:t>动力环境监控</w:t>
            </w:r>
            <w:r>
              <w:rPr>
                <w:rFonts w:ascii="宋体" w:hAnsi="宋体" w:eastAsia="宋体" w:cs="宋体"/>
                <w:i w:val="0"/>
                <w:iCs w:val="0"/>
                <w:color w:val="000000"/>
                <w:kern w:val="0"/>
                <w:sz w:val="20"/>
                <w:szCs w:val="20"/>
                <w:highlight w:val="none"/>
                <w:u w:val="none"/>
                <w:lang w:val="en-US" w:eastAsia="zh-CN" w:bidi="ar"/>
              </w:rPr>
              <w:br w:type="textWrapping"/>
            </w:r>
            <w:r>
              <w:rPr>
                <w:rFonts w:ascii="宋体" w:hAnsi="宋体" w:eastAsia="宋体" w:cs="宋体"/>
                <w:i w:val="0"/>
                <w:iCs w:val="0"/>
                <w:color w:val="000000"/>
                <w:kern w:val="0"/>
                <w:sz w:val="20"/>
                <w:szCs w:val="20"/>
                <w:highlight w:val="none"/>
                <w:u w:val="none"/>
                <w:lang w:val="en-US" w:eastAsia="zh-CN" w:bidi="ar"/>
              </w:rPr>
              <w:t>系统</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1、具备 3D 动环功能，预留后期接入接口；2、可检测 UPS 电源；3、可检测家用空调以及精密空调；4、带漏水检测功能；5、含烟雾检测模块；6、含温湿度检测模块；7.含声光报警功能；8.具有短信和语音电话报警功能</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用于雷达站监控</w:t>
            </w:r>
          </w:p>
        </w:tc>
        <w:tc>
          <w:tcPr>
            <w:tcW w:w="8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项</w:t>
            </w:r>
          </w:p>
        </w:tc>
        <w:tc>
          <w:tcPr>
            <w:tcW w:w="6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106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ascii="宋体" w:hAnsi="宋体" w:eastAsia="宋体" w:cs="宋体"/>
                <w:b/>
                <w:bCs/>
                <w:i w:val="0"/>
                <w:iCs w:val="0"/>
                <w:color w:val="000000"/>
                <w:sz w:val="20"/>
                <w:szCs w:val="20"/>
                <w:highlight w:val="none"/>
                <w:u w:val="none"/>
              </w:rPr>
            </w:pPr>
            <w:r>
              <w:rPr>
                <w:rFonts w:ascii="宋体" w:hAnsi="宋体" w:eastAsia="宋体" w:cs="宋体"/>
                <w:b/>
                <w:bCs/>
                <w:i w:val="0"/>
                <w:iCs w:val="0"/>
                <w:color w:val="000000"/>
                <w:kern w:val="0"/>
                <w:sz w:val="20"/>
                <w:szCs w:val="20"/>
                <w:highlight w:val="none"/>
                <w:u w:val="none"/>
                <w:lang w:val="en-US" w:eastAsia="zh-CN" w:bidi="ar"/>
              </w:rPr>
              <w:t>雷达配套基础建设</w:t>
            </w:r>
          </w:p>
        </w:tc>
        <w:tc>
          <w:tcPr>
            <w:tcW w:w="47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nil"/>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供电系统</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1.1</w:t>
            </w: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ascii="宋体" w:hAnsi="宋体" w:eastAsia="宋体" w:cs="宋体"/>
                <w:i w:val="0"/>
                <w:iCs w:val="0"/>
                <w:color w:val="000000"/>
                <w:kern w:val="0"/>
                <w:sz w:val="20"/>
                <w:szCs w:val="20"/>
                <w:highlight w:val="none"/>
                <w:u w:val="none"/>
                <w:lang w:val="en-US" w:eastAsia="zh-CN" w:bidi="ar"/>
              </w:rPr>
              <w:t>UPS</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保证10KW续航</w:t>
            </w:r>
            <w:r>
              <w:rPr>
                <w:rFonts w:hint="eastAsia" w:ascii="宋体" w:hAnsi="宋体" w:cs="宋体"/>
                <w:i w:val="0"/>
                <w:iCs w:val="0"/>
                <w:color w:val="000000"/>
                <w:kern w:val="0"/>
                <w:sz w:val="20"/>
                <w:szCs w:val="20"/>
                <w:highlight w:val="none"/>
                <w:u w:val="none"/>
                <w:lang w:val="en-US" w:eastAsia="zh-CN" w:bidi="ar"/>
              </w:rPr>
              <w:t>4</w:t>
            </w:r>
            <w:r>
              <w:rPr>
                <w:rFonts w:hint="eastAsia" w:ascii="宋体" w:hAnsi="宋体" w:eastAsia="宋体" w:cs="宋体"/>
                <w:i w:val="0"/>
                <w:iCs w:val="0"/>
                <w:color w:val="000000"/>
                <w:kern w:val="0"/>
                <w:sz w:val="20"/>
                <w:szCs w:val="20"/>
                <w:highlight w:val="none"/>
                <w:u w:val="none"/>
                <w:lang w:val="en-US" w:eastAsia="zh-CN" w:bidi="ar"/>
              </w:rPr>
              <w:t>小时不间断续航，单个C16电池柜尺寸：≤宽470MM*长780MM*高1210MM。UPS主机尺寸：≤宽190MM*长442MM*高318MM；具备断电自动切换和远程监控等功能</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用于停电时供电</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2</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雷达机房及配套设施</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single" w:color="auto"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2.1</w:t>
            </w:r>
          </w:p>
        </w:tc>
        <w:tc>
          <w:tcPr>
            <w:tcW w:w="1069"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ascii="宋体" w:hAnsi="宋体" w:eastAsia="宋体" w:cs="宋体"/>
                <w:i w:val="0"/>
                <w:iCs w:val="0"/>
                <w:color w:val="000000"/>
                <w:kern w:val="0"/>
                <w:sz w:val="20"/>
                <w:szCs w:val="20"/>
                <w:highlight w:val="none"/>
                <w:u w:val="none"/>
                <w:lang w:val="en-US" w:eastAsia="zh-CN" w:bidi="ar"/>
              </w:rPr>
              <w:t>雷达专用综合配电柜</w:t>
            </w:r>
          </w:p>
        </w:tc>
        <w:tc>
          <w:tcPr>
            <w:tcW w:w="473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包括路由网关、无线路由网关、FG100，包含电源线、4G/WIFI天线、4路5V继电器</w:t>
            </w:r>
          </w:p>
        </w:tc>
        <w:tc>
          <w:tcPr>
            <w:tcW w:w="114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机房内配套设备</w:t>
            </w:r>
          </w:p>
        </w:tc>
        <w:tc>
          <w:tcPr>
            <w:tcW w:w="84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2.2</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ascii="宋体" w:hAnsi="宋体" w:eastAsia="宋体" w:cs="宋体"/>
                <w:i w:val="0"/>
                <w:iCs w:val="0"/>
                <w:color w:val="000000"/>
                <w:kern w:val="0"/>
                <w:sz w:val="20"/>
                <w:szCs w:val="20"/>
                <w:highlight w:val="none"/>
                <w:u w:val="none"/>
                <w:lang w:val="en-US" w:eastAsia="zh-CN" w:bidi="ar"/>
              </w:rPr>
              <w:t>雷达机房专用配电箱</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横箱500*600*200，含自研网关、光模块</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机房内配套设备</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2.3</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ascii="宋体" w:hAnsi="宋体" w:eastAsia="宋体" w:cs="宋体"/>
                <w:i w:val="0"/>
                <w:iCs w:val="0"/>
                <w:color w:val="000000"/>
                <w:kern w:val="0"/>
                <w:sz w:val="20"/>
                <w:szCs w:val="20"/>
                <w:highlight w:val="none"/>
                <w:u w:val="none"/>
                <w:lang w:val="en-US" w:eastAsia="zh-CN" w:bidi="ar"/>
              </w:rPr>
              <w:t>雷达站专用存储NAS</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存储服务器，配备8个12TB存储硬盘；PCIe 3.0插槽：1x4-lanex8插槽；交流电输入电压：100V至240V交流电；RAID：支持软RAID（RAID 1 、RAID 5、RAID 6、RAID 10）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机房内配套设备</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2.4</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防火墙</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包转发率&gt;=9Mpps配置双电源，4个千兆Combo口，2个千兆光口，配置2个千兆单模光模块</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用于网络安全</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2.5</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ascii="宋体" w:hAnsi="宋体" w:eastAsia="宋体" w:cs="宋体"/>
                <w:i w:val="0"/>
                <w:iCs w:val="0"/>
                <w:color w:val="000000"/>
                <w:kern w:val="0"/>
                <w:sz w:val="20"/>
                <w:szCs w:val="20"/>
                <w:highlight w:val="none"/>
                <w:u w:val="none"/>
                <w:lang w:val="en-US" w:eastAsia="zh-CN" w:bidi="ar"/>
              </w:rPr>
              <w:t>交换机</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24口千兆企业级三层网管以太网络核心交换机；传输速率10/100/1000Mbps；包转发率108Mbps/126Mbps；配置双电源，4个万兆SFP+</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机房内配套设备</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2.6</w:t>
            </w:r>
          </w:p>
        </w:tc>
        <w:tc>
          <w:tcPr>
            <w:tcW w:w="10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ascii="宋体" w:hAnsi="宋体" w:eastAsia="宋体" w:cs="宋体"/>
                <w:i w:val="0"/>
                <w:iCs w:val="0"/>
                <w:color w:val="000000"/>
                <w:kern w:val="0"/>
                <w:sz w:val="20"/>
                <w:szCs w:val="20"/>
                <w:highlight w:val="none"/>
                <w:u w:val="none"/>
                <w:lang w:val="en-US" w:eastAsia="zh-CN" w:bidi="ar"/>
              </w:rPr>
              <w:t>雷达专用显示终端</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0"/>
                <w:highlight w:val="none"/>
                <w:u w:val="none"/>
                <w:lang w:bidi="ar"/>
              </w:rPr>
            </w:pPr>
            <w:r>
              <w:rPr>
                <w:rFonts w:hint="eastAsia" w:ascii="宋体" w:hAnsi="宋体" w:eastAsia="宋体" w:cs="宋体"/>
                <w:i w:val="0"/>
                <w:iCs w:val="0"/>
                <w:color w:val="000000"/>
                <w:kern w:val="0"/>
                <w:sz w:val="20"/>
                <w:szCs w:val="20"/>
                <w:highlight w:val="none"/>
                <w:u w:val="none"/>
                <w:lang w:val="en-US" w:eastAsia="zh-CN" w:bidi="ar"/>
              </w:rPr>
              <w:t>系统：</w:t>
            </w:r>
            <w:r>
              <w:rPr>
                <w:rFonts w:hint="eastAsia" w:ascii="宋体" w:hAnsi="宋体" w:cs="宋体"/>
                <w:i w:val="0"/>
                <w:iCs w:val="0"/>
                <w:color w:val="000000"/>
                <w:kern w:val="0"/>
                <w:sz w:val="20"/>
                <w:szCs w:val="20"/>
                <w:highlight w:val="none"/>
                <w:u w:val="none"/>
                <w:lang w:val="en-US" w:eastAsia="zh-CN" w:bidi="ar"/>
              </w:rPr>
              <w:t>麒麟系统</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宋体" w:hAnsi="宋体" w:cs="宋体"/>
                <w:color w:val="000000"/>
                <w:kern w:val="0"/>
                <w:sz w:val="20"/>
                <w:highlight w:val="none"/>
                <w:u w:val="none"/>
                <w:lang w:bidi="ar"/>
              </w:rPr>
              <w:t xml:space="preserve">CPU:    Hygon3250  8核心 基础频率  2.8GHz  16M缓存 </w:t>
            </w:r>
          </w:p>
          <w:p>
            <w:pPr>
              <w:keepNext w:val="0"/>
              <w:keepLines w:val="0"/>
              <w:widowControl/>
              <w:suppressLineNumbers w:val="0"/>
              <w:jc w:val="center"/>
              <w:textAlignment w:val="center"/>
              <w:rPr>
                <w:rFonts w:hint="eastAsia" w:ascii="宋体" w:hAnsi="宋体" w:cs="宋体"/>
                <w:color w:val="000000"/>
                <w:kern w:val="0"/>
                <w:sz w:val="20"/>
                <w:highlight w:val="none"/>
                <w:u w:val="none"/>
                <w:lang w:bidi="ar"/>
              </w:rPr>
            </w:pPr>
            <w:r>
              <w:rPr>
                <w:rFonts w:hint="eastAsia" w:ascii="宋体" w:hAnsi="宋体" w:cs="宋体"/>
                <w:color w:val="000000"/>
                <w:kern w:val="0"/>
                <w:sz w:val="20"/>
                <w:highlight w:val="none"/>
                <w:u w:val="none"/>
                <w:lang w:bidi="ar"/>
              </w:rPr>
              <w:t>内存条：16G  DDR4  2666</w:t>
            </w:r>
          </w:p>
          <w:p>
            <w:pPr>
              <w:keepNext w:val="0"/>
              <w:keepLines w:val="0"/>
              <w:widowControl/>
              <w:suppressLineNumbers w:val="0"/>
              <w:jc w:val="center"/>
              <w:textAlignment w:val="center"/>
              <w:rPr>
                <w:rFonts w:hint="eastAsia" w:ascii="宋体" w:hAnsi="宋体" w:cs="宋体"/>
                <w:color w:val="000000"/>
                <w:kern w:val="0"/>
                <w:sz w:val="20"/>
                <w:highlight w:val="none"/>
                <w:u w:val="none"/>
                <w:lang w:bidi="ar"/>
              </w:rPr>
            </w:pPr>
            <w:r>
              <w:rPr>
                <w:rFonts w:hint="eastAsia" w:ascii="宋体" w:hAnsi="宋体" w:cs="宋体"/>
                <w:color w:val="000000"/>
                <w:kern w:val="0"/>
                <w:sz w:val="20"/>
                <w:highlight w:val="none"/>
                <w:u w:val="none"/>
                <w:lang w:bidi="ar"/>
              </w:rPr>
              <w:t>硬盘：512G  SSD M.2</w:t>
            </w:r>
          </w:p>
          <w:p>
            <w:pPr>
              <w:keepNext w:val="0"/>
              <w:keepLines w:val="0"/>
              <w:widowControl/>
              <w:suppressLineNumbers w:val="0"/>
              <w:jc w:val="center"/>
              <w:textAlignment w:val="center"/>
              <w:rPr>
                <w:rFonts w:hint="eastAsia" w:ascii="宋体" w:hAnsi="宋体" w:cs="宋体"/>
                <w:color w:val="000000"/>
                <w:kern w:val="0"/>
                <w:sz w:val="20"/>
                <w:highlight w:val="none"/>
                <w:u w:val="none"/>
                <w:lang w:bidi="ar"/>
              </w:rPr>
            </w:pPr>
            <w:r>
              <w:rPr>
                <w:rFonts w:hint="eastAsia" w:ascii="宋体" w:hAnsi="宋体" w:cs="宋体"/>
                <w:color w:val="000000"/>
                <w:kern w:val="0"/>
                <w:sz w:val="20"/>
                <w:highlight w:val="none"/>
                <w:u w:val="none"/>
                <w:lang w:bidi="ar"/>
              </w:rPr>
              <w:t>显卡：NVIDIA RTX 1660S 6G 基础频率：1530MHz 加速频率：1785MHz 显存6G，</w:t>
            </w:r>
          </w:p>
          <w:p>
            <w:pPr>
              <w:keepNext w:val="0"/>
              <w:keepLines w:val="0"/>
              <w:widowControl/>
              <w:suppressLineNumbers w:val="0"/>
              <w:jc w:val="center"/>
              <w:textAlignment w:val="center"/>
              <w:rPr>
                <w:rFonts w:hint="eastAsia" w:ascii="宋体" w:hAnsi="宋体" w:cs="宋体"/>
                <w:color w:val="000000"/>
                <w:kern w:val="0"/>
                <w:sz w:val="20"/>
                <w:highlight w:val="none"/>
                <w:u w:val="none"/>
                <w:lang w:bidi="ar"/>
              </w:rPr>
            </w:pPr>
            <w:r>
              <w:rPr>
                <w:rFonts w:hint="eastAsia" w:ascii="宋体" w:hAnsi="宋体" w:cs="宋体"/>
                <w:color w:val="000000"/>
                <w:kern w:val="0"/>
                <w:sz w:val="20"/>
                <w:highlight w:val="none"/>
                <w:u w:val="none"/>
                <w:lang w:bidi="ar"/>
              </w:rPr>
              <w:t>接口：前面板4个USB3.0 后门板4个USB3.0  1个千兆网卡  1组音频接口</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color w:val="000000"/>
                <w:kern w:val="0"/>
                <w:sz w:val="20"/>
                <w:highlight w:val="none"/>
                <w:u w:val="none"/>
                <w:lang w:bidi="ar"/>
              </w:rPr>
              <w:t xml:space="preserve">电源：额定600W </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用于监测显示</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nil"/>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2.7</w:t>
            </w:r>
          </w:p>
        </w:tc>
        <w:tc>
          <w:tcPr>
            <w:tcW w:w="1069" w:type="dxa"/>
            <w:tcBorders>
              <w:top w:val="nil"/>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highlight w:val="none"/>
                <w:u w:val="none"/>
              </w:rPr>
            </w:pPr>
            <w:r>
              <w:rPr>
                <w:rFonts w:ascii="宋体" w:hAnsi="宋体" w:eastAsia="宋体" w:cs="宋体"/>
                <w:i w:val="0"/>
                <w:iCs w:val="0"/>
                <w:color w:val="000000"/>
                <w:kern w:val="0"/>
                <w:sz w:val="20"/>
                <w:szCs w:val="20"/>
                <w:highlight w:val="none"/>
                <w:u w:val="none"/>
                <w:lang w:val="en-US" w:eastAsia="zh-CN" w:bidi="ar"/>
              </w:rPr>
              <w:t>其他配套</w:t>
            </w:r>
          </w:p>
        </w:tc>
        <w:tc>
          <w:tcPr>
            <w:tcW w:w="4738"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塔上及塔下线缆的布设、光纤的布设等</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机房内配套设备</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四</w:t>
            </w:r>
          </w:p>
        </w:tc>
        <w:tc>
          <w:tcPr>
            <w:tcW w:w="106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ascii="宋体" w:hAnsi="宋体" w:eastAsia="宋体" w:cs="宋体"/>
                <w:b/>
                <w:bCs/>
                <w:i w:val="0"/>
                <w:iCs w:val="0"/>
                <w:color w:val="000000"/>
                <w:sz w:val="20"/>
                <w:szCs w:val="20"/>
                <w:highlight w:val="none"/>
                <w:u w:val="none"/>
              </w:rPr>
            </w:pPr>
            <w:r>
              <w:rPr>
                <w:rFonts w:ascii="宋体" w:hAnsi="宋体" w:eastAsia="宋体" w:cs="宋体"/>
                <w:b/>
                <w:bCs/>
                <w:i w:val="0"/>
                <w:iCs w:val="0"/>
                <w:color w:val="000000"/>
                <w:kern w:val="0"/>
                <w:sz w:val="20"/>
                <w:szCs w:val="20"/>
                <w:highlight w:val="none"/>
                <w:u w:val="none"/>
                <w:lang w:val="en-US" w:eastAsia="zh-CN" w:bidi="ar"/>
              </w:rPr>
              <w:t>数据集约存储处理模块</w:t>
            </w:r>
          </w:p>
        </w:tc>
        <w:tc>
          <w:tcPr>
            <w:tcW w:w="47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nil"/>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省级天擎雷达数据归集</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雷达数据收集、处理、接入全省统一数据中心天擎，提供数据服务</w:t>
            </w:r>
          </w:p>
        </w:tc>
        <w:tc>
          <w:tcPr>
            <w:tcW w:w="1142" w:type="dxa"/>
            <w:tcBorders>
              <w:top w:val="nil"/>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主要用于省级天擎雷达数据归集处理及服务</w:t>
            </w:r>
          </w:p>
        </w:tc>
        <w:tc>
          <w:tcPr>
            <w:tcW w:w="846"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85"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84"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highlight w:val="none"/>
                <w:u w:val="none"/>
                <w:lang w:val="en-US" w:eastAsia="zh-CN"/>
              </w:rPr>
            </w:pPr>
            <w:r>
              <w:rPr>
                <w:rFonts w:hint="eastAsia" w:ascii="宋体" w:hAnsi="宋体" w:cs="宋体"/>
                <w:b/>
                <w:bCs/>
                <w:i w:val="0"/>
                <w:iCs w:val="0"/>
                <w:color w:val="000000"/>
                <w:sz w:val="20"/>
                <w:szCs w:val="20"/>
                <w:highlight w:val="none"/>
                <w:u w:val="none"/>
                <w:lang w:val="en-US" w:eastAsia="zh-CN"/>
              </w:rPr>
              <w:t>五</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eastAsia="宋体" w:cs="宋体"/>
                <w:b/>
                <w:bCs/>
                <w:i w:val="0"/>
                <w:iCs w:val="0"/>
                <w:color w:val="000000"/>
                <w:sz w:val="20"/>
                <w:szCs w:val="20"/>
                <w:highlight w:val="none"/>
                <w:u w:val="none"/>
                <w:lang w:val="en-US" w:eastAsia="zh-CN"/>
              </w:rPr>
              <w:t>雷达吊装调试</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雷达吊装调试</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至少1台班，用于雷达、天线罩、发电机等设备吊装</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班次</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cs="宋体"/>
                <w:b/>
                <w:bCs/>
                <w:i w:val="0"/>
                <w:iCs w:val="0"/>
                <w:color w:val="000000"/>
                <w:sz w:val="20"/>
                <w:szCs w:val="20"/>
                <w:highlight w:val="none"/>
                <w:u w:val="none"/>
                <w:lang w:val="en-US" w:eastAsia="zh-CN"/>
              </w:rPr>
              <w:t>六</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eastAsia="宋体" w:cs="宋体"/>
                <w:b/>
                <w:bCs/>
                <w:i w:val="0"/>
                <w:iCs w:val="0"/>
                <w:color w:val="000000"/>
                <w:sz w:val="20"/>
                <w:szCs w:val="20"/>
                <w:highlight w:val="none"/>
                <w:u w:val="none"/>
                <w:lang w:val="en-US" w:eastAsia="zh-CN"/>
              </w:rPr>
              <w:t>站点其他服务</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lang w:val="en-US" w:eastAsia="zh-CN"/>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电磁隔离评估</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X波段雷达站点电磁隔离评估</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雷达专用机房</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3500mm×3500mm×2700mm（长×宽×高），其中2.7m为机房净空高度，包含静电地板、辅材、走线等</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宋体" w:hAnsi="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七</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防雷建设</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宋体" w:hAnsi="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1</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防雷建设</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站址配套基础设施要求、运行环境保障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1.防雷大地网：地阻小于 4Ω，提供防雷检测报告；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2.电解离子接地模块：扁形 23kg，埋设电解离子接地模块；</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3.接地极：镀锌角钢L50×5、L=2500mm，降低接地电阻；</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4.接地母线：40mm*4mm2铜包扁钢，降低接地电阻；</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5.降阻剂 ：25kg，埋设降阻剂；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6.机房屏蔽及接地：φ6圆钢，16 平方，钢结构间﹑金属门窗等等电位连接；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7.停车场均衡电位处理：φ6圆钢，停车场网状接地装置对地面作均衡电位处理；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8浪涌保护器：总电源1个浪涌保护器 ,分电源4个，计算机信号处1个，安装在配电箱内；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9.铜线鼻子：16平方米铜线鼻子，以现场线缆需求配置数量；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10.设备接地：16 平方铜芯线，浪涌保护器接地、配电箱接地、UPS主机接地、电池柜接地、机柜接地等；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11.挖沟槽土方：接地模块﹑接地极﹑降阻剂敷设，挖掘机挖土、人工挖沟槽、基坑土方，填土夯实槽、坑；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12.挖孔洞：按</w:t>
            </w:r>
            <w:r>
              <w:rPr>
                <w:rFonts w:hint="eastAsia" w:ascii="宋体" w:hAnsi="宋体" w:cs="宋体"/>
                <w:i w:val="0"/>
                <w:iCs w:val="0"/>
                <w:color w:val="auto"/>
                <w:kern w:val="0"/>
                <w:sz w:val="21"/>
                <w:szCs w:val="21"/>
                <w:highlight w:val="none"/>
                <w:u w:val="none"/>
                <w:lang w:val="en-US" w:eastAsia="zh-CN" w:bidi="ar"/>
              </w:rPr>
              <w:t>2</w:t>
            </w:r>
            <w:r>
              <w:rPr>
                <w:rFonts w:hint="eastAsia" w:ascii="宋体" w:hAnsi="宋体" w:eastAsia="宋体" w:cs="宋体"/>
                <w:i w:val="0"/>
                <w:iCs w:val="0"/>
                <w:color w:val="auto"/>
                <w:kern w:val="0"/>
                <w:sz w:val="21"/>
                <w:szCs w:val="21"/>
                <w:highlight w:val="none"/>
                <w:u w:val="none"/>
                <w:lang w:val="en-US" w:eastAsia="zh-CN" w:bidi="ar"/>
              </w:rPr>
              <w:t>m考虑，具体以配合接地模块敷设为准。</w:t>
            </w:r>
          </w:p>
          <w:p>
            <w:pPr>
              <w:pStyle w:val="2"/>
              <w:numPr>
                <w:ilvl w:val="0"/>
                <w:numId w:val="0"/>
              </w:numPr>
              <w:rPr>
                <w:rFonts w:hint="eastAsia"/>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二、具体详见图纸。</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02" w:firstLineChars="200"/>
              <w:jc w:val="both"/>
              <w:textAlignment w:val="center"/>
              <w:rPr>
                <w:rFonts w:hint="eastAsia" w:ascii="宋体" w:hAnsi="宋体" w:eastAsia="宋体" w:cs="宋体"/>
                <w:b/>
                <w:bCs/>
                <w:i w:val="0"/>
                <w:iCs w:val="0"/>
                <w:color w:val="000000"/>
                <w:kern w:val="0"/>
                <w:sz w:val="20"/>
                <w:szCs w:val="20"/>
                <w:highlight w:val="none"/>
                <w:u w:val="none"/>
                <w:lang w:val="en-US" w:eastAsia="zh-CN" w:bidi="ar"/>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八</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气象雷达铁塔</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雷达塔体基础</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土（石）方开挖及回填，余方弃置；C15商品混凝土垫层8.46m3；C30商品混凝土满堂基础48.6m3；C30商品混凝土矩形柱1.44m3；C30商品混凝土基础梁2.64m3；现浇构件钢筋：带肋钢筋HRB400以内直径(18mm以内)3.629t、钢筋HPB300直径(10mm以内)0.51t；预埋螺栓0.106t；预埋铁件0.3t。</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雷达塔</w:t>
            </w:r>
          </w:p>
        </w:tc>
        <w:tc>
          <w:tcPr>
            <w:tcW w:w="4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一、雷达塔：1、钢材品种、规格：Q235B镀锌角钢、槽钢、扁钢等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2、单根钢材质量：3t内，数量6.868t</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3、探伤要求：γ射线无损检测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4、镀锌钢材（具体做法详见施工图）。</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二、钢板楼板：1、钢材品种、规格：Q235B花纹钢板（扁豆形）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2、钢板厚度：8mm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三、避雷支架：1、钢材品种、规格：Q235B,壁雷支架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2、单根柱质量：3t内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3、探伤要求：γ射线无损检测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4、镀锌钢材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四、钢梯：1、钢材品种、规格：Q235B,钢爬式楼梯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2、单根柱质量：3t内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3、探伤要求：γ射线无损检测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4、镀锌钢材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五、避雷针：1、</w:t>
            </w:r>
            <w:r>
              <w:rPr>
                <w:rFonts w:hint="eastAsia" w:ascii="宋体" w:hAnsi="宋体" w:cs="宋体"/>
                <w:i w:val="0"/>
                <w:iCs w:val="0"/>
                <w:color w:val="auto"/>
                <w:kern w:val="0"/>
                <w:sz w:val="21"/>
                <w:szCs w:val="21"/>
                <w:highlight w:val="none"/>
                <w:u w:val="none"/>
                <w:lang w:val="en-US" w:eastAsia="zh-CN" w:bidi="ar"/>
              </w:rPr>
              <w:t>3根等高6.5</w:t>
            </w:r>
            <w:r>
              <w:rPr>
                <w:rFonts w:hint="eastAsia" w:ascii="宋体" w:hAnsi="宋体" w:eastAsia="宋体" w:cs="宋体"/>
                <w:i w:val="0"/>
                <w:iCs w:val="0"/>
                <w:color w:val="auto"/>
                <w:kern w:val="0"/>
                <w:sz w:val="21"/>
                <w:szCs w:val="21"/>
                <w:highlight w:val="none"/>
                <w:u w:val="none"/>
                <w:lang w:val="en-US" w:eastAsia="zh-CN" w:bidi="ar"/>
              </w:rPr>
              <w:t>米玻璃钢避雷针</w:t>
            </w:r>
            <w:r>
              <w:rPr>
                <w:rFonts w:hint="eastAsia" w:ascii="宋体" w:hAnsi="宋体" w:cs="宋体"/>
                <w:i w:val="0"/>
                <w:iCs w:val="0"/>
                <w:color w:val="auto"/>
                <w:kern w:val="0"/>
                <w:sz w:val="21"/>
                <w:szCs w:val="21"/>
                <w:highlight w:val="none"/>
                <w:u w:val="none"/>
                <w:lang w:val="en-US" w:eastAsia="zh-CN" w:bidi="ar"/>
              </w:rPr>
              <w:t>，避雷针与铁塔接触底部须做好绝缘措施。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2、底部配重金属小于1.2米</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六、接地极：L50*5镀锌接地极(H=2.5m)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七、接地极：-40X4镀锌接地极(H=0.7m)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八</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措施费：大型机械设备进出场及安拆（履带式挖掘机1m3以内）、基础垫层模板、地下室底板、满堂基础有梁式复合木模、矩形柱复合木模、基础梁复合木模、混凝土结构综合脚手架 檐高（30m以内） 层高（6m以内）、垂直运输 檐高50m内  层高25m内、上山材料二次搬运费</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座</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bl>
    <w:p>
      <w:pPr>
        <w:spacing w:line="560" w:lineRule="exact"/>
        <w:jc w:val="left"/>
        <w:rPr>
          <w:b/>
          <w:bCs/>
          <w:szCs w:val="21"/>
          <w:highlight w:val="none"/>
        </w:rPr>
      </w:pPr>
      <w:r>
        <w:rPr>
          <w:rFonts w:hint="eastAsia" w:ascii="宋体" w:hAnsi="宋体" w:eastAsia="宋体" w:cs="宋体"/>
          <w:b/>
          <w:bCs/>
          <w:i w:val="0"/>
          <w:iCs w:val="0"/>
          <w:color w:val="auto"/>
          <w:kern w:val="0"/>
          <w:sz w:val="21"/>
          <w:szCs w:val="21"/>
          <w:highlight w:val="none"/>
          <w:u w:val="none"/>
          <w:lang w:val="en-US" w:eastAsia="zh-CN" w:bidi="ar"/>
        </w:rPr>
        <w:t>附表1.X波段双偏振相控阵天气雷达及配套软件技术参数</w:t>
      </w:r>
    </w:p>
    <w:tbl>
      <w:tblPr>
        <w:tblStyle w:val="23"/>
        <w:tblW w:w="8978" w:type="dxa"/>
        <w:tblInd w:w="0" w:type="dxa"/>
        <w:tblLayout w:type="fixed"/>
        <w:tblCellMar>
          <w:top w:w="0" w:type="dxa"/>
          <w:left w:w="108" w:type="dxa"/>
          <w:bottom w:w="0" w:type="dxa"/>
          <w:right w:w="108" w:type="dxa"/>
        </w:tblCellMar>
      </w:tblPr>
      <w:tblGrid>
        <w:gridCol w:w="805"/>
        <w:gridCol w:w="794"/>
        <w:gridCol w:w="1003"/>
        <w:gridCol w:w="2514"/>
        <w:gridCol w:w="3862"/>
      </w:tblGrid>
      <w:tr>
        <w:tblPrEx>
          <w:tblCellMar>
            <w:top w:w="0" w:type="dxa"/>
            <w:left w:w="108" w:type="dxa"/>
            <w:bottom w:w="0" w:type="dxa"/>
            <w:right w:w="108" w:type="dxa"/>
          </w:tblCellMar>
        </w:tblPrEx>
        <w:trPr>
          <w:trHeight w:val="452" w:hRule="atLeast"/>
          <w:tblHeader/>
        </w:trPr>
        <w:tc>
          <w:tcPr>
            <w:tcW w:w="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79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性能指标</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794" w:type="dxa"/>
            <w:vMerge w:val="restart"/>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总体技术指标要求</w:t>
            </w: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雷达体制</w:t>
            </w:r>
          </w:p>
        </w:tc>
        <w:tc>
          <w:tcPr>
            <w:tcW w:w="3862"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1.全固态、全相参多普勒、方位机扫、俯仰相扫、双线偏振、数字波束形成。</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eastAsia="宋体" w:cs="宋体"/>
                <w:szCs w:val="21"/>
                <w:highlight w:val="none"/>
              </w:rPr>
              <w:t>▲</w:t>
            </w:r>
            <w:r>
              <w:rPr>
                <w:rFonts w:hint="eastAsia" w:ascii="宋体" w:hAnsi="宋体" w:eastAsia="宋体" w:cs="宋体"/>
                <w:i w:val="0"/>
                <w:iCs w:val="0"/>
                <w:color w:val="auto"/>
                <w:kern w:val="0"/>
                <w:sz w:val="21"/>
                <w:szCs w:val="21"/>
                <w:highlight w:val="none"/>
                <w:u w:val="none"/>
                <w:lang w:val="en-US" w:eastAsia="zh-CN" w:bidi="ar"/>
              </w:rPr>
              <w:t>投标产品必须并入</w:t>
            </w:r>
            <w:r>
              <w:rPr>
                <w:rFonts w:hint="eastAsia" w:ascii="宋体" w:hAnsi="宋体" w:cs="宋体"/>
                <w:i w:val="0"/>
                <w:iCs w:val="0"/>
                <w:color w:val="auto"/>
                <w:kern w:val="0"/>
                <w:sz w:val="21"/>
                <w:szCs w:val="21"/>
                <w:highlight w:val="none"/>
                <w:u w:val="none"/>
                <w:lang w:val="en-US" w:eastAsia="zh-CN" w:bidi="ar"/>
              </w:rPr>
              <w:t>衢州</w:t>
            </w:r>
            <w:r>
              <w:rPr>
                <w:rFonts w:hint="eastAsia" w:ascii="宋体" w:hAnsi="宋体" w:eastAsia="宋体" w:cs="宋体"/>
                <w:i w:val="0"/>
                <w:iCs w:val="0"/>
                <w:color w:val="auto"/>
                <w:kern w:val="0"/>
                <w:sz w:val="21"/>
                <w:szCs w:val="21"/>
                <w:highlight w:val="none"/>
                <w:u w:val="none"/>
                <w:lang w:val="en-US" w:eastAsia="zh-CN" w:bidi="ar"/>
              </w:rPr>
              <w:t>市X波段天气雷达网并开展分组同步组网观测，并提供承诺函（格式自拟），否则作无效标处理。</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工作频率</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9.3 ～ 9.5GHz</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整机寿命</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≥15年</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探测距离范围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警戒≥1</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0km</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定量≥</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0km</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近距离盲区范围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≤300米</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50千米处可探测的最小反射率因子</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dBZ</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测量</w:t>
            </w:r>
          </w:p>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范围</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强度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-15dBz ～ +80dBz</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速度</w:t>
            </w:r>
          </w:p>
        </w:tc>
        <w:tc>
          <w:tcPr>
            <w:tcW w:w="3862"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-48m/s ～ +48m/s</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谱宽</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0m/s～16m/s</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差分反射率因子</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-7.9dB～+7.9dB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差分传播相位</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-90°～+90°或-180°～+180°</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差分传播相位率</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-2°/km～+20°/km</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相关系数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0～1</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参数测量精度</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强度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距离</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≤30m</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速度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 m/s</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谱宽</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 m/s</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差分反射率因子</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差分传播相位</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差分传播相位率</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≤0.2°/km</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相关系数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≤0.01</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23</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系统相位噪声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地物杂波抑制比</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收发单元通道幅相一致性</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幅度波动小于±0.5dB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26</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相位波动均方根误差小于±3°</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27</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输出参数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强度、速度、谱宽、差分反射率因子、差分传播相位、差分传播相位率、相关系数</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28</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电源要求</w:t>
            </w:r>
          </w:p>
        </w:tc>
        <w:tc>
          <w:tcPr>
            <w:tcW w:w="38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三相AC380V±10%，50Hz±5%</w:t>
            </w:r>
          </w:p>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或单相AC220V±10%，50Hz±5%</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29</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重量</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≤4吨</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30</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阵面尺寸</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≥1.5m×1.4m（要求提供所投型号产品第三方检验检测机构出具的测试报告，报告中检测内容需包含本项所列参数，须提供以上资料复印件并加盖投标人公章，否则不计分）</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31</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环境</w:t>
            </w:r>
          </w:p>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要求</w:t>
            </w:r>
          </w:p>
        </w:tc>
        <w:tc>
          <w:tcPr>
            <w:tcW w:w="2514"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工作温度</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室外、车厢外装备：-40～+50℃，室内、车厢内装备：0～+40℃</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32</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贮存温度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-40～+60℃</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33</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最大湿度（+30℃）</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室内：≤90%</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34</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工作高度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海拔高度：≤3000m</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35</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冲击、振动、淋雨</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符合国家有关部门规定，且满足野外运输要求</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36</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抗干扰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电源干扰、电磁干扰、无线电频率干扰</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37</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其它</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防水、防霉、防盐雾</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38</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任务可靠性时间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≥2000h</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39</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平均故障修复时间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≤0.5h</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40</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架设方式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固定架设</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41</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连续工作时间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可24h工作</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42</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微波辐射安全性</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雷达微波漏能功率密度应符合GJB5313-2004的要求。</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43</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安全标记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雷达高压部位、微波泄漏部位、机械转动部位应有清晰、醒目的安全警示标记。</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44</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互换性</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雷达备份零件、部件、组件和功能单元均能在现场更换，无需调整而正常工作。</w:t>
            </w:r>
          </w:p>
        </w:tc>
      </w:tr>
      <w:tr>
        <w:tblPrEx>
          <w:tblCellMar>
            <w:top w:w="0" w:type="dxa"/>
            <w:left w:w="108" w:type="dxa"/>
            <w:bottom w:w="0" w:type="dxa"/>
            <w:right w:w="108" w:type="dxa"/>
          </w:tblCellMar>
        </w:tblPrEx>
        <w:trPr>
          <w:trHeight w:val="146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45</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电磁兼容性</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雷达具有市电滤波和防电磁干扰的能力，设置静电屏蔽、磁屏蔽、电磁屏蔽，模拟地线、数字地线和安全地线严格分开。</w:t>
            </w:r>
          </w:p>
        </w:tc>
      </w:tr>
      <w:tr>
        <w:tblPrEx>
          <w:tblCellMar>
            <w:top w:w="0" w:type="dxa"/>
            <w:left w:w="108" w:type="dxa"/>
            <w:bottom w:w="0" w:type="dxa"/>
            <w:right w:w="108" w:type="dxa"/>
          </w:tblCellMar>
        </w:tblPrEx>
        <w:trPr>
          <w:trHeight w:val="146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46</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安全性</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雷达应有安全性设计,确保雷达按规定条件进行制造、安装、运输、贮存、使用和维护时的人身安全和设备安全。</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47</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防雷要求</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雷达站避雷针与铁塔共用接地系统,接地电阻应不大于4Ω，避雷针高度应使天线处于保护范围内。</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48</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雷达电源线输入端应加装防雷滤波器，室外电缆一律采用屏蔽电缆。</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49</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绝缘性</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雷达各初级电源与大地间绝缘电阻应大于1MΩ。</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50</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其他</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有关冲击、振动、跑车、淋雨等符合国家有关部门规定。</w:t>
            </w:r>
          </w:p>
        </w:tc>
      </w:tr>
      <w:tr>
        <w:tblPrEx>
          <w:tblCellMar>
            <w:top w:w="0" w:type="dxa"/>
            <w:left w:w="108" w:type="dxa"/>
            <w:bottom w:w="0" w:type="dxa"/>
            <w:right w:w="108" w:type="dxa"/>
          </w:tblCellMar>
        </w:tblPrEx>
        <w:trPr>
          <w:trHeight w:val="146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51</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外观质量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外观应协调一致。外表面应无凹痕、碰伤、裂痕和变形等缺陷；镀涂层不起泡、龟裂和脱落；金属零件无锈蚀、毛刺及其它机械损伤。</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52</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标记与代号</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机柜、机箱、插件和线缆等应有统一的编号和标记，符合国家标准。</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53</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印制板、主要元器件等应在相应位置印有与电路图中项目代号相符的标记。</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54</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标记的文字、字母和符号应完整、规范、清晰和牢固，且便于识读。</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55</w:t>
            </w:r>
          </w:p>
        </w:tc>
        <w:tc>
          <w:tcPr>
            <w:tcW w:w="794" w:type="dxa"/>
            <w:vMerge w:val="continue"/>
            <w:tcBorders>
              <w:left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环境噪声要求</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工作机房噪声不大于85dB终端操作室噪声不大于65dB。</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56</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雷达应有的铭牌包括的内容</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雷达的名称、型号(代号)；出厂编号；出厂年月；制造厂商标。</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57</w:t>
            </w:r>
          </w:p>
        </w:tc>
        <w:tc>
          <w:tcPr>
            <w:tcW w:w="794"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天线技术指标要求</w:t>
            </w: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天线形式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双线偏振相控阵阵列天线</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58</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频率</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9.3GHz～9.5GHz</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59</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极化方式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线性水平、垂直极化</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60</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波束水平宽度（水平偏振和垂直偏振）（法向）</w:t>
            </w:r>
          </w:p>
        </w:tc>
        <w:tc>
          <w:tcPr>
            <w:tcW w:w="3862"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（要求提供所投型号产品第三方检验检测机构出具的测试报告，报告中检测内容需包含本项所列参数，须提供以上资料复印件并加盖投标人公章，否则不计分）</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61</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波束垂直宽度（水平偏振和垂直偏振）（法向）</w:t>
            </w:r>
          </w:p>
        </w:tc>
        <w:tc>
          <w:tcPr>
            <w:tcW w:w="3862"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（要求提供所投型号产品第三方检验检测机构出具的测试报告，报告中检测内容需包含本项所列参数，须提供以上资料复印件并加盖投标人公章，否则不计分）</w:t>
            </w:r>
          </w:p>
        </w:tc>
      </w:tr>
      <w:tr>
        <w:tblPrEx>
          <w:tblCellMar>
            <w:top w:w="0" w:type="dxa"/>
            <w:left w:w="108" w:type="dxa"/>
            <w:bottom w:w="0" w:type="dxa"/>
            <w:right w:w="108" w:type="dxa"/>
          </w:tblCellMar>
        </w:tblPrEx>
        <w:trPr>
          <w:trHeight w:val="373"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62</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增益（法向）</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63</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第一副瓣电平</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64</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交叉极化隔离度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dB</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65</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水平方向上双线偏振波束角度误差</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66</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水平方向上双线偏振3dB波束宽度差</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67</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抗风能力（阵风）</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有天线罩：17级风速下正常工作</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68</w:t>
            </w:r>
          </w:p>
        </w:tc>
        <w:tc>
          <w:tcPr>
            <w:tcW w:w="794"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天线阵面和伺服系统技术指标</w:t>
            </w: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天线阵面扫描方式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PPI、RHI、体扫、扇扫、定点、用户自定义</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69</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天线阵面扫描范围</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方位机械扫描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 °～ 360°连续扫描</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70</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俯仰电子扫描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0°- </w:t>
            </w:r>
            <w:r>
              <w:rPr>
                <w:rFonts w:hint="eastAsia" w:ascii="宋体" w:hAnsi="宋体" w:eastAsia="宋体" w:cs="宋体"/>
                <w:sz w:val="21"/>
                <w:szCs w:val="21"/>
                <w:highlight w:val="none"/>
                <w:lang w:val="en-US" w:eastAsia="zh-CN"/>
              </w:rPr>
              <w:t>72</w:t>
            </w:r>
            <w:r>
              <w:rPr>
                <w:rFonts w:hint="eastAsia" w:ascii="宋体" w:hAnsi="宋体" w:eastAsia="宋体" w:cs="宋体"/>
                <w:sz w:val="21"/>
                <w:szCs w:val="21"/>
                <w:highlight w:val="none"/>
              </w:rPr>
              <w:t>°</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71</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俯仰机械调整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 ～ +90°</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72</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体扫时间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体扫时间≤60S（方位0°-360°，俯仰0°-72°不少于48层无间隔扫描）</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73</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天线阵面定位精度</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方位</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≤0.1°</w:t>
            </w:r>
          </w:p>
        </w:tc>
      </w:tr>
      <w:tr>
        <w:tblPrEx>
          <w:tblCellMar>
            <w:top w:w="0" w:type="dxa"/>
            <w:left w:w="108" w:type="dxa"/>
            <w:bottom w:w="0" w:type="dxa"/>
            <w:right w:w="108" w:type="dxa"/>
          </w:tblCellMar>
        </w:tblPrEx>
        <w:trPr>
          <w:trHeight w:val="646"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74</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俯仰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≤0.1°</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75</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天线阵面控制精度</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方位</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≤0.1°</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76</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天线阵面控制字长</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≥14位</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77</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角度编码器字长</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≥14位</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78</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伺服同步误差</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雷达具备远程同步控制能力，雷达时间同步误差：≤0.2s，雷达方位角同步误差：≤0.5°</w:t>
            </w:r>
          </w:p>
        </w:tc>
      </w:tr>
      <w:tr>
        <w:tblPrEx>
          <w:tblCellMar>
            <w:top w:w="0" w:type="dxa"/>
            <w:left w:w="108" w:type="dxa"/>
            <w:bottom w:w="0" w:type="dxa"/>
            <w:right w:w="108" w:type="dxa"/>
          </w:tblCellMar>
        </w:tblPrEx>
        <w:trPr>
          <w:trHeight w:val="1828"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79</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安全与保护</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天线阵面应设有辅助支撑锁定机构，以保证其在运输架设时的安全性和稳定性。天线阵面的方位运转系统中应具有安全保护措施并具备锁定功能。</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80</w:t>
            </w:r>
          </w:p>
        </w:tc>
        <w:tc>
          <w:tcPr>
            <w:tcW w:w="794"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收发、接收通道技术指标</w:t>
            </w: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发射通道技术性能指标表</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发射通道形式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全固态分布式</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81</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发射通道数量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32</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82</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工作频率</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9.3 ～ 9.5GHz</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83</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cs="宋体"/>
                <w:sz w:val="24"/>
                <w:highlight w:val="none"/>
                <w:lang w:bidi="ar"/>
              </w:rPr>
              <w:t>★</w:t>
            </w:r>
            <w:r>
              <w:rPr>
                <w:rFonts w:hint="eastAsia" w:ascii="宋体" w:hAnsi="宋体" w:eastAsia="宋体" w:cs="宋体"/>
                <w:sz w:val="21"/>
                <w:szCs w:val="21"/>
                <w:highlight w:val="none"/>
              </w:rPr>
              <w:t>脉冲峰值功率（每个极化）</w:t>
            </w:r>
          </w:p>
        </w:tc>
        <w:tc>
          <w:tcPr>
            <w:tcW w:w="3862"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峰值功率≥200W，整机功耗≤2KW;</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(需同时满足)</w:t>
            </w:r>
          </w:p>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要求提供所投型号产品第三方检验检测机构出具的测试报告，报告中检测内容需包含本项所列参数，须提供以上资料复印件并加盖投标人公章，否则不计分。</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84</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发射脉冲宽度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 ～200μs（可选）</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85</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脉冲重复频率</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≥500Hz(警戒)</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86</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&gt;1000Hz(定量)</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87</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发射通道输出端极限改善因子</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≥55dB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88</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发射通道频谱特性</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符合相关规定中对所占频谱的要求</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89</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谐波和杂散抑制</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≥40dB</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90</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故障检测和保护</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发生过温，过压，过流等情况时可报警并实现自保，输出功率低时输出报警信号</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91</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接收通道技术性能指标表</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工作频率</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9.3 ～ 9.5GHz</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92</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噪声系数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93</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接收系统动态范围</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≥95dB</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94</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最小可测功率（灵敏度）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≤-110dBm（带宽1 MHz）</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95</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镜频抑制度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≥60dB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96</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cs="宋体"/>
                <w:sz w:val="24"/>
                <w:highlight w:val="none"/>
                <w:lang w:bidi="ar"/>
              </w:rPr>
              <w:t>★</w:t>
            </w:r>
            <w:r>
              <w:rPr>
                <w:rFonts w:hint="eastAsia" w:ascii="宋体" w:hAnsi="宋体" w:eastAsia="宋体" w:cs="宋体"/>
                <w:sz w:val="21"/>
                <w:szCs w:val="21"/>
                <w:highlight w:val="none"/>
              </w:rPr>
              <w:t>接收通道数量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≥64</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97</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模数A/D变换位数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≥14位</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98</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最大脉冲压缩比</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w:t>
            </w:r>
          </w:p>
        </w:tc>
      </w:tr>
      <w:tr>
        <w:tblPrEx>
          <w:tblCellMar>
            <w:top w:w="0" w:type="dxa"/>
            <w:left w:w="108" w:type="dxa"/>
            <w:bottom w:w="0" w:type="dxa"/>
            <w:right w:w="108" w:type="dxa"/>
          </w:tblCellMar>
        </w:tblPrEx>
        <w:trPr>
          <w:trHeight w:val="1101"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99</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故障检测和保护</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发生本振故障，时钟故障，噪声系数超限，双通道幅相一致性超限等情况时可报警。</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100</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波束控制与合成单元技术性能指标表</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波束控制和合成形式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数字域</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101</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波束控制精度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102</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电扫方向上双线偏振波束角度误差</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103</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电扫方向上双线偏振3dB波束宽度误差</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104</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同时接收波束数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≥16个波束（数字波束）</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105</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电扫方向发射第一副瓣电平</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数字域：≤-22 dB（窄发窄收）</w:t>
            </w:r>
          </w:p>
        </w:tc>
      </w:tr>
      <w:tr>
        <w:tblPrEx>
          <w:tblCellMar>
            <w:top w:w="0" w:type="dxa"/>
            <w:left w:w="108" w:type="dxa"/>
            <w:bottom w:w="0" w:type="dxa"/>
            <w:right w:w="108" w:type="dxa"/>
          </w:tblCellMar>
        </w:tblPrEx>
        <w:trPr>
          <w:trHeight w:val="737"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106</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电扫方向接收第一副瓣电平</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数字域：≤-40dB</w:t>
            </w:r>
          </w:p>
        </w:tc>
      </w:tr>
      <w:tr>
        <w:tblPrEx>
          <w:tblCellMar>
            <w:top w:w="0" w:type="dxa"/>
            <w:left w:w="108" w:type="dxa"/>
            <w:bottom w:w="0" w:type="dxa"/>
            <w:right w:w="108" w:type="dxa"/>
          </w:tblCellMar>
        </w:tblPrEx>
        <w:trPr>
          <w:trHeight w:val="90"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107</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3517" w:type="dxa"/>
            <w:gridSpan w:val="2"/>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扫描模式要求</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需能满足以下两种扫描模式：宽发窄收模式、混合波束扫描模式（即在一个体扫中，RHI方向上既有窄发窄收也有宽发窄收的混合波束扫描能力）</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108</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restart"/>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信号处理单元技术性能指标</w:t>
            </w: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脉冲压缩主副瓣比</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≥40dB</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109</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距离库长度</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≤30m</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110</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距离库数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≥5000个</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111</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脉冲累计平均次数</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16、32、64、128、256可选</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112</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强度处理方式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DVIP（数字视频积分）</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113</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速度处理方式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FFT/PPP处理</w:t>
            </w:r>
          </w:p>
        </w:tc>
      </w:tr>
      <w:tr>
        <w:tblPrEx>
          <w:tblCellMar>
            <w:top w:w="0" w:type="dxa"/>
            <w:left w:w="108" w:type="dxa"/>
            <w:bottom w:w="0" w:type="dxa"/>
            <w:right w:w="108" w:type="dxa"/>
          </w:tblCellMar>
        </w:tblPrEx>
        <w:trPr>
          <w:trHeight w:val="454" w:hRule="atLeast"/>
        </w:trPr>
        <w:tc>
          <w:tcPr>
            <w:tcW w:w="805" w:type="dxa"/>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114</w:t>
            </w:r>
          </w:p>
        </w:tc>
        <w:tc>
          <w:tcPr>
            <w:tcW w:w="794"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相关系数处理方式</w:t>
            </w:r>
          </w:p>
        </w:tc>
        <w:tc>
          <w:tcPr>
            <w:tcW w:w="3862" w:type="dxa"/>
            <w:tcBorders>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一阶相关或多阶相关</w:t>
            </w:r>
          </w:p>
        </w:tc>
      </w:tr>
      <w:tr>
        <w:tblPrEx>
          <w:tblCellMar>
            <w:top w:w="0" w:type="dxa"/>
            <w:left w:w="108" w:type="dxa"/>
            <w:bottom w:w="0" w:type="dxa"/>
            <w:right w:w="108" w:type="dxa"/>
          </w:tblCellMar>
        </w:tblPrEx>
        <w:trPr>
          <w:trHeight w:val="454"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115</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处理对数</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32、64、128、256可选</w:t>
            </w:r>
          </w:p>
        </w:tc>
      </w:tr>
      <w:tr>
        <w:tblPrEx>
          <w:tblCellMar>
            <w:top w:w="0" w:type="dxa"/>
            <w:left w:w="108" w:type="dxa"/>
            <w:bottom w:w="0" w:type="dxa"/>
            <w:right w:w="108" w:type="dxa"/>
          </w:tblCellMar>
        </w:tblPrEx>
        <w:trPr>
          <w:trHeight w:val="454"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116</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距离退模糊方法</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相位编码或其他等效方法</w:t>
            </w:r>
          </w:p>
        </w:tc>
      </w:tr>
      <w:tr>
        <w:tblPrEx>
          <w:tblCellMar>
            <w:top w:w="0" w:type="dxa"/>
            <w:left w:w="108" w:type="dxa"/>
            <w:bottom w:w="0" w:type="dxa"/>
            <w:right w:w="108" w:type="dxa"/>
          </w:tblCellMar>
        </w:tblPrEx>
        <w:trPr>
          <w:trHeight w:val="454"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117</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速度退模糊方法</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双PRF或其他等效方法</w:t>
            </w:r>
          </w:p>
        </w:tc>
      </w:tr>
      <w:tr>
        <w:tblPrEx>
          <w:tblCellMar>
            <w:top w:w="0" w:type="dxa"/>
            <w:left w:w="108" w:type="dxa"/>
            <w:bottom w:w="0" w:type="dxa"/>
            <w:right w:w="108" w:type="dxa"/>
          </w:tblCellMar>
        </w:tblPrEx>
        <w:trPr>
          <w:trHeight w:val="454" w:hRule="atLeast"/>
        </w:trPr>
        <w:tc>
          <w:tcPr>
            <w:tcW w:w="80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28"/>
              <w:spacing w:line="5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118</w:t>
            </w:r>
          </w:p>
        </w:tc>
        <w:tc>
          <w:tcPr>
            <w:tcW w:w="794"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1003"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p>
        </w:tc>
        <w:tc>
          <w:tcPr>
            <w:tcW w:w="2514"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故障检测和保护</w:t>
            </w:r>
          </w:p>
        </w:tc>
        <w:tc>
          <w:tcPr>
            <w:tcW w:w="3862" w:type="dxa"/>
            <w:tcBorders>
              <w:top w:val="single" w:color="000000" w:sz="4" w:space="0"/>
              <w:bottom w:val="single" w:color="000000" w:sz="4" w:space="0"/>
              <w:right w:val="single" w:color="000000" w:sz="4" w:space="0"/>
            </w:tcBorders>
            <w:shd w:val="clear" w:color="auto" w:fill="FFFFFF"/>
            <w:noWrap w:val="0"/>
            <w:vAlign w:val="center"/>
          </w:tcPr>
          <w:p>
            <w:pPr>
              <w:pStyle w:val="28"/>
              <w:spacing w:line="276"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数据丢包，参数输出等故障</w:t>
            </w:r>
          </w:p>
        </w:tc>
      </w:tr>
      <w:tr>
        <w:tblPrEx>
          <w:tblCellMar>
            <w:top w:w="0" w:type="dxa"/>
            <w:left w:w="108" w:type="dxa"/>
            <w:bottom w:w="0" w:type="dxa"/>
            <w:right w:w="108" w:type="dxa"/>
          </w:tblCellMar>
        </w:tblPrEx>
        <w:trPr>
          <w:trHeight w:val="4641" w:hRule="atLeast"/>
        </w:trPr>
        <w:tc>
          <w:tcPr>
            <w:tcW w:w="805"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pStyle w:val="28"/>
              <w:spacing w:line="5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119</w:t>
            </w:r>
          </w:p>
        </w:tc>
        <w:tc>
          <w:tcPr>
            <w:tcW w:w="79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pStyle w:val="28"/>
              <w:spacing w:line="56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雷达配套软件技术指标</w:t>
            </w:r>
          </w:p>
        </w:tc>
        <w:tc>
          <w:tcPr>
            <w:tcW w:w="1003"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pStyle w:val="28"/>
              <w:spacing w:line="56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监控状态终端软件</w:t>
            </w:r>
          </w:p>
        </w:tc>
        <w:tc>
          <w:tcPr>
            <w:tcW w:w="6376" w:type="dxa"/>
            <w:gridSpan w:val="2"/>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pStyle w:val="28"/>
              <w:spacing w:line="400" w:lineRule="exact"/>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包含但不限于以下内容：</w:t>
            </w:r>
          </w:p>
          <w:p>
            <w:pPr>
              <w:pStyle w:val="28"/>
              <w:spacing w:line="400" w:lineRule="exact"/>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远程</w:t>
            </w:r>
            <w:r>
              <w:rPr>
                <w:rFonts w:hint="eastAsia" w:ascii="宋体" w:hAnsi="宋体" w:eastAsia="宋体" w:cs="宋体"/>
                <w:sz w:val="21"/>
                <w:szCs w:val="21"/>
                <w:highlight w:val="none"/>
                <w:lang w:eastAsia="zh-Hans"/>
              </w:rPr>
              <w:t>控制</w:t>
            </w:r>
            <w:r>
              <w:rPr>
                <w:rFonts w:hint="eastAsia" w:ascii="宋体" w:hAnsi="宋体" w:eastAsia="宋体" w:cs="宋体"/>
                <w:sz w:val="21"/>
                <w:szCs w:val="21"/>
                <w:highlight w:val="none"/>
              </w:rPr>
              <w:t>：远程一键式开关机、自动故障检测及</w:t>
            </w:r>
            <w:r>
              <w:rPr>
                <w:rFonts w:hint="eastAsia" w:ascii="宋体" w:hAnsi="宋体" w:eastAsia="宋体" w:cs="宋体"/>
                <w:sz w:val="21"/>
                <w:szCs w:val="21"/>
                <w:highlight w:val="none"/>
                <w:lang w:eastAsia="zh-Hans"/>
              </w:rPr>
              <w:t>报警</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Hans"/>
              </w:rPr>
              <w:t>多种探测</w:t>
            </w:r>
            <w:r>
              <w:rPr>
                <w:rFonts w:hint="eastAsia" w:ascii="宋体" w:hAnsi="宋体" w:eastAsia="宋体" w:cs="宋体"/>
                <w:sz w:val="21"/>
                <w:szCs w:val="21"/>
                <w:highlight w:val="none"/>
              </w:rPr>
              <w:t>模式切换、</w:t>
            </w:r>
            <w:r>
              <w:rPr>
                <w:rFonts w:hint="eastAsia" w:ascii="宋体" w:hAnsi="宋体" w:eastAsia="宋体" w:cs="宋体"/>
                <w:sz w:val="21"/>
                <w:szCs w:val="21"/>
                <w:highlight w:val="none"/>
                <w:lang w:eastAsia="zh-Hans"/>
              </w:rPr>
              <w:t>雷达运行</w:t>
            </w:r>
            <w:r>
              <w:rPr>
                <w:rFonts w:hint="eastAsia" w:ascii="宋体" w:hAnsi="宋体" w:eastAsia="宋体" w:cs="宋体"/>
                <w:sz w:val="21"/>
                <w:szCs w:val="21"/>
                <w:highlight w:val="none"/>
              </w:rPr>
              <w:t>参数调整、</w:t>
            </w:r>
            <w:r>
              <w:rPr>
                <w:rFonts w:hint="eastAsia" w:ascii="宋体" w:hAnsi="宋体" w:eastAsia="宋体" w:cs="宋体"/>
                <w:sz w:val="21"/>
                <w:szCs w:val="21"/>
                <w:highlight w:val="none"/>
                <w:lang w:eastAsia="zh-Hans"/>
              </w:rPr>
              <w:t>数据质控参数的设置和调整</w:t>
            </w:r>
            <w:r>
              <w:rPr>
                <w:rFonts w:hint="eastAsia" w:ascii="宋体" w:hAnsi="宋体" w:eastAsia="宋体" w:cs="宋体"/>
                <w:sz w:val="21"/>
                <w:szCs w:val="21"/>
                <w:highlight w:val="none"/>
              </w:rPr>
              <w:t>。</w:t>
            </w:r>
          </w:p>
          <w:p>
            <w:pPr>
              <w:pStyle w:val="28"/>
              <w:spacing w:line="400" w:lineRule="exact"/>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远程监视：监视雷达工作方式、工作状态、主要故障、雷达运行状态日志记录和分析、雷达运行状态异常报警。</w:t>
            </w:r>
          </w:p>
          <w:p>
            <w:pPr>
              <w:pStyle w:val="28"/>
              <w:spacing w:line="400" w:lineRule="exact"/>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协同控制：在多雷达进行协同探测时，根据各雷达所在地理位置，自动计算多雷达扫描组、扫描顺序、扫描方向等参数；在多雷达进行协同探测时，一键式进行协同扫描的开、关机；多雷达协同探测方位角误差统计和校准。</w:t>
            </w:r>
          </w:p>
          <w:p>
            <w:pPr>
              <w:pStyle w:val="28"/>
              <w:spacing w:line="400" w:lineRule="exact"/>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数据显示：具备显示雷达基数据，具备基数据的PPI显示, RHI显示；具备地理信息系统的集成显示；具备任意点雷达数据方向图分析功能。</w:t>
            </w:r>
          </w:p>
        </w:tc>
      </w:tr>
      <w:tr>
        <w:tblPrEx>
          <w:tblCellMar>
            <w:top w:w="0" w:type="dxa"/>
            <w:left w:w="108" w:type="dxa"/>
            <w:bottom w:w="0" w:type="dxa"/>
            <w:right w:w="108" w:type="dxa"/>
          </w:tblCellMar>
        </w:tblPrEx>
        <w:trPr>
          <w:trHeight w:val="5306" w:hRule="atLeast"/>
        </w:trPr>
        <w:tc>
          <w:tcPr>
            <w:tcW w:w="805"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pStyle w:val="28"/>
              <w:spacing w:line="560" w:lineRule="exact"/>
              <w:ind w:firstLine="0" w:firstLine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120</w:t>
            </w:r>
          </w:p>
        </w:tc>
        <w:tc>
          <w:tcPr>
            <w:tcW w:w="79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pStyle w:val="28"/>
              <w:spacing w:line="56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b w:val="0"/>
                <w:bCs w:val="0"/>
                <w:sz w:val="21"/>
                <w:szCs w:val="21"/>
                <w:highlight w:val="none"/>
              </w:rPr>
              <w:t>精细化短时强天气监测预警系统功能</w:t>
            </w:r>
          </w:p>
        </w:tc>
        <w:tc>
          <w:tcPr>
            <w:tcW w:w="1003"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pStyle w:val="28"/>
              <w:spacing w:line="560" w:lineRule="exact"/>
              <w:ind w:firstLine="0" w:firstLineChars="0"/>
              <w:jc w:val="center"/>
              <w:rPr>
                <w:rFonts w:hint="eastAsia" w:ascii="宋体" w:hAnsi="宋体" w:eastAsia="宋体" w:cs="宋体"/>
                <w:sz w:val="21"/>
                <w:szCs w:val="21"/>
                <w:highlight w:val="none"/>
              </w:rPr>
            </w:pPr>
          </w:p>
        </w:tc>
        <w:tc>
          <w:tcPr>
            <w:tcW w:w="6376" w:type="dxa"/>
            <w:gridSpan w:val="2"/>
            <w:tcBorders>
              <w:top w:val="single" w:color="000000" w:sz="4" w:space="0"/>
              <w:left w:val="single" w:color="auto" w:sz="4" w:space="0"/>
              <w:bottom w:val="single" w:color="000000" w:sz="4" w:space="0"/>
              <w:right w:val="single" w:color="000000" w:sz="4" w:space="0"/>
            </w:tcBorders>
            <w:shd w:val="clear" w:color="auto" w:fill="FFFFFF"/>
            <w:noWrap w:val="0"/>
            <w:vAlign w:val="center"/>
          </w:tcPr>
          <w:tbl>
            <w:tblPr>
              <w:tblStyle w:val="23"/>
              <w:tblW w:w="57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67"/>
              <w:gridCol w:w="1200"/>
              <w:gridCol w:w="38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6" w:hRule="atLeast"/>
                <w:tblHeader/>
                <w:jc w:val="center"/>
              </w:trPr>
              <w:tc>
                <w:tcPr>
                  <w:tcW w:w="767" w:type="dxa"/>
                  <w:noWrap w:val="0"/>
                  <w:vAlign w:val="center"/>
                </w:tcPr>
                <w:p>
                  <w:pPr>
                    <w:pStyle w:val="28"/>
                    <w:spacing w:line="440" w:lineRule="exact"/>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200" w:type="dxa"/>
                  <w:noWrap w:val="0"/>
                  <w:vAlign w:val="center"/>
                </w:tcPr>
                <w:p>
                  <w:pPr>
                    <w:pStyle w:val="28"/>
                    <w:spacing w:line="440" w:lineRule="exact"/>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w:t>
                  </w:r>
                </w:p>
              </w:tc>
              <w:tc>
                <w:tcPr>
                  <w:tcW w:w="3821" w:type="dxa"/>
                  <w:noWrap w:val="0"/>
                  <w:vAlign w:val="center"/>
                </w:tcPr>
                <w:p>
                  <w:pPr>
                    <w:pStyle w:val="28"/>
                    <w:spacing w:line="440" w:lineRule="exact"/>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功能产品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3"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技术框架</w:t>
                  </w:r>
                </w:p>
              </w:tc>
              <w:tc>
                <w:tcPr>
                  <w:tcW w:w="3821" w:type="dxa"/>
                  <w:noWrap w:val="0"/>
                  <w:vAlign w:val="center"/>
                </w:tcPr>
                <w:p>
                  <w:pPr>
                    <w:pStyle w:val="28"/>
                    <w:spacing w:line="400" w:lineRule="exact"/>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具备GIS数据显示及三维显示能力</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63"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气象基本数据产品</w:t>
                  </w:r>
                </w:p>
              </w:tc>
              <w:tc>
                <w:tcPr>
                  <w:tcW w:w="3821" w:type="dxa"/>
                  <w:noWrap w:val="0"/>
                  <w:vAlign w:val="center"/>
                </w:tcPr>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强度（dBZ）、速度（V）、谱宽（W）、差分反射率因子（ZDR）、差分传播相位（ΦDP）、差分传播相位率（KDP）、相关系数（ρHV）、粒子相态识别（HCA）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1"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产品显示</w:t>
                  </w:r>
                </w:p>
              </w:tc>
              <w:tc>
                <w:tcPr>
                  <w:tcW w:w="3821" w:type="dxa"/>
                  <w:noWrap w:val="0"/>
                  <w:vAlign w:val="center"/>
                </w:tcPr>
                <w:p>
                  <w:pPr>
                    <w:pStyle w:val="28"/>
                    <w:spacing w:line="400" w:lineRule="exact"/>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PPI 显示、RHI 显示、CAPPI 显示、四分屏显示、垂直剖面、组合反射率（CR）、最大值显示（MAX）、三维等值面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19"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物理量</w:t>
                  </w:r>
                </w:p>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w:t>
                  </w:r>
                </w:p>
              </w:tc>
              <w:tc>
                <w:tcPr>
                  <w:tcW w:w="3821" w:type="dxa"/>
                  <w:noWrap w:val="0"/>
                  <w:vAlign w:val="center"/>
                </w:tcPr>
                <w:p>
                  <w:pPr>
                    <w:pStyle w:val="28"/>
                    <w:spacing w:line="400" w:lineRule="exact"/>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回波顶高（ET）、回波底高（EB）、1 小时累积降水量（OHP）、3 小时累积降水量（THP）、</w:t>
                  </w:r>
                  <w:r>
                    <w:rPr>
                      <w:rFonts w:hint="eastAsia" w:ascii="宋体" w:hAnsi="宋体" w:eastAsia="宋体" w:cs="宋体"/>
                      <w:kern w:val="0"/>
                      <w:sz w:val="21"/>
                      <w:szCs w:val="21"/>
                      <w:highlight w:val="none"/>
                      <w:lang w:eastAsia="zh-Hans"/>
                    </w:rPr>
                    <w:t>、</w:t>
                  </w:r>
                  <w:r>
                    <w:rPr>
                      <w:rFonts w:hint="eastAsia" w:ascii="宋体" w:hAnsi="宋体" w:eastAsia="宋体" w:cs="宋体"/>
                      <w:sz w:val="21"/>
                      <w:szCs w:val="21"/>
                      <w:highlight w:val="none"/>
                    </w:rPr>
                    <w:t>N 小时累积降水量（NHP）、风暴总积累降水量（STP）、垂直积分液态水（VIL）、最强回波高度、质心高度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3"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风场产品</w:t>
                  </w:r>
                </w:p>
              </w:tc>
              <w:tc>
                <w:tcPr>
                  <w:tcW w:w="3821" w:type="dxa"/>
                  <w:noWrap w:val="0"/>
                  <w:vAlign w:val="center"/>
                </w:tcPr>
                <w:p>
                  <w:pPr>
                    <w:pStyle w:val="28"/>
                    <w:spacing w:line="400" w:lineRule="exact"/>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速度方位显示（VAD）、速度方位显示风廓线（VWP）</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84"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强天气</w:t>
                  </w:r>
                </w:p>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识别产品</w:t>
                  </w:r>
                </w:p>
              </w:tc>
              <w:tc>
                <w:tcPr>
                  <w:tcW w:w="3821" w:type="dxa"/>
                  <w:noWrap w:val="0"/>
                  <w:vAlign w:val="center"/>
                </w:tcPr>
                <w:p>
                  <w:pPr>
                    <w:pStyle w:val="28"/>
                    <w:spacing w:line="400" w:lineRule="exact"/>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风暴结构分析（SS）、冰雹指数（HI）、风暴追踪信息（STI）、中尺度气旋（M）、龙卷涡旋特征（TVS）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39"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图形处理功能</w:t>
                  </w:r>
                </w:p>
              </w:tc>
              <w:tc>
                <w:tcPr>
                  <w:tcW w:w="3821" w:type="dxa"/>
                  <w:noWrap w:val="0"/>
                  <w:vAlign w:val="center"/>
                </w:tcPr>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多要素显示；</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多层 CAPPI 显示；</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多仰角多画面显示；</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体扫多仰角 PPI 同时预览；</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体扫无间隔 RHI 扫描显示预览；</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动画回放；</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游标引导：通过游标录取并显示游标所在点的方位、高度、距离、回波强度等数据；</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PPI 滑动 RHI 选择：通过在 PPI 上波动选择指针方位角度，双击选中角度，可获取对应位置 RHI；</w:t>
                  </w:r>
                </w:p>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图像选择编辑工具：图片图像在线编辑、文字编辑，图像图形圈选功能；</w:t>
                  </w:r>
                </w:p>
                <w:p>
                  <w:pPr>
                    <w:pStyle w:val="28"/>
                    <w:spacing w:line="400" w:lineRule="exact"/>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光标联动。</w:t>
                  </w:r>
                </w:p>
                <w:p>
                  <w:pPr>
                    <w:pStyle w:val="28"/>
                    <w:spacing w:line="400" w:lineRule="exact"/>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同时支持多雷达融合产品显示和单雷达基本产品显示。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6"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智能报警</w:t>
                  </w:r>
                </w:p>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预警</w:t>
                  </w:r>
                </w:p>
              </w:tc>
              <w:tc>
                <w:tcPr>
                  <w:tcW w:w="3821" w:type="dxa"/>
                  <w:noWrap w:val="0"/>
                  <w:vAlign w:val="center"/>
                </w:tcPr>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具备雷达、闪电自定义报警；三类风暴（雷暴大风、冰雹、强降水）的识别、追踪、分类；基于风暴分类的高影响天气分类报警；未来1-2小时预警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6" w:hRule="atLeast"/>
                <w:jc w:val="center"/>
              </w:trPr>
              <w:tc>
                <w:tcPr>
                  <w:tcW w:w="767"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200" w:type="dxa"/>
                  <w:noWrap w:val="0"/>
                  <w:vAlign w:val="center"/>
                </w:tcPr>
                <w:p>
                  <w:pPr>
                    <w:pStyle w:val="28"/>
                    <w:spacing w:line="400" w:lineRule="exact"/>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交互操作</w:t>
                  </w:r>
                </w:p>
              </w:tc>
              <w:tc>
                <w:tcPr>
                  <w:tcW w:w="3821" w:type="dxa"/>
                  <w:noWrap w:val="0"/>
                  <w:vAlign w:val="center"/>
                </w:tcPr>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具备任意剖面快速制作，响应时间小于0.5s；多点曲面剖面的快速制作和编辑，响应时间小于0.5s</w:t>
                  </w:r>
                </w:p>
              </w:tc>
            </w:tr>
          </w:tbl>
          <w:p>
            <w:pPr>
              <w:pStyle w:val="28"/>
              <w:spacing w:line="400" w:lineRule="exact"/>
              <w:ind w:firstLine="0" w:firstLineChars="0"/>
              <w:jc w:val="left"/>
              <w:rPr>
                <w:rFonts w:hint="eastAsia" w:ascii="宋体" w:hAnsi="宋体" w:eastAsia="宋体" w:cs="宋体"/>
                <w:sz w:val="21"/>
                <w:szCs w:val="21"/>
                <w:highlight w:val="none"/>
              </w:rPr>
            </w:pPr>
          </w:p>
        </w:tc>
      </w:tr>
    </w:tbl>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宋体" w:hAnsi="宋体" w:eastAsia="宋体" w:cs="宋体"/>
          <w:b/>
          <w:bCs/>
          <w:color w:val="auto"/>
          <w:sz w:val="21"/>
          <w:szCs w:val="21"/>
          <w:highlight w:val="none"/>
          <w:lang w:eastAsia="zh-Hans"/>
        </w:rPr>
      </w:pPr>
      <w:r>
        <w:rPr>
          <w:rFonts w:hint="eastAsia" w:ascii="宋体" w:hAnsi="宋体" w:eastAsia="宋体" w:cs="宋体"/>
          <w:b/>
          <w:bCs/>
          <w:color w:val="auto"/>
          <w:sz w:val="21"/>
          <w:szCs w:val="21"/>
          <w:highlight w:val="none"/>
          <w:lang w:val="en-US" w:eastAsia="zh-Hans"/>
        </w:rPr>
        <w:t>三</w:t>
      </w:r>
      <w:r>
        <w:rPr>
          <w:rFonts w:hint="default" w:ascii="宋体" w:hAnsi="宋体" w:eastAsia="宋体" w:cs="宋体"/>
          <w:b/>
          <w:bCs/>
          <w:color w:val="auto"/>
          <w:sz w:val="21"/>
          <w:szCs w:val="21"/>
          <w:highlight w:val="none"/>
          <w:lang w:eastAsia="zh-Hans"/>
        </w:rPr>
        <w:t>、服务要求</w:t>
      </w:r>
    </w:p>
    <w:p>
      <w:pPr>
        <w:keepNext w:val="0"/>
        <w:keepLines w:val="0"/>
        <w:pageBreakBefore w:val="0"/>
        <w:widowControl w:val="0"/>
        <w:kinsoku/>
        <w:wordWrap/>
        <w:overflowPunct/>
        <w:topLinePunct w:val="0"/>
        <w:bidi w:val="0"/>
        <w:adjustRightInd/>
        <w:spacing w:line="360" w:lineRule="auto"/>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、总体要求</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供应商须保证所提供材料产品为厂家原装正品，符合国家有关规定。投标供应商须保证所提供产品具有合法的版权或使用权，本项目采购的产品，如在本项目范围内使用过程中出现版权或使用权纠纷，应由供应商负责，采购人不承担责任。</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（2）所有产品技术指标应符合</w:t>
      </w:r>
      <w:bookmarkStart w:id="99" w:name="_Toc139361672"/>
      <w:bookmarkStart w:id="100" w:name="_Toc139361449"/>
      <w:r>
        <w:rPr>
          <w:rFonts w:hint="eastAsia" w:ascii="宋体" w:hAnsi="宋体" w:eastAsia="宋体" w:cs="宋体"/>
          <w:color w:val="auto"/>
          <w:sz w:val="21"/>
          <w:szCs w:val="21"/>
          <w:highlight w:val="none"/>
        </w:rPr>
        <w:t>国内已经制定的国家或行业技术标准</w:t>
      </w:r>
      <w:bookmarkEnd w:id="99"/>
      <w:bookmarkEnd w:id="100"/>
      <w:r>
        <w:rPr>
          <w:rFonts w:hint="eastAsia" w:ascii="宋体" w:hAnsi="宋体" w:eastAsia="宋体" w:cs="宋体"/>
          <w:color w:val="auto"/>
          <w:sz w:val="21"/>
          <w:szCs w:val="21"/>
          <w:highlight w:val="none"/>
        </w:rPr>
        <w:t>，拥有原厂家的质量合格证明、说明书、检验证和原厂保修证明文件。具有国内或国际安全认证标记（如果有）。设备应附有单机和系统的中文纸质及使用说明书（包括软件使用说明书），并附有装箱单。</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供应商提供的产品应配套齐全、功能完善。本招标文件中所列设备清单只是系统所需的主要产品明细，投标供应商应根据系统优化设计方案提供更完整详细的产品清单。除满足本招标文件要求外，投标供应商所提供的技术方案、产品也应与其它系统中相关产品相互配套协调，不发生矛盾和冲突。</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（4）供应商负责所有货物的运输、装卸、搬运、安装（含基础）、调试工作，所有相关费用应包含在投标总价中；如由于操作不良造成的损失和由此产生的费用也均由供应商承担。</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bookmarkStart w:id="101" w:name="_Hlk125191287"/>
      <w:r>
        <w:rPr>
          <w:rFonts w:hint="eastAsia" w:ascii="宋体" w:hAnsi="宋体" w:eastAsia="宋体" w:cs="宋体"/>
          <w:color w:val="auto"/>
          <w:sz w:val="21"/>
          <w:szCs w:val="21"/>
          <w:highlight w:val="none"/>
        </w:rPr>
        <w:t>项目选择的产品要求性能稳定、数据可靠，具有技术的先进性或领先性，产品性能应达到或优于本招标文件中所列技术指标，在国内有成熟应用业绩和有较高的市场份额。</w:t>
      </w:r>
    </w:p>
    <w:bookmarkEnd w:id="101"/>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（6）投标供应商必须有较强的系统集成能力，本项目的建设需完全满足气象部门标准化在线监测、分析、传输、存储等业务化运行需求。</w:t>
      </w:r>
    </w:p>
    <w:p>
      <w:pPr>
        <w:keepNext w:val="0"/>
        <w:keepLines w:val="0"/>
        <w:pageBreakBefore w:val="0"/>
        <w:widowControl w:val="0"/>
        <w:kinsoku/>
        <w:wordWrap/>
        <w:overflowPunct/>
        <w:topLinePunct w:val="0"/>
        <w:bidi w:val="0"/>
        <w:adjustRightInd/>
        <w:spacing w:line="360" w:lineRule="auto"/>
        <w:textAlignment w:val="auto"/>
        <w:outlineLvl w:val="0"/>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bidi w:val="0"/>
        <w:adjustRightInd/>
        <w:spacing w:line="360" w:lineRule="auto"/>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、服务要求</w:t>
      </w:r>
    </w:p>
    <w:p>
      <w:pPr>
        <w:keepNext w:val="0"/>
        <w:keepLines w:val="0"/>
        <w:pageBreakBefore w:val="0"/>
        <w:widowControl w:val="0"/>
        <w:kinsoku/>
        <w:wordWrap/>
        <w:overflowPunct/>
        <w:topLinePunct w:val="0"/>
        <w:bidi w:val="0"/>
        <w:adjustRightIn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.1质量保证</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投标产品及备品备件必须是厂商原装的、全新的，型号及性能指标符合国家及招标文件提出的有关技术、质量、安全标准（不接受OEM产品），满足采购人的使用需求。所投产品为制造商直接投标，投标时需提供相关声明；若非制造商投标，投标时提供制造商/授权经销商的授权函，开标前未取得授权函的，提供相关承诺；若中标，最迟在结果公告发出7个工作日内提供授权函原件，无法按时提供的，采购方有权拒绝签订合同。</w:t>
      </w:r>
      <w:bookmarkStart w:id="157" w:name="_GoBack"/>
      <w:bookmarkEnd w:id="157"/>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（2）所投产品的相关备品备件必须是全新未使用的，除非最终用户提供书面许可，否则不可使用此范围外的其他（非新的）配件。</w:t>
      </w:r>
    </w:p>
    <w:p>
      <w:pPr>
        <w:keepNext w:val="0"/>
        <w:keepLines w:val="0"/>
        <w:pageBreakBefore w:val="0"/>
        <w:widowControl w:val="0"/>
        <w:kinsoku/>
        <w:wordWrap/>
        <w:overflowPunct/>
        <w:topLinePunct w:val="0"/>
        <w:bidi w:val="0"/>
        <w:adjustRightIn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.2售后服务</w:t>
      </w:r>
    </w:p>
    <w:p>
      <w:pPr>
        <w:keepNext w:val="0"/>
        <w:keepLines w:val="0"/>
        <w:pageBreakBefore w:val="0"/>
        <w:widowControl w:val="0"/>
        <w:kinsoku/>
        <w:wordWrap/>
        <w:overflowPunct/>
        <w:topLinePunct w:val="0"/>
        <w:autoSpaceDE w:val="0"/>
        <w:autoSpaceDN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（1）供应商应明确说明此次投标的服务策略，提供此次投标产品的服务计划（售后服务内容、等级、相关服务指标、售后服务组织机构及人员安排情况及其联络信息）。</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（2）供应商须为最终用户提供7×24小时热线服务和长期的技术支持，负责解答用户在产品使用中遇到的问题，并及时提出解决问题的建议和操作方法，技术服务热线支持应是中文服务。</w:t>
      </w:r>
    </w:p>
    <w:p>
      <w:pPr>
        <w:keepNext w:val="0"/>
        <w:keepLines w:val="0"/>
        <w:pageBreakBefore w:val="0"/>
        <w:widowControl w:val="0"/>
        <w:kinsoku/>
        <w:wordWrap/>
        <w:overflowPunct/>
        <w:topLinePunct w:val="0"/>
        <w:autoSpaceDE w:val="0"/>
        <w:autoSpaceDN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（3）保证售后维修的及时、快捷。在收到采购人服务通知时，供应商能在1小时内响应，8小时内到现场响应，48小时内处理完毕。</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质保期内，服务方式均为供应商上门保修，即由供应商派员到设备使用现场维修，由此产生的一切费用均由供应商承担。当投标货物发生非人为因素严重故障时，供应商应当在7日内补充或者更换货物运抵发生故障的货物所在地，由此产生的一切相关费用由供应商承担。</w:t>
      </w:r>
    </w:p>
    <w:p>
      <w:pPr>
        <w:keepNext w:val="0"/>
        <w:keepLines w:val="0"/>
        <w:pageBreakBefore w:val="0"/>
        <w:widowControl w:val="0"/>
        <w:kinsoku/>
        <w:wordWrap/>
        <w:overflowPunct/>
        <w:topLinePunct w:val="0"/>
        <w:autoSpaceDE w:val="0"/>
        <w:autoSpaceDN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（5）供应商须在列出培训课程大纲，提出培训计划。提供不少于2天5人次的专业培训，为最终用户开展产品基本原理、日常操作、维护保养、常见故障排除，基础数据分析等专业培训。</w:t>
      </w:r>
    </w:p>
    <w:p>
      <w:pPr>
        <w:keepNext w:val="0"/>
        <w:keepLines w:val="0"/>
        <w:pageBreakBefore w:val="0"/>
        <w:widowControl w:val="0"/>
        <w:kinsoku/>
        <w:wordWrap/>
        <w:overflowPunct/>
        <w:topLinePunct w:val="0"/>
        <w:autoSpaceDE w:val="0"/>
        <w:autoSpaceDN w:val="0"/>
        <w:bidi w:val="0"/>
        <w:adjustRightInd/>
        <w:spacing w:line="360" w:lineRule="auto"/>
        <w:ind w:firstLineChars="175"/>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（6）对产品服务要求的有效响应将被视为供应商对其所投标产品的服务承诺，如果中标，须将服务承诺列入合同的产品服务条款。</w:t>
      </w:r>
    </w:p>
    <w:p>
      <w:pPr>
        <w:keepNext w:val="0"/>
        <w:keepLines w:val="0"/>
        <w:pageBreakBefore w:val="0"/>
        <w:widowControl w:val="0"/>
        <w:kinsoku/>
        <w:wordWrap/>
        <w:overflowPunct/>
        <w:topLinePunct w:val="0"/>
        <w:bidi w:val="0"/>
        <w:adjustRightInd/>
        <w:spacing w:line="360" w:lineRule="auto"/>
        <w:ind w:firstLineChars="175"/>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（7）中标供应商提供的产品在使用直至报废前，如气象主管部门发布了新版设备规格功能需求书或数据格式上传等通知要求，中标供应商应根据要求完成设备数据文件格式转化及数据传输等内容。</w:t>
      </w:r>
    </w:p>
    <w:p>
      <w:pPr>
        <w:keepNext w:val="0"/>
        <w:keepLines w:val="0"/>
        <w:pageBreakBefore w:val="0"/>
        <w:widowControl w:val="0"/>
        <w:kinsoku/>
        <w:wordWrap/>
        <w:overflowPunct/>
        <w:topLinePunct w:val="0"/>
        <w:autoSpaceDE w:val="0"/>
        <w:autoSpaceDN w:val="0"/>
        <w:bidi w:val="0"/>
        <w:adjustRightInd/>
        <w:spacing w:line="360" w:lineRule="auto"/>
        <w:ind w:firstLineChars="17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供应商须配备本项目服务所需的专用工具。常用维护维修设备包括笔记本电脑、无线网卡、数字万用表、GPS定位导航仪等；常用工具包括如螺丝刀、扳手、气体烙铁、内六角、外六角、剥线钳、老虎钳等；以及各种硬件接口线、接口调试软件及常用零部件等。</w:t>
      </w:r>
    </w:p>
    <w:p>
      <w:pPr>
        <w:keepNext w:val="0"/>
        <w:keepLines w:val="0"/>
        <w:pageBreakBefore w:val="0"/>
        <w:widowControl w:val="0"/>
        <w:kinsoku/>
        <w:wordWrap/>
        <w:overflowPunct/>
        <w:topLinePunct w:val="0"/>
        <w:bidi w:val="0"/>
        <w:adjustRightIn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.3质保期</w:t>
      </w:r>
    </w:p>
    <w:p>
      <w:pPr>
        <w:keepNext w:val="0"/>
        <w:keepLines w:val="0"/>
        <w:pageBreakBefore w:val="0"/>
        <w:widowControl w:val="0"/>
        <w:kinsoku/>
        <w:wordWrap/>
        <w:overflowPunct/>
        <w:topLinePunct w:val="0"/>
        <w:autoSpaceDE w:val="0"/>
        <w:autoSpaceDN w:val="0"/>
        <w:bidi w:val="0"/>
        <w:adjustRightInd/>
        <w:spacing w:line="360" w:lineRule="auto"/>
        <w:ind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中X波段天气雷达硬件质保期为8年，其它通用设备、软件及避雷针质保期为3年，土建工程质保期为2年。质保期从验收合格交付使用之日起算。质保期内乙方对所供设备及软件实行免费包修、包换，期满后可同时提供有偿维修保养服务。在质保期内，所有设备的备品备件和耗材由乙方提供，费用包含在合同金额中。</w:t>
      </w:r>
    </w:p>
    <w:p>
      <w:pPr>
        <w:keepNext w:val="0"/>
        <w:keepLines w:val="0"/>
        <w:pageBreakBefore w:val="0"/>
        <w:widowControl w:val="0"/>
        <w:kinsoku/>
        <w:wordWrap/>
        <w:overflowPunct/>
        <w:topLinePunct w:val="0"/>
        <w:bidi w:val="0"/>
        <w:adjustRightInd/>
        <w:spacing w:line="360" w:lineRule="auto"/>
        <w:textAlignment w:val="auto"/>
        <w:outlineLvl w:val="0"/>
        <w:rPr>
          <w:rFonts w:hint="eastAsia" w:ascii="宋体" w:hAnsi="宋体" w:eastAsia="宋体" w:cs="宋体"/>
          <w:b/>
          <w:color w:val="auto"/>
          <w:sz w:val="21"/>
          <w:szCs w:val="21"/>
          <w:highlight w:val="none"/>
          <w:lang w:val="en-US" w:eastAsia="zh-CN"/>
        </w:rPr>
      </w:pPr>
    </w:p>
    <w:p>
      <w:pPr>
        <w:keepNext w:val="0"/>
        <w:keepLines w:val="0"/>
        <w:pageBreakBefore w:val="0"/>
        <w:widowControl w:val="0"/>
        <w:kinsoku/>
        <w:wordWrap/>
        <w:overflowPunct/>
        <w:topLinePunct w:val="0"/>
        <w:bidi w:val="0"/>
        <w:adjustRightInd/>
        <w:spacing w:line="360" w:lineRule="auto"/>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、验收</w:t>
      </w:r>
    </w:p>
    <w:p>
      <w:pPr>
        <w:keepNext w:val="0"/>
        <w:keepLines w:val="0"/>
        <w:pageBreakBefore w:val="0"/>
        <w:widowControl w:val="0"/>
        <w:kinsoku/>
        <w:wordWrap/>
        <w:overflowPunct/>
        <w:topLinePunct w:val="0"/>
        <w:bidi w:val="0"/>
        <w:adjustRightInd/>
        <w:spacing w:line="360" w:lineRule="auto"/>
        <w:ind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合同签订后7个月内完成基建工程的实施及设备的供货、安装、调试及验收。</w:t>
      </w:r>
      <w:r>
        <w:rPr>
          <w:rFonts w:hint="eastAsia" w:ascii="宋体" w:hAnsi="宋体" w:cs="宋体"/>
          <w:color w:val="auto"/>
          <w:sz w:val="21"/>
          <w:szCs w:val="21"/>
          <w:highlight w:val="none"/>
          <w:lang w:val="en-US" w:eastAsia="zh-CN"/>
        </w:rPr>
        <w:t>其中设备</w:t>
      </w:r>
      <w:r>
        <w:rPr>
          <w:rFonts w:hint="eastAsia" w:ascii="宋体" w:hAnsi="宋体" w:eastAsia="宋体" w:cs="宋体"/>
          <w:color w:val="auto"/>
          <w:sz w:val="21"/>
          <w:szCs w:val="21"/>
          <w:highlight w:val="none"/>
        </w:rPr>
        <w:t>最长到货、安装和调试期限不超过</w:t>
      </w:r>
      <w:r>
        <w:rPr>
          <w:rFonts w:hint="eastAsia" w:ascii="宋体" w:hAnsi="宋体" w:cs="宋体"/>
          <w:color w:val="auto"/>
          <w:sz w:val="21"/>
          <w:szCs w:val="21"/>
          <w:highlight w:val="none"/>
          <w:lang w:val="en-US" w:eastAsia="zh-CN"/>
        </w:rPr>
        <w:t>120</w:t>
      </w:r>
      <w:r>
        <w:rPr>
          <w:rFonts w:hint="eastAsia" w:ascii="宋体" w:hAnsi="宋体" w:eastAsia="宋体" w:cs="宋体"/>
          <w:color w:val="auto"/>
          <w:sz w:val="21"/>
          <w:szCs w:val="21"/>
          <w:highlight w:val="none"/>
        </w:rPr>
        <w:t>天。到货安装调试完成并通过初验合格后进入不少于</w:t>
      </w:r>
      <w:r>
        <w:rPr>
          <w:rFonts w:hint="eastAsia" w:ascii="宋体" w:hAnsi="宋体" w:cs="宋体"/>
          <w:color w:val="auto"/>
          <w:sz w:val="21"/>
          <w:szCs w:val="21"/>
          <w:highlight w:val="none"/>
          <w:lang w:val="en-US" w:eastAsia="zh-CN"/>
        </w:rPr>
        <w:t>3个月</w:t>
      </w:r>
      <w:r>
        <w:rPr>
          <w:rFonts w:hint="eastAsia" w:ascii="宋体" w:hAnsi="宋体" w:eastAsia="宋体" w:cs="宋体"/>
          <w:color w:val="auto"/>
          <w:sz w:val="21"/>
          <w:szCs w:val="21"/>
          <w:highlight w:val="none"/>
        </w:rPr>
        <w:t>的试运行阶段。试运行结束后向采购人提交验收材料，由采购人组织验收，验收合格后出具报告。若一次验收不合格，由此产生的再次验收费用由供应商承担。</w:t>
      </w:r>
    </w:p>
    <w:p>
      <w:pPr>
        <w:keepNext w:val="0"/>
        <w:keepLines w:val="0"/>
        <w:pageBreakBefore w:val="0"/>
        <w:widowControl w:val="0"/>
        <w:kinsoku/>
        <w:wordWrap/>
        <w:overflowPunct/>
        <w:topLinePunct w:val="0"/>
        <w:bidi w:val="0"/>
        <w:adjustRightInd/>
        <w:spacing w:line="360" w:lineRule="auto"/>
        <w:ind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（1）验收标准：应与投标人提供的产品原始技术资料及投标文件技术文件一致，并符合我国有关技术规范和技术标准。</w:t>
      </w:r>
    </w:p>
    <w:p>
      <w:pPr>
        <w:keepNext w:val="0"/>
        <w:keepLines w:val="0"/>
        <w:pageBreakBefore w:val="0"/>
        <w:widowControl w:val="0"/>
        <w:kinsoku/>
        <w:wordWrap/>
        <w:overflowPunct/>
        <w:topLinePunct w:val="0"/>
        <w:bidi w:val="0"/>
        <w:adjustRightInd/>
        <w:spacing w:line="360" w:lineRule="auto"/>
        <w:ind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（2）验收材料要求：包含但不限于项目验收申请报告、施工组织方案、安装调试报告、设备验收清单、初验报告、试运行期间数据对比报告、培训计划实施情况、其他项目相关资料。</w:t>
      </w:r>
    </w:p>
    <w:p>
      <w:pPr>
        <w:keepNext w:val="0"/>
        <w:keepLines w:val="0"/>
        <w:pageBreakBefore w:val="0"/>
        <w:widowControl w:val="0"/>
        <w:kinsoku/>
        <w:wordWrap/>
        <w:overflowPunct/>
        <w:topLinePunct w:val="0"/>
        <w:bidi w:val="0"/>
        <w:spacing w:line="360" w:lineRule="auto"/>
        <w:textAlignment w:val="auto"/>
        <w:outlineLvl w:val="1"/>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bidi w:val="0"/>
        <w:spacing w:line="360" w:lineRule="auto"/>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、商务要求</w:t>
      </w:r>
    </w:p>
    <w:p>
      <w:pPr>
        <w:keepNext w:val="0"/>
        <w:keepLines w:val="0"/>
        <w:pageBreakBefore w:val="0"/>
        <w:widowControl w:val="0"/>
        <w:kinsoku/>
        <w:wordWrap/>
        <w:overflowPunct/>
        <w:topLinePunct w:val="0"/>
        <w:bidi w:val="0"/>
        <w:adjustRightInd/>
        <w:spacing w:line="360" w:lineRule="auto"/>
        <w:ind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项目团队要求：</w:t>
      </w:r>
    </w:p>
    <w:p>
      <w:pPr>
        <w:keepNext w:val="0"/>
        <w:keepLines w:val="0"/>
        <w:pageBreakBefore w:val="0"/>
        <w:widowControl w:val="0"/>
        <w:numPr>
          <w:ilvl w:val="0"/>
          <w:numId w:val="6"/>
        </w:numPr>
        <w:kinsoku/>
        <w:wordWrap/>
        <w:overflowPunct/>
        <w:topLinePunct w:val="0"/>
        <w:bidi w:val="0"/>
        <w:adjustRightInd/>
        <w:spacing w:line="360" w:lineRule="auto"/>
        <w:ind w:left="425" w:leftChars="0" w:firstLine="215"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项目负责人：具有类似项目经验；具有调动投标供应商各项资源能力；</w:t>
      </w:r>
    </w:p>
    <w:p>
      <w:pPr>
        <w:keepNext w:val="0"/>
        <w:keepLines w:val="0"/>
        <w:pageBreakBefore w:val="0"/>
        <w:widowControl w:val="0"/>
        <w:numPr>
          <w:ilvl w:val="0"/>
          <w:numId w:val="6"/>
        </w:numPr>
        <w:kinsoku/>
        <w:wordWrap/>
        <w:overflowPunct/>
        <w:topLinePunct w:val="0"/>
        <w:bidi w:val="0"/>
        <w:adjustRightInd/>
        <w:spacing w:line="360" w:lineRule="auto"/>
        <w:ind w:left="425" w:leftChars="0" w:firstLine="215"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项目技术负责人：具有</w:t>
      </w:r>
      <w:r>
        <w:rPr>
          <w:rFonts w:hint="eastAsia" w:ascii="宋体" w:hAnsi="宋体" w:eastAsia="宋体" w:cs="宋体"/>
          <w:color w:val="auto"/>
          <w:sz w:val="21"/>
          <w:szCs w:val="21"/>
          <w:highlight w:val="none"/>
        </w:rPr>
        <w:t>气象或</w:t>
      </w:r>
      <w:r>
        <w:rPr>
          <w:rFonts w:hint="eastAsia" w:ascii="宋体" w:hAnsi="宋体" w:cs="宋体"/>
          <w:color w:val="auto"/>
          <w:sz w:val="21"/>
          <w:szCs w:val="21"/>
          <w:highlight w:val="none"/>
          <w:lang w:val="en-US" w:eastAsia="zh-CN"/>
        </w:rPr>
        <w:t>电子</w:t>
      </w:r>
      <w:r>
        <w:rPr>
          <w:rFonts w:hint="eastAsia" w:ascii="宋体" w:hAnsi="宋体" w:eastAsia="宋体" w:cs="宋体"/>
          <w:color w:val="auto"/>
          <w:sz w:val="21"/>
          <w:szCs w:val="21"/>
          <w:highlight w:val="none"/>
        </w:rPr>
        <w:t>相关专业</w:t>
      </w:r>
      <w:r>
        <w:rPr>
          <w:rFonts w:hint="eastAsia" w:ascii="宋体" w:hAnsi="宋体" w:eastAsia="宋体" w:cs="宋体"/>
          <w:color w:val="auto"/>
          <w:sz w:val="21"/>
          <w:szCs w:val="21"/>
          <w:highlight w:val="none"/>
          <w:lang w:val="en-US" w:eastAsia="zh-CN"/>
        </w:rPr>
        <w:t>中级及以上职称；</w:t>
      </w:r>
    </w:p>
    <w:p>
      <w:pPr>
        <w:keepNext w:val="0"/>
        <w:keepLines w:val="0"/>
        <w:pageBreakBefore w:val="0"/>
        <w:widowControl w:val="0"/>
        <w:numPr>
          <w:ilvl w:val="0"/>
          <w:numId w:val="6"/>
        </w:numPr>
        <w:kinsoku/>
        <w:wordWrap/>
        <w:overflowPunct/>
        <w:topLinePunct w:val="0"/>
        <w:bidi w:val="0"/>
        <w:adjustRightInd/>
        <w:spacing w:line="360" w:lineRule="auto"/>
        <w:ind w:left="425" w:leftChars="0" w:firstLine="21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专业技术人员：</w:t>
      </w:r>
      <w:r>
        <w:rPr>
          <w:rFonts w:hint="eastAsia" w:ascii="宋体" w:hAnsi="宋体" w:eastAsia="宋体" w:cs="宋体"/>
          <w:color w:val="auto"/>
          <w:sz w:val="21"/>
          <w:szCs w:val="21"/>
          <w:highlight w:val="none"/>
        </w:rPr>
        <w:t>投标供应商应至少为本项目配置1名及以上本单位在职工作专业技术人员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气象或</w:t>
      </w:r>
      <w:r>
        <w:rPr>
          <w:rFonts w:hint="eastAsia" w:ascii="宋体" w:hAnsi="宋体" w:cs="宋体"/>
          <w:color w:val="auto"/>
          <w:sz w:val="21"/>
          <w:szCs w:val="21"/>
          <w:highlight w:val="none"/>
          <w:lang w:val="en-US" w:eastAsia="zh-CN"/>
        </w:rPr>
        <w:t>电子</w:t>
      </w:r>
      <w:r>
        <w:rPr>
          <w:rFonts w:hint="eastAsia" w:ascii="宋体" w:hAnsi="宋体" w:eastAsia="宋体" w:cs="宋体"/>
          <w:color w:val="auto"/>
          <w:sz w:val="21"/>
          <w:szCs w:val="21"/>
          <w:highlight w:val="none"/>
        </w:rPr>
        <w:t>相关专业</w:t>
      </w:r>
      <w:r>
        <w:rPr>
          <w:rFonts w:hint="eastAsia" w:ascii="宋体" w:hAnsi="宋体" w:eastAsia="宋体" w:cs="宋体"/>
          <w:color w:val="auto"/>
          <w:sz w:val="21"/>
          <w:szCs w:val="21"/>
          <w:highlight w:val="none"/>
          <w:lang w:val="en-US" w:eastAsia="zh-CN"/>
        </w:rPr>
        <w:t>中级及以上职称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按采购人需求提供驻场服务，提供人员证书及承诺函（</w:t>
      </w:r>
      <w:r>
        <w:rPr>
          <w:rFonts w:hint="eastAsia" w:ascii="宋体" w:hAnsi="宋体" w:eastAsia="宋体" w:cs="宋体"/>
          <w:color w:val="auto"/>
          <w:sz w:val="21"/>
          <w:szCs w:val="21"/>
          <w:highlight w:val="none"/>
        </w:rPr>
        <w:t>需本人签字</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bidi w:val="0"/>
        <w:adjustRightInd/>
        <w:spacing w:line="360" w:lineRule="auto"/>
        <w:ind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（2）合同支付条款：总价包干，分期支付。</w:t>
      </w:r>
    </w:p>
    <w:p>
      <w:pPr>
        <w:keepNext w:val="0"/>
        <w:keepLines w:val="0"/>
        <w:pageBreakBefore w:val="0"/>
        <w:widowControl w:val="0"/>
        <w:kinsoku/>
        <w:wordWrap/>
        <w:overflowPunct/>
        <w:topLinePunct w:val="0"/>
        <w:bidi w:val="0"/>
        <w:snapToGrid w:val="0"/>
        <w:spacing w:line="360" w:lineRule="auto"/>
        <w:ind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第一期：合同签订</w:t>
      </w:r>
      <w:r>
        <w:rPr>
          <w:rFonts w:hint="eastAsia" w:ascii="宋体" w:hAnsi="宋体" w:cs="宋体"/>
          <w:color w:val="auto"/>
          <w:sz w:val="21"/>
          <w:szCs w:val="21"/>
          <w:highlight w:val="none"/>
          <w:lang w:val="en-US" w:eastAsia="zh-CN"/>
        </w:rPr>
        <w:t>生效</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rPr>
        <w:t>5个工作日内支付合同总金额的</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0%；</w:t>
      </w:r>
    </w:p>
    <w:p>
      <w:pPr>
        <w:keepNext w:val="0"/>
        <w:keepLines w:val="0"/>
        <w:pageBreakBefore w:val="0"/>
        <w:widowControl w:val="0"/>
        <w:kinsoku/>
        <w:wordWrap/>
        <w:overflowPunct/>
        <w:topLinePunct w:val="0"/>
        <w:bidi w:val="0"/>
        <w:snapToGrid w:val="0"/>
        <w:spacing w:line="360" w:lineRule="auto"/>
        <w:ind w:firstLineChars="200"/>
        <w:jc w:val="left"/>
        <w:textAlignment w:val="auto"/>
        <w:rPr>
          <w:rFonts w:hint="eastAsia" w:ascii="宋体" w:hAnsi="宋体" w:eastAsia="宋体" w:cs="宋体"/>
          <w:bCs/>
          <w:szCs w:val="21"/>
          <w:highlight w:val="none"/>
        </w:rPr>
      </w:pPr>
      <w:r>
        <w:rPr>
          <w:rFonts w:hint="eastAsia" w:ascii="宋体" w:hAnsi="宋体" w:eastAsia="宋体" w:cs="宋体"/>
          <w:color w:val="auto"/>
          <w:sz w:val="21"/>
          <w:szCs w:val="21"/>
          <w:highlight w:val="none"/>
        </w:rPr>
        <w:t>第二期：</w:t>
      </w:r>
      <w:r>
        <w:rPr>
          <w:rFonts w:hint="eastAsia" w:ascii="宋体" w:hAnsi="宋体" w:eastAsia="宋体" w:cs="宋体"/>
          <w:bCs/>
          <w:szCs w:val="21"/>
          <w:highlight w:val="none"/>
        </w:rPr>
        <w:t>完成铁塔建设和雷达设备安装调试测试合格后，支付至合同总价的</w:t>
      </w:r>
      <w:r>
        <w:rPr>
          <w:rFonts w:hint="eastAsia" w:ascii="宋体" w:hAnsi="宋体" w:cs="宋体"/>
          <w:bCs/>
          <w:szCs w:val="21"/>
          <w:highlight w:val="none"/>
          <w:lang w:val="en-US" w:eastAsia="zh-CN"/>
        </w:rPr>
        <w:t>90</w:t>
      </w:r>
      <w:r>
        <w:rPr>
          <w:rFonts w:hint="eastAsia" w:ascii="宋体" w:hAnsi="宋体" w:eastAsia="宋体" w:cs="宋体"/>
          <w:bCs/>
          <w:szCs w:val="21"/>
          <w:highlight w:val="none"/>
        </w:rPr>
        <w:t>%；</w:t>
      </w:r>
    </w:p>
    <w:p>
      <w:pPr>
        <w:snapToGrid w:val="0"/>
        <w:spacing w:line="312" w:lineRule="auto"/>
        <w:jc w:val="left"/>
        <w:outlineLvl w:val="0"/>
        <w:rPr>
          <w:rFonts w:hint="eastAsia" w:ascii="宋体" w:hAnsi="宋体" w:eastAsia="宋体" w:cs="宋体"/>
          <w:bCs/>
          <w:szCs w:val="21"/>
          <w:highlight w:val="none"/>
        </w:rPr>
      </w:pP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第三期：</w:t>
      </w:r>
      <w:r>
        <w:rPr>
          <w:rFonts w:hint="eastAsia" w:ascii="宋体" w:hAnsi="宋体" w:eastAsia="宋体" w:cs="宋体"/>
          <w:bCs/>
          <w:szCs w:val="21"/>
          <w:highlight w:val="none"/>
        </w:rPr>
        <w:t>整个雷达站试运行验收（验收产生的费用由乙方支付）合格且经结算审计后支付剩余款项；</w:t>
      </w:r>
    </w:p>
    <w:p>
      <w:pPr>
        <w:keepNext w:val="0"/>
        <w:keepLines w:val="0"/>
        <w:pageBreakBefore w:val="0"/>
        <w:kinsoku/>
        <w:overflowPunct/>
        <w:topLinePunct w:val="0"/>
        <w:bidi w:val="0"/>
        <w:snapToGrid w:val="0"/>
        <w:spacing w:line="312" w:lineRule="auto"/>
        <w:jc w:val="center"/>
        <w:textAlignment w:val="auto"/>
        <w:outlineLvl w:val="0"/>
        <w:rPr>
          <w:rFonts w:hint="eastAsia" w:ascii="宋体" w:hAnsi="宋体" w:eastAsia="宋体" w:cs="宋体"/>
          <w:b/>
          <w:bCs w:val="0"/>
          <w:szCs w:val="21"/>
          <w:highlight w:val="none"/>
        </w:rPr>
      </w:pPr>
    </w:p>
    <w:p>
      <w:pPr>
        <w:keepNext w:val="0"/>
        <w:keepLines w:val="0"/>
        <w:pageBreakBefore w:val="0"/>
        <w:kinsoku/>
        <w:overflowPunct/>
        <w:topLinePunct w:val="0"/>
        <w:bidi w:val="0"/>
        <w:snapToGrid w:val="0"/>
        <w:spacing w:line="312" w:lineRule="auto"/>
        <w:jc w:val="center"/>
        <w:textAlignment w:val="auto"/>
        <w:outlineLvl w:val="0"/>
        <w:rPr>
          <w:rFonts w:hint="eastAsia" w:ascii="宋体" w:hAnsi="宋体" w:eastAsia="宋体" w:cs="宋体"/>
          <w:b/>
          <w:bCs w:val="0"/>
          <w:szCs w:val="21"/>
          <w:highlight w:val="none"/>
        </w:rPr>
      </w:pPr>
    </w:p>
    <w:p>
      <w:pPr>
        <w:keepNext w:val="0"/>
        <w:keepLines w:val="0"/>
        <w:pageBreakBefore w:val="0"/>
        <w:kinsoku/>
        <w:overflowPunct/>
        <w:topLinePunct w:val="0"/>
        <w:bidi w:val="0"/>
        <w:snapToGrid w:val="0"/>
        <w:spacing w:line="312" w:lineRule="auto"/>
        <w:jc w:val="center"/>
        <w:textAlignment w:val="auto"/>
        <w:outlineLvl w:val="0"/>
        <w:rPr>
          <w:rFonts w:hint="eastAsia" w:ascii="宋体" w:hAnsi="宋体" w:eastAsia="宋体" w:cs="宋体"/>
          <w:b/>
          <w:bCs w:val="0"/>
          <w:color w:val="000000" w:themeColor="text1"/>
          <w:szCs w:val="21"/>
          <w:highlight w:val="none"/>
          <w14:textFill>
            <w14:solidFill>
              <w14:schemeClr w14:val="tx1"/>
            </w14:solidFill>
          </w14:textFill>
        </w:rPr>
      </w:pPr>
      <w:r>
        <w:rPr>
          <w:rFonts w:hint="eastAsia" w:ascii="宋体" w:hAnsi="宋体" w:eastAsia="宋体" w:cs="宋体"/>
          <w:b/>
          <w:bCs w:val="0"/>
          <w:szCs w:val="21"/>
          <w:highlight w:val="none"/>
        </w:rPr>
        <w:t xml:space="preserve"> </w:t>
      </w:r>
      <w:bookmarkEnd w:id="94"/>
      <w:bookmarkEnd w:id="95"/>
      <w:bookmarkEnd w:id="96"/>
      <w:bookmarkEnd w:id="97"/>
      <w:bookmarkEnd w:id="98"/>
      <w:bookmarkStart w:id="102" w:name="_Toc7538"/>
      <w:r>
        <w:rPr>
          <w:rFonts w:hint="eastAsia" w:ascii="宋体" w:hAnsi="宋体" w:eastAsia="宋体" w:cs="宋体"/>
          <w:b/>
          <w:bCs w:val="0"/>
          <w:color w:val="000000" w:themeColor="text1"/>
          <w:szCs w:val="21"/>
          <w:highlight w:val="none"/>
          <w14:textFill>
            <w14:solidFill>
              <w14:schemeClr w14:val="tx1"/>
            </w14:solidFill>
          </w14:textFill>
        </w:rPr>
        <w:t>第四章  合同的通用和专用条款</w:t>
      </w:r>
      <w:bookmarkEnd w:id="102"/>
    </w:p>
    <w:p>
      <w:pPr>
        <w:tabs>
          <w:tab w:val="right" w:pos="8306"/>
        </w:tabs>
        <w:spacing w:line="312" w:lineRule="auto"/>
        <w:jc w:val="both"/>
        <w:rPr>
          <w:rFonts w:hint="eastAsia" w:ascii="黑体" w:hAnsi="黑体" w:eastAsia="黑体" w:cs="黑体"/>
          <w:b w:val="0"/>
          <w:bCs w:val="0"/>
          <w:color w:val="auto"/>
          <w:sz w:val="24"/>
          <w:szCs w:val="24"/>
          <w:highlight w:val="none"/>
        </w:rPr>
      </w:pPr>
    </w:p>
    <w:p>
      <w:pPr>
        <w:pStyle w:val="39"/>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（最终合同以双方签订为准）</w:t>
      </w:r>
    </w:p>
    <w:p>
      <w:pPr>
        <w:autoSpaceDE w:val="0"/>
        <w:autoSpaceDN w:val="0"/>
        <w:adjustRightInd w:val="0"/>
        <w:snapToGrid w:val="0"/>
        <w:spacing w:line="500" w:lineRule="exact"/>
        <w:jc w:val="center"/>
        <w:outlineLvl w:val="1"/>
        <w:rPr>
          <w:rFonts w:hint="eastAsia" w:ascii="宋体" w:hAnsi="宋体" w:eastAsia="宋体" w:cs="宋体"/>
          <w:b/>
          <w:bCs/>
          <w:sz w:val="21"/>
          <w:szCs w:val="21"/>
          <w:highlight w:val="none"/>
          <w:lang w:val="zh-CN"/>
        </w:rPr>
      </w:pPr>
      <w:bookmarkStart w:id="103" w:name="_Toc16525"/>
      <w:r>
        <w:rPr>
          <w:rFonts w:hint="eastAsia" w:ascii="宋体" w:hAnsi="宋体" w:eastAsia="宋体" w:cs="宋体"/>
          <w:b/>
          <w:bCs/>
          <w:sz w:val="21"/>
          <w:szCs w:val="21"/>
          <w:highlight w:val="none"/>
          <w:lang w:val="zh-CN"/>
        </w:rPr>
        <w:t>一、通用条款</w:t>
      </w:r>
      <w:bookmarkEnd w:id="103"/>
    </w:p>
    <w:p>
      <w:pPr>
        <w:spacing w:line="48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合同编号：</w:t>
      </w:r>
    </w:p>
    <w:p>
      <w:pPr>
        <w:spacing w:line="5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甲方（货物及服务购买方）：</w:t>
      </w:r>
    </w:p>
    <w:p>
      <w:pPr>
        <w:spacing w:line="5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地址：</w:t>
      </w:r>
    </w:p>
    <w:p>
      <w:pPr>
        <w:spacing w:line="5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乙方（货物及服务提供或出让方）：</w:t>
      </w:r>
    </w:p>
    <w:p>
      <w:pPr>
        <w:spacing w:line="5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地址：</w:t>
      </w:r>
    </w:p>
    <w:p>
      <w:pPr>
        <w:numPr>
          <w:ilvl w:val="0"/>
          <w:numId w:val="7"/>
        </w:numPr>
        <w:spacing w:line="360" w:lineRule="auto"/>
        <w:ind w:firstLine="420" w:firstLineChars="200"/>
        <w:rPr>
          <w:rFonts w:hint="eastAsia" w:ascii="宋体" w:hAnsi="宋体" w:eastAsia="宋体" w:cs="宋体"/>
          <w:sz w:val="21"/>
          <w:szCs w:val="21"/>
          <w:highlight w:val="none"/>
        </w:rPr>
      </w:pPr>
      <w:bookmarkStart w:id="104" w:name="_Toc56917319"/>
      <w:r>
        <w:rPr>
          <w:rFonts w:hint="eastAsia" w:ascii="宋体" w:hAnsi="宋体" w:eastAsia="宋体" w:cs="宋体"/>
          <w:sz w:val="21"/>
          <w:szCs w:val="21"/>
          <w:highlight w:val="none"/>
        </w:rPr>
        <w:t>货物和服务的名称、技术规范和数量</w:t>
      </w:r>
      <w:bookmarkEnd w:id="104"/>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5"/>
        <w:gridCol w:w="2009"/>
        <w:gridCol w:w="145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noWrap w:val="0"/>
            <w:vAlign w:val="top"/>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设备名称</w:t>
            </w:r>
          </w:p>
        </w:tc>
        <w:tc>
          <w:tcPr>
            <w:tcW w:w="2009" w:type="dxa"/>
            <w:noWrap w:val="0"/>
            <w:vAlign w:val="top"/>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1455" w:type="dxa"/>
            <w:noWrap w:val="0"/>
            <w:vAlign w:val="top"/>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w:t>
            </w:r>
          </w:p>
        </w:tc>
        <w:tc>
          <w:tcPr>
            <w:tcW w:w="2430" w:type="dxa"/>
            <w:noWrap w:val="0"/>
            <w:vAlign w:val="top"/>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noWrap w:val="0"/>
            <w:vAlign w:val="top"/>
          </w:tcPr>
          <w:p>
            <w:pPr>
              <w:spacing w:line="360" w:lineRule="auto"/>
              <w:jc w:val="center"/>
              <w:rPr>
                <w:rFonts w:hint="eastAsia" w:ascii="宋体" w:hAnsi="宋体" w:eastAsia="宋体" w:cs="宋体"/>
                <w:sz w:val="21"/>
                <w:szCs w:val="21"/>
                <w:highlight w:val="none"/>
              </w:rPr>
            </w:pPr>
          </w:p>
        </w:tc>
        <w:tc>
          <w:tcPr>
            <w:tcW w:w="2009" w:type="dxa"/>
            <w:noWrap w:val="0"/>
            <w:vAlign w:val="top"/>
          </w:tcPr>
          <w:p>
            <w:pPr>
              <w:spacing w:line="360" w:lineRule="auto"/>
              <w:jc w:val="center"/>
              <w:rPr>
                <w:rFonts w:hint="eastAsia" w:ascii="宋体" w:hAnsi="宋体" w:eastAsia="宋体" w:cs="宋体"/>
                <w:sz w:val="21"/>
                <w:szCs w:val="21"/>
                <w:highlight w:val="none"/>
              </w:rPr>
            </w:pPr>
          </w:p>
        </w:tc>
        <w:tc>
          <w:tcPr>
            <w:tcW w:w="1455" w:type="dxa"/>
            <w:noWrap w:val="0"/>
            <w:vAlign w:val="top"/>
          </w:tcPr>
          <w:p>
            <w:pPr>
              <w:spacing w:line="360" w:lineRule="auto"/>
              <w:jc w:val="center"/>
              <w:rPr>
                <w:rFonts w:hint="eastAsia" w:ascii="宋体" w:hAnsi="宋体" w:eastAsia="宋体" w:cs="宋体"/>
                <w:sz w:val="21"/>
                <w:szCs w:val="21"/>
                <w:highlight w:val="none"/>
              </w:rPr>
            </w:pPr>
          </w:p>
        </w:tc>
        <w:tc>
          <w:tcPr>
            <w:tcW w:w="2430" w:type="dxa"/>
            <w:noWrap w:val="0"/>
            <w:vAlign w:val="top"/>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noWrap w:val="0"/>
            <w:vAlign w:val="top"/>
          </w:tcPr>
          <w:p>
            <w:pPr>
              <w:spacing w:line="360" w:lineRule="auto"/>
              <w:jc w:val="center"/>
              <w:rPr>
                <w:rFonts w:hint="eastAsia" w:ascii="宋体" w:hAnsi="宋体" w:eastAsia="宋体" w:cs="宋体"/>
                <w:sz w:val="21"/>
                <w:szCs w:val="21"/>
                <w:highlight w:val="none"/>
              </w:rPr>
            </w:pPr>
            <w:bookmarkStart w:id="105" w:name="_Toc56917320"/>
          </w:p>
        </w:tc>
        <w:tc>
          <w:tcPr>
            <w:tcW w:w="2009" w:type="dxa"/>
            <w:noWrap w:val="0"/>
            <w:vAlign w:val="top"/>
          </w:tcPr>
          <w:p>
            <w:pPr>
              <w:spacing w:line="360" w:lineRule="auto"/>
              <w:jc w:val="center"/>
              <w:rPr>
                <w:rFonts w:hint="eastAsia" w:ascii="宋体" w:hAnsi="宋体" w:eastAsia="宋体" w:cs="宋体"/>
                <w:sz w:val="21"/>
                <w:szCs w:val="21"/>
                <w:highlight w:val="none"/>
              </w:rPr>
            </w:pPr>
          </w:p>
        </w:tc>
        <w:tc>
          <w:tcPr>
            <w:tcW w:w="1455" w:type="dxa"/>
            <w:noWrap w:val="0"/>
            <w:vAlign w:val="top"/>
          </w:tcPr>
          <w:p>
            <w:pPr>
              <w:spacing w:line="360" w:lineRule="auto"/>
              <w:jc w:val="center"/>
              <w:rPr>
                <w:rFonts w:hint="eastAsia" w:ascii="宋体" w:hAnsi="宋体" w:eastAsia="宋体" w:cs="宋体"/>
                <w:sz w:val="21"/>
                <w:szCs w:val="21"/>
                <w:highlight w:val="none"/>
              </w:rPr>
            </w:pPr>
          </w:p>
        </w:tc>
        <w:tc>
          <w:tcPr>
            <w:tcW w:w="2430" w:type="dxa"/>
            <w:noWrap w:val="0"/>
            <w:vAlign w:val="top"/>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noWrap w:val="0"/>
            <w:vAlign w:val="top"/>
          </w:tcPr>
          <w:p>
            <w:pPr>
              <w:spacing w:line="360" w:lineRule="auto"/>
              <w:jc w:val="center"/>
              <w:rPr>
                <w:rFonts w:hint="eastAsia" w:ascii="宋体" w:hAnsi="宋体" w:eastAsia="宋体" w:cs="宋体"/>
                <w:sz w:val="21"/>
                <w:szCs w:val="21"/>
                <w:highlight w:val="none"/>
              </w:rPr>
            </w:pPr>
          </w:p>
        </w:tc>
        <w:tc>
          <w:tcPr>
            <w:tcW w:w="2009" w:type="dxa"/>
            <w:noWrap w:val="0"/>
            <w:vAlign w:val="top"/>
          </w:tcPr>
          <w:p>
            <w:pPr>
              <w:spacing w:line="360" w:lineRule="auto"/>
              <w:jc w:val="center"/>
              <w:rPr>
                <w:rFonts w:hint="eastAsia" w:ascii="宋体" w:hAnsi="宋体" w:eastAsia="宋体" w:cs="宋体"/>
                <w:sz w:val="21"/>
                <w:szCs w:val="21"/>
                <w:highlight w:val="none"/>
              </w:rPr>
            </w:pPr>
          </w:p>
        </w:tc>
        <w:tc>
          <w:tcPr>
            <w:tcW w:w="1455" w:type="dxa"/>
            <w:noWrap w:val="0"/>
            <w:vAlign w:val="top"/>
          </w:tcPr>
          <w:p>
            <w:pPr>
              <w:spacing w:line="360" w:lineRule="auto"/>
              <w:jc w:val="center"/>
              <w:rPr>
                <w:rFonts w:hint="eastAsia" w:ascii="宋体" w:hAnsi="宋体" w:eastAsia="宋体" w:cs="宋体"/>
                <w:sz w:val="21"/>
                <w:szCs w:val="21"/>
                <w:highlight w:val="none"/>
              </w:rPr>
            </w:pPr>
          </w:p>
        </w:tc>
        <w:tc>
          <w:tcPr>
            <w:tcW w:w="2430" w:type="dxa"/>
            <w:noWrap w:val="0"/>
            <w:vAlign w:val="top"/>
          </w:tcPr>
          <w:p>
            <w:pPr>
              <w:spacing w:line="360" w:lineRule="auto"/>
              <w:jc w:val="center"/>
              <w:rPr>
                <w:rFonts w:hint="eastAsia" w:ascii="宋体" w:hAnsi="宋体" w:eastAsia="宋体" w:cs="宋体"/>
                <w:sz w:val="21"/>
                <w:szCs w:val="21"/>
                <w:highlight w:val="none"/>
              </w:rPr>
            </w:pPr>
          </w:p>
        </w:tc>
      </w:tr>
    </w:tbl>
    <w:p>
      <w:pPr>
        <w:numPr>
          <w:ilvl w:val="0"/>
          <w:numId w:val="7"/>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货物和服务的质量、技术标准</w:t>
      </w:r>
      <w:bookmarkEnd w:id="105"/>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合同货物和服务的质量、技术标准如在招标文件中无相应说明，则按中华人民共和国有关部门颁发的最新的国标或专业（部）标准执行及相应的国际标准。没有国家或专业(部)标准的，按企业标准执行。</w:t>
      </w:r>
    </w:p>
    <w:p>
      <w:pPr>
        <w:numPr>
          <w:ilvl w:val="0"/>
          <w:numId w:val="7"/>
        </w:numPr>
        <w:spacing w:line="360" w:lineRule="auto"/>
        <w:ind w:firstLine="420" w:firstLineChars="200"/>
        <w:rPr>
          <w:rFonts w:hint="eastAsia" w:ascii="宋体" w:hAnsi="宋体" w:eastAsia="宋体" w:cs="宋体"/>
          <w:sz w:val="21"/>
          <w:szCs w:val="21"/>
          <w:highlight w:val="none"/>
        </w:rPr>
      </w:pPr>
      <w:bookmarkStart w:id="106" w:name="_Toc56917321"/>
      <w:r>
        <w:rPr>
          <w:rFonts w:hint="eastAsia" w:ascii="宋体" w:hAnsi="宋体" w:eastAsia="宋体" w:cs="宋体"/>
          <w:sz w:val="21"/>
          <w:szCs w:val="21"/>
          <w:highlight w:val="none"/>
        </w:rPr>
        <w:t>专利权</w:t>
      </w:r>
      <w:bookmarkEnd w:id="106"/>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乙方对—切可能的侵权指控负责。</w:t>
      </w:r>
    </w:p>
    <w:p>
      <w:pPr>
        <w:numPr>
          <w:ilvl w:val="0"/>
          <w:numId w:val="7"/>
        </w:numPr>
        <w:spacing w:line="360" w:lineRule="auto"/>
        <w:ind w:firstLine="420" w:firstLineChars="200"/>
        <w:rPr>
          <w:rFonts w:hint="eastAsia" w:ascii="宋体" w:hAnsi="宋体" w:eastAsia="宋体" w:cs="宋体"/>
          <w:sz w:val="21"/>
          <w:szCs w:val="21"/>
          <w:highlight w:val="none"/>
        </w:rPr>
      </w:pPr>
      <w:bookmarkStart w:id="107" w:name="_Toc56917322"/>
      <w:r>
        <w:rPr>
          <w:rFonts w:hint="eastAsia" w:ascii="宋体" w:hAnsi="宋体" w:eastAsia="宋体" w:cs="宋体"/>
          <w:sz w:val="21"/>
          <w:szCs w:val="21"/>
          <w:highlight w:val="none"/>
        </w:rPr>
        <w:t>风险责任</w:t>
      </w:r>
      <w:bookmarkEnd w:id="107"/>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执行本合同的过程中，确因在现有水平和条件下难以克服的技术困难，导致部分或全部失败所造成的损失，风险责任由乙方全部承担。</w:t>
      </w:r>
    </w:p>
    <w:p>
      <w:pPr>
        <w:numPr>
          <w:ilvl w:val="0"/>
          <w:numId w:val="7"/>
        </w:numPr>
        <w:spacing w:line="360" w:lineRule="auto"/>
        <w:ind w:firstLine="420" w:firstLineChars="200"/>
        <w:rPr>
          <w:rFonts w:hint="eastAsia" w:ascii="宋体" w:hAnsi="宋体" w:eastAsia="宋体" w:cs="宋体"/>
          <w:sz w:val="21"/>
          <w:szCs w:val="21"/>
          <w:highlight w:val="none"/>
        </w:rPr>
      </w:pPr>
      <w:bookmarkStart w:id="108" w:name="_Toc56917323"/>
      <w:r>
        <w:rPr>
          <w:rFonts w:hint="eastAsia" w:ascii="宋体" w:hAnsi="宋体" w:eastAsia="宋体" w:cs="宋体"/>
          <w:sz w:val="21"/>
          <w:szCs w:val="21"/>
          <w:highlight w:val="none"/>
        </w:rPr>
        <w:t>无瑕疵条款</w:t>
      </w:r>
      <w:bookmarkEnd w:id="108"/>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乙方在交付货物和服务后发现有瑕疵或漏项的，乙方应负担由此而产生的一切损失。</w:t>
      </w:r>
    </w:p>
    <w:p>
      <w:pPr>
        <w:numPr>
          <w:ilvl w:val="0"/>
          <w:numId w:val="7"/>
        </w:numPr>
        <w:spacing w:line="360" w:lineRule="auto"/>
        <w:ind w:firstLine="420" w:firstLineChars="200"/>
        <w:rPr>
          <w:rFonts w:hint="eastAsia" w:ascii="宋体" w:hAnsi="宋体" w:eastAsia="宋体" w:cs="宋体"/>
          <w:sz w:val="21"/>
          <w:szCs w:val="21"/>
          <w:highlight w:val="none"/>
        </w:rPr>
      </w:pPr>
      <w:bookmarkStart w:id="109" w:name="_Toc56917326"/>
      <w:r>
        <w:rPr>
          <w:rFonts w:hint="eastAsia" w:ascii="宋体" w:hAnsi="宋体" w:eastAsia="宋体" w:cs="宋体"/>
          <w:sz w:val="21"/>
          <w:szCs w:val="21"/>
          <w:highlight w:val="none"/>
        </w:rPr>
        <w:t>合同转让和分包</w:t>
      </w:r>
      <w:bookmarkEnd w:id="109"/>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本合同不得转让。未经甲方书面同意，乙方不得将合同内容分包给第三方。</w:t>
      </w:r>
    </w:p>
    <w:p>
      <w:pPr>
        <w:numPr>
          <w:ilvl w:val="0"/>
          <w:numId w:val="7"/>
        </w:numPr>
        <w:spacing w:line="360" w:lineRule="auto"/>
        <w:ind w:firstLine="420" w:firstLineChars="200"/>
        <w:rPr>
          <w:rFonts w:hint="eastAsia" w:ascii="宋体" w:hAnsi="宋体" w:eastAsia="宋体" w:cs="宋体"/>
          <w:sz w:val="21"/>
          <w:szCs w:val="21"/>
          <w:highlight w:val="none"/>
        </w:rPr>
      </w:pPr>
      <w:bookmarkStart w:id="110" w:name="_Toc56917327"/>
      <w:r>
        <w:rPr>
          <w:rFonts w:hint="eastAsia" w:ascii="宋体" w:hAnsi="宋体" w:eastAsia="宋体" w:cs="宋体"/>
          <w:sz w:val="21"/>
          <w:szCs w:val="21"/>
          <w:highlight w:val="none"/>
        </w:rPr>
        <w:t>合同修改</w:t>
      </w:r>
      <w:bookmarkEnd w:id="110"/>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甲方与乙方双方的任何一方对合同内容提出修改，均应以书面形式通知对方，并达成由双方签署的合同修改书。原则性条款不允许修改。</w:t>
      </w:r>
    </w:p>
    <w:p>
      <w:pPr>
        <w:numPr>
          <w:ilvl w:val="0"/>
          <w:numId w:val="7"/>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bCs/>
          <w:sz w:val="21"/>
          <w:szCs w:val="21"/>
          <w:highlight w:val="none"/>
        </w:rPr>
        <w:t>不可抗力事件处理</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在执行合同期限内，任何一方因不可抗力事件所致不能履行合同，则合同履行期可延长，延长期与不可抗力影响期相同。</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不可抗力事件发生后，应立即通知对方，并寄送有关权威机构出具的证明。 </w:t>
      </w:r>
    </w:p>
    <w:p>
      <w:pPr>
        <w:numPr>
          <w:ilvl w:val="1"/>
          <w:numId w:val="7"/>
        </w:numPr>
        <w:spacing w:line="360" w:lineRule="auto"/>
        <w:ind w:left="0" w:firstLine="420" w:firstLineChars="200"/>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rPr>
        <w:t>不可抗力事件延续</w:t>
      </w:r>
      <w:r>
        <w:rPr>
          <w:rFonts w:hint="eastAsia" w:ascii="宋体" w:hAnsi="宋体" w:eastAsia="宋体" w:cs="宋体"/>
          <w:sz w:val="21"/>
          <w:szCs w:val="21"/>
          <w:highlight w:val="none"/>
          <w:u w:val="single"/>
        </w:rPr>
        <w:t xml:space="preserve">  60  </w:t>
      </w:r>
      <w:r>
        <w:rPr>
          <w:rFonts w:hint="eastAsia" w:ascii="宋体" w:hAnsi="宋体" w:eastAsia="宋体" w:cs="宋体"/>
          <w:sz w:val="21"/>
          <w:szCs w:val="21"/>
          <w:highlight w:val="none"/>
        </w:rPr>
        <w:t>天以上，双方应通过友好协商，确定是否继续履行合同。</w:t>
      </w:r>
    </w:p>
    <w:p>
      <w:pPr>
        <w:numPr>
          <w:ilvl w:val="0"/>
          <w:numId w:val="7"/>
        </w:num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延期责任</w:t>
      </w:r>
    </w:p>
    <w:p>
      <w:pPr>
        <w:autoSpaceDE w:val="0"/>
        <w:autoSpaceDN w:val="0"/>
        <w:adjustRightInd w:val="0"/>
        <w:spacing w:line="360" w:lineRule="auto"/>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甲乙双方因各自原因造成项目延期的，应分别承担相应责任。</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乙方如遇不能按时交付或不能及时提供服务的情况，应及时以书面形式通知甲方，并说明理由。</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若乙方未按本合同规定的时间到货的，则每超一天支付未到货货款的1%的违约金给甲方。未到货款累计额度，以未到货相应合同总价款为限。若乙方未能在本合同规定的时间内完成安装并完成移交的，则每超一天支付合同总价的1%的违约金给甲方。未交付罚款累计额度，以未交付相应合同总价价款为限。如供货逾期或安装逾期超出10天，甲方有权终止合同（如因甲方原因造成的工期延误除外）。</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因甲方原因造成工期延误，总工期相应顺延。由甲方造成的经济损失，甲方应承担相应责任。</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sz w:val="21"/>
          <w:szCs w:val="21"/>
          <w:highlight w:val="none"/>
        </w:rPr>
        <w:t xml:space="preserve"> 甲方应按合同约定时间支付相应货款，如有延误应按银行同期贷款利率支付延误时间的利息（由乙方原因造成的延误除外）。</w:t>
      </w:r>
    </w:p>
    <w:p>
      <w:pPr>
        <w:numPr>
          <w:ilvl w:val="0"/>
          <w:numId w:val="7"/>
        </w:numPr>
        <w:spacing w:line="360" w:lineRule="auto"/>
        <w:ind w:firstLine="420" w:firstLineChars="200"/>
        <w:rPr>
          <w:rFonts w:hint="eastAsia" w:ascii="宋体" w:hAnsi="宋体" w:eastAsia="宋体" w:cs="宋体"/>
          <w:sz w:val="21"/>
          <w:szCs w:val="21"/>
          <w:highlight w:val="none"/>
        </w:rPr>
      </w:pPr>
      <w:bookmarkStart w:id="111" w:name="_Toc56917328"/>
      <w:r>
        <w:rPr>
          <w:rFonts w:hint="eastAsia" w:ascii="宋体" w:hAnsi="宋体" w:eastAsia="宋体" w:cs="宋体"/>
          <w:sz w:val="21"/>
          <w:szCs w:val="21"/>
          <w:highlight w:val="none"/>
        </w:rPr>
        <w:t>违约责任</w:t>
      </w:r>
      <w:bookmarkEnd w:id="111"/>
    </w:p>
    <w:p>
      <w:pPr>
        <w:numPr>
          <w:ilvl w:val="1"/>
          <w:numId w:val="7"/>
        </w:numPr>
        <w:spacing w:line="360" w:lineRule="auto"/>
        <w:ind w:left="0" w:firstLine="420" w:firstLineChars="200"/>
        <w:rPr>
          <w:rFonts w:hint="eastAsia" w:ascii="宋体" w:hAnsi="宋体" w:eastAsia="宋体" w:cs="宋体"/>
          <w:sz w:val="21"/>
          <w:szCs w:val="21"/>
          <w:highlight w:val="none"/>
        </w:rPr>
      </w:pPr>
      <w:bookmarkStart w:id="112" w:name="_Toc56917329"/>
      <w:r>
        <w:rPr>
          <w:rFonts w:hint="eastAsia" w:ascii="宋体" w:hAnsi="宋体" w:eastAsia="宋体" w:cs="宋体"/>
          <w:sz w:val="21"/>
          <w:szCs w:val="21"/>
          <w:highlight w:val="none"/>
        </w:rPr>
        <w:t>除此合同另有约定外，乙方没有按本合同履行合同约定的义务的，视为违约，应承担由此给甲方造成的全部损失。</w:t>
      </w:r>
    </w:p>
    <w:bookmarkEnd w:id="112"/>
    <w:p>
      <w:pPr>
        <w:numPr>
          <w:ilvl w:val="0"/>
          <w:numId w:val="7"/>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违约终止合同</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甲方在乙方存在如下违约情况时，有权考虑并提出终止全部或部分合同。</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乙方未能在合同规定期限或甲方同意延长的期限内交付全部或部分货物。</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乙方未能履行合同规定的其他义务。</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在发生上述情况后，乙方收到甲方的违约通知后10天内未能纠正其过失。</w:t>
      </w:r>
    </w:p>
    <w:p>
      <w:pPr>
        <w:numPr>
          <w:ilvl w:val="0"/>
          <w:numId w:val="7"/>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争议的解决</w:t>
      </w:r>
    </w:p>
    <w:p>
      <w:pPr>
        <w:autoSpaceDE w:val="0"/>
        <w:autoSpaceDN w:val="0"/>
        <w:adjustRightInd w:val="0"/>
        <w:snapToGrid w:val="0"/>
        <w:spacing w:line="360" w:lineRule="auto"/>
        <w:ind w:firstLine="420" w:firstLineChars="200"/>
        <w:outlineLvl w:val="1"/>
        <w:rPr>
          <w:rFonts w:hint="eastAsia" w:ascii="宋体" w:hAnsi="宋体" w:eastAsia="宋体" w:cs="宋体"/>
          <w:sz w:val="21"/>
          <w:szCs w:val="21"/>
          <w:highlight w:val="none"/>
        </w:rPr>
      </w:pPr>
      <w:bookmarkStart w:id="113" w:name="_Toc359922940"/>
      <w:bookmarkStart w:id="114" w:name="_Toc15630517"/>
      <w:bookmarkStart w:id="115" w:name="_Toc19594"/>
      <w:r>
        <w:rPr>
          <w:rFonts w:hint="eastAsia" w:ascii="宋体" w:hAnsi="宋体" w:eastAsia="宋体" w:cs="宋体"/>
          <w:sz w:val="21"/>
          <w:szCs w:val="21"/>
          <w:highlight w:val="none"/>
        </w:rPr>
        <w:t>双方在履行合同过程中产生争议时(1)请衢州市政府采购监管部门调解;(2)</w:t>
      </w:r>
      <w:bookmarkEnd w:id="113"/>
      <w:bookmarkStart w:id="116" w:name="_Toc359922941"/>
      <w:r>
        <w:rPr>
          <w:rFonts w:hint="eastAsia" w:ascii="宋体" w:hAnsi="宋体" w:eastAsia="宋体" w:cs="宋体"/>
          <w:sz w:val="21"/>
          <w:szCs w:val="21"/>
          <w:highlight w:val="none"/>
        </w:rPr>
        <w:t>调解不成的,约定向衢州市</w:t>
      </w:r>
      <w:r>
        <w:rPr>
          <w:rFonts w:hint="eastAsia" w:ascii="宋体" w:hAnsi="宋体" w:cs="宋体"/>
          <w:sz w:val="21"/>
          <w:szCs w:val="21"/>
          <w:highlight w:val="none"/>
          <w:lang w:val="en-US" w:eastAsia="zh-CN"/>
        </w:rPr>
        <w:t>仲裁委员会申请仲裁</w:t>
      </w:r>
      <w:r>
        <w:rPr>
          <w:rFonts w:hint="eastAsia" w:ascii="宋体" w:hAnsi="宋体" w:eastAsia="宋体" w:cs="宋体"/>
          <w:sz w:val="21"/>
          <w:szCs w:val="21"/>
          <w:highlight w:val="none"/>
        </w:rPr>
        <w:t>。</w:t>
      </w:r>
      <w:bookmarkEnd w:id="114"/>
      <w:bookmarkEnd w:id="115"/>
      <w:bookmarkEnd w:id="116"/>
    </w:p>
    <w:p>
      <w:pPr>
        <w:autoSpaceDE w:val="0"/>
        <w:autoSpaceDN w:val="0"/>
        <w:adjustRightInd w:val="0"/>
        <w:snapToGrid w:val="0"/>
        <w:spacing w:line="500" w:lineRule="exact"/>
        <w:ind w:left="425"/>
        <w:jc w:val="center"/>
        <w:outlineLvl w:val="1"/>
        <w:rPr>
          <w:rFonts w:hint="eastAsia" w:ascii="宋体" w:hAnsi="宋体" w:eastAsia="宋体" w:cs="宋体"/>
          <w:b/>
          <w:bCs/>
          <w:sz w:val="21"/>
          <w:szCs w:val="21"/>
          <w:highlight w:val="none"/>
          <w:lang w:val="zh-CN"/>
        </w:rPr>
      </w:pPr>
      <w:bookmarkStart w:id="117" w:name="_Toc14744"/>
      <w:r>
        <w:rPr>
          <w:rFonts w:hint="eastAsia" w:ascii="宋体" w:hAnsi="宋体" w:eastAsia="宋体" w:cs="宋体"/>
          <w:b/>
          <w:bCs/>
          <w:sz w:val="21"/>
          <w:szCs w:val="21"/>
          <w:highlight w:val="none"/>
          <w:lang w:val="zh-CN"/>
        </w:rPr>
        <w:t>二、专用条款</w:t>
      </w:r>
      <w:bookmarkEnd w:id="117"/>
    </w:p>
    <w:p>
      <w:pPr>
        <w:wordWrap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甲、乙双方根据（项目编号：__________）项目招标结果和招标文件的要求，并经双方协调一致，订立本采购合同。</w:t>
      </w:r>
    </w:p>
    <w:p>
      <w:pPr>
        <w:numPr>
          <w:ilvl w:val="0"/>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合同文件</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本合同书</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中标/成交通知书</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中标单位投标文件</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变更补充文件</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招标文件</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本合同专用条款</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本合同通用条款</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标准、规范、图纸及有关技术文件</w:t>
      </w:r>
    </w:p>
    <w:p>
      <w:pPr>
        <w:numPr>
          <w:ilvl w:val="1"/>
          <w:numId w:val="7"/>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其他</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上述所指合同文件应认为是互相补充和解释的，但是有模棱两可或互相矛盾之处，以其所列内容顺序为准。</w:t>
      </w:r>
    </w:p>
    <w:p>
      <w:pPr>
        <w:numPr>
          <w:ilvl w:val="0"/>
          <w:numId w:val="7"/>
        </w:numPr>
        <w:tabs>
          <w:tab w:val="left" w:pos="0"/>
        </w:tabs>
        <w:spacing w:line="360" w:lineRule="auto"/>
        <w:rPr>
          <w:rFonts w:hint="eastAsia" w:ascii="宋体" w:hAnsi="宋体" w:eastAsia="宋体" w:cs="宋体"/>
          <w:b/>
          <w:kern w:val="0"/>
          <w:sz w:val="21"/>
          <w:szCs w:val="21"/>
          <w:highlight w:val="none"/>
        </w:rPr>
      </w:pPr>
      <w:r>
        <w:rPr>
          <w:rFonts w:hint="eastAsia" w:ascii="宋体" w:hAnsi="宋体" w:eastAsia="宋体" w:cs="宋体"/>
          <w:sz w:val="21"/>
          <w:szCs w:val="21"/>
          <w:highlight w:val="none"/>
        </w:rPr>
        <w:t>合同金额：</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（大写）</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包括货款、标准附件、备品备件、专用工具、包装、运输、装卸、保险、税金、货到检查以及安装、调试、培训、保修等一切税金和费用。</w:t>
      </w:r>
      <w:r>
        <w:rPr>
          <w:rFonts w:hint="eastAsia" w:ascii="宋体" w:hAnsi="宋体" w:eastAsia="宋体" w:cs="宋体"/>
          <w:bCs/>
          <w:sz w:val="21"/>
          <w:szCs w:val="21"/>
          <w:highlight w:val="none"/>
          <w:u w:val="single"/>
        </w:rPr>
        <w:t>另验收未通过的，验收费用由乙方支付</w:t>
      </w:r>
      <w:r>
        <w:rPr>
          <w:rFonts w:hint="eastAsia" w:ascii="宋体" w:hAnsi="宋体" w:eastAsia="宋体" w:cs="宋体"/>
          <w:sz w:val="21"/>
          <w:szCs w:val="21"/>
          <w:highlight w:val="none"/>
        </w:rPr>
        <w:t>。</w:t>
      </w:r>
    </w:p>
    <w:p>
      <w:pPr>
        <w:wordWrap w:val="0"/>
        <w:ind w:firstLine="1560" w:firstLineChars="740"/>
        <w:rPr>
          <w:rFonts w:hint="eastAsia" w:ascii="宋体" w:hAnsi="宋体" w:eastAsia="宋体" w:cs="宋体"/>
          <w:sz w:val="21"/>
          <w:szCs w:val="21"/>
          <w:highlight w:val="none"/>
        </w:rPr>
      </w:pPr>
      <w:r>
        <w:rPr>
          <w:rFonts w:hint="eastAsia" w:ascii="宋体" w:hAnsi="宋体" w:eastAsia="宋体" w:cs="宋体"/>
          <w:b/>
          <w:kern w:val="0"/>
          <w:sz w:val="21"/>
          <w:szCs w:val="21"/>
          <w:highlight w:val="none"/>
        </w:rPr>
        <w:t xml:space="preserve">                                       单位：元</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13"/>
        <w:gridCol w:w="859"/>
        <w:gridCol w:w="851"/>
        <w:gridCol w:w="850"/>
        <w:gridCol w:w="1975"/>
        <w:gridCol w:w="1156"/>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32"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613"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85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单价</w:t>
            </w:r>
          </w:p>
        </w:tc>
        <w:tc>
          <w:tcPr>
            <w:tcW w:w="851"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850"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金额</w:t>
            </w:r>
          </w:p>
        </w:tc>
        <w:tc>
          <w:tcPr>
            <w:tcW w:w="1975"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规格型号</w:t>
            </w:r>
          </w:p>
        </w:tc>
        <w:tc>
          <w:tcPr>
            <w:tcW w:w="1156"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制造商</w:t>
            </w:r>
          </w:p>
        </w:tc>
        <w:tc>
          <w:tcPr>
            <w:tcW w:w="118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32"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w:t>
            </w:r>
          </w:p>
        </w:tc>
        <w:tc>
          <w:tcPr>
            <w:tcW w:w="1613"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1"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0"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975"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156"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18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32"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1613"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1"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0"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975"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156"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18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32"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二</w:t>
            </w:r>
          </w:p>
        </w:tc>
        <w:tc>
          <w:tcPr>
            <w:tcW w:w="1613"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1"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850"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975"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156"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c>
          <w:tcPr>
            <w:tcW w:w="1189"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32"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三</w:t>
            </w:r>
          </w:p>
        </w:tc>
        <w:tc>
          <w:tcPr>
            <w:tcW w:w="1613" w:type="dxa"/>
            <w:noWrap w:val="0"/>
            <w:vAlign w:val="center"/>
          </w:tcPr>
          <w:p>
            <w:pPr>
              <w:pStyle w:val="32"/>
              <w:spacing w:line="36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总计</w:t>
            </w:r>
          </w:p>
        </w:tc>
        <w:tc>
          <w:tcPr>
            <w:tcW w:w="6880" w:type="dxa"/>
            <w:gridSpan w:val="6"/>
            <w:noWrap w:val="0"/>
            <w:vAlign w:val="center"/>
          </w:tcPr>
          <w:p>
            <w:pPr>
              <w:pStyle w:val="32"/>
              <w:spacing w:line="360" w:lineRule="auto"/>
              <w:ind w:firstLine="0" w:firstLineChars="0"/>
              <w:jc w:val="center"/>
              <w:rPr>
                <w:rFonts w:hint="eastAsia" w:ascii="宋体" w:hAnsi="宋体" w:eastAsia="宋体" w:cs="宋体"/>
                <w:sz w:val="21"/>
                <w:szCs w:val="21"/>
                <w:highlight w:val="none"/>
              </w:rPr>
            </w:pPr>
          </w:p>
        </w:tc>
      </w:tr>
    </w:tbl>
    <w:p>
      <w:pPr>
        <w:numPr>
          <w:ilvl w:val="0"/>
          <w:numId w:val="7"/>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bCs/>
          <w:sz w:val="21"/>
          <w:szCs w:val="21"/>
          <w:highlight w:val="none"/>
        </w:rPr>
        <w:t>质量保证</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乙方应保证货物是全新、未使用过的原装合格正品，并完全符合招标文件及本合同规定的质量、规格和性能的要求。</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产品的技术标准按国家标准执行，无国家标准的，按行业标准执行，无国家和行业标准的，按企业标准执行；但在招标文件中有特别要求的，按招标文件中规定的要求执行，并且符合相关法律、法规规定的要求。</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产品的包装，国家或行业主管部门有规定的，按规定执行。 </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乙方提供主要设备的质量保证期为现场安装验收合格之后的___个月。如甲方原因导致不能及时安装的，产品的质保期自到货之日起</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个月后开始计算。在质保期内因产品本身的质量问题发生故障，乙方应负责免费修理和更换 。</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所提供的货物及服务完全符合合同规定的运行性能和安全要求，乙方应保护甲方在使用该系统或其任何一</w:t>
      </w:r>
      <w:r>
        <w:rPr>
          <w:rFonts w:hint="eastAsia" w:ascii="宋体" w:hAnsi="宋体" w:eastAsia="宋体" w:cs="宋体"/>
          <w:sz w:val="21"/>
          <w:szCs w:val="21"/>
          <w:highlight w:val="none"/>
        </w:rPr>
        <w:t>部分时不受第三方提出侵犯专利权、商标权或工业设备等知识产权的指控，如果第三方提出侵权指控，乙方须与第三方交涉并承担可能发生的一切法律责任和费用。</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sz w:val="21"/>
          <w:szCs w:val="21"/>
          <w:highlight w:val="none"/>
        </w:rPr>
        <w:t>项目完成后，运行结果符合产品标准和本</w:t>
      </w:r>
      <w:r>
        <w:rPr>
          <w:rFonts w:hint="eastAsia" w:ascii="宋体" w:hAnsi="宋体" w:eastAsia="宋体" w:cs="宋体"/>
          <w:kern w:val="0"/>
          <w:sz w:val="21"/>
          <w:szCs w:val="21"/>
          <w:highlight w:val="none"/>
        </w:rPr>
        <w:t>招标</w:t>
      </w:r>
      <w:r>
        <w:rPr>
          <w:rFonts w:hint="eastAsia" w:ascii="宋体" w:hAnsi="宋体" w:eastAsia="宋体" w:cs="宋体"/>
          <w:sz w:val="21"/>
          <w:szCs w:val="21"/>
          <w:highlight w:val="none"/>
        </w:rPr>
        <w:t>文件及相关文件的要求；在进行测试和验收运行过程中发生的故障已被消除并得到甲方的认可；所有合同中规定的货物和材料均已提交；整套产品资料及技术文件均已提交并得到接受。系统即可通过初验。</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sz w:val="21"/>
          <w:szCs w:val="21"/>
          <w:highlight w:val="none"/>
        </w:rPr>
        <w:t>设备从初验合格次日起7天内，出现非甲方人为因素造成的无法排除的故障，由乙方予以整机调换。</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sz w:val="21"/>
          <w:szCs w:val="21"/>
          <w:highlight w:val="none"/>
        </w:rPr>
        <w:t>工程终验时，乙方须提供已办妥的相应质保及售后服务手续，同时，协助甲方通过电话查询售后服务手续办理情况予以验证。</w:t>
      </w:r>
    </w:p>
    <w:p>
      <w:pPr>
        <w:numPr>
          <w:ilvl w:val="1"/>
          <w:numId w:val="7"/>
        </w:numPr>
        <w:spacing w:line="360" w:lineRule="auto"/>
        <w:ind w:left="0" w:firstLine="420" w:firstLineChars="200"/>
        <w:rPr>
          <w:rFonts w:hint="eastAsia" w:ascii="宋体" w:hAnsi="宋体" w:eastAsia="宋体" w:cs="宋体"/>
          <w:kern w:val="0"/>
          <w:sz w:val="21"/>
          <w:szCs w:val="21"/>
          <w:highlight w:val="none"/>
        </w:rPr>
      </w:pPr>
      <w:r>
        <w:rPr>
          <w:rFonts w:hint="eastAsia" w:ascii="宋体" w:hAnsi="宋体" w:eastAsia="宋体" w:cs="宋体"/>
          <w:sz w:val="21"/>
          <w:szCs w:val="21"/>
          <w:highlight w:val="none"/>
          <w:u w:val="single"/>
        </w:rPr>
        <w:t>（视项目需要可具体细化）</w:t>
      </w:r>
    </w:p>
    <w:p>
      <w:pPr>
        <w:numPr>
          <w:ilvl w:val="0"/>
          <w:numId w:val="7"/>
        </w:num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到货验收及调试</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rPr>
        <w:t>乙方将所供设备运至交货地点，并向甲方提供到货证明。采购人在收到到货证明5天内，对货物的外观、规格、数量、进行检验。如发现货物的外观、规格、数量与合同规定不符，甲方有权拒绝接受。设备到货时，须提供设备正常途径的供货证明。</w:t>
      </w:r>
    </w:p>
    <w:p>
      <w:pPr>
        <w:numPr>
          <w:ilvl w:val="1"/>
          <w:numId w:val="7"/>
        </w:numPr>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所供设备现场设备安装时，根据要求决定是否由(原厂/乙方)工程师负责实施。主要内容如下：</w:t>
      </w:r>
    </w:p>
    <w:p>
      <w:pPr>
        <w:numPr>
          <w:ilvl w:val="2"/>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乙方应完成供货、安装，并协助用户完成整套设备系统的正常、稳定运行。包括：协助用户完成设备安装环境准备并验收</w:t>
      </w:r>
      <w:r>
        <w:rPr>
          <w:rFonts w:hint="eastAsia" w:ascii="宋体" w:hAnsi="宋体" w:eastAsia="宋体" w:cs="宋体"/>
          <w:sz w:val="21"/>
          <w:szCs w:val="21"/>
          <w:highlight w:val="none"/>
          <w:lang w:val="zh-CN"/>
        </w:rPr>
        <w:t>，负责设备系统的初期维护等，并完成验收前期的各项准备工作等。</w:t>
      </w:r>
    </w:p>
    <w:p>
      <w:pPr>
        <w:numPr>
          <w:ilvl w:val="2"/>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kern w:val="0"/>
          <w:sz w:val="21"/>
          <w:szCs w:val="21"/>
          <w:highlight w:val="none"/>
        </w:rPr>
        <w:t>乙方</w:t>
      </w:r>
      <w:r>
        <w:rPr>
          <w:rFonts w:hint="eastAsia" w:ascii="宋体" w:hAnsi="宋体" w:eastAsia="宋体" w:cs="宋体"/>
          <w:sz w:val="21"/>
          <w:szCs w:val="21"/>
          <w:highlight w:val="none"/>
          <w:lang w:val="zh-CN"/>
        </w:rPr>
        <w:t>将投标设备与现有的设备进行集成，所有系统和设备能够连通并正常运转，所有硬件能够在相应平台上正常运行，同时达到招标/谈判需求要求的性能和投标产品技术规格中的性能。设备安装、调试所需的工具、仪器及安装材料由乙方负责。</w:t>
      </w:r>
    </w:p>
    <w:p>
      <w:pPr>
        <w:numPr>
          <w:ilvl w:val="2"/>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kern w:val="0"/>
          <w:sz w:val="21"/>
          <w:szCs w:val="21"/>
          <w:highlight w:val="none"/>
          <w:lang w:val="zh-CN"/>
        </w:rPr>
        <w:t>验收分</w:t>
      </w:r>
      <w:r>
        <w:rPr>
          <w:rFonts w:hint="eastAsia" w:ascii="宋体" w:hAnsi="宋体" w:eastAsia="宋体" w:cs="宋体"/>
          <w:b/>
          <w:kern w:val="0"/>
          <w:sz w:val="21"/>
          <w:szCs w:val="21"/>
          <w:highlight w:val="none"/>
          <w:u w:val="single"/>
          <w:lang w:val="zh-CN"/>
        </w:rPr>
        <w:t>到货清点验收、系统集成初验、项目终验</w:t>
      </w:r>
      <w:r>
        <w:rPr>
          <w:rFonts w:hint="eastAsia" w:ascii="宋体" w:hAnsi="宋体" w:eastAsia="宋体" w:cs="宋体"/>
          <w:kern w:val="0"/>
          <w:sz w:val="21"/>
          <w:szCs w:val="21"/>
          <w:highlight w:val="none"/>
          <w:lang w:val="zh-CN"/>
        </w:rPr>
        <w:t>三阶段。乙方将所供设备运至交货地点，在甲方人员在场时拆箱，由甲方当场清点验收。安装调试完毕后，协助甲方完成系统集成初验。</w:t>
      </w:r>
    </w:p>
    <w:p>
      <w:pPr>
        <w:numPr>
          <w:ilvl w:val="2"/>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kern w:val="0"/>
          <w:sz w:val="21"/>
          <w:szCs w:val="21"/>
          <w:highlight w:val="none"/>
          <w:lang w:val="zh-CN"/>
        </w:rPr>
        <w:t>设备从初验合格次日起7天内，出现非甲方人为因素造成的无法排除的故障，由乙方予以整机调换。</w:t>
      </w:r>
    </w:p>
    <w:p>
      <w:pPr>
        <w:numPr>
          <w:ilvl w:val="2"/>
          <w:numId w:val="7"/>
        </w:numPr>
        <w:spacing w:line="360" w:lineRule="auto"/>
        <w:ind w:left="0" w:firstLine="420" w:firstLineChars="200"/>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项目终验在设备安装调试完毕，乙方为甲方临床应用培训结束且各类商检、计量等检测完成合格后组织实施。项目终验时，</w:t>
      </w:r>
      <w:r>
        <w:rPr>
          <w:rFonts w:hint="eastAsia" w:ascii="宋体" w:hAnsi="宋体" w:eastAsia="宋体" w:cs="宋体"/>
          <w:kern w:val="0"/>
          <w:sz w:val="21"/>
          <w:szCs w:val="21"/>
          <w:highlight w:val="none"/>
          <w:lang w:val="zh-CN"/>
        </w:rPr>
        <w:t>乙方</w:t>
      </w:r>
      <w:r>
        <w:rPr>
          <w:rFonts w:hint="eastAsia" w:ascii="宋体" w:hAnsi="宋体" w:eastAsia="宋体" w:cs="宋体"/>
          <w:sz w:val="21"/>
          <w:szCs w:val="21"/>
          <w:highlight w:val="none"/>
          <w:lang w:val="zh-CN"/>
        </w:rPr>
        <w:t>须提供已办妥相应质保及售后服务手续，同时，协助</w:t>
      </w:r>
      <w:r>
        <w:rPr>
          <w:rFonts w:hint="eastAsia" w:ascii="宋体" w:hAnsi="宋体" w:eastAsia="宋体" w:cs="宋体"/>
          <w:kern w:val="0"/>
          <w:sz w:val="21"/>
          <w:szCs w:val="21"/>
          <w:highlight w:val="none"/>
          <w:lang w:val="zh-CN"/>
        </w:rPr>
        <w:t>甲方</w:t>
      </w:r>
      <w:r>
        <w:rPr>
          <w:rFonts w:hint="eastAsia" w:ascii="宋体" w:hAnsi="宋体" w:eastAsia="宋体" w:cs="宋体"/>
          <w:sz w:val="21"/>
          <w:szCs w:val="21"/>
          <w:highlight w:val="none"/>
          <w:lang w:val="zh-CN"/>
        </w:rPr>
        <w:t>通过电话查询售后服务手续办理情况予以验证。</w:t>
      </w:r>
    </w:p>
    <w:p>
      <w:pPr>
        <w:numPr>
          <w:ilvl w:val="2"/>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u w:val="single"/>
        </w:rPr>
        <w:t>（视项目需要可具体细化）</w:t>
      </w:r>
    </w:p>
    <w:p>
      <w:pPr>
        <w:numPr>
          <w:ilvl w:val="0"/>
          <w:numId w:val="7"/>
        </w:num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安装试运行</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乙方负责设备购置、安装、调试、试运行等全过程的工作。</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乙方应提供安装计划给甲方认可。安装时乙方按需提供分派针对相对应设备的各个认证工程师负责安装、调试及运行工作，以检测其设计、制造、运行效果等，并提供所有测试和调试所需的工具、材料、仪器和劳务人员，直到保证正常稳定运行。安装结束前，乙方应提交测试和调试方法及记录表格给甲方。</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设备试运行应在甲方的监督下进行，此类监督不免除乙方应承担的相关责任。</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u w:val="single"/>
        </w:rPr>
        <w:t>（视项目需要可具体细化）</w:t>
      </w:r>
    </w:p>
    <w:p>
      <w:pPr>
        <w:numPr>
          <w:ilvl w:val="0"/>
          <w:numId w:val="7"/>
        </w:num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需提供的资料</w:t>
      </w:r>
      <w:bookmarkStart w:id="118" w:name="OLE_LINK46"/>
    </w:p>
    <w:bookmarkEnd w:id="118"/>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乙方须在合同签订后五天内提交供甲方认可的需求分析报告、设计方案、设计说明书、项目实施计划书各一份，其中项目实施计划书的内容包括：设计、购置、交货、安装调试、质保期内规定完成的所有工作及活动。</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乙方应对合同中提供的设备主要部件建立质量保证计划。</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提供所有技术说明文档和设备安装、维护使用说明书。</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设备及其和安装有关的技术原理图、接线图。</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随机的辅助设备、专用电线电缆、随机软件、维修密钥、技术资料（包括操作手册、使用指南、维修指南和含维修网点在内的服务手册等）。</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设备运行所必需的随机消耗材料，相应的技术服务与质量保证。投标方应提供所供产品备件、附件和耗材的使用、消耗情况说明并推荐相应供应商及供货单价。</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在所供设备交付使用时，乙方必须向甲方提供产品说明书、质量保证书、保修卡、配置文档、使用手册、测试文档等必须具备的相关资料和必备的附件。</w:t>
      </w:r>
    </w:p>
    <w:p>
      <w:pPr>
        <w:numPr>
          <w:ilvl w:val="1"/>
          <w:numId w:val="7"/>
        </w:numPr>
        <w:spacing w:line="360" w:lineRule="auto"/>
        <w:ind w:left="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乙方认为可能需要的其它文件。</w:t>
      </w:r>
    </w:p>
    <w:p>
      <w:pPr>
        <w:numPr>
          <w:ilvl w:val="0"/>
          <w:numId w:val="7"/>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付款方式</w:t>
      </w:r>
    </w:p>
    <w:p>
      <w:pPr>
        <w:keepNext w:val="0"/>
        <w:keepLines w:val="0"/>
        <w:pageBreakBefore w:val="0"/>
        <w:widowControl w:val="0"/>
        <w:kinsoku/>
        <w:wordWrap/>
        <w:overflowPunct/>
        <w:topLinePunct w:val="0"/>
        <w:bidi w:val="0"/>
        <w:snapToGrid w:val="0"/>
        <w:spacing w:line="360" w:lineRule="auto"/>
        <w:ind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合同签订</w:t>
      </w:r>
      <w:r>
        <w:rPr>
          <w:rFonts w:hint="eastAsia" w:ascii="宋体" w:hAnsi="宋体" w:cs="宋体"/>
          <w:color w:val="auto"/>
          <w:sz w:val="21"/>
          <w:szCs w:val="21"/>
          <w:highlight w:val="none"/>
          <w:lang w:val="en-US" w:eastAsia="zh-CN"/>
        </w:rPr>
        <w:t>生效</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rPr>
        <w:t>5个工作日内支付合同总金额的</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0%；</w:t>
      </w:r>
    </w:p>
    <w:p>
      <w:pPr>
        <w:keepNext w:val="0"/>
        <w:keepLines w:val="0"/>
        <w:pageBreakBefore w:val="0"/>
        <w:widowControl w:val="0"/>
        <w:kinsoku/>
        <w:wordWrap/>
        <w:overflowPunct/>
        <w:topLinePunct w:val="0"/>
        <w:bidi w:val="0"/>
        <w:snapToGrid w:val="0"/>
        <w:spacing w:line="360" w:lineRule="auto"/>
        <w:ind w:firstLineChars="200"/>
        <w:jc w:val="left"/>
        <w:textAlignment w:val="auto"/>
        <w:rPr>
          <w:rFonts w:hint="eastAsia" w:ascii="宋体" w:hAnsi="宋体" w:eastAsia="宋体" w:cs="宋体"/>
          <w:bCs/>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bCs/>
          <w:szCs w:val="21"/>
          <w:highlight w:val="none"/>
        </w:rPr>
        <w:t>完成铁塔建设和雷达设备安装调试测试合格后，支付至合同总价的9</w:t>
      </w:r>
      <w:r>
        <w:rPr>
          <w:rFonts w:hint="eastAsia" w:ascii="宋体" w:hAnsi="宋体" w:cs="宋体"/>
          <w:bCs/>
          <w:szCs w:val="21"/>
          <w:highlight w:val="none"/>
          <w:lang w:val="en-US" w:eastAsia="zh-CN"/>
        </w:rPr>
        <w:t>0</w:t>
      </w:r>
      <w:r>
        <w:rPr>
          <w:rFonts w:hint="eastAsia" w:ascii="宋体" w:hAnsi="宋体" w:eastAsia="宋体" w:cs="宋体"/>
          <w:bCs/>
          <w:szCs w:val="21"/>
          <w:highlight w:val="none"/>
        </w:rPr>
        <w:t>%；</w:t>
      </w:r>
    </w:p>
    <w:p>
      <w:pPr>
        <w:snapToGrid w:val="0"/>
        <w:spacing w:line="312" w:lineRule="auto"/>
        <w:jc w:val="left"/>
        <w:outlineLvl w:val="0"/>
        <w:rPr>
          <w:rFonts w:hint="eastAsia" w:ascii="宋体" w:hAnsi="宋体" w:eastAsia="宋体" w:cs="宋体"/>
          <w:bCs/>
          <w:szCs w:val="21"/>
          <w:highlight w:val="none"/>
        </w:rPr>
      </w:pPr>
      <w:r>
        <w:rPr>
          <w:rFonts w:hint="eastAsia" w:ascii="宋体" w:hAnsi="宋体" w:cs="宋体"/>
          <w:color w:val="auto"/>
          <w:sz w:val="21"/>
          <w:szCs w:val="21"/>
          <w:highlight w:val="none"/>
          <w:lang w:val="en-US" w:eastAsia="zh-CN"/>
        </w:rPr>
        <w:t xml:space="preserve">    （3）</w:t>
      </w:r>
      <w:r>
        <w:rPr>
          <w:rFonts w:hint="eastAsia" w:ascii="宋体" w:hAnsi="宋体" w:eastAsia="宋体" w:cs="宋体"/>
          <w:bCs/>
          <w:szCs w:val="21"/>
          <w:highlight w:val="none"/>
        </w:rPr>
        <w:t>整个雷达站试运行验收（验收产生的费用由乙方支付）合格且经结算审计后支付剩余款项；</w:t>
      </w:r>
    </w:p>
    <w:p>
      <w:pPr>
        <w:numPr>
          <w:ilvl w:val="0"/>
          <w:numId w:val="7"/>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cs="宋体"/>
          <w:sz w:val="21"/>
          <w:szCs w:val="21"/>
          <w:highlight w:val="none"/>
          <w:lang w:val="en-US" w:eastAsia="zh-CN"/>
        </w:rPr>
        <w:t>履约保证金</w:t>
      </w:r>
    </w:p>
    <w:p>
      <w:pPr>
        <w:numPr>
          <w:ilvl w:val="0"/>
          <w:numId w:val="0"/>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中标通知书发出后三十天内，中标人通过电汇、转账、银行或保险公司出具的履约保函等方式向采购人交纳合同金额的1%作为履约保证金。项目验收合格后无息退回履约保证金。</w:t>
      </w:r>
    </w:p>
    <w:p>
      <w:pPr>
        <w:numPr>
          <w:ilvl w:val="0"/>
          <w:numId w:val="7"/>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培训</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培训在项目实施过程中按采购人确定的时间进行。</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本项目培训要求（</w:t>
      </w:r>
      <w:r>
        <w:rPr>
          <w:rFonts w:hint="eastAsia" w:ascii="宋体" w:hAnsi="宋体" w:eastAsia="宋体" w:cs="宋体"/>
          <w:sz w:val="21"/>
          <w:szCs w:val="21"/>
          <w:highlight w:val="none"/>
          <w:u w:val="single"/>
        </w:rPr>
        <w:t>视项目需要可具体细化</w:t>
      </w:r>
      <w:r>
        <w:rPr>
          <w:rFonts w:hint="eastAsia" w:ascii="宋体" w:hAnsi="宋体" w:eastAsia="宋体" w:cs="宋体"/>
          <w:sz w:val="21"/>
          <w:szCs w:val="21"/>
          <w:highlight w:val="none"/>
          <w:lang w:val="zh-CN"/>
        </w:rPr>
        <w:t>）：</w:t>
      </w:r>
    </w:p>
    <w:p>
      <w:pPr>
        <w:numPr>
          <w:ilvl w:val="0"/>
          <w:numId w:val="7"/>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售后服务</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售后服务内容以乙方承诺及相关要求等为准。备品备件的替换应按同等性能、同等配置要求进行。</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乙方应明确承诺售后服务保证，提供详细的服务地点、联系人、电话等有关资料；</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 xml:space="preserve">质保期符合或优于国家标准（采购需求表中另有约定的例外）。在质保期内，设备的维修和保养所发生的一切费用均由乙方承担； </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设备签约的同时，双方可签订质保期满后的维修保养协议或合同。</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u w:val="single"/>
        </w:rPr>
        <w:t>（视项目需要可具体细化）</w:t>
      </w:r>
    </w:p>
    <w:p>
      <w:pPr>
        <w:numPr>
          <w:ilvl w:val="0"/>
          <w:numId w:val="7"/>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工期要求</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 xml:space="preserve"> 合同签定后</w:t>
      </w:r>
      <w:r>
        <w:rPr>
          <w:rFonts w:hint="eastAsia" w:ascii="宋体" w:hAnsi="宋体" w:eastAsia="宋体" w:cs="宋体"/>
          <w:sz w:val="21"/>
          <w:szCs w:val="21"/>
          <w:highlight w:val="none"/>
          <w:u w:val="single"/>
        </w:rPr>
        <w:t xml:space="preserve">    日历日 </w:t>
      </w:r>
      <w:r>
        <w:rPr>
          <w:rFonts w:hint="eastAsia" w:ascii="宋体" w:hAnsi="宋体" w:eastAsia="宋体" w:cs="宋体"/>
          <w:sz w:val="21"/>
          <w:szCs w:val="21"/>
          <w:highlight w:val="none"/>
        </w:rPr>
        <w:t>内完成安装调试成功并交付使用。</w:t>
      </w:r>
    </w:p>
    <w:p>
      <w:pPr>
        <w:numPr>
          <w:ilvl w:val="0"/>
          <w:numId w:val="7"/>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单位变动情况处理</w:t>
      </w:r>
    </w:p>
    <w:p>
      <w:pPr>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乙方发生收购、兼并、重组等单位变动情况，责任顺延至收购方、兼并方、重组方等新主体。</w:t>
      </w:r>
    </w:p>
    <w:p>
      <w:pPr>
        <w:numPr>
          <w:ilvl w:val="0"/>
          <w:numId w:val="7"/>
        </w:num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合同的生效</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本合同经甲方、乙方法定代表人或其委托人签字并加盖双方公章后生效。</w:t>
      </w:r>
    </w:p>
    <w:p>
      <w:pPr>
        <w:numPr>
          <w:ilvl w:val="1"/>
          <w:numId w:val="7"/>
        </w:numPr>
        <w:spacing w:line="360" w:lineRule="auto"/>
        <w:ind w:left="0"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本合同一式肆份，甲、乙双方各执贰份。</w:t>
      </w:r>
    </w:p>
    <w:p>
      <w:pPr>
        <w:snapToGrid w:val="0"/>
        <w:spacing w:line="460" w:lineRule="exact"/>
        <w:ind w:firstLine="420" w:firstLineChars="200"/>
        <w:rPr>
          <w:rFonts w:hint="eastAsia" w:ascii="宋体" w:hAnsi="宋体" w:eastAsia="宋体" w:cs="宋体"/>
          <w:sz w:val="21"/>
          <w:szCs w:val="21"/>
          <w:highlight w:val="none"/>
        </w:rPr>
      </w:pPr>
    </w:p>
    <w:p>
      <w:pPr>
        <w:snapToGrid w:val="0"/>
        <w:spacing w:line="5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甲方：（盖章）                  乙方：（盖章）</w:t>
      </w:r>
    </w:p>
    <w:p>
      <w:pPr>
        <w:snapToGrid w:val="0"/>
        <w:spacing w:line="5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授权代表：                      授权代表：</w:t>
      </w:r>
    </w:p>
    <w:p>
      <w:pPr>
        <w:snapToGrid w:val="0"/>
        <w:spacing w:line="5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联系电话：                      联系电话：</w:t>
      </w:r>
    </w:p>
    <w:p>
      <w:pPr>
        <w:snapToGrid w:val="0"/>
        <w:spacing w:line="500" w:lineRule="exact"/>
        <w:jc w:val="center"/>
        <w:outlineLvl w:val="0"/>
        <w:rPr>
          <w:rFonts w:hint="eastAsia" w:ascii="宋体" w:hAnsi="宋体" w:cs="宋体"/>
          <w:b/>
          <w:sz w:val="28"/>
          <w:szCs w:val="28"/>
          <w:highlight w:val="none"/>
        </w:rPr>
      </w:pPr>
    </w:p>
    <w:p>
      <w:pPr>
        <w:snapToGrid w:val="0"/>
        <w:spacing w:line="500" w:lineRule="exact"/>
        <w:jc w:val="center"/>
        <w:outlineLvl w:val="0"/>
        <w:rPr>
          <w:rFonts w:hint="eastAsia" w:ascii="宋体" w:hAnsi="宋体" w:cs="宋体"/>
          <w:b/>
          <w:sz w:val="28"/>
          <w:szCs w:val="28"/>
          <w:highlight w:val="none"/>
        </w:rPr>
      </w:pPr>
    </w:p>
    <w:p>
      <w:pPr>
        <w:snapToGrid w:val="0"/>
        <w:spacing w:line="500" w:lineRule="exact"/>
        <w:jc w:val="center"/>
        <w:outlineLvl w:val="0"/>
        <w:rPr>
          <w:rFonts w:hint="eastAsia" w:ascii="宋体" w:hAnsi="宋体" w:cs="宋体"/>
          <w:b/>
          <w:sz w:val="28"/>
          <w:szCs w:val="28"/>
          <w:highlight w:val="none"/>
        </w:rPr>
      </w:pPr>
    </w:p>
    <w:p>
      <w:pPr>
        <w:pStyle w:val="11"/>
        <w:keepNext w:val="0"/>
        <w:keepLines w:val="0"/>
        <w:pageBreakBefore w:val="0"/>
        <w:widowControl w:val="0"/>
        <w:kinsoku/>
        <w:wordWrap/>
        <w:overflowPunct/>
        <w:topLinePunct w:val="0"/>
        <w:autoSpaceDE/>
        <w:autoSpaceDN/>
        <w:bidi w:val="0"/>
        <w:adjustRightInd/>
        <w:spacing w:line="360" w:lineRule="auto"/>
        <w:textAlignment w:val="auto"/>
        <w:rPr>
          <w:rFonts w:hint="eastAsia"/>
          <w:highlight w:val="none"/>
        </w:rPr>
      </w:pPr>
    </w:p>
    <w:p>
      <w:pPr>
        <w:spacing w:line="312" w:lineRule="auto"/>
        <w:jc w:val="center"/>
        <w:rPr>
          <w:rFonts w:hint="eastAsia" w:ascii="宋体" w:hAnsi="宋体" w:eastAsia="宋体" w:cs="宋体"/>
          <w:b/>
          <w:bCs/>
          <w:szCs w:val="21"/>
          <w:highlight w:val="none"/>
        </w:rPr>
      </w:pPr>
    </w:p>
    <w:p>
      <w:pPr>
        <w:snapToGrid w:val="0"/>
        <w:spacing w:line="312" w:lineRule="auto"/>
        <w:jc w:val="center"/>
        <w:outlineLvl w:val="0"/>
        <w:rPr>
          <w:rFonts w:hint="eastAsia" w:ascii="宋体" w:hAnsi="宋体" w:eastAsia="宋体" w:cs="宋体"/>
          <w:b/>
          <w:szCs w:val="21"/>
          <w:highlight w:val="none"/>
        </w:rPr>
      </w:pPr>
      <w:bookmarkStart w:id="119" w:name="_Toc354491899"/>
      <w:bookmarkStart w:id="120" w:name="_Toc15536"/>
      <w:bookmarkStart w:id="121" w:name="_Toc322352985"/>
      <w:bookmarkStart w:id="122" w:name="_Toc356371458"/>
    </w:p>
    <w:p>
      <w:pPr>
        <w:snapToGrid w:val="0"/>
        <w:spacing w:line="312" w:lineRule="auto"/>
        <w:jc w:val="center"/>
        <w:outlineLvl w:val="0"/>
        <w:rPr>
          <w:rFonts w:hint="eastAsia" w:ascii="宋体" w:hAnsi="宋体" w:eastAsia="宋体" w:cs="宋体"/>
          <w:b/>
          <w:szCs w:val="21"/>
          <w:highlight w:val="none"/>
        </w:rPr>
      </w:pPr>
    </w:p>
    <w:p>
      <w:pPr>
        <w:snapToGrid w:val="0"/>
        <w:spacing w:line="312" w:lineRule="auto"/>
        <w:jc w:val="center"/>
        <w:outlineLvl w:val="0"/>
        <w:rPr>
          <w:rFonts w:hint="eastAsia" w:ascii="宋体" w:hAnsi="宋体" w:eastAsia="宋体" w:cs="宋体"/>
          <w:b/>
          <w:szCs w:val="21"/>
          <w:highlight w:val="none"/>
        </w:rPr>
      </w:pPr>
    </w:p>
    <w:p>
      <w:pPr>
        <w:pStyle w:val="31"/>
        <w:rPr>
          <w:rFonts w:hint="eastAsia" w:ascii="宋体" w:hAnsi="宋体" w:eastAsia="宋体" w:cs="宋体"/>
          <w:highlight w:val="none"/>
        </w:rPr>
      </w:pPr>
    </w:p>
    <w:p>
      <w:pPr>
        <w:pStyle w:val="31"/>
        <w:rPr>
          <w:rFonts w:hint="eastAsia" w:ascii="宋体" w:hAnsi="宋体" w:eastAsia="宋体" w:cs="宋体"/>
          <w:highlight w:val="none"/>
        </w:rPr>
      </w:pPr>
    </w:p>
    <w:p>
      <w:pPr>
        <w:pStyle w:val="31"/>
        <w:rPr>
          <w:rFonts w:hint="eastAsia" w:ascii="宋体" w:hAnsi="宋体" w:eastAsia="宋体" w:cs="宋体"/>
          <w:highlight w:val="none"/>
        </w:rPr>
      </w:pPr>
    </w:p>
    <w:p>
      <w:pPr>
        <w:pStyle w:val="31"/>
        <w:rPr>
          <w:rFonts w:hint="eastAsia" w:ascii="宋体" w:hAnsi="宋体" w:eastAsia="宋体" w:cs="宋体"/>
          <w:highlight w:val="none"/>
        </w:rPr>
      </w:pPr>
    </w:p>
    <w:p>
      <w:pPr>
        <w:snapToGrid w:val="0"/>
        <w:spacing w:line="432" w:lineRule="auto"/>
        <w:jc w:val="center"/>
        <w:outlineLvl w:val="0"/>
        <w:rPr>
          <w:rFonts w:hint="eastAsia" w:ascii="宋体" w:hAnsi="宋体" w:eastAsia="宋体" w:cs="宋体"/>
          <w:b/>
          <w:bCs w:val="0"/>
          <w:szCs w:val="21"/>
          <w:highlight w:val="none"/>
        </w:rPr>
      </w:pPr>
      <w:bookmarkStart w:id="123" w:name="_Toc3822"/>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p>
    <w:p>
      <w:pPr>
        <w:snapToGrid w:val="0"/>
        <w:spacing w:line="432" w:lineRule="auto"/>
        <w:jc w:val="center"/>
        <w:outlineLvl w:val="0"/>
        <w:rPr>
          <w:rFonts w:hint="eastAsia" w:ascii="宋体" w:hAnsi="宋体" w:eastAsia="宋体" w:cs="宋体"/>
          <w:b/>
          <w:bCs w:val="0"/>
          <w:szCs w:val="21"/>
          <w:highlight w:val="none"/>
        </w:rPr>
      </w:pPr>
      <w:r>
        <w:rPr>
          <w:rFonts w:hint="eastAsia" w:ascii="宋体" w:hAnsi="宋体" w:eastAsia="宋体" w:cs="宋体"/>
          <w:b/>
          <w:bCs w:val="0"/>
          <w:szCs w:val="21"/>
          <w:highlight w:val="none"/>
        </w:rPr>
        <w:t>第五章  应提交的有关格式范例</w:t>
      </w:r>
      <w:bookmarkEnd w:id="119"/>
      <w:bookmarkEnd w:id="120"/>
      <w:bookmarkEnd w:id="121"/>
      <w:bookmarkEnd w:id="122"/>
      <w:bookmarkEnd w:id="123"/>
    </w:p>
    <w:p>
      <w:pPr>
        <w:snapToGrid w:val="0"/>
        <w:spacing w:line="432" w:lineRule="auto"/>
        <w:jc w:val="center"/>
        <w:outlineLvl w:val="1"/>
        <w:rPr>
          <w:rFonts w:hint="eastAsia" w:ascii="宋体" w:hAnsi="宋体" w:eastAsia="宋体" w:cs="宋体"/>
          <w:sz w:val="28"/>
          <w:szCs w:val="28"/>
          <w:highlight w:val="none"/>
        </w:rPr>
      </w:pPr>
      <w:bookmarkStart w:id="124" w:name="_Toc13045"/>
      <w:bookmarkStart w:id="125" w:name="_Toc13877"/>
      <w:r>
        <w:rPr>
          <w:rStyle w:val="27"/>
          <w:rFonts w:hint="eastAsia" w:ascii="宋体" w:hAnsi="宋体" w:eastAsia="宋体" w:cs="宋体"/>
          <w:b/>
          <w:bCs/>
          <w:sz w:val="21"/>
          <w:szCs w:val="21"/>
          <w:highlight w:val="none"/>
        </w:rPr>
        <w:t>一、投标文件封面</w:t>
      </w:r>
      <w:bookmarkEnd w:id="124"/>
      <w:bookmarkEnd w:id="125"/>
    </w:p>
    <w:p>
      <w:pPr>
        <w:spacing w:line="312" w:lineRule="auto"/>
        <w:ind w:left="1800" w:leftChars="857"/>
        <w:jc w:val="right"/>
        <w:rPr>
          <w:rFonts w:hint="eastAsia" w:ascii="宋体" w:hAnsi="宋体" w:eastAsia="宋体" w:cs="宋体"/>
          <w:sz w:val="28"/>
          <w:szCs w:val="28"/>
          <w:highlight w:val="none"/>
        </w:rPr>
      </w:pPr>
    </w:p>
    <w:p>
      <w:pPr>
        <w:spacing w:line="312"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w:t>
      </w:r>
    </w:p>
    <w:p>
      <w:pPr>
        <w:spacing w:line="312" w:lineRule="auto"/>
        <w:rPr>
          <w:rFonts w:hint="eastAsia" w:ascii="宋体" w:hAnsi="宋体" w:eastAsia="宋体" w:cs="宋体"/>
          <w:sz w:val="28"/>
          <w:szCs w:val="28"/>
          <w:highlight w:val="none"/>
        </w:rPr>
      </w:pPr>
    </w:p>
    <w:p>
      <w:pPr>
        <w:spacing w:line="312" w:lineRule="auto"/>
        <w:rPr>
          <w:rFonts w:hint="eastAsia" w:ascii="宋体" w:hAnsi="宋体" w:eastAsia="宋体" w:cs="宋体"/>
          <w:sz w:val="28"/>
          <w:szCs w:val="28"/>
          <w:highlight w:val="none"/>
        </w:rPr>
      </w:pPr>
    </w:p>
    <w:p>
      <w:pPr>
        <w:spacing w:line="312" w:lineRule="auto"/>
        <w:ind w:firstLine="280" w:firstLineChars="100"/>
        <w:rPr>
          <w:rFonts w:hint="eastAsia" w:ascii="宋体" w:hAnsi="宋体" w:eastAsia="宋体" w:cs="宋体"/>
          <w:sz w:val="28"/>
          <w:szCs w:val="28"/>
          <w:highlight w:val="none"/>
        </w:rPr>
      </w:pPr>
    </w:p>
    <w:p>
      <w:pPr>
        <w:spacing w:line="312" w:lineRule="auto"/>
        <w:jc w:val="center"/>
        <w:rPr>
          <w:rFonts w:hint="eastAsia" w:ascii="宋体" w:hAnsi="宋体" w:eastAsia="宋体" w:cs="宋体"/>
          <w:sz w:val="84"/>
          <w:szCs w:val="84"/>
          <w:highlight w:val="none"/>
        </w:rPr>
      </w:pPr>
      <w:r>
        <w:rPr>
          <w:rFonts w:hint="eastAsia" w:ascii="宋体" w:hAnsi="宋体" w:eastAsia="宋体" w:cs="宋体"/>
          <w:sz w:val="84"/>
          <w:szCs w:val="84"/>
          <w:highlight w:val="none"/>
        </w:rPr>
        <w:t>资 格 文 件</w:t>
      </w:r>
    </w:p>
    <w:p>
      <w:pPr>
        <w:snapToGrid w:val="0"/>
        <w:spacing w:line="312"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w:t>
      </w:r>
      <w:bookmarkStart w:id="126" w:name="_Toc357410801"/>
      <w:r>
        <w:rPr>
          <w:rFonts w:hint="eastAsia" w:ascii="宋体" w:hAnsi="宋体" w:eastAsia="宋体" w:cs="宋体"/>
          <w:sz w:val="32"/>
          <w:szCs w:val="32"/>
          <w:highlight w:val="none"/>
        </w:rPr>
        <w:t>商务技术文件、报价文件）</w:t>
      </w:r>
      <w:bookmarkEnd w:id="126"/>
    </w:p>
    <w:p>
      <w:pPr>
        <w:pStyle w:val="31"/>
        <w:rPr>
          <w:rFonts w:hint="eastAsia" w:ascii="宋体" w:hAnsi="宋体" w:eastAsia="宋体" w:cs="宋体"/>
          <w:sz w:val="32"/>
          <w:szCs w:val="32"/>
          <w:highlight w:val="none"/>
        </w:rPr>
      </w:pPr>
    </w:p>
    <w:p>
      <w:pPr>
        <w:pStyle w:val="31"/>
        <w:rPr>
          <w:rFonts w:hint="eastAsia" w:ascii="宋体" w:hAnsi="宋体" w:eastAsia="宋体" w:cs="宋体"/>
          <w:sz w:val="32"/>
          <w:szCs w:val="32"/>
          <w:highlight w:val="none"/>
        </w:rPr>
      </w:pPr>
    </w:p>
    <w:p>
      <w:pPr>
        <w:pStyle w:val="31"/>
        <w:rPr>
          <w:rFonts w:hint="eastAsia" w:ascii="宋体" w:hAnsi="宋体" w:eastAsia="宋体" w:cs="宋体"/>
          <w:sz w:val="32"/>
          <w:szCs w:val="32"/>
          <w:highlight w:val="none"/>
        </w:rPr>
      </w:pPr>
    </w:p>
    <w:p>
      <w:pPr>
        <w:pStyle w:val="31"/>
        <w:rPr>
          <w:rFonts w:hint="eastAsia" w:ascii="宋体" w:hAnsi="宋体" w:eastAsia="宋体" w:cs="宋体"/>
          <w:sz w:val="32"/>
          <w:szCs w:val="32"/>
          <w:highlight w:val="none"/>
        </w:rPr>
      </w:pPr>
    </w:p>
    <w:p>
      <w:pPr>
        <w:pStyle w:val="31"/>
        <w:rPr>
          <w:rFonts w:hint="eastAsia" w:ascii="宋体" w:hAnsi="宋体" w:eastAsia="宋体" w:cs="宋体"/>
          <w:sz w:val="32"/>
          <w:szCs w:val="32"/>
          <w:highlight w:val="none"/>
        </w:rPr>
      </w:pPr>
    </w:p>
    <w:p>
      <w:pPr>
        <w:snapToGrid w:val="0"/>
        <w:spacing w:line="312" w:lineRule="auto"/>
        <w:ind w:firstLine="1962" w:firstLineChars="698"/>
        <w:rPr>
          <w:rFonts w:hint="eastAsia" w:ascii="宋体" w:hAnsi="宋体" w:eastAsia="宋体" w:cs="宋体"/>
          <w:b/>
          <w:sz w:val="28"/>
          <w:szCs w:val="28"/>
          <w:highlight w:val="none"/>
        </w:rPr>
      </w:pPr>
    </w:p>
    <w:p>
      <w:pPr>
        <w:snapToGrid w:val="0"/>
        <w:spacing w:line="480" w:lineRule="auto"/>
        <w:ind w:firstLine="2318" w:firstLineChars="828"/>
        <w:jc w:val="left"/>
        <w:rPr>
          <w:rFonts w:hint="eastAsia" w:ascii="宋体" w:hAnsi="宋体" w:eastAsia="宋体" w:cs="宋体"/>
          <w:sz w:val="28"/>
          <w:szCs w:val="28"/>
          <w:highlight w:val="none"/>
          <w:u w:val="single"/>
        </w:rPr>
      </w:pPr>
      <w:bookmarkStart w:id="127" w:name="_Toc357410802"/>
      <w:r>
        <w:rPr>
          <w:rFonts w:hint="eastAsia" w:ascii="宋体" w:hAnsi="宋体" w:eastAsia="宋体" w:cs="宋体"/>
          <w:sz w:val="28"/>
          <w:szCs w:val="28"/>
          <w:highlight w:val="none"/>
        </w:rPr>
        <w:t>项目名称：</w:t>
      </w:r>
      <w:bookmarkEnd w:id="127"/>
      <w:r>
        <w:rPr>
          <w:rFonts w:hint="eastAsia" w:ascii="宋体" w:hAnsi="宋体" w:eastAsia="宋体" w:cs="宋体"/>
          <w:sz w:val="28"/>
          <w:szCs w:val="28"/>
          <w:highlight w:val="none"/>
          <w:u w:val="single"/>
        </w:rPr>
        <w:t xml:space="preserve">                    </w:t>
      </w:r>
    </w:p>
    <w:p>
      <w:pPr>
        <w:snapToGrid w:val="0"/>
        <w:spacing w:line="480" w:lineRule="auto"/>
        <w:ind w:firstLine="2318" w:firstLineChars="828"/>
        <w:jc w:val="left"/>
        <w:rPr>
          <w:rFonts w:hint="eastAsia" w:ascii="宋体" w:hAnsi="宋体" w:eastAsia="宋体" w:cs="宋体"/>
          <w:sz w:val="28"/>
          <w:szCs w:val="28"/>
          <w:highlight w:val="none"/>
          <w:u w:val="single"/>
        </w:rPr>
      </w:pPr>
      <w:bookmarkStart w:id="128" w:name="_Toc357410803"/>
      <w:r>
        <w:rPr>
          <w:rFonts w:hint="eastAsia" w:ascii="宋体" w:hAnsi="宋体" w:eastAsia="宋体" w:cs="宋体"/>
          <w:sz w:val="28"/>
          <w:szCs w:val="28"/>
          <w:highlight w:val="none"/>
        </w:rPr>
        <w:t>项目编号：</w:t>
      </w:r>
      <w:bookmarkEnd w:id="128"/>
      <w:r>
        <w:rPr>
          <w:rFonts w:hint="eastAsia" w:ascii="宋体" w:hAnsi="宋体" w:eastAsia="宋体" w:cs="宋体"/>
          <w:sz w:val="28"/>
          <w:szCs w:val="28"/>
          <w:highlight w:val="none"/>
          <w:u w:val="single"/>
        </w:rPr>
        <w:t xml:space="preserve">                    </w:t>
      </w:r>
    </w:p>
    <w:p>
      <w:pPr>
        <w:snapToGrid w:val="0"/>
        <w:spacing w:line="480" w:lineRule="auto"/>
        <w:ind w:firstLine="2318" w:firstLineChars="828"/>
        <w:jc w:val="left"/>
        <w:rPr>
          <w:rFonts w:hint="default" w:ascii="宋体" w:hAnsi="宋体" w:eastAsia="宋体" w:cs="宋体"/>
          <w:sz w:val="28"/>
          <w:szCs w:val="28"/>
          <w:highlight w:val="none"/>
          <w:u w:val="single"/>
          <w:lang w:val="en-US" w:eastAsia="zh-CN"/>
        </w:rPr>
      </w:pPr>
      <w:bookmarkStart w:id="129" w:name="_Toc357410804"/>
      <w:r>
        <w:rPr>
          <w:rFonts w:hint="eastAsia" w:ascii="宋体" w:hAnsi="宋体" w:cs="宋体"/>
          <w:sz w:val="28"/>
          <w:szCs w:val="28"/>
          <w:highlight w:val="none"/>
          <w:lang w:val="en-US" w:eastAsia="zh-CN"/>
        </w:rPr>
        <w:t>标项：</w:t>
      </w:r>
      <w:r>
        <w:rPr>
          <w:rFonts w:hint="eastAsia" w:ascii="宋体" w:hAnsi="宋体" w:cs="宋体"/>
          <w:sz w:val="28"/>
          <w:szCs w:val="28"/>
          <w:highlight w:val="none"/>
          <w:u w:val="single"/>
          <w:lang w:val="en-US" w:eastAsia="zh-CN"/>
        </w:rPr>
        <w:t xml:space="preserve">                       </w:t>
      </w:r>
    </w:p>
    <w:p>
      <w:pPr>
        <w:snapToGrid w:val="0"/>
        <w:spacing w:line="480" w:lineRule="auto"/>
        <w:ind w:firstLine="2318" w:firstLineChars="828"/>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投 标 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（电子签章）</w:t>
      </w:r>
      <w:bookmarkEnd w:id="129"/>
    </w:p>
    <w:p>
      <w:pPr>
        <w:snapToGrid w:val="0"/>
        <w:spacing w:line="480" w:lineRule="auto"/>
        <w:ind w:firstLine="2318" w:firstLineChars="828"/>
        <w:jc w:val="left"/>
        <w:rPr>
          <w:rFonts w:hint="eastAsia" w:ascii="宋体" w:hAnsi="宋体" w:eastAsia="宋体" w:cs="宋体"/>
          <w:szCs w:val="21"/>
          <w:highlight w:val="none"/>
        </w:rPr>
        <w:sectPr>
          <w:headerReference r:id="rId8" w:type="first"/>
          <w:footerReference r:id="rId10" w:type="first"/>
          <w:headerReference r:id="rId7" w:type="even"/>
          <w:footerReference r:id="rId9" w:type="even"/>
          <w:pgSz w:w="11906" w:h="16838"/>
          <w:pgMar w:top="1389" w:right="1247" w:bottom="1389" w:left="1247" w:header="851" w:footer="992" w:gutter="284"/>
          <w:pgBorders>
            <w:top w:val="none" w:sz="0" w:space="0"/>
            <w:left w:val="none" w:sz="0" w:space="0"/>
            <w:bottom w:val="none" w:sz="0" w:space="0"/>
            <w:right w:val="none" w:sz="0" w:space="0"/>
          </w:pgBorders>
          <w:cols w:space="720" w:num="1"/>
          <w:docGrid w:linePitch="312" w:charSpace="0"/>
        </w:sectPr>
      </w:pPr>
      <w:bookmarkStart w:id="130" w:name="_Toc357410805"/>
      <w:r>
        <w:rPr>
          <w:rFonts w:hint="eastAsia" w:ascii="宋体" w:hAnsi="宋体" w:eastAsia="宋体" w:cs="宋体"/>
          <w:sz w:val="28"/>
          <w:szCs w:val="28"/>
          <w:highlight w:val="none"/>
        </w:rPr>
        <w:t>日    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月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bookmarkEnd w:id="130"/>
    </w:p>
    <w:p>
      <w:pPr>
        <w:spacing w:line="312" w:lineRule="auto"/>
        <w:jc w:val="center"/>
        <w:rPr>
          <w:rFonts w:hint="default" w:ascii="宋体" w:hAnsi="宋体" w:eastAsia="宋体" w:cs="宋体"/>
          <w:b/>
          <w:bCs w:val="0"/>
          <w:sz w:val="21"/>
          <w:szCs w:val="21"/>
          <w:highlight w:val="none"/>
          <w:lang w:val="en-US" w:eastAsia="zh-CN"/>
        </w:rPr>
      </w:pPr>
      <w:r>
        <w:rPr>
          <w:rFonts w:hint="eastAsia" w:ascii="宋体" w:hAnsi="宋体" w:cs="宋体"/>
          <w:b/>
          <w:bCs w:val="0"/>
          <w:sz w:val="21"/>
          <w:szCs w:val="21"/>
          <w:highlight w:val="none"/>
          <w:lang w:val="en-US" w:eastAsia="zh-CN"/>
        </w:rPr>
        <w:t>二、资格文件</w:t>
      </w:r>
    </w:p>
    <w:p>
      <w:pPr>
        <w:spacing w:line="360" w:lineRule="auto"/>
        <w:jc w:val="center"/>
        <w:outlineLvl w:val="0"/>
        <w:rPr>
          <w:rFonts w:hint="eastAsia" w:ascii="仿宋" w:hAnsi="仿宋" w:eastAsia="仿宋" w:cs="仿宋"/>
          <w:b/>
          <w:color w:val="auto"/>
          <w:kern w:val="0"/>
          <w:sz w:val="36"/>
          <w:szCs w:val="36"/>
          <w:highlight w:val="none"/>
        </w:rPr>
      </w:pPr>
    </w:p>
    <w:p>
      <w:pPr>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目录</w:t>
      </w:r>
    </w:p>
    <w:p>
      <w:pPr>
        <w:spacing w:line="360" w:lineRule="auto"/>
        <w:jc w:val="center"/>
        <w:outlineLvl w:val="0"/>
        <w:rPr>
          <w:rFonts w:hint="eastAsia" w:asciiTheme="minorEastAsia" w:hAnsiTheme="minorEastAsia" w:eastAsiaTheme="minorEastAsia" w:cstheme="minorEastAsia"/>
          <w:b/>
          <w:color w:val="auto"/>
          <w:kern w:val="0"/>
          <w:sz w:val="21"/>
          <w:szCs w:val="21"/>
          <w:highlight w:val="none"/>
        </w:rPr>
      </w:pPr>
    </w:p>
    <w:p>
      <w:pPr>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（1）符合参加政府采购活动应当具备的一般条件的承诺函……………（页码）</w:t>
      </w:r>
    </w:p>
    <w:p>
      <w:pPr>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（2）联合协议………………………………………………………………（页码）</w:t>
      </w:r>
    </w:p>
    <w:p>
      <w:pPr>
        <w:snapToGrid w:val="0"/>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分包协议</w:t>
      </w:r>
      <w:r>
        <w:rPr>
          <w:rFonts w:hint="eastAsia" w:asciiTheme="minorEastAsia" w:hAnsiTheme="minorEastAsia" w:eastAsiaTheme="minorEastAsia" w:cstheme="minorEastAsia"/>
          <w:color w:val="auto"/>
          <w:sz w:val="21"/>
          <w:szCs w:val="21"/>
          <w:highlight w:val="none"/>
        </w:rPr>
        <w:t>………………………………………………………………（页码）</w:t>
      </w:r>
    </w:p>
    <w:p>
      <w:pPr>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）落实政府采购政策需满足的资格要求………………………………（页码）</w:t>
      </w: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eastAsia="宋体" w:cs="宋体"/>
          <w:b/>
          <w:bCs w:val="0"/>
          <w:sz w:val="21"/>
          <w:szCs w:val="21"/>
          <w:highlight w:val="none"/>
        </w:rPr>
      </w:pPr>
    </w:p>
    <w:p>
      <w:pPr>
        <w:spacing w:line="312" w:lineRule="auto"/>
        <w:jc w:val="center"/>
        <w:rPr>
          <w:rFonts w:hint="eastAsia" w:ascii="宋体" w:hAnsi="宋体" w:cs="宋体"/>
          <w:b/>
          <w:color w:val="auto"/>
          <w:szCs w:val="21"/>
          <w:highlight w:val="none"/>
        </w:rPr>
      </w:pPr>
      <w:r>
        <w:rPr>
          <w:rFonts w:hint="eastAsia" w:ascii="宋体" w:hAnsi="宋体" w:eastAsia="宋体" w:cs="宋体"/>
          <w:b/>
          <w:bCs w:val="0"/>
          <w:sz w:val="21"/>
          <w:szCs w:val="21"/>
          <w:highlight w:val="none"/>
        </w:rPr>
        <w:t xml:space="preserve">1 </w:t>
      </w:r>
      <w:r>
        <w:rPr>
          <w:rFonts w:hint="eastAsia" w:ascii="宋体" w:hAnsi="宋体" w:cs="宋体"/>
          <w:b/>
          <w:color w:val="auto"/>
          <w:szCs w:val="21"/>
          <w:highlight w:val="none"/>
        </w:rPr>
        <w:t>具有参与政府采购活动</w:t>
      </w:r>
      <w:r>
        <w:rPr>
          <w:rFonts w:hint="eastAsia" w:ascii="宋体" w:hAnsi="宋体" w:cs="宋体"/>
          <w:b/>
          <w:color w:val="auto"/>
          <w:szCs w:val="21"/>
          <w:highlight w:val="none"/>
          <w:lang w:val="en-US" w:eastAsia="zh-CN"/>
        </w:rPr>
        <w:t>一般</w:t>
      </w:r>
      <w:r>
        <w:rPr>
          <w:rFonts w:hint="eastAsia" w:ascii="宋体" w:hAnsi="宋体" w:cs="宋体"/>
          <w:b/>
          <w:color w:val="auto"/>
          <w:szCs w:val="21"/>
          <w:highlight w:val="none"/>
        </w:rPr>
        <w:t>资格条件的声明函</w:t>
      </w:r>
    </w:p>
    <w:p>
      <w:pPr>
        <w:pStyle w:val="22"/>
        <w:rPr>
          <w:rFonts w:hint="eastAsia" w:ascii="宋体" w:hAnsi="宋体" w:eastAsia="宋体" w:cs="宋体"/>
          <w:color w:val="auto"/>
          <w:sz w:val="21"/>
          <w:szCs w:val="21"/>
          <w:highlight w:val="none"/>
        </w:rPr>
      </w:pPr>
    </w:p>
    <w:p>
      <w:pP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衢州市气象局</w:t>
      </w:r>
    </w:p>
    <w:p>
      <w:pPr>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浙江省成套工程有限公司：</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我方参与</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政府采购活动，郑重承诺：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（一）具备《中华人民共和国政府采购法》第二十二条第一款规定的条件：</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2、具有良好的商业信誉和健全的财务会计制度； </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6、具有法律、行政法规规定的其他条件。</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（三）不存在以下情况：</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为采购项目提供整体设计、规范编制或者项目管理、监理、检测等服务后再参加该采购项目的其他采购活动的。</w:t>
      </w:r>
    </w:p>
    <w:p>
      <w:pPr>
        <w:pStyle w:val="2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如有虚假，采购人可取消我方任何资格（投标/中标/签订合同），我方对此无任何异议。</w:t>
      </w:r>
    </w:p>
    <w:p>
      <w:pPr>
        <w:keepNext w:val="0"/>
        <w:keepLines w:val="0"/>
        <w:pageBreakBefore w:val="0"/>
        <w:widowControl w:val="0"/>
        <w:kinsoku/>
        <w:wordWrap/>
        <w:overflowPunct/>
        <w:topLinePunct w:val="0"/>
        <w:autoSpaceDE/>
        <w:autoSpaceDN/>
        <w:bidi w:val="0"/>
        <w:spacing w:line="500" w:lineRule="exact"/>
        <w:jc w:val="center"/>
        <w:textAlignment w:val="auto"/>
        <w:rPr>
          <w:rStyle w:val="27"/>
          <w:rFonts w:hint="eastAsia" w:ascii="宋体" w:hAnsi="宋体" w:eastAsia="宋体" w:cs="宋体"/>
          <w:b w:val="0"/>
          <w:color w:val="auto"/>
          <w:sz w:val="21"/>
          <w:szCs w:val="21"/>
          <w:highlight w:val="none"/>
        </w:rPr>
      </w:pPr>
    </w:p>
    <w:p>
      <w:pPr>
        <w:snapToGrid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投标人（电子签章）：</w:t>
      </w:r>
    </w:p>
    <w:p>
      <w:pPr>
        <w:snapToGrid w:val="0"/>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法定代表人或授权代表人（签字或盖章）：                                   </w:t>
      </w:r>
    </w:p>
    <w:p>
      <w:pPr>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pStyle w:val="21"/>
        <w:rPr>
          <w:rFonts w:hint="eastAsia" w:ascii="宋体" w:hAnsi="宋体" w:eastAsia="宋体" w:cs="宋体"/>
          <w:color w:val="auto"/>
          <w:sz w:val="21"/>
          <w:szCs w:val="21"/>
          <w:highlight w:val="none"/>
        </w:rPr>
      </w:pPr>
    </w:p>
    <w:p>
      <w:pPr>
        <w:spacing w:line="312" w:lineRule="auto"/>
        <w:jc w:val="center"/>
        <w:rPr>
          <w:rStyle w:val="27"/>
          <w:rFonts w:hint="eastAsia" w:ascii="仿宋_GB2312" w:hAnsi="仿宋_GB2312" w:eastAsia="仿宋_GB2312" w:cs="仿宋_GB2312"/>
          <w:color w:val="auto"/>
          <w:sz w:val="28"/>
          <w:szCs w:val="28"/>
          <w:highlight w:val="none"/>
        </w:rPr>
      </w:pPr>
      <w:r>
        <w:rPr>
          <w:rStyle w:val="27"/>
          <w:rFonts w:hint="eastAsia" w:ascii="仿宋_GB2312" w:hAnsi="仿宋_GB2312" w:eastAsia="仿宋_GB2312" w:cs="仿宋_GB2312"/>
          <w:color w:val="auto"/>
          <w:sz w:val="28"/>
          <w:szCs w:val="28"/>
          <w:highlight w:val="none"/>
        </w:rPr>
        <w:t>注：附信用中国网站（www.creditchina.gov.cn）、中国政府采购网（www.ccgp.gov.cn）查询结果截图。</w:t>
      </w:r>
    </w:p>
    <w:p>
      <w:pPr>
        <w:spacing w:line="312" w:lineRule="auto"/>
        <w:jc w:val="center"/>
        <w:rPr>
          <w:rStyle w:val="27"/>
          <w:rFonts w:hint="eastAsia" w:ascii="仿宋_GB2312" w:hAnsi="仿宋_GB2312" w:eastAsia="仿宋_GB2312" w:cs="仿宋_GB2312"/>
          <w:color w:val="auto"/>
          <w:sz w:val="28"/>
          <w:szCs w:val="28"/>
          <w:highlight w:val="none"/>
        </w:rPr>
      </w:pPr>
    </w:p>
    <w:p>
      <w:pPr>
        <w:spacing w:line="312" w:lineRule="auto"/>
        <w:jc w:val="center"/>
        <w:rPr>
          <w:rStyle w:val="27"/>
          <w:rFonts w:hint="eastAsia" w:ascii="仿宋_GB2312" w:hAnsi="仿宋_GB2312" w:eastAsia="仿宋_GB2312" w:cs="仿宋_GB2312"/>
          <w:color w:val="auto"/>
          <w:sz w:val="28"/>
          <w:szCs w:val="28"/>
          <w:highlight w:val="none"/>
        </w:rPr>
      </w:pPr>
    </w:p>
    <w:p>
      <w:pPr>
        <w:spacing w:line="312" w:lineRule="auto"/>
        <w:jc w:val="center"/>
        <w:rPr>
          <w:rStyle w:val="27"/>
          <w:rFonts w:hint="eastAsia" w:ascii="仿宋_GB2312" w:hAnsi="仿宋_GB2312" w:eastAsia="仿宋_GB2312" w:cs="仿宋_GB2312"/>
          <w:color w:val="auto"/>
          <w:sz w:val="28"/>
          <w:szCs w:val="28"/>
          <w:highlight w:val="none"/>
        </w:rPr>
      </w:pPr>
    </w:p>
    <w:p>
      <w:pPr>
        <w:spacing w:line="312" w:lineRule="auto"/>
        <w:jc w:val="center"/>
        <w:rPr>
          <w:rStyle w:val="27"/>
          <w:rFonts w:hint="eastAsia" w:ascii="仿宋_GB2312" w:hAnsi="仿宋_GB2312" w:eastAsia="仿宋_GB2312" w:cs="仿宋_GB2312"/>
          <w:color w:val="auto"/>
          <w:sz w:val="28"/>
          <w:szCs w:val="28"/>
          <w:highlight w:val="none"/>
        </w:rPr>
      </w:pPr>
    </w:p>
    <w:p>
      <w:pPr>
        <w:widowControl/>
        <w:spacing w:line="360" w:lineRule="auto"/>
        <w:ind w:firstLine="422" w:firstLineChars="200"/>
        <w:jc w:val="center"/>
        <w:rPr>
          <w:rFonts w:hint="eastAsia" w:ascii="宋体" w:hAnsi="宋体" w:eastAsia="宋体" w:cs="宋体"/>
          <w:b/>
          <w:color w:val="auto"/>
          <w:kern w:val="0"/>
          <w:sz w:val="21"/>
          <w:szCs w:val="21"/>
          <w:highlight w:val="none"/>
          <w:lang w:val="en-US" w:eastAsia="zh-CN"/>
        </w:rPr>
      </w:pPr>
    </w:p>
    <w:p>
      <w:pPr>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2</w:t>
      </w:r>
      <w:r>
        <w:rPr>
          <w:rFonts w:hint="eastAsia" w:ascii="宋体" w:hAnsi="宋体" w:eastAsia="宋体" w:cs="宋体"/>
          <w:b/>
          <w:color w:val="auto"/>
          <w:szCs w:val="21"/>
          <w:highlight w:val="none"/>
        </w:rPr>
        <w:t>联合协议（如果有）</w:t>
      </w:r>
    </w:p>
    <w:p>
      <w:pPr>
        <w:pStyle w:val="3"/>
        <w:rPr>
          <w:rFonts w:hint="eastAsia"/>
          <w:highlight w:val="none"/>
        </w:rPr>
      </w:pPr>
    </w:p>
    <w:p>
      <w:pPr>
        <w:widowControl/>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[以联合体形式投标的，提供联合协议（附件）；本项目不接受联合体投标或者投标人不以联合体形式投标的，则不需要提供）]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21"/>
          <w:szCs w:val="21"/>
          <w:highlight w:val="none"/>
        </w:rPr>
      </w:pPr>
    </w:p>
    <w:p>
      <w:pPr>
        <w:pStyle w:val="3"/>
        <w:rPr>
          <w:rFonts w:hint="eastAsia"/>
          <w:highlight w:val="none"/>
        </w:rPr>
      </w:pPr>
    </w:p>
    <w:p>
      <w:pPr>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rPr>
        <w:t>分包意向协议（如果有）</w:t>
      </w:r>
    </w:p>
    <w:p>
      <w:pPr>
        <w:pStyle w:val="3"/>
        <w:rPr>
          <w:rFonts w:hint="eastAsia"/>
          <w:highlight w:val="none"/>
        </w:rPr>
      </w:pPr>
    </w:p>
    <w:p>
      <w:pPr>
        <w:widowControl/>
        <w:spacing w:line="360" w:lineRule="auto"/>
        <w:ind w:firstLine="316" w:firstLineChars="15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[中标后以分包方式履行合同的，提供分包意向协议(附件)；采购人不同意分包或者投标人中标后不以分包方式履行合同的，则不需要提供。]</w:t>
      </w:r>
    </w:p>
    <w:p>
      <w:pPr>
        <w:snapToGrid w:val="0"/>
        <w:spacing w:line="360" w:lineRule="auto"/>
        <w:ind w:right="480"/>
        <w:jc w:val="center"/>
        <w:rPr>
          <w:rFonts w:hint="eastAsia" w:ascii="宋体" w:hAnsi="宋体" w:eastAsia="宋体" w:cs="宋体"/>
          <w:b/>
          <w:color w:val="auto"/>
          <w:kern w:val="0"/>
          <w:sz w:val="21"/>
          <w:szCs w:val="21"/>
          <w:highlight w:val="none"/>
        </w:rPr>
      </w:pPr>
    </w:p>
    <w:p>
      <w:pPr>
        <w:pStyle w:val="3"/>
        <w:rPr>
          <w:rFonts w:hint="eastAsia"/>
          <w:highlight w:val="none"/>
        </w:rPr>
      </w:pPr>
    </w:p>
    <w:p>
      <w:pPr>
        <w:spacing w:line="312" w:lineRule="auto"/>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4落实政府采购政策需满足的资格要求</w:t>
      </w:r>
    </w:p>
    <w:p>
      <w:pPr>
        <w:pStyle w:val="3"/>
        <w:rPr>
          <w:rFonts w:hint="eastAsia"/>
          <w:highlight w:val="none"/>
          <w:lang w:val="en-US" w:eastAsia="zh-CN"/>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（根据招标公告落实政府采购政策需满足的资格要求选择提供相应的材料；未要求的，无需提供）</w:t>
      </w:r>
    </w:p>
    <w:p>
      <w:pPr>
        <w:snapToGrid w:val="0"/>
        <w:spacing w:before="50" w:after="50" w:line="360" w:lineRule="auto"/>
        <w:ind w:firstLine="413" w:firstLineChars="196"/>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A</w:t>
      </w:r>
      <w:r>
        <w:rPr>
          <w:rFonts w:hint="eastAsia" w:ascii="宋体" w:hAnsi="宋体" w:eastAsia="宋体" w:cs="宋体"/>
          <w:color w:val="auto"/>
          <w:sz w:val="21"/>
          <w:szCs w:val="21"/>
          <w:highlight w:val="none"/>
        </w:rPr>
        <w:t xml:space="preserve">.专门面向中小企业，服务全部由符合政策要求的中小企业（或小微企业）承接的，提供相应的中小企业声明函（附件）。 </w:t>
      </w:r>
    </w:p>
    <w:p>
      <w:pPr>
        <w:widowControl/>
        <w:spacing w:line="360" w:lineRule="auto"/>
        <w:ind w:firstLine="413" w:firstLineChars="196"/>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B.</w:t>
      </w:r>
      <w:r>
        <w:rPr>
          <w:rFonts w:hint="eastAsia" w:ascii="宋体" w:hAnsi="宋体" w:eastAsia="宋体" w:cs="宋体"/>
          <w:color w:val="auto"/>
          <w:sz w:val="21"/>
          <w:szCs w:val="21"/>
          <w:highlight w:val="none"/>
        </w:rPr>
        <w:t>要求以联合体形式参加的，提供联合协议（附件）和中小企业声明函（附件），联合协议中中小企业合同金额应当达到招标公告载明的比例；如果供应商本身提供所有标的均由中小企业承接的，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1"/>
          <w:szCs w:val="21"/>
          <w:highlight w:val="none"/>
        </w:rPr>
        <w:t>并相应达到了前述比例要求，</w:t>
      </w:r>
      <w:r>
        <w:rPr>
          <w:rFonts w:hint="eastAsia" w:ascii="宋体" w:hAnsi="宋体" w:eastAsia="宋体" w:cs="宋体"/>
          <w:color w:val="auto"/>
          <w:sz w:val="21"/>
          <w:szCs w:val="21"/>
          <w:highlight w:val="none"/>
        </w:rPr>
        <w:t>视同符合了资格条件，无需再与其他中小企业组成联合体参加政府采购活动，无需提供联合协议。</w:t>
      </w:r>
      <w:r>
        <w:rPr>
          <w:rFonts w:hint="eastAsia" w:ascii="宋体" w:hAnsi="宋体" w:eastAsia="宋体" w:cs="宋体"/>
          <w:b/>
          <w:color w:val="auto"/>
          <w:sz w:val="21"/>
          <w:szCs w:val="21"/>
          <w:highlight w:val="none"/>
        </w:rPr>
        <w:t xml:space="preserve"> </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C、</w:t>
      </w:r>
      <w:r>
        <w:rPr>
          <w:rFonts w:hint="eastAsia" w:ascii="宋体" w:hAnsi="宋体" w:eastAsia="宋体" w:cs="宋体"/>
          <w:color w:val="auto"/>
          <w:sz w:val="21"/>
          <w:szCs w:val="21"/>
          <w:highlight w:val="none"/>
        </w:rPr>
        <w:t>要求合同分包的，提供分包意向协议（附件）和中小企业声明函（附件），分包意向协议中中小企业合同金额应当达到招标公告载明的比例；如果供应商本身提供所有标的均由中小企业承接的，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1"/>
          <w:szCs w:val="21"/>
          <w:highlight w:val="none"/>
        </w:rPr>
        <w:t>并相应达到了前述比例要求，</w:t>
      </w:r>
      <w:r>
        <w:rPr>
          <w:rFonts w:hint="eastAsia" w:ascii="宋体" w:hAnsi="宋体" w:eastAsia="宋体" w:cs="宋体"/>
          <w:color w:val="auto"/>
          <w:sz w:val="21"/>
          <w:szCs w:val="21"/>
          <w:highlight w:val="none"/>
        </w:rPr>
        <w:t>视同符合了资格条件，无需再向中小企业分包，无需提供分包意向协议。</w:t>
      </w:r>
    </w:p>
    <w:p>
      <w:pPr>
        <w:spacing w:line="312" w:lineRule="auto"/>
        <w:jc w:val="center"/>
        <w:rPr>
          <w:rFonts w:hint="eastAsia" w:ascii="宋体" w:hAnsi="宋体" w:eastAsia="宋体" w:cs="宋体"/>
          <w:b/>
          <w:color w:val="auto"/>
          <w:szCs w:val="21"/>
          <w:highlight w:val="none"/>
          <w:lang w:val="en-US" w:eastAsia="zh-CN"/>
        </w:rPr>
      </w:pPr>
    </w:p>
    <w:p>
      <w:pPr>
        <w:pStyle w:val="2"/>
        <w:rPr>
          <w:rFonts w:hint="eastAsia"/>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line="312" w:lineRule="auto"/>
        <w:jc w:val="center"/>
        <w:rPr>
          <w:rFonts w:hint="eastAsia" w:ascii="宋体" w:hAnsi="宋体" w:eastAsia="宋体" w:cs="宋体"/>
          <w:b/>
          <w:color w:val="auto"/>
          <w:szCs w:val="21"/>
          <w:highlight w:val="none"/>
          <w:lang w:val="en-US" w:eastAsia="zh-CN"/>
        </w:rPr>
      </w:pPr>
    </w:p>
    <w:p>
      <w:pPr>
        <w:spacing w:after="240" w:afterLines="100"/>
        <w:jc w:val="center"/>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三、商务技术文件</w:t>
      </w:r>
    </w:p>
    <w:p>
      <w:pPr>
        <w:pStyle w:val="3"/>
        <w:rPr>
          <w:rFonts w:hint="eastAsia"/>
          <w:highlight w:val="none"/>
          <w:lang w:val="en-US" w:eastAsia="zh-CN"/>
        </w:rPr>
      </w:pPr>
    </w:p>
    <w:p>
      <w:pPr>
        <w:widowControl/>
        <w:spacing w:line="360" w:lineRule="auto"/>
        <w:jc w:val="center"/>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lang w:val="en-US" w:eastAsia="zh-CN"/>
        </w:rPr>
        <w:t>目录</w:t>
      </w:r>
    </w:p>
    <w:p>
      <w:pPr>
        <w:pStyle w:val="3"/>
        <w:rPr>
          <w:rFonts w:hint="default"/>
          <w:highlight w:val="none"/>
          <w:lang w:val="en-US" w:eastAsia="zh-CN"/>
        </w:rPr>
      </w:pPr>
    </w:p>
    <w:p>
      <w:pPr>
        <w:pStyle w:val="42"/>
        <w:numPr>
          <w:ilvl w:val="0"/>
          <w:numId w:val="8"/>
        </w:numPr>
        <w:spacing w:line="336" w:lineRule="auto"/>
        <w:ind w:left="0" w:firstLine="0" w:firstLineChars="0"/>
        <w:jc w:val="both"/>
        <w:rPr>
          <w:rFonts w:hint="eastAsia" w:ascii="宋体" w:hAnsi="宋体" w:eastAsia="宋体" w:cs="宋体"/>
          <w:color w:val="auto"/>
          <w:sz w:val="21"/>
          <w:szCs w:val="21"/>
          <w:highlight w:val="none"/>
        </w:rPr>
      </w:pPr>
      <w:bookmarkStart w:id="131" w:name="_Toc15630533"/>
      <w:r>
        <w:rPr>
          <w:rFonts w:hint="eastAsia" w:ascii="宋体" w:hAnsi="宋体" w:eastAsia="宋体" w:cs="宋体"/>
          <w:color w:val="auto"/>
          <w:sz w:val="21"/>
          <w:szCs w:val="21"/>
          <w:highlight w:val="none"/>
          <w:lang w:eastAsia="zh-CN"/>
        </w:rPr>
        <w:t>投标函</w:t>
      </w:r>
      <w:r>
        <w:rPr>
          <w:rFonts w:hint="eastAsia" w:ascii="宋体" w:hAnsi="宋体" w:eastAsia="宋体" w:cs="宋体"/>
          <w:color w:val="auto"/>
          <w:sz w:val="21"/>
          <w:szCs w:val="21"/>
          <w:highlight w:val="none"/>
        </w:rPr>
        <w:t>…………………………………………………………………………（页码）</w:t>
      </w:r>
    </w:p>
    <w:p>
      <w:pPr>
        <w:pStyle w:val="42"/>
        <w:numPr>
          <w:ilvl w:val="0"/>
          <w:numId w:val="8"/>
        </w:numPr>
        <w:spacing w:line="336" w:lineRule="auto"/>
        <w:ind w:left="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法定代表人授权书 ………………………………………………………… （页码）</w:t>
      </w:r>
    </w:p>
    <w:p>
      <w:pPr>
        <w:pStyle w:val="42"/>
        <w:numPr>
          <w:ilvl w:val="0"/>
          <w:numId w:val="8"/>
        </w:numPr>
        <w:spacing w:line="336" w:lineRule="auto"/>
        <w:ind w:left="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法定代表人及其授权代表身份证复印件（复印件）………………………（页码）</w:t>
      </w:r>
    </w:p>
    <w:p>
      <w:pPr>
        <w:pStyle w:val="42"/>
        <w:numPr>
          <w:ilvl w:val="0"/>
          <w:numId w:val="8"/>
        </w:numPr>
        <w:spacing w:line="336" w:lineRule="auto"/>
        <w:ind w:left="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法定代表人身份证明书………………………………………………………（页码）</w:t>
      </w:r>
    </w:p>
    <w:p>
      <w:pPr>
        <w:pStyle w:val="42"/>
        <w:numPr>
          <w:ilvl w:val="0"/>
          <w:numId w:val="8"/>
        </w:numPr>
        <w:spacing w:line="336" w:lineRule="auto"/>
        <w:ind w:left="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符合性审查资料………………………………………………………………（页码）</w:t>
      </w:r>
    </w:p>
    <w:p>
      <w:pPr>
        <w:pStyle w:val="42"/>
        <w:numPr>
          <w:ilvl w:val="0"/>
          <w:numId w:val="8"/>
        </w:numPr>
        <w:spacing w:line="336" w:lineRule="auto"/>
        <w:ind w:left="0" w:firstLine="0" w:firstLineChars="0"/>
        <w:jc w:val="both"/>
        <w:rPr>
          <w:rFonts w:hint="eastAsia" w:ascii="宋体" w:hAnsi="宋体" w:eastAsia="宋体" w:cs="宋体"/>
          <w:b w:val="0"/>
          <w:bCs/>
          <w:color w:val="auto"/>
          <w:sz w:val="21"/>
          <w:szCs w:val="21"/>
          <w:highlight w:val="none"/>
        </w:rPr>
      </w:pPr>
      <w:r>
        <w:rPr>
          <w:rFonts w:hint="eastAsia" w:ascii="宋体" w:hAnsi="宋体" w:eastAsia="宋体" w:cs="宋体"/>
          <w:b w:val="0"/>
          <w:bCs/>
          <w:sz w:val="21"/>
          <w:szCs w:val="21"/>
          <w:highlight w:val="none"/>
          <w:lang w:eastAsia="zh-CN"/>
        </w:rPr>
        <w:t>技术支持及服务承诺书</w:t>
      </w:r>
      <w:r>
        <w:rPr>
          <w:rFonts w:hint="eastAsia" w:ascii="宋体" w:hAnsi="宋体" w:eastAsia="宋体" w:cs="宋体"/>
          <w:color w:val="auto"/>
          <w:sz w:val="21"/>
          <w:szCs w:val="21"/>
          <w:highlight w:val="none"/>
        </w:rPr>
        <w:t>………………………………………………………（页码）</w:t>
      </w:r>
    </w:p>
    <w:p>
      <w:pPr>
        <w:pStyle w:val="42"/>
        <w:numPr>
          <w:ilvl w:val="0"/>
          <w:numId w:val="8"/>
        </w:numPr>
        <w:spacing w:line="336" w:lineRule="auto"/>
        <w:ind w:left="0" w:firstLine="0" w:firstLineChars="0"/>
        <w:jc w:val="both"/>
        <w:rPr>
          <w:rFonts w:hint="eastAsia" w:ascii="宋体" w:hAnsi="宋体" w:eastAsia="宋体" w:cs="宋体"/>
          <w:b w:val="0"/>
          <w:bCs/>
          <w:color w:val="auto"/>
          <w:sz w:val="21"/>
          <w:szCs w:val="21"/>
          <w:highlight w:val="none"/>
        </w:rPr>
      </w:pPr>
      <w:r>
        <w:rPr>
          <w:rFonts w:hint="eastAsia" w:ascii="宋体" w:hAnsi="宋体" w:eastAsia="宋体" w:cs="宋体"/>
          <w:b w:val="0"/>
          <w:bCs/>
          <w:sz w:val="21"/>
          <w:szCs w:val="21"/>
          <w:highlight w:val="none"/>
          <w:lang w:val="en-US" w:eastAsia="zh-CN"/>
        </w:rPr>
        <w:t>投标人的类似成功案例的业绩证明文件</w:t>
      </w:r>
      <w:r>
        <w:rPr>
          <w:rFonts w:hint="eastAsia" w:ascii="宋体" w:hAnsi="宋体" w:eastAsia="宋体" w:cs="宋体"/>
          <w:color w:val="auto"/>
          <w:sz w:val="21"/>
          <w:szCs w:val="21"/>
          <w:highlight w:val="none"/>
        </w:rPr>
        <w:t>……………………………………（页码）</w:t>
      </w:r>
    </w:p>
    <w:p>
      <w:pPr>
        <w:pStyle w:val="42"/>
        <w:numPr>
          <w:ilvl w:val="0"/>
          <w:numId w:val="8"/>
        </w:numPr>
        <w:spacing w:line="336" w:lineRule="auto"/>
        <w:ind w:left="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商务技术</w:t>
      </w:r>
      <w:r>
        <w:rPr>
          <w:rFonts w:hint="eastAsia" w:ascii="宋体" w:hAnsi="宋体" w:eastAsia="宋体" w:cs="宋体"/>
          <w:color w:val="auto"/>
          <w:sz w:val="21"/>
          <w:szCs w:val="21"/>
          <w:highlight w:val="none"/>
          <w:lang w:eastAsia="zh-CN"/>
        </w:rPr>
        <w:t>偏离表</w:t>
      </w:r>
      <w:r>
        <w:rPr>
          <w:rFonts w:hint="eastAsia" w:ascii="宋体" w:hAnsi="宋体" w:eastAsia="宋体" w:cs="宋体"/>
          <w:color w:val="auto"/>
          <w:sz w:val="21"/>
          <w:szCs w:val="21"/>
          <w:highlight w:val="none"/>
        </w:rPr>
        <w:t>………………………………………………………………（页码）</w:t>
      </w:r>
    </w:p>
    <w:p>
      <w:pPr>
        <w:pStyle w:val="42"/>
        <w:numPr>
          <w:ilvl w:val="0"/>
          <w:numId w:val="8"/>
        </w:numPr>
        <w:spacing w:line="336" w:lineRule="auto"/>
        <w:ind w:left="0" w:firstLine="0" w:firstLineChars="0"/>
        <w:jc w:val="both"/>
        <w:rPr>
          <w:rFonts w:ascii="仿宋" w:eastAsia="仿宋" w:cs="仿宋"/>
          <w:color w:val="auto"/>
          <w:highlight w:val="none"/>
        </w:rPr>
      </w:pPr>
      <w:r>
        <w:rPr>
          <w:rFonts w:hint="eastAsia" w:ascii="宋体" w:hAnsi="宋体" w:eastAsia="宋体" w:cs="宋体"/>
          <w:color w:val="auto"/>
          <w:sz w:val="21"/>
          <w:szCs w:val="21"/>
          <w:highlight w:val="none"/>
          <w:lang w:val="en-US" w:eastAsia="zh-CN"/>
        </w:rPr>
        <w:t>其他内容</w:t>
      </w:r>
      <w:r>
        <w:rPr>
          <w:rFonts w:hint="eastAsia" w:ascii="宋体" w:hAnsi="宋体" w:eastAsia="宋体" w:cs="宋体"/>
          <w:color w:val="auto"/>
          <w:sz w:val="21"/>
          <w:szCs w:val="21"/>
          <w:highlight w:val="none"/>
        </w:rPr>
        <w:t>………………………………………………………………………（页码）</w:t>
      </w:r>
    </w:p>
    <w:p>
      <w:pPr>
        <w:snapToGrid w:val="0"/>
        <w:spacing w:line="360" w:lineRule="auto"/>
        <w:jc w:val="center"/>
        <w:outlineLvl w:val="0"/>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3"/>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rPr>
        <w:t>1</w:t>
      </w:r>
      <w:r>
        <w:rPr>
          <w:rFonts w:hint="eastAsia" w:ascii="宋体" w:hAnsi="宋体" w:eastAsia="宋体" w:cs="宋体"/>
          <w:b/>
          <w:color w:val="auto"/>
          <w:kern w:val="0"/>
          <w:sz w:val="21"/>
          <w:szCs w:val="21"/>
          <w:highlight w:val="none"/>
        </w:rPr>
        <w:t>投标</w:t>
      </w:r>
      <w:r>
        <w:rPr>
          <w:rFonts w:hint="eastAsia" w:ascii="宋体" w:hAnsi="宋体" w:eastAsia="宋体" w:cs="宋体"/>
          <w:b/>
          <w:color w:val="auto"/>
          <w:sz w:val="21"/>
          <w:szCs w:val="21"/>
          <w:highlight w:val="none"/>
        </w:rPr>
        <w:t>函</w:t>
      </w:r>
    </w:p>
    <w:p>
      <w:pPr>
        <w:pStyle w:val="41"/>
        <w:keepNext w:val="0"/>
        <w:keepLines w:val="0"/>
        <w:pageBreakBefore w:val="0"/>
        <w:kinsoku/>
        <w:wordWrap/>
        <w:overflowPunct/>
        <w:topLinePunct w:val="0"/>
        <w:autoSpaceDE/>
        <w:autoSpaceDN/>
        <w:bidi w:val="0"/>
        <w:spacing w:after="0" w:line="336" w:lineRule="auto"/>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val="en-US" w:eastAsia="zh-CN"/>
        </w:rPr>
        <w:t xml:space="preserve">              </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根据贵方招标文件（</w:t>
      </w:r>
      <w:r>
        <w:rPr>
          <w:rFonts w:hint="eastAsia" w:ascii="宋体" w:hAnsi="宋体" w:eastAsia="宋体" w:cs="宋体"/>
          <w:b/>
          <w:color w:val="auto"/>
          <w:sz w:val="21"/>
          <w:szCs w:val="21"/>
          <w:highlight w:val="none"/>
          <w:u w:val="single"/>
        </w:rPr>
        <w:t>填写</w:t>
      </w:r>
      <w:r>
        <w:rPr>
          <w:rFonts w:hint="eastAsia" w:ascii="宋体" w:hAnsi="宋体" w:eastAsia="宋体" w:cs="宋体"/>
          <w:b/>
          <w:color w:val="auto"/>
          <w:sz w:val="21"/>
          <w:szCs w:val="21"/>
          <w:highlight w:val="none"/>
          <w:u w:val="single"/>
          <w:lang w:eastAsia="zh-CN"/>
        </w:rPr>
        <w:t>项目编号</w:t>
      </w:r>
      <w:r>
        <w:rPr>
          <w:rFonts w:hint="eastAsia" w:ascii="宋体" w:hAnsi="宋体" w:eastAsia="宋体" w:cs="宋体"/>
          <w:b/>
          <w:color w:val="auto"/>
          <w:sz w:val="21"/>
          <w:szCs w:val="21"/>
          <w:highlight w:val="none"/>
          <w:u w:val="single"/>
        </w:rPr>
        <w:t>：</w:t>
      </w:r>
      <w:r>
        <w:rPr>
          <w:rFonts w:hint="eastAsia" w:ascii="宋体" w:hAnsi="宋体" w:eastAsia="宋体" w:cs="宋体"/>
          <w:color w:val="auto"/>
          <w:sz w:val="21"/>
          <w:szCs w:val="21"/>
          <w:highlight w:val="none"/>
        </w:rPr>
        <w:t>）的要求，正式授权</w:t>
      </w:r>
      <w:r>
        <w:rPr>
          <w:rFonts w:hint="eastAsia" w:ascii="宋体" w:hAnsi="宋体" w:eastAsia="宋体" w:cs="宋体"/>
          <w:b/>
          <w:color w:val="auto"/>
          <w:sz w:val="21"/>
          <w:szCs w:val="21"/>
          <w:highlight w:val="none"/>
          <w:u w:val="single"/>
        </w:rPr>
        <w:t>（全权代表姓名    、单位    、职务   ）</w:t>
      </w:r>
      <w:r>
        <w:rPr>
          <w:rFonts w:hint="eastAsia" w:ascii="宋体" w:hAnsi="宋体" w:eastAsia="宋体" w:cs="宋体"/>
          <w:color w:val="auto"/>
          <w:sz w:val="21"/>
          <w:szCs w:val="21"/>
          <w:highlight w:val="none"/>
        </w:rPr>
        <w:t>代表投标人</w:t>
      </w:r>
      <w:r>
        <w:rPr>
          <w:rFonts w:hint="eastAsia" w:ascii="宋体" w:hAnsi="宋体" w:eastAsia="宋体" w:cs="宋体"/>
          <w:color w:val="auto"/>
          <w:sz w:val="21"/>
          <w:szCs w:val="21"/>
          <w:highlight w:val="none"/>
          <w:u w:val="single"/>
        </w:rPr>
        <w:t>（</w:t>
      </w:r>
      <w:r>
        <w:rPr>
          <w:rFonts w:hint="eastAsia" w:ascii="宋体" w:hAnsi="宋体" w:eastAsia="宋体" w:cs="宋体"/>
          <w:b/>
          <w:color w:val="auto"/>
          <w:sz w:val="21"/>
          <w:szCs w:val="21"/>
          <w:highlight w:val="none"/>
          <w:u w:val="single"/>
        </w:rPr>
        <w:t xml:space="preserve">填写单位    、地址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提交投标文件。</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我方已完全明白招标文件的所有条款要求，兹声明同意如下：</w:t>
      </w:r>
    </w:p>
    <w:p>
      <w:pPr>
        <w:pStyle w:val="5"/>
        <w:keepNext w:val="0"/>
        <w:keepLines w:val="0"/>
        <w:pageBreakBefore w:val="0"/>
        <w:numPr>
          <w:ilvl w:val="-1"/>
          <w:numId w:val="0"/>
        </w:numPr>
        <w:kinsoku/>
        <w:wordWrap/>
        <w:overflowPunct/>
        <w:topLinePunct w:val="0"/>
        <w:autoSpaceDE/>
        <w:autoSpaceDN/>
        <w:bidi w:val="0"/>
        <w:spacing w:after="0" w:line="336"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1.我方同意在投标人</w:t>
      </w:r>
      <w:r>
        <w:rPr>
          <w:rFonts w:hint="eastAsia" w:ascii="宋体" w:hAnsi="宋体" w:eastAsia="宋体" w:cs="宋体"/>
          <w:color w:val="auto"/>
          <w:kern w:val="44"/>
          <w:sz w:val="21"/>
          <w:szCs w:val="21"/>
          <w:highlight w:val="none"/>
        </w:rPr>
        <w:t>须知</w:t>
      </w:r>
      <w:r>
        <w:rPr>
          <w:rFonts w:hint="eastAsia" w:ascii="宋体" w:hAnsi="宋体" w:eastAsia="宋体" w:cs="宋体"/>
          <w:color w:val="auto"/>
          <w:sz w:val="21"/>
          <w:szCs w:val="21"/>
          <w:highlight w:val="none"/>
        </w:rPr>
        <w:t>规定的开标日期起遵守本投标文件中的承诺且在投标有效期满之前均具有约束力。</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2.我方承诺已经具备《中华人民共和国政府采购法》中规定的参加政府采购活动的供应商应当具备的条件。</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3.本公司投标文件中填列的技术参数、配置、服务、数量等相关内容都是真实、准确的。保证在本次项目中所提供的资料全部真实和合法。同意向</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提供可能另外要求的与投标有关的任何数据或资料。</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4.我方理解贵方将不受你们所收到的最低报价的约束。</w:t>
      </w:r>
    </w:p>
    <w:p>
      <w:pPr>
        <w:pStyle w:val="5"/>
        <w:keepNext w:val="0"/>
        <w:keepLines w:val="0"/>
        <w:pageBreakBefore w:val="0"/>
        <w:numPr>
          <w:ilvl w:val="-1"/>
          <w:numId w:val="0"/>
        </w:numPr>
        <w:kinsoku/>
        <w:wordWrap/>
        <w:overflowPunct/>
        <w:topLinePunct w:val="0"/>
        <w:autoSpaceDE/>
        <w:autoSpaceDN/>
        <w:bidi w:val="0"/>
        <w:spacing w:after="0" w:line="336" w:lineRule="auto"/>
        <w:ind w:left="420" w:leftChars="2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5.本投标自开标之日（投标截止之日）起90天内有效。</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snapToGrid w:val="0"/>
        <w:spacing w:line="336"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a)提供虚假材料谋取中标、成交的；</w:t>
      </w:r>
    </w:p>
    <w:p>
      <w:pPr>
        <w:keepNext w:val="0"/>
        <w:keepLines w:val="0"/>
        <w:pageBreakBefore w:val="0"/>
        <w:kinsoku/>
        <w:wordWrap/>
        <w:overflowPunct/>
        <w:topLinePunct w:val="0"/>
        <w:autoSpaceDE/>
        <w:autoSpaceDN/>
        <w:bidi w:val="0"/>
        <w:snapToGrid w:val="0"/>
        <w:spacing w:line="336"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b)采取不正当手段诋毁、排挤其他供应商的；</w:t>
      </w:r>
    </w:p>
    <w:p>
      <w:pPr>
        <w:keepNext w:val="0"/>
        <w:keepLines w:val="0"/>
        <w:pageBreakBefore w:val="0"/>
        <w:kinsoku/>
        <w:wordWrap/>
        <w:overflowPunct/>
        <w:topLinePunct w:val="0"/>
        <w:autoSpaceDE/>
        <w:autoSpaceDN/>
        <w:bidi w:val="0"/>
        <w:snapToGrid w:val="0"/>
        <w:spacing w:line="336"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c)与采购人、其它供应商或者采购代理机构恶意串通的；</w:t>
      </w:r>
    </w:p>
    <w:p>
      <w:pPr>
        <w:keepNext w:val="0"/>
        <w:keepLines w:val="0"/>
        <w:pageBreakBefore w:val="0"/>
        <w:kinsoku/>
        <w:wordWrap/>
        <w:overflowPunct/>
        <w:topLinePunct w:val="0"/>
        <w:autoSpaceDE/>
        <w:autoSpaceDN/>
        <w:bidi w:val="0"/>
        <w:snapToGrid w:val="0"/>
        <w:spacing w:line="336"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d)向采购人、采购代理机构行贿或者提供其他不正当利益的；</w:t>
      </w:r>
    </w:p>
    <w:p>
      <w:pPr>
        <w:keepNext w:val="0"/>
        <w:keepLines w:val="0"/>
        <w:pageBreakBefore w:val="0"/>
        <w:kinsoku/>
        <w:wordWrap/>
        <w:overflowPunct/>
        <w:topLinePunct w:val="0"/>
        <w:autoSpaceDE/>
        <w:autoSpaceDN/>
        <w:bidi w:val="0"/>
        <w:snapToGrid w:val="0"/>
        <w:spacing w:line="336"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e)在招标采购过程中与采购人进行协商谈判的；</w:t>
      </w:r>
    </w:p>
    <w:p>
      <w:pPr>
        <w:keepNext w:val="0"/>
        <w:keepLines w:val="0"/>
        <w:pageBreakBefore w:val="0"/>
        <w:kinsoku/>
        <w:wordWrap/>
        <w:overflowPunct/>
        <w:topLinePunct w:val="0"/>
        <w:autoSpaceDE/>
        <w:autoSpaceDN/>
        <w:bidi w:val="0"/>
        <w:snapToGrid w:val="0"/>
        <w:spacing w:line="336"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f)拒绝有关部门监督检查或提供虚假情况的。</w:t>
      </w:r>
    </w:p>
    <w:p>
      <w:pPr>
        <w:keepNext w:val="0"/>
        <w:keepLines w:val="0"/>
        <w:pageBreakBefore w:val="0"/>
        <w:kinsoku/>
        <w:wordWrap/>
        <w:overflowPunct/>
        <w:topLinePunct w:val="0"/>
        <w:autoSpaceDE/>
        <w:autoSpaceDN/>
        <w:bidi w:val="0"/>
        <w:snapToGrid w:val="0"/>
        <w:spacing w:line="336"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供应商有前款第a)至e)项情形之一的，中标、成交无效。</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　　　　　　　　　　　　　　　邮政编码：</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传真：</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帐号：</w:t>
      </w:r>
    </w:p>
    <w:p>
      <w:pPr>
        <w:pStyle w:val="41"/>
        <w:keepNext w:val="0"/>
        <w:keepLines w:val="0"/>
        <w:pageBreakBefore w:val="0"/>
        <w:kinsoku/>
        <w:wordWrap/>
        <w:overflowPunct/>
        <w:topLinePunct w:val="0"/>
        <w:autoSpaceDE/>
        <w:autoSpaceDN/>
        <w:bidi w:val="0"/>
        <w:spacing w:after="0" w:line="336"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法定代表人或其授权代表(签字或盖章)：</w:t>
      </w:r>
    </w:p>
    <w:p>
      <w:pPr>
        <w:keepNext w:val="0"/>
        <w:keepLines w:val="0"/>
        <w:pageBreakBefore w:val="0"/>
        <w:kinsoku/>
        <w:wordWrap/>
        <w:overflowPunct/>
        <w:topLinePunct w:val="0"/>
        <w:autoSpaceDE/>
        <w:autoSpaceDN/>
        <w:bidi w:val="0"/>
        <w:snapToGrid w:val="0"/>
        <w:spacing w:line="336" w:lineRule="auto"/>
        <w:ind w:firstLine="420" w:firstLineChars="200"/>
        <w:jc w:val="left"/>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snapToGrid w:val="0"/>
        <w:spacing w:line="336" w:lineRule="auto"/>
        <w:ind w:firstLine="420" w:firstLineChars="20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color w:val="auto"/>
          <w:sz w:val="21"/>
          <w:szCs w:val="21"/>
          <w:highlight w:val="none"/>
        </w:rPr>
        <w:t xml:space="preserve">投标人(电子签章)：　　　　　　　　　日期：  </w:t>
      </w:r>
    </w:p>
    <w:p>
      <w:pPr>
        <w:pageBreakBefore/>
        <w:spacing w:line="8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 xml:space="preserve">法定代表人授权委托书（格式） </w:t>
      </w:r>
      <w:r>
        <w:rPr>
          <w:rFonts w:hint="eastAsia" w:ascii="宋体" w:hAnsi="宋体" w:eastAsia="宋体" w:cs="宋体"/>
          <w:b/>
          <w:color w:val="auto"/>
          <w:kern w:val="0"/>
          <w:sz w:val="21"/>
          <w:szCs w:val="21"/>
          <w:highlight w:val="none"/>
          <w:lang w:val="zh-CN"/>
        </w:rPr>
        <w:t>（适用于非联合体投标）</w:t>
      </w:r>
    </w:p>
    <w:p>
      <w:pPr>
        <w:jc w:val="center"/>
        <w:rPr>
          <w:rFonts w:hint="eastAsia" w:ascii="宋体" w:hAnsi="宋体" w:eastAsia="宋体" w:cs="宋体"/>
          <w:b/>
          <w:color w:val="auto"/>
          <w:sz w:val="21"/>
          <w:szCs w:val="21"/>
          <w:highlight w:val="none"/>
        </w:rPr>
      </w:pPr>
    </w:p>
    <w:p>
      <w:pPr>
        <w:snapToGri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本授权委托书声明：我</w:t>
      </w:r>
      <w:r>
        <w:rPr>
          <w:rFonts w:hint="eastAsia" w:ascii="宋体" w:hAnsi="宋体" w:eastAsia="宋体" w:cs="宋体"/>
          <w:color w:val="auto"/>
          <w:sz w:val="21"/>
          <w:szCs w:val="21"/>
          <w:highlight w:val="none"/>
          <w:u w:val="single"/>
        </w:rPr>
        <w:t xml:space="preserve">         (填写姓名)</w:t>
      </w: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（填写投标人单位全称）</w:t>
      </w:r>
      <w:r>
        <w:rPr>
          <w:rFonts w:hint="eastAsia" w:ascii="宋体" w:hAnsi="宋体" w:eastAsia="宋体" w:cs="宋体"/>
          <w:color w:val="auto"/>
          <w:sz w:val="21"/>
          <w:szCs w:val="21"/>
          <w:highlight w:val="none"/>
        </w:rPr>
        <w:t>的法定代表人，现授权委托</w:t>
      </w:r>
      <w:r>
        <w:rPr>
          <w:rFonts w:hint="eastAsia" w:ascii="宋体" w:hAnsi="宋体" w:eastAsia="宋体" w:cs="宋体"/>
          <w:color w:val="auto"/>
          <w:sz w:val="21"/>
          <w:szCs w:val="21"/>
          <w:highlight w:val="none"/>
          <w:u w:val="single"/>
        </w:rPr>
        <w:t xml:space="preserve">                  （填写单位全称）</w:t>
      </w:r>
      <w:r>
        <w:rPr>
          <w:rFonts w:hint="eastAsia" w:ascii="宋体" w:hAnsi="宋体" w:eastAsia="宋体" w:cs="宋体"/>
          <w:color w:val="auto"/>
          <w:sz w:val="21"/>
          <w:szCs w:val="21"/>
          <w:highlight w:val="none"/>
        </w:rPr>
        <w:t>的（填写姓名）为我公司授权代表，</w:t>
      </w:r>
      <w:r>
        <w:rPr>
          <w:rFonts w:hint="eastAsia" w:ascii="宋体" w:hAnsi="宋体" w:eastAsia="宋体" w:cs="宋体"/>
          <w:color w:val="auto"/>
          <w:sz w:val="21"/>
          <w:szCs w:val="21"/>
          <w:highlight w:val="none"/>
          <w:u w:val="single"/>
        </w:rPr>
        <w:t>（填写身份证号码：                       ）</w:t>
      </w:r>
      <w:r>
        <w:rPr>
          <w:rFonts w:hint="eastAsia" w:ascii="宋体" w:hAnsi="宋体" w:eastAsia="宋体" w:cs="宋体"/>
          <w:color w:val="auto"/>
          <w:sz w:val="21"/>
          <w:szCs w:val="21"/>
          <w:highlight w:val="none"/>
        </w:rPr>
        <w:t>。以本公司的名义参加</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组织的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投标活动。授权代表在开标、评标、合同谈判过程中所签署的一切文件和处理与之有关的一切事务，我均予以承认。</w:t>
      </w:r>
    </w:p>
    <w:p>
      <w:pPr>
        <w:snapToGrid w:val="0"/>
        <w:spacing w:line="5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在撤销授权的书面通知以前，本授权书一直有效。全权代表在授权书有效期内签署的所有文件不因授权的撤销而失效。</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授权代表无转委托权。特此委托。</w:t>
      </w:r>
    </w:p>
    <w:p>
      <w:pPr>
        <w:snapToGrid w:val="0"/>
        <w:spacing w:line="600" w:lineRule="exact"/>
        <w:jc w:val="lef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授权代表姓名：              性别：               年龄：</w:t>
      </w: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                      部门：               职务：</w:t>
      </w:r>
    </w:p>
    <w:p>
      <w:pPr>
        <w:spacing w:line="360" w:lineRule="exact"/>
        <w:rPr>
          <w:rFonts w:hint="eastAsia" w:ascii="宋体" w:hAnsi="宋体" w:eastAsia="宋体" w:cs="宋体"/>
          <w:color w:val="auto"/>
          <w:sz w:val="21"/>
          <w:szCs w:val="21"/>
          <w:highlight w:val="none"/>
        </w:rPr>
      </w:pPr>
    </w:p>
    <w:p>
      <w:pPr>
        <w:widowControl/>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办公地址：                  联系电话：           传真：</w:t>
      </w: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电子签章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法定代表人（签字或盖章）：</w:t>
      </w: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p>
    <w:p>
      <w:pPr>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ind w:firstLine="4305" w:firstLineChars="2050"/>
        <w:jc w:val="left"/>
        <w:rPr>
          <w:rFonts w:hint="eastAsia" w:ascii="宋体" w:hAnsi="宋体" w:eastAsia="宋体" w:cs="宋体"/>
          <w:color w:val="auto"/>
          <w:sz w:val="21"/>
          <w:szCs w:val="21"/>
          <w:highlight w:val="none"/>
        </w:rPr>
      </w:pPr>
    </w:p>
    <w:p>
      <w:pPr>
        <w:spacing w:line="800" w:lineRule="exact"/>
        <w:rPr>
          <w:rFonts w:hint="eastAsia" w:ascii="宋体" w:hAnsi="宋体" w:eastAsia="宋体" w:cs="宋体"/>
          <w:b/>
          <w:color w:val="auto"/>
          <w:sz w:val="21"/>
          <w:szCs w:val="21"/>
          <w:highlight w:val="none"/>
        </w:rPr>
      </w:pPr>
    </w:p>
    <w:p>
      <w:pPr>
        <w:spacing w:line="800" w:lineRule="exact"/>
        <w:rPr>
          <w:rFonts w:hint="eastAsia" w:ascii="宋体" w:hAnsi="宋体" w:eastAsia="宋体" w:cs="宋体"/>
          <w:b/>
          <w:color w:val="auto"/>
          <w:sz w:val="21"/>
          <w:szCs w:val="21"/>
          <w:highlight w:val="none"/>
        </w:rPr>
      </w:pPr>
    </w:p>
    <w:p>
      <w:pPr>
        <w:pageBreakBefore/>
        <w:spacing w:line="8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法定代表人授权委托书（格式） </w:t>
      </w:r>
      <w:r>
        <w:rPr>
          <w:rFonts w:hint="eastAsia" w:ascii="宋体" w:hAnsi="宋体" w:eastAsia="宋体" w:cs="宋体"/>
          <w:b/>
          <w:color w:val="auto"/>
          <w:kern w:val="0"/>
          <w:sz w:val="21"/>
          <w:szCs w:val="21"/>
          <w:highlight w:val="none"/>
          <w:lang w:val="zh-CN"/>
        </w:rPr>
        <w:t>（适用于联合体投标）</w:t>
      </w:r>
    </w:p>
    <w:p>
      <w:pPr>
        <w:jc w:val="center"/>
        <w:rPr>
          <w:rFonts w:hint="eastAsia" w:ascii="宋体" w:hAnsi="宋体" w:eastAsia="宋体" w:cs="宋体"/>
          <w:b/>
          <w:color w:val="auto"/>
          <w:sz w:val="21"/>
          <w:szCs w:val="21"/>
          <w:highlight w:val="none"/>
        </w:rPr>
      </w:pPr>
    </w:p>
    <w:p>
      <w:pPr>
        <w:snapToGri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本授权委托书声明：</w:t>
      </w:r>
    </w:p>
    <w:p>
      <w:pPr>
        <w:snapToGri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现授权委托</w:t>
      </w:r>
      <w:r>
        <w:rPr>
          <w:rFonts w:hint="eastAsia" w:ascii="宋体" w:hAnsi="宋体" w:eastAsia="宋体" w:cs="宋体"/>
          <w:color w:val="auto"/>
          <w:sz w:val="21"/>
          <w:szCs w:val="21"/>
          <w:highlight w:val="none"/>
          <w:u w:val="single"/>
        </w:rPr>
        <w:t xml:space="preserve">                  （填写单位全称）</w:t>
      </w:r>
      <w:r>
        <w:rPr>
          <w:rFonts w:hint="eastAsia" w:ascii="宋体" w:hAnsi="宋体" w:eastAsia="宋体" w:cs="宋体"/>
          <w:color w:val="auto"/>
          <w:sz w:val="21"/>
          <w:szCs w:val="21"/>
          <w:highlight w:val="none"/>
        </w:rPr>
        <w:t>的（填写姓名）为我方授权代表，</w:t>
      </w:r>
      <w:r>
        <w:rPr>
          <w:rFonts w:hint="eastAsia" w:ascii="宋体" w:hAnsi="宋体" w:eastAsia="宋体" w:cs="宋体"/>
          <w:color w:val="auto"/>
          <w:sz w:val="21"/>
          <w:szCs w:val="21"/>
          <w:highlight w:val="none"/>
          <w:u w:val="single"/>
        </w:rPr>
        <w:t>（填写身份证号码：                       ）</w:t>
      </w:r>
      <w:r>
        <w:rPr>
          <w:rFonts w:hint="eastAsia" w:ascii="宋体" w:hAnsi="宋体" w:eastAsia="宋体" w:cs="宋体"/>
          <w:color w:val="auto"/>
          <w:sz w:val="21"/>
          <w:szCs w:val="21"/>
          <w:highlight w:val="none"/>
        </w:rPr>
        <w:t>。以我方的名义参加</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组织的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投标活动。授权代表在开标、评标、合同谈判过程中所签署的一切文件和处理与之有关的一切事务，我均予以承认。</w:t>
      </w:r>
    </w:p>
    <w:p>
      <w:pPr>
        <w:snapToGrid w:val="0"/>
        <w:spacing w:line="5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在撤销授权的书面通知以前，本授权书一直有效。全权代表在授权书有效期内签署的所有文件不因授权的撤销而失效。</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授权代表无转委托权。特此委托。</w:t>
      </w:r>
    </w:p>
    <w:p>
      <w:pPr>
        <w:snapToGrid w:val="0"/>
        <w:spacing w:line="600" w:lineRule="exact"/>
        <w:jc w:val="lef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授权代表姓名：              性别：               年龄：</w:t>
      </w: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                      部门：               职务：</w:t>
      </w:r>
    </w:p>
    <w:p>
      <w:pPr>
        <w:spacing w:line="360" w:lineRule="exact"/>
        <w:rPr>
          <w:rFonts w:hint="eastAsia" w:ascii="宋体" w:hAnsi="宋体" w:eastAsia="宋体" w:cs="宋体"/>
          <w:color w:val="auto"/>
          <w:sz w:val="21"/>
          <w:szCs w:val="21"/>
          <w:highlight w:val="none"/>
        </w:rPr>
      </w:pPr>
    </w:p>
    <w:p>
      <w:pPr>
        <w:widowControl/>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办公地址：                  联系电话：           传真：</w:t>
      </w:r>
    </w:p>
    <w:p>
      <w:pPr>
        <w:spacing w:line="360" w:lineRule="exact"/>
        <w:rPr>
          <w:rFonts w:hint="eastAsia" w:ascii="宋体" w:hAnsi="宋体" w:eastAsia="宋体" w:cs="宋体"/>
          <w:color w:val="auto"/>
          <w:sz w:val="21"/>
          <w:szCs w:val="21"/>
          <w:highlight w:val="none"/>
        </w:rPr>
      </w:pPr>
    </w:p>
    <w:p>
      <w:pPr>
        <w:spacing w:line="360" w:lineRule="exact"/>
        <w:rPr>
          <w:rFonts w:hint="eastAsia" w:ascii="宋体" w:hAnsi="宋体" w:eastAsia="宋体" w:cs="宋体"/>
          <w:color w:val="auto"/>
          <w:sz w:val="21"/>
          <w:szCs w:val="21"/>
          <w:highlight w:val="none"/>
        </w:rPr>
      </w:pPr>
    </w:p>
    <w:p>
      <w:pPr>
        <w:jc w:val="center"/>
        <w:rPr>
          <w:rFonts w:hint="eastAsia" w:ascii="宋体" w:hAnsi="宋体" w:eastAsia="宋体" w:cs="宋体"/>
          <w:b/>
          <w:color w:val="auto"/>
          <w:kern w:val="0"/>
          <w:sz w:val="21"/>
          <w:szCs w:val="21"/>
          <w:highlight w:val="none"/>
        </w:rPr>
      </w:pPr>
    </w:p>
    <w:p>
      <w:pPr>
        <w:rPr>
          <w:rFonts w:hint="eastAsia" w:ascii="宋体" w:hAnsi="宋体" w:eastAsia="宋体" w:cs="宋体"/>
          <w:color w:val="auto"/>
          <w:sz w:val="21"/>
          <w:szCs w:val="21"/>
          <w:highlight w:val="none"/>
        </w:rPr>
      </w:pPr>
    </w:p>
    <w:p>
      <w:pPr>
        <w:snapToGrid w:val="0"/>
        <w:spacing w:line="360" w:lineRule="auto"/>
        <w:ind w:firstLine="4410" w:firstLineChars="210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联合体成员名称(电子签名/公章)：</w:t>
      </w:r>
    </w:p>
    <w:p>
      <w:pPr>
        <w:snapToGrid w:val="0"/>
        <w:spacing w:line="360" w:lineRule="auto"/>
        <w:ind w:firstLine="4410" w:firstLineChars="210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联合体成员名称(电子签名/公章)：</w:t>
      </w:r>
    </w:p>
    <w:p>
      <w:pPr>
        <w:snapToGrid w:val="0"/>
        <w:spacing w:line="360" w:lineRule="auto"/>
        <w:ind w:firstLine="5040" w:firstLineChars="24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w:t>
      </w:r>
    </w:p>
    <w:p>
      <w:pPr>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21"/>
          <w:szCs w:val="21"/>
          <w:highlight w:val="none"/>
          <w:lang w:val="zh-CN"/>
        </w:rPr>
      </w:pPr>
    </w:p>
    <w:p>
      <w:pPr>
        <w:autoSpaceDE w:val="0"/>
        <w:autoSpaceDN w:val="0"/>
        <w:spacing w:line="360" w:lineRule="auto"/>
        <w:jc w:val="center"/>
        <w:rPr>
          <w:rFonts w:hint="eastAsia" w:ascii="宋体" w:hAnsi="宋体" w:eastAsia="宋体" w:cs="宋体"/>
          <w:b/>
          <w:color w:val="auto"/>
          <w:kern w:val="0"/>
          <w:sz w:val="21"/>
          <w:szCs w:val="21"/>
          <w:highlight w:val="none"/>
          <w:lang w:val="zh-CN"/>
        </w:rPr>
      </w:pPr>
    </w:p>
    <w:p>
      <w:pPr>
        <w:autoSpaceDE w:val="0"/>
        <w:autoSpaceDN w:val="0"/>
        <w:spacing w:line="360" w:lineRule="auto"/>
        <w:jc w:val="center"/>
        <w:rPr>
          <w:rFonts w:hint="eastAsia" w:ascii="宋体" w:hAnsi="宋体" w:eastAsia="宋体" w:cs="宋体"/>
          <w:b/>
          <w:color w:val="auto"/>
          <w:kern w:val="0"/>
          <w:sz w:val="21"/>
          <w:szCs w:val="21"/>
          <w:highlight w:val="none"/>
          <w:lang w:val="zh-CN"/>
        </w:rPr>
      </w:pPr>
    </w:p>
    <w:p>
      <w:pPr>
        <w:spacing w:line="800" w:lineRule="exact"/>
        <w:rPr>
          <w:rFonts w:hint="eastAsia" w:ascii="宋体" w:hAnsi="宋体" w:eastAsia="宋体" w:cs="宋体"/>
          <w:b/>
          <w:color w:val="auto"/>
          <w:sz w:val="21"/>
          <w:szCs w:val="21"/>
          <w:highlight w:val="none"/>
        </w:rPr>
      </w:pPr>
    </w:p>
    <w:p>
      <w:pPr>
        <w:spacing w:line="800" w:lineRule="exact"/>
        <w:jc w:val="center"/>
        <w:rPr>
          <w:rFonts w:hint="eastAsia" w:ascii="宋体" w:hAnsi="宋体" w:eastAsia="宋体" w:cs="宋体"/>
          <w:b/>
          <w:color w:val="auto"/>
          <w:sz w:val="21"/>
          <w:szCs w:val="21"/>
          <w:highlight w:val="none"/>
          <w:lang w:val="en-US" w:eastAsia="zh-CN"/>
        </w:rPr>
      </w:pPr>
    </w:p>
    <w:p>
      <w:pPr>
        <w:spacing w:line="8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法定代表人及其授权代表身份证复印件（正反面）</w:t>
      </w:r>
    </w:p>
    <w:p>
      <w:pPr>
        <w:spacing w:line="800" w:lineRule="exact"/>
        <w:jc w:val="center"/>
        <w:rPr>
          <w:rFonts w:hint="eastAsia" w:ascii="宋体" w:hAnsi="宋体" w:eastAsia="宋体" w:cs="宋体"/>
          <w:b/>
          <w:color w:val="auto"/>
          <w:sz w:val="21"/>
          <w:szCs w:val="21"/>
          <w:highlight w:val="none"/>
          <w:lang w:val="en-US" w:eastAsia="zh-CN"/>
        </w:rPr>
      </w:pPr>
    </w:p>
    <w:p>
      <w:pPr>
        <w:spacing w:line="800" w:lineRule="exact"/>
        <w:jc w:val="center"/>
        <w:rPr>
          <w:rFonts w:hint="eastAsia" w:ascii="宋体" w:hAnsi="宋体" w:eastAsia="宋体" w:cs="宋体"/>
          <w:b/>
          <w:color w:val="auto"/>
          <w:sz w:val="21"/>
          <w:szCs w:val="21"/>
          <w:highlight w:val="none"/>
          <w:lang w:val="en-US" w:eastAsia="zh-CN"/>
        </w:rPr>
      </w:pPr>
    </w:p>
    <w:p>
      <w:pPr>
        <w:spacing w:line="800" w:lineRule="exact"/>
        <w:jc w:val="center"/>
        <w:rPr>
          <w:rFonts w:hint="eastAsia" w:ascii="宋体" w:hAnsi="宋体" w:eastAsia="宋体" w:cs="宋体"/>
          <w:b/>
          <w:color w:val="auto"/>
          <w:sz w:val="21"/>
          <w:szCs w:val="21"/>
          <w:highlight w:val="none"/>
          <w:lang w:val="en-US" w:eastAsia="zh-CN"/>
        </w:rPr>
      </w:pPr>
    </w:p>
    <w:p>
      <w:pPr>
        <w:spacing w:line="8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法定代表人身份证明书(格式)</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w:t>
      </w:r>
      <w:r>
        <w:rPr>
          <w:rFonts w:hint="eastAsia" w:ascii="宋体" w:hAnsi="宋体" w:eastAsia="宋体" w:cs="宋体"/>
          <w:color w:val="auto"/>
          <w:sz w:val="21"/>
          <w:szCs w:val="21"/>
          <w:highlight w:val="none"/>
          <w:u w:val="single"/>
        </w:rPr>
        <w:t xml:space="preserve">                          </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p>
    <w:p>
      <w:pPr>
        <w:spacing w:line="440" w:lineRule="exact"/>
        <w:ind w:right="281" w:rightChars="134"/>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xml:space="preserve">                          </w:t>
      </w:r>
    </w:p>
    <w:p>
      <w:pPr>
        <w:spacing w:line="440" w:lineRule="exact"/>
        <w:ind w:right="281" w:rightChars="134"/>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u w:val="single"/>
        </w:rPr>
        <w:t xml:space="preserve">                        </w:t>
      </w:r>
    </w:p>
    <w:p>
      <w:pPr>
        <w:spacing w:line="440" w:lineRule="exact"/>
        <w:ind w:right="281" w:rightChars="13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r>
        <w:rPr>
          <w:rFonts w:hint="eastAsia" w:ascii="宋体" w:hAnsi="宋体" w:eastAsia="宋体" w:cs="宋体"/>
          <w:color w:val="auto"/>
          <w:sz w:val="21"/>
          <w:szCs w:val="21"/>
          <w:highlight w:val="none"/>
          <w:u w:val="single"/>
        </w:rPr>
        <w:t xml:space="preserve">                           </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（填写投标人名称）</w:t>
      </w:r>
      <w:r>
        <w:rPr>
          <w:rFonts w:hint="eastAsia" w:ascii="宋体" w:hAnsi="宋体" w:eastAsia="宋体" w:cs="宋体"/>
          <w:color w:val="auto"/>
          <w:sz w:val="21"/>
          <w:szCs w:val="21"/>
          <w:highlight w:val="none"/>
        </w:rPr>
        <w:t>的法定代表人。</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spacing w:line="440" w:lineRule="exact"/>
        <w:rPr>
          <w:rFonts w:hint="eastAsia" w:ascii="宋体" w:hAnsi="宋体" w:eastAsia="宋体" w:cs="宋体"/>
          <w:color w:val="auto"/>
          <w:sz w:val="21"/>
          <w:szCs w:val="21"/>
          <w:highlight w:val="none"/>
        </w:rPr>
      </w:pP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名称</w:t>
      </w:r>
      <w:r>
        <w:rPr>
          <w:rFonts w:hint="eastAsia" w:ascii="宋体" w:hAnsi="宋体" w:eastAsia="宋体" w:cs="宋体"/>
          <w:color w:val="auto"/>
          <w:sz w:val="21"/>
          <w:szCs w:val="21"/>
          <w:highlight w:val="none"/>
        </w:rPr>
        <w:t>：                             （电子签章）</w:t>
      </w:r>
    </w:p>
    <w:p>
      <w:pPr>
        <w:spacing w:line="440" w:lineRule="exact"/>
        <w:ind w:right="480"/>
        <w:rPr>
          <w:rFonts w:hint="eastAsia" w:ascii="宋体" w:hAnsi="宋体" w:eastAsia="宋体" w:cs="宋体"/>
          <w:color w:val="auto"/>
          <w:sz w:val="21"/>
          <w:szCs w:val="21"/>
          <w:highlight w:val="none"/>
        </w:rPr>
      </w:pPr>
    </w:p>
    <w:p>
      <w:pPr>
        <w:spacing w:line="440" w:lineRule="exact"/>
        <w:ind w:right="72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lang w:val="en-US" w:eastAsia="zh-CN"/>
        </w:rPr>
        <w:t>5</w:t>
      </w:r>
      <w:r>
        <w:rPr>
          <w:rFonts w:hint="eastAsia" w:asciiTheme="minorEastAsia" w:hAnsiTheme="minorEastAsia" w:eastAsiaTheme="minorEastAsia" w:cstheme="minorEastAsia"/>
          <w:b/>
          <w:color w:val="auto"/>
          <w:kern w:val="0"/>
          <w:sz w:val="21"/>
          <w:szCs w:val="21"/>
          <w:highlight w:val="none"/>
        </w:rPr>
        <w:t>符合性审查资料</w:t>
      </w:r>
    </w:p>
    <w:p>
      <w:pPr>
        <w:pStyle w:val="2"/>
        <w:rPr>
          <w:rFonts w:hint="eastAsia"/>
          <w:highlight w:val="none"/>
        </w:rPr>
      </w:pPr>
    </w:p>
    <w:p>
      <w:pPr>
        <w:jc w:val="center"/>
        <w:rPr>
          <w:rFonts w:hint="eastAsia" w:asciiTheme="minorEastAsia" w:hAnsiTheme="minorEastAsia" w:eastAsiaTheme="minorEastAsia" w:cstheme="minorEastAsia"/>
          <w:b/>
          <w:color w:val="auto"/>
          <w:kern w:val="0"/>
          <w:sz w:val="21"/>
          <w:szCs w:val="21"/>
          <w:highlight w:val="none"/>
        </w:rPr>
      </w:pPr>
    </w:p>
    <w:tbl>
      <w:tblPr>
        <w:tblStyle w:val="23"/>
        <w:tblW w:w="974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需要提供的符合性审查资料</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投标文件按照招标文件要求签署、盖章。</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需要使用电子签名或者签字盖章的投标文件的组成部分</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见投标文件</w:t>
            </w: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节能产品认证证书（本项目拟采购的产品不属于政府强制采购的节能产品品目清单范围的，无需提供）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见投标文件</w:t>
            </w:r>
          </w:p>
          <w:p>
            <w:pPr>
              <w:pStyle w:val="4"/>
              <w:tabs>
                <w:tab w:val="left" w:pos="432"/>
              </w:tabs>
              <w:ind w:left="432" w:leftChars="0" w:hanging="432" w:firstLine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color w:val="auto"/>
                <w:sz w:val="21"/>
                <w:szCs w:val="21"/>
                <w:highlight w:val="none"/>
              </w:rPr>
              <w:t>第</w:t>
            </w:r>
            <w:r>
              <w:rPr>
                <w:rFonts w:hint="eastAsia" w:asciiTheme="minorEastAsia" w:hAnsiTheme="minorEastAsia" w:eastAsiaTheme="minorEastAsia" w:cstheme="minorEastAsia"/>
                <w:b w:val="0"/>
                <w:color w:val="auto"/>
                <w:sz w:val="21"/>
                <w:szCs w:val="21"/>
                <w:highlight w:val="none"/>
                <w:u w:val="single"/>
              </w:rPr>
              <w:t xml:space="preserve">  </w:t>
            </w:r>
            <w:r>
              <w:rPr>
                <w:rFonts w:hint="eastAsia" w:asciiTheme="minorEastAsia" w:hAnsiTheme="minorEastAsia" w:eastAsiaTheme="minorEastAsia" w:cstheme="minorEastAsia"/>
                <w:b w:val="0"/>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投标文件中承诺的投标有效期不少于招标文件中载明的投标有效期。</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投标函</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见投标文件第</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投标文件满足招标文件的其它实质性要求。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招标文件其它实质性要求相应的材料（“▲” 系指实质性要求条款，招标文件无其它实质性要求的，无需提供）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见投标文件第</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页</w:t>
            </w:r>
          </w:p>
        </w:tc>
      </w:tr>
    </w:tbl>
    <w:p>
      <w:pPr>
        <w:spacing w:line="360" w:lineRule="auto"/>
        <w:ind w:right="42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注：按本格式和要求提供。</w:t>
      </w: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宋体" w:hAnsi="宋体" w:eastAsia="宋体" w:cs="宋体"/>
          <w:b/>
          <w:bCs w:val="0"/>
          <w:sz w:val="21"/>
          <w:szCs w:val="21"/>
          <w:highlight w:val="none"/>
          <w:lang w:eastAsia="zh-CN"/>
        </w:rPr>
      </w:pPr>
    </w:p>
    <w:p>
      <w:pPr>
        <w:spacing w:after="240" w:afterLines="100"/>
        <w:jc w:val="center"/>
        <w:rPr>
          <w:rFonts w:hint="eastAsia" w:ascii="方正小标宋_GBK" w:hAnsi="方正小标宋_GBK" w:eastAsia="方正小标宋_GBK" w:cs="方正小标宋_GBK"/>
          <w:bCs/>
          <w:color w:val="auto"/>
          <w:szCs w:val="21"/>
          <w:highlight w:val="none"/>
        </w:rPr>
      </w:pPr>
      <w:r>
        <w:rPr>
          <w:rFonts w:hint="eastAsia" w:ascii="宋体" w:hAnsi="宋体" w:cs="宋体"/>
          <w:b/>
          <w:bCs w:val="0"/>
          <w:sz w:val="21"/>
          <w:szCs w:val="21"/>
          <w:highlight w:val="none"/>
          <w:lang w:val="en-US" w:eastAsia="zh-CN"/>
        </w:rPr>
        <w:t>6</w:t>
      </w:r>
      <w:r>
        <w:rPr>
          <w:rFonts w:hint="eastAsia" w:ascii="宋体" w:hAnsi="宋体" w:eastAsia="宋体" w:cs="宋体"/>
          <w:b/>
          <w:bCs w:val="0"/>
          <w:sz w:val="21"/>
          <w:szCs w:val="21"/>
          <w:highlight w:val="none"/>
          <w:lang w:eastAsia="zh-CN"/>
        </w:rPr>
        <w:t xml:space="preserve"> 技术支持及服务承诺书</w:t>
      </w:r>
    </w:p>
    <w:p>
      <w:pPr>
        <w:pStyle w:val="34"/>
        <w:keepNext w:val="0"/>
        <w:keepLines w:val="0"/>
        <w:spacing w:before="120" w:beforeLines="50" w:after="120" w:afterLines="50" w:line="500" w:lineRule="exact"/>
        <w:jc w:val="both"/>
        <w:outlineLvl w:val="9"/>
        <w:rPr>
          <w:rFonts w:hint="eastAsia" w:eastAsia="宋体"/>
          <w:b w:val="0"/>
          <w:bCs w:val="0"/>
          <w:color w:val="auto"/>
          <w:sz w:val="21"/>
          <w:szCs w:val="21"/>
          <w:highlight w:val="none"/>
        </w:rPr>
      </w:pPr>
      <w:bookmarkStart w:id="132" w:name="_Toc15630522"/>
      <w:r>
        <w:rPr>
          <w:rFonts w:hint="eastAsia" w:eastAsia="宋体"/>
          <w:b w:val="0"/>
          <w:bCs w:val="0"/>
          <w:color w:val="auto"/>
          <w:sz w:val="21"/>
          <w:szCs w:val="21"/>
          <w:highlight w:val="none"/>
        </w:rPr>
        <w:t>项目名称：</w:t>
      </w:r>
      <w:bookmarkEnd w:id="132"/>
      <w:r>
        <w:rPr>
          <w:rFonts w:hint="eastAsia" w:eastAsia="宋体"/>
          <w:b w:val="0"/>
          <w:bCs w:val="0"/>
          <w:color w:val="auto"/>
          <w:sz w:val="21"/>
          <w:szCs w:val="21"/>
          <w:highlight w:val="none"/>
        </w:rPr>
        <w:t xml:space="preserve">                             </w:t>
      </w:r>
    </w:p>
    <w:p>
      <w:pPr>
        <w:pStyle w:val="34"/>
        <w:keepNext w:val="0"/>
        <w:keepLines w:val="0"/>
        <w:spacing w:before="120" w:beforeLines="50" w:after="120" w:afterLines="50" w:line="500" w:lineRule="exact"/>
        <w:jc w:val="both"/>
        <w:outlineLvl w:val="9"/>
        <w:rPr>
          <w:rFonts w:hint="eastAsia" w:eastAsia="宋体"/>
          <w:b w:val="0"/>
          <w:bCs w:val="0"/>
          <w:color w:val="auto"/>
          <w:sz w:val="21"/>
          <w:szCs w:val="21"/>
          <w:highlight w:val="none"/>
        </w:rPr>
      </w:pPr>
      <w:bookmarkStart w:id="133" w:name="_Toc15630523"/>
      <w:r>
        <w:rPr>
          <w:rFonts w:hint="eastAsia" w:eastAsia="宋体"/>
          <w:b w:val="0"/>
          <w:bCs w:val="0"/>
          <w:color w:val="auto"/>
          <w:sz w:val="21"/>
          <w:szCs w:val="21"/>
          <w:highlight w:val="none"/>
        </w:rPr>
        <w:t>项目编号：</w:t>
      </w:r>
      <w:bookmarkEnd w:id="133"/>
    </w:p>
    <w:tbl>
      <w:tblPr>
        <w:tblStyle w:val="23"/>
        <w:tblW w:w="9193" w:type="dxa"/>
        <w:jc w:val="center"/>
        <w:tblLayout w:type="fixed"/>
        <w:tblCellMar>
          <w:top w:w="0" w:type="dxa"/>
          <w:left w:w="0" w:type="dxa"/>
          <w:bottom w:w="0" w:type="dxa"/>
          <w:right w:w="0" w:type="dxa"/>
        </w:tblCellMar>
      </w:tblPr>
      <w:tblGrid>
        <w:gridCol w:w="625"/>
        <w:gridCol w:w="4221"/>
        <w:gridCol w:w="2547"/>
        <w:gridCol w:w="1800"/>
      </w:tblGrid>
      <w:tr>
        <w:tblPrEx>
          <w:tblCellMar>
            <w:top w:w="0" w:type="dxa"/>
            <w:left w:w="0" w:type="dxa"/>
            <w:bottom w:w="0" w:type="dxa"/>
            <w:right w:w="0" w:type="dxa"/>
          </w:tblCellMar>
        </w:tblPrEx>
        <w:trPr>
          <w:cantSplit/>
          <w:trHeight w:val="737" w:hRule="atLeast"/>
          <w:jc w:val="center"/>
        </w:trPr>
        <w:tc>
          <w:tcPr>
            <w:tcW w:w="625" w:type="dxa"/>
            <w:tcBorders>
              <w:top w:val="single" w:color="auto" w:sz="8" w:space="0"/>
              <w:left w:val="single" w:color="auto" w:sz="8"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4221" w:type="dxa"/>
            <w:tcBorders>
              <w:top w:val="single" w:color="auto" w:sz="8" w:space="0"/>
              <w:left w:val="nil"/>
              <w:bottom w:val="single" w:color="auto" w:sz="8" w:space="0"/>
              <w:right w:val="single" w:color="auto" w:sz="4"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质量保障措施及服务内容</w:t>
            </w:r>
          </w:p>
        </w:tc>
        <w:tc>
          <w:tcPr>
            <w:tcW w:w="2547" w:type="dxa"/>
            <w:tcBorders>
              <w:top w:val="single" w:color="auto" w:sz="8" w:space="0"/>
              <w:left w:val="single" w:color="auto" w:sz="4"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承  诺</w:t>
            </w:r>
          </w:p>
        </w:tc>
        <w:tc>
          <w:tcPr>
            <w:tcW w:w="18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备注</w:t>
            </w:r>
          </w:p>
        </w:tc>
      </w:tr>
      <w:tr>
        <w:tblPrEx>
          <w:tblCellMar>
            <w:top w:w="0" w:type="dxa"/>
            <w:left w:w="0" w:type="dxa"/>
            <w:bottom w:w="0" w:type="dxa"/>
            <w:right w:w="0" w:type="dxa"/>
          </w:tblCellMar>
        </w:tblPrEx>
        <w:trPr>
          <w:cantSplit/>
          <w:trHeight w:val="567" w:hRule="atLeast"/>
          <w:jc w:val="center"/>
        </w:trPr>
        <w:tc>
          <w:tcPr>
            <w:tcW w:w="625" w:type="dxa"/>
            <w:tcBorders>
              <w:top w:val="nil"/>
              <w:left w:val="single" w:color="auto" w:sz="8"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4221" w:type="dxa"/>
            <w:tcBorders>
              <w:top w:val="nil"/>
              <w:left w:val="nil"/>
              <w:bottom w:val="single" w:color="auto" w:sz="8" w:space="0"/>
              <w:right w:val="single" w:color="auto" w:sz="4" w:space="0"/>
            </w:tcBorders>
            <w:noWrap w:val="0"/>
            <w:vAlign w:val="center"/>
          </w:tcPr>
          <w:p>
            <w:pPr>
              <w:widowControl/>
              <w:spacing w:line="540" w:lineRule="exact"/>
              <w:ind w:left="105" w:leftChars="50" w:right="105" w:rightChars="50"/>
              <w:textAlignment w:val="baseline"/>
              <w:rPr>
                <w:rFonts w:hint="eastAsia" w:ascii="宋体" w:hAnsi="宋体"/>
                <w:color w:val="auto"/>
                <w:sz w:val="21"/>
                <w:szCs w:val="21"/>
                <w:highlight w:val="none"/>
              </w:rPr>
            </w:pPr>
            <w:r>
              <w:rPr>
                <w:rFonts w:hint="eastAsia" w:ascii="宋体" w:hAnsi="宋体"/>
                <w:color w:val="auto"/>
                <w:sz w:val="21"/>
                <w:szCs w:val="21"/>
                <w:highlight w:val="none"/>
              </w:rPr>
              <w:t>保修时间及保修范围</w:t>
            </w:r>
          </w:p>
        </w:tc>
        <w:tc>
          <w:tcPr>
            <w:tcW w:w="2547" w:type="dxa"/>
            <w:tcBorders>
              <w:top w:val="nil"/>
              <w:left w:val="single" w:color="auto" w:sz="4"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600" w:hRule="atLeast"/>
          <w:jc w:val="center"/>
        </w:trPr>
        <w:tc>
          <w:tcPr>
            <w:tcW w:w="625" w:type="dxa"/>
            <w:tcBorders>
              <w:top w:val="nil"/>
              <w:left w:val="single" w:color="auto" w:sz="8"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4221" w:type="dxa"/>
            <w:tcBorders>
              <w:top w:val="nil"/>
              <w:left w:val="nil"/>
              <w:bottom w:val="single" w:color="auto" w:sz="8"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有关技术人员现场免费提供安装、调试服务</w:t>
            </w:r>
          </w:p>
        </w:tc>
        <w:tc>
          <w:tcPr>
            <w:tcW w:w="2547" w:type="dxa"/>
            <w:tcBorders>
              <w:top w:val="nil"/>
              <w:left w:val="single" w:color="auto" w:sz="4"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nil"/>
              <w:left w:val="single" w:color="auto" w:sz="8"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4221" w:type="dxa"/>
            <w:tcBorders>
              <w:top w:val="nil"/>
              <w:left w:val="nil"/>
              <w:bottom w:val="single" w:color="auto" w:sz="8"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免费换货期限</w:t>
            </w:r>
          </w:p>
        </w:tc>
        <w:tc>
          <w:tcPr>
            <w:tcW w:w="2547" w:type="dxa"/>
            <w:tcBorders>
              <w:top w:val="nil"/>
              <w:left w:val="single" w:color="auto" w:sz="4"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nil"/>
              <w:left w:val="single" w:color="auto" w:sz="8"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4221" w:type="dxa"/>
            <w:tcBorders>
              <w:top w:val="nil"/>
              <w:left w:val="nil"/>
              <w:bottom w:val="single" w:color="auto" w:sz="8"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免费上门服务期限</w:t>
            </w:r>
          </w:p>
        </w:tc>
        <w:tc>
          <w:tcPr>
            <w:tcW w:w="2547" w:type="dxa"/>
            <w:tcBorders>
              <w:top w:val="nil"/>
              <w:left w:val="single" w:color="auto" w:sz="4"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nil"/>
              <w:left w:val="single" w:color="auto" w:sz="8"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4221" w:type="dxa"/>
            <w:tcBorders>
              <w:top w:val="nil"/>
              <w:left w:val="nil"/>
              <w:bottom w:val="single" w:color="auto" w:sz="8"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质保期内产品故障服务响应时限</w:t>
            </w:r>
          </w:p>
        </w:tc>
        <w:tc>
          <w:tcPr>
            <w:tcW w:w="2547" w:type="dxa"/>
            <w:tcBorders>
              <w:top w:val="nil"/>
              <w:left w:val="single" w:color="auto" w:sz="4" w:space="0"/>
              <w:bottom w:val="single" w:color="auto" w:sz="8"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nil"/>
              <w:left w:val="single" w:color="auto" w:sz="8"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7</w:t>
            </w:r>
          </w:p>
        </w:tc>
        <w:tc>
          <w:tcPr>
            <w:tcW w:w="4221" w:type="dxa"/>
            <w:tcBorders>
              <w:top w:val="nil"/>
              <w:left w:val="nil"/>
              <w:bottom w:val="single" w:color="auto" w:sz="4"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质保期满后的保修服务费用</w:t>
            </w:r>
          </w:p>
        </w:tc>
        <w:tc>
          <w:tcPr>
            <w:tcW w:w="2547" w:type="dxa"/>
            <w:tcBorders>
              <w:top w:val="nil"/>
              <w:left w:val="single" w:color="auto" w:sz="4"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single" w:color="auto" w:sz="4" w:space="0"/>
              <w:left w:val="single" w:color="auto" w:sz="8"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8</w:t>
            </w:r>
          </w:p>
        </w:tc>
        <w:tc>
          <w:tcPr>
            <w:tcW w:w="4221" w:type="dxa"/>
            <w:tcBorders>
              <w:top w:val="single" w:color="auto" w:sz="4" w:space="0"/>
              <w:left w:val="nil"/>
              <w:bottom w:val="single" w:color="auto" w:sz="4"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交货时间</w:t>
            </w:r>
          </w:p>
        </w:tc>
        <w:tc>
          <w:tcPr>
            <w:tcW w:w="2547" w:type="dxa"/>
            <w:tcBorders>
              <w:top w:val="single" w:color="auto" w:sz="4" w:space="0"/>
              <w:left w:val="single" w:color="auto" w:sz="4"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single" w:color="auto" w:sz="4" w:space="0"/>
              <w:left w:val="single" w:color="auto" w:sz="8"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9</w:t>
            </w:r>
          </w:p>
        </w:tc>
        <w:tc>
          <w:tcPr>
            <w:tcW w:w="4221" w:type="dxa"/>
            <w:tcBorders>
              <w:top w:val="single" w:color="auto" w:sz="4" w:space="0"/>
              <w:left w:val="nil"/>
              <w:bottom w:val="single" w:color="auto" w:sz="4"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是否有提供备品备件</w:t>
            </w:r>
          </w:p>
        </w:tc>
        <w:tc>
          <w:tcPr>
            <w:tcW w:w="2547" w:type="dxa"/>
            <w:tcBorders>
              <w:top w:val="single" w:color="auto" w:sz="4" w:space="0"/>
              <w:left w:val="single" w:color="auto" w:sz="4"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single" w:color="auto" w:sz="4" w:space="0"/>
              <w:left w:val="single" w:color="auto" w:sz="8"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10</w:t>
            </w:r>
          </w:p>
        </w:tc>
        <w:tc>
          <w:tcPr>
            <w:tcW w:w="4221" w:type="dxa"/>
            <w:tcBorders>
              <w:top w:val="single" w:color="auto" w:sz="4" w:space="0"/>
              <w:left w:val="nil"/>
              <w:bottom w:val="single" w:color="auto" w:sz="4"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是否有质保期外的服务承诺</w:t>
            </w:r>
          </w:p>
        </w:tc>
        <w:tc>
          <w:tcPr>
            <w:tcW w:w="2547" w:type="dxa"/>
            <w:tcBorders>
              <w:top w:val="single" w:color="auto" w:sz="4" w:space="0"/>
              <w:left w:val="single" w:color="auto" w:sz="4"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single" w:color="auto" w:sz="4" w:space="0"/>
              <w:left w:val="single" w:color="auto" w:sz="8"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11</w:t>
            </w:r>
          </w:p>
        </w:tc>
        <w:tc>
          <w:tcPr>
            <w:tcW w:w="4221" w:type="dxa"/>
            <w:tcBorders>
              <w:top w:val="single" w:color="auto" w:sz="4" w:space="0"/>
              <w:left w:val="nil"/>
              <w:bottom w:val="single" w:color="auto" w:sz="4"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货物品牌是否原装正品</w:t>
            </w:r>
          </w:p>
        </w:tc>
        <w:tc>
          <w:tcPr>
            <w:tcW w:w="2547" w:type="dxa"/>
            <w:tcBorders>
              <w:top w:val="single" w:color="auto" w:sz="4" w:space="0"/>
              <w:left w:val="single" w:color="auto" w:sz="4"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r>
        <w:tblPrEx>
          <w:tblCellMar>
            <w:top w:w="0" w:type="dxa"/>
            <w:left w:w="0" w:type="dxa"/>
            <w:bottom w:w="0" w:type="dxa"/>
            <w:right w:w="0" w:type="dxa"/>
          </w:tblCellMar>
        </w:tblPrEx>
        <w:trPr>
          <w:cantSplit/>
          <w:trHeight w:val="567" w:hRule="atLeast"/>
          <w:jc w:val="center"/>
        </w:trPr>
        <w:tc>
          <w:tcPr>
            <w:tcW w:w="625" w:type="dxa"/>
            <w:tcBorders>
              <w:top w:val="single" w:color="auto" w:sz="4" w:space="0"/>
              <w:left w:val="single" w:color="auto" w:sz="8"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r>
              <w:rPr>
                <w:rFonts w:hint="eastAsia" w:ascii="宋体" w:hAnsi="宋体"/>
                <w:color w:val="auto"/>
                <w:sz w:val="21"/>
                <w:szCs w:val="21"/>
                <w:highlight w:val="none"/>
              </w:rPr>
              <w:t>12</w:t>
            </w:r>
          </w:p>
        </w:tc>
        <w:tc>
          <w:tcPr>
            <w:tcW w:w="4221" w:type="dxa"/>
            <w:tcBorders>
              <w:top w:val="single" w:color="auto" w:sz="4" w:space="0"/>
              <w:left w:val="nil"/>
              <w:bottom w:val="single" w:color="auto" w:sz="4" w:space="0"/>
              <w:right w:val="single" w:color="auto" w:sz="4" w:space="0"/>
            </w:tcBorders>
            <w:noWrap w:val="0"/>
            <w:vAlign w:val="center"/>
          </w:tcPr>
          <w:p>
            <w:pPr>
              <w:widowControl/>
              <w:spacing w:line="54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其他</w:t>
            </w:r>
          </w:p>
        </w:tc>
        <w:tc>
          <w:tcPr>
            <w:tcW w:w="2547" w:type="dxa"/>
            <w:tcBorders>
              <w:top w:val="single" w:color="auto" w:sz="4" w:space="0"/>
              <w:left w:val="single" w:color="auto" w:sz="4" w:space="0"/>
              <w:bottom w:val="single" w:color="auto" w:sz="4" w:space="0"/>
              <w:right w:val="single" w:color="auto" w:sz="8" w:space="0"/>
            </w:tcBorders>
            <w:noWrap w:val="0"/>
            <w:vAlign w:val="center"/>
          </w:tcPr>
          <w:p>
            <w:pPr>
              <w:widowControl/>
              <w:spacing w:line="540" w:lineRule="exact"/>
              <w:jc w:val="center"/>
              <w:rPr>
                <w:rFonts w:hint="eastAsia" w:ascii="宋体" w:hAnsi="宋体"/>
                <w:color w:val="auto"/>
                <w:sz w:val="21"/>
                <w:szCs w:val="21"/>
                <w:highlight w:val="none"/>
              </w:rPr>
            </w:pPr>
          </w:p>
        </w:tc>
        <w:tc>
          <w:tcPr>
            <w:tcW w:w="1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ascii="宋体" w:hAnsi="宋体"/>
                <w:color w:val="auto"/>
                <w:sz w:val="21"/>
                <w:szCs w:val="21"/>
                <w:highlight w:val="none"/>
              </w:rPr>
            </w:pPr>
          </w:p>
        </w:tc>
      </w:tr>
    </w:tbl>
    <w:p>
      <w:pPr>
        <w:snapToGrid w:val="0"/>
        <w:spacing w:line="540" w:lineRule="exact"/>
        <w:rPr>
          <w:rFonts w:hint="eastAsia" w:ascii="宋体" w:hAnsi="宋体"/>
          <w:color w:val="auto"/>
          <w:sz w:val="21"/>
          <w:szCs w:val="21"/>
          <w:highlight w:val="none"/>
        </w:rPr>
      </w:pPr>
    </w:p>
    <w:p>
      <w:pPr>
        <w:snapToGrid w:val="0"/>
        <w:spacing w:line="540" w:lineRule="exact"/>
        <w:rPr>
          <w:rFonts w:hint="eastAsia" w:ascii="宋体" w:hAnsi="宋体"/>
          <w:color w:val="auto"/>
          <w:sz w:val="21"/>
          <w:szCs w:val="21"/>
          <w:highlight w:val="none"/>
        </w:rPr>
      </w:pPr>
      <w:r>
        <w:rPr>
          <w:rFonts w:hint="eastAsia" w:ascii="宋体" w:hAnsi="宋体"/>
          <w:color w:val="auto"/>
          <w:sz w:val="21"/>
          <w:szCs w:val="21"/>
          <w:highlight w:val="none"/>
        </w:rPr>
        <w:t>投标人（</w:t>
      </w:r>
      <w:r>
        <w:rPr>
          <w:rFonts w:hint="eastAsia" w:ascii="宋体" w:hAnsi="宋体" w:eastAsia="宋体" w:cs="宋体"/>
          <w:color w:val="auto"/>
          <w:sz w:val="21"/>
          <w:szCs w:val="21"/>
          <w:highlight w:val="none"/>
        </w:rPr>
        <w:t>电子签章</w:t>
      </w:r>
      <w:r>
        <w:rPr>
          <w:rFonts w:hint="eastAsia" w:ascii="宋体" w:hAnsi="宋体"/>
          <w:color w:val="auto"/>
          <w:sz w:val="21"/>
          <w:szCs w:val="21"/>
          <w:highlight w:val="none"/>
        </w:rPr>
        <w:t>）：</w:t>
      </w:r>
    </w:p>
    <w:p>
      <w:pPr>
        <w:snapToGrid w:val="0"/>
        <w:spacing w:line="54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法定代表人或其授权代表人（签字或盖章）：                                   </w:t>
      </w:r>
    </w:p>
    <w:p>
      <w:pPr>
        <w:autoSpaceDE w:val="0"/>
        <w:autoSpaceDN w:val="0"/>
        <w:adjustRightInd w:val="0"/>
        <w:snapToGrid w:val="0"/>
        <w:spacing w:line="540" w:lineRule="exact"/>
        <w:rPr>
          <w:rFonts w:hint="eastAsia" w:ascii="宋体" w:hAnsi="宋体"/>
          <w:color w:val="auto"/>
          <w:sz w:val="21"/>
          <w:szCs w:val="21"/>
          <w:highlight w:val="none"/>
        </w:rPr>
      </w:pPr>
      <w:r>
        <w:rPr>
          <w:rFonts w:hint="eastAsia" w:ascii="宋体" w:hAnsi="宋体"/>
          <w:color w:val="auto"/>
          <w:sz w:val="21"/>
          <w:szCs w:val="21"/>
          <w:highlight w:val="none"/>
        </w:rPr>
        <w:t>日期：</w:t>
      </w:r>
    </w:p>
    <w:p>
      <w:pPr>
        <w:pStyle w:val="11"/>
        <w:keepNext w:val="0"/>
        <w:keepLines w:val="0"/>
        <w:pageBreakBefore w:val="0"/>
        <w:kinsoku/>
        <w:overflowPunct/>
        <w:topLinePunct w:val="0"/>
        <w:bidi w:val="0"/>
        <w:spacing w:line="312" w:lineRule="auto"/>
        <w:ind w:left="0" w:leftChars="0" w:firstLine="11466" w:firstLineChars="1904"/>
        <w:textAlignment w:val="auto"/>
        <w:rPr>
          <w:rFonts w:hint="eastAsia" w:ascii="宋体" w:hAnsi="宋体" w:cs="宋体"/>
          <w:color w:val="auto"/>
          <w:szCs w:val="21"/>
          <w:highlight w:val="none"/>
        </w:rPr>
      </w:pPr>
    </w:p>
    <w:p>
      <w:pPr>
        <w:pStyle w:val="11"/>
        <w:keepNext w:val="0"/>
        <w:keepLines w:val="0"/>
        <w:pageBreakBefore w:val="0"/>
        <w:kinsoku/>
        <w:overflowPunct/>
        <w:topLinePunct w:val="0"/>
        <w:bidi w:val="0"/>
        <w:spacing w:line="312" w:lineRule="auto"/>
        <w:ind w:left="0" w:leftChars="0" w:firstLine="11466" w:firstLineChars="1904"/>
        <w:textAlignment w:val="auto"/>
        <w:rPr>
          <w:rFonts w:hint="eastAsia" w:ascii="宋体" w:hAnsi="宋体" w:cs="宋体"/>
          <w:color w:val="auto"/>
          <w:szCs w:val="21"/>
          <w:highlight w:val="none"/>
        </w:rPr>
        <w:sectPr>
          <w:pgSz w:w="11906" w:h="16838"/>
          <w:pgMar w:top="1389" w:right="1417" w:bottom="1389" w:left="1134" w:header="851" w:footer="992" w:gutter="283"/>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方正小标宋_GBK" w:hAnsi="方正小标宋_GBK" w:eastAsia="方正小标宋_GBK" w:cs="方正小标宋_GBK"/>
          <w:bCs/>
          <w:color w:val="auto"/>
          <w:szCs w:val="21"/>
          <w:highlight w:val="none"/>
        </w:rPr>
      </w:pPr>
      <w:r>
        <w:rPr>
          <w:rFonts w:hint="eastAsia" w:ascii="宋体" w:hAnsi="宋体" w:cs="宋体"/>
          <w:b/>
          <w:bCs w:val="0"/>
          <w:sz w:val="21"/>
          <w:szCs w:val="21"/>
          <w:highlight w:val="none"/>
          <w:lang w:val="en-US" w:eastAsia="zh-CN"/>
        </w:rPr>
        <w:t>7</w:t>
      </w:r>
      <w:r>
        <w:rPr>
          <w:rFonts w:hint="eastAsia" w:ascii="宋体" w:hAnsi="宋体" w:eastAsia="宋体" w:cs="宋体"/>
          <w:b/>
          <w:bCs w:val="0"/>
          <w:sz w:val="21"/>
          <w:szCs w:val="21"/>
          <w:highlight w:val="none"/>
          <w:lang w:val="en-US" w:eastAsia="zh-CN"/>
        </w:rPr>
        <w:t xml:space="preserve"> 投标人的类似成功案例的业绩证明文件</w:t>
      </w:r>
    </w:p>
    <w:tbl>
      <w:tblPr>
        <w:tblStyle w:val="23"/>
        <w:tblW w:w="150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5"/>
        <w:gridCol w:w="2654"/>
        <w:gridCol w:w="3420"/>
        <w:gridCol w:w="1080"/>
        <w:gridCol w:w="1080"/>
        <w:gridCol w:w="1440"/>
        <w:gridCol w:w="2160"/>
        <w:gridCol w:w="25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采购单位名称</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项目名称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采购</w:t>
            </w:r>
          </w:p>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合同金额</w:t>
            </w:r>
          </w:p>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（万元）</w:t>
            </w:r>
          </w:p>
        </w:tc>
        <w:tc>
          <w:tcPr>
            <w:tcW w:w="216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是否提供合同复印件</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采购单位联系人</w:t>
            </w:r>
          </w:p>
          <w:p>
            <w:pPr>
              <w:keepNext w:val="0"/>
              <w:keepLines w:val="0"/>
              <w:pageBreakBefore w:val="0"/>
              <w:widowControl/>
              <w:kinsoku/>
              <w:overflowPunct/>
              <w:topLinePunct w:val="0"/>
              <w:bidi w:val="0"/>
              <w:spacing w:line="312" w:lineRule="auto"/>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1</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3</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4</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宋体" w:hAnsi="宋体" w:cs="宋体"/>
                <w:color w:val="auto"/>
                <w:szCs w:val="21"/>
                <w:highlight w:val="none"/>
              </w:rPr>
            </w:pPr>
          </w:p>
        </w:tc>
      </w:tr>
    </w:tbl>
    <w:p>
      <w:pPr>
        <w:keepNext w:val="0"/>
        <w:keepLines w:val="0"/>
        <w:pageBreakBefore w:val="0"/>
        <w:widowControl/>
        <w:kinsoku/>
        <w:overflowPunct/>
        <w:topLinePunct w:val="0"/>
        <w:bidi w:val="0"/>
        <w:spacing w:line="312" w:lineRule="auto"/>
        <w:textAlignment w:val="auto"/>
        <w:rPr>
          <w:rFonts w:hint="eastAsia" w:ascii="宋体" w:hAnsi="宋体" w:cs="宋体"/>
          <w:color w:val="auto"/>
          <w:szCs w:val="21"/>
          <w:highlight w:val="none"/>
        </w:rPr>
      </w:pP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rPr>
        <w:t>电子签章</w:t>
      </w:r>
      <w:r>
        <w:rPr>
          <w:rFonts w:hint="eastAsia" w:ascii="宋体" w:hAnsi="宋体" w:cs="宋体"/>
          <w:color w:val="auto"/>
          <w:szCs w:val="21"/>
          <w:highlight w:val="none"/>
        </w:rPr>
        <w:t xml:space="preserve">）：                              </w:t>
      </w: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auto"/>
          <w:szCs w:val="21"/>
          <w:highlight w:val="none"/>
        </w:rPr>
      </w:pP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auto"/>
          <w:szCs w:val="21"/>
          <w:highlight w:val="none"/>
        </w:rPr>
      </w:pPr>
      <w:r>
        <w:rPr>
          <w:rFonts w:hint="eastAsia" w:ascii="宋体" w:hAnsi="宋体" w:cs="宋体"/>
          <w:color w:val="auto"/>
          <w:szCs w:val="21"/>
          <w:highlight w:val="none"/>
        </w:rPr>
        <w:t>法定代表人或授权代表人（签字</w:t>
      </w:r>
      <w:r>
        <w:rPr>
          <w:rFonts w:hint="eastAsia" w:ascii="宋体" w:hAnsi="宋体" w:cs="宋体"/>
          <w:color w:val="auto"/>
          <w:szCs w:val="21"/>
          <w:highlight w:val="none"/>
          <w:lang w:val="en-US" w:eastAsia="zh-CN"/>
        </w:rPr>
        <w:t>或盖章</w:t>
      </w:r>
      <w:r>
        <w:rPr>
          <w:rFonts w:hint="eastAsia" w:ascii="宋体" w:hAnsi="宋体" w:cs="宋体"/>
          <w:color w:val="auto"/>
          <w:szCs w:val="21"/>
          <w:highlight w:val="none"/>
        </w:rPr>
        <w:t xml:space="preserve">）：                              </w:t>
      </w: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auto"/>
          <w:szCs w:val="21"/>
          <w:highlight w:val="none"/>
        </w:rPr>
      </w:pP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日  期：        </w:t>
      </w:r>
      <w:r>
        <w:rPr>
          <w:rFonts w:hint="default" w:ascii="宋体" w:hAnsi="宋体" w:cs="宋体"/>
          <w:color w:val="auto"/>
          <w:szCs w:val="21"/>
          <w:highlight w:val="none"/>
        </w:rPr>
        <w:t xml:space="preserve"> </w:t>
      </w:r>
      <w:r>
        <w:rPr>
          <w:rFonts w:hint="eastAsia" w:ascii="宋体" w:hAnsi="宋体" w:cs="宋体"/>
          <w:color w:val="auto"/>
          <w:szCs w:val="21"/>
          <w:highlight w:val="none"/>
        </w:rPr>
        <w:t xml:space="preserve">                     </w:t>
      </w:r>
    </w:p>
    <w:p>
      <w:pPr>
        <w:pStyle w:val="32"/>
        <w:keepNext w:val="0"/>
        <w:keepLines w:val="0"/>
        <w:pageBreakBefore w:val="0"/>
        <w:kinsoku/>
        <w:wordWrap w:val="0"/>
        <w:overflowPunct/>
        <w:topLinePunct w:val="0"/>
        <w:bidi w:val="0"/>
        <w:spacing w:line="312" w:lineRule="auto"/>
        <w:ind w:firstLine="0" w:firstLineChars="0"/>
        <w:jc w:val="right"/>
        <w:textAlignment w:val="auto"/>
        <w:rPr>
          <w:rFonts w:hint="eastAsia" w:ascii="宋体" w:eastAsia="宋体" w:cs="宋体"/>
          <w:color w:val="auto"/>
          <w:sz w:val="21"/>
          <w:szCs w:val="21"/>
          <w:highlight w:val="none"/>
        </w:rPr>
        <w:sectPr>
          <w:pgSz w:w="16838" w:h="11906" w:orient="landscape"/>
          <w:pgMar w:top="1134" w:right="1389" w:bottom="1417" w:left="1389" w:header="851" w:footer="992" w:gutter="283"/>
          <w:pgBorders>
            <w:top w:val="none" w:sz="0" w:space="0"/>
            <w:left w:val="none" w:sz="0" w:space="0"/>
            <w:bottom w:val="none" w:sz="0" w:space="0"/>
            <w:right w:val="none" w:sz="0" w:space="0"/>
          </w:pgBorders>
          <w:pgNumType w:fmt="decimal"/>
          <w:cols w:space="720" w:num="1"/>
          <w:docGrid w:linePitch="312" w:charSpace="0"/>
        </w:sectPr>
      </w:pPr>
      <w:r>
        <w:rPr>
          <w:rFonts w:hint="eastAsia" w:asci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
          <w:bCs w:val="0"/>
          <w:sz w:val="21"/>
          <w:szCs w:val="21"/>
          <w:highlight w:val="none"/>
          <w:lang w:val="en-US" w:eastAsia="zh-CN"/>
        </w:rPr>
      </w:pPr>
      <w:r>
        <w:rPr>
          <w:rFonts w:hint="eastAsia" w:ascii="宋体" w:hAnsi="宋体" w:cs="宋体"/>
          <w:b/>
          <w:bCs w:val="0"/>
          <w:sz w:val="21"/>
          <w:szCs w:val="21"/>
          <w:highlight w:val="none"/>
          <w:lang w:val="en-US" w:eastAsia="zh-CN"/>
        </w:rPr>
        <w:t>8</w:t>
      </w:r>
      <w:r>
        <w:rPr>
          <w:rFonts w:hint="eastAsia" w:ascii="宋体" w:hAnsi="宋体" w:eastAsia="宋体" w:cs="宋体"/>
          <w:b/>
          <w:bCs w:val="0"/>
          <w:sz w:val="21"/>
          <w:szCs w:val="21"/>
          <w:highlight w:val="none"/>
          <w:lang w:val="en-US" w:eastAsia="zh-CN"/>
        </w:rPr>
        <w:t xml:space="preserve"> </w:t>
      </w:r>
      <w:r>
        <w:rPr>
          <w:rFonts w:hint="eastAsia" w:ascii="宋体" w:hAnsi="宋体" w:cs="宋体"/>
          <w:b/>
          <w:bCs w:val="0"/>
          <w:sz w:val="21"/>
          <w:szCs w:val="21"/>
          <w:highlight w:val="none"/>
          <w:lang w:val="en-US" w:eastAsia="zh-CN"/>
        </w:rPr>
        <w:t>商务</w:t>
      </w:r>
      <w:r>
        <w:rPr>
          <w:rFonts w:hint="eastAsia" w:ascii="宋体" w:hAnsi="宋体" w:eastAsia="宋体" w:cs="宋体"/>
          <w:b/>
          <w:bCs w:val="0"/>
          <w:sz w:val="21"/>
          <w:szCs w:val="21"/>
          <w:highlight w:val="none"/>
          <w:lang w:val="en-US" w:eastAsia="zh-CN"/>
        </w:rPr>
        <w:t>技术偏离说明表</w:t>
      </w:r>
    </w:p>
    <w:p>
      <w:pPr>
        <w:pStyle w:val="2"/>
        <w:rPr>
          <w:rFonts w:hint="eastAsia"/>
          <w:highlight w:val="none"/>
          <w:lang w:val="en-US" w:eastAsia="zh-CN"/>
        </w:rPr>
      </w:pPr>
    </w:p>
    <w:tbl>
      <w:tblPr>
        <w:tblStyle w:val="2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364"/>
        <w:gridCol w:w="872"/>
        <w:gridCol w:w="3225"/>
        <w:gridCol w:w="313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409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招标文件章节及具体内容</w:t>
            </w: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投标文件章节及具体内容</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409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409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409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23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货物名称/型号</w:t>
            </w:r>
          </w:p>
        </w:tc>
        <w:tc>
          <w:tcPr>
            <w:tcW w:w="32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招标文件章节及具体内容</w:t>
            </w: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投标文件章节及具体内容</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3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2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3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2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23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2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31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center"/>
              <w:rPr>
                <w:rFonts w:hint="eastAsia" w:ascii="宋体" w:hAnsi="宋体" w:eastAsia="宋体" w:cs="宋体"/>
                <w:b/>
                <w:color w:val="auto"/>
                <w:kern w:val="0"/>
                <w:sz w:val="21"/>
                <w:szCs w:val="21"/>
                <w:highlight w:val="none"/>
              </w:rPr>
            </w:pPr>
          </w:p>
        </w:tc>
      </w:tr>
    </w:tbl>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投标人保证：除商务技术偏离表列出的偏离外，投标人响应招标文件的全部要求。有佐证材料的请标明佐证材料页码。</w:t>
      </w:r>
    </w:p>
    <w:p>
      <w:pPr>
        <w:spacing w:line="360" w:lineRule="auto"/>
        <w:jc w:val="center"/>
        <w:rPr>
          <w:rFonts w:hint="eastAsia" w:ascii="宋体" w:hAnsi="宋体" w:eastAsia="宋体" w:cs="宋体"/>
          <w:b/>
          <w:color w:val="auto"/>
          <w:kern w:val="0"/>
          <w:sz w:val="21"/>
          <w:szCs w:val="21"/>
          <w:highlight w:val="none"/>
        </w:rPr>
      </w:pPr>
    </w:p>
    <w:p>
      <w:pPr>
        <w:spacing w:line="360" w:lineRule="auto"/>
        <w:ind w:right="420" w:rightChars="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注：按本格式和要求提供。</w:t>
      </w:r>
    </w:p>
    <w:p>
      <w:pPr>
        <w:keepNext w:val="0"/>
        <w:keepLines w:val="0"/>
        <w:pageBreakBefore w:val="0"/>
        <w:kinsoku/>
        <w:overflowPunct/>
        <w:topLinePunct w:val="0"/>
        <w:bidi w:val="0"/>
        <w:adjustRightInd w:val="0"/>
        <w:snapToGrid w:val="0"/>
        <w:spacing w:line="312" w:lineRule="auto"/>
        <w:ind w:left="482" w:hanging="482"/>
        <w:jc w:val="left"/>
        <w:textAlignment w:val="auto"/>
        <w:rPr>
          <w:rFonts w:hint="eastAsia" w:ascii="宋体" w:hAnsi="宋体" w:cs="宋体"/>
          <w:color w:val="auto"/>
          <w:szCs w:val="21"/>
          <w:highlight w:val="none"/>
        </w:rPr>
      </w:pPr>
    </w:p>
    <w:p>
      <w:pPr>
        <w:pStyle w:val="11"/>
        <w:keepNext w:val="0"/>
        <w:keepLines w:val="0"/>
        <w:pageBreakBefore w:val="0"/>
        <w:kinsoku/>
        <w:overflowPunct/>
        <w:topLinePunct w:val="0"/>
        <w:bidi w:val="0"/>
        <w:spacing w:line="312" w:lineRule="auto"/>
        <w:textAlignment w:val="auto"/>
        <w:rPr>
          <w:rFonts w:hint="eastAsia"/>
          <w:color w:val="auto"/>
          <w:highlight w:val="none"/>
        </w:rPr>
      </w:pP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rPr>
        <w:t>电子签章</w:t>
      </w:r>
      <w:r>
        <w:rPr>
          <w:rFonts w:hint="eastAsia" w:ascii="宋体" w:hAnsi="宋体" w:cs="宋体"/>
          <w:color w:val="auto"/>
          <w:szCs w:val="21"/>
          <w:highlight w:val="none"/>
        </w:rPr>
        <w:t xml:space="preserve">）：                      </w:t>
      </w: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auto"/>
          <w:szCs w:val="21"/>
          <w:highlight w:val="none"/>
        </w:rPr>
      </w:pPr>
      <w:r>
        <w:rPr>
          <w:rFonts w:hint="eastAsia" w:ascii="宋体" w:hAnsi="宋体" w:cs="宋体"/>
          <w:color w:val="auto"/>
          <w:szCs w:val="21"/>
          <w:highlight w:val="none"/>
        </w:rPr>
        <w:t>法定代表人或授权代表人（签字</w:t>
      </w:r>
      <w:r>
        <w:rPr>
          <w:rFonts w:hint="eastAsia" w:ascii="宋体" w:hAnsi="宋体" w:cs="宋体"/>
          <w:color w:val="auto"/>
          <w:szCs w:val="21"/>
          <w:highlight w:val="none"/>
          <w:lang w:val="en-US" w:eastAsia="zh-CN"/>
        </w:rPr>
        <w:t>或盖章</w:t>
      </w:r>
      <w:r>
        <w:rPr>
          <w:rFonts w:hint="eastAsia" w:ascii="宋体" w:hAnsi="宋体" w:cs="宋体"/>
          <w:color w:val="auto"/>
          <w:szCs w:val="21"/>
          <w:highlight w:val="none"/>
        </w:rPr>
        <w:t xml:space="preserve">）：                      </w:t>
      </w:r>
    </w:p>
    <w:p>
      <w:pPr>
        <w:pStyle w:val="14"/>
        <w:spacing w:line="312" w:lineRule="auto"/>
        <w:ind w:firstLine="5880" w:firstLineChars="2800"/>
        <w:rPr>
          <w:rFonts w:hint="eastAsia" w:ascii="宋体" w:hAnsi="宋体" w:eastAsia="宋体" w:cs="宋体"/>
          <w:b/>
          <w:bCs/>
          <w:szCs w:val="21"/>
          <w:highlight w:val="none"/>
        </w:rPr>
      </w:pP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期</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w:t>
      </w:r>
    </w:p>
    <w:p>
      <w:pPr>
        <w:pStyle w:val="14"/>
        <w:spacing w:line="312" w:lineRule="auto"/>
        <w:ind w:firstLine="630" w:firstLineChars="300"/>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wordWrap w:val="0"/>
        <w:spacing w:line="528" w:lineRule="auto"/>
        <w:jc w:val="right"/>
        <w:rPr>
          <w:rFonts w:hint="eastAsia" w:ascii="宋体" w:hAnsi="宋体" w:eastAsia="宋体" w:cs="宋体"/>
          <w:szCs w:val="21"/>
          <w:highlight w:val="none"/>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四、报价文件</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both"/>
        <w:textAlignment w:val="auto"/>
        <w:outlineLvl w:val="0"/>
        <w:rPr>
          <w:rFonts w:hint="eastAsia" w:ascii="宋体" w:hAnsi="宋体" w:eastAsia="宋体" w:cs="宋体"/>
          <w:b/>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目录</w:t>
      </w:r>
    </w:p>
    <w:p>
      <w:pPr>
        <w:spacing w:line="360" w:lineRule="auto"/>
        <w:jc w:val="center"/>
        <w:outlineLvl w:val="0"/>
        <w:rPr>
          <w:rFonts w:hint="eastAsia" w:ascii="仿宋" w:hAnsi="仿宋" w:eastAsia="仿宋" w:cs="仿宋"/>
          <w:b/>
          <w:color w:val="auto"/>
          <w:kern w:val="0"/>
          <w:sz w:val="36"/>
          <w:szCs w:val="36"/>
          <w:highlight w:val="none"/>
        </w:rPr>
      </w:pPr>
    </w:p>
    <w:p>
      <w:pPr>
        <w:pStyle w:val="12"/>
        <w:numPr>
          <w:ilvl w:val="0"/>
          <w:numId w:val="0"/>
        </w:num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开标一览表（报价表）………………………………………………………（页码）</w:t>
      </w:r>
    </w:p>
    <w:p>
      <w:pPr>
        <w:pStyle w:val="12"/>
        <w:numPr>
          <w:ilvl w:val="0"/>
          <w:numId w:val="0"/>
        </w:numP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投标设备报价</w:t>
      </w:r>
      <w:r>
        <w:rPr>
          <w:rFonts w:hint="eastAsia" w:ascii="宋体" w:hAnsi="宋体" w:eastAsia="宋体" w:cs="宋体"/>
          <w:b w:val="0"/>
          <w:bCs w:val="0"/>
          <w:color w:val="auto"/>
          <w:sz w:val="21"/>
          <w:szCs w:val="21"/>
          <w:highlight w:val="none"/>
          <w:lang w:val="en-US" w:eastAsia="zh-CN"/>
        </w:rPr>
        <w:t>明细表</w:t>
      </w:r>
      <w:r>
        <w:rPr>
          <w:rFonts w:hint="eastAsia" w:ascii="宋体" w:hAnsi="宋体" w:eastAsia="宋体" w:cs="宋体"/>
          <w:b w:val="0"/>
          <w:bCs w:val="0"/>
          <w:color w:val="auto"/>
          <w:sz w:val="21"/>
          <w:szCs w:val="21"/>
          <w:highlight w:val="none"/>
        </w:rPr>
        <w:t>…………………………………………………………（页码）</w:t>
      </w:r>
    </w:p>
    <w:p>
      <w:pPr>
        <w:pStyle w:val="12"/>
        <w:numPr>
          <w:ilvl w:val="0"/>
          <w:numId w:val="0"/>
        </w:num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（3）投标廉洁承诺书</w:t>
      </w:r>
      <w:r>
        <w:rPr>
          <w:rFonts w:hint="eastAsia" w:ascii="宋体" w:hAnsi="宋体" w:eastAsia="宋体" w:cs="宋体"/>
          <w:b w:val="0"/>
          <w:bCs w:val="0"/>
          <w:color w:val="auto"/>
          <w:sz w:val="21"/>
          <w:szCs w:val="21"/>
          <w:highlight w:val="none"/>
        </w:rPr>
        <w:t>………………………………………………………………（页码）</w:t>
      </w: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pStyle w:val="3"/>
        <w:rPr>
          <w:rFonts w:hint="eastAsia" w:ascii="宋体" w:hAnsi="宋体" w:eastAsia="宋体" w:cs="宋体"/>
          <w:b/>
          <w:bCs w:val="0"/>
          <w:sz w:val="21"/>
          <w:szCs w:val="21"/>
          <w:highlight w:val="none"/>
          <w:lang w:val="en-US" w:eastAsia="zh-CN"/>
        </w:rPr>
      </w:pPr>
    </w:p>
    <w:p>
      <w:pPr>
        <w:rPr>
          <w:rFonts w:hint="eastAsia" w:ascii="宋体" w:hAnsi="宋体" w:eastAsia="宋体" w:cs="宋体"/>
          <w:b/>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1 开标一览表</w:t>
      </w:r>
    </w:p>
    <w:p>
      <w:pPr>
        <w:pStyle w:val="14"/>
        <w:keepNext w:val="0"/>
        <w:keepLines w:val="0"/>
        <w:pageBreakBefore w:val="0"/>
        <w:kinsoku/>
        <w:overflowPunct/>
        <w:topLinePunct w:val="0"/>
        <w:bidi w:val="0"/>
        <w:spacing w:line="312" w:lineRule="auto"/>
        <w:textAlignment w:val="auto"/>
        <w:rPr>
          <w:rFonts w:hint="eastAsia" w:hAnsi="宋体" w:cs="宋体"/>
          <w:color w:val="000000" w:themeColor="text1"/>
          <w:szCs w:val="21"/>
          <w:highlight w:val="none"/>
          <w14:textFill>
            <w14:solidFill>
              <w14:schemeClr w14:val="tx1"/>
            </w14:solidFill>
          </w14:textFill>
        </w:rPr>
      </w:pPr>
    </w:p>
    <w:p>
      <w:pPr>
        <w:pStyle w:val="14"/>
        <w:keepNext w:val="0"/>
        <w:keepLines w:val="0"/>
        <w:pageBreakBefore w:val="0"/>
        <w:kinsoku/>
        <w:overflowPunct/>
        <w:topLinePunct w:val="0"/>
        <w:bidi w:val="0"/>
        <w:spacing w:line="312" w:lineRule="auto"/>
        <w:ind w:firstLine="420" w:firstLineChars="200"/>
        <w:textAlignment w:val="auto"/>
        <w:rPr>
          <w:rFonts w:hint="eastAsia" w:ascii="黑体" w:hAnsi="黑体" w:eastAsia="黑体" w:cs="黑体"/>
          <w:b w:val="0"/>
          <w:bCs/>
          <w:color w:val="000000" w:themeColor="text1"/>
          <w:szCs w:val="21"/>
          <w:highlight w:val="none"/>
          <w14:textFill>
            <w14:solidFill>
              <w14:schemeClr w14:val="tx1"/>
            </w14:solidFill>
          </w14:textFill>
        </w:rPr>
      </w:pPr>
      <w:r>
        <w:rPr>
          <w:rFonts w:hint="eastAsia" w:ascii="黑体" w:hAnsi="黑体" w:eastAsia="黑体" w:cs="黑体"/>
          <w:b w:val="0"/>
          <w:bCs/>
          <w:color w:val="000000" w:themeColor="text1"/>
          <w:szCs w:val="21"/>
          <w:highlight w:val="none"/>
          <w14:textFill>
            <w14:solidFill>
              <w14:schemeClr w14:val="tx1"/>
            </w14:solidFill>
          </w14:textFill>
        </w:rPr>
        <w:t>项目名称：</w:t>
      </w:r>
    </w:p>
    <w:p>
      <w:pPr>
        <w:pStyle w:val="14"/>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hAnsi="宋体" w:cs="宋体"/>
          <w:b w:val="0"/>
          <w:bCs/>
          <w:color w:val="000000" w:themeColor="text1"/>
          <w:szCs w:val="21"/>
          <w:highlight w:val="none"/>
          <w14:textFill>
            <w14:solidFill>
              <w14:schemeClr w14:val="tx1"/>
            </w14:solidFill>
          </w14:textFill>
        </w:rPr>
      </w:pPr>
      <w:r>
        <w:rPr>
          <w:rFonts w:hint="eastAsia" w:ascii="黑体" w:hAnsi="黑体" w:eastAsia="黑体" w:cs="黑体"/>
          <w:b w:val="0"/>
          <w:bCs/>
          <w:color w:val="000000" w:themeColor="text1"/>
          <w:szCs w:val="21"/>
          <w:highlight w:val="none"/>
          <w14:textFill>
            <w14:solidFill>
              <w14:schemeClr w14:val="tx1"/>
            </w14:solidFill>
          </w14:textFill>
        </w:rPr>
        <w:t>招标编号：</w:t>
      </w:r>
      <w:r>
        <w:rPr>
          <w:rFonts w:hint="eastAsia" w:hAnsi="宋体" w:cs="宋体"/>
          <w:b w:val="0"/>
          <w:bCs/>
          <w:color w:val="000000" w:themeColor="text1"/>
          <w:szCs w:val="21"/>
          <w:highlight w:val="none"/>
          <w14:textFill>
            <w14:solidFill>
              <w14:schemeClr w14:val="tx1"/>
            </w14:solidFill>
          </w14:textFill>
        </w:rPr>
        <w:t xml:space="preserve">                                                            单位：元</w:t>
      </w:r>
    </w:p>
    <w:tbl>
      <w:tblPr>
        <w:tblStyle w:val="2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2520"/>
        <w:gridCol w:w="36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58" w:hRule="atLeast"/>
        </w:trPr>
        <w:tc>
          <w:tcPr>
            <w:tcW w:w="86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left="-2" w:leftChars="-1"/>
              <w:rPr>
                <w:rFonts w:hint="eastAsia" w:ascii="宋体" w:hAnsi="宋体"/>
                <w:sz w:val="21"/>
                <w:szCs w:val="21"/>
                <w:highlight w:val="none"/>
              </w:rPr>
            </w:pPr>
            <w:r>
              <w:rPr>
                <w:rFonts w:ascii="宋体" w:hAnsi="宋体"/>
                <w:sz w:val="21"/>
                <w:szCs w:val="21"/>
                <w:highlight w:val="none"/>
              </w:rPr>
              <w:t>说明：</w:t>
            </w:r>
          </w:p>
          <w:p>
            <w:pPr>
              <w:spacing w:line="360" w:lineRule="auto"/>
              <w:ind w:left="-2" w:leftChars="-1" w:firstLine="420" w:firstLineChars="200"/>
              <w:rPr>
                <w:rFonts w:ascii="宋体" w:hAnsi="宋体"/>
                <w:sz w:val="21"/>
                <w:szCs w:val="21"/>
                <w:highlight w:val="none"/>
              </w:rPr>
            </w:pPr>
            <w:r>
              <w:rPr>
                <w:rFonts w:hint="eastAsia" w:ascii="宋体" w:hAnsi="宋体"/>
                <w:sz w:val="21"/>
                <w:szCs w:val="21"/>
                <w:highlight w:val="none"/>
              </w:rPr>
              <w:t>有关本项目实施所需的设备购置费、运输费、安装调试费、售后服务及维护费、税金等所涉及的一切费用均计入报价。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highlight w:val="none"/>
              </w:rPr>
            </w:pPr>
            <w:r>
              <w:rPr>
                <w:rFonts w:hint="eastAsia" w:ascii="宋体" w:hAnsi="宋体"/>
                <w:sz w:val="21"/>
                <w:szCs w:val="21"/>
                <w:highlight w:val="none"/>
              </w:rPr>
              <w:t>序号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1"/>
                <w:szCs w:val="21"/>
                <w:highlight w:val="none"/>
              </w:rPr>
            </w:pPr>
            <w:r>
              <w:rPr>
                <w:rFonts w:hint="eastAsia" w:ascii="宋体" w:hAnsi="宋体"/>
                <w:sz w:val="21"/>
                <w:szCs w:val="21"/>
                <w:highlight w:val="none"/>
              </w:rPr>
              <w:t>名称</w:t>
            </w:r>
          </w:p>
        </w:tc>
        <w:tc>
          <w:tcPr>
            <w:tcW w:w="3600"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sz w:val="21"/>
                <w:szCs w:val="21"/>
                <w:highlight w:val="none"/>
              </w:rPr>
            </w:pPr>
            <w:r>
              <w:rPr>
                <w:rFonts w:hint="eastAsia" w:ascii="宋体" w:hAnsi="宋体"/>
                <w:sz w:val="21"/>
                <w:szCs w:val="21"/>
                <w:highlight w:val="none"/>
              </w:rPr>
              <w:t>内容</w:t>
            </w:r>
          </w:p>
        </w:tc>
        <w:tc>
          <w:tcPr>
            <w:tcW w:w="1440" w:type="dxa"/>
            <w:tcBorders>
              <w:top w:val="single" w:color="auto" w:sz="4" w:space="0"/>
              <w:left w:val="single" w:color="auto" w:sz="8" w:space="0"/>
              <w:bottom w:val="single" w:color="auto" w:sz="4" w:space="0"/>
              <w:right w:val="single" w:color="auto" w:sz="4" w:space="0"/>
            </w:tcBorders>
            <w:noWrap w:val="0"/>
            <w:vAlign w:val="center"/>
          </w:tcPr>
          <w:p>
            <w:pPr>
              <w:jc w:val="center"/>
              <w:rPr>
                <w:rFonts w:hint="eastAsia" w:ascii="宋体" w:hAnsi="宋体"/>
                <w:sz w:val="21"/>
                <w:szCs w:val="21"/>
                <w:highlight w:val="none"/>
              </w:rPr>
            </w:pPr>
            <w:r>
              <w:rPr>
                <w:rFonts w:hint="eastAsia" w:ascii="宋体"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2" w:hRule="atLeast"/>
        </w:trPr>
        <w:tc>
          <w:tcPr>
            <w:tcW w:w="1080" w:type="dxa"/>
            <w:vMerge w:val="restart"/>
            <w:tcBorders>
              <w:top w:val="single" w:color="auto" w:sz="4" w:space="0"/>
              <w:left w:val="single" w:color="auto" w:sz="4" w:space="0"/>
              <w:right w:val="single" w:color="auto" w:sz="4" w:space="0"/>
            </w:tcBorders>
            <w:noWrap w:val="0"/>
            <w:vAlign w:val="center"/>
          </w:tcPr>
          <w:p>
            <w:pPr>
              <w:rPr>
                <w:rFonts w:hint="eastAsia" w:ascii="宋体" w:hAnsi="宋体"/>
                <w:sz w:val="21"/>
                <w:szCs w:val="21"/>
                <w:highlight w:val="none"/>
              </w:rPr>
            </w:pPr>
            <w:r>
              <w:rPr>
                <w:rFonts w:hint="eastAsia" w:ascii="宋体" w:hAnsi="宋体"/>
                <w:sz w:val="21"/>
                <w:szCs w:val="21"/>
                <w:highlight w:val="none"/>
              </w:rPr>
              <w:t>一</w:t>
            </w:r>
          </w:p>
        </w:tc>
        <w:tc>
          <w:tcPr>
            <w:tcW w:w="2520" w:type="dxa"/>
            <w:vMerge w:val="restart"/>
            <w:tcBorders>
              <w:top w:val="single" w:color="auto" w:sz="4" w:space="0"/>
              <w:left w:val="single" w:color="auto" w:sz="4" w:space="0"/>
              <w:right w:val="single" w:color="auto" w:sz="4" w:space="0"/>
            </w:tcBorders>
            <w:noWrap w:val="0"/>
            <w:vAlign w:val="center"/>
          </w:tcPr>
          <w:p>
            <w:pPr>
              <w:rPr>
                <w:rFonts w:hint="eastAsia" w:ascii="宋体" w:hAnsi="宋体"/>
                <w:sz w:val="21"/>
                <w:szCs w:val="21"/>
                <w:highlight w:val="none"/>
              </w:rPr>
            </w:pPr>
            <w:r>
              <w:rPr>
                <w:rFonts w:hint="eastAsia" w:ascii="宋体" w:hAnsi="宋体"/>
                <w:sz w:val="21"/>
                <w:szCs w:val="21"/>
                <w:highlight w:val="none"/>
              </w:rPr>
              <w:t>投标总价（元）</w:t>
            </w:r>
          </w:p>
        </w:tc>
        <w:tc>
          <w:tcPr>
            <w:tcW w:w="3600" w:type="dxa"/>
            <w:tcBorders>
              <w:top w:val="single" w:color="auto" w:sz="4" w:space="0"/>
              <w:left w:val="single" w:color="auto" w:sz="4" w:space="0"/>
              <w:bottom w:val="single" w:color="auto" w:sz="4" w:space="0"/>
              <w:right w:val="single" w:color="auto" w:sz="8" w:space="0"/>
            </w:tcBorders>
            <w:noWrap w:val="0"/>
            <w:vAlign w:val="center"/>
          </w:tcPr>
          <w:p>
            <w:pPr>
              <w:rPr>
                <w:rFonts w:hint="eastAsia" w:ascii="宋体" w:hAnsi="宋体"/>
                <w:sz w:val="21"/>
                <w:szCs w:val="21"/>
                <w:highlight w:val="none"/>
              </w:rPr>
            </w:pPr>
            <w:r>
              <w:rPr>
                <w:rFonts w:hint="eastAsia" w:ascii="宋体" w:hAnsi="宋体"/>
                <w:sz w:val="21"/>
                <w:szCs w:val="21"/>
                <w:highlight w:val="none"/>
              </w:rPr>
              <w:t>大写：</w:t>
            </w:r>
          </w:p>
        </w:tc>
        <w:tc>
          <w:tcPr>
            <w:tcW w:w="1440" w:type="dxa"/>
            <w:vMerge w:val="restart"/>
            <w:tcBorders>
              <w:top w:val="single" w:color="auto" w:sz="4" w:space="0"/>
              <w:left w:val="single" w:color="auto" w:sz="8" w:space="0"/>
              <w:right w:val="single" w:color="auto" w:sz="4" w:space="0"/>
            </w:tcBorders>
            <w:noWrap w:val="0"/>
            <w:vAlign w:val="center"/>
          </w:tcPr>
          <w:p>
            <w:pPr>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trPr>
        <w:tc>
          <w:tcPr>
            <w:tcW w:w="108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1"/>
                <w:szCs w:val="21"/>
                <w:highlight w:val="none"/>
              </w:rPr>
            </w:pPr>
          </w:p>
        </w:tc>
        <w:tc>
          <w:tcPr>
            <w:tcW w:w="252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1"/>
                <w:szCs w:val="21"/>
                <w:highlight w:val="none"/>
              </w:rPr>
            </w:pPr>
          </w:p>
        </w:tc>
        <w:tc>
          <w:tcPr>
            <w:tcW w:w="3600" w:type="dxa"/>
            <w:tcBorders>
              <w:top w:val="single" w:color="auto" w:sz="4" w:space="0"/>
              <w:left w:val="single" w:color="auto" w:sz="4" w:space="0"/>
              <w:bottom w:val="single" w:color="auto" w:sz="4" w:space="0"/>
              <w:right w:val="single" w:color="auto" w:sz="8" w:space="0"/>
            </w:tcBorders>
            <w:noWrap w:val="0"/>
            <w:vAlign w:val="center"/>
          </w:tcPr>
          <w:p>
            <w:pPr>
              <w:rPr>
                <w:rFonts w:hint="eastAsia" w:ascii="宋体" w:hAnsi="宋体"/>
                <w:sz w:val="21"/>
                <w:szCs w:val="21"/>
                <w:highlight w:val="none"/>
              </w:rPr>
            </w:pPr>
            <w:r>
              <w:rPr>
                <w:rFonts w:hint="eastAsia" w:ascii="宋体" w:hAnsi="宋体"/>
                <w:sz w:val="21"/>
                <w:szCs w:val="21"/>
                <w:highlight w:val="none"/>
              </w:rPr>
              <w:t>小写：</w:t>
            </w:r>
          </w:p>
        </w:tc>
        <w:tc>
          <w:tcPr>
            <w:tcW w:w="1440" w:type="dxa"/>
            <w:vMerge w:val="continue"/>
            <w:tcBorders>
              <w:left w:val="single" w:color="auto" w:sz="8" w:space="0"/>
              <w:bottom w:val="single" w:color="auto" w:sz="4" w:space="0"/>
              <w:right w:val="single" w:color="auto" w:sz="4" w:space="0"/>
            </w:tcBorders>
            <w:noWrap w:val="0"/>
            <w:vAlign w:val="center"/>
          </w:tcPr>
          <w:p>
            <w:pPr>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3600" w:type="dxa"/>
            <w:gridSpan w:val="2"/>
            <w:tcBorders>
              <w:top w:val="single" w:color="auto" w:sz="4" w:space="0"/>
              <w:left w:val="single" w:color="auto" w:sz="4" w:space="0"/>
              <w:right w:val="single" w:color="auto" w:sz="4" w:space="0"/>
            </w:tcBorders>
            <w:noWrap w:val="0"/>
            <w:vAlign w:val="center"/>
          </w:tcPr>
          <w:p>
            <w:pPr>
              <w:ind w:firstLine="525" w:firstLineChars="250"/>
              <w:rPr>
                <w:rFonts w:hint="eastAsia" w:ascii="宋体" w:hAnsi="宋体"/>
                <w:sz w:val="21"/>
                <w:szCs w:val="21"/>
                <w:highlight w:val="none"/>
              </w:rPr>
            </w:pPr>
            <w:r>
              <w:rPr>
                <w:rFonts w:hint="eastAsia" w:ascii="宋体" w:hAnsi="宋体"/>
                <w:sz w:val="21"/>
                <w:szCs w:val="21"/>
                <w:highlight w:val="none"/>
              </w:rPr>
              <w:t>备注</w:t>
            </w:r>
          </w:p>
        </w:tc>
        <w:tc>
          <w:tcPr>
            <w:tcW w:w="3600" w:type="dxa"/>
            <w:tcBorders>
              <w:top w:val="single" w:color="auto" w:sz="4" w:space="0"/>
              <w:left w:val="single" w:color="auto" w:sz="4" w:space="0"/>
              <w:right w:val="single" w:color="auto" w:sz="8" w:space="0"/>
            </w:tcBorders>
            <w:noWrap w:val="0"/>
            <w:vAlign w:val="center"/>
          </w:tcPr>
          <w:p>
            <w:pPr>
              <w:rPr>
                <w:rFonts w:hint="eastAsia" w:ascii="宋体" w:hAnsi="宋体"/>
                <w:sz w:val="21"/>
                <w:szCs w:val="21"/>
                <w:highlight w:val="none"/>
              </w:rPr>
            </w:pPr>
          </w:p>
        </w:tc>
        <w:tc>
          <w:tcPr>
            <w:tcW w:w="1440" w:type="dxa"/>
            <w:tcBorders>
              <w:top w:val="single" w:color="auto" w:sz="4" w:space="0"/>
              <w:left w:val="single" w:color="auto" w:sz="8" w:space="0"/>
              <w:right w:val="single" w:color="auto" w:sz="4" w:space="0"/>
            </w:tcBorders>
            <w:noWrap w:val="0"/>
            <w:vAlign w:val="center"/>
          </w:tcPr>
          <w:p>
            <w:pPr>
              <w:rPr>
                <w:rFonts w:hint="eastAsia" w:ascii="宋体" w:hAnsi="宋体"/>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before="157" w:beforeLines="50" w:line="312" w:lineRule="auto"/>
        <w:ind w:left="0" w:leftChars="0" w:right="-21" w:rightChars="-10" w:firstLine="420" w:firstLineChars="200"/>
        <w:jc w:val="both"/>
        <w:textAlignment w:val="auto"/>
        <w:outlineLvl w:val="9"/>
        <w:rPr>
          <w:rFonts w:hint="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312" w:lineRule="auto"/>
        <w:ind w:left="0" w:leftChars="0" w:right="-21" w:rightChars="-10" w:firstLine="420" w:firstLineChars="200"/>
        <w:jc w:val="both"/>
        <w:textAlignment w:val="auto"/>
        <w:outlineLvl w:val="9"/>
        <w:rPr>
          <w:rFonts w:hint="eastAsia"/>
          <w:color w:val="000000" w:themeColor="text1"/>
          <w:highlight w:val="none"/>
          <w14:textFill>
            <w14:solidFill>
              <w14:schemeClr w14:val="tx1"/>
            </w14:solidFill>
          </w14:textFill>
        </w:rPr>
      </w:pPr>
    </w:p>
    <w:p>
      <w:pPr>
        <w:pStyle w:val="14"/>
        <w:keepNext w:val="0"/>
        <w:keepLines w:val="0"/>
        <w:pageBreakBefore w:val="0"/>
        <w:kinsoku/>
        <w:overflowPunct/>
        <w:topLinePunct w:val="0"/>
        <w:bidi w:val="0"/>
        <w:spacing w:line="312" w:lineRule="auto"/>
        <w:textAlignment w:val="auto"/>
        <w:rPr>
          <w:rFonts w:hint="eastAsia" w:hAnsi="宋体" w:cs="宋体"/>
          <w:color w:val="000000" w:themeColor="text1"/>
          <w:szCs w:val="21"/>
          <w:highlight w:val="none"/>
          <w14:textFill>
            <w14:solidFill>
              <w14:schemeClr w14:val="tx1"/>
            </w14:solidFill>
          </w14:textFill>
        </w:rPr>
      </w:pPr>
    </w:p>
    <w:p>
      <w:pPr>
        <w:pStyle w:val="14"/>
        <w:keepNext w:val="0"/>
        <w:keepLines w:val="0"/>
        <w:pageBreakBefore w:val="0"/>
        <w:kinsoku/>
        <w:overflowPunct/>
        <w:topLinePunct w:val="0"/>
        <w:bidi w:val="0"/>
        <w:spacing w:line="312" w:lineRule="auto"/>
        <w:textAlignment w:val="auto"/>
        <w:rPr>
          <w:rFonts w:hint="eastAsia" w:hAnsi="宋体" w:cs="宋体"/>
          <w:color w:val="000000" w:themeColor="text1"/>
          <w:szCs w:val="21"/>
          <w:highlight w:val="none"/>
          <w14:textFill>
            <w14:solidFill>
              <w14:schemeClr w14:val="tx1"/>
            </w14:solidFill>
          </w14:textFill>
        </w:rPr>
      </w:pP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eastAsia="宋体" w:cs="宋体"/>
          <w:color w:val="auto"/>
          <w:sz w:val="21"/>
          <w:szCs w:val="21"/>
          <w:highlight w:val="none"/>
        </w:rPr>
        <w:t>电子签章</w:t>
      </w:r>
      <w:r>
        <w:rPr>
          <w:rFonts w:hint="eastAsia" w:ascii="宋体" w:hAnsi="宋体" w:cs="宋体"/>
          <w:color w:val="000000" w:themeColor="text1"/>
          <w:szCs w:val="21"/>
          <w:highlight w:val="none"/>
          <w14:textFill>
            <w14:solidFill>
              <w14:schemeClr w14:val="tx1"/>
            </w14:solidFill>
          </w14:textFill>
        </w:rPr>
        <w:t xml:space="preserve">）：                      </w:t>
      </w: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法定代表人或授权代表人（</w:t>
      </w:r>
      <w:r>
        <w:rPr>
          <w:rFonts w:hint="eastAsia" w:ascii="宋体" w:hAnsi="宋体"/>
          <w:sz w:val="21"/>
          <w:szCs w:val="21"/>
          <w:highlight w:val="none"/>
        </w:rPr>
        <w:t>签字或盖章</w:t>
      </w:r>
      <w:r>
        <w:rPr>
          <w:rFonts w:hint="eastAsia" w:ascii="宋体" w:hAnsi="宋体" w:cs="宋体"/>
          <w:color w:val="000000" w:themeColor="text1"/>
          <w:szCs w:val="21"/>
          <w:highlight w:val="none"/>
          <w14:textFill>
            <w14:solidFill>
              <w14:schemeClr w14:val="tx1"/>
            </w14:solidFill>
          </w14:textFill>
        </w:rPr>
        <w:t xml:space="preserve">）：                      </w:t>
      </w:r>
    </w:p>
    <w:p>
      <w:pPr>
        <w:keepNext w:val="0"/>
        <w:keepLines w:val="0"/>
        <w:pageBreakBefore w:val="0"/>
        <w:kinsoku/>
        <w:wordWrap w:val="0"/>
        <w:overflowPunct/>
        <w:topLinePunct w:val="0"/>
        <w:bidi w:val="0"/>
        <w:snapToGrid w:val="0"/>
        <w:spacing w:line="312" w:lineRule="auto"/>
        <w:jc w:val="righ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  期 ：                      </w:t>
      </w:r>
    </w:p>
    <w:p>
      <w:pPr>
        <w:keepNext w:val="0"/>
        <w:keepLines w:val="0"/>
        <w:pageBreakBefore w:val="0"/>
        <w:kinsoku/>
        <w:overflowPunct/>
        <w:topLinePunct w:val="0"/>
        <w:bidi w:val="0"/>
        <w:snapToGrid w:val="0"/>
        <w:spacing w:line="312" w:lineRule="auto"/>
        <w:textAlignment w:val="auto"/>
        <w:rPr>
          <w:rFonts w:hint="eastAsia" w:ascii="宋体" w:hAnsi="宋体" w:cs="宋体"/>
          <w:color w:val="000000" w:themeColor="text1"/>
          <w:szCs w:val="21"/>
          <w:highlight w:val="none"/>
          <w14:textFill>
            <w14:solidFill>
              <w14:schemeClr w14:val="tx1"/>
            </w14:solidFill>
          </w14:textFill>
        </w:rPr>
      </w:pPr>
    </w:p>
    <w:p>
      <w:pPr>
        <w:keepNext w:val="0"/>
        <w:keepLines w:val="0"/>
        <w:pageBreakBefore w:val="0"/>
        <w:kinsoku/>
        <w:overflowPunct/>
        <w:topLinePunct w:val="0"/>
        <w:bidi w:val="0"/>
        <w:snapToGrid w:val="0"/>
        <w:spacing w:line="312" w:lineRule="auto"/>
        <w:textAlignment w:val="auto"/>
        <w:rPr>
          <w:rFonts w:hint="eastAsia" w:ascii="宋体" w:hAnsi="宋体" w:cs="宋体"/>
          <w:color w:val="000000" w:themeColor="text1"/>
          <w:szCs w:val="21"/>
          <w:highlight w:val="none"/>
          <w14:textFill>
            <w14:solidFill>
              <w14:schemeClr w14:val="tx1"/>
            </w14:solidFill>
          </w14:textFill>
        </w:rPr>
      </w:pPr>
    </w:p>
    <w:p>
      <w:pPr>
        <w:keepNext w:val="0"/>
        <w:keepLines w:val="0"/>
        <w:pageBreakBefore w:val="0"/>
        <w:kinsoku/>
        <w:overflowPunct/>
        <w:topLinePunct w:val="0"/>
        <w:bidi w:val="0"/>
        <w:snapToGrid w:val="0"/>
        <w:spacing w:line="312" w:lineRule="auto"/>
        <w:textAlignment w:val="auto"/>
        <w:rPr>
          <w:rFonts w:hint="eastAsia" w:ascii="宋体" w:hAnsi="宋体" w:cs="宋体"/>
          <w:color w:val="000000" w:themeColor="text1"/>
          <w:szCs w:val="21"/>
          <w:highlight w:val="none"/>
          <w14:textFill>
            <w14:solidFill>
              <w14:schemeClr w14:val="tx1"/>
            </w14:solidFill>
          </w14:textFill>
        </w:rPr>
      </w:pPr>
    </w:p>
    <w:p>
      <w:pPr>
        <w:keepNext w:val="0"/>
        <w:keepLines w:val="0"/>
        <w:pageBreakBefore w:val="0"/>
        <w:kinsoku/>
        <w:overflowPunct/>
        <w:topLinePunct w:val="0"/>
        <w:bidi w:val="0"/>
        <w:snapToGrid w:val="0"/>
        <w:spacing w:line="312" w:lineRule="auto"/>
        <w:textAlignment w:val="auto"/>
        <w:rPr>
          <w:rFonts w:hint="eastAsia" w:ascii="宋体" w:hAnsi="宋体" w:cs="宋体"/>
          <w:color w:val="000000" w:themeColor="text1"/>
          <w:szCs w:val="21"/>
          <w:highlight w:val="none"/>
          <w14:textFill>
            <w14:solidFill>
              <w14:schemeClr w14:val="tx1"/>
            </w14:solidFill>
          </w14:textFill>
        </w:rPr>
      </w:pPr>
    </w:p>
    <w:p>
      <w:pPr>
        <w:keepNext w:val="0"/>
        <w:keepLines w:val="0"/>
        <w:pageBreakBefore w:val="0"/>
        <w:kinsoku/>
        <w:overflowPunct/>
        <w:topLinePunct w:val="0"/>
        <w:bidi w:val="0"/>
        <w:snapToGrid w:val="0"/>
        <w:spacing w:line="312" w:lineRule="auto"/>
        <w:textAlignment w:val="auto"/>
        <w:rPr>
          <w:rFonts w:hint="eastAsia" w:ascii="宋体" w:hAnsi="宋体" w:cs="宋体"/>
          <w:color w:val="000000" w:themeColor="text1"/>
          <w:szCs w:val="21"/>
          <w:highlight w:val="none"/>
          <w14:textFill>
            <w14:solidFill>
              <w14:schemeClr w14:val="tx1"/>
            </w14:solidFill>
          </w14:textFill>
        </w:rPr>
      </w:pPr>
    </w:p>
    <w:p>
      <w:pPr>
        <w:keepNext w:val="0"/>
        <w:keepLines w:val="0"/>
        <w:pageBreakBefore w:val="0"/>
        <w:kinsoku/>
        <w:overflowPunct/>
        <w:topLinePunct w:val="0"/>
        <w:bidi w:val="0"/>
        <w:snapToGrid w:val="0"/>
        <w:spacing w:line="312" w:lineRule="auto"/>
        <w:textAlignment w:val="auto"/>
        <w:rPr>
          <w:rFonts w:hint="eastAsia" w:ascii="宋体" w:hAnsi="宋体" w:cs="宋体"/>
          <w:color w:val="000000" w:themeColor="text1"/>
          <w:szCs w:val="21"/>
          <w:highlight w:val="none"/>
          <w14:textFill>
            <w14:solidFill>
              <w14:schemeClr w14:val="tx1"/>
            </w14:solidFill>
          </w14:textFill>
        </w:rPr>
        <w:sectPr>
          <w:pgSz w:w="11906" w:h="16838"/>
          <w:pgMar w:top="1389" w:right="1417" w:bottom="1389" w:left="1134" w:header="851" w:footer="992" w:gutter="283"/>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2 投标设备报价明细表</w:t>
      </w:r>
    </w:p>
    <w:p>
      <w:pPr>
        <w:wordWrap w:val="0"/>
        <w:rPr>
          <w:rFonts w:hint="eastAsia" w:ascii="宋体" w:hAnsi="宋体"/>
          <w:sz w:val="21"/>
          <w:szCs w:val="21"/>
          <w:highlight w:val="none"/>
        </w:rPr>
      </w:pPr>
      <w:r>
        <w:rPr>
          <w:rFonts w:hint="eastAsia" w:ascii="宋体" w:hAnsi="宋体"/>
          <w:sz w:val="21"/>
          <w:szCs w:val="21"/>
          <w:highlight w:val="none"/>
        </w:rPr>
        <w:t>项目名称：</w:t>
      </w:r>
    </w:p>
    <w:p>
      <w:pPr>
        <w:wordWrap w:val="0"/>
        <w:rPr>
          <w:rFonts w:hint="eastAsia" w:ascii="宋体" w:hAnsi="宋体"/>
          <w:sz w:val="21"/>
          <w:szCs w:val="21"/>
          <w:highlight w:val="none"/>
        </w:rPr>
      </w:pPr>
      <w:r>
        <w:rPr>
          <w:rFonts w:hint="eastAsia" w:ascii="宋体" w:hAnsi="宋体"/>
          <w:sz w:val="21"/>
          <w:szCs w:val="21"/>
          <w:highlight w:val="none"/>
        </w:rPr>
        <w:t>项目编号：                                                                               单位：元</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569"/>
        <w:gridCol w:w="1747"/>
        <w:gridCol w:w="1440"/>
        <w:gridCol w:w="3413"/>
        <w:gridCol w:w="999"/>
        <w:gridCol w:w="830"/>
        <w:gridCol w:w="11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24" w:type="dxa"/>
            <w:noWrap w:val="0"/>
            <w:vAlign w:val="top"/>
          </w:tcPr>
          <w:p>
            <w:pPr>
              <w:pStyle w:val="32"/>
              <w:adjustRightInd w:val="0"/>
              <w:snapToGrid w:val="0"/>
              <w:spacing w:line="440" w:lineRule="exact"/>
              <w:ind w:firstLine="0" w:firstLineChars="0"/>
              <w:rPr>
                <w:rFonts w:hint="eastAsia" w:ascii="宋体" w:eastAsia="宋体"/>
                <w:spacing w:val="-20"/>
                <w:sz w:val="21"/>
                <w:szCs w:val="21"/>
                <w:highlight w:val="none"/>
              </w:rPr>
            </w:pPr>
            <w:r>
              <w:rPr>
                <w:rFonts w:hint="eastAsia" w:ascii="宋体" w:eastAsia="宋体"/>
                <w:spacing w:val="-20"/>
                <w:sz w:val="21"/>
                <w:szCs w:val="21"/>
                <w:highlight w:val="none"/>
              </w:rPr>
              <w:t>序号</w:t>
            </w:r>
          </w:p>
        </w:tc>
        <w:tc>
          <w:tcPr>
            <w:tcW w:w="2569"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名称</w:t>
            </w:r>
          </w:p>
        </w:tc>
        <w:tc>
          <w:tcPr>
            <w:tcW w:w="1747"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品牌型号</w:t>
            </w:r>
          </w:p>
        </w:tc>
        <w:tc>
          <w:tcPr>
            <w:tcW w:w="1440"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制造商</w:t>
            </w:r>
          </w:p>
        </w:tc>
        <w:tc>
          <w:tcPr>
            <w:tcW w:w="3413"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主要技术参数</w:t>
            </w:r>
          </w:p>
        </w:tc>
        <w:tc>
          <w:tcPr>
            <w:tcW w:w="999" w:type="dxa"/>
            <w:noWrap w:val="0"/>
            <w:vAlign w:val="top"/>
          </w:tcPr>
          <w:p>
            <w:pPr>
              <w:pStyle w:val="32"/>
              <w:adjustRightInd w:val="0"/>
              <w:snapToGrid w:val="0"/>
              <w:spacing w:line="440" w:lineRule="exact"/>
              <w:ind w:firstLine="0" w:firstLineChars="0"/>
              <w:rPr>
                <w:rFonts w:hint="eastAsia" w:ascii="宋体" w:eastAsia="宋体"/>
                <w:spacing w:val="-20"/>
                <w:sz w:val="21"/>
                <w:szCs w:val="21"/>
                <w:highlight w:val="none"/>
              </w:rPr>
            </w:pPr>
            <w:r>
              <w:rPr>
                <w:rFonts w:hint="eastAsia" w:ascii="宋体" w:eastAsia="宋体"/>
                <w:spacing w:val="-20"/>
                <w:sz w:val="21"/>
                <w:szCs w:val="21"/>
                <w:highlight w:val="none"/>
              </w:rPr>
              <w:t>原产地</w:t>
            </w:r>
          </w:p>
        </w:tc>
        <w:tc>
          <w:tcPr>
            <w:tcW w:w="830"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数量</w:t>
            </w:r>
          </w:p>
        </w:tc>
        <w:tc>
          <w:tcPr>
            <w:tcW w:w="1135"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单价</w:t>
            </w:r>
          </w:p>
        </w:tc>
        <w:tc>
          <w:tcPr>
            <w:tcW w:w="1260"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一</w:t>
            </w:r>
          </w:p>
        </w:tc>
        <w:tc>
          <w:tcPr>
            <w:tcW w:w="256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产品配置清单</w:t>
            </w:r>
          </w:p>
        </w:tc>
        <w:tc>
          <w:tcPr>
            <w:tcW w:w="1747"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44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3413"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99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83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135"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26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w:t>
            </w:r>
          </w:p>
        </w:tc>
        <w:tc>
          <w:tcPr>
            <w:tcW w:w="256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747"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44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3413"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99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83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135"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26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二</w:t>
            </w:r>
          </w:p>
        </w:tc>
        <w:tc>
          <w:tcPr>
            <w:tcW w:w="256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747"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44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3413"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99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83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135"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26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w:t>
            </w:r>
          </w:p>
        </w:tc>
        <w:tc>
          <w:tcPr>
            <w:tcW w:w="256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747"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44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3413"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99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83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135"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26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三</w:t>
            </w:r>
          </w:p>
        </w:tc>
        <w:tc>
          <w:tcPr>
            <w:tcW w:w="256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附件</w:t>
            </w:r>
          </w:p>
        </w:tc>
        <w:tc>
          <w:tcPr>
            <w:tcW w:w="1747"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44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3413"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99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83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135"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c>
          <w:tcPr>
            <w:tcW w:w="1260"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四</w:t>
            </w:r>
          </w:p>
        </w:tc>
        <w:tc>
          <w:tcPr>
            <w:tcW w:w="2569" w:type="dxa"/>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安装调试</w:t>
            </w:r>
          </w:p>
        </w:tc>
        <w:tc>
          <w:tcPr>
            <w:tcW w:w="10824" w:type="dxa"/>
            <w:gridSpan w:val="7"/>
            <w:noWrap w:val="0"/>
            <w:vAlign w:val="top"/>
          </w:tcPr>
          <w:p>
            <w:pPr>
              <w:pStyle w:val="32"/>
              <w:adjustRightInd w:val="0"/>
              <w:snapToGrid w:val="0"/>
              <w:spacing w:line="420" w:lineRule="exact"/>
              <w:ind w:firstLine="0" w:firstLineChars="0"/>
              <w:rPr>
                <w:rFonts w:hint="eastAsia" w:ascii="宋体" w:eastAsia="宋体"/>
                <w:sz w:val="21"/>
                <w:szCs w:val="21"/>
                <w:highlight w:val="none"/>
              </w:rPr>
            </w:pPr>
            <w:r>
              <w:rPr>
                <w:rFonts w:hint="eastAsia" w:ascii="宋体" w:eastAsia="宋体"/>
                <w:sz w:val="21"/>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24"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五</w:t>
            </w:r>
          </w:p>
        </w:tc>
        <w:tc>
          <w:tcPr>
            <w:tcW w:w="2569" w:type="dxa"/>
            <w:noWrap w:val="0"/>
            <w:vAlign w:val="top"/>
          </w:tcPr>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总计</w:t>
            </w:r>
          </w:p>
        </w:tc>
        <w:tc>
          <w:tcPr>
            <w:tcW w:w="10824" w:type="dxa"/>
            <w:gridSpan w:val="7"/>
            <w:noWrap w:val="0"/>
            <w:vAlign w:val="top"/>
          </w:tcPr>
          <w:p>
            <w:pPr>
              <w:adjustRightInd w:val="0"/>
              <w:snapToGrid w:val="0"/>
              <w:spacing w:line="440" w:lineRule="exact"/>
              <w:rPr>
                <w:rFonts w:hint="eastAsia" w:ascii="宋体" w:hAnsi="宋体"/>
                <w:sz w:val="21"/>
                <w:szCs w:val="21"/>
                <w:highlight w:val="none"/>
              </w:rPr>
            </w:pPr>
            <w:r>
              <w:rPr>
                <w:rFonts w:hint="eastAsia" w:ascii="宋体" w:hAnsi="宋体"/>
                <w:sz w:val="21"/>
                <w:szCs w:val="21"/>
                <w:highlight w:val="none"/>
              </w:rPr>
              <w:t>￥：</w:t>
            </w:r>
            <w:r>
              <w:rPr>
                <w:rFonts w:hint="eastAsia" w:ascii="宋体" w:hAnsi="宋体"/>
                <w:sz w:val="21"/>
                <w:szCs w:val="21"/>
                <w:highlight w:val="none"/>
                <w:u w:val="single"/>
              </w:rPr>
              <w:t xml:space="preserve">                                 </w:t>
            </w:r>
            <w:r>
              <w:rPr>
                <w:rFonts w:hint="eastAsia" w:ascii="宋体" w:hAnsi="宋体"/>
                <w:sz w:val="21"/>
                <w:szCs w:val="21"/>
                <w:highlight w:val="none"/>
              </w:rPr>
              <w:t>元</w:t>
            </w:r>
          </w:p>
          <w:p>
            <w:pPr>
              <w:pStyle w:val="32"/>
              <w:adjustRightInd w:val="0"/>
              <w:snapToGrid w:val="0"/>
              <w:spacing w:line="440" w:lineRule="exact"/>
              <w:ind w:firstLine="0" w:firstLineChars="0"/>
              <w:rPr>
                <w:rFonts w:hint="eastAsia" w:ascii="宋体" w:eastAsia="宋体"/>
                <w:sz w:val="21"/>
                <w:szCs w:val="21"/>
                <w:highlight w:val="none"/>
              </w:rPr>
            </w:pPr>
            <w:r>
              <w:rPr>
                <w:rFonts w:hint="eastAsia" w:ascii="宋体" w:eastAsia="宋体"/>
                <w:sz w:val="21"/>
                <w:szCs w:val="21"/>
                <w:highlight w:val="none"/>
              </w:rPr>
              <w:t>大写：</w:t>
            </w:r>
            <w:r>
              <w:rPr>
                <w:rFonts w:hint="eastAsia" w:ascii="宋体" w:eastAsia="宋体"/>
                <w:sz w:val="21"/>
                <w:szCs w:val="21"/>
                <w:highlight w:val="none"/>
                <w:u w:val="single"/>
              </w:rPr>
              <w:t xml:space="preserve">                               </w:t>
            </w:r>
            <w:r>
              <w:rPr>
                <w:rFonts w:hint="eastAsia" w:ascii="宋体" w:eastAsia="宋体"/>
                <w:sz w:val="21"/>
                <w:szCs w:val="21"/>
                <w:highlight w:val="none"/>
              </w:rPr>
              <w:t>元</w:t>
            </w:r>
          </w:p>
        </w:tc>
      </w:tr>
    </w:tbl>
    <w:p>
      <w:pPr>
        <w:snapToGrid w:val="0"/>
        <w:spacing w:line="480" w:lineRule="exact"/>
        <w:rPr>
          <w:rFonts w:hint="eastAsia" w:ascii="宋体" w:hAnsi="宋体"/>
          <w:sz w:val="21"/>
          <w:szCs w:val="21"/>
          <w:highlight w:val="none"/>
        </w:rPr>
      </w:pPr>
      <w:r>
        <w:rPr>
          <w:rFonts w:hint="eastAsia" w:ascii="宋体" w:hAnsi="宋体"/>
          <w:sz w:val="21"/>
          <w:szCs w:val="21"/>
          <w:highlight w:val="none"/>
        </w:rPr>
        <w:t>注：1、报价应包括运输、培训、安装、调试和售后服务等所有费用。</w:t>
      </w:r>
    </w:p>
    <w:p>
      <w:pPr>
        <w:snapToGrid w:val="0"/>
        <w:spacing w:line="480" w:lineRule="exact"/>
        <w:ind w:firstLine="420" w:firstLineChars="200"/>
        <w:rPr>
          <w:rFonts w:hint="eastAsia" w:ascii="宋体" w:hAnsi="宋体"/>
          <w:sz w:val="21"/>
          <w:szCs w:val="21"/>
          <w:highlight w:val="none"/>
        </w:rPr>
      </w:pPr>
      <w:r>
        <w:rPr>
          <w:rFonts w:hint="eastAsia" w:ascii="宋体" w:hAnsi="宋体"/>
          <w:sz w:val="21"/>
          <w:szCs w:val="21"/>
          <w:highlight w:val="none"/>
        </w:rPr>
        <w:t>2、按采购需求逐项列出所需的各种费用。</w:t>
      </w:r>
    </w:p>
    <w:p>
      <w:pPr>
        <w:snapToGrid w:val="0"/>
        <w:spacing w:line="480" w:lineRule="exact"/>
        <w:ind w:firstLine="420" w:firstLineChars="200"/>
        <w:rPr>
          <w:rFonts w:hint="eastAsia" w:ascii="宋体" w:hAnsi="宋体"/>
          <w:sz w:val="21"/>
          <w:szCs w:val="21"/>
          <w:highlight w:val="none"/>
        </w:rPr>
      </w:pPr>
      <w:r>
        <w:rPr>
          <w:rFonts w:hint="eastAsia" w:ascii="宋体" w:hAnsi="宋体"/>
          <w:sz w:val="21"/>
          <w:szCs w:val="21"/>
          <w:highlight w:val="none"/>
          <w:lang w:val="en-US" w:eastAsia="zh-CN"/>
        </w:rPr>
        <w:t>3</w:t>
      </w:r>
      <w:r>
        <w:rPr>
          <w:rFonts w:hint="eastAsia" w:ascii="宋体" w:hAnsi="宋体"/>
          <w:sz w:val="21"/>
          <w:szCs w:val="21"/>
          <w:highlight w:val="none"/>
        </w:rPr>
        <w:t>、以上表格中各项可进一步细分，栏数不够可自加。</w:t>
      </w:r>
    </w:p>
    <w:p>
      <w:pPr>
        <w:snapToGrid w:val="0"/>
        <w:spacing w:line="480" w:lineRule="exact"/>
        <w:rPr>
          <w:rFonts w:hint="eastAsia" w:ascii="宋体" w:hAnsi="宋体"/>
          <w:sz w:val="21"/>
          <w:szCs w:val="21"/>
          <w:highlight w:val="none"/>
        </w:rPr>
      </w:pPr>
    </w:p>
    <w:p>
      <w:pPr>
        <w:snapToGrid w:val="0"/>
        <w:spacing w:line="480" w:lineRule="exact"/>
        <w:rPr>
          <w:rFonts w:hint="eastAsia" w:ascii="宋体" w:hAnsi="宋体"/>
          <w:sz w:val="21"/>
          <w:szCs w:val="21"/>
          <w:highlight w:val="none"/>
        </w:rPr>
      </w:pPr>
      <w:r>
        <w:rPr>
          <w:rFonts w:hint="eastAsia" w:ascii="宋体" w:hAnsi="宋体"/>
          <w:sz w:val="21"/>
          <w:szCs w:val="21"/>
          <w:highlight w:val="none"/>
        </w:rPr>
        <w:t>投标人（</w:t>
      </w:r>
      <w:r>
        <w:rPr>
          <w:rFonts w:hint="eastAsia" w:ascii="宋体" w:hAnsi="宋体" w:eastAsia="宋体" w:cs="宋体"/>
          <w:color w:val="auto"/>
          <w:sz w:val="21"/>
          <w:szCs w:val="21"/>
          <w:highlight w:val="none"/>
        </w:rPr>
        <w:t>电子签章</w:t>
      </w:r>
      <w:r>
        <w:rPr>
          <w:rFonts w:hint="eastAsia" w:ascii="宋体" w:hAnsi="宋体"/>
          <w:sz w:val="21"/>
          <w:szCs w:val="21"/>
          <w:highlight w:val="none"/>
        </w:rPr>
        <w:t>）：</w:t>
      </w:r>
    </w:p>
    <w:p>
      <w:pPr>
        <w:snapToGrid w:val="0"/>
        <w:spacing w:line="480" w:lineRule="exact"/>
        <w:rPr>
          <w:rFonts w:hint="eastAsia" w:ascii="宋体" w:hAnsi="宋体"/>
          <w:sz w:val="21"/>
          <w:szCs w:val="21"/>
          <w:highlight w:val="none"/>
        </w:rPr>
      </w:pPr>
      <w:r>
        <w:rPr>
          <w:rFonts w:hint="eastAsia" w:ascii="宋体" w:hAnsi="宋体"/>
          <w:sz w:val="21"/>
          <w:szCs w:val="21"/>
          <w:highlight w:val="none"/>
        </w:rPr>
        <w:t xml:space="preserve">法定代表人或其授权代表人（签字或盖章）：                                  </w:t>
      </w:r>
    </w:p>
    <w:p>
      <w:pPr>
        <w:snapToGrid w:val="0"/>
        <w:spacing w:line="480" w:lineRule="exact"/>
        <w:rPr>
          <w:rFonts w:hint="eastAsia" w:eastAsia="宋体"/>
          <w:highlight w:val="none"/>
          <w:lang w:eastAsia="zh-CN"/>
        </w:rPr>
        <w:sectPr>
          <w:pgSz w:w="16838" w:h="11906" w:orient="landscape"/>
          <w:pgMar w:top="1134" w:right="1389" w:bottom="1417" w:left="1389" w:header="851" w:footer="992" w:gutter="283"/>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sz w:val="21"/>
          <w:szCs w:val="21"/>
          <w:highlight w:val="none"/>
        </w:rPr>
        <w:t>日期</w:t>
      </w:r>
      <w:r>
        <w:rPr>
          <w:rFonts w:hint="eastAsia" w:ascii="宋体" w:hAnsi="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12" w:lineRule="auto"/>
        <w:jc w:val="center"/>
        <w:textAlignment w:val="auto"/>
        <w:outlineLvl w:val="0"/>
        <w:rPr>
          <w:rFonts w:hint="eastAsia" w:ascii="宋体" w:hAnsi="宋体" w:eastAsia="宋体" w:cs="宋体"/>
          <w:b/>
          <w:bCs w:val="0"/>
          <w:sz w:val="21"/>
          <w:szCs w:val="21"/>
          <w:highlight w:val="none"/>
          <w:lang w:val="en-US" w:eastAsia="zh-CN"/>
        </w:rPr>
      </w:pPr>
      <w:r>
        <w:rPr>
          <w:rFonts w:hint="eastAsia" w:ascii="宋体" w:hAnsi="宋体" w:cs="宋体"/>
          <w:b/>
          <w:bCs w:val="0"/>
          <w:sz w:val="21"/>
          <w:szCs w:val="21"/>
          <w:highlight w:val="none"/>
          <w:lang w:val="en-US" w:eastAsia="zh-CN"/>
        </w:rPr>
        <w:t>3</w:t>
      </w:r>
      <w:r>
        <w:rPr>
          <w:rFonts w:hint="eastAsia" w:ascii="宋体" w:hAnsi="宋体" w:eastAsia="宋体" w:cs="宋体"/>
          <w:b/>
          <w:bCs w:val="0"/>
          <w:sz w:val="21"/>
          <w:szCs w:val="21"/>
          <w:highlight w:val="none"/>
          <w:lang w:val="en-US" w:eastAsia="zh-CN"/>
        </w:rPr>
        <w:t>投标廉洁承诺书</w:t>
      </w:r>
      <w:bookmarkEnd w:id="131"/>
    </w:p>
    <w:p>
      <w:pPr>
        <w:adjustRightInd w:val="0"/>
        <w:snapToGrid w:val="0"/>
        <w:spacing w:line="5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为维护市场公平竞争，营造诚实守信的招投标交易环境，防止发生违法违纪行为，根据国家有关法律法规和廉政建设责任制有关规定，本投标人特作如下承诺：</w:t>
      </w:r>
    </w:p>
    <w:p>
      <w:pPr>
        <w:adjustRightInd w:val="0"/>
        <w:snapToGrid w:val="0"/>
        <w:spacing w:line="5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1.不向采购人、采购代理机构及其他投标人行贿，串通一气搞假投标、陪标、围标、串标。</w:t>
      </w:r>
    </w:p>
    <w:p>
      <w:pPr>
        <w:adjustRightInd w:val="0"/>
        <w:snapToGrid w:val="0"/>
        <w:spacing w:line="5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2.向评标专家行贿，以不正当手段谋取中标。</w:t>
      </w:r>
    </w:p>
    <w:p>
      <w:pPr>
        <w:adjustRightInd w:val="0"/>
        <w:snapToGrid w:val="0"/>
        <w:spacing w:line="5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3.不向招标投标监管人员请客、送礼及组织其它有可能影响客观公正监管的活动。</w:t>
      </w:r>
    </w:p>
    <w:p>
      <w:pPr>
        <w:adjustRightInd w:val="0"/>
        <w:snapToGrid w:val="0"/>
        <w:spacing w:line="5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4.不提供虚假材料谋取中标。在资格预审材料中，主动提供近两年信用档案情况，包括有无不良行为记录和公示期限证明。</w:t>
      </w:r>
    </w:p>
    <w:p>
      <w:pPr>
        <w:adjustRightInd w:val="0"/>
        <w:snapToGrid w:val="0"/>
        <w:spacing w:line="5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在本次投标过程中，本投标人将严格遵守各项廉政制度，如出现违反行为，本投标人自愿承担相关责任，接受招标投标监督管理部门、纪检监察机关或司法机关的调查处理。</w:t>
      </w:r>
    </w:p>
    <w:p>
      <w:pPr>
        <w:pStyle w:val="31"/>
        <w:rPr>
          <w:rFonts w:hint="eastAsia" w:ascii="宋体" w:hAnsi="宋体" w:eastAsia="宋体" w:cs="宋体"/>
          <w:szCs w:val="21"/>
          <w:highlight w:val="none"/>
        </w:rPr>
      </w:pPr>
    </w:p>
    <w:p>
      <w:pPr>
        <w:pStyle w:val="31"/>
        <w:rPr>
          <w:rFonts w:hint="eastAsia" w:ascii="宋体" w:hAnsi="宋体" w:eastAsia="宋体" w:cs="宋体"/>
          <w:szCs w:val="21"/>
          <w:highlight w:val="none"/>
        </w:rPr>
      </w:pPr>
    </w:p>
    <w:p>
      <w:pPr>
        <w:wordWrap w:val="0"/>
        <w:spacing w:line="700" w:lineRule="exact"/>
        <w:jc w:val="right"/>
        <w:rPr>
          <w:rFonts w:hint="eastAsia"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color w:val="auto"/>
          <w:sz w:val="21"/>
          <w:szCs w:val="21"/>
          <w:highlight w:val="none"/>
        </w:rPr>
        <w:t>电子签章</w:t>
      </w:r>
      <w:r>
        <w:rPr>
          <w:rFonts w:hint="eastAsia" w:ascii="宋体" w:hAnsi="宋体" w:eastAsia="宋体" w:cs="宋体"/>
          <w:szCs w:val="21"/>
          <w:highlight w:val="none"/>
        </w:rPr>
        <w:t xml:space="preserve">）：                  </w:t>
      </w:r>
    </w:p>
    <w:p>
      <w:pPr>
        <w:wordWrap w:val="0"/>
        <w:adjustRightInd w:val="0"/>
        <w:snapToGrid w:val="0"/>
        <w:spacing w:line="700" w:lineRule="exact"/>
        <w:ind w:firstLine="3780" w:firstLineChars="1800"/>
        <w:jc w:val="right"/>
        <w:rPr>
          <w:rFonts w:hint="eastAsia" w:ascii="宋体" w:hAnsi="宋体" w:eastAsia="宋体" w:cs="宋体"/>
          <w:szCs w:val="21"/>
          <w:highlight w:val="none"/>
        </w:rPr>
      </w:pPr>
      <w:r>
        <w:rPr>
          <w:rFonts w:hint="eastAsia" w:ascii="宋体" w:hAnsi="宋体" w:eastAsia="宋体" w:cs="宋体"/>
          <w:szCs w:val="21"/>
          <w:highlight w:val="none"/>
        </w:rPr>
        <w:t>法定代表人或授权代表人（</w:t>
      </w:r>
      <w:r>
        <w:rPr>
          <w:rFonts w:hint="eastAsia" w:ascii="宋体" w:hAnsi="宋体"/>
          <w:sz w:val="21"/>
          <w:szCs w:val="21"/>
          <w:highlight w:val="none"/>
        </w:rPr>
        <w:t>签字或盖章</w:t>
      </w:r>
      <w:r>
        <w:rPr>
          <w:rFonts w:hint="eastAsia" w:ascii="宋体" w:hAnsi="宋体" w:eastAsia="宋体" w:cs="宋体"/>
          <w:szCs w:val="21"/>
          <w:highlight w:val="none"/>
        </w:rPr>
        <w:t xml:space="preserve">）：                  </w:t>
      </w:r>
    </w:p>
    <w:p>
      <w:pPr>
        <w:wordWrap w:val="0"/>
        <w:adjustRightInd w:val="0"/>
        <w:snapToGrid w:val="0"/>
        <w:spacing w:line="700" w:lineRule="exact"/>
        <w:ind w:left="481" w:leftChars="229" w:firstLine="3517" w:firstLineChars="1675"/>
        <w:jc w:val="right"/>
        <w:rPr>
          <w:rFonts w:hint="eastAsia" w:ascii="宋体" w:hAnsi="宋体" w:eastAsia="宋体" w:cs="宋体"/>
          <w:szCs w:val="21"/>
          <w:highlight w:val="none"/>
        </w:rPr>
      </w:pPr>
      <w:r>
        <w:rPr>
          <w:rFonts w:hint="eastAsia" w:ascii="宋体" w:hAnsi="宋体" w:eastAsia="宋体" w:cs="宋体"/>
          <w:szCs w:val="21"/>
          <w:highlight w:val="none"/>
        </w:rPr>
        <w:t xml:space="preserve">本次投标项目：                  </w:t>
      </w:r>
    </w:p>
    <w:p>
      <w:pPr>
        <w:wordWrap w:val="0"/>
        <w:spacing w:line="700" w:lineRule="exact"/>
        <w:jc w:val="right"/>
        <w:rPr>
          <w:rFonts w:hint="eastAsia" w:ascii="宋体" w:hAnsi="宋体" w:eastAsia="宋体" w:cs="宋体"/>
          <w:szCs w:val="21"/>
          <w:highlight w:val="none"/>
        </w:rPr>
      </w:pPr>
      <w:r>
        <w:rPr>
          <w:rFonts w:hint="eastAsia" w:ascii="宋体" w:hAnsi="宋体" w:eastAsia="宋体" w:cs="宋体"/>
          <w:szCs w:val="21"/>
          <w:highlight w:val="none"/>
        </w:rPr>
        <w:t xml:space="preserve">日   期：                  </w:t>
      </w:r>
    </w:p>
    <w:p>
      <w:pPr>
        <w:adjustRightInd w:val="0"/>
        <w:snapToGrid w:val="0"/>
        <w:spacing w:line="312" w:lineRule="auto"/>
        <w:ind w:firstLine="420" w:firstLineChars="200"/>
        <w:rPr>
          <w:rFonts w:hint="eastAsia" w:ascii="宋体" w:hAnsi="宋体" w:eastAsia="宋体" w:cs="宋体"/>
          <w:szCs w:val="21"/>
          <w:highlight w:val="none"/>
        </w:rPr>
      </w:pPr>
    </w:p>
    <w:p>
      <w:pPr>
        <w:snapToGrid w:val="0"/>
        <w:spacing w:line="312" w:lineRule="auto"/>
        <w:jc w:val="center"/>
        <w:outlineLvl w:val="0"/>
        <w:rPr>
          <w:rFonts w:hint="eastAsia" w:ascii="宋体" w:hAnsi="宋体" w:eastAsia="宋体" w:cs="宋体"/>
          <w:bCs/>
          <w:szCs w:val="21"/>
          <w:highlight w:val="none"/>
          <w:lang w:val="zh-CN"/>
        </w:rPr>
      </w:pPr>
      <w:bookmarkStart w:id="134" w:name="_Toc354401539"/>
      <w:bookmarkStart w:id="135" w:name="_Toc350256317"/>
      <w:bookmarkStart w:id="136" w:name="_Toc316887628"/>
      <w:bookmarkStart w:id="137" w:name="_Toc322352986"/>
      <w:bookmarkStart w:id="138" w:name="_Toc8789"/>
      <w:bookmarkStart w:id="139" w:name="_Toc23244"/>
    </w:p>
    <w:p>
      <w:pPr>
        <w:pStyle w:val="31"/>
        <w:rPr>
          <w:rFonts w:hint="eastAsia" w:ascii="宋体" w:hAnsi="宋体" w:eastAsia="宋体" w:cs="宋体"/>
          <w:highlight w:val="none"/>
        </w:rPr>
      </w:pPr>
    </w:p>
    <w:p>
      <w:pPr>
        <w:snapToGrid w:val="0"/>
        <w:spacing w:line="312" w:lineRule="auto"/>
        <w:jc w:val="center"/>
        <w:outlineLvl w:val="0"/>
        <w:rPr>
          <w:rFonts w:hint="eastAsia" w:ascii="宋体" w:hAnsi="宋体" w:eastAsia="宋体" w:cs="宋体"/>
          <w:bCs/>
          <w:szCs w:val="21"/>
          <w:highlight w:val="none"/>
          <w:lang w:val="zh-CN"/>
        </w:rPr>
      </w:pPr>
    </w:p>
    <w:p>
      <w:pPr>
        <w:snapToGrid w:val="0"/>
        <w:spacing w:line="312" w:lineRule="auto"/>
        <w:jc w:val="center"/>
        <w:outlineLvl w:val="0"/>
        <w:rPr>
          <w:rFonts w:hint="eastAsia" w:ascii="宋体" w:hAnsi="宋体" w:eastAsia="宋体" w:cs="宋体"/>
          <w:bCs/>
          <w:szCs w:val="21"/>
          <w:highlight w:val="none"/>
          <w:lang w:val="zh-CN"/>
        </w:rPr>
      </w:pPr>
    </w:p>
    <w:p>
      <w:pPr>
        <w:snapToGrid w:val="0"/>
        <w:spacing w:after="120" w:afterLines="50" w:line="312" w:lineRule="auto"/>
        <w:jc w:val="center"/>
        <w:outlineLvl w:val="0"/>
        <w:rPr>
          <w:rFonts w:hint="eastAsia" w:ascii="宋体" w:hAnsi="宋体" w:eastAsia="宋体" w:cs="宋体"/>
          <w:b/>
          <w:bCs w:val="0"/>
          <w:szCs w:val="21"/>
          <w:highlight w:val="none"/>
          <w:lang w:val="zh-CN"/>
        </w:rPr>
      </w:pPr>
    </w:p>
    <w:p>
      <w:pPr>
        <w:snapToGrid w:val="0"/>
        <w:spacing w:after="120" w:afterLines="50" w:line="312" w:lineRule="auto"/>
        <w:jc w:val="center"/>
        <w:outlineLvl w:val="0"/>
        <w:rPr>
          <w:rFonts w:hint="eastAsia" w:ascii="宋体" w:hAnsi="宋体" w:eastAsia="宋体" w:cs="宋体"/>
          <w:b/>
          <w:bCs w:val="0"/>
          <w:szCs w:val="21"/>
          <w:highlight w:val="none"/>
          <w:lang w:val="zh-CN"/>
        </w:rPr>
      </w:pPr>
    </w:p>
    <w:p>
      <w:pPr>
        <w:snapToGrid w:val="0"/>
        <w:spacing w:after="120" w:afterLines="50" w:line="312" w:lineRule="auto"/>
        <w:jc w:val="center"/>
        <w:outlineLvl w:val="0"/>
        <w:rPr>
          <w:rFonts w:hint="eastAsia" w:ascii="宋体" w:hAnsi="宋体" w:eastAsia="宋体" w:cs="宋体"/>
          <w:b/>
          <w:bCs w:val="0"/>
          <w:szCs w:val="21"/>
          <w:highlight w:val="none"/>
          <w:lang w:val="zh-CN"/>
        </w:rPr>
      </w:pPr>
    </w:p>
    <w:p>
      <w:pPr>
        <w:snapToGrid w:val="0"/>
        <w:spacing w:after="120" w:afterLines="50" w:line="312" w:lineRule="auto"/>
        <w:jc w:val="center"/>
        <w:outlineLvl w:val="0"/>
        <w:rPr>
          <w:rFonts w:hint="eastAsia" w:ascii="宋体" w:hAnsi="宋体" w:eastAsia="宋体" w:cs="宋体"/>
          <w:b/>
          <w:bCs w:val="0"/>
          <w:szCs w:val="21"/>
          <w:highlight w:val="none"/>
          <w:lang w:val="zh-CN"/>
        </w:rPr>
      </w:pPr>
    </w:p>
    <w:p>
      <w:pPr>
        <w:snapToGrid w:val="0"/>
        <w:spacing w:after="120" w:afterLines="50" w:line="312" w:lineRule="auto"/>
        <w:jc w:val="center"/>
        <w:outlineLvl w:val="0"/>
        <w:rPr>
          <w:rFonts w:hint="eastAsia" w:ascii="宋体" w:hAnsi="宋体" w:eastAsia="宋体" w:cs="宋体"/>
          <w:b/>
          <w:bCs w:val="0"/>
          <w:szCs w:val="21"/>
          <w:highlight w:val="none"/>
          <w:lang w:val="zh-CN"/>
        </w:rPr>
      </w:pPr>
    </w:p>
    <w:p>
      <w:pPr>
        <w:snapToGrid w:val="0"/>
        <w:spacing w:after="120" w:afterLines="50" w:line="312" w:lineRule="auto"/>
        <w:jc w:val="center"/>
        <w:outlineLvl w:val="0"/>
        <w:rPr>
          <w:rFonts w:hint="eastAsia" w:ascii="宋体" w:hAnsi="宋体" w:eastAsia="宋体" w:cs="宋体"/>
          <w:b/>
          <w:bCs w:val="0"/>
          <w:szCs w:val="21"/>
          <w:highlight w:val="none"/>
          <w:lang w:val="zh-CN"/>
        </w:rPr>
      </w:pPr>
    </w:p>
    <w:p>
      <w:pPr>
        <w:snapToGrid w:val="0"/>
        <w:spacing w:after="120" w:afterLines="50" w:line="312" w:lineRule="auto"/>
        <w:jc w:val="center"/>
        <w:outlineLvl w:val="0"/>
        <w:rPr>
          <w:rFonts w:hint="eastAsia" w:ascii="宋体" w:hAnsi="宋体" w:eastAsia="宋体" w:cs="宋体"/>
          <w:bCs/>
          <w:szCs w:val="21"/>
          <w:highlight w:val="none"/>
        </w:rPr>
      </w:pPr>
      <w:r>
        <w:rPr>
          <w:rFonts w:hint="eastAsia" w:ascii="宋体" w:hAnsi="宋体" w:eastAsia="宋体" w:cs="宋体"/>
          <w:b/>
          <w:bCs w:val="0"/>
          <w:szCs w:val="21"/>
          <w:highlight w:val="none"/>
          <w:lang w:val="zh-CN"/>
        </w:rPr>
        <w:t>第六章</w:t>
      </w:r>
      <w:r>
        <w:rPr>
          <w:rFonts w:hint="eastAsia" w:ascii="宋体" w:hAnsi="宋体" w:eastAsia="宋体" w:cs="宋体"/>
          <w:b/>
          <w:bCs w:val="0"/>
          <w:szCs w:val="21"/>
          <w:highlight w:val="none"/>
        </w:rPr>
        <w:t xml:space="preserve">  </w:t>
      </w:r>
      <w:r>
        <w:rPr>
          <w:rFonts w:hint="eastAsia" w:ascii="宋体" w:hAnsi="宋体" w:eastAsia="宋体" w:cs="宋体"/>
          <w:b/>
          <w:bCs w:val="0"/>
          <w:szCs w:val="21"/>
          <w:highlight w:val="none"/>
          <w:lang w:val="zh-CN"/>
        </w:rPr>
        <w:t>评标办法及开标程序</w:t>
      </w:r>
      <w:bookmarkEnd w:id="134"/>
      <w:bookmarkEnd w:id="135"/>
      <w:bookmarkEnd w:id="136"/>
      <w:bookmarkEnd w:id="137"/>
      <w:bookmarkEnd w:id="138"/>
      <w:bookmarkEnd w:id="139"/>
    </w:p>
    <w:p>
      <w:pPr>
        <w:autoSpaceDE w:val="0"/>
        <w:autoSpaceDN w:val="0"/>
        <w:adjustRightInd w:val="0"/>
        <w:snapToGrid w:val="0"/>
        <w:spacing w:line="360" w:lineRule="auto"/>
        <w:ind w:left="425"/>
        <w:outlineLvl w:val="1"/>
        <w:rPr>
          <w:rFonts w:hint="eastAsia" w:ascii="宋体" w:hAnsi="宋体" w:eastAsia="宋体" w:cs="宋体"/>
          <w:szCs w:val="21"/>
          <w:highlight w:val="none"/>
          <w:lang w:val="zh-CN"/>
        </w:rPr>
      </w:pPr>
      <w:bookmarkStart w:id="140" w:name="_Toc27253"/>
      <w:bookmarkStart w:id="141" w:name="_Toc28916"/>
      <w:r>
        <w:rPr>
          <w:rFonts w:hint="eastAsia" w:ascii="宋体" w:hAnsi="宋体" w:eastAsia="宋体" w:cs="宋体"/>
          <w:szCs w:val="21"/>
          <w:highlight w:val="none"/>
          <w:lang w:val="zh-CN"/>
        </w:rPr>
        <w:t>一、评标委员会的组成</w:t>
      </w:r>
      <w:bookmarkEnd w:id="140"/>
      <w:bookmarkEnd w:id="141"/>
    </w:p>
    <w:p>
      <w:pPr>
        <w:autoSpaceDE w:val="0"/>
        <w:autoSpaceDN w:val="0"/>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1.评标委员会由5人</w:t>
      </w:r>
      <w:r>
        <w:rPr>
          <w:rFonts w:hint="eastAsia" w:ascii="宋体" w:hAnsi="宋体" w:cs="宋体"/>
          <w:szCs w:val="21"/>
          <w:highlight w:val="none"/>
          <w:lang w:val="en-US" w:eastAsia="zh-CN"/>
        </w:rPr>
        <w:t>及以上单数</w:t>
      </w:r>
      <w:r>
        <w:rPr>
          <w:rFonts w:hint="eastAsia" w:ascii="宋体" w:hAnsi="宋体" w:eastAsia="宋体" w:cs="宋体"/>
          <w:szCs w:val="21"/>
          <w:highlight w:val="none"/>
        </w:rPr>
        <w:t>组成，由采购人依法组建。</w:t>
      </w:r>
    </w:p>
    <w:p>
      <w:pPr>
        <w:autoSpaceDE w:val="0"/>
        <w:autoSpaceDN w:val="0"/>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autoSpaceDE w:val="0"/>
        <w:autoSpaceDN w:val="0"/>
        <w:adjustRightInd w:val="0"/>
        <w:snapToGrid w:val="0"/>
        <w:spacing w:line="360" w:lineRule="auto"/>
        <w:ind w:left="425"/>
        <w:outlineLvl w:val="1"/>
        <w:rPr>
          <w:rFonts w:hint="eastAsia" w:ascii="宋体" w:hAnsi="宋体" w:eastAsia="宋体" w:cs="宋体"/>
          <w:szCs w:val="21"/>
          <w:highlight w:val="none"/>
          <w:lang w:val="zh-CN"/>
        </w:rPr>
      </w:pPr>
      <w:bookmarkStart w:id="142" w:name="_Toc3720"/>
      <w:bookmarkStart w:id="143" w:name="_Toc7455"/>
      <w:r>
        <w:rPr>
          <w:rFonts w:hint="eastAsia" w:ascii="宋体" w:hAnsi="宋体" w:eastAsia="宋体" w:cs="宋体"/>
          <w:szCs w:val="21"/>
          <w:highlight w:val="none"/>
          <w:lang w:val="zh-CN"/>
        </w:rPr>
        <w:t>二、评标原则</w:t>
      </w:r>
      <w:bookmarkEnd w:id="142"/>
      <w:bookmarkEnd w:id="143"/>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1.投标人得分由技术商务分和报价分合计组成，满分为100分。</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2.技术商务分与报价分合计得分最高者为第一中标候选人，总分相同时，价格低者优先，</w:t>
      </w:r>
      <w:r>
        <w:rPr>
          <w:rFonts w:hint="eastAsia" w:ascii="宋体" w:hAnsi="宋体" w:eastAsia="宋体" w:cs="宋体"/>
          <w:szCs w:val="21"/>
          <w:highlight w:val="none"/>
          <w:lang w:val="zh-CN"/>
        </w:rPr>
        <w:t>若最高总得分与报价均相同时，由采购人当场随机抽签选定第一中标候选人</w:t>
      </w:r>
      <w:r>
        <w:rPr>
          <w:rFonts w:hint="eastAsia" w:ascii="宋体" w:hAnsi="宋体" w:eastAsia="宋体" w:cs="宋体"/>
          <w:szCs w:val="21"/>
          <w:highlight w:val="none"/>
        </w:rPr>
        <w:t>。</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3.评标委员会根据招标文件和投标文件，结合技术商务评分细则对各投标人的商务技术文件进行评审。评标委员会各成员所评分值的算术平均值即为各投标人的技术商务分值（计算时四舍五入保留二位小数）。</w:t>
      </w:r>
    </w:p>
    <w:p>
      <w:pPr>
        <w:autoSpaceDE w:val="0"/>
        <w:autoSpaceDN w:val="0"/>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4.中标结果经采购人确认并经公示1个工作日无异议，采购代理机构发出《中标通知书》。</w:t>
      </w:r>
    </w:p>
    <w:p>
      <w:pPr>
        <w:autoSpaceDE w:val="0"/>
        <w:autoSpaceDN w:val="0"/>
        <w:adjustRightInd w:val="0"/>
        <w:snapToGrid w:val="0"/>
        <w:spacing w:line="360" w:lineRule="auto"/>
        <w:ind w:left="425"/>
        <w:outlineLvl w:val="1"/>
        <w:rPr>
          <w:rFonts w:hint="eastAsia" w:ascii="宋体" w:hAnsi="宋体" w:eastAsia="宋体" w:cs="宋体"/>
          <w:szCs w:val="21"/>
          <w:highlight w:val="none"/>
          <w:lang w:val="zh-CN"/>
        </w:rPr>
      </w:pPr>
      <w:bookmarkStart w:id="144" w:name="_Toc6886"/>
      <w:bookmarkStart w:id="145" w:name="_Toc4702"/>
      <w:r>
        <w:rPr>
          <w:rFonts w:hint="eastAsia" w:ascii="宋体" w:hAnsi="宋体" w:eastAsia="宋体" w:cs="宋体"/>
          <w:szCs w:val="21"/>
          <w:highlight w:val="none"/>
          <w:lang w:val="zh-CN"/>
        </w:rPr>
        <w:t>三、注意事项</w:t>
      </w:r>
      <w:bookmarkEnd w:id="144"/>
      <w:bookmarkEnd w:id="145"/>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同时采购代理机构应将该情况报同级财政部门，并视情将其列入不良供应商名单。</w:t>
      </w:r>
    </w:p>
    <w:p>
      <w:pPr>
        <w:autoSpaceDE w:val="0"/>
        <w:autoSpaceDN w:val="0"/>
        <w:adjustRightInd w:val="0"/>
        <w:snapToGrid w:val="0"/>
        <w:spacing w:line="360" w:lineRule="auto"/>
        <w:ind w:left="425"/>
        <w:outlineLvl w:val="1"/>
        <w:rPr>
          <w:rFonts w:hint="eastAsia" w:ascii="宋体" w:hAnsi="宋体" w:eastAsia="宋体" w:cs="宋体"/>
          <w:szCs w:val="21"/>
          <w:highlight w:val="none"/>
          <w:lang w:val="zh-CN"/>
        </w:rPr>
      </w:pPr>
      <w:bookmarkStart w:id="146" w:name="_Toc554"/>
      <w:bookmarkStart w:id="147" w:name="_Toc13406"/>
      <w:r>
        <w:rPr>
          <w:rFonts w:hint="eastAsia" w:ascii="宋体" w:hAnsi="宋体" w:eastAsia="宋体" w:cs="宋体"/>
          <w:szCs w:val="21"/>
          <w:highlight w:val="none"/>
          <w:lang w:val="zh-CN"/>
        </w:rPr>
        <w:t>四、评分标准</w:t>
      </w:r>
      <w:bookmarkEnd w:id="146"/>
      <w:bookmarkEnd w:id="147"/>
    </w:p>
    <w:tbl>
      <w:tblPr>
        <w:tblStyle w:val="23"/>
        <w:tblW w:w="9843" w:type="dxa"/>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90"/>
        <w:gridCol w:w="1215"/>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80" w:type="dxa"/>
            <w:noWrap/>
            <w:vAlign w:val="center"/>
          </w:tcPr>
          <w:p>
            <w:pPr>
              <w:widowControl/>
              <w:spacing w:line="360" w:lineRule="auto"/>
              <w:ind w:left="0" w:leftChars="0" w:firstLine="0" w:firstLineChars="0"/>
              <w:jc w:val="center"/>
              <w:textAlignment w:val="center"/>
              <w:rPr>
                <w:rFonts w:hint="eastAsia" w:ascii="宋体" w:hAnsi="宋体" w:eastAsia="宋体" w:cs="宋体"/>
                <w:b/>
                <w:bCs/>
                <w:color w:val="000000"/>
                <w:kern w:val="0"/>
                <w:sz w:val="21"/>
                <w:szCs w:val="21"/>
                <w:highlight w:val="none"/>
              </w:rPr>
            </w:pPr>
            <w:bookmarkStart w:id="148" w:name="_Toc356371476"/>
            <w:bookmarkStart w:id="149" w:name="_Toc3287"/>
            <w:bookmarkStart w:id="150" w:name="_Toc13363"/>
            <w:r>
              <w:rPr>
                <w:rFonts w:hint="eastAsia" w:ascii="宋体" w:hAnsi="宋体" w:eastAsia="宋体" w:cs="宋体"/>
                <w:b/>
                <w:bCs/>
                <w:color w:val="000000"/>
                <w:kern w:val="0"/>
                <w:sz w:val="21"/>
                <w:szCs w:val="21"/>
                <w:highlight w:val="none"/>
              </w:rPr>
              <w:t>序号</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评分内容</w:t>
            </w:r>
          </w:p>
        </w:tc>
        <w:tc>
          <w:tcPr>
            <w:tcW w:w="1215" w:type="dxa"/>
            <w:noWrap/>
            <w:vAlign w:val="center"/>
          </w:tcPr>
          <w:p>
            <w:pPr>
              <w:widowControl/>
              <w:spacing w:line="360" w:lineRule="auto"/>
              <w:ind w:left="0" w:leftChars="0" w:firstLine="0" w:firstLineChars="0"/>
              <w:jc w:val="center"/>
              <w:textAlignment w:val="center"/>
              <w:rPr>
                <w:rFonts w:hint="eastAsia" w:ascii="宋体" w:hAnsi="宋体" w:eastAsia="宋体" w:cs="宋体"/>
                <w:b/>
                <w:bCs/>
                <w:color w:val="000000"/>
                <w:kern w:val="0"/>
                <w:sz w:val="21"/>
                <w:szCs w:val="21"/>
                <w:highlight w:val="none"/>
                <w:lang w:eastAsia="zh-CN"/>
              </w:rPr>
            </w:pPr>
            <w:r>
              <w:rPr>
                <w:rFonts w:hint="eastAsia" w:ascii="宋体" w:hAnsi="宋体" w:eastAsia="宋体" w:cs="宋体"/>
                <w:b/>
                <w:bCs/>
                <w:color w:val="000000"/>
                <w:kern w:val="0"/>
                <w:sz w:val="21"/>
                <w:szCs w:val="21"/>
                <w:highlight w:val="none"/>
              </w:rPr>
              <w:t>分值</w:t>
            </w:r>
            <w:r>
              <w:rPr>
                <w:rFonts w:hint="eastAsia" w:ascii="宋体" w:hAnsi="宋体" w:eastAsia="宋体" w:cs="宋体"/>
                <w:b/>
                <w:bCs/>
                <w:color w:val="000000"/>
                <w:kern w:val="0"/>
                <w:sz w:val="21"/>
                <w:szCs w:val="21"/>
                <w:highlight w:val="none"/>
                <w:lang w:eastAsia="zh-CN"/>
              </w:rPr>
              <w:t>（分）</w:t>
            </w:r>
          </w:p>
        </w:tc>
        <w:tc>
          <w:tcPr>
            <w:tcW w:w="6558" w:type="dxa"/>
            <w:noWrap/>
            <w:vAlign w:val="center"/>
          </w:tcPr>
          <w:p>
            <w:pPr>
              <w:widowControl/>
              <w:spacing w:line="360" w:lineRule="auto"/>
              <w:ind w:left="0" w:leftChars="0" w:firstLine="0" w:firstLineChars="0"/>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780" w:type="dxa"/>
            <w:noWrap/>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业绩</w:t>
            </w:r>
          </w:p>
        </w:tc>
        <w:tc>
          <w:tcPr>
            <w:tcW w:w="1215" w:type="dxa"/>
            <w:noWrap/>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投标人自2020年1月1日以来（以合同签订时间为准）完成过同类项目业绩的，每提供1个得1分，最多得2分。</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注：须提供合同和验收合格报告（或其他能说明项目合格的资料）复印件并加盖投标人公章，是否为同类业绩由评审小组判定为准。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项目组成员</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1.项目负责人具有气象类</w:t>
            </w:r>
            <w:r>
              <w:rPr>
                <w:rFonts w:hint="eastAsia" w:ascii="宋体" w:hAnsi="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lang w:val="en-US" w:eastAsia="zh-CN"/>
              </w:rPr>
              <w:t>电子</w:t>
            </w:r>
            <w:r>
              <w:rPr>
                <w:rFonts w:hint="eastAsia" w:ascii="宋体" w:hAnsi="宋体" w:cs="宋体"/>
                <w:color w:val="000000"/>
                <w:kern w:val="0"/>
                <w:sz w:val="21"/>
                <w:szCs w:val="21"/>
                <w:highlight w:val="none"/>
                <w:lang w:val="en-US" w:eastAsia="zh-CN"/>
              </w:rPr>
              <w:t>类</w:t>
            </w:r>
            <w:r>
              <w:rPr>
                <w:rFonts w:hint="eastAsia" w:ascii="宋体" w:hAnsi="宋体" w:eastAsia="宋体" w:cs="宋体"/>
                <w:color w:val="000000"/>
                <w:kern w:val="0"/>
                <w:sz w:val="21"/>
                <w:szCs w:val="21"/>
                <w:highlight w:val="none"/>
                <w:lang w:val="en-US" w:eastAsia="zh-CN"/>
              </w:rPr>
              <w:t>高级工程师及以上职称的得3分，气象类</w:t>
            </w:r>
            <w:r>
              <w:rPr>
                <w:rFonts w:hint="eastAsia" w:ascii="宋体" w:hAnsi="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lang w:val="en-US" w:eastAsia="zh-CN"/>
              </w:rPr>
              <w:t>电子</w:t>
            </w:r>
            <w:r>
              <w:rPr>
                <w:rFonts w:hint="eastAsia" w:ascii="宋体" w:hAnsi="宋体" w:cs="宋体"/>
                <w:color w:val="000000"/>
                <w:kern w:val="0"/>
                <w:sz w:val="21"/>
                <w:szCs w:val="21"/>
                <w:highlight w:val="none"/>
                <w:lang w:val="en-US" w:eastAsia="zh-CN"/>
              </w:rPr>
              <w:t>类</w:t>
            </w:r>
            <w:r>
              <w:rPr>
                <w:rFonts w:hint="eastAsia" w:ascii="宋体" w:hAnsi="宋体" w:eastAsia="宋体" w:cs="宋体"/>
                <w:color w:val="000000"/>
                <w:kern w:val="0"/>
                <w:sz w:val="21"/>
                <w:szCs w:val="21"/>
                <w:highlight w:val="none"/>
                <w:lang w:val="en-US" w:eastAsia="zh-CN"/>
              </w:rPr>
              <w:t>工程师职称的得1分,其他不得分，最高得1分。</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注：须提供有效证书及近三个月内任意一个月在本单位所缴纳的社保证明复印件加盖投标人公章，否则不得分。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技术指标</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完全满足招标文件货物清单各项产品技术指标参数要求的得</w:t>
            </w:r>
            <w:r>
              <w:rPr>
                <w:rFonts w:hint="eastAsia" w:ascii="宋体" w:hAnsi="宋体" w:eastAsia="宋体" w:cs="宋体"/>
                <w:color w:val="000000"/>
                <w:kern w:val="0"/>
                <w:sz w:val="21"/>
                <w:szCs w:val="21"/>
                <w:highlight w:val="none"/>
                <w:lang w:val="en-US" w:eastAsia="zh-CN"/>
              </w:rPr>
              <w:t>20</w:t>
            </w:r>
            <w:r>
              <w:rPr>
                <w:rFonts w:hint="eastAsia" w:ascii="宋体" w:hAnsi="宋体" w:eastAsia="宋体" w:cs="宋体"/>
                <w:color w:val="000000"/>
                <w:kern w:val="0"/>
                <w:sz w:val="21"/>
                <w:szCs w:val="21"/>
                <w:highlight w:val="none"/>
                <w:lang w:val="zh-CN" w:eastAsia="zh-CN"/>
              </w:rPr>
              <w:t>分；每有一项负偏离扣</w:t>
            </w:r>
            <w:r>
              <w:rPr>
                <w:rFonts w:hint="eastAsia" w:ascii="宋体" w:hAnsi="宋体" w:eastAsia="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val="zh-CN" w:eastAsia="zh-CN"/>
              </w:rPr>
              <w:t>分（非</w:t>
            </w:r>
            <w:r>
              <w:rPr>
                <w:rFonts w:hint="eastAsia" w:ascii="仿宋" w:hAnsi="仿宋" w:eastAsia="仿宋" w:cs="仿宋"/>
                <w:color w:val="auto"/>
                <w:sz w:val="21"/>
                <w:szCs w:val="21"/>
                <w:highlight w:val="none"/>
              </w:rPr>
              <w:t>★</w:t>
            </w:r>
            <w:r>
              <w:rPr>
                <w:rFonts w:hint="eastAsia" w:ascii="宋体" w:hAnsi="宋体" w:eastAsia="宋体" w:cs="宋体"/>
                <w:color w:val="000000"/>
                <w:kern w:val="0"/>
                <w:sz w:val="21"/>
                <w:szCs w:val="21"/>
                <w:highlight w:val="none"/>
                <w:lang w:val="zh-CN" w:eastAsia="zh-CN"/>
              </w:rPr>
              <w:t>的参数），扣完为止（</w:t>
            </w:r>
            <w:r>
              <w:rPr>
                <w:rFonts w:hint="eastAsia" w:ascii="宋体" w:hAnsi="宋体" w:eastAsia="宋体" w:cs="宋体"/>
                <w:color w:val="000000"/>
                <w:kern w:val="0"/>
                <w:sz w:val="21"/>
                <w:szCs w:val="21"/>
                <w:highlight w:val="none"/>
                <w:lang w:val="en-US" w:eastAsia="zh-CN"/>
              </w:rPr>
              <w:t>20</w:t>
            </w:r>
            <w:r>
              <w:rPr>
                <w:rFonts w:hint="eastAsia" w:ascii="宋体" w:hAnsi="宋体" w:eastAsia="宋体" w:cs="宋体"/>
                <w:color w:val="000000"/>
                <w:kern w:val="0"/>
                <w:sz w:val="21"/>
                <w:szCs w:val="21"/>
                <w:highlight w:val="none"/>
                <w:lang w:val="zh-CN" w:eastAsia="zh-CN"/>
              </w:rPr>
              <w:t>项（含）以上负偏离的视为实质性偏离作无效投标）。每有一项负偏离扣</w:t>
            </w:r>
            <w:r>
              <w:rPr>
                <w:rFonts w:hint="eastAsia" w:ascii="宋体" w:hAnsi="宋体" w:eastAsia="宋体" w:cs="宋体"/>
                <w:color w:val="000000"/>
                <w:kern w:val="0"/>
                <w:sz w:val="21"/>
                <w:szCs w:val="21"/>
                <w:highlight w:val="none"/>
                <w:lang w:val="en-US" w:eastAsia="zh-CN"/>
              </w:rPr>
              <w:t>2</w:t>
            </w:r>
            <w:r>
              <w:rPr>
                <w:rFonts w:hint="eastAsia" w:ascii="宋体" w:hAnsi="宋体" w:eastAsia="宋体" w:cs="宋体"/>
                <w:color w:val="000000"/>
                <w:kern w:val="0"/>
                <w:sz w:val="21"/>
                <w:szCs w:val="21"/>
                <w:highlight w:val="none"/>
                <w:lang w:val="zh-CN" w:eastAsia="zh-CN"/>
              </w:rPr>
              <w:t>分（</w:t>
            </w:r>
            <w:r>
              <w:rPr>
                <w:rFonts w:hint="eastAsia" w:ascii="仿宋" w:hAnsi="仿宋" w:eastAsia="仿宋" w:cs="仿宋"/>
                <w:color w:val="auto"/>
                <w:sz w:val="21"/>
                <w:szCs w:val="21"/>
                <w:highlight w:val="none"/>
              </w:rPr>
              <w:t>★</w:t>
            </w:r>
            <w:r>
              <w:rPr>
                <w:rFonts w:hint="eastAsia" w:ascii="宋体" w:hAnsi="宋体" w:eastAsia="宋体" w:cs="宋体"/>
                <w:color w:val="000000"/>
                <w:kern w:val="0"/>
                <w:sz w:val="21"/>
                <w:szCs w:val="21"/>
                <w:highlight w:val="none"/>
                <w:lang w:val="zh-CN" w:eastAsia="zh-CN"/>
              </w:rPr>
              <w:t>的参数），扣完为止。</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注：1）</w:t>
            </w:r>
            <w:r>
              <w:rPr>
                <w:rFonts w:hint="eastAsia" w:ascii="宋体" w:hAnsi="宋体" w:eastAsia="宋体" w:cs="宋体"/>
                <w:color w:val="000000"/>
                <w:kern w:val="0"/>
                <w:sz w:val="21"/>
                <w:szCs w:val="21"/>
                <w:highlight w:val="none"/>
                <w:lang w:val="zh-CN" w:eastAsia="zh-CN"/>
              </w:rPr>
              <w:t>投标人应对每个指标和要求项的偏离情况做应答，遗漏视为负偏离，如有偏离，必须在技术偏离表中进行详细对比说明并注明正、负偏离。</w:t>
            </w:r>
            <w:r>
              <w:rPr>
                <w:rFonts w:hint="eastAsia" w:ascii="宋体" w:hAnsi="宋体" w:eastAsia="宋体" w:cs="宋体"/>
                <w:color w:val="000000"/>
                <w:kern w:val="0"/>
                <w:sz w:val="21"/>
                <w:szCs w:val="21"/>
                <w:highlight w:val="none"/>
                <w:lang w:val="en-US" w:eastAsia="zh-CN"/>
              </w:rPr>
              <w:t>2）</w:t>
            </w:r>
            <w:r>
              <w:rPr>
                <w:rFonts w:hint="eastAsia" w:ascii="宋体" w:hAnsi="宋体" w:eastAsia="宋体" w:cs="宋体"/>
                <w:color w:val="000000"/>
                <w:kern w:val="0"/>
                <w:sz w:val="21"/>
                <w:szCs w:val="21"/>
                <w:highlight w:val="none"/>
                <w:lang w:val="zh-CN" w:eastAsia="zh-CN"/>
              </w:rPr>
              <w:t>产品技术参数描述按要求提供检测报告</w:t>
            </w:r>
            <w:r>
              <w:rPr>
                <w:rFonts w:hint="eastAsia" w:ascii="宋体" w:hAnsi="宋体" w:eastAsia="宋体" w:cs="宋体"/>
                <w:color w:val="000000"/>
                <w:kern w:val="0"/>
                <w:sz w:val="21"/>
                <w:szCs w:val="21"/>
                <w:highlight w:val="none"/>
                <w:lang w:val="en-US" w:eastAsia="zh-CN"/>
              </w:rPr>
              <w:t>或</w:t>
            </w:r>
            <w:r>
              <w:rPr>
                <w:rFonts w:hint="eastAsia" w:ascii="宋体" w:hAnsi="宋体" w:eastAsia="宋体" w:cs="宋体"/>
                <w:color w:val="000000"/>
                <w:kern w:val="0"/>
                <w:sz w:val="21"/>
                <w:szCs w:val="21"/>
                <w:highlight w:val="none"/>
                <w:lang w:val="zh-CN" w:eastAsia="zh-CN"/>
              </w:rPr>
              <w:t>截图</w:t>
            </w:r>
            <w:r>
              <w:rPr>
                <w:rFonts w:hint="eastAsia" w:ascii="宋体" w:hAnsi="宋体" w:eastAsia="宋体" w:cs="宋体"/>
                <w:color w:val="000000"/>
                <w:kern w:val="0"/>
                <w:sz w:val="21"/>
                <w:szCs w:val="21"/>
                <w:highlight w:val="none"/>
                <w:lang w:val="en-US" w:eastAsia="zh-CN"/>
              </w:rPr>
              <w:t>或其他</w:t>
            </w:r>
            <w:r>
              <w:rPr>
                <w:rFonts w:hint="eastAsia" w:ascii="宋体" w:hAnsi="宋体" w:eastAsia="宋体" w:cs="宋体"/>
                <w:color w:val="000000"/>
                <w:kern w:val="0"/>
                <w:sz w:val="21"/>
                <w:szCs w:val="21"/>
                <w:highlight w:val="none"/>
                <w:lang w:val="zh-CN" w:eastAsia="zh-CN"/>
              </w:rPr>
              <w:t>等资料，未提供或缺少提供都将作为负偏离</w:t>
            </w:r>
            <w:r>
              <w:rPr>
                <w:rFonts w:hint="eastAsia" w:ascii="宋体" w:hAnsi="宋体" w:eastAsia="宋体" w:cs="宋体"/>
                <w:color w:val="000000"/>
                <w:kern w:val="0"/>
                <w:sz w:val="21"/>
                <w:szCs w:val="21"/>
                <w:highlight w:val="none"/>
                <w:lang w:val="en-US" w:eastAsia="zh-CN"/>
              </w:rPr>
              <w:t>处理</w:t>
            </w:r>
            <w:r>
              <w:rPr>
                <w:rFonts w:hint="eastAsia" w:ascii="宋体" w:hAnsi="宋体" w:eastAsia="宋体" w:cs="宋体"/>
                <w:color w:val="000000"/>
                <w:kern w:val="0"/>
                <w:sz w:val="21"/>
                <w:szCs w:val="21"/>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对局地小尺度天气系统的探测识别能力</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对局地小尺度天气系统的探测识别能力，是衡量相控阵天气雷达综合技术性能的重要标准。</w:t>
            </w:r>
            <w:r>
              <w:rPr>
                <w:rFonts w:hint="eastAsia" w:ascii="宋体" w:hAnsi="宋体" w:eastAsia="宋体" w:cs="宋体"/>
                <w:color w:val="000000"/>
                <w:kern w:val="0"/>
                <w:sz w:val="21"/>
                <w:szCs w:val="21"/>
                <w:highlight w:val="none"/>
              </w:rPr>
              <w:t>要求投标人提供投标产品在实际业务中至少三台雷达组网运行的探测识别案例及相关产品方案，应写明案例时间、地区、雷达台站位置和用户单位联系人等信息</w:t>
            </w:r>
            <w:r>
              <w:rPr>
                <w:rFonts w:hint="eastAsia" w:ascii="宋体" w:hAnsi="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评审专家根据投标人提供的双偏振（双极化）相控阵天气雷达对局地小尺度天气系统（龙卷、冰雹、下击暴流、阵风锋）探测识别能力进行综合评分</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探测识别效果好、种类全、相关产品方案可行性高的得5分；探测识别效果一般、种类</w:t>
            </w:r>
            <w:r>
              <w:rPr>
                <w:rFonts w:hint="eastAsia" w:ascii="宋体" w:hAnsi="宋体" w:cs="宋体"/>
                <w:color w:val="000000"/>
                <w:kern w:val="0"/>
                <w:sz w:val="21"/>
                <w:szCs w:val="21"/>
                <w:highlight w:val="none"/>
                <w:lang w:val="en-US" w:eastAsia="zh-CN"/>
              </w:rPr>
              <w:t>不全</w:t>
            </w:r>
            <w:r>
              <w:rPr>
                <w:rFonts w:hint="eastAsia" w:ascii="宋体" w:hAnsi="宋体" w:eastAsia="宋体" w:cs="宋体"/>
                <w:color w:val="000000"/>
                <w:kern w:val="0"/>
                <w:sz w:val="21"/>
                <w:szCs w:val="21"/>
                <w:highlight w:val="none"/>
                <w:lang w:val="en-US" w:eastAsia="zh-CN"/>
              </w:rPr>
              <w:t>、相关产品方案可行性较好的得3分；探测识别效果差、种类</w:t>
            </w:r>
            <w:r>
              <w:rPr>
                <w:rFonts w:hint="eastAsia" w:ascii="宋体" w:hAnsi="宋体" w:cs="宋体"/>
                <w:color w:val="000000"/>
                <w:kern w:val="0"/>
                <w:sz w:val="21"/>
                <w:szCs w:val="21"/>
                <w:highlight w:val="none"/>
                <w:lang w:val="en-US" w:eastAsia="zh-CN"/>
              </w:rPr>
              <w:t>少</w:t>
            </w:r>
            <w:r>
              <w:rPr>
                <w:rFonts w:hint="eastAsia" w:ascii="宋体" w:hAnsi="宋体" w:eastAsia="宋体" w:cs="宋体"/>
                <w:color w:val="000000"/>
                <w:kern w:val="0"/>
                <w:sz w:val="21"/>
                <w:szCs w:val="21"/>
                <w:highlight w:val="none"/>
                <w:lang w:val="en-US" w:eastAsia="zh-CN"/>
              </w:rPr>
              <w:t>、相关产品方案可行性差的得1分；未提供探测识别案例及相关产品方案的不得分。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防雷安全整体解决方案</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根据投标人提供的防雷安全整体解决方案内容综合评审，包括但不限于：</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①应对本项目中可能遭受到雷击的相关设施进行雷灾技术分析，并给出意见和防范措施（0-2分）</w:t>
            </w:r>
            <w:r>
              <w:rPr>
                <w:rFonts w:hint="eastAsia" w:ascii="宋体" w:hAnsi="宋体" w:cs="宋体"/>
                <w:color w:val="000000"/>
                <w:kern w:val="0"/>
                <w:sz w:val="21"/>
                <w:szCs w:val="21"/>
                <w:highlight w:val="none"/>
                <w:lang w:val="en-US" w:eastAsia="zh-CN"/>
              </w:rPr>
              <w:t>，内容完善详细，合理可行，能完全满足客户需求得2分，内容较完善描述较简单方案可行得1分，内容有欠缺基本满足需求得0.5分，不合理不得分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②雷电防御相关知识及维护要求的技术培训等内容，其内容描述合理且具有针对性和可行性，内容需完整、详细、规范，无表述不一致问题（0-1分）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项目实施方案</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根据投标人提供的项目实施方案内容综合评审，包括但不限于：</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①产品供货前准备工作（0-1分）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②工作时间进度表和保障措施（0-1分）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③工作程序和步骤（0-1分）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④基础设施建设的安全方案（0-1分）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⑤安装调试方案（0-1分）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⑥项目实施中的重点难点分析及解决方案（0-1分）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7</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培训计划</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根据投标人提供的培训服务方案内容综合评审，包括但不限于：</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①培训大纲、课表及授课人情况（0-1分）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②培训手册，包含封面、目录、主要内容（0-1分）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③详细培训计划和培训效果保障措施（0-2分）</w:t>
            </w:r>
            <w:r>
              <w:rPr>
                <w:rFonts w:hint="eastAsia" w:ascii="宋体" w:hAnsi="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lang w:val="en-US" w:eastAsia="zh-CN"/>
              </w:rPr>
              <w:t>内容完善详细，合理可行，能完全满足客户需求得2分，内容较完善描述较简单方案可行得1分，内容有欠缺基本满足需求得0.5分，不合理不得分。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8</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项目服务管理方案</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根据投标人提供的项目服务管理方案内容综合评审，包括但不限于：</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①管理和协调方法（0-1.5分）</w:t>
            </w:r>
            <w:r>
              <w:rPr>
                <w:rFonts w:hint="eastAsia" w:ascii="宋体" w:hAnsi="宋体" w:cs="宋体"/>
                <w:color w:val="000000"/>
                <w:kern w:val="0"/>
                <w:sz w:val="21"/>
                <w:szCs w:val="21"/>
                <w:highlight w:val="none"/>
                <w:lang w:val="en-US" w:eastAsia="zh-CN"/>
              </w:rPr>
              <w:t>，内容完善详细，合理可行，能完全满足客户需求得1.5分，内容较完善描述较简单方案可行得1分，内容有欠缺基本满足需求得0.5分，不合理不得分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②关键步骤的思路和要点（0-1.5分）</w:t>
            </w:r>
            <w:r>
              <w:rPr>
                <w:rFonts w:hint="eastAsia" w:ascii="宋体" w:hAnsi="宋体" w:cs="宋体"/>
                <w:color w:val="000000"/>
                <w:kern w:val="0"/>
                <w:sz w:val="21"/>
                <w:szCs w:val="21"/>
                <w:highlight w:val="none"/>
                <w:lang w:val="en-US" w:eastAsia="zh-CN"/>
              </w:rPr>
              <w:t>，内容完善详细，合理可行，能完全满足客户需求得1.5分，内容较完善描述较简单方案可行得1分，内容有欠缺基本满足需求得0.5分，不合理不得分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③项目验收方案（0-2分）</w:t>
            </w:r>
            <w:r>
              <w:rPr>
                <w:rFonts w:hint="eastAsia" w:ascii="宋体" w:hAnsi="宋体" w:cs="宋体"/>
                <w:color w:val="000000"/>
                <w:kern w:val="0"/>
                <w:sz w:val="21"/>
                <w:szCs w:val="21"/>
                <w:highlight w:val="none"/>
                <w:lang w:val="en-US" w:eastAsia="zh-CN"/>
              </w:rPr>
              <w:t>，内容完善详细，合理可行，能完全满足客户需求得2分，内容较完善描述较简单方案可行得1分，内容有欠缺基本满足需求得0.5分，不合理不得分</w:t>
            </w:r>
            <w:r>
              <w:rPr>
                <w:rFonts w:hint="eastAsia" w:ascii="宋体" w:hAnsi="宋体" w:eastAsia="宋体" w:cs="宋体"/>
                <w:color w:val="000000"/>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9</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项目质量监控方案</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根据投标人提供的项目质量监控方案内容综合评审，包括但不限于：</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①主要质量控制措施（0-1分）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②质量管理体系建立及运行情况（0-1分）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③项目的质量保证措施（0-1分）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④产品实现质量控制措施及监控措施（0-1分）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⑤产品维护及售后服务质量保证措施（0-1分）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10</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售后服务</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根据投标人提供的售后服务方案内容进行综合评审，包括但不限于：</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①服务内容(0-1分）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②售后服务人员安排（人员具有与采购产品检查、维修、维保相关的工作经验）(0-1分）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③应急预案分析及应对措施(0-1分）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④设备故障处置响应的及时性(0-1分）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⑤巡检计划(0-1分）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⑥投标产品的配件、附件、备品备件情况(0-1分）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以上其内容描述合理且具有针对性、可行性、完整性情况进行打分。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雷达组网方案</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根据投标人所投产品与周边地区（</w:t>
            </w:r>
            <w:r>
              <w:rPr>
                <w:rFonts w:hint="eastAsia" w:ascii="宋体" w:hAnsi="宋体" w:cs="宋体"/>
                <w:color w:val="000000"/>
                <w:kern w:val="0"/>
                <w:sz w:val="21"/>
                <w:szCs w:val="21"/>
                <w:highlight w:val="none"/>
                <w:lang w:val="en-US" w:eastAsia="zh-CN"/>
              </w:rPr>
              <w:t>衢江、常山、龙游、江山、开化</w:t>
            </w:r>
            <w:r>
              <w:rPr>
                <w:rFonts w:hint="eastAsia" w:ascii="宋体" w:hAnsi="宋体" w:eastAsia="宋体" w:cs="宋体"/>
                <w:color w:val="000000"/>
                <w:kern w:val="0"/>
                <w:sz w:val="21"/>
                <w:szCs w:val="21"/>
                <w:highlight w:val="none"/>
                <w:lang w:val="en-US" w:eastAsia="zh-CN"/>
              </w:rPr>
              <w:t>等）拟布设的雷达组网方案，</w:t>
            </w:r>
            <w:r>
              <w:rPr>
                <w:rFonts w:hint="eastAsia" w:ascii="宋体" w:hAnsi="宋体" w:cs="宋体"/>
                <w:color w:val="000000"/>
                <w:kern w:val="0"/>
                <w:sz w:val="21"/>
                <w:szCs w:val="21"/>
                <w:highlight w:val="none"/>
                <w:lang w:val="en-US" w:eastAsia="zh-CN"/>
              </w:rPr>
              <w:t>需要投标人</w:t>
            </w:r>
            <w:r>
              <w:rPr>
                <w:rFonts w:hint="eastAsia"/>
                <w:highlight w:val="none"/>
              </w:rPr>
              <w:t>提供至少三部投标产品雷达实际业务协同组网观测案例，案例应写明案例时间、地区、雷达台站位置和用户单位联系人等信息</w:t>
            </w:r>
            <w:r>
              <w:rPr>
                <w:rFonts w:hint="eastAsia"/>
                <w:highlight w:val="none"/>
                <w:lang w:eastAsia="zh-CN"/>
              </w:rPr>
              <w:t>，</w:t>
            </w:r>
            <w:r>
              <w:rPr>
                <w:rFonts w:hint="eastAsia" w:ascii="宋体" w:hAnsi="宋体" w:eastAsia="宋体" w:cs="宋体"/>
                <w:color w:val="000000"/>
                <w:kern w:val="0"/>
                <w:sz w:val="21"/>
                <w:szCs w:val="21"/>
                <w:highlight w:val="none"/>
                <w:lang w:val="en-US" w:eastAsia="zh-CN"/>
              </w:rPr>
              <w:t>雷达组网方案包括但不限于</w:t>
            </w:r>
            <w:r>
              <w:rPr>
                <w:rFonts w:hint="eastAsia" w:ascii="宋体" w:hAnsi="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①需求分析（0-1分）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②实施内容详细介绍（0-1分）</w:t>
            </w:r>
            <w:r>
              <w:rPr>
                <w:rFonts w:hint="eastAsia" w:ascii="宋体" w:hAnsi="宋体" w:cs="宋体"/>
                <w:color w:val="000000"/>
                <w:kern w:val="0"/>
                <w:sz w:val="21"/>
                <w:szCs w:val="21"/>
                <w:highlight w:val="none"/>
                <w:lang w:val="en-US" w:eastAsia="zh-CN"/>
              </w:rPr>
              <w:t>，内容完善详细，合理可行，能完全满足客户需求得1分，内容较完善描述较简单方案可行得0.5分，内容有欠缺基本满足需求得0.3分，不合理不得分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firstLine="0"/>
              <w:jc w:val="left"/>
              <w:textAlignment w:val="center"/>
              <w:rPr>
                <w:rFonts w:hint="eastAsia"/>
                <w:highlight w:val="none"/>
                <w:lang w:val="en-US" w:eastAsia="zh-CN"/>
              </w:rPr>
            </w:pPr>
            <w:r>
              <w:rPr>
                <w:rFonts w:hint="eastAsia" w:ascii="宋体" w:hAnsi="宋体" w:eastAsia="宋体" w:cs="宋体"/>
                <w:color w:val="000000"/>
                <w:kern w:val="0"/>
                <w:sz w:val="21"/>
                <w:szCs w:val="21"/>
                <w:highlight w:val="none"/>
                <w:lang w:val="en-US" w:eastAsia="zh-CN"/>
              </w:rPr>
              <w:t>③方案可行性（0-2分）等进行综合评分</w:t>
            </w:r>
            <w:r>
              <w:rPr>
                <w:rFonts w:hint="eastAsia" w:ascii="宋体" w:hAnsi="宋体" w:cs="宋体"/>
                <w:color w:val="000000"/>
                <w:kern w:val="0"/>
                <w:sz w:val="21"/>
                <w:szCs w:val="21"/>
                <w:highlight w:val="none"/>
                <w:lang w:val="en-US" w:eastAsia="zh-CN"/>
              </w:rPr>
              <w:t>，内容完善详细，合理可行，能完全满足客户需求得2分，内容较完善描述较简单方案可行得1分，内容有欠缺基本满足需求得0.5分，不合理不得分</w:t>
            </w:r>
            <w:r>
              <w:rPr>
                <w:rFonts w:hint="eastAsia" w:ascii="宋体" w:hAnsi="宋体" w:eastAsia="宋体" w:cs="宋体"/>
                <w:color w:val="000000"/>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12</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Cs w:val="21"/>
                <w:highlight w:val="none"/>
              </w:rPr>
              <w:t>X波段双偏振相控阵天气雷达监测预警系统技术方案</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根据投标人提供的</w:t>
            </w:r>
            <w:r>
              <w:rPr>
                <w:rFonts w:hint="eastAsia" w:ascii="宋体" w:hAnsi="宋体" w:cs="宋体"/>
                <w:color w:val="000000"/>
                <w:kern w:val="0"/>
                <w:szCs w:val="21"/>
                <w:highlight w:val="none"/>
              </w:rPr>
              <w:t>X波段双偏振相控阵天气雷达监测预警系统技术方案</w:t>
            </w:r>
            <w:r>
              <w:rPr>
                <w:rFonts w:hint="eastAsia" w:ascii="宋体" w:hAnsi="宋体" w:eastAsia="宋体" w:cs="宋体"/>
                <w:color w:val="000000"/>
                <w:kern w:val="0"/>
                <w:sz w:val="21"/>
                <w:szCs w:val="21"/>
                <w:highlight w:val="none"/>
                <w:lang w:val="en-US" w:eastAsia="zh-CN"/>
              </w:rPr>
              <w:t>方案</w:t>
            </w:r>
            <w:r>
              <w:rPr>
                <w:rFonts w:hint="eastAsia" w:ascii="宋体" w:hAnsi="宋体" w:cs="宋体"/>
                <w:color w:val="000000"/>
                <w:kern w:val="0"/>
                <w:sz w:val="21"/>
                <w:szCs w:val="21"/>
                <w:highlight w:val="none"/>
                <w:lang w:val="en-US" w:eastAsia="zh-CN"/>
              </w:rPr>
              <w:t>，投标人需提</w:t>
            </w:r>
            <w:r>
              <w:rPr>
                <w:rFonts w:hint="eastAsia" w:ascii="宋体" w:hAnsi="宋体" w:eastAsia="宋体" w:cs="宋体"/>
                <w:color w:val="000000"/>
                <w:kern w:val="0"/>
                <w:sz w:val="21"/>
                <w:szCs w:val="21"/>
                <w:highlight w:val="none"/>
              </w:rPr>
              <w:t>供至少三部投标产品雷达组网应用示例</w:t>
            </w:r>
            <w:r>
              <w:rPr>
                <w:rFonts w:hint="eastAsia" w:ascii="宋体" w:hAnsi="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应用示例应写明时间、地区、雷达台站位置和用户单位联系人等信息</w:t>
            </w:r>
            <w:r>
              <w:rPr>
                <w:rFonts w:hint="eastAsia" w:ascii="宋体" w:hAnsi="宋体" w:cs="宋体"/>
                <w:color w:val="000000"/>
                <w:kern w:val="0"/>
                <w:sz w:val="21"/>
                <w:szCs w:val="21"/>
                <w:highlight w:val="none"/>
                <w:lang w:eastAsia="zh-CN"/>
              </w:rPr>
              <w:t>，</w:t>
            </w:r>
            <w:r>
              <w:rPr>
                <w:rFonts w:hint="eastAsia" w:ascii="宋体" w:hAnsi="宋体" w:cs="宋体"/>
                <w:color w:val="000000"/>
                <w:kern w:val="0"/>
                <w:sz w:val="21"/>
                <w:szCs w:val="21"/>
                <w:highlight w:val="none"/>
                <w:lang w:val="en-US" w:eastAsia="zh-CN"/>
              </w:rPr>
              <w:t>技术方案包括但不限于：</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①雷达硬件产品设计特点（0-3分）</w:t>
            </w:r>
            <w:r>
              <w:rPr>
                <w:rFonts w:hint="eastAsia" w:ascii="宋体" w:hAnsi="宋体" w:cs="宋体"/>
                <w:color w:val="000000"/>
                <w:kern w:val="0"/>
                <w:sz w:val="21"/>
                <w:szCs w:val="21"/>
                <w:highlight w:val="none"/>
                <w:lang w:val="en-US" w:eastAsia="zh-CN"/>
              </w:rPr>
              <w:t>，内容完善详细，合理可行，能完全满足客户需求得3分，内容较完善描述较简单方案可行得2分，内容有欠缺基本满足需求得1分，不合理不得分</w:t>
            </w:r>
            <w:r>
              <w:rPr>
                <w:rFonts w:hint="eastAsia" w:ascii="宋体" w:hAnsi="宋体" w:eastAsia="宋体" w:cs="宋体"/>
                <w:color w:val="000000"/>
                <w:kern w:val="0"/>
                <w:sz w:val="21"/>
                <w:szCs w:val="21"/>
                <w:highlight w:val="none"/>
                <w:lang w:val="en-US" w:eastAsia="zh-CN"/>
              </w:rPr>
              <w:t>。</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②雷达软件产品设计特点的完整性、先进性（0-2分）</w:t>
            </w:r>
            <w:r>
              <w:rPr>
                <w:rFonts w:hint="eastAsia" w:ascii="宋体" w:hAnsi="宋体" w:cs="宋体"/>
                <w:color w:val="000000"/>
                <w:kern w:val="0"/>
                <w:sz w:val="21"/>
                <w:szCs w:val="21"/>
                <w:highlight w:val="none"/>
                <w:lang w:val="en-US" w:eastAsia="zh-CN"/>
              </w:rPr>
              <w:t>，内容完善详细，合理可行，能完全满足客户需求得2分，内容较完善描述较简单方案可行得1分，内容有欠缺基本满足需求得0.5分，不合理不得分</w:t>
            </w:r>
            <w:r>
              <w:rPr>
                <w:rFonts w:hint="eastAsia" w:ascii="宋体" w:hAnsi="宋体" w:eastAsia="宋体" w:cs="宋体"/>
                <w:color w:val="000000"/>
                <w:kern w:val="0"/>
                <w:sz w:val="21"/>
                <w:szCs w:val="21"/>
                <w:highlight w:val="none"/>
                <w:lang w:val="en-US" w:eastAsia="zh-CN"/>
              </w:rPr>
              <w:t>。不提供的不得分。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13</w:t>
            </w:r>
          </w:p>
        </w:tc>
        <w:tc>
          <w:tcPr>
            <w:tcW w:w="1290" w:type="dxa"/>
            <w:noWrap w:val="0"/>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政策分</w:t>
            </w:r>
          </w:p>
        </w:tc>
        <w:tc>
          <w:tcPr>
            <w:tcW w:w="1215" w:type="dxa"/>
            <w:noWrap/>
            <w:vAlign w:val="center"/>
          </w:tcPr>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w:t>
            </w:r>
          </w:p>
        </w:tc>
        <w:tc>
          <w:tcPr>
            <w:tcW w:w="6558" w:type="dxa"/>
            <w:noWrap w:val="0"/>
            <w:vAlign w:val="center"/>
          </w:tcPr>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1.投标产品属于品目清单范围且提供国家确定的认证机构出具的处于有效期之内的节能产品认证证书（扫描件加盖公章）的得1分；</w:t>
            </w:r>
          </w:p>
          <w:p>
            <w:pPr>
              <w:widowControl/>
              <w:spacing w:line="360" w:lineRule="auto"/>
              <w:ind w:left="0" w:leftChars="0" w:firstLine="0" w:firstLineChars="0"/>
              <w:jc w:val="left"/>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2.投标产品属于品目清单范围且提供国家确定的认证机构出具的处于有效期之内的环境标志产品认证证书（扫描件加盖公章）的得1分。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780"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14</w:t>
            </w:r>
          </w:p>
        </w:tc>
        <w:tc>
          <w:tcPr>
            <w:tcW w:w="1290" w:type="dxa"/>
            <w:noWrap w:val="0"/>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报价分</w:t>
            </w:r>
          </w:p>
        </w:tc>
        <w:tc>
          <w:tcPr>
            <w:tcW w:w="1215" w:type="dxa"/>
            <w:noWrap/>
            <w:vAlign w:val="center"/>
          </w:tcPr>
          <w:p>
            <w:pPr>
              <w:widowControl/>
              <w:spacing w:line="360" w:lineRule="auto"/>
              <w:ind w:left="0" w:leftChars="0"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30</w:t>
            </w:r>
          </w:p>
        </w:tc>
        <w:tc>
          <w:tcPr>
            <w:tcW w:w="6558" w:type="dxa"/>
            <w:noWrap w:val="0"/>
            <w:vAlign w:val="center"/>
          </w:tcPr>
          <w:p>
            <w:pPr>
              <w:keepNext w:val="0"/>
              <w:keepLines w:val="0"/>
              <w:pageBreakBefore w:val="0"/>
              <w:widowControl w:val="0"/>
              <w:kinsoku/>
              <w:wordWrap/>
              <w:overflowPunct/>
              <w:topLinePunct w:val="0"/>
              <w:autoSpaceDE/>
              <w:autoSpaceDN/>
              <w:bidi w:val="0"/>
              <w:spacing w:line="360"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评标基准价=满足招标文件要求且“参与评审的价格”中最低的价格为评标基准价</w:t>
            </w:r>
          </w:p>
          <w:p>
            <w:pPr>
              <w:keepNext w:val="0"/>
              <w:keepLines w:val="0"/>
              <w:pageBreakBefore w:val="0"/>
              <w:widowControl w:val="0"/>
              <w:kinsoku/>
              <w:wordWrap/>
              <w:overflowPunct/>
              <w:topLinePunct w:val="0"/>
              <w:autoSpaceDE/>
              <w:autoSpaceDN/>
              <w:bidi w:val="0"/>
              <w:spacing w:line="360"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基准价得分为满分3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分，其他供应商报价得分计算公式如下：</w:t>
            </w:r>
          </w:p>
          <w:p>
            <w:pPr>
              <w:widowControl/>
              <w:spacing w:line="360" w:lineRule="auto"/>
              <w:ind w:left="0" w:leftChars="0"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auto"/>
                <w:sz w:val="21"/>
                <w:szCs w:val="21"/>
                <w:highlight w:val="none"/>
              </w:rPr>
              <w:t>其他供应商报价得分=（评标基准价/参与评审的价格）×</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%×100</w:t>
            </w:r>
          </w:p>
        </w:tc>
      </w:tr>
    </w:tbl>
    <w:p>
      <w:pPr>
        <w:autoSpaceDE w:val="0"/>
        <w:autoSpaceDN w:val="0"/>
        <w:adjustRightInd w:val="0"/>
        <w:snapToGrid w:val="0"/>
        <w:spacing w:line="360" w:lineRule="auto"/>
        <w:ind w:left="425"/>
        <w:outlineLvl w:val="1"/>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五、开评标程序</w:t>
      </w:r>
      <w:bookmarkEnd w:id="148"/>
      <w:bookmarkEnd w:id="149"/>
      <w:bookmarkEnd w:id="150"/>
    </w:p>
    <w:p>
      <w:pPr>
        <w:snapToGrid w:val="0"/>
        <w:spacing w:line="360" w:lineRule="auto"/>
        <w:ind w:firstLine="420" w:firstLineChars="200"/>
        <w:rPr>
          <w:rFonts w:hint="eastAsia" w:ascii="宋体" w:hAnsi="宋体" w:eastAsia="宋体" w:cs="宋体"/>
          <w:color w:val="auto"/>
          <w:szCs w:val="21"/>
          <w:highlight w:val="none"/>
        </w:rPr>
      </w:pPr>
      <w:bookmarkStart w:id="151" w:name="_Toc31486"/>
      <w:r>
        <w:rPr>
          <w:rFonts w:hint="eastAsia" w:ascii="宋体" w:hAnsi="宋体" w:eastAsia="宋体" w:cs="宋体"/>
          <w:color w:val="auto"/>
          <w:szCs w:val="21"/>
          <w:highlight w:val="none"/>
        </w:rPr>
        <w:t>1.开标第一阶段</w:t>
      </w:r>
    </w:p>
    <w:p>
      <w:pPr>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（2）投标文件解密结束，通过邮件形式发送各投标人组织签署《政府采购活动现场确认声明书》；</w:t>
      </w:r>
    </w:p>
    <w:p>
      <w:pPr>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开启投标文件，进入资格审查；</w:t>
      </w:r>
    </w:p>
    <w:p>
      <w:pPr>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开启资格审查通过的投标供应商的商务技术文件进入符合性审查、商务技术评审；</w:t>
      </w:r>
    </w:p>
    <w:p>
      <w:pPr>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color w:val="auto"/>
          <w:kern w:val="0"/>
          <w:szCs w:val="21"/>
          <w:highlight w:val="none"/>
        </w:rPr>
        <w:t>（5</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第一阶段开标结束。</w:t>
      </w:r>
    </w:p>
    <w:p>
      <w:pPr>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备注：开标的第一阶段结束后，采购人或采购代理机构将对依法对投标供应商的资格进行审查，资格审查结束后进入符合性审查和商务技术的评审工作，具体见本章节“投标供应商资格审查”相关规定。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2.开标第二阶段</w:t>
      </w:r>
    </w:p>
    <w:p>
      <w:pPr>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符合性审查、商务技术评审结束后，举行开标第二阶段会议。首先通过发送邮件形式公布符合性审查、商务技术评审无效供应商名称及理由；公布经商务技术评审后有效投标供应商的名单，同时公布其商务技术部分得分情况。</w:t>
      </w:r>
    </w:p>
    <w:p>
      <w:pPr>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2）开启符合性审查、商务技术评审有效投标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（3）评审结束后，通过发送邮件形式公布中标（成交）候选供应商名单，及采购人最终确定中标或成交供应商名单的时间和公告方式等。</w:t>
      </w:r>
    </w:p>
    <w:p>
      <w:pPr>
        <w:spacing w:line="360" w:lineRule="auto"/>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特别说明：如遇“政府采购云平台”电子化开标或评审程序调整的，按调整后程序执行。</w:t>
      </w:r>
    </w:p>
    <w:p>
      <w:pPr>
        <w:autoSpaceDE w:val="0"/>
        <w:autoSpaceDN w:val="0"/>
        <w:adjustRightInd w:val="0"/>
        <w:snapToGrid w:val="0"/>
        <w:spacing w:line="312" w:lineRule="auto"/>
        <w:jc w:val="center"/>
        <w:outlineLvl w:val="0"/>
        <w:rPr>
          <w:rFonts w:hint="eastAsia" w:ascii="宋体" w:hAnsi="宋体" w:eastAsia="宋体" w:cs="宋体"/>
          <w:b/>
          <w:bCs/>
          <w:szCs w:val="21"/>
          <w:highlight w:val="none"/>
          <w:lang w:val="zh-CN"/>
        </w:rPr>
      </w:pPr>
    </w:p>
    <w:bookmarkEnd w:id="151"/>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pPr>
    </w:p>
    <w:p>
      <w:pPr>
        <w:pStyle w:val="2"/>
        <w:rPr>
          <w:rFonts w:hint="eastAsia"/>
          <w:highlight w:val="none"/>
          <w:lang w:val="zh-CN"/>
        </w:rPr>
      </w:pPr>
    </w:p>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000000" w:themeColor="text1"/>
          <w:szCs w:val="21"/>
          <w:highlight w:val="none"/>
          <w:lang w:eastAsia="zh-CN"/>
          <w14:textFill>
            <w14:solidFill>
              <w14:schemeClr w14:val="tx1"/>
            </w14:solidFill>
          </w14:textFill>
        </w:rPr>
      </w:pPr>
      <w:r>
        <w:rPr>
          <w:rFonts w:hint="eastAsia" w:ascii="方正小标宋_GBK" w:hAnsi="方正小标宋_GBK" w:eastAsia="方正小标宋_GBK" w:cs="方正小标宋_GBK"/>
          <w:bCs/>
          <w:color w:val="000000" w:themeColor="text1"/>
          <w:szCs w:val="21"/>
          <w:highlight w:val="none"/>
          <w:lang w:val="zh-CN"/>
          <w14:textFill>
            <w14:solidFill>
              <w14:schemeClr w14:val="tx1"/>
            </w14:solidFill>
          </w14:textFill>
        </w:rPr>
        <w:t xml:space="preserve">第七章 </w:t>
      </w:r>
      <w:r>
        <w:rPr>
          <w:rFonts w:hint="eastAsia" w:ascii="方正小标宋_GBK" w:hAnsi="方正小标宋_GBK" w:eastAsia="方正小标宋_GBK" w:cs="方正小标宋_GBK"/>
          <w:bCs/>
          <w:color w:val="000000" w:themeColor="text1"/>
          <w:szCs w:val="21"/>
          <w:highlight w:val="none"/>
          <w14:textFill>
            <w14:solidFill>
              <w14:schemeClr w14:val="tx1"/>
            </w14:solidFill>
          </w14:textFill>
        </w:rPr>
        <w:t xml:space="preserve"> </w:t>
      </w:r>
      <w:r>
        <w:rPr>
          <w:rFonts w:hint="eastAsia" w:ascii="方正小标宋_GBK" w:hAnsi="方正小标宋_GBK" w:eastAsia="方正小标宋_GBK" w:cs="方正小标宋_GBK"/>
          <w:bCs/>
          <w:color w:val="000000" w:themeColor="text1"/>
          <w:szCs w:val="21"/>
          <w:highlight w:val="none"/>
          <w:lang w:val="en-US" w:eastAsia="zh-CN"/>
          <w14:textFill>
            <w14:solidFill>
              <w14:schemeClr w14:val="tx1"/>
            </w14:solidFill>
          </w14:textFill>
        </w:rPr>
        <w:t>附件</w:t>
      </w:r>
    </w:p>
    <w:p>
      <w:pPr>
        <w:spacing w:line="360" w:lineRule="auto"/>
        <w:jc w:val="left"/>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附件1：质疑函范本及制作说明</w:t>
      </w:r>
    </w:p>
    <w:p>
      <w:pPr>
        <w:spacing w:line="360" w:lineRule="auto"/>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质疑函范本</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一、质疑供应商基本信息</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二、质疑项目基本情况</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三、质疑事项具体内容</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四、与质疑事项相关的质疑请求</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eepNext w:val="0"/>
        <w:keepLines w:val="0"/>
        <w:pageBreakBefore w:val="0"/>
        <w:kinsoku/>
        <w:wordWrap/>
        <w:overflowPunct/>
        <w:topLinePunct w:val="0"/>
        <w:autoSpaceDE/>
        <w:autoSpaceDN/>
        <w:bidi w:val="0"/>
        <w:adjustRightIn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kinsoku/>
        <w:wordWrap/>
        <w:overflowPunct/>
        <w:topLinePunct w:val="0"/>
        <w:autoSpaceDE/>
        <w:autoSpaceDN/>
        <w:bidi w:val="0"/>
        <w:adjustRightIn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w:t>
      </w:r>
    </w:p>
    <w:p>
      <w:pPr>
        <w:keepNext w:val="0"/>
        <w:keepLines w:val="0"/>
        <w:pageBreakBefore w:val="0"/>
        <w:kinsoku/>
        <w:wordWrap/>
        <w:overflowPunct/>
        <w:topLinePunct w:val="0"/>
        <w:autoSpaceDE/>
        <w:autoSpaceDN/>
        <w:bidi w:val="0"/>
        <w:adjustRightInd/>
        <w:spacing w:line="336"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质疑函制作说明：</w:t>
      </w:r>
    </w:p>
    <w:p>
      <w:pPr>
        <w:keepNext w:val="0"/>
        <w:keepLines w:val="0"/>
        <w:pageBreakBefore w:val="0"/>
        <w:widowControl/>
        <w:kinsoku/>
        <w:wordWrap/>
        <w:overflowPunct/>
        <w:topLinePunct w:val="0"/>
        <w:autoSpaceDE/>
        <w:autoSpaceDN/>
        <w:bidi w:val="0"/>
        <w:adjustRightInd/>
        <w:spacing w:line="336"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1.供应商提出质疑时，应提交质疑函和必要的证明材料。</w:t>
      </w:r>
    </w:p>
    <w:p>
      <w:pPr>
        <w:keepNext w:val="0"/>
        <w:keepLines w:val="0"/>
        <w:pageBreakBefore w:val="0"/>
        <w:widowControl/>
        <w:kinsoku/>
        <w:wordWrap/>
        <w:overflowPunct/>
        <w:topLinePunct w:val="0"/>
        <w:autoSpaceDE/>
        <w:autoSpaceDN/>
        <w:bidi w:val="0"/>
        <w:adjustRightInd/>
        <w:spacing w:line="336"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1"/>
          <w:szCs w:val="21"/>
          <w:highlight w:val="none"/>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spacing w:line="336"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spacing w:line="336"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spacing w:line="336"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5.质疑函的质疑请求应与质疑事项相关。</w:t>
      </w:r>
    </w:p>
    <w:p>
      <w:pPr>
        <w:keepNext w:val="0"/>
        <w:keepLines w:val="0"/>
        <w:pageBreakBefore w:val="0"/>
        <w:widowControl/>
        <w:kinsoku/>
        <w:wordWrap/>
        <w:overflowPunct/>
        <w:topLinePunct w:val="0"/>
        <w:autoSpaceDE/>
        <w:autoSpaceDN/>
        <w:bidi w:val="0"/>
        <w:adjustRightInd/>
        <w:spacing w:line="336"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hint="eastAsia" w:ascii="宋体" w:hAnsi="宋体" w:eastAsia="宋体" w:cs="宋体"/>
          <w:b/>
          <w:color w:val="auto"/>
          <w:spacing w:val="6"/>
          <w:sz w:val="21"/>
          <w:szCs w:val="21"/>
          <w:highlight w:val="none"/>
        </w:rPr>
      </w:pPr>
    </w:p>
    <w:p>
      <w:pPr>
        <w:spacing w:line="360" w:lineRule="auto"/>
        <w:jc w:val="left"/>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附件</w:t>
      </w:r>
      <w:r>
        <w:rPr>
          <w:rFonts w:hint="eastAsia" w:ascii="宋体" w:hAnsi="宋体" w:eastAsia="宋体" w:cs="宋体"/>
          <w:b/>
          <w:color w:val="auto"/>
          <w:spacing w:val="6"/>
          <w:sz w:val="21"/>
          <w:szCs w:val="21"/>
          <w:highlight w:val="none"/>
          <w:lang w:val="en-US" w:eastAsia="zh-CN"/>
        </w:rPr>
        <w:t>2</w:t>
      </w:r>
      <w:r>
        <w:rPr>
          <w:rFonts w:hint="eastAsia" w:ascii="宋体" w:hAnsi="宋体" w:eastAsia="宋体" w:cs="宋体"/>
          <w:b/>
          <w:color w:val="auto"/>
          <w:spacing w:val="6"/>
          <w:sz w:val="21"/>
          <w:szCs w:val="21"/>
          <w:highlight w:val="none"/>
        </w:rPr>
        <w:t>：投诉书范本及制作说明</w:t>
      </w:r>
    </w:p>
    <w:p>
      <w:pPr>
        <w:spacing w:line="360" w:lineRule="auto"/>
        <w:jc w:val="center"/>
        <w:rPr>
          <w:rFonts w:hint="eastAsia" w:ascii="宋体" w:hAnsi="宋体" w:eastAsia="宋体" w:cs="宋体"/>
          <w:b/>
          <w:color w:val="auto"/>
          <w:sz w:val="21"/>
          <w:szCs w:val="21"/>
          <w:highlight w:val="none"/>
        </w:rPr>
      </w:pPr>
    </w:p>
    <w:p>
      <w:pPr>
        <w:spacing w:line="360" w:lineRule="auto"/>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投诉书范本</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一、投诉相关主体基本情况</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tabs>
          <w:tab w:val="left" w:pos="6510"/>
        </w:tabs>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法定代表人/主要负责人：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 xml:space="preserve">  </w:t>
      </w:r>
    </w:p>
    <w:p>
      <w:pPr>
        <w:tabs>
          <w:tab w:val="left" w:pos="6510"/>
        </w:tabs>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被投诉人1：</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被投诉人2</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相关供应商：</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二、投诉项目基本情况</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采购项目名称：</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采购项目编号：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代理机构名称：</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采购文件公告:</w:t>
      </w:r>
      <w:r>
        <w:rPr>
          <w:rFonts w:hint="eastAsia" w:ascii="宋体" w:hAnsi="宋体" w:eastAsia="宋体" w:cs="宋体"/>
          <w:color w:val="auto"/>
          <w:sz w:val="21"/>
          <w:szCs w:val="21"/>
          <w:highlight w:val="none"/>
          <w:u w:val="dotted"/>
        </w:rPr>
        <w:t xml:space="preserve">是/否 </w:t>
      </w:r>
      <w:r>
        <w:rPr>
          <w:rFonts w:hint="eastAsia" w:ascii="宋体" w:hAnsi="宋体" w:eastAsia="宋体" w:cs="宋体"/>
          <w:color w:val="auto"/>
          <w:sz w:val="21"/>
          <w:szCs w:val="21"/>
          <w:highlight w:val="none"/>
        </w:rPr>
        <w:t>公告期限：</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采购结果公告:</w:t>
      </w:r>
      <w:r>
        <w:rPr>
          <w:rFonts w:hint="eastAsia" w:ascii="宋体" w:hAnsi="宋体" w:eastAsia="宋体" w:cs="宋体"/>
          <w:color w:val="auto"/>
          <w:sz w:val="21"/>
          <w:szCs w:val="21"/>
          <w:highlight w:val="none"/>
          <w:u w:val="dotted"/>
        </w:rPr>
        <w:t xml:space="preserve">是/否 </w:t>
      </w:r>
      <w:r>
        <w:rPr>
          <w:rFonts w:hint="eastAsia" w:ascii="宋体" w:hAnsi="宋体" w:eastAsia="宋体" w:cs="宋体"/>
          <w:color w:val="auto"/>
          <w:sz w:val="21"/>
          <w:szCs w:val="21"/>
          <w:highlight w:val="none"/>
        </w:rPr>
        <w:t>公告期限：</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三、质疑基本情况</w:t>
      </w:r>
    </w:p>
    <w:p>
      <w:pPr>
        <w:spacing w:line="360" w:lineRule="auto"/>
        <w:ind w:firstLine="420" w:firstLineChars="200"/>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投诉人于</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提出质疑，质疑事项为：</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 xml:space="preserve">  </w:t>
      </w:r>
    </w:p>
    <w:p>
      <w:pPr>
        <w:spacing w:line="360" w:lineRule="auto"/>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dotted"/>
        </w:rPr>
        <w:t>采购人/代理机构</w:t>
      </w:r>
      <w:r>
        <w:rPr>
          <w:rFonts w:hint="eastAsia" w:ascii="宋体" w:hAnsi="宋体" w:eastAsia="宋体" w:cs="宋体"/>
          <w:color w:val="auto"/>
          <w:sz w:val="21"/>
          <w:szCs w:val="21"/>
          <w:highlight w:val="none"/>
        </w:rPr>
        <w:t>于</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日,就质疑事项作出了答复/没有在法定期限内作出答复。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四、投诉事项具体内容</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投诉事项 1：</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u w:val="dotted"/>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投诉事项2</w:t>
      </w:r>
    </w:p>
    <w:p>
      <w:pPr>
        <w:spacing w:line="360" w:lineRule="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五、与投诉事项相关的投诉请求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 xml:space="preserve"> </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w:t>
      </w:r>
    </w:p>
    <w:p>
      <w:pPr>
        <w:spacing w:line="360" w:lineRule="auto"/>
        <w:rPr>
          <w:rFonts w:hint="eastAsia" w:ascii="宋体" w:hAnsi="宋体" w:eastAsia="宋体" w:cs="宋体"/>
          <w:b/>
          <w:color w:val="auto"/>
          <w:sz w:val="21"/>
          <w:szCs w:val="21"/>
          <w:highlight w:val="none"/>
        </w:rPr>
      </w:pPr>
    </w:p>
    <w:p>
      <w:pPr>
        <w:spacing w:line="360" w:lineRule="auto"/>
        <w:rPr>
          <w:rFonts w:hint="eastAsia" w:ascii="宋体" w:hAnsi="宋体" w:eastAsia="宋体" w:cs="宋体"/>
          <w:b/>
          <w:color w:val="auto"/>
          <w:sz w:val="21"/>
          <w:szCs w:val="21"/>
          <w:highlight w:val="none"/>
        </w:rPr>
      </w:pP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投诉书制作说明：</w:t>
      </w:r>
    </w:p>
    <w:p>
      <w:pPr>
        <w:widowControl/>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2.投诉人若委托代理人进行投诉的，投诉书应按照要求列明“授权代表”的有关内容，并在附件中提交由</w:t>
      </w:r>
      <w:r>
        <w:rPr>
          <w:rFonts w:hint="eastAsia" w:ascii="宋体" w:hAnsi="宋体" w:eastAsia="宋体" w:cs="宋体"/>
          <w:color w:val="auto"/>
          <w:kern w:val="0"/>
          <w:sz w:val="21"/>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3.投诉人若对项目的某一分包进行投诉，投诉书应列明具体分包号。</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4.投诉书应简要列明质疑事项，质疑函、质疑答复等作为附件材料提供。</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5.投诉书的投诉事项应具体、明确，并有必要的事实依据和法律依据。</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6.投诉书的投诉请求应与投诉事项相关。</w:t>
      </w:r>
    </w:p>
    <w:p>
      <w:pPr>
        <w:widowControl/>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pStyle w:val="3"/>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3"/>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3"/>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3"/>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3"/>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3"/>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3"/>
        <w:rPr>
          <w:rFonts w:hint="eastAsia" w:ascii="宋体" w:hAnsi="宋体" w:eastAsia="宋体" w:cs="宋体"/>
          <w:b/>
          <w:color w:val="auto"/>
          <w:spacing w:val="6"/>
          <w:sz w:val="21"/>
          <w:szCs w:val="21"/>
          <w:highlight w:val="none"/>
        </w:rPr>
      </w:pPr>
    </w:p>
    <w:p>
      <w:pPr>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pacing w:val="6"/>
          <w:sz w:val="21"/>
          <w:szCs w:val="21"/>
          <w:highlight w:val="none"/>
        </w:rPr>
        <w:t>附件</w:t>
      </w:r>
      <w:r>
        <w:rPr>
          <w:rFonts w:hint="eastAsia" w:ascii="宋体" w:hAnsi="宋体" w:eastAsia="宋体" w:cs="宋体"/>
          <w:b/>
          <w:color w:val="auto"/>
          <w:spacing w:val="6"/>
          <w:sz w:val="21"/>
          <w:szCs w:val="21"/>
          <w:highlight w:val="none"/>
          <w:lang w:val="en-US" w:eastAsia="zh-CN"/>
        </w:rPr>
        <w:t>3</w:t>
      </w:r>
      <w:r>
        <w:rPr>
          <w:rFonts w:hint="eastAsia" w:ascii="宋体" w:hAnsi="宋体" w:eastAsia="宋体" w:cs="宋体"/>
          <w:b/>
          <w:color w:val="auto"/>
          <w:spacing w:val="6"/>
          <w:sz w:val="21"/>
          <w:szCs w:val="21"/>
          <w:highlight w:val="none"/>
        </w:rPr>
        <w:t>：</w:t>
      </w:r>
      <w:r>
        <w:rPr>
          <w:rFonts w:hint="eastAsia" w:ascii="宋体" w:hAnsi="宋体" w:eastAsia="宋体" w:cs="宋体"/>
          <w:b/>
          <w:bCs/>
          <w:color w:val="auto"/>
          <w:sz w:val="21"/>
          <w:szCs w:val="21"/>
          <w:highlight w:val="none"/>
        </w:rPr>
        <w:t>业务专用章使用说明函</w:t>
      </w:r>
    </w:p>
    <w:p>
      <w:pPr>
        <w:spacing w:line="360" w:lineRule="auto"/>
        <w:rPr>
          <w:rFonts w:hint="eastAsia" w:ascii="宋体" w:hAnsi="宋体" w:eastAsia="宋体" w:cs="宋体"/>
          <w:color w:val="auto"/>
          <w:sz w:val="21"/>
          <w:szCs w:val="21"/>
          <w:highlight w:val="none"/>
          <w:u w:val="single"/>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（采购人）、（采购代理机构）：</w:t>
      </w:r>
    </w:p>
    <w:p>
      <w:pPr>
        <w:keepNext w:val="0"/>
        <w:keepLines w:val="0"/>
        <w:pageBreakBefore w:val="0"/>
        <w:widowControl w:val="0"/>
        <w:kinsoku/>
        <w:wordWrap/>
        <w:overflowPunct/>
        <w:topLinePunct w:val="0"/>
        <w:autoSpaceDE/>
        <w:autoSpaceDN/>
        <w:bidi w:val="0"/>
        <w:adjustRightInd w:val="0"/>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我方</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sz w:val="21"/>
          <w:szCs w:val="21"/>
          <w:highlight w:val="none"/>
        </w:rPr>
        <w:t>(投标人全称)是中华人民共和国依法登记注册的合法企业，</w:t>
      </w:r>
      <w:r>
        <w:rPr>
          <w:rFonts w:hint="eastAsia" w:ascii="宋体" w:hAnsi="宋体" w:eastAsia="宋体" w:cs="宋体"/>
          <w:bCs/>
          <w:color w:val="auto"/>
          <w:sz w:val="21"/>
          <w:szCs w:val="21"/>
          <w:highlight w:val="none"/>
        </w:rPr>
        <w:t>在参加</w:t>
      </w:r>
      <w:r>
        <w:rPr>
          <w:rFonts w:hint="eastAsia" w:ascii="宋体" w:hAnsi="宋体" w:eastAsia="宋体" w:cs="宋体"/>
          <w:color w:val="auto"/>
          <w:sz w:val="21"/>
          <w:szCs w:val="21"/>
          <w:highlight w:val="none"/>
        </w:rPr>
        <w:t>你方组织的</w:t>
      </w:r>
      <w:r>
        <w:rPr>
          <w:rFonts w:hint="eastAsia" w:ascii="宋体" w:hAnsi="宋体" w:eastAsia="宋体" w:cs="宋体"/>
          <w:color w:val="auto"/>
          <w:sz w:val="21"/>
          <w:szCs w:val="21"/>
          <w:highlight w:val="none"/>
          <w:lang w:eastAsia="zh-CN"/>
        </w:rPr>
        <w:t>（项目名称）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项目编号</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投标活动中作如下说明：</w:t>
      </w:r>
      <w:r>
        <w:rPr>
          <w:rFonts w:hint="eastAsia" w:ascii="宋体" w:hAnsi="宋体" w:eastAsia="宋体" w:cs="宋体"/>
          <w:color w:val="auto"/>
          <w:sz w:val="21"/>
          <w:szCs w:val="21"/>
          <w:highlight w:val="none"/>
        </w:rPr>
        <w:t xml:space="preserve">我方所使用的“XX专用章”与法定名称章具有同等的法律效力，对使用“XX专用章”的行为予以完全承认，并愿意承担相应责任。   </w:t>
      </w:r>
    </w:p>
    <w:p>
      <w:pPr>
        <w:keepNext w:val="0"/>
        <w:keepLines w:val="0"/>
        <w:pageBreakBefore w:val="0"/>
        <w:widowControl w:val="0"/>
        <w:kinsoku/>
        <w:wordWrap/>
        <w:overflowPunct/>
        <w:topLinePunct w:val="0"/>
        <w:autoSpaceDE/>
        <w:autoSpaceDN/>
        <w:bidi w:val="0"/>
        <w:adjustRightInd w:val="0"/>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特此说明。</w:t>
      </w:r>
    </w:p>
    <w:p>
      <w:pPr>
        <w:spacing w:line="360" w:lineRule="auto"/>
        <w:ind w:firstLine="494"/>
        <w:rPr>
          <w:rFonts w:hint="eastAsia" w:ascii="宋体" w:hAnsi="宋体" w:eastAsia="宋体" w:cs="宋体"/>
          <w:color w:val="auto"/>
          <w:sz w:val="21"/>
          <w:szCs w:val="21"/>
          <w:highlight w:val="none"/>
        </w:rPr>
      </w:pPr>
    </w:p>
    <w:p>
      <w:pPr>
        <w:spacing w:line="360" w:lineRule="auto"/>
        <w:ind w:firstLine="494"/>
        <w:rPr>
          <w:rFonts w:hint="eastAsia" w:ascii="宋体" w:hAnsi="宋体" w:eastAsia="宋体" w:cs="宋体"/>
          <w:color w:val="auto"/>
          <w:sz w:val="21"/>
          <w:szCs w:val="21"/>
          <w:highlight w:val="none"/>
        </w:rPr>
      </w:pPr>
    </w:p>
    <w:p>
      <w:pPr>
        <w:spacing w:line="360" w:lineRule="auto"/>
        <w:ind w:firstLine="494"/>
        <w:rPr>
          <w:rFonts w:hint="eastAsia" w:ascii="宋体" w:hAnsi="宋体" w:eastAsia="宋体" w:cs="宋体"/>
          <w:color w:val="auto"/>
          <w:sz w:val="21"/>
          <w:szCs w:val="21"/>
          <w:highlight w:val="none"/>
        </w:rPr>
      </w:pPr>
    </w:p>
    <w:p>
      <w:pPr>
        <w:spacing w:line="360" w:lineRule="auto"/>
        <w:ind w:firstLine="494"/>
        <w:rPr>
          <w:rFonts w:hint="eastAsia" w:ascii="宋体" w:hAnsi="宋体" w:eastAsia="宋体" w:cs="宋体"/>
          <w:color w:val="auto"/>
          <w:sz w:val="21"/>
          <w:szCs w:val="21"/>
          <w:highlight w:val="none"/>
        </w:rPr>
      </w:pPr>
    </w:p>
    <w:p>
      <w:pPr>
        <w:spacing w:line="360" w:lineRule="auto"/>
        <w:ind w:right="480" w:firstLine="3990" w:firstLineChars="19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投标单位（法定名称章）：</w:t>
      </w:r>
    </w:p>
    <w:p>
      <w:pPr>
        <w:ind w:right="1440" w:firstLine="49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       年     月     日</w:t>
      </w:r>
    </w:p>
    <w:p>
      <w:pP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附：</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rPr>
        <mc:AlternateContent>
          <mc:Choice Requires="wps">
            <w:drawing>
              <wp:anchor distT="0" distB="0" distL="0" distR="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4" r="9525" b="9525"/>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z/jB2AAAAAoBAAAPAAAAAAAAAAEAIAAAACIAAABkcnMvZG93bnJldi54bWxQSwECFAAUAAAACACH&#10;TuJADfIsy+sBAAAaBAAADgAAAAAAAAABACAAAAAnAQAAZHJzL2Uyb0RvYy54bWxQSwUGAAAAAAYA&#10;BgBZAQAAhAUAAAAA&#10;">
                <v:fill on="t" focussize="0,0"/>
                <v:stroke color="#000000" joinstyle="miter"/>
                <v:imagedata o:title=""/>
                <o:lock v:ext="edit" aspectratio="f"/>
              </v:rect>
            </w:pict>
          </mc:Fallback>
        </mc:AlternateContent>
      </w:r>
      <w:r>
        <w:rPr>
          <w:rFonts w:hint="eastAsia" w:ascii="宋体" w:hAnsi="宋体" w:eastAsia="宋体" w:cs="宋体"/>
          <w:b/>
          <w:bCs/>
          <w:color w:val="auto"/>
          <w:sz w:val="21"/>
          <w:szCs w:val="21"/>
          <w:highlight w:val="none"/>
        </w:rPr>
        <mc:AlternateContent>
          <mc:Choice Requires="wps">
            <w:drawing>
              <wp:anchor distT="0" distB="0" distL="0" distR="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4" r="10160" b="9525"/>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dOwWNgAAAAKAQAADwAAAAAAAAABACAAAAAiAAAAZHJzL2Rvd25yZXYueG1sUEsBAhQAFAAAAAgA&#10;h07iQJjnx4nsAQAAGgQAAA4AAAAAAAAAAQAgAAAAJwEAAGRycy9lMm9Eb2MueG1sUEsFBgAAAAAG&#10;AAYAWQEAAIUFAAAAAA==&#10;">
                <v:fill on="t" focussize="0,0"/>
                <v:stroke color="#000000" joinstyle="miter"/>
                <v:imagedata o:title=""/>
                <o:lock v:ext="edit" aspectratio="f"/>
              </v:rect>
            </w:pict>
          </mc:Fallback>
        </mc:AlternateContent>
      </w:r>
      <w:r>
        <w:rPr>
          <w:rFonts w:hint="eastAsia" w:ascii="宋体" w:hAnsi="宋体" w:eastAsia="宋体" w:cs="宋体"/>
          <w:color w:val="auto"/>
          <w:sz w:val="21"/>
          <w:szCs w:val="21"/>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pStyle w:val="12"/>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12"/>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12"/>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p>
    <w:p>
      <w:pPr>
        <w:pStyle w:val="12"/>
        <w:rPr>
          <w:rFonts w:hint="eastAsia" w:ascii="宋体" w:hAnsi="宋体" w:eastAsia="宋体" w:cs="宋体"/>
          <w:b/>
          <w:color w:val="auto"/>
          <w:spacing w:val="6"/>
          <w:sz w:val="21"/>
          <w:szCs w:val="21"/>
          <w:highlight w:val="none"/>
        </w:rPr>
      </w:pPr>
    </w:p>
    <w:p>
      <w:pPr>
        <w:pStyle w:val="12"/>
        <w:rPr>
          <w:rFonts w:hint="eastAsia" w:ascii="宋体" w:hAnsi="宋体" w:eastAsia="宋体" w:cs="宋体"/>
          <w:color w:val="auto"/>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spacing w:val="6"/>
          <w:sz w:val="21"/>
          <w:szCs w:val="21"/>
          <w:highlight w:val="none"/>
        </w:rPr>
        <w:t>附件</w:t>
      </w:r>
      <w:r>
        <w:rPr>
          <w:rFonts w:hint="eastAsia" w:ascii="宋体" w:hAnsi="宋体" w:eastAsia="宋体" w:cs="宋体"/>
          <w:b/>
          <w:color w:val="auto"/>
          <w:spacing w:val="6"/>
          <w:sz w:val="21"/>
          <w:szCs w:val="21"/>
          <w:highlight w:val="none"/>
          <w:lang w:val="en-US" w:eastAsia="zh-CN"/>
        </w:rPr>
        <w:t>4</w:t>
      </w:r>
      <w:r>
        <w:rPr>
          <w:rFonts w:hint="eastAsia" w:ascii="宋体" w:hAnsi="宋体" w:eastAsia="宋体" w:cs="宋体"/>
          <w:b/>
          <w:color w:val="auto"/>
          <w:spacing w:val="6"/>
          <w:sz w:val="21"/>
          <w:szCs w:val="21"/>
          <w:highlight w:val="none"/>
        </w:rPr>
        <w:t>：</w:t>
      </w:r>
      <w:r>
        <w:rPr>
          <w:rFonts w:hint="eastAsia" w:ascii="宋体" w:hAnsi="宋体" w:eastAsia="宋体" w:cs="宋体"/>
          <w:b/>
          <w:color w:val="auto"/>
          <w:kern w:val="0"/>
          <w:sz w:val="21"/>
          <w:szCs w:val="21"/>
          <w:highlight w:val="none"/>
          <w:lang w:val="zh-CN"/>
        </w:rPr>
        <w:t>联合协议</w:t>
      </w:r>
    </w:p>
    <w:p>
      <w:pPr>
        <w:keepNext w:val="0"/>
        <w:keepLines w:val="0"/>
        <w:pageBreakBefore w:val="0"/>
        <w:widowControl/>
        <w:kinsoku/>
        <w:wordWrap/>
        <w:overflowPunct/>
        <w:topLinePunct w:val="0"/>
        <w:autoSpaceDE/>
        <w:autoSpaceDN/>
        <w:bidi w:val="0"/>
        <w:adjustRightInd w:val="0"/>
        <w:spacing w:line="336" w:lineRule="auto"/>
        <w:ind w:right="0"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（以联合体形式投标的，提供联合协议；</w:t>
      </w:r>
      <w:r>
        <w:rPr>
          <w:rFonts w:hint="eastAsia" w:ascii="宋体" w:hAnsi="宋体" w:cs="宋体"/>
          <w:b/>
          <w:color w:val="auto"/>
          <w:sz w:val="21"/>
          <w:szCs w:val="21"/>
          <w:highlight w:val="none"/>
          <w:lang w:val="en-US" w:eastAsia="zh-CN"/>
        </w:rPr>
        <w:t>若</w:t>
      </w:r>
      <w:r>
        <w:rPr>
          <w:rFonts w:hint="eastAsia" w:ascii="宋体" w:hAnsi="宋体" w:eastAsia="宋体" w:cs="宋体"/>
          <w:b/>
          <w:color w:val="auto"/>
          <w:sz w:val="21"/>
          <w:szCs w:val="21"/>
          <w:highlight w:val="none"/>
        </w:rPr>
        <w:t>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u w:val="single"/>
        </w:rPr>
        <w:t>（联合体所有成员名称）</w:t>
      </w:r>
      <w:r>
        <w:rPr>
          <w:rFonts w:hint="eastAsia" w:ascii="宋体" w:hAnsi="宋体" w:eastAsia="宋体" w:cs="宋体"/>
          <w:color w:val="auto"/>
          <w:kern w:val="0"/>
          <w:sz w:val="21"/>
          <w:szCs w:val="21"/>
          <w:highlight w:val="none"/>
        </w:rPr>
        <w:t>自愿</w:t>
      </w:r>
      <w:r>
        <w:rPr>
          <w:rFonts w:hint="eastAsia" w:ascii="宋体" w:hAnsi="宋体" w:eastAsia="宋体" w:cs="宋体"/>
          <w:color w:val="auto"/>
          <w:kern w:val="0"/>
          <w:sz w:val="21"/>
          <w:szCs w:val="21"/>
          <w:highlight w:val="none"/>
          <w:lang w:val="zh-CN"/>
        </w:rPr>
        <w:t>组成一个联合体，以一个投标人的身份</w:t>
      </w:r>
      <w:r>
        <w:rPr>
          <w:rFonts w:hint="eastAsia" w:ascii="宋体" w:hAnsi="宋体" w:eastAsia="宋体" w:cs="宋体"/>
          <w:color w:val="auto"/>
          <w:kern w:val="0"/>
          <w:sz w:val="21"/>
          <w:szCs w:val="21"/>
          <w:highlight w:val="none"/>
        </w:rPr>
        <w:t>参加</w:t>
      </w:r>
      <w:r>
        <w:rPr>
          <w:rFonts w:hint="eastAsia" w:ascii="宋体" w:hAnsi="宋体" w:eastAsia="宋体" w:cs="宋体"/>
          <w:color w:val="auto"/>
          <w:sz w:val="21"/>
          <w:szCs w:val="21"/>
          <w:highlight w:val="none"/>
          <w:lang w:eastAsia="zh-CN"/>
        </w:rPr>
        <w:t>（项目名称）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项目编号</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一、各方一致决定，</w:t>
      </w:r>
      <w:r>
        <w:rPr>
          <w:rFonts w:hint="eastAsia" w:ascii="宋体" w:hAnsi="宋体" w:eastAsia="宋体" w:cs="宋体"/>
          <w:color w:val="auto"/>
          <w:kern w:val="0"/>
          <w:sz w:val="21"/>
          <w:szCs w:val="21"/>
          <w:highlight w:val="none"/>
          <w:u w:val="single"/>
        </w:rPr>
        <w:t>（某联合体成员名称）</w:t>
      </w:r>
      <w:r>
        <w:rPr>
          <w:rFonts w:hint="eastAsia" w:ascii="宋体" w:hAnsi="宋体" w:eastAsia="宋体" w:cs="宋体"/>
          <w:color w:val="auto"/>
          <w:kern w:val="0"/>
          <w:sz w:val="21"/>
          <w:szCs w:val="21"/>
          <w:highlight w:val="none"/>
        </w:rPr>
        <w:t>为联合体</w:t>
      </w:r>
      <w:r>
        <w:rPr>
          <w:rFonts w:hint="eastAsia" w:ascii="宋体" w:hAnsi="宋体" w:eastAsia="宋体" w:cs="宋体"/>
          <w:color w:val="auto"/>
          <w:kern w:val="0"/>
          <w:sz w:val="21"/>
          <w:szCs w:val="21"/>
          <w:highlight w:val="none"/>
          <w:lang w:val="zh-CN"/>
        </w:rPr>
        <w:t>牵头人</w:t>
      </w:r>
      <w:r>
        <w:rPr>
          <w:rFonts w:hint="eastAsia" w:ascii="宋体" w:hAnsi="宋体" w:eastAsia="宋体" w:cs="宋体"/>
          <w:color w:val="auto"/>
          <w:sz w:val="21"/>
          <w:szCs w:val="21"/>
          <w:highlight w:val="none"/>
        </w:rPr>
        <w:t>，代表所有联合体成员负责投标和合同实施阶段的主办、协调工作</w:t>
      </w:r>
      <w:r>
        <w:rPr>
          <w:rFonts w:hint="eastAsia" w:ascii="宋体" w:hAnsi="宋体" w:eastAsia="宋体" w:cs="宋体"/>
          <w:color w:val="auto"/>
          <w:kern w:val="0"/>
          <w:sz w:val="21"/>
          <w:szCs w:val="21"/>
          <w:highlight w:val="none"/>
          <w:lang w:val="zh-CN"/>
        </w:rPr>
        <w:t>。</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二、</w:t>
      </w:r>
      <w:r>
        <w:rPr>
          <w:rFonts w:hint="eastAsia" w:ascii="宋体" w:hAnsi="宋体" w:eastAsia="宋体" w:cs="宋体"/>
          <w:color w:val="auto"/>
          <w:sz w:val="21"/>
          <w:szCs w:val="21"/>
          <w:highlight w:val="none"/>
        </w:rPr>
        <w:t>所有联合体成员各方签署授权书，授权书载明的</w:t>
      </w:r>
      <w:r>
        <w:rPr>
          <w:rFonts w:hint="eastAsia" w:ascii="宋体" w:hAnsi="宋体" w:eastAsia="宋体" w:cs="宋体"/>
          <w:color w:val="auto"/>
          <w:kern w:val="0"/>
          <w:sz w:val="21"/>
          <w:szCs w:val="21"/>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u w:val="single"/>
        </w:rPr>
        <w:t>（联合体成员1）</w:t>
      </w:r>
      <w:r>
        <w:rPr>
          <w:rFonts w:hint="eastAsia" w:ascii="宋体" w:hAnsi="宋体" w:eastAsia="宋体" w:cs="宋体"/>
          <w:color w:val="auto"/>
          <w:kern w:val="0"/>
          <w:sz w:val="21"/>
          <w:szCs w:val="21"/>
          <w:highlight w:val="none"/>
          <w:lang w:val="zh-CN"/>
        </w:rPr>
        <w:t>承担的工作和义务为：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lang w:val="zh-CN"/>
        </w:rPr>
        <w:t>；</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u w:val="single"/>
        </w:rPr>
        <w:t>（联合体成员2）</w:t>
      </w:r>
      <w:r>
        <w:rPr>
          <w:rFonts w:hint="eastAsia" w:ascii="宋体" w:hAnsi="宋体" w:eastAsia="宋体" w:cs="宋体"/>
          <w:color w:val="auto"/>
          <w:kern w:val="0"/>
          <w:sz w:val="21"/>
          <w:szCs w:val="21"/>
          <w:highlight w:val="none"/>
          <w:lang w:val="zh-CN"/>
        </w:rPr>
        <w:t>承担的工作和义务为：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lang w:val="zh-CN"/>
        </w:rPr>
        <w:t>；</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lang w:val="zh-CN"/>
        </w:rPr>
        <w:t>1、</w:t>
      </w:r>
      <w:r>
        <w:rPr>
          <w:rFonts w:hint="eastAsia" w:ascii="宋体" w:hAnsi="宋体" w:eastAsia="宋体" w:cs="宋体"/>
          <w:color w:val="auto"/>
          <w:kern w:val="0"/>
          <w:sz w:val="21"/>
          <w:szCs w:val="21"/>
          <w:highlight w:val="none"/>
          <w:u w:val="single"/>
        </w:rPr>
        <w:t>（</w:t>
      </w:r>
      <w:bookmarkStart w:id="152" w:name="_Hlk101131882"/>
      <w:r>
        <w:rPr>
          <w:rFonts w:hint="eastAsia" w:ascii="宋体" w:hAnsi="宋体" w:eastAsia="宋体" w:cs="宋体"/>
          <w:color w:val="auto"/>
          <w:kern w:val="0"/>
          <w:sz w:val="21"/>
          <w:szCs w:val="21"/>
          <w:highlight w:val="none"/>
          <w:u w:val="single"/>
        </w:rPr>
        <w:t>联合体成员X,……</w:t>
      </w:r>
      <w:bookmarkEnd w:id="152"/>
      <w:r>
        <w:rPr>
          <w:rFonts w:hint="eastAsia" w:ascii="宋体" w:hAnsi="宋体" w:eastAsia="宋体" w:cs="宋体"/>
          <w:color w:val="auto"/>
          <w:kern w:val="0"/>
          <w:sz w:val="21"/>
          <w:szCs w:val="21"/>
          <w:highlight w:val="none"/>
          <w:u w:val="single"/>
        </w:rPr>
        <w:t>）</w:t>
      </w:r>
      <w:r>
        <w:rPr>
          <w:rFonts w:hint="eastAsia" w:ascii="宋体" w:hAnsi="宋体" w:eastAsia="宋体" w:cs="宋体"/>
          <w:color w:val="auto"/>
          <w:kern w:val="0"/>
          <w:sz w:val="21"/>
          <w:szCs w:val="21"/>
          <w:highlight w:val="none"/>
        </w:rPr>
        <w:t>提供的服务由小微企业承接，其合同份额占到合同总金额</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%以上</w:t>
      </w:r>
      <w:r>
        <w:rPr>
          <w:rFonts w:hint="eastAsia" w:ascii="宋体" w:hAnsi="宋体" w:eastAsia="宋体" w:cs="宋体"/>
          <w:color w:val="auto"/>
          <w:kern w:val="0"/>
          <w:sz w:val="21"/>
          <w:szCs w:val="21"/>
          <w:highlight w:val="none"/>
          <w:lang w:val="zh-CN"/>
        </w:rPr>
        <w:t>。</w:t>
      </w:r>
      <w:r>
        <w:rPr>
          <w:rFonts w:hint="eastAsia" w:ascii="宋体" w:hAnsi="宋体" w:eastAsia="宋体" w:cs="宋体"/>
          <w:b/>
          <w:color w:val="auto"/>
          <w:kern w:val="0"/>
          <w:sz w:val="21"/>
          <w:szCs w:val="21"/>
          <w:highlight w:val="none"/>
          <w:lang w:val="zh-CN"/>
        </w:rPr>
        <w:t>（</w:t>
      </w:r>
      <w:bookmarkStart w:id="153" w:name="_Hlk101133598"/>
      <w:r>
        <w:rPr>
          <w:rFonts w:hint="eastAsia" w:ascii="宋体" w:hAnsi="宋体" w:eastAsia="宋体" w:cs="宋体"/>
          <w:b/>
          <w:color w:val="auto"/>
          <w:kern w:val="0"/>
          <w:sz w:val="21"/>
          <w:szCs w:val="21"/>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1"/>
          <w:szCs w:val="21"/>
          <w:highlight w:val="none"/>
        </w:rPr>
        <w:t>拟享受以上价格扣除政策的，填写有关内容。</w:t>
      </w:r>
      <w:bookmarkEnd w:id="153"/>
      <w:r>
        <w:rPr>
          <w:rFonts w:hint="eastAsia" w:ascii="宋体" w:hAnsi="宋体" w:eastAsia="宋体" w:cs="宋体"/>
          <w:b/>
          <w:color w:val="auto"/>
          <w:kern w:val="0"/>
          <w:sz w:val="21"/>
          <w:szCs w:val="21"/>
          <w:highlight w:val="none"/>
          <w:lang w:val="zh-CN"/>
        </w:rPr>
        <w:t>）</w:t>
      </w:r>
    </w:p>
    <w:p>
      <w:pPr>
        <w:keepNext w:val="0"/>
        <w:keepLines w:val="0"/>
        <w:pageBreakBefore w:val="0"/>
        <w:kinsoku/>
        <w:wordWrap/>
        <w:overflowPunct/>
        <w:topLinePunct w:val="0"/>
        <w:autoSpaceDE/>
        <w:autoSpaceDN/>
        <w:bidi w:val="0"/>
        <w:adjustRightInd w:val="0"/>
        <w:spacing w:line="336" w:lineRule="auto"/>
        <w:ind w:right="0" w:firstLine="420" w:firstLineChars="200"/>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color w:val="auto"/>
          <w:sz w:val="21"/>
          <w:szCs w:val="21"/>
          <w:highlight w:val="none"/>
        </w:rPr>
        <w:t>2、</w:t>
      </w:r>
      <w:bookmarkStart w:id="154" w:name="_Hlk101133173"/>
      <w:r>
        <w:rPr>
          <w:rFonts w:hint="eastAsia" w:ascii="宋体" w:hAnsi="宋体" w:eastAsia="宋体" w:cs="宋体"/>
          <w:color w:val="auto"/>
          <w:sz w:val="21"/>
          <w:szCs w:val="21"/>
          <w:highlight w:val="none"/>
        </w:rPr>
        <w:t>中小企业合同金额达到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%，小微企业合同金额达到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w:t>
      </w:r>
      <w:r>
        <w:rPr>
          <w:rFonts w:hint="eastAsia" w:ascii="宋体" w:hAnsi="宋体" w:eastAsia="宋体" w:cs="宋体"/>
          <w:b/>
          <w:bCs/>
          <w:color w:val="auto"/>
          <w:kern w:val="0"/>
          <w:sz w:val="21"/>
          <w:szCs w:val="21"/>
          <w:highlight w:val="none"/>
          <w:lang w:val="zh-CN"/>
        </w:rPr>
        <w:t>（</w:t>
      </w:r>
      <w:r>
        <w:rPr>
          <w:rFonts w:hint="eastAsia" w:ascii="宋体" w:hAnsi="宋体" w:eastAsia="宋体" w:cs="宋体"/>
          <w:b/>
          <w:bCs/>
          <w:color w:val="auto"/>
          <w:sz w:val="21"/>
          <w:szCs w:val="21"/>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1"/>
          <w:szCs w:val="21"/>
          <w:highlight w:val="none"/>
          <w:lang w:val="zh-CN"/>
        </w:rPr>
        <w:t>）</w:t>
      </w:r>
      <w:bookmarkEnd w:id="154"/>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五、如果中标，</w:t>
      </w:r>
      <w:r>
        <w:rPr>
          <w:rFonts w:hint="eastAsia" w:ascii="宋体" w:hAnsi="宋体" w:eastAsia="宋体" w:cs="宋体"/>
          <w:color w:val="auto"/>
          <w:sz w:val="21"/>
          <w:szCs w:val="21"/>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336" w:lineRule="auto"/>
        <w:ind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336" w:lineRule="auto"/>
        <w:ind w:right="0" w:firstLine="4410" w:firstLineChars="21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336" w:lineRule="auto"/>
        <w:ind w:right="0" w:firstLine="4410" w:firstLineChars="21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336" w:lineRule="auto"/>
        <w:ind w:right="0"/>
        <w:jc w:val="center"/>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336" w:lineRule="auto"/>
        <w:ind w:right="0"/>
        <w:jc w:val="righ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日期：  年  月   日</w:t>
      </w:r>
    </w:p>
    <w:p>
      <w:pPr>
        <w:keepNext w:val="0"/>
        <w:keepLines w:val="0"/>
        <w:pageBreakBefore w:val="0"/>
        <w:kinsoku/>
        <w:wordWrap/>
        <w:overflowPunct/>
        <w:topLinePunct w:val="0"/>
        <w:autoSpaceDE/>
        <w:autoSpaceDN/>
        <w:bidi w:val="0"/>
        <w:adjustRightInd w:val="0"/>
        <w:spacing w:line="336"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注：按本格式和要求提供。</w:t>
      </w:r>
    </w:p>
    <w:p>
      <w:pPr>
        <w:autoSpaceDE w:val="0"/>
        <w:autoSpaceDN w:val="0"/>
        <w:jc w:val="center"/>
        <w:rPr>
          <w:rFonts w:hint="eastAsia" w:ascii="宋体" w:hAnsi="宋体" w:eastAsia="宋体" w:cs="宋体"/>
          <w:b/>
          <w:color w:val="auto"/>
          <w:spacing w:val="6"/>
          <w:sz w:val="21"/>
          <w:szCs w:val="21"/>
          <w:highlight w:val="none"/>
        </w:rPr>
      </w:pPr>
    </w:p>
    <w:p>
      <w:pPr>
        <w:snapToGrid w:val="0"/>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spacing w:val="6"/>
          <w:sz w:val="21"/>
          <w:szCs w:val="21"/>
          <w:highlight w:val="none"/>
        </w:rPr>
        <w:t>附件</w:t>
      </w:r>
      <w:r>
        <w:rPr>
          <w:rFonts w:hint="eastAsia" w:ascii="宋体" w:hAnsi="宋体" w:eastAsia="宋体" w:cs="宋体"/>
          <w:b/>
          <w:color w:val="auto"/>
          <w:spacing w:val="6"/>
          <w:sz w:val="21"/>
          <w:szCs w:val="21"/>
          <w:highlight w:val="none"/>
          <w:lang w:val="en-US" w:eastAsia="zh-CN"/>
        </w:rPr>
        <w:t>5</w:t>
      </w:r>
      <w:r>
        <w:rPr>
          <w:rFonts w:hint="eastAsia" w:ascii="宋体" w:hAnsi="宋体" w:eastAsia="宋体" w:cs="宋体"/>
          <w:b/>
          <w:color w:val="auto"/>
          <w:spacing w:val="6"/>
          <w:sz w:val="21"/>
          <w:szCs w:val="21"/>
          <w:highlight w:val="none"/>
        </w:rPr>
        <w:t>：</w:t>
      </w:r>
      <w:r>
        <w:rPr>
          <w:rFonts w:hint="eastAsia" w:ascii="宋体" w:hAnsi="宋体" w:eastAsia="宋体" w:cs="宋体"/>
          <w:b/>
          <w:color w:val="auto"/>
          <w:kern w:val="0"/>
          <w:sz w:val="21"/>
          <w:szCs w:val="21"/>
          <w:highlight w:val="none"/>
        </w:rPr>
        <w:t>分包意向协议</w:t>
      </w:r>
    </w:p>
    <w:p>
      <w:pPr>
        <w:pageBreakBefore w:val="0"/>
        <w:widowControl/>
        <w:kinsoku/>
        <w:wordWrap/>
        <w:overflowPunct/>
        <w:topLinePunct w:val="0"/>
        <w:autoSpaceDE/>
        <w:autoSpaceDN/>
        <w:bidi w:val="0"/>
        <w:adjustRightInd/>
        <w:spacing w:line="360" w:lineRule="auto"/>
        <w:ind w:left="0" w:leftChars="0" w:right="0" w:firstLine="105" w:firstLine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1"/>
          <w:szCs w:val="21"/>
          <w:highlight w:val="none"/>
        </w:rPr>
        <w:t>）</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u w:val="single"/>
        </w:rPr>
        <w:t>（投标人名称）</w:t>
      </w:r>
      <w:r>
        <w:rPr>
          <w:rFonts w:hint="eastAsia" w:ascii="宋体" w:hAnsi="宋体" w:eastAsia="宋体" w:cs="宋体"/>
          <w:color w:val="auto"/>
          <w:kern w:val="0"/>
          <w:sz w:val="21"/>
          <w:szCs w:val="21"/>
          <w:highlight w:val="none"/>
          <w:lang w:val="zh-CN"/>
        </w:rPr>
        <w:t>若成为</w:t>
      </w:r>
      <w:r>
        <w:rPr>
          <w:rFonts w:hint="eastAsia" w:ascii="宋体" w:hAnsi="宋体" w:eastAsia="宋体" w:cs="宋体"/>
          <w:color w:val="auto"/>
          <w:sz w:val="21"/>
          <w:szCs w:val="21"/>
          <w:highlight w:val="none"/>
          <w:lang w:eastAsia="zh-CN"/>
        </w:rPr>
        <w:t>（项目名称）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项目编号</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的中标供应商，将依法采取分包方式履行合同。</w:t>
      </w:r>
      <w:r>
        <w:rPr>
          <w:rFonts w:hint="eastAsia" w:ascii="宋体" w:hAnsi="宋体" w:eastAsia="宋体" w:cs="宋体"/>
          <w:color w:val="auto"/>
          <w:kern w:val="0"/>
          <w:sz w:val="21"/>
          <w:szCs w:val="21"/>
          <w:highlight w:val="none"/>
          <w:u w:val="single"/>
        </w:rPr>
        <w:t>（投标人名称）</w:t>
      </w:r>
      <w:r>
        <w:rPr>
          <w:rFonts w:hint="eastAsia" w:ascii="宋体" w:hAnsi="宋体" w:eastAsia="宋体" w:cs="宋体"/>
          <w:color w:val="auto"/>
          <w:kern w:val="0"/>
          <w:sz w:val="21"/>
          <w:szCs w:val="21"/>
          <w:highlight w:val="none"/>
        </w:rPr>
        <w:t>与</w:t>
      </w:r>
      <w:r>
        <w:rPr>
          <w:rFonts w:hint="eastAsia" w:ascii="宋体" w:hAnsi="宋体" w:eastAsia="宋体" w:cs="宋体"/>
          <w:color w:val="auto"/>
          <w:kern w:val="0"/>
          <w:sz w:val="21"/>
          <w:szCs w:val="21"/>
          <w:highlight w:val="none"/>
          <w:u w:val="single"/>
        </w:rPr>
        <w:t>（所有分包供应商名称）</w:t>
      </w:r>
      <w:r>
        <w:rPr>
          <w:rFonts w:hint="eastAsia" w:ascii="宋体" w:hAnsi="宋体" w:eastAsia="宋体" w:cs="宋体"/>
          <w:color w:val="auto"/>
          <w:kern w:val="0"/>
          <w:sz w:val="21"/>
          <w:szCs w:val="21"/>
          <w:highlight w:val="none"/>
        </w:rPr>
        <w:t>达成分包意向协议</w:t>
      </w:r>
      <w:r>
        <w:rPr>
          <w:rFonts w:hint="eastAsia" w:ascii="宋体" w:hAnsi="宋体" w:eastAsia="宋体" w:cs="宋体"/>
          <w:color w:val="auto"/>
          <w:kern w:val="0"/>
          <w:sz w:val="21"/>
          <w:szCs w:val="21"/>
          <w:highlight w:val="none"/>
          <w:lang w:val="zh-CN"/>
        </w:rPr>
        <w:t xml:space="preserve">。 </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一、分包标的及数量</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u w:val="single"/>
        </w:rPr>
        <w:t>（投标人名称）</w:t>
      </w:r>
      <w:r>
        <w:rPr>
          <w:rFonts w:hint="eastAsia" w:ascii="宋体" w:hAnsi="宋体" w:eastAsia="宋体" w:cs="宋体"/>
          <w:color w:val="auto"/>
          <w:kern w:val="0"/>
          <w:sz w:val="21"/>
          <w:szCs w:val="21"/>
          <w:highlight w:val="none"/>
          <w:lang w:val="zh-CN"/>
        </w:rPr>
        <w:t>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XX工作内容   </w:t>
      </w:r>
      <w:r>
        <w:rPr>
          <w:rFonts w:hint="eastAsia" w:ascii="宋体" w:hAnsi="宋体" w:eastAsia="宋体" w:cs="宋体"/>
          <w:color w:val="auto"/>
          <w:sz w:val="21"/>
          <w:szCs w:val="21"/>
          <w:highlight w:val="none"/>
        </w:rPr>
        <w:t>分包给</w:t>
      </w:r>
      <w:r>
        <w:rPr>
          <w:rFonts w:hint="eastAsia" w:ascii="宋体" w:hAnsi="宋体" w:eastAsia="宋体" w:cs="宋体"/>
          <w:color w:val="auto"/>
          <w:kern w:val="0"/>
          <w:sz w:val="21"/>
          <w:szCs w:val="21"/>
          <w:highlight w:val="none"/>
          <w:u w:val="single"/>
        </w:rPr>
        <w:t>（分包供应商1名称）</w:t>
      </w: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u w:val="single"/>
        </w:rPr>
        <w:t>（分包供应商2名称），</w:t>
      </w:r>
      <w:r>
        <w:rPr>
          <w:rFonts w:hint="eastAsia" w:ascii="宋体" w:hAnsi="宋体" w:eastAsia="宋体" w:cs="宋体"/>
          <w:color w:val="auto"/>
          <w:kern w:val="0"/>
          <w:sz w:val="21"/>
          <w:szCs w:val="21"/>
          <w:highlight w:val="none"/>
          <w:lang w:val="zh-CN"/>
        </w:rPr>
        <w:t>具备承</w:t>
      </w:r>
      <w:r>
        <w:rPr>
          <w:rFonts w:hint="eastAsia" w:ascii="宋体" w:hAnsi="宋体" w:eastAsia="宋体" w:cs="宋体"/>
          <w:color w:val="auto"/>
          <w:kern w:val="0"/>
          <w:sz w:val="21"/>
          <w:szCs w:val="21"/>
          <w:highlight w:val="none"/>
        </w:rPr>
        <w:t>担</w:t>
      </w:r>
      <w:r>
        <w:rPr>
          <w:rFonts w:hint="eastAsia" w:ascii="宋体" w:hAnsi="宋体" w:eastAsia="宋体" w:cs="宋体"/>
          <w:color w:val="auto"/>
          <w:kern w:val="0"/>
          <w:sz w:val="21"/>
          <w:szCs w:val="21"/>
          <w:highlight w:val="none"/>
          <w:u w:val="single"/>
          <w:lang w:val="zh-CN"/>
        </w:rPr>
        <w:t>XX工作内容</w:t>
      </w:r>
      <w:r>
        <w:rPr>
          <w:rFonts w:hint="eastAsia" w:ascii="宋体" w:hAnsi="宋体" w:eastAsia="宋体" w:cs="宋体"/>
          <w:color w:val="auto"/>
          <w:kern w:val="0"/>
          <w:sz w:val="21"/>
          <w:szCs w:val="21"/>
          <w:highlight w:val="none"/>
          <w:lang w:val="zh-CN"/>
        </w:rPr>
        <w:t>相应资质条件且不得再次分包；</w:t>
      </w:r>
    </w:p>
    <w:p>
      <w:pPr>
        <w:pStyle w:val="4"/>
        <w:pageBreakBefore w:val="0"/>
        <w:tabs>
          <w:tab w:val="left" w:pos="432"/>
        </w:tabs>
        <w:kinsoku/>
        <w:wordWrap/>
        <w:overflowPunct/>
        <w:topLinePunct w:val="0"/>
        <w:autoSpaceDE/>
        <w:autoSpaceDN/>
        <w:bidi w:val="0"/>
        <w:adjustRightInd/>
        <w:spacing w:before="0" w:after="0" w:line="360" w:lineRule="auto"/>
        <w:ind w:left="0" w:leftChars="0" w:right="0" w:firstLine="622" w:firstLineChars="295"/>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二、分包供应商中小企业合同份额</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u w:val="single"/>
        </w:rPr>
        <w:t>（分包供应商X,……）提供的服务全部由小微企业承接，</w:t>
      </w:r>
      <w:r>
        <w:rPr>
          <w:rFonts w:hint="eastAsia" w:ascii="宋体" w:hAnsi="宋体" w:eastAsia="宋体" w:cs="宋体"/>
          <w:color w:val="auto"/>
          <w:kern w:val="0"/>
          <w:sz w:val="21"/>
          <w:szCs w:val="21"/>
          <w:highlight w:val="none"/>
        </w:rPr>
        <w:t>其合同份额占到合同总金额</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%以上</w:t>
      </w:r>
      <w:r>
        <w:rPr>
          <w:rFonts w:hint="eastAsia" w:ascii="宋体" w:hAnsi="宋体" w:eastAsia="宋体" w:cs="宋体"/>
          <w:color w:val="auto"/>
          <w:sz w:val="21"/>
          <w:szCs w:val="21"/>
          <w:highlight w:val="none"/>
        </w:rPr>
        <w:t>。</w:t>
      </w:r>
      <w:r>
        <w:rPr>
          <w:rFonts w:hint="eastAsia" w:ascii="宋体" w:hAnsi="宋体" w:eastAsia="宋体" w:cs="宋体"/>
          <w:b/>
          <w:color w:val="auto"/>
          <w:kern w:val="0"/>
          <w:sz w:val="21"/>
          <w:szCs w:val="21"/>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1"/>
          <w:szCs w:val="21"/>
          <w:highlight w:val="none"/>
        </w:rPr>
        <w:t>拟享受以上价格扣除政策的，填写有关内容。</w:t>
      </w:r>
      <w:r>
        <w:rPr>
          <w:rFonts w:hint="eastAsia" w:ascii="宋体" w:hAnsi="宋体" w:eastAsia="宋体" w:cs="宋体"/>
          <w:b/>
          <w:color w:val="auto"/>
          <w:kern w:val="0"/>
          <w:sz w:val="21"/>
          <w:szCs w:val="21"/>
          <w:highlight w:val="none"/>
          <w:lang w:val="zh-CN"/>
        </w:rPr>
        <w:t>）</w:t>
      </w:r>
    </w:p>
    <w:p>
      <w:pPr>
        <w:pageBreakBefore w:val="0"/>
        <w:kinsoku/>
        <w:wordWrap/>
        <w:overflowPunct/>
        <w:topLinePunct w:val="0"/>
        <w:autoSpaceDE/>
        <w:autoSpaceDN/>
        <w:bidi w:val="0"/>
        <w:adjustRightInd/>
        <w:spacing w:line="360" w:lineRule="auto"/>
        <w:ind w:left="0" w:leftChars="0" w:right="0" w:firstLine="420" w:firstLineChars="200"/>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color w:val="auto"/>
          <w:sz w:val="21"/>
          <w:szCs w:val="21"/>
          <w:highlight w:val="none"/>
        </w:rPr>
        <w:t>2、中小企业合同金额达到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%，小微企业合同金额达到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w:t>
      </w:r>
      <w:r>
        <w:rPr>
          <w:rFonts w:hint="eastAsia" w:ascii="宋体" w:hAnsi="宋体" w:eastAsia="宋体" w:cs="宋体"/>
          <w:b/>
          <w:bCs/>
          <w:color w:val="auto"/>
          <w:kern w:val="0"/>
          <w:sz w:val="21"/>
          <w:szCs w:val="21"/>
          <w:highlight w:val="none"/>
          <w:lang w:val="zh-CN"/>
        </w:rPr>
        <w:t>（</w:t>
      </w:r>
      <w:r>
        <w:rPr>
          <w:rFonts w:hint="eastAsia" w:ascii="宋体" w:hAnsi="宋体" w:eastAsia="宋体" w:cs="宋体"/>
          <w:b/>
          <w:bCs/>
          <w:color w:val="auto"/>
          <w:sz w:val="21"/>
          <w:szCs w:val="21"/>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1"/>
          <w:szCs w:val="21"/>
          <w:highlight w:val="none"/>
          <w:lang w:val="zh-CN"/>
        </w:rPr>
        <w:t>分包意向协议</w:t>
      </w:r>
      <w:r>
        <w:rPr>
          <w:rFonts w:hint="eastAsia" w:ascii="宋体" w:hAnsi="宋体" w:eastAsia="宋体" w:cs="宋体"/>
          <w:b/>
          <w:bCs/>
          <w:color w:val="auto"/>
          <w:sz w:val="21"/>
          <w:szCs w:val="21"/>
          <w:highlight w:val="none"/>
        </w:rPr>
        <w:t>中中小企业、小微企业合同金额应当达到的比例要求填写。</w:t>
      </w:r>
      <w:r>
        <w:rPr>
          <w:rFonts w:hint="eastAsia" w:ascii="宋体" w:hAnsi="宋体" w:eastAsia="宋体" w:cs="宋体"/>
          <w:b/>
          <w:bCs/>
          <w:color w:val="auto"/>
          <w:kern w:val="0"/>
          <w:sz w:val="21"/>
          <w:szCs w:val="21"/>
          <w:highlight w:val="none"/>
          <w:lang w:val="zh-CN"/>
        </w:rPr>
        <w:t>）</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三、分包工作履行期限、地点、方式</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四、质量</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五、价款或者报酬</w:t>
      </w:r>
    </w:p>
    <w:p>
      <w:pPr>
        <w:pageBreakBefore w:val="0"/>
        <w:kinsoku/>
        <w:wordWrap/>
        <w:overflowPunct/>
        <w:topLinePunct w:val="0"/>
        <w:autoSpaceDE/>
        <w:autoSpaceDN/>
        <w:bidi w:val="0"/>
        <w:adjustRightInd/>
        <w:snapToGrid w:val="0"/>
        <w:spacing w:line="360" w:lineRule="auto"/>
        <w:ind w:left="0" w:leftChars="0" w:right="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adjustRightInd/>
        <w:snapToGrid w:val="0"/>
        <w:spacing w:line="360" w:lineRule="auto"/>
        <w:ind w:left="0" w:leftChars="0" w:right="0" w:firstLine="630" w:firstLineChars="3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六、违约责任</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七、争议解决的办法</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adjustRightInd/>
        <w:snapToGrid w:val="0"/>
        <w:spacing w:line="360" w:lineRule="auto"/>
        <w:ind w:left="0" w:leftChars="0" w:right="0" w:firstLine="576"/>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八、其他</w:t>
      </w:r>
    </w:p>
    <w:p>
      <w:pPr>
        <w:pageBreakBefore w:val="0"/>
        <w:kinsoku/>
        <w:wordWrap/>
        <w:overflowPunct/>
        <w:topLinePunct w:val="0"/>
        <w:autoSpaceDE/>
        <w:autoSpaceDN/>
        <w:bidi w:val="0"/>
        <w:adjustRightInd/>
        <w:snapToGrid w:val="0"/>
        <w:spacing w:line="360" w:lineRule="auto"/>
        <w:ind w:left="4410" w:leftChars="0" w:right="0" w:hanging="4410" w:hangingChars="21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rPr>
        <w:t>中小企业合同金额达到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%，小微企业合同金额达到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 xml:space="preserve">  。                                           投标人名称(电子签名)：</w:t>
      </w:r>
    </w:p>
    <w:p>
      <w:pPr>
        <w:pageBreakBefore w:val="0"/>
        <w:kinsoku/>
        <w:wordWrap/>
        <w:overflowPunct/>
        <w:topLinePunct w:val="0"/>
        <w:autoSpaceDE/>
        <w:autoSpaceDN/>
        <w:bidi w:val="0"/>
        <w:adjustRightInd/>
        <w:snapToGrid w:val="0"/>
        <w:spacing w:line="360" w:lineRule="auto"/>
        <w:ind w:left="0" w:leftChars="0" w:right="0"/>
        <w:jc w:val="center"/>
        <w:textAlignment w:val="auto"/>
        <w:rPr>
          <w:rFonts w:hint="eastAsia" w:ascii="宋体" w:hAnsi="宋体" w:eastAsia="宋体" w:cs="宋体"/>
          <w:color w:val="auto"/>
          <w:kern w:val="0"/>
          <w:sz w:val="21"/>
          <w:szCs w:val="21"/>
          <w:highlight w:val="none"/>
          <w:lang w:val="zh-CN"/>
        </w:rPr>
      </w:pP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分包供应商名称(电子签名/公章)：</w:t>
      </w:r>
    </w:p>
    <w:p>
      <w:pPr>
        <w:pageBreakBefore w:val="0"/>
        <w:kinsoku/>
        <w:wordWrap/>
        <w:overflowPunct/>
        <w:topLinePunct w:val="0"/>
        <w:autoSpaceDE/>
        <w:autoSpaceDN/>
        <w:bidi w:val="0"/>
        <w:adjustRightInd/>
        <w:snapToGrid w:val="0"/>
        <w:spacing w:line="360" w:lineRule="auto"/>
        <w:ind w:left="0" w:leftChars="0" w:right="0" w:firstLine="5040" w:firstLineChars="24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w:t>
      </w:r>
    </w:p>
    <w:p>
      <w:pPr>
        <w:pageBreakBefore w:val="0"/>
        <w:kinsoku/>
        <w:wordWrap/>
        <w:overflowPunct/>
        <w:topLinePunct w:val="0"/>
        <w:autoSpaceDE/>
        <w:autoSpaceDN/>
        <w:bidi w:val="0"/>
        <w:adjustRightInd/>
        <w:snapToGrid w:val="0"/>
        <w:spacing w:line="360" w:lineRule="auto"/>
        <w:ind w:left="4410" w:leftChars="0" w:right="0" w:hanging="4410" w:hangingChars="21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                                        日期：  年  月   日</w:t>
      </w:r>
    </w:p>
    <w:p>
      <w:pPr>
        <w:pageBreakBefore w:val="0"/>
        <w:kinsoku/>
        <w:wordWrap/>
        <w:overflowPunct/>
        <w:topLinePunct w:val="0"/>
        <w:autoSpaceDE/>
        <w:autoSpaceDN/>
        <w:bidi w:val="0"/>
        <w:adjustRightInd/>
        <w:spacing w:line="360" w:lineRule="auto"/>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注：按本格式和要求提供。</w:t>
      </w:r>
    </w:p>
    <w:p>
      <w:pPr>
        <w:spacing w:line="360" w:lineRule="auto"/>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附件</w:t>
      </w:r>
      <w:r>
        <w:rPr>
          <w:rFonts w:hint="eastAsia" w:ascii="宋体" w:hAnsi="宋体" w:eastAsia="宋体" w:cs="宋体"/>
          <w:b/>
          <w:color w:val="auto"/>
          <w:spacing w:val="6"/>
          <w:sz w:val="21"/>
          <w:szCs w:val="21"/>
          <w:highlight w:val="none"/>
          <w:lang w:val="en-US" w:eastAsia="zh-CN"/>
        </w:rPr>
        <w:t>6</w:t>
      </w:r>
      <w:r>
        <w:rPr>
          <w:rFonts w:hint="eastAsia" w:ascii="宋体" w:hAnsi="宋体" w:eastAsia="宋体" w:cs="宋体"/>
          <w:b/>
          <w:color w:val="auto"/>
          <w:spacing w:val="6"/>
          <w:sz w:val="21"/>
          <w:szCs w:val="21"/>
          <w:highlight w:val="none"/>
        </w:rPr>
        <w:t>：</w:t>
      </w:r>
      <w:bookmarkStart w:id="155" w:name="OLE_LINK14"/>
      <w:bookmarkStart w:id="156" w:name="OLE_LINK13"/>
      <w:r>
        <w:rPr>
          <w:rFonts w:hint="eastAsia" w:ascii="宋体" w:hAnsi="宋体" w:eastAsia="宋体" w:cs="宋体"/>
          <w:b/>
          <w:color w:val="auto"/>
          <w:spacing w:val="6"/>
          <w:sz w:val="21"/>
          <w:szCs w:val="21"/>
          <w:highlight w:val="none"/>
        </w:rPr>
        <w:t>残疾人福利性单位声明函</w:t>
      </w:r>
    </w:p>
    <w:bookmarkEnd w:id="155"/>
    <w:bookmarkEnd w:id="156"/>
    <w:p>
      <w:pPr>
        <w:spacing w:line="360" w:lineRule="auto"/>
        <w:rPr>
          <w:rFonts w:hint="eastAsia" w:ascii="宋体" w:hAnsi="宋体" w:eastAsia="宋体" w:cs="宋体"/>
          <w:b/>
          <w:color w:val="auto"/>
          <w:spacing w:val="6"/>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1"/>
          <w:szCs w:val="21"/>
          <w:highlight w:val="none"/>
          <w:u w:val="single"/>
        </w:rPr>
        <w:t>(采购人)</w:t>
      </w:r>
      <w:r>
        <w:rPr>
          <w:rFonts w:hint="eastAsia" w:ascii="宋体" w:hAnsi="宋体" w:eastAsia="宋体" w:cs="宋体"/>
          <w:color w:val="auto"/>
          <w:sz w:val="21"/>
          <w:szCs w:val="21"/>
          <w:highlight w:val="none"/>
        </w:rPr>
        <w:t>_单位的_</w:t>
      </w:r>
      <w:r>
        <w:rPr>
          <w:rFonts w:hint="eastAsia" w:ascii="宋体" w:hAnsi="宋体" w:eastAsia="宋体" w:cs="宋体"/>
          <w:color w:val="auto"/>
          <w:sz w:val="21"/>
          <w:szCs w:val="21"/>
          <w:highlight w:val="none"/>
          <w:u w:val="single"/>
          <w:lang w:eastAsia="zh-CN"/>
        </w:rPr>
        <w:t>（项目名称）</w:t>
      </w:r>
      <w:r>
        <w:rPr>
          <w:rFonts w:hint="eastAsia" w:ascii="宋体" w:hAnsi="宋体" w:eastAsia="宋体" w:cs="宋体"/>
          <w:color w:val="auto"/>
          <w:sz w:val="21"/>
          <w:szCs w:val="21"/>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本单位对上述声明的真实性负责。如有虚假，将依法承担相应责任。</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p>
    <w:p>
      <w:pPr>
        <w:tabs>
          <w:tab w:val="left" w:pos="4860"/>
        </w:tabs>
        <w:spacing w:line="360" w:lineRule="auto"/>
        <w:ind w:right="1560"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val="zh-CN"/>
        </w:rPr>
        <w:t>投标人名称（电子签名）</w:t>
      </w:r>
      <w:r>
        <w:rPr>
          <w:rFonts w:hint="eastAsia" w:ascii="宋体" w:hAnsi="宋体" w:eastAsia="宋体" w:cs="宋体"/>
          <w:color w:val="auto"/>
          <w:sz w:val="21"/>
          <w:szCs w:val="21"/>
          <w:highlight w:val="none"/>
        </w:rPr>
        <w:t>：</w:t>
      </w:r>
    </w:p>
    <w:p>
      <w:pPr>
        <w:tabs>
          <w:tab w:val="left" w:pos="4860"/>
        </w:tabs>
        <w:spacing w:line="360" w:lineRule="auto"/>
        <w:ind w:right="1560"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  期：</w:t>
      </w: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autoSpaceDE w:val="0"/>
        <w:autoSpaceDN w:val="0"/>
        <w:jc w:val="center"/>
        <w:rPr>
          <w:rFonts w:hint="eastAsia" w:ascii="宋体" w:hAnsi="宋体" w:eastAsia="宋体" w:cs="宋体"/>
          <w:b/>
          <w:color w:val="auto"/>
          <w:spacing w:val="6"/>
          <w:sz w:val="21"/>
          <w:szCs w:val="21"/>
          <w:highlight w:val="none"/>
        </w:rPr>
      </w:pPr>
    </w:p>
    <w:p>
      <w:pPr>
        <w:pStyle w:val="11"/>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snapToGrid w:val="0"/>
        <w:spacing w:line="360" w:lineRule="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附件</w:t>
      </w:r>
      <w:r>
        <w:rPr>
          <w:rFonts w:hint="eastAsia" w:ascii="宋体" w:hAnsi="宋体" w:eastAsia="宋体" w:cs="宋体"/>
          <w:b/>
          <w:color w:val="auto"/>
          <w:kern w:val="0"/>
          <w:sz w:val="21"/>
          <w:szCs w:val="21"/>
          <w:highlight w:val="none"/>
          <w:lang w:val="en-US" w:eastAsia="zh-CN"/>
        </w:rPr>
        <w:t>7</w:t>
      </w:r>
      <w:r>
        <w:rPr>
          <w:rFonts w:hint="eastAsia" w:ascii="宋体" w:hAnsi="宋体" w:eastAsia="宋体" w:cs="宋体"/>
          <w:b/>
          <w:color w:val="auto"/>
          <w:kern w:val="0"/>
          <w:sz w:val="21"/>
          <w:szCs w:val="21"/>
          <w:highlight w:val="none"/>
        </w:rPr>
        <w:t>：中小企业声明函</w:t>
      </w:r>
    </w:p>
    <w:p>
      <w:pPr>
        <w:jc w:val="center"/>
        <w:rPr>
          <w:rFonts w:hint="eastAsia" w:ascii="宋体" w:hAnsi="宋体" w:cs="宋体"/>
          <w:b/>
          <w:bCs/>
          <w:szCs w:val="21"/>
          <w:highlight w:val="none"/>
        </w:rPr>
      </w:pPr>
      <w:r>
        <w:rPr>
          <w:rFonts w:hint="eastAsia" w:ascii="宋体" w:hAnsi="宋体" w:cs="宋体"/>
          <w:b/>
          <w:bCs/>
          <w:szCs w:val="21"/>
          <w:highlight w:val="none"/>
        </w:rPr>
        <w:t>中小企业声明函（货物）</w:t>
      </w:r>
    </w:p>
    <w:p>
      <w:pPr>
        <w:pStyle w:val="3"/>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行业；制造商为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万元，属于（□中型企业、□小型企业、□微型企业）；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行业；制造商为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万元，属于（□中型企业、□小型企业、□微型企业）；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3255" w:firstLineChars="1550"/>
        <w:textAlignment w:val="auto"/>
        <w:rPr>
          <w:rFonts w:hint="eastAsia"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255" w:firstLineChars="155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企业名称（盖章）： </w:t>
      </w:r>
    </w:p>
    <w:p>
      <w:pPr>
        <w:keepNext w:val="0"/>
        <w:keepLines w:val="0"/>
        <w:pageBreakBefore w:val="0"/>
        <w:widowControl w:val="0"/>
        <w:kinsoku/>
        <w:wordWrap/>
        <w:overflowPunct/>
        <w:topLinePunct w:val="0"/>
        <w:autoSpaceDE/>
        <w:autoSpaceDN/>
        <w:bidi w:val="0"/>
        <w:adjustRightInd/>
        <w:snapToGrid/>
        <w:spacing w:line="360" w:lineRule="auto"/>
        <w:ind w:firstLine="3255" w:firstLineChars="1550"/>
        <w:textAlignment w:val="auto"/>
        <w:rPr>
          <w:rFonts w:hint="eastAsia" w:ascii="宋体" w:hAnsi="宋体" w:cs="宋体"/>
          <w:color w:val="auto"/>
          <w:szCs w:val="21"/>
          <w:highlight w:val="none"/>
        </w:rPr>
      </w:pPr>
      <w:r>
        <w:rPr>
          <w:rFonts w:hint="eastAsia" w:ascii="宋体" w:hAnsi="宋体" w:cs="宋体"/>
          <w:color w:val="auto"/>
          <w:szCs w:val="21"/>
          <w:highlight w:val="none"/>
        </w:rPr>
        <w:t>日 期：</w:t>
      </w:r>
    </w:p>
    <w:p>
      <w:pPr>
        <w:keepNext w:val="0"/>
        <w:keepLines w:val="0"/>
        <w:pageBreakBefore w:val="0"/>
        <w:widowControl w:val="0"/>
        <w:kinsoku/>
        <w:wordWrap/>
        <w:overflowPunct/>
        <w:topLinePunct w:val="0"/>
        <w:autoSpaceDE/>
        <w:autoSpaceDN/>
        <w:bidi w:val="0"/>
        <w:adjustRightInd/>
        <w:snapToGrid/>
        <w:spacing w:line="360" w:lineRule="auto"/>
        <w:ind w:right="420"/>
        <w:textAlignment w:val="auto"/>
        <w:rPr>
          <w:rFonts w:hint="eastAsia" w:ascii="宋体" w:hAnsi="宋体" w:eastAsia="宋体" w:cs="宋体"/>
          <w:color w:val="auto"/>
          <w:sz w:val="21"/>
          <w:szCs w:val="21"/>
          <w:highlight w:val="none"/>
        </w:rPr>
      </w:pPr>
      <w:r>
        <w:rPr>
          <w:rFonts w:hint="eastAsia" w:ascii="宋体" w:hAnsi="宋体"/>
          <w:color w:val="auto"/>
          <w:sz w:val="21"/>
          <w:szCs w:val="21"/>
          <w:highlight w:val="none"/>
        </w:rPr>
        <w:t>注：1 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12"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注：</w:t>
      </w:r>
    </w:p>
    <w:p>
      <w:pPr>
        <w:keepNext w:val="0"/>
        <w:keepLines w:val="0"/>
        <w:pageBreakBefore w:val="0"/>
        <w:widowControl w:val="0"/>
        <w:kinsoku/>
        <w:wordWrap/>
        <w:overflowPunct/>
        <w:topLinePunct w:val="0"/>
        <w:autoSpaceDE/>
        <w:autoSpaceDN/>
        <w:bidi w:val="0"/>
        <w:adjustRightInd/>
        <w:snapToGrid/>
        <w:spacing w:line="312" w:lineRule="auto"/>
        <w:ind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snapToGrid/>
        <w:spacing w:line="312" w:lineRule="auto"/>
        <w:ind w:right="0"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2、符合《关于促进残疾人就业政府采购政策的通知》（财库〔2017〕141号）规定的条件并提供《残疾人福利性单位声明函》（附件</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ageBreakBefore/>
        <w:shd w:val="clear" w:color="auto" w:fill="FFFFFF"/>
        <w:spacing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国家统计局关于印发《统计上大中小微型企业划分办法（2017）》的通知</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各省、自治区、直辖市统计局，新疆生产建设兵团统计局，国务院各有关部门，国家统计局各调查总队：</w:t>
      </w:r>
    </w:p>
    <w:p>
      <w:pPr>
        <w:widowControl/>
        <w:shd w:val="clear" w:color="auto" w:fill="FFFFFF"/>
        <w:spacing w:before="150" w:line="420" w:lineRule="atLeast"/>
        <w:ind w:firstLine="420" w:firstLineChars="200"/>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附件：《统计上大中小微型企业划分办法（2017）》修订说明</w:t>
      </w:r>
    </w:p>
    <w:p>
      <w:pPr>
        <w:widowControl/>
        <w:shd w:val="clear" w:color="auto" w:fill="FFFFFF"/>
        <w:spacing w:before="150" w:line="420" w:lineRule="atLeast"/>
        <w:ind w:right="825"/>
        <w:jc w:val="righ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国家统计局  </w:t>
      </w:r>
    </w:p>
    <w:p>
      <w:pPr>
        <w:widowControl/>
        <w:shd w:val="clear" w:color="auto" w:fill="FFFFFF"/>
        <w:spacing w:before="150" w:line="420" w:lineRule="atLeast"/>
        <w:ind w:right="825"/>
        <w:jc w:val="righ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2017年12月28日</w:t>
      </w:r>
    </w:p>
    <w:p>
      <w:pPr>
        <w:pStyle w:val="11"/>
        <w:rPr>
          <w:rFonts w:hint="eastAsia" w:ascii="宋体" w:hAnsi="宋体" w:eastAsia="宋体" w:cs="宋体"/>
          <w:color w:val="auto"/>
          <w:sz w:val="21"/>
          <w:szCs w:val="21"/>
          <w:highlight w:val="none"/>
          <w:lang w:val="en-US" w:eastAsia="zh-CN"/>
        </w:rPr>
      </w:pPr>
    </w:p>
    <w:p>
      <w:pPr>
        <w:widowControl/>
        <w:shd w:val="clear" w:color="auto" w:fill="FFFFFF"/>
        <w:spacing w:before="150"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统计上大中小微型企业划分办法（2017）</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二、本办法适用对象为在中华人民共和国境内依法设立的各种组织形式的法人企业或单位。个体工商户参照本办法进行划分。</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五、企业划分由政府综合统计部门根据统计年报每年确定一次，定报统计原则上不进行调整。</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六、本办法自印发之日起执行，国家统计局2011年印发的《统计上大中小微型企业划分办法》（国统字〔2011〕75号）同时废止。</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附表：统计上大中小微型企业划分标准</w:t>
      </w:r>
    </w:p>
    <w:p>
      <w:pPr>
        <w:widowControl/>
        <w:jc w:val="left"/>
        <w:rPr>
          <w:rFonts w:hint="eastAsia" w:ascii="宋体" w:hAnsi="宋体" w:eastAsia="宋体" w:cs="宋体"/>
          <w:color w:val="auto"/>
          <w:kern w:val="0"/>
          <w:sz w:val="21"/>
          <w:szCs w:val="21"/>
          <w:highlight w:val="none"/>
        </w:rPr>
      </w:pPr>
    </w:p>
    <w:p>
      <w:pPr>
        <w:widowControl/>
        <w:shd w:val="clear" w:color="auto" w:fill="FFFFFF"/>
        <w:spacing w:before="150"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统计上大中小微型企业划分标准</w:t>
      </w:r>
    </w:p>
    <w:tbl>
      <w:tblPr>
        <w:tblStyle w:val="23"/>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行业名称</w:t>
            </w:r>
          </w:p>
        </w:tc>
        <w:tc>
          <w:tcPr>
            <w:tcW w:w="1560"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指标名称</w:t>
            </w:r>
          </w:p>
        </w:tc>
        <w:tc>
          <w:tcPr>
            <w:tcW w:w="671"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计量单位</w:t>
            </w:r>
          </w:p>
        </w:tc>
        <w:tc>
          <w:tcPr>
            <w:tcW w:w="1231"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大型</w:t>
            </w:r>
          </w:p>
        </w:tc>
        <w:tc>
          <w:tcPr>
            <w:tcW w:w="1891"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中型</w:t>
            </w:r>
          </w:p>
        </w:tc>
        <w:tc>
          <w:tcPr>
            <w:tcW w:w="1730"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小型</w:t>
            </w:r>
          </w:p>
        </w:tc>
        <w:tc>
          <w:tcPr>
            <w:tcW w:w="1203"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农、林、牧、渔业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500≤Y＜20000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50≤Y＜500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工业 *</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2000≤Y＜40000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300≤Y＜2000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Y≥80000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6000≤Y＜80000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300≤Y＜6000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Z≥80000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5000≤Z＜80000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300≤Z＜5000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批发业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20≤X＜200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5≤X＜20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5000≤Y＜40000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1000≤Y＜5000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零售业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50≤X＜300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10≤X＜50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500≤Y＜20000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100≤Y＜500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交通运输业 *</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3000≤Y＜30000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200≤Y＜3000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仓储业*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20≤X＜100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1000≤Y＜30000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邮政业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2000≤Y＜30000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住宿业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餐饮业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信息传输业 *</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1000≤Y＜100000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软件和信息技术服务业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1000≤Y＜10000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50≤Y＜1000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房地产开发经营</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1000≤Y＜200000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5000≤Z＜10000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2000≤Z＜5000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物业管理</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1000≤Y＜5000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500≤Y＜1000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租赁和商务服务业</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宋体" w:hAnsi="宋体" w:eastAsia="宋体" w:cs="宋体"/>
                <w:color w:val="auto"/>
                <w:kern w:val="0"/>
                <w:sz w:val="21"/>
                <w:szCs w:val="21"/>
                <w:highlight w:val="none"/>
              </w:rPr>
            </w:pP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Z≥120000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8000≤Z＜120000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100≤Z＜8000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其他未列明行业 *</w:t>
            </w:r>
          </w:p>
        </w:tc>
        <w:tc>
          <w:tcPr>
            <w:tcW w:w="156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67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23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891"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730"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1203"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bl>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说明： 　　</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1.大型、中型和小型企业须同时满足所列指标的下限，否则下划一档；微型企业只须满足所列指标中的一项即可。 　　</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3.企业划分指标以现行统计制度为准。</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（1）从业人员，是指期末从业人员数，没有期末从业人员数的，采用全年平均人员数代替。</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（3）资产总额，采用资产总计代替。</w:t>
      </w:r>
    </w:p>
    <w:p>
      <w:pPr>
        <w:widowControl/>
        <w:jc w:val="left"/>
        <w:rPr>
          <w:rFonts w:hint="eastAsia" w:ascii="宋体" w:hAnsi="宋体" w:eastAsia="宋体" w:cs="宋体"/>
          <w:color w:val="auto"/>
          <w:kern w:val="0"/>
          <w:sz w:val="21"/>
          <w:szCs w:val="21"/>
          <w:highlight w:val="none"/>
        </w:rPr>
      </w:pPr>
    </w:p>
    <w:p>
      <w:pPr>
        <w:widowControl/>
        <w:shd w:val="clear" w:color="auto" w:fill="FFFFFF"/>
        <w:spacing w:before="150"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《统计上大中小微型企业划分办法（2017）》修订说明</w:t>
      </w:r>
    </w:p>
    <w:p>
      <w:pPr>
        <w:widowControl/>
        <w:shd w:val="clear" w:color="auto" w:fill="FFFFFF"/>
        <w:spacing w:before="150" w:line="540" w:lineRule="atLeast"/>
        <w:jc w:val="left"/>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一、修订背景</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fill="FFFFFF"/>
        <w:spacing w:before="150" w:line="540" w:lineRule="atLeast"/>
        <w:jc w:val="left"/>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二、修订主要内容</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将交通运输业中包括的“装卸搬运和运输代理业”修改为“多式联运和运输代理业、装卸搬运”。</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仓储业所包括的行业中类，根据《国民经济行业分类》（GB/T4754—2017）调整为“通用仓储，低温仓储，危险品仓储，谷物、棉花等农产品仓储，中药材仓储和其他仓储业”。</w:t>
      </w:r>
    </w:p>
    <w:p>
      <w:pPr>
        <w:widowControl/>
        <w:shd w:val="clear" w:color="auto" w:fill="FFFFFF"/>
        <w:spacing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中国人民银行中国银行业监督管理委员会</w:t>
      </w:r>
    </w:p>
    <w:p>
      <w:pPr>
        <w:widowControl/>
        <w:shd w:val="clear" w:color="auto" w:fill="FFFFFF"/>
        <w:spacing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中国证券监督管理委员会中国保险监督管理委员会</w:t>
      </w:r>
    </w:p>
    <w:p>
      <w:pPr>
        <w:widowControl/>
        <w:shd w:val="clear" w:color="auto" w:fill="FFFFFF"/>
        <w:spacing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国家统计局关于印发《金融业企业划型标准规定》的通知</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请人民银行上海总部，各分行、营业管理部、省会（首府）城市中心支行、副省级城市中心支行会同所在省（区、市）银监局、证监局、保监局、统计局将本通知联合转发至辖内相关机构。</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附件：金融业企业划型标准规定</w:t>
      </w:r>
    </w:p>
    <w:p>
      <w:pPr>
        <w:widowControl/>
        <w:shd w:val="clear" w:color="auto" w:fill="FFFFFF"/>
        <w:spacing w:before="150"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金融业企业划型标准规定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一、 根据《中华人民共和国中小企业促进法》、《国务院关于进一步促进中小企业发展的若干意见》（国发〔2009〕36号）和《国务院办公厅关于金融支持小微企业发展的实施意见》（国办发〔2013〕87号），制定本规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二、 适用范围。本规定适用于从事《国民经济行业分类》(GB/T4754-2011)中J门类（金融业）活动的企业。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四、划型标准指标。采用一个完整会计年度中四个季度末法人并表口径的资产总额（信托公司为信托资产）平均值作为划型指标，该指标以监管部门数据为准。</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五、指标标准值。依据指标标准值，将各类金融业企业划分为大、中、小、微四个规模类型，中型企业标准上限及以上的为大型企业。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(一) 银行业存款类金融机构。资产总额40000亿元以下的为中小微型企业。其中，资产总额5000亿元及以上的为中型企业，资产总额50亿元及以上的为小型企业，资产总额50亿元以下的为微型企业。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(二) 银行业非存款类金融机构。资产总额1000亿元以下的为中小微型企业。其中，资产总额200亿元及以上的为中型企业，资产总额50亿元及以上的为小型企业，资产总额50亿元以下的为微型企业。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(三) 贷款公司、小额贷款公司及典当行。资产总额1000亿元以下的为中小微型企业。其中，资产总额200亿元及以上的为中型企业，资产总额50亿元及以上的为小型企业，资产总额50亿元以下的为微型企业。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(四) 证券业金融机构。资产总额1000亿元以下的为中小微型企业。其中，资产总额100亿元及以上的为中型企业，资产总额10亿元及以上的为小型企业，资产总额10亿元以下的为微型企业。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(五) 保险业金融机构。资产总额5000亿元以下的为中小微型企业。其中，资产总额400亿元及以上的为中型企业，资产总额20亿元及以上的为小型企业，资产总额20亿元以下的为微型企业。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(六) 信托公司。信托资产1000亿元以下的为中小微型企业。其中，信托资产400亿元及以上的为中型企业，信托资产20亿元及以上的为小型企业，信托资产20亿元以下的为微型企业。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(七) 金融控股公司。资产总额40000亿元以下的为中小微型企业。其中，资产总额5000亿元及以上的为中型企业，资产总额50亿元及以上的为小型企业，资产总额50亿元以下的为微型企业。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七、 标准值的评估和调整。金融业企业划型标准工作组毎五年对划型标准值受经济发展与通货膨胀等因素的响程度进行评估和调整。</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八、 本规定的中型金融业企业标准上限即为大型金融业企业下限。国务院有关部门据此进行相关数据的统计分析，不得制定与本规定不一致的金融业企业划型标准。</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九、 融资担保公司参照本规定中“除贷款公司、小额贷款公司、典当行以外的其他金融机构”标准划型。</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十、本规定由人民银行会同银监会，证监会、保监会和统计局负责解释。</w:t>
      </w:r>
    </w:p>
    <w:p>
      <w:pPr>
        <w:widowControl/>
        <w:shd w:val="clear" w:color="auto" w:fill="FFFFFF"/>
        <w:spacing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十一、本规定自发布之日起实施。</w:t>
      </w:r>
    </w:p>
    <w:p>
      <w:pPr>
        <w:widowControl/>
        <w:shd w:val="clear" w:color="auto" w:fill="FFFFFF"/>
        <w:spacing w:before="150" w:line="420" w:lineRule="atLeas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附：金融业企业划型标准</w:t>
      </w:r>
    </w:p>
    <w:p>
      <w:pPr>
        <w:widowControl/>
        <w:shd w:val="clear" w:color="auto" w:fill="FFFFFF"/>
        <w:spacing w:before="150" w:line="600" w:lineRule="atLeast"/>
        <w:jc w:val="center"/>
        <w:textAlignment w:val="baseline"/>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金融业企业划型标准</w:t>
      </w:r>
    </w:p>
    <w:tbl>
      <w:tblPr>
        <w:tblStyle w:val="23"/>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025"/>
        <w:gridCol w:w="2836"/>
        <w:gridCol w:w="606"/>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行业</w:t>
            </w:r>
          </w:p>
        </w:tc>
        <w:tc>
          <w:tcPr>
            <w:tcW w:w="2836"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类别</w:t>
            </w:r>
          </w:p>
        </w:tc>
        <w:tc>
          <w:tcPr>
            <w:tcW w:w="606"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类型</w:t>
            </w:r>
          </w:p>
        </w:tc>
        <w:tc>
          <w:tcPr>
            <w:tcW w:w="3326" w:type="dxa"/>
            <w:tcMar>
              <w:top w:w="75" w:type="dxa"/>
              <w:left w:w="75" w:type="dxa"/>
              <w:bottom w:w="75" w:type="dxa"/>
              <w:right w:w="75" w:type="dxa"/>
            </w:tcMar>
            <w:vAlign w:val="bottom"/>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货币金融服务</w:t>
            </w:r>
          </w:p>
        </w:tc>
        <w:tc>
          <w:tcPr>
            <w:tcW w:w="1025"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货币银行服务</w:t>
            </w: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银行业存款类金融机构</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非货币银行服务</w:t>
            </w: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银行业非存款类金融机构</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贷款公司、小额贷款公司及典当行</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资本市场服务</w:t>
            </w: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证券业金融机构</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10亿元（含）至100亿元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保险业</w:t>
            </w: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保险业金融机构</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400亿元（含）至5000亿元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其他金融业</w:t>
            </w:r>
          </w:p>
        </w:tc>
        <w:tc>
          <w:tcPr>
            <w:tcW w:w="1025"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金融信托与管理服务</w:t>
            </w: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信托公司</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控股公司服务</w:t>
            </w: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金融控股公司</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其他未包括的金融业</w:t>
            </w:r>
          </w:p>
        </w:tc>
        <w:tc>
          <w:tcPr>
            <w:tcW w:w="2836" w:type="dxa"/>
            <w:vMerge w:val="restart"/>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除贷款公司、小额贷款公司及典当行以外的其他金融机构</w:t>
            </w: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宋体" w:hAnsi="宋体" w:eastAsia="宋体" w:cs="宋体"/>
                <w:color w:val="auto"/>
                <w:kern w:val="0"/>
                <w:sz w:val="21"/>
                <w:szCs w:val="21"/>
                <w:highlight w:val="none"/>
              </w:rPr>
            </w:pPr>
          </w:p>
        </w:tc>
        <w:tc>
          <w:tcPr>
            <w:tcW w:w="1025" w:type="dxa"/>
            <w:vMerge w:val="continue"/>
            <w:vAlign w:val="center"/>
          </w:tcPr>
          <w:p>
            <w:pPr>
              <w:widowControl/>
              <w:jc w:val="left"/>
              <w:rPr>
                <w:rFonts w:hint="eastAsia" w:ascii="宋体" w:hAnsi="宋体" w:eastAsia="宋体" w:cs="宋体"/>
                <w:color w:val="auto"/>
                <w:kern w:val="0"/>
                <w:sz w:val="21"/>
                <w:szCs w:val="21"/>
                <w:highlight w:val="none"/>
              </w:rPr>
            </w:pPr>
          </w:p>
        </w:tc>
        <w:tc>
          <w:tcPr>
            <w:tcW w:w="2836" w:type="dxa"/>
            <w:vMerge w:val="continue"/>
            <w:vAlign w:val="center"/>
          </w:tcPr>
          <w:p>
            <w:pPr>
              <w:widowControl/>
              <w:jc w:val="left"/>
              <w:rPr>
                <w:rFonts w:hint="eastAsia" w:ascii="宋体" w:hAnsi="宋体" w:eastAsia="宋体" w:cs="宋体"/>
                <w:color w:val="auto"/>
                <w:kern w:val="0"/>
                <w:sz w:val="21"/>
                <w:szCs w:val="21"/>
                <w:highlight w:val="none"/>
              </w:rPr>
            </w:pPr>
          </w:p>
        </w:tc>
        <w:tc>
          <w:tcPr>
            <w:tcW w:w="60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微型</w:t>
            </w:r>
          </w:p>
        </w:tc>
        <w:tc>
          <w:tcPr>
            <w:tcW w:w="3326" w:type="dxa"/>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50亿元以下</w:t>
            </w:r>
          </w:p>
        </w:tc>
      </w:tr>
    </w:tbl>
    <w:p>
      <w:pPr>
        <w:rPr>
          <w:rFonts w:hint="eastAsia" w:ascii="宋体" w:hAnsi="宋体" w:eastAsia="宋体" w:cs="宋体"/>
          <w:color w:val="auto"/>
          <w:sz w:val="21"/>
          <w:szCs w:val="21"/>
          <w:highlight w:val="none"/>
        </w:rPr>
      </w:pPr>
    </w:p>
    <w:p>
      <w:pPr>
        <w:ind w:firstLine="420" w:firstLineChars="200"/>
        <w:rPr>
          <w:rFonts w:hint="eastAsia" w:ascii="宋体" w:hAnsi="宋体" w:eastAsia="宋体" w:cs="宋体"/>
          <w:color w:val="auto"/>
          <w:sz w:val="21"/>
          <w:szCs w:val="21"/>
          <w:highlight w:val="none"/>
        </w:rPr>
      </w:pPr>
    </w:p>
    <w:p>
      <w:pPr>
        <w:spacing w:line="360" w:lineRule="auto"/>
        <w:ind w:right="420"/>
        <w:rPr>
          <w:rFonts w:hint="eastAsia" w:ascii="宋体" w:hAnsi="宋体" w:eastAsia="宋体" w:cs="宋体"/>
          <w:color w:val="auto"/>
          <w:sz w:val="21"/>
          <w:szCs w:val="21"/>
          <w:highlight w:val="none"/>
        </w:rPr>
      </w:pPr>
    </w:p>
    <w:p>
      <w:pPr>
        <w:spacing w:line="360" w:lineRule="auto"/>
        <w:rPr>
          <w:rFonts w:hint="eastAsia" w:ascii="宋体" w:hAnsi="宋体" w:eastAsia="宋体" w:cs="宋体"/>
          <w:bCs/>
          <w:sz w:val="21"/>
          <w:szCs w:val="21"/>
          <w:highlight w:val="none"/>
        </w:rPr>
      </w:pPr>
    </w:p>
    <w:p>
      <w:pPr>
        <w:rPr>
          <w:rFonts w:hint="eastAsia" w:ascii="宋体" w:hAnsi="宋体" w:eastAsia="宋体" w:cs="宋体"/>
          <w:highlight w:val="none"/>
        </w:rPr>
      </w:pPr>
    </w:p>
    <w:sectPr>
      <w:headerReference r:id="rId11" w:type="default"/>
      <w:footerReference r:id="rId12" w:type="default"/>
      <w:pgSz w:w="11906" w:h="16838"/>
      <w:pgMar w:top="1389" w:right="1417" w:bottom="1389" w:left="1134" w:header="851" w:footer="992" w:gutter="283"/>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华文宋体">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tabs>
        <w:tab w:val="left" w:pos="3776"/>
        <w:tab w:val="center" w:pos="4624"/>
      </w:tabs>
    </w:pPr>
  </w:p>
  <w:p>
    <w:pPr>
      <w:pStyle w:val="15"/>
      <w:tabs>
        <w:tab w:val="left" w:pos="3776"/>
        <w:tab w:val="center" w:pos="4624"/>
      </w:tabs>
    </w:pPr>
    <w:r>
      <mc:AlternateContent>
        <mc:Choice Requires="wps">
          <w:drawing>
            <wp:anchor distT="0" distB="0" distL="114300" distR="114300" simplePos="0" relativeHeight="251660288" behindDoc="0" locked="0" layoutInCell="1" allowOverlap="1">
              <wp:simplePos x="0" y="0"/>
              <wp:positionH relativeFrom="margin">
                <wp:posOffset>2435860</wp:posOffset>
              </wp:positionH>
              <wp:positionV relativeFrom="paragraph">
                <wp:posOffset>19685</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33</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38</w:t>
                          </w:r>
                          <w:r>
                            <w:rPr>
                              <w:sz w:val="18"/>
                            </w:rPr>
                            <w:fldChar w:fldCharType="end"/>
                          </w:r>
                          <w:r>
                            <w:rPr>
                              <w:sz w:val="18"/>
                            </w:rPr>
                            <w:t xml:space="preserve"> 页</w:t>
                          </w:r>
                        </w:p>
                      </w:txbxContent>
                    </wps:txbx>
                    <wps:bodyPr wrap="none" lIns="0" tIns="0" rIns="0" bIns="0">
                      <a:spAutoFit/>
                    </wps:bodyPr>
                  </wps:wsp>
                </a:graphicData>
              </a:graphic>
            </wp:anchor>
          </w:drawing>
        </mc:Choice>
        <mc:Fallback>
          <w:pict>
            <v:shape id="文本框 6" o:spid="_x0000_s1026" o:spt="202" type="#_x0000_t202" style="position:absolute;left:0pt;margin-left:191.8pt;margin-top:1.55pt;height:144pt;width:144pt;mso-position-horizontal-relative:margin;mso-wrap-style:none;z-index:251660288;mso-width-relative:page;mso-height-relative:page;" filled="f" stroked="f" coordsize="21600,21600" o:gfxdata="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JQD/9UAAAAJAQAADwAAAAAAAAABACAAAAAiAAAAZHJzL2Rv&#10;d25yZXYueG1sUEsBAhQAFAAAAAgAh07iQN2Ugz7LAQAAlgMAAA4AAAAAAAAAAQAgAAAAJAEAAGRy&#10;cy9lMm9Eb2MueG1sUEsFBgAAAAAGAAYAWQEAAGE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33</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38</w:t>
                    </w:r>
                    <w:r>
                      <w:rPr>
                        <w:sz w:val="18"/>
                      </w:rPr>
                      <w:fldChar w:fldCharType="end"/>
                    </w:r>
                    <w:r>
                      <w:rPr>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36</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38</w:t>
                          </w:r>
                          <w:r>
                            <w:rPr>
                              <w:sz w:val="18"/>
                            </w:rPr>
                            <w:fldChar w:fldCharType="end"/>
                          </w:r>
                          <w:r>
                            <w:rPr>
                              <w:sz w:val="18"/>
                            </w:rPr>
                            <w:t xml:space="preserve"> 页</w:t>
                          </w:r>
                        </w:p>
                      </w:txbxContent>
                    </wps:txbx>
                    <wps:bodyPr vert="horz" wrap="none" lIns="0" tIns="0" rIns="0" bIns="0" anchor="t">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MolXE2AEAAK0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36</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38</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ind w:firstLine="360" w:firstLineChars="200"/>
      <w:jc w:val="left"/>
      <w:rPr>
        <w:rFonts w:hint="eastAsia"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05BC07"/>
    <w:multiLevelType w:val="singleLevel"/>
    <w:tmpl w:val="8D05BC07"/>
    <w:lvl w:ilvl="0" w:tentative="0">
      <w:start w:val="1"/>
      <w:numFmt w:val="decimal"/>
      <w:pStyle w:val="5"/>
      <w:lvlText w:val="%1."/>
      <w:lvlJc w:val="left"/>
      <w:pPr>
        <w:tabs>
          <w:tab w:val="left" w:pos="780"/>
        </w:tabs>
        <w:ind w:left="780" w:hanging="360"/>
      </w:pPr>
    </w:lvl>
  </w:abstractNum>
  <w:abstractNum w:abstractNumId="1">
    <w:nsid w:val="F7E6F6E2"/>
    <w:multiLevelType w:val="singleLevel"/>
    <w:tmpl w:val="F7E6F6E2"/>
    <w:lvl w:ilvl="0" w:tentative="0">
      <w:start w:val="1"/>
      <w:numFmt w:val="decimal"/>
      <w:lvlText w:val="%1)"/>
      <w:lvlJc w:val="left"/>
      <w:pPr>
        <w:ind w:left="425" w:hanging="425"/>
      </w:pPr>
      <w:rPr>
        <w:rFonts w:hint="default"/>
      </w:rPr>
    </w:lvl>
  </w:abstractNum>
  <w:abstractNum w:abstractNumId="2">
    <w:nsid w:val="00000000"/>
    <w:multiLevelType w:val="singleLevel"/>
    <w:tmpl w:val="00000000"/>
    <w:lvl w:ilvl="0" w:tentative="0">
      <w:start w:val="1"/>
      <w:numFmt w:val="decimal"/>
      <w:suff w:val="nothing"/>
      <w:lvlText w:val="（%1）"/>
      <w:lvlJc w:val="left"/>
      <w:rPr>
        <w:rFonts w:hint="default" w:ascii="宋体" w:hAnsi="宋体" w:eastAsia="宋体" w:cs="宋体"/>
        <w:sz w:val="21"/>
        <w:szCs w:val="21"/>
      </w:rPr>
    </w:lvl>
  </w:abstractNum>
  <w:abstractNum w:abstractNumId="3">
    <w:nsid w:val="0A84AE2C"/>
    <w:multiLevelType w:val="singleLevel"/>
    <w:tmpl w:val="0A84AE2C"/>
    <w:lvl w:ilvl="0" w:tentative="0">
      <w:start w:val="1"/>
      <w:numFmt w:val="chineseCounting"/>
      <w:suff w:val="nothing"/>
      <w:lvlText w:val="%1、"/>
      <w:lvlJc w:val="left"/>
      <w:rPr>
        <w:rFonts w:hint="eastAsia"/>
      </w:rPr>
    </w:lvl>
  </w:abstractNum>
  <w:abstractNum w:abstractNumId="4">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5D8B8C01"/>
    <w:multiLevelType w:val="multilevel"/>
    <w:tmpl w:val="5D8B8C01"/>
    <w:lvl w:ilvl="0" w:tentative="0">
      <w:start w:val="1"/>
      <w:numFmt w:val="decimal"/>
      <w:lvlText w:val="%1"/>
      <w:lvlJc w:val="left"/>
      <w:pPr>
        <w:tabs>
          <w:tab w:val="left" w:pos="845"/>
        </w:tabs>
        <w:ind w:left="0" w:firstLine="567"/>
      </w:pPr>
      <w:rPr>
        <w:rFonts w:hint="eastAsia"/>
      </w:rPr>
    </w:lvl>
    <w:lvl w:ilvl="1" w:tentative="0">
      <w:start w:val="1"/>
      <w:numFmt w:val="decimal"/>
      <w:lvlText w:val="%1.%2"/>
      <w:lvlJc w:val="left"/>
      <w:pPr>
        <w:tabs>
          <w:tab w:val="left" w:pos="960"/>
        </w:tabs>
        <w:ind w:left="-27" w:firstLine="567"/>
      </w:pPr>
      <w:rPr>
        <w:rFonts w:hint="default" w:ascii="宋体" w:hAnsi="宋体" w:eastAsia="宋体" w:cs="华文宋体"/>
        <w:b w:val="0"/>
        <w:i w:val="0"/>
        <w:sz w:val="24"/>
        <w:szCs w:val="24"/>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6">
    <w:nsid w:val="62E47282"/>
    <w:multiLevelType w:val="singleLevel"/>
    <w:tmpl w:val="62E47282"/>
    <w:lvl w:ilvl="0" w:tentative="0">
      <w:start w:val="1"/>
      <w:numFmt w:val="decimal"/>
      <w:pStyle w:val="6"/>
      <w:lvlText w:val="%1."/>
      <w:lvlJc w:val="left"/>
      <w:pPr>
        <w:tabs>
          <w:tab w:val="left" w:pos="360"/>
        </w:tabs>
        <w:ind w:left="360" w:hanging="360"/>
      </w:pPr>
    </w:lvl>
  </w:abstractNum>
  <w:abstractNum w:abstractNumId="7">
    <w:nsid w:val="6E014B64"/>
    <w:multiLevelType w:val="singleLevel"/>
    <w:tmpl w:val="6E014B64"/>
    <w:lvl w:ilvl="0" w:tentative="0">
      <w:start w:val="2"/>
      <w:numFmt w:val="chineseCounting"/>
      <w:suff w:val="nothing"/>
      <w:lvlText w:val="%1、"/>
      <w:lvlJc w:val="left"/>
      <w:rPr>
        <w:rFonts w:hint="eastAsia"/>
      </w:r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OTA4ZjlhMzFlZjMwYWZkZTg4ZDlmY2UxM2UyMzAifQ=="/>
  </w:docVars>
  <w:rsids>
    <w:rsidRoot w:val="40354AB8"/>
    <w:rsid w:val="0028638D"/>
    <w:rsid w:val="00D5376F"/>
    <w:rsid w:val="02CC19AE"/>
    <w:rsid w:val="03A8567C"/>
    <w:rsid w:val="09EC1385"/>
    <w:rsid w:val="0DE756B7"/>
    <w:rsid w:val="0F5D7DBE"/>
    <w:rsid w:val="0FF81382"/>
    <w:rsid w:val="10F6166E"/>
    <w:rsid w:val="11792E4C"/>
    <w:rsid w:val="11C851A1"/>
    <w:rsid w:val="11CC653F"/>
    <w:rsid w:val="14526374"/>
    <w:rsid w:val="151F30B3"/>
    <w:rsid w:val="182A45A2"/>
    <w:rsid w:val="184E02A5"/>
    <w:rsid w:val="18617C31"/>
    <w:rsid w:val="193C1FC3"/>
    <w:rsid w:val="19F723CB"/>
    <w:rsid w:val="1B20408F"/>
    <w:rsid w:val="1B9A34FD"/>
    <w:rsid w:val="1CE331AB"/>
    <w:rsid w:val="1E7730EB"/>
    <w:rsid w:val="1EFC582C"/>
    <w:rsid w:val="209F5CD9"/>
    <w:rsid w:val="218454E6"/>
    <w:rsid w:val="224A57B5"/>
    <w:rsid w:val="234F458B"/>
    <w:rsid w:val="23B256DB"/>
    <w:rsid w:val="27885637"/>
    <w:rsid w:val="29956EC1"/>
    <w:rsid w:val="2AB76751"/>
    <w:rsid w:val="2B436AB5"/>
    <w:rsid w:val="2D33663A"/>
    <w:rsid w:val="2F4A4377"/>
    <w:rsid w:val="3FFE55E8"/>
    <w:rsid w:val="40354AB8"/>
    <w:rsid w:val="406944C9"/>
    <w:rsid w:val="407650F9"/>
    <w:rsid w:val="40A25E10"/>
    <w:rsid w:val="42424A17"/>
    <w:rsid w:val="42C9733A"/>
    <w:rsid w:val="44CD14F9"/>
    <w:rsid w:val="4B8B6BE4"/>
    <w:rsid w:val="4BEE092B"/>
    <w:rsid w:val="4DA067A2"/>
    <w:rsid w:val="4F473A3B"/>
    <w:rsid w:val="5163240B"/>
    <w:rsid w:val="52255122"/>
    <w:rsid w:val="530C2B59"/>
    <w:rsid w:val="53AD0B38"/>
    <w:rsid w:val="547C67AB"/>
    <w:rsid w:val="552F56E3"/>
    <w:rsid w:val="570F646A"/>
    <w:rsid w:val="584F1434"/>
    <w:rsid w:val="5A08392A"/>
    <w:rsid w:val="5D2647D2"/>
    <w:rsid w:val="5F2B24A8"/>
    <w:rsid w:val="601147A8"/>
    <w:rsid w:val="61E305D9"/>
    <w:rsid w:val="62DA2043"/>
    <w:rsid w:val="642A5BE2"/>
    <w:rsid w:val="67126B0B"/>
    <w:rsid w:val="687F3886"/>
    <w:rsid w:val="69E7499B"/>
    <w:rsid w:val="6AE52674"/>
    <w:rsid w:val="6CA6670F"/>
    <w:rsid w:val="6D0F6349"/>
    <w:rsid w:val="6F4B02E0"/>
    <w:rsid w:val="6FA523FE"/>
    <w:rsid w:val="6FAA34AB"/>
    <w:rsid w:val="6FD5111E"/>
    <w:rsid w:val="72D8301C"/>
    <w:rsid w:val="74223B5E"/>
    <w:rsid w:val="74AA3770"/>
    <w:rsid w:val="753400CD"/>
    <w:rsid w:val="756A0858"/>
    <w:rsid w:val="788E517B"/>
    <w:rsid w:val="7BF460B1"/>
    <w:rsid w:val="7F2C6B67"/>
    <w:rsid w:val="7FAA1634"/>
    <w:rsid w:val="CE2F7742"/>
    <w:rsid w:val="F77F04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1"/>
    <w:pPr>
      <w:spacing w:before="23"/>
      <w:ind w:right="539"/>
      <w:jc w:val="center"/>
      <w:outlineLvl w:val="0"/>
    </w:pPr>
    <w:rPr>
      <w:b/>
      <w:bCs/>
      <w:sz w:val="36"/>
      <w:szCs w:val="36"/>
    </w:rPr>
  </w:style>
  <w:style w:type="paragraph" w:styleId="4">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line="480" w:lineRule="atLeast"/>
      <w:ind w:firstLine="570"/>
    </w:pPr>
    <w:rPr>
      <w:rFonts w:ascii="黑体" w:eastAsia="黑体"/>
    </w:rPr>
  </w:style>
  <w:style w:type="paragraph" w:styleId="5">
    <w:name w:val="List Number 2"/>
    <w:basedOn w:val="1"/>
    <w:qFormat/>
    <w:uiPriority w:val="0"/>
    <w:pPr>
      <w:numPr>
        <w:ilvl w:val="0"/>
        <w:numId w:val="1"/>
      </w:numPr>
    </w:pPr>
  </w:style>
  <w:style w:type="paragraph" w:styleId="6">
    <w:name w:val="List Number"/>
    <w:basedOn w:val="1"/>
    <w:next w:val="7"/>
    <w:qFormat/>
    <w:uiPriority w:val="0"/>
    <w:pPr>
      <w:numPr>
        <w:ilvl w:val="0"/>
        <w:numId w:val="2"/>
      </w:numPr>
    </w:pPr>
  </w:style>
  <w:style w:type="paragraph" w:styleId="7">
    <w:name w:val="Balloon Text"/>
    <w:basedOn w:val="1"/>
    <w:qFormat/>
    <w:uiPriority w:val="0"/>
    <w:rPr>
      <w:sz w:val="18"/>
      <w:szCs w:val="18"/>
    </w:rPr>
  </w:style>
  <w:style w:type="paragraph" w:styleId="8">
    <w:name w:val="Normal Indent"/>
    <w:basedOn w:val="1"/>
    <w:next w:val="9"/>
    <w:qFormat/>
    <w:uiPriority w:val="0"/>
    <w:pPr>
      <w:ind w:firstLine="420" w:firstLineChars="200"/>
    </w:pPr>
  </w:style>
  <w:style w:type="paragraph" w:styleId="9">
    <w:name w:val="toc 4"/>
    <w:basedOn w:val="1"/>
    <w:next w:val="1"/>
    <w:unhideWhenUsed/>
    <w:qFormat/>
    <w:uiPriority w:val="39"/>
    <w:pPr>
      <w:ind w:left="1260" w:leftChars="600"/>
    </w:pPr>
  </w:style>
  <w:style w:type="paragraph" w:styleId="10">
    <w:name w:val="annotation text"/>
    <w:basedOn w:val="1"/>
    <w:unhideWhenUsed/>
    <w:qFormat/>
    <w:uiPriority w:val="0"/>
    <w:pPr>
      <w:jc w:val="left"/>
    </w:pPr>
    <w:rPr>
      <w:rFonts w:ascii="仿宋_GB2312" w:eastAsia="仿宋_GB2312"/>
      <w:sz w:val="28"/>
      <w:szCs w:val="28"/>
    </w:rPr>
  </w:style>
  <w:style w:type="paragraph" w:styleId="11">
    <w:name w:val="Body Text"/>
    <w:basedOn w:val="1"/>
    <w:next w:val="12"/>
    <w:qFormat/>
    <w:uiPriority w:val="0"/>
    <w:rPr>
      <w:rFonts w:eastAsia="黑体"/>
      <w:b/>
      <w:bCs/>
      <w:spacing w:val="20"/>
      <w:kern w:val="52"/>
      <w:sz w:val="56"/>
      <w:szCs w:val="24"/>
    </w:rPr>
  </w:style>
  <w:style w:type="paragraph" w:styleId="12">
    <w:name w:val="Body Text First Indent"/>
    <w:basedOn w:val="11"/>
    <w:next w:val="1"/>
    <w:qFormat/>
    <w:uiPriority w:val="0"/>
    <w:pPr>
      <w:adjustRightInd w:val="0"/>
      <w:spacing w:after="120" w:line="360" w:lineRule="auto"/>
      <w:ind w:firstLine="420"/>
      <w:textAlignment w:val="baseline"/>
    </w:pPr>
    <w:rPr>
      <w:rFonts w:ascii="Calibri" w:hAnsi="Calibri" w:eastAsia="楷体_GB2312"/>
      <w:spacing w:val="0"/>
      <w:kern w:val="0"/>
      <w:sz w:val="24"/>
      <w:szCs w:val="20"/>
    </w:rPr>
  </w:style>
  <w:style w:type="paragraph" w:styleId="13">
    <w:name w:val="List 2"/>
    <w:basedOn w:val="1"/>
    <w:unhideWhenUsed/>
    <w:qFormat/>
    <w:uiPriority w:val="99"/>
    <w:pPr>
      <w:ind w:left="100" w:leftChars="200" w:hanging="200" w:hangingChars="200"/>
      <w:contextualSpacing/>
    </w:pPr>
  </w:style>
  <w:style w:type="paragraph" w:styleId="14">
    <w:name w:val="Plain Text"/>
    <w:basedOn w:val="1"/>
    <w:next w:val="1"/>
    <w:qFormat/>
    <w:uiPriority w:val="0"/>
    <w:rPr>
      <w:rFonts w:ascii="宋体" w:hAnsi="Courier New"/>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line="360" w:lineRule="auto"/>
    </w:pPr>
    <w:rPr>
      <w:rFonts w:eastAsia="FangSong_GB2312"/>
      <w:sz w:val="32"/>
    </w:rPr>
  </w:style>
  <w:style w:type="paragraph" w:styleId="18">
    <w:name w:val="toc 6"/>
    <w:basedOn w:val="1"/>
    <w:next w:val="1"/>
    <w:qFormat/>
    <w:uiPriority w:val="0"/>
    <w:pPr>
      <w:ind w:left="2100" w:leftChars="1000"/>
    </w:pPr>
  </w:style>
  <w:style w:type="paragraph" w:styleId="19">
    <w:name w:val="toc 2"/>
    <w:basedOn w:val="1"/>
    <w:next w:val="1"/>
    <w:qFormat/>
    <w:uiPriority w:val="39"/>
    <w:pPr>
      <w:ind w:left="210"/>
      <w:jc w:val="left"/>
    </w:pPr>
    <w:rPr>
      <w:rFonts w:ascii="FangSong_GB2312" w:eastAsia="FangSong_GB2312"/>
      <w:smallCaps/>
      <w:sz w:val="20"/>
    </w:rPr>
  </w:style>
  <w:style w:type="paragraph" w:styleId="2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1">
    <w:name w:val="Title"/>
    <w:basedOn w:val="1"/>
    <w:next w:val="1"/>
    <w:qFormat/>
    <w:uiPriority w:val="0"/>
    <w:pPr>
      <w:spacing w:before="240" w:after="60"/>
      <w:jc w:val="center"/>
      <w:outlineLvl w:val="0"/>
    </w:pPr>
    <w:rPr>
      <w:rFonts w:ascii="Arial" w:hAnsi="Arial" w:eastAsia="宋体" w:cs="Times New Roman"/>
      <w:sz w:val="32"/>
      <w:szCs w:val="32"/>
    </w:rPr>
  </w:style>
  <w:style w:type="paragraph" w:styleId="22">
    <w:name w:val="Body Text First Indent 2"/>
    <w:basedOn w:val="2"/>
    <w:next w:val="8"/>
    <w:qFormat/>
    <w:uiPriority w:val="0"/>
    <w:pPr>
      <w:spacing w:after="120" w:line="240" w:lineRule="auto"/>
      <w:ind w:left="420" w:leftChars="200" w:firstLine="420" w:firstLineChars="200"/>
    </w:pPr>
    <w:rPr>
      <w:rFonts w:ascii="Times New Roman"/>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customStyle="1" w:styleId="27">
    <w:name w:val="标题 2 Char"/>
    <w:basedOn w:val="25"/>
    <w:link w:val="4"/>
    <w:qFormat/>
    <w:locked/>
    <w:uiPriority w:val="0"/>
    <w:rPr>
      <w:rFonts w:ascii="Arial" w:hAnsi="Arial" w:eastAsia="黑体"/>
      <w:b/>
      <w:bCs/>
      <w:sz w:val="32"/>
      <w:szCs w:val="32"/>
    </w:rPr>
  </w:style>
  <w:style w:type="paragraph" w:styleId="28">
    <w:name w:val="List Paragraph"/>
    <w:basedOn w:val="1"/>
    <w:qFormat/>
    <w:uiPriority w:val="99"/>
    <w:pPr>
      <w:ind w:firstLine="420" w:firstLineChars="200"/>
    </w:pPr>
    <w:rPr>
      <w:rFonts w:ascii="Calibri" w:hAnsi="Calibri" w:eastAsia="仿宋_GB2312"/>
      <w:sz w:val="28"/>
      <w:szCs w:val="22"/>
    </w:rPr>
  </w:style>
  <w:style w:type="paragraph" w:customStyle="1" w:styleId="29">
    <w:name w:val="Default"/>
    <w:next w:val="30"/>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0">
    <w:name w:val="目录 71"/>
    <w:next w:val="1"/>
    <w:qFormat/>
    <w:locked/>
    <w:uiPriority w:val="0"/>
    <w:pPr>
      <w:wordWrap w:val="0"/>
      <w:ind w:left="2550"/>
      <w:jc w:val="both"/>
    </w:pPr>
    <w:rPr>
      <w:rFonts w:ascii="Calibri" w:hAnsi="Calibri" w:eastAsia="宋体" w:cs="Times New Roman"/>
      <w:sz w:val="21"/>
      <w:szCs w:val="22"/>
      <w:lang w:val="en-US" w:eastAsia="zh-CN" w:bidi="ar-SA"/>
    </w:rPr>
  </w:style>
  <w:style w:type="paragraph" w:customStyle="1" w:styleId="31">
    <w:name w:val="[Normal]"/>
    <w:qFormat/>
    <w:locked/>
    <w:uiPriority w:val="0"/>
    <w:rPr>
      <w:rFonts w:ascii="宋体" w:hAnsi="宋体" w:eastAsia="宋体" w:cs="Times New Roman"/>
      <w:sz w:val="24"/>
      <w:szCs w:val="22"/>
      <w:lang w:val="zh-CN" w:eastAsia="zh-CN" w:bidi="ar-SA"/>
    </w:rPr>
  </w:style>
  <w:style w:type="paragraph" w:customStyle="1" w:styleId="32">
    <w:name w:val="正文缩进2格"/>
    <w:basedOn w:val="1"/>
    <w:qFormat/>
    <w:locked/>
    <w:uiPriority w:val="0"/>
    <w:pPr>
      <w:spacing w:line="600" w:lineRule="exact"/>
      <w:ind w:firstLine="639" w:firstLineChars="206"/>
    </w:pPr>
    <w:rPr>
      <w:rFonts w:ascii="FangSong_GB2312" w:hAnsi="宋体" w:eastAsia="FangSong_GB2312"/>
      <w:sz w:val="31"/>
      <w:szCs w:val="28"/>
    </w:rPr>
  </w:style>
  <w:style w:type="paragraph" w:customStyle="1" w:styleId="33">
    <w:name w:val="正文_17"/>
    <w:qFormat/>
    <w:locked/>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样式1"/>
    <w:basedOn w:val="4"/>
    <w:qFormat/>
    <w:locked/>
    <w:uiPriority w:val="0"/>
    <w:pPr>
      <w:spacing w:line="415" w:lineRule="auto"/>
      <w:jc w:val="center"/>
    </w:pPr>
    <w:rPr>
      <w:rFonts w:ascii="宋体" w:hAnsi="宋体"/>
      <w:sz w:val="36"/>
      <w:szCs w:val="36"/>
    </w:rPr>
  </w:style>
  <w:style w:type="paragraph" w:customStyle="1" w:styleId="35">
    <w:name w:val="Style1"/>
    <w:basedOn w:val="1"/>
    <w:qFormat/>
    <w:locked/>
    <w:uiPriority w:val="0"/>
    <w:pPr>
      <w:widowControl/>
    </w:pPr>
    <w:rPr>
      <w:spacing w:val="-3"/>
      <w:kern w:val="0"/>
      <w:sz w:val="24"/>
      <w:lang w:val="en-AU" w:eastAsia="en-US"/>
    </w:rPr>
  </w:style>
  <w:style w:type="character" w:customStyle="1" w:styleId="36">
    <w:name w:val="font71"/>
    <w:basedOn w:val="25"/>
    <w:qFormat/>
    <w:uiPriority w:val="0"/>
    <w:rPr>
      <w:rFonts w:ascii="微软雅黑" w:hAnsi="微软雅黑" w:eastAsia="微软雅黑" w:cs="微软雅黑"/>
      <w:color w:val="auto"/>
      <w:sz w:val="22"/>
      <w:szCs w:val="22"/>
      <w:u w:val="none"/>
    </w:rPr>
  </w:style>
  <w:style w:type="paragraph" w:customStyle="1" w:styleId="37">
    <w:name w:val="列出段落1"/>
    <w:basedOn w:val="1"/>
    <w:qFormat/>
    <w:uiPriority w:val="34"/>
    <w:pPr>
      <w:spacing w:line="360" w:lineRule="auto"/>
      <w:ind w:firstLine="420" w:firstLineChars="200"/>
      <w:jc w:val="left"/>
    </w:pPr>
    <w:rPr>
      <w:rFonts w:eastAsia="微软雅黑"/>
      <w:sz w:val="24"/>
      <w:szCs w:val="21"/>
    </w:rPr>
  </w:style>
  <w:style w:type="paragraph" w:customStyle="1" w:styleId="38">
    <w:name w:val="BodyText1I"/>
    <w:basedOn w:val="1"/>
    <w:qFormat/>
    <w:uiPriority w:val="0"/>
    <w:pPr>
      <w:ind w:firstLine="420" w:firstLineChars="100"/>
      <w:textAlignment w:val="baseline"/>
    </w:pPr>
    <w:rPr>
      <w:rFonts w:ascii="宋体" w:hAnsi="宋体"/>
      <w:szCs w:val="21"/>
      <w:lang w:val="zh-CN" w:bidi="zh-CN"/>
    </w:rPr>
  </w:style>
  <w:style w:type="paragraph" w:customStyle="1" w:styleId="39">
    <w:name w:val="表格文字"/>
    <w:basedOn w:val="40"/>
    <w:next w:val="11"/>
    <w:qFormat/>
    <w:uiPriority w:val="0"/>
    <w:pPr>
      <w:adjustRightInd/>
      <w:ind w:firstLine="200" w:firstLineChars="200"/>
    </w:pPr>
    <w:rPr>
      <w:rFonts w:ascii="Arial" w:hAnsi="Arial"/>
      <w:spacing w:val="-5"/>
      <w:kern w:val="0"/>
      <w:sz w:val="24"/>
      <w:szCs w:val="20"/>
    </w:rPr>
  </w:style>
  <w:style w:type="paragraph" w:customStyle="1" w:styleId="40">
    <w:name w:val="表格文字（两侧对齐）"/>
    <w:basedOn w:val="1"/>
    <w:qFormat/>
    <w:uiPriority w:val="0"/>
    <w:pPr>
      <w:snapToGrid w:val="0"/>
      <w:jc w:val="left"/>
    </w:pPr>
    <w:rPr>
      <w:rFonts w:ascii="Times New Roman" w:hAnsi="Times New Roman" w:eastAsia="宋体" w:cs="Times New Roman"/>
      <w:color w:val="auto"/>
      <w:sz w:val="20"/>
      <w:szCs w:val="24"/>
    </w:rPr>
  </w:style>
  <w:style w:type="paragraph" w:customStyle="1" w:styleId="41">
    <w:name w:val="正文段"/>
    <w:basedOn w:val="1"/>
    <w:qFormat/>
    <w:uiPriority w:val="0"/>
    <w:pPr>
      <w:widowControl/>
      <w:snapToGrid w:val="0"/>
      <w:spacing w:after="156" w:afterLines="50"/>
      <w:ind w:firstLine="200" w:firstLineChars="200"/>
    </w:pPr>
    <w:rPr>
      <w:kern w:val="0"/>
      <w:sz w:val="24"/>
      <w:szCs w:val="20"/>
    </w:rPr>
  </w:style>
  <w:style w:type="paragraph" w:customStyle="1" w:styleId="4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3">
    <w:name w:val="部分1"/>
    <w:basedOn w:val="1"/>
    <w:qFormat/>
    <w:uiPriority w:val="0"/>
    <w:pPr>
      <w:keepNext/>
      <w:pageBreakBefore/>
      <w:tabs>
        <w:tab w:val="left" w:pos="720"/>
      </w:tabs>
      <w:spacing w:line="360" w:lineRule="auto"/>
      <w:jc w:val="center"/>
      <w:outlineLvl w:val="0"/>
    </w:pPr>
    <w:rPr>
      <w:rFonts w:ascii="Times New Roman" w:hAnsi="Times New Roman"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41</Pages>
  <Words>25389</Words>
  <Characters>26675</Characters>
  <Lines>0</Lines>
  <Paragraphs>0</Paragraphs>
  <TotalTime>31</TotalTime>
  <ScaleCrop>false</ScaleCrop>
  <LinksUpToDate>false</LinksUpToDate>
  <CharactersWithSpaces>28393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2022-04-04T16:45:00Z</dcterms:created>
  <dc:creator>DELL</dc:creator>
  <cp:lastModifiedBy>1</cp:lastModifiedBy>
  <dcterms:modified xsi:type="dcterms:W3CDTF">2024-04-16T09:02:03Z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90310BE4798643EAAB58E82EE14D04CB_13</vt:lpwstr>
  </property>
</Properties>
</file>