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ED369B3">
      <w:pPr>
        <w:adjustRightInd w:val="0"/>
        <w:snapToGrid w:val="0"/>
        <w:spacing w:line="600" w:lineRule="exact"/>
        <w:rPr>
          <w:rFonts w:ascii="仿宋" w:hAnsi="仿宋" w:eastAsia="仿宋" w:cs="仿宋"/>
          <w:b/>
          <w:color w:val="auto"/>
          <w:kern w:val="0"/>
          <w:sz w:val="48"/>
          <w:szCs w:val="48"/>
          <w:highlight w:val="none"/>
        </w:rPr>
      </w:pPr>
    </w:p>
    <w:p w14:paraId="65F428FB">
      <w:pPr>
        <w:widowControl/>
        <w:spacing w:line="900" w:lineRule="exact"/>
        <w:jc w:val="center"/>
        <w:rPr>
          <w:rFonts w:hint="eastAsia" w:ascii="仿宋" w:hAnsi="仿宋" w:eastAsia="仿宋" w:cs="仿宋"/>
          <w:b/>
          <w:bCs/>
          <w:color w:val="auto"/>
          <w:sz w:val="52"/>
          <w:szCs w:val="52"/>
          <w:highlight w:val="none"/>
          <w:lang w:eastAsia="zh-CN"/>
        </w:rPr>
      </w:pPr>
      <w:r>
        <w:rPr>
          <w:rFonts w:hint="eastAsia" w:ascii="仿宋" w:hAnsi="仿宋" w:eastAsia="仿宋" w:cs="仿宋"/>
          <w:b/>
          <w:bCs/>
          <w:color w:val="auto"/>
          <w:sz w:val="52"/>
          <w:szCs w:val="52"/>
          <w:highlight w:val="none"/>
          <w:lang w:eastAsia="zh-CN"/>
        </w:rPr>
        <w:t>湖州市体育局</w:t>
      </w:r>
    </w:p>
    <w:p w14:paraId="2898DDEA">
      <w:pPr>
        <w:widowControl/>
        <w:spacing w:line="900" w:lineRule="exact"/>
        <w:jc w:val="center"/>
        <w:rPr>
          <w:rFonts w:hint="eastAsia" w:ascii="仿宋" w:hAnsi="仿宋" w:eastAsia="仿宋" w:cs="仿宋"/>
          <w:b/>
          <w:bCs/>
          <w:color w:val="auto"/>
          <w:sz w:val="52"/>
          <w:szCs w:val="52"/>
          <w:highlight w:val="none"/>
          <w:lang w:eastAsia="zh-CN"/>
        </w:rPr>
      </w:pPr>
      <w:r>
        <w:rPr>
          <w:rFonts w:hint="eastAsia" w:ascii="仿宋" w:hAnsi="仿宋" w:eastAsia="仿宋" w:cs="仿宋"/>
          <w:b/>
          <w:bCs/>
          <w:color w:val="auto"/>
          <w:sz w:val="48"/>
          <w:szCs w:val="48"/>
          <w:highlight w:val="none"/>
          <w:lang w:eastAsia="zh-CN"/>
        </w:rPr>
        <w:t xml:space="preserve">举办湖州市气排球超级联赛项目 </w:t>
      </w:r>
    </w:p>
    <w:p w14:paraId="0466CAD9">
      <w:pPr>
        <w:widowControl/>
        <w:spacing w:line="900" w:lineRule="exact"/>
        <w:jc w:val="center"/>
        <w:rPr>
          <w:rFonts w:ascii="仿宋" w:hAnsi="仿宋" w:eastAsia="仿宋" w:cs="仿宋"/>
          <w:b/>
          <w:color w:val="auto"/>
          <w:kern w:val="0"/>
          <w:sz w:val="32"/>
          <w:szCs w:val="32"/>
          <w:highlight w:val="none"/>
        </w:rPr>
      </w:pPr>
      <w:r>
        <w:rPr>
          <w:rFonts w:hint="eastAsia" w:ascii="仿宋" w:hAnsi="仿宋" w:eastAsia="仿宋" w:cs="仿宋"/>
          <w:b/>
          <w:bCs/>
          <w:color w:val="auto"/>
          <w:sz w:val="52"/>
          <w:szCs w:val="52"/>
          <w:highlight w:val="none"/>
          <w:lang w:eastAsia="zh-CN"/>
        </w:rPr>
        <w:t xml:space="preserve"> </w:t>
      </w:r>
      <w:r>
        <w:rPr>
          <w:rFonts w:hint="eastAsia" w:ascii="仿宋" w:hAnsi="仿宋" w:eastAsia="仿宋" w:cs="仿宋"/>
          <w:color w:val="auto"/>
          <w:sz w:val="30"/>
          <w:szCs w:val="30"/>
          <w:highlight w:val="none"/>
        </w:rPr>
        <w:t>（财政审批编号:</w:t>
      </w:r>
      <w:r>
        <w:rPr>
          <w:rFonts w:hint="eastAsia" w:ascii="仿宋" w:hAnsi="仿宋" w:eastAsia="仿宋" w:cs="仿宋"/>
          <w:color w:val="auto"/>
          <w:sz w:val="30"/>
          <w:szCs w:val="30"/>
          <w:highlight w:val="none"/>
          <w:lang w:val="en-US" w:eastAsia="zh-CN"/>
        </w:rPr>
        <w:t>湖</w:t>
      </w:r>
      <w:r>
        <w:rPr>
          <w:rFonts w:hint="eastAsia" w:ascii="仿宋" w:hAnsi="仿宋" w:eastAsia="仿宋" w:cs="仿宋"/>
          <w:color w:val="auto"/>
          <w:sz w:val="30"/>
          <w:szCs w:val="30"/>
          <w:highlight w:val="none"/>
        </w:rPr>
        <w:t>财采确[2025]</w:t>
      </w:r>
      <w:r>
        <w:rPr>
          <w:rFonts w:hint="eastAsia" w:ascii="仿宋" w:hAnsi="仿宋" w:eastAsia="仿宋" w:cs="仿宋"/>
          <w:color w:val="auto"/>
          <w:sz w:val="30"/>
          <w:szCs w:val="30"/>
          <w:highlight w:val="none"/>
          <w:lang w:val="en-US" w:eastAsia="zh-CN"/>
        </w:rPr>
        <w:t>11079</w:t>
      </w:r>
      <w:r>
        <w:rPr>
          <w:rFonts w:hint="eastAsia" w:ascii="仿宋" w:hAnsi="仿宋" w:eastAsia="仿宋" w:cs="仿宋"/>
          <w:color w:val="auto"/>
          <w:sz w:val="30"/>
          <w:szCs w:val="30"/>
          <w:highlight w:val="none"/>
        </w:rPr>
        <w:t>号）</w:t>
      </w:r>
    </w:p>
    <w:p w14:paraId="0CFF7E22">
      <w:pPr>
        <w:adjustRightInd w:val="0"/>
        <w:snapToGrid w:val="0"/>
        <w:spacing w:line="600" w:lineRule="exact"/>
        <w:rPr>
          <w:rFonts w:ascii="仿宋" w:hAnsi="仿宋" w:eastAsia="仿宋" w:cs="仿宋"/>
          <w:b/>
          <w:snapToGrid w:val="0"/>
          <w:color w:val="auto"/>
          <w:sz w:val="84"/>
          <w:szCs w:val="84"/>
          <w:highlight w:val="none"/>
        </w:rPr>
      </w:pPr>
      <w:bookmarkStart w:id="15" w:name="_GoBack"/>
      <w:bookmarkEnd w:id="15"/>
    </w:p>
    <w:p w14:paraId="2062B565">
      <w:pPr>
        <w:adjustRightInd w:val="0"/>
        <w:snapToGrid w:val="0"/>
        <w:spacing w:line="600" w:lineRule="exact"/>
        <w:jc w:val="center"/>
        <w:rPr>
          <w:rFonts w:ascii="仿宋" w:hAnsi="仿宋" w:eastAsia="仿宋" w:cs="仿宋"/>
          <w:b/>
          <w:snapToGrid w:val="0"/>
          <w:color w:val="auto"/>
          <w:sz w:val="84"/>
          <w:szCs w:val="84"/>
          <w:highlight w:val="none"/>
        </w:rPr>
      </w:pPr>
    </w:p>
    <w:p w14:paraId="25679B70">
      <w:pPr>
        <w:pStyle w:val="12"/>
        <w:rPr>
          <w:color w:val="auto"/>
          <w:highlight w:val="none"/>
        </w:rPr>
      </w:pPr>
    </w:p>
    <w:p w14:paraId="3C6211DA">
      <w:pPr>
        <w:adjustRightInd w:val="0"/>
        <w:snapToGrid w:val="0"/>
        <w:spacing w:line="800" w:lineRule="atLeast"/>
        <w:jc w:val="center"/>
        <w:rPr>
          <w:rFonts w:ascii="仿宋" w:hAnsi="仿宋" w:eastAsia="仿宋" w:cs="仿宋"/>
          <w:b/>
          <w:snapToGrid w:val="0"/>
          <w:color w:val="auto"/>
          <w:sz w:val="84"/>
          <w:szCs w:val="84"/>
          <w:highlight w:val="none"/>
        </w:rPr>
      </w:pPr>
      <w:r>
        <w:rPr>
          <w:rFonts w:hint="eastAsia" w:ascii="仿宋" w:hAnsi="仿宋" w:eastAsia="仿宋" w:cs="仿宋"/>
          <w:b/>
          <w:snapToGrid w:val="0"/>
          <w:color w:val="auto"/>
          <w:sz w:val="72"/>
          <w:szCs w:val="72"/>
          <w:highlight w:val="none"/>
        </w:rPr>
        <w:t>竞争性磋商文件</w:t>
      </w:r>
    </w:p>
    <w:p w14:paraId="5FC807A9">
      <w:pPr>
        <w:adjustRightInd w:val="0"/>
        <w:snapToGrid w:val="0"/>
        <w:spacing w:line="500" w:lineRule="exact"/>
        <w:jc w:val="center"/>
        <w:rPr>
          <w:rFonts w:ascii="仿宋" w:hAnsi="仿宋" w:eastAsia="仿宋" w:cs="仿宋"/>
          <w:bCs/>
          <w:snapToGrid w:val="0"/>
          <w:color w:val="auto"/>
          <w:sz w:val="28"/>
          <w:szCs w:val="28"/>
          <w:highlight w:val="none"/>
        </w:rPr>
      </w:pPr>
      <w:r>
        <w:rPr>
          <w:rFonts w:hint="eastAsia" w:ascii="仿宋" w:hAnsi="仿宋" w:eastAsia="仿宋" w:cs="仿宋"/>
          <w:bCs/>
          <w:snapToGrid w:val="0"/>
          <w:color w:val="auto"/>
          <w:sz w:val="28"/>
          <w:szCs w:val="28"/>
          <w:highlight w:val="none"/>
        </w:rPr>
        <w:t>（全流程电子）</w:t>
      </w:r>
    </w:p>
    <w:p w14:paraId="2405C773">
      <w:pPr>
        <w:adjustRightInd w:val="0"/>
        <w:snapToGrid w:val="0"/>
        <w:spacing w:line="500" w:lineRule="exact"/>
        <w:rPr>
          <w:rFonts w:ascii="仿宋" w:hAnsi="仿宋" w:eastAsia="仿宋" w:cs="仿宋"/>
          <w:bCs/>
          <w:snapToGrid w:val="0"/>
          <w:color w:val="auto"/>
          <w:sz w:val="32"/>
          <w:highlight w:val="none"/>
        </w:rPr>
      </w:pPr>
    </w:p>
    <w:p w14:paraId="0B8D11FE">
      <w:pPr>
        <w:adjustRightInd w:val="0"/>
        <w:snapToGrid w:val="0"/>
        <w:spacing w:line="500" w:lineRule="exact"/>
        <w:rPr>
          <w:rFonts w:ascii="仿宋" w:hAnsi="仿宋" w:eastAsia="仿宋" w:cs="仿宋"/>
          <w:bCs/>
          <w:snapToGrid w:val="0"/>
          <w:color w:val="auto"/>
          <w:sz w:val="32"/>
          <w:highlight w:val="none"/>
        </w:rPr>
      </w:pPr>
    </w:p>
    <w:p w14:paraId="36A05042">
      <w:pPr>
        <w:adjustRightInd w:val="0"/>
        <w:snapToGrid w:val="0"/>
        <w:spacing w:line="500" w:lineRule="exact"/>
        <w:rPr>
          <w:rFonts w:ascii="仿宋" w:hAnsi="仿宋" w:eastAsia="仿宋" w:cs="仿宋"/>
          <w:bCs/>
          <w:snapToGrid w:val="0"/>
          <w:color w:val="auto"/>
          <w:sz w:val="32"/>
          <w:highlight w:val="none"/>
        </w:rPr>
      </w:pPr>
    </w:p>
    <w:p w14:paraId="78CFA848">
      <w:pPr>
        <w:adjustRightInd w:val="0"/>
        <w:snapToGrid w:val="0"/>
        <w:spacing w:line="640" w:lineRule="exact"/>
        <w:ind w:firstLine="281" w:firstLineChars="100"/>
        <w:rPr>
          <w:rFonts w:ascii="仿宋" w:hAnsi="仿宋" w:eastAsia="仿宋" w:cs="仿宋"/>
          <w:snapToGrid w:val="0"/>
          <w:color w:val="auto"/>
          <w:sz w:val="28"/>
          <w:szCs w:val="28"/>
          <w:highlight w:val="none"/>
          <w:u w:val="single"/>
        </w:rPr>
      </w:pPr>
      <w:r>
        <w:rPr>
          <w:rFonts w:hint="eastAsia" w:ascii="仿宋" w:hAnsi="仿宋" w:eastAsia="仿宋" w:cs="仿宋"/>
          <w:b/>
          <w:snapToGrid w:val="0"/>
          <w:color w:val="auto"/>
          <w:sz w:val="28"/>
          <w:szCs w:val="28"/>
          <w:highlight w:val="none"/>
        </w:rPr>
        <w:t>项目编号</w:t>
      </w:r>
      <w:r>
        <w:rPr>
          <w:rFonts w:hint="eastAsia" w:ascii="仿宋" w:hAnsi="仿宋" w:eastAsia="仿宋" w:cs="仿宋"/>
          <w:snapToGrid w:val="0"/>
          <w:color w:val="auto"/>
          <w:sz w:val="28"/>
          <w:szCs w:val="28"/>
          <w:highlight w:val="none"/>
        </w:rPr>
        <w:t>：</w:t>
      </w:r>
      <w:r>
        <w:rPr>
          <w:rFonts w:hint="eastAsia" w:ascii="仿宋" w:hAnsi="仿宋" w:eastAsia="仿宋" w:cs="仿宋"/>
          <w:snapToGrid w:val="0"/>
          <w:color w:val="auto"/>
          <w:sz w:val="28"/>
          <w:szCs w:val="28"/>
          <w:highlight w:val="none"/>
          <w:u w:val="single"/>
        </w:rPr>
        <w:t>XCXHZ-2025-0</w:t>
      </w:r>
      <w:r>
        <w:rPr>
          <w:rFonts w:hint="eastAsia" w:ascii="仿宋" w:hAnsi="仿宋" w:eastAsia="仿宋" w:cs="仿宋"/>
          <w:snapToGrid w:val="0"/>
          <w:color w:val="auto"/>
          <w:sz w:val="28"/>
          <w:szCs w:val="28"/>
          <w:highlight w:val="none"/>
          <w:u w:val="single"/>
          <w:lang w:val="en-US" w:eastAsia="zh-CN"/>
        </w:rPr>
        <w:t>48</w:t>
      </w:r>
      <w:r>
        <w:rPr>
          <w:rFonts w:hint="eastAsia" w:ascii="仿宋" w:hAnsi="仿宋" w:eastAsia="仿宋" w:cs="仿宋"/>
          <w:snapToGrid w:val="0"/>
          <w:color w:val="auto"/>
          <w:sz w:val="28"/>
          <w:szCs w:val="28"/>
          <w:highlight w:val="none"/>
          <w:u w:val="single"/>
        </w:rPr>
        <w:t xml:space="preserve">（CG）                                        </w:t>
      </w:r>
    </w:p>
    <w:p w14:paraId="110A308E">
      <w:pPr>
        <w:adjustRightInd w:val="0"/>
        <w:snapToGrid w:val="0"/>
        <w:spacing w:line="600" w:lineRule="exact"/>
        <w:ind w:firstLine="281" w:firstLineChars="100"/>
        <w:rPr>
          <w:rFonts w:ascii="仿宋" w:hAnsi="仿宋" w:eastAsia="仿宋" w:cs="仿宋"/>
          <w:snapToGrid w:val="0"/>
          <w:color w:val="auto"/>
          <w:sz w:val="28"/>
          <w:szCs w:val="28"/>
          <w:highlight w:val="none"/>
          <w:u w:val="single"/>
        </w:rPr>
      </w:pPr>
      <w:r>
        <w:rPr>
          <w:rFonts w:hint="eastAsia" w:ascii="仿宋" w:hAnsi="仿宋" w:eastAsia="仿宋" w:cs="仿宋"/>
          <w:b/>
          <w:snapToGrid w:val="0"/>
          <w:color w:val="auto"/>
          <w:sz w:val="28"/>
          <w:szCs w:val="28"/>
          <w:highlight w:val="none"/>
        </w:rPr>
        <w:t>项目名称：</w:t>
      </w:r>
      <w:r>
        <w:rPr>
          <w:rFonts w:hint="eastAsia" w:ascii="仿宋" w:hAnsi="仿宋" w:eastAsia="仿宋" w:cs="仿宋"/>
          <w:snapToGrid w:val="0"/>
          <w:color w:val="auto"/>
          <w:sz w:val="28"/>
          <w:szCs w:val="28"/>
          <w:highlight w:val="none"/>
          <w:u w:val="single"/>
          <w:lang w:eastAsia="zh-CN"/>
        </w:rPr>
        <w:t xml:space="preserve">举办湖州市气排球超级联赛项目  </w:t>
      </w:r>
      <w:r>
        <w:rPr>
          <w:rFonts w:hint="eastAsia" w:ascii="仿宋" w:hAnsi="仿宋" w:eastAsia="仿宋" w:cs="仿宋"/>
          <w:snapToGrid w:val="0"/>
          <w:color w:val="auto"/>
          <w:sz w:val="28"/>
          <w:szCs w:val="28"/>
          <w:highlight w:val="none"/>
          <w:u w:val="single"/>
        </w:rPr>
        <w:t xml:space="preserve">   </w:t>
      </w:r>
      <w:r>
        <w:rPr>
          <w:rFonts w:hint="eastAsia" w:ascii="仿宋" w:hAnsi="仿宋" w:eastAsia="仿宋" w:cs="仿宋"/>
          <w:snapToGrid w:val="0"/>
          <w:color w:val="auto"/>
          <w:sz w:val="28"/>
          <w:szCs w:val="28"/>
          <w:highlight w:val="none"/>
          <w:u w:val="single"/>
          <w:lang w:val="en-US" w:eastAsia="zh-CN"/>
        </w:rPr>
        <w:t xml:space="preserve">               </w:t>
      </w:r>
      <w:r>
        <w:rPr>
          <w:rFonts w:hint="eastAsia" w:ascii="仿宋" w:hAnsi="仿宋" w:eastAsia="仿宋" w:cs="仿宋"/>
          <w:snapToGrid w:val="0"/>
          <w:color w:val="auto"/>
          <w:sz w:val="28"/>
          <w:szCs w:val="28"/>
          <w:highlight w:val="none"/>
          <w:u w:val="single"/>
        </w:rPr>
        <w:t xml:space="preserve">      </w:t>
      </w:r>
      <w:r>
        <w:rPr>
          <w:rFonts w:hint="eastAsia" w:ascii="仿宋" w:hAnsi="仿宋" w:eastAsia="仿宋" w:cs="仿宋"/>
          <w:snapToGrid w:val="0"/>
          <w:color w:val="auto"/>
          <w:sz w:val="28"/>
          <w:szCs w:val="28"/>
          <w:highlight w:val="none"/>
          <w:u w:val="single"/>
          <w:lang w:val="en-US" w:eastAsia="zh-CN"/>
        </w:rPr>
        <w:t xml:space="preserve">       </w:t>
      </w:r>
      <w:r>
        <w:rPr>
          <w:rFonts w:hint="eastAsia" w:ascii="仿宋" w:hAnsi="仿宋" w:eastAsia="仿宋" w:cs="仿宋"/>
          <w:snapToGrid w:val="0"/>
          <w:color w:val="auto"/>
          <w:sz w:val="28"/>
          <w:szCs w:val="28"/>
          <w:highlight w:val="none"/>
          <w:u w:val="single"/>
        </w:rPr>
        <w:t xml:space="preserve">   </w:t>
      </w:r>
    </w:p>
    <w:p w14:paraId="52AE3A15">
      <w:pPr>
        <w:pStyle w:val="3"/>
        <w:keepNext w:val="0"/>
        <w:keepLines w:val="0"/>
        <w:widowControl/>
        <w:spacing w:line="600" w:lineRule="exact"/>
        <w:ind w:firstLine="281" w:firstLineChars="100"/>
        <w:jc w:val="left"/>
        <w:rPr>
          <w:rFonts w:ascii="仿宋" w:hAnsi="仿宋" w:eastAsia="仿宋" w:cs="仿宋"/>
          <w:b w:val="0"/>
          <w:bCs w:val="0"/>
          <w:snapToGrid w:val="0"/>
          <w:color w:val="auto"/>
          <w:kern w:val="2"/>
          <w:sz w:val="28"/>
          <w:szCs w:val="28"/>
          <w:highlight w:val="none"/>
          <w:u w:val="single"/>
        </w:rPr>
      </w:pPr>
      <w:r>
        <w:rPr>
          <w:rFonts w:hint="eastAsia" w:ascii="仿宋" w:hAnsi="仿宋" w:eastAsia="仿宋" w:cs="仿宋"/>
          <w:snapToGrid w:val="0"/>
          <w:color w:val="auto"/>
          <w:sz w:val="28"/>
          <w:szCs w:val="28"/>
          <w:highlight w:val="none"/>
        </w:rPr>
        <w:t>采购单位：</w:t>
      </w:r>
      <w:r>
        <w:rPr>
          <w:rFonts w:hint="eastAsia" w:ascii="仿宋" w:hAnsi="仿宋" w:eastAsia="仿宋" w:cs="仿宋"/>
          <w:b w:val="0"/>
          <w:bCs w:val="0"/>
          <w:snapToGrid w:val="0"/>
          <w:color w:val="auto"/>
          <w:kern w:val="2"/>
          <w:sz w:val="28"/>
          <w:szCs w:val="28"/>
          <w:highlight w:val="none"/>
          <w:u w:val="single"/>
          <w:lang w:eastAsia="zh-CN"/>
        </w:rPr>
        <w:t>湖州市体育局</w:t>
      </w:r>
      <w:r>
        <w:rPr>
          <w:rFonts w:hint="eastAsia" w:ascii="仿宋" w:hAnsi="仿宋" w:eastAsia="仿宋" w:cs="仿宋"/>
          <w:b w:val="0"/>
          <w:bCs w:val="0"/>
          <w:snapToGrid w:val="0"/>
          <w:color w:val="auto"/>
          <w:kern w:val="2"/>
          <w:sz w:val="28"/>
          <w:szCs w:val="28"/>
          <w:highlight w:val="none"/>
          <w:u w:val="single"/>
        </w:rPr>
        <w:t xml:space="preserve">                         </w:t>
      </w:r>
      <w:r>
        <w:rPr>
          <w:rFonts w:hint="eastAsia" w:ascii="仿宋" w:hAnsi="仿宋" w:eastAsia="仿宋" w:cs="仿宋"/>
          <w:b w:val="0"/>
          <w:bCs w:val="0"/>
          <w:snapToGrid w:val="0"/>
          <w:color w:val="auto"/>
          <w:kern w:val="2"/>
          <w:sz w:val="28"/>
          <w:szCs w:val="28"/>
          <w:highlight w:val="none"/>
          <w:u w:val="single"/>
          <w:lang w:val="en-US" w:eastAsia="zh-CN"/>
        </w:rPr>
        <w:t xml:space="preserve">           </w:t>
      </w:r>
      <w:r>
        <w:rPr>
          <w:rFonts w:hint="eastAsia" w:ascii="仿宋" w:hAnsi="仿宋" w:eastAsia="仿宋" w:cs="仿宋"/>
          <w:b w:val="0"/>
          <w:bCs w:val="0"/>
          <w:snapToGrid w:val="0"/>
          <w:color w:val="auto"/>
          <w:kern w:val="2"/>
          <w:sz w:val="28"/>
          <w:szCs w:val="28"/>
          <w:highlight w:val="none"/>
          <w:u w:val="single"/>
        </w:rPr>
        <w:t xml:space="preserve"> （盖章）</w:t>
      </w:r>
    </w:p>
    <w:p w14:paraId="23A47EBC">
      <w:pPr>
        <w:adjustRightInd w:val="0"/>
        <w:snapToGrid w:val="0"/>
        <w:spacing w:line="640" w:lineRule="exact"/>
        <w:ind w:firstLine="281" w:firstLineChars="100"/>
        <w:rPr>
          <w:rFonts w:ascii="仿宋" w:hAnsi="仿宋" w:eastAsia="仿宋" w:cs="仿宋"/>
          <w:bCs/>
          <w:snapToGrid w:val="0"/>
          <w:color w:val="auto"/>
          <w:sz w:val="28"/>
          <w:szCs w:val="28"/>
          <w:highlight w:val="none"/>
        </w:rPr>
      </w:pPr>
      <w:r>
        <w:rPr>
          <w:rFonts w:hint="eastAsia" w:ascii="仿宋" w:hAnsi="仿宋" w:eastAsia="仿宋" w:cs="仿宋"/>
          <w:b/>
          <w:snapToGrid w:val="0"/>
          <w:color w:val="auto"/>
          <w:sz w:val="28"/>
          <w:szCs w:val="28"/>
          <w:highlight w:val="none"/>
        </w:rPr>
        <w:t>代理机构：</w:t>
      </w:r>
      <w:r>
        <w:rPr>
          <w:rFonts w:hint="eastAsia" w:ascii="仿宋" w:hAnsi="仿宋" w:eastAsia="仿宋" w:cs="仿宋"/>
          <w:snapToGrid w:val="0"/>
          <w:color w:val="auto"/>
          <w:sz w:val="28"/>
          <w:szCs w:val="28"/>
          <w:highlight w:val="none"/>
          <w:u w:val="single"/>
        </w:rPr>
        <w:t>浙江新诚信工程咨询有限公司                       （盖章）</w:t>
      </w:r>
    </w:p>
    <w:p w14:paraId="7D4D8A62">
      <w:pPr>
        <w:spacing w:line="640" w:lineRule="exact"/>
        <w:jc w:val="center"/>
        <w:rPr>
          <w:rFonts w:ascii="仿宋" w:hAnsi="仿宋" w:eastAsia="仿宋" w:cs="仿宋"/>
          <w:b/>
          <w:snapToGrid w:val="0"/>
          <w:color w:val="auto"/>
          <w:sz w:val="30"/>
          <w:szCs w:val="30"/>
          <w:highlight w:val="none"/>
        </w:rPr>
      </w:pPr>
    </w:p>
    <w:p w14:paraId="2D6C6A94">
      <w:pPr>
        <w:pStyle w:val="11"/>
        <w:rPr>
          <w:color w:val="auto"/>
          <w:highlight w:val="none"/>
        </w:rPr>
      </w:pPr>
    </w:p>
    <w:p w14:paraId="462B44B4">
      <w:pPr>
        <w:spacing w:line="640" w:lineRule="exact"/>
        <w:jc w:val="center"/>
        <w:rPr>
          <w:rFonts w:ascii="仿宋" w:hAnsi="仿宋" w:eastAsia="仿宋" w:cs="仿宋"/>
          <w:b/>
          <w:color w:val="auto"/>
          <w:sz w:val="30"/>
          <w:szCs w:val="30"/>
          <w:highlight w:val="none"/>
        </w:rPr>
      </w:pPr>
      <w:r>
        <w:rPr>
          <w:rFonts w:hint="eastAsia" w:ascii="仿宋" w:hAnsi="仿宋" w:eastAsia="仿宋" w:cs="仿宋"/>
          <w:b/>
          <w:snapToGrid w:val="0"/>
          <w:color w:val="auto"/>
          <w:sz w:val="30"/>
          <w:szCs w:val="30"/>
          <w:highlight w:val="none"/>
        </w:rPr>
        <w:t>2025年</w:t>
      </w:r>
      <w:r>
        <w:rPr>
          <w:rFonts w:hint="eastAsia" w:ascii="仿宋" w:hAnsi="仿宋" w:eastAsia="仿宋" w:cs="仿宋"/>
          <w:b/>
          <w:snapToGrid w:val="0"/>
          <w:color w:val="auto"/>
          <w:sz w:val="30"/>
          <w:szCs w:val="30"/>
          <w:highlight w:val="none"/>
          <w:lang w:val="en-US" w:eastAsia="zh-CN"/>
        </w:rPr>
        <w:t>7</w:t>
      </w:r>
      <w:r>
        <w:rPr>
          <w:rFonts w:hint="eastAsia" w:ascii="仿宋" w:hAnsi="仿宋" w:eastAsia="仿宋" w:cs="仿宋"/>
          <w:b/>
          <w:snapToGrid w:val="0"/>
          <w:color w:val="auto"/>
          <w:sz w:val="30"/>
          <w:szCs w:val="30"/>
          <w:highlight w:val="none"/>
        </w:rPr>
        <w:t>月</w:t>
      </w:r>
    </w:p>
    <w:p w14:paraId="0D5C3277">
      <w:pPr>
        <w:rPr>
          <w:rFonts w:ascii="仿宋" w:hAnsi="仿宋" w:eastAsia="仿宋" w:cs="仿宋"/>
          <w:b/>
          <w:color w:val="auto"/>
          <w:sz w:val="44"/>
          <w:szCs w:val="44"/>
          <w:highlight w:val="none"/>
        </w:rPr>
      </w:pPr>
    </w:p>
    <w:p w14:paraId="4E8B9477">
      <w:pPr>
        <w:jc w:val="center"/>
        <w:rPr>
          <w:rFonts w:ascii="仿宋" w:hAnsi="仿宋" w:eastAsia="仿宋" w:cs="仿宋"/>
          <w:b/>
          <w:color w:val="auto"/>
          <w:sz w:val="44"/>
          <w:szCs w:val="44"/>
          <w:highlight w:val="none"/>
        </w:rPr>
        <w:sectPr>
          <w:headerReference r:id="rId3" w:type="default"/>
          <w:footerReference r:id="rId4" w:type="default"/>
          <w:pgSz w:w="11906" w:h="16838"/>
          <w:pgMar w:top="1134" w:right="1134" w:bottom="1134" w:left="1134" w:header="113" w:footer="113" w:gutter="0"/>
          <w:cols w:space="0" w:num="1"/>
          <w:titlePg/>
          <w:docGrid w:linePitch="312" w:charSpace="0"/>
        </w:sectPr>
      </w:pPr>
    </w:p>
    <w:p w14:paraId="72DAE263">
      <w:pPr>
        <w:jc w:val="center"/>
        <w:rPr>
          <w:rFonts w:ascii="仿宋" w:hAnsi="仿宋" w:eastAsia="仿宋" w:cs="仿宋"/>
          <w:b/>
          <w:color w:val="auto"/>
          <w:sz w:val="44"/>
          <w:szCs w:val="44"/>
          <w:highlight w:val="none"/>
        </w:rPr>
      </w:pPr>
      <w:r>
        <w:rPr>
          <w:rFonts w:hint="eastAsia" w:ascii="仿宋" w:hAnsi="仿宋" w:eastAsia="仿宋" w:cs="仿宋"/>
          <w:b/>
          <w:color w:val="auto"/>
          <w:sz w:val="44"/>
          <w:szCs w:val="44"/>
          <w:highlight w:val="none"/>
        </w:rPr>
        <w:t>目  录</w:t>
      </w:r>
    </w:p>
    <w:p w14:paraId="6639A610">
      <w:pPr>
        <w:adjustRightInd w:val="0"/>
        <w:snapToGrid w:val="0"/>
        <w:spacing w:line="360" w:lineRule="auto"/>
        <w:rPr>
          <w:rFonts w:ascii="仿宋" w:hAnsi="仿宋" w:eastAsia="仿宋" w:cs="仿宋"/>
          <w:color w:val="auto"/>
          <w:sz w:val="30"/>
          <w:szCs w:val="30"/>
          <w:highlight w:val="none"/>
        </w:rPr>
      </w:pPr>
    </w:p>
    <w:p w14:paraId="64D4B346">
      <w:pPr>
        <w:numPr>
          <w:ilvl w:val="0"/>
          <w:numId w:val="2"/>
        </w:numPr>
        <w:adjustRightInd w:val="0"/>
        <w:snapToGrid w:val="0"/>
        <w:spacing w:line="700" w:lineRule="exact"/>
        <w:jc w:val="distribute"/>
        <w:rPr>
          <w:rFonts w:ascii="仿宋" w:hAnsi="仿宋" w:eastAsia="仿宋" w:cs="仿宋"/>
          <w:b/>
          <w:bCs/>
          <w:color w:val="auto"/>
          <w:sz w:val="30"/>
          <w:szCs w:val="30"/>
          <w:highlight w:val="none"/>
        </w:rPr>
      </w:pPr>
      <w:r>
        <w:rPr>
          <w:rFonts w:hint="eastAsia" w:ascii="仿宋" w:hAnsi="仿宋" w:eastAsia="仿宋" w:cs="仿宋"/>
          <w:b/>
          <w:color w:val="auto"/>
          <w:sz w:val="30"/>
          <w:szCs w:val="30"/>
          <w:highlight w:val="none"/>
        </w:rPr>
        <w:t>竞争性磋商公告</w:t>
      </w:r>
      <w:r>
        <w:rPr>
          <w:rFonts w:hint="eastAsia" w:ascii="仿宋" w:hAnsi="仿宋" w:eastAsia="仿宋" w:cs="仿宋"/>
          <w:b/>
          <w:bCs/>
          <w:color w:val="auto"/>
          <w:sz w:val="30"/>
          <w:szCs w:val="30"/>
          <w:highlight w:val="none"/>
        </w:rPr>
        <w:t>……………………………………………01</w:t>
      </w:r>
    </w:p>
    <w:p w14:paraId="1F8EDB5D">
      <w:pPr>
        <w:numPr>
          <w:ilvl w:val="0"/>
          <w:numId w:val="2"/>
        </w:numPr>
        <w:adjustRightInd w:val="0"/>
        <w:snapToGrid w:val="0"/>
        <w:spacing w:line="700" w:lineRule="exact"/>
        <w:jc w:val="distribute"/>
        <w:rPr>
          <w:rFonts w:ascii="仿宋" w:hAnsi="仿宋" w:eastAsia="仿宋" w:cs="仿宋"/>
          <w:b/>
          <w:bCs/>
          <w:color w:val="auto"/>
          <w:sz w:val="30"/>
          <w:szCs w:val="30"/>
          <w:highlight w:val="none"/>
        </w:rPr>
      </w:pPr>
      <w:r>
        <w:rPr>
          <w:rFonts w:hint="eastAsia" w:ascii="仿宋" w:hAnsi="仿宋" w:eastAsia="仿宋" w:cs="仿宋"/>
          <w:b/>
          <w:bCs/>
          <w:color w:val="auto"/>
          <w:sz w:val="30"/>
          <w:szCs w:val="30"/>
          <w:highlight w:val="none"/>
        </w:rPr>
        <w:t>项目采购需求………………………………………0</w:t>
      </w:r>
      <w:r>
        <w:rPr>
          <w:rFonts w:hint="eastAsia" w:ascii="仿宋" w:hAnsi="仿宋" w:eastAsia="仿宋" w:cs="仿宋"/>
          <w:b/>
          <w:bCs/>
          <w:color w:val="auto"/>
          <w:sz w:val="30"/>
          <w:szCs w:val="30"/>
          <w:highlight w:val="none"/>
          <w:lang w:val="en-US" w:eastAsia="zh-CN"/>
        </w:rPr>
        <w:t>6</w:t>
      </w:r>
    </w:p>
    <w:p w14:paraId="1BCC6B19">
      <w:pPr>
        <w:adjustRightInd w:val="0"/>
        <w:snapToGrid w:val="0"/>
        <w:spacing w:line="700" w:lineRule="exact"/>
        <w:jc w:val="distribute"/>
        <w:rPr>
          <w:rFonts w:ascii="仿宋" w:hAnsi="仿宋" w:eastAsia="仿宋" w:cs="仿宋"/>
          <w:color w:val="auto"/>
          <w:sz w:val="30"/>
          <w:szCs w:val="30"/>
          <w:highlight w:val="none"/>
        </w:rPr>
      </w:pPr>
      <w:r>
        <w:rPr>
          <w:rFonts w:hint="eastAsia" w:ascii="仿宋" w:hAnsi="仿宋" w:eastAsia="仿宋" w:cs="仿宋"/>
          <w:b/>
          <w:bCs/>
          <w:color w:val="auto"/>
          <w:sz w:val="30"/>
          <w:szCs w:val="30"/>
          <w:highlight w:val="none"/>
        </w:rPr>
        <w:t>第三章 供应商须知…………………………………………………</w:t>
      </w:r>
      <w:r>
        <w:rPr>
          <w:rFonts w:hint="eastAsia" w:ascii="仿宋" w:hAnsi="仿宋" w:eastAsia="仿宋" w:cs="仿宋"/>
          <w:b/>
          <w:bCs/>
          <w:color w:val="auto"/>
          <w:sz w:val="30"/>
          <w:szCs w:val="30"/>
          <w:highlight w:val="none"/>
          <w:lang w:val="en-US" w:eastAsia="zh-CN"/>
        </w:rPr>
        <w:t>08</w:t>
      </w:r>
      <w:r>
        <w:rPr>
          <w:rFonts w:hint="eastAsia" w:ascii="仿宋" w:hAnsi="仿宋" w:eastAsia="仿宋" w:cs="仿宋"/>
          <w:color w:val="auto"/>
          <w:sz w:val="30"/>
          <w:szCs w:val="30"/>
          <w:highlight w:val="none"/>
        </w:rPr>
        <w:t xml:space="preserve">      </w:t>
      </w:r>
    </w:p>
    <w:p w14:paraId="22907249">
      <w:pPr>
        <w:adjustRightInd w:val="0"/>
        <w:snapToGrid w:val="0"/>
        <w:spacing w:line="700" w:lineRule="exact"/>
        <w:jc w:val="distribute"/>
        <w:rPr>
          <w:rFonts w:hint="default" w:ascii="仿宋" w:hAnsi="仿宋" w:eastAsia="仿宋" w:cs="仿宋"/>
          <w:b/>
          <w:bCs/>
          <w:color w:val="auto"/>
          <w:sz w:val="30"/>
          <w:szCs w:val="30"/>
          <w:highlight w:val="none"/>
          <w:lang w:val="en-US" w:eastAsia="zh-CN"/>
        </w:rPr>
      </w:pPr>
      <w:r>
        <w:rPr>
          <w:rFonts w:hint="eastAsia" w:ascii="仿宋" w:hAnsi="仿宋" w:eastAsia="仿宋" w:cs="仿宋"/>
          <w:b/>
          <w:bCs/>
          <w:color w:val="auto"/>
          <w:sz w:val="30"/>
          <w:szCs w:val="30"/>
          <w:highlight w:val="none"/>
        </w:rPr>
        <w:t>第四章 合同主要条款………………………………………………</w:t>
      </w:r>
      <w:r>
        <w:rPr>
          <w:rFonts w:hint="eastAsia" w:ascii="仿宋" w:hAnsi="仿宋" w:eastAsia="仿宋" w:cs="仿宋"/>
          <w:b/>
          <w:bCs/>
          <w:color w:val="auto"/>
          <w:sz w:val="30"/>
          <w:szCs w:val="30"/>
          <w:highlight w:val="none"/>
          <w:lang w:val="en-US" w:eastAsia="zh-CN"/>
        </w:rPr>
        <w:t>26</w:t>
      </w:r>
    </w:p>
    <w:p w14:paraId="1BCE2FDF">
      <w:pPr>
        <w:adjustRightInd w:val="0"/>
        <w:snapToGrid w:val="0"/>
        <w:spacing w:line="700" w:lineRule="exact"/>
        <w:jc w:val="distribute"/>
        <w:rPr>
          <w:rFonts w:hint="default" w:ascii="仿宋" w:hAnsi="仿宋" w:eastAsia="仿宋" w:cs="仿宋"/>
          <w:b/>
          <w:bCs/>
          <w:color w:val="auto"/>
          <w:sz w:val="30"/>
          <w:szCs w:val="30"/>
          <w:highlight w:val="none"/>
          <w:lang w:val="en-US" w:eastAsia="zh-CN"/>
        </w:rPr>
      </w:pPr>
      <w:r>
        <w:rPr>
          <w:rFonts w:hint="eastAsia" w:ascii="仿宋" w:hAnsi="仿宋" w:eastAsia="仿宋" w:cs="仿宋"/>
          <w:b/>
          <w:bCs/>
          <w:color w:val="auto"/>
          <w:sz w:val="30"/>
          <w:szCs w:val="30"/>
          <w:highlight w:val="none"/>
        </w:rPr>
        <w:t>第五章 响应文件格式………………………………………………</w:t>
      </w:r>
      <w:r>
        <w:rPr>
          <w:rFonts w:hint="eastAsia" w:ascii="仿宋" w:hAnsi="仿宋" w:eastAsia="仿宋" w:cs="仿宋"/>
          <w:b/>
          <w:bCs/>
          <w:color w:val="auto"/>
          <w:sz w:val="30"/>
          <w:szCs w:val="30"/>
          <w:highlight w:val="none"/>
          <w:lang w:val="en-US" w:eastAsia="zh-CN"/>
        </w:rPr>
        <w:t>30</w:t>
      </w:r>
    </w:p>
    <w:p w14:paraId="38B31068">
      <w:pPr>
        <w:adjustRightInd w:val="0"/>
        <w:snapToGrid w:val="0"/>
        <w:spacing w:line="700" w:lineRule="exact"/>
        <w:jc w:val="distribute"/>
        <w:rPr>
          <w:rFonts w:hint="default" w:ascii="仿宋" w:hAnsi="仿宋" w:eastAsia="仿宋" w:cs="仿宋"/>
          <w:b/>
          <w:color w:val="auto"/>
          <w:sz w:val="30"/>
          <w:szCs w:val="30"/>
          <w:highlight w:val="none"/>
          <w:lang w:val="en-US" w:eastAsia="zh-CN"/>
        </w:rPr>
      </w:pPr>
      <w:r>
        <w:rPr>
          <w:rFonts w:hint="eastAsia" w:ascii="仿宋" w:hAnsi="仿宋" w:eastAsia="仿宋" w:cs="仿宋"/>
          <w:b/>
          <w:color w:val="auto"/>
          <w:sz w:val="30"/>
          <w:szCs w:val="30"/>
          <w:highlight w:val="none"/>
        </w:rPr>
        <w:t>第六章 磋商办法及评分标准………………………………………</w:t>
      </w:r>
      <w:r>
        <w:rPr>
          <w:rFonts w:hint="eastAsia" w:ascii="仿宋" w:hAnsi="仿宋" w:eastAsia="仿宋" w:cs="仿宋"/>
          <w:b/>
          <w:color w:val="auto"/>
          <w:sz w:val="30"/>
          <w:szCs w:val="30"/>
          <w:highlight w:val="none"/>
          <w:lang w:val="en-US" w:eastAsia="zh-CN"/>
        </w:rPr>
        <w:t>46</w:t>
      </w:r>
    </w:p>
    <w:p w14:paraId="1DF803BD">
      <w:pPr>
        <w:spacing w:line="600" w:lineRule="exact"/>
        <w:rPr>
          <w:rFonts w:ascii="仿宋" w:hAnsi="仿宋" w:eastAsia="仿宋" w:cs="仿宋"/>
          <w:color w:val="auto"/>
          <w:sz w:val="30"/>
          <w:szCs w:val="30"/>
          <w:highlight w:val="none"/>
        </w:rPr>
      </w:pPr>
    </w:p>
    <w:p w14:paraId="415F11B9">
      <w:pPr>
        <w:spacing w:line="600" w:lineRule="exact"/>
        <w:rPr>
          <w:rFonts w:ascii="仿宋" w:hAnsi="仿宋" w:eastAsia="仿宋" w:cs="仿宋"/>
          <w:b/>
          <w:color w:val="auto"/>
          <w:sz w:val="36"/>
          <w:szCs w:val="36"/>
          <w:highlight w:val="none"/>
        </w:rPr>
      </w:pPr>
    </w:p>
    <w:p w14:paraId="1EED7D6B">
      <w:pPr>
        <w:spacing w:line="600" w:lineRule="exact"/>
        <w:rPr>
          <w:rFonts w:ascii="仿宋" w:hAnsi="仿宋" w:eastAsia="仿宋" w:cs="仿宋"/>
          <w:b/>
          <w:color w:val="auto"/>
          <w:sz w:val="36"/>
          <w:szCs w:val="36"/>
          <w:highlight w:val="none"/>
        </w:rPr>
      </w:pPr>
    </w:p>
    <w:p w14:paraId="33229438">
      <w:pPr>
        <w:numPr>
          <w:ilvl w:val="0"/>
          <w:numId w:val="3"/>
        </w:numPr>
        <w:spacing w:line="600" w:lineRule="exact"/>
        <w:jc w:val="center"/>
        <w:outlineLvl w:val="0"/>
        <w:rPr>
          <w:rFonts w:ascii="仿宋" w:hAnsi="仿宋" w:eastAsia="仿宋" w:cs="仿宋"/>
          <w:b/>
          <w:color w:val="auto"/>
          <w:sz w:val="36"/>
          <w:szCs w:val="36"/>
          <w:highlight w:val="none"/>
        </w:rPr>
        <w:sectPr>
          <w:footerReference r:id="rId6" w:type="first"/>
          <w:footerReference r:id="rId5" w:type="default"/>
          <w:pgSz w:w="11906" w:h="16838"/>
          <w:pgMar w:top="1134" w:right="1247" w:bottom="1134" w:left="1247" w:header="113" w:footer="113" w:gutter="0"/>
          <w:cols w:space="720" w:num="1"/>
          <w:titlePg/>
          <w:docGrid w:linePitch="312" w:charSpace="0"/>
        </w:sectPr>
      </w:pPr>
    </w:p>
    <w:p w14:paraId="63C84F74">
      <w:pPr>
        <w:numPr>
          <w:ilvl w:val="0"/>
          <w:numId w:val="3"/>
        </w:numPr>
        <w:spacing w:line="600" w:lineRule="exact"/>
        <w:jc w:val="center"/>
        <w:outlineLvl w:val="0"/>
        <w:rPr>
          <w:rFonts w:ascii="仿宋" w:hAnsi="仿宋" w:eastAsia="仿宋" w:cs="仿宋"/>
          <w:b/>
          <w:color w:val="auto"/>
          <w:sz w:val="36"/>
          <w:szCs w:val="36"/>
          <w:highlight w:val="none"/>
        </w:rPr>
      </w:pPr>
      <w:r>
        <w:rPr>
          <w:rFonts w:hint="eastAsia" w:ascii="仿宋" w:hAnsi="仿宋" w:eastAsia="仿宋" w:cs="仿宋"/>
          <w:b/>
          <w:color w:val="auto"/>
          <w:sz w:val="36"/>
          <w:szCs w:val="36"/>
          <w:highlight w:val="none"/>
        </w:rPr>
        <w:t>竞争性磋商公告</w:t>
      </w:r>
    </w:p>
    <w:p w14:paraId="320BF991">
      <w:pPr>
        <w:spacing w:line="500" w:lineRule="exact"/>
        <w:jc w:val="center"/>
        <w:rPr>
          <w:rFonts w:ascii="仿宋" w:hAnsi="仿宋" w:eastAsia="仿宋" w:cs="仿宋"/>
          <w:b/>
          <w:bCs/>
          <w:color w:val="auto"/>
          <w:kern w:val="0"/>
          <w:sz w:val="24"/>
          <w:highlight w:val="none"/>
        </w:rPr>
      </w:pPr>
      <w:r>
        <w:rPr>
          <w:rFonts w:hint="eastAsia" w:ascii="仿宋" w:hAnsi="仿宋" w:eastAsia="仿宋" w:cs="仿宋"/>
          <w:b/>
          <w:bCs/>
          <w:color w:val="auto"/>
          <w:kern w:val="0"/>
          <w:sz w:val="24"/>
          <w:highlight w:val="none"/>
        </w:rPr>
        <w:t>（本项目为电子磋商项目）</w:t>
      </w:r>
    </w:p>
    <w:p w14:paraId="377EBCC6">
      <w:pPr>
        <w:pStyle w:val="9"/>
        <w:rPr>
          <w:color w:val="auto"/>
          <w:highlight w:val="none"/>
        </w:rPr>
      </w:pPr>
    </w:p>
    <w:p w14:paraId="7A050478">
      <w:pPr>
        <w:adjustRightInd w:val="0"/>
        <w:snapToGrid w:val="0"/>
        <w:spacing w:line="600" w:lineRule="exact"/>
        <w:ind w:firstLine="480" w:firstLineChars="200"/>
        <w:jc w:val="left"/>
        <w:rPr>
          <w:rFonts w:ascii="仿宋" w:hAnsi="仿宋" w:eastAsia="仿宋" w:cs="宋体"/>
          <w:color w:val="auto"/>
          <w:sz w:val="24"/>
          <w:highlight w:val="none"/>
        </w:rPr>
      </w:pPr>
      <w:r>
        <w:rPr>
          <w:rFonts w:hint="eastAsia" w:ascii="仿宋" w:hAnsi="仿宋" w:eastAsia="仿宋" w:cs="宋体"/>
          <w:color w:val="auto"/>
          <w:kern w:val="0"/>
          <w:sz w:val="24"/>
          <w:highlight w:val="none"/>
        </w:rPr>
        <w:t>根据《中华人民共和国政府采购法》、《政府采购竞争性磋商采购方式管理暂行办法》及相关法律、法规等规定，经</w:t>
      </w:r>
      <w:r>
        <w:rPr>
          <w:rFonts w:hint="eastAsia" w:ascii="仿宋" w:hAnsi="仿宋" w:eastAsia="仿宋" w:cs="宋体"/>
          <w:color w:val="auto"/>
          <w:kern w:val="0"/>
          <w:sz w:val="24"/>
          <w:highlight w:val="none"/>
          <w:lang w:val="en-US" w:eastAsia="zh-CN"/>
        </w:rPr>
        <w:t>湖州市</w:t>
      </w:r>
      <w:r>
        <w:rPr>
          <w:rFonts w:hint="eastAsia" w:ascii="仿宋" w:hAnsi="仿宋" w:eastAsia="仿宋"/>
          <w:color w:val="auto"/>
          <w:sz w:val="24"/>
          <w:highlight w:val="none"/>
        </w:rPr>
        <w:t>财政局(财政审批编号：</w:t>
      </w:r>
      <w:r>
        <w:rPr>
          <w:rFonts w:hint="eastAsia" w:ascii="仿宋" w:hAnsi="仿宋" w:eastAsia="仿宋"/>
          <w:color w:val="auto"/>
          <w:sz w:val="24"/>
          <w:highlight w:val="none"/>
          <w:u w:val="single"/>
          <w:lang w:val="en-US" w:eastAsia="zh-CN"/>
        </w:rPr>
        <w:t>湖</w:t>
      </w:r>
      <w:r>
        <w:rPr>
          <w:rFonts w:hint="eastAsia" w:ascii="仿宋" w:hAnsi="仿宋" w:eastAsia="仿宋"/>
          <w:color w:val="auto"/>
          <w:sz w:val="24"/>
          <w:highlight w:val="none"/>
          <w:u w:val="single"/>
        </w:rPr>
        <w:t>财采确[2025]</w:t>
      </w:r>
      <w:r>
        <w:rPr>
          <w:rFonts w:hint="eastAsia" w:ascii="仿宋" w:hAnsi="仿宋" w:eastAsia="仿宋"/>
          <w:color w:val="auto"/>
          <w:sz w:val="24"/>
          <w:highlight w:val="none"/>
          <w:u w:val="single"/>
          <w:lang w:val="en-US" w:eastAsia="zh-CN"/>
        </w:rPr>
        <w:t>11079</w:t>
      </w:r>
      <w:r>
        <w:rPr>
          <w:rFonts w:hint="eastAsia" w:ascii="仿宋" w:hAnsi="仿宋" w:eastAsia="仿宋"/>
          <w:color w:val="auto"/>
          <w:sz w:val="24"/>
          <w:highlight w:val="none"/>
          <w:u w:val="single"/>
        </w:rPr>
        <w:t>号)</w:t>
      </w:r>
      <w:r>
        <w:rPr>
          <w:rFonts w:hint="eastAsia" w:ascii="仿宋" w:hAnsi="仿宋" w:eastAsia="仿宋" w:cs="宋体"/>
          <w:color w:val="auto"/>
          <w:kern w:val="0"/>
          <w:sz w:val="24"/>
          <w:highlight w:val="none"/>
        </w:rPr>
        <w:t>批准，</w:t>
      </w:r>
      <w:r>
        <w:rPr>
          <w:rFonts w:hint="eastAsia" w:ascii="仿宋" w:hAnsi="仿宋" w:eastAsia="仿宋" w:cs="宋体"/>
          <w:b/>
          <w:color w:val="auto"/>
          <w:kern w:val="0"/>
          <w:sz w:val="24"/>
          <w:highlight w:val="none"/>
          <w:u w:val="single"/>
        </w:rPr>
        <w:t>浙江新诚信工程咨询有限公司</w:t>
      </w:r>
      <w:r>
        <w:rPr>
          <w:rFonts w:hint="eastAsia" w:ascii="仿宋" w:hAnsi="仿宋" w:eastAsia="仿宋" w:cs="宋体"/>
          <w:color w:val="auto"/>
          <w:kern w:val="0"/>
          <w:sz w:val="24"/>
          <w:highlight w:val="none"/>
        </w:rPr>
        <w:t>受</w:t>
      </w:r>
      <w:r>
        <w:rPr>
          <w:rFonts w:hint="eastAsia" w:ascii="仿宋" w:hAnsi="仿宋" w:eastAsia="仿宋" w:cs="宋体"/>
          <w:b/>
          <w:color w:val="auto"/>
          <w:sz w:val="24"/>
          <w:highlight w:val="none"/>
          <w:u w:val="single"/>
          <w:lang w:eastAsia="zh-CN"/>
        </w:rPr>
        <w:t>湖州市体育局</w:t>
      </w:r>
      <w:r>
        <w:rPr>
          <w:rFonts w:hint="eastAsia" w:ascii="仿宋" w:hAnsi="仿宋" w:eastAsia="仿宋" w:cs="宋体"/>
          <w:color w:val="auto"/>
          <w:kern w:val="0"/>
          <w:sz w:val="24"/>
          <w:highlight w:val="none"/>
        </w:rPr>
        <w:t>的委托，就</w:t>
      </w:r>
      <w:r>
        <w:rPr>
          <w:rFonts w:hint="eastAsia" w:ascii="仿宋" w:hAnsi="仿宋" w:eastAsia="仿宋" w:cs="宋体"/>
          <w:b/>
          <w:color w:val="auto"/>
          <w:sz w:val="24"/>
          <w:highlight w:val="none"/>
          <w:u w:val="single"/>
          <w:lang w:eastAsia="zh-CN"/>
        </w:rPr>
        <w:t xml:space="preserve">举办湖州市气排球超级联赛项目  </w:t>
      </w:r>
      <w:r>
        <w:rPr>
          <w:rFonts w:hint="eastAsia" w:ascii="仿宋" w:hAnsi="仿宋" w:eastAsia="仿宋" w:cs="宋体"/>
          <w:color w:val="auto"/>
          <w:kern w:val="0"/>
          <w:sz w:val="24"/>
          <w:highlight w:val="none"/>
        </w:rPr>
        <w:t>进行竞争性磋商，欢迎国内合格的供应商前来参加磋商。</w:t>
      </w:r>
    </w:p>
    <w:p w14:paraId="1D9844C5">
      <w:pPr>
        <w:widowControl/>
        <w:tabs>
          <w:tab w:val="left" w:pos="8689"/>
        </w:tabs>
        <w:spacing w:line="500" w:lineRule="exact"/>
        <w:ind w:right="60" w:firstLine="482" w:firstLineChars="200"/>
        <w:outlineLvl w:val="1"/>
        <w:rPr>
          <w:rFonts w:ascii="仿宋" w:hAnsi="仿宋" w:eastAsia="仿宋" w:cs="仿宋"/>
          <w:color w:val="auto"/>
          <w:kern w:val="0"/>
          <w:sz w:val="24"/>
          <w:highlight w:val="none"/>
        </w:rPr>
      </w:pPr>
      <w:r>
        <w:rPr>
          <w:rFonts w:hint="eastAsia" w:ascii="仿宋" w:hAnsi="仿宋" w:eastAsia="仿宋" w:cs="仿宋"/>
          <w:b/>
          <w:color w:val="auto"/>
          <w:kern w:val="0"/>
          <w:sz w:val="24"/>
          <w:highlight w:val="none"/>
        </w:rPr>
        <w:t>一、磋商项目编号</w:t>
      </w:r>
      <w:r>
        <w:rPr>
          <w:rFonts w:hint="eastAsia" w:ascii="仿宋" w:hAnsi="仿宋" w:eastAsia="仿宋" w:cs="仿宋"/>
          <w:color w:val="auto"/>
          <w:kern w:val="0"/>
          <w:sz w:val="24"/>
          <w:highlight w:val="none"/>
        </w:rPr>
        <w:t>：XCXHZ-2025-0</w:t>
      </w:r>
      <w:r>
        <w:rPr>
          <w:rFonts w:hint="eastAsia" w:ascii="仿宋" w:hAnsi="仿宋" w:eastAsia="仿宋" w:cs="仿宋"/>
          <w:color w:val="auto"/>
          <w:kern w:val="0"/>
          <w:sz w:val="24"/>
          <w:highlight w:val="none"/>
          <w:lang w:val="en-US" w:eastAsia="zh-CN"/>
        </w:rPr>
        <w:t>48</w:t>
      </w:r>
      <w:r>
        <w:rPr>
          <w:rFonts w:hint="eastAsia" w:ascii="仿宋" w:hAnsi="仿宋" w:eastAsia="仿宋" w:cs="仿宋"/>
          <w:color w:val="auto"/>
          <w:kern w:val="0"/>
          <w:sz w:val="24"/>
          <w:highlight w:val="none"/>
        </w:rPr>
        <w:t>（CG）</w:t>
      </w:r>
      <w:r>
        <w:rPr>
          <w:rFonts w:hint="eastAsia" w:ascii="仿宋" w:hAnsi="仿宋" w:eastAsia="仿宋" w:cs="仿宋"/>
          <w:color w:val="auto"/>
          <w:kern w:val="0"/>
          <w:sz w:val="24"/>
          <w:highlight w:val="none"/>
        </w:rPr>
        <w:tab/>
      </w:r>
    </w:p>
    <w:p w14:paraId="2AF01A93">
      <w:pPr>
        <w:snapToGrid w:val="0"/>
        <w:spacing w:line="500" w:lineRule="exact"/>
        <w:ind w:firstLine="472" w:firstLineChars="196"/>
        <w:outlineLvl w:val="1"/>
        <w:rPr>
          <w:rFonts w:ascii="仿宋" w:hAnsi="仿宋" w:eastAsia="仿宋" w:cs="仿宋"/>
          <w:color w:val="auto"/>
          <w:kern w:val="0"/>
          <w:sz w:val="24"/>
          <w:highlight w:val="none"/>
        </w:rPr>
      </w:pPr>
      <w:r>
        <w:rPr>
          <w:rFonts w:hint="eastAsia" w:ascii="仿宋" w:hAnsi="仿宋" w:eastAsia="仿宋" w:cs="仿宋"/>
          <w:b/>
          <w:color w:val="auto"/>
          <w:kern w:val="0"/>
          <w:sz w:val="24"/>
          <w:highlight w:val="none"/>
        </w:rPr>
        <w:t>二、磋商项目概况（内容、用途、数量、简要技术要求等）</w:t>
      </w:r>
      <w:r>
        <w:rPr>
          <w:rFonts w:hint="eastAsia" w:ascii="仿宋" w:hAnsi="仿宋" w:eastAsia="仿宋" w:cs="仿宋"/>
          <w:color w:val="auto"/>
          <w:kern w:val="0"/>
          <w:sz w:val="24"/>
          <w:highlight w:val="none"/>
        </w:rPr>
        <w:t>：</w:t>
      </w:r>
      <w:bookmarkStart w:id="0" w:name="B09_招标内容"/>
      <w:bookmarkEnd w:id="0"/>
    </w:p>
    <w:tbl>
      <w:tblPr>
        <w:tblStyle w:val="27"/>
        <w:tblW w:w="8414" w:type="dxa"/>
        <w:jc w:val="center"/>
        <w:tblLayout w:type="fixed"/>
        <w:tblCellMar>
          <w:top w:w="0" w:type="dxa"/>
          <w:left w:w="10" w:type="dxa"/>
          <w:bottom w:w="0" w:type="dxa"/>
          <w:right w:w="10" w:type="dxa"/>
        </w:tblCellMar>
      </w:tblPr>
      <w:tblGrid>
        <w:gridCol w:w="885"/>
        <w:gridCol w:w="3547"/>
        <w:gridCol w:w="1650"/>
        <w:gridCol w:w="2332"/>
      </w:tblGrid>
      <w:tr w14:paraId="7E79B424">
        <w:tblPrEx>
          <w:tblCellMar>
            <w:top w:w="0" w:type="dxa"/>
            <w:left w:w="10" w:type="dxa"/>
            <w:bottom w:w="0" w:type="dxa"/>
            <w:right w:w="10" w:type="dxa"/>
          </w:tblCellMar>
        </w:tblPrEx>
        <w:trPr>
          <w:trHeight w:val="262" w:hRule="atLeast"/>
          <w:jc w:val="center"/>
        </w:trPr>
        <w:tc>
          <w:tcPr>
            <w:tcW w:w="885" w:type="dxa"/>
            <w:tcBorders>
              <w:top w:val="single" w:color="auto" w:sz="6" w:space="0"/>
              <w:left w:val="single" w:color="auto" w:sz="6" w:space="0"/>
              <w:bottom w:val="single" w:color="auto" w:sz="4" w:space="0"/>
              <w:right w:val="single" w:color="auto" w:sz="6" w:space="0"/>
            </w:tcBorders>
            <w:noWrap/>
            <w:vAlign w:val="center"/>
          </w:tcPr>
          <w:p w14:paraId="5EEB0FD6">
            <w:pPr>
              <w:keepNext w:val="0"/>
              <w:keepLines w:val="0"/>
              <w:widowControl/>
              <w:suppressLineNumbers w:val="0"/>
              <w:spacing w:before="0" w:beforeAutospacing="0" w:after="0" w:afterAutospacing="0" w:line="500" w:lineRule="exact"/>
              <w:ind w:left="60" w:right="60"/>
              <w:jc w:val="center"/>
              <w:rPr>
                <w:rFonts w:hint="default" w:ascii="仿宋" w:hAnsi="仿宋" w:eastAsia="仿宋" w:cs="仿宋"/>
                <w:color w:val="auto"/>
                <w:kern w:val="0"/>
                <w:sz w:val="24"/>
                <w:highlight w:val="none"/>
                <w:lang w:val="en-US" w:eastAsia="zh-CN"/>
              </w:rPr>
            </w:pPr>
            <w:r>
              <w:rPr>
                <w:rFonts w:hint="eastAsia" w:ascii="仿宋" w:hAnsi="仿宋" w:eastAsia="仿宋" w:cs="仿宋"/>
                <w:color w:val="auto"/>
                <w:kern w:val="0"/>
                <w:sz w:val="24"/>
                <w:highlight w:val="none"/>
                <w:lang w:val="en-US" w:eastAsia="zh-CN"/>
              </w:rPr>
              <w:t>序号</w:t>
            </w:r>
          </w:p>
        </w:tc>
        <w:tc>
          <w:tcPr>
            <w:tcW w:w="3547" w:type="dxa"/>
            <w:tcBorders>
              <w:top w:val="single" w:color="auto" w:sz="6" w:space="0"/>
              <w:left w:val="single" w:color="auto" w:sz="4" w:space="0"/>
              <w:bottom w:val="single" w:color="auto" w:sz="4" w:space="0"/>
              <w:right w:val="single" w:color="auto" w:sz="4" w:space="0"/>
            </w:tcBorders>
            <w:noWrap/>
            <w:vAlign w:val="center"/>
          </w:tcPr>
          <w:p w14:paraId="638C99B7">
            <w:pPr>
              <w:keepNext w:val="0"/>
              <w:keepLines w:val="0"/>
              <w:widowControl/>
              <w:suppressLineNumbers w:val="0"/>
              <w:spacing w:before="0" w:beforeAutospacing="0" w:after="0" w:afterAutospacing="0" w:line="500" w:lineRule="exact"/>
              <w:ind w:left="60" w:right="60"/>
              <w:jc w:val="center"/>
              <w:rPr>
                <w:rFonts w:hint="default" w:ascii="仿宋" w:hAnsi="仿宋" w:eastAsia="仿宋" w:cs="仿宋"/>
                <w:color w:val="auto"/>
                <w:kern w:val="0"/>
                <w:sz w:val="24"/>
                <w:highlight w:val="none"/>
              </w:rPr>
            </w:pPr>
            <w:r>
              <w:rPr>
                <w:rFonts w:hint="eastAsia" w:ascii="仿宋" w:hAnsi="仿宋" w:eastAsia="仿宋" w:cs="仿宋"/>
                <w:color w:val="auto"/>
                <w:kern w:val="0"/>
                <w:sz w:val="24"/>
                <w:highlight w:val="none"/>
              </w:rPr>
              <w:t>采购内容</w:t>
            </w:r>
          </w:p>
        </w:tc>
        <w:tc>
          <w:tcPr>
            <w:tcW w:w="1650" w:type="dxa"/>
            <w:tcBorders>
              <w:top w:val="single" w:color="auto" w:sz="6" w:space="0"/>
              <w:left w:val="single" w:color="auto" w:sz="4" w:space="0"/>
              <w:bottom w:val="single" w:color="auto" w:sz="4" w:space="0"/>
              <w:right w:val="single" w:color="auto" w:sz="4" w:space="0"/>
            </w:tcBorders>
            <w:shd w:val="clear" w:color="auto" w:fill="auto"/>
            <w:noWrap/>
            <w:vAlign w:val="center"/>
          </w:tcPr>
          <w:p w14:paraId="2CDC280A">
            <w:pPr>
              <w:keepNext w:val="0"/>
              <w:keepLines w:val="0"/>
              <w:widowControl/>
              <w:suppressLineNumbers w:val="0"/>
              <w:spacing w:before="0" w:beforeAutospacing="0" w:after="0" w:afterAutospacing="0" w:line="500" w:lineRule="exact"/>
              <w:ind w:left="60" w:leftChars="0" w:right="60" w:rightChars="0"/>
              <w:jc w:val="center"/>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预算金额</w:t>
            </w:r>
          </w:p>
          <w:p w14:paraId="6F9170AF">
            <w:pPr>
              <w:keepNext w:val="0"/>
              <w:keepLines w:val="0"/>
              <w:widowControl/>
              <w:suppressLineNumbers w:val="0"/>
              <w:spacing w:before="0" w:beforeAutospacing="0" w:after="0" w:afterAutospacing="0" w:line="500" w:lineRule="exact"/>
              <w:ind w:left="60" w:leftChars="0" w:right="60" w:rightChars="0"/>
              <w:jc w:val="center"/>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highlight w:val="none"/>
                <w:lang w:eastAsia="zh-CN"/>
              </w:rPr>
              <w:t>（</w:t>
            </w:r>
            <w:r>
              <w:rPr>
                <w:rFonts w:hint="eastAsia" w:ascii="仿宋" w:hAnsi="仿宋" w:eastAsia="仿宋" w:cs="仿宋"/>
                <w:color w:val="auto"/>
                <w:kern w:val="0"/>
                <w:sz w:val="24"/>
                <w:highlight w:val="none"/>
                <w:lang w:val="en-US" w:eastAsia="zh-CN"/>
              </w:rPr>
              <w:t>最高限价</w:t>
            </w:r>
            <w:r>
              <w:rPr>
                <w:rFonts w:hint="eastAsia" w:ascii="仿宋" w:hAnsi="仿宋" w:eastAsia="仿宋" w:cs="仿宋"/>
                <w:color w:val="auto"/>
                <w:kern w:val="0"/>
                <w:sz w:val="24"/>
                <w:highlight w:val="none"/>
                <w:lang w:eastAsia="zh-CN"/>
              </w:rPr>
              <w:t>）</w:t>
            </w:r>
          </w:p>
        </w:tc>
        <w:tc>
          <w:tcPr>
            <w:tcW w:w="2332" w:type="dxa"/>
            <w:tcBorders>
              <w:top w:val="single" w:color="auto" w:sz="6" w:space="0"/>
              <w:left w:val="single" w:color="auto" w:sz="4" w:space="0"/>
              <w:bottom w:val="single" w:color="auto" w:sz="4" w:space="0"/>
              <w:right w:val="single" w:color="auto" w:sz="6" w:space="0"/>
            </w:tcBorders>
            <w:noWrap/>
            <w:vAlign w:val="center"/>
          </w:tcPr>
          <w:p w14:paraId="2EC2B0D1">
            <w:pPr>
              <w:keepNext w:val="0"/>
              <w:keepLines w:val="0"/>
              <w:widowControl/>
              <w:suppressLineNumbers w:val="0"/>
              <w:spacing w:before="0" w:beforeAutospacing="0" w:after="0" w:afterAutospacing="0" w:line="500" w:lineRule="exact"/>
              <w:ind w:left="60" w:leftChars="0" w:right="60" w:rightChars="0"/>
              <w:jc w:val="center"/>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技术要求</w:t>
            </w:r>
          </w:p>
        </w:tc>
      </w:tr>
      <w:tr w14:paraId="625734BF">
        <w:tblPrEx>
          <w:tblCellMar>
            <w:top w:w="0" w:type="dxa"/>
            <w:left w:w="10" w:type="dxa"/>
            <w:bottom w:w="0" w:type="dxa"/>
            <w:right w:w="10" w:type="dxa"/>
          </w:tblCellMar>
        </w:tblPrEx>
        <w:trPr>
          <w:trHeight w:val="828" w:hRule="atLeast"/>
          <w:jc w:val="center"/>
        </w:trPr>
        <w:tc>
          <w:tcPr>
            <w:tcW w:w="885" w:type="dxa"/>
            <w:tcBorders>
              <w:top w:val="single" w:color="auto" w:sz="4" w:space="0"/>
              <w:left w:val="single" w:color="auto" w:sz="4" w:space="0"/>
              <w:bottom w:val="single" w:color="auto" w:sz="4" w:space="0"/>
              <w:right w:val="single" w:color="auto" w:sz="4" w:space="0"/>
            </w:tcBorders>
            <w:noWrap/>
            <w:vAlign w:val="center"/>
          </w:tcPr>
          <w:p w14:paraId="0ABC3F9A">
            <w:pPr>
              <w:keepNext w:val="0"/>
              <w:keepLines w:val="0"/>
              <w:suppressLineNumbers w:val="0"/>
              <w:spacing w:before="0" w:beforeAutospacing="0" w:after="0" w:afterAutospacing="0"/>
              <w:ind w:left="0" w:right="0"/>
              <w:jc w:val="center"/>
              <w:rPr>
                <w:rFonts w:hint="default" w:ascii="仿宋" w:hAnsi="仿宋" w:eastAsia="仿宋" w:cs="仿宋"/>
                <w:color w:val="auto"/>
                <w:kern w:val="0"/>
                <w:sz w:val="24"/>
                <w:highlight w:val="none"/>
                <w:lang w:val="en-US" w:eastAsia="zh-CN"/>
              </w:rPr>
            </w:pPr>
            <w:r>
              <w:rPr>
                <w:rFonts w:hint="eastAsia" w:ascii="仿宋" w:hAnsi="仿宋" w:eastAsia="仿宋" w:cs="仿宋"/>
                <w:color w:val="auto"/>
                <w:kern w:val="0"/>
                <w:sz w:val="24"/>
                <w:highlight w:val="none"/>
                <w:lang w:val="en-US" w:eastAsia="zh-CN"/>
              </w:rPr>
              <w:t>一</w:t>
            </w:r>
          </w:p>
        </w:tc>
        <w:tc>
          <w:tcPr>
            <w:tcW w:w="3547" w:type="dxa"/>
            <w:tcBorders>
              <w:top w:val="single" w:color="auto" w:sz="4" w:space="0"/>
              <w:left w:val="single" w:color="auto" w:sz="4" w:space="0"/>
              <w:bottom w:val="single" w:color="auto" w:sz="4" w:space="0"/>
              <w:right w:val="single" w:color="auto" w:sz="4" w:space="0"/>
            </w:tcBorders>
            <w:noWrap/>
            <w:vAlign w:val="center"/>
          </w:tcPr>
          <w:p w14:paraId="6DDC5F3D">
            <w:pPr>
              <w:keepNext w:val="0"/>
              <w:keepLines w:val="0"/>
              <w:suppressLineNumbers w:val="0"/>
              <w:spacing w:before="0" w:beforeAutospacing="0" w:after="0" w:afterAutospacing="0" w:line="500" w:lineRule="exact"/>
              <w:ind w:left="0" w:leftChars="0" w:right="60" w:rightChars="0"/>
              <w:jc w:val="center"/>
              <w:rPr>
                <w:rFonts w:hint="eastAsia" w:ascii="仿宋" w:hAnsi="仿宋" w:eastAsia="仿宋" w:cs="仿宋"/>
                <w:color w:val="auto"/>
                <w:kern w:val="0"/>
                <w:sz w:val="24"/>
                <w:highlight w:val="none"/>
                <w:lang w:val="en-US" w:eastAsia="zh-CN"/>
              </w:rPr>
            </w:pPr>
            <w:r>
              <w:rPr>
                <w:rFonts w:hint="eastAsia" w:ascii="仿宋" w:hAnsi="仿宋" w:eastAsia="仿宋" w:cs="仿宋"/>
                <w:color w:val="auto"/>
                <w:kern w:val="0"/>
                <w:sz w:val="24"/>
                <w:highlight w:val="none"/>
                <w:lang w:eastAsia="zh-CN"/>
              </w:rPr>
              <w:t>举办湖州市气排球超级联赛项目</w:t>
            </w:r>
          </w:p>
        </w:tc>
        <w:tc>
          <w:tcPr>
            <w:tcW w:w="165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DED34F0">
            <w:pPr>
              <w:keepNext w:val="0"/>
              <w:keepLines w:val="0"/>
              <w:widowControl/>
              <w:suppressLineNumbers w:val="0"/>
              <w:spacing w:before="0" w:beforeAutospacing="0" w:after="0" w:afterAutospacing="0" w:line="500" w:lineRule="exact"/>
              <w:ind w:left="0" w:leftChars="0" w:right="60" w:rightChars="0"/>
              <w:jc w:val="center"/>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highlight w:val="none"/>
                <w:lang w:val="en-US" w:eastAsia="zh-CN"/>
              </w:rPr>
              <w:t>98500元</w:t>
            </w:r>
          </w:p>
        </w:tc>
        <w:tc>
          <w:tcPr>
            <w:tcW w:w="2332"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B28D6F0">
            <w:pPr>
              <w:keepNext w:val="0"/>
              <w:keepLines w:val="0"/>
              <w:suppressLineNumbers w:val="0"/>
              <w:spacing w:before="0" w:beforeAutospacing="0" w:after="0" w:afterAutospacing="0" w:line="500" w:lineRule="exact"/>
              <w:ind w:left="0" w:leftChars="0" w:right="60" w:rightChars="0"/>
              <w:jc w:val="center"/>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详见</w:t>
            </w:r>
            <w:r>
              <w:rPr>
                <w:rFonts w:hint="eastAsia" w:ascii="仿宋" w:hAnsi="仿宋" w:eastAsia="仿宋" w:cs="仿宋"/>
                <w:color w:val="auto"/>
                <w:kern w:val="0"/>
                <w:sz w:val="24"/>
                <w:highlight w:val="none"/>
                <w:lang w:val="en-US" w:eastAsia="zh-CN"/>
              </w:rPr>
              <w:t>第二章采购需求</w:t>
            </w:r>
          </w:p>
        </w:tc>
      </w:tr>
    </w:tbl>
    <w:p w14:paraId="51D05DF1">
      <w:pPr>
        <w:widowControl/>
        <w:spacing w:line="500" w:lineRule="exact"/>
        <w:ind w:right="60"/>
        <w:outlineLvl w:val="1"/>
        <w:rPr>
          <w:rFonts w:ascii="仿宋" w:hAnsi="仿宋" w:eastAsia="仿宋" w:cs="仿宋"/>
          <w:color w:val="auto"/>
          <w:kern w:val="0"/>
          <w:sz w:val="24"/>
          <w:highlight w:val="none"/>
        </w:rPr>
      </w:pPr>
      <w:r>
        <w:rPr>
          <w:rFonts w:hint="eastAsia" w:ascii="仿宋" w:hAnsi="仿宋" w:eastAsia="仿宋" w:cs="仿宋"/>
          <w:b/>
          <w:color w:val="auto"/>
          <w:kern w:val="0"/>
          <w:sz w:val="24"/>
          <w:highlight w:val="none"/>
        </w:rPr>
        <w:t>三、供应商资格要求</w:t>
      </w:r>
      <w:r>
        <w:rPr>
          <w:rFonts w:hint="eastAsia" w:ascii="仿宋" w:hAnsi="仿宋" w:eastAsia="仿宋" w:cs="仿宋"/>
          <w:color w:val="auto"/>
          <w:kern w:val="0"/>
          <w:sz w:val="24"/>
          <w:highlight w:val="none"/>
        </w:rPr>
        <w:t>：</w:t>
      </w:r>
    </w:p>
    <w:p w14:paraId="1FA54DCF">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符合《中华人民共和国政府采购法》第二十二条规定且未被“信用中国”（www.creditchina.gov.cn）、“中国政府采购网”（www.ccgp.gov.cn）等列入失信被执行人、重大税收违法案件当事人名单、政府采购严重违法失信行为记录名单。</w:t>
      </w:r>
    </w:p>
    <w:p w14:paraId="54F9BEAA">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lang w:val="en-US" w:eastAsia="zh-CN"/>
        </w:rPr>
        <w:t>2</w:t>
      </w:r>
      <w:r>
        <w:rPr>
          <w:rFonts w:hint="eastAsia" w:ascii="仿宋" w:hAnsi="仿宋" w:eastAsia="仿宋" w:cs="仿宋"/>
          <w:color w:val="auto"/>
          <w:sz w:val="24"/>
          <w:highlight w:val="none"/>
        </w:rPr>
        <w:t>、本项目不接受联合体磋商。</w:t>
      </w:r>
    </w:p>
    <w:p w14:paraId="7F1F1FEA">
      <w:pPr>
        <w:spacing w:line="500" w:lineRule="exact"/>
        <w:ind w:firstLine="482" w:firstLineChars="200"/>
        <w:outlineLvl w:val="1"/>
        <w:rPr>
          <w:rFonts w:ascii="仿宋" w:hAnsi="仿宋" w:eastAsia="仿宋" w:cs="仿宋"/>
          <w:color w:val="auto"/>
          <w:sz w:val="24"/>
          <w:highlight w:val="none"/>
        </w:rPr>
      </w:pPr>
      <w:r>
        <w:rPr>
          <w:rFonts w:hint="eastAsia" w:ascii="仿宋" w:hAnsi="仿宋" w:eastAsia="仿宋" w:cs="仿宋"/>
          <w:b/>
          <w:color w:val="auto"/>
          <w:kern w:val="0"/>
          <w:sz w:val="24"/>
          <w:highlight w:val="none"/>
        </w:rPr>
        <w:t>四、报名及获取磋商文件时间:</w:t>
      </w:r>
    </w:p>
    <w:p w14:paraId="14D347A7">
      <w:pPr>
        <w:snapToGrid w:val="0"/>
        <w:spacing w:line="500" w:lineRule="exact"/>
        <w:ind w:firstLine="480" w:firstLineChars="200"/>
        <w:jc w:val="left"/>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1、报名及获取磋商文件时间：2025年</w:t>
      </w:r>
      <w:r>
        <w:rPr>
          <w:rFonts w:hint="eastAsia" w:ascii="仿宋" w:hAnsi="仿宋" w:eastAsia="仿宋" w:cs="仿宋"/>
          <w:color w:val="auto"/>
          <w:kern w:val="0"/>
          <w:sz w:val="24"/>
          <w:highlight w:val="none"/>
          <w:lang w:val="en-US" w:eastAsia="zh-CN"/>
        </w:rPr>
        <w:t>7</w:t>
      </w:r>
      <w:r>
        <w:rPr>
          <w:rFonts w:hint="eastAsia" w:ascii="仿宋" w:hAnsi="仿宋" w:eastAsia="仿宋" w:cs="仿宋"/>
          <w:color w:val="auto"/>
          <w:kern w:val="0"/>
          <w:sz w:val="24"/>
          <w:highlight w:val="none"/>
        </w:rPr>
        <w:t>月</w:t>
      </w:r>
      <w:r>
        <w:rPr>
          <w:rFonts w:hint="eastAsia" w:ascii="仿宋" w:hAnsi="仿宋" w:eastAsia="仿宋" w:cs="仿宋"/>
          <w:color w:val="auto"/>
          <w:kern w:val="0"/>
          <w:sz w:val="24"/>
          <w:highlight w:val="none"/>
          <w:lang w:val="en-US" w:eastAsia="zh-CN"/>
        </w:rPr>
        <w:t>3</w:t>
      </w:r>
      <w:r>
        <w:rPr>
          <w:rFonts w:hint="eastAsia" w:ascii="仿宋" w:hAnsi="仿宋" w:eastAsia="仿宋" w:cs="仿宋"/>
          <w:color w:val="auto"/>
          <w:kern w:val="0"/>
          <w:sz w:val="24"/>
          <w:highlight w:val="none"/>
        </w:rPr>
        <w:t>日至磋商截止时间止(潜在供应商报名及获取磋商文件前应当在政采云电子交易平台上注册账号并登录，截止时间后不再接受潜在供应商报名及获取磋商文件)。</w:t>
      </w:r>
    </w:p>
    <w:p w14:paraId="76FBA3CA">
      <w:pPr>
        <w:snapToGrid w:val="0"/>
        <w:spacing w:line="500" w:lineRule="exact"/>
        <w:ind w:firstLine="480" w:firstLineChars="200"/>
        <w:jc w:val="left"/>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2、本次磋商文件实行网上获取，不接受供应商现场报名，供应商须登录浙江政府采购网（https://zfcg.czt.zj.gov.cn/）进入政采云系统“项目采购”模块“获取采购文件”菜单，进行网上获取磋商文件（“政采云”注册账号、密码登录系统后获取磋商文件）。</w:t>
      </w:r>
    </w:p>
    <w:p w14:paraId="6256AFE0">
      <w:pPr>
        <w:snapToGrid w:val="0"/>
        <w:spacing w:line="500" w:lineRule="exact"/>
        <w:ind w:firstLine="480" w:firstLineChars="200"/>
        <w:jc w:val="left"/>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3、免费注册网址：浙江政府采购网（供应商注册页面：https://middle.zcygov.cn/settle-front/#/registry“政采云”，咨询电话：95763。）已经注册成功的供应商无需重复注册。</w:t>
      </w:r>
    </w:p>
    <w:p w14:paraId="54F38AB8">
      <w:pPr>
        <w:snapToGrid w:val="0"/>
        <w:spacing w:line="500" w:lineRule="exact"/>
        <w:ind w:firstLine="472" w:firstLineChars="196"/>
        <w:outlineLvl w:val="1"/>
        <w:rPr>
          <w:rFonts w:ascii="仿宋" w:hAnsi="仿宋" w:eastAsia="仿宋" w:cs="仿宋"/>
          <w:b/>
          <w:bCs/>
          <w:color w:val="auto"/>
          <w:kern w:val="0"/>
          <w:sz w:val="24"/>
          <w:highlight w:val="none"/>
        </w:rPr>
      </w:pPr>
      <w:r>
        <w:rPr>
          <w:rFonts w:hint="eastAsia" w:ascii="仿宋" w:hAnsi="仿宋" w:eastAsia="仿宋" w:cs="仿宋"/>
          <w:b/>
          <w:bCs/>
          <w:color w:val="auto"/>
          <w:kern w:val="0"/>
          <w:sz w:val="24"/>
          <w:highlight w:val="none"/>
        </w:rPr>
        <w:t>五、响应文件的递交及相关事宜：</w:t>
      </w:r>
    </w:p>
    <w:p w14:paraId="75E217DE">
      <w:pPr>
        <w:snapToGrid w:val="0"/>
        <w:spacing w:line="500" w:lineRule="exact"/>
        <w:ind w:firstLine="480" w:firstLineChars="200"/>
        <w:jc w:val="left"/>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1、响应文件递交的截止时间（磋商截止时间，下同）：2025年</w:t>
      </w:r>
      <w:r>
        <w:rPr>
          <w:rFonts w:hint="eastAsia" w:ascii="仿宋" w:hAnsi="仿宋" w:eastAsia="仿宋" w:cs="仿宋"/>
          <w:color w:val="auto"/>
          <w:kern w:val="0"/>
          <w:sz w:val="24"/>
          <w:highlight w:val="none"/>
          <w:lang w:val="en-US" w:eastAsia="zh-CN"/>
        </w:rPr>
        <w:t>7</w:t>
      </w:r>
      <w:r>
        <w:rPr>
          <w:rFonts w:hint="eastAsia" w:ascii="仿宋" w:hAnsi="仿宋" w:eastAsia="仿宋" w:cs="仿宋"/>
          <w:color w:val="auto"/>
          <w:kern w:val="0"/>
          <w:sz w:val="24"/>
          <w:highlight w:val="none"/>
        </w:rPr>
        <w:t>月</w:t>
      </w:r>
      <w:r>
        <w:rPr>
          <w:rFonts w:hint="eastAsia" w:ascii="仿宋" w:hAnsi="仿宋" w:eastAsia="仿宋" w:cs="仿宋"/>
          <w:color w:val="auto"/>
          <w:kern w:val="0"/>
          <w:sz w:val="24"/>
          <w:highlight w:val="none"/>
          <w:lang w:val="en-US" w:eastAsia="zh-CN"/>
        </w:rPr>
        <w:t>14</w:t>
      </w:r>
      <w:r>
        <w:rPr>
          <w:rFonts w:hint="eastAsia" w:ascii="仿宋" w:hAnsi="仿宋" w:eastAsia="仿宋" w:cs="仿宋"/>
          <w:color w:val="auto"/>
          <w:kern w:val="0"/>
          <w:sz w:val="24"/>
          <w:highlight w:val="none"/>
        </w:rPr>
        <w:t>日</w:t>
      </w:r>
      <w:r>
        <w:rPr>
          <w:rFonts w:hint="eastAsia" w:ascii="仿宋" w:hAnsi="仿宋" w:eastAsia="仿宋" w:cs="仿宋"/>
          <w:color w:val="auto"/>
          <w:kern w:val="0"/>
          <w:sz w:val="24"/>
          <w:highlight w:val="none"/>
          <w:lang w:val="en-US" w:eastAsia="zh-CN"/>
        </w:rPr>
        <w:t>9</w:t>
      </w:r>
      <w:r>
        <w:rPr>
          <w:rFonts w:hint="eastAsia" w:ascii="仿宋" w:hAnsi="仿宋" w:eastAsia="仿宋" w:cs="仿宋"/>
          <w:color w:val="auto"/>
          <w:kern w:val="0"/>
          <w:sz w:val="24"/>
          <w:highlight w:val="none"/>
        </w:rPr>
        <w:t>：00（北京时间）。</w:t>
      </w:r>
    </w:p>
    <w:p w14:paraId="1B6A9660">
      <w:pPr>
        <w:snapToGrid w:val="0"/>
        <w:spacing w:line="500" w:lineRule="exact"/>
        <w:ind w:firstLine="480" w:firstLineChars="200"/>
        <w:jc w:val="left"/>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2、响应文件的递交方式：</w:t>
      </w:r>
    </w:p>
    <w:p w14:paraId="5D5FCBEE">
      <w:pPr>
        <w:snapToGrid w:val="0"/>
        <w:spacing w:line="500" w:lineRule="exact"/>
        <w:ind w:firstLine="480" w:firstLineChars="200"/>
        <w:jc w:val="left"/>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2.1电子响应文件：按政采云平台项目采购-电子交易操作指南及本磋商文件要求制作、加密并递交。供应商应于2025年</w:t>
      </w:r>
      <w:r>
        <w:rPr>
          <w:rFonts w:hint="eastAsia" w:ascii="仿宋" w:hAnsi="仿宋" w:eastAsia="仿宋" w:cs="仿宋"/>
          <w:color w:val="auto"/>
          <w:kern w:val="0"/>
          <w:sz w:val="24"/>
          <w:highlight w:val="none"/>
          <w:lang w:val="en-US" w:eastAsia="zh-CN"/>
        </w:rPr>
        <w:t>7</w:t>
      </w:r>
      <w:r>
        <w:rPr>
          <w:rFonts w:hint="eastAsia" w:ascii="仿宋" w:hAnsi="仿宋" w:eastAsia="仿宋" w:cs="仿宋"/>
          <w:color w:val="auto"/>
          <w:kern w:val="0"/>
          <w:sz w:val="24"/>
          <w:highlight w:val="none"/>
        </w:rPr>
        <w:t>月</w:t>
      </w:r>
      <w:r>
        <w:rPr>
          <w:rFonts w:hint="eastAsia" w:ascii="仿宋" w:hAnsi="仿宋" w:eastAsia="仿宋" w:cs="仿宋"/>
          <w:color w:val="auto"/>
          <w:kern w:val="0"/>
          <w:sz w:val="24"/>
          <w:highlight w:val="none"/>
          <w:lang w:val="en-US" w:eastAsia="zh-CN"/>
        </w:rPr>
        <w:t>14</w:t>
      </w:r>
      <w:r>
        <w:rPr>
          <w:rFonts w:hint="eastAsia" w:ascii="仿宋" w:hAnsi="仿宋" w:eastAsia="仿宋" w:cs="仿宋"/>
          <w:color w:val="auto"/>
          <w:kern w:val="0"/>
          <w:sz w:val="24"/>
          <w:highlight w:val="none"/>
        </w:rPr>
        <w:t>日</w:t>
      </w:r>
      <w:r>
        <w:rPr>
          <w:rFonts w:hint="eastAsia" w:ascii="仿宋" w:hAnsi="仿宋" w:eastAsia="仿宋" w:cs="仿宋"/>
          <w:color w:val="auto"/>
          <w:kern w:val="0"/>
          <w:sz w:val="24"/>
          <w:highlight w:val="none"/>
          <w:lang w:val="en-US" w:eastAsia="zh-CN"/>
        </w:rPr>
        <w:t>9</w:t>
      </w:r>
      <w:r>
        <w:rPr>
          <w:rFonts w:hint="eastAsia" w:ascii="仿宋" w:hAnsi="仿宋" w:eastAsia="仿宋" w:cs="仿宋"/>
          <w:color w:val="auto"/>
          <w:kern w:val="0"/>
          <w:sz w:val="24"/>
          <w:highlight w:val="none"/>
        </w:rPr>
        <w:t>：00（北京时间）前将制作、加密的电子版响应文件上传到政采云系统中（未准时上传的视为放弃磋商资格，作未提交响应文件处理）；</w:t>
      </w:r>
    </w:p>
    <w:p w14:paraId="483BF6EE">
      <w:pPr>
        <w:snapToGrid w:val="0"/>
        <w:spacing w:line="500" w:lineRule="exact"/>
        <w:ind w:firstLine="480" w:firstLineChars="200"/>
        <w:jc w:val="left"/>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2.2数据电子备份响应文件（U盘）：以U盘形式提供的数据电子备份响应文件格式及内容须与政采云平台项目采购-电子交易操作指南中制作、加密并递交的电子响应文件格式及内容一致。递交方式：数据电子备份响应文件（U盘）应通过邮寄快递方式送达，邮寄地址为：浙江新诚信工程咨询有限公司[</w:t>
      </w:r>
      <w:r>
        <w:rPr>
          <w:rFonts w:hint="eastAsia" w:ascii="仿宋" w:hAnsi="仿宋" w:eastAsia="仿宋" w:cs="仿宋"/>
          <w:color w:val="auto"/>
          <w:sz w:val="24"/>
          <w:highlight w:val="none"/>
        </w:rPr>
        <w:t>湖州市太湖路1155号14层1402室</w:t>
      </w:r>
      <w:r>
        <w:rPr>
          <w:rFonts w:hint="eastAsia" w:ascii="仿宋" w:hAnsi="仿宋" w:eastAsia="仿宋" w:cs="仿宋"/>
          <w:color w:val="auto"/>
          <w:kern w:val="0"/>
          <w:sz w:val="24"/>
          <w:highlight w:val="none"/>
        </w:rPr>
        <w:t>]，联系电话：18768247439。邮寄截止时间：供应商应于2025年</w:t>
      </w:r>
      <w:r>
        <w:rPr>
          <w:rFonts w:hint="eastAsia" w:ascii="仿宋" w:hAnsi="仿宋" w:eastAsia="仿宋" w:cs="仿宋"/>
          <w:color w:val="auto"/>
          <w:kern w:val="0"/>
          <w:sz w:val="24"/>
          <w:highlight w:val="none"/>
          <w:lang w:val="en-US" w:eastAsia="zh-CN"/>
        </w:rPr>
        <w:t>7</w:t>
      </w:r>
      <w:r>
        <w:rPr>
          <w:rFonts w:hint="eastAsia" w:ascii="仿宋" w:hAnsi="仿宋" w:eastAsia="仿宋" w:cs="仿宋"/>
          <w:color w:val="auto"/>
          <w:kern w:val="0"/>
          <w:sz w:val="24"/>
          <w:highlight w:val="none"/>
        </w:rPr>
        <w:t>月</w:t>
      </w:r>
      <w:r>
        <w:rPr>
          <w:rFonts w:hint="eastAsia" w:ascii="仿宋" w:hAnsi="仿宋" w:eastAsia="仿宋" w:cs="仿宋"/>
          <w:color w:val="auto"/>
          <w:kern w:val="0"/>
          <w:sz w:val="24"/>
          <w:highlight w:val="none"/>
          <w:lang w:val="en-US" w:eastAsia="zh-CN"/>
        </w:rPr>
        <w:t>11</w:t>
      </w:r>
      <w:r>
        <w:rPr>
          <w:rFonts w:hint="eastAsia" w:ascii="仿宋" w:hAnsi="仿宋" w:eastAsia="仿宋" w:cs="仿宋"/>
          <w:color w:val="auto"/>
          <w:kern w:val="0"/>
          <w:sz w:val="24"/>
          <w:highlight w:val="none"/>
        </w:rPr>
        <w:t>日17:00时前准时送达，逾期不予受理。供应商须留足响应文件邮寄时间,确保数据电子备份响应文件（U盘）于规定的时间前送达指定地点，未按时送达的，均按未提供处理。</w:t>
      </w:r>
    </w:p>
    <w:p w14:paraId="4AA64B64">
      <w:pPr>
        <w:snapToGrid w:val="0"/>
        <w:spacing w:line="500" w:lineRule="exact"/>
        <w:ind w:firstLine="482" w:firstLineChars="200"/>
        <w:jc w:val="left"/>
        <w:rPr>
          <w:rFonts w:ascii="仿宋" w:hAnsi="仿宋" w:eastAsia="仿宋" w:cs="仿宋"/>
          <w:b/>
          <w:color w:val="auto"/>
          <w:kern w:val="0"/>
          <w:sz w:val="24"/>
          <w:highlight w:val="none"/>
        </w:rPr>
      </w:pPr>
      <w:r>
        <w:rPr>
          <w:rFonts w:hint="eastAsia" w:ascii="仿宋" w:hAnsi="仿宋" w:eastAsia="仿宋" w:cs="仿宋"/>
          <w:b/>
          <w:color w:val="auto"/>
          <w:kern w:val="0"/>
          <w:sz w:val="24"/>
          <w:highlight w:val="none"/>
        </w:rPr>
        <w:t>注：</w:t>
      </w:r>
      <w:r>
        <w:rPr>
          <w:rFonts w:hint="eastAsia" w:ascii="仿宋" w:hAnsi="仿宋" w:eastAsia="仿宋" w:cs="仿宋"/>
          <w:b/>
          <w:color w:val="auto"/>
          <w:kern w:val="0"/>
          <w:sz w:val="24"/>
          <w:highlight w:val="none"/>
          <w:u w:val="single"/>
        </w:rPr>
        <w:t>1）供应商应权衡利弊考虑是否提供数据电子备份响应文件（U盘），采购人及采购代理机构不做强制性要求，若因下一条款（第3条）原因须启用数据电子备份响应文件（U盘）时，而供应商未提供的，视为放弃磋商资格，作无效标处理；2）供应商应对提供的数据电子备份响应文件（U盘）进行加密处理，若需要启用数据电子备份响应文件（U盘）时，再由供应商告知采购人及采购代理机构加密信息进行解密；3）若供应商未提供数据电子备份响应文件（U盘），磋商公告及磋商文件中关于数据电子备份响应文件（U盘）的要求及内容不再适用</w:t>
      </w:r>
      <w:r>
        <w:rPr>
          <w:rFonts w:hint="eastAsia" w:ascii="仿宋" w:hAnsi="仿宋" w:eastAsia="仿宋" w:cs="仿宋"/>
          <w:b/>
          <w:color w:val="auto"/>
          <w:kern w:val="0"/>
          <w:sz w:val="24"/>
          <w:highlight w:val="none"/>
        </w:rPr>
        <w:t>。</w:t>
      </w:r>
    </w:p>
    <w:p w14:paraId="12426CCB">
      <w:pPr>
        <w:snapToGrid w:val="0"/>
        <w:spacing w:line="500" w:lineRule="exact"/>
        <w:ind w:firstLine="480" w:firstLineChars="200"/>
        <w:jc w:val="left"/>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3、CA锁解密时间为开标当日磋商截止时间后30分钟内，各供应商须具备符合要求的CA加密后的电子响应文件、有效的CA锁进行解密，磋商截止时间止未完成上传的电子响应文件作未提交电子响应文件处理；未按磋商文件要求密封、包装的数据电子备份响应文件（U盘）将拒绝接收；整个磋商过程中若因供应商问题造成电子响应文件无法正常解密的，均认定为未提交电子响应文件；若因网络或者其他非供应商问题造成电子响应文件无法正常解密的，启用数据电子备份响应文件（U盘），因供应商自身原因造成数据电子备份响应文件（U盘）无法打开的，作无效标处理。若正常解密成功，则数据电子备份响应文件（U盘）不予开启。在下一顺位的响应文件启用时，前一顺位的响应文件自动失效。</w:t>
      </w:r>
    </w:p>
    <w:p w14:paraId="0483A813">
      <w:pPr>
        <w:snapToGrid w:val="0"/>
        <w:spacing w:line="500" w:lineRule="exact"/>
        <w:ind w:firstLine="480" w:firstLineChars="200"/>
        <w:jc w:val="left"/>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4、供应商须在线获取CA数字证书（完成CA数字证书办理预计一周左右，建议各供应商自行把握时间，申领流程请自行前往“浙江政府采购网-下载专区-电子交易客户端-CA驱动和申领流程”进行查阅)，并登陆“浙江政府采购网”（https://zfcg.czt.zj.gov.cn/），进入“下载专区”下载“电子交易客户端”，制作响应文件。</w:t>
      </w:r>
    </w:p>
    <w:p w14:paraId="0C747E27">
      <w:pPr>
        <w:snapToGrid w:val="0"/>
        <w:spacing w:line="500" w:lineRule="exact"/>
        <w:ind w:firstLine="480" w:firstLineChars="200"/>
        <w:jc w:val="left"/>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5、供应商须将制作、加密后的电子版响应文件于磋商截止时间前上传到政采云系统中，超过磋商截止时间上传的，均按无效标处理。</w:t>
      </w:r>
    </w:p>
    <w:p w14:paraId="2E367966">
      <w:pPr>
        <w:snapToGrid w:val="0"/>
        <w:spacing w:line="500" w:lineRule="exact"/>
        <w:ind w:firstLine="480" w:firstLineChars="200"/>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6、供应商通过政采云平台电子投标工具制作响应文件，电子投标工具请供应商自行前往浙江省政府采购网下载并安装，供应商电子交易操作指南详见网址：</w:t>
      </w:r>
      <w:r>
        <w:rPr>
          <w:color w:val="auto"/>
          <w:highlight w:val="none"/>
        </w:rPr>
        <w:fldChar w:fldCharType="begin"/>
      </w:r>
      <w:r>
        <w:rPr>
          <w:color w:val="auto"/>
          <w:highlight w:val="none"/>
        </w:rPr>
        <w:instrText xml:space="preserve"> HYPERLINK "https://help.zcygov.cn/web/site_2/2018/12-28/2573.html" </w:instrText>
      </w:r>
      <w:r>
        <w:rPr>
          <w:color w:val="auto"/>
          <w:highlight w:val="none"/>
        </w:rPr>
        <w:fldChar w:fldCharType="separate"/>
      </w:r>
      <w:r>
        <w:rPr>
          <w:rStyle w:val="32"/>
          <w:rFonts w:hint="eastAsia" w:ascii="仿宋" w:hAnsi="仿宋" w:eastAsia="仿宋" w:cs="仿宋"/>
          <w:color w:val="auto"/>
          <w:kern w:val="0"/>
          <w:sz w:val="24"/>
          <w:highlight w:val="none"/>
        </w:rPr>
        <w:t>https://zfcg.czt.zj.gov.cn/</w:t>
      </w:r>
      <w:r>
        <w:rPr>
          <w:rStyle w:val="32"/>
          <w:rFonts w:hint="eastAsia" w:ascii="仿宋" w:hAnsi="仿宋" w:eastAsia="仿宋" w:cs="仿宋"/>
          <w:color w:val="auto"/>
          <w:kern w:val="0"/>
          <w:sz w:val="24"/>
          <w:highlight w:val="none"/>
        </w:rPr>
        <w:fldChar w:fldCharType="end"/>
      </w:r>
      <w:r>
        <w:rPr>
          <w:rFonts w:hint="eastAsia" w:ascii="仿宋" w:hAnsi="仿宋" w:eastAsia="仿宋" w:cs="仿宋"/>
          <w:color w:val="auto"/>
          <w:kern w:val="0"/>
          <w:sz w:val="24"/>
          <w:highlight w:val="none"/>
        </w:rPr>
        <w:t>。</w:t>
      </w:r>
    </w:p>
    <w:p w14:paraId="773884E0">
      <w:pPr>
        <w:snapToGrid w:val="0"/>
        <w:spacing w:line="500" w:lineRule="exact"/>
        <w:ind w:firstLine="480" w:firstLineChars="200"/>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7、本项目采取“不见面”形式进行磋商活动,法定代表人或其授权代理人无须到</w:t>
      </w:r>
      <w:r>
        <w:rPr>
          <w:rFonts w:hint="eastAsia" w:ascii="仿宋" w:hAnsi="仿宋" w:eastAsia="仿宋" w:cs="仿宋"/>
          <w:color w:val="auto"/>
          <w:kern w:val="0"/>
          <w:sz w:val="24"/>
          <w:highlight w:val="none"/>
          <w:lang w:val="en-US" w:eastAsia="zh-CN"/>
        </w:rPr>
        <w:t>开标室现场</w:t>
      </w:r>
      <w:r>
        <w:rPr>
          <w:rFonts w:hint="eastAsia" w:ascii="仿宋" w:hAnsi="仿宋" w:eastAsia="仿宋" w:cs="仿宋"/>
          <w:color w:val="auto"/>
          <w:kern w:val="0"/>
          <w:sz w:val="24"/>
          <w:highlight w:val="none"/>
        </w:rPr>
        <w:t>，在线响应即可。</w:t>
      </w:r>
    </w:p>
    <w:p w14:paraId="0791EE2D">
      <w:pPr>
        <w:snapToGrid w:val="0"/>
        <w:spacing w:line="500" w:lineRule="exact"/>
        <w:ind w:firstLine="472" w:firstLineChars="196"/>
        <w:outlineLvl w:val="1"/>
        <w:rPr>
          <w:rFonts w:ascii="仿宋" w:hAnsi="仿宋" w:eastAsia="仿宋" w:cs="仿宋"/>
          <w:color w:val="auto"/>
          <w:kern w:val="0"/>
          <w:sz w:val="24"/>
          <w:highlight w:val="none"/>
        </w:rPr>
      </w:pPr>
      <w:r>
        <w:rPr>
          <w:rFonts w:hint="eastAsia" w:ascii="仿宋" w:hAnsi="仿宋" w:eastAsia="仿宋" w:cs="仿宋"/>
          <w:b/>
          <w:bCs/>
          <w:color w:val="auto"/>
          <w:kern w:val="0"/>
          <w:sz w:val="24"/>
          <w:highlight w:val="none"/>
        </w:rPr>
        <w:t>六、响应文件提交地点：</w:t>
      </w:r>
      <w:r>
        <w:rPr>
          <w:rFonts w:hint="eastAsia" w:ascii="仿宋" w:hAnsi="仿宋" w:eastAsia="仿宋" w:cs="仿宋"/>
          <w:color w:val="auto"/>
          <w:sz w:val="24"/>
          <w:highlight w:val="none"/>
        </w:rPr>
        <w:t>湖州市公共资源交易中心开标室（湖州市仁皇山片区金盖山路66号2号楼，届时</w:t>
      </w:r>
      <w:r>
        <w:rPr>
          <w:rFonts w:hint="eastAsia" w:ascii="仿宋" w:hAnsi="仿宋" w:eastAsia="仿宋" w:cs="仿宋"/>
          <w:color w:val="auto"/>
          <w:kern w:val="0"/>
          <w:sz w:val="24"/>
          <w:highlight w:val="none"/>
        </w:rPr>
        <w:t>详见二楼休息区电子显示屏</w:t>
      </w:r>
      <w:r>
        <w:rPr>
          <w:rFonts w:hint="eastAsia" w:ascii="仿宋" w:hAnsi="仿宋" w:eastAsia="仿宋" w:cs="仿宋"/>
          <w:color w:val="auto"/>
          <w:sz w:val="24"/>
          <w:highlight w:val="none"/>
        </w:rPr>
        <w:t>）。</w:t>
      </w:r>
    </w:p>
    <w:p w14:paraId="6602A2B7">
      <w:pPr>
        <w:snapToGrid w:val="0"/>
        <w:spacing w:line="500" w:lineRule="exact"/>
        <w:ind w:firstLine="472" w:firstLineChars="196"/>
        <w:outlineLvl w:val="1"/>
        <w:rPr>
          <w:rFonts w:ascii="仿宋" w:hAnsi="仿宋" w:eastAsia="仿宋" w:cs="仿宋"/>
          <w:color w:val="auto"/>
          <w:kern w:val="0"/>
          <w:sz w:val="24"/>
          <w:highlight w:val="none"/>
        </w:rPr>
      </w:pPr>
      <w:r>
        <w:rPr>
          <w:rFonts w:hint="eastAsia" w:ascii="仿宋" w:hAnsi="仿宋" w:eastAsia="仿宋" w:cs="仿宋"/>
          <w:b/>
          <w:color w:val="auto"/>
          <w:kern w:val="0"/>
          <w:sz w:val="24"/>
          <w:highlight w:val="none"/>
        </w:rPr>
        <w:t>七、磋商时间：</w:t>
      </w:r>
      <w:r>
        <w:rPr>
          <w:rFonts w:hint="eastAsia" w:ascii="仿宋" w:hAnsi="仿宋" w:eastAsia="仿宋" w:cs="仿宋"/>
          <w:color w:val="auto"/>
          <w:kern w:val="0"/>
          <w:sz w:val="24"/>
          <w:highlight w:val="none"/>
        </w:rPr>
        <w:t>2025年</w:t>
      </w:r>
      <w:r>
        <w:rPr>
          <w:rFonts w:hint="eastAsia" w:ascii="仿宋" w:hAnsi="仿宋" w:eastAsia="仿宋" w:cs="仿宋"/>
          <w:color w:val="auto"/>
          <w:kern w:val="0"/>
          <w:sz w:val="24"/>
          <w:highlight w:val="none"/>
          <w:lang w:val="en-US" w:eastAsia="zh-CN"/>
        </w:rPr>
        <w:t>7</w:t>
      </w:r>
      <w:r>
        <w:rPr>
          <w:rFonts w:hint="eastAsia" w:ascii="仿宋" w:hAnsi="仿宋" w:eastAsia="仿宋" w:cs="仿宋"/>
          <w:color w:val="auto"/>
          <w:kern w:val="0"/>
          <w:sz w:val="24"/>
          <w:highlight w:val="none"/>
        </w:rPr>
        <w:t>月</w:t>
      </w:r>
      <w:r>
        <w:rPr>
          <w:rFonts w:hint="eastAsia" w:ascii="仿宋" w:hAnsi="仿宋" w:eastAsia="仿宋" w:cs="仿宋"/>
          <w:color w:val="auto"/>
          <w:kern w:val="0"/>
          <w:sz w:val="24"/>
          <w:highlight w:val="none"/>
          <w:lang w:val="en-US" w:eastAsia="zh-CN"/>
        </w:rPr>
        <w:t>14</w:t>
      </w:r>
      <w:r>
        <w:rPr>
          <w:rFonts w:hint="eastAsia" w:ascii="仿宋" w:hAnsi="仿宋" w:eastAsia="仿宋" w:cs="仿宋"/>
          <w:color w:val="auto"/>
          <w:kern w:val="0"/>
          <w:sz w:val="24"/>
          <w:highlight w:val="none"/>
        </w:rPr>
        <w:t>日</w:t>
      </w:r>
      <w:r>
        <w:rPr>
          <w:rFonts w:hint="eastAsia" w:ascii="仿宋" w:hAnsi="仿宋" w:eastAsia="仿宋" w:cs="仿宋"/>
          <w:color w:val="auto"/>
          <w:kern w:val="0"/>
          <w:sz w:val="24"/>
          <w:highlight w:val="none"/>
          <w:lang w:val="en-US" w:eastAsia="zh-CN"/>
        </w:rPr>
        <w:t>9</w:t>
      </w:r>
      <w:r>
        <w:rPr>
          <w:rFonts w:hint="eastAsia" w:ascii="仿宋" w:hAnsi="仿宋" w:eastAsia="仿宋" w:cs="仿宋"/>
          <w:color w:val="auto"/>
          <w:kern w:val="0"/>
          <w:sz w:val="24"/>
          <w:highlight w:val="none"/>
        </w:rPr>
        <w:t>：00</w:t>
      </w:r>
    </w:p>
    <w:p w14:paraId="43DF3229">
      <w:pPr>
        <w:snapToGrid w:val="0"/>
        <w:spacing w:line="500" w:lineRule="exact"/>
        <w:ind w:firstLine="472" w:firstLineChars="196"/>
        <w:outlineLvl w:val="1"/>
        <w:rPr>
          <w:rFonts w:ascii="仿宋" w:hAnsi="仿宋" w:eastAsia="仿宋" w:cs="仿宋"/>
          <w:color w:val="auto"/>
          <w:kern w:val="0"/>
          <w:sz w:val="24"/>
          <w:highlight w:val="none"/>
        </w:rPr>
      </w:pPr>
      <w:r>
        <w:rPr>
          <w:rFonts w:hint="eastAsia" w:ascii="仿宋" w:hAnsi="仿宋" w:eastAsia="仿宋" w:cs="仿宋"/>
          <w:b/>
          <w:bCs/>
          <w:color w:val="auto"/>
          <w:kern w:val="0"/>
          <w:sz w:val="24"/>
          <w:highlight w:val="none"/>
        </w:rPr>
        <w:t>八、磋商地点：</w:t>
      </w:r>
      <w:r>
        <w:rPr>
          <w:rFonts w:hint="eastAsia" w:ascii="仿宋" w:hAnsi="仿宋" w:eastAsia="仿宋" w:cs="仿宋"/>
          <w:color w:val="auto"/>
          <w:sz w:val="24"/>
          <w:highlight w:val="none"/>
        </w:rPr>
        <w:t>湖州市公共资源交易中心开标室（湖州市仁皇山片区金盖山路66号2号楼，届时</w:t>
      </w:r>
      <w:r>
        <w:rPr>
          <w:rFonts w:hint="eastAsia" w:ascii="仿宋" w:hAnsi="仿宋" w:eastAsia="仿宋" w:cs="仿宋"/>
          <w:color w:val="auto"/>
          <w:kern w:val="0"/>
          <w:sz w:val="24"/>
          <w:highlight w:val="none"/>
        </w:rPr>
        <w:t>详见二楼休息区电子显示屏</w:t>
      </w:r>
      <w:r>
        <w:rPr>
          <w:rFonts w:hint="eastAsia" w:ascii="仿宋" w:hAnsi="仿宋" w:eastAsia="仿宋" w:cs="仿宋"/>
          <w:color w:val="auto"/>
          <w:sz w:val="24"/>
          <w:highlight w:val="none"/>
        </w:rPr>
        <w:t>）。未按时上传电子响应文件的视为放弃磋商资格，作未提交响应文件处理。</w:t>
      </w:r>
    </w:p>
    <w:p w14:paraId="4D6E39F6">
      <w:pPr>
        <w:snapToGrid w:val="0"/>
        <w:spacing w:line="500" w:lineRule="exact"/>
        <w:ind w:firstLine="482" w:firstLineChars="200"/>
        <w:outlineLvl w:val="1"/>
        <w:rPr>
          <w:rFonts w:ascii="仿宋" w:hAnsi="仿宋" w:eastAsia="仿宋" w:cs="仿宋"/>
          <w:b/>
          <w:color w:val="auto"/>
          <w:kern w:val="0"/>
          <w:sz w:val="24"/>
          <w:highlight w:val="none"/>
        </w:rPr>
      </w:pPr>
      <w:r>
        <w:rPr>
          <w:rFonts w:hint="eastAsia" w:ascii="仿宋" w:hAnsi="仿宋" w:eastAsia="仿宋" w:cs="仿宋"/>
          <w:b/>
          <w:color w:val="auto"/>
          <w:kern w:val="0"/>
          <w:sz w:val="24"/>
          <w:highlight w:val="none"/>
        </w:rPr>
        <w:t>九、其他事项：</w:t>
      </w:r>
    </w:p>
    <w:p w14:paraId="0BD8F302">
      <w:pPr>
        <w:snapToGrid w:val="0"/>
        <w:spacing w:line="5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本项目为电子磋商项目，实行网上磋商，应按照本磋商文件及政采云平台的要求编制、加密并要求供应商通过政采云系统在线响应，磋商截止时间前须完成电子响应文件的上传，同时供应商须使用制作在线磋商响应文件时所用的CA锁，供应商在使用系统进行磋商的过程中遇到涉及平台使用的任何问题，可致电政采云平台技术支持热线咨询，联系方式：95763。其中数据电子备份响应文件（U盘）在磋商截止时间前以密封、包装的形式提供。</w:t>
      </w:r>
    </w:p>
    <w:p w14:paraId="6FD77F58">
      <w:pPr>
        <w:snapToGrid w:val="0"/>
        <w:spacing w:line="5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2、潜在供应商已依法获取其可质疑的磋商文件的，可以对该文件提出质疑。未按照规定方式依法获取磋商文件的，不得对磋商文件提起质疑投诉。</w:t>
      </w:r>
    </w:p>
    <w:p w14:paraId="528AC893">
      <w:pPr>
        <w:spacing w:line="500" w:lineRule="exac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3、</w:t>
      </w:r>
      <w:r>
        <w:rPr>
          <w:rFonts w:hint="eastAsia" w:ascii="仿宋" w:hAnsi="仿宋" w:eastAsia="仿宋" w:cs="仿宋"/>
          <w:color w:val="auto"/>
          <w:sz w:val="24"/>
          <w:highlight w:val="none"/>
          <w:lang w:eastAsia="zh-CN"/>
        </w:rPr>
        <w:t>供应商</w:t>
      </w:r>
      <w:r>
        <w:rPr>
          <w:rFonts w:hint="eastAsia" w:ascii="仿宋" w:hAnsi="仿宋" w:eastAsia="仿宋" w:cs="仿宋"/>
          <w:color w:val="auto"/>
          <w:sz w:val="24"/>
          <w:highlight w:val="none"/>
        </w:rPr>
        <w:t>如认为采购文件使自己的权益受到损害的，可以自获取采购文件之日或者采购文件公告期限届满之日（公告期限届满后获取采购文件的，以公告期限届满之日为准）起7个工作日内，以书面形式向采购人、采购代理机构提出质疑，根据《中华人民共和国财政部令第 94 号-政府采购质疑和投诉办法》第十条第二款规定，</w:t>
      </w:r>
      <w:r>
        <w:rPr>
          <w:rFonts w:hint="eastAsia" w:ascii="仿宋" w:hAnsi="仿宋" w:eastAsia="仿宋" w:cs="仿宋"/>
          <w:color w:val="auto"/>
          <w:sz w:val="24"/>
          <w:highlight w:val="none"/>
          <w:lang w:eastAsia="zh-CN"/>
        </w:rPr>
        <w:t>供应商</w:t>
      </w:r>
      <w:r>
        <w:rPr>
          <w:rFonts w:hint="eastAsia" w:ascii="仿宋" w:hAnsi="仿宋" w:eastAsia="仿宋" w:cs="仿宋"/>
          <w:color w:val="auto"/>
          <w:sz w:val="24"/>
          <w:highlight w:val="none"/>
        </w:rPr>
        <w:t>在法定质疑期内须一次性提出针对同一采购程序环节的质疑，否则采购代理机构有权拒绝第一次质疑以外其他所有质疑。质疑</w:t>
      </w:r>
      <w:r>
        <w:rPr>
          <w:rFonts w:hint="eastAsia" w:ascii="仿宋" w:hAnsi="仿宋" w:eastAsia="仿宋" w:cs="仿宋"/>
          <w:color w:val="auto"/>
          <w:sz w:val="24"/>
          <w:highlight w:val="none"/>
          <w:lang w:eastAsia="zh-CN"/>
        </w:rPr>
        <w:t>供应商</w:t>
      </w:r>
      <w:r>
        <w:rPr>
          <w:rFonts w:hint="eastAsia" w:ascii="仿宋" w:hAnsi="仿宋" w:eastAsia="仿宋" w:cs="仿宋"/>
          <w:color w:val="auto"/>
          <w:sz w:val="24"/>
          <w:highlight w:val="none"/>
        </w:rPr>
        <w:t xml:space="preserve">对采购人、采购代理机构的答复不满意或者采购人、采购代理机构未在规定的时间内作出答复的，可以在答复期满后十五个工作日内向同级政府采购监督管理部门投诉。质疑函范本、投诉书范本请到浙江政府采购网下载专区下载。 </w:t>
      </w:r>
    </w:p>
    <w:p w14:paraId="56353F58">
      <w:pPr>
        <w:snapToGrid w:val="0"/>
        <w:spacing w:line="5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4、答疑内容是磋商文件的组成部分，并将在网上发布补充（答疑、澄清）文件，潜在供应商应自行关注网站公告，采购人不再一一通知，供应商因自身贻误行为导致磋商失效的，责任自负。</w:t>
      </w:r>
    </w:p>
    <w:p w14:paraId="48CEFA3A">
      <w:pPr>
        <w:snapToGrid w:val="0"/>
        <w:spacing w:line="48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5、参与政府采购项目的注册供应商，需登录浙江政府采购云平台（http://www.zcygov.cn）进行网上报名，尚未注册的供应商应当先在浙江政府采购云平台上申请注册，注册终审通过后再进行网上报名。</w:t>
      </w:r>
    </w:p>
    <w:p w14:paraId="0326EC60">
      <w:pPr>
        <w:snapToGrid w:val="0"/>
        <w:spacing w:line="48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6、为有效破解当前中小微企业面临的“融资难、融资贵”困局，充分发挥好政府采购扶持小微企业发展的政策功能，本项目成交供应商可凭成交通知书等材料至“绿贷通平台”网页（www.lvdt.huzldt.com）或“政采贷”平台网页（www.zcygov.cn）申请相关融资产品。具体操作方式可在“绿贷通”或“政采贷”平台网站查询，也可向“绿贷通”或“政采贷”平台电话咨询（“绿贷通”联系电话：0572-2392590、“政采贷”联系电话：0572-2151055、18698580797）。</w:t>
      </w:r>
    </w:p>
    <w:p w14:paraId="77F37338">
      <w:pPr>
        <w:snapToGrid w:val="0"/>
        <w:spacing w:line="48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7、本项目是否专门面向中小企业采购：</w:t>
      </w:r>
      <w:r>
        <w:rPr>
          <w:rFonts w:hint="eastAsia" w:ascii="仿宋" w:hAnsi="仿宋" w:eastAsia="仿宋" w:cs="仿宋"/>
          <w:color w:val="auto"/>
          <w:sz w:val="24"/>
          <w:highlight w:val="none"/>
          <w:lang w:val="en-US" w:eastAsia="zh-CN"/>
        </w:rPr>
        <w:t>否</w:t>
      </w:r>
      <w:r>
        <w:rPr>
          <w:rFonts w:hint="eastAsia" w:ascii="仿宋" w:hAnsi="仿宋" w:eastAsia="仿宋" w:cs="仿宋"/>
          <w:color w:val="auto"/>
          <w:sz w:val="24"/>
          <w:highlight w:val="none"/>
        </w:rPr>
        <w:t>。</w:t>
      </w:r>
    </w:p>
    <w:p w14:paraId="330E2ECE">
      <w:pPr>
        <w:snapToGrid w:val="0"/>
        <w:spacing w:line="48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8、本次磋商有关信息刊登在：</w:t>
      </w:r>
    </w:p>
    <w:p w14:paraId="791D8020">
      <w:pPr>
        <w:snapToGrid w:val="0"/>
        <w:spacing w:line="48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8.1浙江政府采购网：https://zfcg.czt.zj.gov.cn/</w:t>
      </w:r>
    </w:p>
    <w:p w14:paraId="10E79C2A">
      <w:pPr>
        <w:snapToGrid w:val="0"/>
        <w:spacing w:line="480" w:lineRule="exact"/>
        <w:ind w:firstLine="480" w:firstLineChars="200"/>
        <w:jc w:val="left"/>
        <w:rPr>
          <w:rFonts w:ascii="仿宋" w:hAnsi="仿宋" w:eastAsia="仿宋" w:cs="仿宋"/>
          <w:b/>
          <w:color w:val="auto"/>
          <w:sz w:val="24"/>
          <w:highlight w:val="none"/>
        </w:rPr>
      </w:pPr>
      <w:r>
        <w:rPr>
          <w:rFonts w:hint="eastAsia" w:ascii="仿宋" w:hAnsi="仿宋" w:eastAsia="仿宋" w:cs="仿宋"/>
          <w:color w:val="auto"/>
          <w:sz w:val="24"/>
          <w:highlight w:val="none"/>
        </w:rPr>
        <w:t>8.2湖州市公共资源交易信息网：http://ggzyjy.huzhou.gov.cn/</w:t>
      </w:r>
    </w:p>
    <w:p w14:paraId="56F929DD">
      <w:pPr>
        <w:snapToGrid w:val="0"/>
        <w:spacing w:line="480" w:lineRule="exact"/>
        <w:ind w:firstLine="482" w:firstLineChars="200"/>
        <w:outlineLvl w:val="1"/>
        <w:rPr>
          <w:rFonts w:ascii="仿宋" w:hAnsi="仿宋" w:eastAsia="仿宋" w:cs="仿宋"/>
          <w:b/>
          <w:color w:val="auto"/>
          <w:sz w:val="24"/>
          <w:highlight w:val="none"/>
        </w:rPr>
      </w:pPr>
      <w:r>
        <w:rPr>
          <w:rFonts w:hint="eastAsia" w:ascii="仿宋" w:hAnsi="仿宋" w:eastAsia="仿宋" w:cs="仿宋"/>
          <w:b/>
          <w:color w:val="auto"/>
          <w:sz w:val="24"/>
          <w:highlight w:val="none"/>
        </w:rPr>
        <w:t>十、业务咨询：</w:t>
      </w:r>
    </w:p>
    <w:p w14:paraId="70107E74">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1、采购代理机构名称：浙江新诚信工程咨询有限公司</w:t>
      </w:r>
    </w:p>
    <w:p w14:paraId="7A97E46E">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 xml:space="preserve">联系人：郭婷            联系电话：18768247439 </w:t>
      </w:r>
    </w:p>
    <w:p w14:paraId="25724037">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质疑函接收人：赵丽娅      联系电话：0572-2051833</w:t>
      </w:r>
    </w:p>
    <w:p w14:paraId="185CF763">
      <w:pPr>
        <w:snapToGrid w:val="0"/>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地址：湖州市太湖路1155号中新商务大厦14层1402室</w:t>
      </w:r>
    </w:p>
    <w:p w14:paraId="68D18C4E">
      <w:pPr>
        <w:numPr>
          <w:ilvl w:val="0"/>
          <w:numId w:val="4"/>
        </w:numPr>
        <w:snapToGrid w:val="0"/>
        <w:spacing w:line="560" w:lineRule="exact"/>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rPr>
        <w:t>采购人名称：</w:t>
      </w:r>
      <w:r>
        <w:rPr>
          <w:rFonts w:hint="eastAsia" w:ascii="仿宋" w:hAnsi="仿宋" w:eastAsia="仿宋" w:cs="仿宋"/>
          <w:color w:val="auto"/>
          <w:sz w:val="24"/>
          <w:highlight w:val="none"/>
          <w:lang w:eastAsia="zh-CN"/>
        </w:rPr>
        <w:t>湖州市体育局</w:t>
      </w:r>
    </w:p>
    <w:p w14:paraId="30FAC7E9">
      <w:pPr>
        <w:numPr>
          <w:ilvl w:val="-1"/>
          <w:numId w:val="0"/>
        </w:numPr>
        <w:snapToGrid w:val="0"/>
        <w:spacing w:line="560" w:lineRule="exact"/>
        <w:ind w:firstLine="480" w:firstLineChars="200"/>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rPr>
        <w:t>联系人：</w:t>
      </w:r>
      <w:r>
        <w:rPr>
          <w:rFonts w:hint="eastAsia" w:ascii="仿宋" w:hAnsi="仿宋" w:eastAsia="仿宋" w:cs="仿宋"/>
          <w:color w:val="auto"/>
          <w:sz w:val="24"/>
          <w:highlight w:val="none"/>
          <w:lang w:val="en-US" w:eastAsia="zh-CN"/>
        </w:rPr>
        <w:t>毕长春</w:t>
      </w:r>
      <w:r>
        <w:rPr>
          <w:rFonts w:hint="eastAsia" w:ascii="仿宋" w:hAnsi="仿宋" w:eastAsia="仿宋" w:cs="仿宋"/>
          <w:color w:val="auto"/>
          <w:sz w:val="24"/>
          <w:highlight w:val="none"/>
        </w:rPr>
        <w:t xml:space="preserve">          </w:t>
      </w:r>
      <w:r>
        <w:rPr>
          <w:rFonts w:hint="eastAsia" w:ascii="仿宋" w:hAnsi="仿宋" w:eastAsia="仿宋" w:cs="仿宋"/>
          <w:color w:val="auto"/>
          <w:sz w:val="24"/>
          <w:highlight w:val="none"/>
          <w:lang w:val="en-US" w:eastAsia="zh-CN"/>
        </w:rPr>
        <w:t xml:space="preserve">   </w:t>
      </w:r>
      <w:r>
        <w:rPr>
          <w:rFonts w:hint="eastAsia" w:ascii="仿宋" w:hAnsi="仿宋" w:eastAsia="仿宋" w:cs="仿宋"/>
          <w:color w:val="auto"/>
          <w:sz w:val="24"/>
          <w:highlight w:val="none"/>
        </w:rPr>
        <w:t xml:space="preserve"> 联系电话：0572-</w:t>
      </w:r>
      <w:r>
        <w:rPr>
          <w:rFonts w:hint="eastAsia" w:ascii="仿宋" w:hAnsi="仿宋" w:eastAsia="仿宋" w:cs="仿宋"/>
          <w:color w:val="auto"/>
          <w:sz w:val="24"/>
          <w:highlight w:val="none"/>
          <w:lang w:val="en-US" w:eastAsia="zh-CN"/>
        </w:rPr>
        <w:t>2217897</w:t>
      </w:r>
    </w:p>
    <w:p w14:paraId="68C09FC0">
      <w:pPr>
        <w:snapToGrid w:val="0"/>
        <w:spacing w:line="560" w:lineRule="exact"/>
        <w:ind w:firstLine="480" w:firstLineChars="200"/>
        <w:rPr>
          <w:rFonts w:hint="default" w:eastAsia="仿宋"/>
          <w:color w:val="auto"/>
          <w:highlight w:val="none"/>
          <w:lang w:val="en-US" w:eastAsia="zh-CN"/>
        </w:rPr>
      </w:pPr>
      <w:r>
        <w:rPr>
          <w:rFonts w:hint="eastAsia" w:ascii="仿宋" w:hAnsi="仿宋" w:eastAsia="仿宋" w:cs="仿宋"/>
          <w:color w:val="auto"/>
          <w:sz w:val="24"/>
          <w:highlight w:val="none"/>
        </w:rPr>
        <w:t>地址：湖州市</w:t>
      </w:r>
      <w:r>
        <w:rPr>
          <w:rFonts w:hint="eastAsia" w:ascii="仿宋" w:hAnsi="仿宋" w:eastAsia="仿宋" w:cs="仿宋"/>
          <w:color w:val="auto"/>
          <w:sz w:val="24"/>
          <w:highlight w:val="none"/>
          <w:lang w:val="en-US" w:eastAsia="zh-CN"/>
        </w:rPr>
        <w:t>苕溪西路138号</w:t>
      </w:r>
    </w:p>
    <w:p w14:paraId="7C5FBC33">
      <w:pPr>
        <w:snapToGrid w:val="0"/>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3、政府采购行政监管及投诉受理部门：湖州市财政局政府采购监管处</w:t>
      </w:r>
    </w:p>
    <w:p w14:paraId="429C18C9">
      <w:pPr>
        <w:snapToGrid w:val="0"/>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联系人：程先生         联系电话：0572-2150216</w:t>
      </w:r>
    </w:p>
    <w:p w14:paraId="6442FF55">
      <w:pPr>
        <w:snapToGrid w:val="0"/>
        <w:spacing w:line="560" w:lineRule="exact"/>
        <w:ind w:firstLine="480" w:firstLineChars="200"/>
        <w:rPr>
          <w:rFonts w:ascii="仿宋" w:hAnsi="仿宋" w:eastAsia="仿宋" w:cs="仿宋"/>
          <w:bCs/>
          <w:color w:val="auto"/>
          <w:sz w:val="24"/>
          <w:highlight w:val="none"/>
        </w:rPr>
      </w:pPr>
      <w:r>
        <w:rPr>
          <w:rFonts w:hint="eastAsia" w:ascii="仿宋" w:hAnsi="仿宋" w:eastAsia="仿宋" w:cs="仿宋"/>
          <w:color w:val="auto"/>
          <w:sz w:val="24"/>
          <w:highlight w:val="none"/>
        </w:rPr>
        <w:t>地址：湖州市龙王山路518号</w:t>
      </w:r>
    </w:p>
    <w:p w14:paraId="1802AE46">
      <w:pPr>
        <w:snapToGrid w:val="0"/>
        <w:spacing w:line="560" w:lineRule="exact"/>
        <w:ind w:left="238" w:right="480"/>
        <w:jc w:val="right"/>
        <w:rPr>
          <w:rFonts w:ascii="仿宋" w:hAnsi="仿宋" w:eastAsia="仿宋" w:cs="仿宋"/>
          <w:bCs/>
          <w:color w:val="auto"/>
          <w:sz w:val="24"/>
          <w:highlight w:val="none"/>
        </w:rPr>
      </w:pPr>
    </w:p>
    <w:p w14:paraId="2EB7B7A7">
      <w:pPr>
        <w:pStyle w:val="3"/>
        <w:rPr>
          <w:rFonts w:ascii="仿宋" w:hAnsi="仿宋" w:eastAsia="仿宋" w:cs="仿宋"/>
          <w:bCs/>
          <w:color w:val="auto"/>
          <w:sz w:val="24"/>
          <w:highlight w:val="none"/>
        </w:rPr>
      </w:pPr>
    </w:p>
    <w:p w14:paraId="2779263D">
      <w:pPr>
        <w:rPr>
          <w:rFonts w:ascii="仿宋" w:hAnsi="仿宋" w:eastAsia="仿宋" w:cs="仿宋"/>
          <w:bCs/>
          <w:color w:val="auto"/>
          <w:sz w:val="24"/>
          <w:highlight w:val="none"/>
        </w:rPr>
      </w:pPr>
    </w:p>
    <w:p w14:paraId="614568F6">
      <w:pPr>
        <w:pStyle w:val="3"/>
        <w:rPr>
          <w:rFonts w:ascii="仿宋" w:hAnsi="仿宋" w:eastAsia="仿宋" w:cs="仿宋"/>
          <w:bCs/>
          <w:color w:val="auto"/>
          <w:sz w:val="24"/>
          <w:highlight w:val="none"/>
        </w:rPr>
      </w:pPr>
    </w:p>
    <w:p w14:paraId="3DF284C4">
      <w:pPr>
        <w:rPr>
          <w:rFonts w:ascii="仿宋" w:hAnsi="仿宋" w:eastAsia="仿宋" w:cs="仿宋"/>
          <w:bCs/>
          <w:color w:val="auto"/>
          <w:sz w:val="24"/>
          <w:highlight w:val="none"/>
        </w:rPr>
      </w:pPr>
    </w:p>
    <w:p w14:paraId="13287A04">
      <w:pPr>
        <w:pStyle w:val="3"/>
        <w:rPr>
          <w:rFonts w:ascii="仿宋" w:hAnsi="仿宋" w:eastAsia="仿宋" w:cs="仿宋"/>
          <w:bCs/>
          <w:color w:val="auto"/>
          <w:sz w:val="24"/>
          <w:highlight w:val="none"/>
        </w:rPr>
      </w:pPr>
    </w:p>
    <w:p w14:paraId="0D412AF7">
      <w:pPr>
        <w:rPr>
          <w:rFonts w:ascii="仿宋" w:hAnsi="仿宋" w:eastAsia="仿宋" w:cs="仿宋"/>
          <w:bCs/>
          <w:color w:val="auto"/>
          <w:sz w:val="24"/>
          <w:highlight w:val="none"/>
        </w:rPr>
      </w:pPr>
    </w:p>
    <w:p w14:paraId="76CB11E5">
      <w:pPr>
        <w:pStyle w:val="3"/>
        <w:rPr>
          <w:color w:val="auto"/>
          <w:highlight w:val="none"/>
        </w:rPr>
      </w:pPr>
    </w:p>
    <w:p w14:paraId="37856B84">
      <w:pPr>
        <w:rPr>
          <w:color w:val="auto"/>
          <w:highlight w:val="none"/>
        </w:rPr>
      </w:pPr>
    </w:p>
    <w:p w14:paraId="1EFD6ECC">
      <w:pPr>
        <w:pStyle w:val="3"/>
        <w:rPr>
          <w:color w:val="auto"/>
          <w:highlight w:val="none"/>
        </w:rPr>
      </w:pPr>
    </w:p>
    <w:p w14:paraId="1EEF2F60">
      <w:pPr>
        <w:rPr>
          <w:color w:val="auto"/>
          <w:highlight w:val="none"/>
        </w:rPr>
      </w:pPr>
    </w:p>
    <w:p w14:paraId="531DCD3B">
      <w:pPr>
        <w:pStyle w:val="3"/>
        <w:rPr>
          <w:color w:val="auto"/>
          <w:highlight w:val="none"/>
        </w:rPr>
      </w:pPr>
    </w:p>
    <w:p w14:paraId="36E90A5C">
      <w:pPr>
        <w:rPr>
          <w:color w:val="auto"/>
          <w:highlight w:val="none"/>
        </w:rPr>
      </w:pPr>
    </w:p>
    <w:p w14:paraId="64F87F57">
      <w:pPr>
        <w:pStyle w:val="3"/>
        <w:rPr>
          <w:color w:val="auto"/>
          <w:highlight w:val="none"/>
        </w:rPr>
      </w:pPr>
    </w:p>
    <w:p w14:paraId="6C3FBB90">
      <w:pPr>
        <w:rPr>
          <w:color w:val="auto"/>
          <w:highlight w:val="none"/>
        </w:rPr>
      </w:pPr>
    </w:p>
    <w:p w14:paraId="0E2B34D7">
      <w:pPr>
        <w:rPr>
          <w:color w:val="auto"/>
          <w:highlight w:val="none"/>
        </w:rPr>
      </w:pPr>
    </w:p>
    <w:p w14:paraId="240746A1">
      <w:pPr>
        <w:snapToGrid w:val="0"/>
        <w:spacing w:line="560" w:lineRule="exact"/>
        <w:ind w:left="238" w:right="480"/>
        <w:jc w:val="right"/>
        <w:rPr>
          <w:rFonts w:ascii="仿宋" w:hAnsi="仿宋" w:eastAsia="仿宋" w:cs="仿宋"/>
          <w:bCs/>
          <w:color w:val="auto"/>
          <w:sz w:val="24"/>
          <w:highlight w:val="none"/>
        </w:rPr>
      </w:pPr>
    </w:p>
    <w:p w14:paraId="510DDF02">
      <w:pPr>
        <w:pStyle w:val="3"/>
        <w:numPr>
          <w:ilvl w:val="0"/>
          <w:numId w:val="3"/>
        </w:numPr>
        <w:spacing w:line="460" w:lineRule="exact"/>
        <w:jc w:val="center"/>
        <w:rPr>
          <w:rFonts w:ascii="仿宋" w:hAnsi="仿宋" w:eastAsia="仿宋" w:cs="仿宋"/>
          <w:color w:val="auto"/>
          <w:sz w:val="36"/>
          <w:szCs w:val="36"/>
          <w:highlight w:val="none"/>
        </w:rPr>
      </w:pPr>
      <w:bookmarkStart w:id="1" w:name="_Toc452995894"/>
      <w:r>
        <w:rPr>
          <w:rFonts w:hint="eastAsia" w:ascii="仿宋" w:hAnsi="仿宋" w:eastAsia="仿宋" w:cs="仿宋"/>
          <w:color w:val="auto"/>
          <w:sz w:val="36"/>
          <w:szCs w:val="36"/>
          <w:highlight w:val="none"/>
        </w:rPr>
        <w:t xml:space="preserve"> 项目采购需求</w:t>
      </w:r>
    </w:p>
    <w:bookmarkEnd w:id="1"/>
    <w:p w14:paraId="0164D92B">
      <w:pPr>
        <w:spacing w:line="340" w:lineRule="exact"/>
        <w:rPr>
          <w:rFonts w:ascii="仿宋" w:hAnsi="仿宋" w:eastAsia="仿宋" w:cs="仿宋"/>
          <w:b/>
          <w:color w:val="auto"/>
          <w:sz w:val="28"/>
          <w:szCs w:val="28"/>
          <w:highlight w:val="none"/>
        </w:rPr>
      </w:pPr>
      <w:bookmarkStart w:id="2" w:name="_Toc424544810"/>
      <w:bookmarkStart w:id="3" w:name="_Toc489518973"/>
      <w:bookmarkStart w:id="4" w:name="_Toc424544531"/>
      <w:bookmarkStart w:id="5" w:name="_Toc452995895"/>
    </w:p>
    <w:bookmarkEnd w:id="2"/>
    <w:bookmarkEnd w:id="3"/>
    <w:bookmarkEnd w:id="4"/>
    <w:p w14:paraId="1475A7B2">
      <w:pPr>
        <w:spacing w:line="560" w:lineRule="exact"/>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本技术要求适用于《湖州市体育局举办湖州市气排球超级联赛项目》的采购，是采购人为该项目的供应商提出的技术规范要求，为供应商完成响应文件的依据。本章所提出的内容为本项目的最低要求，供应商必须认真阅读以下内容，以免造成磋商损失。</w:t>
      </w:r>
    </w:p>
    <w:p w14:paraId="1D7AE5C7">
      <w:pPr>
        <w:pageBreakBefore w:val="0"/>
        <w:numPr>
          <w:ilvl w:val="0"/>
          <w:numId w:val="5"/>
        </w:numPr>
        <w:kinsoku/>
        <w:wordWrap/>
        <w:overflowPunct/>
        <w:topLinePunct w:val="0"/>
        <w:bidi w:val="0"/>
        <w:spacing w:line="560" w:lineRule="exact"/>
        <w:ind w:left="-481" w:leftChars="-229" w:firstLine="482" w:firstLineChars="200"/>
        <w:rPr>
          <w:rFonts w:hint="eastAsia" w:ascii="仿宋" w:hAnsi="仿宋" w:eastAsia="仿宋" w:cs="仿宋"/>
          <w:b/>
          <w:color w:val="auto"/>
          <w:sz w:val="24"/>
          <w:highlight w:val="none"/>
        </w:rPr>
      </w:pPr>
      <w:r>
        <w:rPr>
          <w:rFonts w:hint="eastAsia" w:ascii="仿宋" w:hAnsi="仿宋" w:eastAsia="仿宋" w:cs="仿宋"/>
          <w:b/>
          <w:color w:val="auto"/>
          <w:sz w:val="24"/>
          <w:highlight w:val="none"/>
        </w:rPr>
        <w:t>项目概况</w:t>
      </w:r>
    </w:p>
    <w:p w14:paraId="1079588A">
      <w:pPr>
        <w:pageBreakBefore w:val="0"/>
        <w:numPr>
          <w:ilvl w:val="-1"/>
          <w:numId w:val="0"/>
        </w:numPr>
        <w:kinsoku/>
        <w:wordWrap/>
        <w:overflowPunct/>
        <w:topLinePunct w:val="0"/>
        <w:bidi w:val="0"/>
        <w:spacing w:line="560" w:lineRule="exact"/>
        <w:ind w:left="-61" w:leftChars="-29" w:firstLine="480" w:firstLineChars="200"/>
        <w:rPr>
          <w:rFonts w:hint="eastAsia" w:ascii="仿宋" w:hAnsi="仿宋" w:eastAsia="仿宋" w:cs="仿宋"/>
          <w:b/>
          <w:color w:val="auto"/>
          <w:sz w:val="24"/>
          <w:szCs w:val="24"/>
          <w:highlight w:val="none"/>
          <w:lang w:eastAsia="zh-CN"/>
        </w:rPr>
      </w:pPr>
      <w:r>
        <w:rPr>
          <w:rFonts w:hint="eastAsia" w:ascii="仿宋" w:hAnsi="仿宋" w:eastAsia="仿宋" w:cs="仿宋"/>
          <w:color w:val="auto"/>
          <w:sz w:val="24"/>
          <w:highlight w:val="none"/>
        </w:rPr>
        <w:t>负责组织、承办湖州市气排球超级联赛；负责比赛期间所有的事务，包括方案策划、场地使用、道具设计、现场搭建、运动员管理、场地管理、活动执行等</w:t>
      </w:r>
      <w:r>
        <w:rPr>
          <w:rFonts w:hint="eastAsia" w:ascii="仿宋" w:hAnsi="仿宋" w:eastAsia="仿宋" w:cs="仿宋"/>
          <w:color w:val="auto"/>
          <w:sz w:val="24"/>
          <w:highlight w:val="none"/>
          <w:lang w:eastAsia="zh-CN"/>
        </w:rPr>
        <w:t>。</w:t>
      </w:r>
    </w:p>
    <w:p w14:paraId="30F303BD">
      <w:pPr>
        <w:pageBreakBefore w:val="0"/>
        <w:numPr>
          <w:ilvl w:val="0"/>
          <w:numId w:val="5"/>
        </w:numPr>
        <w:kinsoku/>
        <w:wordWrap/>
        <w:overflowPunct/>
        <w:topLinePunct w:val="0"/>
        <w:bidi w:val="0"/>
        <w:spacing w:line="560" w:lineRule="exact"/>
        <w:ind w:left="-481" w:leftChars="-229" w:firstLine="482" w:firstLineChars="200"/>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lang w:eastAsia="zh-CN"/>
        </w:rPr>
        <w:t>采购需求</w:t>
      </w:r>
    </w:p>
    <w:p w14:paraId="4E92AC36">
      <w:pPr>
        <w:pageBreakBefore w:val="0"/>
        <w:kinsoku/>
        <w:wordWrap/>
        <w:overflowPunct/>
        <w:topLinePunct w:val="0"/>
        <w:bidi w:val="0"/>
        <w:spacing w:line="560" w:lineRule="exact"/>
        <w:ind w:firstLine="482" w:firstLineChars="200"/>
        <w:rPr>
          <w:rFonts w:hint="eastAsia" w:ascii="仿宋" w:hAnsi="仿宋" w:eastAsia="仿宋" w:cs="仿宋"/>
          <w:b/>
          <w:color w:val="auto"/>
          <w:sz w:val="24"/>
          <w:highlight w:val="none"/>
        </w:rPr>
      </w:pPr>
      <w:r>
        <w:rPr>
          <w:rFonts w:hint="eastAsia" w:ascii="仿宋" w:hAnsi="仿宋" w:eastAsia="仿宋" w:cs="仿宋"/>
          <w:b/>
          <w:color w:val="auto"/>
          <w:sz w:val="24"/>
          <w:highlight w:val="none"/>
        </w:rPr>
        <w:t>（</w:t>
      </w:r>
      <w:r>
        <w:rPr>
          <w:rFonts w:hint="eastAsia" w:ascii="仿宋" w:hAnsi="仿宋" w:eastAsia="仿宋" w:cs="仿宋"/>
          <w:b/>
          <w:color w:val="auto"/>
          <w:sz w:val="24"/>
          <w:highlight w:val="none"/>
          <w:lang w:eastAsia="zh-CN"/>
        </w:rPr>
        <w:t>一</w:t>
      </w:r>
      <w:r>
        <w:rPr>
          <w:rFonts w:hint="eastAsia" w:ascii="仿宋" w:hAnsi="仿宋" w:eastAsia="仿宋" w:cs="仿宋"/>
          <w:b/>
          <w:color w:val="auto"/>
          <w:sz w:val="24"/>
          <w:highlight w:val="none"/>
        </w:rPr>
        <w:t>）主要承办项目：</w:t>
      </w:r>
    </w:p>
    <w:p w14:paraId="6D7384FE">
      <w:pPr>
        <w:pStyle w:val="5"/>
        <w:pageBreakBefore w:val="0"/>
        <w:kinsoku/>
        <w:wordWrap/>
        <w:overflowPunct/>
        <w:topLinePunct w:val="0"/>
        <w:bidi w:val="0"/>
        <w:spacing w:before="0" w:after="0" w:line="560" w:lineRule="exact"/>
        <w:ind w:firstLine="480" w:firstLineChars="200"/>
        <w:rPr>
          <w:rFonts w:hint="eastAsia" w:ascii="仿宋" w:hAnsi="仿宋" w:eastAsia="仿宋" w:cs="仿宋"/>
          <w:b w:val="0"/>
          <w:bCs w:val="0"/>
          <w:color w:val="auto"/>
          <w:sz w:val="24"/>
          <w:highlight w:val="none"/>
          <w:lang w:val="en-US" w:eastAsia="zh-CN"/>
        </w:rPr>
      </w:pPr>
      <w:r>
        <w:rPr>
          <w:rFonts w:hint="eastAsia" w:ascii="仿宋" w:hAnsi="仿宋" w:eastAsia="仿宋" w:cs="仿宋"/>
          <w:b w:val="0"/>
          <w:bCs w:val="0"/>
          <w:color w:val="auto"/>
          <w:sz w:val="24"/>
          <w:highlight w:val="none"/>
          <w:lang w:val="en-US" w:eastAsia="zh-CN"/>
        </w:rPr>
        <w:t>1.供应商负责承办2025年湖州市气排球超级联赛赛事服务、对外各部门对接和各工作小组工作落实和协调；</w:t>
      </w:r>
    </w:p>
    <w:p w14:paraId="091FD052">
      <w:pPr>
        <w:pStyle w:val="5"/>
        <w:pageBreakBefore w:val="0"/>
        <w:kinsoku/>
        <w:wordWrap/>
        <w:overflowPunct/>
        <w:topLinePunct w:val="0"/>
        <w:bidi w:val="0"/>
        <w:spacing w:before="0" w:after="0" w:line="560" w:lineRule="exact"/>
        <w:ind w:firstLine="480" w:firstLineChars="200"/>
        <w:rPr>
          <w:rFonts w:hint="eastAsia" w:ascii="仿宋" w:hAnsi="仿宋" w:eastAsia="仿宋" w:cs="仿宋"/>
          <w:b w:val="0"/>
          <w:bCs w:val="0"/>
          <w:color w:val="auto"/>
          <w:sz w:val="24"/>
          <w:highlight w:val="none"/>
          <w:lang w:val="en-US" w:eastAsia="zh-CN"/>
        </w:rPr>
      </w:pPr>
      <w:r>
        <w:rPr>
          <w:rFonts w:hint="eastAsia" w:ascii="仿宋" w:hAnsi="仿宋" w:eastAsia="仿宋" w:cs="仿宋"/>
          <w:b w:val="0"/>
          <w:bCs w:val="0"/>
          <w:color w:val="auto"/>
          <w:sz w:val="24"/>
          <w:highlight w:val="none"/>
          <w:lang w:val="en-US" w:eastAsia="zh-CN"/>
        </w:rPr>
        <w:t>2.负责联赛期间包括且不限于方案策划、场地使用、道具设计、现场搭建、运动员管理、场地管理、活动执行等事宜；</w:t>
      </w:r>
    </w:p>
    <w:p w14:paraId="242FF8EB">
      <w:pPr>
        <w:pStyle w:val="5"/>
        <w:pageBreakBefore w:val="0"/>
        <w:kinsoku/>
        <w:wordWrap/>
        <w:overflowPunct/>
        <w:topLinePunct w:val="0"/>
        <w:bidi w:val="0"/>
        <w:spacing w:before="0" w:after="0" w:line="560" w:lineRule="exact"/>
        <w:ind w:firstLine="480" w:firstLineChars="200"/>
        <w:rPr>
          <w:rFonts w:hint="eastAsia" w:ascii="仿宋" w:hAnsi="仿宋" w:eastAsia="仿宋" w:cs="仿宋"/>
          <w:b w:val="0"/>
          <w:bCs w:val="0"/>
          <w:color w:val="auto"/>
          <w:sz w:val="24"/>
          <w:highlight w:val="none"/>
          <w:lang w:val="en-US" w:eastAsia="zh-CN"/>
        </w:rPr>
      </w:pPr>
      <w:r>
        <w:rPr>
          <w:rFonts w:hint="eastAsia" w:ascii="仿宋" w:hAnsi="仿宋" w:eastAsia="仿宋" w:cs="仿宋"/>
          <w:b w:val="0"/>
          <w:bCs w:val="0"/>
          <w:color w:val="auto"/>
          <w:sz w:val="24"/>
          <w:highlight w:val="none"/>
          <w:lang w:val="en-US" w:eastAsia="zh-CN"/>
        </w:rPr>
        <w:t>3.其他经采购人确认后，双方补充协议约定，方可由供应商实施的相关工作内容。</w:t>
      </w:r>
    </w:p>
    <w:p w14:paraId="255E3870">
      <w:pPr>
        <w:pageBreakBefore w:val="0"/>
        <w:numPr>
          <w:ilvl w:val="0"/>
          <w:numId w:val="5"/>
        </w:numPr>
        <w:kinsoku/>
        <w:wordWrap/>
        <w:overflowPunct/>
        <w:topLinePunct w:val="0"/>
        <w:bidi w:val="0"/>
        <w:spacing w:before="0" w:after="0" w:line="560" w:lineRule="exact"/>
        <w:ind w:left="-481" w:leftChars="-229" w:firstLine="482" w:firstLineChars="200"/>
        <w:rPr>
          <w:rFonts w:hint="eastAsia" w:ascii="仿宋" w:hAnsi="仿宋" w:eastAsia="仿宋" w:cs="仿宋"/>
          <w:b/>
          <w:color w:val="auto"/>
          <w:kern w:val="2"/>
          <w:sz w:val="24"/>
          <w:szCs w:val="24"/>
          <w:highlight w:val="none"/>
        </w:rPr>
      </w:pPr>
      <w:r>
        <w:rPr>
          <w:rFonts w:hint="eastAsia" w:ascii="仿宋" w:hAnsi="仿宋" w:eastAsia="仿宋" w:cs="仿宋"/>
          <w:b/>
          <w:color w:val="auto"/>
          <w:kern w:val="2"/>
          <w:sz w:val="24"/>
          <w:szCs w:val="24"/>
          <w:highlight w:val="none"/>
        </w:rPr>
        <w:t>商务要求</w:t>
      </w:r>
    </w:p>
    <w:tbl>
      <w:tblPr>
        <w:tblStyle w:val="27"/>
        <w:tblW w:w="5254" w:type="pct"/>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1378"/>
        <w:gridCol w:w="8739"/>
      </w:tblGrid>
      <w:tr w14:paraId="65605E6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807" w:hRule="atLeast"/>
          <w:jc w:val="center"/>
        </w:trPr>
        <w:tc>
          <w:tcPr>
            <w:tcW w:w="681" w:type="pct"/>
            <w:noWrap w:val="0"/>
            <w:vAlign w:val="center"/>
          </w:tcPr>
          <w:p w14:paraId="2C0E06CF">
            <w:pPr>
              <w:pStyle w:val="11"/>
              <w:pageBreakBefore w:val="0"/>
              <w:kinsoku/>
              <w:wordWrap/>
              <w:overflowPunct/>
              <w:topLinePunct w:val="0"/>
              <w:bidi w:val="0"/>
              <w:spacing w:before="120" w:beforeLines="50" w:line="560" w:lineRule="exact"/>
              <w:jc w:val="center"/>
              <w:rPr>
                <w:rFonts w:hint="eastAsia" w:ascii="仿宋" w:hAnsi="仿宋" w:eastAsia="仿宋" w:cs="仿宋"/>
                <w:bCs/>
                <w:color w:val="auto"/>
                <w:sz w:val="24"/>
                <w:highlight w:val="none"/>
              </w:rPr>
            </w:pPr>
            <w:r>
              <w:rPr>
                <w:rFonts w:hint="eastAsia" w:ascii="仿宋" w:hAnsi="仿宋" w:eastAsia="仿宋" w:cs="仿宋"/>
                <w:bCs/>
                <w:color w:val="auto"/>
                <w:sz w:val="24"/>
                <w:highlight w:val="none"/>
              </w:rPr>
              <w:t>付款方式</w:t>
            </w:r>
          </w:p>
        </w:tc>
        <w:tc>
          <w:tcPr>
            <w:tcW w:w="4318" w:type="pct"/>
            <w:noWrap w:val="0"/>
            <w:vAlign w:val="top"/>
          </w:tcPr>
          <w:p w14:paraId="3E5DBC68">
            <w:pPr>
              <w:spacing w:line="560" w:lineRule="exact"/>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合同生效以及具备实施条件后，采购人</w:t>
            </w:r>
            <w:r>
              <w:rPr>
                <w:rFonts w:hint="eastAsia" w:ascii="仿宋" w:hAnsi="仿宋" w:eastAsia="仿宋" w:cs="仿宋"/>
                <w:color w:val="auto"/>
                <w:sz w:val="24"/>
                <w:highlight w:val="none"/>
              </w:rPr>
              <w:t>向</w:t>
            </w:r>
            <w:r>
              <w:rPr>
                <w:rFonts w:hint="eastAsia" w:ascii="仿宋" w:hAnsi="仿宋" w:eastAsia="仿宋" w:cs="仿宋"/>
                <w:color w:val="auto"/>
                <w:sz w:val="24"/>
                <w:highlight w:val="none"/>
                <w:lang w:eastAsia="zh-CN"/>
              </w:rPr>
              <w:t>成交供应商</w:t>
            </w:r>
            <w:r>
              <w:rPr>
                <w:rFonts w:hint="eastAsia" w:ascii="仿宋" w:hAnsi="仿宋" w:eastAsia="仿宋" w:cs="仿宋"/>
                <w:color w:val="auto"/>
                <w:sz w:val="24"/>
                <w:highlight w:val="none"/>
              </w:rPr>
              <w:t>支付合同总价</w:t>
            </w:r>
            <w:r>
              <w:rPr>
                <w:rFonts w:hint="eastAsia" w:ascii="仿宋" w:hAnsi="仿宋" w:eastAsia="仿宋" w:cs="仿宋"/>
                <w:color w:val="auto"/>
                <w:sz w:val="24"/>
                <w:highlight w:val="none"/>
                <w:lang w:val="en-US" w:eastAsia="zh-CN"/>
              </w:rPr>
              <w:t>7</w:t>
            </w:r>
            <w:r>
              <w:rPr>
                <w:rFonts w:hint="eastAsia" w:ascii="仿宋" w:hAnsi="仿宋" w:eastAsia="仿宋" w:cs="仿宋"/>
                <w:color w:val="auto"/>
                <w:sz w:val="24"/>
                <w:highlight w:val="none"/>
              </w:rPr>
              <w:t>0%的预付款</w:t>
            </w:r>
            <w:r>
              <w:rPr>
                <w:rFonts w:hint="eastAsia" w:ascii="仿宋" w:hAnsi="仿宋" w:eastAsia="仿宋" w:cs="仿宋"/>
                <w:color w:val="auto"/>
                <w:sz w:val="24"/>
                <w:highlight w:val="none"/>
                <w:lang w:eastAsia="zh-CN"/>
              </w:rPr>
              <w:t>，当</w:t>
            </w:r>
            <w:r>
              <w:rPr>
                <w:rFonts w:hint="eastAsia" w:ascii="仿宋" w:hAnsi="仿宋" w:eastAsia="仿宋" w:cs="仿宋"/>
                <w:color w:val="auto"/>
                <w:sz w:val="24"/>
                <w:highlight w:val="none"/>
                <w:lang w:val="en-US" w:eastAsia="zh-CN"/>
              </w:rPr>
              <w:t>活动</w:t>
            </w:r>
            <w:r>
              <w:rPr>
                <w:rFonts w:hint="eastAsia" w:ascii="仿宋" w:hAnsi="仿宋" w:eastAsia="仿宋" w:cs="仿宋"/>
                <w:color w:val="auto"/>
                <w:sz w:val="24"/>
                <w:highlight w:val="none"/>
                <w:lang w:eastAsia="zh-CN"/>
              </w:rPr>
              <w:t>服务结束后</w:t>
            </w:r>
            <w:r>
              <w:rPr>
                <w:rFonts w:hint="eastAsia" w:ascii="仿宋" w:hAnsi="仿宋" w:eastAsia="仿宋" w:cs="仿宋"/>
                <w:color w:val="auto"/>
                <w:sz w:val="24"/>
                <w:highlight w:val="none"/>
              </w:rPr>
              <w:t>，</w:t>
            </w:r>
            <w:r>
              <w:rPr>
                <w:rFonts w:hint="eastAsia" w:ascii="仿宋" w:hAnsi="仿宋" w:eastAsia="仿宋" w:cs="仿宋"/>
                <w:color w:val="auto"/>
                <w:sz w:val="24"/>
                <w:highlight w:val="none"/>
                <w:lang w:eastAsia="zh-CN"/>
              </w:rPr>
              <w:t>采购人</w:t>
            </w:r>
            <w:r>
              <w:rPr>
                <w:rFonts w:hint="eastAsia" w:ascii="仿宋" w:hAnsi="仿宋" w:eastAsia="仿宋" w:cs="仿宋"/>
                <w:color w:val="auto"/>
                <w:sz w:val="24"/>
                <w:highlight w:val="none"/>
              </w:rPr>
              <w:t>向</w:t>
            </w:r>
            <w:r>
              <w:rPr>
                <w:rFonts w:hint="eastAsia" w:ascii="仿宋" w:hAnsi="仿宋" w:eastAsia="仿宋" w:cs="仿宋"/>
                <w:color w:val="auto"/>
                <w:sz w:val="24"/>
                <w:highlight w:val="none"/>
                <w:lang w:eastAsia="zh-CN"/>
              </w:rPr>
              <w:t>成交供应商</w:t>
            </w:r>
            <w:r>
              <w:rPr>
                <w:rFonts w:hint="eastAsia" w:ascii="仿宋" w:hAnsi="仿宋" w:eastAsia="仿宋" w:cs="仿宋"/>
                <w:color w:val="auto"/>
                <w:sz w:val="24"/>
                <w:highlight w:val="none"/>
              </w:rPr>
              <w:t>支付</w:t>
            </w:r>
            <w:r>
              <w:rPr>
                <w:rFonts w:hint="eastAsia" w:ascii="仿宋" w:hAnsi="仿宋" w:eastAsia="仿宋" w:cs="仿宋"/>
                <w:color w:val="auto"/>
                <w:sz w:val="24"/>
                <w:highlight w:val="none"/>
                <w:lang w:eastAsia="zh-CN"/>
              </w:rPr>
              <w:t>合同总价</w:t>
            </w:r>
            <w:r>
              <w:rPr>
                <w:rFonts w:hint="eastAsia" w:ascii="仿宋" w:hAnsi="仿宋" w:eastAsia="仿宋" w:cs="仿宋"/>
                <w:color w:val="auto"/>
                <w:sz w:val="24"/>
                <w:highlight w:val="none"/>
              </w:rPr>
              <w:t>剩余款项</w:t>
            </w:r>
            <w:r>
              <w:rPr>
                <w:rFonts w:hint="eastAsia" w:ascii="仿宋" w:hAnsi="仿宋" w:eastAsia="仿宋" w:cs="仿宋"/>
                <w:color w:val="auto"/>
                <w:sz w:val="24"/>
                <w:highlight w:val="none"/>
                <w:lang w:eastAsia="zh-CN"/>
              </w:rPr>
              <w:t>。</w:t>
            </w:r>
          </w:p>
          <w:p w14:paraId="23008EFF">
            <w:pPr>
              <w:spacing w:line="560" w:lineRule="exac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lang w:eastAsia="zh-CN"/>
              </w:rPr>
              <w:t>说明</w:t>
            </w:r>
            <w:r>
              <w:rPr>
                <w:rFonts w:hint="eastAsia" w:ascii="仿宋" w:hAnsi="仿宋" w:eastAsia="仿宋" w:cs="仿宋"/>
                <w:color w:val="auto"/>
                <w:sz w:val="24"/>
                <w:highlight w:val="none"/>
              </w:rPr>
              <w:t>：（1）在签订合同时，如</w:t>
            </w:r>
            <w:r>
              <w:rPr>
                <w:rFonts w:hint="eastAsia" w:ascii="仿宋" w:hAnsi="仿宋" w:eastAsia="仿宋" w:cs="仿宋"/>
                <w:color w:val="auto"/>
                <w:sz w:val="24"/>
                <w:highlight w:val="none"/>
                <w:lang w:eastAsia="zh-CN"/>
              </w:rPr>
              <w:t>成交供应商</w:t>
            </w:r>
            <w:r>
              <w:rPr>
                <w:rFonts w:hint="eastAsia" w:ascii="仿宋" w:hAnsi="仿宋" w:eastAsia="仿宋" w:cs="仿宋"/>
                <w:color w:val="auto"/>
                <w:sz w:val="24"/>
                <w:highlight w:val="none"/>
              </w:rPr>
              <w:t>明确表示无需预付款或者主动要求降低预付款比例的，预付款比例以双方协商为准。</w:t>
            </w:r>
          </w:p>
          <w:p w14:paraId="2B3E2749">
            <w:pPr>
              <w:spacing w:line="560" w:lineRule="exac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（2）预付款：合同生效以及具备实施条件后7个工作日内支付。</w:t>
            </w:r>
          </w:p>
          <w:p w14:paraId="0083833B">
            <w:pPr>
              <w:spacing w:line="560" w:lineRule="exact"/>
              <w:ind w:firstLine="480" w:firstLineChars="200"/>
              <w:rPr>
                <w:rFonts w:hint="default" w:ascii="仿宋" w:hAnsi="仿宋" w:eastAsia="仿宋" w:cs="仿宋"/>
                <w:color w:val="auto"/>
                <w:sz w:val="24"/>
                <w:highlight w:val="none"/>
                <w:lang w:val="en-US" w:eastAsia="zh-CN"/>
              </w:rPr>
            </w:pPr>
            <w:r>
              <w:rPr>
                <w:rFonts w:hint="eastAsia" w:ascii="仿宋" w:hAnsi="仿宋" w:eastAsia="仿宋" w:cs="仿宋"/>
                <w:color w:val="auto"/>
                <w:sz w:val="24"/>
                <w:highlight w:val="none"/>
              </w:rPr>
              <w:t>（3）其余合同款：</w:t>
            </w:r>
            <w:r>
              <w:rPr>
                <w:rFonts w:hint="eastAsia" w:ascii="仿宋" w:hAnsi="仿宋" w:eastAsia="仿宋" w:cs="仿宋"/>
                <w:color w:val="auto"/>
                <w:sz w:val="24"/>
                <w:highlight w:val="none"/>
                <w:lang w:val="en-US" w:eastAsia="zh-CN"/>
              </w:rPr>
              <w:t>活动结束</w:t>
            </w:r>
            <w:r>
              <w:rPr>
                <w:rFonts w:hint="eastAsia" w:ascii="仿宋" w:hAnsi="仿宋" w:eastAsia="仿宋" w:cs="仿宋"/>
                <w:color w:val="auto"/>
                <w:sz w:val="24"/>
                <w:highlight w:val="none"/>
              </w:rPr>
              <w:t>后，</w:t>
            </w:r>
            <w:r>
              <w:rPr>
                <w:rFonts w:hint="eastAsia" w:ascii="仿宋" w:hAnsi="仿宋" w:eastAsia="仿宋" w:cs="仿宋"/>
                <w:color w:val="auto"/>
                <w:sz w:val="24"/>
                <w:highlight w:val="none"/>
                <w:lang w:eastAsia="zh-CN"/>
              </w:rPr>
              <w:t>采购人</w:t>
            </w:r>
            <w:r>
              <w:rPr>
                <w:rFonts w:hint="eastAsia" w:ascii="仿宋" w:hAnsi="仿宋" w:eastAsia="仿宋" w:cs="仿宋"/>
                <w:color w:val="auto"/>
                <w:sz w:val="24"/>
                <w:highlight w:val="none"/>
              </w:rPr>
              <w:t>收到</w:t>
            </w:r>
            <w:r>
              <w:rPr>
                <w:rFonts w:hint="eastAsia" w:ascii="仿宋" w:hAnsi="仿宋" w:eastAsia="仿宋" w:cs="仿宋"/>
                <w:color w:val="auto"/>
                <w:sz w:val="24"/>
                <w:highlight w:val="none"/>
                <w:lang w:eastAsia="zh-CN"/>
              </w:rPr>
              <w:t>成交供应商</w:t>
            </w:r>
            <w:r>
              <w:rPr>
                <w:rFonts w:hint="eastAsia" w:ascii="仿宋" w:hAnsi="仿宋" w:eastAsia="仿宋" w:cs="仿宋"/>
                <w:color w:val="auto"/>
                <w:sz w:val="24"/>
                <w:highlight w:val="none"/>
              </w:rPr>
              <w:t>提交的正规票据（符合合同</w:t>
            </w:r>
            <w:r>
              <w:rPr>
                <w:rFonts w:hint="eastAsia" w:ascii="仿宋" w:hAnsi="仿宋" w:eastAsia="仿宋" w:cs="仿宋"/>
                <w:color w:val="auto"/>
                <w:sz w:val="24"/>
                <w:highlight w:val="none"/>
                <w:lang w:eastAsia="zh-CN"/>
              </w:rPr>
              <w:t>采购人</w:t>
            </w:r>
            <w:r>
              <w:rPr>
                <w:rFonts w:hint="eastAsia" w:ascii="仿宋" w:hAnsi="仿宋" w:eastAsia="仿宋" w:cs="仿宋"/>
                <w:color w:val="auto"/>
                <w:sz w:val="24"/>
                <w:highlight w:val="none"/>
              </w:rPr>
              <w:t>财务管理要求）后7个工作日内支付至合同</w:t>
            </w:r>
            <w:r>
              <w:rPr>
                <w:rFonts w:hint="eastAsia" w:ascii="仿宋" w:hAnsi="仿宋" w:eastAsia="仿宋" w:cs="仿宋"/>
                <w:color w:val="auto"/>
                <w:sz w:val="24"/>
                <w:highlight w:val="none"/>
                <w:lang w:eastAsia="zh-CN"/>
              </w:rPr>
              <w:t>成交供应商</w:t>
            </w:r>
            <w:r>
              <w:rPr>
                <w:rFonts w:hint="eastAsia" w:ascii="仿宋" w:hAnsi="仿宋" w:eastAsia="仿宋" w:cs="仿宋"/>
                <w:color w:val="auto"/>
                <w:sz w:val="24"/>
                <w:highlight w:val="none"/>
              </w:rPr>
              <w:t>账户。</w:t>
            </w:r>
          </w:p>
        </w:tc>
      </w:tr>
      <w:tr w14:paraId="137981E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681" w:type="pct"/>
            <w:noWrap w:val="0"/>
            <w:vAlign w:val="center"/>
          </w:tcPr>
          <w:p w14:paraId="66B176E4">
            <w:pPr>
              <w:pStyle w:val="11"/>
              <w:pageBreakBefore w:val="0"/>
              <w:kinsoku/>
              <w:wordWrap/>
              <w:overflowPunct/>
              <w:topLinePunct w:val="0"/>
              <w:bidi w:val="0"/>
              <w:spacing w:before="120" w:beforeLines="50" w:line="560" w:lineRule="exact"/>
              <w:jc w:val="center"/>
              <w:rPr>
                <w:rFonts w:hint="eastAsia" w:ascii="仿宋" w:hAnsi="仿宋" w:eastAsia="仿宋" w:cs="仿宋"/>
                <w:bCs/>
                <w:color w:val="auto"/>
                <w:sz w:val="24"/>
                <w:highlight w:val="none"/>
              </w:rPr>
            </w:pPr>
            <w:r>
              <w:rPr>
                <w:rFonts w:hint="eastAsia" w:ascii="仿宋" w:hAnsi="仿宋" w:eastAsia="仿宋" w:cs="仿宋"/>
                <w:bCs/>
                <w:color w:val="auto"/>
                <w:sz w:val="24"/>
                <w:highlight w:val="none"/>
              </w:rPr>
              <w:t>服务期</w:t>
            </w:r>
          </w:p>
        </w:tc>
        <w:tc>
          <w:tcPr>
            <w:tcW w:w="4318" w:type="pct"/>
            <w:noWrap w:val="0"/>
            <w:vAlign w:val="top"/>
          </w:tcPr>
          <w:p w14:paraId="22C5FB9C">
            <w:pPr>
              <w:pStyle w:val="11"/>
              <w:pageBreakBefore w:val="0"/>
              <w:kinsoku/>
              <w:wordWrap/>
              <w:overflowPunct/>
              <w:topLinePunct w:val="0"/>
              <w:bidi w:val="0"/>
              <w:spacing w:before="120" w:beforeLines="50" w:line="560" w:lineRule="exact"/>
              <w:ind w:firstLine="480" w:firstLineChars="200"/>
              <w:rPr>
                <w:rFonts w:hint="eastAsia" w:ascii="仿宋" w:hAnsi="仿宋" w:eastAsia="仿宋" w:cs="仿宋"/>
                <w:color w:val="auto"/>
                <w:sz w:val="24"/>
                <w:highlight w:val="none"/>
              </w:rPr>
            </w:pPr>
            <w:r>
              <w:rPr>
                <w:rStyle w:val="32"/>
                <w:rFonts w:hint="eastAsia" w:ascii="仿宋" w:hAnsi="仿宋" w:eastAsia="仿宋" w:cs="仿宋"/>
                <w:color w:val="auto"/>
                <w:sz w:val="24"/>
                <w:highlight w:val="none"/>
                <w:lang w:eastAsia="zh-CN"/>
              </w:rPr>
              <w:t>自合同签订之日起至赛事结束并验收合格止</w:t>
            </w:r>
            <w:r>
              <w:rPr>
                <w:rFonts w:hint="eastAsia" w:ascii="仿宋" w:hAnsi="仿宋" w:eastAsia="仿宋" w:cs="仿宋"/>
                <w:color w:val="auto"/>
                <w:sz w:val="24"/>
                <w:highlight w:val="none"/>
              </w:rPr>
              <w:t>。</w:t>
            </w:r>
          </w:p>
        </w:tc>
      </w:tr>
      <w:tr w14:paraId="46C4ECC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681" w:type="pct"/>
            <w:noWrap w:val="0"/>
            <w:vAlign w:val="center"/>
          </w:tcPr>
          <w:p w14:paraId="4FF0E8C9">
            <w:pPr>
              <w:pStyle w:val="11"/>
              <w:pageBreakBefore w:val="0"/>
              <w:kinsoku/>
              <w:wordWrap/>
              <w:overflowPunct/>
              <w:topLinePunct w:val="0"/>
              <w:bidi w:val="0"/>
              <w:spacing w:before="120" w:beforeLines="50" w:line="560" w:lineRule="exact"/>
              <w:jc w:val="center"/>
              <w:rPr>
                <w:rFonts w:hint="eastAsia" w:ascii="仿宋" w:hAnsi="仿宋" w:eastAsia="仿宋" w:cs="仿宋"/>
                <w:bCs/>
                <w:color w:val="auto"/>
                <w:sz w:val="24"/>
                <w:highlight w:val="none"/>
              </w:rPr>
            </w:pPr>
            <w:r>
              <w:rPr>
                <w:rFonts w:hint="eastAsia" w:ascii="仿宋" w:hAnsi="仿宋" w:eastAsia="仿宋" w:cs="仿宋"/>
                <w:bCs/>
                <w:color w:val="auto"/>
                <w:sz w:val="24"/>
                <w:highlight w:val="none"/>
              </w:rPr>
              <w:t>项目验收</w:t>
            </w:r>
          </w:p>
        </w:tc>
        <w:tc>
          <w:tcPr>
            <w:tcW w:w="4318" w:type="pct"/>
            <w:noWrap w:val="0"/>
            <w:vAlign w:val="top"/>
          </w:tcPr>
          <w:p w14:paraId="1F9CA9FC">
            <w:pPr>
              <w:spacing w:line="560" w:lineRule="exac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w:t>
            </w:r>
            <w:r>
              <w:rPr>
                <w:rFonts w:hint="eastAsia" w:ascii="仿宋" w:hAnsi="仿宋" w:eastAsia="仿宋" w:cs="仿宋"/>
                <w:color w:val="auto"/>
                <w:sz w:val="24"/>
                <w:highlight w:val="none"/>
                <w:lang w:eastAsia="zh-CN"/>
              </w:rPr>
              <w:t>成交供应商</w:t>
            </w:r>
            <w:r>
              <w:rPr>
                <w:rFonts w:hint="eastAsia" w:ascii="仿宋" w:hAnsi="仿宋" w:eastAsia="仿宋" w:cs="仿宋"/>
                <w:color w:val="auto"/>
                <w:sz w:val="24"/>
                <w:highlight w:val="none"/>
              </w:rPr>
              <w:t>应保质保量按时按约完成项目合同规定的各项工作，并于完成时按要求递交相关成果及佐证材料等。</w:t>
            </w:r>
          </w:p>
          <w:p w14:paraId="22D6ED3E">
            <w:pPr>
              <w:spacing w:line="560" w:lineRule="exac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2.完成项目内容后，</w:t>
            </w:r>
            <w:r>
              <w:rPr>
                <w:rFonts w:hint="eastAsia" w:ascii="仿宋" w:hAnsi="仿宋" w:eastAsia="仿宋" w:cs="仿宋"/>
                <w:color w:val="auto"/>
                <w:sz w:val="24"/>
                <w:highlight w:val="none"/>
                <w:lang w:eastAsia="zh-CN"/>
              </w:rPr>
              <w:t>成交供应商</w:t>
            </w:r>
            <w:r>
              <w:rPr>
                <w:rFonts w:hint="eastAsia" w:ascii="仿宋" w:hAnsi="仿宋" w:eastAsia="仿宋" w:cs="仿宋"/>
                <w:color w:val="auto"/>
                <w:sz w:val="24"/>
                <w:highlight w:val="none"/>
              </w:rPr>
              <w:t>应及时向</w:t>
            </w:r>
            <w:r>
              <w:rPr>
                <w:rFonts w:hint="eastAsia" w:ascii="仿宋" w:hAnsi="仿宋" w:eastAsia="仿宋" w:cs="仿宋"/>
                <w:color w:val="auto"/>
                <w:sz w:val="24"/>
                <w:highlight w:val="none"/>
                <w:lang w:eastAsia="zh-CN"/>
              </w:rPr>
              <w:t>采购人</w:t>
            </w:r>
            <w:r>
              <w:rPr>
                <w:rFonts w:hint="eastAsia" w:ascii="仿宋" w:hAnsi="仿宋" w:eastAsia="仿宋" w:cs="仿宋"/>
                <w:color w:val="auto"/>
                <w:sz w:val="24"/>
                <w:highlight w:val="none"/>
              </w:rPr>
              <w:t>发出书面验收申请，</w:t>
            </w:r>
            <w:r>
              <w:rPr>
                <w:rFonts w:hint="eastAsia" w:ascii="仿宋" w:hAnsi="仿宋" w:eastAsia="仿宋" w:cs="仿宋"/>
                <w:color w:val="auto"/>
                <w:sz w:val="24"/>
                <w:highlight w:val="none"/>
                <w:lang w:eastAsia="zh-CN"/>
              </w:rPr>
              <w:t>采购人</w:t>
            </w:r>
            <w:r>
              <w:rPr>
                <w:rFonts w:hint="eastAsia" w:ascii="仿宋" w:hAnsi="仿宋" w:eastAsia="仿宋" w:cs="仿宋"/>
                <w:color w:val="auto"/>
                <w:sz w:val="24"/>
                <w:highlight w:val="none"/>
              </w:rPr>
              <w:t>在收到</w:t>
            </w:r>
            <w:r>
              <w:rPr>
                <w:rFonts w:hint="eastAsia" w:ascii="仿宋" w:hAnsi="仿宋" w:eastAsia="仿宋" w:cs="仿宋"/>
                <w:color w:val="auto"/>
                <w:sz w:val="24"/>
                <w:highlight w:val="none"/>
                <w:lang w:eastAsia="zh-CN"/>
              </w:rPr>
              <w:t>成交供应商</w:t>
            </w:r>
            <w:r>
              <w:rPr>
                <w:rFonts w:hint="eastAsia" w:ascii="仿宋" w:hAnsi="仿宋" w:eastAsia="仿宋" w:cs="仿宋"/>
                <w:color w:val="auto"/>
                <w:sz w:val="24"/>
                <w:highlight w:val="none"/>
              </w:rPr>
              <w:t>书面验收申请后，组织实施验收和履约评价。</w:t>
            </w:r>
          </w:p>
          <w:p w14:paraId="4C6CD4B7">
            <w:pPr>
              <w:spacing w:line="560" w:lineRule="exac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3.</w:t>
            </w:r>
            <w:r>
              <w:rPr>
                <w:rFonts w:hint="eastAsia" w:ascii="仿宋" w:hAnsi="仿宋" w:eastAsia="仿宋" w:cs="仿宋"/>
                <w:color w:val="auto"/>
                <w:sz w:val="24"/>
                <w:highlight w:val="none"/>
                <w:lang w:eastAsia="zh-CN"/>
              </w:rPr>
              <w:t>采购人</w:t>
            </w:r>
            <w:r>
              <w:rPr>
                <w:rFonts w:hint="eastAsia" w:ascii="仿宋" w:hAnsi="仿宋" w:eastAsia="仿宋" w:cs="仿宋"/>
                <w:color w:val="auto"/>
                <w:sz w:val="24"/>
                <w:highlight w:val="none"/>
              </w:rPr>
              <w:t>将对</w:t>
            </w:r>
            <w:r>
              <w:rPr>
                <w:rFonts w:hint="eastAsia" w:ascii="仿宋" w:hAnsi="仿宋" w:eastAsia="仿宋" w:cs="仿宋"/>
                <w:color w:val="auto"/>
                <w:sz w:val="24"/>
                <w:highlight w:val="none"/>
                <w:lang w:eastAsia="zh-CN"/>
              </w:rPr>
              <w:t>成交供应商</w:t>
            </w:r>
            <w:r>
              <w:rPr>
                <w:rFonts w:hint="eastAsia" w:ascii="仿宋" w:hAnsi="仿宋" w:eastAsia="仿宋" w:cs="仿宋"/>
                <w:color w:val="auto"/>
                <w:sz w:val="24"/>
                <w:highlight w:val="none"/>
              </w:rPr>
              <w:t>的项目质量进行客观评估。验收小组完成验收后出具验收（评审）意见。</w:t>
            </w:r>
          </w:p>
          <w:p w14:paraId="0B92DFD7">
            <w:pPr>
              <w:spacing w:line="560" w:lineRule="exac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4.对验收通过的项目，</w:t>
            </w:r>
            <w:r>
              <w:rPr>
                <w:rFonts w:hint="eastAsia" w:ascii="仿宋" w:hAnsi="仿宋" w:eastAsia="仿宋" w:cs="仿宋"/>
                <w:color w:val="auto"/>
                <w:sz w:val="24"/>
                <w:highlight w:val="none"/>
                <w:lang w:eastAsia="zh-CN"/>
              </w:rPr>
              <w:t>采购人</w:t>
            </w:r>
            <w:r>
              <w:rPr>
                <w:rFonts w:hint="eastAsia" w:ascii="仿宋" w:hAnsi="仿宋" w:eastAsia="仿宋" w:cs="仿宋"/>
                <w:color w:val="auto"/>
                <w:sz w:val="24"/>
                <w:highlight w:val="none"/>
              </w:rPr>
              <w:t>将按照合同如期支付合同款。</w:t>
            </w:r>
          </w:p>
          <w:p w14:paraId="5796D80D">
            <w:pPr>
              <w:spacing w:line="560" w:lineRule="exac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5.对验收未通过的项目，将按合同约定要求供应商限期整改。对无法整改或整改后仍未达到合同要求的项目，将按验收不通过处理。</w:t>
            </w:r>
          </w:p>
          <w:p w14:paraId="343FE97C">
            <w:pPr>
              <w:spacing w:line="560" w:lineRule="exac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6.验收组织、验收方式、验收程序按相关规定执行。</w:t>
            </w:r>
          </w:p>
        </w:tc>
      </w:tr>
    </w:tbl>
    <w:p w14:paraId="748F5FB3">
      <w:pPr>
        <w:rPr>
          <w:rFonts w:hint="eastAsia" w:ascii="仿宋" w:hAnsi="仿宋" w:eastAsia="仿宋" w:cs="仿宋"/>
          <w:b/>
          <w:color w:val="auto"/>
          <w:sz w:val="36"/>
          <w:szCs w:val="36"/>
          <w:highlight w:val="none"/>
        </w:rPr>
      </w:pPr>
      <w:r>
        <w:rPr>
          <w:rFonts w:hint="eastAsia" w:ascii="仿宋" w:hAnsi="仿宋" w:eastAsia="仿宋" w:cs="仿宋"/>
          <w:b/>
          <w:color w:val="auto"/>
          <w:sz w:val="36"/>
          <w:szCs w:val="36"/>
          <w:highlight w:val="none"/>
        </w:rPr>
        <w:br w:type="page"/>
      </w:r>
    </w:p>
    <w:p w14:paraId="493F4698">
      <w:pPr>
        <w:widowControl/>
        <w:spacing w:line="440" w:lineRule="exact"/>
        <w:ind w:right="60" w:firstLine="2891" w:firstLineChars="800"/>
        <w:jc w:val="both"/>
        <w:outlineLvl w:val="0"/>
        <w:rPr>
          <w:rFonts w:ascii="仿宋" w:hAnsi="仿宋" w:eastAsia="仿宋" w:cs="仿宋"/>
          <w:b/>
          <w:color w:val="auto"/>
          <w:sz w:val="36"/>
          <w:szCs w:val="36"/>
          <w:highlight w:val="none"/>
        </w:rPr>
      </w:pPr>
      <w:r>
        <w:rPr>
          <w:rFonts w:hint="eastAsia" w:ascii="仿宋" w:hAnsi="仿宋" w:eastAsia="仿宋" w:cs="仿宋"/>
          <w:b/>
          <w:color w:val="auto"/>
          <w:sz w:val="36"/>
          <w:szCs w:val="36"/>
          <w:highlight w:val="none"/>
        </w:rPr>
        <w:t>第三章  供应商须知</w:t>
      </w:r>
    </w:p>
    <w:p w14:paraId="77E0201F">
      <w:pPr>
        <w:pStyle w:val="2"/>
        <w:spacing w:line="440" w:lineRule="exact"/>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前 附 表</w:t>
      </w:r>
      <w:bookmarkEnd w:id="5"/>
    </w:p>
    <w:tbl>
      <w:tblPr>
        <w:tblStyle w:val="27"/>
        <w:tblW w:w="9957"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09"/>
        <w:gridCol w:w="1736"/>
        <w:gridCol w:w="7512"/>
      </w:tblGrid>
      <w:tr w14:paraId="216DACE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74" w:hRule="atLeast"/>
          <w:jc w:val="center"/>
        </w:trPr>
        <w:tc>
          <w:tcPr>
            <w:tcW w:w="709" w:type="dxa"/>
            <w:tcBorders>
              <w:top w:val="single" w:color="auto" w:sz="4" w:space="0"/>
              <w:left w:val="single" w:color="auto" w:sz="4" w:space="0"/>
              <w:bottom w:val="single" w:color="auto" w:sz="4" w:space="0"/>
              <w:right w:val="single" w:color="auto" w:sz="4" w:space="0"/>
            </w:tcBorders>
            <w:noWrap/>
            <w:vAlign w:val="center"/>
          </w:tcPr>
          <w:p w14:paraId="5B723CDE">
            <w:pPr>
              <w:spacing w:line="530" w:lineRule="exact"/>
              <w:jc w:val="center"/>
              <w:rPr>
                <w:rFonts w:ascii="仿宋" w:hAnsi="仿宋" w:eastAsia="仿宋" w:cs="仿宋"/>
                <w:color w:val="auto"/>
                <w:sz w:val="24"/>
                <w:highlight w:val="none"/>
              </w:rPr>
            </w:pPr>
            <w:r>
              <w:rPr>
                <w:rFonts w:hint="eastAsia" w:ascii="仿宋" w:hAnsi="仿宋" w:eastAsia="仿宋" w:cs="仿宋"/>
                <w:color w:val="auto"/>
                <w:sz w:val="24"/>
                <w:highlight w:val="none"/>
              </w:rPr>
              <w:t>序号</w:t>
            </w:r>
          </w:p>
        </w:tc>
        <w:tc>
          <w:tcPr>
            <w:tcW w:w="1736" w:type="dxa"/>
            <w:tcBorders>
              <w:top w:val="single" w:color="auto" w:sz="4" w:space="0"/>
              <w:left w:val="single" w:color="auto" w:sz="4" w:space="0"/>
              <w:bottom w:val="single" w:color="auto" w:sz="4" w:space="0"/>
              <w:right w:val="single" w:color="auto" w:sz="4" w:space="0"/>
            </w:tcBorders>
            <w:noWrap/>
            <w:vAlign w:val="center"/>
          </w:tcPr>
          <w:p w14:paraId="7CC37A4B">
            <w:pPr>
              <w:spacing w:line="530" w:lineRule="exact"/>
              <w:jc w:val="center"/>
              <w:rPr>
                <w:rFonts w:ascii="仿宋" w:hAnsi="仿宋" w:eastAsia="仿宋" w:cs="仿宋"/>
                <w:color w:val="auto"/>
                <w:sz w:val="24"/>
                <w:highlight w:val="none"/>
              </w:rPr>
            </w:pPr>
            <w:r>
              <w:rPr>
                <w:rFonts w:hint="eastAsia" w:ascii="仿宋" w:hAnsi="仿宋" w:eastAsia="仿宋" w:cs="仿宋"/>
                <w:color w:val="auto"/>
                <w:sz w:val="24"/>
                <w:highlight w:val="none"/>
              </w:rPr>
              <w:t>项  目</w:t>
            </w:r>
          </w:p>
        </w:tc>
        <w:tc>
          <w:tcPr>
            <w:tcW w:w="7512" w:type="dxa"/>
            <w:tcBorders>
              <w:top w:val="single" w:color="auto" w:sz="4" w:space="0"/>
              <w:left w:val="single" w:color="auto" w:sz="4" w:space="0"/>
              <w:bottom w:val="single" w:color="auto" w:sz="4" w:space="0"/>
              <w:right w:val="single" w:color="auto" w:sz="4" w:space="0"/>
            </w:tcBorders>
            <w:noWrap/>
            <w:vAlign w:val="center"/>
          </w:tcPr>
          <w:p w14:paraId="738CE1A4">
            <w:pPr>
              <w:spacing w:line="530" w:lineRule="exact"/>
              <w:jc w:val="center"/>
              <w:rPr>
                <w:rFonts w:ascii="仿宋" w:hAnsi="仿宋" w:eastAsia="仿宋" w:cs="仿宋"/>
                <w:color w:val="auto"/>
                <w:sz w:val="24"/>
                <w:highlight w:val="none"/>
              </w:rPr>
            </w:pPr>
            <w:r>
              <w:rPr>
                <w:rFonts w:hint="eastAsia" w:ascii="仿宋" w:hAnsi="仿宋" w:eastAsia="仿宋" w:cs="仿宋"/>
                <w:color w:val="auto"/>
                <w:sz w:val="24"/>
                <w:highlight w:val="none"/>
              </w:rPr>
              <w:t>内容与要求</w:t>
            </w:r>
          </w:p>
        </w:tc>
      </w:tr>
      <w:tr w14:paraId="2A66B9B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8" w:hRule="atLeast"/>
          <w:jc w:val="center"/>
        </w:trPr>
        <w:tc>
          <w:tcPr>
            <w:tcW w:w="709" w:type="dxa"/>
            <w:tcBorders>
              <w:top w:val="single" w:color="auto" w:sz="4" w:space="0"/>
              <w:left w:val="single" w:color="auto" w:sz="4" w:space="0"/>
              <w:bottom w:val="single" w:color="auto" w:sz="4" w:space="0"/>
              <w:right w:val="single" w:color="auto" w:sz="4" w:space="0"/>
            </w:tcBorders>
            <w:noWrap/>
            <w:vAlign w:val="center"/>
          </w:tcPr>
          <w:p w14:paraId="5230E7F7">
            <w:pPr>
              <w:spacing w:line="530" w:lineRule="exact"/>
              <w:jc w:val="center"/>
              <w:rPr>
                <w:rFonts w:ascii="仿宋" w:hAnsi="仿宋" w:eastAsia="仿宋" w:cs="仿宋"/>
                <w:color w:val="auto"/>
                <w:sz w:val="24"/>
                <w:highlight w:val="none"/>
              </w:rPr>
            </w:pPr>
            <w:r>
              <w:rPr>
                <w:rFonts w:hint="eastAsia" w:ascii="仿宋" w:hAnsi="仿宋" w:eastAsia="仿宋" w:cs="仿宋"/>
                <w:color w:val="auto"/>
                <w:sz w:val="24"/>
                <w:highlight w:val="none"/>
              </w:rPr>
              <w:t>1</w:t>
            </w:r>
          </w:p>
        </w:tc>
        <w:tc>
          <w:tcPr>
            <w:tcW w:w="1736" w:type="dxa"/>
            <w:tcBorders>
              <w:top w:val="single" w:color="auto" w:sz="4" w:space="0"/>
              <w:left w:val="single" w:color="auto" w:sz="4" w:space="0"/>
              <w:bottom w:val="single" w:color="auto" w:sz="4" w:space="0"/>
              <w:right w:val="single" w:color="auto" w:sz="4" w:space="0"/>
            </w:tcBorders>
            <w:noWrap/>
            <w:vAlign w:val="center"/>
          </w:tcPr>
          <w:p w14:paraId="1E4AC160">
            <w:pPr>
              <w:spacing w:line="530" w:lineRule="exact"/>
              <w:jc w:val="center"/>
              <w:rPr>
                <w:rFonts w:ascii="仿宋" w:hAnsi="仿宋" w:eastAsia="仿宋" w:cs="仿宋"/>
                <w:bCs/>
                <w:color w:val="auto"/>
                <w:sz w:val="24"/>
                <w:highlight w:val="none"/>
              </w:rPr>
            </w:pPr>
            <w:r>
              <w:rPr>
                <w:rFonts w:hint="eastAsia" w:ascii="仿宋" w:hAnsi="仿宋" w:eastAsia="仿宋" w:cs="仿宋"/>
                <w:bCs/>
                <w:color w:val="auto"/>
                <w:sz w:val="24"/>
                <w:highlight w:val="none"/>
              </w:rPr>
              <w:t>项目名称</w:t>
            </w:r>
          </w:p>
        </w:tc>
        <w:tc>
          <w:tcPr>
            <w:tcW w:w="7512" w:type="dxa"/>
            <w:tcBorders>
              <w:top w:val="single" w:color="auto" w:sz="4" w:space="0"/>
              <w:left w:val="single" w:color="auto" w:sz="4" w:space="0"/>
              <w:bottom w:val="single" w:color="auto" w:sz="4" w:space="0"/>
              <w:right w:val="single" w:color="auto" w:sz="4" w:space="0"/>
            </w:tcBorders>
            <w:noWrap/>
            <w:vAlign w:val="center"/>
          </w:tcPr>
          <w:p w14:paraId="2C0154E8">
            <w:pPr>
              <w:rPr>
                <w:rFonts w:hint="eastAsia" w:ascii="仿宋" w:hAnsi="仿宋" w:eastAsia="仿宋" w:cs="仿宋"/>
                <w:bCs/>
                <w:color w:val="auto"/>
                <w:spacing w:val="-4"/>
                <w:sz w:val="24"/>
                <w:highlight w:val="none"/>
                <w:lang w:eastAsia="zh-CN"/>
              </w:rPr>
            </w:pPr>
            <w:r>
              <w:rPr>
                <w:rFonts w:hint="eastAsia" w:ascii="仿宋" w:hAnsi="仿宋" w:eastAsia="仿宋" w:cs="宋体"/>
                <w:bCs/>
                <w:color w:val="auto"/>
                <w:sz w:val="24"/>
                <w:highlight w:val="none"/>
                <w:lang w:eastAsia="zh-CN"/>
              </w:rPr>
              <w:t xml:space="preserve">举办湖州市气排球超级联赛项目  </w:t>
            </w:r>
          </w:p>
        </w:tc>
      </w:tr>
      <w:tr w14:paraId="725C99D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79" w:hRule="atLeast"/>
          <w:jc w:val="center"/>
        </w:trPr>
        <w:tc>
          <w:tcPr>
            <w:tcW w:w="709" w:type="dxa"/>
            <w:tcBorders>
              <w:top w:val="single" w:color="auto" w:sz="4" w:space="0"/>
              <w:left w:val="single" w:color="auto" w:sz="4" w:space="0"/>
              <w:bottom w:val="single" w:color="auto" w:sz="4" w:space="0"/>
              <w:right w:val="single" w:color="auto" w:sz="4" w:space="0"/>
            </w:tcBorders>
            <w:noWrap/>
            <w:vAlign w:val="center"/>
          </w:tcPr>
          <w:p w14:paraId="2D9C59B4">
            <w:pPr>
              <w:spacing w:line="530" w:lineRule="exact"/>
              <w:jc w:val="center"/>
              <w:rPr>
                <w:rFonts w:ascii="仿宋" w:hAnsi="仿宋" w:eastAsia="仿宋" w:cs="仿宋"/>
                <w:color w:val="auto"/>
                <w:sz w:val="24"/>
                <w:highlight w:val="none"/>
              </w:rPr>
            </w:pPr>
            <w:r>
              <w:rPr>
                <w:rFonts w:hint="eastAsia" w:ascii="仿宋" w:hAnsi="仿宋" w:eastAsia="仿宋" w:cs="仿宋"/>
                <w:color w:val="auto"/>
                <w:sz w:val="24"/>
                <w:highlight w:val="none"/>
              </w:rPr>
              <w:t>2</w:t>
            </w:r>
          </w:p>
        </w:tc>
        <w:tc>
          <w:tcPr>
            <w:tcW w:w="1736" w:type="dxa"/>
            <w:tcBorders>
              <w:top w:val="single" w:color="auto" w:sz="4" w:space="0"/>
              <w:left w:val="single" w:color="auto" w:sz="4" w:space="0"/>
              <w:bottom w:val="single" w:color="auto" w:sz="4" w:space="0"/>
              <w:right w:val="single" w:color="auto" w:sz="4" w:space="0"/>
            </w:tcBorders>
            <w:noWrap/>
            <w:vAlign w:val="center"/>
          </w:tcPr>
          <w:p w14:paraId="42F71685">
            <w:pPr>
              <w:spacing w:line="530" w:lineRule="exact"/>
              <w:jc w:val="center"/>
              <w:rPr>
                <w:rFonts w:ascii="仿宋" w:hAnsi="仿宋" w:eastAsia="仿宋" w:cs="仿宋"/>
                <w:bCs/>
                <w:color w:val="auto"/>
                <w:sz w:val="24"/>
                <w:highlight w:val="none"/>
              </w:rPr>
            </w:pPr>
            <w:r>
              <w:rPr>
                <w:rFonts w:hint="eastAsia" w:ascii="仿宋" w:hAnsi="仿宋" w:eastAsia="仿宋" w:cs="仿宋"/>
                <w:bCs/>
                <w:color w:val="auto"/>
                <w:sz w:val="24"/>
                <w:highlight w:val="none"/>
              </w:rPr>
              <w:t>编号</w:t>
            </w:r>
          </w:p>
        </w:tc>
        <w:tc>
          <w:tcPr>
            <w:tcW w:w="7512" w:type="dxa"/>
            <w:tcBorders>
              <w:top w:val="single" w:color="auto" w:sz="4" w:space="0"/>
              <w:left w:val="single" w:color="auto" w:sz="4" w:space="0"/>
              <w:bottom w:val="single" w:color="auto" w:sz="4" w:space="0"/>
              <w:right w:val="single" w:color="auto" w:sz="4" w:space="0"/>
            </w:tcBorders>
            <w:noWrap/>
            <w:vAlign w:val="center"/>
          </w:tcPr>
          <w:p w14:paraId="6E0AE3A9">
            <w:pPr>
              <w:spacing w:line="530" w:lineRule="exact"/>
              <w:rPr>
                <w:rFonts w:ascii="仿宋" w:hAnsi="仿宋" w:eastAsia="仿宋" w:cs="仿宋"/>
                <w:bCs/>
                <w:color w:val="auto"/>
                <w:spacing w:val="-4"/>
                <w:sz w:val="24"/>
                <w:highlight w:val="none"/>
              </w:rPr>
            </w:pPr>
            <w:r>
              <w:rPr>
                <w:rFonts w:hint="eastAsia" w:ascii="仿宋" w:hAnsi="仿宋" w:eastAsia="仿宋" w:cs="仿宋"/>
                <w:bCs/>
                <w:color w:val="auto"/>
                <w:spacing w:val="-4"/>
                <w:sz w:val="24"/>
                <w:highlight w:val="none"/>
              </w:rPr>
              <w:t>磋商文件编号：XCXHZ-2025-0</w:t>
            </w:r>
            <w:r>
              <w:rPr>
                <w:rFonts w:hint="eastAsia" w:ascii="仿宋" w:hAnsi="仿宋" w:eastAsia="仿宋" w:cs="仿宋"/>
                <w:bCs/>
                <w:color w:val="auto"/>
                <w:spacing w:val="-4"/>
                <w:sz w:val="24"/>
                <w:highlight w:val="none"/>
                <w:lang w:val="en-US" w:eastAsia="zh-CN"/>
              </w:rPr>
              <w:t>48</w:t>
            </w:r>
            <w:r>
              <w:rPr>
                <w:rFonts w:hint="eastAsia" w:ascii="仿宋" w:hAnsi="仿宋" w:eastAsia="仿宋" w:cs="仿宋"/>
                <w:bCs/>
                <w:color w:val="auto"/>
                <w:spacing w:val="-4"/>
                <w:sz w:val="24"/>
                <w:highlight w:val="none"/>
              </w:rPr>
              <w:t>（CG）</w:t>
            </w:r>
          </w:p>
          <w:p w14:paraId="07D8BE84">
            <w:pPr>
              <w:spacing w:line="530" w:lineRule="exact"/>
              <w:rPr>
                <w:rFonts w:ascii="仿宋" w:hAnsi="仿宋" w:eastAsia="仿宋" w:cs="仿宋"/>
                <w:bCs/>
                <w:color w:val="auto"/>
                <w:spacing w:val="-4"/>
                <w:sz w:val="24"/>
                <w:highlight w:val="none"/>
              </w:rPr>
            </w:pPr>
            <w:r>
              <w:rPr>
                <w:rFonts w:hint="eastAsia" w:ascii="仿宋" w:hAnsi="仿宋" w:eastAsia="仿宋" w:cs="仿宋"/>
                <w:bCs/>
                <w:color w:val="auto"/>
                <w:spacing w:val="-4"/>
                <w:sz w:val="24"/>
                <w:highlight w:val="none"/>
              </w:rPr>
              <w:t>财政审批编号：</w:t>
            </w:r>
            <w:r>
              <w:rPr>
                <w:rFonts w:hint="eastAsia" w:ascii="仿宋" w:hAnsi="仿宋" w:eastAsia="仿宋" w:cs="仿宋"/>
                <w:bCs/>
                <w:color w:val="auto"/>
                <w:spacing w:val="-4"/>
                <w:sz w:val="24"/>
                <w:highlight w:val="none"/>
                <w:lang w:val="en-US" w:eastAsia="zh-CN"/>
              </w:rPr>
              <w:t>湖</w:t>
            </w:r>
            <w:r>
              <w:rPr>
                <w:rFonts w:hint="eastAsia" w:ascii="仿宋" w:hAnsi="仿宋" w:eastAsia="仿宋" w:cs="仿宋"/>
                <w:bCs/>
                <w:color w:val="auto"/>
                <w:spacing w:val="-4"/>
                <w:sz w:val="24"/>
                <w:highlight w:val="none"/>
              </w:rPr>
              <w:t>财采确[2025]</w:t>
            </w:r>
            <w:r>
              <w:rPr>
                <w:rFonts w:hint="eastAsia" w:ascii="仿宋" w:hAnsi="仿宋" w:eastAsia="仿宋" w:cs="仿宋"/>
                <w:bCs/>
                <w:color w:val="auto"/>
                <w:spacing w:val="-4"/>
                <w:sz w:val="24"/>
                <w:highlight w:val="none"/>
                <w:lang w:val="en-US" w:eastAsia="zh-CN"/>
              </w:rPr>
              <w:t>11079</w:t>
            </w:r>
            <w:r>
              <w:rPr>
                <w:rFonts w:hint="eastAsia" w:ascii="仿宋" w:hAnsi="仿宋" w:eastAsia="仿宋" w:cs="仿宋"/>
                <w:bCs/>
                <w:color w:val="auto"/>
                <w:spacing w:val="-4"/>
                <w:sz w:val="24"/>
                <w:highlight w:val="none"/>
              </w:rPr>
              <w:t>号</w:t>
            </w:r>
          </w:p>
        </w:tc>
      </w:tr>
      <w:tr w14:paraId="4C1D1A7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709" w:type="dxa"/>
            <w:tcBorders>
              <w:top w:val="single" w:color="auto" w:sz="4" w:space="0"/>
              <w:left w:val="single" w:color="auto" w:sz="4" w:space="0"/>
              <w:bottom w:val="single" w:color="auto" w:sz="4" w:space="0"/>
              <w:right w:val="single" w:color="auto" w:sz="4" w:space="0"/>
            </w:tcBorders>
            <w:noWrap/>
            <w:vAlign w:val="center"/>
          </w:tcPr>
          <w:p w14:paraId="02B2CF1B">
            <w:pPr>
              <w:spacing w:line="530" w:lineRule="exact"/>
              <w:jc w:val="center"/>
              <w:rPr>
                <w:rFonts w:ascii="仿宋" w:hAnsi="仿宋" w:eastAsia="仿宋" w:cs="仿宋"/>
                <w:color w:val="auto"/>
                <w:sz w:val="24"/>
                <w:highlight w:val="none"/>
              </w:rPr>
            </w:pPr>
            <w:r>
              <w:rPr>
                <w:rFonts w:hint="eastAsia" w:ascii="仿宋" w:hAnsi="仿宋" w:eastAsia="仿宋" w:cs="仿宋"/>
                <w:color w:val="auto"/>
                <w:sz w:val="24"/>
                <w:highlight w:val="none"/>
              </w:rPr>
              <w:t>3</w:t>
            </w:r>
          </w:p>
        </w:tc>
        <w:tc>
          <w:tcPr>
            <w:tcW w:w="1736" w:type="dxa"/>
            <w:tcBorders>
              <w:top w:val="single" w:color="auto" w:sz="4" w:space="0"/>
              <w:left w:val="single" w:color="auto" w:sz="4" w:space="0"/>
              <w:bottom w:val="single" w:color="auto" w:sz="4" w:space="0"/>
              <w:right w:val="single" w:color="auto" w:sz="4" w:space="0"/>
            </w:tcBorders>
            <w:noWrap/>
            <w:vAlign w:val="center"/>
          </w:tcPr>
          <w:p w14:paraId="31008C6C">
            <w:pPr>
              <w:spacing w:line="530" w:lineRule="exact"/>
              <w:jc w:val="center"/>
              <w:rPr>
                <w:rFonts w:ascii="仿宋" w:hAnsi="仿宋" w:eastAsia="仿宋" w:cs="仿宋"/>
                <w:bCs/>
                <w:color w:val="auto"/>
                <w:sz w:val="24"/>
                <w:highlight w:val="none"/>
              </w:rPr>
            </w:pPr>
            <w:r>
              <w:rPr>
                <w:rFonts w:hint="eastAsia" w:ascii="仿宋" w:hAnsi="仿宋" w:eastAsia="仿宋" w:cs="仿宋"/>
                <w:bCs/>
                <w:color w:val="auto"/>
                <w:sz w:val="24"/>
                <w:highlight w:val="none"/>
              </w:rPr>
              <w:t>磋商内容</w:t>
            </w:r>
          </w:p>
        </w:tc>
        <w:tc>
          <w:tcPr>
            <w:tcW w:w="7512" w:type="dxa"/>
            <w:tcBorders>
              <w:top w:val="single" w:color="auto" w:sz="4" w:space="0"/>
              <w:left w:val="single" w:color="auto" w:sz="4" w:space="0"/>
              <w:bottom w:val="single" w:color="auto" w:sz="4" w:space="0"/>
              <w:right w:val="single" w:color="auto" w:sz="4" w:space="0"/>
            </w:tcBorders>
            <w:noWrap/>
            <w:vAlign w:val="center"/>
          </w:tcPr>
          <w:p w14:paraId="7710F718">
            <w:pPr>
              <w:spacing w:line="530" w:lineRule="exact"/>
              <w:rPr>
                <w:rFonts w:hint="eastAsia" w:ascii="仿宋" w:hAnsi="仿宋" w:eastAsia="仿宋" w:cs="仿宋"/>
                <w:bCs/>
                <w:color w:val="auto"/>
                <w:spacing w:val="-4"/>
                <w:sz w:val="24"/>
                <w:highlight w:val="none"/>
                <w:lang w:eastAsia="zh-CN"/>
              </w:rPr>
            </w:pPr>
            <w:r>
              <w:rPr>
                <w:rFonts w:hint="eastAsia" w:ascii="仿宋" w:hAnsi="仿宋" w:eastAsia="仿宋" w:cs="宋体"/>
                <w:bCs/>
                <w:color w:val="auto"/>
                <w:sz w:val="24"/>
                <w:highlight w:val="none"/>
                <w:lang w:eastAsia="zh-CN"/>
              </w:rPr>
              <w:t xml:space="preserve">举办湖州市气排球超级联赛项目  </w:t>
            </w:r>
          </w:p>
        </w:tc>
      </w:tr>
      <w:tr w14:paraId="7C3081C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92" w:hRule="atLeast"/>
          <w:jc w:val="center"/>
        </w:trPr>
        <w:tc>
          <w:tcPr>
            <w:tcW w:w="709" w:type="dxa"/>
            <w:tcBorders>
              <w:top w:val="single" w:color="auto" w:sz="4" w:space="0"/>
              <w:left w:val="single" w:color="auto" w:sz="4" w:space="0"/>
              <w:bottom w:val="single" w:color="auto" w:sz="4" w:space="0"/>
              <w:right w:val="single" w:color="auto" w:sz="4" w:space="0"/>
            </w:tcBorders>
            <w:noWrap/>
            <w:vAlign w:val="center"/>
          </w:tcPr>
          <w:p w14:paraId="32087786">
            <w:pPr>
              <w:spacing w:line="530" w:lineRule="exact"/>
              <w:jc w:val="center"/>
              <w:rPr>
                <w:rFonts w:ascii="仿宋" w:hAnsi="仿宋" w:eastAsia="仿宋" w:cs="仿宋"/>
                <w:color w:val="auto"/>
                <w:sz w:val="24"/>
                <w:highlight w:val="none"/>
              </w:rPr>
            </w:pPr>
            <w:r>
              <w:rPr>
                <w:rFonts w:hint="eastAsia" w:ascii="仿宋" w:hAnsi="仿宋" w:eastAsia="仿宋" w:cs="仿宋"/>
                <w:color w:val="auto"/>
                <w:sz w:val="24"/>
                <w:highlight w:val="none"/>
              </w:rPr>
              <w:t>4</w:t>
            </w:r>
          </w:p>
        </w:tc>
        <w:tc>
          <w:tcPr>
            <w:tcW w:w="1736" w:type="dxa"/>
            <w:tcBorders>
              <w:top w:val="single" w:color="auto" w:sz="4" w:space="0"/>
              <w:left w:val="single" w:color="auto" w:sz="4" w:space="0"/>
              <w:bottom w:val="single" w:color="auto" w:sz="4" w:space="0"/>
              <w:right w:val="single" w:color="auto" w:sz="4" w:space="0"/>
            </w:tcBorders>
            <w:noWrap/>
            <w:vAlign w:val="center"/>
          </w:tcPr>
          <w:p w14:paraId="35E45069">
            <w:pPr>
              <w:spacing w:line="530" w:lineRule="exact"/>
              <w:jc w:val="center"/>
              <w:rPr>
                <w:rFonts w:ascii="仿宋" w:hAnsi="仿宋" w:eastAsia="仿宋" w:cs="仿宋"/>
                <w:bCs/>
                <w:color w:val="auto"/>
                <w:sz w:val="24"/>
                <w:highlight w:val="none"/>
              </w:rPr>
            </w:pPr>
            <w:r>
              <w:rPr>
                <w:rFonts w:hint="eastAsia" w:ascii="仿宋" w:hAnsi="仿宋" w:eastAsia="仿宋" w:cs="仿宋"/>
                <w:bCs/>
                <w:color w:val="auto"/>
                <w:sz w:val="24"/>
                <w:highlight w:val="none"/>
              </w:rPr>
              <w:t>项目实施地点</w:t>
            </w:r>
          </w:p>
        </w:tc>
        <w:tc>
          <w:tcPr>
            <w:tcW w:w="7512" w:type="dxa"/>
            <w:tcBorders>
              <w:top w:val="single" w:color="auto" w:sz="4" w:space="0"/>
              <w:left w:val="single" w:color="auto" w:sz="4" w:space="0"/>
              <w:bottom w:val="single" w:color="auto" w:sz="4" w:space="0"/>
              <w:right w:val="single" w:color="auto" w:sz="4" w:space="0"/>
            </w:tcBorders>
            <w:noWrap/>
            <w:vAlign w:val="center"/>
          </w:tcPr>
          <w:p w14:paraId="120E70FC">
            <w:pPr>
              <w:spacing w:line="530" w:lineRule="exact"/>
              <w:rPr>
                <w:rFonts w:ascii="仿宋" w:hAnsi="仿宋" w:eastAsia="仿宋" w:cs="仿宋"/>
                <w:bCs/>
                <w:color w:val="auto"/>
                <w:spacing w:val="-4"/>
                <w:sz w:val="24"/>
                <w:highlight w:val="none"/>
              </w:rPr>
            </w:pPr>
            <w:r>
              <w:rPr>
                <w:rFonts w:hint="eastAsia" w:ascii="仿宋" w:hAnsi="仿宋" w:eastAsia="仿宋" w:cs="仿宋"/>
                <w:color w:val="auto"/>
                <w:sz w:val="24"/>
                <w:highlight w:val="none"/>
              </w:rPr>
              <w:t>根据采购人指定</w:t>
            </w:r>
          </w:p>
        </w:tc>
      </w:tr>
      <w:tr w14:paraId="11E6796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405" w:hRule="atLeast"/>
          <w:jc w:val="center"/>
        </w:trPr>
        <w:tc>
          <w:tcPr>
            <w:tcW w:w="709" w:type="dxa"/>
            <w:tcBorders>
              <w:top w:val="single" w:color="auto" w:sz="4" w:space="0"/>
              <w:left w:val="single" w:color="auto" w:sz="4" w:space="0"/>
              <w:bottom w:val="single" w:color="auto" w:sz="4" w:space="0"/>
              <w:right w:val="single" w:color="auto" w:sz="4" w:space="0"/>
            </w:tcBorders>
            <w:noWrap/>
            <w:vAlign w:val="center"/>
          </w:tcPr>
          <w:p w14:paraId="2E44DF39">
            <w:pPr>
              <w:spacing w:line="530" w:lineRule="exact"/>
              <w:jc w:val="center"/>
              <w:rPr>
                <w:rFonts w:ascii="仿宋" w:hAnsi="仿宋" w:eastAsia="仿宋" w:cs="仿宋"/>
                <w:color w:val="auto"/>
                <w:sz w:val="24"/>
                <w:highlight w:val="none"/>
              </w:rPr>
            </w:pPr>
            <w:r>
              <w:rPr>
                <w:rFonts w:hint="eastAsia" w:ascii="仿宋" w:hAnsi="仿宋" w:eastAsia="仿宋" w:cs="仿宋"/>
                <w:color w:val="auto"/>
                <w:sz w:val="24"/>
                <w:highlight w:val="none"/>
              </w:rPr>
              <w:t>5</w:t>
            </w:r>
          </w:p>
        </w:tc>
        <w:tc>
          <w:tcPr>
            <w:tcW w:w="1736" w:type="dxa"/>
            <w:tcBorders>
              <w:top w:val="single" w:color="auto" w:sz="4" w:space="0"/>
              <w:left w:val="single" w:color="auto" w:sz="4" w:space="0"/>
              <w:bottom w:val="single" w:color="auto" w:sz="4" w:space="0"/>
              <w:right w:val="single" w:color="auto" w:sz="4" w:space="0"/>
            </w:tcBorders>
            <w:noWrap/>
            <w:vAlign w:val="center"/>
          </w:tcPr>
          <w:p w14:paraId="6B3ADEAA">
            <w:pPr>
              <w:spacing w:line="530" w:lineRule="exact"/>
              <w:jc w:val="center"/>
              <w:rPr>
                <w:rFonts w:ascii="仿宋" w:hAnsi="仿宋" w:eastAsia="仿宋" w:cs="仿宋"/>
                <w:bCs/>
                <w:color w:val="auto"/>
                <w:sz w:val="24"/>
                <w:highlight w:val="none"/>
              </w:rPr>
            </w:pPr>
            <w:r>
              <w:rPr>
                <w:rFonts w:hint="eastAsia" w:ascii="仿宋" w:hAnsi="仿宋" w:eastAsia="仿宋" w:cs="仿宋"/>
                <w:bCs/>
                <w:color w:val="auto"/>
                <w:sz w:val="24"/>
                <w:highlight w:val="none"/>
              </w:rPr>
              <w:t>答疑与澄清</w:t>
            </w:r>
          </w:p>
        </w:tc>
        <w:tc>
          <w:tcPr>
            <w:tcW w:w="7512" w:type="dxa"/>
            <w:tcBorders>
              <w:top w:val="single" w:color="auto" w:sz="4" w:space="0"/>
              <w:left w:val="single" w:color="auto" w:sz="4" w:space="0"/>
              <w:bottom w:val="single" w:color="auto" w:sz="4" w:space="0"/>
              <w:right w:val="single" w:color="auto" w:sz="4" w:space="0"/>
            </w:tcBorders>
            <w:noWrap/>
            <w:vAlign w:val="center"/>
          </w:tcPr>
          <w:p w14:paraId="2A1A5BB9">
            <w:pPr>
              <w:spacing w:line="530" w:lineRule="exact"/>
              <w:rPr>
                <w:rFonts w:ascii="仿宋" w:hAnsi="仿宋" w:eastAsia="仿宋" w:cs="仿宋"/>
                <w:color w:val="auto"/>
                <w:sz w:val="24"/>
                <w:highlight w:val="none"/>
              </w:rPr>
            </w:pPr>
            <w:r>
              <w:rPr>
                <w:rFonts w:hint="eastAsia" w:ascii="仿宋" w:hAnsi="仿宋" w:eastAsia="仿宋" w:cs="仿宋"/>
                <w:color w:val="auto"/>
                <w:sz w:val="24"/>
                <w:highlight w:val="none"/>
              </w:rPr>
              <w:t>供应商如认为采购文件表述不清晰、存在歧视性或者其他违法内容的，可以在知道或者应知其权益受到损害之日起7个工作日内，以书面形式向采购人、采购代理机构提出质疑，根据《中华人民共和国财政部令第94号-政府采购质疑和投诉办法》第十条第二款规定，供应商在法定质疑期内须一次性提出针对同一采购程序环节的质疑，否则采购代理机构有权拒绝第一次质疑以外其他所有质疑。答疑内容是采购文件的组成部分，并将在网上发布补充（答疑、澄清）文件，潜在供应商应自行关注网站公告，采购人不再一一通知，供应商因自身贻误行为导致投标失效的，责任自负。</w:t>
            </w:r>
          </w:p>
        </w:tc>
      </w:tr>
      <w:tr w14:paraId="0D58378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32" w:hRule="atLeast"/>
          <w:jc w:val="center"/>
        </w:trPr>
        <w:tc>
          <w:tcPr>
            <w:tcW w:w="709" w:type="dxa"/>
            <w:tcBorders>
              <w:top w:val="single" w:color="auto" w:sz="4" w:space="0"/>
              <w:left w:val="single" w:color="auto" w:sz="4" w:space="0"/>
              <w:bottom w:val="single" w:color="auto" w:sz="4" w:space="0"/>
              <w:right w:val="single" w:color="auto" w:sz="4" w:space="0"/>
            </w:tcBorders>
            <w:noWrap/>
            <w:vAlign w:val="center"/>
          </w:tcPr>
          <w:p w14:paraId="2131D0BC">
            <w:pPr>
              <w:spacing w:line="530" w:lineRule="exact"/>
              <w:jc w:val="center"/>
              <w:rPr>
                <w:rFonts w:ascii="仿宋" w:hAnsi="仿宋" w:eastAsia="仿宋" w:cs="仿宋"/>
                <w:color w:val="auto"/>
                <w:sz w:val="24"/>
                <w:highlight w:val="none"/>
              </w:rPr>
            </w:pPr>
            <w:r>
              <w:rPr>
                <w:rFonts w:hint="eastAsia" w:ascii="仿宋" w:hAnsi="仿宋" w:eastAsia="仿宋" w:cs="仿宋"/>
                <w:color w:val="auto"/>
                <w:sz w:val="24"/>
                <w:highlight w:val="none"/>
              </w:rPr>
              <w:t>6</w:t>
            </w:r>
          </w:p>
        </w:tc>
        <w:tc>
          <w:tcPr>
            <w:tcW w:w="1736" w:type="dxa"/>
            <w:tcBorders>
              <w:top w:val="single" w:color="auto" w:sz="4" w:space="0"/>
              <w:left w:val="single" w:color="auto" w:sz="4" w:space="0"/>
              <w:bottom w:val="single" w:color="auto" w:sz="4" w:space="0"/>
              <w:right w:val="single" w:color="auto" w:sz="4" w:space="0"/>
            </w:tcBorders>
            <w:noWrap/>
            <w:vAlign w:val="center"/>
          </w:tcPr>
          <w:p w14:paraId="229D3890">
            <w:pPr>
              <w:spacing w:line="530" w:lineRule="exact"/>
              <w:jc w:val="center"/>
              <w:rPr>
                <w:rFonts w:ascii="仿宋" w:hAnsi="仿宋" w:eastAsia="仿宋" w:cs="仿宋"/>
                <w:bCs/>
                <w:color w:val="auto"/>
                <w:sz w:val="24"/>
                <w:highlight w:val="none"/>
              </w:rPr>
            </w:pPr>
            <w:r>
              <w:rPr>
                <w:rFonts w:hint="eastAsia" w:ascii="仿宋" w:hAnsi="仿宋" w:eastAsia="仿宋" w:cs="仿宋"/>
                <w:bCs/>
                <w:color w:val="auto"/>
                <w:sz w:val="24"/>
                <w:highlight w:val="none"/>
              </w:rPr>
              <w:t>响应文件要求</w:t>
            </w:r>
          </w:p>
        </w:tc>
        <w:tc>
          <w:tcPr>
            <w:tcW w:w="7512" w:type="dxa"/>
            <w:tcBorders>
              <w:top w:val="single" w:color="auto" w:sz="4" w:space="0"/>
              <w:left w:val="single" w:color="auto" w:sz="4" w:space="0"/>
              <w:bottom w:val="single" w:color="auto" w:sz="4" w:space="0"/>
              <w:right w:val="single" w:color="auto" w:sz="4" w:space="0"/>
            </w:tcBorders>
            <w:noWrap/>
            <w:vAlign w:val="center"/>
          </w:tcPr>
          <w:p w14:paraId="681490D2">
            <w:pPr>
              <w:numPr>
                <w:ilvl w:val="-1"/>
                <w:numId w:val="0"/>
              </w:numPr>
              <w:spacing w:line="530" w:lineRule="exact"/>
              <w:ind w:left="0" w:firstLine="0"/>
              <w:rPr>
                <w:rFonts w:ascii="仿宋" w:hAnsi="仿宋" w:eastAsia="仿宋" w:cs="仿宋"/>
                <w:color w:val="auto"/>
                <w:sz w:val="24"/>
                <w:highlight w:val="none"/>
              </w:rPr>
            </w:pPr>
            <w:r>
              <w:rPr>
                <w:rFonts w:hint="eastAsia" w:ascii="仿宋" w:hAnsi="仿宋" w:eastAsia="仿宋" w:cs="仿宋"/>
                <w:color w:val="auto"/>
                <w:sz w:val="24"/>
                <w:highlight w:val="none"/>
                <w:lang w:val="en-US" w:eastAsia="zh-CN"/>
              </w:rPr>
              <w:t>1、</w:t>
            </w:r>
            <w:r>
              <w:rPr>
                <w:rFonts w:hint="eastAsia" w:ascii="仿宋" w:hAnsi="仿宋" w:eastAsia="仿宋" w:cs="仿宋"/>
                <w:color w:val="auto"/>
                <w:sz w:val="24"/>
                <w:highlight w:val="none"/>
              </w:rPr>
              <w:t>响应文件的制作：本项目实行电子磋商。</w:t>
            </w:r>
          </w:p>
          <w:p w14:paraId="45D85BFB">
            <w:pPr>
              <w:spacing w:line="530" w:lineRule="exact"/>
              <w:rPr>
                <w:rFonts w:ascii="仿宋" w:hAnsi="仿宋" w:eastAsia="仿宋" w:cs="仿宋"/>
                <w:color w:val="auto"/>
                <w:sz w:val="24"/>
                <w:highlight w:val="none"/>
              </w:rPr>
            </w:pPr>
            <w:r>
              <w:rPr>
                <w:rFonts w:hint="eastAsia" w:ascii="仿宋" w:hAnsi="仿宋" w:eastAsia="仿宋" w:cs="仿宋"/>
                <w:color w:val="auto"/>
                <w:sz w:val="24"/>
                <w:highlight w:val="none"/>
              </w:rPr>
              <w:t xml:space="preserve">2、供应商应按要求提供电子响应文件及数据电子备份响应文件（U盘），具体内容如下： </w:t>
            </w:r>
          </w:p>
          <w:p w14:paraId="4874EF20">
            <w:pPr>
              <w:spacing w:line="530" w:lineRule="exact"/>
              <w:rPr>
                <w:rFonts w:ascii="仿宋" w:hAnsi="仿宋" w:eastAsia="仿宋" w:cs="仿宋"/>
                <w:color w:val="auto"/>
                <w:sz w:val="24"/>
                <w:highlight w:val="none"/>
              </w:rPr>
            </w:pPr>
            <w:r>
              <w:rPr>
                <w:rFonts w:hint="eastAsia" w:ascii="仿宋" w:hAnsi="仿宋" w:eastAsia="仿宋" w:cs="仿宋"/>
                <w:color w:val="auto"/>
                <w:sz w:val="24"/>
                <w:highlight w:val="none"/>
              </w:rPr>
              <w:t>2.1电子响应文件：按政采云平台项目采购-电子交易操作指南及本磋商文件要求制作、加密并递交，超过上传时间的视为放弃磋商资格，作无效标处理；</w:t>
            </w:r>
          </w:p>
          <w:p w14:paraId="0D8BAC8F">
            <w:pPr>
              <w:spacing w:line="530" w:lineRule="exact"/>
              <w:rPr>
                <w:rFonts w:ascii="仿宋" w:hAnsi="仿宋" w:eastAsia="仿宋" w:cs="仿宋"/>
                <w:color w:val="auto"/>
                <w:sz w:val="24"/>
                <w:highlight w:val="none"/>
              </w:rPr>
            </w:pPr>
            <w:r>
              <w:rPr>
                <w:rFonts w:hint="eastAsia" w:ascii="仿宋" w:hAnsi="仿宋" w:eastAsia="仿宋" w:cs="仿宋"/>
                <w:color w:val="auto"/>
                <w:sz w:val="24"/>
                <w:highlight w:val="none"/>
              </w:rPr>
              <w:t>2.2数据电子备份响应文件（U盘）：以U盘形式提供的数据电子备份响应文件格式及内容须与政采云平台项目采购-电子交易操作指南中制作、加密并递交的电子响应文件格式及内容一致。数据电子备份响应文件应加密，允许制作成一个U盘，但须密封、包装，不按此规定密封、包装的数据电子备份响应文件（U盘）均按未提供处理</w:t>
            </w:r>
          </w:p>
        </w:tc>
      </w:tr>
      <w:tr w14:paraId="3BEF461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92" w:hRule="atLeast"/>
          <w:jc w:val="center"/>
        </w:trPr>
        <w:tc>
          <w:tcPr>
            <w:tcW w:w="709" w:type="dxa"/>
            <w:tcBorders>
              <w:top w:val="single" w:color="auto" w:sz="4" w:space="0"/>
              <w:left w:val="single" w:color="auto" w:sz="4" w:space="0"/>
              <w:bottom w:val="single" w:color="auto" w:sz="4" w:space="0"/>
              <w:right w:val="single" w:color="auto" w:sz="4" w:space="0"/>
            </w:tcBorders>
            <w:noWrap/>
            <w:vAlign w:val="center"/>
          </w:tcPr>
          <w:p w14:paraId="5350BF1E">
            <w:pPr>
              <w:spacing w:line="530" w:lineRule="exact"/>
              <w:jc w:val="center"/>
              <w:rPr>
                <w:rFonts w:ascii="仿宋" w:hAnsi="仿宋" w:eastAsia="仿宋" w:cs="仿宋"/>
                <w:color w:val="auto"/>
                <w:sz w:val="24"/>
                <w:highlight w:val="none"/>
              </w:rPr>
            </w:pPr>
            <w:r>
              <w:rPr>
                <w:rFonts w:hint="eastAsia" w:ascii="仿宋" w:hAnsi="仿宋" w:eastAsia="仿宋" w:cs="仿宋"/>
                <w:color w:val="auto"/>
                <w:sz w:val="24"/>
                <w:highlight w:val="none"/>
              </w:rPr>
              <w:t>7</w:t>
            </w:r>
          </w:p>
        </w:tc>
        <w:tc>
          <w:tcPr>
            <w:tcW w:w="1736" w:type="dxa"/>
            <w:tcBorders>
              <w:top w:val="single" w:color="auto" w:sz="4" w:space="0"/>
              <w:left w:val="single" w:color="auto" w:sz="4" w:space="0"/>
              <w:bottom w:val="single" w:color="auto" w:sz="4" w:space="0"/>
              <w:right w:val="single" w:color="auto" w:sz="4" w:space="0"/>
            </w:tcBorders>
            <w:noWrap/>
            <w:vAlign w:val="center"/>
          </w:tcPr>
          <w:p w14:paraId="743CC4F7">
            <w:pPr>
              <w:spacing w:line="530" w:lineRule="exact"/>
              <w:jc w:val="center"/>
              <w:rPr>
                <w:rFonts w:ascii="仿宋" w:hAnsi="仿宋" w:eastAsia="仿宋" w:cs="仿宋"/>
                <w:bCs/>
                <w:color w:val="auto"/>
                <w:sz w:val="24"/>
                <w:highlight w:val="none"/>
              </w:rPr>
            </w:pPr>
            <w:r>
              <w:rPr>
                <w:rFonts w:hint="eastAsia" w:ascii="仿宋" w:hAnsi="仿宋" w:eastAsia="仿宋" w:cs="仿宋"/>
                <w:color w:val="auto"/>
                <w:sz w:val="24"/>
                <w:highlight w:val="none"/>
              </w:rPr>
              <w:t>响应截止时间</w:t>
            </w:r>
          </w:p>
        </w:tc>
        <w:tc>
          <w:tcPr>
            <w:tcW w:w="7512" w:type="dxa"/>
            <w:tcBorders>
              <w:top w:val="single" w:color="auto" w:sz="4" w:space="0"/>
              <w:left w:val="single" w:color="auto" w:sz="4" w:space="0"/>
              <w:bottom w:val="single" w:color="auto" w:sz="4" w:space="0"/>
              <w:right w:val="single" w:color="auto" w:sz="4" w:space="0"/>
            </w:tcBorders>
            <w:noWrap/>
            <w:vAlign w:val="center"/>
          </w:tcPr>
          <w:p w14:paraId="0A026F4E">
            <w:pPr>
              <w:snapToGrid w:val="0"/>
              <w:spacing w:line="530" w:lineRule="exact"/>
              <w:rPr>
                <w:rFonts w:ascii="仿宋" w:hAnsi="仿宋" w:eastAsia="仿宋" w:cs="仿宋"/>
                <w:color w:val="auto"/>
                <w:sz w:val="24"/>
                <w:highlight w:val="none"/>
              </w:rPr>
            </w:pPr>
            <w:r>
              <w:rPr>
                <w:rFonts w:hint="eastAsia" w:ascii="仿宋" w:hAnsi="仿宋" w:eastAsia="仿宋" w:cs="仿宋"/>
                <w:color w:val="auto"/>
                <w:kern w:val="0"/>
                <w:sz w:val="24"/>
                <w:highlight w:val="none"/>
              </w:rPr>
              <w:t>2025年</w:t>
            </w:r>
            <w:r>
              <w:rPr>
                <w:rFonts w:hint="eastAsia" w:ascii="仿宋" w:hAnsi="仿宋" w:eastAsia="仿宋" w:cs="仿宋"/>
                <w:color w:val="auto"/>
                <w:kern w:val="0"/>
                <w:sz w:val="24"/>
                <w:highlight w:val="none"/>
                <w:lang w:val="en-US" w:eastAsia="zh-CN"/>
              </w:rPr>
              <w:t>7</w:t>
            </w:r>
            <w:r>
              <w:rPr>
                <w:rFonts w:hint="eastAsia" w:ascii="仿宋" w:hAnsi="仿宋" w:eastAsia="仿宋" w:cs="仿宋"/>
                <w:color w:val="auto"/>
                <w:kern w:val="0"/>
                <w:sz w:val="24"/>
                <w:highlight w:val="none"/>
              </w:rPr>
              <w:t>月</w:t>
            </w:r>
            <w:r>
              <w:rPr>
                <w:rFonts w:hint="eastAsia" w:ascii="仿宋" w:hAnsi="仿宋" w:eastAsia="仿宋" w:cs="仿宋"/>
                <w:color w:val="auto"/>
                <w:kern w:val="0"/>
                <w:sz w:val="24"/>
                <w:highlight w:val="none"/>
                <w:lang w:val="en-US" w:eastAsia="zh-CN"/>
              </w:rPr>
              <w:t>14</w:t>
            </w:r>
            <w:r>
              <w:rPr>
                <w:rFonts w:hint="eastAsia" w:ascii="仿宋" w:hAnsi="仿宋" w:eastAsia="仿宋" w:cs="仿宋"/>
                <w:color w:val="auto"/>
                <w:kern w:val="0"/>
                <w:sz w:val="24"/>
                <w:highlight w:val="none"/>
              </w:rPr>
              <w:t>日</w:t>
            </w:r>
            <w:r>
              <w:rPr>
                <w:rFonts w:hint="eastAsia" w:ascii="仿宋" w:hAnsi="仿宋" w:eastAsia="仿宋" w:cs="仿宋"/>
                <w:color w:val="auto"/>
                <w:kern w:val="0"/>
                <w:sz w:val="24"/>
                <w:highlight w:val="none"/>
                <w:lang w:val="en-US" w:eastAsia="zh-CN"/>
              </w:rPr>
              <w:t>9</w:t>
            </w:r>
            <w:r>
              <w:rPr>
                <w:rFonts w:hint="eastAsia" w:ascii="仿宋" w:hAnsi="仿宋" w:eastAsia="仿宋" w:cs="仿宋"/>
                <w:color w:val="auto"/>
                <w:kern w:val="0"/>
                <w:sz w:val="24"/>
                <w:highlight w:val="none"/>
              </w:rPr>
              <w:t>：00</w:t>
            </w:r>
          </w:p>
        </w:tc>
      </w:tr>
      <w:tr w14:paraId="093772F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5" w:hRule="atLeast"/>
          <w:jc w:val="center"/>
        </w:trPr>
        <w:tc>
          <w:tcPr>
            <w:tcW w:w="709" w:type="dxa"/>
            <w:tcBorders>
              <w:top w:val="single" w:color="auto" w:sz="4" w:space="0"/>
              <w:left w:val="single" w:color="auto" w:sz="4" w:space="0"/>
              <w:bottom w:val="single" w:color="auto" w:sz="4" w:space="0"/>
              <w:right w:val="single" w:color="auto" w:sz="4" w:space="0"/>
            </w:tcBorders>
            <w:noWrap/>
            <w:vAlign w:val="center"/>
          </w:tcPr>
          <w:p w14:paraId="5E5030B2">
            <w:pPr>
              <w:spacing w:line="530" w:lineRule="exact"/>
              <w:jc w:val="center"/>
              <w:rPr>
                <w:rFonts w:ascii="仿宋" w:hAnsi="仿宋" w:eastAsia="仿宋" w:cs="仿宋"/>
                <w:color w:val="auto"/>
                <w:sz w:val="24"/>
                <w:highlight w:val="none"/>
              </w:rPr>
            </w:pPr>
            <w:r>
              <w:rPr>
                <w:rFonts w:hint="eastAsia" w:ascii="仿宋" w:hAnsi="仿宋" w:eastAsia="仿宋" w:cs="仿宋"/>
                <w:color w:val="auto"/>
                <w:sz w:val="24"/>
                <w:highlight w:val="none"/>
              </w:rPr>
              <w:t>8</w:t>
            </w:r>
          </w:p>
        </w:tc>
        <w:tc>
          <w:tcPr>
            <w:tcW w:w="1736" w:type="dxa"/>
            <w:tcBorders>
              <w:top w:val="single" w:color="auto" w:sz="4" w:space="0"/>
              <w:left w:val="single" w:color="auto" w:sz="4" w:space="0"/>
              <w:bottom w:val="single" w:color="auto" w:sz="4" w:space="0"/>
              <w:right w:val="single" w:color="auto" w:sz="4" w:space="0"/>
            </w:tcBorders>
            <w:noWrap/>
            <w:vAlign w:val="center"/>
          </w:tcPr>
          <w:p w14:paraId="0EBE1EB0">
            <w:pPr>
              <w:spacing w:line="530" w:lineRule="exact"/>
              <w:jc w:val="center"/>
              <w:rPr>
                <w:rFonts w:ascii="仿宋" w:hAnsi="仿宋" w:eastAsia="仿宋" w:cs="仿宋"/>
                <w:color w:val="auto"/>
                <w:sz w:val="24"/>
                <w:highlight w:val="none"/>
              </w:rPr>
            </w:pPr>
            <w:r>
              <w:rPr>
                <w:rFonts w:hint="eastAsia" w:ascii="仿宋" w:hAnsi="仿宋" w:eastAsia="仿宋" w:cs="仿宋"/>
                <w:color w:val="auto"/>
                <w:sz w:val="24"/>
                <w:highlight w:val="none"/>
              </w:rPr>
              <w:t>响应文件</w:t>
            </w:r>
            <w:r>
              <w:rPr>
                <w:rFonts w:hint="eastAsia" w:ascii="仿宋" w:hAnsi="仿宋" w:eastAsia="仿宋" w:cs="仿宋"/>
                <w:bCs/>
                <w:color w:val="auto"/>
                <w:sz w:val="24"/>
                <w:highlight w:val="none"/>
              </w:rPr>
              <w:t>提交</w:t>
            </w:r>
            <w:r>
              <w:rPr>
                <w:rFonts w:hint="eastAsia" w:ascii="仿宋" w:hAnsi="仿宋" w:eastAsia="仿宋" w:cs="仿宋"/>
                <w:color w:val="auto"/>
                <w:sz w:val="24"/>
                <w:highlight w:val="none"/>
              </w:rPr>
              <w:t>地点</w:t>
            </w:r>
          </w:p>
        </w:tc>
        <w:tc>
          <w:tcPr>
            <w:tcW w:w="7512" w:type="dxa"/>
            <w:tcBorders>
              <w:top w:val="single" w:color="auto" w:sz="4" w:space="0"/>
              <w:left w:val="single" w:color="auto" w:sz="4" w:space="0"/>
              <w:bottom w:val="single" w:color="auto" w:sz="4" w:space="0"/>
              <w:right w:val="single" w:color="auto" w:sz="4" w:space="0"/>
            </w:tcBorders>
            <w:noWrap/>
            <w:vAlign w:val="center"/>
          </w:tcPr>
          <w:p w14:paraId="6C60C9B9">
            <w:pPr>
              <w:spacing w:line="530" w:lineRule="exact"/>
              <w:rPr>
                <w:rFonts w:ascii="仿宋" w:hAnsi="仿宋" w:eastAsia="仿宋" w:cs="仿宋"/>
                <w:color w:val="auto"/>
                <w:sz w:val="24"/>
                <w:highlight w:val="none"/>
              </w:rPr>
            </w:pPr>
            <w:r>
              <w:rPr>
                <w:rFonts w:hint="eastAsia" w:ascii="仿宋" w:hAnsi="仿宋" w:eastAsia="仿宋" w:cs="仿宋"/>
                <w:color w:val="auto"/>
                <w:sz w:val="24"/>
                <w:highlight w:val="none"/>
              </w:rPr>
              <w:t>磋商时间：</w:t>
            </w:r>
            <w:r>
              <w:rPr>
                <w:rFonts w:hint="eastAsia" w:ascii="仿宋" w:hAnsi="仿宋" w:eastAsia="仿宋" w:cs="仿宋"/>
                <w:color w:val="auto"/>
                <w:kern w:val="0"/>
                <w:sz w:val="24"/>
                <w:highlight w:val="none"/>
              </w:rPr>
              <w:t>2025年</w:t>
            </w:r>
            <w:r>
              <w:rPr>
                <w:rFonts w:hint="eastAsia" w:ascii="仿宋" w:hAnsi="仿宋" w:eastAsia="仿宋" w:cs="仿宋"/>
                <w:color w:val="auto"/>
                <w:kern w:val="0"/>
                <w:sz w:val="24"/>
                <w:highlight w:val="none"/>
                <w:lang w:val="en-US" w:eastAsia="zh-CN"/>
              </w:rPr>
              <w:t>7</w:t>
            </w:r>
            <w:r>
              <w:rPr>
                <w:rFonts w:hint="eastAsia" w:ascii="仿宋" w:hAnsi="仿宋" w:eastAsia="仿宋" w:cs="仿宋"/>
                <w:color w:val="auto"/>
                <w:kern w:val="0"/>
                <w:sz w:val="24"/>
                <w:highlight w:val="none"/>
              </w:rPr>
              <w:t>月</w:t>
            </w:r>
            <w:r>
              <w:rPr>
                <w:rFonts w:hint="eastAsia" w:ascii="仿宋" w:hAnsi="仿宋" w:eastAsia="仿宋" w:cs="仿宋"/>
                <w:color w:val="auto"/>
                <w:kern w:val="0"/>
                <w:sz w:val="24"/>
                <w:highlight w:val="none"/>
                <w:lang w:val="en-US" w:eastAsia="zh-CN"/>
              </w:rPr>
              <w:t>14</w:t>
            </w:r>
            <w:r>
              <w:rPr>
                <w:rFonts w:hint="eastAsia" w:ascii="仿宋" w:hAnsi="仿宋" w:eastAsia="仿宋" w:cs="仿宋"/>
                <w:color w:val="auto"/>
                <w:kern w:val="0"/>
                <w:sz w:val="24"/>
                <w:highlight w:val="none"/>
              </w:rPr>
              <w:t>日</w:t>
            </w:r>
            <w:r>
              <w:rPr>
                <w:rFonts w:hint="eastAsia" w:ascii="仿宋" w:hAnsi="仿宋" w:eastAsia="仿宋" w:cs="仿宋"/>
                <w:color w:val="auto"/>
                <w:kern w:val="0"/>
                <w:sz w:val="24"/>
                <w:highlight w:val="none"/>
                <w:lang w:val="en-US" w:eastAsia="zh-CN"/>
              </w:rPr>
              <w:t>9</w:t>
            </w:r>
            <w:r>
              <w:rPr>
                <w:rFonts w:hint="eastAsia" w:ascii="仿宋" w:hAnsi="仿宋" w:eastAsia="仿宋" w:cs="仿宋"/>
                <w:color w:val="auto"/>
                <w:kern w:val="0"/>
                <w:sz w:val="24"/>
                <w:highlight w:val="none"/>
              </w:rPr>
              <w:t>：00</w:t>
            </w:r>
          </w:p>
          <w:p w14:paraId="372A2225">
            <w:pPr>
              <w:spacing w:line="530" w:lineRule="exact"/>
              <w:rPr>
                <w:rFonts w:ascii="仿宋" w:hAnsi="仿宋" w:eastAsia="仿宋" w:cs="仿宋"/>
                <w:color w:val="auto"/>
                <w:sz w:val="24"/>
                <w:highlight w:val="none"/>
              </w:rPr>
            </w:pPr>
            <w:r>
              <w:rPr>
                <w:rFonts w:hint="eastAsia" w:ascii="仿宋" w:hAnsi="仿宋" w:eastAsia="仿宋" w:cs="仿宋"/>
                <w:color w:val="auto"/>
                <w:sz w:val="24"/>
                <w:highlight w:val="none"/>
              </w:rPr>
              <w:t>磋商地点：湖州市公共资源交易中心开标室（湖州市仁皇山片区金盖山路66号2号楼二楼），具体详见二楼休息区电子显示屏。</w:t>
            </w:r>
          </w:p>
          <w:p w14:paraId="2272491D">
            <w:pPr>
              <w:spacing w:line="530" w:lineRule="exact"/>
              <w:rPr>
                <w:rFonts w:ascii="仿宋" w:hAnsi="仿宋" w:eastAsia="仿宋" w:cs="仿宋"/>
                <w:color w:val="auto"/>
                <w:sz w:val="24"/>
                <w:highlight w:val="none"/>
              </w:rPr>
            </w:pPr>
            <w:r>
              <w:rPr>
                <w:rFonts w:hint="eastAsia" w:ascii="仿宋" w:hAnsi="仿宋" w:eastAsia="仿宋" w:cs="仿宋"/>
                <w:color w:val="auto"/>
                <w:sz w:val="24"/>
                <w:highlight w:val="none"/>
              </w:rPr>
              <w:t>1、供应商应当在磋商截止时间前完成电子响应文件的传输递交，磋商截止时间前可以补充、修改或者撤回电子响应文件。补充或者修改电子响应文件的，应当先行撤回原文件，补充、修改后重新传输递交。磋商截止时间止未完成传输的，视为放弃磋商资格，作无效标处理。</w:t>
            </w:r>
          </w:p>
          <w:p w14:paraId="1BB3A205">
            <w:pPr>
              <w:spacing w:line="530" w:lineRule="exact"/>
              <w:rPr>
                <w:rFonts w:ascii="仿宋" w:hAnsi="仿宋" w:eastAsia="仿宋" w:cs="仿宋"/>
                <w:color w:val="auto"/>
                <w:sz w:val="24"/>
                <w:highlight w:val="none"/>
              </w:rPr>
            </w:pPr>
            <w:r>
              <w:rPr>
                <w:rFonts w:hint="eastAsia" w:ascii="仿宋" w:hAnsi="仿宋" w:eastAsia="仿宋" w:cs="仿宋"/>
                <w:color w:val="auto"/>
                <w:sz w:val="24"/>
                <w:highlight w:val="none"/>
              </w:rPr>
              <w:t>2、数据电子备份响应文件（U盘）：以U盘形式提供的数据电子备份响应文件格式及内容须与政采云平台项目采购-电子交易操作指南中制作、加密并递交的电子响应文件格式及内容一致。递交方式：数据电子备份响应文件（U盘）应通过邮寄快递方式送达，邮寄地址为：浙江新诚信工程咨询有限公司[湖州市太湖路1155号14层1402室]，联系电话：18768247439。邮寄截止时间：供应商应于2025年</w:t>
            </w:r>
            <w:r>
              <w:rPr>
                <w:rFonts w:hint="eastAsia" w:ascii="仿宋" w:hAnsi="仿宋" w:eastAsia="仿宋" w:cs="仿宋"/>
                <w:color w:val="auto"/>
                <w:sz w:val="24"/>
                <w:highlight w:val="none"/>
                <w:lang w:val="en-US" w:eastAsia="zh-CN"/>
              </w:rPr>
              <w:t>7</w:t>
            </w:r>
            <w:r>
              <w:rPr>
                <w:rFonts w:hint="eastAsia" w:ascii="仿宋" w:hAnsi="仿宋" w:eastAsia="仿宋" w:cs="仿宋"/>
                <w:color w:val="auto"/>
                <w:sz w:val="24"/>
                <w:highlight w:val="none"/>
              </w:rPr>
              <w:t>月</w:t>
            </w:r>
            <w:r>
              <w:rPr>
                <w:rFonts w:hint="eastAsia" w:ascii="仿宋" w:hAnsi="仿宋" w:eastAsia="仿宋" w:cs="仿宋"/>
                <w:color w:val="auto"/>
                <w:sz w:val="24"/>
                <w:highlight w:val="none"/>
                <w:lang w:val="en-US" w:eastAsia="zh-CN"/>
              </w:rPr>
              <w:t>11</w:t>
            </w:r>
            <w:r>
              <w:rPr>
                <w:rFonts w:hint="eastAsia" w:ascii="仿宋" w:hAnsi="仿宋" w:eastAsia="仿宋" w:cs="仿宋"/>
                <w:color w:val="auto"/>
                <w:sz w:val="24"/>
                <w:highlight w:val="none"/>
              </w:rPr>
              <w:t>日17:00时前准时送达，逾期不予受理。未按时送达的，均按未提供处理。</w:t>
            </w:r>
          </w:p>
          <w:p w14:paraId="0C380A52">
            <w:pPr>
              <w:spacing w:line="530" w:lineRule="exact"/>
              <w:rPr>
                <w:rFonts w:ascii="仿宋" w:hAnsi="仿宋" w:eastAsia="仿宋" w:cs="仿宋"/>
                <w:b/>
                <w:color w:val="auto"/>
                <w:sz w:val="24"/>
                <w:highlight w:val="none"/>
              </w:rPr>
            </w:pPr>
            <w:r>
              <w:rPr>
                <w:rFonts w:hint="eastAsia" w:ascii="仿宋" w:hAnsi="仿宋" w:eastAsia="仿宋" w:cs="仿宋"/>
                <w:b w:val="0"/>
                <w:bCs/>
                <w:color w:val="auto"/>
                <w:sz w:val="24"/>
                <w:highlight w:val="none"/>
              </w:rPr>
              <w:t>3、整个磋商过程中若因供应商问题造成电子响应文件无法正常解密的，均认定为未提交电子响应文件，作无效标处理。若因网络或者其他非供应商问题造成电子响应文件无法正常解密的，启用数据电子备份响应文件（U盘），因供应商自身原因造成数据电子备份响应文件（U盘）无法打开的，作无效标处理。若正常解密成功，则数据电子备份响应文件（U盘）不予开启。在下一顺位的响应文件启用时，前一顺位的响应文件自动失效。</w:t>
            </w:r>
          </w:p>
        </w:tc>
      </w:tr>
      <w:tr w14:paraId="2B4D017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09" w:hRule="atLeast"/>
          <w:jc w:val="center"/>
        </w:trPr>
        <w:tc>
          <w:tcPr>
            <w:tcW w:w="709" w:type="dxa"/>
            <w:tcBorders>
              <w:top w:val="single" w:color="auto" w:sz="4" w:space="0"/>
              <w:left w:val="single" w:color="auto" w:sz="4" w:space="0"/>
              <w:bottom w:val="single" w:color="auto" w:sz="4" w:space="0"/>
              <w:right w:val="single" w:color="auto" w:sz="4" w:space="0"/>
            </w:tcBorders>
            <w:noWrap/>
            <w:vAlign w:val="center"/>
          </w:tcPr>
          <w:p w14:paraId="40CEEA26">
            <w:pPr>
              <w:spacing w:line="530" w:lineRule="exact"/>
              <w:jc w:val="center"/>
              <w:rPr>
                <w:rFonts w:ascii="仿宋" w:hAnsi="仿宋" w:eastAsia="仿宋" w:cs="仿宋"/>
                <w:color w:val="auto"/>
                <w:sz w:val="24"/>
                <w:highlight w:val="none"/>
              </w:rPr>
            </w:pPr>
            <w:r>
              <w:rPr>
                <w:rFonts w:hint="eastAsia" w:ascii="仿宋" w:hAnsi="仿宋" w:eastAsia="仿宋" w:cs="仿宋"/>
                <w:color w:val="auto"/>
                <w:sz w:val="24"/>
                <w:highlight w:val="none"/>
              </w:rPr>
              <w:t>9</w:t>
            </w:r>
          </w:p>
        </w:tc>
        <w:tc>
          <w:tcPr>
            <w:tcW w:w="1736" w:type="dxa"/>
            <w:tcBorders>
              <w:top w:val="single" w:color="auto" w:sz="4" w:space="0"/>
              <w:left w:val="single" w:color="auto" w:sz="4" w:space="0"/>
              <w:bottom w:val="single" w:color="auto" w:sz="4" w:space="0"/>
              <w:right w:val="single" w:color="auto" w:sz="4" w:space="0"/>
            </w:tcBorders>
            <w:noWrap/>
            <w:vAlign w:val="center"/>
          </w:tcPr>
          <w:p w14:paraId="1D8B61C7">
            <w:pPr>
              <w:spacing w:line="530" w:lineRule="exact"/>
              <w:jc w:val="center"/>
              <w:rPr>
                <w:rFonts w:ascii="仿宋" w:hAnsi="仿宋" w:eastAsia="仿宋" w:cs="仿宋"/>
                <w:color w:val="auto"/>
                <w:sz w:val="24"/>
                <w:highlight w:val="none"/>
              </w:rPr>
            </w:pPr>
            <w:r>
              <w:rPr>
                <w:rFonts w:hint="eastAsia" w:ascii="仿宋" w:hAnsi="仿宋" w:eastAsia="仿宋" w:cs="仿宋"/>
                <w:color w:val="auto"/>
                <w:sz w:val="24"/>
                <w:highlight w:val="none"/>
              </w:rPr>
              <w:t>磋商时间</w:t>
            </w:r>
          </w:p>
        </w:tc>
        <w:tc>
          <w:tcPr>
            <w:tcW w:w="7512" w:type="dxa"/>
            <w:tcBorders>
              <w:top w:val="single" w:color="auto" w:sz="4" w:space="0"/>
              <w:left w:val="single" w:color="auto" w:sz="4" w:space="0"/>
              <w:bottom w:val="single" w:color="auto" w:sz="4" w:space="0"/>
              <w:right w:val="single" w:color="auto" w:sz="4" w:space="0"/>
            </w:tcBorders>
            <w:noWrap/>
            <w:vAlign w:val="center"/>
          </w:tcPr>
          <w:p w14:paraId="3446E7EF">
            <w:pPr>
              <w:spacing w:line="530" w:lineRule="exact"/>
              <w:rPr>
                <w:rFonts w:ascii="仿宋" w:hAnsi="仿宋" w:eastAsia="仿宋" w:cs="仿宋"/>
                <w:color w:val="auto"/>
                <w:sz w:val="24"/>
                <w:highlight w:val="none"/>
              </w:rPr>
            </w:pPr>
            <w:r>
              <w:rPr>
                <w:rFonts w:hint="eastAsia" w:ascii="仿宋" w:hAnsi="仿宋" w:eastAsia="仿宋" w:cs="仿宋"/>
                <w:color w:val="auto"/>
                <w:kern w:val="0"/>
                <w:sz w:val="24"/>
                <w:highlight w:val="none"/>
              </w:rPr>
              <w:t>2025年</w:t>
            </w:r>
            <w:r>
              <w:rPr>
                <w:rFonts w:hint="eastAsia" w:ascii="仿宋" w:hAnsi="仿宋" w:eastAsia="仿宋" w:cs="仿宋"/>
                <w:color w:val="auto"/>
                <w:kern w:val="0"/>
                <w:sz w:val="24"/>
                <w:highlight w:val="none"/>
                <w:lang w:val="en-US" w:eastAsia="zh-CN"/>
              </w:rPr>
              <w:t>7</w:t>
            </w:r>
            <w:r>
              <w:rPr>
                <w:rFonts w:hint="eastAsia" w:ascii="仿宋" w:hAnsi="仿宋" w:eastAsia="仿宋" w:cs="仿宋"/>
                <w:color w:val="auto"/>
                <w:kern w:val="0"/>
                <w:sz w:val="24"/>
                <w:highlight w:val="none"/>
              </w:rPr>
              <w:t>月</w:t>
            </w:r>
            <w:r>
              <w:rPr>
                <w:rFonts w:hint="eastAsia" w:ascii="仿宋" w:hAnsi="仿宋" w:eastAsia="仿宋" w:cs="仿宋"/>
                <w:color w:val="auto"/>
                <w:kern w:val="0"/>
                <w:sz w:val="24"/>
                <w:highlight w:val="none"/>
                <w:lang w:val="en-US" w:eastAsia="zh-CN"/>
              </w:rPr>
              <w:t>14</w:t>
            </w:r>
            <w:r>
              <w:rPr>
                <w:rFonts w:hint="eastAsia" w:ascii="仿宋" w:hAnsi="仿宋" w:eastAsia="仿宋" w:cs="仿宋"/>
                <w:color w:val="auto"/>
                <w:kern w:val="0"/>
                <w:sz w:val="24"/>
                <w:highlight w:val="none"/>
              </w:rPr>
              <w:t>日</w:t>
            </w:r>
            <w:r>
              <w:rPr>
                <w:rFonts w:hint="eastAsia" w:ascii="仿宋" w:hAnsi="仿宋" w:eastAsia="仿宋" w:cs="仿宋"/>
                <w:color w:val="auto"/>
                <w:kern w:val="0"/>
                <w:sz w:val="24"/>
                <w:highlight w:val="none"/>
                <w:lang w:val="en-US" w:eastAsia="zh-CN"/>
              </w:rPr>
              <w:t>9</w:t>
            </w:r>
            <w:r>
              <w:rPr>
                <w:rFonts w:hint="eastAsia" w:ascii="仿宋" w:hAnsi="仿宋" w:eastAsia="仿宋" w:cs="仿宋"/>
                <w:color w:val="auto"/>
                <w:kern w:val="0"/>
                <w:sz w:val="24"/>
                <w:highlight w:val="none"/>
              </w:rPr>
              <w:t>：00</w:t>
            </w:r>
            <w:r>
              <w:rPr>
                <w:rFonts w:hint="eastAsia" w:ascii="仿宋" w:hAnsi="仿宋" w:eastAsia="仿宋" w:cs="仿宋"/>
                <w:color w:val="auto"/>
                <w:sz w:val="24"/>
                <w:highlight w:val="none"/>
              </w:rPr>
              <w:t>整</w:t>
            </w:r>
          </w:p>
        </w:tc>
      </w:tr>
      <w:tr w14:paraId="47E6CCB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81" w:hRule="atLeast"/>
          <w:jc w:val="center"/>
        </w:trPr>
        <w:tc>
          <w:tcPr>
            <w:tcW w:w="709" w:type="dxa"/>
            <w:tcBorders>
              <w:top w:val="single" w:color="auto" w:sz="4" w:space="0"/>
              <w:left w:val="single" w:color="auto" w:sz="4" w:space="0"/>
              <w:bottom w:val="single" w:color="auto" w:sz="4" w:space="0"/>
              <w:right w:val="single" w:color="auto" w:sz="4" w:space="0"/>
            </w:tcBorders>
            <w:noWrap/>
            <w:vAlign w:val="center"/>
          </w:tcPr>
          <w:p w14:paraId="483DD04A">
            <w:pPr>
              <w:spacing w:line="530" w:lineRule="exact"/>
              <w:jc w:val="center"/>
              <w:rPr>
                <w:rFonts w:ascii="仿宋" w:hAnsi="仿宋" w:eastAsia="仿宋" w:cs="仿宋"/>
                <w:color w:val="auto"/>
                <w:sz w:val="24"/>
                <w:highlight w:val="none"/>
              </w:rPr>
            </w:pPr>
            <w:r>
              <w:rPr>
                <w:rFonts w:hint="eastAsia" w:ascii="仿宋" w:hAnsi="仿宋" w:eastAsia="仿宋" w:cs="仿宋"/>
                <w:color w:val="auto"/>
                <w:sz w:val="24"/>
                <w:highlight w:val="none"/>
              </w:rPr>
              <w:t>10</w:t>
            </w:r>
          </w:p>
        </w:tc>
        <w:tc>
          <w:tcPr>
            <w:tcW w:w="1736" w:type="dxa"/>
            <w:tcBorders>
              <w:top w:val="single" w:color="auto" w:sz="4" w:space="0"/>
              <w:left w:val="single" w:color="auto" w:sz="4" w:space="0"/>
              <w:bottom w:val="single" w:color="auto" w:sz="4" w:space="0"/>
              <w:right w:val="single" w:color="auto" w:sz="4" w:space="0"/>
            </w:tcBorders>
            <w:noWrap/>
            <w:vAlign w:val="center"/>
          </w:tcPr>
          <w:p w14:paraId="103F017D">
            <w:pPr>
              <w:spacing w:line="530" w:lineRule="exact"/>
              <w:jc w:val="center"/>
              <w:rPr>
                <w:rFonts w:ascii="仿宋" w:hAnsi="仿宋" w:eastAsia="仿宋" w:cs="仿宋"/>
                <w:bCs/>
                <w:color w:val="auto"/>
                <w:sz w:val="24"/>
                <w:highlight w:val="none"/>
              </w:rPr>
            </w:pPr>
            <w:r>
              <w:rPr>
                <w:rFonts w:hint="eastAsia" w:ascii="仿宋" w:hAnsi="仿宋" w:eastAsia="仿宋" w:cs="仿宋"/>
                <w:color w:val="auto"/>
                <w:sz w:val="24"/>
                <w:highlight w:val="none"/>
              </w:rPr>
              <w:t>磋商地点</w:t>
            </w:r>
          </w:p>
        </w:tc>
        <w:tc>
          <w:tcPr>
            <w:tcW w:w="7512" w:type="dxa"/>
            <w:tcBorders>
              <w:top w:val="single" w:color="auto" w:sz="4" w:space="0"/>
              <w:left w:val="single" w:color="auto" w:sz="4" w:space="0"/>
              <w:bottom w:val="single" w:color="auto" w:sz="4" w:space="0"/>
              <w:right w:val="single" w:color="auto" w:sz="4" w:space="0"/>
            </w:tcBorders>
            <w:noWrap/>
            <w:vAlign w:val="center"/>
          </w:tcPr>
          <w:p w14:paraId="51AAD7DB">
            <w:pPr>
              <w:spacing w:line="530" w:lineRule="exact"/>
              <w:rPr>
                <w:rFonts w:ascii="仿宋" w:hAnsi="仿宋" w:eastAsia="仿宋" w:cs="仿宋"/>
                <w:bCs/>
                <w:color w:val="auto"/>
                <w:sz w:val="24"/>
                <w:highlight w:val="none"/>
              </w:rPr>
            </w:pPr>
            <w:r>
              <w:rPr>
                <w:rFonts w:hint="eastAsia" w:ascii="仿宋" w:hAnsi="仿宋" w:eastAsia="仿宋" w:cs="仿宋"/>
                <w:bCs/>
                <w:color w:val="auto"/>
                <w:sz w:val="24"/>
                <w:highlight w:val="none"/>
              </w:rPr>
              <w:t>湖州市公共资源交易中心开标室（湖州市仁皇山片区金盖山路66号2号楼二楼，届时详见二楼休息区电子显示屏），未按时上传电子响应文件的将拒绝接收，作无效标处理。</w:t>
            </w:r>
          </w:p>
        </w:tc>
      </w:tr>
      <w:tr w14:paraId="5E21C89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62" w:hRule="atLeast"/>
          <w:jc w:val="center"/>
        </w:trPr>
        <w:tc>
          <w:tcPr>
            <w:tcW w:w="709" w:type="dxa"/>
            <w:tcBorders>
              <w:top w:val="single" w:color="auto" w:sz="4" w:space="0"/>
              <w:left w:val="single" w:color="auto" w:sz="4" w:space="0"/>
              <w:bottom w:val="single" w:color="auto" w:sz="4" w:space="0"/>
              <w:right w:val="single" w:color="auto" w:sz="4" w:space="0"/>
            </w:tcBorders>
            <w:noWrap/>
            <w:vAlign w:val="center"/>
          </w:tcPr>
          <w:p w14:paraId="2405A3CD">
            <w:pPr>
              <w:spacing w:line="530" w:lineRule="exact"/>
              <w:jc w:val="center"/>
              <w:rPr>
                <w:rFonts w:ascii="仿宋" w:hAnsi="仿宋" w:eastAsia="仿宋" w:cs="仿宋"/>
                <w:color w:val="auto"/>
                <w:sz w:val="24"/>
                <w:highlight w:val="none"/>
              </w:rPr>
            </w:pPr>
            <w:r>
              <w:rPr>
                <w:rFonts w:hint="eastAsia" w:ascii="仿宋" w:hAnsi="仿宋" w:eastAsia="仿宋" w:cs="仿宋"/>
                <w:color w:val="auto"/>
                <w:sz w:val="24"/>
                <w:highlight w:val="none"/>
              </w:rPr>
              <w:t>11</w:t>
            </w:r>
          </w:p>
        </w:tc>
        <w:tc>
          <w:tcPr>
            <w:tcW w:w="1736" w:type="dxa"/>
            <w:tcBorders>
              <w:top w:val="single" w:color="auto" w:sz="4" w:space="0"/>
              <w:left w:val="single" w:color="auto" w:sz="4" w:space="0"/>
              <w:bottom w:val="single" w:color="auto" w:sz="4" w:space="0"/>
              <w:right w:val="single" w:color="auto" w:sz="4" w:space="0"/>
            </w:tcBorders>
            <w:noWrap/>
            <w:vAlign w:val="center"/>
          </w:tcPr>
          <w:p w14:paraId="46AB21A4">
            <w:pPr>
              <w:spacing w:line="530" w:lineRule="exact"/>
              <w:ind w:firstLine="240" w:firstLineChars="100"/>
              <w:jc w:val="left"/>
              <w:rPr>
                <w:rFonts w:ascii="仿宋" w:hAnsi="仿宋" w:eastAsia="仿宋" w:cs="仿宋"/>
                <w:color w:val="auto"/>
                <w:sz w:val="24"/>
                <w:highlight w:val="none"/>
              </w:rPr>
            </w:pPr>
            <w:r>
              <w:rPr>
                <w:rFonts w:hint="eastAsia" w:ascii="仿宋" w:hAnsi="仿宋" w:eastAsia="仿宋" w:cs="仿宋"/>
                <w:color w:val="auto"/>
                <w:sz w:val="24"/>
                <w:highlight w:val="none"/>
              </w:rPr>
              <w:t>履约保证金</w:t>
            </w:r>
          </w:p>
        </w:tc>
        <w:tc>
          <w:tcPr>
            <w:tcW w:w="7512" w:type="dxa"/>
            <w:tcBorders>
              <w:top w:val="single" w:color="auto" w:sz="4" w:space="0"/>
              <w:left w:val="single" w:color="auto" w:sz="4" w:space="0"/>
              <w:bottom w:val="single" w:color="auto" w:sz="4" w:space="0"/>
              <w:right w:val="single" w:color="auto" w:sz="4" w:space="0"/>
            </w:tcBorders>
            <w:noWrap/>
            <w:vAlign w:val="center"/>
          </w:tcPr>
          <w:p w14:paraId="0B3A4F95">
            <w:pPr>
              <w:spacing w:line="530" w:lineRule="exact"/>
              <w:rPr>
                <w:rFonts w:ascii="仿宋" w:hAnsi="仿宋" w:eastAsia="仿宋" w:cs="仿宋"/>
                <w:bCs/>
                <w:color w:val="auto"/>
                <w:sz w:val="24"/>
                <w:highlight w:val="none"/>
              </w:rPr>
            </w:pPr>
            <w:r>
              <w:rPr>
                <w:rFonts w:hint="eastAsia" w:ascii="仿宋" w:hAnsi="仿宋" w:eastAsia="仿宋" w:cs="仿宋"/>
                <w:color w:val="auto"/>
                <w:sz w:val="24"/>
                <w:highlight w:val="none"/>
              </w:rPr>
              <w:t>无</w:t>
            </w:r>
          </w:p>
        </w:tc>
      </w:tr>
      <w:tr w14:paraId="11E7D68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62" w:hRule="atLeast"/>
          <w:jc w:val="center"/>
        </w:trPr>
        <w:tc>
          <w:tcPr>
            <w:tcW w:w="709" w:type="dxa"/>
            <w:tcBorders>
              <w:top w:val="single" w:color="auto" w:sz="4" w:space="0"/>
              <w:left w:val="single" w:color="auto" w:sz="4" w:space="0"/>
              <w:bottom w:val="single" w:color="auto" w:sz="4" w:space="0"/>
              <w:right w:val="single" w:color="auto" w:sz="4" w:space="0"/>
            </w:tcBorders>
            <w:noWrap/>
            <w:vAlign w:val="center"/>
          </w:tcPr>
          <w:p w14:paraId="2D43B0E6">
            <w:pPr>
              <w:spacing w:line="530" w:lineRule="exact"/>
              <w:jc w:val="center"/>
              <w:rPr>
                <w:rFonts w:ascii="仿宋" w:hAnsi="仿宋" w:eastAsia="仿宋" w:cs="仿宋"/>
                <w:color w:val="auto"/>
                <w:sz w:val="24"/>
                <w:highlight w:val="none"/>
              </w:rPr>
            </w:pPr>
            <w:r>
              <w:rPr>
                <w:rFonts w:hint="eastAsia" w:ascii="仿宋" w:hAnsi="仿宋" w:eastAsia="仿宋" w:cs="仿宋"/>
                <w:color w:val="auto"/>
                <w:sz w:val="24"/>
                <w:highlight w:val="none"/>
              </w:rPr>
              <w:t>12</w:t>
            </w:r>
          </w:p>
        </w:tc>
        <w:tc>
          <w:tcPr>
            <w:tcW w:w="1736" w:type="dxa"/>
            <w:tcBorders>
              <w:top w:val="single" w:color="auto" w:sz="4" w:space="0"/>
              <w:left w:val="single" w:color="auto" w:sz="4" w:space="0"/>
              <w:bottom w:val="single" w:color="auto" w:sz="4" w:space="0"/>
              <w:right w:val="single" w:color="auto" w:sz="4" w:space="0"/>
            </w:tcBorders>
            <w:noWrap/>
            <w:vAlign w:val="center"/>
          </w:tcPr>
          <w:p w14:paraId="45F82F29">
            <w:pPr>
              <w:spacing w:line="530" w:lineRule="exact"/>
              <w:jc w:val="center"/>
              <w:rPr>
                <w:rFonts w:ascii="仿宋" w:hAnsi="仿宋" w:eastAsia="仿宋" w:cs="仿宋"/>
                <w:bCs/>
                <w:color w:val="auto"/>
                <w:sz w:val="24"/>
                <w:highlight w:val="none"/>
              </w:rPr>
            </w:pPr>
            <w:r>
              <w:rPr>
                <w:rFonts w:hint="eastAsia" w:ascii="仿宋" w:hAnsi="仿宋" w:eastAsia="仿宋" w:cs="仿宋"/>
                <w:color w:val="auto"/>
                <w:sz w:val="24"/>
                <w:highlight w:val="none"/>
              </w:rPr>
              <w:t>磋商</w:t>
            </w:r>
            <w:r>
              <w:rPr>
                <w:rFonts w:hint="eastAsia" w:ascii="仿宋" w:hAnsi="仿宋" w:eastAsia="仿宋" w:cs="仿宋"/>
                <w:bCs/>
                <w:color w:val="auto"/>
                <w:sz w:val="24"/>
                <w:highlight w:val="none"/>
              </w:rPr>
              <w:t>有效期</w:t>
            </w:r>
          </w:p>
        </w:tc>
        <w:tc>
          <w:tcPr>
            <w:tcW w:w="7512" w:type="dxa"/>
            <w:tcBorders>
              <w:top w:val="single" w:color="auto" w:sz="4" w:space="0"/>
              <w:left w:val="single" w:color="auto" w:sz="4" w:space="0"/>
              <w:bottom w:val="single" w:color="auto" w:sz="4" w:space="0"/>
              <w:right w:val="single" w:color="auto" w:sz="4" w:space="0"/>
            </w:tcBorders>
            <w:noWrap/>
            <w:vAlign w:val="center"/>
          </w:tcPr>
          <w:p w14:paraId="41CE2E30">
            <w:pPr>
              <w:spacing w:line="530" w:lineRule="exact"/>
              <w:rPr>
                <w:rFonts w:ascii="仿宋" w:hAnsi="仿宋" w:eastAsia="仿宋" w:cs="仿宋"/>
                <w:color w:val="auto"/>
                <w:sz w:val="24"/>
                <w:highlight w:val="none"/>
              </w:rPr>
            </w:pPr>
            <w:r>
              <w:rPr>
                <w:rFonts w:hint="eastAsia" w:ascii="仿宋" w:hAnsi="仿宋" w:eastAsia="仿宋" w:cs="仿宋"/>
                <w:color w:val="auto"/>
                <w:sz w:val="24"/>
                <w:highlight w:val="none"/>
              </w:rPr>
              <w:t>60天（日历天）</w:t>
            </w:r>
          </w:p>
        </w:tc>
      </w:tr>
      <w:tr w14:paraId="49B379A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52" w:hRule="atLeast"/>
          <w:jc w:val="center"/>
        </w:trPr>
        <w:tc>
          <w:tcPr>
            <w:tcW w:w="709" w:type="dxa"/>
            <w:tcBorders>
              <w:top w:val="single" w:color="auto" w:sz="4" w:space="0"/>
              <w:left w:val="single" w:color="auto" w:sz="4" w:space="0"/>
              <w:bottom w:val="single" w:color="auto" w:sz="4" w:space="0"/>
              <w:right w:val="single" w:color="auto" w:sz="4" w:space="0"/>
            </w:tcBorders>
            <w:noWrap/>
            <w:vAlign w:val="center"/>
          </w:tcPr>
          <w:p w14:paraId="103AE543">
            <w:pPr>
              <w:spacing w:line="530" w:lineRule="exact"/>
              <w:jc w:val="center"/>
              <w:rPr>
                <w:rFonts w:ascii="仿宋" w:hAnsi="仿宋" w:eastAsia="仿宋" w:cs="仿宋"/>
                <w:color w:val="auto"/>
                <w:sz w:val="24"/>
                <w:highlight w:val="none"/>
              </w:rPr>
            </w:pPr>
            <w:r>
              <w:rPr>
                <w:rFonts w:hint="eastAsia" w:ascii="仿宋" w:hAnsi="仿宋" w:eastAsia="仿宋" w:cs="仿宋"/>
                <w:color w:val="auto"/>
                <w:sz w:val="24"/>
                <w:highlight w:val="none"/>
              </w:rPr>
              <w:t>13</w:t>
            </w:r>
          </w:p>
        </w:tc>
        <w:tc>
          <w:tcPr>
            <w:tcW w:w="1736" w:type="dxa"/>
            <w:tcBorders>
              <w:top w:val="single" w:color="auto" w:sz="4" w:space="0"/>
              <w:left w:val="single" w:color="auto" w:sz="4" w:space="0"/>
              <w:bottom w:val="single" w:color="auto" w:sz="4" w:space="0"/>
              <w:right w:val="single" w:color="auto" w:sz="4" w:space="0"/>
            </w:tcBorders>
            <w:noWrap/>
            <w:vAlign w:val="center"/>
          </w:tcPr>
          <w:p w14:paraId="58FF42DD">
            <w:pPr>
              <w:spacing w:line="530" w:lineRule="exact"/>
              <w:jc w:val="center"/>
              <w:rPr>
                <w:rFonts w:ascii="仿宋" w:hAnsi="仿宋" w:eastAsia="仿宋" w:cs="仿宋"/>
                <w:bCs/>
                <w:color w:val="auto"/>
                <w:sz w:val="24"/>
                <w:highlight w:val="none"/>
              </w:rPr>
            </w:pPr>
            <w:r>
              <w:rPr>
                <w:rFonts w:hint="eastAsia" w:ascii="仿宋" w:hAnsi="仿宋" w:eastAsia="仿宋" w:cs="仿宋"/>
                <w:bCs/>
                <w:color w:val="auto"/>
                <w:sz w:val="24"/>
                <w:highlight w:val="none"/>
              </w:rPr>
              <w:t>磋商办法及评分标准</w:t>
            </w:r>
          </w:p>
        </w:tc>
        <w:tc>
          <w:tcPr>
            <w:tcW w:w="7512" w:type="dxa"/>
            <w:tcBorders>
              <w:top w:val="single" w:color="auto" w:sz="4" w:space="0"/>
              <w:left w:val="single" w:color="auto" w:sz="4" w:space="0"/>
              <w:bottom w:val="single" w:color="auto" w:sz="4" w:space="0"/>
              <w:right w:val="single" w:color="auto" w:sz="4" w:space="0"/>
            </w:tcBorders>
            <w:noWrap/>
            <w:vAlign w:val="center"/>
          </w:tcPr>
          <w:p w14:paraId="3DE89E14">
            <w:pPr>
              <w:spacing w:line="530" w:lineRule="exact"/>
              <w:rPr>
                <w:rFonts w:ascii="仿宋" w:hAnsi="仿宋" w:eastAsia="仿宋" w:cs="仿宋"/>
                <w:bCs/>
                <w:color w:val="auto"/>
                <w:sz w:val="24"/>
                <w:highlight w:val="none"/>
              </w:rPr>
            </w:pPr>
            <w:r>
              <w:rPr>
                <w:rFonts w:hint="eastAsia" w:ascii="仿宋" w:hAnsi="仿宋" w:eastAsia="仿宋" w:cs="仿宋"/>
                <w:bCs/>
                <w:color w:val="auto"/>
                <w:sz w:val="24"/>
                <w:highlight w:val="none"/>
              </w:rPr>
              <w:t>详见磋商文件第六章</w:t>
            </w:r>
          </w:p>
        </w:tc>
      </w:tr>
      <w:tr w14:paraId="46ABA30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74" w:hRule="atLeast"/>
          <w:jc w:val="center"/>
        </w:trPr>
        <w:tc>
          <w:tcPr>
            <w:tcW w:w="709" w:type="dxa"/>
            <w:tcBorders>
              <w:top w:val="single" w:color="auto" w:sz="4" w:space="0"/>
              <w:left w:val="single" w:color="auto" w:sz="4" w:space="0"/>
              <w:bottom w:val="single" w:color="auto" w:sz="4" w:space="0"/>
              <w:right w:val="single" w:color="auto" w:sz="4" w:space="0"/>
            </w:tcBorders>
            <w:noWrap/>
            <w:vAlign w:val="center"/>
          </w:tcPr>
          <w:p w14:paraId="09689FD6">
            <w:pPr>
              <w:spacing w:line="530" w:lineRule="exact"/>
              <w:jc w:val="center"/>
              <w:rPr>
                <w:rFonts w:ascii="仿宋" w:hAnsi="仿宋" w:eastAsia="仿宋" w:cs="仿宋"/>
                <w:bCs/>
                <w:color w:val="auto"/>
                <w:sz w:val="24"/>
                <w:highlight w:val="none"/>
              </w:rPr>
            </w:pPr>
            <w:r>
              <w:rPr>
                <w:rFonts w:hint="eastAsia" w:ascii="仿宋" w:hAnsi="仿宋" w:eastAsia="仿宋" w:cs="仿宋"/>
                <w:bCs/>
                <w:color w:val="auto"/>
                <w:sz w:val="24"/>
                <w:highlight w:val="none"/>
              </w:rPr>
              <w:t>14</w:t>
            </w:r>
          </w:p>
        </w:tc>
        <w:tc>
          <w:tcPr>
            <w:tcW w:w="1736" w:type="dxa"/>
            <w:tcBorders>
              <w:top w:val="single" w:color="auto" w:sz="4" w:space="0"/>
              <w:left w:val="single" w:color="auto" w:sz="4" w:space="0"/>
              <w:bottom w:val="single" w:color="auto" w:sz="4" w:space="0"/>
              <w:right w:val="single" w:color="auto" w:sz="4" w:space="0"/>
            </w:tcBorders>
            <w:noWrap/>
            <w:vAlign w:val="center"/>
          </w:tcPr>
          <w:p w14:paraId="70C5B685">
            <w:pPr>
              <w:spacing w:line="530" w:lineRule="exact"/>
              <w:jc w:val="center"/>
              <w:rPr>
                <w:rFonts w:ascii="仿宋" w:hAnsi="仿宋" w:eastAsia="仿宋" w:cs="仿宋"/>
                <w:bCs/>
                <w:color w:val="auto"/>
                <w:sz w:val="24"/>
                <w:highlight w:val="none"/>
              </w:rPr>
            </w:pPr>
            <w:r>
              <w:rPr>
                <w:rFonts w:hint="eastAsia" w:ascii="仿宋" w:hAnsi="仿宋" w:eastAsia="仿宋" w:cs="仿宋"/>
                <w:bCs/>
                <w:color w:val="auto"/>
                <w:sz w:val="24"/>
                <w:highlight w:val="none"/>
              </w:rPr>
              <w:t>采购人</w:t>
            </w:r>
          </w:p>
        </w:tc>
        <w:tc>
          <w:tcPr>
            <w:tcW w:w="7512" w:type="dxa"/>
            <w:tcBorders>
              <w:top w:val="single" w:color="auto" w:sz="4" w:space="0"/>
              <w:left w:val="single" w:color="auto" w:sz="4" w:space="0"/>
              <w:bottom w:val="single" w:color="auto" w:sz="4" w:space="0"/>
              <w:right w:val="single" w:color="auto" w:sz="4" w:space="0"/>
            </w:tcBorders>
            <w:noWrap/>
            <w:vAlign w:val="center"/>
          </w:tcPr>
          <w:p w14:paraId="3742E672">
            <w:pPr>
              <w:spacing w:line="530" w:lineRule="exact"/>
              <w:rPr>
                <w:rFonts w:hint="eastAsia" w:ascii="仿宋" w:hAnsi="仿宋" w:eastAsia="仿宋" w:cs="仿宋"/>
                <w:bCs/>
                <w:color w:val="auto"/>
                <w:sz w:val="24"/>
                <w:highlight w:val="none"/>
                <w:lang w:eastAsia="zh-CN"/>
              </w:rPr>
            </w:pPr>
            <w:r>
              <w:rPr>
                <w:rFonts w:hint="eastAsia" w:ascii="仿宋" w:hAnsi="仿宋" w:eastAsia="仿宋" w:cs="仿宋"/>
                <w:bCs/>
                <w:color w:val="auto"/>
                <w:sz w:val="24"/>
                <w:highlight w:val="none"/>
                <w:lang w:eastAsia="zh-CN"/>
              </w:rPr>
              <w:t>湖州市体育局</w:t>
            </w:r>
          </w:p>
        </w:tc>
      </w:tr>
      <w:tr w14:paraId="6F34D2B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93" w:hRule="atLeast"/>
          <w:jc w:val="center"/>
        </w:trPr>
        <w:tc>
          <w:tcPr>
            <w:tcW w:w="709" w:type="dxa"/>
            <w:tcBorders>
              <w:top w:val="single" w:color="auto" w:sz="4" w:space="0"/>
              <w:left w:val="single" w:color="auto" w:sz="4" w:space="0"/>
              <w:bottom w:val="single" w:color="auto" w:sz="4" w:space="0"/>
              <w:right w:val="single" w:color="auto" w:sz="4" w:space="0"/>
            </w:tcBorders>
            <w:noWrap/>
            <w:vAlign w:val="center"/>
          </w:tcPr>
          <w:p w14:paraId="54C0E4CE">
            <w:pPr>
              <w:spacing w:line="530" w:lineRule="exact"/>
              <w:jc w:val="center"/>
              <w:rPr>
                <w:rFonts w:ascii="仿宋" w:hAnsi="仿宋" w:eastAsia="仿宋" w:cs="仿宋"/>
                <w:bCs/>
                <w:color w:val="auto"/>
                <w:sz w:val="24"/>
                <w:highlight w:val="none"/>
              </w:rPr>
            </w:pPr>
            <w:r>
              <w:rPr>
                <w:rFonts w:hint="eastAsia" w:ascii="仿宋" w:hAnsi="仿宋" w:eastAsia="仿宋" w:cs="仿宋"/>
                <w:bCs/>
                <w:color w:val="auto"/>
                <w:sz w:val="24"/>
                <w:highlight w:val="none"/>
              </w:rPr>
              <w:t>15</w:t>
            </w:r>
          </w:p>
        </w:tc>
        <w:tc>
          <w:tcPr>
            <w:tcW w:w="1736" w:type="dxa"/>
            <w:tcBorders>
              <w:top w:val="single" w:color="auto" w:sz="4" w:space="0"/>
              <w:left w:val="single" w:color="auto" w:sz="4" w:space="0"/>
              <w:bottom w:val="single" w:color="auto" w:sz="4" w:space="0"/>
              <w:right w:val="single" w:color="auto" w:sz="4" w:space="0"/>
            </w:tcBorders>
            <w:noWrap/>
            <w:vAlign w:val="center"/>
          </w:tcPr>
          <w:p w14:paraId="44CF4ECD">
            <w:pPr>
              <w:spacing w:line="530" w:lineRule="exact"/>
              <w:jc w:val="center"/>
              <w:rPr>
                <w:rFonts w:ascii="仿宋" w:hAnsi="仿宋" w:eastAsia="仿宋" w:cs="仿宋"/>
                <w:bCs/>
                <w:color w:val="auto"/>
                <w:sz w:val="24"/>
                <w:highlight w:val="none"/>
              </w:rPr>
            </w:pPr>
            <w:r>
              <w:rPr>
                <w:rFonts w:hint="eastAsia" w:ascii="仿宋" w:hAnsi="仿宋" w:eastAsia="仿宋" w:cs="仿宋"/>
                <w:bCs/>
                <w:color w:val="auto"/>
                <w:sz w:val="24"/>
                <w:highlight w:val="none"/>
              </w:rPr>
              <w:t>其他</w:t>
            </w:r>
          </w:p>
        </w:tc>
        <w:tc>
          <w:tcPr>
            <w:tcW w:w="7512" w:type="dxa"/>
            <w:tcBorders>
              <w:top w:val="single" w:color="auto" w:sz="4" w:space="0"/>
              <w:left w:val="single" w:color="auto" w:sz="4" w:space="0"/>
              <w:bottom w:val="single" w:color="auto" w:sz="4" w:space="0"/>
              <w:right w:val="single" w:color="auto" w:sz="4" w:space="0"/>
            </w:tcBorders>
            <w:noWrap/>
            <w:vAlign w:val="center"/>
          </w:tcPr>
          <w:p w14:paraId="0DE7B70E">
            <w:pPr>
              <w:spacing w:line="530" w:lineRule="exact"/>
              <w:rPr>
                <w:rFonts w:ascii="仿宋" w:hAnsi="仿宋" w:eastAsia="仿宋" w:cs="仿宋"/>
                <w:bCs/>
                <w:color w:val="auto"/>
                <w:sz w:val="24"/>
                <w:highlight w:val="none"/>
              </w:rPr>
            </w:pPr>
            <w:r>
              <w:rPr>
                <w:rFonts w:hint="eastAsia" w:ascii="仿宋" w:hAnsi="仿宋" w:eastAsia="仿宋" w:cs="仿宋"/>
                <w:bCs/>
                <w:color w:val="auto"/>
                <w:sz w:val="24"/>
                <w:highlight w:val="none"/>
              </w:rPr>
              <w:t>在确定成交供应商后，签订合同前，成交供应商须提供二份完整的纸质响应文件</w:t>
            </w:r>
            <w:r>
              <w:rPr>
                <w:rFonts w:hint="eastAsia" w:ascii="仿宋" w:hAnsi="仿宋" w:eastAsia="仿宋" w:cs="仿宋"/>
                <w:b/>
                <w:bCs/>
                <w:color w:val="auto"/>
                <w:sz w:val="24"/>
                <w:highlight w:val="none"/>
              </w:rPr>
              <w:t>（包括最后报价文件）</w:t>
            </w:r>
            <w:r>
              <w:rPr>
                <w:rFonts w:hint="eastAsia" w:ascii="仿宋" w:hAnsi="仿宋" w:eastAsia="仿宋" w:cs="仿宋"/>
                <w:bCs/>
                <w:color w:val="auto"/>
                <w:sz w:val="24"/>
                <w:highlight w:val="none"/>
              </w:rPr>
              <w:t>给采购人，纸质响应文件须与电子响应文件格式及内容一致。</w:t>
            </w:r>
          </w:p>
        </w:tc>
      </w:tr>
    </w:tbl>
    <w:p w14:paraId="547000A3">
      <w:pPr>
        <w:pStyle w:val="2"/>
        <w:spacing w:line="560" w:lineRule="exact"/>
        <w:jc w:val="center"/>
        <w:rPr>
          <w:rFonts w:ascii="仿宋" w:hAnsi="仿宋" w:eastAsia="仿宋" w:cs="仿宋"/>
          <w:color w:val="auto"/>
          <w:sz w:val="28"/>
          <w:szCs w:val="28"/>
          <w:highlight w:val="none"/>
        </w:rPr>
      </w:pPr>
      <w:bookmarkStart w:id="6" w:name="_Toc113441587"/>
      <w:bookmarkStart w:id="7" w:name="_Toc452995896"/>
      <w:r>
        <w:rPr>
          <w:rFonts w:hint="eastAsia" w:ascii="仿宋" w:hAnsi="仿宋" w:eastAsia="仿宋" w:cs="仿宋"/>
          <w:color w:val="auto"/>
          <w:sz w:val="28"/>
          <w:szCs w:val="28"/>
          <w:highlight w:val="none"/>
        </w:rPr>
        <w:t>一、</w:t>
      </w:r>
      <w:bookmarkEnd w:id="6"/>
      <w:r>
        <w:rPr>
          <w:rFonts w:hint="eastAsia" w:ascii="仿宋" w:hAnsi="仿宋" w:eastAsia="仿宋" w:cs="仿宋"/>
          <w:color w:val="auto"/>
          <w:sz w:val="28"/>
          <w:szCs w:val="28"/>
          <w:highlight w:val="none"/>
        </w:rPr>
        <w:t>总  则</w:t>
      </w:r>
      <w:bookmarkEnd w:id="7"/>
    </w:p>
    <w:p w14:paraId="677CCC2B">
      <w:pPr>
        <w:spacing w:line="560" w:lineRule="exact"/>
        <w:rPr>
          <w:rFonts w:ascii="仿宋" w:hAnsi="仿宋" w:eastAsia="仿宋" w:cs="仿宋"/>
          <w:color w:val="auto"/>
          <w:sz w:val="24"/>
          <w:highlight w:val="none"/>
        </w:rPr>
      </w:pPr>
      <w:r>
        <w:rPr>
          <w:rFonts w:hint="eastAsia" w:ascii="仿宋" w:hAnsi="仿宋" w:eastAsia="仿宋" w:cs="仿宋"/>
          <w:color w:val="auto"/>
          <w:sz w:val="24"/>
          <w:highlight w:val="none"/>
        </w:rPr>
        <w:t>1．概况</w:t>
      </w:r>
    </w:p>
    <w:p w14:paraId="43F5BABF">
      <w:pPr>
        <w:tabs>
          <w:tab w:val="left" w:pos="900"/>
        </w:tabs>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1.1项目名称：</w:t>
      </w:r>
      <w:r>
        <w:rPr>
          <w:rFonts w:hint="eastAsia" w:ascii="仿宋" w:hAnsi="仿宋" w:eastAsia="仿宋" w:cs="宋体"/>
          <w:bCs/>
          <w:color w:val="auto"/>
          <w:sz w:val="24"/>
          <w:highlight w:val="none"/>
          <w:lang w:eastAsia="zh-CN"/>
        </w:rPr>
        <w:t>举办湖州市气排球超级联赛项目</w:t>
      </w:r>
      <w:r>
        <w:rPr>
          <w:rFonts w:hint="eastAsia" w:ascii="仿宋" w:hAnsi="仿宋" w:eastAsia="仿宋" w:cs="宋体"/>
          <w:bCs/>
          <w:color w:val="auto"/>
          <w:sz w:val="24"/>
          <w:highlight w:val="none"/>
        </w:rPr>
        <w:t>；</w:t>
      </w:r>
    </w:p>
    <w:p w14:paraId="7C242DF0">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1.2采购人：</w:t>
      </w:r>
      <w:r>
        <w:rPr>
          <w:rFonts w:hint="eastAsia" w:ascii="仿宋" w:hAnsi="仿宋" w:eastAsia="仿宋" w:cs="仿宋"/>
          <w:bCs/>
          <w:color w:val="auto"/>
          <w:sz w:val="24"/>
          <w:highlight w:val="none"/>
          <w:lang w:eastAsia="zh-CN"/>
        </w:rPr>
        <w:t>湖州市体育局</w:t>
      </w:r>
      <w:r>
        <w:rPr>
          <w:rFonts w:hint="eastAsia" w:ascii="仿宋" w:hAnsi="仿宋" w:eastAsia="仿宋" w:cs="仿宋"/>
          <w:color w:val="auto"/>
          <w:sz w:val="24"/>
          <w:highlight w:val="none"/>
        </w:rPr>
        <w:t>；</w:t>
      </w:r>
    </w:p>
    <w:p w14:paraId="3044F61A">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1.3监管部门: 湖州市财政局政府采购监管处；</w:t>
      </w:r>
    </w:p>
    <w:p w14:paraId="7F1BBE77">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1.4项目资金来源：已得到政府有关部门的批准，其资金来源已落实；</w:t>
      </w:r>
    </w:p>
    <w:p w14:paraId="5844A87C">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1.5采购方式:竞争性磋商；</w:t>
      </w:r>
    </w:p>
    <w:p w14:paraId="021BCC3F">
      <w:pPr>
        <w:spacing w:line="560" w:lineRule="exact"/>
        <w:ind w:firstLine="480" w:firstLineChars="200"/>
        <w:rPr>
          <w:rFonts w:ascii="仿宋" w:hAnsi="仿宋" w:eastAsia="仿宋" w:cs="仿宋"/>
          <w:b/>
          <w:bCs/>
          <w:color w:val="auto"/>
          <w:sz w:val="24"/>
          <w:highlight w:val="none"/>
        </w:rPr>
      </w:pPr>
      <w:r>
        <w:rPr>
          <w:rFonts w:hint="eastAsia" w:ascii="仿宋" w:hAnsi="仿宋" w:eastAsia="仿宋" w:cs="仿宋"/>
          <w:color w:val="auto"/>
          <w:sz w:val="24"/>
          <w:highlight w:val="none"/>
        </w:rPr>
        <w:t>1.6采购项目服务地点：</w:t>
      </w:r>
      <w:r>
        <w:rPr>
          <w:rFonts w:hint="eastAsia" w:ascii="仿宋" w:hAnsi="仿宋" w:eastAsia="仿宋" w:cs="仿宋"/>
          <w:bCs/>
          <w:color w:val="auto"/>
          <w:sz w:val="24"/>
          <w:highlight w:val="none"/>
        </w:rPr>
        <w:t>根据采购人指令</w:t>
      </w:r>
      <w:r>
        <w:rPr>
          <w:rFonts w:hint="eastAsia" w:ascii="仿宋" w:hAnsi="仿宋" w:eastAsia="仿宋" w:cs="仿宋"/>
          <w:color w:val="auto"/>
          <w:sz w:val="24"/>
          <w:highlight w:val="none"/>
        </w:rPr>
        <w:t>；</w:t>
      </w:r>
    </w:p>
    <w:p w14:paraId="7F82C1EF">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bCs/>
          <w:color w:val="auto"/>
          <w:sz w:val="24"/>
          <w:highlight w:val="none"/>
        </w:rPr>
        <w:t>1.7</w:t>
      </w:r>
      <w:r>
        <w:rPr>
          <w:rFonts w:hint="eastAsia" w:ascii="仿宋" w:hAnsi="仿宋" w:eastAsia="仿宋" w:cs="仿宋"/>
          <w:color w:val="auto"/>
          <w:sz w:val="24"/>
          <w:highlight w:val="none"/>
        </w:rPr>
        <w:t>采购代理机构：浙江新诚信工程咨询有限公司；</w:t>
      </w:r>
    </w:p>
    <w:p w14:paraId="006AD167">
      <w:pPr>
        <w:tabs>
          <w:tab w:val="left" w:pos="900"/>
        </w:tabs>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1.8本磋商文件适用于</w:t>
      </w:r>
      <w:r>
        <w:rPr>
          <w:rFonts w:hint="eastAsia" w:ascii="仿宋" w:hAnsi="仿宋" w:eastAsia="仿宋" w:cs="仿宋"/>
          <w:bCs/>
          <w:color w:val="auto"/>
          <w:sz w:val="24"/>
          <w:highlight w:val="none"/>
        </w:rPr>
        <w:t>本</w:t>
      </w:r>
      <w:r>
        <w:rPr>
          <w:rFonts w:hint="eastAsia" w:ascii="仿宋" w:hAnsi="仿宋" w:eastAsia="仿宋" w:cs="仿宋"/>
          <w:color w:val="auto"/>
          <w:sz w:val="24"/>
          <w:highlight w:val="none"/>
        </w:rPr>
        <w:t>项目的磋商、成交、验收、合同履约、付款等（如法律、法规或省级以上规范性文件另有规定的，从其规定）。</w:t>
      </w:r>
    </w:p>
    <w:p w14:paraId="5988C245">
      <w:pPr>
        <w:spacing w:line="560" w:lineRule="exact"/>
        <w:rPr>
          <w:rFonts w:ascii="仿宋" w:hAnsi="仿宋" w:eastAsia="仿宋" w:cs="仿宋"/>
          <w:color w:val="auto"/>
          <w:sz w:val="24"/>
          <w:highlight w:val="none"/>
        </w:rPr>
      </w:pPr>
      <w:r>
        <w:rPr>
          <w:rFonts w:hint="eastAsia" w:ascii="仿宋" w:hAnsi="仿宋" w:eastAsia="仿宋" w:cs="仿宋"/>
          <w:color w:val="auto"/>
          <w:sz w:val="24"/>
          <w:highlight w:val="none"/>
        </w:rPr>
        <w:t>2．供应商的资格条件</w:t>
      </w:r>
    </w:p>
    <w:p w14:paraId="4D6205F8">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2.1符合《中华人民共和国政府采购法》第二十二条规定且未被“信用中国”（www.creditchina.gov.cn）、“中国政府采购网”（www.ccgp.gov.cn）等列入失信被执行人、重大税收违法案件当事人名单、政府采购严重违法失信行为记录名单。</w:t>
      </w:r>
    </w:p>
    <w:p w14:paraId="2078293E">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w:t>
      </w:r>
      <w:r>
        <w:rPr>
          <w:rFonts w:hint="eastAsia" w:ascii="仿宋" w:hAnsi="仿宋" w:eastAsia="仿宋" w:cs="仿宋"/>
          <w:color w:val="auto"/>
          <w:sz w:val="24"/>
          <w:highlight w:val="none"/>
          <w:lang w:val="en-US" w:eastAsia="zh-CN"/>
        </w:rPr>
        <w:t>2</w:t>
      </w:r>
      <w:r>
        <w:rPr>
          <w:rFonts w:hint="eastAsia" w:ascii="仿宋" w:hAnsi="仿宋" w:eastAsia="仿宋" w:cs="仿宋"/>
          <w:color w:val="auto"/>
          <w:sz w:val="24"/>
          <w:highlight w:val="none"/>
        </w:rPr>
        <w:t>本项目不接受联合体磋商。</w:t>
      </w:r>
    </w:p>
    <w:p w14:paraId="4512E940">
      <w:pPr>
        <w:spacing w:line="560" w:lineRule="exact"/>
        <w:rPr>
          <w:rFonts w:ascii="仿宋" w:hAnsi="仿宋" w:eastAsia="仿宋" w:cs="仿宋"/>
          <w:bCs/>
          <w:color w:val="auto"/>
          <w:sz w:val="24"/>
          <w:highlight w:val="none"/>
        </w:rPr>
      </w:pPr>
      <w:r>
        <w:rPr>
          <w:rFonts w:hint="eastAsia" w:ascii="仿宋" w:hAnsi="仿宋" w:eastAsia="仿宋" w:cs="仿宋"/>
          <w:bCs/>
          <w:color w:val="auto"/>
          <w:sz w:val="24"/>
          <w:highlight w:val="none"/>
        </w:rPr>
        <w:t>3．磋商费用</w:t>
      </w:r>
    </w:p>
    <w:p w14:paraId="43ECDF17">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bCs/>
          <w:color w:val="auto"/>
          <w:sz w:val="24"/>
          <w:highlight w:val="none"/>
        </w:rPr>
        <w:t>3.1无论磋商采购结果如何，供应商均应自行承担所有与参加本次磋商采购有关的全部费用。</w:t>
      </w:r>
      <w:r>
        <w:rPr>
          <w:rFonts w:hint="eastAsia" w:ascii="仿宋" w:hAnsi="仿宋" w:eastAsia="仿宋" w:cs="仿宋"/>
          <w:color w:val="auto"/>
          <w:sz w:val="24"/>
          <w:highlight w:val="none"/>
        </w:rPr>
        <w:t>不论磋商结果如何，采购代理机构对上述费用不负任何责任；</w:t>
      </w:r>
    </w:p>
    <w:p w14:paraId="25B2744A">
      <w:pPr>
        <w:spacing w:line="560" w:lineRule="exact"/>
        <w:ind w:firstLine="480" w:firstLineChars="200"/>
        <w:rPr>
          <w:rFonts w:ascii="仿宋" w:hAnsi="仿宋" w:eastAsia="仿宋" w:cs="仿宋"/>
          <w:b/>
          <w:color w:val="auto"/>
          <w:sz w:val="44"/>
          <w:szCs w:val="44"/>
          <w:highlight w:val="none"/>
        </w:rPr>
      </w:pPr>
      <w:r>
        <w:rPr>
          <w:rFonts w:hint="eastAsia" w:ascii="仿宋" w:hAnsi="仿宋" w:eastAsia="仿宋" w:cs="仿宋"/>
          <w:bCs/>
          <w:color w:val="auto"/>
          <w:sz w:val="24"/>
          <w:highlight w:val="none"/>
        </w:rPr>
        <w:t>3.2本项目磋商代理费按人民币</w:t>
      </w:r>
      <w:r>
        <w:rPr>
          <w:rFonts w:hint="eastAsia" w:ascii="仿宋" w:hAnsi="仿宋" w:eastAsia="仿宋" w:cs="仿宋"/>
          <w:b/>
          <w:color w:val="auto"/>
          <w:sz w:val="24"/>
          <w:highlight w:val="none"/>
          <w:u w:val="single"/>
          <w:lang w:val="en-US" w:eastAsia="zh-CN"/>
        </w:rPr>
        <w:t>3000元</w:t>
      </w:r>
      <w:r>
        <w:rPr>
          <w:rFonts w:hint="eastAsia" w:ascii="仿宋" w:hAnsi="仿宋" w:eastAsia="仿宋" w:cs="仿宋"/>
          <w:bCs/>
          <w:color w:val="auto"/>
          <w:sz w:val="24"/>
          <w:highlight w:val="none"/>
        </w:rPr>
        <w:t>计取，由成交供应商在领取成交通知书前一次性支付给采购代理机构，该费用请综合考虑在响应报价中。</w:t>
      </w:r>
    </w:p>
    <w:p w14:paraId="71C8D396">
      <w:pPr>
        <w:pStyle w:val="2"/>
        <w:spacing w:line="560" w:lineRule="exact"/>
        <w:jc w:val="center"/>
        <w:rPr>
          <w:rFonts w:ascii="仿宋" w:hAnsi="仿宋" w:eastAsia="仿宋" w:cs="仿宋"/>
          <w:color w:val="auto"/>
          <w:kern w:val="44"/>
          <w:sz w:val="28"/>
          <w:szCs w:val="28"/>
          <w:highlight w:val="none"/>
        </w:rPr>
      </w:pPr>
      <w:bookmarkStart w:id="8" w:name="_Toc452995897"/>
      <w:r>
        <w:rPr>
          <w:rFonts w:hint="eastAsia" w:ascii="仿宋" w:hAnsi="仿宋" w:eastAsia="仿宋" w:cs="仿宋"/>
          <w:color w:val="auto"/>
          <w:kern w:val="44"/>
          <w:sz w:val="28"/>
          <w:szCs w:val="28"/>
          <w:highlight w:val="none"/>
        </w:rPr>
        <w:t>二、磋商文件的说明</w:t>
      </w:r>
      <w:bookmarkEnd w:id="8"/>
    </w:p>
    <w:p w14:paraId="59EA3F23">
      <w:pPr>
        <w:spacing w:line="560" w:lineRule="exact"/>
        <w:rPr>
          <w:rFonts w:ascii="仿宋" w:hAnsi="仿宋" w:eastAsia="仿宋" w:cs="仿宋"/>
          <w:color w:val="auto"/>
          <w:kern w:val="44"/>
          <w:sz w:val="24"/>
          <w:highlight w:val="none"/>
        </w:rPr>
      </w:pPr>
      <w:bookmarkStart w:id="9" w:name="_Toc113441589"/>
      <w:r>
        <w:rPr>
          <w:rFonts w:hint="eastAsia" w:ascii="仿宋" w:hAnsi="仿宋" w:eastAsia="仿宋" w:cs="仿宋"/>
          <w:color w:val="auto"/>
          <w:kern w:val="44"/>
          <w:sz w:val="24"/>
          <w:highlight w:val="none"/>
        </w:rPr>
        <w:t>4．磋商文件</w:t>
      </w:r>
      <w:bookmarkEnd w:id="9"/>
      <w:r>
        <w:rPr>
          <w:rFonts w:hint="eastAsia" w:ascii="仿宋" w:hAnsi="仿宋" w:eastAsia="仿宋" w:cs="仿宋"/>
          <w:color w:val="auto"/>
          <w:kern w:val="44"/>
          <w:sz w:val="24"/>
          <w:highlight w:val="none"/>
        </w:rPr>
        <w:t>的组成</w:t>
      </w:r>
    </w:p>
    <w:p w14:paraId="7B2E0729">
      <w:pPr>
        <w:spacing w:line="560" w:lineRule="exact"/>
        <w:ind w:firstLine="480" w:firstLineChars="200"/>
        <w:rPr>
          <w:rFonts w:ascii="仿宋" w:hAnsi="仿宋" w:eastAsia="仿宋" w:cs="仿宋"/>
          <w:bCs/>
          <w:color w:val="auto"/>
          <w:sz w:val="24"/>
          <w:highlight w:val="none"/>
        </w:rPr>
      </w:pPr>
      <w:r>
        <w:rPr>
          <w:rFonts w:hint="eastAsia" w:ascii="仿宋" w:hAnsi="仿宋" w:eastAsia="仿宋" w:cs="仿宋"/>
          <w:color w:val="auto"/>
          <w:sz w:val="24"/>
          <w:highlight w:val="none"/>
        </w:rPr>
        <w:t>4.1</w:t>
      </w:r>
      <w:r>
        <w:rPr>
          <w:rFonts w:hint="eastAsia" w:ascii="仿宋" w:hAnsi="仿宋" w:eastAsia="仿宋" w:cs="仿宋"/>
          <w:bCs/>
          <w:color w:val="auto"/>
          <w:sz w:val="24"/>
          <w:highlight w:val="none"/>
        </w:rPr>
        <w:t>磋商文件为本次采购人发出的竞争性磋商文件；响应文件为参加磋商的供应商提交的磋商响应文件。</w:t>
      </w:r>
    </w:p>
    <w:p w14:paraId="260ABCA0">
      <w:pPr>
        <w:spacing w:line="560" w:lineRule="exact"/>
        <w:ind w:firstLine="480" w:firstLineChars="200"/>
        <w:rPr>
          <w:rFonts w:ascii="仿宋" w:hAnsi="仿宋" w:eastAsia="仿宋" w:cs="仿宋"/>
          <w:bCs/>
          <w:color w:val="auto"/>
          <w:sz w:val="24"/>
          <w:highlight w:val="none"/>
        </w:rPr>
      </w:pPr>
      <w:r>
        <w:rPr>
          <w:rFonts w:hint="eastAsia" w:ascii="仿宋" w:hAnsi="仿宋" w:eastAsia="仿宋" w:cs="仿宋"/>
          <w:bCs/>
          <w:color w:val="auto"/>
          <w:sz w:val="24"/>
          <w:highlight w:val="none"/>
        </w:rPr>
        <w:t>4.2磋商文件包括以下内容：</w:t>
      </w:r>
    </w:p>
    <w:p w14:paraId="4D3824D9">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4.2.1第一章  竞争性磋商公告</w:t>
      </w:r>
    </w:p>
    <w:p w14:paraId="5F8FA2E8">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4.2.2第二章  项目采购需求</w:t>
      </w:r>
    </w:p>
    <w:p w14:paraId="72B186E2">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4.2.3第三章  供应商须知</w:t>
      </w:r>
    </w:p>
    <w:p w14:paraId="4AF04405">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4.2.4第四章  合同主要条款</w:t>
      </w:r>
    </w:p>
    <w:p w14:paraId="3CBA7EF7">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4.2.5第五章  响应文件格式</w:t>
      </w:r>
    </w:p>
    <w:p w14:paraId="238FDB72">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4.2.6第六章  磋商办法及评分标准</w:t>
      </w:r>
    </w:p>
    <w:p w14:paraId="4C6A27BA">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4.3 采购代理机构在磋商截止时间前，以书面形式发出的对磋商文件的澄清或修改内容，均为磋商文件的组成部分，对采购人和供应商起约束作用；</w:t>
      </w:r>
    </w:p>
    <w:p w14:paraId="15311E5D">
      <w:pPr>
        <w:spacing w:line="560" w:lineRule="exact"/>
        <w:ind w:firstLine="480" w:firstLineChars="200"/>
        <w:rPr>
          <w:rFonts w:ascii="仿宋" w:hAnsi="仿宋" w:eastAsia="仿宋" w:cs="仿宋"/>
          <w:bCs/>
          <w:color w:val="auto"/>
          <w:sz w:val="24"/>
          <w:highlight w:val="none"/>
        </w:rPr>
      </w:pPr>
      <w:r>
        <w:rPr>
          <w:rFonts w:hint="eastAsia" w:ascii="仿宋" w:hAnsi="仿宋" w:eastAsia="仿宋" w:cs="仿宋"/>
          <w:color w:val="auto"/>
          <w:sz w:val="24"/>
          <w:highlight w:val="none"/>
        </w:rPr>
        <w:t>4.4供应商获取磋商文件后，应仔细检查磋商文件的所有内容，如有残缺等问题，均应在获得磋商文件后在1个工作日内向采购代理机构书面提出，否则，由此引起的损失由供应商自己承担。供应商同时应认真审阅竞争性磋商文件中所有的事项、格式、条款和规范要求（包括补充内容）等所有内容，若供应商的响应文件没有按磋商文件要求提交全部资料，或响应文件没有对磋商文件做出实质性响应，其风险由供应商自行承担，并根据有关条款规定，该响应文件有可能被拒绝。</w:t>
      </w:r>
    </w:p>
    <w:p w14:paraId="065136CF">
      <w:pPr>
        <w:spacing w:line="560" w:lineRule="exact"/>
        <w:rPr>
          <w:rFonts w:ascii="仿宋" w:hAnsi="仿宋" w:eastAsia="仿宋" w:cs="仿宋"/>
          <w:color w:val="auto"/>
          <w:sz w:val="24"/>
          <w:highlight w:val="none"/>
        </w:rPr>
      </w:pPr>
      <w:r>
        <w:rPr>
          <w:rFonts w:hint="eastAsia" w:ascii="仿宋" w:hAnsi="仿宋" w:eastAsia="仿宋" w:cs="仿宋"/>
          <w:bCs/>
          <w:color w:val="auto"/>
          <w:sz w:val="24"/>
          <w:highlight w:val="none"/>
        </w:rPr>
        <w:t>5.</w:t>
      </w:r>
      <w:r>
        <w:rPr>
          <w:rFonts w:hint="eastAsia" w:ascii="仿宋" w:hAnsi="仿宋" w:eastAsia="仿宋" w:cs="仿宋"/>
          <w:color w:val="auto"/>
          <w:sz w:val="24"/>
          <w:highlight w:val="none"/>
        </w:rPr>
        <w:t>磋商文件的答疑</w:t>
      </w:r>
    </w:p>
    <w:p w14:paraId="65EF8C2D">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5.1供应商如认为采购文件表述不清晰、存在歧视性或者其他违法内容的，可以在知道或者应知其权益受到损害之日起7个工作日内，以书面形式向采购人、采购代理机构提出质疑，根据《中华人民共和国财政部令第94号-政府采购质疑和投诉办法》第十条第二款规定，供应商在法定质疑期内须一次性提出针对同一采购程序环节的质疑，否则采购代理机构有权拒绝第一次质疑以外其他所有质疑。答疑内容是采购文件的组成部分，并将在网上发布补充（答疑、澄清）文件，潜在供应商应自行关注网站公告，采购人不再一一通知，供应商因自身贻误行为导致投标失效的，责任自负；</w:t>
      </w:r>
    </w:p>
    <w:p w14:paraId="2E4F4291">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5.2答疑内容是磋商文件的组成部分，并将在网上发布补充（答疑、澄清）文件，潜在供应商应自行关注网站公告，采购人不再一一通知，供应商因自身贻误行为导致磋商失效的，责任自负。</w:t>
      </w:r>
    </w:p>
    <w:p w14:paraId="7CE9DBAB">
      <w:pPr>
        <w:spacing w:line="560" w:lineRule="exact"/>
        <w:rPr>
          <w:rFonts w:ascii="仿宋" w:hAnsi="仿宋" w:eastAsia="仿宋" w:cs="仿宋"/>
          <w:color w:val="auto"/>
          <w:sz w:val="24"/>
          <w:highlight w:val="none"/>
        </w:rPr>
      </w:pPr>
      <w:r>
        <w:rPr>
          <w:rFonts w:hint="eastAsia" w:ascii="仿宋" w:hAnsi="仿宋" w:eastAsia="仿宋" w:cs="仿宋"/>
          <w:color w:val="auto"/>
          <w:sz w:val="24"/>
          <w:highlight w:val="none"/>
        </w:rPr>
        <w:t>6.磋商文件的澄清、修改</w:t>
      </w:r>
    </w:p>
    <w:p w14:paraId="444534D8">
      <w:pPr>
        <w:spacing w:line="560" w:lineRule="exact"/>
        <w:ind w:firstLine="480" w:firstLineChars="200"/>
        <w:rPr>
          <w:rFonts w:ascii="仿宋" w:hAnsi="仿宋" w:eastAsia="仿宋" w:cs="仿宋"/>
          <w:bCs/>
          <w:color w:val="auto"/>
          <w:sz w:val="24"/>
          <w:highlight w:val="none"/>
        </w:rPr>
      </w:pPr>
      <w:r>
        <w:rPr>
          <w:rFonts w:hint="eastAsia" w:ascii="仿宋" w:hAnsi="仿宋" w:eastAsia="仿宋" w:cs="仿宋"/>
          <w:color w:val="auto"/>
          <w:sz w:val="24"/>
          <w:highlight w:val="none"/>
        </w:rPr>
        <w:t>6.1</w:t>
      </w:r>
      <w:r>
        <w:rPr>
          <w:rFonts w:hint="eastAsia" w:ascii="仿宋" w:hAnsi="仿宋" w:eastAsia="仿宋" w:cs="仿宋"/>
          <w:bCs/>
          <w:color w:val="auto"/>
          <w:sz w:val="24"/>
          <w:highlight w:val="none"/>
        </w:rPr>
        <w:t>在磋商截止时间前，采购人及采购代理机构无论出于自己的考虑，还是出于对供应商提问的澄清，均可对磋商文件用补充文件的方式进行修改</w:t>
      </w:r>
      <w:r>
        <w:rPr>
          <w:rFonts w:hint="eastAsia" w:ascii="仿宋" w:hAnsi="仿宋" w:eastAsia="仿宋" w:cs="仿宋"/>
          <w:color w:val="auto"/>
          <w:sz w:val="24"/>
          <w:highlight w:val="none"/>
        </w:rPr>
        <w:t>；</w:t>
      </w:r>
    </w:p>
    <w:p w14:paraId="6B047045">
      <w:pPr>
        <w:spacing w:line="560" w:lineRule="exact"/>
        <w:ind w:firstLine="480" w:firstLineChars="200"/>
        <w:rPr>
          <w:rFonts w:ascii="仿宋" w:hAnsi="仿宋" w:eastAsia="仿宋" w:cs="仿宋"/>
          <w:bCs/>
          <w:color w:val="auto"/>
          <w:sz w:val="24"/>
          <w:highlight w:val="none"/>
        </w:rPr>
      </w:pPr>
      <w:r>
        <w:rPr>
          <w:rFonts w:hint="eastAsia" w:ascii="仿宋" w:hAnsi="仿宋" w:eastAsia="仿宋" w:cs="仿宋"/>
          <w:color w:val="auto"/>
          <w:sz w:val="24"/>
          <w:highlight w:val="none"/>
        </w:rPr>
        <w:t>6.2</w:t>
      </w:r>
      <w:r>
        <w:rPr>
          <w:rFonts w:hint="eastAsia" w:ascii="仿宋" w:hAnsi="仿宋" w:eastAsia="仿宋" w:cs="仿宋"/>
          <w:bCs/>
          <w:color w:val="auto"/>
          <w:sz w:val="24"/>
          <w:highlight w:val="none"/>
        </w:rPr>
        <w:t>对磋商文件的修改，将以书面、或传真的形式通知已购买同一磋商文件的每一供应商。补充文件将作为磋商文件的组成部分，对所有供应商有约束力。供应商在收到该补充文件后，应以书面方式予以确认</w:t>
      </w:r>
      <w:r>
        <w:rPr>
          <w:rFonts w:hint="eastAsia" w:ascii="仿宋" w:hAnsi="仿宋" w:eastAsia="仿宋" w:cs="仿宋"/>
          <w:color w:val="auto"/>
          <w:sz w:val="24"/>
          <w:highlight w:val="none"/>
        </w:rPr>
        <w:t>。</w:t>
      </w:r>
    </w:p>
    <w:p w14:paraId="072D497D">
      <w:pPr>
        <w:spacing w:line="560" w:lineRule="exact"/>
        <w:rPr>
          <w:rFonts w:ascii="仿宋" w:hAnsi="仿宋" w:eastAsia="仿宋" w:cs="仿宋"/>
          <w:color w:val="auto"/>
          <w:sz w:val="24"/>
          <w:highlight w:val="none"/>
        </w:rPr>
      </w:pPr>
      <w:r>
        <w:rPr>
          <w:rFonts w:hint="eastAsia" w:ascii="仿宋" w:hAnsi="仿宋" w:eastAsia="仿宋" w:cs="仿宋"/>
          <w:color w:val="auto"/>
          <w:sz w:val="24"/>
          <w:highlight w:val="none"/>
        </w:rPr>
        <w:t>7.供应商应当按照磋商文件的要求编制响应文件。响应文件应对磋商文件提出的要求和条件作出实质性响应（如对服务期限、售后服务、合同主要条款及其它要求等内容作出满足或者优于磋商文件要求和条件的承诺）。</w:t>
      </w:r>
    </w:p>
    <w:p w14:paraId="269D89A3">
      <w:pPr>
        <w:spacing w:line="560" w:lineRule="exact"/>
        <w:rPr>
          <w:rFonts w:ascii="仿宋" w:hAnsi="仿宋" w:eastAsia="仿宋" w:cs="仿宋"/>
          <w:color w:val="auto"/>
          <w:sz w:val="24"/>
          <w:highlight w:val="none"/>
        </w:rPr>
      </w:pPr>
      <w:r>
        <w:rPr>
          <w:rFonts w:hint="eastAsia" w:ascii="仿宋" w:hAnsi="仿宋" w:eastAsia="仿宋" w:cs="仿宋"/>
          <w:color w:val="auto"/>
          <w:sz w:val="24"/>
          <w:highlight w:val="none"/>
        </w:rPr>
        <w:t>8.响应文件的签署</w:t>
      </w:r>
    </w:p>
    <w:p w14:paraId="47D5E3BF">
      <w:pPr>
        <w:spacing w:line="560" w:lineRule="exact"/>
        <w:ind w:firstLine="482" w:firstLineChars="200"/>
        <w:rPr>
          <w:rFonts w:ascii="仿宋" w:hAnsi="仿宋" w:eastAsia="仿宋" w:cs="仿宋"/>
          <w:b/>
          <w:color w:val="auto"/>
          <w:sz w:val="24"/>
          <w:highlight w:val="none"/>
        </w:rPr>
      </w:pPr>
      <w:r>
        <w:rPr>
          <w:rFonts w:hint="eastAsia" w:ascii="仿宋" w:hAnsi="仿宋" w:eastAsia="仿宋" w:cs="仿宋"/>
          <w:b/>
          <w:color w:val="auto"/>
          <w:sz w:val="24"/>
          <w:highlight w:val="none"/>
        </w:rPr>
        <w:t>8.1响应文件的形式与效力：</w:t>
      </w:r>
    </w:p>
    <w:p w14:paraId="3C260EA8">
      <w:pPr>
        <w:tabs>
          <w:tab w:val="left" w:pos="3870"/>
          <w:tab w:val="left" w:pos="4085"/>
        </w:tabs>
        <w:snapToGrid w:val="0"/>
        <w:spacing w:line="560" w:lineRule="exact"/>
        <w:ind w:firstLine="240" w:firstLineChars="100"/>
        <w:jc w:val="left"/>
        <w:rPr>
          <w:rFonts w:ascii="仿宋" w:hAnsi="仿宋" w:eastAsia="仿宋" w:cs="仿宋"/>
          <w:color w:val="auto"/>
          <w:sz w:val="24"/>
          <w:highlight w:val="none"/>
        </w:rPr>
      </w:pPr>
      <w:r>
        <w:rPr>
          <w:rFonts w:hint="eastAsia" w:ascii="仿宋" w:hAnsi="仿宋" w:eastAsia="仿宋" w:cs="仿宋"/>
          <w:color w:val="auto"/>
          <w:sz w:val="24"/>
          <w:highlight w:val="none"/>
        </w:rPr>
        <w:t>（一）响应文件分为电子响应文件及数据电子备份响应文件（U盘），具体内容如下：</w:t>
      </w:r>
    </w:p>
    <w:p w14:paraId="0705A87C">
      <w:pPr>
        <w:tabs>
          <w:tab w:val="left" w:pos="3870"/>
          <w:tab w:val="left" w:pos="4085"/>
        </w:tabs>
        <w:snapToGrid w:val="0"/>
        <w:spacing w:line="56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（1）电子响应文件：按政采云平台项目采购-电子交易操作指南及本磋商文件要求制作、加密并递交，供应商电子交易操作指南详见网址：https://zfcg.czt.zj.gov.cn/）。</w:t>
      </w:r>
    </w:p>
    <w:p w14:paraId="53B4FF00">
      <w:pPr>
        <w:tabs>
          <w:tab w:val="left" w:pos="3870"/>
          <w:tab w:val="left" w:pos="4085"/>
        </w:tabs>
        <w:snapToGrid w:val="0"/>
        <w:spacing w:line="56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2）数据电子备份响应文件（U盘）：以U盘形式提供的数据电子备份响应文件格式及内容须与政采云平台项目采购-电子交易操作指南中制作、加密并递交的电子响应文件格式及内容一致。数据电子备份响应文件应加密，允许制作成一个U盘，但须密封、包装，不按此规定密封、包装的数据电子备份响应文件（U盘）均按未提供处理。</w:t>
      </w:r>
    </w:p>
    <w:p w14:paraId="7CDC1AF5">
      <w:pPr>
        <w:tabs>
          <w:tab w:val="left" w:pos="3870"/>
          <w:tab w:val="left" w:pos="4085"/>
        </w:tabs>
        <w:snapToGrid w:val="0"/>
        <w:spacing w:line="560" w:lineRule="exact"/>
        <w:ind w:firstLine="240" w:firstLineChars="100"/>
        <w:jc w:val="left"/>
        <w:rPr>
          <w:rFonts w:ascii="仿宋" w:hAnsi="仿宋" w:eastAsia="仿宋" w:cs="仿宋"/>
          <w:color w:val="auto"/>
          <w:sz w:val="24"/>
          <w:highlight w:val="none"/>
        </w:rPr>
      </w:pPr>
      <w:r>
        <w:rPr>
          <w:rFonts w:hint="eastAsia" w:ascii="仿宋" w:hAnsi="仿宋" w:eastAsia="仿宋" w:cs="仿宋"/>
          <w:color w:val="auto"/>
          <w:sz w:val="24"/>
          <w:highlight w:val="none"/>
        </w:rPr>
        <w:t>（二）响应文件的效力：</w:t>
      </w:r>
    </w:p>
    <w:p w14:paraId="7FE8C778">
      <w:pPr>
        <w:tabs>
          <w:tab w:val="left" w:pos="3870"/>
          <w:tab w:val="left" w:pos="4085"/>
        </w:tabs>
        <w:snapToGrid w:val="0"/>
        <w:spacing w:line="560" w:lineRule="exact"/>
        <w:ind w:firstLine="480" w:firstLineChars="200"/>
        <w:jc w:val="left"/>
        <w:rPr>
          <w:rFonts w:ascii="仿宋" w:hAnsi="仿宋" w:eastAsia="仿宋" w:cs="仿宋"/>
          <w:bCs/>
          <w:color w:val="auto"/>
          <w:sz w:val="24"/>
          <w:highlight w:val="none"/>
        </w:rPr>
      </w:pPr>
      <w:r>
        <w:rPr>
          <w:rFonts w:hint="eastAsia" w:ascii="仿宋" w:hAnsi="仿宋" w:eastAsia="仿宋" w:cs="仿宋"/>
          <w:bCs/>
          <w:color w:val="auto"/>
          <w:sz w:val="24"/>
          <w:highlight w:val="none"/>
        </w:rPr>
        <w:t>响应文件的启用：按先后顺位分别为电子响应文件、数据电子备份响应文件（U盘）。整个磋商过程中若因供应商问题造成电子响应文件无法正常解密的，均认定为未提交电子响应文件，作无效标处理。若因网络或者其他非供应商问题造成电子响应文件无法正常解密的，启用数据电子备份响应文件（U盘），因供应商自身原因造成数据电子备份响应文件（U盘）无法打开的，作无效标处理。若正常解密成功，则数据电子备份响应文件（U盘）不予开启。在下一顺位的响应文件启用时，前一顺位的响应文件自动失效。</w:t>
      </w:r>
    </w:p>
    <w:p w14:paraId="6F999B40">
      <w:pPr>
        <w:tabs>
          <w:tab w:val="left" w:pos="3870"/>
          <w:tab w:val="left" w:pos="4085"/>
        </w:tabs>
        <w:snapToGrid w:val="0"/>
        <w:spacing w:line="560" w:lineRule="exact"/>
        <w:ind w:firstLine="480" w:firstLineChars="200"/>
        <w:jc w:val="left"/>
        <w:rPr>
          <w:rFonts w:ascii="仿宋" w:hAnsi="仿宋" w:eastAsia="仿宋" w:cs="仿宋"/>
          <w:bCs/>
          <w:color w:val="auto"/>
          <w:sz w:val="24"/>
          <w:highlight w:val="none"/>
        </w:rPr>
      </w:pPr>
      <w:r>
        <w:rPr>
          <w:rFonts w:hint="eastAsia" w:ascii="仿宋" w:hAnsi="仿宋" w:eastAsia="仿宋" w:cs="仿宋"/>
          <w:bCs/>
          <w:color w:val="auto"/>
          <w:sz w:val="24"/>
          <w:highlight w:val="none"/>
        </w:rPr>
        <w:t>8.2响应文件的组成（如无格式、格式自拟）</w:t>
      </w:r>
    </w:p>
    <w:p w14:paraId="7296C1AD">
      <w:pPr>
        <w:tabs>
          <w:tab w:val="left" w:pos="3870"/>
          <w:tab w:val="left" w:pos="4085"/>
        </w:tabs>
        <w:snapToGrid w:val="0"/>
        <w:spacing w:line="560" w:lineRule="exact"/>
        <w:ind w:firstLine="480" w:firstLineChars="200"/>
        <w:jc w:val="left"/>
        <w:rPr>
          <w:rFonts w:hint="default" w:ascii="仿宋" w:hAnsi="仿宋" w:eastAsia="仿宋" w:cs="仿宋"/>
          <w:color w:val="auto"/>
          <w:sz w:val="24"/>
          <w:highlight w:val="none"/>
          <w:lang w:val="en-US" w:eastAsia="zh-CN"/>
        </w:rPr>
      </w:pPr>
      <w:r>
        <w:rPr>
          <w:rFonts w:hint="eastAsia" w:ascii="仿宋" w:hAnsi="仿宋" w:eastAsia="仿宋" w:cs="仿宋"/>
          <w:color w:val="auto"/>
          <w:sz w:val="24"/>
          <w:highlight w:val="none"/>
        </w:rPr>
        <w:t>响应文件（包括电子响应文件及数据电子备份响应文件（U盘））由</w:t>
      </w:r>
      <w:bookmarkStart w:id="10" w:name="_Hlk69030389"/>
      <w:r>
        <w:rPr>
          <w:rFonts w:hint="eastAsia" w:ascii="仿宋" w:hAnsi="仿宋" w:eastAsia="仿宋" w:cs="仿宋"/>
          <w:color w:val="auto"/>
          <w:sz w:val="24"/>
          <w:highlight w:val="none"/>
        </w:rPr>
        <w:t>《技术、商务、资信及其他文件》</w:t>
      </w:r>
      <w:bookmarkEnd w:id="10"/>
      <w:r>
        <w:rPr>
          <w:rFonts w:hint="eastAsia" w:ascii="仿宋" w:hAnsi="仿宋" w:eastAsia="仿宋" w:cs="仿宋"/>
          <w:color w:val="auto"/>
          <w:sz w:val="24"/>
          <w:highlight w:val="none"/>
        </w:rPr>
        <w:t>和《首次报价文件》两部分组成，其中电子响应文件中所须加盖公章部分均采用CA签章。</w:t>
      </w:r>
    </w:p>
    <w:p w14:paraId="6B8C2F35">
      <w:pPr>
        <w:tabs>
          <w:tab w:val="left" w:pos="3870"/>
          <w:tab w:val="left" w:pos="4085"/>
        </w:tabs>
        <w:snapToGrid w:val="0"/>
        <w:spacing w:line="560" w:lineRule="exact"/>
        <w:jc w:val="left"/>
        <w:rPr>
          <w:rFonts w:ascii="仿宋" w:hAnsi="仿宋" w:eastAsia="仿宋" w:cs="仿宋"/>
          <w:b/>
          <w:bCs/>
          <w:color w:val="auto"/>
          <w:sz w:val="24"/>
          <w:highlight w:val="none"/>
        </w:rPr>
      </w:pPr>
      <w:bookmarkStart w:id="11" w:name="_Hlk69030881"/>
      <w:r>
        <w:rPr>
          <w:rFonts w:hint="eastAsia" w:ascii="仿宋" w:hAnsi="仿宋" w:eastAsia="仿宋" w:cs="仿宋"/>
          <w:b/>
          <w:bCs/>
          <w:color w:val="auto"/>
          <w:sz w:val="24"/>
          <w:highlight w:val="none"/>
        </w:rPr>
        <w:t>（一）《技术、商务、资信及其他文件</w:t>
      </w:r>
      <w:bookmarkEnd w:id="11"/>
      <w:r>
        <w:rPr>
          <w:rFonts w:hint="eastAsia" w:ascii="仿宋" w:hAnsi="仿宋" w:eastAsia="仿宋" w:cs="仿宋"/>
          <w:b/>
          <w:bCs/>
          <w:color w:val="auto"/>
          <w:sz w:val="24"/>
          <w:highlight w:val="none"/>
        </w:rPr>
        <w:t>》</w:t>
      </w:r>
    </w:p>
    <w:p w14:paraId="79463B3A">
      <w:pPr>
        <w:tabs>
          <w:tab w:val="left" w:pos="3870"/>
          <w:tab w:val="left" w:pos="4085"/>
        </w:tabs>
        <w:snapToGrid w:val="0"/>
        <w:spacing w:line="560" w:lineRule="exact"/>
        <w:jc w:val="left"/>
        <w:rPr>
          <w:rFonts w:ascii="仿宋" w:hAnsi="仿宋" w:eastAsia="仿宋" w:cs="仿宋"/>
          <w:b/>
          <w:color w:val="auto"/>
          <w:sz w:val="24"/>
          <w:highlight w:val="none"/>
        </w:rPr>
      </w:pPr>
      <w:r>
        <w:rPr>
          <w:rFonts w:hint="eastAsia" w:ascii="仿宋" w:hAnsi="仿宋" w:eastAsia="仿宋" w:cs="仿宋"/>
          <w:b/>
          <w:color w:val="auto"/>
          <w:sz w:val="24"/>
          <w:highlight w:val="none"/>
        </w:rPr>
        <w:t>（1）供应商自评分索引表</w:t>
      </w:r>
      <w:r>
        <w:rPr>
          <w:rFonts w:hint="eastAsia" w:ascii="仿宋" w:hAnsi="仿宋" w:eastAsia="仿宋" w:cs="仿宋"/>
          <w:color w:val="auto"/>
          <w:sz w:val="24"/>
          <w:highlight w:val="none"/>
        </w:rPr>
        <w:t>（格式见第五章）；</w:t>
      </w:r>
    </w:p>
    <w:p w14:paraId="5E594818">
      <w:pPr>
        <w:tabs>
          <w:tab w:val="left" w:pos="3870"/>
          <w:tab w:val="left" w:pos="4085"/>
        </w:tabs>
        <w:snapToGrid w:val="0"/>
        <w:spacing w:line="560" w:lineRule="exact"/>
        <w:jc w:val="left"/>
        <w:rPr>
          <w:rFonts w:hint="eastAsia" w:ascii="仿宋" w:hAnsi="仿宋" w:eastAsia="仿宋" w:cs="仿宋"/>
          <w:b/>
          <w:color w:val="auto"/>
          <w:sz w:val="24"/>
          <w:highlight w:val="none"/>
        </w:rPr>
      </w:pPr>
      <w:r>
        <w:rPr>
          <w:rFonts w:hint="eastAsia" w:ascii="仿宋" w:hAnsi="仿宋" w:eastAsia="仿宋" w:cs="仿宋"/>
          <w:b/>
          <w:color w:val="auto"/>
          <w:sz w:val="24"/>
          <w:highlight w:val="none"/>
        </w:rPr>
        <w:t>（2）技术部分：</w:t>
      </w:r>
    </w:p>
    <w:p w14:paraId="0C10649F">
      <w:pPr>
        <w:spacing w:line="560" w:lineRule="exact"/>
        <w:ind w:firstLine="480" w:firstLineChars="200"/>
        <w:rPr>
          <w:rFonts w:ascii="仿宋" w:hAnsi="仿宋" w:eastAsia="仿宋" w:cs="仿宋"/>
          <w:color w:val="auto"/>
          <w:sz w:val="24"/>
          <w:highlight w:val="none"/>
          <w:lang w:val="zh-CN"/>
        </w:rPr>
      </w:pPr>
      <w:r>
        <w:rPr>
          <w:rFonts w:hint="eastAsia" w:ascii="仿宋" w:hAnsi="仿宋" w:eastAsia="仿宋" w:cs="仿宋"/>
          <w:color w:val="auto"/>
          <w:sz w:val="24"/>
          <w:highlight w:val="none"/>
          <w:lang w:val="zh-CN"/>
        </w:rPr>
        <w:t>①</w:t>
      </w:r>
      <w:r>
        <w:rPr>
          <w:rStyle w:val="32"/>
          <w:rFonts w:hint="eastAsia" w:ascii="仿宋" w:hAnsi="仿宋" w:eastAsia="仿宋" w:cs="仿宋"/>
          <w:color w:val="auto"/>
          <w:sz w:val="24"/>
          <w:highlight w:val="none"/>
        </w:rPr>
        <w:t>整体活动方案</w:t>
      </w:r>
      <w:r>
        <w:rPr>
          <w:rFonts w:hint="eastAsia" w:ascii="仿宋" w:hAnsi="仿宋" w:eastAsia="仿宋" w:cs="仿宋"/>
          <w:color w:val="auto"/>
          <w:sz w:val="24"/>
          <w:highlight w:val="none"/>
          <w:lang w:val="zh-CN"/>
        </w:rPr>
        <w:t xml:space="preserve">； </w:t>
      </w:r>
    </w:p>
    <w:p w14:paraId="3679031B">
      <w:pPr>
        <w:snapToGrid w:val="0"/>
        <w:spacing w:line="560" w:lineRule="exact"/>
        <w:ind w:firstLine="470" w:firstLineChars="196"/>
        <w:jc w:val="left"/>
        <w:rPr>
          <w:rFonts w:ascii="仿宋" w:hAnsi="仿宋" w:eastAsia="仿宋" w:cs="仿宋"/>
          <w:color w:val="auto"/>
          <w:sz w:val="24"/>
          <w:highlight w:val="none"/>
          <w:lang w:val="zh-CN"/>
        </w:rPr>
      </w:pPr>
      <w:r>
        <w:rPr>
          <w:rFonts w:hint="eastAsia" w:ascii="仿宋" w:hAnsi="仿宋" w:eastAsia="仿宋" w:cs="仿宋"/>
          <w:color w:val="auto"/>
          <w:sz w:val="24"/>
          <w:highlight w:val="none"/>
          <w:lang w:val="zh-CN"/>
        </w:rPr>
        <w:t>②</w:t>
      </w:r>
      <w:r>
        <w:rPr>
          <w:rStyle w:val="32"/>
          <w:rFonts w:hint="eastAsia" w:ascii="仿宋" w:hAnsi="仿宋" w:eastAsia="仿宋" w:cs="仿宋"/>
          <w:color w:val="auto"/>
          <w:sz w:val="24"/>
          <w:highlight w:val="none"/>
        </w:rPr>
        <w:t>重点难点分析及解决方案</w:t>
      </w:r>
      <w:r>
        <w:rPr>
          <w:rFonts w:hint="eastAsia" w:ascii="仿宋" w:hAnsi="仿宋" w:eastAsia="仿宋" w:cs="仿宋"/>
          <w:color w:val="auto"/>
          <w:sz w:val="24"/>
          <w:highlight w:val="none"/>
          <w:lang w:val="zh-CN"/>
        </w:rPr>
        <w:t>；</w:t>
      </w:r>
    </w:p>
    <w:p w14:paraId="142B2799">
      <w:pPr>
        <w:spacing w:line="560" w:lineRule="exact"/>
        <w:ind w:firstLine="480" w:firstLineChars="200"/>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③</w:t>
      </w:r>
      <w:r>
        <w:rPr>
          <w:rStyle w:val="32"/>
          <w:rFonts w:hint="eastAsia" w:ascii="仿宋" w:hAnsi="仿宋" w:eastAsia="仿宋" w:cs="仿宋"/>
          <w:color w:val="auto"/>
          <w:sz w:val="24"/>
          <w:highlight w:val="none"/>
        </w:rPr>
        <w:t>媒体宣传推广方案</w:t>
      </w:r>
      <w:r>
        <w:rPr>
          <w:rFonts w:hint="eastAsia" w:ascii="仿宋" w:hAnsi="仿宋" w:eastAsia="仿宋" w:cs="仿宋"/>
          <w:color w:val="auto"/>
          <w:sz w:val="24"/>
          <w:highlight w:val="none"/>
          <w:lang w:val="zh-CN"/>
        </w:rPr>
        <w:t>；</w:t>
      </w:r>
    </w:p>
    <w:p w14:paraId="69302EC8">
      <w:pPr>
        <w:spacing w:line="560" w:lineRule="exact"/>
        <w:ind w:firstLine="480" w:firstLineChars="200"/>
        <w:rPr>
          <w:rFonts w:hint="eastAsia" w:ascii="仿宋" w:hAnsi="仿宋" w:eastAsia="仿宋" w:cs="仿宋"/>
          <w:b w:val="0"/>
          <w:bCs w:val="0"/>
          <w:color w:val="auto"/>
          <w:kern w:val="2"/>
          <w:sz w:val="24"/>
          <w:szCs w:val="24"/>
          <w:highlight w:val="none"/>
          <w:lang w:val="en-US" w:eastAsia="zh-CN" w:bidi="ar-SA"/>
        </w:rPr>
      </w:pPr>
      <w:r>
        <w:rPr>
          <w:rFonts w:hint="eastAsia" w:ascii="仿宋" w:hAnsi="仿宋" w:eastAsia="仿宋" w:cs="仿宋"/>
          <w:b w:val="0"/>
          <w:bCs w:val="0"/>
          <w:color w:val="auto"/>
          <w:kern w:val="2"/>
          <w:sz w:val="24"/>
          <w:szCs w:val="24"/>
          <w:highlight w:val="none"/>
          <w:lang w:val="en-US" w:eastAsia="zh-CN" w:bidi="ar-SA"/>
        </w:rPr>
        <w:t>④应急解决方案；</w:t>
      </w:r>
    </w:p>
    <w:p w14:paraId="2A421D13">
      <w:pPr>
        <w:spacing w:line="560" w:lineRule="exact"/>
        <w:ind w:firstLine="480" w:firstLineChars="200"/>
        <w:rPr>
          <w:rFonts w:hint="eastAsia" w:ascii="仿宋" w:hAnsi="仿宋" w:eastAsia="仿宋" w:cs="仿宋"/>
          <w:b w:val="0"/>
          <w:bCs w:val="0"/>
          <w:color w:val="auto"/>
          <w:kern w:val="2"/>
          <w:sz w:val="24"/>
          <w:szCs w:val="24"/>
          <w:highlight w:val="none"/>
          <w:lang w:val="zh-CN" w:eastAsia="zh-CN" w:bidi="ar-SA"/>
        </w:rPr>
      </w:pPr>
      <w:r>
        <w:rPr>
          <w:rFonts w:hint="eastAsia" w:ascii="仿宋" w:hAnsi="仿宋" w:eastAsia="仿宋" w:cs="仿宋"/>
          <w:b w:val="0"/>
          <w:bCs w:val="0"/>
          <w:color w:val="auto"/>
          <w:sz w:val="24"/>
          <w:highlight w:val="none"/>
          <w:lang w:val="en-US" w:eastAsia="zh-CN"/>
        </w:rPr>
        <w:t>⑤投入本项目团队安排。</w:t>
      </w:r>
    </w:p>
    <w:p w14:paraId="72C69013">
      <w:pPr>
        <w:tabs>
          <w:tab w:val="left" w:pos="3870"/>
          <w:tab w:val="left" w:pos="4085"/>
        </w:tabs>
        <w:snapToGrid w:val="0"/>
        <w:spacing w:line="560" w:lineRule="exact"/>
        <w:jc w:val="left"/>
        <w:rPr>
          <w:rFonts w:ascii="仿宋" w:hAnsi="仿宋" w:eastAsia="仿宋" w:cs="仿宋"/>
          <w:color w:val="auto"/>
          <w:sz w:val="24"/>
          <w:highlight w:val="none"/>
        </w:rPr>
      </w:pPr>
      <w:r>
        <w:rPr>
          <w:rFonts w:hint="eastAsia" w:ascii="仿宋" w:hAnsi="仿宋" w:eastAsia="仿宋" w:cs="仿宋"/>
          <w:b/>
          <w:color w:val="auto"/>
          <w:sz w:val="24"/>
          <w:highlight w:val="none"/>
        </w:rPr>
        <w:t>（3）商务部分：</w:t>
      </w:r>
    </w:p>
    <w:p w14:paraId="54610E51">
      <w:pPr>
        <w:tabs>
          <w:tab w:val="left" w:pos="3870"/>
          <w:tab w:val="left" w:pos="4085"/>
        </w:tabs>
        <w:snapToGrid w:val="0"/>
        <w:spacing w:line="560" w:lineRule="exact"/>
        <w:ind w:firstLine="480" w:firstLineChars="200"/>
        <w:jc w:val="left"/>
        <w:rPr>
          <w:rFonts w:ascii="仿宋" w:hAnsi="仿宋" w:eastAsia="仿宋" w:cs="宋体"/>
          <w:color w:val="auto"/>
          <w:sz w:val="24"/>
          <w:highlight w:val="none"/>
        </w:rPr>
      </w:pPr>
      <w:r>
        <w:rPr>
          <w:rFonts w:hint="eastAsia" w:ascii="仿宋" w:hAnsi="仿宋" w:eastAsia="仿宋" w:cs="宋体"/>
          <w:color w:val="auto"/>
          <w:sz w:val="24"/>
          <w:highlight w:val="none"/>
        </w:rPr>
        <w:t>①商务响应表</w:t>
      </w:r>
      <w:r>
        <w:rPr>
          <w:rFonts w:hint="eastAsia" w:ascii="仿宋" w:hAnsi="仿宋" w:eastAsia="仿宋" w:cs="仿宋"/>
          <w:b/>
          <w:color w:val="auto"/>
          <w:sz w:val="24"/>
          <w:highlight w:val="none"/>
        </w:rPr>
        <w:t>（</w:t>
      </w:r>
      <w:r>
        <w:rPr>
          <w:rFonts w:hint="eastAsia" w:ascii="仿宋" w:hAnsi="仿宋" w:eastAsia="仿宋" w:cs="仿宋"/>
          <w:color w:val="auto"/>
          <w:sz w:val="24"/>
          <w:highlight w:val="none"/>
        </w:rPr>
        <w:t>格式见第五章</w:t>
      </w:r>
      <w:r>
        <w:rPr>
          <w:rFonts w:hint="eastAsia" w:ascii="仿宋" w:hAnsi="仿宋" w:eastAsia="仿宋" w:cs="仿宋"/>
          <w:b/>
          <w:color w:val="auto"/>
          <w:sz w:val="24"/>
          <w:highlight w:val="none"/>
        </w:rPr>
        <w:t>）</w:t>
      </w:r>
      <w:r>
        <w:rPr>
          <w:rFonts w:hint="eastAsia" w:ascii="仿宋" w:hAnsi="仿宋" w:eastAsia="仿宋" w:cs="宋体"/>
          <w:color w:val="auto"/>
          <w:sz w:val="24"/>
          <w:highlight w:val="none"/>
        </w:rPr>
        <w:t>；</w:t>
      </w:r>
    </w:p>
    <w:p w14:paraId="6516E30D">
      <w:pPr>
        <w:snapToGrid w:val="0"/>
        <w:spacing w:line="560" w:lineRule="exact"/>
        <w:ind w:firstLine="470" w:firstLineChars="196"/>
        <w:jc w:val="left"/>
        <w:rPr>
          <w:rFonts w:hint="eastAsia" w:ascii="仿宋" w:hAnsi="仿宋" w:eastAsia="仿宋" w:cs="宋体"/>
          <w:color w:val="auto"/>
          <w:sz w:val="24"/>
          <w:highlight w:val="none"/>
          <w:lang w:eastAsia="zh-CN"/>
        </w:rPr>
      </w:pPr>
      <w:r>
        <w:rPr>
          <w:rFonts w:hint="eastAsia" w:ascii="仿宋" w:hAnsi="仿宋" w:eastAsia="仿宋" w:cs="宋体"/>
          <w:color w:val="auto"/>
          <w:sz w:val="24"/>
          <w:highlight w:val="none"/>
        </w:rPr>
        <w:t>②</w:t>
      </w:r>
      <w:r>
        <w:rPr>
          <w:rFonts w:hint="eastAsia" w:ascii="仿宋" w:hAnsi="仿宋" w:eastAsia="仿宋" w:cs="仿宋"/>
          <w:color w:val="auto"/>
          <w:sz w:val="24"/>
          <w:highlight w:val="none"/>
        </w:rPr>
        <w:t>响应时间</w:t>
      </w:r>
      <w:r>
        <w:rPr>
          <w:rFonts w:hint="eastAsia" w:ascii="仿宋" w:hAnsi="仿宋" w:eastAsia="仿宋" w:cs="宋体"/>
          <w:color w:val="auto"/>
          <w:sz w:val="24"/>
          <w:highlight w:val="none"/>
          <w:lang w:eastAsia="zh-CN"/>
        </w:rPr>
        <w:t>；</w:t>
      </w:r>
    </w:p>
    <w:p w14:paraId="454631EC">
      <w:pPr>
        <w:snapToGrid w:val="0"/>
        <w:spacing w:line="560" w:lineRule="exact"/>
        <w:ind w:firstLine="470" w:firstLineChars="196"/>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③企业荣誉；</w:t>
      </w:r>
    </w:p>
    <w:p w14:paraId="5DAFDD86">
      <w:pPr>
        <w:snapToGrid w:val="0"/>
        <w:spacing w:line="560" w:lineRule="exact"/>
        <w:ind w:firstLine="470" w:firstLineChars="196"/>
        <w:jc w:val="left"/>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rPr>
        <w:t>④</w:t>
      </w:r>
      <w:r>
        <w:rPr>
          <w:rStyle w:val="32"/>
          <w:rFonts w:hint="eastAsia" w:ascii="仿宋" w:hAnsi="仿宋" w:eastAsia="仿宋" w:cs="仿宋"/>
          <w:color w:val="auto"/>
          <w:sz w:val="24"/>
          <w:highlight w:val="none"/>
        </w:rPr>
        <w:t>企业业绩</w:t>
      </w:r>
      <w:r>
        <w:rPr>
          <w:rFonts w:hint="eastAsia" w:ascii="仿宋" w:hAnsi="仿宋" w:eastAsia="仿宋" w:cs="仿宋"/>
          <w:b/>
          <w:color w:val="auto"/>
          <w:sz w:val="24"/>
          <w:highlight w:val="none"/>
        </w:rPr>
        <w:t>（</w:t>
      </w:r>
      <w:r>
        <w:rPr>
          <w:rFonts w:hint="eastAsia" w:ascii="仿宋" w:hAnsi="仿宋" w:eastAsia="仿宋" w:cs="仿宋"/>
          <w:color w:val="auto"/>
          <w:sz w:val="24"/>
          <w:highlight w:val="none"/>
        </w:rPr>
        <w:t>格式见第五章</w:t>
      </w:r>
      <w:r>
        <w:rPr>
          <w:rFonts w:hint="eastAsia" w:ascii="仿宋" w:hAnsi="仿宋" w:eastAsia="仿宋" w:cs="仿宋"/>
          <w:b/>
          <w:color w:val="auto"/>
          <w:sz w:val="24"/>
          <w:highlight w:val="none"/>
        </w:rPr>
        <w:t>）</w:t>
      </w:r>
      <w:r>
        <w:rPr>
          <w:rFonts w:hint="eastAsia" w:ascii="仿宋" w:hAnsi="仿宋" w:eastAsia="仿宋" w:cs="仿宋"/>
          <w:color w:val="auto"/>
          <w:sz w:val="24"/>
          <w:highlight w:val="none"/>
          <w:lang w:val="en-US" w:eastAsia="zh-CN"/>
        </w:rPr>
        <w:t>。</w:t>
      </w:r>
    </w:p>
    <w:p w14:paraId="2706DF74">
      <w:pPr>
        <w:spacing w:line="560" w:lineRule="exact"/>
        <w:jc w:val="left"/>
        <w:rPr>
          <w:rFonts w:ascii="仿宋" w:hAnsi="仿宋" w:eastAsia="仿宋" w:cs="仿宋"/>
          <w:b/>
          <w:bCs/>
          <w:color w:val="auto"/>
          <w:sz w:val="24"/>
          <w:highlight w:val="none"/>
        </w:rPr>
      </w:pPr>
      <w:r>
        <w:rPr>
          <w:rFonts w:hint="eastAsia" w:ascii="仿宋" w:hAnsi="仿宋" w:eastAsia="仿宋" w:cs="仿宋"/>
          <w:b/>
          <w:bCs/>
          <w:color w:val="auto"/>
          <w:sz w:val="24"/>
          <w:highlight w:val="none"/>
        </w:rPr>
        <w:t>（4）资信及其他部分：</w:t>
      </w:r>
    </w:p>
    <w:p w14:paraId="569CE2D7">
      <w:pPr>
        <w:snapToGrid w:val="0"/>
        <w:spacing w:line="560" w:lineRule="exact"/>
        <w:ind w:firstLine="470" w:firstLineChars="196"/>
        <w:jc w:val="left"/>
        <w:rPr>
          <w:rFonts w:ascii="仿宋" w:hAnsi="仿宋" w:eastAsia="仿宋" w:cs="仿宋"/>
          <w:b/>
          <w:color w:val="auto"/>
          <w:sz w:val="24"/>
          <w:highlight w:val="none"/>
        </w:rPr>
      </w:pPr>
      <w:r>
        <w:rPr>
          <w:rFonts w:hint="eastAsia" w:ascii="仿宋" w:hAnsi="仿宋" w:eastAsia="仿宋" w:cs="仿宋"/>
          <w:color w:val="auto"/>
          <w:sz w:val="24"/>
          <w:highlight w:val="none"/>
        </w:rPr>
        <w:t>①有效的营业执照、税务登记证、组织机构代码证或“三证合一”的营业执照或“五证合一”的营业执照</w:t>
      </w:r>
      <w:r>
        <w:rPr>
          <w:rFonts w:hint="eastAsia" w:ascii="仿宋" w:hAnsi="仿宋" w:eastAsia="仿宋" w:cs="仿宋"/>
          <w:b/>
          <w:color w:val="auto"/>
          <w:sz w:val="24"/>
          <w:highlight w:val="none"/>
        </w:rPr>
        <w:t>（资格审查条款）</w:t>
      </w:r>
      <w:r>
        <w:rPr>
          <w:rFonts w:hint="eastAsia" w:ascii="仿宋" w:hAnsi="仿宋" w:eastAsia="仿宋" w:cs="仿宋"/>
          <w:color w:val="auto"/>
          <w:sz w:val="24"/>
          <w:highlight w:val="none"/>
        </w:rPr>
        <w:t>；</w:t>
      </w:r>
    </w:p>
    <w:p w14:paraId="7A3B755A">
      <w:pPr>
        <w:snapToGrid w:val="0"/>
        <w:spacing w:line="560" w:lineRule="exact"/>
        <w:ind w:firstLine="470" w:firstLineChars="196"/>
        <w:jc w:val="left"/>
        <w:rPr>
          <w:rFonts w:ascii="仿宋" w:hAnsi="仿宋" w:eastAsia="仿宋" w:cs="仿宋"/>
          <w:color w:val="auto"/>
          <w:sz w:val="24"/>
          <w:highlight w:val="none"/>
        </w:rPr>
      </w:pPr>
      <w:r>
        <w:rPr>
          <w:rFonts w:hint="eastAsia" w:ascii="仿宋" w:hAnsi="仿宋" w:eastAsia="仿宋" w:cs="仿宋"/>
          <w:color w:val="auto"/>
          <w:sz w:val="24"/>
          <w:highlight w:val="none"/>
        </w:rPr>
        <w:t>②法定代表人有效身份证明书及身份证（法定代表人参加磋商提供）或法定代表人授权书及授权委托人身份证、授权委托人</w:t>
      </w:r>
      <w:r>
        <w:rPr>
          <w:rFonts w:hint="eastAsia" w:ascii="仿宋" w:hAnsi="仿宋" w:eastAsia="仿宋" w:cs="仿宋"/>
          <w:b w:val="0"/>
          <w:bCs w:val="0"/>
          <w:color w:val="auto"/>
          <w:sz w:val="24"/>
          <w:szCs w:val="24"/>
          <w:highlight w:val="none"/>
          <w:vertAlign w:val="baseline"/>
          <w:lang w:val="en-US" w:eastAsia="zh-CN"/>
        </w:rPr>
        <w:t>近三个月中任意一个月的社保证明</w:t>
      </w:r>
      <w:r>
        <w:rPr>
          <w:rFonts w:hint="eastAsia" w:ascii="仿宋" w:hAnsi="仿宋" w:eastAsia="仿宋" w:cs="仿宋"/>
          <w:color w:val="auto"/>
          <w:sz w:val="24"/>
          <w:highlight w:val="none"/>
        </w:rPr>
        <w:t>（法定代表人授权委托人参加磋商提供）</w:t>
      </w:r>
      <w:r>
        <w:rPr>
          <w:rFonts w:hint="eastAsia" w:ascii="仿宋" w:hAnsi="仿宋" w:eastAsia="仿宋" w:cs="仿宋"/>
          <w:b/>
          <w:color w:val="auto"/>
          <w:sz w:val="24"/>
          <w:highlight w:val="none"/>
        </w:rPr>
        <w:t>（</w:t>
      </w:r>
      <w:r>
        <w:rPr>
          <w:rFonts w:hint="eastAsia" w:ascii="仿宋" w:hAnsi="仿宋" w:eastAsia="仿宋" w:cs="仿宋"/>
          <w:color w:val="auto"/>
          <w:sz w:val="24"/>
          <w:highlight w:val="none"/>
        </w:rPr>
        <w:t>格式见第五章</w:t>
      </w:r>
      <w:r>
        <w:rPr>
          <w:rFonts w:hint="eastAsia" w:ascii="仿宋" w:hAnsi="仿宋" w:eastAsia="仿宋" w:cs="仿宋"/>
          <w:color w:val="auto"/>
          <w:sz w:val="24"/>
          <w:highlight w:val="none"/>
          <w:lang w:eastAsia="zh-CN"/>
        </w:rPr>
        <w:t>，</w:t>
      </w:r>
      <w:r>
        <w:rPr>
          <w:rFonts w:hint="eastAsia" w:ascii="仿宋" w:hAnsi="仿宋" w:eastAsia="仿宋" w:cs="仿宋"/>
          <w:b/>
          <w:color w:val="auto"/>
          <w:sz w:val="24"/>
          <w:highlight w:val="none"/>
        </w:rPr>
        <w:t>资格审查条款）</w:t>
      </w:r>
      <w:r>
        <w:rPr>
          <w:rFonts w:hint="eastAsia" w:ascii="仿宋" w:hAnsi="仿宋" w:eastAsia="仿宋" w:cs="仿宋"/>
          <w:color w:val="auto"/>
          <w:sz w:val="24"/>
          <w:highlight w:val="none"/>
        </w:rPr>
        <w:t>；</w:t>
      </w:r>
    </w:p>
    <w:p w14:paraId="72556F66">
      <w:pPr>
        <w:snapToGrid w:val="0"/>
        <w:spacing w:line="560" w:lineRule="exact"/>
        <w:ind w:left="488" w:leftChars="228" w:hanging="9" w:hangingChars="4"/>
        <w:jc w:val="left"/>
        <w:rPr>
          <w:rFonts w:ascii="仿宋" w:hAnsi="仿宋" w:eastAsia="仿宋" w:cs="仿宋"/>
          <w:color w:val="auto"/>
          <w:sz w:val="24"/>
          <w:highlight w:val="none"/>
        </w:rPr>
      </w:pPr>
      <w:r>
        <w:rPr>
          <w:rFonts w:hint="eastAsia" w:ascii="仿宋" w:hAnsi="仿宋" w:eastAsia="仿宋" w:cs="仿宋"/>
          <w:color w:val="auto"/>
          <w:sz w:val="24"/>
          <w:highlight w:val="none"/>
        </w:rPr>
        <w:t>③承诺书（格式见第五章，</w:t>
      </w:r>
      <w:r>
        <w:rPr>
          <w:rFonts w:hint="eastAsia" w:ascii="仿宋" w:hAnsi="仿宋" w:eastAsia="仿宋" w:cs="仿宋"/>
          <w:b/>
          <w:bCs/>
          <w:color w:val="auto"/>
          <w:sz w:val="24"/>
          <w:highlight w:val="none"/>
        </w:rPr>
        <w:t>资格审查条款</w:t>
      </w:r>
      <w:r>
        <w:rPr>
          <w:rFonts w:hint="eastAsia" w:ascii="仿宋" w:hAnsi="仿宋" w:eastAsia="仿宋" w:cs="仿宋"/>
          <w:color w:val="auto"/>
          <w:sz w:val="24"/>
          <w:highlight w:val="none"/>
        </w:rPr>
        <w:t>）；</w:t>
      </w:r>
    </w:p>
    <w:p w14:paraId="7FA86D75">
      <w:pPr>
        <w:snapToGrid w:val="0"/>
        <w:spacing w:line="560" w:lineRule="exact"/>
        <w:ind w:firstLine="470" w:firstLineChars="196"/>
        <w:jc w:val="left"/>
        <w:rPr>
          <w:rFonts w:ascii="仿宋" w:hAnsi="仿宋" w:eastAsia="仿宋" w:cs="仿宋"/>
          <w:b/>
          <w:color w:val="auto"/>
          <w:sz w:val="24"/>
          <w:highlight w:val="none"/>
        </w:rPr>
      </w:pPr>
      <w:r>
        <w:rPr>
          <w:rFonts w:hint="eastAsia" w:ascii="仿宋" w:hAnsi="仿宋" w:eastAsia="仿宋" w:cs="仿宋"/>
          <w:color w:val="auto"/>
          <w:sz w:val="24"/>
          <w:highlight w:val="none"/>
        </w:rPr>
        <w:t>④信用承诺书（格式见第五章，</w:t>
      </w:r>
      <w:r>
        <w:rPr>
          <w:rFonts w:hint="eastAsia" w:ascii="仿宋" w:hAnsi="仿宋" w:eastAsia="仿宋" w:cs="仿宋"/>
          <w:b/>
          <w:bCs/>
          <w:color w:val="auto"/>
          <w:sz w:val="24"/>
          <w:highlight w:val="none"/>
        </w:rPr>
        <w:t>资格审查条款</w:t>
      </w:r>
      <w:r>
        <w:rPr>
          <w:rFonts w:hint="eastAsia" w:ascii="仿宋" w:hAnsi="仿宋" w:eastAsia="仿宋" w:cs="仿宋"/>
          <w:color w:val="auto"/>
          <w:sz w:val="24"/>
          <w:highlight w:val="none"/>
        </w:rPr>
        <w:t>）；</w:t>
      </w:r>
    </w:p>
    <w:p w14:paraId="5E70EDC4">
      <w:pPr>
        <w:spacing w:line="560" w:lineRule="exact"/>
        <w:rPr>
          <w:rFonts w:ascii="仿宋" w:hAnsi="仿宋" w:eastAsia="仿宋" w:cs="仿宋"/>
          <w:color w:val="auto"/>
          <w:sz w:val="24"/>
          <w:highlight w:val="none"/>
        </w:rPr>
      </w:pPr>
      <w:r>
        <w:rPr>
          <w:rFonts w:hint="eastAsia" w:ascii="仿宋" w:hAnsi="仿宋" w:eastAsia="仿宋" w:cs="仿宋"/>
          <w:color w:val="auto"/>
          <w:sz w:val="24"/>
          <w:highlight w:val="none"/>
        </w:rPr>
        <w:t>（5）其他磋商文件要求提供的或供应商认为需要说明的技术、商务、资信及其他文件内容。</w:t>
      </w:r>
    </w:p>
    <w:p w14:paraId="63D382F4">
      <w:pPr>
        <w:spacing w:line="560" w:lineRule="exact"/>
        <w:rPr>
          <w:rFonts w:ascii="仿宋" w:hAnsi="仿宋" w:eastAsia="仿宋" w:cs="仿宋"/>
          <w:b/>
          <w:bCs/>
          <w:color w:val="auto"/>
          <w:sz w:val="24"/>
          <w:highlight w:val="none"/>
        </w:rPr>
      </w:pPr>
      <w:r>
        <w:rPr>
          <w:rFonts w:hint="eastAsia" w:ascii="仿宋" w:hAnsi="仿宋" w:eastAsia="仿宋" w:cs="仿宋"/>
          <w:b/>
          <w:bCs/>
          <w:color w:val="auto"/>
          <w:sz w:val="24"/>
          <w:highlight w:val="none"/>
        </w:rPr>
        <w:t>（二）《首次报价文件》：</w:t>
      </w:r>
    </w:p>
    <w:p w14:paraId="28064CAF">
      <w:pPr>
        <w:snapToGrid w:val="0"/>
        <w:spacing w:line="56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（1）响应函（格式见第五章）；</w:t>
      </w:r>
    </w:p>
    <w:p w14:paraId="575D47C5">
      <w:pPr>
        <w:snapToGrid w:val="0"/>
        <w:spacing w:line="56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（2）磋商报价表（首次报价）（格式见第五章）；</w:t>
      </w:r>
    </w:p>
    <w:p w14:paraId="66783D06">
      <w:pPr>
        <w:snapToGrid w:val="0"/>
        <w:spacing w:line="56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（3）报价明细表（如有，格式自拟）；</w:t>
      </w:r>
    </w:p>
    <w:p w14:paraId="2FAB6EFB">
      <w:pPr>
        <w:snapToGrid w:val="0"/>
        <w:spacing w:line="560" w:lineRule="exact"/>
        <w:ind w:firstLine="480" w:firstLineChars="20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（4）中小企业声明函（本项目所属行业：其他未列明行业，格式见第五章）；</w:t>
      </w:r>
    </w:p>
    <w:p w14:paraId="1BC34526">
      <w:pPr>
        <w:snapToGrid w:val="0"/>
        <w:spacing w:line="560" w:lineRule="exact"/>
        <w:ind w:firstLine="480" w:firstLineChars="20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lang w:eastAsia="zh-CN"/>
        </w:rPr>
        <w:t>（</w:t>
      </w:r>
      <w:r>
        <w:rPr>
          <w:rFonts w:hint="eastAsia" w:ascii="仿宋" w:hAnsi="仿宋" w:eastAsia="仿宋" w:cs="仿宋"/>
          <w:color w:val="auto"/>
          <w:sz w:val="24"/>
          <w:highlight w:val="none"/>
          <w:lang w:val="en-US" w:eastAsia="zh-CN"/>
        </w:rPr>
        <w:t>5</w:t>
      </w:r>
      <w:r>
        <w:rPr>
          <w:rFonts w:hint="eastAsia" w:ascii="仿宋" w:hAnsi="仿宋" w:eastAsia="仿宋" w:cs="仿宋"/>
          <w:color w:val="auto"/>
          <w:sz w:val="24"/>
          <w:highlight w:val="none"/>
          <w:lang w:eastAsia="zh-CN"/>
        </w:rPr>
        <w:t>）</w:t>
      </w:r>
      <w:r>
        <w:rPr>
          <w:rFonts w:hint="eastAsia" w:ascii="仿宋" w:hAnsi="仿宋" w:eastAsia="仿宋" w:cs="仿宋"/>
          <w:color w:val="auto"/>
          <w:sz w:val="24"/>
          <w:highlight w:val="none"/>
        </w:rPr>
        <w:t>监狱企业声明函（如有，格式见第五章）；</w:t>
      </w:r>
    </w:p>
    <w:p w14:paraId="2D5A863B">
      <w:pPr>
        <w:snapToGrid w:val="0"/>
        <w:spacing w:line="560" w:lineRule="exact"/>
        <w:ind w:firstLine="480" w:firstLineChars="200"/>
        <w:jc w:val="left"/>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w:t>
      </w:r>
      <w:r>
        <w:rPr>
          <w:rFonts w:hint="eastAsia" w:ascii="仿宋" w:hAnsi="仿宋" w:eastAsia="仿宋" w:cs="仿宋"/>
          <w:color w:val="auto"/>
          <w:sz w:val="24"/>
          <w:highlight w:val="none"/>
          <w:lang w:val="en-US" w:eastAsia="zh-CN"/>
        </w:rPr>
        <w:t>6</w:t>
      </w:r>
      <w:r>
        <w:rPr>
          <w:rFonts w:hint="eastAsia" w:ascii="仿宋" w:hAnsi="仿宋" w:eastAsia="仿宋" w:cs="仿宋"/>
          <w:color w:val="auto"/>
          <w:sz w:val="24"/>
          <w:highlight w:val="none"/>
          <w:lang w:eastAsia="zh-CN"/>
        </w:rPr>
        <w:t>）</w:t>
      </w:r>
      <w:r>
        <w:rPr>
          <w:rFonts w:hint="eastAsia" w:ascii="仿宋" w:hAnsi="仿宋" w:eastAsia="仿宋" w:cs="仿宋"/>
          <w:color w:val="auto"/>
          <w:sz w:val="24"/>
          <w:highlight w:val="none"/>
        </w:rPr>
        <w:t>残疾人福利性单位声明函（如有，格式见第五章）</w:t>
      </w:r>
      <w:r>
        <w:rPr>
          <w:rFonts w:hint="eastAsia" w:ascii="仿宋" w:hAnsi="仿宋" w:eastAsia="仿宋" w:cs="仿宋"/>
          <w:color w:val="auto"/>
          <w:sz w:val="24"/>
          <w:highlight w:val="none"/>
          <w:lang w:eastAsia="zh-CN"/>
        </w:rPr>
        <w:t>；</w:t>
      </w:r>
    </w:p>
    <w:p w14:paraId="000905C0">
      <w:pPr>
        <w:snapToGrid w:val="0"/>
        <w:spacing w:line="560" w:lineRule="exact"/>
        <w:ind w:firstLine="480" w:firstLineChars="200"/>
        <w:jc w:val="left"/>
        <w:rPr>
          <w:rFonts w:ascii="仿宋" w:hAnsi="仿宋" w:eastAsia="仿宋" w:cs="仿宋"/>
          <w:color w:val="auto"/>
          <w:highlight w:val="none"/>
        </w:rPr>
      </w:pPr>
      <w:r>
        <w:rPr>
          <w:rFonts w:hint="eastAsia" w:ascii="仿宋" w:hAnsi="仿宋" w:eastAsia="仿宋" w:cs="仿宋"/>
          <w:color w:val="auto"/>
          <w:sz w:val="24"/>
          <w:highlight w:val="none"/>
          <w:lang w:eastAsia="zh-CN"/>
        </w:rPr>
        <w:t>（</w:t>
      </w:r>
      <w:r>
        <w:rPr>
          <w:rFonts w:hint="eastAsia" w:ascii="仿宋" w:hAnsi="仿宋" w:eastAsia="仿宋" w:cs="仿宋"/>
          <w:color w:val="auto"/>
          <w:sz w:val="24"/>
          <w:highlight w:val="none"/>
          <w:lang w:val="en-US" w:eastAsia="zh-CN"/>
        </w:rPr>
        <w:t>7</w:t>
      </w:r>
      <w:r>
        <w:rPr>
          <w:rFonts w:hint="eastAsia" w:ascii="仿宋" w:hAnsi="仿宋" w:eastAsia="仿宋" w:cs="仿宋"/>
          <w:color w:val="auto"/>
          <w:sz w:val="24"/>
          <w:highlight w:val="none"/>
          <w:lang w:eastAsia="zh-CN"/>
        </w:rPr>
        <w:t>）</w:t>
      </w:r>
      <w:r>
        <w:rPr>
          <w:rFonts w:hint="eastAsia" w:ascii="仿宋" w:hAnsi="仿宋" w:eastAsia="仿宋" w:cs="仿宋"/>
          <w:color w:val="auto"/>
          <w:sz w:val="24"/>
          <w:highlight w:val="none"/>
        </w:rPr>
        <w:t>磋商代理服务费承诺函（格式见第五章）；</w:t>
      </w:r>
    </w:p>
    <w:p w14:paraId="6EF32C8B">
      <w:pPr>
        <w:spacing w:line="560" w:lineRule="exac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w:t>
      </w:r>
      <w:r>
        <w:rPr>
          <w:rFonts w:hint="eastAsia" w:ascii="仿宋" w:hAnsi="仿宋" w:eastAsia="仿宋" w:cs="仿宋"/>
          <w:color w:val="auto"/>
          <w:sz w:val="24"/>
          <w:highlight w:val="none"/>
          <w:lang w:val="en-US" w:eastAsia="zh-CN"/>
        </w:rPr>
        <w:t>8</w:t>
      </w:r>
      <w:r>
        <w:rPr>
          <w:rFonts w:hint="eastAsia" w:ascii="仿宋" w:hAnsi="仿宋" w:eastAsia="仿宋" w:cs="仿宋"/>
          <w:color w:val="auto"/>
          <w:sz w:val="24"/>
          <w:highlight w:val="none"/>
        </w:rPr>
        <w:t>）供应商针对报价需要说明的其他材料（格式自拟）。</w:t>
      </w:r>
    </w:p>
    <w:p w14:paraId="6019FB32">
      <w:pPr>
        <w:spacing w:line="560" w:lineRule="exact"/>
        <w:rPr>
          <w:rFonts w:ascii="仿宋" w:hAnsi="仿宋" w:eastAsia="仿宋" w:cs="仿宋"/>
          <w:color w:val="auto"/>
          <w:sz w:val="24"/>
          <w:highlight w:val="none"/>
        </w:rPr>
      </w:pPr>
      <w:r>
        <w:rPr>
          <w:rFonts w:hint="eastAsia" w:ascii="仿宋" w:hAnsi="仿宋" w:eastAsia="仿宋" w:cs="仿宋"/>
          <w:color w:val="auto"/>
          <w:sz w:val="24"/>
          <w:highlight w:val="none"/>
        </w:rPr>
        <w:t>9.磋商报价说明</w:t>
      </w:r>
    </w:p>
    <w:p w14:paraId="3C9A8E5E">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9.1响应报价应按采购文件中相关附表格式填写；</w:t>
      </w:r>
    </w:p>
    <w:p w14:paraId="39A280F3">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9.2供应商应按本磋商文件提供相应的报价，不得缺项和漏项，每一项目只允许有一个报价，任何有选择性的报价，将不予接受；</w:t>
      </w:r>
    </w:p>
    <w:p w14:paraId="010F817F">
      <w:pPr>
        <w:spacing w:line="54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9.3供应商的报价应是完成本磋商文件规定内容所需发生的全部费用（包含税金、运输、保险、服务及其他应由供应商承担的费用），应为履行合同的最终价格，凡未列入表达清楚的，将被视为均已包含在投标总报价中；</w:t>
      </w:r>
    </w:p>
    <w:p w14:paraId="1EC624EC">
      <w:pPr>
        <w:spacing w:line="54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9.4如实际服务中发生服务内容的调整须经采购人同意，增减服务内容的结算按相应成交价格计算；</w:t>
      </w:r>
    </w:p>
    <w:p w14:paraId="7236BB7E">
      <w:pPr>
        <w:spacing w:line="54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9.5供应商的最后报价由供应商自担全部风险责任，成交后不得以任何理由调报价或追加任何费用；</w:t>
      </w:r>
    </w:p>
    <w:p w14:paraId="3D79615D">
      <w:pPr>
        <w:spacing w:line="54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9.6各供应商拟采取的竞争措施和提供给采购人的优惠条件应在响应文件中列明，开标后提出的优惠条件一律不予考虑；</w:t>
      </w:r>
    </w:p>
    <w:p w14:paraId="557EA555">
      <w:pPr>
        <w:spacing w:line="54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9.7供应商所有优惠条件和优惠费用不得降低和影响本采购项目质量；</w:t>
      </w:r>
    </w:p>
    <w:p w14:paraId="50F5CCAA">
      <w:pPr>
        <w:spacing w:line="54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9.8供应商对磋商文件里有关响应报价的全部内容应仔细确认，若有个别异议，应在开标前五天提出修改意见，否则视同全部确认；</w:t>
      </w:r>
    </w:p>
    <w:p w14:paraId="03AE457E">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9.9</w:t>
      </w:r>
      <w:r>
        <w:rPr>
          <w:rFonts w:hint="eastAsia" w:ascii="仿宋" w:hAnsi="仿宋" w:eastAsia="仿宋" w:cs="仿宋"/>
          <w:bCs/>
          <w:color w:val="auto"/>
          <w:sz w:val="24"/>
          <w:highlight w:val="none"/>
        </w:rPr>
        <w:t>供应商要按磋商项目内容、数量及服务要求，就采购事项按格式要求规范填写，并由法定代表人或授权代理人签署，未经采购人书面同意，</w:t>
      </w:r>
      <w:r>
        <w:rPr>
          <w:rFonts w:hint="eastAsia" w:ascii="仿宋" w:hAnsi="仿宋" w:eastAsia="仿宋" w:cs="仿宋"/>
          <w:color w:val="auto"/>
          <w:sz w:val="24"/>
          <w:highlight w:val="none"/>
        </w:rPr>
        <w:t>不得随意更改项目名称、计量单位，否则有可能被视为无效磋商；</w:t>
      </w:r>
    </w:p>
    <w:p w14:paraId="4BC80DCA">
      <w:pPr>
        <w:spacing w:line="560" w:lineRule="exact"/>
        <w:ind w:firstLine="480" w:firstLineChars="200"/>
        <w:rPr>
          <w:rFonts w:ascii="仿宋" w:hAnsi="仿宋" w:eastAsia="仿宋" w:cs="仿宋"/>
          <w:bCs/>
          <w:color w:val="auto"/>
          <w:sz w:val="24"/>
          <w:highlight w:val="none"/>
        </w:rPr>
      </w:pPr>
      <w:r>
        <w:rPr>
          <w:rFonts w:hint="eastAsia" w:ascii="仿宋" w:hAnsi="仿宋" w:eastAsia="仿宋" w:cs="仿宋"/>
          <w:bCs/>
          <w:color w:val="auto"/>
          <w:sz w:val="24"/>
          <w:highlight w:val="none"/>
        </w:rPr>
        <w:t>9.10磋商分二轮进行，首次报价在响应文件中体现；</w:t>
      </w:r>
    </w:p>
    <w:p w14:paraId="624F9888">
      <w:pPr>
        <w:spacing w:line="560" w:lineRule="exact"/>
        <w:ind w:firstLine="480" w:firstLineChars="200"/>
        <w:rPr>
          <w:rFonts w:ascii="仿宋" w:hAnsi="仿宋" w:eastAsia="仿宋" w:cs="仿宋"/>
          <w:bCs/>
          <w:color w:val="auto"/>
          <w:sz w:val="24"/>
          <w:highlight w:val="none"/>
        </w:rPr>
      </w:pPr>
      <w:r>
        <w:rPr>
          <w:rFonts w:hint="eastAsia" w:ascii="仿宋" w:hAnsi="仿宋" w:eastAsia="仿宋" w:cs="仿宋"/>
          <w:bCs/>
          <w:color w:val="auto"/>
          <w:sz w:val="24"/>
          <w:highlight w:val="none"/>
        </w:rPr>
        <w:t>9.11最后报价应通过政采云系统进行在线磋商、报价，若因系统原因无法在线磋商、报价时，可通过如下方式：代理机构通过电子邮箱（2756977296@qq.com）向各供应商指定的电子邮箱发送最后报价的通知函，供应商在收到此函后30分钟内通过指定的电子邮箱进行最后报价，最后报价应按照本磋商文件规定的格式并以邮件的形式提供，且由法定代表人或其授权代理人签字确认并加盖公章，最后报价由代理机构统一提交至磋商小组，并宣读最后报价，采购人及监督人在最后报价表上签字确认；</w:t>
      </w:r>
    </w:p>
    <w:p w14:paraId="2ED2C9FA">
      <w:pPr>
        <w:spacing w:line="560" w:lineRule="exact"/>
        <w:ind w:firstLine="480" w:firstLineChars="200"/>
        <w:rPr>
          <w:rFonts w:ascii="仿宋" w:hAnsi="仿宋" w:eastAsia="仿宋" w:cs="仿宋"/>
          <w:bCs/>
          <w:color w:val="auto"/>
          <w:sz w:val="24"/>
          <w:highlight w:val="none"/>
        </w:rPr>
      </w:pPr>
      <w:r>
        <w:rPr>
          <w:rFonts w:hint="eastAsia" w:ascii="仿宋" w:hAnsi="仿宋" w:eastAsia="仿宋" w:cs="仿宋"/>
          <w:bCs/>
          <w:color w:val="auto"/>
          <w:sz w:val="24"/>
          <w:highlight w:val="none"/>
        </w:rPr>
        <w:t>9.12各供应商应事先做好充足准备，如未能在规定的时间内进行最后报价，作自动放弃处理；</w:t>
      </w:r>
    </w:p>
    <w:p w14:paraId="68FF3314">
      <w:pPr>
        <w:spacing w:line="560" w:lineRule="exact"/>
        <w:ind w:firstLine="480" w:firstLineChars="200"/>
        <w:rPr>
          <w:rFonts w:ascii="仿宋" w:hAnsi="仿宋" w:eastAsia="仿宋" w:cs="仿宋"/>
          <w:bCs/>
          <w:color w:val="auto"/>
          <w:sz w:val="24"/>
          <w:highlight w:val="none"/>
        </w:rPr>
      </w:pPr>
      <w:r>
        <w:rPr>
          <w:rFonts w:hint="eastAsia" w:ascii="仿宋" w:hAnsi="仿宋" w:eastAsia="仿宋" w:cs="仿宋"/>
          <w:color w:val="auto"/>
          <w:sz w:val="24"/>
          <w:highlight w:val="none"/>
        </w:rPr>
        <w:t>9.13</w:t>
      </w:r>
      <w:r>
        <w:rPr>
          <w:rFonts w:hint="eastAsia" w:ascii="仿宋" w:hAnsi="仿宋" w:eastAsia="仿宋" w:cs="仿宋"/>
          <w:bCs/>
          <w:color w:val="auto"/>
          <w:sz w:val="24"/>
          <w:highlight w:val="none"/>
        </w:rPr>
        <w:t>响应文件中的所有报价均以人民币（元）为单位；</w:t>
      </w:r>
    </w:p>
    <w:p w14:paraId="4F1FCDB1">
      <w:pPr>
        <w:spacing w:line="560" w:lineRule="exact"/>
        <w:ind w:firstLine="480" w:firstLineChars="200"/>
        <w:rPr>
          <w:rFonts w:ascii="仿宋" w:hAnsi="仿宋" w:eastAsia="仿宋" w:cs="仿宋"/>
          <w:bCs/>
          <w:color w:val="auto"/>
          <w:sz w:val="24"/>
          <w:highlight w:val="none"/>
        </w:rPr>
      </w:pPr>
      <w:r>
        <w:rPr>
          <w:rFonts w:hint="eastAsia" w:ascii="仿宋" w:hAnsi="仿宋" w:eastAsia="仿宋" w:cs="仿宋"/>
          <w:color w:val="auto"/>
          <w:sz w:val="24"/>
          <w:highlight w:val="none"/>
        </w:rPr>
        <w:t>9.14采购人不接受备选方案。</w:t>
      </w:r>
    </w:p>
    <w:p w14:paraId="1A194018">
      <w:pPr>
        <w:spacing w:line="560" w:lineRule="exact"/>
        <w:rPr>
          <w:rFonts w:ascii="仿宋" w:hAnsi="仿宋" w:eastAsia="仿宋" w:cs="仿宋"/>
          <w:color w:val="auto"/>
          <w:sz w:val="24"/>
          <w:highlight w:val="none"/>
        </w:rPr>
      </w:pPr>
      <w:r>
        <w:rPr>
          <w:rFonts w:hint="eastAsia" w:ascii="仿宋" w:hAnsi="仿宋" w:eastAsia="仿宋" w:cs="仿宋"/>
          <w:color w:val="auto"/>
          <w:sz w:val="24"/>
          <w:highlight w:val="none"/>
        </w:rPr>
        <w:t>10.磋商有效期</w:t>
      </w:r>
    </w:p>
    <w:p w14:paraId="02B1C52C">
      <w:pPr>
        <w:tabs>
          <w:tab w:val="left" w:pos="1440"/>
          <w:tab w:val="left" w:pos="1620"/>
        </w:tabs>
        <w:spacing w:line="560" w:lineRule="exact"/>
        <w:ind w:firstLine="480" w:firstLineChars="200"/>
        <w:rPr>
          <w:rFonts w:ascii="仿宋" w:hAnsi="仿宋" w:eastAsia="仿宋" w:cs="仿宋"/>
          <w:bCs/>
          <w:color w:val="auto"/>
          <w:sz w:val="24"/>
          <w:highlight w:val="none"/>
        </w:rPr>
      </w:pPr>
      <w:r>
        <w:rPr>
          <w:rFonts w:hint="eastAsia" w:ascii="仿宋" w:hAnsi="仿宋" w:eastAsia="仿宋" w:cs="仿宋"/>
          <w:color w:val="auto"/>
          <w:sz w:val="24"/>
          <w:highlight w:val="none"/>
        </w:rPr>
        <w:t>10.1</w:t>
      </w:r>
      <w:r>
        <w:rPr>
          <w:rFonts w:hint="eastAsia" w:ascii="仿宋" w:hAnsi="仿宋" w:eastAsia="仿宋" w:cs="仿宋"/>
          <w:bCs/>
          <w:color w:val="auto"/>
          <w:sz w:val="24"/>
          <w:highlight w:val="none"/>
        </w:rPr>
        <w:t>自磋商开始之日起60天内。有效期短于这个规定期限的响应文件，将被拒绝；</w:t>
      </w:r>
    </w:p>
    <w:p w14:paraId="73AAF8A9">
      <w:pPr>
        <w:tabs>
          <w:tab w:val="left" w:pos="1440"/>
          <w:tab w:val="left" w:pos="1620"/>
        </w:tabs>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10.2在特殊情况下，采购代理机构在原定磋商有效期内，可以根据需要以书面形式向供应商提出延长磋商有效期的要求，供应商须以书面形式予以答复。供应商可以拒绝采购代理机构的这种要求。同意延长磋商有效期的供应商既不能要求也不允许修改其响应文件。</w:t>
      </w:r>
    </w:p>
    <w:p w14:paraId="1DEE4F32">
      <w:pPr>
        <w:spacing w:line="560" w:lineRule="exact"/>
        <w:rPr>
          <w:rFonts w:ascii="仿宋" w:hAnsi="仿宋" w:eastAsia="仿宋" w:cs="仿宋"/>
          <w:color w:val="auto"/>
          <w:sz w:val="24"/>
          <w:highlight w:val="none"/>
        </w:rPr>
      </w:pPr>
      <w:r>
        <w:rPr>
          <w:rFonts w:hint="eastAsia" w:ascii="仿宋" w:hAnsi="仿宋" w:eastAsia="仿宋" w:cs="仿宋"/>
          <w:color w:val="auto"/>
          <w:sz w:val="24"/>
          <w:highlight w:val="none"/>
        </w:rPr>
        <w:t>11.响应文件的签署和份数</w:t>
      </w:r>
    </w:p>
    <w:p w14:paraId="08DDCBCA">
      <w:pPr>
        <w:tabs>
          <w:tab w:val="left" w:pos="1440"/>
          <w:tab w:val="left" w:pos="1620"/>
        </w:tabs>
        <w:spacing w:line="560" w:lineRule="exact"/>
        <w:ind w:firstLine="482" w:firstLineChars="200"/>
        <w:rPr>
          <w:rFonts w:ascii="仿宋" w:hAnsi="仿宋" w:eastAsia="仿宋" w:cs="仿宋"/>
          <w:b/>
          <w:color w:val="auto"/>
          <w:sz w:val="24"/>
          <w:highlight w:val="none"/>
        </w:rPr>
      </w:pPr>
      <w:r>
        <w:rPr>
          <w:rFonts w:hint="eastAsia" w:ascii="仿宋" w:hAnsi="仿宋" w:eastAsia="仿宋" w:cs="仿宋"/>
          <w:b/>
          <w:color w:val="auto"/>
          <w:sz w:val="24"/>
          <w:highlight w:val="none"/>
        </w:rPr>
        <w:t>11.1电子响应文件：</w:t>
      </w:r>
    </w:p>
    <w:p w14:paraId="0A85DFF2">
      <w:pPr>
        <w:tabs>
          <w:tab w:val="left" w:pos="1440"/>
          <w:tab w:val="left" w:pos="1620"/>
        </w:tabs>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供应商应根据“政采云供应商项目采购-电子招投标操作指南”及本磋商文件规定的格式和顺序编制电子响应文件并进行关联定位，若因响应文件内容不完整、编排混乱导致响应文件被误读、漏读或者查找不到相关内容的，是供应商的责任。</w:t>
      </w:r>
    </w:p>
    <w:p w14:paraId="528DFA16">
      <w:pPr>
        <w:tabs>
          <w:tab w:val="left" w:pos="1440"/>
          <w:tab w:val="left" w:pos="1620"/>
        </w:tabs>
        <w:spacing w:line="560" w:lineRule="exact"/>
        <w:ind w:firstLine="482" w:firstLineChars="200"/>
        <w:rPr>
          <w:rFonts w:ascii="仿宋" w:hAnsi="仿宋" w:eastAsia="仿宋" w:cs="仿宋"/>
          <w:b/>
          <w:color w:val="auto"/>
          <w:sz w:val="24"/>
          <w:highlight w:val="none"/>
        </w:rPr>
      </w:pPr>
      <w:r>
        <w:rPr>
          <w:rFonts w:hint="eastAsia" w:ascii="仿宋" w:hAnsi="仿宋" w:eastAsia="仿宋" w:cs="仿宋"/>
          <w:b/>
          <w:color w:val="auto"/>
          <w:sz w:val="24"/>
          <w:highlight w:val="none"/>
        </w:rPr>
        <w:t>11.2数据电子备份响应文件（U盘）：</w:t>
      </w:r>
    </w:p>
    <w:p w14:paraId="5CF72925">
      <w:pPr>
        <w:tabs>
          <w:tab w:val="left" w:pos="1440"/>
          <w:tab w:val="left" w:pos="1620"/>
        </w:tabs>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电子响应文件的备份文件以U盘形式存储。数据电子备份响应文件格式及内容须与政采云平台项目采购-电子交易操作指南中制作、加密并递交的电子响应文件格式及内容一致。数据电子备份响应文件（U盘）须密封、包装，不按此规定密封、包装的数据电子备份响应文件（U盘）均按未提供处理；</w:t>
      </w:r>
    </w:p>
    <w:p w14:paraId="08295D01">
      <w:pPr>
        <w:autoSpaceDE w:val="0"/>
        <w:autoSpaceDN w:val="0"/>
        <w:spacing w:line="560" w:lineRule="exact"/>
        <w:ind w:firstLine="480" w:firstLineChars="200"/>
        <w:jc w:val="left"/>
        <w:rPr>
          <w:rFonts w:ascii="仿宋" w:hAnsi="仿宋" w:eastAsia="仿宋" w:cs="仿宋"/>
          <w:color w:val="auto"/>
          <w:kern w:val="0"/>
          <w:sz w:val="24"/>
          <w:highlight w:val="none"/>
        </w:rPr>
      </w:pPr>
      <w:r>
        <w:rPr>
          <w:rFonts w:hint="eastAsia" w:ascii="仿宋" w:hAnsi="仿宋" w:eastAsia="仿宋" w:cs="仿宋"/>
          <w:color w:val="auto"/>
          <w:sz w:val="24"/>
          <w:highlight w:val="none"/>
        </w:rPr>
        <w:t>11.3</w:t>
      </w:r>
      <w:r>
        <w:rPr>
          <w:rFonts w:hint="eastAsia" w:ascii="仿宋" w:hAnsi="仿宋" w:eastAsia="仿宋" w:cs="仿宋"/>
          <w:color w:val="auto"/>
          <w:kern w:val="0"/>
          <w:sz w:val="24"/>
          <w:highlight w:val="none"/>
        </w:rPr>
        <w:t>响应文件需按磋商文件要求的格式填写，未按规定格式填写将有可能视为无效响应文件；</w:t>
      </w:r>
    </w:p>
    <w:p w14:paraId="68DC65B9">
      <w:pPr>
        <w:spacing w:line="560" w:lineRule="exact"/>
        <w:ind w:firstLine="480" w:firstLineChars="200"/>
        <w:rPr>
          <w:rFonts w:ascii="仿宋" w:hAnsi="仿宋" w:eastAsia="仿宋" w:cs="仿宋"/>
          <w:color w:val="auto"/>
          <w:kern w:val="0"/>
          <w:sz w:val="24"/>
          <w:highlight w:val="none"/>
        </w:rPr>
      </w:pPr>
      <w:r>
        <w:rPr>
          <w:rFonts w:hint="eastAsia" w:ascii="仿宋" w:hAnsi="仿宋" w:eastAsia="仿宋" w:cs="仿宋"/>
          <w:color w:val="auto"/>
          <w:sz w:val="24"/>
          <w:highlight w:val="none"/>
        </w:rPr>
        <w:t>11.4</w:t>
      </w:r>
      <w:r>
        <w:rPr>
          <w:rFonts w:hint="eastAsia" w:ascii="仿宋" w:hAnsi="仿宋" w:eastAsia="仿宋" w:cs="仿宋"/>
          <w:color w:val="auto"/>
          <w:kern w:val="0"/>
          <w:sz w:val="24"/>
          <w:highlight w:val="none"/>
        </w:rPr>
        <w:t>除供应商对错处做必要修改外，响应文件不得行间插字、涂改和增删，如有修改错漏处，应由供应商加盖校对章。</w:t>
      </w:r>
    </w:p>
    <w:p w14:paraId="18C97396">
      <w:pPr>
        <w:pStyle w:val="2"/>
        <w:spacing w:line="560" w:lineRule="exact"/>
        <w:jc w:val="center"/>
        <w:rPr>
          <w:rFonts w:ascii="仿宋" w:hAnsi="仿宋" w:eastAsia="仿宋" w:cs="仿宋"/>
          <w:color w:val="auto"/>
          <w:kern w:val="44"/>
          <w:sz w:val="28"/>
          <w:szCs w:val="28"/>
          <w:highlight w:val="none"/>
        </w:rPr>
      </w:pPr>
      <w:bookmarkStart w:id="12" w:name="_Toc452995898"/>
      <w:r>
        <w:rPr>
          <w:rFonts w:hint="eastAsia" w:ascii="仿宋" w:hAnsi="仿宋" w:eastAsia="仿宋" w:cs="仿宋"/>
          <w:color w:val="auto"/>
          <w:kern w:val="44"/>
          <w:sz w:val="28"/>
          <w:szCs w:val="28"/>
          <w:highlight w:val="none"/>
        </w:rPr>
        <w:t>三、响应文件的提交</w:t>
      </w:r>
      <w:bookmarkEnd w:id="12"/>
    </w:p>
    <w:p w14:paraId="7DAD9533">
      <w:pPr>
        <w:tabs>
          <w:tab w:val="left" w:pos="720"/>
        </w:tabs>
        <w:spacing w:line="560" w:lineRule="exact"/>
        <w:rPr>
          <w:rFonts w:ascii="仿宋" w:hAnsi="仿宋" w:eastAsia="仿宋" w:cs="仿宋"/>
          <w:bCs/>
          <w:color w:val="auto"/>
          <w:sz w:val="24"/>
          <w:highlight w:val="none"/>
        </w:rPr>
      </w:pPr>
      <w:r>
        <w:rPr>
          <w:rFonts w:hint="eastAsia" w:ascii="仿宋" w:hAnsi="仿宋" w:eastAsia="仿宋" w:cs="仿宋"/>
          <w:color w:val="auto"/>
          <w:sz w:val="24"/>
          <w:highlight w:val="none"/>
        </w:rPr>
        <w:t>12</w:t>
      </w:r>
      <w:r>
        <w:rPr>
          <w:rFonts w:hint="eastAsia" w:ascii="仿宋" w:hAnsi="仿宋" w:eastAsia="仿宋" w:cs="仿宋"/>
          <w:bCs/>
          <w:color w:val="auto"/>
          <w:sz w:val="24"/>
          <w:highlight w:val="none"/>
        </w:rPr>
        <w:t>.数据电子备份响应文件（U盘）的密封及标记</w:t>
      </w:r>
    </w:p>
    <w:p w14:paraId="152D5BDA">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12.1供应商在数据电子备份响应文件（U盘）包封上应注明项目名称、项目编号、供应商名称并加盖供应商盖章；</w:t>
      </w:r>
    </w:p>
    <w:p w14:paraId="74BF4C24">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12.2如果数据电子备份响应文件（U盘）未按上述要求密封和加写标记，采购人有权予以拒绝此响应文件，视为未提供，并退回供应商；</w:t>
      </w:r>
    </w:p>
    <w:p w14:paraId="59362CF1">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12.3如果因密封不严、标记不明而造成过早启封、失密等情况，</w:t>
      </w:r>
      <w:r>
        <w:rPr>
          <w:rFonts w:hint="eastAsia" w:ascii="仿宋" w:hAnsi="仿宋" w:eastAsia="仿宋" w:cs="仿宋"/>
          <w:bCs/>
          <w:color w:val="auto"/>
          <w:sz w:val="24"/>
          <w:highlight w:val="none"/>
        </w:rPr>
        <w:t>采购代理机构</w:t>
      </w:r>
      <w:r>
        <w:rPr>
          <w:rFonts w:hint="eastAsia" w:ascii="仿宋" w:hAnsi="仿宋" w:eastAsia="仿宋" w:cs="仿宋"/>
          <w:color w:val="auto"/>
          <w:sz w:val="24"/>
          <w:highlight w:val="none"/>
        </w:rPr>
        <w:t>概不负责。</w:t>
      </w:r>
    </w:p>
    <w:p w14:paraId="27E36B53">
      <w:pPr>
        <w:tabs>
          <w:tab w:val="left" w:pos="720"/>
        </w:tabs>
        <w:spacing w:line="560" w:lineRule="exact"/>
        <w:rPr>
          <w:rFonts w:ascii="仿宋" w:hAnsi="仿宋" w:eastAsia="仿宋" w:cs="仿宋"/>
          <w:color w:val="auto"/>
          <w:sz w:val="24"/>
          <w:highlight w:val="none"/>
        </w:rPr>
      </w:pPr>
      <w:r>
        <w:rPr>
          <w:rFonts w:hint="eastAsia" w:ascii="仿宋" w:hAnsi="仿宋" w:eastAsia="仿宋" w:cs="仿宋"/>
          <w:color w:val="auto"/>
          <w:sz w:val="24"/>
          <w:highlight w:val="none"/>
        </w:rPr>
        <w:t>13.响应文件的递交及磋商截止时间：</w:t>
      </w:r>
    </w:p>
    <w:p w14:paraId="1D3D94AB">
      <w:pPr>
        <w:tabs>
          <w:tab w:val="left" w:pos="720"/>
        </w:tabs>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13.1供应商应当在磋商截止时间前完成电子响应文件的传输递交，磋商截止时间前可以补充、修改或者撤回电子响应文件。补充或者修改电子响应文件的，应当先行撤回原文件，补充、修改后重新传输递交。磋商截止时间止未完成传输的，视为放弃磋商资格，作无效标处理；</w:t>
      </w:r>
    </w:p>
    <w:p w14:paraId="266D9B6C">
      <w:pPr>
        <w:tabs>
          <w:tab w:val="left" w:pos="720"/>
        </w:tabs>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13.2数据电子备份响应文件（U盘）：以U盘形式提供的数据电子备份响应文件格式及内容须与政采云平台项目采购-电子交易操作指南中制作、加密并递交的电子响应文件格式及内容一致。递交方式：数据电子备份响应文件（U盘）应通过邮寄快递方式送达（原则上邮寄公司统一采用顺丰），邮寄地址为：浙江新诚信工程咨询有限公司  [湖州市太湖路1155号14层1402室]，联系电话：18768247439。邮寄截止时间：供应商应于2025年</w:t>
      </w:r>
      <w:r>
        <w:rPr>
          <w:rFonts w:hint="eastAsia" w:ascii="仿宋" w:hAnsi="仿宋" w:eastAsia="仿宋" w:cs="仿宋"/>
          <w:color w:val="auto"/>
          <w:sz w:val="24"/>
          <w:highlight w:val="none"/>
          <w:lang w:val="en-US" w:eastAsia="zh-CN"/>
        </w:rPr>
        <w:t>7</w:t>
      </w:r>
      <w:r>
        <w:rPr>
          <w:rFonts w:hint="eastAsia" w:ascii="仿宋" w:hAnsi="仿宋" w:eastAsia="仿宋" w:cs="仿宋"/>
          <w:color w:val="auto"/>
          <w:sz w:val="24"/>
          <w:highlight w:val="none"/>
        </w:rPr>
        <w:t>月</w:t>
      </w:r>
      <w:r>
        <w:rPr>
          <w:rFonts w:hint="eastAsia" w:ascii="仿宋" w:hAnsi="仿宋" w:eastAsia="仿宋" w:cs="仿宋"/>
          <w:color w:val="auto"/>
          <w:sz w:val="24"/>
          <w:highlight w:val="none"/>
          <w:lang w:val="en-US" w:eastAsia="zh-CN"/>
        </w:rPr>
        <w:t>11</w:t>
      </w:r>
      <w:r>
        <w:rPr>
          <w:rFonts w:hint="eastAsia" w:ascii="仿宋" w:hAnsi="仿宋" w:eastAsia="仿宋" w:cs="仿宋"/>
          <w:color w:val="auto"/>
          <w:sz w:val="24"/>
          <w:highlight w:val="none"/>
        </w:rPr>
        <w:t>日17:00时前准时送达，逾期不予受理，未按时送达的，均按未提供处理；</w:t>
      </w:r>
    </w:p>
    <w:p w14:paraId="6566C3B0">
      <w:pPr>
        <w:tabs>
          <w:tab w:val="left" w:pos="720"/>
        </w:tabs>
        <w:spacing w:line="560" w:lineRule="exact"/>
        <w:ind w:firstLine="480" w:firstLineChars="200"/>
        <w:rPr>
          <w:rFonts w:ascii="仿宋" w:hAnsi="仿宋" w:eastAsia="仿宋" w:cs="仿宋"/>
          <w:bCs/>
          <w:color w:val="auto"/>
          <w:sz w:val="24"/>
          <w:highlight w:val="none"/>
        </w:rPr>
      </w:pPr>
      <w:r>
        <w:rPr>
          <w:rFonts w:hint="eastAsia" w:ascii="仿宋" w:hAnsi="仿宋" w:eastAsia="仿宋" w:cs="仿宋"/>
          <w:bCs/>
          <w:color w:val="auto"/>
          <w:sz w:val="24"/>
          <w:highlight w:val="none"/>
        </w:rPr>
        <w:t>13.3整个磋商过程中若因供应商问题造成电子响应文件无法正常解密的，均认定为未提交电子响应文件，作无效标处理。若因网络或者其他非供应商问题造成电子响应文件无法正常解密的，启用数据电子备份响应文件（U盘），因供应商自身原因造成数据电子备份响应文件（U盘）无法打开的，作无效标处理。若正常解密成功，则数据电子备份响应文件（U盘）不予开启。</w:t>
      </w:r>
    </w:p>
    <w:p w14:paraId="21D4905F">
      <w:pPr>
        <w:tabs>
          <w:tab w:val="left" w:pos="720"/>
        </w:tabs>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13.4采购代理机构可通过修改磋商文件酌情延长递交响应文件的截止时间，在此情况下，供应商的所有权利和义务以及供应商的磋商截止时间均应以延长后新的截止时间为准；</w:t>
      </w:r>
    </w:p>
    <w:p w14:paraId="6B981203">
      <w:pPr>
        <w:tabs>
          <w:tab w:val="left" w:pos="720"/>
        </w:tabs>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13.5供应商的修改书和撤回通知应在规定的磋商截止日期前按规定的时间及方式（邮箱或传真等）送达；</w:t>
      </w:r>
    </w:p>
    <w:p w14:paraId="3211DECA">
      <w:pPr>
        <w:tabs>
          <w:tab w:val="left" w:pos="720"/>
        </w:tabs>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13.6采购代理机构收到供应商的响应文件或修改撤回通知书后，应当出具签收单（或收回签收单），通过邮箱或传真等方式送达；</w:t>
      </w:r>
    </w:p>
    <w:p w14:paraId="7A398292">
      <w:pPr>
        <w:tabs>
          <w:tab w:val="left" w:pos="720"/>
        </w:tabs>
        <w:spacing w:line="560" w:lineRule="exact"/>
        <w:ind w:firstLine="480" w:firstLineChars="200"/>
        <w:rPr>
          <w:rFonts w:ascii="仿宋" w:hAnsi="仿宋" w:eastAsia="仿宋" w:cs="仿宋"/>
          <w:bCs/>
          <w:color w:val="auto"/>
          <w:sz w:val="24"/>
          <w:highlight w:val="none"/>
        </w:rPr>
      </w:pPr>
      <w:r>
        <w:rPr>
          <w:rFonts w:hint="eastAsia" w:ascii="仿宋" w:hAnsi="仿宋" w:eastAsia="仿宋" w:cs="仿宋"/>
          <w:bCs/>
          <w:color w:val="auto"/>
          <w:sz w:val="24"/>
          <w:highlight w:val="none"/>
        </w:rPr>
        <w:t>13.7因网络或其他非供应商问题造成电子响应文件未成功解密，且供应商提供了数据电子备份响应文件（U盘）的，以数据电子备份响应文件（U盘）作为评审依据，否则视为电子响应文件撤回，作无效标处理。电子响应文件已成功解密的，数据电子备份响应文件（U盘）自动失效，不予启封。</w:t>
      </w:r>
    </w:p>
    <w:p w14:paraId="2A8E970F">
      <w:pPr>
        <w:tabs>
          <w:tab w:val="left" w:pos="720"/>
        </w:tabs>
        <w:spacing w:line="560" w:lineRule="exact"/>
        <w:rPr>
          <w:rFonts w:ascii="仿宋" w:hAnsi="仿宋" w:eastAsia="仿宋" w:cs="仿宋"/>
          <w:color w:val="auto"/>
          <w:sz w:val="24"/>
          <w:highlight w:val="none"/>
        </w:rPr>
      </w:pPr>
      <w:r>
        <w:rPr>
          <w:rFonts w:hint="eastAsia" w:ascii="仿宋" w:hAnsi="仿宋" w:eastAsia="仿宋" w:cs="仿宋"/>
          <w:color w:val="auto"/>
          <w:sz w:val="24"/>
          <w:highlight w:val="none"/>
        </w:rPr>
        <w:t>14.迟交的响应文件</w:t>
      </w:r>
    </w:p>
    <w:p w14:paraId="497F2513">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采购人将不接受在规定的磋商截止时间后收到的任何响应文件。</w:t>
      </w:r>
    </w:p>
    <w:p w14:paraId="39678E67">
      <w:pPr>
        <w:tabs>
          <w:tab w:val="left" w:pos="720"/>
        </w:tabs>
        <w:spacing w:line="560" w:lineRule="exact"/>
        <w:rPr>
          <w:rFonts w:ascii="仿宋" w:hAnsi="仿宋" w:eastAsia="仿宋" w:cs="仿宋"/>
          <w:color w:val="auto"/>
          <w:sz w:val="24"/>
          <w:highlight w:val="none"/>
        </w:rPr>
      </w:pPr>
      <w:r>
        <w:rPr>
          <w:rFonts w:hint="eastAsia" w:ascii="仿宋" w:hAnsi="仿宋" w:eastAsia="仿宋" w:cs="仿宋"/>
          <w:color w:val="auto"/>
          <w:sz w:val="24"/>
          <w:highlight w:val="none"/>
        </w:rPr>
        <w:t>15.响应文件的修改和撤回</w:t>
      </w:r>
    </w:p>
    <w:p w14:paraId="5CF8B7D7">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15.1供应商在提交响应文件后，可以修改或撤回其响应文件，但这种修改和撤回通知，必须在规定的磋商截止时间前，以书面形式（包括邮箱或传真等方式）通知采购代理机构；</w:t>
      </w:r>
    </w:p>
    <w:p w14:paraId="22BA198A">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15.2在磋商截止时间至规定的磋商有效期满之间的这段时间，供应商不得撤回其响应文件。</w:t>
      </w:r>
    </w:p>
    <w:p w14:paraId="67768866">
      <w:pPr>
        <w:tabs>
          <w:tab w:val="left" w:pos="720"/>
        </w:tabs>
        <w:spacing w:line="560" w:lineRule="exact"/>
        <w:rPr>
          <w:rFonts w:ascii="仿宋" w:hAnsi="仿宋" w:eastAsia="仿宋" w:cs="仿宋"/>
          <w:color w:val="auto"/>
          <w:sz w:val="24"/>
          <w:highlight w:val="none"/>
        </w:rPr>
      </w:pPr>
      <w:r>
        <w:rPr>
          <w:rFonts w:hint="eastAsia" w:ascii="仿宋" w:hAnsi="仿宋" w:eastAsia="仿宋" w:cs="仿宋"/>
          <w:color w:val="auto"/>
          <w:sz w:val="24"/>
          <w:highlight w:val="none"/>
        </w:rPr>
        <w:t>16.出现以下情形，导致电子交易平台无法正常进行，或者无法保证电子交易的公平、公正和安全时，中止电子交易活动：</w:t>
      </w:r>
    </w:p>
    <w:p w14:paraId="013F195B">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16.1电子交易平台发生故障而无法登录访问的；</w:t>
      </w:r>
    </w:p>
    <w:p w14:paraId="463577D7">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16.2电子交易平台应用或数据库出现错误，不能进行正常操作的；</w:t>
      </w:r>
    </w:p>
    <w:p w14:paraId="32CAF059">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16.3电子交易平台发现严重安全漏洞，有潜在泄密危险的；</w:t>
      </w:r>
    </w:p>
    <w:p w14:paraId="0BE3BDE9">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16.4病毒发作导致不能进行正常操作的；</w:t>
      </w:r>
    </w:p>
    <w:p w14:paraId="4123D4D0">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16.5其他无法保证电子交易的公平、公正和安全的情况。</w:t>
      </w:r>
    </w:p>
    <w:p w14:paraId="5C2959B0">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出现以上规定情形，不影响采购公平、公正性的，采购代理机构可以待上述情形消除后继续组织电子交易活动，也可以决定某些环节以其他形式（数据备份响应文件（U盘））进行；影响或可能影响采购公平、公正性的，重新采购。</w:t>
      </w:r>
    </w:p>
    <w:p w14:paraId="0D269C33">
      <w:pPr>
        <w:pStyle w:val="2"/>
        <w:spacing w:line="560" w:lineRule="exact"/>
        <w:jc w:val="center"/>
        <w:rPr>
          <w:rFonts w:ascii="仿宋" w:hAnsi="仿宋" w:eastAsia="仿宋" w:cs="仿宋"/>
          <w:color w:val="auto"/>
          <w:sz w:val="28"/>
          <w:szCs w:val="28"/>
          <w:highlight w:val="none"/>
        </w:rPr>
      </w:pPr>
      <w:bookmarkStart w:id="13" w:name="_Toc452995899"/>
      <w:r>
        <w:rPr>
          <w:rFonts w:hint="eastAsia" w:ascii="仿宋" w:hAnsi="仿宋" w:eastAsia="仿宋" w:cs="仿宋"/>
          <w:color w:val="auto"/>
          <w:kern w:val="44"/>
          <w:sz w:val="28"/>
          <w:szCs w:val="28"/>
          <w:highlight w:val="none"/>
        </w:rPr>
        <w:t>四、</w:t>
      </w:r>
      <w:r>
        <w:rPr>
          <w:rFonts w:hint="eastAsia" w:ascii="仿宋" w:hAnsi="仿宋" w:eastAsia="仿宋" w:cs="仿宋"/>
          <w:color w:val="auto"/>
          <w:sz w:val="28"/>
          <w:szCs w:val="28"/>
          <w:highlight w:val="none"/>
        </w:rPr>
        <w:t>磋商</w:t>
      </w:r>
      <w:r>
        <w:rPr>
          <w:rFonts w:hint="eastAsia" w:ascii="仿宋" w:hAnsi="仿宋" w:eastAsia="仿宋" w:cs="仿宋"/>
          <w:color w:val="auto"/>
          <w:spacing w:val="14"/>
          <w:sz w:val="28"/>
          <w:szCs w:val="28"/>
          <w:highlight w:val="none"/>
        </w:rPr>
        <w:t>规则、</w:t>
      </w:r>
      <w:r>
        <w:rPr>
          <w:rFonts w:hint="eastAsia" w:ascii="仿宋" w:hAnsi="仿宋" w:eastAsia="仿宋" w:cs="仿宋"/>
          <w:color w:val="auto"/>
          <w:sz w:val="28"/>
          <w:szCs w:val="28"/>
          <w:highlight w:val="none"/>
        </w:rPr>
        <w:t>程序</w:t>
      </w:r>
      <w:bookmarkEnd w:id="13"/>
    </w:p>
    <w:p w14:paraId="04AD6A86">
      <w:pPr>
        <w:spacing w:line="560" w:lineRule="exact"/>
        <w:rPr>
          <w:rFonts w:ascii="仿宋" w:hAnsi="仿宋" w:eastAsia="仿宋" w:cs="仿宋"/>
          <w:color w:val="auto"/>
          <w:sz w:val="24"/>
          <w:highlight w:val="none"/>
        </w:rPr>
      </w:pPr>
      <w:r>
        <w:rPr>
          <w:rFonts w:hint="eastAsia" w:ascii="仿宋" w:hAnsi="仿宋" w:eastAsia="仿宋" w:cs="仿宋"/>
          <w:color w:val="auto"/>
          <w:sz w:val="24"/>
          <w:highlight w:val="none"/>
        </w:rPr>
        <w:t>17.磋商规则</w:t>
      </w:r>
    </w:p>
    <w:p w14:paraId="5D78CB06">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17.1采购代理机构将于本须知前附表规定的时间和地点召开磋商会，所有供应商均应准时参加磋商会，本项目的磋商会采用不见面线上模式，供应商登录政采云平台在线响应；</w:t>
      </w:r>
    </w:p>
    <w:p w14:paraId="7F63FBB8">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17.2磋商会由采购代理机构主持。</w:t>
      </w:r>
    </w:p>
    <w:p w14:paraId="625B5A19">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17.3对供应商的磋商文件出现下列情况之一的，按照无效响应文件处理：</w:t>
      </w:r>
    </w:p>
    <w:p w14:paraId="43E910AD">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17.3.1电子响应文件逾期未上传、传输的将拒绝接收；</w:t>
      </w:r>
    </w:p>
    <w:p w14:paraId="2E3536A3">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17.3.2不具备磋商文件中规定的资格条件要求的；</w:t>
      </w:r>
    </w:p>
    <w:p w14:paraId="50231A86">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17.3.3供应商提交两份或两份以上内容不同的响应文件，或在一份响应文件中对同一采购项目有两个或两个以上报价的；</w:t>
      </w:r>
    </w:p>
    <w:p w14:paraId="17E8BBC8">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17.3.4响应文件载明的采购项目完成期限超过磋商文件规定的期限，采购人不能接受的；</w:t>
      </w:r>
    </w:p>
    <w:p w14:paraId="6F69652B">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17.3.5响应文件载明的采购项目磋商有效期、服务期少于磋商文件规定期限的；</w:t>
      </w:r>
    </w:p>
    <w:p w14:paraId="56AF6286">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17.3.6响应文件未响应磋商文件规定的付款方式的；</w:t>
      </w:r>
    </w:p>
    <w:p w14:paraId="3E4FFE12">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17.3.7响应货物或服务的技术规范、技术标准明显不符合国家强制性要求的；</w:t>
      </w:r>
    </w:p>
    <w:p w14:paraId="064B3C7E">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17.3.8响应货物或服务载明的验收标准和方法等不符合国家规定及竞争性磋商文件要求的；</w:t>
      </w:r>
    </w:p>
    <w:p w14:paraId="763727EB">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17.3.9响应文件字迹模糊辨认不清的（磋商小组一致认为难以确认）；</w:t>
      </w:r>
    </w:p>
    <w:p w14:paraId="757539B1">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17.3.10提供不真实资料的；</w:t>
      </w:r>
    </w:p>
    <w:p w14:paraId="16850B7D">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17.3.11不符合法律、法规和磋商文件规定的其他实质性要求（磋商小组一致认定）的；</w:t>
      </w:r>
    </w:p>
    <w:p w14:paraId="5FB7C761">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17.3.12磋商服务的服务指标、参数等存在实质性偏离（磋商小组一致认定）的；</w:t>
      </w:r>
    </w:p>
    <w:p w14:paraId="42BFFE30">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17.3.13二分之一以上的磋商小组认为供应商报价明显高于市场平均价的；</w:t>
      </w:r>
    </w:p>
    <w:p w14:paraId="466FB9BB">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17.3.14未在浙江政府采购网（政采云平台）完成本项目网上报名的；</w:t>
      </w:r>
    </w:p>
    <w:p w14:paraId="335F23ED">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17.3.15法律、法规、规章及省级以上规范性文件等规定的其他情形；</w:t>
      </w:r>
    </w:p>
    <w:p w14:paraId="3F3329D0">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17.3.16未响应磋商文件中“▲”实质性条款。</w:t>
      </w:r>
    </w:p>
    <w:p w14:paraId="63E89372">
      <w:pPr>
        <w:spacing w:line="560" w:lineRule="exact"/>
        <w:rPr>
          <w:rFonts w:ascii="仿宋" w:hAnsi="仿宋" w:eastAsia="仿宋" w:cs="仿宋"/>
          <w:color w:val="auto"/>
          <w:sz w:val="24"/>
          <w:highlight w:val="none"/>
        </w:rPr>
      </w:pPr>
      <w:r>
        <w:rPr>
          <w:rFonts w:hint="eastAsia" w:ascii="仿宋" w:hAnsi="仿宋" w:eastAsia="仿宋" w:cs="仿宋"/>
          <w:color w:val="auto"/>
          <w:sz w:val="24"/>
          <w:highlight w:val="none"/>
        </w:rPr>
        <w:t>18.磋商小组与磋商原则</w:t>
      </w:r>
    </w:p>
    <w:p w14:paraId="32212D4B">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磋商小组由采购代理机构依法组建，负责磋商活动。磋商小组遵循公开、公平、公正、科学合理，竞争择优的原则。</w:t>
      </w:r>
    </w:p>
    <w:p w14:paraId="02C6995B">
      <w:pPr>
        <w:spacing w:line="560" w:lineRule="exact"/>
        <w:rPr>
          <w:rFonts w:ascii="仿宋" w:hAnsi="仿宋" w:eastAsia="仿宋" w:cs="仿宋"/>
          <w:color w:val="auto"/>
          <w:sz w:val="24"/>
          <w:highlight w:val="none"/>
        </w:rPr>
      </w:pPr>
      <w:r>
        <w:rPr>
          <w:rFonts w:hint="eastAsia" w:ascii="仿宋" w:hAnsi="仿宋" w:eastAsia="仿宋" w:cs="仿宋"/>
          <w:color w:val="auto"/>
          <w:sz w:val="24"/>
          <w:highlight w:val="none"/>
        </w:rPr>
        <w:t>19.磋商过程的保密</w:t>
      </w:r>
    </w:p>
    <w:p w14:paraId="59A48355">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19.1磋商会开始后，直至授予成交供应商合同为止，凡属于对响应文件的审查、澄清、评判和比较的有关资料、成交候选供应商的推荐情况及与磋商有关的其他任何情况均依法严格保密；</w:t>
      </w:r>
    </w:p>
    <w:p w14:paraId="79992367">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19.2在响应文件的评判和比较、成交候选供应商推荐以及授予合同的过程中，供应商向采购人和磋商小组施加影响的任何行为，都将会导致其磋商被拒绝；</w:t>
      </w:r>
    </w:p>
    <w:p w14:paraId="60147D49">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19.3磋商小组通过政采云系统分别与各供应商进行技术、商务、资信及价格磋商，在磋商过程中，磋商小组成员不得透露其他供应商的磋商信息，严守商业秘密；</w:t>
      </w:r>
    </w:p>
    <w:p w14:paraId="6FEAB3D0">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19.4供应商有下列情形之一的，视为供应商串通磋商，其磋商无效：</w:t>
      </w:r>
    </w:p>
    <w:p w14:paraId="367425C4">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19.4.1不同供应商的响应文件由同一单位或者个人编制；</w:t>
      </w:r>
    </w:p>
    <w:p w14:paraId="1596548D">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19.4.2不同供应商委托同一单位或者个人办理磋商事宜；</w:t>
      </w:r>
    </w:p>
    <w:p w14:paraId="743D176B">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19.4.3不同供应商的响应文件载明的项目管理成员或者联系人员为同一人；</w:t>
      </w:r>
    </w:p>
    <w:p w14:paraId="66109224">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19.4.4不同供应商的响应文件异常一致或者响应报价呈规律性差异；</w:t>
      </w:r>
    </w:p>
    <w:p w14:paraId="1C3969B3">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19.4.5不同供应商的数据电子备份响应文件（U盘）相互混装。</w:t>
      </w:r>
    </w:p>
    <w:p w14:paraId="4232AF09">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19.5供应商有下列情形之一的，属于恶意串通，其磋商无效：</w:t>
      </w:r>
    </w:p>
    <w:p w14:paraId="137526A0">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19.5.1供应商直接或者间接从采购人或者采购代理机构处获得其他供应商的相关情况并修改其响应文件；</w:t>
      </w:r>
    </w:p>
    <w:p w14:paraId="75488B16">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19.5.2供应商按照采购人或者采购代理机构的授意撤换、修改响应文件；</w:t>
      </w:r>
    </w:p>
    <w:p w14:paraId="26E405D8">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19.5.3供应商之间协商报价、技术方案等响应文件的实质性内容；</w:t>
      </w:r>
    </w:p>
    <w:p w14:paraId="6A2FBD8C">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19.5.4属于同一集团、协会、商会等组织成员的供应商按照该组织要求协同参加政府采购活动；</w:t>
      </w:r>
    </w:p>
    <w:p w14:paraId="6A9991EA">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19.5.5供应商之间事先约定由某一特定供应商成交；</w:t>
      </w:r>
    </w:p>
    <w:p w14:paraId="7094B46B">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19.5.6供应商之间商定部分供应商放弃参加政府采购活动或者放弃成交；</w:t>
      </w:r>
    </w:p>
    <w:p w14:paraId="74ABCAE2">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19.5.7供应商与采购人或者采购代理机构之间、供应商相互之间，为谋求特定供应商成交或者排斥其他供应商的其他串通行为。</w:t>
      </w:r>
    </w:p>
    <w:p w14:paraId="0D1D5307">
      <w:pPr>
        <w:spacing w:line="560" w:lineRule="exact"/>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rPr>
        <w:t>19.</w:t>
      </w:r>
      <w:r>
        <w:rPr>
          <w:rFonts w:hint="eastAsia" w:ascii="仿宋" w:hAnsi="仿宋" w:eastAsia="仿宋" w:cs="仿宋"/>
          <w:color w:val="auto"/>
          <w:sz w:val="24"/>
          <w:highlight w:val="none"/>
          <w:lang w:val="en-US" w:eastAsia="zh-CN"/>
        </w:rPr>
        <w:t>6</w:t>
      </w:r>
      <w:r>
        <w:rPr>
          <w:rFonts w:hint="eastAsia" w:ascii="仿宋" w:hAnsi="仿宋" w:eastAsia="仿宋" w:cs="仿宋"/>
          <w:color w:val="auto"/>
          <w:sz w:val="24"/>
          <w:highlight w:val="none"/>
        </w:rPr>
        <w:t>供应商存在下列情形之一且无法合理解释的，其投标(响应)文件无效</w:t>
      </w:r>
      <w:r>
        <w:rPr>
          <w:rFonts w:hint="eastAsia" w:ascii="仿宋" w:hAnsi="仿宋" w:eastAsia="仿宋" w:cs="仿宋"/>
          <w:color w:val="auto"/>
          <w:sz w:val="24"/>
          <w:highlight w:val="none"/>
          <w:lang w:eastAsia="zh-CN"/>
        </w:rPr>
        <w:t>：</w:t>
      </w:r>
    </w:p>
    <w:p w14:paraId="18087A95">
      <w:pPr>
        <w:numPr>
          <w:ilvl w:val="0"/>
          <w:numId w:val="0"/>
        </w:numPr>
        <w:spacing w:line="560" w:lineRule="exac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19.6.1</w:t>
      </w:r>
      <w:r>
        <w:rPr>
          <w:rFonts w:hint="eastAsia" w:ascii="仿宋" w:hAnsi="仿宋" w:eastAsia="仿宋" w:cs="仿宋"/>
          <w:color w:val="auto"/>
          <w:sz w:val="24"/>
          <w:highlight w:val="none"/>
        </w:rPr>
        <w:t>不同供应商的电子投标(响应)文件上传计算机的网卡MAC 地址或硬盘序列号等硬件信息相同的；</w:t>
      </w:r>
    </w:p>
    <w:p w14:paraId="30621908">
      <w:pPr>
        <w:numPr>
          <w:ilvl w:val="0"/>
          <w:numId w:val="0"/>
        </w:numPr>
        <w:spacing w:line="560" w:lineRule="exact"/>
        <w:ind w:firstLine="480" w:firstLineChars="200"/>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19.6.2上传的电子投标(响应)文件若出现使用本项目其他投标(响应)供应商的数字证书加密的，或者加盖本项目其他投标(响应)供应商的电子印章的；</w:t>
      </w:r>
    </w:p>
    <w:p w14:paraId="03B0893E">
      <w:pPr>
        <w:numPr>
          <w:ilvl w:val="0"/>
          <w:numId w:val="0"/>
        </w:numPr>
        <w:spacing w:line="560" w:lineRule="exact"/>
        <w:ind w:leftChars="200"/>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19.6.3</w:t>
      </w:r>
      <w:r>
        <w:rPr>
          <w:rFonts w:hint="eastAsia" w:ascii="仿宋" w:hAnsi="仿宋" w:eastAsia="仿宋" w:cs="仿宋"/>
          <w:color w:val="auto"/>
          <w:sz w:val="24"/>
          <w:highlight w:val="none"/>
        </w:rPr>
        <w:t>不同供应商的投标(响应)文件的内容存在3处(含)以上错误一致的；</w:t>
      </w:r>
    </w:p>
    <w:p w14:paraId="054CAFF9">
      <w:pPr>
        <w:numPr>
          <w:ilvl w:val="0"/>
          <w:numId w:val="0"/>
        </w:numPr>
        <w:spacing w:line="560" w:lineRule="exact"/>
        <w:ind w:leftChars="200" w:firstLine="0" w:firstLineChars="0"/>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19.6.4</w:t>
      </w:r>
      <w:r>
        <w:rPr>
          <w:rFonts w:hint="eastAsia" w:ascii="仿宋" w:hAnsi="仿宋" w:eastAsia="仿宋" w:cs="仿宋"/>
          <w:color w:val="auto"/>
          <w:sz w:val="24"/>
          <w:highlight w:val="none"/>
        </w:rPr>
        <w:t>不同供应商联系人为同一人或不同联系人的联系电话一致的。</w:t>
      </w:r>
    </w:p>
    <w:p w14:paraId="5DBFFFF9">
      <w:pPr>
        <w:spacing w:line="560" w:lineRule="exact"/>
        <w:rPr>
          <w:rFonts w:ascii="仿宋" w:hAnsi="仿宋" w:eastAsia="仿宋" w:cs="仿宋"/>
          <w:color w:val="auto"/>
          <w:sz w:val="24"/>
          <w:highlight w:val="none"/>
        </w:rPr>
      </w:pPr>
      <w:r>
        <w:rPr>
          <w:rFonts w:hint="eastAsia" w:ascii="仿宋" w:hAnsi="仿宋" w:eastAsia="仿宋" w:cs="仿宋"/>
          <w:color w:val="auto"/>
          <w:sz w:val="24"/>
          <w:highlight w:val="none"/>
        </w:rPr>
        <w:t>20.响应文件的澄清</w:t>
      </w:r>
    </w:p>
    <w:p w14:paraId="6CEE656D">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为有助于响应文件的审查、评判和比较，磋商小组可以要求供应商对响应文件含义不明确的内容作必要的澄清或说明，供应商应通过政采云系统采用书面形式进行必要的澄清、说明或承诺。</w:t>
      </w:r>
    </w:p>
    <w:p w14:paraId="6300170E">
      <w:pPr>
        <w:spacing w:line="560" w:lineRule="exact"/>
        <w:rPr>
          <w:rFonts w:ascii="仿宋" w:hAnsi="仿宋" w:eastAsia="仿宋" w:cs="仿宋"/>
          <w:color w:val="auto"/>
          <w:sz w:val="24"/>
          <w:highlight w:val="none"/>
        </w:rPr>
      </w:pPr>
      <w:r>
        <w:rPr>
          <w:rFonts w:hint="eastAsia" w:ascii="仿宋" w:hAnsi="仿宋" w:eastAsia="仿宋" w:cs="仿宋"/>
          <w:color w:val="auto"/>
          <w:sz w:val="24"/>
          <w:highlight w:val="none"/>
        </w:rPr>
        <w:t>21.</w:t>
      </w:r>
      <w:r>
        <w:rPr>
          <w:rFonts w:hint="eastAsia" w:ascii="仿宋" w:hAnsi="仿宋" w:eastAsia="仿宋" w:cs="仿宋"/>
          <w:color w:val="auto"/>
          <w:spacing w:val="14"/>
          <w:sz w:val="24"/>
          <w:highlight w:val="none"/>
        </w:rPr>
        <w:t>磋商程序与方法</w:t>
      </w:r>
    </w:p>
    <w:p w14:paraId="4BCF646A">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21.1资格性审查</w:t>
      </w:r>
    </w:p>
    <w:p w14:paraId="648CC2DC">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磋商小组依据法律、法规和磋商文件规定，对响应文件中的资格证明等进行审查，以确定供应商是否具备磋商资格。</w:t>
      </w:r>
      <w:r>
        <w:rPr>
          <w:rFonts w:hint="eastAsia" w:ascii="仿宋" w:hAnsi="仿宋" w:eastAsia="仿宋" w:cs="仿宋"/>
          <w:b/>
          <w:color w:val="auto"/>
          <w:sz w:val="24"/>
          <w:highlight w:val="none"/>
          <w:u w:val="single"/>
        </w:rPr>
        <w:t>审查内容详见响应文件组成中资格审查条款1-</w:t>
      </w:r>
      <w:r>
        <w:rPr>
          <w:rFonts w:hint="eastAsia" w:ascii="仿宋" w:hAnsi="仿宋" w:eastAsia="仿宋" w:cs="仿宋"/>
          <w:b/>
          <w:color w:val="auto"/>
          <w:sz w:val="24"/>
          <w:highlight w:val="none"/>
          <w:u w:val="single"/>
          <w:lang w:val="en-US" w:eastAsia="zh-CN"/>
        </w:rPr>
        <w:t>4</w:t>
      </w:r>
      <w:r>
        <w:rPr>
          <w:rFonts w:hint="eastAsia" w:ascii="仿宋" w:hAnsi="仿宋" w:eastAsia="仿宋" w:cs="仿宋"/>
          <w:color w:val="auto"/>
          <w:sz w:val="24"/>
          <w:highlight w:val="none"/>
        </w:rPr>
        <w:t>。</w:t>
      </w:r>
    </w:p>
    <w:p w14:paraId="5E88B09E">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21.2初步审查</w:t>
      </w:r>
    </w:p>
    <w:p w14:paraId="239194C5">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磋商小组对通过资格性检查的供应商进行</w:t>
      </w:r>
      <w:r>
        <w:rPr>
          <w:rFonts w:hint="eastAsia" w:ascii="仿宋" w:hAnsi="仿宋" w:eastAsia="仿宋" w:cs="仿宋"/>
          <w:bCs/>
          <w:color w:val="auto"/>
          <w:sz w:val="24"/>
          <w:highlight w:val="none"/>
        </w:rPr>
        <w:t>符合性</w:t>
      </w:r>
      <w:r>
        <w:rPr>
          <w:rFonts w:hint="eastAsia" w:ascii="仿宋" w:hAnsi="仿宋" w:eastAsia="仿宋" w:cs="仿宋"/>
          <w:color w:val="auto"/>
          <w:sz w:val="24"/>
          <w:highlight w:val="none"/>
        </w:rPr>
        <w:t>检查。依据磋商文件的规定，从响应文件的有效性、完整性和对磋商文件的响应程度进行初步审查，以确定是否对磋商文件的实质性要求作出响应。</w:t>
      </w:r>
    </w:p>
    <w:p w14:paraId="4511961C">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21.3通过政采云系统，磋商小组根据磋商文件的内容与各供应商分别进行磋商，各供应商在线答复的同时，须对磋商中所涉及的澄清、修改、承诺等补充资料等在规定的时间内以书面文件形式通过系统提交至磋商小组，其书面文件必须由供应商的法定代表人或其授权代理人签字（或签章），作为响应文件的补充。如该供应商成为成交供应商，则该供应商的响应文件（含所有补充资料）将作为合同的组成部分。</w:t>
      </w:r>
    </w:p>
    <w:p w14:paraId="364CC560">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21.4响应文件计算错误的修正</w:t>
      </w:r>
    </w:p>
    <w:p w14:paraId="153931A6">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21.4.1响应文件中磋商报价一览表内容与响应文件中磋商分项报价表内容不一致的，以磋商报价一览表为准；</w:t>
      </w:r>
    </w:p>
    <w:p w14:paraId="5CC7AD04">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21.4.2响应文件的大写金额和小写金额不一致的，以大写金额为准；</w:t>
      </w:r>
    </w:p>
    <w:p w14:paraId="34E55B9F">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21.4.3总</w:t>
      </w:r>
      <w:r>
        <w:rPr>
          <w:rFonts w:hint="eastAsia" w:ascii="仿宋" w:hAnsi="仿宋" w:eastAsia="仿宋" w:cs="仿宋"/>
          <w:color w:val="auto"/>
          <w:spacing w:val="-8"/>
          <w:sz w:val="24"/>
          <w:highlight w:val="none"/>
        </w:rPr>
        <w:t>价金额与按单价汇总金额不一致的，以单价金额计算结果为准</w:t>
      </w:r>
      <w:r>
        <w:rPr>
          <w:rFonts w:hint="eastAsia" w:ascii="仿宋" w:hAnsi="仿宋" w:eastAsia="仿宋" w:cs="仿宋"/>
          <w:color w:val="auto"/>
          <w:sz w:val="24"/>
          <w:highlight w:val="none"/>
        </w:rPr>
        <w:t>。</w:t>
      </w:r>
    </w:p>
    <w:p w14:paraId="2543544B">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21.4.4单价金额小数点有明显错位的，应以总价为准，并修改单价；</w:t>
      </w:r>
    </w:p>
    <w:p w14:paraId="62DE59BE">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21.4.5对不同文字文本响应文件的解释发生异议的，以中文文本为准。</w:t>
      </w:r>
    </w:p>
    <w:p w14:paraId="276A6DDE">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21.5技术、商务、资信及其他部分磋商结束后，所有供应商须按磋商小组要求，在规定时间内通过政采云系统进行最后报价，并提交至磋商小组。</w:t>
      </w:r>
    </w:p>
    <w:p w14:paraId="269FA0F4">
      <w:pPr>
        <w:spacing w:line="560" w:lineRule="exact"/>
        <w:ind w:firstLine="480" w:firstLineChars="200"/>
        <w:rPr>
          <w:rFonts w:ascii="仿宋" w:hAnsi="仿宋" w:eastAsia="仿宋" w:cs="仿宋"/>
          <w:bCs/>
          <w:color w:val="auto"/>
          <w:sz w:val="24"/>
          <w:highlight w:val="none"/>
        </w:rPr>
      </w:pPr>
      <w:r>
        <w:rPr>
          <w:rFonts w:hint="eastAsia" w:ascii="仿宋" w:hAnsi="仿宋" w:eastAsia="仿宋" w:cs="仿宋"/>
          <w:color w:val="auto"/>
          <w:sz w:val="24"/>
          <w:highlight w:val="none"/>
        </w:rPr>
        <w:t>21.6</w:t>
      </w:r>
      <w:r>
        <w:rPr>
          <w:rFonts w:hint="eastAsia" w:ascii="仿宋" w:hAnsi="仿宋" w:eastAsia="仿宋" w:cs="仿宋"/>
          <w:bCs/>
          <w:color w:val="auto"/>
          <w:sz w:val="24"/>
          <w:highlight w:val="none"/>
        </w:rPr>
        <w:t>确定成交供应商</w:t>
      </w:r>
    </w:p>
    <w:p w14:paraId="1E85206D">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21.6.1在全部满足磋商文件实质性要求的前提下，按综合得分高低确定成交供应商。</w:t>
      </w:r>
    </w:p>
    <w:p w14:paraId="007E9989">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21.6.2采购代理机构应当在磋商结束后二个工作日内将磋商评审报告送采购人确认。</w:t>
      </w:r>
    </w:p>
    <w:p w14:paraId="1954C44E">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21.6.3采购人应当在收到磋商评审报告后五个工作日内，按照磋商评审报告中推荐的排列顺序依法确定成交供应商。</w:t>
      </w:r>
    </w:p>
    <w:p w14:paraId="6505BCB7">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21.6.4替补候选人的设定与使用：第一成交候选供应商放弃成交或者因不可抗力提出不能履行合同，采购人可以确定第二成交候选供应商为成交供应商或重新组织采购活动，排名第二的成交候选供应商因前款同样的原因不能签订合同，采购人可以确定排名第三的成交候选供应商为成交供应商或重新组织采购活动。</w:t>
      </w:r>
    </w:p>
    <w:p w14:paraId="1614CB15">
      <w:pPr>
        <w:spacing w:line="560" w:lineRule="exact"/>
        <w:rPr>
          <w:rFonts w:ascii="仿宋" w:hAnsi="仿宋" w:eastAsia="仿宋" w:cs="仿宋"/>
          <w:bCs/>
          <w:color w:val="auto"/>
          <w:sz w:val="24"/>
          <w:highlight w:val="none"/>
        </w:rPr>
      </w:pPr>
      <w:r>
        <w:rPr>
          <w:rFonts w:hint="eastAsia" w:ascii="仿宋" w:hAnsi="仿宋" w:eastAsia="仿宋" w:cs="仿宋"/>
          <w:color w:val="auto"/>
          <w:sz w:val="24"/>
          <w:highlight w:val="none"/>
        </w:rPr>
        <w:t>22.</w:t>
      </w:r>
      <w:r>
        <w:rPr>
          <w:rFonts w:hint="eastAsia" w:ascii="仿宋" w:hAnsi="仿宋" w:eastAsia="仿宋" w:cs="仿宋"/>
          <w:bCs/>
          <w:color w:val="auto"/>
          <w:sz w:val="24"/>
          <w:highlight w:val="none"/>
        </w:rPr>
        <w:t>成交公告</w:t>
      </w:r>
    </w:p>
    <w:p w14:paraId="7A9894E4">
      <w:pPr>
        <w:spacing w:line="560" w:lineRule="exact"/>
        <w:ind w:firstLine="480" w:firstLineChars="200"/>
        <w:rPr>
          <w:rFonts w:ascii="仿宋" w:hAnsi="仿宋" w:eastAsia="仿宋" w:cs="仿宋"/>
          <w:bCs/>
          <w:color w:val="auto"/>
          <w:sz w:val="24"/>
          <w:highlight w:val="none"/>
        </w:rPr>
      </w:pPr>
      <w:r>
        <w:rPr>
          <w:rFonts w:hint="eastAsia" w:ascii="仿宋" w:hAnsi="仿宋" w:eastAsia="仿宋" w:cs="仿宋"/>
          <w:color w:val="auto"/>
          <w:sz w:val="24"/>
          <w:highlight w:val="none"/>
        </w:rPr>
        <w:t>采购代理机构应当在收到采购人书面确定的成交供应商通知后将成交结果在原发布磋商公告的媒体上予以公告。公告期按有关规定执行。</w:t>
      </w:r>
    </w:p>
    <w:p w14:paraId="2A09F921">
      <w:pPr>
        <w:spacing w:line="560" w:lineRule="exact"/>
        <w:rPr>
          <w:rFonts w:ascii="仿宋" w:hAnsi="仿宋" w:eastAsia="仿宋" w:cs="仿宋"/>
          <w:bCs/>
          <w:color w:val="auto"/>
          <w:sz w:val="24"/>
          <w:highlight w:val="none"/>
        </w:rPr>
      </w:pPr>
      <w:r>
        <w:rPr>
          <w:rFonts w:hint="eastAsia" w:ascii="仿宋" w:hAnsi="仿宋" w:eastAsia="仿宋" w:cs="仿宋"/>
          <w:color w:val="auto"/>
          <w:sz w:val="24"/>
          <w:highlight w:val="none"/>
        </w:rPr>
        <w:t>23.成交通知</w:t>
      </w:r>
    </w:p>
    <w:p w14:paraId="5F0BA41F">
      <w:pPr>
        <w:spacing w:line="560" w:lineRule="exact"/>
        <w:ind w:firstLine="480" w:firstLineChars="200"/>
        <w:rPr>
          <w:rFonts w:ascii="仿宋" w:hAnsi="仿宋" w:eastAsia="仿宋" w:cs="仿宋"/>
          <w:bCs/>
          <w:color w:val="auto"/>
          <w:sz w:val="24"/>
          <w:highlight w:val="none"/>
        </w:rPr>
      </w:pPr>
      <w:r>
        <w:rPr>
          <w:rFonts w:hint="eastAsia" w:ascii="仿宋" w:hAnsi="仿宋" w:eastAsia="仿宋" w:cs="仿宋"/>
          <w:color w:val="auto"/>
          <w:sz w:val="24"/>
          <w:highlight w:val="none"/>
        </w:rPr>
        <w:t>23.1</w:t>
      </w:r>
      <w:r>
        <w:rPr>
          <w:rFonts w:hint="eastAsia" w:ascii="仿宋" w:hAnsi="仿宋" w:eastAsia="仿宋" w:cs="仿宋"/>
          <w:bCs/>
          <w:color w:val="auto"/>
          <w:sz w:val="24"/>
          <w:highlight w:val="none"/>
        </w:rPr>
        <w:t>在磋商有效期内，</w:t>
      </w:r>
      <w:r>
        <w:rPr>
          <w:rFonts w:hint="eastAsia" w:ascii="仿宋" w:hAnsi="仿宋" w:eastAsia="仿宋" w:cs="仿宋"/>
          <w:color w:val="auto"/>
          <w:sz w:val="24"/>
          <w:highlight w:val="none"/>
        </w:rPr>
        <w:t>采购代理机构</w:t>
      </w:r>
      <w:r>
        <w:rPr>
          <w:rFonts w:hint="eastAsia" w:ascii="仿宋" w:hAnsi="仿宋" w:eastAsia="仿宋" w:cs="仿宋"/>
          <w:bCs/>
          <w:color w:val="auto"/>
          <w:sz w:val="24"/>
          <w:highlight w:val="none"/>
        </w:rPr>
        <w:t>可以书面形式通知所选定的成交供应商。通知也可以传真、信函的形式，但需要以书面确认，</w:t>
      </w:r>
      <w:r>
        <w:rPr>
          <w:rFonts w:hint="eastAsia" w:ascii="仿宋" w:hAnsi="仿宋" w:eastAsia="仿宋" w:cs="仿宋"/>
          <w:color w:val="auto"/>
          <w:sz w:val="24"/>
          <w:highlight w:val="none"/>
        </w:rPr>
        <w:t>领取成交通知书前须完成以下事项：</w:t>
      </w:r>
    </w:p>
    <w:p w14:paraId="5322C180">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23.2成交通知书为双方签订合同的依据；</w:t>
      </w:r>
    </w:p>
    <w:p w14:paraId="11EBDD37">
      <w:pPr>
        <w:spacing w:line="560" w:lineRule="exact"/>
        <w:ind w:firstLine="480" w:firstLineChars="200"/>
        <w:rPr>
          <w:rFonts w:ascii="仿宋" w:hAnsi="仿宋" w:eastAsia="仿宋" w:cs="仿宋"/>
          <w:bCs/>
          <w:color w:val="auto"/>
          <w:sz w:val="24"/>
          <w:highlight w:val="none"/>
        </w:rPr>
      </w:pPr>
      <w:r>
        <w:rPr>
          <w:rFonts w:hint="eastAsia" w:ascii="仿宋" w:hAnsi="仿宋" w:eastAsia="仿宋" w:cs="仿宋"/>
          <w:color w:val="auto"/>
          <w:sz w:val="24"/>
          <w:highlight w:val="none"/>
        </w:rPr>
        <w:t>23.3成交供应商应根据成交通知书中规定的时间内，由法定代表人或其授权代理人与采购人签订合同。</w:t>
      </w:r>
    </w:p>
    <w:p w14:paraId="726539BB">
      <w:pPr>
        <w:spacing w:line="560" w:lineRule="exact"/>
        <w:rPr>
          <w:rFonts w:ascii="仿宋" w:hAnsi="仿宋" w:eastAsia="仿宋" w:cs="仿宋"/>
          <w:bCs/>
          <w:color w:val="auto"/>
          <w:sz w:val="24"/>
          <w:highlight w:val="none"/>
        </w:rPr>
      </w:pPr>
      <w:r>
        <w:rPr>
          <w:rFonts w:hint="eastAsia" w:ascii="仿宋" w:hAnsi="仿宋" w:eastAsia="仿宋" w:cs="仿宋"/>
          <w:color w:val="auto"/>
          <w:sz w:val="24"/>
          <w:highlight w:val="none"/>
        </w:rPr>
        <w:t>24.</w:t>
      </w:r>
      <w:r>
        <w:rPr>
          <w:rFonts w:hint="eastAsia" w:ascii="仿宋" w:hAnsi="仿宋" w:eastAsia="仿宋" w:cs="仿宋"/>
          <w:bCs/>
          <w:color w:val="auto"/>
          <w:sz w:val="24"/>
          <w:highlight w:val="none"/>
        </w:rPr>
        <w:t>废标</w:t>
      </w:r>
    </w:p>
    <w:p w14:paraId="67004A8D">
      <w:pPr>
        <w:spacing w:line="560" w:lineRule="exact"/>
        <w:ind w:firstLine="480" w:firstLineChars="200"/>
        <w:rPr>
          <w:rFonts w:ascii="仿宋" w:hAnsi="仿宋" w:eastAsia="仿宋" w:cs="仿宋"/>
          <w:bCs/>
          <w:color w:val="auto"/>
          <w:sz w:val="24"/>
          <w:highlight w:val="none"/>
        </w:rPr>
      </w:pPr>
      <w:r>
        <w:rPr>
          <w:rFonts w:hint="eastAsia" w:ascii="仿宋" w:hAnsi="仿宋" w:eastAsia="仿宋" w:cs="仿宋"/>
          <w:bCs/>
          <w:color w:val="auto"/>
          <w:sz w:val="24"/>
          <w:highlight w:val="none"/>
        </w:rPr>
        <w:t>在磋商中，出现下列情形之一的，应予废标：</w:t>
      </w:r>
    </w:p>
    <w:p w14:paraId="5D40EFEC">
      <w:pPr>
        <w:spacing w:line="560" w:lineRule="exact"/>
        <w:ind w:firstLine="480" w:firstLineChars="200"/>
        <w:rPr>
          <w:rFonts w:ascii="仿宋" w:hAnsi="仿宋" w:eastAsia="仿宋" w:cs="仿宋"/>
          <w:bCs/>
          <w:color w:val="auto"/>
          <w:sz w:val="24"/>
          <w:highlight w:val="none"/>
        </w:rPr>
      </w:pPr>
      <w:r>
        <w:rPr>
          <w:rFonts w:hint="eastAsia" w:ascii="仿宋" w:hAnsi="仿宋" w:eastAsia="仿宋" w:cs="仿宋"/>
          <w:bCs/>
          <w:color w:val="auto"/>
          <w:sz w:val="24"/>
          <w:highlight w:val="none"/>
        </w:rPr>
        <w:t>24.1出现影响采购公正的违法、违规行为的；</w:t>
      </w:r>
    </w:p>
    <w:p w14:paraId="24C24C6A">
      <w:pPr>
        <w:spacing w:line="560" w:lineRule="exact"/>
        <w:ind w:firstLine="480" w:firstLineChars="200"/>
        <w:rPr>
          <w:rFonts w:ascii="仿宋" w:hAnsi="仿宋" w:eastAsia="仿宋" w:cs="仿宋"/>
          <w:bCs/>
          <w:color w:val="auto"/>
          <w:sz w:val="24"/>
          <w:highlight w:val="none"/>
        </w:rPr>
      </w:pPr>
      <w:r>
        <w:rPr>
          <w:rFonts w:hint="eastAsia" w:ascii="仿宋" w:hAnsi="仿宋" w:eastAsia="仿宋" w:cs="仿宋"/>
          <w:bCs/>
          <w:color w:val="auto"/>
          <w:sz w:val="24"/>
          <w:highlight w:val="none"/>
        </w:rPr>
        <w:t>24.2因重大变故，采购任务取消的；</w:t>
      </w:r>
    </w:p>
    <w:p w14:paraId="5243A4ED">
      <w:pPr>
        <w:spacing w:line="560" w:lineRule="exact"/>
        <w:ind w:firstLine="480" w:firstLineChars="200"/>
        <w:rPr>
          <w:rFonts w:ascii="仿宋" w:hAnsi="仿宋" w:eastAsia="仿宋" w:cs="仿宋"/>
          <w:bCs/>
          <w:color w:val="auto"/>
          <w:sz w:val="24"/>
          <w:highlight w:val="none"/>
        </w:rPr>
      </w:pPr>
      <w:r>
        <w:rPr>
          <w:rFonts w:hint="eastAsia" w:ascii="仿宋" w:hAnsi="仿宋" w:eastAsia="仿宋" w:cs="仿宋"/>
          <w:bCs/>
          <w:color w:val="auto"/>
          <w:sz w:val="24"/>
          <w:highlight w:val="none"/>
        </w:rPr>
        <w:t>24.3供应商的报价均超采购预算的，采购人不能支付的；</w:t>
      </w:r>
    </w:p>
    <w:p w14:paraId="225A7EAB">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bCs/>
          <w:color w:val="auto"/>
          <w:sz w:val="24"/>
          <w:highlight w:val="none"/>
        </w:rPr>
        <w:t>24.4</w:t>
      </w:r>
      <w:r>
        <w:rPr>
          <w:rFonts w:hint="eastAsia" w:ascii="仿宋" w:hAnsi="仿宋" w:eastAsia="仿宋" w:cs="仿宋"/>
          <w:bCs/>
          <w:snapToGrid w:val="0"/>
          <w:color w:val="auto"/>
          <w:sz w:val="24"/>
          <w:highlight w:val="none"/>
        </w:rPr>
        <w:t>法律、法规、规章等规定的其他情形除外。</w:t>
      </w:r>
    </w:p>
    <w:p w14:paraId="5B1E956A">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废标后，采购代理机构将废标理由通知所有供应商。</w:t>
      </w:r>
    </w:p>
    <w:p w14:paraId="2101E951">
      <w:pPr>
        <w:spacing w:line="560" w:lineRule="exact"/>
        <w:ind w:firstLine="536" w:firstLineChars="200"/>
        <w:rPr>
          <w:rFonts w:ascii="仿宋" w:hAnsi="仿宋" w:eastAsia="仿宋" w:cs="仿宋"/>
          <w:bCs/>
          <w:color w:val="auto"/>
          <w:spacing w:val="14"/>
          <w:sz w:val="24"/>
          <w:highlight w:val="none"/>
          <w:u w:val="single"/>
        </w:rPr>
      </w:pPr>
      <w:r>
        <w:rPr>
          <w:rFonts w:hint="eastAsia" w:ascii="仿宋" w:hAnsi="仿宋" w:eastAsia="仿宋" w:cs="仿宋"/>
          <w:bCs/>
          <w:color w:val="auto"/>
          <w:spacing w:val="14"/>
          <w:sz w:val="24"/>
          <w:highlight w:val="none"/>
        </w:rPr>
        <w:t>本磋商规则及</w:t>
      </w:r>
      <w:r>
        <w:rPr>
          <w:rFonts w:hint="eastAsia" w:ascii="仿宋" w:hAnsi="仿宋" w:eastAsia="仿宋" w:cs="仿宋"/>
          <w:bCs/>
          <w:color w:val="auto"/>
          <w:sz w:val="24"/>
          <w:highlight w:val="none"/>
        </w:rPr>
        <w:t>程序</w:t>
      </w:r>
      <w:r>
        <w:rPr>
          <w:rFonts w:hint="eastAsia" w:ascii="仿宋" w:hAnsi="仿宋" w:eastAsia="仿宋" w:cs="仿宋"/>
          <w:bCs/>
          <w:color w:val="auto"/>
          <w:spacing w:val="14"/>
          <w:sz w:val="24"/>
          <w:highlight w:val="none"/>
        </w:rPr>
        <w:t>只适用于</w:t>
      </w:r>
      <w:r>
        <w:rPr>
          <w:rFonts w:hint="eastAsia" w:ascii="仿宋" w:hAnsi="仿宋" w:eastAsia="仿宋" w:cs="宋体"/>
          <w:b/>
          <w:color w:val="auto"/>
          <w:sz w:val="24"/>
          <w:highlight w:val="none"/>
          <w:u w:val="single"/>
          <w:lang w:eastAsia="zh-CN"/>
        </w:rPr>
        <w:t>举办湖州市气排球超级联赛项目</w:t>
      </w:r>
      <w:r>
        <w:rPr>
          <w:rFonts w:hint="eastAsia" w:ascii="仿宋" w:hAnsi="仿宋" w:eastAsia="仿宋" w:cs="仿宋"/>
          <w:bCs/>
          <w:color w:val="auto"/>
          <w:spacing w:val="-4"/>
          <w:sz w:val="24"/>
          <w:szCs w:val="21"/>
          <w:highlight w:val="none"/>
        </w:rPr>
        <w:t>（</w:t>
      </w:r>
      <w:r>
        <w:rPr>
          <w:rFonts w:hint="eastAsia" w:ascii="仿宋" w:hAnsi="仿宋" w:eastAsia="仿宋" w:cs="仿宋"/>
          <w:bCs/>
          <w:color w:val="auto"/>
          <w:spacing w:val="14"/>
          <w:sz w:val="24"/>
          <w:highlight w:val="none"/>
        </w:rPr>
        <w:t>编号：XCXHZ-2025-0</w:t>
      </w:r>
      <w:r>
        <w:rPr>
          <w:rFonts w:hint="eastAsia" w:ascii="仿宋" w:hAnsi="仿宋" w:eastAsia="仿宋" w:cs="仿宋"/>
          <w:bCs/>
          <w:color w:val="auto"/>
          <w:spacing w:val="14"/>
          <w:sz w:val="24"/>
          <w:highlight w:val="none"/>
          <w:lang w:val="en-US" w:eastAsia="zh-CN"/>
        </w:rPr>
        <w:t>48</w:t>
      </w:r>
      <w:r>
        <w:rPr>
          <w:rFonts w:hint="eastAsia" w:ascii="仿宋" w:hAnsi="仿宋" w:eastAsia="仿宋" w:cs="仿宋"/>
          <w:bCs/>
          <w:color w:val="auto"/>
          <w:spacing w:val="14"/>
          <w:sz w:val="24"/>
          <w:highlight w:val="none"/>
        </w:rPr>
        <w:t>（CG）)磋商文件。</w:t>
      </w:r>
    </w:p>
    <w:p w14:paraId="6419A95A">
      <w:pPr>
        <w:pStyle w:val="2"/>
        <w:spacing w:line="560" w:lineRule="exact"/>
        <w:jc w:val="center"/>
        <w:rPr>
          <w:rFonts w:ascii="仿宋" w:hAnsi="仿宋" w:eastAsia="仿宋" w:cs="仿宋"/>
          <w:color w:val="auto"/>
          <w:spacing w:val="14"/>
          <w:sz w:val="28"/>
          <w:szCs w:val="28"/>
          <w:highlight w:val="none"/>
        </w:rPr>
      </w:pPr>
      <w:bookmarkStart w:id="14" w:name="_Toc452995900"/>
      <w:r>
        <w:rPr>
          <w:rFonts w:hint="eastAsia" w:ascii="仿宋" w:hAnsi="仿宋" w:eastAsia="仿宋" w:cs="仿宋"/>
          <w:color w:val="auto"/>
          <w:spacing w:val="14"/>
          <w:sz w:val="28"/>
          <w:szCs w:val="28"/>
          <w:highlight w:val="none"/>
        </w:rPr>
        <w:t>五、授予合同</w:t>
      </w:r>
      <w:bookmarkEnd w:id="14"/>
    </w:p>
    <w:p w14:paraId="1E8D232D">
      <w:pPr>
        <w:spacing w:line="560" w:lineRule="exact"/>
        <w:rPr>
          <w:rFonts w:ascii="仿宋" w:hAnsi="仿宋" w:eastAsia="仿宋" w:cs="仿宋"/>
          <w:color w:val="auto"/>
          <w:sz w:val="24"/>
          <w:highlight w:val="none"/>
        </w:rPr>
      </w:pPr>
      <w:r>
        <w:rPr>
          <w:rFonts w:hint="eastAsia" w:ascii="仿宋" w:hAnsi="仿宋" w:eastAsia="仿宋" w:cs="仿宋"/>
          <w:color w:val="auto"/>
          <w:sz w:val="24"/>
          <w:highlight w:val="none"/>
        </w:rPr>
        <w:t>25.授予合同的依据</w:t>
      </w:r>
    </w:p>
    <w:p w14:paraId="34DF4025">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25</w:t>
      </w:r>
      <w:r>
        <w:rPr>
          <w:rFonts w:hint="eastAsia" w:ascii="仿宋" w:hAnsi="仿宋" w:eastAsia="仿宋" w:cs="仿宋"/>
          <w:bCs/>
          <w:color w:val="auto"/>
          <w:sz w:val="24"/>
          <w:highlight w:val="none"/>
        </w:rPr>
        <w:t>.1</w:t>
      </w:r>
      <w:r>
        <w:rPr>
          <w:rFonts w:hint="eastAsia" w:ascii="仿宋" w:hAnsi="仿宋" w:eastAsia="仿宋" w:cs="仿宋"/>
          <w:color w:val="auto"/>
          <w:sz w:val="24"/>
          <w:highlight w:val="none"/>
        </w:rPr>
        <w:t>采购代理机构签发的成交通知书；</w:t>
      </w:r>
    </w:p>
    <w:p w14:paraId="3DE4688F">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25</w:t>
      </w:r>
      <w:r>
        <w:rPr>
          <w:rFonts w:hint="eastAsia" w:ascii="仿宋" w:hAnsi="仿宋" w:eastAsia="仿宋" w:cs="仿宋"/>
          <w:bCs/>
          <w:color w:val="auto"/>
          <w:sz w:val="24"/>
          <w:highlight w:val="none"/>
        </w:rPr>
        <w:t>.2</w:t>
      </w:r>
      <w:r>
        <w:rPr>
          <w:rFonts w:hint="eastAsia" w:ascii="仿宋" w:hAnsi="仿宋" w:eastAsia="仿宋" w:cs="仿宋"/>
          <w:color w:val="auto"/>
          <w:sz w:val="24"/>
          <w:highlight w:val="none"/>
        </w:rPr>
        <w:t>磋商文件、磋商文件的修改及补充通知（函）；</w:t>
      </w:r>
    </w:p>
    <w:p w14:paraId="0AD277FE">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25</w:t>
      </w:r>
      <w:r>
        <w:rPr>
          <w:rFonts w:hint="eastAsia" w:ascii="仿宋" w:hAnsi="仿宋" w:eastAsia="仿宋" w:cs="仿宋"/>
          <w:bCs/>
          <w:color w:val="auto"/>
          <w:sz w:val="24"/>
          <w:highlight w:val="none"/>
        </w:rPr>
        <w:t>.3</w:t>
      </w:r>
      <w:r>
        <w:rPr>
          <w:rFonts w:hint="eastAsia" w:ascii="仿宋" w:hAnsi="仿宋" w:eastAsia="仿宋" w:cs="仿宋"/>
          <w:color w:val="auto"/>
          <w:sz w:val="24"/>
          <w:highlight w:val="none"/>
        </w:rPr>
        <w:t>响应文件和磋商时供应商作出的书面澄清、说明、纠正、承诺等；</w:t>
      </w:r>
    </w:p>
    <w:p w14:paraId="49853CD1">
      <w:pPr>
        <w:spacing w:line="560" w:lineRule="exact"/>
        <w:rPr>
          <w:rFonts w:ascii="仿宋" w:hAnsi="仿宋" w:eastAsia="仿宋" w:cs="仿宋"/>
          <w:bCs/>
          <w:color w:val="auto"/>
          <w:sz w:val="24"/>
          <w:highlight w:val="none"/>
        </w:rPr>
      </w:pPr>
      <w:r>
        <w:rPr>
          <w:rFonts w:hint="eastAsia" w:ascii="仿宋" w:hAnsi="仿宋" w:eastAsia="仿宋" w:cs="仿宋"/>
          <w:bCs/>
          <w:color w:val="auto"/>
          <w:sz w:val="24"/>
          <w:highlight w:val="none"/>
        </w:rPr>
        <w:t>26</w:t>
      </w:r>
      <w:r>
        <w:rPr>
          <w:rFonts w:hint="eastAsia" w:ascii="仿宋" w:hAnsi="仿宋" w:eastAsia="仿宋" w:cs="仿宋"/>
          <w:color w:val="auto"/>
          <w:sz w:val="24"/>
          <w:highlight w:val="none"/>
        </w:rPr>
        <w:t>.</w:t>
      </w:r>
      <w:r>
        <w:rPr>
          <w:rFonts w:hint="eastAsia" w:ascii="仿宋" w:hAnsi="仿宋" w:eastAsia="仿宋" w:cs="仿宋"/>
          <w:bCs/>
          <w:color w:val="auto"/>
          <w:sz w:val="24"/>
          <w:highlight w:val="none"/>
        </w:rPr>
        <w:t>合同签订</w:t>
      </w:r>
    </w:p>
    <w:p w14:paraId="77D6333F">
      <w:pPr>
        <w:spacing w:line="560" w:lineRule="exact"/>
        <w:ind w:firstLine="480" w:firstLineChars="200"/>
        <w:rPr>
          <w:rFonts w:ascii="仿宋" w:hAnsi="仿宋" w:eastAsia="仿宋" w:cs="仿宋"/>
          <w:bCs/>
          <w:color w:val="auto"/>
          <w:sz w:val="24"/>
          <w:highlight w:val="none"/>
        </w:rPr>
      </w:pPr>
      <w:r>
        <w:rPr>
          <w:rFonts w:hint="eastAsia" w:ascii="仿宋" w:hAnsi="仿宋" w:eastAsia="仿宋" w:cs="仿宋"/>
          <w:bCs/>
          <w:color w:val="auto"/>
          <w:sz w:val="24"/>
          <w:highlight w:val="none"/>
        </w:rPr>
        <w:t>26.1成交供应商与采购人应按成交通知书中规定的时间、地点签订合同，否则应承担相应的法律责任。</w:t>
      </w:r>
    </w:p>
    <w:p w14:paraId="0A946CB5">
      <w:pPr>
        <w:spacing w:line="560" w:lineRule="exact"/>
        <w:ind w:firstLine="480" w:firstLineChars="200"/>
        <w:rPr>
          <w:rFonts w:ascii="仿宋" w:hAnsi="仿宋" w:eastAsia="仿宋" w:cs="仿宋"/>
          <w:b/>
          <w:bCs/>
          <w:color w:val="auto"/>
          <w:sz w:val="24"/>
          <w:highlight w:val="none"/>
        </w:rPr>
      </w:pPr>
      <w:r>
        <w:rPr>
          <w:rFonts w:hint="eastAsia" w:ascii="仿宋" w:hAnsi="仿宋" w:eastAsia="仿宋" w:cs="仿宋"/>
          <w:bCs/>
          <w:color w:val="auto"/>
          <w:sz w:val="24"/>
          <w:highlight w:val="none"/>
        </w:rPr>
        <w:t>26.2磋商文件、成交供应商的响应文件及磋商过程中有关澄清文件和承诺均为合同附件。</w:t>
      </w:r>
    </w:p>
    <w:p w14:paraId="5A8B8C9C">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26.3</w:t>
      </w:r>
      <w:r>
        <w:rPr>
          <w:rFonts w:hint="eastAsia" w:ascii="仿宋" w:hAnsi="仿宋" w:eastAsia="仿宋" w:cs="仿宋"/>
          <w:snapToGrid w:val="0"/>
          <w:color w:val="auto"/>
          <w:sz w:val="24"/>
          <w:highlight w:val="none"/>
        </w:rPr>
        <w:t>采购人与成交供应商将根据《中华人民共和国</w:t>
      </w:r>
      <w:r>
        <w:rPr>
          <w:rFonts w:hint="eastAsia" w:ascii="仿宋" w:hAnsi="仿宋" w:eastAsia="仿宋" w:cs="仿宋"/>
          <w:snapToGrid w:val="0"/>
          <w:color w:val="auto"/>
          <w:sz w:val="24"/>
          <w:highlight w:val="none"/>
          <w:lang w:val="en-US" w:eastAsia="zh-CN"/>
        </w:rPr>
        <w:t>民法典</w:t>
      </w:r>
      <w:r>
        <w:rPr>
          <w:rFonts w:hint="eastAsia" w:ascii="仿宋" w:hAnsi="仿宋" w:eastAsia="仿宋" w:cs="仿宋"/>
          <w:snapToGrid w:val="0"/>
          <w:color w:val="auto"/>
          <w:sz w:val="24"/>
          <w:highlight w:val="none"/>
        </w:rPr>
        <w:t>》的规定，依据磋商文件和成交供应商的响应文件签订书面合同。</w:t>
      </w:r>
    </w:p>
    <w:p w14:paraId="7CD0E166">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26.4采购人如不与</w:t>
      </w:r>
      <w:r>
        <w:rPr>
          <w:rFonts w:hint="eastAsia" w:ascii="仿宋" w:hAnsi="仿宋" w:eastAsia="仿宋" w:cs="仿宋"/>
          <w:snapToGrid w:val="0"/>
          <w:color w:val="auto"/>
          <w:sz w:val="24"/>
          <w:highlight w:val="none"/>
        </w:rPr>
        <w:t>成交</w:t>
      </w:r>
      <w:r>
        <w:rPr>
          <w:rFonts w:hint="eastAsia" w:ascii="仿宋" w:hAnsi="仿宋" w:eastAsia="仿宋" w:cs="仿宋"/>
          <w:color w:val="auto"/>
          <w:sz w:val="24"/>
          <w:highlight w:val="none"/>
        </w:rPr>
        <w:t>供应商订立合同，或者采购人、</w:t>
      </w:r>
      <w:r>
        <w:rPr>
          <w:rFonts w:hint="eastAsia" w:ascii="仿宋" w:hAnsi="仿宋" w:eastAsia="仿宋" w:cs="仿宋"/>
          <w:snapToGrid w:val="0"/>
          <w:color w:val="auto"/>
          <w:sz w:val="24"/>
          <w:highlight w:val="none"/>
        </w:rPr>
        <w:t>成交</w:t>
      </w:r>
      <w:r>
        <w:rPr>
          <w:rFonts w:hint="eastAsia" w:ascii="仿宋" w:hAnsi="仿宋" w:eastAsia="仿宋" w:cs="仿宋"/>
          <w:color w:val="auto"/>
          <w:sz w:val="24"/>
          <w:highlight w:val="none"/>
        </w:rPr>
        <w:t>供应商订立背离合同实质性内容的协议，由政府有关部门责令改正，同时依法承担相应法律责任；</w:t>
      </w:r>
    </w:p>
    <w:p w14:paraId="0E69061E">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26.5</w:t>
      </w:r>
      <w:r>
        <w:rPr>
          <w:rFonts w:hint="eastAsia" w:ascii="仿宋" w:hAnsi="仿宋" w:eastAsia="仿宋" w:cs="仿宋"/>
          <w:snapToGrid w:val="0"/>
          <w:color w:val="auto"/>
          <w:sz w:val="24"/>
          <w:highlight w:val="none"/>
        </w:rPr>
        <w:t>成交</w:t>
      </w:r>
      <w:r>
        <w:rPr>
          <w:rFonts w:hint="eastAsia" w:ascii="仿宋" w:hAnsi="仿宋" w:eastAsia="仿宋" w:cs="仿宋"/>
          <w:color w:val="auto"/>
          <w:sz w:val="24"/>
          <w:highlight w:val="none"/>
        </w:rPr>
        <w:t>供应商如不按规定与采购人订立合同，则采购代理机构将废除授标，保证金不予退还，给采购人造成的损失超过响应担保数额的，还应当对超过部分予以赔偿，同时依法承担相应法律责任。</w:t>
      </w:r>
    </w:p>
    <w:p w14:paraId="6B06393F">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26.6</w:t>
      </w:r>
      <w:r>
        <w:rPr>
          <w:rFonts w:hint="eastAsia" w:ascii="仿宋" w:hAnsi="仿宋" w:eastAsia="仿宋" w:cs="仿宋"/>
          <w:snapToGrid w:val="0"/>
          <w:color w:val="auto"/>
          <w:sz w:val="24"/>
          <w:highlight w:val="none"/>
        </w:rPr>
        <w:t>成交</w:t>
      </w:r>
      <w:r>
        <w:rPr>
          <w:rFonts w:hint="eastAsia" w:ascii="仿宋" w:hAnsi="仿宋" w:eastAsia="仿宋" w:cs="仿宋"/>
          <w:color w:val="auto"/>
          <w:sz w:val="24"/>
          <w:highlight w:val="none"/>
        </w:rPr>
        <w:t>供应商应当按照合同约定履行义务，完成</w:t>
      </w:r>
      <w:r>
        <w:rPr>
          <w:rFonts w:hint="eastAsia" w:ascii="仿宋" w:hAnsi="仿宋" w:eastAsia="仿宋" w:cs="仿宋"/>
          <w:snapToGrid w:val="0"/>
          <w:color w:val="auto"/>
          <w:sz w:val="24"/>
          <w:highlight w:val="none"/>
        </w:rPr>
        <w:t>成交</w:t>
      </w:r>
      <w:r>
        <w:rPr>
          <w:rFonts w:hint="eastAsia" w:ascii="仿宋" w:hAnsi="仿宋" w:eastAsia="仿宋" w:cs="仿宋"/>
          <w:color w:val="auto"/>
          <w:sz w:val="24"/>
          <w:highlight w:val="none"/>
        </w:rPr>
        <w:t>项目各项工作，不得将</w:t>
      </w:r>
      <w:r>
        <w:rPr>
          <w:rFonts w:hint="eastAsia" w:ascii="仿宋" w:hAnsi="仿宋" w:eastAsia="仿宋" w:cs="仿宋"/>
          <w:snapToGrid w:val="0"/>
          <w:color w:val="auto"/>
          <w:sz w:val="24"/>
          <w:highlight w:val="none"/>
        </w:rPr>
        <w:t>成交</w:t>
      </w:r>
      <w:r>
        <w:rPr>
          <w:rFonts w:hint="eastAsia" w:ascii="仿宋" w:hAnsi="仿宋" w:eastAsia="仿宋" w:cs="仿宋"/>
          <w:color w:val="auto"/>
          <w:sz w:val="24"/>
          <w:highlight w:val="none"/>
        </w:rPr>
        <w:t>项目违法转让（转包）给他人；</w:t>
      </w:r>
    </w:p>
    <w:p w14:paraId="6C513421">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26.7如果</w:t>
      </w:r>
      <w:r>
        <w:rPr>
          <w:rFonts w:hint="eastAsia" w:ascii="仿宋" w:hAnsi="仿宋" w:eastAsia="仿宋" w:cs="仿宋"/>
          <w:snapToGrid w:val="0"/>
          <w:color w:val="auto"/>
          <w:sz w:val="24"/>
          <w:highlight w:val="none"/>
        </w:rPr>
        <w:t>成交</w:t>
      </w:r>
      <w:r>
        <w:rPr>
          <w:rFonts w:hint="eastAsia" w:ascii="仿宋" w:hAnsi="仿宋" w:eastAsia="仿宋" w:cs="仿宋"/>
          <w:color w:val="auto"/>
          <w:sz w:val="24"/>
          <w:highlight w:val="none"/>
        </w:rPr>
        <w:t>供应商未能遵守本须知第26.6条的规定，则可取消其</w:t>
      </w:r>
      <w:r>
        <w:rPr>
          <w:rFonts w:hint="eastAsia" w:ascii="仿宋" w:hAnsi="仿宋" w:eastAsia="仿宋" w:cs="仿宋"/>
          <w:snapToGrid w:val="0"/>
          <w:color w:val="auto"/>
          <w:sz w:val="24"/>
          <w:highlight w:val="none"/>
        </w:rPr>
        <w:t>成交</w:t>
      </w:r>
      <w:r>
        <w:rPr>
          <w:rFonts w:hint="eastAsia" w:ascii="仿宋" w:hAnsi="仿宋" w:eastAsia="仿宋" w:cs="仿宋"/>
          <w:color w:val="auto"/>
          <w:sz w:val="24"/>
          <w:highlight w:val="none"/>
        </w:rPr>
        <w:t>资格。在此情况下，可将合同授予排序在</w:t>
      </w:r>
      <w:r>
        <w:rPr>
          <w:rFonts w:hint="eastAsia" w:ascii="仿宋" w:hAnsi="仿宋" w:eastAsia="仿宋" w:cs="仿宋"/>
          <w:snapToGrid w:val="0"/>
          <w:color w:val="auto"/>
          <w:sz w:val="24"/>
          <w:highlight w:val="none"/>
        </w:rPr>
        <w:t>成交</w:t>
      </w:r>
      <w:r>
        <w:rPr>
          <w:rFonts w:hint="eastAsia" w:ascii="仿宋" w:hAnsi="仿宋" w:eastAsia="仿宋" w:cs="仿宋"/>
          <w:color w:val="auto"/>
          <w:sz w:val="24"/>
          <w:highlight w:val="none"/>
        </w:rPr>
        <w:t>供应商之后的第一位</w:t>
      </w:r>
      <w:r>
        <w:rPr>
          <w:rFonts w:hint="eastAsia" w:ascii="仿宋" w:hAnsi="仿宋" w:eastAsia="仿宋" w:cs="仿宋"/>
          <w:snapToGrid w:val="0"/>
          <w:color w:val="auto"/>
          <w:sz w:val="24"/>
          <w:highlight w:val="none"/>
        </w:rPr>
        <w:t>成交</w:t>
      </w:r>
      <w:r>
        <w:rPr>
          <w:rFonts w:hint="eastAsia" w:ascii="仿宋" w:hAnsi="仿宋" w:eastAsia="仿宋" w:cs="仿宋"/>
          <w:color w:val="auto"/>
          <w:sz w:val="24"/>
          <w:highlight w:val="none"/>
        </w:rPr>
        <w:t>候选供应商。</w:t>
      </w:r>
    </w:p>
    <w:p w14:paraId="4A5CB2A1">
      <w:pPr>
        <w:pStyle w:val="10"/>
        <w:ind w:firstLine="0"/>
        <w:rPr>
          <w:color w:val="auto"/>
          <w:highlight w:val="none"/>
        </w:rPr>
      </w:pPr>
    </w:p>
    <w:p w14:paraId="6161D5BD">
      <w:pPr>
        <w:pStyle w:val="2"/>
        <w:spacing w:line="560" w:lineRule="exact"/>
        <w:jc w:val="center"/>
        <w:rPr>
          <w:rFonts w:ascii="仿宋" w:hAnsi="仿宋" w:eastAsia="仿宋" w:cs="仿宋"/>
          <w:color w:val="auto"/>
          <w:spacing w:val="14"/>
          <w:sz w:val="28"/>
          <w:szCs w:val="28"/>
          <w:highlight w:val="none"/>
        </w:rPr>
      </w:pPr>
      <w:r>
        <w:rPr>
          <w:rFonts w:hint="eastAsia" w:ascii="仿宋" w:hAnsi="仿宋" w:eastAsia="仿宋" w:cs="仿宋"/>
          <w:color w:val="auto"/>
          <w:spacing w:val="14"/>
          <w:sz w:val="28"/>
          <w:szCs w:val="28"/>
          <w:highlight w:val="none"/>
        </w:rPr>
        <w:t>六、其他内容</w:t>
      </w:r>
    </w:p>
    <w:p w14:paraId="558DD7A7">
      <w:pPr>
        <w:spacing w:line="560" w:lineRule="exact"/>
        <w:rPr>
          <w:rFonts w:ascii="仿宋" w:hAnsi="仿宋" w:eastAsia="仿宋" w:cs="仿宋"/>
          <w:color w:val="auto"/>
          <w:sz w:val="24"/>
          <w:highlight w:val="none"/>
        </w:rPr>
      </w:pPr>
      <w:r>
        <w:rPr>
          <w:rFonts w:hint="eastAsia" w:ascii="仿宋" w:hAnsi="仿宋" w:eastAsia="仿宋" w:cs="仿宋"/>
          <w:color w:val="auto"/>
          <w:sz w:val="24"/>
          <w:highlight w:val="none"/>
        </w:rPr>
        <w:t>27.发生下列情况之一，供应商自愿接受取消磋商资格、记入信用档案、媒体通报、1-3年内禁止参与政府采购等处罚；如已成交的，自动放弃成交资格，并承担全部法律责任；给采购人造成损失的，依法承担赔偿责任：</w:t>
      </w:r>
    </w:p>
    <w:p w14:paraId="2EBCB77C">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27.1供应商在提交磋商（响应）文件截止时间后撤回磋商（响应）文件的；</w:t>
      </w:r>
    </w:p>
    <w:p w14:paraId="74922C93">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27.2供应商在磋商（响应）文件中提交虚假材料的；</w:t>
      </w:r>
    </w:p>
    <w:p w14:paraId="62B9BC7E">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27.3除因不可抗力或磋商文件认可的情形以外，成交供应商不与采购人签订合同的；</w:t>
      </w:r>
    </w:p>
    <w:p w14:paraId="08DB755E">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27.4供应商与采购人、其他供应商或者采购代理机构恶意串通的；</w:t>
      </w:r>
    </w:p>
    <w:p w14:paraId="6947641D">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27.5磋商文件规定的其他情形。</w:t>
      </w:r>
    </w:p>
    <w:p w14:paraId="7C6EA904">
      <w:pPr>
        <w:rPr>
          <w:rFonts w:ascii="仿宋" w:hAnsi="仿宋" w:eastAsia="仿宋" w:cs="仿宋"/>
          <w:color w:val="auto"/>
          <w:sz w:val="24"/>
          <w:highlight w:val="none"/>
        </w:rPr>
      </w:pPr>
    </w:p>
    <w:p w14:paraId="2697665D">
      <w:pPr>
        <w:rPr>
          <w:rFonts w:ascii="仿宋" w:hAnsi="仿宋" w:eastAsia="仿宋" w:cs="仿宋"/>
          <w:b/>
          <w:color w:val="auto"/>
          <w:sz w:val="36"/>
          <w:szCs w:val="36"/>
          <w:highlight w:val="none"/>
        </w:rPr>
      </w:pPr>
      <w:r>
        <w:rPr>
          <w:rFonts w:hint="eastAsia" w:ascii="仿宋" w:hAnsi="仿宋" w:eastAsia="仿宋" w:cs="仿宋"/>
          <w:b/>
          <w:color w:val="auto"/>
          <w:sz w:val="36"/>
          <w:szCs w:val="36"/>
          <w:highlight w:val="none"/>
        </w:rPr>
        <w:br w:type="page"/>
      </w:r>
    </w:p>
    <w:p w14:paraId="7E90EB7D">
      <w:pPr>
        <w:tabs>
          <w:tab w:val="left" w:pos="8100"/>
        </w:tabs>
        <w:spacing w:line="560" w:lineRule="exact"/>
        <w:jc w:val="center"/>
        <w:outlineLvl w:val="0"/>
        <w:rPr>
          <w:rFonts w:ascii="仿宋" w:hAnsi="仿宋" w:eastAsia="仿宋" w:cs="仿宋"/>
          <w:b/>
          <w:color w:val="auto"/>
          <w:sz w:val="36"/>
          <w:szCs w:val="36"/>
          <w:highlight w:val="none"/>
        </w:rPr>
      </w:pPr>
      <w:r>
        <w:rPr>
          <w:rFonts w:hint="eastAsia" w:ascii="仿宋" w:hAnsi="仿宋" w:eastAsia="仿宋" w:cs="仿宋"/>
          <w:b/>
          <w:color w:val="auto"/>
          <w:sz w:val="36"/>
          <w:szCs w:val="36"/>
          <w:highlight w:val="none"/>
        </w:rPr>
        <w:t>第四章 合同主要条款</w:t>
      </w:r>
    </w:p>
    <w:p w14:paraId="2AEA5C88">
      <w:pPr>
        <w:pStyle w:val="3"/>
        <w:spacing w:line="500" w:lineRule="exact"/>
        <w:jc w:val="center"/>
        <w:rPr>
          <w:rFonts w:ascii="仿宋" w:hAnsi="仿宋" w:eastAsia="仿宋" w:cs="仿宋"/>
          <w:b w:val="0"/>
          <w:bCs w:val="0"/>
          <w:snapToGrid w:val="0"/>
          <w:color w:val="auto"/>
          <w:sz w:val="36"/>
          <w:szCs w:val="36"/>
          <w:highlight w:val="none"/>
        </w:rPr>
      </w:pPr>
      <w:r>
        <w:rPr>
          <w:rFonts w:hint="eastAsia" w:ascii="仿宋" w:hAnsi="仿宋" w:eastAsia="仿宋" w:cs="仿宋"/>
          <w:color w:val="auto"/>
          <w:sz w:val="28"/>
          <w:szCs w:val="28"/>
          <w:highlight w:val="none"/>
        </w:rPr>
        <w:t>（仅供参考，以正式合同为准）</w:t>
      </w:r>
    </w:p>
    <w:p w14:paraId="2C6464EB">
      <w:pPr>
        <w:spacing w:line="360" w:lineRule="auto"/>
        <w:jc w:val="center"/>
        <w:rPr>
          <w:rFonts w:ascii="仿宋" w:hAnsi="仿宋" w:eastAsia="仿宋" w:cs="仿宋"/>
          <w:color w:val="auto"/>
          <w:sz w:val="24"/>
          <w:highlight w:val="none"/>
        </w:rPr>
      </w:pPr>
      <w:r>
        <w:rPr>
          <w:rFonts w:hint="eastAsia" w:ascii="仿宋" w:hAnsi="仿宋" w:eastAsia="仿宋" w:cs="仿宋"/>
          <w:color w:val="auto"/>
          <w:sz w:val="24"/>
          <w:highlight w:val="none"/>
        </w:rPr>
        <w:t>财政审批编号:</w:t>
      </w:r>
      <w:r>
        <w:rPr>
          <w:rFonts w:hint="eastAsia" w:ascii="仿宋" w:hAnsi="仿宋" w:eastAsia="仿宋" w:cs="仿宋"/>
          <w:color w:val="auto"/>
          <w:sz w:val="24"/>
          <w:highlight w:val="none"/>
          <w:lang w:val="en-US" w:eastAsia="zh-CN"/>
        </w:rPr>
        <w:t>湖</w:t>
      </w:r>
      <w:r>
        <w:rPr>
          <w:rFonts w:hint="eastAsia" w:ascii="仿宋" w:hAnsi="仿宋" w:eastAsia="仿宋" w:cs="仿宋"/>
          <w:color w:val="auto"/>
          <w:sz w:val="24"/>
          <w:highlight w:val="none"/>
        </w:rPr>
        <w:t>财采确[2025]</w:t>
      </w:r>
      <w:r>
        <w:rPr>
          <w:rFonts w:hint="eastAsia" w:ascii="仿宋" w:hAnsi="仿宋" w:eastAsia="仿宋" w:cs="仿宋"/>
          <w:color w:val="auto"/>
          <w:sz w:val="24"/>
          <w:highlight w:val="none"/>
          <w:lang w:val="en-US" w:eastAsia="zh-CN"/>
        </w:rPr>
        <w:t>11079</w:t>
      </w:r>
      <w:r>
        <w:rPr>
          <w:rFonts w:hint="eastAsia" w:ascii="仿宋" w:hAnsi="仿宋" w:eastAsia="仿宋" w:cs="仿宋"/>
          <w:color w:val="auto"/>
          <w:sz w:val="24"/>
          <w:highlight w:val="none"/>
        </w:rPr>
        <w:t>号  采购文件编号: XCXHZ-2025-0</w:t>
      </w:r>
      <w:r>
        <w:rPr>
          <w:rFonts w:hint="eastAsia" w:ascii="仿宋" w:hAnsi="仿宋" w:eastAsia="仿宋" w:cs="仿宋"/>
          <w:color w:val="auto"/>
          <w:sz w:val="24"/>
          <w:highlight w:val="none"/>
          <w:lang w:val="en-US" w:eastAsia="zh-CN"/>
        </w:rPr>
        <w:t>48</w:t>
      </w:r>
      <w:r>
        <w:rPr>
          <w:rFonts w:hint="eastAsia" w:ascii="仿宋" w:hAnsi="仿宋" w:eastAsia="仿宋" w:cs="仿宋"/>
          <w:color w:val="auto"/>
          <w:sz w:val="24"/>
          <w:highlight w:val="none"/>
        </w:rPr>
        <w:t>（CG）</w:t>
      </w:r>
    </w:p>
    <w:p w14:paraId="52FB9BF3">
      <w:pPr>
        <w:snapToGrid w:val="0"/>
        <w:spacing w:line="400" w:lineRule="exact"/>
        <w:jc w:val="left"/>
        <w:rPr>
          <w:rFonts w:ascii="仿宋" w:hAnsi="仿宋" w:eastAsia="仿宋" w:cs="仿宋"/>
          <w:color w:val="auto"/>
          <w:sz w:val="24"/>
          <w:highlight w:val="none"/>
        </w:rPr>
      </w:pPr>
      <w:r>
        <w:rPr>
          <w:rFonts w:hint="eastAsia" w:ascii="仿宋" w:hAnsi="仿宋" w:eastAsia="仿宋" w:cs="仿宋"/>
          <w:color w:val="auto"/>
          <w:sz w:val="24"/>
          <w:highlight w:val="none"/>
        </w:rPr>
        <w:t>甲方（采购人）：</w:t>
      </w:r>
    </w:p>
    <w:p w14:paraId="560C416E">
      <w:pPr>
        <w:snapToGrid w:val="0"/>
        <w:spacing w:line="400" w:lineRule="exact"/>
        <w:jc w:val="left"/>
        <w:rPr>
          <w:rFonts w:ascii="仿宋" w:hAnsi="仿宋" w:eastAsia="仿宋" w:cs="仿宋"/>
          <w:color w:val="auto"/>
          <w:sz w:val="24"/>
          <w:highlight w:val="none"/>
        </w:rPr>
      </w:pPr>
      <w:r>
        <w:rPr>
          <w:rFonts w:hint="eastAsia" w:ascii="仿宋" w:hAnsi="仿宋" w:eastAsia="仿宋" w:cs="仿宋"/>
          <w:color w:val="auto"/>
          <w:sz w:val="24"/>
          <w:highlight w:val="none"/>
        </w:rPr>
        <w:t>乙方（成交人）：</w:t>
      </w:r>
    </w:p>
    <w:p w14:paraId="6269C73C">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甲、乙双方根据</w:t>
      </w:r>
      <w:r>
        <w:rPr>
          <w:rFonts w:hint="eastAsia" w:ascii="仿宋" w:hAnsi="仿宋" w:eastAsia="仿宋" w:cs="仿宋"/>
          <w:color w:val="auto"/>
          <w:sz w:val="24"/>
          <w:highlight w:val="none"/>
          <w:u w:val="single"/>
        </w:rPr>
        <w:t xml:space="preserve">浙江新诚信工程咨询有限公司 </w:t>
      </w:r>
      <w:r>
        <w:rPr>
          <w:rFonts w:hint="eastAsia" w:ascii="仿宋" w:hAnsi="仿宋" w:eastAsia="仿宋" w:cs="仿宋"/>
          <w:color w:val="auto"/>
          <w:sz w:val="24"/>
          <w:highlight w:val="none"/>
        </w:rPr>
        <w:t>关于</w:t>
      </w:r>
      <w:r>
        <w:rPr>
          <w:rFonts w:hint="eastAsia" w:ascii="仿宋" w:hAnsi="仿宋" w:eastAsia="仿宋" w:cs="宋体"/>
          <w:bCs/>
          <w:color w:val="auto"/>
          <w:sz w:val="24"/>
          <w:highlight w:val="none"/>
          <w:u w:val="single"/>
          <w:lang w:eastAsia="zh-CN"/>
        </w:rPr>
        <w:t xml:space="preserve">举办湖州市气排球超级联赛项目  </w:t>
      </w:r>
      <w:r>
        <w:rPr>
          <w:rFonts w:hint="eastAsia" w:ascii="仿宋" w:hAnsi="仿宋" w:eastAsia="仿宋" w:cs="仿宋"/>
          <w:color w:val="auto"/>
          <w:sz w:val="24"/>
          <w:highlight w:val="none"/>
        </w:rPr>
        <w:t>竞争性磋商的结果，签署本合同。</w:t>
      </w:r>
    </w:p>
    <w:p w14:paraId="68CA74A1">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1.定义</w:t>
      </w:r>
    </w:p>
    <w:p w14:paraId="1694BAF7">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本合同中的下列术语应解释为：</w:t>
      </w:r>
    </w:p>
    <w:p w14:paraId="65CB9143">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1.1“合同”系指供需双方签署的、合同格式中载明的供需双方所达成的协议，包括所有的附件、附录和构成合同的所有文件；</w:t>
      </w:r>
    </w:p>
    <w:p w14:paraId="23D0F935">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1.2“合同价”系指根据合同规定，甲方在供应商完全履行合同义务后应付给的价格；</w:t>
      </w:r>
    </w:p>
    <w:p w14:paraId="735422F2">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1.3“货物”系指乙方根据合同规定向采购人提供的一切货物、质量保证书和其他技术资料及技术参数；</w:t>
      </w:r>
    </w:p>
    <w:p w14:paraId="200564F6">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1.4“服务”系指根据合同规定乙方承担与供货有关的辅助服务，如运输、装卸、安装、保险以及其他的服务，例如安装、调试提供技术援助、培训和其他类似的义务；</w:t>
      </w:r>
    </w:p>
    <w:p w14:paraId="1E5CDA95">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1.5“甲方”系指具体使用货物和接受服务的使用单位；</w:t>
      </w:r>
    </w:p>
    <w:p w14:paraId="4A11EB7C">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1.6“乙方”系指根据合同规定提供采购项目货物和服务的具有法人资格的公司、企业或实体；</w:t>
      </w:r>
    </w:p>
    <w:p w14:paraId="7C00EE1B">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2.合同项目与内容</w:t>
      </w:r>
    </w:p>
    <w:p w14:paraId="38ED5C0E">
      <w:pPr>
        <w:snapToGrid w:val="0"/>
        <w:spacing w:line="400" w:lineRule="exact"/>
        <w:ind w:firstLine="480" w:firstLineChars="20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2.1合同项目：</w:t>
      </w:r>
      <w:r>
        <w:rPr>
          <w:rFonts w:hint="eastAsia" w:ascii="仿宋" w:hAnsi="仿宋" w:eastAsia="仿宋" w:cs="宋体"/>
          <w:bCs/>
          <w:color w:val="auto"/>
          <w:sz w:val="24"/>
          <w:highlight w:val="none"/>
          <w:lang w:eastAsia="zh-CN"/>
        </w:rPr>
        <w:t xml:space="preserve">举办湖州市气排球超级联赛项目  </w:t>
      </w:r>
    </w:p>
    <w:p w14:paraId="682D677A">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2.2内容：</w:t>
      </w:r>
    </w:p>
    <w:p w14:paraId="23B1166A">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2.3合同价款：</w:t>
      </w:r>
    </w:p>
    <w:p w14:paraId="114730C8">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3.服务时间与服务地点</w:t>
      </w:r>
    </w:p>
    <w:p w14:paraId="0FB1FCB8">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服务时间：由甲方指定。</w:t>
      </w:r>
    </w:p>
    <w:p w14:paraId="2EDE70F3">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服务地点：由甲方指定。</w:t>
      </w:r>
    </w:p>
    <w:p w14:paraId="7FD99F81">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4.签署合同的要求</w:t>
      </w:r>
    </w:p>
    <w:p w14:paraId="2C0C15CA">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4.1、乙方必须按照磋商文件和询标过程中承诺的条款以及成交通知书中规定的时间、地点与甲方签订合同；</w:t>
      </w:r>
    </w:p>
    <w:p w14:paraId="42FA9230">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4.2、所签订的合同内容不得对磋商文件和乙方的磋商文件作实质性修改；</w:t>
      </w:r>
    </w:p>
    <w:p w14:paraId="1B1D60F8">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4.3、甲方不得向供应商提出任何不合理的要求，作为签订合同的条件，不得与乙方私下订立背离合同实质性内容的协议；</w:t>
      </w:r>
    </w:p>
    <w:p w14:paraId="3E138293">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5.技术规范</w:t>
      </w:r>
    </w:p>
    <w:p w14:paraId="245F60EE">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本合同执行国家及本省、市现行项目实施及验收规范及有关条例、实施办法等。</w:t>
      </w:r>
    </w:p>
    <w:p w14:paraId="76628A1E">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提供和交付的服务技术规范应与磋商文件规定的技术规范相一致。</w:t>
      </w:r>
    </w:p>
    <w:p w14:paraId="050A8A9E">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6.知识产权</w:t>
      </w:r>
    </w:p>
    <w:p w14:paraId="161140FF">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乙方保证所提供的服务及货物均不存在知识产权纠纷。乙方应保证甲方在使用时不受第三方提出侵犯其专利权、商标权等知识产权的诉讼。</w:t>
      </w:r>
    </w:p>
    <w:p w14:paraId="2CD42B9E">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7.工作考核及付款方式</w:t>
      </w:r>
    </w:p>
    <w:p w14:paraId="30111EF4">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8.支付：</w:t>
      </w:r>
    </w:p>
    <w:p w14:paraId="3BC62FDE">
      <w:pPr>
        <w:snapToGrid w:val="0"/>
        <w:spacing w:line="400" w:lineRule="exact"/>
        <w:ind w:firstLine="480" w:firstLineChars="20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付款方式：</w:t>
      </w:r>
    </w:p>
    <w:p w14:paraId="0C06BB1D">
      <w:pPr>
        <w:snapToGrid w:val="0"/>
        <w:spacing w:line="400" w:lineRule="exact"/>
        <w:ind w:firstLine="480" w:firstLineChars="200"/>
        <w:jc w:val="left"/>
        <w:rPr>
          <w:rFonts w:hint="eastAsia" w:ascii="仿宋" w:hAnsi="仿宋" w:eastAsia="仿宋" w:cs="仿宋"/>
          <w:color w:val="auto"/>
          <w:sz w:val="24"/>
          <w:highlight w:val="none"/>
        </w:rPr>
      </w:pPr>
      <w:r>
        <w:rPr>
          <w:rFonts w:hint="eastAsia" w:ascii="仿宋" w:hAnsi="仿宋" w:eastAsia="仿宋" w:cs="仿宋"/>
          <w:bCs w:val="0"/>
          <w:color w:val="auto"/>
          <w:sz w:val="24"/>
          <w:highlight w:val="none"/>
        </w:rPr>
        <w:t>合同生效以及具备实施条件后，采购人向成交供应商支付合同总价70%的预付款，当活动服务结束后，采购人向成交供应商支付合同总价剩余款项。</w:t>
      </w:r>
    </w:p>
    <w:p w14:paraId="06C22475">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采购人应自收到供应商开具的发票后7个工作日内将上述相关款项支付到合同约定的供应商账户。</w:t>
      </w:r>
    </w:p>
    <w:p w14:paraId="6F6E9837">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在签订合同时，供应商明确表示无需预付款或者主动要求降低预付款比例的，采购合同可不适用前述规定。</w:t>
      </w:r>
    </w:p>
    <w:p w14:paraId="725226D2">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9.技术服务</w:t>
      </w:r>
    </w:p>
    <w:p w14:paraId="3458D5F5">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乙方应负责安排采购人相关人员进行操作、维修的培训。具体时间及培训内容在磋商时由供应商提出建议；</w:t>
      </w:r>
    </w:p>
    <w:p w14:paraId="4B1DF554">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10.售后服务及承诺</w:t>
      </w:r>
    </w:p>
    <w:p w14:paraId="60F7D0F7">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10.1乙方应明确承诺售后服务各项内容和措施，提供详细的服务地点、联系人、电话等有关资料；</w:t>
      </w:r>
    </w:p>
    <w:p w14:paraId="32267EA3">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10.2售后服务期：</w:t>
      </w:r>
      <w:r>
        <w:rPr>
          <w:rFonts w:hint="eastAsia" w:ascii="仿宋" w:hAnsi="仿宋" w:eastAsia="仿宋" w:cs="仿宋"/>
          <w:color w:val="auto"/>
          <w:sz w:val="24"/>
          <w:szCs w:val="28"/>
          <w:highlight w:val="none"/>
        </w:rPr>
        <w:t>。</w:t>
      </w:r>
    </w:p>
    <w:p w14:paraId="0BEE44D2">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11.履约保证及后续服务</w:t>
      </w:r>
    </w:p>
    <w:p w14:paraId="647D3A59">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11.1 履约保证金：无</w:t>
      </w:r>
    </w:p>
    <w:p w14:paraId="4431B364">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11.2乙方应按磋商文件规定的服务标准向采购人提供服务。</w:t>
      </w:r>
    </w:p>
    <w:p w14:paraId="0DB69E62">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11.3 如甲方检查发现供应商提供的服务服务不符合标准要求，乙方应立即进行整改，直到符合要求为止。甲方可根据考核标准中扣除供应商因检查不合格而应该扣罚的款项（扣罚款项在签订合同时明确）。</w:t>
      </w:r>
    </w:p>
    <w:p w14:paraId="347F333F">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11.4乙方提供的服务人员不符合本合同约定的数额，乙方应当自接到甲方通知之日起2日内予以补足，甲方有权按照缺岗天数及缺岗人数扣除相应的违约金。</w:t>
      </w:r>
    </w:p>
    <w:p w14:paraId="2177CAFD">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11.5 由于乙方服务人员原因在服务工作中给甲方的设施、材料造成损失，供应商应负责赔偿。</w:t>
      </w:r>
    </w:p>
    <w:p w14:paraId="372AC0BF">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11.6 在使用过程中发生问题，乙方在接到甲方通知后在小时内到达采购人现场。</w:t>
      </w:r>
    </w:p>
    <w:p w14:paraId="5CF2BB93">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11.7 在服务质量保证期内，乙方应对出现的服务质量及安全问题负责处理解决并承担一切费用。</w:t>
      </w:r>
    </w:p>
    <w:p w14:paraId="41298402">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12.违约责任</w:t>
      </w:r>
    </w:p>
    <w:p w14:paraId="67330A2C">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12.1 甲方无正当理由拒收接受服务的，甲方向供应商偿付合同款项百分之五作为违约金。</w:t>
      </w:r>
    </w:p>
    <w:p w14:paraId="754DD0FA">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12.2 甲方无故逾期验收和办理款项支付手续的,甲方应按逾期付款总额每日万分之五向乙方支付违约金。</w:t>
      </w:r>
    </w:p>
    <w:p w14:paraId="704B9957">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12.3 乙方不按约定提供服务的，每日向甲方支付千分之六违约金。逾期提供服务超过约定日期10个工作日的，甲方可解除本合同。乙方因逾期提供服务或因其他违约行为导致甲方解除合同的，乙方应向甲方支付合同总值5%的违约金，如造成甲方损失超过违约金的，超出部分由乙方继续承担赔偿责任。</w:t>
      </w:r>
    </w:p>
    <w:p w14:paraId="78F30C51">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12.4如乙方提供的服务或与服务相关的物品存在知识产权纠纷而导致本合同无法继续履行，在甲方发函要求解决相关知识产权问题后 日内仍未解决的，则甲方有权单方终止本合同的履行，并要求乙方承担相应赔偿责任。</w:t>
      </w:r>
    </w:p>
    <w:p w14:paraId="71501D9A">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13.不可抗力事件处理</w:t>
      </w:r>
    </w:p>
    <w:p w14:paraId="53433B32">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13.1 在合同有效期内，任何一方因不可抗力事件导致不能履行合同，则合同履行期可延长，其延长期与不可抗力影响期相同。</w:t>
      </w:r>
    </w:p>
    <w:p w14:paraId="06FCCB82">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13.2 不可抗力事件发生后，应立即通知对方，并寄送有关权威机构出具的证明。</w:t>
      </w:r>
    </w:p>
    <w:p w14:paraId="6C5E25B3">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13.3 不可抗力事件延续120天以上，双方应通过友好协商，确定是否继续履行合同。</w:t>
      </w:r>
    </w:p>
    <w:p w14:paraId="6EBA6D28">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14.争议解决</w:t>
      </w:r>
    </w:p>
    <w:p w14:paraId="21429BF6">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14.1在执行本合同中所发生的或与本合同有关的一切争端，合同双方应通过友好协商解决，经过协商仍不能解决，双方选择通过下列第x种方式解决：</w:t>
      </w:r>
    </w:p>
    <w:p w14:paraId="02F129DF">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（1）将争端提交湖州仲裁委员会仲裁</w:t>
      </w:r>
    </w:p>
    <w:p w14:paraId="3CF1B68C">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（2）直接向采购人所在地有管辖权的人民法院起诉。</w:t>
      </w:r>
    </w:p>
    <w:p w14:paraId="5C9F182C">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14.2仲裁费用或诉讼费用应由败诉方负担。</w:t>
      </w:r>
    </w:p>
    <w:p w14:paraId="797EB75B">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14.3在仲裁或诉讼期间，除进行仲裁或诉讼的部分外，本合同其它部分应继续执行。</w:t>
      </w:r>
    </w:p>
    <w:p w14:paraId="39D130A3">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15.转让或分包</w:t>
      </w:r>
    </w:p>
    <w:p w14:paraId="18AA2E5F">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15.1本合同范围的服务，应由乙方提供，不得转让他人供应；</w:t>
      </w:r>
    </w:p>
    <w:p w14:paraId="79168B1C">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15.2除非得到甲方的书面同意后，乙方可以将其中部分依法分包给他人供应和实施。甲方有绝对权力阻止分包。虽然甲方之前未有阻止分包，甲方仍有权在任何时候拒绝任何分包人，有权要求任何分包人脱离本货物的供应和服务，并不承担任何赔偿责任。</w:t>
      </w:r>
    </w:p>
    <w:p w14:paraId="0C8D5B8E">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15.3本合同全部或部分的分包不能减轻乙方承担的责任，乙方仍须将分包人的任何行动、错误或疏忽当作是自己完成的并负全责；</w:t>
      </w:r>
    </w:p>
    <w:p w14:paraId="0FD61162">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15.4在任何分包合同中，须注明分包人按分包合同的范围履行，在乙方按本合同的履行终止时（不论任何原因），亦同时一并终止；</w:t>
      </w:r>
    </w:p>
    <w:p w14:paraId="13330288">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15.5如有转让和未经甲方同意的分包行为，甲方有权给予终止合同。</w:t>
      </w:r>
    </w:p>
    <w:p w14:paraId="052DB984">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 xml:space="preserve">16.验收要求 </w:t>
      </w:r>
    </w:p>
    <w:p w14:paraId="02B45B02">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 xml:space="preserve">按照采购文件要求、乙方的响应文件（承诺）及签订的合同约定标准进行验收。 </w:t>
      </w:r>
    </w:p>
    <w:p w14:paraId="255BC844">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17.适用法律</w:t>
      </w:r>
    </w:p>
    <w:p w14:paraId="67320AFE">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合同适用法律有《中华人民共和国民法典》、《中华人民共和国产品质量法》和浙江省有关条例等。</w:t>
      </w:r>
    </w:p>
    <w:p w14:paraId="257BE1C9">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18.合同生效及其它</w:t>
      </w:r>
    </w:p>
    <w:p w14:paraId="2D2BF523">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1）合同经双方法定代表人或授权代理人签字并加盖单位公章后生效。</w:t>
      </w:r>
    </w:p>
    <w:p w14:paraId="1E18774B">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2）合同执行中涉及采购资金和采购内容修改或补充的，须经财政部门审批，并签书面补充协议报政府采购监督管理部门备案，方可作为主合同不可分割的一部分。</w:t>
      </w:r>
    </w:p>
    <w:p w14:paraId="72FB49E6">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3）本合同未尽事宜，遵照《中华人民共和国民法典》有关条文执行。</w:t>
      </w:r>
    </w:p>
    <w:p w14:paraId="3D498867">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4）本合同一式六份，其中甲乙双方各执三份。</w:t>
      </w:r>
    </w:p>
    <w:p w14:paraId="4429FF2E">
      <w:pPr>
        <w:pStyle w:val="26"/>
        <w:rPr>
          <w:color w:val="auto"/>
          <w:highlight w:val="none"/>
        </w:rPr>
      </w:pPr>
    </w:p>
    <w:p w14:paraId="02F765A9">
      <w:pPr>
        <w:spacing w:line="440" w:lineRule="exact"/>
        <w:ind w:firstLine="480" w:firstLineChars="200"/>
        <w:rPr>
          <w:rFonts w:ascii="仿宋" w:hAnsi="仿宋" w:eastAsia="仿宋" w:cs="仿宋"/>
          <w:bCs/>
          <w:color w:val="auto"/>
          <w:sz w:val="24"/>
          <w:highlight w:val="none"/>
        </w:rPr>
      </w:pPr>
    </w:p>
    <w:p w14:paraId="4A4A556B">
      <w:pPr>
        <w:spacing w:line="440" w:lineRule="exact"/>
        <w:ind w:firstLine="480" w:firstLineChars="200"/>
        <w:rPr>
          <w:rFonts w:ascii="仿宋" w:hAnsi="仿宋" w:eastAsia="仿宋" w:cs="仿宋"/>
          <w:bCs/>
          <w:color w:val="auto"/>
          <w:sz w:val="24"/>
          <w:highlight w:val="none"/>
        </w:rPr>
      </w:pPr>
      <w:r>
        <w:rPr>
          <w:rFonts w:hint="eastAsia" w:ascii="仿宋" w:hAnsi="仿宋" w:eastAsia="仿宋" w:cs="仿宋"/>
          <w:bCs/>
          <w:color w:val="auto"/>
          <w:sz w:val="24"/>
          <w:highlight w:val="none"/>
        </w:rPr>
        <w:t xml:space="preserve">采购人：                                 供应商： </w:t>
      </w:r>
    </w:p>
    <w:p w14:paraId="31A27590">
      <w:pPr>
        <w:spacing w:line="440" w:lineRule="exact"/>
        <w:ind w:firstLine="480" w:firstLineChars="200"/>
        <w:rPr>
          <w:rFonts w:ascii="仿宋" w:hAnsi="仿宋" w:eastAsia="仿宋" w:cs="仿宋"/>
          <w:bCs/>
          <w:color w:val="auto"/>
          <w:sz w:val="24"/>
          <w:highlight w:val="none"/>
        </w:rPr>
      </w:pPr>
    </w:p>
    <w:p w14:paraId="29C97DC5">
      <w:pPr>
        <w:spacing w:line="440" w:lineRule="exact"/>
        <w:ind w:firstLine="480" w:firstLineChars="200"/>
        <w:rPr>
          <w:rFonts w:ascii="仿宋" w:hAnsi="仿宋" w:eastAsia="仿宋" w:cs="仿宋"/>
          <w:bCs/>
          <w:color w:val="auto"/>
          <w:sz w:val="24"/>
          <w:highlight w:val="none"/>
        </w:rPr>
      </w:pPr>
      <w:r>
        <w:rPr>
          <w:rFonts w:hint="eastAsia" w:ascii="仿宋" w:hAnsi="仿宋" w:eastAsia="仿宋" w:cs="仿宋"/>
          <w:bCs/>
          <w:color w:val="auto"/>
          <w:sz w:val="24"/>
          <w:highlight w:val="none"/>
        </w:rPr>
        <w:t xml:space="preserve">地址：                                   地址： </w:t>
      </w:r>
    </w:p>
    <w:p w14:paraId="4331AE89">
      <w:pPr>
        <w:spacing w:line="440" w:lineRule="exact"/>
        <w:ind w:firstLine="480" w:firstLineChars="200"/>
        <w:rPr>
          <w:rFonts w:ascii="仿宋" w:hAnsi="仿宋" w:eastAsia="仿宋" w:cs="仿宋"/>
          <w:bCs/>
          <w:color w:val="auto"/>
          <w:sz w:val="24"/>
          <w:highlight w:val="none"/>
        </w:rPr>
      </w:pPr>
    </w:p>
    <w:p w14:paraId="1D9888D7">
      <w:pPr>
        <w:spacing w:line="440" w:lineRule="exact"/>
        <w:ind w:firstLine="480" w:firstLineChars="200"/>
        <w:rPr>
          <w:rFonts w:ascii="仿宋" w:hAnsi="仿宋" w:eastAsia="仿宋" w:cs="仿宋"/>
          <w:bCs/>
          <w:color w:val="auto"/>
          <w:sz w:val="24"/>
          <w:highlight w:val="none"/>
        </w:rPr>
      </w:pPr>
      <w:r>
        <w:rPr>
          <w:rFonts w:hint="eastAsia" w:ascii="仿宋" w:hAnsi="仿宋" w:eastAsia="仿宋" w:cs="仿宋"/>
          <w:bCs/>
          <w:color w:val="auto"/>
          <w:sz w:val="24"/>
          <w:highlight w:val="none"/>
        </w:rPr>
        <w:t>法定（或授权）代表人：                   法定（或授权）代表人：</w:t>
      </w:r>
    </w:p>
    <w:p w14:paraId="2A0A2AD5">
      <w:pPr>
        <w:pStyle w:val="9"/>
        <w:rPr>
          <w:rFonts w:ascii="仿宋" w:hAnsi="仿宋" w:eastAsia="仿宋" w:cs="仿宋"/>
          <w:color w:val="auto"/>
          <w:highlight w:val="none"/>
        </w:rPr>
      </w:pPr>
    </w:p>
    <w:p w14:paraId="7FC3D69B">
      <w:pPr>
        <w:spacing w:line="440" w:lineRule="exact"/>
        <w:ind w:firstLine="480" w:firstLineChars="200"/>
        <w:rPr>
          <w:rFonts w:ascii="仿宋" w:hAnsi="仿宋" w:eastAsia="仿宋" w:cs="仿宋"/>
          <w:bCs/>
          <w:color w:val="auto"/>
          <w:sz w:val="24"/>
          <w:highlight w:val="none"/>
        </w:rPr>
      </w:pPr>
      <w:r>
        <w:rPr>
          <w:rFonts w:hint="eastAsia" w:ascii="仿宋" w:hAnsi="仿宋" w:eastAsia="仿宋" w:cs="仿宋"/>
          <w:bCs/>
          <w:color w:val="auto"/>
          <w:sz w:val="24"/>
          <w:highlight w:val="none"/>
        </w:rPr>
        <w:t>签字日期：年  月  日                     签字日期：年  月  日</w:t>
      </w:r>
    </w:p>
    <w:p w14:paraId="2B92F22E">
      <w:pPr>
        <w:autoSpaceDE w:val="0"/>
        <w:autoSpaceDN w:val="0"/>
        <w:adjustRightInd w:val="0"/>
        <w:spacing w:line="540" w:lineRule="exact"/>
        <w:contextualSpacing/>
        <w:jc w:val="center"/>
        <w:outlineLvl w:val="0"/>
        <w:rPr>
          <w:rFonts w:ascii="仿宋" w:hAnsi="仿宋" w:eastAsia="仿宋" w:cs="仿宋"/>
          <w:b/>
          <w:color w:val="auto"/>
          <w:sz w:val="36"/>
          <w:szCs w:val="36"/>
          <w:highlight w:val="none"/>
        </w:rPr>
      </w:pPr>
      <w:r>
        <w:rPr>
          <w:rFonts w:hint="eastAsia" w:ascii="仿宋" w:hAnsi="仿宋" w:eastAsia="仿宋" w:cs="仿宋"/>
          <w:color w:val="auto"/>
          <w:sz w:val="28"/>
          <w:szCs w:val="28"/>
          <w:highlight w:val="none"/>
        </w:rPr>
        <w:br w:type="page"/>
      </w:r>
      <w:r>
        <w:rPr>
          <w:rFonts w:hint="eastAsia" w:ascii="仿宋" w:hAnsi="仿宋" w:eastAsia="仿宋" w:cs="仿宋"/>
          <w:b/>
          <w:color w:val="auto"/>
          <w:sz w:val="36"/>
          <w:szCs w:val="36"/>
          <w:highlight w:val="none"/>
        </w:rPr>
        <w:t>第五章  响应文件格式</w:t>
      </w:r>
    </w:p>
    <w:p w14:paraId="3E09F485">
      <w:pPr>
        <w:pStyle w:val="12"/>
        <w:rPr>
          <w:rFonts w:ascii="仿宋" w:hAnsi="仿宋" w:eastAsia="仿宋" w:cs="Times New Roman"/>
          <w:color w:val="auto"/>
          <w:highlight w:val="none"/>
        </w:rPr>
      </w:pPr>
    </w:p>
    <w:p w14:paraId="0ABB4013">
      <w:pPr>
        <w:pStyle w:val="12"/>
        <w:rPr>
          <w:rFonts w:ascii="仿宋" w:hAnsi="仿宋" w:eastAsia="仿宋" w:cs="Times New Roman"/>
          <w:b/>
          <w:color w:val="auto"/>
          <w:highlight w:val="none"/>
        </w:rPr>
      </w:pPr>
      <w:r>
        <w:rPr>
          <w:rFonts w:ascii="仿宋" w:hAnsi="仿宋" w:eastAsia="仿宋" w:cs="Times New Roman"/>
          <w:color w:val="auto"/>
          <w:highlight w:val="none"/>
        </w:rPr>
        <w:t>封面格式</w:t>
      </w:r>
      <w:r>
        <w:rPr>
          <w:rFonts w:hint="eastAsia" w:ascii="仿宋" w:hAnsi="仿宋" w:eastAsia="仿宋" w:cs="Times New Roman"/>
          <w:b/>
          <w:color w:val="auto"/>
          <w:highlight w:val="none"/>
        </w:rPr>
        <w:t>（成交后提供的纸质版本格式）</w:t>
      </w:r>
    </w:p>
    <w:p w14:paraId="339844D1">
      <w:pPr>
        <w:pStyle w:val="12"/>
        <w:rPr>
          <w:rFonts w:ascii="仿宋" w:hAnsi="仿宋" w:eastAsia="仿宋" w:cs="Times New Roman"/>
          <w:color w:val="auto"/>
          <w:highlight w:val="none"/>
        </w:rPr>
      </w:pPr>
    </w:p>
    <w:p w14:paraId="4A54C658">
      <w:pPr>
        <w:pStyle w:val="12"/>
        <w:rPr>
          <w:rFonts w:ascii="仿宋" w:hAnsi="仿宋" w:eastAsia="仿宋" w:cs="Times New Roman"/>
          <w:color w:val="auto"/>
          <w:highlight w:val="none"/>
        </w:rPr>
      </w:pPr>
    </w:p>
    <w:p w14:paraId="53461E51">
      <w:pPr>
        <w:pStyle w:val="12"/>
        <w:rPr>
          <w:rFonts w:ascii="仿宋" w:hAnsi="仿宋" w:eastAsia="仿宋" w:cs="Times New Roman"/>
          <w:color w:val="auto"/>
          <w:sz w:val="36"/>
          <w:szCs w:val="36"/>
          <w:highlight w:val="none"/>
        </w:rPr>
      </w:pPr>
    </w:p>
    <w:p w14:paraId="6FC458F0">
      <w:pPr>
        <w:pStyle w:val="12"/>
        <w:jc w:val="center"/>
        <w:rPr>
          <w:rFonts w:ascii="仿宋" w:hAnsi="仿宋" w:eastAsia="仿宋" w:cs="Times New Roman"/>
          <w:color w:val="auto"/>
          <w:sz w:val="36"/>
          <w:szCs w:val="36"/>
          <w:highlight w:val="none"/>
        </w:rPr>
      </w:pPr>
      <w:r>
        <w:rPr>
          <w:rFonts w:hint="eastAsia" w:ascii="仿宋" w:hAnsi="仿宋" w:eastAsia="仿宋" w:cs="Times New Roman"/>
          <w:b/>
          <w:color w:val="auto"/>
          <w:sz w:val="36"/>
          <w:szCs w:val="36"/>
          <w:highlight w:val="none"/>
        </w:rPr>
        <w:t>磋商响应文件</w:t>
      </w:r>
    </w:p>
    <w:p w14:paraId="68A4F735">
      <w:pPr>
        <w:pStyle w:val="12"/>
        <w:jc w:val="right"/>
        <w:rPr>
          <w:rFonts w:ascii="仿宋" w:hAnsi="仿宋" w:eastAsia="仿宋" w:cs="Times New Roman"/>
          <w:color w:val="auto"/>
          <w:highlight w:val="none"/>
        </w:rPr>
      </w:pPr>
    </w:p>
    <w:p w14:paraId="654A5D80">
      <w:pPr>
        <w:pStyle w:val="12"/>
        <w:jc w:val="center"/>
        <w:rPr>
          <w:rFonts w:ascii="仿宋" w:hAnsi="仿宋" w:eastAsia="仿宋" w:cs="Times New Roman"/>
          <w:b/>
          <w:color w:val="auto"/>
          <w:highlight w:val="none"/>
        </w:rPr>
      </w:pPr>
      <w:r>
        <w:rPr>
          <w:rFonts w:ascii="仿宋" w:hAnsi="仿宋" w:eastAsia="仿宋" w:cs="Times New Roman"/>
          <w:b/>
          <w:color w:val="auto"/>
          <w:highlight w:val="none"/>
        </w:rPr>
        <w:t>技术、商务、资信及其他文件</w:t>
      </w:r>
      <w:r>
        <w:rPr>
          <w:rFonts w:hint="eastAsia" w:ascii="仿宋" w:hAnsi="仿宋" w:eastAsia="仿宋" w:cs="Times New Roman"/>
          <w:b/>
          <w:color w:val="auto"/>
          <w:highlight w:val="none"/>
        </w:rPr>
        <w:t>/</w:t>
      </w:r>
      <w:r>
        <w:rPr>
          <w:rFonts w:hint="eastAsia" w:ascii="仿宋" w:hAnsi="仿宋" w:eastAsia="仿宋" w:cs="Times New Roman"/>
          <w:b/>
          <w:color w:val="auto"/>
          <w:highlight w:val="none"/>
          <w:lang w:val="en-US" w:eastAsia="zh-CN"/>
        </w:rPr>
        <w:t>首次</w:t>
      </w:r>
      <w:r>
        <w:rPr>
          <w:rFonts w:hint="eastAsia" w:ascii="仿宋" w:hAnsi="仿宋" w:eastAsia="仿宋" w:cs="Times New Roman"/>
          <w:b/>
          <w:color w:val="auto"/>
          <w:highlight w:val="none"/>
        </w:rPr>
        <w:t>报价文件</w:t>
      </w:r>
    </w:p>
    <w:p w14:paraId="1CC000E4">
      <w:pPr>
        <w:pStyle w:val="12"/>
        <w:jc w:val="center"/>
        <w:rPr>
          <w:rFonts w:ascii="仿宋" w:hAnsi="仿宋" w:eastAsia="仿宋" w:cs="Times New Roman"/>
          <w:b/>
          <w:color w:val="auto"/>
          <w:highlight w:val="none"/>
        </w:rPr>
      </w:pPr>
    </w:p>
    <w:p w14:paraId="0565DEEB">
      <w:pPr>
        <w:pStyle w:val="12"/>
        <w:jc w:val="center"/>
        <w:rPr>
          <w:rFonts w:ascii="仿宋" w:hAnsi="仿宋" w:eastAsia="仿宋" w:cs="Times New Roman"/>
          <w:b/>
          <w:color w:val="auto"/>
          <w:highlight w:val="none"/>
        </w:rPr>
      </w:pPr>
    </w:p>
    <w:p w14:paraId="065354BF">
      <w:pPr>
        <w:pStyle w:val="12"/>
        <w:jc w:val="center"/>
        <w:rPr>
          <w:rFonts w:ascii="仿宋" w:hAnsi="仿宋" w:eastAsia="仿宋" w:cs="Times New Roman"/>
          <w:b/>
          <w:color w:val="auto"/>
          <w:highlight w:val="none"/>
        </w:rPr>
      </w:pPr>
    </w:p>
    <w:p w14:paraId="2DE44F1C">
      <w:pPr>
        <w:pStyle w:val="12"/>
        <w:jc w:val="center"/>
        <w:rPr>
          <w:rFonts w:ascii="仿宋" w:hAnsi="仿宋" w:eastAsia="仿宋" w:cs="Times New Roman"/>
          <w:b/>
          <w:color w:val="auto"/>
          <w:highlight w:val="none"/>
        </w:rPr>
      </w:pPr>
    </w:p>
    <w:p w14:paraId="6F2B6D81">
      <w:pPr>
        <w:pStyle w:val="12"/>
        <w:rPr>
          <w:rFonts w:ascii="仿宋" w:hAnsi="仿宋" w:eastAsia="仿宋" w:cs="Times New Roman"/>
          <w:color w:val="auto"/>
          <w:highlight w:val="none"/>
        </w:rPr>
      </w:pPr>
    </w:p>
    <w:p w14:paraId="1B1E9028">
      <w:pPr>
        <w:pStyle w:val="12"/>
        <w:rPr>
          <w:rFonts w:hint="default" w:ascii="仿宋" w:hAnsi="仿宋" w:eastAsia="仿宋" w:cs="Times New Roman"/>
          <w:color w:val="auto"/>
          <w:highlight w:val="none"/>
          <w:lang w:val="en-US" w:eastAsia="zh-CN"/>
        </w:rPr>
      </w:pPr>
      <w:r>
        <w:rPr>
          <w:rFonts w:ascii="仿宋" w:hAnsi="仿宋" w:eastAsia="仿宋" w:cs="Times New Roman"/>
          <w:color w:val="auto"/>
          <w:highlight w:val="none"/>
        </w:rPr>
        <w:t xml:space="preserve">项目名称： </w:t>
      </w:r>
      <w:r>
        <w:rPr>
          <w:rFonts w:hint="eastAsia" w:ascii="仿宋" w:hAnsi="仿宋" w:eastAsia="仿宋" w:cs="Times New Roman"/>
          <w:color w:val="auto"/>
          <w:highlight w:val="none"/>
          <w:lang w:val="en-US" w:eastAsia="zh-CN"/>
        </w:rPr>
        <w:t xml:space="preserve">  </w:t>
      </w:r>
    </w:p>
    <w:p w14:paraId="2538D0B0">
      <w:pPr>
        <w:pStyle w:val="12"/>
        <w:rPr>
          <w:rFonts w:ascii="仿宋" w:hAnsi="仿宋" w:eastAsia="仿宋" w:cs="Times New Roman"/>
          <w:color w:val="auto"/>
          <w:highlight w:val="none"/>
        </w:rPr>
      </w:pPr>
    </w:p>
    <w:p w14:paraId="7BB0FBBC">
      <w:pPr>
        <w:pStyle w:val="12"/>
        <w:rPr>
          <w:rFonts w:ascii="仿宋" w:hAnsi="仿宋" w:eastAsia="仿宋" w:cs="Times New Roman"/>
          <w:color w:val="auto"/>
          <w:highlight w:val="none"/>
        </w:rPr>
      </w:pPr>
      <w:r>
        <w:rPr>
          <w:rFonts w:ascii="仿宋" w:hAnsi="仿宋" w:eastAsia="仿宋" w:cs="Times New Roman"/>
          <w:color w:val="auto"/>
          <w:highlight w:val="none"/>
        </w:rPr>
        <w:t>项目编号</w:t>
      </w:r>
      <w:r>
        <w:rPr>
          <w:rFonts w:hint="eastAsia" w:ascii="仿宋" w:hAnsi="仿宋" w:eastAsia="仿宋" w:cs="Times New Roman"/>
          <w:color w:val="auto"/>
          <w:highlight w:val="none"/>
        </w:rPr>
        <w:t>：</w:t>
      </w:r>
    </w:p>
    <w:p w14:paraId="16A210FB">
      <w:pPr>
        <w:pStyle w:val="12"/>
        <w:rPr>
          <w:rFonts w:hint="eastAsia" w:ascii="仿宋" w:hAnsi="仿宋" w:eastAsia="仿宋" w:cs="Times New Roman"/>
          <w:color w:val="auto"/>
          <w:highlight w:val="none"/>
        </w:rPr>
      </w:pPr>
    </w:p>
    <w:p w14:paraId="269E5D2F">
      <w:pPr>
        <w:pStyle w:val="12"/>
        <w:rPr>
          <w:rFonts w:ascii="仿宋" w:hAnsi="仿宋" w:eastAsia="仿宋" w:cs="Times New Roman"/>
          <w:color w:val="auto"/>
          <w:highlight w:val="none"/>
        </w:rPr>
      </w:pPr>
      <w:r>
        <w:rPr>
          <w:rFonts w:hint="eastAsia" w:ascii="仿宋" w:hAnsi="仿宋" w:eastAsia="仿宋" w:cs="Times New Roman"/>
          <w:color w:val="auto"/>
          <w:highlight w:val="none"/>
        </w:rPr>
        <w:t>响应</w:t>
      </w:r>
      <w:r>
        <w:rPr>
          <w:rFonts w:ascii="仿宋" w:hAnsi="仿宋" w:eastAsia="仿宋" w:cs="Times New Roman"/>
          <w:color w:val="auto"/>
          <w:highlight w:val="none"/>
        </w:rPr>
        <w:t xml:space="preserve">文件名称：技术、商务资信及其他文件 </w:t>
      </w:r>
      <w:r>
        <w:rPr>
          <w:rFonts w:hint="eastAsia" w:ascii="仿宋" w:hAnsi="仿宋" w:eastAsia="仿宋" w:cs="Times New Roman"/>
          <w:color w:val="auto"/>
          <w:highlight w:val="none"/>
        </w:rPr>
        <w:t>/</w:t>
      </w:r>
      <w:r>
        <w:rPr>
          <w:rFonts w:hint="eastAsia" w:ascii="仿宋" w:hAnsi="仿宋" w:eastAsia="仿宋" w:cs="Times New Roman"/>
          <w:color w:val="auto"/>
          <w:highlight w:val="none"/>
          <w:lang w:val="en-US" w:eastAsia="zh-CN"/>
        </w:rPr>
        <w:t>首次</w:t>
      </w:r>
      <w:r>
        <w:rPr>
          <w:rFonts w:hint="eastAsia" w:ascii="仿宋" w:hAnsi="仿宋" w:eastAsia="仿宋" w:cs="Times New Roman"/>
          <w:color w:val="auto"/>
          <w:highlight w:val="none"/>
        </w:rPr>
        <w:t>报价文件</w:t>
      </w:r>
    </w:p>
    <w:p w14:paraId="35FD01D0">
      <w:pPr>
        <w:pStyle w:val="12"/>
        <w:rPr>
          <w:rFonts w:ascii="仿宋" w:hAnsi="仿宋" w:eastAsia="仿宋" w:cs="Times New Roman"/>
          <w:color w:val="auto"/>
          <w:highlight w:val="none"/>
        </w:rPr>
      </w:pPr>
    </w:p>
    <w:p w14:paraId="71581D73">
      <w:pPr>
        <w:pStyle w:val="12"/>
        <w:rPr>
          <w:rFonts w:ascii="仿宋" w:hAnsi="仿宋" w:eastAsia="仿宋" w:cs="Times New Roman"/>
          <w:color w:val="auto"/>
          <w:highlight w:val="none"/>
        </w:rPr>
      </w:pPr>
      <w:r>
        <w:rPr>
          <w:rFonts w:hint="eastAsia" w:ascii="仿宋" w:hAnsi="仿宋" w:eastAsia="仿宋" w:cs="Times New Roman"/>
          <w:color w:val="auto"/>
          <w:highlight w:val="none"/>
        </w:rPr>
        <w:t>供应商</w:t>
      </w:r>
      <w:r>
        <w:rPr>
          <w:rFonts w:ascii="仿宋" w:hAnsi="仿宋" w:eastAsia="仿宋" w:cs="Times New Roman"/>
          <w:color w:val="auto"/>
          <w:highlight w:val="none"/>
        </w:rPr>
        <w:t xml:space="preserve">名称： </w:t>
      </w:r>
    </w:p>
    <w:p w14:paraId="57E360F0">
      <w:pPr>
        <w:pStyle w:val="12"/>
        <w:rPr>
          <w:rFonts w:ascii="仿宋" w:hAnsi="仿宋" w:eastAsia="仿宋" w:cs="Times New Roman"/>
          <w:color w:val="auto"/>
          <w:highlight w:val="none"/>
        </w:rPr>
      </w:pPr>
    </w:p>
    <w:p w14:paraId="1D8BC204">
      <w:pPr>
        <w:pStyle w:val="12"/>
        <w:rPr>
          <w:rFonts w:ascii="仿宋" w:hAnsi="仿宋" w:eastAsia="仿宋" w:cs="Times New Roman"/>
          <w:color w:val="auto"/>
          <w:highlight w:val="none"/>
        </w:rPr>
      </w:pPr>
      <w:r>
        <w:rPr>
          <w:rFonts w:hint="eastAsia" w:ascii="仿宋" w:hAnsi="仿宋" w:eastAsia="仿宋" w:cs="Times New Roman"/>
          <w:color w:val="auto"/>
          <w:highlight w:val="none"/>
        </w:rPr>
        <w:t>供应商</w:t>
      </w:r>
      <w:r>
        <w:rPr>
          <w:rFonts w:ascii="仿宋" w:hAnsi="仿宋" w:eastAsia="仿宋" w:cs="Times New Roman"/>
          <w:color w:val="auto"/>
          <w:highlight w:val="none"/>
        </w:rPr>
        <w:t xml:space="preserve">地址： </w:t>
      </w:r>
    </w:p>
    <w:p w14:paraId="03A4F80C">
      <w:pPr>
        <w:pStyle w:val="12"/>
        <w:rPr>
          <w:rFonts w:ascii="仿宋" w:hAnsi="仿宋" w:eastAsia="仿宋" w:cs="Times New Roman"/>
          <w:color w:val="auto"/>
          <w:highlight w:val="none"/>
        </w:rPr>
      </w:pPr>
    </w:p>
    <w:p w14:paraId="324C2E05">
      <w:pPr>
        <w:pStyle w:val="12"/>
        <w:rPr>
          <w:rFonts w:ascii="仿宋" w:hAnsi="仿宋" w:eastAsia="仿宋" w:cs="Times New Roman"/>
          <w:color w:val="auto"/>
          <w:highlight w:val="none"/>
        </w:rPr>
      </w:pPr>
    </w:p>
    <w:p w14:paraId="5568933E">
      <w:pPr>
        <w:wordWrap w:val="0"/>
        <w:ind w:firstLine="480" w:firstLineChars="200"/>
        <w:jc w:val="right"/>
        <w:rPr>
          <w:rFonts w:ascii="仿宋" w:hAnsi="仿宋" w:eastAsia="仿宋"/>
          <w:color w:val="auto"/>
          <w:sz w:val="24"/>
          <w:highlight w:val="none"/>
        </w:rPr>
      </w:pPr>
      <w:r>
        <w:rPr>
          <w:rFonts w:ascii="仿宋" w:hAnsi="仿宋" w:eastAsia="仿宋"/>
          <w:color w:val="auto"/>
          <w:sz w:val="24"/>
          <w:highlight w:val="none"/>
        </w:rPr>
        <w:t>年 月 日</w:t>
      </w:r>
    </w:p>
    <w:p w14:paraId="60C3FFBA">
      <w:pPr>
        <w:pStyle w:val="38"/>
        <w:spacing w:before="156"/>
        <w:rPr>
          <w:rFonts w:ascii="仿宋" w:hAnsi="仿宋" w:eastAsia="仿宋"/>
          <w:color w:val="auto"/>
          <w:highlight w:val="none"/>
        </w:rPr>
      </w:pPr>
    </w:p>
    <w:p w14:paraId="21644E8A">
      <w:pPr>
        <w:pStyle w:val="38"/>
        <w:spacing w:before="156"/>
        <w:rPr>
          <w:rFonts w:ascii="仿宋" w:hAnsi="仿宋" w:eastAsia="仿宋"/>
          <w:color w:val="auto"/>
          <w:highlight w:val="none"/>
        </w:rPr>
      </w:pPr>
    </w:p>
    <w:p w14:paraId="355174C7">
      <w:pPr>
        <w:pStyle w:val="38"/>
        <w:spacing w:before="156"/>
        <w:rPr>
          <w:rFonts w:ascii="仿宋" w:hAnsi="仿宋" w:eastAsia="仿宋"/>
          <w:color w:val="auto"/>
          <w:highlight w:val="none"/>
        </w:rPr>
      </w:pPr>
    </w:p>
    <w:p w14:paraId="7522FE7C">
      <w:pPr>
        <w:pStyle w:val="38"/>
        <w:spacing w:before="156"/>
        <w:rPr>
          <w:rFonts w:ascii="仿宋" w:hAnsi="仿宋" w:eastAsia="仿宋"/>
          <w:color w:val="auto"/>
          <w:highlight w:val="none"/>
        </w:rPr>
      </w:pPr>
    </w:p>
    <w:p w14:paraId="1768D216">
      <w:pPr>
        <w:pStyle w:val="38"/>
        <w:spacing w:before="156"/>
        <w:rPr>
          <w:rFonts w:ascii="仿宋" w:hAnsi="仿宋" w:eastAsia="仿宋"/>
          <w:color w:val="auto"/>
          <w:highlight w:val="none"/>
        </w:rPr>
      </w:pPr>
    </w:p>
    <w:p w14:paraId="2FA3E6B5">
      <w:pPr>
        <w:pStyle w:val="38"/>
        <w:spacing w:before="156"/>
        <w:rPr>
          <w:rFonts w:ascii="仿宋" w:hAnsi="仿宋" w:eastAsia="仿宋"/>
          <w:color w:val="auto"/>
          <w:highlight w:val="none"/>
        </w:rPr>
      </w:pPr>
    </w:p>
    <w:p w14:paraId="2F7DC939">
      <w:pPr>
        <w:pStyle w:val="38"/>
        <w:spacing w:before="156"/>
        <w:rPr>
          <w:rFonts w:ascii="仿宋" w:hAnsi="仿宋" w:eastAsia="仿宋"/>
          <w:color w:val="auto"/>
          <w:highlight w:val="none"/>
        </w:rPr>
      </w:pPr>
    </w:p>
    <w:p w14:paraId="6568E07C">
      <w:pPr>
        <w:pStyle w:val="38"/>
        <w:spacing w:before="156"/>
        <w:rPr>
          <w:rFonts w:ascii="仿宋" w:hAnsi="仿宋" w:eastAsia="仿宋"/>
          <w:color w:val="auto"/>
          <w:highlight w:val="none"/>
        </w:rPr>
      </w:pPr>
    </w:p>
    <w:p w14:paraId="7BD75762">
      <w:pPr>
        <w:autoSpaceDE w:val="0"/>
        <w:autoSpaceDN w:val="0"/>
        <w:adjustRightInd w:val="0"/>
        <w:spacing w:line="540" w:lineRule="exact"/>
        <w:contextualSpacing/>
        <w:jc w:val="center"/>
        <w:rPr>
          <w:rFonts w:ascii="仿宋" w:hAnsi="仿宋" w:eastAsia="仿宋" w:cs="仿宋"/>
          <w:b/>
          <w:color w:val="auto"/>
          <w:sz w:val="36"/>
          <w:szCs w:val="36"/>
          <w:highlight w:val="none"/>
        </w:rPr>
      </w:pPr>
    </w:p>
    <w:p w14:paraId="32CBA21B">
      <w:pPr>
        <w:snapToGrid w:val="0"/>
        <w:spacing w:before="50" w:after="50" w:line="360" w:lineRule="auto"/>
        <w:jc w:val="center"/>
        <w:rPr>
          <w:rFonts w:ascii="仿宋" w:hAnsi="仿宋" w:eastAsia="仿宋" w:cs="仿宋"/>
          <w:color w:val="auto"/>
          <w:sz w:val="24"/>
          <w:szCs w:val="28"/>
          <w:highlight w:val="none"/>
        </w:rPr>
      </w:pPr>
      <w:r>
        <w:rPr>
          <w:rFonts w:hint="eastAsia" w:ascii="仿宋" w:hAnsi="仿宋" w:eastAsia="仿宋" w:cs="仿宋"/>
          <w:color w:val="auto"/>
          <w:sz w:val="28"/>
          <w:szCs w:val="28"/>
          <w:highlight w:val="none"/>
        </w:rPr>
        <w:t>目   录</w:t>
      </w:r>
    </w:p>
    <w:p w14:paraId="0C216DD2">
      <w:pPr>
        <w:pStyle w:val="38"/>
        <w:spacing w:before="156"/>
        <w:rPr>
          <w:color w:val="auto"/>
          <w:highlight w:val="none"/>
        </w:rPr>
      </w:pPr>
    </w:p>
    <w:p w14:paraId="48396DF4">
      <w:pPr>
        <w:snapToGrid w:val="0"/>
        <w:spacing w:before="50" w:after="50" w:line="360" w:lineRule="auto"/>
        <w:rPr>
          <w:rFonts w:ascii="仿宋" w:hAnsi="仿宋" w:eastAsia="仿宋" w:cs="仿宋"/>
          <w:color w:val="auto"/>
          <w:sz w:val="24"/>
          <w:szCs w:val="28"/>
          <w:highlight w:val="none"/>
        </w:rPr>
      </w:pPr>
      <w:r>
        <w:rPr>
          <w:rFonts w:hint="eastAsia" w:ascii="仿宋" w:hAnsi="仿宋" w:eastAsia="仿宋" w:cs="仿宋"/>
          <w:color w:val="auto"/>
          <w:sz w:val="24"/>
          <w:szCs w:val="28"/>
          <w:highlight w:val="none"/>
        </w:rPr>
        <w:t>1、技术、商务资信及其他文件目录（具体参考第三章供应商须知“响应文件的组成”）</w:t>
      </w:r>
    </w:p>
    <w:p w14:paraId="5120F5B6">
      <w:pPr>
        <w:snapToGrid w:val="0"/>
        <w:spacing w:before="50" w:after="50" w:line="360" w:lineRule="auto"/>
        <w:rPr>
          <w:rFonts w:ascii="仿宋" w:hAnsi="仿宋" w:eastAsia="仿宋" w:cs="仿宋"/>
          <w:color w:val="auto"/>
          <w:sz w:val="24"/>
          <w:szCs w:val="28"/>
          <w:highlight w:val="none"/>
        </w:rPr>
      </w:pPr>
    </w:p>
    <w:p w14:paraId="623A1C7B">
      <w:pPr>
        <w:snapToGrid w:val="0"/>
        <w:spacing w:before="50" w:after="50" w:line="360" w:lineRule="auto"/>
        <w:rPr>
          <w:rFonts w:ascii="仿宋" w:hAnsi="仿宋" w:eastAsia="仿宋" w:cs="仿宋"/>
          <w:color w:val="auto"/>
          <w:szCs w:val="28"/>
          <w:highlight w:val="none"/>
        </w:rPr>
      </w:pPr>
    </w:p>
    <w:p w14:paraId="515FAB38">
      <w:pPr>
        <w:snapToGrid w:val="0"/>
        <w:spacing w:before="50" w:after="50" w:line="360" w:lineRule="auto"/>
        <w:rPr>
          <w:rFonts w:ascii="仿宋" w:hAnsi="仿宋" w:eastAsia="仿宋" w:cs="仿宋"/>
          <w:color w:val="auto"/>
          <w:sz w:val="24"/>
          <w:szCs w:val="28"/>
          <w:highlight w:val="none"/>
        </w:rPr>
      </w:pPr>
      <w:r>
        <w:rPr>
          <w:rFonts w:hint="eastAsia" w:ascii="仿宋" w:hAnsi="仿宋" w:eastAsia="仿宋" w:cs="仿宋"/>
          <w:color w:val="auto"/>
          <w:sz w:val="24"/>
          <w:szCs w:val="28"/>
          <w:highlight w:val="none"/>
        </w:rPr>
        <w:t>2、</w:t>
      </w:r>
      <w:r>
        <w:rPr>
          <w:rFonts w:hint="eastAsia" w:ascii="仿宋" w:hAnsi="仿宋" w:eastAsia="仿宋" w:cs="仿宋"/>
          <w:color w:val="auto"/>
          <w:sz w:val="24"/>
          <w:szCs w:val="28"/>
          <w:highlight w:val="none"/>
          <w:lang w:val="en-US" w:eastAsia="zh-CN"/>
        </w:rPr>
        <w:t>首次</w:t>
      </w:r>
      <w:r>
        <w:rPr>
          <w:rFonts w:hint="eastAsia" w:ascii="仿宋" w:hAnsi="仿宋" w:eastAsia="仿宋" w:cs="仿宋"/>
          <w:color w:val="auto"/>
          <w:sz w:val="24"/>
          <w:szCs w:val="28"/>
          <w:highlight w:val="none"/>
        </w:rPr>
        <w:t>报价文件目录（具体参考第三章供应商须知“响应文件的组成”）</w:t>
      </w:r>
    </w:p>
    <w:p w14:paraId="6AD79533">
      <w:pPr>
        <w:snapToGrid w:val="0"/>
        <w:spacing w:before="50" w:afterLines="50" w:line="360" w:lineRule="auto"/>
        <w:jc w:val="left"/>
        <w:rPr>
          <w:rFonts w:ascii="仿宋" w:hAnsi="仿宋" w:eastAsia="仿宋" w:cs="仿宋"/>
          <w:color w:val="auto"/>
          <w:szCs w:val="28"/>
          <w:highlight w:val="none"/>
        </w:rPr>
      </w:pPr>
    </w:p>
    <w:p w14:paraId="623B8F37">
      <w:pPr>
        <w:snapToGrid w:val="0"/>
        <w:spacing w:before="50" w:afterLines="50" w:line="360" w:lineRule="auto"/>
        <w:jc w:val="left"/>
        <w:rPr>
          <w:rFonts w:ascii="仿宋" w:hAnsi="仿宋" w:eastAsia="仿宋" w:cs="仿宋"/>
          <w:color w:val="auto"/>
          <w:szCs w:val="28"/>
          <w:highlight w:val="none"/>
        </w:rPr>
      </w:pPr>
    </w:p>
    <w:p w14:paraId="4BCD4BD8">
      <w:pPr>
        <w:snapToGrid w:val="0"/>
        <w:spacing w:before="50" w:afterLines="50" w:line="360" w:lineRule="auto"/>
        <w:jc w:val="left"/>
        <w:rPr>
          <w:rFonts w:ascii="仿宋" w:hAnsi="仿宋" w:eastAsia="仿宋" w:cs="仿宋"/>
          <w:color w:val="auto"/>
          <w:szCs w:val="28"/>
          <w:highlight w:val="none"/>
        </w:rPr>
      </w:pPr>
    </w:p>
    <w:p w14:paraId="161C914C">
      <w:pPr>
        <w:snapToGrid w:val="0"/>
        <w:spacing w:before="50" w:afterLines="50" w:line="360" w:lineRule="auto"/>
        <w:jc w:val="left"/>
        <w:rPr>
          <w:rFonts w:ascii="仿宋" w:hAnsi="仿宋" w:eastAsia="仿宋" w:cs="仿宋"/>
          <w:color w:val="auto"/>
          <w:sz w:val="24"/>
          <w:highlight w:val="none"/>
        </w:rPr>
      </w:pPr>
      <w:r>
        <w:rPr>
          <w:rFonts w:hint="eastAsia" w:ascii="仿宋" w:hAnsi="仿宋" w:eastAsia="仿宋" w:cs="仿宋"/>
          <w:color w:val="auto"/>
          <w:sz w:val="24"/>
          <w:highlight w:val="none"/>
        </w:rPr>
        <w:t>（本章仅提供部分标准通用表格，具体格式内容请参照本磋商文件中对响应文件编制要求）</w:t>
      </w:r>
    </w:p>
    <w:p w14:paraId="2062CDE7">
      <w:pPr>
        <w:snapToGrid w:val="0"/>
        <w:spacing w:before="50" w:afterLines="50" w:line="360" w:lineRule="auto"/>
        <w:jc w:val="left"/>
        <w:rPr>
          <w:rFonts w:ascii="仿宋" w:hAnsi="仿宋" w:eastAsia="仿宋" w:cs="仿宋"/>
          <w:color w:val="auto"/>
          <w:sz w:val="24"/>
          <w:highlight w:val="none"/>
        </w:rPr>
      </w:pPr>
    </w:p>
    <w:p w14:paraId="33C5D219">
      <w:pPr>
        <w:snapToGrid w:val="0"/>
        <w:spacing w:before="50" w:afterLines="50" w:line="360" w:lineRule="auto"/>
        <w:jc w:val="left"/>
        <w:rPr>
          <w:rFonts w:ascii="仿宋" w:hAnsi="仿宋" w:eastAsia="仿宋" w:cs="仿宋"/>
          <w:color w:val="auto"/>
          <w:sz w:val="24"/>
          <w:highlight w:val="none"/>
        </w:rPr>
      </w:pPr>
    </w:p>
    <w:p w14:paraId="5AC1099B">
      <w:pPr>
        <w:snapToGrid w:val="0"/>
        <w:spacing w:before="50" w:afterLines="50" w:line="360" w:lineRule="auto"/>
        <w:jc w:val="left"/>
        <w:rPr>
          <w:rFonts w:ascii="仿宋" w:hAnsi="仿宋" w:eastAsia="仿宋" w:cs="仿宋"/>
          <w:color w:val="auto"/>
          <w:sz w:val="24"/>
          <w:highlight w:val="none"/>
        </w:rPr>
      </w:pPr>
    </w:p>
    <w:p w14:paraId="66990471">
      <w:pPr>
        <w:snapToGrid w:val="0"/>
        <w:spacing w:before="50" w:afterLines="50" w:line="360" w:lineRule="auto"/>
        <w:jc w:val="left"/>
        <w:rPr>
          <w:rFonts w:ascii="仿宋" w:hAnsi="仿宋" w:eastAsia="仿宋" w:cs="仿宋"/>
          <w:color w:val="auto"/>
          <w:sz w:val="24"/>
          <w:highlight w:val="none"/>
        </w:rPr>
      </w:pPr>
    </w:p>
    <w:p w14:paraId="0F0091DA">
      <w:pPr>
        <w:snapToGrid w:val="0"/>
        <w:spacing w:before="50" w:afterLines="50" w:line="360" w:lineRule="auto"/>
        <w:jc w:val="left"/>
        <w:rPr>
          <w:rFonts w:ascii="仿宋" w:hAnsi="仿宋" w:eastAsia="仿宋" w:cs="仿宋"/>
          <w:color w:val="auto"/>
          <w:sz w:val="24"/>
          <w:highlight w:val="none"/>
        </w:rPr>
      </w:pPr>
    </w:p>
    <w:p w14:paraId="1E722212">
      <w:pPr>
        <w:snapToGrid w:val="0"/>
        <w:spacing w:before="50" w:afterLines="50" w:line="360" w:lineRule="auto"/>
        <w:jc w:val="left"/>
        <w:rPr>
          <w:rFonts w:ascii="仿宋" w:hAnsi="仿宋" w:eastAsia="仿宋" w:cs="仿宋"/>
          <w:color w:val="auto"/>
          <w:sz w:val="24"/>
          <w:highlight w:val="none"/>
        </w:rPr>
      </w:pPr>
    </w:p>
    <w:p w14:paraId="66C5ECC0">
      <w:pPr>
        <w:snapToGrid w:val="0"/>
        <w:spacing w:before="50" w:afterLines="50" w:line="360" w:lineRule="auto"/>
        <w:jc w:val="left"/>
        <w:rPr>
          <w:rFonts w:ascii="仿宋" w:hAnsi="仿宋" w:eastAsia="仿宋" w:cs="仿宋"/>
          <w:color w:val="auto"/>
          <w:sz w:val="24"/>
          <w:highlight w:val="none"/>
        </w:rPr>
      </w:pPr>
    </w:p>
    <w:p w14:paraId="0C304AEE">
      <w:pPr>
        <w:snapToGrid w:val="0"/>
        <w:spacing w:before="50" w:afterLines="50" w:line="360" w:lineRule="auto"/>
        <w:jc w:val="left"/>
        <w:rPr>
          <w:rFonts w:ascii="仿宋" w:hAnsi="仿宋" w:eastAsia="仿宋" w:cs="仿宋"/>
          <w:color w:val="auto"/>
          <w:sz w:val="24"/>
          <w:highlight w:val="none"/>
        </w:rPr>
      </w:pPr>
    </w:p>
    <w:p w14:paraId="1521CEA2">
      <w:pPr>
        <w:snapToGrid w:val="0"/>
        <w:spacing w:before="50" w:afterLines="50" w:line="360" w:lineRule="auto"/>
        <w:jc w:val="left"/>
        <w:rPr>
          <w:rFonts w:ascii="仿宋" w:hAnsi="仿宋" w:eastAsia="仿宋" w:cs="仿宋"/>
          <w:color w:val="auto"/>
          <w:sz w:val="24"/>
          <w:highlight w:val="none"/>
        </w:rPr>
      </w:pPr>
    </w:p>
    <w:p w14:paraId="4ADF4670">
      <w:pPr>
        <w:snapToGrid w:val="0"/>
        <w:spacing w:before="50" w:afterLines="50" w:line="360" w:lineRule="auto"/>
        <w:jc w:val="left"/>
        <w:rPr>
          <w:rFonts w:ascii="仿宋" w:hAnsi="仿宋" w:eastAsia="仿宋" w:cs="仿宋"/>
          <w:color w:val="auto"/>
          <w:sz w:val="24"/>
          <w:highlight w:val="none"/>
        </w:rPr>
      </w:pPr>
    </w:p>
    <w:p w14:paraId="1A7A50E8">
      <w:pPr>
        <w:snapToGrid w:val="0"/>
        <w:spacing w:before="50" w:afterLines="50" w:line="360" w:lineRule="auto"/>
        <w:jc w:val="left"/>
        <w:rPr>
          <w:rFonts w:ascii="仿宋" w:hAnsi="仿宋" w:eastAsia="仿宋" w:cs="仿宋"/>
          <w:color w:val="auto"/>
          <w:sz w:val="24"/>
          <w:highlight w:val="none"/>
        </w:rPr>
      </w:pPr>
    </w:p>
    <w:p w14:paraId="2BAA8BC3">
      <w:pPr>
        <w:snapToGrid w:val="0"/>
        <w:spacing w:before="50" w:after="50" w:line="480" w:lineRule="auto"/>
        <w:rPr>
          <w:rFonts w:ascii="仿宋" w:hAnsi="仿宋" w:eastAsia="仿宋" w:cs="仿宋"/>
          <w:color w:val="auto"/>
          <w:sz w:val="24"/>
          <w:highlight w:val="none"/>
        </w:rPr>
      </w:pPr>
    </w:p>
    <w:p w14:paraId="3DCDDC20">
      <w:pPr>
        <w:jc w:val="left"/>
        <w:rPr>
          <w:rFonts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br w:type="page"/>
      </w:r>
    </w:p>
    <w:p w14:paraId="547A5A32">
      <w:pPr>
        <w:snapToGrid w:val="0"/>
        <w:spacing w:before="50" w:after="50"/>
        <w:jc w:val="center"/>
        <w:rPr>
          <w:rFonts w:ascii="仿宋" w:hAnsi="仿宋" w:eastAsia="仿宋" w:cs="仿宋"/>
          <w:b/>
          <w:bCs/>
          <w:color w:val="auto"/>
          <w:sz w:val="28"/>
          <w:szCs w:val="28"/>
          <w:highlight w:val="none"/>
        </w:rPr>
      </w:pPr>
    </w:p>
    <w:p w14:paraId="504B567D">
      <w:pPr>
        <w:snapToGrid w:val="0"/>
        <w:spacing w:before="50" w:after="50"/>
        <w:jc w:val="center"/>
        <w:outlineLvl w:val="1"/>
        <w:rPr>
          <w:rFonts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供应商自评分索引表</w:t>
      </w:r>
    </w:p>
    <w:p w14:paraId="676F7BAF">
      <w:pPr>
        <w:snapToGrid w:val="0"/>
        <w:spacing w:before="50"/>
        <w:jc w:val="center"/>
        <w:rPr>
          <w:rFonts w:ascii="仿宋" w:hAnsi="仿宋" w:eastAsia="仿宋" w:cs="仿宋"/>
          <w:b/>
          <w:color w:val="auto"/>
          <w:szCs w:val="28"/>
          <w:highlight w:val="none"/>
        </w:rPr>
      </w:pPr>
    </w:p>
    <w:p w14:paraId="1C63B12D">
      <w:pPr>
        <w:pStyle w:val="12"/>
        <w:spacing w:line="460" w:lineRule="exact"/>
        <w:ind w:firstLine="720" w:firstLineChars="300"/>
        <w:rPr>
          <w:color w:val="auto"/>
          <w:highlight w:val="none"/>
        </w:rPr>
      </w:pPr>
      <w:r>
        <w:rPr>
          <w:rFonts w:hint="eastAsia" w:ascii="仿宋" w:hAnsi="仿宋" w:eastAsia="仿宋" w:cs="仿宋"/>
          <w:color w:val="auto"/>
          <w:highlight w:val="none"/>
        </w:rPr>
        <w:t>项目名称：</w:t>
      </w:r>
      <w:r>
        <w:rPr>
          <w:rFonts w:hint="eastAsia" w:ascii="仿宋" w:hAnsi="仿宋" w:eastAsia="仿宋" w:cs="仿宋"/>
          <w:color w:val="auto"/>
          <w:highlight w:val="none"/>
          <w:lang w:eastAsia="zh-CN"/>
        </w:rPr>
        <w:t xml:space="preserve">举办湖州市气排球超级联赛项目  </w:t>
      </w:r>
      <w:r>
        <w:rPr>
          <w:rFonts w:hint="eastAsia" w:ascii="仿宋" w:hAnsi="仿宋" w:eastAsia="仿宋" w:cs="仿宋"/>
          <w:color w:val="auto"/>
          <w:highlight w:val="none"/>
          <w:lang w:val="en-US" w:eastAsia="zh-CN"/>
        </w:rPr>
        <w:t xml:space="preserve">                 </w:t>
      </w:r>
    </w:p>
    <w:tbl>
      <w:tblPr>
        <w:tblStyle w:val="27"/>
        <w:tblW w:w="8912"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3243"/>
        <w:gridCol w:w="2552"/>
        <w:gridCol w:w="1134"/>
        <w:gridCol w:w="1983"/>
      </w:tblGrid>
      <w:tr w14:paraId="340755D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51" w:hRule="atLeast"/>
          <w:jc w:val="center"/>
        </w:trPr>
        <w:tc>
          <w:tcPr>
            <w:tcW w:w="3243" w:type="dxa"/>
            <w:tcBorders>
              <w:top w:val="single" w:color="auto" w:sz="4" w:space="0"/>
              <w:left w:val="single" w:color="auto" w:sz="4" w:space="0"/>
              <w:bottom w:val="single" w:color="auto" w:sz="4" w:space="0"/>
              <w:right w:val="single" w:color="auto" w:sz="4" w:space="0"/>
            </w:tcBorders>
            <w:noWrap/>
            <w:vAlign w:val="center"/>
          </w:tcPr>
          <w:p w14:paraId="37F4FD4C">
            <w:pPr>
              <w:snapToGrid w:val="0"/>
              <w:spacing w:beforeLines="50"/>
              <w:jc w:val="center"/>
              <w:rPr>
                <w:rFonts w:ascii="仿宋" w:hAnsi="仿宋" w:eastAsia="仿宋" w:cs="仿宋"/>
                <w:color w:val="auto"/>
                <w:sz w:val="24"/>
                <w:highlight w:val="none"/>
              </w:rPr>
            </w:pPr>
            <w:r>
              <w:rPr>
                <w:rFonts w:hint="eastAsia" w:ascii="仿宋" w:hAnsi="仿宋" w:eastAsia="仿宋" w:cs="仿宋"/>
                <w:color w:val="auto"/>
                <w:sz w:val="24"/>
                <w:highlight w:val="none"/>
              </w:rPr>
              <w:t>评分项目</w:t>
            </w:r>
          </w:p>
        </w:tc>
        <w:tc>
          <w:tcPr>
            <w:tcW w:w="2552" w:type="dxa"/>
            <w:tcBorders>
              <w:top w:val="single" w:color="auto" w:sz="4" w:space="0"/>
              <w:left w:val="single" w:color="auto" w:sz="4" w:space="0"/>
              <w:bottom w:val="single" w:color="auto" w:sz="4" w:space="0"/>
              <w:right w:val="single" w:color="auto" w:sz="4" w:space="0"/>
            </w:tcBorders>
            <w:noWrap/>
            <w:vAlign w:val="center"/>
          </w:tcPr>
          <w:p w14:paraId="1808BB16">
            <w:pPr>
              <w:snapToGrid w:val="0"/>
              <w:spacing w:beforeLines="50"/>
              <w:jc w:val="center"/>
              <w:rPr>
                <w:rFonts w:ascii="仿宋" w:hAnsi="仿宋" w:eastAsia="仿宋" w:cs="仿宋"/>
                <w:color w:val="auto"/>
                <w:sz w:val="24"/>
                <w:highlight w:val="none"/>
              </w:rPr>
            </w:pPr>
            <w:r>
              <w:rPr>
                <w:rFonts w:hint="eastAsia" w:ascii="仿宋" w:hAnsi="仿宋" w:eastAsia="仿宋" w:cs="仿宋"/>
                <w:color w:val="auto"/>
                <w:sz w:val="24"/>
                <w:highlight w:val="none"/>
              </w:rPr>
              <w:t>响应文件对应资料</w:t>
            </w:r>
          </w:p>
        </w:tc>
        <w:tc>
          <w:tcPr>
            <w:tcW w:w="1134" w:type="dxa"/>
            <w:tcBorders>
              <w:top w:val="single" w:color="auto" w:sz="4" w:space="0"/>
              <w:left w:val="single" w:color="auto" w:sz="4" w:space="0"/>
              <w:bottom w:val="single" w:color="auto" w:sz="4" w:space="0"/>
              <w:right w:val="single" w:color="auto" w:sz="4" w:space="0"/>
            </w:tcBorders>
            <w:noWrap/>
            <w:vAlign w:val="center"/>
          </w:tcPr>
          <w:p w14:paraId="4E4BDB7B">
            <w:pPr>
              <w:snapToGrid w:val="0"/>
              <w:spacing w:beforeLines="50"/>
              <w:jc w:val="center"/>
              <w:rPr>
                <w:rFonts w:ascii="仿宋" w:hAnsi="仿宋" w:eastAsia="仿宋" w:cs="仿宋"/>
                <w:color w:val="auto"/>
                <w:sz w:val="24"/>
                <w:highlight w:val="none"/>
              </w:rPr>
            </w:pPr>
            <w:r>
              <w:rPr>
                <w:rFonts w:hint="eastAsia" w:ascii="仿宋" w:hAnsi="仿宋" w:eastAsia="仿宋" w:cs="仿宋"/>
                <w:color w:val="auto"/>
                <w:sz w:val="24"/>
                <w:highlight w:val="none"/>
              </w:rPr>
              <w:t>自评分</w:t>
            </w:r>
          </w:p>
        </w:tc>
        <w:tc>
          <w:tcPr>
            <w:tcW w:w="1983" w:type="dxa"/>
            <w:tcBorders>
              <w:top w:val="single" w:color="auto" w:sz="4" w:space="0"/>
              <w:left w:val="single" w:color="auto" w:sz="4" w:space="0"/>
              <w:bottom w:val="single" w:color="auto" w:sz="4" w:space="0"/>
              <w:right w:val="single" w:color="auto" w:sz="4" w:space="0"/>
            </w:tcBorders>
            <w:noWrap/>
            <w:vAlign w:val="center"/>
          </w:tcPr>
          <w:p w14:paraId="0EA9F99E">
            <w:pPr>
              <w:snapToGrid w:val="0"/>
              <w:spacing w:beforeLines="50"/>
              <w:jc w:val="center"/>
              <w:rPr>
                <w:rFonts w:ascii="仿宋" w:hAnsi="仿宋" w:eastAsia="仿宋" w:cs="仿宋"/>
                <w:color w:val="auto"/>
                <w:sz w:val="24"/>
                <w:highlight w:val="none"/>
              </w:rPr>
            </w:pPr>
            <w:r>
              <w:rPr>
                <w:rFonts w:hint="eastAsia" w:ascii="仿宋" w:hAnsi="仿宋" w:eastAsia="仿宋" w:cs="仿宋"/>
                <w:color w:val="auto"/>
                <w:sz w:val="24"/>
                <w:highlight w:val="none"/>
              </w:rPr>
              <w:t>响应文件页码</w:t>
            </w:r>
          </w:p>
        </w:tc>
      </w:tr>
      <w:tr w14:paraId="345B678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51" w:hRule="atLeast"/>
          <w:jc w:val="center"/>
        </w:trPr>
        <w:tc>
          <w:tcPr>
            <w:tcW w:w="3243" w:type="dxa"/>
            <w:tcBorders>
              <w:top w:val="single" w:color="auto" w:sz="4" w:space="0"/>
              <w:left w:val="single" w:color="auto" w:sz="4" w:space="0"/>
              <w:bottom w:val="single" w:color="auto" w:sz="4" w:space="0"/>
              <w:right w:val="single" w:color="auto" w:sz="4" w:space="0"/>
            </w:tcBorders>
            <w:noWrap/>
            <w:vAlign w:val="center"/>
          </w:tcPr>
          <w:p w14:paraId="3EEF834F">
            <w:pPr>
              <w:snapToGrid w:val="0"/>
              <w:jc w:val="center"/>
              <w:rPr>
                <w:rFonts w:ascii="仿宋" w:hAnsi="仿宋" w:eastAsia="仿宋" w:cs="仿宋"/>
                <w:color w:val="auto"/>
                <w:sz w:val="24"/>
                <w:highlight w:val="none"/>
              </w:rPr>
            </w:pPr>
            <w:r>
              <w:rPr>
                <w:rFonts w:hint="eastAsia" w:ascii="仿宋" w:hAnsi="仿宋" w:eastAsia="仿宋" w:cs="仿宋"/>
                <w:color w:val="auto"/>
                <w:sz w:val="24"/>
                <w:highlight w:val="none"/>
              </w:rPr>
              <w:t>对应第六章</w:t>
            </w:r>
            <w:r>
              <w:rPr>
                <w:rFonts w:hint="eastAsia" w:ascii="仿宋" w:hAnsi="仿宋" w:eastAsia="仿宋" w:cs="仿宋"/>
                <w:color w:val="auto"/>
                <w:sz w:val="24"/>
                <w:highlight w:val="none"/>
                <w:lang w:val="en-US" w:eastAsia="zh-CN"/>
              </w:rPr>
              <w:t>磋商</w:t>
            </w:r>
            <w:r>
              <w:rPr>
                <w:rFonts w:hint="eastAsia" w:ascii="仿宋" w:hAnsi="仿宋" w:eastAsia="仿宋" w:cs="仿宋"/>
                <w:color w:val="auto"/>
                <w:sz w:val="24"/>
                <w:highlight w:val="none"/>
              </w:rPr>
              <w:t>办法及评分标准（报价除外）</w:t>
            </w:r>
          </w:p>
        </w:tc>
        <w:tc>
          <w:tcPr>
            <w:tcW w:w="2552" w:type="dxa"/>
            <w:tcBorders>
              <w:top w:val="single" w:color="auto" w:sz="4" w:space="0"/>
              <w:left w:val="single" w:color="auto" w:sz="4" w:space="0"/>
              <w:bottom w:val="single" w:color="auto" w:sz="4" w:space="0"/>
              <w:right w:val="single" w:color="auto" w:sz="4" w:space="0"/>
            </w:tcBorders>
            <w:noWrap/>
            <w:vAlign w:val="center"/>
          </w:tcPr>
          <w:p w14:paraId="0AD429AD">
            <w:pPr>
              <w:snapToGrid w:val="0"/>
              <w:spacing w:beforeLines="50"/>
              <w:jc w:val="center"/>
              <w:rPr>
                <w:rFonts w:ascii="仿宋" w:hAnsi="仿宋" w:eastAsia="仿宋" w:cs="仿宋"/>
                <w:color w:val="auto"/>
                <w:sz w:val="24"/>
                <w:highlight w:val="none"/>
              </w:rPr>
            </w:pPr>
          </w:p>
        </w:tc>
        <w:tc>
          <w:tcPr>
            <w:tcW w:w="1134" w:type="dxa"/>
            <w:tcBorders>
              <w:top w:val="single" w:color="auto" w:sz="4" w:space="0"/>
              <w:left w:val="single" w:color="auto" w:sz="4" w:space="0"/>
              <w:bottom w:val="single" w:color="auto" w:sz="4" w:space="0"/>
              <w:right w:val="single" w:color="auto" w:sz="4" w:space="0"/>
            </w:tcBorders>
            <w:noWrap/>
            <w:vAlign w:val="center"/>
          </w:tcPr>
          <w:p w14:paraId="6B57288B">
            <w:pPr>
              <w:snapToGrid w:val="0"/>
              <w:spacing w:beforeLines="50"/>
              <w:jc w:val="center"/>
              <w:rPr>
                <w:rFonts w:ascii="仿宋" w:hAnsi="仿宋" w:eastAsia="仿宋" w:cs="仿宋"/>
                <w:color w:val="auto"/>
                <w:sz w:val="24"/>
                <w:highlight w:val="none"/>
              </w:rPr>
            </w:pPr>
          </w:p>
        </w:tc>
        <w:tc>
          <w:tcPr>
            <w:tcW w:w="1983" w:type="dxa"/>
            <w:tcBorders>
              <w:top w:val="single" w:color="auto" w:sz="4" w:space="0"/>
              <w:left w:val="single" w:color="auto" w:sz="4" w:space="0"/>
              <w:bottom w:val="single" w:color="auto" w:sz="4" w:space="0"/>
              <w:right w:val="single" w:color="auto" w:sz="4" w:space="0"/>
            </w:tcBorders>
            <w:noWrap/>
            <w:vAlign w:val="center"/>
          </w:tcPr>
          <w:p w14:paraId="696A5FA6">
            <w:pPr>
              <w:snapToGrid w:val="0"/>
              <w:spacing w:beforeLines="50"/>
              <w:jc w:val="center"/>
              <w:rPr>
                <w:rFonts w:ascii="仿宋" w:hAnsi="仿宋" w:eastAsia="仿宋" w:cs="仿宋"/>
                <w:color w:val="auto"/>
                <w:sz w:val="24"/>
                <w:highlight w:val="none"/>
              </w:rPr>
            </w:pPr>
          </w:p>
        </w:tc>
      </w:tr>
      <w:tr w14:paraId="5F51D4C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51" w:hRule="atLeast"/>
          <w:jc w:val="center"/>
        </w:trPr>
        <w:tc>
          <w:tcPr>
            <w:tcW w:w="3243" w:type="dxa"/>
            <w:tcBorders>
              <w:top w:val="single" w:color="auto" w:sz="4" w:space="0"/>
              <w:left w:val="single" w:color="auto" w:sz="4" w:space="0"/>
              <w:bottom w:val="single" w:color="auto" w:sz="4" w:space="0"/>
              <w:right w:val="single" w:color="auto" w:sz="4" w:space="0"/>
            </w:tcBorders>
            <w:noWrap/>
            <w:vAlign w:val="center"/>
          </w:tcPr>
          <w:p w14:paraId="1E7E5650">
            <w:pPr>
              <w:snapToGrid w:val="0"/>
              <w:jc w:val="center"/>
              <w:rPr>
                <w:rFonts w:ascii="仿宋" w:hAnsi="仿宋" w:eastAsia="仿宋" w:cs="仿宋"/>
                <w:color w:val="auto"/>
                <w:sz w:val="24"/>
                <w:highlight w:val="none"/>
              </w:rPr>
            </w:pPr>
            <w:r>
              <w:rPr>
                <w:rFonts w:hint="eastAsia" w:ascii="仿宋" w:hAnsi="仿宋" w:eastAsia="仿宋" w:cs="仿宋"/>
                <w:color w:val="auto"/>
                <w:sz w:val="24"/>
                <w:highlight w:val="none"/>
              </w:rPr>
              <w:t>……</w:t>
            </w:r>
          </w:p>
        </w:tc>
        <w:tc>
          <w:tcPr>
            <w:tcW w:w="2552" w:type="dxa"/>
            <w:tcBorders>
              <w:top w:val="single" w:color="auto" w:sz="4" w:space="0"/>
              <w:left w:val="single" w:color="auto" w:sz="4" w:space="0"/>
              <w:bottom w:val="single" w:color="auto" w:sz="4" w:space="0"/>
              <w:right w:val="single" w:color="auto" w:sz="4" w:space="0"/>
            </w:tcBorders>
            <w:noWrap/>
            <w:vAlign w:val="center"/>
          </w:tcPr>
          <w:p w14:paraId="76860D90">
            <w:pPr>
              <w:snapToGrid w:val="0"/>
              <w:spacing w:beforeLines="50"/>
              <w:jc w:val="center"/>
              <w:rPr>
                <w:rFonts w:ascii="仿宋" w:hAnsi="仿宋" w:eastAsia="仿宋" w:cs="仿宋"/>
                <w:color w:val="auto"/>
                <w:sz w:val="24"/>
                <w:highlight w:val="none"/>
              </w:rPr>
            </w:pPr>
          </w:p>
        </w:tc>
        <w:tc>
          <w:tcPr>
            <w:tcW w:w="1134" w:type="dxa"/>
            <w:tcBorders>
              <w:top w:val="single" w:color="auto" w:sz="4" w:space="0"/>
              <w:left w:val="single" w:color="auto" w:sz="4" w:space="0"/>
              <w:bottom w:val="single" w:color="auto" w:sz="4" w:space="0"/>
              <w:right w:val="single" w:color="auto" w:sz="4" w:space="0"/>
            </w:tcBorders>
            <w:noWrap/>
            <w:vAlign w:val="center"/>
          </w:tcPr>
          <w:p w14:paraId="4EACEC68">
            <w:pPr>
              <w:snapToGrid w:val="0"/>
              <w:spacing w:beforeLines="50"/>
              <w:ind w:left="43"/>
              <w:jc w:val="center"/>
              <w:rPr>
                <w:rFonts w:ascii="仿宋" w:hAnsi="仿宋" w:eastAsia="仿宋" w:cs="仿宋"/>
                <w:color w:val="auto"/>
                <w:sz w:val="24"/>
                <w:highlight w:val="none"/>
              </w:rPr>
            </w:pPr>
          </w:p>
        </w:tc>
        <w:tc>
          <w:tcPr>
            <w:tcW w:w="1983" w:type="dxa"/>
            <w:tcBorders>
              <w:top w:val="single" w:color="auto" w:sz="4" w:space="0"/>
              <w:left w:val="single" w:color="auto" w:sz="4" w:space="0"/>
              <w:bottom w:val="single" w:color="auto" w:sz="4" w:space="0"/>
              <w:right w:val="single" w:color="auto" w:sz="4" w:space="0"/>
            </w:tcBorders>
            <w:noWrap/>
            <w:vAlign w:val="center"/>
          </w:tcPr>
          <w:p w14:paraId="4D2E5C21">
            <w:pPr>
              <w:snapToGrid w:val="0"/>
              <w:spacing w:beforeLines="50"/>
              <w:ind w:left="43"/>
              <w:jc w:val="center"/>
              <w:rPr>
                <w:rFonts w:ascii="仿宋" w:hAnsi="仿宋" w:eastAsia="仿宋" w:cs="仿宋"/>
                <w:color w:val="auto"/>
                <w:sz w:val="24"/>
                <w:highlight w:val="none"/>
              </w:rPr>
            </w:pPr>
          </w:p>
        </w:tc>
      </w:tr>
      <w:tr w14:paraId="1395D4F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51" w:hRule="atLeast"/>
          <w:jc w:val="center"/>
        </w:trPr>
        <w:tc>
          <w:tcPr>
            <w:tcW w:w="3243" w:type="dxa"/>
            <w:tcBorders>
              <w:top w:val="single" w:color="auto" w:sz="4" w:space="0"/>
              <w:left w:val="single" w:color="auto" w:sz="4" w:space="0"/>
              <w:bottom w:val="single" w:color="auto" w:sz="4" w:space="0"/>
              <w:right w:val="single" w:color="auto" w:sz="4" w:space="0"/>
            </w:tcBorders>
            <w:noWrap/>
            <w:vAlign w:val="center"/>
          </w:tcPr>
          <w:p w14:paraId="516415CF">
            <w:pPr>
              <w:snapToGrid w:val="0"/>
              <w:jc w:val="center"/>
              <w:rPr>
                <w:rFonts w:ascii="仿宋" w:hAnsi="仿宋" w:eastAsia="仿宋" w:cs="仿宋"/>
                <w:color w:val="auto"/>
                <w:sz w:val="24"/>
                <w:highlight w:val="none"/>
              </w:rPr>
            </w:pPr>
          </w:p>
        </w:tc>
        <w:tc>
          <w:tcPr>
            <w:tcW w:w="2552" w:type="dxa"/>
            <w:tcBorders>
              <w:top w:val="single" w:color="auto" w:sz="4" w:space="0"/>
              <w:left w:val="single" w:color="auto" w:sz="4" w:space="0"/>
              <w:bottom w:val="single" w:color="auto" w:sz="4" w:space="0"/>
              <w:right w:val="single" w:color="auto" w:sz="4" w:space="0"/>
            </w:tcBorders>
            <w:noWrap/>
            <w:vAlign w:val="center"/>
          </w:tcPr>
          <w:p w14:paraId="348DCD02">
            <w:pPr>
              <w:snapToGrid w:val="0"/>
              <w:spacing w:beforeLines="50"/>
              <w:jc w:val="center"/>
              <w:rPr>
                <w:rFonts w:ascii="仿宋" w:hAnsi="仿宋" w:eastAsia="仿宋" w:cs="仿宋"/>
                <w:color w:val="auto"/>
                <w:sz w:val="24"/>
                <w:highlight w:val="none"/>
              </w:rPr>
            </w:pPr>
          </w:p>
        </w:tc>
        <w:tc>
          <w:tcPr>
            <w:tcW w:w="1134" w:type="dxa"/>
            <w:tcBorders>
              <w:top w:val="single" w:color="auto" w:sz="4" w:space="0"/>
              <w:left w:val="single" w:color="auto" w:sz="4" w:space="0"/>
              <w:bottom w:val="single" w:color="auto" w:sz="4" w:space="0"/>
              <w:right w:val="single" w:color="auto" w:sz="4" w:space="0"/>
            </w:tcBorders>
            <w:noWrap/>
            <w:vAlign w:val="center"/>
          </w:tcPr>
          <w:p w14:paraId="6C7795AB">
            <w:pPr>
              <w:snapToGrid w:val="0"/>
              <w:spacing w:beforeLines="50"/>
              <w:ind w:left="43"/>
              <w:jc w:val="center"/>
              <w:rPr>
                <w:rFonts w:ascii="仿宋" w:hAnsi="仿宋" w:eastAsia="仿宋" w:cs="仿宋"/>
                <w:color w:val="auto"/>
                <w:sz w:val="24"/>
                <w:highlight w:val="none"/>
              </w:rPr>
            </w:pPr>
          </w:p>
        </w:tc>
        <w:tc>
          <w:tcPr>
            <w:tcW w:w="1983" w:type="dxa"/>
            <w:tcBorders>
              <w:top w:val="single" w:color="auto" w:sz="4" w:space="0"/>
              <w:left w:val="single" w:color="auto" w:sz="4" w:space="0"/>
              <w:bottom w:val="single" w:color="auto" w:sz="4" w:space="0"/>
              <w:right w:val="single" w:color="auto" w:sz="4" w:space="0"/>
            </w:tcBorders>
            <w:noWrap/>
            <w:vAlign w:val="center"/>
          </w:tcPr>
          <w:p w14:paraId="76C3F9BB">
            <w:pPr>
              <w:snapToGrid w:val="0"/>
              <w:spacing w:beforeLines="50"/>
              <w:ind w:left="43"/>
              <w:jc w:val="center"/>
              <w:rPr>
                <w:rFonts w:ascii="仿宋" w:hAnsi="仿宋" w:eastAsia="仿宋" w:cs="仿宋"/>
                <w:color w:val="auto"/>
                <w:sz w:val="24"/>
                <w:highlight w:val="none"/>
              </w:rPr>
            </w:pPr>
          </w:p>
        </w:tc>
      </w:tr>
      <w:tr w14:paraId="77B3963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51" w:hRule="atLeast"/>
          <w:jc w:val="center"/>
        </w:trPr>
        <w:tc>
          <w:tcPr>
            <w:tcW w:w="3243" w:type="dxa"/>
            <w:tcBorders>
              <w:top w:val="single" w:color="auto" w:sz="4" w:space="0"/>
              <w:left w:val="single" w:color="auto" w:sz="4" w:space="0"/>
              <w:bottom w:val="single" w:color="auto" w:sz="4" w:space="0"/>
              <w:right w:val="single" w:color="auto" w:sz="4" w:space="0"/>
            </w:tcBorders>
            <w:noWrap/>
            <w:vAlign w:val="center"/>
          </w:tcPr>
          <w:p w14:paraId="5DBB2FB9">
            <w:pPr>
              <w:snapToGrid w:val="0"/>
              <w:jc w:val="center"/>
              <w:rPr>
                <w:rFonts w:ascii="仿宋" w:hAnsi="仿宋" w:eastAsia="仿宋" w:cs="仿宋"/>
                <w:color w:val="auto"/>
                <w:sz w:val="24"/>
                <w:highlight w:val="none"/>
              </w:rPr>
            </w:pPr>
          </w:p>
        </w:tc>
        <w:tc>
          <w:tcPr>
            <w:tcW w:w="2552" w:type="dxa"/>
            <w:tcBorders>
              <w:top w:val="single" w:color="auto" w:sz="4" w:space="0"/>
              <w:left w:val="single" w:color="auto" w:sz="4" w:space="0"/>
              <w:bottom w:val="single" w:color="auto" w:sz="4" w:space="0"/>
              <w:right w:val="single" w:color="auto" w:sz="4" w:space="0"/>
            </w:tcBorders>
            <w:noWrap/>
            <w:vAlign w:val="center"/>
          </w:tcPr>
          <w:p w14:paraId="72220E8F">
            <w:pPr>
              <w:snapToGrid w:val="0"/>
              <w:spacing w:beforeLines="50"/>
              <w:jc w:val="center"/>
              <w:rPr>
                <w:rFonts w:ascii="仿宋" w:hAnsi="仿宋" w:eastAsia="仿宋" w:cs="仿宋"/>
                <w:color w:val="auto"/>
                <w:sz w:val="24"/>
                <w:highlight w:val="none"/>
              </w:rPr>
            </w:pPr>
          </w:p>
        </w:tc>
        <w:tc>
          <w:tcPr>
            <w:tcW w:w="1134" w:type="dxa"/>
            <w:tcBorders>
              <w:top w:val="single" w:color="auto" w:sz="4" w:space="0"/>
              <w:left w:val="single" w:color="auto" w:sz="4" w:space="0"/>
              <w:bottom w:val="single" w:color="auto" w:sz="4" w:space="0"/>
              <w:right w:val="single" w:color="auto" w:sz="4" w:space="0"/>
            </w:tcBorders>
            <w:noWrap/>
            <w:vAlign w:val="center"/>
          </w:tcPr>
          <w:p w14:paraId="02CD49D2">
            <w:pPr>
              <w:snapToGrid w:val="0"/>
              <w:spacing w:beforeLines="50"/>
              <w:ind w:left="43"/>
              <w:jc w:val="center"/>
              <w:rPr>
                <w:rFonts w:ascii="仿宋" w:hAnsi="仿宋" w:eastAsia="仿宋" w:cs="仿宋"/>
                <w:color w:val="auto"/>
                <w:sz w:val="24"/>
                <w:highlight w:val="none"/>
              </w:rPr>
            </w:pPr>
          </w:p>
        </w:tc>
        <w:tc>
          <w:tcPr>
            <w:tcW w:w="1983" w:type="dxa"/>
            <w:tcBorders>
              <w:top w:val="single" w:color="auto" w:sz="4" w:space="0"/>
              <w:left w:val="single" w:color="auto" w:sz="4" w:space="0"/>
              <w:bottom w:val="single" w:color="auto" w:sz="4" w:space="0"/>
              <w:right w:val="single" w:color="auto" w:sz="4" w:space="0"/>
            </w:tcBorders>
            <w:noWrap/>
            <w:vAlign w:val="center"/>
          </w:tcPr>
          <w:p w14:paraId="161197FD">
            <w:pPr>
              <w:snapToGrid w:val="0"/>
              <w:spacing w:beforeLines="50"/>
              <w:ind w:left="43"/>
              <w:jc w:val="center"/>
              <w:rPr>
                <w:rFonts w:ascii="仿宋" w:hAnsi="仿宋" w:eastAsia="仿宋" w:cs="仿宋"/>
                <w:color w:val="auto"/>
                <w:sz w:val="24"/>
                <w:highlight w:val="none"/>
              </w:rPr>
            </w:pPr>
          </w:p>
        </w:tc>
      </w:tr>
      <w:tr w14:paraId="371B25E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51" w:hRule="atLeast"/>
          <w:jc w:val="center"/>
        </w:trPr>
        <w:tc>
          <w:tcPr>
            <w:tcW w:w="3243" w:type="dxa"/>
            <w:tcBorders>
              <w:top w:val="single" w:color="auto" w:sz="4" w:space="0"/>
              <w:left w:val="single" w:color="auto" w:sz="4" w:space="0"/>
              <w:bottom w:val="single" w:color="auto" w:sz="4" w:space="0"/>
              <w:right w:val="single" w:color="auto" w:sz="4" w:space="0"/>
            </w:tcBorders>
            <w:noWrap/>
            <w:vAlign w:val="center"/>
          </w:tcPr>
          <w:p w14:paraId="1339CA02">
            <w:pPr>
              <w:snapToGrid w:val="0"/>
              <w:jc w:val="center"/>
              <w:rPr>
                <w:rFonts w:ascii="仿宋" w:hAnsi="仿宋" w:eastAsia="仿宋" w:cs="仿宋"/>
                <w:color w:val="auto"/>
                <w:sz w:val="24"/>
                <w:highlight w:val="none"/>
              </w:rPr>
            </w:pPr>
          </w:p>
        </w:tc>
        <w:tc>
          <w:tcPr>
            <w:tcW w:w="2552" w:type="dxa"/>
            <w:tcBorders>
              <w:top w:val="single" w:color="auto" w:sz="4" w:space="0"/>
              <w:left w:val="single" w:color="auto" w:sz="4" w:space="0"/>
              <w:bottom w:val="single" w:color="auto" w:sz="4" w:space="0"/>
              <w:right w:val="single" w:color="auto" w:sz="4" w:space="0"/>
            </w:tcBorders>
            <w:noWrap/>
            <w:vAlign w:val="center"/>
          </w:tcPr>
          <w:p w14:paraId="26C9BEC0">
            <w:pPr>
              <w:snapToGrid w:val="0"/>
              <w:spacing w:beforeLines="50"/>
              <w:jc w:val="center"/>
              <w:rPr>
                <w:rFonts w:ascii="仿宋" w:hAnsi="仿宋" w:eastAsia="仿宋" w:cs="仿宋"/>
                <w:color w:val="auto"/>
                <w:sz w:val="24"/>
                <w:highlight w:val="none"/>
              </w:rPr>
            </w:pPr>
          </w:p>
        </w:tc>
        <w:tc>
          <w:tcPr>
            <w:tcW w:w="1134" w:type="dxa"/>
            <w:tcBorders>
              <w:top w:val="single" w:color="auto" w:sz="4" w:space="0"/>
              <w:left w:val="single" w:color="auto" w:sz="4" w:space="0"/>
              <w:bottom w:val="single" w:color="auto" w:sz="4" w:space="0"/>
              <w:right w:val="single" w:color="auto" w:sz="4" w:space="0"/>
            </w:tcBorders>
            <w:noWrap/>
            <w:vAlign w:val="center"/>
          </w:tcPr>
          <w:p w14:paraId="0E357F99">
            <w:pPr>
              <w:snapToGrid w:val="0"/>
              <w:spacing w:beforeLines="50"/>
              <w:jc w:val="center"/>
              <w:rPr>
                <w:rFonts w:ascii="仿宋" w:hAnsi="仿宋" w:eastAsia="仿宋" w:cs="仿宋"/>
                <w:color w:val="auto"/>
                <w:sz w:val="24"/>
                <w:highlight w:val="none"/>
              </w:rPr>
            </w:pPr>
          </w:p>
        </w:tc>
        <w:tc>
          <w:tcPr>
            <w:tcW w:w="1983" w:type="dxa"/>
            <w:tcBorders>
              <w:top w:val="single" w:color="auto" w:sz="4" w:space="0"/>
              <w:left w:val="single" w:color="auto" w:sz="4" w:space="0"/>
              <w:bottom w:val="single" w:color="auto" w:sz="4" w:space="0"/>
              <w:right w:val="single" w:color="auto" w:sz="4" w:space="0"/>
            </w:tcBorders>
            <w:noWrap/>
            <w:vAlign w:val="center"/>
          </w:tcPr>
          <w:p w14:paraId="1DE30860">
            <w:pPr>
              <w:snapToGrid w:val="0"/>
              <w:spacing w:beforeLines="50"/>
              <w:jc w:val="center"/>
              <w:rPr>
                <w:rFonts w:ascii="仿宋" w:hAnsi="仿宋" w:eastAsia="仿宋" w:cs="仿宋"/>
                <w:color w:val="auto"/>
                <w:sz w:val="24"/>
                <w:highlight w:val="none"/>
              </w:rPr>
            </w:pPr>
          </w:p>
        </w:tc>
      </w:tr>
      <w:tr w14:paraId="4B4D6A9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51" w:hRule="atLeast"/>
          <w:jc w:val="center"/>
        </w:trPr>
        <w:tc>
          <w:tcPr>
            <w:tcW w:w="3243" w:type="dxa"/>
            <w:tcBorders>
              <w:top w:val="single" w:color="auto" w:sz="4" w:space="0"/>
              <w:left w:val="single" w:color="auto" w:sz="4" w:space="0"/>
              <w:bottom w:val="single" w:color="auto" w:sz="4" w:space="0"/>
              <w:right w:val="single" w:color="auto" w:sz="4" w:space="0"/>
            </w:tcBorders>
            <w:noWrap/>
            <w:vAlign w:val="center"/>
          </w:tcPr>
          <w:p w14:paraId="4BD808EF">
            <w:pPr>
              <w:snapToGrid w:val="0"/>
              <w:jc w:val="center"/>
              <w:rPr>
                <w:rFonts w:ascii="仿宋" w:hAnsi="仿宋" w:eastAsia="仿宋" w:cs="仿宋"/>
                <w:color w:val="auto"/>
                <w:sz w:val="24"/>
                <w:highlight w:val="none"/>
              </w:rPr>
            </w:pPr>
          </w:p>
        </w:tc>
        <w:tc>
          <w:tcPr>
            <w:tcW w:w="2552" w:type="dxa"/>
            <w:tcBorders>
              <w:top w:val="single" w:color="auto" w:sz="4" w:space="0"/>
              <w:left w:val="single" w:color="auto" w:sz="4" w:space="0"/>
              <w:bottom w:val="single" w:color="auto" w:sz="4" w:space="0"/>
              <w:right w:val="single" w:color="auto" w:sz="4" w:space="0"/>
            </w:tcBorders>
            <w:noWrap/>
            <w:vAlign w:val="center"/>
          </w:tcPr>
          <w:p w14:paraId="5567E657">
            <w:pPr>
              <w:snapToGrid w:val="0"/>
              <w:spacing w:beforeLines="50"/>
              <w:jc w:val="center"/>
              <w:rPr>
                <w:rFonts w:ascii="仿宋" w:hAnsi="仿宋" w:eastAsia="仿宋" w:cs="仿宋"/>
                <w:color w:val="auto"/>
                <w:sz w:val="24"/>
                <w:highlight w:val="none"/>
              </w:rPr>
            </w:pPr>
          </w:p>
        </w:tc>
        <w:tc>
          <w:tcPr>
            <w:tcW w:w="1134" w:type="dxa"/>
            <w:tcBorders>
              <w:top w:val="single" w:color="auto" w:sz="4" w:space="0"/>
              <w:left w:val="single" w:color="auto" w:sz="4" w:space="0"/>
              <w:bottom w:val="single" w:color="auto" w:sz="4" w:space="0"/>
              <w:right w:val="single" w:color="auto" w:sz="4" w:space="0"/>
            </w:tcBorders>
            <w:noWrap/>
            <w:vAlign w:val="center"/>
          </w:tcPr>
          <w:p w14:paraId="6EDC6148">
            <w:pPr>
              <w:snapToGrid w:val="0"/>
              <w:spacing w:beforeLines="50"/>
              <w:jc w:val="center"/>
              <w:rPr>
                <w:rFonts w:ascii="仿宋" w:hAnsi="仿宋" w:eastAsia="仿宋" w:cs="仿宋"/>
                <w:color w:val="auto"/>
                <w:sz w:val="24"/>
                <w:highlight w:val="none"/>
              </w:rPr>
            </w:pPr>
          </w:p>
        </w:tc>
        <w:tc>
          <w:tcPr>
            <w:tcW w:w="1983" w:type="dxa"/>
            <w:tcBorders>
              <w:top w:val="single" w:color="auto" w:sz="4" w:space="0"/>
              <w:left w:val="single" w:color="auto" w:sz="4" w:space="0"/>
              <w:bottom w:val="single" w:color="auto" w:sz="4" w:space="0"/>
              <w:right w:val="single" w:color="auto" w:sz="4" w:space="0"/>
            </w:tcBorders>
            <w:noWrap/>
            <w:vAlign w:val="center"/>
          </w:tcPr>
          <w:p w14:paraId="31625D2E">
            <w:pPr>
              <w:snapToGrid w:val="0"/>
              <w:spacing w:beforeLines="50"/>
              <w:jc w:val="center"/>
              <w:rPr>
                <w:rFonts w:ascii="仿宋" w:hAnsi="仿宋" w:eastAsia="仿宋" w:cs="仿宋"/>
                <w:color w:val="auto"/>
                <w:sz w:val="24"/>
                <w:highlight w:val="none"/>
              </w:rPr>
            </w:pPr>
          </w:p>
        </w:tc>
      </w:tr>
      <w:tr w14:paraId="1AB0F1E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51" w:hRule="atLeast"/>
          <w:jc w:val="center"/>
        </w:trPr>
        <w:tc>
          <w:tcPr>
            <w:tcW w:w="3243" w:type="dxa"/>
            <w:tcBorders>
              <w:top w:val="single" w:color="auto" w:sz="4" w:space="0"/>
              <w:left w:val="single" w:color="auto" w:sz="4" w:space="0"/>
              <w:bottom w:val="single" w:color="auto" w:sz="4" w:space="0"/>
              <w:right w:val="single" w:color="auto" w:sz="4" w:space="0"/>
            </w:tcBorders>
            <w:noWrap/>
            <w:vAlign w:val="center"/>
          </w:tcPr>
          <w:p w14:paraId="6075683B">
            <w:pPr>
              <w:snapToGrid w:val="0"/>
              <w:jc w:val="center"/>
              <w:rPr>
                <w:rFonts w:ascii="仿宋" w:hAnsi="仿宋" w:eastAsia="仿宋" w:cs="仿宋"/>
                <w:color w:val="auto"/>
                <w:sz w:val="24"/>
                <w:highlight w:val="none"/>
              </w:rPr>
            </w:pPr>
          </w:p>
        </w:tc>
        <w:tc>
          <w:tcPr>
            <w:tcW w:w="2552" w:type="dxa"/>
            <w:tcBorders>
              <w:top w:val="single" w:color="auto" w:sz="4" w:space="0"/>
              <w:left w:val="single" w:color="auto" w:sz="4" w:space="0"/>
              <w:bottom w:val="single" w:color="auto" w:sz="4" w:space="0"/>
              <w:right w:val="single" w:color="auto" w:sz="4" w:space="0"/>
            </w:tcBorders>
            <w:noWrap/>
            <w:vAlign w:val="center"/>
          </w:tcPr>
          <w:p w14:paraId="6038584A">
            <w:pPr>
              <w:snapToGrid w:val="0"/>
              <w:spacing w:beforeLines="50"/>
              <w:jc w:val="center"/>
              <w:rPr>
                <w:rFonts w:ascii="仿宋" w:hAnsi="仿宋" w:eastAsia="仿宋" w:cs="仿宋"/>
                <w:color w:val="auto"/>
                <w:sz w:val="24"/>
                <w:highlight w:val="none"/>
              </w:rPr>
            </w:pPr>
          </w:p>
        </w:tc>
        <w:tc>
          <w:tcPr>
            <w:tcW w:w="1134" w:type="dxa"/>
            <w:tcBorders>
              <w:top w:val="single" w:color="auto" w:sz="4" w:space="0"/>
              <w:left w:val="single" w:color="auto" w:sz="4" w:space="0"/>
              <w:bottom w:val="single" w:color="auto" w:sz="4" w:space="0"/>
              <w:right w:val="single" w:color="auto" w:sz="4" w:space="0"/>
            </w:tcBorders>
            <w:noWrap/>
            <w:vAlign w:val="center"/>
          </w:tcPr>
          <w:p w14:paraId="30356627">
            <w:pPr>
              <w:snapToGrid w:val="0"/>
              <w:spacing w:beforeLines="50"/>
              <w:jc w:val="center"/>
              <w:rPr>
                <w:rFonts w:ascii="仿宋" w:hAnsi="仿宋" w:eastAsia="仿宋" w:cs="仿宋"/>
                <w:color w:val="auto"/>
                <w:sz w:val="24"/>
                <w:highlight w:val="none"/>
              </w:rPr>
            </w:pPr>
          </w:p>
        </w:tc>
        <w:tc>
          <w:tcPr>
            <w:tcW w:w="1983" w:type="dxa"/>
            <w:tcBorders>
              <w:top w:val="single" w:color="auto" w:sz="4" w:space="0"/>
              <w:left w:val="single" w:color="auto" w:sz="4" w:space="0"/>
              <w:bottom w:val="single" w:color="auto" w:sz="4" w:space="0"/>
              <w:right w:val="single" w:color="auto" w:sz="4" w:space="0"/>
            </w:tcBorders>
            <w:noWrap/>
            <w:vAlign w:val="center"/>
          </w:tcPr>
          <w:p w14:paraId="6E3C0E87">
            <w:pPr>
              <w:snapToGrid w:val="0"/>
              <w:spacing w:beforeLines="50"/>
              <w:jc w:val="center"/>
              <w:rPr>
                <w:rFonts w:ascii="仿宋" w:hAnsi="仿宋" w:eastAsia="仿宋" w:cs="仿宋"/>
                <w:color w:val="auto"/>
                <w:sz w:val="24"/>
                <w:highlight w:val="none"/>
              </w:rPr>
            </w:pPr>
          </w:p>
        </w:tc>
      </w:tr>
      <w:tr w14:paraId="2E1418E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51" w:hRule="atLeast"/>
          <w:jc w:val="center"/>
        </w:trPr>
        <w:tc>
          <w:tcPr>
            <w:tcW w:w="3243" w:type="dxa"/>
            <w:tcBorders>
              <w:top w:val="single" w:color="auto" w:sz="4" w:space="0"/>
              <w:left w:val="single" w:color="auto" w:sz="4" w:space="0"/>
              <w:bottom w:val="single" w:color="auto" w:sz="4" w:space="0"/>
              <w:right w:val="single" w:color="auto" w:sz="4" w:space="0"/>
            </w:tcBorders>
            <w:noWrap/>
            <w:vAlign w:val="center"/>
          </w:tcPr>
          <w:p w14:paraId="11B872F1">
            <w:pPr>
              <w:snapToGrid w:val="0"/>
              <w:jc w:val="center"/>
              <w:rPr>
                <w:rFonts w:ascii="仿宋" w:hAnsi="仿宋" w:eastAsia="仿宋" w:cs="仿宋"/>
                <w:color w:val="auto"/>
                <w:sz w:val="24"/>
                <w:highlight w:val="none"/>
              </w:rPr>
            </w:pPr>
          </w:p>
        </w:tc>
        <w:tc>
          <w:tcPr>
            <w:tcW w:w="2552" w:type="dxa"/>
            <w:tcBorders>
              <w:top w:val="single" w:color="auto" w:sz="4" w:space="0"/>
              <w:left w:val="single" w:color="auto" w:sz="4" w:space="0"/>
              <w:bottom w:val="single" w:color="auto" w:sz="4" w:space="0"/>
              <w:right w:val="single" w:color="auto" w:sz="4" w:space="0"/>
            </w:tcBorders>
            <w:noWrap/>
            <w:vAlign w:val="center"/>
          </w:tcPr>
          <w:p w14:paraId="3E766E8B">
            <w:pPr>
              <w:snapToGrid w:val="0"/>
              <w:spacing w:beforeLines="50"/>
              <w:jc w:val="center"/>
              <w:rPr>
                <w:rFonts w:ascii="仿宋" w:hAnsi="仿宋" w:eastAsia="仿宋" w:cs="仿宋"/>
                <w:color w:val="auto"/>
                <w:sz w:val="24"/>
                <w:highlight w:val="none"/>
              </w:rPr>
            </w:pPr>
          </w:p>
        </w:tc>
        <w:tc>
          <w:tcPr>
            <w:tcW w:w="1134" w:type="dxa"/>
            <w:tcBorders>
              <w:top w:val="single" w:color="auto" w:sz="4" w:space="0"/>
              <w:left w:val="single" w:color="auto" w:sz="4" w:space="0"/>
              <w:bottom w:val="single" w:color="auto" w:sz="4" w:space="0"/>
              <w:right w:val="single" w:color="auto" w:sz="4" w:space="0"/>
            </w:tcBorders>
            <w:noWrap/>
            <w:vAlign w:val="center"/>
          </w:tcPr>
          <w:p w14:paraId="5C1AD453">
            <w:pPr>
              <w:snapToGrid w:val="0"/>
              <w:spacing w:beforeLines="50"/>
              <w:jc w:val="center"/>
              <w:rPr>
                <w:rFonts w:ascii="仿宋" w:hAnsi="仿宋" w:eastAsia="仿宋" w:cs="仿宋"/>
                <w:color w:val="auto"/>
                <w:sz w:val="24"/>
                <w:highlight w:val="none"/>
              </w:rPr>
            </w:pPr>
          </w:p>
        </w:tc>
        <w:tc>
          <w:tcPr>
            <w:tcW w:w="1983" w:type="dxa"/>
            <w:tcBorders>
              <w:top w:val="single" w:color="auto" w:sz="4" w:space="0"/>
              <w:left w:val="single" w:color="auto" w:sz="4" w:space="0"/>
              <w:bottom w:val="single" w:color="auto" w:sz="4" w:space="0"/>
              <w:right w:val="single" w:color="auto" w:sz="4" w:space="0"/>
            </w:tcBorders>
            <w:noWrap/>
            <w:vAlign w:val="center"/>
          </w:tcPr>
          <w:p w14:paraId="4FB43B15">
            <w:pPr>
              <w:snapToGrid w:val="0"/>
              <w:spacing w:beforeLines="50"/>
              <w:jc w:val="center"/>
              <w:rPr>
                <w:rFonts w:ascii="仿宋" w:hAnsi="仿宋" w:eastAsia="仿宋" w:cs="仿宋"/>
                <w:color w:val="auto"/>
                <w:sz w:val="24"/>
                <w:highlight w:val="none"/>
              </w:rPr>
            </w:pPr>
          </w:p>
        </w:tc>
      </w:tr>
      <w:tr w14:paraId="39EF0B8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51" w:hRule="atLeast"/>
          <w:jc w:val="center"/>
        </w:trPr>
        <w:tc>
          <w:tcPr>
            <w:tcW w:w="3243" w:type="dxa"/>
            <w:tcBorders>
              <w:top w:val="single" w:color="auto" w:sz="4" w:space="0"/>
              <w:left w:val="single" w:color="auto" w:sz="4" w:space="0"/>
              <w:bottom w:val="single" w:color="auto" w:sz="4" w:space="0"/>
              <w:right w:val="single" w:color="auto" w:sz="4" w:space="0"/>
            </w:tcBorders>
            <w:noWrap/>
            <w:vAlign w:val="center"/>
          </w:tcPr>
          <w:p w14:paraId="5E42CCA8">
            <w:pPr>
              <w:snapToGrid w:val="0"/>
              <w:jc w:val="center"/>
              <w:rPr>
                <w:rFonts w:ascii="仿宋" w:hAnsi="仿宋" w:eastAsia="仿宋" w:cs="仿宋"/>
                <w:color w:val="auto"/>
                <w:sz w:val="24"/>
                <w:highlight w:val="none"/>
              </w:rPr>
            </w:pPr>
          </w:p>
        </w:tc>
        <w:tc>
          <w:tcPr>
            <w:tcW w:w="2552" w:type="dxa"/>
            <w:tcBorders>
              <w:top w:val="single" w:color="auto" w:sz="4" w:space="0"/>
              <w:left w:val="single" w:color="auto" w:sz="4" w:space="0"/>
              <w:bottom w:val="single" w:color="auto" w:sz="4" w:space="0"/>
              <w:right w:val="single" w:color="auto" w:sz="4" w:space="0"/>
            </w:tcBorders>
            <w:noWrap/>
            <w:vAlign w:val="center"/>
          </w:tcPr>
          <w:p w14:paraId="630F80EF">
            <w:pPr>
              <w:snapToGrid w:val="0"/>
              <w:spacing w:beforeLines="50"/>
              <w:jc w:val="center"/>
              <w:rPr>
                <w:rFonts w:ascii="仿宋" w:hAnsi="仿宋" w:eastAsia="仿宋" w:cs="仿宋"/>
                <w:color w:val="auto"/>
                <w:sz w:val="24"/>
                <w:highlight w:val="none"/>
              </w:rPr>
            </w:pPr>
          </w:p>
        </w:tc>
        <w:tc>
          <w:tcPr>
            <w:tcW w:w="1134" w:type="dxa"/>
            <w:tcBorders>
              <w:top w:val="single" w:color="auto" w:sz="4" w:space="0"/>
              <w:left w:val="single" w:color="auto" w:sz="4" w:space="0"/>
              <w:bottom w:val="single" w:color="auto" w:sz="4" w:space="0"/>
              <w:right w:val="single" w:color="auto" w:sz="4" w:space="0"/>
            </w:tcBorders>
            <w:noWrap/>
            <w:vAlign w:val="center"/>
          </w:tcPr>
          <w:p w14:paraId="352EE228">
            <w:pPr>
              <w:snapToGrid w:val="0"/>
              <w:spacing w:beforeLines="50"/>
              <w:jc w:val="center"/>
              <w:rPr>
                <w:rFonts w:ascii="仿宋" w:hAnsi="仿宋" w:eastAsia="仿宋" w:cs="仿宋"/>
                <w:color w:val="auto"/>
                <w:sz w:val="24"/>
                <w:highlight w:val="none"/>
              </w:rPr>
            </w:pPr>
          </w:p>
        </w:tc>
        <w:tc>
          <w:tcPr>
            <w:tcW w:w="1983" w:type="dxa"/>
            <w:tcBorders>
              <w:top w:val="single" w:color="auto" w:sz="4" w:space="0"/>
              <w:left w:val="single" w:color="auto" w:sz="4" w:space="0"/>
              <w:bottom w:val="single" w:color="auto" w:sz="4" w:space="0"/>
              <w:right w:val="single" w:color="auto" w:sz="4" w:space="0"/>
            </w:tcBorders>
            <w:noWrap/>
            <w:vAlign w:val="center"/>
          </w:tcPr>
          <w:p w14:paraId="79964958">
            <w:pPr>
              <w:snapToGrid w:val="0"/>
              <w:spacing w:beforeLines="50"/>
              <w:jc w:val="center"/>
              <w:rPr>
                <w:rFonts w:ascii="仿宋" w:hAnsi="仿宋" w:eastAsia="仿宋" w:cs="仿宋"/>
                <w:color w:val="auto"/>
                <w:sz w:val="24"/>
                <w:highlight w:val="none"/>
              </w:rPr>
            </w:pPr>
          </w:p>
        </w:tc>
      </w:tr>
    </w:tbl>
    <w:p w14:paraId="11A66367">
      <w:pPr>
        <w:snapToGrid w:val="0"/>
        <w:spacing w:line="460" w:lineRule="exact"/>
        <w:ind w:firstLine="240" w:firstLineChars="100"/>
        <w:rPr>
          <w:rFonts w:ascii="仿宋" w:hAnsi="仿宋" w:eastAsia="仿宋" w:cs="仿宋"/>
          <w:color w:val="auto"/>
          <w:sz w:val="24"/>
          <w:highlight w:val="none"/>
        </w:rPr>
      </w:pPr>
    </w:p>
    <w:p w14:paraId="67A825AB">
      <w:pPr>
        <w:pStyle w:val="13"/>
        <w:snapToGrid w:val="0"/>
        <w:ind w:firstLine="240" w:firstLineChars="100"/>
        <w:rPr>
          <w:rFonts w:hint="eastAsia" w:ascii="仿宋" w:hAnsi="仿宋" w:eastAsia="仿宋" w:cs="仿宋"/>
          <w:color w:val="auto"/>
          <w:sz w:val="24"/>
          <w:szCs w:val="24"/>
          <w:highlight w:val="none"/>
        </w:rPr>
      </w:pPr>
    </w:p>
    <w:p w14:paraId="38977A6D">
      <w:pPr>
        <w:pStyle w:val="13"/>
        <w:snapToGrid w:val="0"/>
        <w:ind w:firstLine="240" w:firstLineChars="100"/>
        <w:rPr>
          <w:rFonts w:hint="eastAsia" w:ascii="仿宋" w:hAnsi="仿宋" w:eastAsia="仿宋" w:cs="仿宋"/>
          <w:color w:val="auto"/>
          <w:sz w:val="24"/>
          <w:highlight w:val="none"/>
        </w:rPr>
      </w:pPr>
      <w:r>
        <w:rPr>
          <w:rFonts w:hint="eastAsia" w:ascii="仿宋" w:hAnsi="仿宋" w:eastAsia="仿宋" w:cs="仿宋"/>
          <w:color w:val="auto"/>
          <w:sz w:val="24"/>
          <w:szCs w:val="24"/>
          <w:highlight w:val="none"/>
        </w:rPr>
        <w:t>供应商全称（加盖公章）：</w:t>
      </w:r>
    </w:p>
    <w:p w14:paraId="061B25F0">
      <w:pPr>
        <w:snapToGrid w:val="0"/>
        <w:spacing w:line="460" w:lineRule="exact"/>
        <w:ind w:firstLine="240" w:firstLineChars="100"/>
        <w:rPr>
          <w:rFonts w:ascii="仿宋" w:hAnsi="仿宋" w:eastAsia="仿宋" w:cs="仿宋"/>
          <w:color w:val="auto"/>
          <w:sz w:val="24"/>
          <w:highlight w:val="none"/>
        </w:rPr>
      </w:pPr>
      <w:r>
        <w:rPr>
          <w:rFonts w:hint="eastAsia" w:ascii="仿宋" w:hAnsi="仿宋" w:eastAsia="仿宋" w:cs="仿宋"/>
          <w:color w:val="auto"/>
          <w:sz w:val="24"/>
          <w:highlight w:val="none"/>
        </w:rPr>
        <w:t>法定代表人或其授权代理人签字或盖章：</w:t>
      </w:r>
    </w:p>
    <w:p w14:paraId="73595F69">
      <w:pPr>
        <w:snapToGrid w:val="0"/>
        <w:spacing w:line="460" w:lineRule="exact"/>
        <w:ind w:firstLine="480" w:firstLineChars="200"/>
        <w:jc w:val="left"/>
        <w:rPr>
          <w:rFonts w:ascii="仿宋" w:hAnsi="仿宋" w:eastAsia="仿宋" w:cs="仿宋"/>
          <w:b/>
          <w:color w:val="auto"/>
          <w:sz w:val="28"/>
          <w:szCs w:val="28"/>
          <w:highlight w:val="none"/>
        </w:rPr>
      </w:pPr>
      <w:r>
        <w:rPr>
          <w:rFonts w:hint="eastAsia" w:ascii="仿宋" w:hAnsi="仿宋" w:eastAsia="仿宋" w:cs="仿宋"/>
          <w:color w:val="auto"/>
          <w:sz w:val="24"/>
          <w:highlight w:val="none"/>
        </w:rPr>
        <w:t>日期：    年  月   日</w:t>
      </w:r>
      <w:r>
        <w:rPr>
          <w:rFonts w:hint="eastAsia" w:ascii="仿宋" w:hAnsi="仿宋" w:eastAsia="仿宋" w:cs="仿宋"/>
          <w:b/>
          <w:color w:val="auto"/>
          <w:sz w:val="28"/>
          <w:szCs w:val="28"/>
          <w:highlight w:val="none"/>
        </w:rPr>
        <w:br w:type="page"/>
      </w:r>
    </w:p>
    <w:p w14:paraId="4BBE15C0">
      <w:pPr>
        <w:spacing w:line="560" w:lineRule="exact"/>
        <w:jc w:val="center"/>
        <w:outlineLvl w:val="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商务响应表</w:t>
      </w:r>
    </w:p>
    <w:p w14:paraId="5316E2BA">
      <w:pPr>
        <w:pStyle w:val="9"/>
        <w:rPr>
          <w:color w:val="auto"/>
          <w:highlight w:val="none"/>
        </w:rPr>
      </w:pPr>
    </w:p>
    <w:p w14:paraId="0C0ADC7C">
      <w:pPr>
        <w:pStyle w:val="12"/>
        <w:spacing w:line="460" w:lineRule="exact"/>
        <w:ind w:firstLine="240" w:firstLineChars="100"/>
        <w:rPr>
          <w:rFonts w:hint="eastAsia" w:ascii="仿宋" w:hAnsi="仿宋" w:eastAsia="仿宋" w:cs="仿宋"/>
          <w:color w:val="auto"/>
          <w:highlight w:val="none"/>
          <w:u w:val="none"/>
          <w:lang w:val="en-US" w:eastAsia="zh-CN"/>
        </w:rPr>
      </w:pPr>
      <w:r>
        <w:rPr>
          <w:rFonts w:hint="eastAsia" w:ascii="仿宋" w:hAnsi="仿宋" w:eastAsia="仿宋" w:cs="仿宋"/>
          <w:color w:val="auto"/>
          <w:highlight w:val="none"/>
        </w:rPr>
        <w:t>项目名称：</w:t>
      </w:r>
      <w:r>
        <w:rPr>
          <w:rFonts w:hint="eastAsia" w:ascii="仿宋" w:hAnsi="仿宋" w:eastAsia="仿宋" w:cs="仿宋"/>
          <w:color w:val="auto"/>
          <w:highlight w:val="none"/>
          <w:lang w:eastAsia="zh-CN"/>
        </w:rPr>
        <w:t xml:space="preserve">举办湖州市气排球超级联赛项目  </w:t>
      </w:r>
      <w:r>
        <w:rPr>
          <w:rFonts w:hint="eastAsia" w:ascii="仿宋" w:hAnsi="仿宋" w:eastAsia="仿宋" w:cs="仿宋"/>
          <w:color w:val="auto"/>
          <w:highlight w:val="none"/>
          <w:lang w:val="en-US" w:eastAsia="zh-CN"/>
        </w:rPr>
        <w:t xml:space="preserve">                  </w:t>
      </w:r>
    </w:p>
    <w:tbl>
      <w:tblPr>
        <w:tblStyle w:val="27"/>
        <w:tblW w:w="872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68"/>
        <w:gridCol w:w="2409"/>
        <w:gridCol w:w="1843"/>
        <w:gridCol w:w="2801"/>
      </w:tblGrid>
      <w:tr w14:paraId="243285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8" w:type="dxa"/>
            <w:vAlign w:val="center"/>
          </w:tcPr>
          <w:p w14:paraId="7A7FCA83">
            <w:pPr>
              <w:spacing w:line="460" w:lineRule="exact"/>
              <w:jc w:val="center"/>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项目</w:t>
            </w:r>
          </w:p>
        </w:tc>
        <w:tc>
          <w:tcPr>
            <w:tcW w:w="2409" w:type="dxa"/>
            <w:vAlign w:val="center"/>
          </w:tcPr>
          <w:p w14:paraId="7BBF64E4">
            <w:pPr>
              <w:spacing w:line="460" w:lineRule="exact"/>
              <w:jc w:val="center"/>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磋商文件要求</w:t>
            </w:r>
          </w:p>
        </w:tc>
        <w:tc>
          <w:tcPr>
            <w:tcW w:w="1843" w:type="dxa"/>
            <w:vAlign w:val="center"/>
          </w:tcPr>
          <w:p w14:paraId="5E71C600">
            <w:pPr>
              <w:spacing w:line="460" w:lineRule="exact"/>
              <w:jc w:val="center"/>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是否响应</w:t>
            </w:r>
          </w:p>
        </w:tc>
        <w:tc>
          <w:tcPr>
            <w:tcW w:w="2801" w:type="dxa"/>
            <w:vAlign w:val="center"/>
          </w:tcPr>
          <w:p w14:paraId="1673F132">
            <w:pPr>
              <w:spacing w:line="460" w:lineRule="exact"/>
              <w:jc w:val="center"/>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供应商的承诺或说明</w:t>
            </w:r>
          </w:p>
        </w:tc>
      </w:tr>
      <w:tr w14:paraId="40A16B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8" w:type="dxa"/>
            <w:vAlign w:val="center"/>
          </w:tcPr>
          <w:p w14:paraId="54847170">
            <w:pPr>
              <w:jc w:val="center"/>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付款方式</w:t>
            </w:r>
          </w:p>
        </w:tc>
        <w:tc>
          <w:tcPr>
            <w:tcW w:w="2409" w:type="dxa"/>
            <w:vAlign w:val="center"/>
          </w:tcPr>
          <w:p w14:paraId="61954802">
            <w:pPr>
              <w:spacing w:line="460" w:lineRule="exact"/>
              <w:jc w:val="center"/>
              <w:rPr>
                <w:rFonts w:ascii="仿宋" w:hAnsi="仿宋" w:eastAsia="仿宋" w:cs="仿宋"/>
                <w:color w:val="auto"/>
                <w:kern w:val="0"/>
                <w:sz w:val="24"/>
                <w:highlight w:val="none"/>
              </w:rPr>
            </w:pPr>
          </w:p>
        </w:tc>
        <w:tc>
          <w:tcPr>
            <w:tcW w:w="1843" w:type="dxa"/>
            <w:vAlign w:val="center"/>
          </w:tcPr>
          <w:p w14:paraId="39576A1D">
            <w:pPr>
              <w:spacing w:line="460" w:lineRule="exact"/>
              <w:jc w:val="center"/>
              <w:rPr>
                <w:rFonts w:ascii="仿宋" w:hAnsi="仿宋" w:eastAsia="仿宋" w:cs="仿宋"/>
                <w:color w:val="auto"/>
                <w:kern w:val="0"/>
                <w:sz w:val="24"/>
                <w:highlight w:val="none"/>
              </w:rPr>
            </w:pPr>
          </w:p>
        </w:tc>
        <w:tc>
          <w:tcPr>
            <w:tcW w:w="2801" w:type="dxa"/>
            <w:vAlign w:val="center"/>
          </w:tcPr>
          <w:p w14:paraId="49025207">
            <w:pPr>
              <w:spacing w:line="460" w:lineRule="exact"/>
              <w:jc w:val="center"/>
              <w:rPr>
                <w:rFonts w:ascii="仿宋" w:hAnsi="仿宋" w:eastAsia="仿宋" w:cs="仿宋"/>
                <w:color w:val="auto"/>
                <w:kern w:val="0"/>
                <w:sz w:val="24"/>
                <w:highlight w:val="none"/>
              </w:rPr>
            </w:pPr>
          </w:p>
        </w:tc>
      </w:tr>
      <w:tr w14:paraId="0A631A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8" w:type="dxa"/>
            <w:vAlign w:val="center"/>
          </w:tcPr>
          <w:p w14:paraId="0A6EF1DA">
            <w:pPr>
              <w:spacing w:line="460" w:lineRule="exact"/>
              <w:jc w:val="center"/>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服务期</w:t>
            </w:r>
          </w:p>
        </w:tc>
        <w:tc>
          <w:tcPr>
            <w:tcW w:w="2409" w:type="dxa"/>
            <w:vAlign w:val="center"/>
          </w:tcPr>
          <w:p w14:paraId="2554D027">
            <w:pPr>
              <w:spacing w:line="460" w:lineRule="exact"/>
              <w:jc w:val="center"/>
              <w:rPr>
                <w:rFonts w:ascii="仿宋" w:hAnsi="仿宋" w:eastAsia="仿宋" w:cs="仿宋"/>
                <w:color w:val="auto"/>
                <w:kern w:val="0"/>
                <w:sz w:val="24"/>
                <w:highlight w:val="none"/>
              </w:rPr>
            </w:pPr>
          </w:p>
        </w:tc>
        <w:tc>
          <w:tcPr>
            <w:tcW w:w="1843" w:type="dxa"/>
            <w:vAlign w:val="center"/>
          </w:tcPr>
          <w:p w14:paraId="146EF066">
            <w:pPr>
              <w:spacing w:line="460" w:lineRule="exact"/>
              <w:jc w:val="center"/>
              <w:rPr>
                <w:rFonts w:ascii="仿宋" w:hAnsi="仿宋" w:eastAsia="仿宋" w:cs="仿宋"/>
                <w:color w:val="auto"/>
                <w:kern w:val="0"/>
                <w:sz w:val="24"/>
                <w:highlight w:val="none"/>
              </w:rPr>
            </w:pPr>
          </w:p>
        </w:tc>
        <w:tc>
          <w:tcPr>
            <w:tcW w:w="2801" w:type="dxa"/>
            <w:vAlign w:val="center"/>
          </w:tcPr>
          <w:p w14:paraId="3F85FAE8">
            <w:pPr>
              <w:spacing w:line="460" w:lineRule="exact"/>
              <w:jc w:val="center"/>
              <w:rPr>
                <w:rFonts w:ascii="仿宋" w:hAnsi="仿宋" w:eastAsia="仿宋" w:cs="仿宋"/>
                <w:color w:val="auto"/>
                <w:kern w:val="0"/>
                <w:sz w:val="24"/>
                <w:highlight w:val="none"/>
              </w:rPr>
            </w:pPr>
          </w:p>
        </w:tc>
      </w:tr>
      <w:tr w14:paraId="5072B7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8" w:type="dxa"/>
            <w:vAlign w:val="center"/>
          </w:tcPr>
          <w:p w14:paraId="5F388295">
            <w:pPr>
              <w:spacing w:line="460" w:lineRule="exact"/>
              <w:jc w:val="center"/>
              <w:rPr>
                <w:rFonts w:hint="default" w:ascii="仿宋" w:hAnsi="仿宋" w:eastAsia="仿宋" w:cs="仿宋"/>
                <w:color w:val="auto"/>
                <w:kern w:val="0"/>
                <w:sz w:val="24"/>
                <w:highlight w:val="none"/>
                <w:lang w:val="en-US" w:eastAsia="zh-CN"/>
              </w:rPr>
            </w:pPr>
            <w:r>
              <w:rPr>
                <w:rFonts w:hint="eastAsia" w:ascii="仿宋" w:hAnsi="仿宋" w:eastAsia="仿宋" w:cs="仿宋"/>
                <w:color w:val="auto"/>
                <w:kern w:val="0"/>
                <w:sz w:val="24"/>
                <w:highlight w:val="none"/>
                <w:lang w:val="en-US" w:eastAsia="zh-CN"/>
              </w:rPr>
              <w:t>项目验收</w:t>
            </w:r>
          </w:p>
        </w:tc>
        <w:tc>
          <w:tcPr>
            <w:tcW w:w="2409" w:type="dxa"/>
            <w:vAlign w:val="center"/>
          </w:tcPr>
          <w:p w14:paraId="1FD85211">
            <w:pPr>
              <w:spacing w:line="460" w:lineRule="exact"/>
              <w:jc w:val="center"/>
              <w:rPr>
                <w:rFonts w:ascii="仿宋" w:hAnsi="仿宋" w:eastAsia="仿宋" w:cs="仿宋"/>
                <w:color w:val="auto"/>
                <w:kern w:val="0"/>
                <w:sz w:val="24"/>
                <w:highlight w:val="none"/>
              </w:rPr>
            </w:pPr>
          </w:p>
        </w:tc>
        <w:tc>
          <w:tcPr>
            <w:tcW w:w="1843" w:type="dxa"/>
            <w:vAlign w:val="center"/>
          </w:tcPr>
          <w:p w14:paraId="38EBB19D">
            <w:pPr>
              <w:spacing w:line="460" w:lineRule="exact"/>
              <w:jc w:val="center"/>
              <w:rPr>
                <w:rFonts w:ascii="仿宋" w:hAnsi="仿宋" w:eastAsia="仿宋" w:cs="仿宋"/>
                <w:color w:val="auto"/>
                <w:kern w:val="0"/>
                <w:sz w:val="24"/>
                <w:highlight w:val="none"/>
              </w:rPr>
            </w:pPr>
          </w:p>
        </w:tc>
        <w:tc>
          <w:tcPr>
            <w:tcW w:w="2801" w:type="dxa"/>
            <w:vAlign w:val="center"/>
          </w:tcPr>
          <w:p w14:paraId="75E8979C">
            <w:pPr>
              <w:spacing w:line="460" w:lineRule="exact"/>
              <w:jc w:val="center"/>
              <w:rPr>
                <w:rFonts w:ascii="仿宋" w:hAnsi="仿宋" w:eastAsia="仿宋" w:cs="仿宋"/>
                <w:color w:val="auto"/>
                <w:kern w:val="0"/>
                <w:sz w:val="24"/>
                <w:highlight w:val="none"/>
              </w:rPr>
            </w:pPr>
          </w:p>
        </w:tc>
      </w:tr>
      <w:tr w14:paraId="2AD769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8" w:type="dxa"/>
            <w:vAlign w:val="center"/>
          </w:tcPr>
          <w:p w14:paraId="4928730E">
            <w:pPr>
              <w:spacing w:line="460" w:lineRule="exact"/>
              <w:jc w:val="center"/>
              <w:rPr>
                <w:rFonts w:hint="default" w:ascii="仿宋" w:hAnsi="仿宋" w:eastAsia="仿宋" w:cs="仿宋"/>
                <w:color w:val="auto"/>
                <w:kern w:val="0"/>
                <w:sz w:val="24"/>
                <w:highlight w:val="none"/>
                <w:lang w:val="en-US" w:eastAsia="zh-CN"/>
              </w:rPr>
            </w:pPr>
          </w:p>
        </w:tc>
        <w:tc>
          <w:tcPr>
            <w:tcW w:w="2409" w:type="dxa"/>
            <w:vAlign w:val="center"/>
          </w:tcPr>
          <w:p w14:paraId="4E68E19D">
            <w:pPr>
              <w:spacing w:line="460" w:lineRule="exact"/>
              <w:jc w:val="center"/>
              <w:rPr>
                <w:rFonts w:ascii="仿宋" w:hAnsi="仿宋" w:eastAsia="仿宋" w:cs="仿宋"/>
                <w:color w:val="auto"/>
                <w:kern w:val="0"/>
                <w:sz w:val="24"/>
                <w:highlight w:val="none"/>
              </w:rPr>
            </w:pPr>
          </w:p>
        </w:tc>
        <w:tc>
          <w:tcPr>
            <w:tcW w:w="1843" w:type="dxa"/>
            <w:vAlign w:val="center"/>
          </w:tcPr>
          <w:p w14:paraId="5F1E69A4">
            <w:pPr>
              <w:spacing w:line="460" w:lineRule="exact"/>
              <w:jc w:val="center"/>
              <w:rPr>
                <w:rFonts w:ascii="仿宋" w:hAnsi="仿宋" w:eastAsia="仿宋" w:cs="仿宋"/>
                <w:color w:val="auto"/>
                <w:kern w:val="0"/>
                <w:sz w:val="24"/>
                <w:highlight w:val="none"/>
              </w:rPr>
            </w:pPr>
          </w:p>
        </w:tc>
        <w:tc>
          <w:tcPr>
            <w:tcW w:w="2801" w:type="dxa"/>
            <w:vAlign w:val="center"/>
          </w:tcPr>
          <w:p w14:paraId="69713CA1">
            <w:pPr>
              <w:spacing w:line="460" w:lineRule="exact"/>
              <w:jc w:val="center"/>
              <w:rPr>
                <w:rFonts w:ascii="仿宋" w:hAnsi="仿宋" w:eastAsia="仿宋" w:cs="仿宋"/>
                <w:color w:val="auto"/>
                <w:kern w:val="0"/>
                <w:sz w:val="24"/>
                <w:highlight w:val="none"/>
              </w:rPr>
            </w:pPr>
          </w:p>
        </w:tc>
      </w:tr>
      <w:tr w14:paraId="0DFD38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8" w:type="dxa"/>
            <w:vAlign w:val="center"/>
          </w:tcPr>
          <w:p w14:paraId="41381712">
            <w:pPr>
              <w:spacing w:line="460" w:lineRule="exact"/>
              <w:jc w:val="center"/>
              <w:rPr>
                <w:rFonts w:ascii="仿宋" w:hAnsi="仿宋" w:eastAsia="仿宋" w:cs="仿宋"/>
                <w:color w:val="auto"/>
                <w:sz w:val="24"/>
                <w:highlight w:val="none"/>
              </w:rPr>
            </w:pPr>
          </w:p>
        </w:tc>
        <w:tc>
          <w:tcPr>
            <w:tcW w:w="2409" w:type="dxa"/>
            <w:vAlign w:val="center"/>
          </w:tcPr>
          <w:p w14:paraId="4B9D2BD2">
            <w:pPr>
              <w:spacing w:line="460" w:lineRule="exact"/>
              <w:jc w:val="center"/>
              <w:rPr>
                <w:rFonts w:ascii="仿宋" w:hAnsi="仿宋" w:eastAsia="仿宋" w:cs="仿宋"/>
                <w:color w:val="auto"/>
                <w:kern w:val="0"/>
                <w:sz w:val="24"/>
                <w:highlight w:val="none"/>
              </w:rPr>
            </w:pPr>
          </w:p>
        </w:tc>
        <w:tc>
          <w:tcPr>
            <w:tcW w:w="1843" w:type="dxa"/>
            <w:vAlign w:val="center"/>
          </w:tcPr>
          <w:p w14:paraId="4B0B183B">
            <w:pPr>
              <w:spacing w:line="460" w:lineRule="exact"/>
              <w:jc w:val="center"/>
              <w:rPr>
                <w:rFonts w:ascii="仿宋" w:hAnsi="仿宋" w:eastAsia="仿宋" w:cs="仿宋"/>
                <w:color w:val="auto"/>
                <w:kern w:val="0"/>
                <w:sz w:val="24"/>
                <w:highlight w:val="none"/>
              </w:rPr>
            </w:pPr>
          </w:p>
        </w:tc>
        <w:tc>
          <w:tcPr>
            <w:tcW w:w="2801" w:type="dxa"/>
            <w:vAlign w:val="center"/>
          </w:tcPr>
          <w:p w14:paraId="223E106E">
            <w:pPr>
              <w:spacing w:line="460" w:lineRule="exact"/>
              <w:jc w:val="center"/>
              <w:rPr>
                <w:rFonts w:ascii="仿宋" w:hAnsi="仿宋" w:eastAsia="仿宋" w:cs="仿宋"/>
                <w:color w:val="auto"/>
                <w:kern w:val="0"/>
                <w:sz w:val="24"/>
                <w:highlight w:val="none"/>
              </w:rPr>
            </w:pPr>
          </w:p>
        </w:tc>
      </w:tr>
      <w:tr w14:paraId="12BDA0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8" w:type="dxa"/>
            <w:vAlign w:val="center"/>
          </w:tcPr>
          <w:p w14:paraId="6E58C843">
            <w:pPr>
              <w:spacing w:line="460" w:lineRule="exact"/>
              <w:jc w:val="center"/>
              <w:rPr>
                <w:rFonts w:ascii="仿宋" w:hAnsi="仿宋" w:eastAsia="仿宋" w:cs="仿宋"/>
                <w:color w:val="auto"/>
                <w:sz w:val="24"/>
                <w:highlight w:val="none"/>
              </w:rPr>
            </w:pPr>
          </w:p>
        </w:tc>
        <w:tc>
          <w:tcPr>
            <w:tcW w:w="2409" w:type="dxa"/>
            <w:vAlign w:val="center"/>
          </w:tcPr>
          <w:p w14:paraId="6561047D">
            <w:pPr>
              <w:spacing w:line="460" w:lineRule="exact"/>
              <w:jc w:val="center"/>
              <w:rPr>
                <w:rFonts w:ascii="仿宋" w:hAnsi="仿宋" w:eastAsia="仿宋" w:cs="仿宋"/>
                <w:color w:val="auto"/>
                <w:kern w:val="0"/>
                <w:sz w:val="24"/>
                <w:highlight w:val="none"/>
              </w:rPr>
            </w:pPr>
          </w:p>
        </w:tc>
        <w:tc>
          <w:tcPr>
            <w:tcW w:w="1843" w:type="dxa"/>
            <w:vAlign w:val="center"/>
          </w:tcPr>
          <w:p w14:paraId="3B770D99">
            <w:pPr>
              <w:spacing w:line="460" w:lineRule="exact"/>
              <w:jc w:val="center"/>
              <w:rPr>
                <w:rFonts w:ascii="仿宋" w:hAnsi="仿宋" w:eastAsia="仿宋" w:cs="仿宋"/>
                <w:color w:val="auto"/>
                <w:kern w:val="0"/>
                <w:sz w:val="24"/>
                <w:highlight w:val="none"/>
              </w:rPr>
            </w:pPr>
          </w:p>
        </w:tc>
        <w:tc>
          <w:tcPr>
            <w:tcW w:w="2801" w:type="dxa"/>
            <w:vAlign w:val="center"/>
          </w:tcPr>
          <w:p w14:paraId="0B3DDD3C">
            <w:pPr>
              <w:spacing w:line="460" w:lineRule="exact"/>
              <w:jc w:val="center"/>
              <w:rPr>
                <w:rFonts w:ascii="仿宋" w:hAnsi="仿宋" w:eastAsia="仿宋" w:cs="仿宋"/>
                <w:color w:val="auto"/>
                <w:kern w:val="0"/>
                <w:sz w:val="24"/>
                <w:highlight w:val="none"/>
              </w:rPr>
            </w:pPr>
          </w:p>
        </w:tc>
      </w:tr>
    </w:tbl>
    <w:p w14:paraId="6E9C78F6">
      <w:pPr>
        <w:pStyle w:val="12"/>
        <w:jc w:val="left"/>
        <w:rPr>
          <w:rFonts w:hint="eastAsia" w:ascii="仿宋" w:hAnsi="仿宋" w:eastAsia="仿宋" w:cs="仿宋"/>
          <w:color w:val="auto"/>
          <w:highlight w:val="none"/>
        </w:rPr>
      </w:pPr>
    </w:p>
    <w:p w14:paraId="18FC06A4">
      <w:pPr>
        <w:pStyle w:val="12"/>
        <w:jc w:val="left"/>
        <w:rPr>
          <w:rFonts w:hint="eastAsia" w:ascii="仿宋" w:hAnsi="仿宋" w:eastAsia="仿宋" w:cs="仿宋"/>
          <w:color w:val="auto"/>
          <w:highlight w:val="none"/>
        </w:rPr>
      </w:pPr>
    </w:p>
    <w:p w14:paraId="4E41F129">
      <w:pPr>
        <w:pStyle w:val="12"/>
        <w:jc w:val="left"/>
        <w:rPr>
          <w:rFonts w:hint="eastAsia" w:ascii="仿宋" w:hAnsi="仿宋" w:eastAsia="仿宋" w:cs="仿宋"/>
          <w:color w:val="auto"/>
          <w:highlight w:val="none"/>
        </w:rPr>
      </w:pPr>
    </w:p>
    <w:p w14:paraId="1A782C90">
      <w:pPr>
        <w:pStyle w:val="12"/>
        <w:jc w:val="left"/>
        <w:rPr>
          <w:rFonts w:ascii="仿宋" w:hAnsi="仿宋" w:eastAsia="仿宋" w:cs="仿宋"/>
          <w:color w:val="auto"/>
          <w:kern w:val="0"/>
          <w:sz w:val="24"/>
          <w:highlight w:val="none"/>
        </w:rPr>
      </w:pPr>
      <w:r>
        <w:rPr>
          <w:rFonts w:hint="eastAsia" w:ascii="仿宋" w:hAnsi="仿宋" w:eastAsia="仿宋" w:cs="仿宋"/>
          <w:color w:val="auto"/>
          <w:highlight w:val="none"/>
        </w:rPr>
        <w:t>供应商全称（加盖公章）：</w:t>
      </w:r>
    </w:p>
    <w:p w14:paraId="649BD26B">
      <w:pPr>
        <w:spacing w:line="460" w:lineRule="exact"/>
        <w:jc w:val="left"/>
        <w:rPr>
          <w:rFonts w:ascii="仿宋" w:hAnsi="仿宋" w:eastAsia="仿宋" w:cs="仿宋"/>
          <w:color w:val="auto"/>
          <w:sz w:val="24"/>
          <w:highlight w:val="none"/>
        </w:rPr>
      </w:pPr>
      <w:r>
        <w:rPr>
          <w:rFonts w:hint="eastAsia" w:ascii="仿宋" w:hAnsi="仿宋" w:eastAsia="仿宋" w:cs="仿宋"/>
          <w:color w:val="auto"/>
          <w:sz w:val="24"/>
          <w:highlight w:val="none"/>
        </w:rPr>
        <w:t>法定代表人或其授权代理人签</w:t>
      </w:r>
      <w:r>
        <w:rPr>
          <w:rFonts w:hint="eastAsia" w:ascii="仿宋" w:hAnsi="仿宋" w:eastAsia="仿宋" w:cs="仿宋"/>
          <w:color w:val="auto"/>
          <w:sz w:val="24"/>
          <w:highlight w:val="none"/>
          <w:lang w:val="en-US" w:eastAsia="zh-CN"/>
        </w:rPr>
        <w:t>字</w:t>
      </w:r>
      <w:r>
        <w:rPr>
          <w:rFonts w:hint="eastAsia" w:ascii="仿宋" w:hAnsi="仿宋" w:eastAsia="仿宋" w:cs="仿宋"/>
          <w:color w:val="auto"/>
          <w:sz w:val="24"/>
          <w:highlight w:val="none"/>
        </w:rPr>
        <w:t>或盖章：</w:t>
      </w:r>
    </w:p>
    <w:p w14:paraId="7A516910">
      <w:pPr>
        <w:spacing w:line="460" w:lineRule="exact"/>
        <w:jc w:val="left"/>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日期： 年 月 日</w:t>
      </w:r>
    </w:p>
    <w:p w14:paraId="2C487126">
      <w:pPr>
        <w:rPr>
          <w:rFonts w:ascii="仿宋" w:hAnsi="仿宋" w:eastAsia="仿宋" w:cs="仿宋"/>
          <w:b/>
          <w:color w:val="auto"/>
          <w:sz w:val="24"/>
          <w:highlight w:val="none"/>
        </w:rPr>
      </w:pPr>
    </w:p>
    <w:p w14:paraId="0CDDC546">
      <w:pPr>
        <w:snapToGrid w:val="0"/>
        <w:spacing w:before="50" w:afterLines="50"/>
        <w:jc w:val="left"/>
        <w:rPr>
          <w:rFonts w:ascii="仿宋" w:hAnsi="仿宋" w:eastAsia="仿宋" w:cs="仿宋"/>
          <w:b/>
          <w:color w:val="auto"/>
          <w:sz w:val="24"/>
          <w:highlight w:val="none"/>
        </w:rPr>
      </w:pPr>
    </w:p>
    <w:p w14:paraId="59F4C041">
      <w:pPr>
        <w:snapToGrid w:val="0"/>
        <w:spacing w:before="50" w:afterLines="50"/>
        <w:jc w:val="left"/>
        <w:rPr>
          <w:rFonts w:ascii="仿宋" w:hAnsi="仿宋" w:eastAsia="仿宋" w:cs="仿宋"/>
          <w:b/>
          <w:color w:val="auto"/>
          <w:sz w:val="24"/>
          <w:highlight w:val="none"/>
        </w:rPr>
      </w:pPr>
    </w:p>
    <w:p w14:paraId="40E780E9">
      <w:pPr>
        <w:snapToGrid w:val="0"/>
        <w:spacing w:before="50" w:afterLines="50"/>
        <w:jc w:val="left"/>
        <w:rPr>
          <w:rFonts w:ascii="仿宋" w:hAnsi="仿宋" w:eastAsia="仿宋" w:cs="仿宋"/>
          <w:b/>
          <w:color w:val="auto"/>
          <w:sz w:val="24"/>
          <w:highlight w:val="none"/>
        </w:rPr>
      </w:pPr>
    </w:p>
    <w:p w14:paraId="685971AA">
      <w:pPr>
        <w:snapToGrid w:val="0"/>
        <w:spacing w:before="50" w:afterLines="50"/>
        <w:jc w:val="left"/>
        <w:rPr>
          <w:rFonts w:ascii="仿宋" w:hAnsi="仿宋" w:eastAsia="仿宋" w:cs="仿宋"/>
          <w:b/>
          <w:color w:val="auto"/>
          <w:sz w:val="24"/>
          <w:highlight w:val="none"/>
        </w:rPr>
      </w:pPr>
    </w:p>
    <w:p w14:paraId="647122C2">
      <w:pPr>
        <w:snapToGrid w:val="0"/>
        <w:spacing w:before="50" w:afterLines="50"/>
        <w:jc w:val="left"/>
        <w:rPr>
          <w:rFonts w:ascii="仿宋" w:hAnsi="仿宋" w:eastAsia="仿宋" w:cs="仿宋"/>
          <w:b/>
          <w:color w:val="auto"/>
          <w:szCs w:val="28"/>
          <w:highlight w:val="none"/>
        </w:rPr>
      </w:pPr>
    </w:p>
    <w:p w14:paraId="27928500">
      <w:pPr>
        <w:autoSpaceDE w:val="0"/>
        <w:autoSpaceDN w:val="0"/>
        <w:adjustRightInd w:val="0"/>
        <w:snapToGrid w:val="0"/>
        <w:spacing w:line="440" w:lineRule="exact"/>
        <w:jc w:val="center"/>
        <w:outlineLvl w:val="2"/>
        <w:rPr>
          <w:rFonts w:hint="eastAsia" w:ascii="仿宋" w:hAnsi="仿宋" w:eastAsia="仿宋" w:cs="仿宋"/>
          <w:b/>
          <w:color w:val="auto"/>
          <w:sz w:val="28"/>
          <w:szCs w:val="28"/>
          <w:highlight w:val="none"/>
        </w:rPr>
      </w:pPr>
      <w:r>
        <w:rPr>
          <w:rFonts w:hint="eastAsia" w:ascii="仿宋" w:hAnsi="仿宋" w:eastAsia="仿宋" w:cs="仿宋"/>
          <w:b/>
          <w:bCs/>
          <w:color w:val="auto"/>
          <w:spacing w:val="24"/>
          <w:sz w:val="28"/>
          <w:szCs w:val="28"/>
          <w:highlight w:val="none"/>
        </w:rPr>
        <w:br w:type="page"/>
      </w:r>
      <w:r>
        <w:rPr>
          <w:rFonts w:hint="eastAsia" w:ascii="仿宋" w:hAnsi="仿宋" w:eastAsia="仿宋" w:cs="仿宋"/>
          <w:b/>
          <w:color w:val="auto"/>
          <w:sz w:val="28"/>
          <w:szCs w:val="28"/>
          <w:highlight w:val="none"/>
        </w:rPr>
        <w:t>企业业绩</w:t>
      </w:r>
    </w:p>
    <w:p w14:paraId="1C07A165">
      <w:pPr>
        <w:pStyle w:val="12"/>
        <w:spacing w:line="460" w:lineRule="exact"/>
        <w:rPr>
          <w:color w:val="auto"/>
          <w:highlight w:val="none"/>
        </w:rPr>
      </w:pPr>
      <w:r>
        <w:rPr>
          <w:rFonts w:hint="eastAsia" w:ascii="仿宋" w:hAnsi="仿宋" w:eastAsia="仿宋" w:cs="仿宋"/>
          <w:color w:val="auto"/>
          <w:highlight w:val="none"/>
        </w:rPr>
        <w:t>项目名称：</w:t>
      </w:r>
      <w:r>
        <w:rPr>
          <w:rFonts w:hint="eastAsia" w:ascii="仿宋" w:hAnsi="仿宋" w:eastAsia="仿宋" w:cs="仿宋"/>
          <w:color w:val="auto"/>
          <w:highlight w:val="none"/>
          <w:lang w:eastAsia="zh-CN"/>
        </w:rPr>
        <w:t xml:space="preserve">举办湖州市气排球超级联赛项目  </w:t>
      </w:r>
      <w:r>
        <w:rPr>
          <w:rFonts w:hint="eastAsia" w:ascii="仿宋" w:hAnsi="仿宋" w:eastAsia="仿宋" w:cs="仿宋"/>
          <w:color w:val="auto"/>
          <w:highlight w:val="none"/>
          <w:lang w:val="en-US" w:eastAsia="zh-CN"/>
        </w:rPr>
        <w:t xml:space="preserve">                  </w:t>
      </w:r>
    </w:p>
    <w:tbl>
      <w:tblPr>
        <w:tblStyle w:val="27"/>
        <w:tblW w:w="4998" w:type="pct"/>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autofit"/>
        <w:tblCellMar>
          <w:top w:w="0" w:type="dxa"/>
          <w:left w:w="108" w:type="dxa"/>
          <w:bottom w:w="0" w:type="dxa"/>
          <w:right w:w="108" w:type="dxa"/>
        </w:tblCellMar>
      </w:tblPr>
      <w:tblGrid>
        <w:gridCol w:w="781"/>
        <w:gridCol w:w="1857"/>
        <w:gridCol w:w="2121"/>
        <w:gridCol w:w="2510"/>
        <w:gridCol w:w="2355"/>
      </w:tblGrid>
      <w:tr w14:paraId="06E4ED16">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731" w:hRule="atLeast"/>
          <w:jc w:val="center"/>
        </w:trPr>
        <w:tc>
          <w:tcPr>
            <w:tcW w:w="406" w:type="pct"/>
            <w:tcBorders>
              <w:tl2br w:val="nil"/>
              <w:tr2bl w:val="nil"/>
            </w:tcBorders>
            <w:noWrap/>
            <w:vAlign w:val="center"/>
          </w:tcPr>
          <w:p w14:paraId="605F0DFF">
            <w:pPr>
              <w:spacing w:line="360" w:lineRule="exact"/>
              <w:jc w:val="center"/>
              <w:rPr>
                <w:rFonts w:ascii="仿宋" w:hAnsi="仿宋" w:eastAsia="仿宋" w:cs="仿宋"/>
                <w:color w:val="auto"/>
                <w:sz w:val="24"/>
                <w:highlight w:val="none"/>
              </w:rPr>
            </w:pPr>
            <w:r>
              <w:rPr>
                <w:rFonts w:hint="eastAsia" w:ascii="仿宋" w:hAnsi="仿宋" w:eastAsia="仿宋" w:cs="仿宋"/>
                <w:color w:val="auto"/>
                <w:sz w:val="24"/>
                <w:highlight w:val="none"/>
              </w:rPr>
              <w:t>序号</w:t>
            </w:r>
          </w:p>
        </w:tc>
        <w:tc>
          <w:tcPr>
            <w:tcW w:w="964" w:type="pct"/>
            <w:tcBorders>
              <w:tl2br w:val="nil"/>
              <w:tr2bl w:val="nil"/>
            </w:tcBorders>
            <w:noWrap/>
            <w:vAlign w:val="center"/>
          </w:tcPr>
          <w:p w14:paraId="600982C2">
            <w:pPr>
              <w:spacing w:line="360" w:lineRule="exact"/>
              <w:jc w:val="center"/>
              <w:rPr>
                <w:rFonts w:ascii="仿宋" w:hAnsi="仿宋" w:eastAsia="仿宋" w:cs="仿宋"/>
                <w:color w:val="auto"/>
                <w:sz w:val="24"/>
                <w:highlight w:val="none"/>
              </w:rPr>
            </w:pPr>
            <w:r>
              <w:rPr>
                <w:rFonts w:hint="eastAsia" w:ascii="仿宋" w:hAnsi="仿宋" w:eastAsia="仿宋" w:cs="仿宋"/>
                <w:color w:val="auto"/>
                <w:sz w:val="24"/>
                <w:highlight w:val="none"/>
              </w:rPr>
              <w:t>项目名称</w:t>
            </w:r>
          </w:p>
        </w:tc>
        <w:tc>
          <w:tcPr>
            <w:tcW w:w="1101" w:type="pct"/>
            <w:tcBorders>
              <w:tl2br w:val="nil"/>
              <w:tr2bl w:val="nil"/>
            </w:tcBorders>
            <w:noWrap/>
            <w:vAlign w:val="center"/>
          </w:tcPr>
          <w:p w14:paraId="784FBB51">
            <w:pPr>
              <w:spacing w:line="360" w:lineRule="exact"/>
              <w:jc w:val="center"/>
              <w:rPr>
                <w:rFonts w:ascii="仿宋" w:hAnsi="仿宋" w:eastAsia="仿宋" w:cs="仿宋"/>
                <w:color w:val="auto"/>
                <w:sz w:val="24"/>
                <w:highlight w:val="none"/>
              </w:rPr>
            </w:pPr>
            <w:r>
              <w:rPr>
                <w:rFonts w:hint="eastAsia" w:ascii="仿宋" w:hAnsi="仿宋" w:eastAsia="仿宋" w:cs="仿宋"/>
                <w:color w:val="auto"/>
                <w:sz w:val="24"/>
                <w:highlight w:val="none"/>
              </w:rPr>
              <w:t>项目实施时间</w:t>
            </w:r>
          </w:p>
        </w:tc>
        <w:tc>
          <w:tcPr>
            <w:tcW w:w="1303" w:type="pct"/>
            <w:tcBorders>
              <w:tl2br w:val="nil"/>
              <w:tr2bl w:val="nil"/>
            </w:tcBorders>
            <w:noWrap/>
            <w:vAlign w:val="center"/>
          </w:tcPr>
          <w:p w14:paraId="77E325F4">
            <w:pPr>
              <w:spacing w:line="360" w:lineRule="exact"/>
              <w:jc w:val="center"/>
              <w:rPr>
                <w:rFonts w:ascii="仿宋" w:hAnsi="仿宋" w:eastAsia="仿宋" w:cs="仿宋"/>
                <w:color w:val="auto"/>
                <w:sz w:val="24"/>
                <w:highlight w:val="none"/>
              </w:rPr>
            </w:pPr>
            <w:r>
              <w:rPr>
                <w:rFonts w:hint="eastAsia" w:ascii="仿宋" w:hAnsi="仿宋" w:eastAsia="仿宋" w:cs="仿宋"/>
                <w:color w:val="auto"/>
                <w:sz w:val="24"/>
                <w:highlight w:val="none"/>
              </w:rPr>
              <w:t>项目单位名称</w:t>
            </w:r>
          </w:p>
          <w:p w14:paraId="7CA94EA9">
            <w:pPr>
              <w:spacing w:line="360" w:lineRule="exact"/>
              <w:jc w:val="center"/>
              <w:rPr>
                <w:rFonts w:ascii="仿宋" w:hAnsi="仿宋" w:eastAsia="仿宋" w:cs="仿宋"/>
                <w:color w:val="auto"/>
                <w:sz w:val="24"/>
                <w:highlight w:val="none"/>
              </w:rPr>
            </w:pPr>
            <w:r>
              <w:rPr>
                <w:rFonts w:hint="eastAsia" w:ascii="仿宋" w:hAnsi="仿宋" w:eastAsia="仿宋" w:cs="仿宋"/>
                <w:color w:val="auto"/>
                <w:sz w:val="24"/>
                <w:highlight w:val="none"/>
              </w:rPr>
              <w:t>地址及联系方式</w:t>
            </w:r>
          </w:p>
        </w:tc>
        <w:tc>
          <w:tcPr>
            <w:tcW w:w="1223" w:type="pct"/>
            <w:tcBorders>
              <w:tl2br w:val="nil"/>
              <w:tr2bl w:val="nil"/>
            </w:tcBorders>
            <w:noWrap/>
            <w:vAlign w:val="center"/>
          </w:tcPr>
          <w:p w14:paraId="636FE53C">
            <w:pPr>
              <w:spacing w:line="360" w:lineRule="exact"/>
              <w:jc w:val="center"/>
              <w:rPr>
                <w:rFonts w:ascii="仿宋" w:hAnsi="仿宋" w:eastAsia="仿宋" w:cs="仿宋"/>
                <w:color w:val="auto"/>
                <w:sz w:val="24"/>
                <w:highlight w:val="none"/>
              </w:rPr>
            </w:pPr>
            <w:r>
              <w:rPr>
                <w:rFonts w:hint="eastAsia" w:ascii="仿宋" w:hAnsi="仿宋" w:eastAsia="仿宋" w:cs="仿宋"/>
                <w:color w:val="auto"/>
                <w:sz w:val="24"/>
                <w:highlight w:val="none"/>
              </w:rPr>
              <w:t>项目合同金额</w:t>
            </w:r>
          </w:p>
          <w:p w14:paraId="759D7447">
            <w:pPr>
              <w:spacing w:line="360" w:lineRule="exact"/>
              <w:jc w:val="center"/>
              <w:rPr>
                <w:rFonts w:ascii="仿宋" w:hAnsi="仿宋" w:eastAsia="仿宋" w:cs="仿宋"/>
                <w:color w:val="auto"/>
                <w:sz w:val="24"/>
                <w:highlight w:val="none"/>
              </w:rPr>
            </w:pPr>
            <w:r>
              <w:rPr>
                <w:rFonts w:hint="eastAsia" w:ascii="仿宋" w:hAnsi="仿宋" w:eastAsia="仿宋" w:cs="仿宋"/>
                <w:color w:val="auto"/>
                <w:sz w:val="24"/>
                <w:highlight w:val="none"/>
              </w:rPr>
              <w:t>（单位：万元）</w:t>
            </w:r>
          </w:p>
        </w:tc>
      </w:tr>
      <w:tr w14:paraId="4FCCF1BB">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455" w:hRule="exact"/>
          <w:jc w:val="center"/>
        </w:trPr>
        <w:tc>
          <w:tcPr>
            <w:tcW w:w="406" w:type="pct"/>
            <w:tcBorders>
              <w:tl2br w:val="nil"/>
              <w:tr2bl w:val="nil"/>
            </w:tcBorders>
            <w:noWrap/>
            <w:vAlign w:val="center"/>
          </w:tcPr>
          <w:p w14:paraId="2CB21448">
            <w:pPr>
              <w:spacing w:line="360" w:lineRule="exact"/>
              <w:jc w:val="center"/>
              <w:rPr>
                <w:rFonts w:ascii="仿宋" w:hAnsi="仿宋" w:eastAsia="仿宋" w:cs="仿宋"/>
                <w:color w:val="auto"/>
                <w:sz w:val="24"/>
                <w:highlight w:val="none"/>
              </w:rPr>
            </w:pPr>
          </w:p>
        </w:tc>
        <w:tc>
          <w:tcPr>
            <w:tcW w:w="964" w:type="pct"/>
            <w:tcBorders>
              <w:tl2br w:val="nil"/>
              <w:tr2bl w:val="nil"/>
            </w:tcBorders>
            <w:noWrap/>
            <w:vAlign w:val="center"/>
          </w:tcPr>
          <w:p w14:paraId="03104BDA">
            <w:pPr>
              <w:spacing w:line="360" w:lineRule="exact"/>
              <w:jc w:val="center"/>
              <w:rPr>
                <w:rFonts w:ascii="仿宋" w:hAnsi="仿宋" w:eastAsia="仿宋" w:cs="仿宋"/>
                <w:color w:val="auto"/>
                <w:sz w:val="24"/>
                <w:highlight w:val="none"/>
              </w:rPr>
            </w:pPr>
          </w:p>
        </w:tc>
        <w:tc>
          <w:tcPr>
            <w:tcW w:w="1101" w:type="pct"/>
            <w:tcBorders>
              <w:tl2br w:val="nil"/>
              <w:tr2bl w:val="nil"/>
            </w:tcBorders>
            <w:noWrap/>
            <w:vAlign w:val="center"/>
          </w:tcPr>
          <w:p w14:paraId="562CBD8D">
            <w:pPr>
              <w:spacing w:line="360" w:lineRule="exact"/>
              <w:jc w:val="center"/>
              <w:rPr>
                <w:rFonts w:ascii="仿宋" w:hAnsi="仿宋" w:eastAsia="仿宋" w:cs="仿宋"/>
                <w:color w:val="auto"/>
                <w:sz w:val="24"/>
                <w:highlight w:val="none"/>
              </w:rPr>
            </w:pPr>
          </w:p>
        </w:tc>
        <w:tc>
          <w:tcPr>
            <w:tcW w:w="1303" w:type="pct"/>
            <w:tcBorders>
              <w:tl2br w:val="nil"/>
              <w:tr2bl w:val="nil"/>
            </w:tcBorders>
            <w:noWrap/>
            <w:vAlign w:val="center"/>
          </w:tcPr>
          <w:p w14:paraId="5B56DF0F">
            <w:pPr>
              <w:spacing w:line="360" w:lineRule="exact"/>
              <w:jc w:val="center"/>
              <w:rPr>
                <w:rFonts w:ascii="仿宋" w:hAnsi="仿宋" w:eastAsia="仿宋" w:cs="仿宋"/>
                <w:color w:val="auto"/>
                <w:sz w:val="24"/>
                <w:highlight w:val="none"/>
              </w:rPr>
            </w:pPr>
          </w:p>
        </w:tc>
        <w:tc>
          <w:tcPr>
            <w:tcW w:w="1223" w:type="pct"/>
            <w:tcBorders>
              <w:tl2br w:val="nil"/>
              <w:tr2bl w:val="nil"/>
            </w:tcBorders>
            <w:noWrap/>
            <w:vAlign w:val="center"/>
          </w:tcPr>
          <w:p w14:paraId="4C1E9D9F">
            <w:pPr>
              <w:spacing w:line="360" w:lineRule="exact"/>
              <w:jc w:val="center"/>
              <w:rPr>
                <w:rFonts w:ascii="仿宋" w:hAnsi="仿宋" w:eastAsia="仿宋" w:cs="仿宋"/>
                <w:color w:val="auto"/>
                <w:sz w:val="24"/>
                <w:highlight w:val="none"/>
              </w:rPr>
            </w:pPr>
          </w:p>
        </w:tc>
      </w:tr>
      <w:tr w14:paraId="57EF2F29">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455" w:hRule="exact"/>
          <w:jc w:val="center"/>
        </w:trPr>
        <w:tc>
          <w:tcPr>
            <w:tcW w:w="406" w:type="pct"/>
            <w:tcBorders>
              <w:tl2br w:val="nil"/>
              <w:tr2bl w:val="nil"/>
            </w:tcBorders>
            <w:noWrap/>
            <w:vAlign w:val="center"/>
          </w:tcPr>
          <w:p w14:paraId="62970A48">
            <w:pPr>
              <w:spacing w:line="360" w:lineRule="exact"/>
              <w:jc w:val="center"/>
              <w:rPr>
                <w:rFonts w:ascii="仿宋" w:hAnsi="仿宋" w:eastAsia="仿宋" w:cs="仿宋"/>
                <w:color w:val="auto"/>
                <w:sz w:val="24"/>
                <w:highlight w:val="none"/>
              </w:rPr>
            </w:pPr>
          </w:p>
        </w:tc>
        <w:tc>
          <w:tcPr>
            <w:tcW w:w="964" w:type="pct"/>
            <w:tcBorders>
              <w:tl2br w:val="nil"/>
              <w:tr2bl w:val="nil"/>
            </w:tcBorders>
            <w:noWrap/>
            <w:vAlign w:val="center"/>
          </w:tcPr>
          <w:p w14:paraId="79EE65BF">
            <w:pPr>
              <w:spacing w:line="360" w:lineRule="exact"/>
              <w:jc w:val="center"/>
              <w:rPr>
                <w:rFonts w:ascii="仿宋" w:hAnsi="仿宋" w:eastAsia="仿宋" w:cs="仿宋"/>
                <w:color w:val="auto"/>
                <w:sz w:val="24"/>
                <w:highlight w:val="none"/>
              </w:rPr>
            </w:pPr>
          </w:p>
        </w:tc>
        <w:tc>
          <w:tcPr>
            <w:tcW w:w="1101" w:type="pct"/>
            <w:tcBorders>
              <w:tl2br w:val="nil"/>
              <w:tr2bl w:val="nil"/>
            </w:tcBorders>
            <w:noWrap/>
            <w:vAlign w:val="center"/>
          </w:tcPr>
          <w:p w14:paraId="78FB53B4">
            <w:pPr>
              <w:spacing w:line="360" w:lineRule="exact"/>
              <w:jc w:val="center"/>
              <w:rPr>
                <w:rFonts w:ascii="仿宋" w:hAnsi="仿宋" w:eastAsia="仿宋" w:cs="仿宋"/>
                <w:color w:val="auto"/>
                <w:sz w:val="24"/>
                <w:highlight w:val="none"/>
              </w:rPr>
            </w:pPr>
          </w:p>
        </w:tc>
        <w:tc>
          <w:tcPr>
            <w:tcW w:w="1303" w:type="pct"/>
            <w:tcBorders>
              <w:tl2br w:val="nil"/>
              <w:tr2bl w:val="nil"/>
            </w:tcBorders>
            <w:noWrap/>
            <w:vAlign w:val="center"/>
          </w:tcPr>
          <w:p w14:paraId="74F61667">
            <w:pPr>
              <w:spacing w:line="360" w:lineRule="exact"/>
              <w:jc w:val="center"/>
              <w:rPr>
                <w:rFonts w:ascii="仿宋" w:hAnsi="仿宋" w:eastAsia="仿宋" w:cs="仿宋"/>
                <w:color w:val="auto"/>
                <w:sz w:val="24"/>
                <w:highlight w:val="none"/>
              </w:rPr>
            </w:pPr>
          </w:p>
        </w:tc>
        <w:tc>
          <w:tcPr>
            <w:tcW w:w="1223" w:type="pct"/>
            <w:tcBorders>
              <w:tl2br w:val="nil"/>
              <w:tr2bl w:val="nil"/>
            </w:tcBorders>
            <w:noWrap/>
            <w:vAlign w:val="center"/>
          </w:tcPr>
          <w:p w14:paraId="7776E9AF">
            <w:pPr>
              <w:spacing w:line="360" w:lineRule="exact"/>
              <w:jc w:val="center"/>
              <w:rPr>
                <w:rFonts w:ascii="仿宋" w:hAnsi="仿宋" w:eastAsia="仿宋" w:cs="仿宋"/>
                <w:color w:val="auto"/>
                <w:sz w:val="24"/>
                <w:highlight w:val="none"/>
              </w:rPr>
            </w:pPr>
          </w:p>
        </w:tc>
      </w:tr>
      <w:tr w14:paraId="35083DB7">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455" w:hRule="exact"/>
          <w:jc w:val="center"/>
        </w:trPr>
        <w:tc>
          <w:tcPr>
            <w:tcW w:w="406" w:type="pct"/>
            <w:tcBorders>
              <w:tl2br w:val="nil"/>
              <w:tr2bl w:val="nil"/>
            </w:tcBorders>
            <w:noWrap/>
            <w:vAlign w:val="center"/>
          </w:tcPr>
          <w:p w14:paraId="1A2D110E">
            <w:pPr>
              <w:spacing w:line="360" w:lineRule="exact"/>
              <w:jc w:val="center"/>
              <w:rPr>
                <w:rFonts w:ascii="仿宋" w:hAnsi="仿宋" w:eastAsia="仿宋" w:cs="仿宋"/>
                <w:color w:val="auto"/>
                <w:sz w:val="24"/>
                <w:highlight w:val="none"/>
              </w:rPr>
            </w:pPr>
          </w:p>
        </w:tc>
        <w:tc>
          <w:tcPr>
            <w:tcW w:w="964" w:type="pct"/>
            <w:tcBorders>
              <w:tl2br w:val="nil"/>
              <w:tr2bl w:val="nil"/>
            </w:tcBorders>
            <w:noWrap/>
            <w:vAlign w:val="center"/>
          </w:tcPr>
          <w:p w14:paraId="38ED7495">
            <w:pPr>
              <w:spacing w:line="360" w:lineRule="exact"/>
              <w:jc w:val="center"/>
              <w:rPr>
                <w:rFonts w:ascii="仿宋" w:hAnsi="仿宋" w:eastAsia="仿宋" w:cs="仿宋"/>
                <w:color w:val="auto"/>
                <w:sz w:val="24"/>
                <w:highlight w:val="none"/>
              </w:rPr>
            </w:pPr>
          </w:p>
        </w:tc>
        <w:tc>
          <w:tcPr>
            <w:tcW w:w="1101" w:type="pct"/>
            <w:tcBorders>
              <w:tl2br w:val="nil"/>
              <w:tr2bl w:val="nil"/>
            </w:tcBorders>
            <w:noWrap/>
            <w:vAlign w:val="center"/>
          </w:tcPr>
          <w:p w14:paraId="3BF894E5">
            <w:pPr>
              <w:spacing w:line="360" w:lineRule="exact"/>
              <w:jc w:val="center"/>
              <w:rPr>
                <w:rFonts w:ascii="仿宋" w:hAnsi="仿宋" w:eastAsia="仿宋" w:cs="仿宋"/>
                <w:color w:val="auto"/>
                <w:sz w:val="24"/>
                <w:highlight w:val="none"/>
              </w:rPr>
            </w:pPr>
          </w:p>
        </w:tc>
        <w:tc>
          <w:tcPr>
            <w:tcW w:w="1303" w:type="pct"/>
            <w:tcBorders>
              <w:tl2br w:val="nil"/>
              <w:tr2bl w:val="nil"/>
            </w:tcBorders>
            <w:noWrap/>
            <w:vAlign w:val="center"/>
          </w:tcPr>
          <w:p w14:paraId="711EF97C">
            <w:pPr>
              <w:spacing w:line="360" w:lineRule="exact"/>
              <w:jc w:val="center"/>
              <w:rPr>
                <w:rFonts w:ascii="仿宋" w:hAnsi="仿宋" w:eastAsia="仿宋" w:cs="仿宋"/>
                <w:color w:val="auto"/>
                <w:sz w:val="24"/>
                <w:highlight w:val="none"/>
              </w:rPr>
            </w:pPr>
          </w:p>
        </w:tc>
        <w:tc>
          <w:tcPr>
            <w:tcW w:w="1223" w:type="pct"/>
            <w:tcBorders>
              <w:tl2br w:val="nil"/>
              <w:tr2bl w:val="nil"/>
            </w:tcBorders>
            <w:noWrap/>
            <w:vAlign w:val="center"/>
          </w:tcPr>
          <w:p w14:paraId="2A5B8A81">
            <w:pPr>
              <w:spacing w:line="360" w:lineRule="exact"/>
              <w:jc w:val="center"/>
              <w:rPr>
                <w:rFonts w:ascii="仿宋" w:hAnsi="仿宋" w:eastAsia="仿宋" w:cs="仿宋"/>
                <w:color w:val="auto"/>
                <w:sz w:val="24"/>
                <w:highlight w:val="none"/>
              </w:rPr>
            </w:pPr>
          </w:p>
        </w:tc>
      </w:tr>
      <w:tr w14:paraId="5F2FADD4">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455" w:hRule="exact"/>
          <w:jc w:val="center"/>
        </w:trPr>
        <w:tc>
          <w:tcPr>
            <w:tcW w:w="406" w:type="pct"/>
            <w:tcBorders>
              <w:tl2br w:val="nil"/>
              <w:tr2bl w:val="nil"/>
            </w:tcBorders>
            <w:noWrap/>
            <w:vAlign w:val="center"/>
          </w:tcPr>
          <w:p w14:paraId="2E2FEC0B">
            <w:pPr>
              <w:spacing w:line="360" w:lineRule="exact"/>
              <w:jc w:val="center"/>
              <w:rPr>
                <w:rFonts w:ascii="仿宋" w:hAnsi="仿宋" w:eastAsia="仿宋" w:cs="仿宋"/>
                <w:color w:val="auto"/>
                <w:sz w:val="24"/>
                <w:highlight w:val="none"/>
              </w:rPr>
            </w:pPr>
          </w:p>
        </w:tc>
        <w:tc>
          <w:tcPr>
            <w:tcW w:w="964" w:type="pct"/>
            <w:tcBorders>
              <w:tl2br w:val="nil"/>
              <w:tr2bl w:val="nil"/>
            </w:tcBorders>
            <w:noWrap/>
            <w:vAlign w:val="center"/>
          </w:tcPr>
          <w:p w14:paraId="1EB2E32D">
            <w:pPr>
              <w:spacing w:line="360" w:lineRule="exact"/>
              <w:jc w:val="center"/>
              <w:rPr>
                <w:rFonts w:ascii="仿宋" w:hAnsi="仿宋" w:eastAsia="仿宋" w:cs="仿宋"/>
                <w:color w:val="auto"/>
                <w:sz w:val="24"/>
                <w:highlight w:val="none"/>
              </w:rPr>
            </w:pPr>
          </w:p>
        </w:tc>
        <w:tc>
          <w:tcPr>
            <w:tcW w:w="1101" w:type="pct"/>
            <w:tcBorders>
              <w:tl2br w:val="nil"/>
              <w:tr2bl w:val="nil"/>
            </w:tcBorders>
            <w:noWrap/>
            <w:vAlign w:val="center"/>
          </w:tcPr>
          <w:p w14:paraId="7018EB14">
            <w:pPr>
              <w:spacing w:line="360" w:lineRule="exact"/>
              <w:jc w:val="center"/>
              <w:rPr>
                <w:rFonts w:ascii="仿宋" w:hAnsi="仿宋" w:eastAsia="仿宋" w:cs="仿宋"/>
                <w:color w:val="auto"/>
                <w:sz w:val="24"/>
                <w:highlight w:val="none"/>
              </w:rPr>
            </w:pPr>
          </w:p>
        </w:tc>
        <w:tc>
          <w:tcPr>
            <w:tcW w:w="1303" w:type="pct"/>
            <w:tcBorders>
              <w:tl2br w:val="nil"/>
              <w:tr2bl w:val="nil"/>
            </w:tcBorders>
            <w:noWrap/>
            <w:vAlign w:val="center"/>
          </w:tcPr>
          <w:p w14:paraId="02BD10E8">
            <w:pPr>
              <w:spacing w:line="360" w:lineRule="exact"/>
              <w:jc w:val="center"/>
              <w:rPr>
                <w:rFonts w:ascii="仿宋" w:hAnsi="仿宋" w:eastAsia="仿宋" w:cs="仿宋"/>
                <w:color w:val="auto"/>
                <w:sz w:val="24"/>
                <w:highlight w:val="none"/>
              </w:rPr>
            </w:pPr>
          </w:p>
        </w:tc>
        <w:tc>
          <w:tcPr>
            <w:tcW w:w="1223" w:type="pct"/>
            <w:tcBorders>
              <w:tl2br w:val="nil"/>
              <w:tr2bl w:val="nil"/>
            </w:tcBorders>
            <w:noWrap/>
            <w:vAlign w:val="center"/>
          </w:tcPr>
          <w:p w14:paraId="3C217808">
            <w:pPr>
              <w:spacing w:line="360" w:lineRule="exact"/>
              <w:jc w:val="center"/>
              <w:rPr>
                <w:rFonts w:ascii="仿宋" w:hAnsi="仿宋" w:eastAsia="仿宋" w:cs="仿宋"/>
                <w:color w:val="auto"/>
                <w:sz w:val="24"/>
                <w:highlight w:val="none"/>
              </w:rPr>
            </w:pPr>
          </w:p>
        </w:tc>
      </w:tr>
      <w:tr w14:paraId="0ECCBDDE">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455" w:hRule="exact"/>
          <w:jc w:val="center"/>
        </w:trPr>
        <w:tc>
          <w:tcPr>
            <w:tcW w:w="406" w:type="pct"/>
            <w:tcBorders>
              <w:tl2br w:val="nil"/>
              <w:tr2bl w:val="nil"/>
            </w:tcBorders>
            <w:noWrap/>
            <w:vAlign w:val="center"/>
          </w:tcPr>
          <w:p w14:paraId="0A847DD9">
            <w:pPr>
              <w:spacing w:line="360" w:lineRule="exact"/>
              <w:jc w:val="center"/>
              <w:rPr>
                <w:rFonts w:ascii="仿宋" w:hAnsi="仿宋" w:eastAsia="仿宋" w:cs="仿宋"/>
                <w:color w:val="auto"/>
                <w:sz w:val="24"/>
                <w:highlight w:val="none"/>
              </w:rPr>
            </w:pPr>
          </w:p>
        </w:tc>
        <w:tc>
          <w:tcPr>
            <w:tcW w:w="964" w:type="pct"/>
            <w:tcBorders>
              <w:tl2br w:val="nil"/>
              <w:tr2bl w:val="nil"/>
            </w:tcBorders>
            <w:noWrap/>
            <w:vAlign w:val="center"/>
          </w:tcPr>
          <w:p w14:paraId="0A91E276">
            <w:pPr>
              <w:spacing w:line="360" w:lineRule="exact"/>
              <w:jc w:val="center"/>
              <w:rPr>
                <w:rFonts w:ascii="仿宋" w:hAnsi="仿宋" w:eastAsia="仿宋" w:cs="仿宋"/>
                <w:color w:val="auto"/>
                <w:sz w:val="24"/>
                <w:highlight w:val="none"/>
              </w:rPr>
            </w:pPr>
          </w:p>
        </w:tc>
        <w:tc>
          <w:tcPr>
            <w:tcW w:w="1101" w:type="pct"/>
            <w:tcBorders>
              <w:tl2br w:val="nil"/>
              <w:tr2bl w:val="nil"/>
            </w:tcBorders>
            <w:noWrap/>
            <w:vAlign w:val="center"/>
          </w:tcPr>
          <w:p w14:paraId="36207254">
            <w:pPr>
              <w:spacing w:line="360" w:lineRule="exact"/>
              <w:jc w:val="center"/>
              <w:rPr>
                <w:rFonts w:ascii="仿宋" w:hAnsi="仿宋" w:eastAsia="仿宋" w:cs="仿宋"/>
                <w:color w:val="auto"/>
                <w:sz w:val="24"/>
                <w:highlight w:val="none"/>
              </w:rPr>
            </w:pPr>
          </w:p>
        </w:tc>
        <w:tc>
          <w:tcPr>
            <w:tcW w:w="1303" w:type="pct"/>
            <w:tcBorders>
              <w:tl2br w:val="nil"/>
              <w:tr2bl w:val="nil"/>
            </w:tcBorders>
            <w:noWrap/>
            <w:vAlign w:val="center"/>
          </w:tcPr>
          <w:p w14:paraId="3CEF7551">
            <w:pPr>
              <w:spacing w:line="360" w:lineRule="exact"/>
              <w:jc w:val="center"/>
              <w:rPr>
                <w:rFonts w:ascii="仿宋" w:hAnsi="仿宋" w:eastAsia="仿宋" w:cs="仿宋"/>
                <w:color w:val="auto"/>
                <w:sz w:val="24"/>
                <w:highlight w:val="none"/>
              </w:rPr>
            </w:pPr>
          </w:p>
        </w:tc>
        <w:tc>
          <w:tcPr>
            <w:tcW w:w="1223" w:type="pct"/>
            <w:tcBorders>
              <w:tl2br w:val="nil"/>
              <w:tr2bl w:val="nil"/>
            </w:tcBorders>
            <w:noWrap/>
            <w:vAlign w:val="center"/>
          </w:tcPr>
          <w:p w14:paraId="4826662C">
            <w:pPr>
              <w:spacing w:line="360" w:lineRule="exact"/>
              <w:jc w:val="center"/>
              <w:rPr>
                <w:rFonts w:ascii="仿宋" w:hAnsi="仿宋" w:eastAsia="仿宋" w:cs="仿宋"/>
                <w:color w:val="auto"/>
                <w:sz w:val="24"/>
                <w:highlight w:val="none"/>
              </w:rPr>
            </w:pPr>
          </w:p>
        </w:tc>
      </w:tr>
      <w:tr w14:paraId="54911A8C">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455" w:hRule="exact"/>
          <w:jc w:val="center"/>
        </w:trPr>
        <w:tc>
          <w:tcPr>
            <w:tcW w:w="406" w:type="pct"/>
            <w:tcBorders>
              <w:tl2br w:val="nil"/>
              <w:tr2bl w:val="nil"/>
            </w:tcBorders>
            <w:noWrap/>
            <w:vAlign w:val="center"/>
          </w:tcPr>
          <w:p w14:paraId="51DDE57E">
            <w:pPr>
              <w:spacing w:line="360" w:lineRule="exact"/>
              <w:jc w:val="center"/>
              <w:rPr>
                <w:rFonts w:ascii="仿宋" w:hAnsi="仿宋" w:eastAsia="仿宋" w:cs="仿宋"/>
                <w:color w:val="auto"/>
                <w:sz w:val="24"/>
                <w:highlight w:val="none"/>
              </w:rPr>
            </w:pPr>
          </w:p>
        </w:tc>
        <w:tc>
          <w:tcPr>
            <w:tcW w:w="964" w:type="pct"/>
            <w:tcBorders>
              <w:tl2br w:val="nil"/>
              <w:tr2bl w:val="nil"/>
            </w:tcBorders>
            <w:noWrap/>
            <w:vAlign w:val="center"/>
          </w:tcPr>
          <w:p w14:paraId="1C683C2A">
            <w:pPr>
              <w:spacing w:line="360" w:lineRule="exact"/>
              <w:jc w:val="center"/>
              <w:rPr>
                <w:rFonts w:ascii="仿宋" w:hAnsi="仿宋" w:eastAsia="仿宋" w:cs="仿宋"/>
                <w:color w:val="auto"/>
                <w:sz w:val="24"/>
                <w:highlight w:val="none"/>
              </w:rPr>
            </w:pPr>
          </w:p>
        </w:tc>
        <w:tc>
          <w:tcPr>
            <w:tcW w:w="1101" w:type="pct"/>
            <w:tcBorders>
              <w:tl2br w:val="nil"/>
              <w:tr2bl w:val="nil"/>
            </w:tcBorders>
            <w:noWrap/>
            <w:vAlign w:val="center"/>
          </w:tcPr>
          <w:p w14:paraId="445D9A91">
            <w:pPr>
              <w:spacing w:line="360" w:lineRule="exact"/>
              <w:jc w:val="center"/>
              <w:rPr>
                <w:rFonts w:ascii="仿宋" w:hAnsi="仿宋" w:eastAsia="仿宋" w:cs="仿宋"/>
                <w:color w:val="auto"/>
                <w:sz w:val="24"/>
                <w:highlight w:val="none"/>
              </w:rPr>
            </w:pPr>
          </w:p>
        </w:tc>
        <w:tc>
          <w:tcPr>
            <w:tcW w:w="1303" w:type="pct"/>
            <w:tcBorders>
              <w:tl2br w:val="nil"/>
              <w:tr2bl w:val="nil"/>
            </w:tcBorders>
            <w:noWrap/>
            <w:vAlign w:val="center"/>
          </w:tcPr>
          <w:p w14:paraId="615E7251">
            <w:pPr>
              <w:spacing w:line="360" w:lineRule="exact"/>
              <w:jc w:val="center"/>
              <w:rPr>
                <w:rFonts w:ascii="仿宋" w:hAnsi="仿宋" w:eastAsia="仿宋" w:cs="仿宋"/>
                <w:color w:val="auto"/>
                <w:sz w:val="24"/>
                <w:highlight w:val="none"/>
              </w:rPr>
            </w:pPr>
          </w:p>
        </w:tc>
        <w:tc>
          <w:tcPr>
            <w:tcW w:w="1223" w:type="pct"/>
            <w:tcBorders>
              <w:tl2br w:val="nil"/>
              <w:tr2bl w:val="nil"/>
            </w:tcBorders>
            <w:noWrap/>
            <w:vAlign w:val="center"/>
          </w:tcPr>
          <w:p w14:paraId="7A83D307">
            <w:pPr>
              <w:spacing w:line="360" w:lineRule="exact"/>
              <w:jc w:val="center"/>
              <w:rPr>
                <w:rFonts w:ascii="仿宋" w:hAnsi="仿宋" w:eastAsia="仿宋" w:cs="仿宋"/>
                <w:color w:val="auto"/>
                <w:sz w:val="24"/>
                <w:highlight w:val="none"/>
              </w:rPr>
            </w:pPr>
          </w:p>
        </w:tc>
      </w:tr>
      <w:tr w14:paraId="4D6259DD">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455" w:hRule="exact"/>
          <w:jc w:val="center"/>
        </w:trPr>
        <w:tc>
          <w:tcPr>
            <w:tcW w:w="406" w:type="pct"/>
            <w:tcBorders>
              <w:tl2br w:val="nil"/>
              <w:tr2bl w:val="nil"/>
            </w:tcBorders>
            <w:noWrap/>
            <w:vAlign w:val="center"/>
          </w:tcPr>
          <w:p w14:paraId="5D4D2880">
            <w:pPr>
              <w:spacing w:line="360" w:lineRule="exact"/>
              <w:jc w:val="center"/>
              <w:rPr>
                <w:rFonts w:ascii="仿宋" w:hAnsi="仿宋" w:eastAsia="仿宋" w:cs="仿宋"/>
                <w:color w:val="auto"/>
                <w:sz w:val="24"/>
                <w:highlight w:val="none"/>
              </w:rPr>
            </w:pPr>
          </w:p>
        </w:tc>
        <w:tc>
          <w:tcPr>
            <w:tcW w:w="964" w:type="pct"/>
            <w:tcBorders>
              <w:tl2br w:val="nil"/>
              <w:tr2bl w:val="nil"/>
            </w:tcBorders>
            <w:noWrap/>
            <w:vAlign w:val="center"/>
          </w:tcPr>
          <w:p w14:paraId="092DF34A">
            <w:pPr>
              <w:spacing w:line="360" w:lineRule="exact"/>
              <w:jc w:val="center"/>
              <w:rPr>
                <w:rFonts w:ascii="仿宋" w:hAnsi="仿宋" w:eastAsia="仿宋" w:cs="仿宋"/>
                <w:color w:val="auto"/>
                <w:sz w:val="24"/>
                <w:highlight w:val="none"/>
              </w:rPr>
            </w:pPr>
          </w:p>
        </w:tc>
        <w:tc>
          <w:tcPr>
            <w:tcW w:w="1101" w:type="pct"/>
            <w:tcBorders>
              <w:tl2br w:val="nil"/>
              <w:tr2bl w:val="nil"/>
            </w:tcBorders>
            <w:noWrap/>
            <w:vAlign w:val="center"/>
          </w:tcPr>
          <w:p w14:paraId="6B8602AC">
            <w:pPr>
              <w:spacing w:line="360" w:lineRule="exact"/>
              <w:jc w:val="center"/>
              <w:rPr>
                <w:rFonts w:ascii="仿宋" w:hAnsi="仿宋" w:eastAsia="仿宋" w:cs="仿宋"/>
                <w:color w:val="auto"/>
                <w:sz w:val="24"/>
                <w:highlight w:val="none"/>
              </w:rPr>
            </w:pPr>
          </w:p>
        </w:tc>
        <w:tc>
          <w:tcPr>
            <w:tcW w:w="1303" w:type="pct"/>
            <w:tcBorders>
              <w:tl2br w:val="nil"/>
              <w:tr2bl w:val="nil"/>
            </w:tcBorders>
            <w:noWrap/>
            <w:vAlign w:val="center"/>
          </w:tcPr>
          <w:p w14:paraId="01D623F3">
            <w:pPr>
              <w:spacing w:line="360" w:lineRule="exact"/>
              <w:jc w:val="center"/>
              <w:rPr>
                <w:rFonts w:ascii="仿宋" w:hAnsi="仿宋" w:eastAsia="仿宋" w:cs="仿宋"/>
                <w:color w:val="auto"/>
                <w:sz w:val="24"/>
                <w:highlight w:val="none"/>
              </w:rPr>
            </w:pPr>
          </w:p>
        </w:tc>
        <w:tc>
          <w:tcPr>
            <w:tcW w:w="1223" w:type="pct"/>
            <w:tcBorders>
              <w:tl2br w:val="nil"/>
              <w:tr2bl w:val="nil"/>
            </w:tcBorders>
            <w:noWrap/>
            <w:vAlign w:val="center"/>
          </w:tcPr>
          <w:p w14:paraId="00B27DD0">
            <w:pPr>
              <w:spacing w:line="360" w:lineRule="exact"/>
              <w:jc w:val="center"/>
              <w:rPr>
                <w:rFonts w:ascii="仿宋" w:hAnsi="仿宋" w:eastAsia="仿宋" w:cs="仿宋"/>
                <w:color w:val="auto"/>
                <w:sz w:val="24"/>
                <w:highlight w:val="none"/>
              </w:rPr>
            </w:pPr>
          </w:p>
        </w:tc>
      </w:tr>
      <w:tr w14:paraId="24091C3A">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455" w:hRule="exact"/>
          <w:jc w:val="center"/>
        </w:trPr>
        <w:tc>
          <w:tcPr>
            <w:tcW w:w="406" w:type="pct"/>
            <w:tcBorders>
              <w:tl2br w:val="nil"/>
              <w:tr2bl w:val="nil"/>
            </w:tcBorders>
            <w:noWrap/>
            <w:vAlign w:val="center"/>
          </w:tcPr>
          <w:p w14:paraId="48BF16AD">
            <w:pPr>
              <w:spacing w:line="360" w:lineRule="exact"/>
              <w:jc w:val="center"/>
              <w:rPr>
                <w:rFonts w:ascii="仿宋" w:hAnsi="仿宋" w:eastAsia="仿宋" w:cs="仿宋"/>
                <w:color w:val="auto"/>
                <w:sz w:val="24"/>
                <w:highlight w:val="none"/>
              </w:rPr>
            </w:pPr>
          </w:p>
        </w:tc>
        <w:tc>
          <w:tcPr>
            <w:tcW w:w="964" w:type="pct"/>
            <w:tcBorders>
              <w:tl2br w:val="nil"/>
              <w:tr2bl w:val="nil"/>
            </w:tcBorders>
            <w:noWrap/>
            <w:vAlign w:val="center"/>
          </w:tcPr>
          <w:p w14:paraId="7CD99743">
            <w:pPr>
              <w:spacing w:line="360" w:lineRule="exact"/>
              <w:jc w:val="center"/>
              <w:rPr>
                <w:rFonts w:ascii="仿宋" w:hAnsi="仿宋" w:eastAsia="仿宋" w:cs="仿宋"/>
                <w:color w:val="auto"/>
                <w:sz w:val="24"/>
                <w:highlight w:val="none"/>
              </w:rPr>
            </w:pPr>
          </w:p>
        </w:tc>
        <w:tc>
          <w:tcPr>
            <w:tcW w:w="1101" w:type="pct"/>
            <w:tcBorders>
              <w:tl2br w:val="nil"/>
              <w:tr2bl w:val="nil"/>
            </w:tcBorders>
            <w:noWrap/>
            <w:vAlign w:val="center"/>
          </w:tcPr>
          <w:p w14:paraId="319D791C">
            <w:pPr>
              <w:spacing w:line="360" w:lineRule="exact"/>
              <w:jc w:val="center"/>
              <w:rPr>
                <w:rFonts w:ascii="仿宋" w:hAnsi="仿宋" w:eastAsia="仿宋" w:cs="仿宋"/>
                <w:color w:val="auto"/>
                <w:sz w:val="24"/>
                <w:highlight w:val="none"/>
              </w:rPr>
            </w:pPr>
          </w:p>
        </w:tc>
        <w:tc>
          <w:tcPr>
            <w:tcW w:w="1303" w:type="pct"/>
            <w:tcBorders>
              <w:tl2br w:val="nil"/>
              <w:tr2bl w:val="nil"/>
            </w:tcBorders>
            <w:noWrap/>
            <w:vAlign w:val="center"/>
          </w:tcPr>
          <w:p w14:paraId="31DC60F6">
            <w:pPr>
              <w:spacing w:line="360" w:lineRule="exact"/>
              <w:jc w:val="center"/>
              <w:rPr>
                <w:rFonts w:ascii="仿宋" w:hAnsi="仿宋" w:eastAsia="仿宋" w:cs="仿宋"/>
                <w:color w:val="auto"/>
                <w:sz w:val="24"/>
                <w:highlight w:val="none"/>
              </w:rPr>
            </w:pPr>
          </w:p>
        </w:tc>
        <w:tc>
          <w:tcPr>
            <w:tcW w:w="1223" w:type="pct"/>
            <w:tcBorders>
              <w:tl2br w:val="nil"/>
              <w:tr2bl w:val="nil"/>
            </w:tcBorders>
            <w:noWrap/>
            <w:vAlign w:val="center"/>
          </w:tcPr>
          <w:p w14:paraId="2500B99C">
            <w:pPr>
              <w:spacing w:line="360" w:lineRule="exact"/>
              <w:jc w:val="center"/>
              <w:rPr>
                <w:rFonts w:ascii="仿宋" w:hAnsi="仿宋" w:eastAsia="仿宋" w:cs="仿宋"/>
                <w:color w:val="auto"/>
                <w:sz w:val="24"/>
                <w:highlight w:val="none"/>
              </w:rPr>
            </w:pPr>
          </w:p>
        </w:tc>
      </w:tr>
      <w:tr w14:paraId="5945A8C3">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455" w:hRule="exact"/>
          <w:jc w:val="center"/>
        </w:trPr>
        <w:tc>
          <w:tcPr>
            <w:tcW w:w="406" w:type="pct"/>
            <w:tcBorders>
              <w:tl2br w:val="nil"/>
              <w:tr2bl w:val="nil"/>
            </w:tcBorders>
            <w:noWrap/>
            <w:vAlign w:val="center"/>
          </w:tcPr>
          <w:p w14:paraId="56727EA7">
            <w:pPr>
              <w:spacing w:line="360" w:lineRule="exact"/>
              <w:jc w:val="center"/>
              <w:rPr>
                <w:rFonts w:ascii="仿宋" w:hAnsi="仿宋" w:eastAsia="仿宋" w:cs="仿宋"/>
                <w:color w:val="auto"/>
                <w:sz w:val="24"/>
                <w:highlight w:val="none"/>
              </w:rPr>
            </w:pPr>
          </w:p>
        </w:tc>
        <w:tc>
          <w:tcPr>
            <w:tcW w:w="964" w:type="pct"/>
            <w:tcBorders>
              <w:tl2br w:val="nil"/>
              <w:tr2bl w:val="nil"/>
            </w:tcBorders>
            <w:noWrap/>
            <w:vAlign w:val="center"/>
          </w:tcPr>
          <w:p w14:paraId="04BE00C4">
            <w:pPr>
              <w:spacing w:line="360" w:lineRule="exact"/>
              <w:jc w:val="center"/>
              <w:rPr>
                <w:rFonts w:ascii="仿宋" w:hAnsi="仿宋" w:eastAsia="仿宋" w:cs="仿宋"/>
                <w:color w:val="auto"/>
                <w:sz w:val="24"/>
                <w:highlight w:val="none"/>
              </w:rPr>
            </w:pPr>
          </w:p>
        </w:tc>
        <w:tc>
          <w:tcPr>
            <w:tcW w:w="1101" w:type="pct"/>
            <w:tcBorders>
              <w:tl2br w:val="nil"/>
              <w:tr2bl w:val="nil"/>
            </w:tcBorders>
            <w:noWrap/>
            <w:vAlign w:val="center"/>
          </w:tcPr>
          <w:p w14:paraId="4645D4A8">
            <w:pPr>
              <w:spacing w:line="360" w:lineRule="exact"/>
              <w:jc w:val="center"/>
              <w:rPr>
                <w:rFonts w:ascii="仿宋" w:hAnsi="仿宋" w:eastAsia="仿宋" w:cs="仿宋"/>
                <w:color w:val="auto"/>
                <w:sz w:val="24"/>
                <w:highlight w:val="none"/>
              </w:rPr>
            </w:pPr>
          </w:p>
        </w:tc>
        <w:tc>
          <w:tcPr>
            <w:tcW w:w="1303" w:type="pct"/>
            <w:tcBorders>
              <w:tl2br w:val="nil"/>
              <w:tr2bl w:val="nil"/>
            </w:tcBorders>
            <w:noWrap/>
            <w:vAlign w:val="center"/>
          </w:tcPr>
          <w:p w14:paraId="3CA7570B">
            <w:pPr>
              <w:spacing w:line="360" w:lineRule="exact"/>
              <w:jc w:val="center"/>
              <w:rPr>
                <w:rFonts w:ascii="仿宋" w:hAnsi="仿宋" w:eastAsia="仿宋" w:cs="仿宋"/>
                <w:color w:val="auto"/>
                <w:sz w:val="24"/>
                <w:highlight w:val="none"/>
              </w:rPr>
            </w:pPr>
          </w:p>
        </w:tc>
        <w:tc>
          <w:tcPr>
            <w:tcW w:w="1223" w:type="pct"/>
            <w:tcBorders>
              <w:tl2br w:val="nil"/>
              <w:tr2bl w:val="nil"/>
            </w:tcBorders>
            <w:noWrap/>
            <w:vAlign w:val="center"/>
          </w:tcPr>
          <w:p w14:paraId="5A826766">
            <w:pPr>
              <w:spacing w:line="360" w:lineRule="exact"/>
              <w:jc w:val="center"/>
              <w:rPr>
                <w:rFonts w:ascii="仿宋" w:hAnsi="仿宋" w:eastAsia="仿宋" w:cs="仿宋"/>
                <w:color w:val="auto"/>
                <w:sz w:val="24"/>
                <w:highlight w:val="none"/>
              </w:rPr>
            </w:pPr>
          </w:p>
        </w:tc>
      </w:tr>
      <w:tr w14:paraId="1FDA51F8">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455" w:hRule="exact"/>
          <w:jc w:val="center"/>
        </w:trPr>
        <w:tc>
          <w:tcPr>
            <w:tcW w:w="406" w:type="pct"/>
            <w:tcBorders>
              <w:tl2br w:val="nil"/>
              <w:tr2bl w:val="nil"/>
            </w:tcBorders>
            <w:noWrap/>
            <w:vAlign w:val="center"/>
          </w:tcPr>
          <w:p w14:paraId="17107654">
            <w:pPr>
              <w:spacing w:line="360" w:lineRule="exact"/>
              <w:jc w:val="center"/>
              <w:rPr>
                <w:rFonts w:ascii="仿宋" w:hAnsi="仿宋" w:eastAsia="仿宋" w:cs="仿宋"/>
                <w:color w:val="auto"/>
                <w:sz w:val="24"/>
                <w:highlight w:val="none"/>
              </w:rPr>
            </w:pPr>
          </w:p>
        </w:tc>
        <w:tc>
          <w:tcPr>
            <w:tcW w:w="964" w:type="pct"/>
            <w:tcBorders>
              <w:tl2br w:val="nil"/>
              <w:tr2bl w:val="nil"/>
            </w:tcBorders>
            <w:noWrap/>
            <w:vAlign w:val="center"/>
          </w:tcPr>
          <w:p w14:paraId="08EC6605">
            <w:pPr>
              <w:spacing w:line="360" w:lineRule="exact"/>
              <w:jc w:val="center"/>
              <w:rPr>
                <w:rFonts w:ascii="仿宋" w:hAnsi="仿宋" w:eastAsia="仿宋" w:cs="仿宋"/>
                <w:color w:val="auto"/>
                <w:sz w:val="24"/>
                <w:highlight w:val="none"/>
              </w:rPr>
            </w:pPr>
          </w:p>
        </w:tc>
        <w:tc>
          <w:tcPr>
            <w:tcW w:w="1101" w:type="pct"/>
            <w:tcBorders>
              <w:tl2br w:val="nil"/>
              <w:tr2bl w:val="nil"/>
            </w:tcBorders>
            <w:noWrap/>
            <w:vAlign w:val="center"/>
          </w:tcPr>
          <w:p w14:paraId="1F971C16">
            <w:pPr>
              <w:spacing w:line="360" w:lineRule="exact"/>
              <w:jc w:val="center"/>
              <w:rPr>
                <w:rFonts w:ascii="仿宋" w:hAnsi="仿宋" w:eastAsia="仿宋" w:cs="仿宋"/>
                <w:color w:val="auto"/>
                <w:sz w:val="24"/>
                <w:highlight w:val="none"/>
              </w:rPr>
            </w:pPr>
          </w:p>
        </w:tc>
        <w:tc>
          <w:tcPr>
            <w:tcW w:w="1303" w:type="pct"/>
            <w:tcBorders>
              <w:tl2br w:val="nil"/>
              <w:tr2bl w:val="nil"/>
            </w:tcBorders>
            <w:noWrap/>
            <w:vAlign w:val="center"/>
          </w:tcPr>
          <w:p w14:paraId="05A5B6A0">
            <w:pPr>
              <w:spacing w:line="360" w:lineRule="exact"/>
              <w:jc w:val="center"/>
              <w:rPr>
                <w:rFonts w:ascii="仿宋" w:hAnsi="仿宋" w:eastAsia="仿宋" w:cs="仿宋"/>
                <w:color w:val="auto"/>
                <w:sz w:val="24"/>
                <w:highlight w:val="none"/>
              </w:rPr>
            </w:pPr>
          </w:p>
        </w:tc>
        <w:tc>
          <w:tcPr>
            <w:tcW w:w="1223" w:type="pct"/>
            <w:tcBorders>
              <w:tl2br w:val="nil"/>
              <w:tr2bl w:val="nil"/>
            </w:tcBorders>
            <w:noWrap/>
            <w:vAlign w:val="center"/>
          </w:tcPr>
          <w:p w14:paraId="2061409A">
            <w:pPr>
              <w:spacing w:line="360" w:lineRule="exact"/>
              <w:jc w:val="center"/>
              <w:rPr>
                <w:rFonts w:ascii="仿宋" w:hAnsi="仿宋" w:eastAsia="仿宋" w:cs="仿宋"/>
                <w:color w:val="auto"/>
                <w:sz w:val="24"/>
                <w:highlight w:val="none"/>
              </w:rPr>
            </w:pPr>
          </w:p>
        </w:tc>
      </w:tr>
      <w:tr w14:paraId="75646F6D">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465" w:hRule="exact"/>
          <w:jc w:val="center"/>
        </w:trPr>
        <w:tc>
          <w:tcPr>
            <w:tcW w:w="406" w:type="pct"/>
            <w:tcBorders>
              <w:tl2br w:val="nil"/>
              <w:tr2bl w:val="nil"/>
            </w:tcBorders>
            <w:noWrap/>
            <w:vAlign w:val="center"/>
          </w:tcPr>
          <w:p w14:paraId="68B96693">
            <w:pPr>
              <w:spacing w:line="360" w:lineRule="exact"/>
              <w:jc w:val="center"/>
              <w:rPr>
                <w:rFonts w:ascii="仿宋" w:hAnsi="仿宋" w:eastAsia="仿宋" w:cs="仿宋"/>
                <w:color w:val="auto"/>
                <w:sz w:val="24"/>
                <w:highlight w:val="none"/>
              </w:rPr>
            </w:pPr>
          </w:p>
        </w:tc>
        <w:tc>
          <w:tcPr>
            <w:tcW w:w="964" w:type="pct"/>
            <w:tcBorders>
              <w:tl2br w:val="nil"/>
              <w:tr2bl w:val="nil"/>
            </w:tcBorders>
            <w:noWrap/>
            <w:vAlign w:val="center"/>
          </w:tcPr>
          <w:p w14:paraId="65C384DC">
            <w:pPr>
              <w:spacing w:line="360" w:lineRule="exact"/>
              <w:jc w:val="center"/>
              <w:rPr>
                <w:rFonts w:ascii="仿宋" w:hAnsi="仿宋" w:eastAsia="仿宋" w:cs="仿宋"/>
                <w:color w:val="auto"/>
                <w:sz w:val="24"/>
                <w:highlight w:val="none"/>
              </w:rPr>
            </w:pPr>
          </w:p>
        </w:tc>
        <w:tc>
          <w:tcPr>
            <w:tcW w:w="1101" w:type="pct"/>
            <w:tcBorders>
              <w:tl2br w:val="nil"/>
              <w:tr2bl w:val="nil"/>
            </w:tcBorders>
            <w:noWrap/>
            <w:vAlign w:val="center"/>
          </w:tcPr>
          <w:p w14:paraId="02AD26AC">
            <w:pPr>
              <w:spacing w:line="360" w:lineRule="exact"/>
              <w:jc w:val="center"/>
              <w:rPr>
                <w:rFonts w:ascii="仿宋" w:hAnsi="仿宋" w:eastAsia="仿宋" w:cs="仿宋"/>
                <w:color w:val="auto"/>
                <w:sz w:val="24"/>
                <w:highlight w:val="none"/>
              </w:rPr>
            </w:pPr>
          </w:p>
        </w:tc>
        <w:tc>
          <w:tcPr>
            <w:tcW w:w="1303" w:type="pct"/>
            <w:tcBorders>
              <w:tl2br w:val="nil"/>
              <w:tr2bl w:val="nil"/>
            </w:tcBorders>
            <w:noWrap/>
            <w:vAlign w:val="center"/>
          </w:tcPr>
          <w:p w14:paraId="00EB3A12">
            <w:pPr>
              <w:spacing w:line="360" w:lineRule="exact"/>
              <w:jc w:val="center"/>
              <w:rPr>
                <w:rFonts w:ascii="仿宋" w:hAnsi="仿宋" w:eastAsia="仿宋" w:cs="仿宋"/>
                <w:color w:val="auto"/>
                <w:sz w:val="24"/>
                <w:highlight w:val="none"/>
              </w:rPr>
            </w:pPr>
          </w:p>
        </w:tc>
        <w:tc>
          <w:tcPr>
            <w:tcW w:w="1223" w:type="pct"/>
            <w:tcBorders>
              <w:tl2br w:val="nil"/>
              <w:tr2bl w:val="nil"/>
            </w:tcBorders>
            <w:noWrap/>
            <w:vAlign w:val="center"/>
          </w:tcPr>
          <w:p w14:paraId="17A0DC3B">
            <w:pPr>
              <w:spacing w:line="360" w:lineRule="exact"/>
              <w:jc w:val="center"/>
              <w:rPr>
                <w:rFonts w:ascii="仿宋" w:hAnsi="仿宋" w:eastAsia="仿宋" w:cs="仿宋"/>
                <w:color w:val="auto"/>
                <w:sz w:val="24"/>
                <w:highlight w:val="none"/>
              </w:rPr>
            </w:pPr>
          </w:p>
        </w:tc>
      </w:tr>
    </w:tbl>
    <w:p w14:paraId="6E182C12">
      <w:pPr>
        <w:snapToGrid w:val="0"/>
        <w:spacing w:beforeLines="50"/>
        <w:ind w:firstLine="480" w:firstLineChars="200"/>
        <w:rPr>
          <w:rFonts w:ascii="仿宋" w:hAnsi="仿宋" w:eastAsia="仿宋" w:cs="仿宋"/>
          <w:color w:val="auto"/>
          <w:sz w:val="24"/>
          <w:highlight w:val="none"/>
        </w:rPr>
      </w:pPr>
    </w:p>
    <w:p w14:paraId="785D799D">
      <w:pPr>
        <w:pStyle w:val="3"/>
        <w:rPr>
          <w:rFonts w:ascii="仿宋" w:hAnsi="仿宋" w:eastAsia="仿宋" w:cs="仿宋"/>
          <w:color w:val="auto"/>
          <w:sz w:val="24"/>
          <w:highlight w:val="none"/>
        </w:rPr>
      </w:pPr>
    </w:p>
    <w:p w14:paraId="218DA70C">
      <w:pPr>
        <w:rPr>
          <w:color w:val="auto"/>
          <w:highlight w:val="none"/>
        </w:rPr>
      </w:pPr>
    </w:p>
    <w:p w14:paraId="7F3CF92F">
      <w:pPr>
        <w:pStyle w:val="12"/>
        <w:jc w:val="left"/>
        <w:rPr>
          <w:rFonts w:ascii="仿宋" w:hAnsi="仿宋" w:eastAsia="仿宋" w:cs="仿宋"/>
          <w:color w:val="auto"/>
          <w:kern w:val="0"/>
          <w:sz w:val="24"/>
          <w:highlight w:val="none"/>
        </w:rPr>
      </w:pPr>
      <w:r>
        <w:rPr>
          <w:rFonts w:hint="eastAsia" w:ascii="仿宋" w:hAnsi="仿宋" w:eastAsia="仿宋" w:cs="仿宋"/>
          <w:color w:val="auto"/>
          <w:highlight w:val="none"/>
        </w:rPr>
        <w:t>供应商全称（加盖公章）：</w:t>
      </w:r>
    </w:p>
    <w:p w14:paraId="23DDEBEE">
      <w:pPr>
        <w:spacing w:line="460" w:lineRule="exact"/>
        <w:jc w:val="left"/>
        <w:rPr>
          <w:rFonts w:ascii="仿宋" w:hAnsi="仿宋" w:eastAsia="仿宋" w:cs="仿宋"/>
          <w:color w:val="auto"/>
          <w:sz w:val="24"/>
          <w:highlight w:val="none"/>
        </w:rPr>
      </w:pPr>
      <w:r>
        <w:rPr>
          <w:rFonts w:hint="eastAsia" w:ascii="仿宋" w:hAnsi="仿宋" w:eastAsia="仿宋" w:cs="仿宋"/>
          <w:color w:val="auto"/>
          <w:sz w:val="24"/>
          <w:highlight w:val="none"/>
        </w:rPr>
        <w:t>法定代表人或其授权代理人签</w:t>
      </w:r>
      <w:r>
        <w:rPr>
          <w:rFonts w:hint="eastAsia" w:ascii="仿宋" w:hAnsi="仿宋" w:eastAsia="仿宋" w:cs="仿宋"/>
          <w:color w:val="auto"/>
          <w:sz w:val="24"/>
          <w:highlight w:val="none"/>
          <w:lang w:val="en-US" w:eastAsia="zh-CN"/>
        </w:rPr>
        <w:t>字</w:t>
      </w:r>
      <w:r>
        <w:rPr>
          <w:rFonts w:hint="eastAsia" w:ascii="仿宋" w:hAnsi="仿宋" w:eastAsia="仿宋" w:cs="仿宋"/>
          <w:color w:val="auto"/>
          <w:sz w:val="24"/>
          <w:highlight w:val="none"/>
        </w:rPr>
        <w:t>或盖章：</w:t>
      </w:r>
    </w:p>
    <w:p w14:paraId="01F57962">
      <w:pPr>
        <w:spacing w:line="460" w:lineRule="exact"/>
        <w:jc w:val="left"/>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日期： 年 月 日</w:t>
      </w:r>
    </w:p>
    <w:p w14:paraId="215E951D">
      <w:pPr>
        <w:pStyle w:val="3"/>
        <w:rPr>
          <w:rFonts w:ascii="仿宋" w:hAnsi="仿宋" w:eastAsia="仿宋" w:cs="仿宋"/>
          <w:b w:val="0"/>
          <w:bCs w:val="0"/>
          <w:color w:val="auto"/>
          <w:sz w:val="24"/>
          <w:szCs w:val="24"/>
          <w:highlight w:val="none"/>
        </w:rPr>
      </w:pPr>
    </w:p>
    <w:p w14:paraId="389D20CE">
      <w:pPr>
        <w:rPr>
          <w:color w:val="auto"/>
          <w:highlight w:val="none"/>
        </w:rPr>
      </w:pPr>
    </w:p>
    <w:p w14:paraId="7915EF2D">
      <w:pPr>
        <w:pStyle w:val="3"/>
        <w:rPr>
          <w:rFonts w:ascii="仿宋" w:hAnsi="仿宋" w:eastAsia="仿宋" w:cs="仿宋"/>
          <w:b w:val="0"/>
          <w:bCs w:val="0"/>
          <w:color w:val="auto"/>
          <w:sz w:val="24"/>
          <w:szCs w:val="24"/>
          <w:highlight w:val="none"/>
        </w:rPr>
      </w:pPr>
    </w:p>
    <w:p w14:paraId="078A586D">
      <w:pPr>
        <w:rPr>
          <w:rFonts w:ascii="仿宋" w:hAnsi="仿宋" w:eastAsia="仿宋" w:cs="仿宋"/>
          <w:color w:val="auto"/>
          <w:sz w:val="24"/>
          <w:highlight w:val="none"/>
        </w:rPr>
      </w:pPr>
    </w:p>
    <w:p w14:paraId="6AAA48B9">
      <w:pPr>
        <w:pStyle w:val="3"/>
        <w:rPr>
          <w:color w:val="auto"/>
          <w:highlight w:val="none"/>
        </w:rPr>
      </w:pPr>
    </w:p>
    <w:p w14:paraId="2A628875">
      <w:pPr>
        <w:pStyle w:val="12"/>
        <w:pageBreakBefore/>
        <w:jc w:val="center"/>
        <w:outlineLvl w:val="1"/>
        <w:rPr>
          <w:rFonts w:hint="eastAsia" w:ascii="仿宋" w:hAnsi="仿宋" w:eastAsia="仿宋" w:cs="仿宋"/>
          <w:b/>
          <w:color w:val="auto"/>
          <w:kern w:val="2"/>
          <w:sz w:val="28"/>
          <w:szCs w:val="28"/>
          <w:highlight w:val="none"/>
          <w:lang w:val="en-US" w:eastAsia="zh-CN" w:bidi="ar-SA"/>
        </w:rPr>
      </w:pPr>
      <w:r>
        <w:rPr>
          <w:rFonts w:hint="eastAsia" w:ascii="仿宋" w:hAnsi="仿宋" w:eastAsia="仿宋" w:cs="仿宋"/>
          <w:b/>
          <w:color w:val="auto"/>
          <w:kern w:val="2"/>
          <w:sz w:val="28"/>
          <w:szCs w:val="28"/>
          <w:highlight w:val="none"/>
          <w:lang w:val="en-US" w:eastAsia="zh-CN" w:bidi="ar-SA"/>
        </w:rPr>
        <w:t>项目实施人员配置表</w:t>
      </w:r>
    </w:p>
    <w:p w14:paraId="1A917711">
      <w:pPr>
        <w:pStyle w:val="12"/>
        <w:spacing w:line="460" w:lineRule="exact"/>
        <w:rPr>
          <w:rFonts w:hint="eastAsia"/>
          <w:color w:val="auto"/>
          <w:highlight w:val="none"/>
          <w:lang w:val="en-US" w:eastAsia="zh-CN"/>
        </w:rPr>
      </w:pPr>
      <w:r>
        <w:rPr>
          <w:rFonts w:hint="eastAsia" w:ascii="仿宋" w:hAnsi="仿宋" w:eastAsia="仿宋" w:cs="仿宋"/>
          <w:color w:val="auto"/>
          <w:highlight w:val="none"/>
        </w:rPr>
        <w:t>项目名称：</w:t>
      </w:r>
      <w:r>
        <w:rPr>
          <w:rFonts w:hint="eastAsia" w:ascii="仿宋" w:hAnsi="仿宋" w:eastAsia="仿宋" w:cs="仿宋"/>
          <w:color w:val="auto"/>
          <w:highlight w:val="none"/>
          <w:lang w:eastAsia="zh-CN"/>
        </w:rPr>
        <w:t xml:space="preserve">举办湖州市气排球超级联赛项目  </w:t>
      </w:r>
      <w:r>
        <w:rPr>
          <w:rFonts w:hint="eastAsia" w:ascii="仿宋" w:hAnsi="仿宋" w:eastAsia="仿宋" w:cs="仿宋"/>
          <w:color w:val="auto"/>
          <w:highlight w:val="none"/>
          <w:lang w:val="en-US" w:eastAsia="zh-CN"/>
        </w:rPr>
        <w:t xml:space="preserve">                    </w:t>
      </w:r>
    </w:p>
    <w:tbl>
      <w:tblPr>
        <w:tblStyle w:val="27"/>
        <w:tblW w:w="9811" w:type="dxa"/>
        <w:jc w:val="center"/>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
      <w:tblGrid>
        <w:gridCol w:w="840"/>
        <w:gridCol w:w="1127"/>
        <w:gridCol w:w="1049"/>
        <w:gridCol w:w="1013"/>
        <w:gridCol w:w="980"/>
        <w:gridCol w:w="925"/>
        <w:gridCol w:w="1462"/>
        <w:gridCol w:w="1155"/>
        <w:gridCol w:w="1260"/>
      </w:tblGrid>
      <w:tr w14:paraId="33FFF900">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898" w:hRule="atLeast"/>
          <w:jc w:val="center"/>
        </w:trPr>
        <w:tc>
          <w:tcPr>
            <w:tcW w:w="840" w:type="dxa"/>
            <w:tcBorders>
              <w:top w:val="single" w:color="auto" w:sz="12" w:space="0"/>
              <w:left w:val="single" w:color="auto" w:sz="12" w:space="0"/>
              <w:bottom w:val="single" w:color="auto" w:sz="4" w:space="0"/>
              <w:right w:val="single" w:color="auto" w:sz="4" w:space="0"/>
            </w:tcBorders>
            <w:noWrap w:val="0"/>
            <w:vAlign w:val="center"/>
          </w:tcPr>
          <w:p w14:paraId="72DFB147">
            <w:pPr>
              <w:spacing w:line="360"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序号</w:t>
            </w:r>
          </w:p>
        </w:tc>
        <w:tc>
          <w:tcPr>
            <w:tcW w:w="1127" w:type="dxa"/>
            <w:tcBorders>
              <w:top w:val="single" w:color="auto" w:sz="12" w:space="0"/>
              <w:left w:val="single" w:color="auto" w:sz="4" w:space="0"/>
              <w:bottom w:val="single" w:color="auto" w:sz="4" w:space="0"/>
              <w:right w:val="single" w:color="auto" w:sz="4" w:space="0"/>
            </w:tcBorders>
            <w:noWrap w:val="0"/>
            <w:vAlign w:val="center"/>
          </w:tcPr>
          <w:p w14:paraId="128D18DE">
            <w:pPr>
              <w:spacing w:line="360"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姓名</w:t>
            </w:r>
          </w:p>
        </w:tc>
        <w:tc>
          <w:tcPr>
            <w:tcW w:w="1049" w:type="dxa"/>
            <w:tcBorders>
              <w:top w:val="single" w:color="auto" w:sz="12" w:space="0"/>
              <w:left w:val="single" w:color="auto" w:sz="4" w:space="0"/>
              <w:bottom w:val="single" w:color="auto" w:sz="4" w:space="0"/>
              <w:right w:val="single" w:color="auto" w:sz="4" w:space="0"/>
            </w:tcBorders>
            <w:noWrap w:val="0"/>
            <w:vAlign w:val="center"/>
          </w:tcPr>
          <w:p w14:paraId="052FD5D1">
            <w:pPr>
              <w:spacing w:line="360"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年龄</w:t>
            </w:r>
          </w:p>
        </w:tc>
        <w:tc>
          <w:tcPr>
            <w:tcW w:w="1013" w:type="dxa"/>
            <w:tcBorders>
              <w:top w:val="single" w:color="auto" w:sz="12" w:space="0"/>
              <w:left w:val="single" w:color="auto" w:sz="4" w:space="0"/>
              <w:bottom w:val="single" w:color="auto" w:sz="4" w:space="0"/>
              <w:right w:val="single" w:color="auto" w:sz="4" w:space="0"/>
            </w:tcBorders>
            <w:noWrap w:val="0"/>
            <w:vAlign w:val="center"/>
          </w:tcPr>
          <w:p w14:paraId="62A7002C">
            <w:pPr>
              <w:spacing w:line="360"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性别</w:t>
            </w:r>
          </w:p>
        </w:tc>
        <w:tc>
          <w:tcPr>
            <w:tcW w:w="980" w:type="dxa"/>
            <w:tcBorders>
              <w:top w:val="single" w:color="auto" w:sz="12" w:space="0"/>
              <w:left w:val="single" w:color="auto" w:sz="4" w:space="0"/>
              <w:bottom w:val="single" w:color="auto" w:sz="4" w:space="0"/>
              <w:right w:val="single" w:color="auto" w:sz="4" w:space="0"/>
            </w:tcBorders>
            <w:noWrap w:val="0"/>
            <w:vAlign w:val="center"/>
          </w:tcPr>
          <w:p w14:paraId="0F013F28">
            <w:pPr>
              <w:spacing w:line="360"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学历</w:t>
            </w:r>
          </w:p>
        </w:tc>
        <w:tc>
          <w:tcPr>
            <w:tcW w:w="925" w:type="dxa"/>
            <w:tcBorders>
              <w:top w:val="single" w:color="auto" w:sz="12" w:space="0"/>
              <w:left w:val="single" w:color="auto" w:sz="4" w:space="0"/>
              <w:bottom w:val="single" w:color="auto" w:sz="4" w:space="0"/>
              <w:right w:val="single" w:color="auto" w:sz="4" w:space="0"/>
            </w:tcBorders>
            <w:noWrap w:val="0"/>
            <w:vAlign w:val="center"/>
          </w:tcPr>
          <w:p w14:paraId="0D6A55E4">
            <w:pPr>
              <w:spacing w:line="360"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专业</w:t>
            </w:r>
          </w:p>
        </w:tc>
        <w:tc>
          <w:tcPr>
            <w:tcW w:w="1462" w:type="dxa"/>
            <w:tcBorders>
              <w:top w:val="single" w:color="auto" w:sz="12" w:space="0"/>
              <w:left w:val="single" w:color="auto" w:sz="4" w:space="0"/>
              <w:bottom w:val="single" w:color="auto" w:sz="4" w:space="0"/>
              <w:right w:val="single" w:color="auto" w:sz="4" w:space="0"/>
            </w:tcBorders>
            <w:noWrap w:val="0"/>
            <w:vAlign w:val="center"/>
          </w:tcPr>
          <w:p w14:paraId="12400483">
            <w:pPr>
              <w:spacing w:line="360"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证书及编号</w:t>
            </w:r>
          </w:p>
        </w:tc>
        <w:tc>
          <w:tcPr>
            <w:tcW w:w="1155" w:type="dxa"/>
            <w:tcBorders>
              <w:top w:val="single" w:color="auto" w:sz="12" w:space="0"/>
              <w:left w:val="single" w:color="auto" w:sz="4" w:space="0"/>
              <w:bottom w:val="single" w:color="auto" w:sz="4" w:space="0"/>
              <w:right w:val="single" w:color="auto" w:sz="4" w:space="0"/>
            </w:tcBorders>
            <w:noWrap w:val="0"/>
            <w:vAlign w:val="center"/>
          </w:tcPr>
          <w:p w14:paraId="3B8D6784">
            <w:pPr>
              <w:spacing w:line="360"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技术</w:t>
            </w:r>
          </w:p>
          <w:p w14:paraId="4620F1C2">
            <w:pPr>
              <w:spacing w:line="360"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职称</w:t>
            </w:r>
          </w:p>
        </w:tc>
        <w:tc>
          <w:tcPr>
            <w:tcW w:w="1260" w:type="dxa"/>
            <w:tcBorders>
              <w:top w:val="single" w:color="auto" w:sz="12" w:space="0"/>
              <w:left w:val="single" w:color="auto" w:sz="4" w:space="0"/>
              <w:bottom w:val="single" w:color="auto" w:sz="4" w:space="0"/>
              <w:right w:val="single" w:color="auto" w:sz="12" w:space="0"/>
            </w:tcBorders>
            <w:noWrap w:val="0"/>
            <w:vAlign w:val="center"/>
          </w:tcPr>
          <w:p w14:paraId="6DB032CE">
            <w:pPr>
              <w:spacing w:line="360"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拟任职务</w:t>
            </w:r>
          </w:p>
        </w:tc>
      </w:tr>
      <w:tr w14:paraId="7C8AB010">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40" w:type="dxa"/>
            <w:tcBorders>
              <w:top w:val="single" w:color="auto" w:sz="4" w:space="0"/>
              <w:left w:val="single" w:color="auto" w:sz="12" w:space="0"/>
              <w:bottom w:val="single" w:color="auto" w:sz="4" w:space="0"/>
              <w:right w:val="single" w:color="auto" w:sz="4" w:space="0"/>
            </w:tcBorders>
            <w:noWrap w:val="0"/>
            <w:vAlign w:val="center"/>
          </w:tcPr>
          <w:p w14:paraId="3022AFDE">
            <w:pPr>
              <w:spacing w:line="360" w:lineRule="auto"/>
              <w:jc w:val="center"/>
              <w:rPr>
                <w:rFonts w:hint="eastAsia" w:ascii="仿宋" w:hAnsi="仿宋" w:eastAsia="仿宋" w:cs="仿宋"/>
                <w:color w:val="auto"/>
                <w:sz w:val="24"/>
                <w:highlight w:val="none"/>
              </w:rPr>
            </w:pPr>
          </w:p>
        </w:tc>
        <w:tc>
          <w:tcPr>
            <w:tcW w:w="1127" w:type="dxa"/>
            <w:tcBorders>
              <w:top w:val="single" w:color="auto" w:sz="4" w:space="0"/>
              <w:left w:val="single" w:color="auto" w:sz="4" w:space="0"/>
              <w:bottom w:val="single" w:color="auto" w:sz="4" w:space="0"/>
              <w:right w:val="single" w:color="auto" w:sz="4" w:space="0"/>
            </w:tcBorders>
            <w:noWrap w:val="0"/>
            <w:vAlign w:val="center"/>
          </w:tcPr>
          <w:p w14:paraId="194E77B9">
            <w:pPr>
              <w:spacing w:line="360" w:lineRule="auto"/>
              <w:jc w:val="center"/>
              <w:rPr>
                <w:rFonts w:hint="eastAsia" w:ascii="仿宋" w:hAnsi="仿宋" w:eastAsia="仿宋" w:cs="仿宋"/>
                <w:color w:val="auto"/>
                <w:sz w:val="24"/>
                <w:highlight w:val="none"/>
              </w:rPr>
            </w:pPr>
          </w:p>
        </w:tc>
        <w:tc>
          <w:tcPr>
            <w:tcW w:w="1049" w:type="dxa"/>
            <w:tcBorders>
              <w:top w:val="single" w:color="auto" w:sz="4" w:space="0"/>
              <w:left w:val="single" w:color="auto" w:sz="4" w:space="0"/>
              <w:bottom w:val="single" w:color="auto" w:sz="4" w:space="0"/>
              <w:right w:val="single" w:color="auto" w:sz="4" w:space="0"/>
            </w:tcBorders>
            <w:noWrap w:val="0"/>
            <w:vAlign w:val="center"/>
          </w:tcPr>
          <w:p w14:paraId="7807D24D">
            <w:pPr>
              <w:spacing w:line="360" w:lineRule="auto"/>
              <w:jc w:val="center"/>
              <w:rPr>
                <w:rFonts w:hint="eastAsia" w:ascii="仿宋" w:hAnsi="仿宋" w:eastAsia="仿宋" w:cs="仿宋"/>
                <w:color w:val="auto"/>
                <w:sz w:val="24"/>
                <w:highlight w:val="none"/>
              </w:rPr>
            </w:pPr>
          </w:p>
        </w:tc>
        <w:tc>
          <w:tcPr>
            <w:tcW w:w="1013" w:type="dxa"/>
            <w:tcBorders>
              <w:top w:val="single" w:color="auto" w:sz="4" w:space="0"/>
              <w:left w:val="single" w:color="auto" w:sz="4" w:space="0"/>
              <w:bottom w:val="single" w:color="auto" w:sz="4" w:space="0"/>
              <w:right w:val="single" w:color="auto" w:sz="4" w:space="0"/>
            </w:tcBorders>
            <w:noWrap w:val="0"/>
            <w:vAlign w:val="center"/>
          </w:tcPr>
          <w:p w14:paraId="6B4EC899">
            <w:pPr>
              <w:spacing w:line="360" w:lineRule="auto"/>
              <w:jc w:val="center"/>
              <w:rPr>
                <w:rFonts w:hint="eastAsia" w:ascii="仿宋" w:hAnsi="仿宋" w:eastAsia="仿宋" w:cs="仿宋"/>
                <w:color w:val="auto"/>
                <w:sz w:val="24"/>
                <w:highlight w:val="none"/>
              </w:rPr>
            </w:pPr>
          </w:p>
        </w:tc>
        <w:tc>
          <w:tcPr>
            <w:tcW w:w="980" w:type="dxa"/>
            <w:tcBorders>
              <w:top w:val="single" w:color="auto" w:sz="4" w:space="0"/>
              <w:left w:val="single" w:color="auto" w:sz="4" w:space="0"/>
              <w:bottom w:val="single" w:color="auto" w:sz="4" w:space="0"/>
              <w:right w:val="single" w:color="auto" w:sz="4" w:space="0"/>
            </w:tcBorders>
            <w:noWrap w:val="0"/>
            <w:vAlign w:val="center"/>
          </w:tcPr>
          <w:p w14:paraId="39619B07">
            <w:pPr>
              <w:spacing w:line="360" w:lineRule="auto"/>
              <w:jc w:val="center"/>
              <w:rPr>
                <w:rFonts w:hint="eastAsia" w:ascii="仿宋" w:hAnsi="仿宋" w:eastAsia="仿宋" w:cs="仿宋"/>
                <w:color w:val="auto"/>
                <w:sz w:val="24"/>
                <w:highlight w:val="none"/>
              </w:rPr>
            </w:pPr>
          </w:p>
        </w:tc>
        <w:tc>
          <w:tcPr>
            <w:tcW w:w="925" w:type="dxa"/>
            <w:tcBorders>
              <w:top w:val="single" w:color="auto" w:sz="4" w:space="0"/>
              <w:left w:val="single" w:color="auto" w:sz="4" w:space="0"/>
              <w:bottom w:val="single" w:color="auto" w:sz="4" w:space="0"/>
              <w:right w:val="single" w:color="auto" w:sz="4" w:space="0"/>
            </w:tcBorders>
            <w:noWrap w:val="0"/>
            <w:vAlign w:val="center"/>
          </w:tcPr>
          <w:p w14:paraId="600BF0C0">
            <w:pPr>
              <w:spacing w:line="360" w:lineRule="auto"/>
              <w:jc w:val="center"/>
              <w:rPr>
                <w:rFonts w:hint="eastAsia" w:ascii="仿宋" w:hAnsi="仿宋" w:eastAsia="仿宋" w:cs="仿宋"/>
                <w:color w:val="auto"/>
                <w:sz w:val="24"/>
                <w:highlight w:val="none"/>
              </w:rPr>
            </w:pPr>
          </w:p>
        </w:tc>
        <w:tc>
          <w:tcPr>
            <w:tcW w:w="1462" w:type="dxa"/>
            <w:tcBorders>
              <w:top w:val="single" w:color="auto" w:sz="4" w:space="0"/>
              <w:left w:val="single" w:color="auto" w:sz="4" w:space="0"/>
              <w:bottom w:val="single" w:color="auto" w:sz="4" w:space="0"/>
              <w:right w:val="single" w:color="auto" w:sz="4" w:space="0"/>
            </w:tcBorders>
            <w:noWrap w:val="0"/>
            <w:vAlign w:val="top"/>
          </w:tcPr>
          <w:p w14:paraId="552F1D3C">
            <w:pPr>
              <w:spacing w:line="360" w:lineRule="auto"/>
              <w:jc w:val="center"/>
              <w:rPr>
                <w:rFonts w:hint="eastAsia" w:ascii="仿宋" w:hAnsi="仿宋" w:eastAsia="仿宋" w:cs="仿宋"/>
                <w:color w:val="auto"/>
                <w:sz w:val="24"/>
                <w:highlight w:val="none"/>
              </w:rPr>
            </w:pPr>
          </w:p>
        </w:tc>
        <w:tc>
          <w:tcPr>
            <w:tcW w:w="1155" w:type="dxa"/>
            <w:tcBorders>
              <w:top w:val="single" w:color="auto" w:sz="4" w:space="0"/>
              <w:left w:val="single" w:color="auto" w:sz="4" w:space="0"/>
              <w:bottom w:val="single" w:color="auto" w:sz="4" w:space="0"/>
              <w:right w:val="single" w:color="auto" w:sz="4" w:space="0"/>
            </w:tcBorders>
            <w:noWrap w:val="0"/>
            <w:vAlign w:val="center"/>
          </w:tcPr>
          <w:p w14:paraId="5BC1EB6A">
            <w:pPr>
              <w:spacing w:line="360" w:lineRule="auto"/>
              <w:jc w:val="center"/>
              <w:rPr>
                <w:rFonts w:hint="eastAsia" w:ascii="仿宋" w:hAnsi="仿宋" w:eastAsia="仿宋" w:cs="仿宋"/>
                <w:color w:val="auto"/>
                <w:sz w:val="24"/>
                <w:highlight w:val="none"/>
              </w:rPr>
            </w:pPr>
          </w:p>
        </w:tc>
        <w:tc>
          <w:tcPr>
            <w:tcW w:w="1260" w:type="dxa"/>
            <w:tcBorders>
              <w:top w:val="single" w:color="auto" w:sz="4" w:space="0"/>
              <w:left w:val="single" w:color="auto" w:sz="4" w:space="0"/>
              <w:bottom w:val="single" w:color="auto" w:sz="4" w:space="0"/>
              <w:right w:val="single" w:color="auto" w:sz="12" w:space="0"/>
            </w:tcBorders>
            <w:noWrap w:val="0"/>
            <w:vAlign w:val="center"/>
          </w:tcPr>
          <w:p w14:paraId="3DA80514">
            <w:pPr>
              <w:spacing w:line="360" w:lineRule="auto"/>
              <w:jc w:val="center"/>
              <w:rPr>
                <w:rFonts w:hint="eastAsia" w:ascii="仿宋" w:hAnsi="仿宋" w:eastAsia="仿宋" w:cs="仿宋"/>
                <w:color w:val="auto"/>
                <w:sz w:val="24"/>
                <w:highlight w:val="none"/>
              </w:rPr>
            </w:pPr>
          </w:p>
        </w:tc>
      </w:tr>
      <w:tr w14:paraId="6538C7B3">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40" w:type="dxa"/>
            <w:tcBorders>
              <w:top w:val="single" w:color="auto" w:sz="4" w:space="0"/>
              <w:left w:val="single" w:color="auto" w:sz="12" w:space="0"/>
              <w:bottom w:val="single" w:color="auto" w:sz="4" w:space="0"/>
              <w:right w:val="single" w:color="auto" w:sz="4" w:space="0"/>
            </w:tcBorders>
            <w:noWrap w:val="0"/>
            <w:vAlign w:val="center"/>
          </w:tcPr>
          <w:p w14:paraId="5D565258">
            <w:pPr>
              <w:spacing w:line="360" w:lineRule="auto"/>
              <w:jc w:val="center"/>
              <w:rPr>
                <w:rFonts w:hint="eastAsia" w:ascii="仿宋" w:hAnsi="仿宋" w:eastAsia="仿宋" w:cs="仿宋"/>
                <w:color w:val="auto"/>
                <w:sz w:val="24"/>
                <w:highlight w:val="none"/>
              </w:rPr>
            </w:pPr>
          </w:p>
        </w:tc>
        <w:tc>
          <w:tcPr>
            <w:tcW w:w="1127" w:type="dxa"/>
            <w:tcBorders>
              <w:top w:val="single" w:color="auto" w:sz="4" w:space="0"/>
              <w:left w:val="single" w:color="auto" w:sz="4" w:space="0"/>
              <w:bottom w:val="single" w:color="auto" w:sz="4" w:space="0"/>
              <w:right w:val="single" w:color="auto" w:sz="4" w:space="0"/>
            </w:tcBorders>
            <w:noWrap w:val="0"/>
            <w:vAlign w:val="center"/>
          </w:tcPr>
          <w:p w14:paraId="2D4BF53B">
            <w:pPr>
              <w:spacing w:line="360" w:lineRule="auto"/>
              <w:jc w:val="center"/>
              <w:rPr>
                <w:rFonts w:hint="eastAsia" w:ascii="仿宋" w:hAnsi="仿宋" w:eastAsia="仿宋" w:cs="仿宋"/>
                <w:color w:val="auto"/>
                <w:sz w:val="24"/>
                <w:highlight w:val="none"/>
              </w:rPr>
            </w:pPr>
          </w:p>
        </w:tc>
        <w:tc>
          <w:tcPr>
            <w:tcW w:w="1049" w:type="dxa"/>
            <w:tcBorders>
              <w:top w:val="single" w:color="auto" w:sz="4" w:space="0"/>
              <w:left w:val="single" w:color="auto" w:sz="4" w:space="0"/>
              <w:bottom w:val="single" w:color="auto" w:sz="4" w:space="0"/>
              <w:right w:val="single" w:color="auto" w:sz="4" w:space="0"/>
            </w:tcBorders>
            <w:noWrap w:val="0"/>
            <w:vAlign w:val="center"/>
          </w:tcPr>
          <w:p w14:paraId="36EFEB06">
            <w:pPr>
              <w:spacing w:line="360" w:lineRule="auto"/>
              <w:jc w:val="center"/>
              <w:rPr>
                <w:rFonts w:hint="eastAsia" w:ascii="仿宋" w:hAnsi="仿宋" w:eastAsia="仿宋" w:cs="仿宋"/>
                <w:color w:val="auto"/>
                <w:sz w:val="24"/>
                <w:highlight w:val="none"/>
              </w:rPr>
            </w:pPr>
          </w:p>
        </w:tc>
        <w:tc>
          <w:tcPr>
            <w:tcW w:w="1013" w:type="dxa"/>
            <w:tcBorders>
              <w:top w:val="single" w:color="auto" w:sz="4" w:space="0"/>
              <w:left w:val="single" w:color="auto" w:sz="4" w:space="0"/>
              <w:bottom w:val="single" w:color="auto" w:sz="4" w:space="0"/>
              <w:right w:val="single" w:color="auto" w:sz="4" w:space="0"/>
            </w:tcBorders>
            <w:noWrap w:val="0"/>
            <w:vAlign w:val="center"/>
          </w:tcPr>
          <w:p w14:paraId="4841E3C6">
            <w:pPr>
              <w:spacing w:line="360" w:lineRule="auto"/>
              <w:jc w:val="center"/>
              <w:rPr>
                <w:rFonts w:hint="eastAsia" w:ascii="仿宋" w:hAnsi="仿宋" w:eastAsia="仿宋" w:cs="仿宋"/>
                <w:color w:val="auto"/>
                <w:sz w:val="24"/>
                <w:highlight w:val="none"/>
              </w:rPr>
            </w:pPr>
          </w:p>
        </w:tc>
        <w:tc>
          <w:tcPr>
            <w:tcW w:w="980" w:type="dxa"/>
            <w:tcBorders>
              <w:top w:val="single" w:color="auto" w:sz="4" w:space="0"/>
              <w:left w:val="single" w:color="auto" w:sz="4" w:space="0"/>
              <w:bottom w:val="single" w:color="auto" w:sz="4" w:space="0"/>
              <w:right w:val="single" w:color="auto" w:sz="4" w:space="0"/>
            </w:tcBorders>
            <w:noWrap w:val="0"/>
            <w:vAlign w:val="center"/>
          </w:tcPr>
          <w:p w14:paraId="37A8CD78">
            <w:pPr>
              <w:spacing w:line="360" w:lineRule="auto"/>
              <w:jc w:val="center"/>
              <w:rPr>
                <w:rFonts w:hint="eastAsia" w:ascii="仿宋" w:hAnsi="仿宋" w:eastAsia="仿宋" w:cs="仿宋"/>
                <w:color w:val="auto"/>
                <w:sz w:val="24"/>
                <w:highlight w:val="none"/>
              </w:rPr>
            </w:pPr>
          </w:p>
        </w:tc>
        <w:tc>
          <w:tcPr>
            <w:tcW w:w="925" w:type="dxa"/>
            <w:tcBorders>
              <w:top w:val="single" w:color="auto" w:sz="4" w:space="0"/>
              <w:left w:val="single" w:color="auto" w:sz="4" w:space="0"/>
              <w:bottom w:val="single" w:color="auto" w:sz="4" w:space="0"/>
              <w:right w:val="single" w:color="auto" w:sz="4" w:space="0"/>
            </w:tcBorders>
            <w:noWrap w:val="0"/>
            <w:vAlign w:val="center"/>
          </w:tcPr>
          <w:p w14:paraId="25D2698C">
            <w:pPr>
              <w:spacing w:line="360" w:lineRule="auto"/>
              <w:jc w:val="center"/>
              <w:rPr>
                <w:rFonts w:hint="eastAsia" w:ascii="仿宋" w:hAnsi="仿宋" w:eastAsia="仿宋" w:cs="仿宋"/>
                <w:color w:val="auto"/>
                <w:sz w:val="24"/>
                <w:highlight w:val="none"/>
              </w:rPr>
            </w:pPr>
          </w:p>
        </w:tc>
        <w:tc>
          <w:tcPr>
            <w:tcW w:w="1462" w:type="dxa"/>
            <w:tcBorders>
              <w:top w:val="single" w:color="auto" w:sz="4" w:space="0"/>
              <w:left w:val="single" w:color="auto" w:sz="4" w:space="0"/>
              <w:bottom w:val="single" w:color="auto" w:sz="4" w:space="0"/>
              <w:right w:val="single" w:color="auto" w:sz="4" w:space="0"/>
            </w:tcBorders>
            <w:noWrap w:val="0"/>
            <w:vAlign w:val="top"/>
          </w:tcPr>
          <w:p w14:paraId="765BC80B">
            <w:pPr>
              <w:spacing w:line="360" w:lineRule="auto"/>
              <w:jc w:val="center"/>
              <w:rPr>
                <w:rFonts w:hint="eastAsia" w:ascii="仿宋" w:hAnsi="仿宋" w:eastAsia="仿宋" w:cs="仿宋"/>
                <w:color w:val="auto"/>
                <w:sz w:val="24"/>
                <w:highlight w:val="none"/>
              </w:rPr>
            </w:pPr>
          </w:p>
        </w:tc>
        <w:tc>
          <w:tcPr>
            <w:tcW w:w="1155" w:type="dxa"/>
            <w:tcBorders>
              <w:top w:val="single" w:color="auto" w:sz="4" w:space="0"/>
              <w:left w:val="single" w:color="auto" w:sz="4" w:space="0"/>
              <w:bottom w:val="single" w:color="auto" w:sz="4" w:space="0"/>
              <w:right w:val="single" w:color="auto" w:sz="4" w:space="0"/>
            </w:tcBorders>
            <w:noWrap w:val="0"/>
            <w:vAlign w:val="center"/>
          </w:tcPr>
          <w:p w14:paraId="6DB952F1">
            <w:pPr>
              <w:spacing w:line="360" w:lineRule="auto"/>
              <w:jc w:val="center"/>
              <w:rPr>
                <w:rFonts w:hint="eastAsia" w:ascii="仿宋" w:hAnsi="仿宋" w:eastAsia="仿宋" w:cs="仿宋"/>
                <w:color w:val="auto"/>
                <w:sz w:val="24"/>
                <w:highlight w:val="none"/>
              </w:rPr>
            </w:pPr>
          </w:p>
        </w:tc>
        <w:tc>
          <w:tcPr>
            <w:tcW w:w="1260" w:type="dxa"/>
            <w:tcBorders>
              <w:top w:val="single" w:color="auto" w:sz="4" w:space="0"/>
              <w:left w:val="single" w:color="auto" w:sz="4" w:space="0"/>
              <w:bottom w:val="single" w:color="auto" w:sz="4" w:space="0"/>
              <w:right w:val="single" w:color="auto" w:sz="12" w:space="0"/>
            </w:tcBorders>
            <w:noWrap w:val="0"/>
            <w:vAlign w:val="center"/>
          </w:tcPr>
          <w:p w14:paraId="76BC4DB9">
            <w:pPr>
              <w:spacing w:line="360" w:lineRule="auto"/>
              <w:jc w:val="center"/>
              <w:rPr>
                <w:rFonts w:hint="eastAsia" w:ascii="仿宋" w:hAnsi="仿宋" w:eastAsia="仿宋" w:cs="仿宋"/>
                <w:color w:val="auto"/>
                <w:sz w:val="24"/>
                <w:highlight w:val="none"/>
              </w:rPr>
            </w:pPr>
          </w:p>
        </w:tc>
      </w:tr>
      <w:tr w14:paraId="7A37291C">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40" w:type="dxa"/>
            <w:tcBorders>
              <w:top w:val="single" w:color="auto" w:sz="4" w:space="0"/>
              <w:left w:val="single" w:color="auto" w:sz="12" w:space="0"/>
              <w:bottom w:val="single" w:color="auto" w:sz="4" w:space="0"/>
              <w:right w:val="single" w:color="auto" w:sz="4" w:space="0"/>
            </w:tcBorders>
            <w:noWrap w:val="0"/>
            <w:vAlign w:val="center"/>
          </w:tcPr>
          <w:p w14:paraId="71D67F77">
            <w:pPr>
              <w:spacing w:line="360" w:lineRule="auto"/>
              <w:jc w:val="center"/>
              <w:rPr>
                <w:rFonts w:hint="eastAsia" w:ascii="仿宋" w:hAnsi="仿宋" w:eastAsia="仿宋" w:cs="仿宋"/>
                <w:color w:val="auto"/>
                <w:sz w:val="24"/>
                <w:highlight w:val="none"/>
              </w:rPr>
            </w:pPr>
          </w:p>
        </w:tc>
        <w:tc>
          <w:tcPr>
            <w:tcW w:w="1127" w:type="dxa"/>
            <w:tcBorders>
              <w:top w:val="single" w:color="auto" w:sz="4" w:space="0"/>
              <w:left w:val="single" w:color="auto" w:sz="4" w:space="0"/>
              <w:bottom w:val="single" w:color="auto" w:sz="4" w:space="0"/>
              <w:right w:val="single" w:color="auto" w:sz="4" w:space="0"/>
            </w:tcBorders>
            <w:noWrap w:val="0"/>
            <w:vAlign w:val="center"/>
          </w:tcPr>
          <w:p w14:paraId="2F0061BD">
            <w:pPr>
              <w:spacing w:line="360" w:lineRule="auto"/>
              <w:jc w:val="center"/>
              <w:rPr>
                <w:rFonts w:hint="eastAsia" w:ascii="仿宋" w:hAnsi="仿宋" w:eastAsia="仿宋" w:cs="仿宋"/>
                <w:color w:val="auto"/>
                <w:sz w:val="24"/>
                <w:highlight w:val="none"/>
              </w:rPr>
            </w:pPr>
          </w:p>
        </w:tc>
        <w:tc>
          <w:tcPr>
            <w:tcW w:w="1049" w:type="dxa"/>
            <w:tcBorders>
              <w:top w:val="single" w:color="auto" w:sz="4" w:space="0"/>
              <w:left w:val="single" w:color="auto" w:sz="4" w:space="0"/>
              <w:bottom w:val="single" w:color="auto" w:sz="4" w:space="0"/>
              <w:right w:val="single" w:color="auto" w:sz="4" w:space="0"/>
            </w:tcBorders>
            <w:noWrap w:val="0"/>
            <w:vAlign w:val="center"/>
          </w:tcPr>
          <w:p w14:paraId="2F5061C8">
            <w:pPr>
              <w:spacing w:line="360" w:lineRule="auto"/>
              <w:jc w:val="center"/>
              <w:rPr>
                <w:rFonts w:hint="eastAsia" w:ascii="仿宋" w:hAnsi="仿宋" w:eastAsia="仿宋" w:cs="仿宋"/>
                <w:color w:val="auto"/>
                <w:sz w:val="24"/>
                <w:highlight w:val="none"/>
              </w:rPr>
            </w:pPr>
          </w:p>
        </w:tc>
        <w:tc>
          <w:tcPr>
            <w:tcW w:w="1013" w:type="dxa"/>
            <w:tcBorders>
              <w:top w:val="single" w:color="auto" w:sz="4" w:space="0"/>
              <w:left w:val="single" w:color="auto" w:sz="4" w:space="0"/>
              <w:bottom w:val="single" w:color="auto" w:sz="4" w:space="0"/>
              <w:right w:val="single" w:color="auto" w:sz="4" w:space="0"/>
            </w:tcBorders>
            <w:noWrap w:val="0"/>
            <w:vAlign w:val="center"/>
          </w:tcPr>
          <w:p w14:paraId="69F79CAA">
            <w:pPr>
              <w:spacing w:line="360" w:lineRule="auto"/>
              <w:jc w:val="center"/>
              <w:rPr>
                <w:rFonts w:hint="eastAsia" w:ascii="仿宋" w:hAnsi="仿宋" w:eastAsia="仿宋" w:cs="仿宋"/>
                <w:color w:val="auto"/>
                <w:sz w:val="24"/>
                <w:highlight w:val="none"/>
              </w:rPr>
            </w:pPr>
          </w:p>
        </w:tc>
        <w:tc>
          <w:tcPr>
            <w:tcW w:w="980" w:type="dxa"/>
            <w:tcBorders>
              <w:top w:val="single" w:color="auto" w:sz="4" w:space="0"/>
              <w:left w:val="single" w:color="auto" w:sz="4" w:space="0"/>
              <w:bottom w:val="single" w:color="auto" w:sz="4" w:space="0"/>
              <w:right w:val="single" w:color="auto" w:sz="4" w:space="0"/>
            </w:tcBorders>
            <w:noWrap w:val="0"/>
            <w:vAlign w:val="center"/>
          </w:tcPr>
          <w:p w14:paraId="73A15120">
            <w:pPr>
              <w:spacing w:line="360" w:lineRule="auto"/>
              <w:jc w:val="center"/>
              <w:rPr>
                <w:rFonts w:hint="eastAsia" w:ascii="仿宋" w:hAnsi="仿宋" w:eastAsia="仿宋" w:cs="仿宋"/>
                <w:color w:val="auto"/>
                <w:sz w:val="24"/>
                <w:highlight w:val="none"/>
              </w:rPr>
            </w:pPr>
          </w:p>
        </w:tc>
        <w:tc>
          <w:tcPr>
            <w:tcW w:w="925" w:type="dxa"/>
            <w:tcBorders>
              <w:top w:val="single" w:color="auto" w:sz="4" w:space="0"/>
              <w:left w:val="single" w:color="auto" w:sz="4" w:space="0"/>
              <w:bottom w:val="single" w:color="auto" w:sz="4" w:space="0"/>
              <w:right w:val="single" w:color="auto" w:sz="4" w:space="0"/>
            </w:tcBorders>
            <w:noWrap w:val="0"/>
            <w:vAlign w:val="center"/>
          </w:tcPr>
          <w:p w14:paraId="4F61BC3D">
            <w:pPr>
              <w:spacing w:line="360" w:lineRule="auto"/>
              <w:jc w:val="center"/>
              <w:rPr>
                <w:rFonts w:hint="eastAsia" w:ascii="仿宋" w:hAnsi="仿宋" w:eastAsia="仿宋" w:cs="仿宋"/>
                <w:color w:val="auto"/>
                <w:sz w:val="24"/>
                <w:highlight w:val="none"/>
              </w:rPr>
            </w:pPr>
          </w:p>
        </w:tc>
        <w:tc>
          <w:tcPr>
            <w:tcW w:w="1462" w:type="dxa"/>
            <w:tcBorders>
              <w:top w:val="single" w:color="auto" w:sz="4" w:space="0"/>
              <w:left w:val="single" w:color="auto" w:sz="4" w:space="0"/>
              <w:bottom w:val="single" w:color="auto" w:sz="4" w:space="0"/>
              <w:right w:val="single" w:color="auto" w:sz="4" w:space="0"/>
            </w:tcBorders>
            <w:noWrap w:val="0"/>
            <w:vAlign w:val="top"/>
          </w:tcPr>
          <w:p w14:paraId="58FC02F4">
            <w:pPr>
              <w:spacing w:line="360" w:lineRule="auto"/>
              <w:jc w:val="center"/>
              <w:rPr>
                <w:rFonts w:hint="eastAsia" w:ascii="仿宋" w:hAnsi="仿宋" w:eastAsia="仿宋" w:cs="仿宋"/>
                <w:color w:val="auto"/>
                <w:sz w:val="24"/>
                <w:highlight w:val="none"/>
              </w:rPr>
            </w:pPr>
          </w:p>
        </w:tc>
        <w:tc>
          <w:tcPr>
            <w:tcW w:w="1155" w:type="dxa"/>
            <w:tcBorders>
              <w:top w:val="single" w:color="auto" w:sz="4" w:space="0"/>
              <w:left w:val="single" w:color="auto" w:sz="4" w:space="0"/>
              <w:bottom w:val="single" w:color="auto" w:sz="4" w:space="0"/>
              <w:right w:val="single" w:color="auto" w:sz="4" w:space="0"/>
            </w:tcBorders>
            <w:noWrap w:val="0"/>
            <w:vAlign w:val="center"/>
          </w:tcPr>
          <w:p w14:paraId="608E35FF">
            <w:pPr>
              <w:spacing w:line="360" w:lineRule="auto"/>
              <w:jc w:val="center"/>
              <w:rPr>
                <w:rFonts w:hint="eastAsia" w:ascii="仿宋" w:hAnsi="仿宋" w:eastAsia="仿宋" w:cs="仿宋"/>
                <w:color w:val="auto"/>
                <w:sz w:val="24"/>
                <w:highlight w:val="none"/>
              </w:rPr>
            </w:pPr>
          </w:p>
        </w:tc>
        <w:tc>
          <w:tcPr>
            <w:tcW w:w="1260" w:type="dxa"/>
            <w:tcBorders>
              <w:top w:val="single" w:color="auto" w:sz="4" w:space="0"/>
              <w:left w:val="single" w:color="auto" w:sz="4" w:space="0"/>
              <w:bottom w:val="single" w:color="auto" w:sz="4" w:space="0"/>
              <w:right w:val="single" w:color="auto" w:sz="12" w:space="0"/>
            </w:tcBorders>
            <w:noWrap w:val="0"/>
            <w:vAlign w:val="center"/>
          </w:tcPr>
          <w:p w14:paraId="582B56CA">
            <w:pPr>
              <w:spacing w:line="360" w:lineRule="auto"/>
              <w:jc w:val="center"/>
              <w:rPr>
                <w:rFonts w:hint="eastAsia" w:ascii="仿宋" w:hAnsi="仿宋" w:eastAsia="仿宋" w:cs="仿宋"/>
                <w:color w:val="auto"/>
                <w:sz w:val="24"/>
                <w:highlight w:val="none"/>
              </w:rPr>
            </w:pPr>
          </w:p>
        </w:tc>
      </w:tr>
      <w:tr w14:paraId="42E6B3A0">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40" w:type="dxa"/>
            <w:tcBorders>
              <w:top w:val="single" w:color="auto" w:sz="4" w:space="0"/>
              <w:left w:val="single" w:color="auto" w:sz="12" w:space="0"/>
              <w:bottom w:val="single" w:color="auto" w:sz="4" w:space="0"/>
              <w:right w:val="single" w:color="auto" w:sz="4" w:space="0"/>
            </w:tcBorders>
            <w:noWrap w:val="0"/>
            <w:vAlign w:val="center"/>
          </w:tcPr>
          <w:p w14:paraId="7058C224">
            <w:pPr>
              <w:spacing w:line="360" w:lineRule="auto"/>
              <w:jc w:val="center"/>
              <w:rPr>
                <w:rFonts w:hint="eastAsia" w:ascii="仿宋" w:hAnsi="仿宋" w:eastAsia="仿宋" w:cs="仿宋"/>
                <w:color w:val="auto"/>
                <w:sz w:val="24"/>
                <w:highlight w:val="none"/>
              </w:rPr>
            </w:pPr>
          </w:p>
        </w:tc>
        <w:tc>
          <w:tcPr>
            <w:tcW w:w="1127" w:type="dxa"/>
            <w:tcBorders>
              <w:top w:val="single" w:color="auto" w:sz="4" w:space="0"/>
              <w:left w:val="single" w:color="auto" w:sz="4" w:space="0"/>
              <w:bottom w:val="single" w:color="auto" w:sz="4" w:space="0"/>
              <w:right w:val="single" w:color="auto" w:sz="4" w:space="0"/>
            </w:tcBorders>
            <w:noWrap w:val="0"/>
            <w:vAlign w:val="center"/>
          </w:tcPr>
          <w:p w14:paraId="68BBD253">
            <w:pPr>
              <w:spacing w:line="360" w:lineRule="auto"/>
              <w:jc w:val="center"/>
              <w:rPr>
                <w:rFonts w:hint="eastAsia" w:ascii="仿宋" w:hAnsi="仿宋" w:eastAsia="仿宋" w:cs="仿宋"/>
                <w:color w:val="auto"/>
                <w:sz w:val="24"/>
                <w:highlight w:val="none"/>
              </w:rPr>
            </w:pPr>
          </w:p>
        </w:tc>
        <w:tc>
          <w:tcPr>
            <w:tcW w:w="1049" w:type="dxa"/>
            <w:tcBorders>
              <w:top w:val="single" w:color="auto" w:sz="4" w:space="0"/>
              <w:left w:val="single" w:color="auto" w:sz="4" w:space="0"/>
              <w:bottom w:val="single" w:color="auto" w:sz="4" w:space="0"/>
              <w:right w:val="single" w:color="auto" w:sz="4" w:space="0"/>
            </w:tcBorders>
            <w:noWrap w:val="0"/>
            <w:vAlign w:val="center"/>
          </w:tcPr>
          <w:p w14:paraId="75F385BC">
            <w:pPr>
              <w:spacing w:line="360" w:lineRule="auto"/>
              <w:jc w:val="center"/>
              <w:rPr>
                <w:rFonts w:hint="eastAsia" w:ascii="仿宋" w:hAnsi="仿宋" w:eastAsia="仿宋" w:cs="仿宋"/>
                <w:color w:val="auto"/>
                <w:sz w:val="24"/>
                <w:highlight w:val="none"/>
              </w:rPr>
            </w:pPr>
          </w:p>
        </w:tc>
        <w:tc>
          <w:tcPr>
            <w:tcW w:w="1013" w:type="dxa"/>
            <w:tcBorders>
              <w:top w:val="single" w:color="auto" w:sz="4" w:space="0"/>
              <w:left w:val="single" w:color="auto" w:sz="4" w:space="0"/>
              <w:bottom w:val="single" w:color="auto" w:sz="4" w:space="0"/>
              <w:right w:val="single" w:color="auto" w:sz="4" w:space="0"/>
            </w:tcBorders>
            <w:noWrap w:val="0"/>
            <w:vAlign w:val="center"/>
          </w:tcPr>
          <w:p w14:paraId="64D2A70E">
            <w:pPr>
              <w:spacing w:line="360" w:lineRule="auto"/>
              <w:jc w:val="center"/>
              <w:rPr>
                <w:rFonts w:hint="eastAsia" w:ascii="仿宋" w:hAnsi="仿宋" w:eastAsia="仿宋" w:cs="仿宋"/>
                <w:color w:val="auto"/>
                <w:sz w:val="24"/>
                <w:highlight w:val="none"/>
              </w:rPr>
            </w:pPr>
          </w:p>
        </w:tc>
        <w:tc>
          <w:tcPr>
            <w:tcW w:w="980" w:type="dxa"/>
            <w:tcBorders>
              <w:top w:val="single" w:color="auto" w:sz="4" w:space="0"/>
              <w:left w:val="single" w:color="auto" w:sz="4" w:space="0"/>
              <w:bottom w:val="single" w:color="auto" w:sz="4" w:space="0"/>
              <w:right w:val="single" w:color="auto" w:sz="4" w:space="0"/>
            </w:tcBorders>
            <w:noWrap w:val="0"/>
            <w:vAlign w:val="center"/>
          </w:tcPr>
          <w:p w14:paraId="07C986F6">
            <w:pPr>
              <w:spacing w:line="360" w:lineRule="auto"/>
              <w:jc w:val="center"/>
              <w:rPr>
                <w:rFonts w:hint="eastAsia" w:ascii="仿宋" w:hAnsi="仿宋" w:eastAsia="仿宋" w:cs="仿宋"/>
                <w:color w:val="auto"/>
                <w:sz w:val="24"/>
                <w:highlight w:val="none"/>
              </w:rPr>
            </w:pPr>
          </w:p>
        </w:tc>
        <w:tc>
          <w:tcPr>
            <w:tcW w:w="925" w:type="dxa"/>
            <w:tcBorders>
              <w:top w:val="single" w:color="auto" w:sz="4" w:space="0"/>
              <w:left w:val="single" w:color="auto" w:sz="4" w:space="0"/>
              <w:bottom w:val="single" w:color="auto" w:sz="4" w:space="0"/>
              <w:right w:val="single" w:color="auto" w:sz="4" w:space="0"/>
            </w:tcBorders>
            <w:noWrap w:val="0"/>
            <w:vAlign w:val="center"/>
          </w:tcPr>
          <w:p w14:paraId="39B10E20">
            <w:pPr>
              <w:spacing w:line="360" w:lineRule="auto"/>
              <w:jc w:val="center"/>
              <w:rPr>
                <w:rFonts w:hint="eastAsia" w:ascii="仿宋" w:hAnsi="仿宋" w:eastAsia="仿宋" w:cs="仿宋"/>
                <w:color w:val="auto"/>
                <w:sz w:val="24"/>
                <w:highlight w:val="none"/>
              </w:rPr>
            </w:pPr>
          </w:p>
        </w:tc>
        <w:tc>
          <w:tcPr>
            <w:tcW w:w="1462" w:type="dxa"/>
            <w:tcBorders>
              <w:top w:val="single" w:color="auto" w:sz="4" w:space="0"/>
              <w:left w:val="single" w:color="auto" w:sz="4" w:space="0"/>
              <w:bottom w:val="single" w:color="auto" w:sz="4" w:space="0"/>
              <w:right w:val="single" w:color="auto" w:sz="4" w:space="0"/>
            </w:tcBorders>
            <w:noWrap w:val="0"/>
            <w:vAlign w:val="top"/>
          </w:tcPr>
          <w:p w14:paraId="40E8CA72">
            <w:pPr>
              <w:spacing w:line="360" w:lineRule="auto"/>
              <w:jc w:val="center"/>
              <w:rPr>
                <w:rFonts w:hint="eastAsia" w:ascii="仿宋" w:hAnsi="仿宋" w:eastAsia="仿宋" w:cs="仿宋"/>
                <w:color w:val="auto"/>
                <w:sz w:val="24"/>
                <w:highlight w:val="none"/>
              </w:rPr>
            </w:pPr>
          </w:p>
        </w:tc>
        <w:tc>
          <w:tcPr>
            <w:tcW w:w="1155" w:type="dxa"/>
            <w:tcBorders>
              <w:top w:val="single" w:color="auto" w:sz="4" w:space="0"/>
              <w:left w:val="single" w:color="auto" w:sz="4" w:space="0"/>
              <w:bottom w:val="single" w:color="auto" w:sz="4" w:space="0"/>
              <w:right w:val="single" w:color="auto" w:sz="4" w:space="0"/>
            </w:tcBorders>
            <w:noWrap w:val="0"/>
            <w:vAlign w:val="center"/>
          </w:tcPr>
          <w:p w14:paraId="3575F860">
            <w:pPr>
              <w:spacing w:line="360" w:lineRule="auto"/>
              <w:jc w:val="center"/>
              <w:rPr>
                <w:rFonts w:hint="eastAsia" w:ascii="仿宋" w:hAnsi="仿宋" w:eastAsia="仿宋" w:cs="仿宋"/>
                <w:color w:val="auto"/>
                <w:sz w:val="24"/>
                <w:highlight w:val="none"/>
              </w:rPr>
            </w:pPr>
          </w:p>
        </w:tc>
        <w:tc>
          <w:tcPr>
            <w:tcW w:w="1260" w:type="dxa"/>
            <w:tcBorders>
              <w:top w:val="single" w:color="auto" w:sz="4" w:space="0"/>
              <w:left w:val="single" w:color="auto" w:sz="4" w:space="0"/>
              <w:bottom w:val="single" w:color="auto" w:sz="4" w:space="0"/>
              <w:right w:val="single" w:color="auto" w:sz="12" w:space="0"/>
            </w:tcBorders>
            <w:noWrap w:val="0"/>
            <w:vAlign w:val="center"/>
          </w:tcPr>
          <w:p w14:paraId="459B710A">
            <w:pPr>
              <w:spacing w:line="360" w:lineRule="auto"/>
              <w:jc w:val="center"/>
              <w:rPr>
                <w:rFonts w:hint="eastAsia" w:ascii="仿宋" w:hAnsi="仿宋" w:eastAsia="仿宋" w:cs="仿宋"/>
                <w:color w:val="auto"/>
                <w:sz w:val="24"/>
                <w:highlight w:val="none"/>
              </w:rPr>
            </w:pPr>
          </w:p>
        </w:tc>
      </w:tr>
      <w:tr w14:paraId="7E31C000">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40" w:type="dxa"/>
            <w:tcBorders>
              <w:top w:val="single" w:color="auto" w:sz="4" w:space="0"/>
              <w:left w:val="single" w:color="auto" w:sz="12" w:space="0"/>
              <w:bottom w:val="single" w:color="auto" w:sz="4" w:space="0"/>
              <w:right w:val="single" w:color="auto" w:sz="4" w:space="0"/>
            </w:tcBorders>
            <w:noWrap w:val="0"/>
            <w:vAlign w:val="center"/>
          </w:tcPr>
          <w:p w14:paraId="2DF13723">
            <w:pPr>
              <w:spacing w:line="360" w:lineRule="auto"/>
              <w:jc w:val="center"/>
              <w:rPr>
                <w:rFonts w:hint="eastAsia" w:ascii="仿宋" w:hAnsi="仿宋" w:eastAsia="仿宋" w:cs="仿宋"/>
                <w:color w:val="auto"/>
                <w:sz w:val="24"/>
                <w:highlight w:val="none"/>
              </w:rPr>
            </w:pPr>
          </w:p>
        </w:tc>
        <w:tc>
          <w:tcPr>
            <w:tcW w:w="1127" w:type="dxa"/>
            <w:tcBorders>
              <w:top w:val="single" w:color="auto" w:sz="4" w:space="0"/>
              <w:left w:val="single" w:color="auto" w:sz="4" w:space="0"/>
              <w:bottom w:val="single" w:color="auto" w:sz="4" w:space="0"/>
              <w:right w:val="single" w:color="auto" w:sz="4" w:space="0"/>
            </w:tcBorders>
            <w:noWrap w:val="0"/>
            <w:vAlign w:val="center"/>
          </w:tcPr>
          <w:p w14:paraId="39D71ACA">
            <w:pPr>
              <w:spacing w:line="360" w:lineRule="auto"/>
              <w:jc w:val="center"/>
              <w:rPr>
                <w:rFonts w:hint="eastAsia" w:ascii="仿宋" w:hAnsi="仿宋" w:eastAsia="仿宋" w:cs="仿宋"/>
                <w:color w:val="auto"/>
                <w:sz w:val="24"/>
                <w:highlight w:val="none"/>
              </w:rPr>
            </w:pPr>
          </w:p>
        </w:tc>
        <w:tc>
          <w:tcPr>
            <w:tcW w:w="1049" w:type="dxa"/>
            <w:tcBorders>
              <w:top w:val="single" w:color="auto" w:sz="4" w:space="0"/>
              <w:left w:val="single" w:color="auto" w:sz="4" w:space="0"/>
              <w:bottom w:val="single" w:color="auto" w:sz="4" w:space="0"/>
              <w:right w:val="single" w:color="auto" w:sz="4" w:space="0"/>
            </w:tcBorders>
            <w:noWrap w:val="0"/>
            <w:vAlign w:val="center"/>
          </w:tcPr>
          <w:p w14:paraId="7908D0A1">
            <w:pPr>
              <w:spacing w:line="360" w:lineRule="auto"/>
              <w:jc w:val="center"/>
              <w:rPr>
                <w:rFonts w:hint="eastAsia" w:ascii="仿宋" w:hAnsi="仿宋" w:eastAsia="仿宋" w:cs="仿宋"/>
                <w:color w:val="auto"/>
                <w:sz w:val="24"/>
                <w:highlight w:val="none"/>
              </w:rPr>
            </w:pPr>
          </w:p>
        </w:tc>
        <w:tc>
          <w:tcPr>
            <w:tcW w:w="1013" w:type="dxa"/>
            <w:tcBorders>
              <w:top w:val="single" w:color="auto" w:sz="4" w:space="0"/>
              <w:left w:val="single" w:color="auto" w:sz="4" w:space="0"/>
              <w:bottom w:val="single" w:color="auto" w:sz="4" w:space="0"/>
              <w:right w:val="single" w:color="auto" w:sz="4" w:space="0"/>
            </w:tcBorders>
            <w:noWrap w:val="0"/>
            <w:vAlign w:val="center"/>
          </w:tcPr>
          <w:p w14:paraId="07EBB729">
            <w:pPr>
              <w:spacing w:line="360" w:lineRule="auto"/>
              <w:jc w:val="center"/>
              <w:rPr>
                <w:rFonts w:hint="eastAsia" w:ascii="仿宋" w:hAnsi="仿宋" w:eastAsia="仿宋" w:cs="仿宋"/>
                <w:color w:val="auto"/>
                <w:sz w:val="24"/>
                <w:highlight w:val="none"/>
              </w:rPr>
            </w:pPr>
          </w:p>
        </w:tc>
        <w:tc>
          <w:tcPr>
            <w:tcW w:w="980" w:type="dxa"/>
            <w:tcBorders>
              <w:top w:val="single" w:color="auto" w:sz="4" w:space="0"/>
              <w:left w:val="single" w:color="auto" w:sz="4" w:space="0"/>
              <w:bottom w:val="single" w:color="auto" w:sz="4" w:space="0"/>
              <w:right w:val="single" w:color="auto" w:sz="4" w:space="0"/>
            </w:tcBorders>
            <w:noWrap w:val="0"/>
            <w:vAlign w:val="center"/>
          </w:tcPr>
          <w:p w14:paraId="5D36F76E">
            <w:pPr>
              <w:spacing w:line="360" w:lineRule="auto"/>
              <w:jc w:val="center"/>
              <w:rPr>
                <w:rFonts w:hint="eastAsia" w:ascii="仿宋" w:hAnsi="仿宋" w:eastAsia="仿宋" w:cs="仿宋"/>
                <w:color w:val="auto"/>
                <w:sz w:val="24"/>
                <w:highlight w:val="none"/>
              </w:rPr>
            </w:pPr>
          </w:p>
        </w:tc>
        <w:tc>
          <w:tcPr>
            <w:tcW w:w="925" w:type="dxa"/>
            <w:tcBorders>
              <w:top w:val="single" w:color="auto" w:sz="4" w:space="0"/>
              <w:left w:val="single" w:color="auto" w:sz="4" w:space="0"/>
              <w:bottom w:val="single" w:color="auto" w:sz="4" w:space="0"/>
              <w:right w:val="single" w:color="auto" w:sz="4" w:space="0"/>
            </w:tcBorders>
            <w:noWrap w:val="0"/>
            <w:vAlign w:val="center"/>
          </w:tcPr>
          <w:p w14:paraId="6BECF36B">
            <w:pPr>
              <w:spacing w:line="360" w:lineRule="auto"/>
              <w:jc w:val="center"/>
              <w:rPr>
                <w:rFonts w:hint="eastAsia" w:ascii="仿宋" w:hAnsi="仿宋" w:eastAsia="仿宋" w:cs="仿宋"/>
                <w:color w:val="auto"/>
                <w:sz w:val="24"/>
                <w:highlight w:val="none"/>
              </w:rPr>
            </w:pPr>
          </w:p>
        </w:tc>
        <w:tc>
          <w:tcPr>
            <w:tcW w:w="1462" w:type="dxa"/>
            <w:tcBorders>
              <w:top w:val="single" w:color="auto" w:sz="4" w:space="0"/>
              <w:left w:val="single" w:color="auto" w:sz="4" w:space="0"/>
              <w:bottom w:val="single" w:color="auto" w:sz="4" w:space="0"/>
              <w:right w:val="single" w:color="auto" w:sz="4" w:space="0"/>
            </w:tcBorders>
            <w:noWrap w:val="0"/>
            <w:vAlign w:val="top"/>
          </w:tcPr>
          <w:p w14:paraId="37EAFFFB">
            <w:pPr>
              <w:spacing w:line="360" w:lineRule="auto"/>
              <w:jc w:val="center"/>
              <w:rPr>
                <w:rFonts w:hint="eastAsia" w:ascii="仿宋" w:hAnsi="仿宋" w:eastAsia="仿宋" w:cs="仿宋"/>
                <w:color w:val="auto"/>
                <w:sz w:val="24"/>
                <w:highlight w:val="none"/>
              </w:rPr>
            </w:pPr>
          </w:p>
        </w:tc>
        <w:tc>
          <w:tcPr>
            <w:tcW w:w="1155" w:type="dxa"/>
            <w:tcBorders>
              <w:top w:val="single" w:color="auto" w:sz="4" w:space="0"/>
              <w:left w:val="single" w:color="auto" w:sz="4" w:space="0"/>
              <w:bottom w:val="single" w:color="auto" w:sz="4" w:space="0"/>
              <w:right w:val="single" w:color="auto" w:sz="4" w:space="0"/>
            </w:tcBorders>
            <w:noWrap w:val="0"/>
            <w:vAlign w:val="center"/>
          </w:tcPr>
          <w:p w14:paraId="1FD35EA7">
            <w:pPr>
              <w:spacing w:line="360" w:lineRule="auto"/>
              <w:jc w:val="center"/>
              <w:rPr>
                <w:rFonts w:hint="eastAsia" w:ascii="仿宋" w:hAnsi="仿宋" w:eastAsia="仿宋" w:cs="仿宋"/>
                <w:color w:val="auto"/>
                <w:sz w:val="24"/>
                <w:highlight w:val="none"/>
              </w:rPr>
            </w:pPr>
          </w:p>
        </w:tc>
        <w:tc>
          <w:tcPr>
            <w:tcW w:w="1260" w:type="dxa"/>
            <w:tcBorders>
              <w:top w:val="single" w:color="auto" w:sz="4" w:space="0"/>
              <w:left w:val="single" w:color="auto" w:sz="4" w:space="0"/>
              <w:bottom w:val="single" w:color="auto" w:sz="4" w:space="0"/>
              <w:right w:val="single" w:color="auto" w:sz="12" w:space="0"/>
            </w:tcBorders>
            <w:noWrap w:val="0"/>
            <w:vAlign w:val="center"/>
          </w:tcPr>
          <w:p w14:paraId="7A6857F2">
            <w:pPr>
              <w:spacing w:line="360" w:lineRule="auto"/>
              <w:jc w:val="center"/>
              <w:rPr>
                <w:rFonts w:hint="eastAsia" w:ascii="仿宋" w:hAnsi="仿宋" w:eastAsia="仿宋" w:cs="仿宋"/>
                <w:color w:val="auto"/>
                <w:sz w:val="24"/>
                <w:highlight w:val="none"/>
              </w:rPr>
            </w:pPr>
          </w:p>
        </w:tc>
      </w:tr>
      <w:tr w14:paraId="5D678E64">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40" w:type="dxa"/>
            <w:tcBorders>
              <w:top w:val="single" w:color="auto" w:sz="4" w:space="0"/>
              <w:left w:val="single" w:color="auto" w:sz="12" w:space="0"/>
              <w:bottom w:val="single" w:color="auto" w:sz="4" w:space="0"/>
              <w:right w:val="single" w:color="auto" w:sz="4" w:space="0"/>
            </w:tcBorders>
            <w:noWrap w:val="0"/>
            <w:vAlign w:val="center"/>
          </w:tcPr>
          <w:p w14:paraId="69ACA36A">
            <w:pPr>
              <w:spacing w:line="360" w:lineRule="auto"/>
              <w:jc w:val="center"/>
              <w:rPr>
                <w:rFonts w:hint="eastAsia" w:ascii="仿宋" w:hAnsi="仿宋" w:eastAsia="仿宋" w:cs="仿宋"/>
                <w:color w:val="auto"/>
                <w:sz w:val="24"/>
                <w:highlight w:val="none"/>
              </w:rPr>
            </w:pPr>
          </w:p>
        </w:tc>
        <w:tc>
          <w:tcPr>
            <w:tcW w:w="1127" w:type="dxa"/>
            <w:tcBorders>
              <w:top w:val="single" w:color="auto" w:sz="4" w:space="0"/>
              <w:left w:val="single" w:color="auto" w:sz="4" w:space="0"/>
              <w:bottom w:val="single" w:color="auto" w:sz="4" w:space="0"/>
              <w:right w:val="single" w:color="auto" w:sz="4" w:space="0"/>
            </w:tcBorders>
            <w:noWrap w:val="0"/>
            <w:vAlign w:val="center"/>
          </w:tcPr>
          <w:p w14:paraId="241AFCC7">
            <w:pPr>
              <w:spacing w:line="360" w:lineRule="auto"/>
              <w:jc w:val="center"/>
              <w:rPr>
                <w:rFonts w:hint="eastAsia" w:ascii="仿宋" w:hAnsi="仿宋" w:eastAsia="仿宋" w:cs="仿宋"/>
                <w:color w:val="auto"/>
                <w:sz w:val="24"/>
                <w:highlight w:val="none"/>
              </w:rPr>
            </w:pPr>
          </w:p>
        </w:tc>
        <w:tc>
          <w:tcPr>
            <w:tcW w:w="1049" w:type="dxa"/>
            <w:tcBorders>
              <w:top w:val="single" w:color="auto" w:sz="4" w:space="0"/>
              <w:left w:val="single" w:color="auto" w:sz="4" w:space="0"/>
              <w:bottom w:val="single" w:color="auto" w:sz="4" w:space="0"/>
              <w:right w:val="single" w:color="auto" w:sz="4" w:space="0"/>
            </w:tcBorders>
            <w:noWrap w:val="0"/>
            <w:vAlign w:val="center"/>
          </w:tcPr>
          <w:p w14:paraId="2027A8F1">
            <w:pPr>
              <w:spacing w:line="360" w:lineRule="auto"/>
              <w:jc w:val="center"/>
              <w:rPr>
                <w:rFonts w:hint="eastAsia" w:ascii="仿宋" w:hAnsi="仿宋" w:eastAsia="仿宋" w:cs="仿宋"/>
                <w:color w:val="auto"/>
                <w:sz w:val="24"/>
                <w:highlight w:val="none"/>
              </w:rPr>
            </w:pPr>
          </w:p>
        </w:tc>
        <w:tc>
          <w:tcPr>
            <w:tcW w:w="1013" w:type="dxa"/>
            <w:tcBorders>
              <w:top w:val="single" w:color="auto" w:sz="4" w:space="0"/>
              <w:left w:val="single" w:color="auto" w:sz="4" w:space="0"/>
              <w:bottom w:val="single" w:color="auto" w:sz="4" w:space="0"/>
              <w:right w:val="single" w:color="auto" w:sz="4" w:space="0"/>
            </w:tcBorders>
            <w:noWrap w:val="0"/>
            <w:vAlign w:val="center"/>
          </w:tcPr>
          <w:p w14:paraId="6C727F02">
            <w:pPr>
              <w:spacing w:line="360" w:lineRule="auto"/>
              <w:jc w:val="center"/>
              <w:rPr>
                <w:rFonts w:hint="eastAsia" w:ascii="仿宋" w:hAnsi="仿宋" w:eastAsia="仿宋" w:cs="仿宋"/>
                <w:color w:val="auto"/>
                <w:sz w:val="24"/>
                <w:highlight w:val="none"/>
              </w:rPr>
            </w:pPr>
          </w:p>
        </w:tc>
        <w:tc>
          <w:tcPr>
            <w:tcW w:w="980" w:type="dxa"/>
            <w:tcBorders>
              <w:top w:val="single" w:color="auto" w:sz="4" w:space="0"/>
              <w:left w:val="single" w:color="auto" w:sz="4" w:space="0"/>
              <w:bottom w:val="single" w:color="auto" w:sz="4" w:space="0"/>
              <w:right w:val="single" w:color="auto" w:sz="4" w:space="0"/>
            </w:tcBorders>
            <w:noWrap w:val="0"/>
            <w:vAlign w:val="center"/>
          </w:tcPr>
          <w:p w14:paraId="5E80D3FE">
            <w:pPr>
              <w:spacing w:line="360" w:lineRule="auto"/>
              <w:jc w:val="center"/>
              <w:rPr>
                <w:rFonts w:hint="eastAsia" w:ascii="仿宋" w:hAnsi="仿宋" w:eastAsia="仿宋" w:cs="仿宋"/>
                <w:color w:val="auto"/>
                <w:sz w:val="24"/>
                <w:highlight w:val="none"/>
              </w:rPr>
            </w:pPr>
          </w:p>
        </w:tc>
        <w:tc>
          <w:tcPr>
            <w:tcW w:w="925" w:type="dxa"/>
            <w:tcBorders>
              <w:top w:val="single" w:color="auto" w:sz="4" w:space="0"/>
              <w:left w:val="single" w:color="auto" w:sz="4" w:space="0"/>
              <w:bottom w:val="single" w:color="auto" w:sz="4" w:space="0"/>
              <w:right w:val="single" w:color="auto" w:sz="4" w:space="0"/>
            </w:tcBorders>
            <w:noWrap w:val="0"/>
            <w:vAlign w:val="center"/>
          </w:tcPr>
          <w:p w14:paraId="1BC9CDF4">
            <w:pPr>
              <w:spacing w:line="360" w:lineRule="auto"/>
              <w:jc w:val="center"/>
              <w:rPr>
                <w:rFonts w:hint="eastAsia" w:ascii="仿宋" w:hAnsi="仿宋" w:eastAsia="仿宋" w:cs="仿宋"/>
                <w:color w:val="auto"/>
                <w:sz w:val="24"/>
                <w:highlight w:val="none"/>
              </w:rPr>
            </w:pPr>
          </w:p>
        </w:tc>
        <w:tc>
          <w:tcPr>
            <w:tcW w:w="1462" w:type="dxa"/>
            <w:tcBorders>
              <w:top w:val="single" w:color="auto" w:sz="4" w:space="0"/>
              <w:left w:val="single" w:color="auto" w:sz="4" w:space="0"/>
              <w:bottom w:val="single" w:color="auto" w:sz="4" w:space="0"/>
              <w:right w:val="single" w:color="auto" w:sz="4" w:space="0"/>
            </w:tcBorders>
            <w:noWrap w:val="0"/>
            <w:vAlign w:val="top"/>
          </w:tcPr>
          <w:p w14:paraId="7D0EC412">
            <w:pPr>
              <w:spacing w:line="360" w:lineRule="auto"/>
              <w:jc w:val="center"/>
              <w:rPr>
                <w:rFonts w:hint="eastAsia" w:ascii="仿宋" w:hAnsi="仿宋" w:eastAsia="仿宋" w:cs="仿宋"/>
                <w:color w:val="auto"/>
                <w:sz w:val="24"/>
                <w:highlight w:val="none"/>
              </w:rPr>
            </w:pPr>
          </w:p>
        </w:tc>
        <w:tc>
          <w:tcPr>
            <w:tcW w:w="1155" w:type="dxa"/>
            <w:tcBorders>
              <w:top w:val="single" w:color="auto" w:sz="4" w:space="0"/>
              <w:left w:val="single" w:color="auto" w:sz="4" w:space="0"/>
              <w:bottom w:val="single" w:color="auto" w:sz="4" w:space="0"/>
              <w:right w:val="single" w:color="auto" w:sz="4" w:space="0"/>
            </w:tcBorders>
            <w:noWrap w:val="0"/>
            <w:vAlign w:val="center"/>
          </w:tcPr>
          <w:p w14:paraId="504046F4">
            <w:pPr>
              <w:spacing w:line="360" w:lineRule="auto"/>
              <w:jc w:val="center"/>
              <w:rPr>
                <w:rFonts w:hint="eastAsia" w:ascii="仿宋" w:hAnsi="仿宋" w:eastAsia="仿宋" w:cs="仿宋"/>
                <w:color w:val="auto"/>
                <w:sz w:val="24"/>
                <w:highlight w:val="none"/>
              </w:rPr>
            </w:pPr>
          </w:p>
        </w:tc>
        <w:tc>
          <w:tcPr>
            <w:tcW w:w="1260" w:type="dxa"/>
            <w:tcBorders>
              <w:top w:val="single" w:color="auto" w:sz="4" w:space="0"/>
              <w:left w:val="single" w:color="auto" w:sz="4" w:space="0"/>
              <w:bottom w:val="single" w:color="auto" w:sz="4" w:space="0"/>
              <w:right w:val="single" w:color="auto" w:sz="12" w:space="0"/>
            </w:tcBorders>
            <w:noWrap w:val="0"/>
            <w:vAlign w:val="center"/>
          </w:tcPr>
          <w:p w14:paraId="433A04FB">
            <w:pPr>
              <w:spacing w:line="360" w:lineRule="auto"/>
              <w:jc w:val="center"/>
              <w:rPr>
                <w:rFonts w:hint="eastAsia" w:ascii="仿宋" w:hAnsi="仿宋" w:eastAsia="仿宋" w:cs="仿宋"/>
                <w:color w:val="auto"/>
                <w:sz w:val="24"/>
                <w:highlight w:val="none"/>
              </w:rPr>
            </w:pPr>
          </w:p>
        </w:tc>
      </w:tr>
      <w:tr w14:paraId="75D026D9">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40" w:type="dxa"/>
            <w:tcBorders>
              <w:top w:val="single" w:color="auto" w:sz="4" w:space="0"/>
              <w:left w:val="single" w:color="auto" w:sz="12" w:space="0"/>
              <w:bottom w:val="single" w:color="auto" w:sz="4" w:space="0"/>
              <w:right w:val="single" w:color="auto" w:sz="4" w:space="0"/>
            </w:tcBorders>
            <w:noWrap w:val="0"/>
            <w:vAlign w:val="center"/>
          </w:tcPr>
          <w:p w14:paraId="53FDE08C">
            <w:pPr>
              <w:spacing w:line="360" w:lineRule="auto"/>
              <w:jc w:val="center"/>
              <w:rPr>
                <w:rFonts w:hint="eastAsia" w:ascii="仿宋" w:hAnsi="仿宋" w:eastAsia="仿宋" w:cs="仿宋"/>
                <w:color w:val="auto"/>
                <w:sz w:val="24"/>
                <w:highlight w:val="none"/>
              </w:rPr>
            </w:pPr>
          </w:p>
        </w:tc>
        <w:tc>
          <w:tcPr>
            <w:tcW w:w="1127" w:type="dxa"/>
            <w:tcBorders>
              <w:top w:val="single" w:color="auto" w:sz="4" w:space="0"/>
              <w:left w:val="single" w:color="auto" w:sz="4" w:space="0"/>
              <w:bottom w:val="single" w:color="auto" w:sz="4" w:space="0"/>
              <w:right w:val="single" w:color="auto" w:sz="4" w:space="0"/>
            </w:tcBorders>
            <w:noWrap w:val="0"/>
            <w:vAlign w:val="center"/>
          </w:tcPr>
          <w:p w14:paraId="06955594">
            <w:pPr>
              <w:spacing w:line="360" w:lineRule="auto"/>
              <w:jc w:val="center"/>
              <w:rPr>
                <w:rFonts w:hint="eastAsia" w:ascii="仿宋" w:hAnsi="仿宋" w:eastAsia="仿宋" w:cs="仿宋"/>
                <w:color w:val="auto"/>
                <w:sz w:val="24"/>
                <w:highlight w:val="none"/>
              </w:rPr>
            </w:pPr>
          </w:p>
        </w:tc>
        <w:tc>
          <w:tcPr>
            <w:tcW w:w="1049" w:type="dxa"/>
            <w:tcBorders>
              <w:top w:val="single" w:color="auto" w:sz="4" w:space="0"/>
              <w:left w:val="single" w:color="auto" w:sz="4" w:space="0"/>
              <w:bottom w:val="single" w:color="auto" w:sz="4" w:space="0"/>
              <w:right w:val="single" w:color="auto" w:sz="4" w:space="0"/>
            </w:tcBorders>
            <w:noWrap w:val="0"/>
            <w:vAlign w:val="center"/>
          </w:tcPr>
          <w:p w14:paraId="193AF80C">
            <w:pPr>
              <w:spacing w:line="360" w:lineRule="auto"/>
              <w:jc w:val="center"/>
              <w:rPr>
                <w:rFonts w:hint="eastAsia" w:ascii="仿宋" w:hAnsi="仿宋" w:eastAsia="仿宋" w:cs="仿宋"/>
                <w:color w:val="auto"/>
                <w:sz w:val="24"/>
                <w:highlight w:val="none"/>
              </w:rPr>
            </w:pPr>
          </w:p>
        </w:tc>
        <w:tc>
          <w:tcPr>
            <w:tcW w:w="1013" w:type="dxa"/>
            <w:tcBorders>
              <w:top w:val="single" w:color="auto" w:sz="4" w:space="0"/>
              <w:left w:val="single" w:color="auto" w:sz="4" w:space="0"/>
              <w:bottom w:val="single" w:color="auto" w:sz="4" w:space="0"/>
              <w:right w:val="single" w:color="auto" w:sz="4" w:space="0"/>
            </w:tcBorders>
            <w:noWrap w:val="0"/>
            <w:vAlign w:val="center"/>
          </w:tcPr>
          <w:p w14:paraId="5FBC58DA">
            <w:pPr>
              <w:spacing w:line="360" w:lineRule="auto"/>
              <w:jc w:val="center"/>
              <w:rPr>
                <w:rFonts w:hint="eastAsia" w:ascii="仿宋" w:hAnsi="仿宋" w:eastAsia="仿宋" w:cs="仿宋"/>
                <w:color w:val="auto"/>
                <w:sz w:val="24"/>
                <w:highlight w:val="none"/>
              </w:rPr>
            </w:pPr>
          </w:p>
        </w:tc>
        <w:tc>
          <w:tcPr>
            <w:tcW w:w="980" w:type="dxa"/>
            <w:tcBorders>
              <w:top w:val="single" w:color="auto" w:sz="4" w:space="0"/>
              <w:left w:val="single" w:color="auto" w:sz="4" w:space="0"/>
              <w:bottom w:val="single" w:color="auto" w:sz="4" w:space="0"/>
              <w:right w:val="single" w:color="auto" w:sz="4" w:space="0"/>
            </w:tcBorders>
            <w:noWrap w:val="0"/>
            <w:vAlign w:val="center"/>
          </w:tcPr>
          <w:p w14:paraId="04C2589E">
            <w:pPr>
              <w:spacing w:line="360" w:lineRule="auto"/>
              <w:jc w:val="center"/>
              <w:rPr>
                <w:rFonts w:hint="eastAsia" w:ascii="仿宋" w:hAnsi="仿宋" w:eastAsia="仿宋" w:cs="仿宋"/>
                <w:color w:val="auto"/>
                <w:sz w:val="24"/>
                <w:highlight w:val="none"/>
              </w:rPr>
            </w:pPr>
          </w:p>
        </w:tc>
        <w:tc>
          <w:tcPr>
            <w:tcW w:w="925" w:type="dxa"/>
            <w:tcBorders>
              <w:top w:val="single" w:color="auto" w:sz="4" w:space="0"/>
              <w:left w:val="single" w:color="auto" w:sz="4" w:space="0"/>
              <w:bottom w:val="single" w:color="auto" w:sz="4" w:space="0"/>
              <w:right w:val="single" w:color="auto" w:sz="4" w:space="0"/>
            </w:tcBorders>
            <w:noWrap w:val="0"/>
            <w:vAlign w:val="center"/>
          </w:tcPr>
          <w:p w14:paraId="7304701D">
            <w:pPr>
              <w:spacing w:line="360" w:lineRule="auto"/>
              <w:jc w:val="center"/>
              <w:rPr>
                <w:rFonts w:hint="eastAsia" w:ascii="仿宋" w:hAnsi="仿宋" w:eastAsia="仿宋" w:cs="仿宋"/>
                <w:color w:val="auto"/>
                <w:sz w:val="24"/>
                <w:highlight w:val="none"/>
              </w:rPr>
            </w:pPr>
          </w:p>
        </w:tc>
        <w:tc>
          <w:tcPr>
            <w:tcW w:w="1462" w:type="dxa"/>
            <w:tcBorders>
              <w:top w:val="single" w:color="auto" w:sz="4" w:space="0"/>
              <w:left w:val="single" w:color="auto" w:sz="4" w:space="0"/>
              <w:bottom w:val="single" w:color="auto" w:sz="4" w:space="0"/>
              <w:right w:val="single" w:color="auto" w:sz="4" w:space="0"/>
            </w:tcBorders>
            <w:noWrap w:val="0"/>
            <w:vAlign w:val="top"/>
          </w:tcPr>
          <w:p w14:paraId="7D8C70C2">
            <w:pPr>
              <w:spacing w:line="360" w:lineRule="auto"/>
              <w:jc w:val="center"/>
              <w:rPr>
                <w:rFonts w:hint="eastAsia" w:ascii="仿宋" w:hAnsi="仿宋" w:eastAsia="仿宋" w:cs="仿宋"/>
                <w:color w:val="auto"/>
                <w:sz w:val="24"/>
                <w:highlight w:val="none"/>
              </w:rPr>
            </w:pPr>
          </w:p>
        </w:tc>
        <w:tc>
          <w:tcPr>
            <w:tcW w:w="1155" w:type="dxa"/>
            <w:tcBorders>
              <w:top w:val="single" w:color="auto" w:sz="4" w:space="0"/>
              <w:left w:val="single" w:color="auto" w:sz="4" w:space="0"/>
              <w:bottom w:val="single" w:color="auto" w:sz="4" w:space="0"/>
              <w:right w:val="single" w:color="auto" w:sz="4" w:space="0"/>
            </w:tcBorders>
            <w:noWrap w:val="0"/>
            <w:vAlign w:val="center"/>
          </w:tcPr>
          <w:p w14:paraId="70610F73">
            <w:pPr>
              <w:spacing w:line="360" w:lineRule="auto"/>
              <w:jc w:val="center"/>
              <w:rPr>
                <w:rFonts w:hint="eastAsia" w:ascii="仿宋" w:hAnsi="仿宋" w:eastAsia="仿宋" w:cs="仿宋"/>
                <w:color w:val="auto"/>
                <w:sz w:val="24"/>
                <w:highlight w:val="none"/>
              </w:rPr>
            </w:pPr>
          </w:p>
        </w:tc>
        <w:tc>
          <w:tcPr>
            <w:tcW w:w="1260" w:type="dxa"/>
            <w:tcBorders>
              <w:top w:val="single" w:color="auto" w:sz="4" w:space="0"/>
              <w:left w:val="single" w:color="auto" w:sz="4" w:space="0"/>
              <w:bottom w:val="single" w:color="auto" w:sz="4" w:space="0"/>
              <w:right w:val="single" w:color="auto" w:sz="12" w:space="0"/>
            </w:tcBorders>
            <w:noWrap w:val="0"/>
            <w:vAlign w:val="center"/>
          </w:tcPr>
          <w:p w14:paraId="3AAA4FE1">
            <w:pPr>
              <w:spacing w:line="360" w:lineRule="auto"/>
              <w:jc w:val="center"/>
              <w:rPr>
                <w:rFonts w:hint="eastAsia" w:ascii="仿宋" w:hAnsi="仿宋" w:eastAsia="仿宋" w:cs="仿宋"/>
                <w:color w:val="auto"/>
                <w:sz w:val="24"/>
                <w:highlight w:val="none"/>
              </w:rPr>
            </w:pPr>
          </w:p>
        </w:tc>
      </w:tr>
      <w:tr w14:paraId="78E6724B">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40" w:type="dxa"/>
            <w:tcBorders>
              <w:top w:val="single" w:color="auto" w:sz="4" w:space="0"/>
              <w:left w:val="single" w:color="auto" w:sz="12" w:space="0"/>
              <w:bottom w:val="single" w:color="auto" w:sz="4" w:space="0"/>
              <w:right w:val="single" w:color="auto" w:sz="4" w:space="0"/>
            </w:tcBorders>
            <w:noWrap w:val="0"/>
            <w:vAlign w:val="center"/>
          </w:tcPr>
          <w:p w14:paraId="36FC3454">
            <w:pPr>
              <w:spacing w:line="360" w:lineRule="auto"/>
              <w:jc w:val="center"/>
              <w:rPr>
                <w:rFonts w:hint="eastAsia" w:ascii="仿宋" w:hAnsi="仿宋" w:eastAsia="仿宋" w:cs="仿宋"/>
                <w:color w:val="auto"/>
                <w:sz w:val="24"/>
                <w:highlight w:val="none"/>
              </w:rPr>
            </w:pPr>
          </w:p>
        </w:tc>
        <w:tc>
          <w:tcPr>
            <w:tcW w:w="1127" w:type="dxa"/>
            <w:tcBorders>
              <w:top w:val="single" w:color="auto" w:sz="4" w:space="0"/>
              <w:left w:val="single" w:color="auto" w:sz="4" w:space="0"/>
              <w:bottom w:val="single" w:color="auto" w:sz="4" w:space="0"/>
              <w:right w:val="single" w:color="auto" w:sz="4" w:space="0"/>
            </w:tcBorders>
            <w:noWrap w:val="0"/>
            <w:vAlign w:val="center"/>
          </w:tcPr>
          <w:p w14:paraId="5CC17365">
            <w:pPr>
              <w:spacing w:line="360" w:lineRule="auto"/>
              <w:jc w:val="center"/>
              <w:rPr>
                <w:rFonts w:hint="eastAsia" w:ascii="仿宋" w:hAnsi="仿宋" w:eastAsia="仿宋" w:cs="仿宋"/>
                <w:color w:val="auto"/>
                <w:sz w:val="24"/>
                <w:highlight w:val="none"/>
              </w:rPr>
            </w:pPr>
          </w:p>
        </w:tc>
        <w:tc>
          <w:tcPr>
            <w:tcW w:w="1049" w:type="dxa"/>
            <w:tcBorders>
              <w:top w:val="single" w:color="auto" w:sz="4" w:space="0"/>
              <w:left w:val="single" w:color="auto" w:sz="4" w:space="0"/>
              <w:bottom w:val="single" w:color="auto" w:sz="4" w:space="0"/>
              <w:right w:val="single" w:color="auto" w:sz="4" w:space="0"/>
            </w:tcBorders>
            <w:noWrap w:val="0"/>
            <w:vAlign w:val="center"/>
          </w:tcPr>
          <w:p w14:paraId="28495B65">
            <w:pPr>
              <w:spacing w:line="360" w:lineRule="auto"/>
              <w:jc w:val="center"/>
              <w:rPr>
                <w:rFonts w:hint="eastAsia" w:ascii="仿宋" w:hAnsi="仿宋" w:eastAsia="仿宋" w:cs="仿宋"/>
                <w:color w:val="auto"/>
                <w:sz w:val="24"/>
                <w:highlight w:val="none"/>
              </w:rPr>
            </w:pPr>
          </w:p>
        </w:tc>
        <w:tc>
          <w:tcPr>
            <w:tcW w:w="1013" w:type="dxa"/>
            <w:tcBorders>
              <w:top w:val="single" w:color="auto" w:sz="4" w:space="0"/>
              <w:left w:val="single" w:color="auto" w:sz="4" w:space="0"/>
              <w:bottom w:val="single" w:color="auto" w:sz="4" w:space="0"/>
              <w:right w:val="single" w:color="auto" w:sz="4" w:space="0"/>
            </w:tcBorders>
            <w:noWrap w:val="0"/>
            <w:vAlign w:val="center"/>
          </w:tcPr>
          <w:p w14:paraId="0DC3B3CC">
            <w:pPr>
              <w:spacing w:line="360" w:lineRule="auto"/>
              <w:jc w:val="center"/>
              <w:rPr>
                <w:rFonts w:hint="eastAsia" w:ascii="仿宋" w:hAnsi="仿宋" w:eastAsia="仿宋" w:cs="仿宋"/>
                <w:color w:val="auto"/>
                <w:sz w:val="24"/>
                <w:highlight w:val="none"/>
              </w:rPr>
            </w:pPr>
          </w:p>
        </w:tc>
        <w:tc>
          <w:tcPr>
            <w:tcW w:w="980" w:type="dxa"/>
            <w:tcBorders>
              <w:top w:val="single" w:color="auto" w:sz="4" w:space="0"/>
              <w:left w:val="single" w:color="auto" w:sz="4" w:space="0"/>
              <w:bottom w:val="single" w:color="auto" w:sz="4" w:space="0"/>
              <w:right w:val="single" w:color="auto" w:sz="4" w:space="0"/>
            </w:tcBorders>
            <w:noWrap w:val="0"/>
            <w:vAlign w:val="center"/>
          </w:tcPr>
          <w:p w14:paraId="20991F2A">
            <w:pPr>
              <w:spacing w:line="360" w:lineRule="auto"/>
              <w:jc w:val="center"/>
              <w:rPr>
                <w:rFonts w:hint="eastAsia" w:ascii="仿宋" w:hAnsi="仿宋" w:eastAsia="仿宋" w:cs="仿宋"/>
                <w:color w:val="auto"/>
                <w:sz w:val="24"/>
                <w:highlight w:val="none"/>
              </w:rPr>
            </w:pPr>
          </w:p>
        </w:tc>
        <w:tc>
          <w:tcPr>
            <w:tcW w:w="925" w:type="dxa"/>
            <w:tcBorders>
              <w:top w:val="single" w:color="auto" w:sz="4" w:space="0"/>
              <w:left w:val="single" w:color="auto" w:sz="4" w:space="0"/>
              <w:bottom w:val="single" w:color="auto" w:sz="4" w:space="0"/>
              <w:right w:val="single" w:color="auto" w:sz="4" w:space="0"/>
            </w:tcBorders>
            <w:noWrap w:val="0"/>
            <w:vAlign w:val="center"/>
          </w:tcPr>
          <w:p w14:paraId="7890C2E2">
            <w:pPr>
              <w:spacing w:line="360" w:lineRule="auto"/>
              <w:jc w:val="center"/>
              <w:rPr>
                <w:rFonts w:hint="eastAsia" w:ascii="仿宋" w:hAnsi="仿宋" w:eastAsia="仿宋" w:cs="仿宋"/>
                <w:color w:val="auto"/>
                <w:sz w:val="24"/>
                <w:highlight w:val="none"/>
              </w:rPr>
            </w:pPr>
          </w:p>
        </w:tc>
        <w:tc>
          <w:tcPr>
            <w:tcW w:w="1462" w:type="dxa"/>
            <w:tcBorders>
              <w:top w:val="single" w:color="auto" w:sz="4" w:space="0"/>
              <w:left w:val="single" w:color="auto" w:sz="4" w:space="0"/>
              <w:bottom w:val="single" w:color="auto" w:sz="4" w:space="0"/>
              <w:right w:val="single" w:color="auto" w:sz="4" w:space="0"/>
            </w:tcBorders>
            <w:noWrap w:val="0"/>
            <w:vAlign w:val="top"/>
          </w:tcPr>
          <w:p w14:paraId="261FE117">
            <w:pPr>
              <w:spacing w:line="360" w:lineRule="auto"/>
              <w:jc w:val="center"/>
              <w:rPr>
                <w:rFonts w:hint="eastAsia" w:ascii="仿宋" w:hAnsi="仿宋" w:eastAsia="仿宋" w:cs="仿宋"/>
                <w:color w:val="auto"/>
                <w:sz w:val="24"/>
                <w:highlight w:val="none"/>
              </w:rPr>
            </w:pPr>
          </w:p>
        </w:tc>
        <w:tc>
          <w:tcPr>
            <w:tcW w:w="1155" w:type="dxa"/>
            <w:tcBorders>
              <w:top w:val="single" w:color="auto" w:sz="4" w:space="0"/>
              <w:left w:val="single" w:color="auto" w:sz="4" w:space="0"/>
              <w:bottom w:val="single" w:color="auto" w:sz="4" w:space="0"/>
              <w:right w:val="single" w:color="auto" w:sz="4" w:space="0"/>
            </w:tcBorders>
            <w:noWrap w:val="0"/>
            <w:vAlign w:val="center"/>
          </w:tcPr>
          <w:p w14:paraId="320E5D66">
            <w:pPr>
              <w:spacing w:line="360" w:lineRule="auto"/>
              <w:jc w:val="center"/>
              <w:rPr>
                <w:rFonts w:hint="eastAsia" w:ascii="仿宋" w:hAnsi="仿宋" w:eastAsia="仿宋" w:cs="仿宋"/>
                <w:color w:val="auto"/>
                <w:sz w:val="24"/>
                <w:highlight w:val="none"/>
              </w:rPr>
            </w:pPr>
          </w:p>
        </w:tc>
        <w:tc>
          <w:tcPr>
            <w:tcW w:w="1260" w:type="dxa"/>
            <w:tcBorders>
              <w:top w:val="single" w:color="auto" w:sz="4" w:space="0"/>
              <w:left w:val="single" w:color="auto" w:sz="4" w:space="0"/>
              <w:bottom w:val="single" w:color="auto" w:sz="4" w:space="0"/>
              <w:right w:val="single" w:color="auto" w:sz="12" w:space="0"/>
            </w:tcBorders>
            <w:noWrap w:val="0"/>
            <w:vAlign w:val="center"/>
          </w:tcPr>
          <w:p w14:paraId="2D296BF4">
            <w:pPr>
              <w:spacing w:line="360" w:lineRule="auto"/>
              <w:jc w:val="center"/>
              <w:rPr>
                <w:rFonts w:hint="eastAsia" w:ascii="仿宋" w:hAnsi="仿宋" w:eastAsia="仿宋" w:cs="仿宋"/>
                <w:color w:val="auto"/>
                <w:sz w:val="24"/>
                <w:highlight w:val="none"/>
              </w:rPr>
            </w:pPr>
          </w:p>
        </w:tc>
      </w:tr>
      <w:tr w14:paraId="2167797C">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40" w:type="dxa"/>
            <w:tcBorders>
              <w:top w:val="single" w:color="auto" w:sz="4" w:space="0"/>
              <w:left w:val="single" w:color="auto" w:sz="12" w:space="0"/>
              <w:bottom w:val="single" w:color="auto" w:sz="4" w:space="0"/>
              <w:right w:val="single" w:color="auto" w:sz="4" w:space="0"/>
            </w:tcBorders>
            <w:noWrap w:val="0"/>
            <w:vAlign w:val="center"/>
          </w:tcPr>
          <w:p w14:paraId="70FC853A">
            <w:pPr>
              <w:spacing w:line="360" w:lineRule="auto"/>
              <w:jc w:val="center"/>
              <w:rPr>
                <w:rFonts w:hint="eastAsia" w:ascii="仿宋" w:hAnsi="仿宋" w:eastAsia="仿宋" w:cs="仿宋"/>
                <w:color w:val="auto"/>
                <w:sz w:val="24"/>
                <w:highlight w:val="none"/>
              </w:rPr>
            </w:pPr>
          </w:p>
        </w:tc>
        <w:tc>
          <w:tcPr>
            <w:tcW w:w="1127" w:type="dxa"/>
            <w:tcBorders>
              <w:top w:val="single" w:color="auto" w:sz="4" w:space="0"/>
              <w:left w:val="single" w:color="auto" w:sz="4" w:space="0"/>
              <w:bottom w:val="single" w:color="auto" w:sz="4" w:space="0"/>
              <w:right w:val="single" w:color="auto" w:sz="4" w:space="0"/>
            </w:tcBorders>
            <w:noWrap w:val="0"/>
            <w:vAlign w:val="center"/>
          </w:tcPr>
          <w:p w14:paraId="51B7A2B2">
            <w:pPr>
              <w:spacing w:line="360" w:lineRule="auto"/>
              <w:jc w:val="center"/>
              <w:rPr>
                <w:rFonts w:hint="eastAsia" w:ascii="仿宋" w:hAnsi="仿宋" w:eastAsia="仿宋" w:cs="仿宋"/>
                <w:color w:val="auto"/>
                <w:sz w:val="24"/>
                <w:highlight w:val="none"/>
              </w:rPr>
            </w:pPr>
          </w:p>
        </w:tc>
        <w:tc>
          <w:tcPr>
            <w:tcW w:w="1049" w:type="dxa"/>
            <w:tcBorders>
              <w:top w:val="single" w:color="auto" w:sz="4" w:space="0"/>
              <w:left w:val="single" w:color="auto" w:sz="4" w:space="0"/>
              <w:bottom w:val="single" w:color="auto" w:sz="4" w:space="0"/>
              <w:right w:val="single" w:color="auto" w:sz="4" w:space="0"/>
            </w:tcBorders>
            <w:noWrap w:val="0"/>
            <w:vAlign w:val="center"/>
          </w:tcPr>
          <w:p w14:paraId="7738D21F">
            <w:pPr>
              <w:spacing w:line="360" w:lineRule="auto"/>
              <w:jc w:val="center"/>
              <w:rPr>
                <w:rFonts w:hint="eastAsia" w:ascii="仿宋" w:hAnsi="仿宋" w:eastAsia="仿宋" w:cs="仿宋"/>
                <w:color w:val="auto"/>
                <w:sz w:val="24"/>
                <w:highlight w:val="none"/>
              </w:rPr>
            </w:pPr>
          </w:p>
        </w:tc>
        <w:tc>
          <w:tcPr>
            <w:tcW w:w="1013" w:type="dxa"/>
            <w:tcBorders>
              <w:top w:val="single" w:color="auto" w:sz="4" w:space="0"/>
              <w:left w:val="single" w:color="auto" w:sz="4" w:space="0"/>
              <w:bottom w:val="single" w:color="auto" w:sz="4" w:space="0"/>
              <w:right w:val="single" w:color="auto" w:sz="4" w:space="0"/>
            </w:tcBorders>
            <w:noWrap w:val="0"/>
            <w:vAlign w:val="center"/>
          </w:tcPr>
          <w:p w14:paraId="03F8F457">
            <w:pPr>
              <w:spacing w:line="360" w:lineRule="auto"/>
              <w:jc w:val="center"/>
              <w:rPr>
                <w:rFonts w:hint="eastAsia" w:ascii="仿宋" w:hAnsi="仿宋" w:eastAsia="仿宋" w:cs="仿宋"/>
                <w:color w:val="auto"/>
                <w:sz w:val="24"/>
                <w:highlight w:val="none"/>
              </w:rPr>
            </w:pPr>
          </w:p>
        </w:tc>
        <w:tc>
          <w:tcPr>
            <w:tcW w:w="980" w:type="dxa"/>
            <w:tcBorders>
              <w:top w:val="single" w:color="auto" w:sz="4" w:space="0"/>
              <w:left w:val="single" w:color="auto" w:sz="4" w:space="0"/>
              <w:bottom w:val="single" w:color="auto" w:sz="4" w:space="0"/>
              <w:right w:val="single" w:color="auto" w:sz="4" w:space="0"/>
            </w:tcBorders>
            <w:noWrap w:val="0"/>
            <w:vAlign w:val="center"/>
          </w:tcPr>
          <w:p w14:paraId="02498FDD">
            <w:pPr>
              <w:spacing w:line="360" w:lineRule="auto"/>
              <w:jc w:val="center"/>
              <w:rPr>
                <w:rFonts w:hint="eastAsia" w:ascii="仿宋" w:hAnsi="仿宋" w:eastAsia="仿宋" w:cs="仿宋"/>
                <w:color w:val="auto"/>
                <w:sz w:val="24"/>
                <w:highlight w:val="none"/>
              </w:rPr>
            </w:pPr>
          </w:p>
        </w:tc>
        <w:tc>
          <w:tcPr>
            <w:tcW w:w="925" w:type="dxa"/>
            <w:tcBorders>
              <w:top w:val="single" w:color="auto" w:sz="4" w:space="0"/>
              <w:left w:val="single" w:color="auto" w:sz="4" w:space="0"/>
              <w:bottom w:val="single" w:color="auto" w:sz="4" w:space="0"/>
              <w:right w:val="single" w:color="auto" w:sz="4" w:space="0"/>
            </w:tcBorders>
            <w:noWrap w:val="0"/>
            <w:vAlign w:val="center"/>
          </w:tcPr>
          <w:p w14:paraId="3F6693C5">
            <w:pPr>
              <w:spacing w:line="360" w:lineRule="auto"/>
              <w:jc w:val="center"/>
              <w:rPr>
                <w:rFonts w:hint="eastAsia" w:ascii="仿宋" w:hAnsi="仿宋" w:eastAsia="仿宋" w:cs="仿宋"/>
                <w:color w:val="auto"/>
                <w:sz w:val="24"/>
                <w:highlight w:val="none"/>
              </w:rPr>
            </w:pPr>
          </w:p>
        </w:tc>
        <w:tc>
          <w:tcPr>
            <w:tcW w:w="1462" w:type="dxa"/>
            <w:tcBorders>
              <w:top w:val="single" w:color="auto" w:sz="4" w:space="0"/>
              <w:left w:val="single" w:color="auto" w:sz="4" w:space="0"/>
              <w:bottom w:val="single" w:color="auto" w:sz="4" w:space="0"/>
              <w:right w:val="single" w:color="auto" w:sz="4" w:space="0"/>
            </w:tcBorders>
            <w:noWrap w:val="0"/>
            <w:vAlign w:val="top"/>
          </w:tcPr>
          <w:p w14:paraId="624F6F48">
            <w:pPr>
              <w:spacing w:line="360" w:lineRule="auto"/>
              <w:jc w:val="center"/>
              <w:rPr>
                <w:rFonts w:hint="eastAsia" w:ascii="仿宋" w:hAnsi="仿宋" w:eastAsia="仿宋" w:cs="仿宋"/>
                <w:color w:val="auto"/>
                <w:sz w:val="24"/>
                <w:highlight w:val="none"/>
              </w:rPr>
            </w:pPr>
          </w:p>
        </w:tc>
        <w:tc>
          <w:tcPr>
            <w:tcW w:w="1155" w:type="dxa"/>
            <w:tcBorders>
              <w:top w:val="single" w:color="auto" w:sz="4" w:space="0"/>
              <w:left w:val="single" w:color="auto" w:sz="4" w:space="0"/>
              <w:bottom w:val="single" w:color="auto" w:sz="4" w:space="0"/>
              <w:right w:val="single" w:color="auto" w:sz="4" w:space="0"/>
            </w:tcBorders>
            <w:noWrap w:val="0"/>
            <w:vAlign w:val="center"/>
          </w:tcPr>
          <w:p w14:paraId="1EF3DE67">
            <w:pPr>
              <w:spacing w:line="360" w:lineRule="auto"/>
              <w:jc w:val="center"/>
              <w:rPr>
                <w:rFonts w:hint="eastAsia" w:ascii="仿宋" w:hAnsi="仿宋" w:eastAsia="仿宋" w:cs="仿宋"/>
                <w:color w:val="auto"/>
                <w:sz w:val="24"/>
                <w:highlight w:val="none"/>
              </w:rPr>
            </w:pPr>
          </w:p>
        </w:tc>
        <w:tc>
          <w:tcPr>
            <w:tcW w:w="1260" w:type="dxa"/>
            <w:tcBorders>
              <w:top w:val="single" w:color="auto" w:sz="4" w:space="0"/>
              <w:left w:val="single" w:color="auto" w:sz="4" w:space="0"/>
              <w:bottom w:val="single" w:color="auto" w:sz="4" w:space="0"/>
              <w:right w:val="single" w:color="auto" w:sz="12" w:space="0"/>
            </w:tcBorders>
            <w:noWrap w:val="0"/>
            <w:vAlign w:val="center"/>
          </w:tcPr>
          <w:p w14:paraId="006279D7">
            <w:pPr>
              <w:spacing w:line="360" w:lineRule="auto"/>
              <w:jc w:val="center"/>
              <w:rPr>
                <w:rFonts w:hint="eastAsia" w:ascii="仿宋" w:hAnsi="仿宋" w:eastAsia="仿宋" w:cs="仿宋"/>
                <w:color w:val="auto"/>
                <w:sz w:val="24"/>
                <w:highlight w:val="none"/>
              </w:rPr>
            </w:pPr>
          </w:p>
        </w:tc>
      </w:tr>
      <w:tr w14:paraId="711DFCD0">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40" w:type="dxa"/>
            <w:tcBorders>
              <w:top w:val="single" w:color="auto" w:sz="4" w:space="0"/>
              <w:left w:val="single" w:color="auto" w:sz="12" w:space="0"/>
              <w:bottom w:val="single" w:color="auto" w:sz="4" w:space="0"/>
              <w:right w:val="single" w:color="auto" w:sz="4" w:space="0"/>
            </w:tcBorders>
            <w:noWrap w:val="0"/>
            <w:vAlign w:val="center"/>
          </w:tcPr>
          <w:p w14:paraId="105AF090">
            <w:pPr>
              <w:spacing w:line="360" w:lineRule="auto"/>
              <w:jc w:val="center"/>
              <w:rPr>
                <w:rFonts w:hint="eastAsia" w:ascii="仿宋" w:hAnsi="仿宋" w:eastAsia="仿宋" w:cs="仿宋"/>
                <w:color w:val="auto"/>
                <w:sz w:val="24"/>
                <w:highlight w:val="none"/>
              </w:rPr>
            </w:pPr>
          </w:p>
        </w:tc>
        <w:tc>
          <w:tcPr>
            <w:tcW w:w="1127" w:type="dxa"/>
            <w:tcBorders>
              <w:top w:val="single" w:color="auto" w:sz="4" w:space="0"/>
              <w:left w:val="single" w:color="auto" w:sz="4" w:space="0"/>
              <w:bottom w:val="single" w:color="auto" w:sz="4" w:space="0"/>
              <w:right w:val="single" w:color="auto" w:sz="4" w:space="0"/>
            </w:tcBorders>
            <w:noWrap w:val="0"/>
            <w:vAlign w:val="center"/>
          </w:tcPr>
          <w:p w14:paraId="0F3711F8">
            <w:pPr>
              <w:spacing w:line="360" w:lineRule="auto"/>
              <w:jc w:val="center"/>
              <w:rPr>
                <w:rFonts w:hint="eastAsia" w:ascii="仿宋" w:hAnsi="仿宋" w:eastAsia="仿宋" w:cs="仿宋"/>
                <w:color w:val="auto"/>
                <w:sz w:val="24"/>
                <w:highlight w:val="none"/>
              </w:rPr>
            </w:pPr>
          </w:p>
        </w:tc>
        <w:tc>
          <w:tcPr>
            <w:tcW w:w="1049" w:type="dxa"/>
            <w:tcBorders>
              <w:top w:val="single" w:color="auto" w:sz="4" w:space="0"/>
              <w:left w:val="single" w:color="auto" w:sz="4" w:space="0"/>
              <w:bottom w:val="single" w:color="auto" w:sz="4" w:space="0"/>
              <w:right w:val="single" w:color="auto" w:sz="4" w:space="0"/>
            </w:tcBorders>
            <w:noWrap w:val="0"/>
            <w:vAlign w:val="center"/>
          </w:tcPr>
          <w:p w14:paraId="3F7686A5">
            <w:pPr>
              <w:spacing w:line="360" w:lineRule="auto"/>
              <w:jc w:val="center"/>
              <w:rPr>
                <w:rFonts w:hint="eastAsia" w:ascii="仿宋" w:hAnsi="仿宋" w:eastAsia="仿宋" w:cs="仿宋"/>
                <w:color w:val="auto"/>
                <w:sz w:val="24"/>
                <w:highlight w:val="none"/>
              </w:rPr>
            </w:pPr>
          </w:p>
        </w:tc>
        <w:tc>
          <w:tcPr>
            <w:tcW w:w="1013" w:type="dxa"/>
            <w:tcBorders>
              <w:top w:val="single" w:color="auto" w:sz="4" w:space="0"/>
              <w:left w:val="single" w:color="auto" w:sz="4" w:space="0"/>
              <w:bottom w:val="single" w:color="auto" w:sz="4" w:space="0"/>
              <w:right w:val="single" w:color="auto" w:sz="4" w:space="0"/>
            </w:tcBorders>
            <w:noWrap w:val="0"/>
            <w:vAlign w:val="center"/>
          </w:tcPr>
          <w:p w14:paraId="0B258B41">
            <w:pPr>
              <w:spacing w:line="360" w:lineRule="auto"/>
              <w:jc w:val="center"/>
              <w:rPr>
                <w:rFonts w:hint="eastAsia" w:ascii="仿宋" w:hAnsi="仿宋" w:eastAsia="仿宋" w:cs="仿宋"/>
                <w:color w:val="auto"/>
                <w:sz w:val="24"/>
                <w:highlight w:val="none"/>
              </w:rPr>
            </w:pPr>
          </w:p>
        </w:tc>
        <w:tc>
          <w:tcPr>
            <w:tcW w:w="980" w:type="dxa"/>
            <w:tcBorders>
              <w:top w:val="single" w:color="auto" w:sz="4" w:space="0"/>
              <w:left w:val="single" w:color="auto" w:sz="4" w:space="0"/>
              <w:bottom w:val="single" w:color="auto" w:sz="4" w:space="0"/>
              <w:right w:val="single" w:color="auto" w:sz="4" w:space="0"/>
            </w:tcBorders>
            <w:noWrap w:val="0"/>
            <w:vAlign w:val="center"/>
          </w:tcPr>
          <w:p w14:paraId="6E492544">
            <w:pPr>
              <w:spacing w:line="360" w:lineRule="auto"/>
              <w:jc w:val="center"/>
              <w:rPr>
                <w:rFonts w:hint="eastAsia" w:ascii="仿宋" w:hAnsi="仿宋" w:eastAsia="仿宋" w:cs="仿宋"/>
                <w:color w:val="auto"/>
                <w:sz w:val="24"/>
                <w:highlight w:val="none"/>
              </w:rPr>
            </w:pPr>
          </w:p>
        </w:tc>
        <w:tc>
          <w:tcPr>
            <w:tcW w:w="925" w:type="dxa"/>
            <w:tcBorders>
              <w:top w:val="single" w:color="auto" w:sz="4" w:space="0"/>
              <w:left w:val="single" w:color="auto" w:sz="4" w:space="0"/>
              <w:bottom w:val="single" w:color="auto" w:sz="4" w:space="0"/>
              <w:right w:val="single" w:color="auto" w:sz="4" w:space="0"/>
            </w:tcBorders>
            <w:noWrap w:val="0"/>
            <w:vAlign w:val="center"/>
          </w:tcPr>
          <w:p w14:paraId="1F744490">
            <w:pPr>
              <w:spacing w:line="360" w:lineRule="auto"/>
              <w:jc w:val="center"/>
              <w:rPr>
                <w:rFonts w:hint="eastAsia" w:ascii="仿宋" w:hAnsi="仿宋" w:eastAsia="仿宋" w:cs="仿宋"/>
                <w:color w:val="auto"/>
                <w:sz w:val="24"/>
                <w:highlight w:val="none"/>
              </w:rPr>
            </w:pPr>
          </w:p>
        </w:tc>
        <w:tc>
          <w:tcPr>
            <w:tcW w:w="1462" w:type="dxa"/>
            <w:tcBorders>
              <w:top w:val="single" w:color="auto" w:sz="4" w:space="0"/>
              <w:left w:val="single" w:color="auto" w:sz="4" w:space="0"/>
              <w:bottom w:val="single" w:color="auto" w:sz="4" w:space="0"/>
              <w:right w:val="single" w:color="auto" w:sz="4" w:space="0"/>
            </w:tcBorders>
            <w:noWrap w:val="0"/>
            <w:vAlign w:val="top"/>
          </w:tcPr>
          <w:p w14:paraId="249677E8">
            <w:pPr>
              <w:spacing w:line="360" w:lineRule="auto"/>
              <w:jc w:val="center"/>
              <w:rPr>
                <w:rFonts w:hint="eastAsia" w:ascii="仿宋" w:hAnsi="仿宋" w:eastAsia="仿宋" w:cs="仿宋"/>
                <w:color w:val="auto"/>
                <w:sz w:val="24"/>
                <w:highlight w:val="none"/>
              </w:rPr>
            </w:pPr>
          </w:p>
        </w:tc>
        <w:tc>
          <w:tcPr>
            <w:tcW w:w="1155" w:type="dxa"/>
            <w:tcBorders>
              <w:top w:val="single" w:color="auto" w:sz="4" w:space="0"/>
              <w:left w:val="single" w:color="auto" w:sz="4" w:space="0"/>
              <w:bottom w:val="single" w:color="auto" w:sz="4" w:space="0"/>
              <w:right w:val="single" w:color="auto" w:sz="4" w:space="0"/>
            </w:tcBorders>
            <w:noWrap w:val="0"/>
            <w:vAlign w:val="center"/>
          </w:tcPr>
          <w:p w14:paraId="20E2557A">
            <w:pPr>
              <w:spacing w:line="360" w:lineRule="auto"/>
              <w:jc w:val="center"/>
              <w:rPr>
                <w:rFonts w:hint="eastAsia" w:ascii="仿宋" w:hAnsi="仿宋" w:eastAsia="仿宋" w:cs="仿宋"/>
                <w:color w:val="auto"/>
                <w:sz w:val="24"/>
                <w:highlight w:val="none"/>
              </w:rPr>
            </w:pPr>
          </w:p>
        </w:tc>
        <w:tc>
          <w:tcPr>
            <w:tcW w:w="1260" w:type="dxa"/>
            <w:tcBorders>
              <w:top w:val="single" w:color="auto" w:sz="4" w:space="0"/>
              <w:left w:val="single" w:color="auto" w:sz="4" w:space="0"/>
              <w:bottom w:val="single" w:color="auto" w:sz="4" w:space="0"/>
              <w:right w:val="single" w:color="auto" w:sz="12" w:space="0"/>
            </w:tcBorders>
            <w:noWrap w:val="0"/>
            <w:vAlign w:val="center"/>
          </w:tcPr>
          <w:p w14:paraId="79D5397F">
            <w:pPr>
              <w:spacing w:line="360" w:lineRule="auto"/>
              <w:jc w:val="center"/>
              <w:rPr>
                <w:rFonts w:hint="eastAsia" w:ascii="仿宋" w:hAnsi="仿宋" w:eastAsia="仿宋" w:cs="仿宋"/>
                <w:color w:val="auto"/>
                <w:sz w:val="24"/>
                <w:highlight w:val="none"/>
              </w:rPr>
            </w:pPr>
          </w:p>
        </w:tc>
      </w:tr>
      <w:tr w14:paraId="4923CF49">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40" w:type="dxa"/>
            <w:tcBorders>
              <w:top w:val="single" w:color="auto" w:sz="4" w:space="0"/>
              <w:left w:val="single" w:color="auto" w:sz="12" w:space="0"/>
              <w:bottom w:val="single" w:color="auto" w:sz="4" w:space="0"/>
              <w:right w:val="single" w:color="auto" w:sz="4" w:space="0"/>
            </w:tcBorders>
            <w:noWrap w:val="0"/>
            <w:vAlign w:val="center"/>
          </w:tcPr>
          <w:p w14:paraId="4A3465F6">
            <w:pPr>
              <w:spacing w:line="360" w:lineRule="auto"/>
              <w:jc w:val="center"/>
              <w:rPr>
                <w:rFonts w:hint="eastAsia" w:ascii="仿宋" w:hAnsi="仿宋" w:eastAsia="仿宋" w:cs="仿宋"/>
                <w:color w:val="auto"/>
                <w:sz w:val="24"/>
                <w:highlight w:val="none"/>
              </w:rPr>
            </w:pPr>
          </w:p>
        </w:tc>
        <w:tc>
          <w:tcPr>
            <w:tcW w:w="1127" w:type="dxa"/>
            <w:tcBorders>
              <w:top w:val="single" w:color="auto" w:sz="4" w:space="0"/>
              <w:left w:val="single" w:color="auto" w:sz="4" w:space="0"/>
              <w:bottom w:val="single" w:color="auto" w:sz="4" w:space="0"/>
              <w:right w:val="single" w:color="auto" w:sz="4" w:space="0"/>
            </w:tcBorders>
            <w:noWrap w:val="0"/>
            <w:vAlign w:val="center"/>
          </w:tcPr>
          <w:p w14:paraId="38DB96F1">
            <w:pPr>
              <w:spacing w:line="360" w:lineRule="auto"/>
              <w:jc w:val="center"/>
              <w:rPr>
                <w:rFonts w:hint="eastAsia" w:ascii="仿宋" w:hAnsi="仿宋" w:eastAsia="仿宋" w:cs="仿宋"/>
                <w:color w:val="auto"/>
                <w:sz w:val="24"/>
                <w:highlight w:val="none"/>
              </w:rPr>
            </w:pPr>
          </w:p>
        </w:tc>
        <w:tc>
          <w:tcPr>
            <w:tcW w:w="1049" w:type="dxa"/>
            <w:tcBorders>
              <w:top w:val="single" w:color="auto" w:sz="4" w:space="0"/>
              <w:left w:val="single" w:color="auto" w:sz="4" w:space="0"/>
              <w:bottom w:val="single" w:color="auto" w:sz="4" w:space="0"/>
              <w:right w:val="single" w:color="auto" w:sz="4" w:space="0"/>
            </w:tcBorders>
            <w:noWrap w:val="0"/>
            <w:vAlign w:val="center"/>
          </w:tcPr>
          <w:p w14:paraId="0DCCE8C9">
            <w:pPr>
              <w:spacing w:line="360" w:lineRule="auto"/>
              <w:jc w:val="center"/>
              <w:rPr>
                <w:rFonts w:hint="eastAsia" w:ascii="仿宋" w:hAnsi="仿宋" w:eastAsia="仿宋" w:cs="仿宋"/>
                <w:color w:val="auto"/>
                <w:sz w:val="24"/>
                <w:highlight w:val="none"/>
              </w:rPr>
            </w:pPr>
          </w:p>
        </w:tc>
        <w:tc>
          <w:tcPr>
            <w:tcW w:w="1013" w:type="dxa"/>
            <w:tcBorders>
              <w:top w:val="single" w:color="auto" w:sz="4" w:space="0"/>
              <w:left w:val="single" w:color="auto" w:sz="4" w:space="0"/>
              <w:bottom w:val="single" w:color="auto" w:sz="4" w:space="0"/>
              <w:right w:val="single" w:color="auto" w:sz="4" w:space="0"/>
            </w:tcBorders>
            <w:noWrap w:val="0"/>
            <w:vAlign w:val="center"/>
          </w:tcPr>
          <w:p w14:paraId="3A233E7B">
            <w:pPr>
              <w:spacing w:line="360" w:lineRule="auto"/>
              <w:jc w:val="center"/>
              <w:rPr>
                <w:rFonts w:hint="eastAsia" w:ascii="仿宋" w:hAnsi="仿宋" w:eastAsia="仿宋" w:cs="仿宋"/>
                <w:color w:val="auto"/>
                <w:sz w:val="24"/>
                <w:highlight w:val="none"/>
              </w:rPr>
            </w:pPr>
          </w:p>
        </w:tc>
        <w:tc>
          <w:tcPr>
            <w:tcW w:w="980" w:type="dxa"/>
            <w:tcBorders>
              <w:top w:val="single" w:color="auto" w:sz="4" w:space="0"/>
              <w:left w:val="single" w:color="auto" w:sz="4" w:space="0"/>
              <w:bottom w:val="single" w:color="auto" w:sz="4" w:space="0"/>
              <w:right w:val="single" w:color="auto" w:sz="4" w:space="0"/>
            </w:tcBorders>
            <w:noWrap w:val="0"/>
            <w:vAlign w:val="center"/>
          </w:tcPr>
          <w:p w14:paraId="2782F53A">
            <w:pPr>
              <w:spacing w:line="360" w:lineRule="auto"/>
              <w:jc w:val="center"/>
              <w:rPr>
                <w:rFonts w:hint="eastAsia" w:ascii="仿宋" w:hAnsi="仿宋" w:eastAsia="仿宋" w:cs="仿宋"/>
                <w:color w:val="auto"/>
                <w:sz w:val="24"/>
                <w:highlight w:val="none"/>
              </w:rPr>
            </w:pPr>
          </w:p>
        </w:tc>
        <w:tc>
          <w:tcPr>
            <w:tcW w:w="925" w:type="dxa"/>
            <w:tcBorders>
              <w:top w:val="single" w:color="auto" w:sz="4" w:space="0"/>
              <w:left w:val="single" w:color="auto" w:sz="4" w:space="0"/>
              <w:bottom w:val="single" w:color="auto" w:sz="4" w:space="0"/>
              <w:right w:val="single" w:color="auto" w:sz="4" w:space="0"/>
            </w:tcBorders>
            <w:noWrap w:val="0"/>
            <w:vAlign w:val="center"/>
          </w:tcPr>
          <w:p w14:paraId="1BF8B0CE">
            <w:pPr>
              <w:spacing w:line="360" w:lineRule="auto"/>
              <w:jc w:val="center"/>
              <w:rPr>
                <w:rFonts w:hint="eastAsia" w:ascii="仿宋" w:hAnsi="仿宋" w:eastAsia="仿宋" w:cs="仿宋"/>
                <w:color w:val="auto"/>
                <w:sz w:val="24"/>
                <w:highlight w:val="none"/>
              </w:rPr>
            </w:pPr>
          </w:p>
        </w:tc>
        <w:tc>
          <w:tcPr>
            <w:tcW w:w="1462" w:type="dxa"/>
            <w:tcBorders>
              <w:top w:val="single" w:color="auto" w:sz="4" w:space="0"/>
              <w:left w:val="single" w:color="auto" w:sz="4" w:space="0"/>
              <w:bottom w:val="single" w:color="auto" w:sz="4" w:space="0"/>
              <w:right w:val="single" w:color="auto" w:sz="4" w:space="0"/>
            </w:tcBorders>
            <w:noWrap w:val="0"/>
            <w:vAlign w:val="top"/>
          </w:tcPr>
          <w:p w14:paraId="73CFA7BD">
            <w:pPr>
              <w:spacing w:line="360" w:lineRule="auto"/>
              <w:jc w:val="center"/>
              <w:rPr>
                <w:rFonts w:hint="eastAsia" w:ascii="仿宋" w:hAnsi="仿宋" w:eastAsia="仿宋" w:cs="仿宋"/>
                <w:color w:val="auto"/>
                <w:sz w:val="24"/>
                <w:highlight w:val="none"/>
              </w:rPr>
            </w:pPr>
          </w:p>
        </w:tc>
        <w:tc>
          <w:tcPr>
            <w:tcW w:w="1155" w:type="dxa"/>
            <w:tcBorders>
              <w:top w:val="single" w:color="auto" w:sz="4" w:space="0"/>
              <w:left w:val="single" w:color="auto" w:sz="4" w:space="0"/>
              <w:bottom w:val="single" w:color="auto" w:sz="4" w:space="0"/>
              <w:right w:val="single" w:color="auto" w:sz="4" w:space="0"/>
            </w:tcBorders>
            <w:noWrap w:val="0"/>
            <w:vAlign w:val="center"/>
          </w:tcPr>
          <w:p w14:paraId="3B286021">
            <w:pPr>
              <w:spacing w:line="360" w:lineRule="auto"/>
              <w:jc w:val="center"/>
              <w:rPr>
                <w:rFonts w:hint="eastAsia" w:ascii="仿宋" w:hAnsi="仿宋" w:eastAsia="仿宋" w:cs="仿宋"/>
                <w:color w:val="auto"/>
                <w:sz w:val="24"/>
                <w:highlight w:val="none"/>
              </w:rPr>
            </w:pPr>
          </w:p>
        </w:tc>
        <w:tc>
          <w:tcPr>
            <w:tcW w:w="1260" w:type="dxa"/>
            <w:tcBorders>
              <w:top w:val="single" w:color="auto" w:sz="4" w:space="0"/>
              <w:left w:val="single" w:color="auto" w:sz="4" w:space="0"/>
              <w:bottom w:val="single" w:color="auto" w:sz="4" w:space="0"/>
              <w:right w:val="single" w:color="auto" w:sz="12" w:space="0"/>
            </w:tcBorders>
            <w:noWrap w:val="0"/>
            <w:vAlign w:val="center"/>
          </w:tcPr>
          <w:p w14:paraId="61DFF4FE">
            <w:pPr>
              <w:spacing w:line="360" w:lineRule="auto"/>
              <w:jc w:val="center"/>
              <w:rPr>
                <w:rFonts w:hint="eastAsia" w:ascii="仿宋" w:hAnsi="仿宋" w:eastAsia="仿宋" w:cs="仿宋"/>
                <w:color w:val="auto"/>
                <w:sz w:val="24"/>
                <w:highlight w:val="none"/>
              </w:rPr>
            </w:pPr>
          </w:p>
        </w:tc>
      </w:tr>
    </w:tbl>
    <w:p w14:paraId="693F852E">
      <w:pPr>
        <w:adjustRightInd w:val="0"/>
        <w:snapToGrid w:val="0"/>
        <w:spacing w:line="360" w:lineRule="auto"/>
        <w:rPr>
          <w:rFonts w:hint="eastAsia" w:ascii="仿宋" w:hAnsi="仿宋" w:eastAsia="仿宋" w:cs="仿宋"/>
          <w:color w:val="auto"/>
          <w:sz w:val="24"/>
          <w:highlight w:val="none"/>
        </w:rPr>
      </w:pPr>
    </w:p>
    <w:p w14:paraId="5DB743B8">
      <w:pPr>
        <w:snapToGrid w:val="0"/>
        <w:spacing w:beforeLines="50" w:after="50"/>
        <w:jc w:val="left"/>
        <w:rPr>
          <w:rFonts w:hint="eastAsia" w:ascii="仿宋" w:hAnsi="仿宋" w:eastAsia="仿宋" w:cs="仿宋"/>
          <w:b/>
          <w:color w:val="auto"/>
          <w:sz w:val="24"/>
          <w:highlight w:val="none"/>
          <w:lang w:eastAsia="zh-CN"/>
        </w:rPr>
      </w:pPr>
      <w:r>
        <w:rPr>
          <w:rFonts w:hint="eastAsia" w:ascii="仿宋" w:hAnsi="仿宋" w:eastAsia="仿宋" w:cs="仿宋"/>
          <w:b/>
          <w:color w:val="auto"/>
          <w:sz w:val="24"/>
          <w:highlight w:val="none"/>
          <w:lang w:val="en-US" w:eastAsia="zh-CN"/>
        </w:rPr>
        <w:t>注：</w:t>
      </w:r>
      <w:r>
        <w:rPr>
          <w:rFonts w:hint="eastAsia" w:ascii="仿宋" w:hAnsi="仿宋" w:eastAsia="仿宋" w:cs="仿宋"/>
          <w:b/>
          <w:color w:val="auto"/>
          <w:sz w:val="24"/>
          <w:highlight w:val="none"/>
        </w:rPr>
        <w:t>此表仅提供了表格形式，投标人应根据需要准备足够数量的表格来填写</w:t>
      </w:r>
      <w:r>
        <w:rPr>
          <w:rFonts w:hint="eastAsia" w:ascii="仿宋" w:hAnsi="仿宋" w:eastAsia="仿宋" w:cs="仿宋"/>
          <w:b/>
          <w:color w:val="auto"/>
          <w:sz w:val="24"/>
          <w:highlight w:val="none"/>
          <w:lang w:eastAsia="zh-CN"/>
        </w:rPr>
        <w:t>。</w:t>
      </w:r>
    </w:p>
    <w:p w14:paraId="5F968603">
      <w:pPr>
        <w:spacing w:line="360" w:lineRule="auto"/>
        <w:rPr>
          <w:rFonts w:hint="eastAsia" w:ascii="仿宋" w:hAnsi="仿宋" w:eastAsia="仿宋" w:cs="仿宋"/>
          <w:color w:val="auto"/>
          <w:sz w:val="24"/>
          <w:highlight w:val="none"/>
        </w:rPr>
      </w:pPr>
    </w:p>
    <w:p w14:paraId="2E00F229">
      <w:pPr>
        <w:widowControl/>
        <w:jc w:val="left"/>
        <w:rPr>
          <w:rFonts w:hint="eastAsia" w:ascii="仿宋" w:hAnsi="仿宋" w:eastAsia="仿宋" w:cs="仿宋"/>
          <w:color w:val="auto"/>
          <w:kern w:val="0"/>
          <w:sz w:val="24"/>
          <w:highlight w:val="none"/>
        </w:rPr>
      </w:pPr>
    </w:p>
    <w:p w14:paraId="7B5102AA">
      <w:pPr>
        <w:widowControl/>
        <w:jc w:val="left"/>
        <w:rPr>
          <w:rFonts w:hint="eastAsia" w:ascii="仿宋" w:hAnsi="仿宋" w:eastAsia="仿宋" w:cs="仿宋"/>
          <w:color w:val="auto"/>
          <w:kern w:val="0"/>
          <w:sz w:val="24"/>
          <w:highlight w:val="none"/>
        </w:rPr>
      </w:pPr>
    </w:p>
    <w:p w14:paraId="2C5D1FB4">
      <w:pPr>
        <w:widowControl/>
        <w:jc w:val="left"/>
        <w:rPr>
          <w:rFonts w:hint="eastAsia" w:ascii="仿宋" w:hAnsi="仿宋" w:eastAsia="仿宋" w:cs="仿宋"/>
          <w:color w:val="auto"/>
          <w:kern w:val="0"/>
          <w:sz w:val="24"/>
          <w:highlight w:val="none"/>
        </w:rPr>
      </w:pPr>
    </w:p>
    <w:p w14:paraId="5F587F99">
      <w:pPr>
        <w:pStyle w:val="12"/>
        <w:jc w:val="left"/>
        <w:rPr>
          <w:rFonts w:ascii="仿宋" w:hAnsi="仿宋" w:eastAsia="仿宋" w:cs="仿宋"/>
          <w:color w:val="auto"/>
          <w:kern w:val="0"/>
          <w:sz w:val="24"/>
          <w:highlight w:val="none"/>
        </w:rPr>
      </w:pPr>
      <w:r>
        <w:rPr>
          <w:rFonts w:hint="eastAsia" w:ascii="仿宋" w:hAnsi="仿宋" w:eastAsia="仿宋" w:cs="仿宋"/>
          <w:color w:val="auto"/>
          <w:highlight w:val="none"/>
        </w:rPr>
        <w:t>供应商全称（加盖公章）：</w:t>
      </w:r>
    </w:p>
    <w:p w14:paraId="1757D923">
      <w:pPr>
        <w:spacing w:line="460" w:lineRule="exact"/>
        <w:jc w:val="left"/>
        <w:rPr>
          <w:rFonts w:ascii="仿宋" w:hAnsi="仿宋" w:eastAsia="仿宋" w:cs="仿宋"/>
          <w:color w:val="auto"/>
          <w:sz w:val="24"/>
          <w:highlight w:val="none"/>
        </w:rPr>
      </w:pPr>
      <w:r>
        <w:rPr>
          <w:rFonts w:hint="eastAsia" w:ascii="仿宋" w:hAnsi="仿宋" w:eastAsia="仿宋" w:cs="仿宋"/>
          <w:color w:val="auto"/>
          <w:sz w:val="24"/>
          <w:highlight w:val="none"/>
        </w:rPr>
        <w:t>法定代表人或其授权代理人签</w:t>
      </w:r>
      <w:r>
        <w:rPr>
          <w:rFonts w:hint="eastAsia" w:ascii="仿宋" w:hAnsi="仿宋" w:eastAsia="仿宋" w:cs="仿宋"/>
          <w:color w:val="auto"/>
          <w:sz w:val="24"/>
          <w:highlight w:val="none"/>
          <w:lang w:val="en-US" w:eastAsia="zh-CN"/>
        </w:rPr>
        <w:t>字</w:t>
      </w:r>
      <w:r>
        <w:rPr>
          <w:rFonts w:hint="eastAsia" w:ascii="仿宋" w:hAnsi="仿宋" w:eastAsia="仿宋" w:cs="仿宋"/>
          <w:color w:val="auto"/>
          <w:sz w:val="24"/>
          <w:highlight w:val="none"/>
        </w:rPr>
        <w:t>或盖章：</w:t>
      </w:r>
    </w:p>
    <w:p w14:paraId="473ABA00">
      <w:pPr>
        <w:spacing w:line="460" w:lineRule="exact"/>
        <w:jc w:val="left"/>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日期： 年 月 日</w:t>
      </w:r>
    </w:p>
    <w:p w14:paraId="7689B31B">
      <w:pPr>
        <w:pStyle w:val="26"/>
        <w:rPr>
          <w:color w:val="auto"/>
          <w:highlight w:val="none"/>
        </w:rPr>
      </w:pPr>
    </w:p>
    <w:p w14:paraId="00C93B4E">
      <w:pPr>
        <w:rPr>
          <w:color w:val="auto"/>
          <w:highlight w:val="none"/>
        </w:rPr>
      </w:pPr>
    </w:p>
    <w:p w14:paraId="1F928CEB">
      <w:pPr>
        <w:pStyle w:val="26"/>
        <w:rPr>
          <w:color w:val="auto"/>
          <w:highlight w:val="none"/>
        </w:rPr>
      </w:pPr>
    </w:p>
    <w:p w14:paraId="03B03BF3">
      <w:pPr>
        <w:pStyle w:val="7"/>
        <w:spacing w:line="360" w:lineRule="auto"/>
        <w:ind w:firstLine="0"/>
        <w:jc w:val="center"/>
        <w:outlineLvl w:val="1"/>
        <w:rPr>
          <w:rFonts w:ascii="仿宋" w:hAnsi="仿宋" w:eastAsia="仿宋" w:cs="仿宋"/>
          <w:b/>
          <w:bCs/>
          <w:color w:val="auto"/>
          <w:spacing w:val="24"/>
          <w:sz w:val="28"/>
          <w:szCs w:val="28"/>
          <w:highlight w:val="none"/>
        </w:rPr>
      </w:pPr>
      <w:r>
        <w:rPr>
          <w:rFonts w:hint="eastAsia" w:ascii="仿宋" w:hAnsi="仿宋" w:eastAsia="仿宋" w:cs="仿宋"/>
          <w:b/>
          <w:bCs/>
          <w:color w:val="auto"/>
          <w:spacing w:val="24"/>
          <w:sz w:val="28"/>
          <w:szCs w:val="28"/>
          <w:highlight w:val="none"/>
        </w:rPr>
        <w:t>法定代表人有效身份证明书</w:t>
      </w:r>
    </w:p>
    <w:p w14:paraId="6F1AC0A6">
      <w:pPr>
        <w:pStyle w:val="7"/>
        <w:spacing w:line="360" w:lineRule="auto"/>
        <w:ind w:firstLine="513" w:firstLineChars="156"/>
        <w:jc w:val="center"/>
        <w:rPr>
          <w:rFonts w:ascii="仿宋" w:hAnsi="仿宋" w:eastAsia="仿宋" w:cs="仿宋"/>
          <w:b/>
          <w:bCs/>
          <w:color w:val="auto"/>
          <w:spacing w:val="24"/>
          <w:sz w:val="28"/>
          <w:szCs w:val="28"/>
          <w:highlight w:val="none"/>
        </w:rPr>
      </w:pPr>
    </w:p>
    <w:p w14:paraId="0B0089ED">
      <w:pPr>
        <w:pStyle w:val="7"/>
        <w:spacing w:line="480" w:lineRule="auto"/>
        <w:ind w:firstLine="840" w:firstLineChars="35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u w:val="single"/>
        </w:rPr>
        <w:t>（姓名）</w:t>
      </w:r>
      <w:r>
        <w:rPr>
          <w:rFonts w:hint="eastAsia" w:ascii="仿宋" w:hAnsi="仿宋" w:eastAsia="仿宋" w:cs="仿宋"/>
          <w:color w:val="auto"/>
          <w:sz w:val="24"/>
          <w:szCs w:val="24"/>
          <w:highlight w:val="none"/>
        </w:rPr>
        <w:t>是</w:t>
      </w:r>
      <w:r>
        <w:rPr>
          <w:rFonts w:hint="eastAsia" w:ascii="仿宋" w:hAnsi="仿宋" w:eastAsia="仿宋" w:cs="仿宋"/>
          <w:color w:val="auto"/>
          <w:sz w:val="24"/>
          <w:szCs w:val="24"/>
          <w:highlight w:val="none"/>
          <w:u w:val="single"/>
        </w:rPr>
        <w:t>（单位全称）</w:t>
      </w:r>
      <w:r>
        <w:rPr>
          <w:rFonts w:hint="eastAsia" w:ascii="仿宋" w:hAnsi="仿宋" w:eastAsia="仿宋" w:cs="仿宋"/>
          <w:color w:val="auto"/>
          <w:sz w:val="24"/>
          <w:szCs w:val="24"/>
          <w:highlight w:val="none"/>
        </w:rPr>
        <w:t>的法定代表人，身份证号码为。</w:t>
      </w:r>
    </w:p>
    <w:p w14:paraId="24AE4908">
      <w:pPr>
        <w:pStyle w:val="7"/>
        <w:spacing w:line="480" w:lineRule="auto"/>
        <w:ind w:firstLine="374" w:firstLineChars="156"/>
        <w:rPr>
          <w:rFonts w:ascii="仿宋" w:hAnsi="仿宋" w:eastAsia="仿宋" w:cs="仿宋"/>
          <w:color w:val="auto"/>
          <w:sz w:val="24"/>
          <w:szCs w:val="24"/>
          <w:highlight w:val="none"/>
        </w:rPr>
      </w:pPr>
    </w:p>
    <w:p w14:paraId="00A62DEF">
      <w:pPr>
        <w:pStyle w:val="7"/>
        <w:spacing w:line="480" w:lineRule="auto"/>
        <w:ind w:firstLine="374" w:firstLineChars="156"/>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    特此证明</w:t>
      </w:r>
    </w:p>
    <w:p w14:paraId="7E253BC9">
      <w:pPr>
        <w:pStyle w:val="7"/>
        <w:spacing w:line="480" w:lineRule="auto"/>
        <w:ind w:firstLine="0"/>
        <w:rPr>
          <w:rFonts w:ascii="仿宋" w:hAnsi="仿宋" w:eastAsia="仿宋" w:cs="仿宋"/>
          <w:color w:val="auto"/>
          <w:sz w:val="24"/>
          <w:szCs w:val="24"/>
          <w:highlight w:val="none"/>
        </w:rPr>
      </w:pPr>
    </w:p>
    <w:p w14:paraId="05F2D37C">
      <w:pPr>
        <w:pStyle w:val="7"/>
        <w:spacing w:line="480" w:lineRule="auto"/>
        <w:ind w:firstLine="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供应商：（盖章）                  </w:t>
      </w:r>
    </w:p>
    <w:p w14:paraId="2A284346">
      <w:pPr>
        <w:pStyle w:val="7"/>
        <w:spacing w:line="480" w:lineRule="auto"/>
        <w:ind w:firstLine="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法定代表人或其授权代理人（签名或盖章）</w:t>
      </w:r>
      <w:r>
        <w:rPr>
          <w:rFonts w:hint="eastAsia" w:ascii="仿宋" w:hAnsi="仿宋" w:eastAsia="仿宋" w:cs="仿宋"/>
          <w:color w:val="auto"/>
          <w:sz w:val="24"/>
          <w:szCs w:val="24"/>
          <w:highlight w:val="none"/>
          <w:lang w:eastAsia="zh-CN"/>
        </w:rPr>
        <w:t>：</w:t>
      </w:r>
    </w:p>
    <w:p w14:paraId="0D488000">
      <w:pPr>
        <w:pStyle w:val="7"/>
        <w:spacing w:line="480" w:lineRule="auto"/>
        <w:ind w:firstLine="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日期：    年   月   日</w:t>
      </w:r>
    </w:p>
    <w:p w14:paraId="609A01D8">
      <w:pPr>
        <w:pStyle w:val="7"/>
        <w:spacing w:line="480" w:lineRule="auto"/>
        <w:ind w:firstLine="0"/>
        <w:rPr>
          <w:rFonts w:ascii="仿宋" w:hAnsi="仿宋" w:eastAsia="仿宋" w:cs="仿宋"/>
          <w:color w:val="auto"/>
          <w:sz w:val="24"/>
          <w:szCs w:val="24"/>
          <w:highlight w:val="none"/>
        </w:rPr>
      </w:pPr>
    </w:p>
    <w:p w14:paraId="61844BE3">
      <w:pPr>
        <w:pStyle w:val="7"/>
        <w:spacing w:line="480" w:lineRule="auto"/>
        <w:ind w:firstLine="0"/>
        <w:rPr>
          <w:rFonts w:ascii="仿宋" w:hAnsi="仿宋" w:eastAsia="仿宋" w:cs="仿宋"/>
          <w:color w:val="auto"/>
          <w:sz w:val="24"/>
          <w:szCs w:val="24"/>
          <w:highlight w:val="none"/>
        </w:rPr>
      </w:pPr>
    </w:p>
    <w:p w14:paraId="2AC96CE2">
      <w:pPr>
        <w:pStyle w:val="7"/>
        <w:pBdr>
          <w:bottom w:val="single" w:color="auto" w:sz="6" w:space="1"/>
        </w:pBdr>
        <w:spacing w:line="480" w:lineRule="auto"/>
        <w:ind w:firstLine="0"/>
        <w:rPr>
          <w:rFonts w:ascii="仿宋" w:hAnsi="仿宋" w:eastAsia="仿宋" w:cs="仿宋"/>
          <w:color w:val="auto"/>
          <w:sz w:val="24"/>
          <w:szCs w:val="24"/>
          <w:highlight w:val="none"/>
        </w:rPr>
      </w:pPr>
    </w:p>
    <w:p w14:paraId="07244477">
      <w:pPr>
        <w:pStyle w:val="7"/>
        <w:spacing w:line="480" w:lineRule="auto"/>
        <w:ind w:firstLine="0"/>
        <w:rPr>
          <w:rFonts w:ascii="仿宋" w:hAnsi="仿宋" w:eastAsia="仿宋" w:cs="仿宋"/>
          <w:color w:val="auto"/>
          <w:sz w:val="24"/>
          <w:szCs w:val="24"/>
          <w:highlight w:val="none"/>
        </w:rPr>
      </w:pPr>
    </w:p>
    <w:p w14:paraId="70AA07CF">
      <w:pPr>
        <w:pStyle w:val="7"/>
        <w:spacing w:line="480" w:lineRule="auto"/>
        <w:ind w:firstLine="0"/>
        <w:rPr>
          <w:rFonts w:ascii="仿宋" w:hAnsi="仿宋" w:eastAsia="仿宋" w:cs="仿宋"/>
          <w:color w:val="auto"/>
          <w:sz w:val="24"/>
          <w:szCs w:val="24"/>
          <w:highlight w:val="none"/>
        </w:rPr>
      </w:pPr>
    </w:p>
    <w:p w14:paraId="67E7B438">
      <w:pPr>
        <w:pStyle w:val="7"/>
        <w:spacing w:line="480" w:lineRule="auto"/>
        <w:ind w:firstLine="0"/>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有效身份证明复印件粘贴处</w:t>
      </w:r>
    </w:p>
    <w:p w14:paraId="4E2A26B4">
      <w:pPr>
        <w:pStyle w:val="7"/>
        <w:spacing w:line="360" w:lineRule="auto"/>
        <w:ind w:firstLine="545" w:firstLineChars="156"/>
        <w:jc w:val="center"/>
        <w:rPr>
          <w:rFonts w:ascii="仿宋" w:hAnsi="仿宋" w:eastAsia="仿宋" w:cs="仿宋"/>
          <w:b/>
          <w:bCs/>
          <w:color w:val="auto"/>
          <w:spacing w:val="24"/>
          <w:sz w:val="30"/>
          <w:highlight w:val="none"/>
        </w:rPr>
      </w:pPr>
    </w:p>
    <w:p w14:paraId="4E0771A9">
      <w:pPr>
        <w:pStyle w:val="7"/>
        <w:spacing w:line="360" w:lineRule="auto"/>
        <w:ind w:firstLine="0"/>
        <w:jc w:val="center"/>
        <w:rPr>
          <w:rFonts w:ascii="仿宋" w:hAnsi="仿宋" w:eastAsia="仿宋" w:cs="仿宋"/>
          <w:b/>
          <w:bCs/>
          <w:color w:val="auto"/>
          <w:spacing w:val="24"/>
          <w:sz w:val="30"/>
          <w:highlight w:val="none"/>
        </w:rPr>
      </w:pPr>
    </w:p>
    <w:p w14:paraId="27619BC2">
      <w:pPr>
        <w:pStyle w:val="7"/>
        <w:spacing w:line="360" w:lineRule="auto"/>
        <w:ind w:firstLine="0"/>
        <w:jc w:val="center"/>
        <w:rPr>
          <w:rFonts w:ascii="仿宋" w:hAnsi="仿宋" w:eastAsia="仿宋" w:cs="仿宋"/>
          <w:b/>
          <w:bCs/>
          <w:color w:val="auto"/>
          <w:spacing w:val="24"/>
          <w:sz w:val="30"/>
          <w:highlight w:val="none"/>
        </w:rPr>
      </w:pPr>
    </w:p>
    <w:p w14:paraId="440759BC">
      <w:pPr>
        <w:pStyle w:val="7"/>
        <w:spacing w:line="360" w:lineRule="auto"/>
        <w:ind w:firstLine="0"/>
        <w:jc w:val="center"/>
        <w:rPr>
          <w:rFonts w:ascii="仿宋" w:hAnsi="仿宋" w:eastAsia="仿宋" w:cs="仿宋"/>
          <w:b/>
          <w:bCs/>
          <w:color w:val="auto"/>
          <w:spacing w:val="24"/>
          <w:sz w:val="30"/>
          <w:highlight w:val="none"/>
        </w:rPr>
      </w:pPr>
    </w:p>
    <w:p w14:paraId="7E12DD1F">
      <w:pPr>
        <w:pStyle w:val="7"/>
        <w:spacing w:line="360" w:lineRule="auto"/>
        <w:ind w:firstLine="0"/>
        <w:jc w:val="center"/>
        <w:rPr>
          <w:rFonts w:ascii="仿宋" w:hAnsi="仿宋" w:eastAsia="仿宋" w:cs="仿宋"/>
          <w:b/>
          <w:bCs/>
          <w:color w:val="auto"/>
          <w:spacing w:val="24"/>
          <w:sz w:val="30"/>
          <w:highlight w:val="none"/>
        </w:rPr>
      </w:pPr>
    </w:p>
    <w:p w14:paraId="4E6FD69B">
      <w:pPr>
        <w:pStyle w:val="7"/>
        <w:spacing w:line="360" w:lineRule="auto"/>
        <w:ind w:firstLine="0"/>
        <w:jc w:val="both"/>
        <w:rPr>
          <w:rFonts w:ascii="仿宋" w:hAnsi="仿宋" w:eastAsia="仿宋" w:cs="仿宋"/>
          <w:b/>
          <w:bCs/>
          <w:color w:val="auto"/>
          <w:spacing w:val="24"/>
          <w:sz w:val="28"/>
          <w:szCs w:val="28"/>
          <w:highlight w:val="none"/>
        </w:rPr>
      </w:pPr>
    </w:p>
    <w:p w14:paraId="74F12142">
      <w:pPr>
        <w:rPr>
          <w:rFonts w:ascii="仿宋" w:hAnsi="仿宋" w:eastAsia="仿宋" w:cs="仿宋"/>
          <w:b/>
          <w:bCs/>
          <w:color w:val="auto"/>
          <w:spacing w:val="24"/>
          <w:sz w:val="28"/>
          <w:szCs w:val="28"/>
          <w:highlight w:val="none"/>
        </w:rPr>
      </w:pPr>
    </w:p>
    <w:p w14:paraId="4C44C200">
      <w:pPr>
        <w:pStyle w:val="7"/>
        <w:spacing w:line="360" w:lineRule="auto"/>
        <w:ind w:firstLine="0"/>
        <w:jc w:val="center"/>
        <w:outlineLvl w:val="1"/>
        <w:rPr>
          <w:rFonts w:ascii="仿宋" w:hAnsi="仿宋" w:eastAsia="仿宋" w:cs="仿宋"/>
          <w:b/>
          <w:bCs/>
          <w:color w:val="auto"/>
          <w:spacing w:val="24"/>
          <w:sz w:val="28"/>
          <w:szCs w:val="28"/>
          <w:highlight w:val="none"/>
        </w:rPr>
      </w:pPr>
      <w:r>
        <w:rPr>
          <w:rFonts w:hint="eastAsia" w:ascii="仿宋" w:hAnsi="仿宋" w:eastAsia="仿宋" w:cs="仿宋"/>
          <w:b/>
          <w:bCs/>
          <w:color w:val="auto"/>
          <w:spacing w:val="24"/>
          <w:sz w:val="28"/>
          <w:szCs w:val="28"/>
          <w:highlight w:val="none"/>
        </w:rPr>
        <w:t>法定代表人授权委托书</w:t>
      </w:r>
    </w:p>
    <w:p w14:paraId="6D8F6F4A">
      <w:pPr>
        <w:spacing w:line="360" w:lineRule="auto"/>
        <w:ind w:firstLine="600" w:firstLineChars="200"/>
        <w:rPr>
          <w:rFonts w:ascii="仿宋" w:hAnsi="仿宋" w:eastAsia="仿宋" w:cs="仿宋"/>
          <w:color w:val="auto"/>
          <w:sz w:val="30"/>
          <w:highlight w:val="none"/>
        </w:rPr>
      </w:pPr>
    </w:p>
    <w:p w14:paraId="1F2324D4">
      <w:pPr>
        <w:spacing w:line="48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本授权委托书声明，我</w:t>
      </w:r>
      <w:r>
        <w:rPr>
          <w:rFonts w:hint="eastAsia" w:ascii="仿宋" w:hAnsi="仿宋" w:eastAsia="仿宋" w:cs="仿宋"/>
          <w:color w:val="auto"/>
          <w:sz w:val="24"/>
          <w:highlight w:val="none"/>
          <w:u w:val="single"/>
        </w:rPr>
        <w:t>（姓名）</w:t>
      </w:r>
      <w:r>
        <w:rPr>
          <w:rFonts w:hint="eastAsia" w:ascii="仿宋" w:hAnsi="仿宋" w:eastAsia="仿宋" w:cs="仿宋"/>
          <w:color w:val="auto"/>
          <w:sz w:val="24"/>
          <w:highlight w:val="none"/>
        </w:rPr>
        <w:t>系</w:t>
      </w:r>
      <w:r>
        <w:rPr>
          <w:rFonts w:hint="eastAsia" w:ascii="仿宋" w:hAnsi="仿宋" w:eastAsia="仿宋" w:cs="仿宋"/>
          <w:color w:val="auto"/>
          <w:sz w:val="24"/>
          <w:highlight w:val="none"/>
          <w:u w:val="single"/>
        </w:rPr>
        <w:t>（供应商名称）</w:t>
      </w:r>
      <w:r>
        <w:rPr>
          <w:rFonts w:hint="eastAsia" w:ascii="仿宋" w:hAnsi="仿宋" w:eastAsia="仿宋" w:cs="仿宋"/>
          <w:color w:val="auto"/>
          <w:sz w:val="24"/>
          <w:highlight w:val="none"/>
        </w:rPr>
        <w:t>的法定代表人，现授权委托</w:t>
      </w:r>
      <w:r>
        <w:rPr>
          <w:rFonts w:hint="eastAsia" w:ascii="仿宋" w:hAnsi="仿宋" w:eastAsia="仿宋" w:cs="仿宋"/>
          <w:color w:val="auto"/>
          <w:sz w:val="24"/>
          <w:highlight w:val="none"/>
          <w:u w:val="single"/>
        </w:rPr>
        <w:t>（姓名）</w:t>
      </w:r>
      <w:r>
        <w:rPr>
          <w:rFonts w:hint="eastAsia" w:ascii="仿宋" w:hAnsi="仿宋" w:eastAsia="仿宋" w:cs="仿宋"/>
          <w:color w:val="auto"/>
          <w:sz w:val="24"/>
          <w:highlight w:val="none"/>
        </w:rPr>
        <w:t>为我单位授权代理人，以本单位的名义参加</w:t>
      </w:r>
      <w:r>
        <w:rPr>
          <w:rFonts w:hint="eastAsia" w:ascii="仿宋" w:hAnsi="仿宋" w:eastAsia="仿宋" w:cs="仿宋"/>
          <w:color w:val="auto"/>
          <w:sz w:val="24"/>
          <w:highlight w:val="none"/>
          <w:u w:val="single"/>
        </w:rPr>
        <w:t>（采购代理机构名称）</w:t>
      </w:r>
      <w:r>
        <w:rPr>
          <w:rFonts w:hint="eastAsia" w:ascii="仿宋" w:hAnsi="仿宋" w:eastAsia="仿宋" w:cs="仿宋"/>
          <w:color w:val="auto"/>
          <w:sz w:val="24"/>
          <w:highlight w:val="none"/>
        </w:rPr>
        <w:t>的</w:t>
      </w:r>
      <w:r>
        <w:rPr>
          <w:rFonts w:hint="eastAsia" w:ascii="仿宋" w:hAnsi="仿宋" w:eastAsia="仿宋" w:cs="仿宋"/>
          <w:color w:val="auto"/>
          <w:sz w:val="24"/>
          <w:highlight w:val="none"/>
          <w:u w:val="single"/>
        </w:rPr>
        <w:t xml:space="preserve">            项目</w:t>
      </w:r>
      <w:r>
        <w:rPr>
          <w:rFonts w:hint="eastAsia" w:ascii="仿宋" w:hAnsi="仿宋" w:eastAsia="仿宋" w:cs="仿宋"/>
          <w:color w:val="auto"/>
          <w:sz w:val="24"/>
          <w:highlight w:val="none"/>
        </w:rPr>
        <w:t>的磋商活动。授权代理人在投标、开标、磋商、合同谈判过程中所签署的一切文件和处理与之有关的一切事务，我均予以承认。</w:t>
      </w:r>
    </w:p>
    <w:p w14:paraId="303946CD">
      <w:pPr>
        <w:spacing w:line="48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授权代理人无转委托权，特此委托。</w:t>
      </w:r>
    </w:p>
    <w:p w14:paraId="11EE3FB4">
      <w:pPr>
        <w:spacing w:after="156" w:line="480" w:lineRule="auto"/>
        <w:rPr>
          <w:rFonts w:ascii="仿宋" w:hAnsi="仿宋" w:eastAsia="仿宋" w:cs="仿宋"/>
          <w:b/>
          <w:color w:val="auto"/>
          <w:sz w:val="24"/>
          <w:highlight w:val="none"/>
        </w:rPr>
      </w:pPr>
    </w:p>
    <w:p w14:paraId="4C31EA5D">
      <w:pPr>
        <w:spacing w:line="480" w:lineRule="auto"/>
        <w:ind w:left="2699"/>
        <w:rPr>
          <w:rFonts w:ascii="仿宋" w:hAnsi="仿宋" w:eastAsia="仿宋" w:cs="仿宋"/>
          <w:color w:val="auto"/>
          <w:sz w:val="24"/>
          <w:highlight w:val="none"/>
          <w:u w:val="single"/>
        </w:rPr>
      </w:pPr>
      <w:r>
        <w:rPr>
          <w:rFonts w:hint="eastAsia" w:ascii="仿宋" w:hAnsi="仿宋" w:eastAsia="仿宋" w:cs="仿宋"/>
          <w:color w:val="auto"/>
          <w:sz w:val="24"/>
          <w:highlight w:val="none"/>
        </w:rPr>
        <w:t>授权代理人：</w:t>
      </w:r>
      <w:r>
        <w:rPr>
          <w:rFonts w:hint="eastAsia" w:ascii="仿宋" w:hAnsi="仿宋" w:eastAsia="仿宋" w:cs="仿宋"/>
          <w:color w:val="auto"/>
          <w:sz w:val="24"/>
          <w:highlight w:val="none"/>
          <w:u w:val="single"/>
        </w:rPr>
        <w:t xml:space="preserve">                      （签字）   </w:t>
      </w:r>
    </w:p>
    <w:p w14:paraId="7A20A0D6">
      <w:pPr>
        <w:spacing w:line="480" w:lineRule="auto"/>
        <w:ind w:left="2699"/>
        <w:rPr>
          <w:rFonts w:hint="default" w:ascii="仿宋" w:hAnsi="仿宋" w:eastAsia="仿宋" w:cs="仿宋"/>
          <w:color w:val="auto"/>
          <w:sz w:val="24"/>
          <w:highlight w:val="none"/>
          <w:u w:val="single"/>
          <w:lang w:val="en-US" w:eastAsia="zh-CN"/>
        </w:rPr>
      </w:pPr>
      <w:r>
        <w:rPr>
          <w:rFonts w:hint="eastAsia" w:ascii="仿宋" w:hAnsi="仿宋" w:eastAsia="仿宋" w:cs="仿宋"/>
          <w:color w:val="auto"/>
          <w:sz w:val="24"/>
          <w:highlight w:val="none"/>
        </w:rPr>
        <w:t>身份证号码：</w:t>
      </w:r>
      <w:r>
        <w:rPr>
          <w:rFonts w:hint="eastAsia" w:ascii="仿宋" w:hAnsi="仿宋" w:eastAsia="仿宋" w:cs="仿宋"/>
          <w:color w:val="auto"/>
          <w:sz w:val="24"/>
          <w:highlight w:val="none"/>
          <w:u w:val="single"/>
          <w:lang w:val="en-US" w:eastAsia="zh-CN"/>
        </w:rPr>
        <w:t xml:space="preserve">                                  </w:t>
      </w:r>
    </w:p>
    <w:p w14:paraId="2701BFBA">
      <w:pPr>
        <w:spacing w:line="480" w:lineRule="auto"/>
        <w:ind w:left="2699"/>
        <w:rPr>
          <w:rFonts w:ascii="仿宋" w:hAnsi="仿宋" w:eastAsia="仿宋" w:cs="仿宋"/>
          <w:color w:val="auto"/>
          <w:sz w:val="24"/>
          <w:highlight w:val="none"/>
          <w:u w:val="single"/>
        </w:rPr>
      </w:pPr>
      <w:r>
        <w:rPr>
          <w:rFonts w:hint="eastAsia" w:ascii="仿宋" w:hAnsi="仿宋" w:eastAsia="仿宋" w:cs="仿宋"/>
          <w:color w:val="auto"/>
          <w:sz w:val="24"/>
          <w:highlight w:val="none"/>
        </w:rPr>
        <w:t>职务：</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rPr>
        <w:t xml:space="preserve"> </w:t>
      </w:r>
    </w:p>
    <w:p w14:paraId="078BDFD9">
      <w:pPr>
        <w:spacing w:line="480" w:lineRule="auto"/>
        <w:ind w:left="2699"/>
        <w:rPr>
          <w:rFonts w:ascii="仿宋" w:hAnsi="仿宋" w:eastAsia="仿宋" w:cs="仿宋"/>
          <w:color w:val="auto"/>
          <w:sz w:val="24"/>
          <w:highlight w:val="none"/>
        </w:rPr>
      </w:pPr>
      <w:r>
        <w:rPr>
          <w:rFonts w:hint="eastAsia" w:ascii="仿宋" w:hAnsi="仿宋" w:eastAsia="仿宋" w:cs="仿宋"/>
          <w:color w:val="auto"/>
          <w:sz w:val="24"/>
          <w:highlight w:val="none"/>
        </w:rPr>
        <w:t>供应商：</w:t>
      </w:r>
      <w:r>
        <w:rPr>
          <w:rFonts w:hint="eastAsia" w:ascii="仿宋" w:hAnsi="仿宋" w:eastAsia="仿宋" w:cs="仿宋"/>
          <w:color w:val="auto"/>
          <w:sz w:val="24"/>
          <w:highlight w:val="none"/>
          <w:u w:val="single"/>
        </w:rPr>
        <w:t xml:space="preserve">                              （盖章）</w:t>
      </w:r>
    </w:p>
    <w:p w14:paraId="3D225C07">
      <w:pPr>
        <w:spacing w:line="480" w:lineRule="auto"/>
        <w:jc w:val="center"/>
        <w:rPr>
          <w:rFonts w:ascii="仿宋" w:hAnsi="仿宋" w:eastAsia="仿宋" w:cs="仿宋"/>
          <w:color w:val="auto"/>
          <w:sz w:val="24"/>
          <w:highlight w:val="none"/>
          <w:u w:val="single"/>
        </w:rPr>
      </w:pPr>
      <w:r>
        <w:rPr>
          <w:rFonts w:hint="eastAsia" w:ascii="仿宋" w:hAnsi="仿宋" w:eastAsia="仿宋" w:cs="仿宋"/>
          <w:color w:val="auto"/>
          <w:sz w:val="24"/>
          <w:highlight w:val="none"/>
        </w:rPr>
        <w:t xml:space="preserve">          法定代表人：</w:t>
      </w:r>
      <w:r>
        <w:rPr>
          <w:rFonts w:hint="eastAsia" w:ascii="仿宋" w:hAnsi="仿宋" w:eastAsia="仿宋" w:cs="仿宋"/>
          <w:color w:val="auto"/>
          <w:sz w:val="24"/>
          <w:highlight w:val="none"/>
          <w:u w:val="single"/>
        </w:rPr>
        <w:t xml:space="preserve">                 （签名或盖章）</w:t>
      </w:r>
    </w:p>
    <w:p w14:paraId="76881C06">
      <w:pPr>
        <w:pStyle w:val="7"/>
        <w:spacing w:line="480" w:lineRule="auto"/>
        <w:ind w:firstLine="2774" w:firstLineChars="1156"/>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日期：    年   月  日</w:t>
      </w:r>
    </w:p>
    <w:p w14:paraId="40ADE6DF">
      <w:pPr>
        <w:pStyle w:val="7"/>
        <w:pBdr>
          <w:bottom w:val="single" w:color="auto" w:sz="6" w:space="1"/>
        </w:pBdr>
        <w:spacing w:line="480" w:lineRule="auto"/>
        <w:ind w:firstLine="2774" w:firstLineChars="1156"/>
        <w:rPr>
          <w:rFonts w:ascii="仿宋" w:hAnsi="仿宋" w:eastAsia="仿宋" w:cs="仿宋"/>
          <w:color w:val="auto"/>
          <w:sz w:val="24"/>
          <w:szCs w:val="24"/>
          <w:highlight w:val="none"/>
        </w:rPr>
      </w:pPr>
    </w:p>
    <w:p w14:paraId="4571576B">
      <w:pPr>
        <w:pStyle w:val="7"/>
        <w:spacing w:line="480" w:lineRule="auto"/>
        <w:ind w:firstLine="0"/>
        <w:rPr>
          <w:rFonts w:ascii="仿宋" w:hAnsi="仿宋" w:eastAsia="仿宋" w:cs="仿宋"/>
          <w:color w:val="auto"/>
          <w:sz w:val="24"/>
          <w:szCs w:val="24"/>
          <w:highlight w:val="none"/>
        </w:rPr>
      </w:pPr>
    </w:p>
    <w:p w14:paraId="1178AC26">
      <w:pPr>
        <w:pStyle w:val="7"/>
        <w:spacing w:line="480" w:lineRule="auto"/>
        <w:ind w:firstLine="0"/>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授权代理人有效身份证明复印件粘贴处</w:t>
      </w:r>
    </w:p>
    <w:p w14:paraId="2F229AC5">
      <w:pPr>
        <w:pStyle w:val="7"/>
        <w:spacing w:line="480" w:lineRule="auto"/>
        <w:ind w:firstLine="0"/>
        <w:rPr>
          <w:rFonts w:ascii="仿宋" w:hAnsi="仿宋" w:eastAsia="仿宋" w:cs="仿宋"/>
          <w:color w:val="auto"/>
          <w:sz w:val="24"/>
          <w:szCs w:val="24"/>
          <w:highlight w:val="none"/>
        </w:rPr>
      </w:pPr>
    </w:p>
    <w:p w14:paraId="73849FB2">
      <w:pPr>
        <w:pStyle w:val="7"/>
        <w:spacing w:line="480" w:lineRule="auto"/>
        <w:ind w:firstLine="0"/>
        <w:jc w:val="center"/>
        <w:rPr>
          <w:rFonts w:ascii="仿宋" w:hAnsi="仿宋" w:eastAsia="仿宋" w:cs="仿宋"/>
          <w:b/>
          <w:color w:val="auto"/>
          <w:sz w:val="24"/>
          <w:highlight w:val="none"/>
        </w:rPr>
      </w:pPr>
      <w:r>
        <w:rPr>
          <w:rFonts w:hint="eastAsia" w:ascii="仿宋" w:hAnsi="仿宋" w:eastAsia="仿宋" w:cs="仿宋"/>
          <w:b/>
          <w:color w:val="auto"/>
          <w:sz w:val="24"/>
          <w:highlight w:val="none"/>
        </w:rPr>
        <w:t>（后附授权委托人近三个月中任意一个月的社保证明）</w:t>
      </w:r>
    </w:p>
    <w:p w14:paraId="10C0CE8E">
      <w:pPr>
        <w:snapToGrid w:val="0"/>
        <w:spacing w:beforeLines="50" w:after="50"/>
        <w:jc w:val="center"/>
        <w:rPr>
          <w:rFonts w:ascii="仿宋" w:hAnsi="仿宋" w:eastAsia="仿宋" w:cs="仿宋"/>
          <w:b/>
          <w:color w:val="auto"/>
          <w:szCs w:val="28"/>
          <w:highlight w:val="none"/>
        </w:rPr>
      </w:pPr>
    </w:p>
    <w:p w14:paraId="7650A1F5">
      <w:pPr>
        <w:rPr>
          <w:rFonts w:ascii="仿宋" w:hAnsi="仿宋" w:eastAsia="仿宋" w:cs="仿宋"/>
          <w:b/>
          <w:bCs/>
          <w:color w:val="auto"/>
          <w:spacing w:val="24"/>
          <w:sz w:val="28"/>
          <w:szCs w:val="28"/>
          <w:highlight w:val="none"/>
        </w:rPr>
      </w:pPr>
      <w:r>
        <w:rPr>
          <w:rFonts w:hint="eastAsia" w:ascii="仿宋" w:hAnsi="仿宋" w:eastAsia="仿宋" w:cs="仿宋"/>
          <w:b/>
          <w:bCs/>
          <w:color w:val="auto"/>
          <w:spacing w:val="24"/>
          <w:sz w:val="28"/>
          <w:szCs w:val="28"/>
          <w:highlight w:val="none"/>
        </w:rPr>
        <w:br w:type="page"/>
      </w:r>
    </w:p>
    <w:p w14:paraId="4A89E12C">
      <w:pPr>
        <w:snapToGrid w:val="0"/>
        <w:spacing w:line="560" w:lineRule="exact"/>
        <w:jc w:val="center"/>
        <w:outlineLvl w:val="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承诺书</w:t>
      </w:r>
    </w:p>
    <w:p w14:paraId="1C990F07">
      <w:pPr>
        <w:snapToGrid w:val="0"/>
        <w:spacing w:line="560" w:lineRule="exact"/>
        <w:jc w:val="center"/>
        <w:rPr>
          <w:rFonts w:ascii="仿宋" w:hAnsi="仿宋" w:eastAsia="仿宋" w:cs="仿宋"/>
          <w:b/>
          <w:color w:val="auto"/>
          <w:sz w:val="28"/>
          <w:szCs w:val="28"/>
          <w:highlight w:val="none"/>
        </w:rPr>
      </w:pPr>
    </w:p>
    <w:p w14:paraId="518E47F8">
      <w:pPr>
        <w:tabs>
          <w:tab w:val="left" w:pos="1650"/>
        </w:tabs>
        <w:jc w:val="left"/>
        <w:rPr>
          <w:rFonts w:ascii="仿宋" w:hAnsi="仿宋" w:eastAsia="仿宋" w:cs="仿宋"/>
          <w:color w:val="auto"/>
          <w:sz w:val="24"/>
          <w:highlight w:val="none"/>
        </w:rPr>
      </w:pPr>
      <w:r>
        <w:rPr>
          <w:rFonts w:hint="eastAsia" w:ascii="仿宋" w:hAnsi="仿宋" w:eastAsia="仿宋" w:cs="仿宋"/>
          <w:color w:val="auto"/>
          <w:sz w:val="24"/>
          <w:highlight w:val="none"/>
          <w:u w:val="single"/>
        </w:rPr>
        <w:t>（供应商）</w:t>
      </w:r>
      <w:r>
        <w:rPr>
          <w:rFonts w:hint="eastAsia" w:ascii="仿宋" w:hAnsi="仿宋" w:eastAsia="仿宋" w:cs="仿宋"/>
          <w:color w:val="auto"/>
          <w:sz w:val="24"/>
          <w:highlight w:val="none"/>
        </w:rPr>
        <w:t>现参加</w:t>
      </w:r>
      <w:r>
        <w:rPr>
          <w:rFonts w:hint="eastAsia" w:ascii="仿宋" w:hAnsi="仿宋" w:eastAsia="仿宋" w:cs="仿宋"/>
          <w:color w:val="auto"/>
          <w:sz w:val="24"/>
          <w:highlight w:val="none"/>
          <w:u w:val="single"/>
        </w:rPr>
        <w:t>（项目名称）</w:t>
      </w:r>
      <w:r>
        <w:rPr>
          <w:rFonts w:hint="eastAsia" w:ascii="仿宋" w:hAnsi="仿宋" w:eastAsia="仿宋" w:cs="仿宋"/>
          <w:color w:val="auto"/>
          <w:sz w:val="24"/>
          <w:highlight w:val="none"/>
        </w:rPr>
        <w:t>政府采购活动，郑重承诺如下：</w:t>
      </w:r>
    </w:p>
    <w:p w14:paraId="688E0DDD">
      <w:pPr>
        <w:tabs>
          <w:tab w:val="left" w:pos="1650"/>
        </w:tabs>
        <w:jc w:val="left"/>
        <w:rPr>
          <w:rFonts w:ascii="仿宋" w:hAnsi="仿宋" w:eastAsia="仿宋" w:cs="仿宋"/>
          <w:color w:val="auto"/>
          <w:sz w:val="24"/>
          <w:highlight w:val="none"/>
          <w:u w:val="single"/>
        </w:rPr>
      </w:pPr>
    </w:p>
    <w:p w14:paraId="0D9326DC">
      <w:pPr>
        <w:tabs>
          <w:tab w:val="left" w:pos="1650"/>
        </w:tabs>
        <w:spacing w:line="6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符合参与政府采购活动的资格条件并且没有税收缴纳、社会保障等方面的失信记录。且在磋商时间截止前未被“信用中国”（www.creditchina.gov.cn）、“中国政府采购网”（www.ccgp.gov.cn）列入失信被执行人、重大税收违法案件当事人名单、政府采购严重违法失信行为记录名单。</w:t>
      </w:r>
    </w:p>
    <w:p w14:paraId="75015F78">
      <w:pPr>
        <w:pStyle w:val="14"/>
        <w:rPr>
          <w:rFonts w:ascii="仿宋" w:hAnsi="仿宋" w:eastAsia="仿宋" w:cs="仿宋"/>
          <w:b/>
          <w:color w:val="auto"/>
          <w:sz w:val="28"/>
          <w:szCs w:val="28"/>
          <w:highlight w:val="none"/>
        </w:rPr>
      </w:pPr>
    </w:p>
    <w:p w14:paraId="5BC84B1E">
      <w:pPr>
        <w:rPr>
          <w:rFonts w:ascii="仿宋" w:hAnsi="仿宋" w:eastAsia="仿宋" w:cs="仿宋"/>
          <w:b/>
          <w:color w:val="auto"/>
          <w:sz w:val="28"/>
          <w:szCs w:val="28"/>
          <w:highlight w:val="none"/>
        </w:rPr>
      </w:pPr>
    </w:p>
    <w:p w14:paraId="26BF5CBC">
      <w:pPr>
        <w:pStyle w:val="14"/>
        <w:rPr>
          <w:rFonts w:ascii="仿宋" w:hAnsi="仿宋" w:eastAsia="仿宋" w:cs="仿宋"/>
          <w:b/>
          <w:color w:val="auto"/>
          <w:sz w:val="28"/>
          <w:szCs w:val="28"/>
          <w:highlight w:val="none"/>
        </w:rPr>
      </w:pPr>
    </w:p>
    <w:p w14:paraId="763EF6FB">
      <w:pPr>
        <w:rPr>
          <w:rFonts w:ascii="仿宋" w:hAnsi="仿宋" w:eastAsia="仿宋" w:cs="仿宋"/>
          <w:b/>
          <w:color w:val="auto"/>
          <w:sz w:val="28"/>
          <w:szCs w:val="28"/>
          <w:highlight w:val="none"/>
        </w:rPr>
      </w:pPr>
    </w:p>
    <w:p w14:paraId="01BBF6E8">
      <w:pPr>
        <w:pStyle w:val="14"/>
        <w:rPr>
          <w:rFonts w:ascii="仿宋" w:hAnsi="仿宋" w:eastAsia="仿宋" w:cs="仿宋"/>
          <w:b/>
          <w:color w:val="auto"/>
          <w:sz w:val="28"/>
          <w:szCs w:val="28"/>
          <w:highlight w:val="none"/>
        </w:rPr>
      </w:pPr>
    </w:p>
    <w:p w14:paraId="6C83E0E4">
      <w:pPr>
        <w:rPr>
          <w:rFonts w:ascii="仿宋" w:hAnsi="仿宋" w:eastAsia="仿宋" w:cs="仿宋"/>
          <w:b/>
          <w:color w:val="auto"/>
          <w:sz w:val="28"/>
          <w:szCs w:val="28"/>
          <w:highlight w:val="none"/>
        </w:rPr>
      </w:pPr>
    </w:p>
    <w:p w14:paraId="0D0E4B44">
      <w:pPr>
        <w:pStyle w:val="14"/>
        <w:rPr>
          <w:rFonts w:ascii="仿宋" w:hAnsi="仿宋" w:eastAsia="仿宋" w:cs="仿宋"/>
          <w:b/>
          <w:color w:val="auto"/>
          <w:sz w:val="28"/>
          <w:szCs w:val="28"/>
          <w:highlight w:val="none"/>
        </w:rPr>
      </w:pPr>
    </w:p>
    <w:p w14:paraId="68A4BCAC">
      <w:pPr>
        <w:pStyle w:val="39"/>
        <w:spacing w:before="0" w:beforeAutospacing="0" w:after="0" w:afterAutospacing="0" w:line="560" w:lineRule="exact"/>
        <w:ind w:firstLine="3240" w:firstLineChars="1350"/>
        <w:rPr>
          <w:rFonts w:ascii="仿宋" w:hAnsi="仿宋" w:eastAsia="仿宋" w:cs="仿宋"/>
          <w:color w:val="auto"/>
          <w:kern w:val="2"/>
          <w:highlight w:val="none"/>
        </w:rPr>
      </w:pPr>
      <w:r>
        <w:rPr>
          <w:rFonts w:hint="eastAsia" w:ascii="仿宋" w:hAnsi="仿宋" w:eastAsia="仿宋" w:cs="仿宋"/>
          <w:color w:val="auto"/>
          <w:kern w:val="2"/>
          <w:highlight w:val="none"/>
        </w:rPr>
        <w:t>承诺单位/个人（盖章/签名）</w:t>
      </w:r>
    </w:p>
    <w:p w14:paraId="3C2D2399">
      <w:pPr>
        <w:spacing w:line="560" w:lineRule="exact"/>
        <w:rPr>
          <w:rFonts w:ascii="仿宋" w:hAnsi="仿宋" w:eastAsia="仿宋" w:cs="仿宋"/>
          <w:color w:val="auto"/>
          <w:sz w:val="24"/>
          <w:highlight w:val="none"/>
        </w:rPr>
      </w:pPr>
      <w:r>
        <w:rPr>
          <w:rFonts w:hint="eastAsia" w:ascii="仿宋" w:hAnsi="仿宋" w:eastAsia="仿宋" w:cs="仿宋"/>
          <w:color w:val="auto"/>
          <w:sz w:val="24"/>
          <w:highlight w:val="none"/>
        </w:rPr>
        <w:t xml:space="preserve">                               时间：20**年*月*日</w:t>
      </w:r>
    </w:p>
    <w:p w14:paraId="1A67820F">
      <w:pPr>
        <w:spacing w:line="600" w:lineRule="exact"/>
        <w:jc w:val="center"/>
        <w:rPr>
          <w:rFonts w:ascii="仿宋" w:hAnsi="仿宋" w:eastAsia="仿宋" w:cs="仿宋"/>
          <w:b/>
          <w:bCs/>
          <w:color w:val="auto"/>
          <w:spacing w:val="24"/>
          <w:sz w:val="28"/>
          <w:szCs w:val="28"/>
          <w:highlight w:val="none"/>
        </w:rPr>
      </w:pPr>
    </w:p>
    <w:p w14:paraId="54B9DE72">
      <w:pPr>
        <w:spacing w:line="600" w:lineRule="exact"/>
        <w:jc w:val="center"/>
        <w:rPr>
          <w:rFonts w:ascii="仿宋" w:hAnsi="仿宋" w:eastAsia="仿宋" w:cs="仿宋"/>
          <w:b/>
          <w:bCs/>
          <w:color w:val="auto"/>
          <w:spacing w:val="24"/>
          <w:sz w:val="28"/>
          <w:szCs w:val="28"/>
          <w:highlight w:val="none"/>
        </w:rPr>
      </w:pPr>
    </w:p>
    <w:p w14:paraId="708AB2EC">
      <w:pPr>
        <w:spacing w:line="600" w:lineRule="exact"/>
        <w:jc w:val="center"/>
        <w:rPr>
          <w:rFonts w:ascii="仿宋" w:hAnsi="仿宋" w:eastAsia="仿宋" w:cs="仿宋"/>
          <w:b/>
          <w:bCs/>
          <w:color w:val="auto"/>
          <w:spacing w:val="24"/>
          <w:sz w:val="28"/>
          <w:szCs w:val="28"/>
          <w:highlight w:val="none"/>
        </w:rPr>
      </w:pPr>
    </w:p>
    <w:p w14:paraId="329987C0">
      <w:pPr>
        <w:spacing w:line="600" w:lineRule="exact"/>
        <w:jc w:val="center"/>
        <w:rPr>
          <w:rFonts w:ascii="仿宋" w:hAnsi="仿宋" w:eastAsia="仿宋" w:cs="仿宋"/>
          <w:b/>
          <w:bCs/>
          <w:color w:val="auto"/>
          <w:spacing w:val="24"/>
          <w:sz w:val="28"/>
          <w:szCs w:val="28"/>
          <w:highlight w:val="none"/>
        </w:rPr>
      </w:pPr>
    </w:p>
    <w:p w14:paraId="3395DE82">
      <w:pPr>
        <w:spacing w:line="600" w:lineRule="exact"/>
        <w:jc w:val="center"/>
        <w:rPr>
          <w:rFonts w:ascii="仿宋" w:hAnsi="仿宋" w:eastAsia="仿宋" w:cs="仿宋"/>
          <w:b/>
          <w:bCs/>
          <w:color w:val="auto"/>
          <w:spacing w:val="24"/>
          <w:sz w:val="28"/>
          <w:szCs w:val="28"/>
          <w:highlight w:val="none"/>
        </w:rPr>
      </w:pPr>
    </w:p>
    <w:p w14:paraId="4E717A39">
      <w:pPr>
        <w:spacing w:line="600" w:lineRule="exact"/>
        <w:jc w:val="center"/>
        <w:rPr>
          <w:rFonts w:ascii="仿宋" w:hAnsi="仿宋" w:eastAsia="仿宋" w:cs="仿宋"/>
          <w:b/>
          <w:bCs/>
          <w:color w:val="auto"/>
          <w:spacing w:val="24"/>
          <w:sz w:val="28"/>
          <w:szCs w:val="28"/>
          <w:highlight w:val="none"/>
        </w:rPr>
      </w:pPr>
    </w:p>
    <w:p w14:paraId="1F718E57">
      <w:pPr>
        <w:spacing w:line="600" w:lineRule="exact"/>
        <w:rPr>
          <w:rFonts w:ascii="仿宋" w:hAnsi="仿宋" w:eastAsia="仿宋" w:cs="仿宋"/>
          <w:b/>
          <w:bCs/>
          <w:color w:val="auto"/>
          <w:spacing w:val="24"/>
          <w:sz w:val="28"/>
          <w:szCs w:val="28"/>
          <w:highlight w:val="none"/>
        </w:rPr>
      </w:pPr>
    </w:p>
    <w:p w14:paraId="7757C439">
      <w:pPr>
        <w:spacing w:line="600" w:lineRule="exact"/>
        <w:jc w:val="center"/>
        <w:outlineLvl w:val="1"/>
        <w:rPr>
          <w:rFonts w:ascii="仿宋" w:hAnsi="仿宋" w:eastAsia="仿宋" w:cs="仿宋"/>
          <w:b/>
          <w:bCs/>
          <w:color w:val="auto"/>
          <w:spacing w:val="24"/>
          <w:sz w:val="28"/>
          <w:szCs w:val="28"/>
          <w:highlight w:val="none"/>
        </w:rPr>
      </w:pPr>
      <w:r>
        <w:rPr>
          <w:rFonts w:hint="eastAsia" w:ascii="仿宋" w:hAnsi="仿宋" w:eastAsia="仿宋" w:cs="仿宋"/>
          <w:b/>
          <w:bCs/>
          <w:color w:val="auto"/>
          <w:spacing w:val="24"/>
          <w:sz w:val="28"/>
          <w:szCs w:val="28"/>
          <w:highlight w:val="none"/>
        </w:rPr>
        <w:t>信用承诺书</w:t>
      </w:r>
    </w:p>
    <w:p w14:paraId="1D0A43C1">
      <w:pPr>
        <w:tabs>
          <w:tab w:val="left" w:pos="1650"/>
        </w:tabs>
        <w:spacing w:line="64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u w:val="single"/>
        </w:rPr>
        <w:t>（供应商）</w:t>
      </w:r>
      <w:r>
        <w:rPr>
          <w:rFonts w:hint="eastAsia" w:ascii="仿宋" w:hAnsi="仿宋" w:eastAsia="仿宋" w:cs="仿宋"/>
          <w:color w:val="auto"/>
          <w:sz w:val="24"/>
          <w:highlight w:val="none"/>
        </w:rPr>
        <w:t>现参加</w:t>
      </w:r>
      <w:r>
        <w:rPr>
          <w:rFonts w:hint="eastAsia" w:ascii="仿宋" w:hAnsi="仿宋" w:eastAsia="仿宋" w:cs="仿宋"/>
          <w:color w:val="auto"/>
          <w:sz w:val="24"/>
          <w:highlight w:val="none"/>
          <w:u w:val="single"/>
        </w:rPr>
        <w:t>（采购项目）</w:t>
      </w:r>
      <w:r>
        <w:rPr>
          <w:rFonts w:hint="eastAsia" w:ascii="仿宋" w:hAnsi="仿宋" w:eastAsia="仿宋" w:cs="仿宋"/>
          <w:color w:val="auto"/>
          <w:sz w:val="24"/>
          <w:highlight w:val="none"/>
        </w:rPr>
        <w:t>政府采购活动，郑重承诺如下：</w:t>
      </w:r>
    </w:p>
    <w:p w14:paraId="7E56646B">
      <w:pPr>
        <w:tabs>
          <w:tab w:val="left" w:pos="1650"/>
        </w:tabs>
        <w:spacing w:line="640" w:lineRule="exact"/>
        <w:ind w:firstLine="630"/>
        <w:rPr>
          <w:rFonts w:ascii="仿宋" w:hAnsi="仿宋" w:eastAsia="仿宋" w:cs="仿宋"/>
          <w:color w:val="auto"/>
          <w:sz w:val="24"/>
          <w:highlight w:val="none"/>
        </w:rPr>
      </w:pPr>
      <w:r>
        <w:rPr>
          <w:rFonts w:hint="eastAsia" w:ascii="仿宋" w:hAnsi="仿宋" w:eastAsia="仿宋" w:cs="仿宋"/>
          <w:color w:val="auto"/>
          <w:sz w:val="24"/>
          <w:highlight w:val="none"/>
        </w:rPr>
        <w:t>1、对所提供的资料合法性、真实性、准确性和有效性负责；</w:t>
      </w:r>
    </w:p>
    <w:p w14:paraId="15048A71">
      <w:pPr>
        <w:tabs>
          <w:tab w:val="left" w:pos="1650"/>
        </w:tabs>
        <w:spacing w:line="640" w:lineRule="exact"/>
        <w:ind w:firstLine="630"/>
        <w:rPr>
          <w:rFonts w:ascii="仿宋" w:hAnsi="仿宋" w:eastAsia="仿宋" w:cs="仿宋"/>
          <w:color w:val="auto"/>
          <w:sz w:val="24"/>
          <w:highlight w:val="none"/>
        </w:rPr>
      </w:pPr>
      <w:r>
        <w:rPr>
          <w:rFonts w:hint="eastAsia" w:ascii="仿宋" w:hAnsi="仿宋" w:eastAsia="仿宋" w:cs="仿宋"/>
          <w:color w:val="auto"/>
          <w:sz w:val="24"/>
          <w:highlight w:val="none"/>
        </w:rPr>
        <w:t>2、严格按照国家法律、法规和规章，依法开展相关经济活动，全面履行应尽的责任和义务；</w:t>
      </w:r>
    </w:p>
    <w:p w14:paraId="7509FF80">
      <w:pPr>
        <w:tabs>
          <w:tab w:val="left" w:pos="1650"/>
        </w:tabs>
        <w:spacing w:line="640" w:lineRule="exact"/>
        <w:ind w:firstLine="630"/>
        <w:rPr>
          <w:rFonts w:ascii="仿宋" w:hAnsi="仿宋" w:eastAsia="仿宋" w:cs="仿宋"/>
          <w:color w:val="auto"/>
          <w:sz w:val="24"/>
          <w:highlight w:val="none"/>
        </w:rPr>
      </w:pPr>
      <w:r>
        <w:rPr>
          <w:rFonts w:hint="eastAsia" w:ascii="仿宋" w:hAnsi="仿宋" w:eastAsia="仿宋" w:cs="仿宋"/>
          <w:color w:val="auto"/>
          <w:sz w:val="24"/>
          <w:highlight w:val="none"/>
        </w:rPr>
        <w:t>3、加强自我约束、自我规范、自我管理，不制假售假、不虚假宣传、不违约毁约、不恶意逃债、不偷税漏税，诚信依法经营；</w:t>
      </w:r>
    </w:p>
    <w:p w14:paraId="711B5BC9">
      <w:pPr>
        <w:tabs>
          <w:tab w:val="left" w:pos="1650"/>
        </w:tabs>
        <w:spacing w:line="640" w:lineRule="exact"/>
        <w:ind w:firstLine="630"/>
        <w:rPr>
          <w:rFonts w:ascii="仿宋" w:hAnsi="仿宋" w:eastAsia="仿宋" w:cs="仿宋"/>
          <w:color w:val="auto"/>
          <w:sz w:val="24"/>
          <w:highlight w:val="none"/>
        </w:rPr>
      </w:pPr>
      <w:r>
        <w:rPr>
          <w:rFonts w:hint="eastAsia" w:ascii="仿宋" w:hAnsi="仿宋" w:eastAsia="仿宋" w:cs="仿宋"/>
          <w:color w:val="auto"/>
          <w:sz w:val="24"/>
          <w:highlight w:val="none"/>
        </w:rPr>
        <w:t>4、自愿接受行政主管部门的依法检查、违背承诺约定将自愿承担违约责任，并接受法律法规和相关部门规章制度的惩戒和约束；</w:t>
      </w:r>
    </w:p>
    <w:p w14:paraId="6CFFBDF7">
      <w:pPr>
        <w:tabs>
          <w:tab w:val="left" w:pos="1650"/>
        </w:tabs>
        <w:spacing w:line="640" w:lineRule="exact"/>
        <w:ind w:firstLine="630"/>
        <w:rPr>
          <w:rFonts w:ascii="仿宋" w:hAnsi="仿宋" w:eastAsia="仿宋" w:cs="仿宋"/>
          <w:color w:val="auto"/>
          <w:sz w:val="24"/>
          <w:highlight w:val="none"/>
        </w:rPr>
      </w:pPr>
      <w:r>
        <w:rPr>
          <w:rFonts w:hint="eastAsia" w:ascii="仿宋" w:hAnsi="仿宋" w:eastAsia="仿宋" w:cs="仿宋"/>
          <w:color w:val="auto"/>
          <w:sz w:val="24"/>
          <w:highlight w:val="none"/>
        </w:rPr>
        <w:t>5、按照信用信息管理有关要求，本单位（个人）同意将以上承诺在信用湖州网站公示，若违背以上承诺，依据相关规定记入企业（个人）信用档案；性质严重的，承担相应法律后果和责任，并依法依规列入严重失信名单。</w:t>
      </w:r>
    </w:p>
    <w:p w14:paraId="4B4E2B62">
      <w:pPr>
        <w:tabs>
          <w:tab w:val="left" w:pos="1650"/>
        </w:tabs>
        <w:spacing w:line="640" w:lineRule="exact"/>
        <w:rPr>
          <w:rFonts w:ascii="仿宋" w:hAnsi="仿宋" w:eastAsia="仿宋" w:cs="仿宋"/>
          <w:color w:val="auto"/>
          <w:sz w:val="24"/>
          <w:highlight w:val="none"/>
          <w:u w:val="single"/>
        </w:rPr>
      </w:pPr>
    </w:p>
    <w:p w14:paraId="1C700DD1">
      <w:pPr>
        <w:tabs>
          <w:tab w:val="left" w:pos="1650"/>
        </w:tabs>
        <w:spacing w:line="640" w:lineRule="exact"/>
        <w:rPr>
          <w:rFonts w:ascii="仿宋" w:hAnsi="仿宋" w:eastAsia="仿宋" w:cs="仿宋"/>
          <w:color w:val="auto"/>
          <w:sz w:val="24"/>
          <w:highlight w:val="none"/>
          <w:u w:val="single"/>
        </w:rPr>
      </w:pPr>
    </w:p>
    <w:p w14:paraId="397545DD">
      <w:pPr>
        <w:pStyle w:val="39"/>
        <w:spacing w:before="0" w:beforeAutospacing="0" w:after="0" w:afterAutospacing="0" w:line="640" w:lineRule="exact"/>
        <w:ind w:firstLine="600" w:firstLineChars="250"/>
        <w:rPr>
          <w:rFonts w:ascii="仿宋" w:hAnsi="仿宋" w:eastAsia="仿宋" w:cs="仿宋"/>
          <w:color w:val="auto"/>
          <w:spacing w:val="-7"/>
          <w:highlight w:val="none"/>
        </w:rPr>
      </w:pPr>
      <w:r>
        <w:rPr>
          <w:rFonts w:hint="eastAsia" w:ascii="仿宋" w:hAnsi="仿宋" w:eastAsia="仿宋" w:cs="仿宋"/>
          <w:color w:val="auto"/>
          <w:kern w:val="2"/>
          <w:highlight w:val="none"/>
        </w:rPr>
        <w:t>统一社会信用代码：</w:t>
      </w:r>
    </w:p>
    <w:p w14:paraId="5863C9BF">
      <w:pPr>
        <w:pStyle w:val="39"/>
        <w:spacing w:before="0" w:beforeAutospacing="0" w:after="0" w:afterAutospacing="0" w:line="640" w:lineRule="exact"/>
        <w:rPr>
          <w:rFonts w:ascii="仿宋" w:hAnsi="仿宋" w:eastAsia="仿宋" w:cs="仿宋"/>
          <w:color w:val="auto"/>
          <w:highlight w:val="none"/>
        </w:rPr>
      </w:pPr>
    </w:p>
    <w:p w14:paraId="2DABCB8F">
      <w:pPr>
        <w:pStyle w:val="39"/>
        <w:spacing w:before="0" w:beforeAutospacing="0" w:after="0" w:afterAutospacing="0" w:line="640" w:lineRule="exact"/>
        <w:rPr>
          <w:rFonts w:ascii="仿宋" w:hAnsi="仿宋" w:eastAsia="仿宋" w:cs="仿宋"/>
          <w:color w:val="auto"/>
          <w:highlight w:val="none"/>
        </w:rPr>
      </w:pPr>
    </w:p>
    <w:p w14:paraId="2563B36A">
      <w:pPr>
        <w:pStyle w:val="39"/>
        <w:spacing w:before="0" w:beforeAutospacing="0" w:after="0" w:afterAutospacing="0" w:line="640" w:lineRule="exact"/>
        <w:ind w:firstLine="3240" w:firstLineChars="1350"/>
        <w:jc w:val="right"/>
        <w:rPr>
          <w:rFonts w:ascii="仿宋" w:hAnsi="仿宋" w:eastAsia="仿宋" w:cs="仿宋"/>
          <w:color w:val="auto"/>
          <w:kern w:val="2"/>
          <w:highlight w:val="none"/>
        </w:rPr>
      </w:pPr>
      <w:r>
        <w:rPr>
          <w:rFonts w:hint="eastAsia" w:ascii="仿宋" w:hAnsi="仿宋" w:eastAsia="仿宋" w:cs="仿宋"/>
          <w:color w:val="auto"/>
          <w:kern w:val="2"/>
          <w:highlight w:val="none"/>
        </w:rPr>
        <w:t>承诺单位/个人：（盖章/签名）</w:t>
      </w:r>
    </w:p>
    <w:p w14:paraId="61885DDC">
      <w:pPr>
        <w:spacing w:line="640" w:lineRule="exact"/>
        <w:jc w:val="right"/>
        <w:rPr>
          <w:rFonts w:ascii="仿宋" w:hAnsi="仿宋" w:eastAsia="仿宋" w:cs="仿宋"/>
          <w:color w:val="auto"/>
          <w:sz w:val="24"/>
          <w:highlight w:val="none"/>
        </w:rPr>
      </w:pPr>
      <w:r>
        <w:rPr>
          <w:rFonts w:hint="eastAsia" w:ascii="仿宋" w:hAnsi="仿宋" w:eastAsia="仿宋" w:cs="仿宋"/>
          <w:color w:val="auto"/>
          <w:sz w:val="24"/>
          <w:highlight w:val="none"/>
        </w:rPr>
        <w:t xml:space="preserve">            时   间：  年  月  日</w:t>
      </w:r>
    </w:p>
    <w:p w14:paraId="2D60F905">
      <w:pPr>
        <w:pStyle w:val="7"/>
        <w:spacing w:line="600" w:lineRule="exact"/>
        <w:ind w:firstLine="0"/>
        <w:jc w:val="center"/>
        <w:rPr>
          <w:rFonts w:ascii="仿宋" w:hAnsi="仿宋" w:eastAsia="仿宋" w:cs="仿宋"/>
          <w:color w:val="auto"/>
          <w:sz w:val="24"/>
          <w:szCs w:val="24"/>
          <w:highlight w:val="none"/>
        </w:rPr>
      </w:pPr>
    </w:p>
    <w:p w14:paraId="1CB6634A">
      <w:pPr>
        <w:rPr>
          <w:rFonts w:ascii="仿宋" w:hAnsi="仿宋" w:eastAsia="仿宋" w:cs="仿宋"/>
          <w:b/>
          <w:bCs/>
          <w:color w:val="auto"/>
          <w:spacing w:val="24"/>
          <w:sz w:val="28"/>
          <w:szCs w:val="28"/>
          <w:highlight w:val="none"/>
        </w:rPr>
      </w:pPr>
      <w:r>
        <w:rPr>
          <w:rFonts w:hint="eastAsia" w:ascii="仿宋" w:hAnsi="仿宋" w:eastAsia="仿宋" w:cs="仿宋"/>
          <w:b/>
          <w:bCs/>
          <w:color w:val="auto"/>
          <w:spacing w:val="24"/>
          <w:sz w:val="28"/>
          <w:szCs w:val="28"/>
          <w:highlight w:val="none"/>
        </w:rPr>
        <w:br w:type="page"/>
      </w:r>
    </w:p>
    <w:p w14:paraId="7446740F">
      <w:pPr>
        <w:snapToGrid w:val="0"/>
        <w:spacing w:beforeLines="50" w:after="50" w:line="400" w:lineRule="exact"/>
        <w:jc w:val="center"/>
        <w:outlineLvl w:val="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响 应 函</w:t>
      </w:r>
    </w:p>
    <w:p w14:paraId="4EDA2EC0">
      <w:pPr>
        <w:snapToGrid w:val="0"/>
        <w:spacing w:line="600" w:lineRule="exact"/>
        <w:rPr>
          <w:rFonts w:ascii="仿宋" w:hAnsi="仿宋" w:eastAsia="仿宋" w:cs="仿宋"/>
          <w:color w:val="auto"/>
          <w:sz w:val="24"/>
          <w:szCs w:val="20"/>
          <w:highlight w:val="none"/>
        </w:rPr>
      </w:pPr>
      <w:r>
        <w:rPr>
          <w:rFonts w:hint="eastAsia" w:ascii="仿宋" w:hAnsi="仿宋" w:eastAsia="仿宋" w:cs="仿宋"/>
          <w:color w:val="auto"/>
          <w:sz w:val="24"/>
          <w:highlight w:val="none"/>
        </w:rPr>
        <w:t>致：</w:t>
      </w:r>
      <w:r>
        <w:rPr>
          <w:rFonts w:hint="eastAsia" w:ascii="仿宋" w:hAnsi="仿宋" w:eastAsia="仿宋" w:cs="仿宋"/>
          <w:color w:val="auto"/>
          <w:sz w:val="24"/>
          <w:highlight w:val="none"/>
          <w:u w:val="single"/>
        </w:rPr>
        <w:t>（采购人名称）</w:t>
      </w:r>
      <w:r>
        <w:rPr>
          <w:rFonts w:hint="eastAsia" w:ascii="仿宋" w:hAnsi="仿宋" w:eastAsia="仿宋" w:cs="仿宋"/>
          <w:color w:val="auto"/>
          <w:sz w:val="24"/>
          <w:highlight w:val="none"/>
        </w:rPr>
        <w:t>：</w:t>
      </w:r>
    </w:p>
    <w:p w14:paraId="3C2652FA">
      <w:pPr>
        <w:snapToGrid w:val="0"/>
        <w:spacing w:line="600" w:lineRule="exact"/>
        <w:ind w:firstLine="600" w:firstLineChars="250"/>
        <w:rPr>
          <w:rFonts w:ascii="仿宋" w:hAnsi="仿宋" w:eastAsia="仿宋" w:cs="仿宋"/>
          <w:color w:val="auto"/>
          <w:sz w:val="24"/>
          <w:szCs w:val="20"/>
          <w:highlight w:val="none"/>
        </w:rPr>
      </w:pPr>
      <w:r>
        <w:rPr>
          <w:rFonts w:hint="eastAsia" w:ascii="仿宋" w:hAnsi="仿宋" w:eastAsia="仿宋" w:cs="仿宋"/>
          <w:color w:val="auto"/>
          <w:sz w:val="24"/>
          <w:highlight w:val="none"/>
        </w:rPr>
        <w:t>根据贵方</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rPr>
        <w:t>项目的磋商公告</w:t>
      </w:r>
      <w:r>
        <w:rPr>
          <w:rFonts w:hint="eastAsia" w:ascii="仿宋" w:hAnsi="仿宋" w:eastAsia="仿宋" w:cs="仿宋"/>
          <w:color w:val="auto"/>
          <w:sz w:val="24"/>
          <w:highlight w:val="none"/>
          <w:u w:val="single"/>
        </w:rPr>
        <w:t>（项目编号：）</w:t>
      </w:r>
      <w:r>
        <w:rPr>
          <w:rFonts w:hint="eastAsia" w:ascii="仿宋" w:hAnsi="仿宋" w:eastAsia="仿宋" w:cs="仿宋"/>
          <w:color w:val="auto"/>
          <w:sz w:val="24"/>
          <w:highlight w:val="none"/>
        </w:rPr>
        <w:t>，签字代表</w:t>
      </w:r>
      <w:r>
        <w:rPr>
          <w:rFonts w:hint="eastAsia" w:ascii="仿宋" w:hAnsi="仿宋" w:eastAsia="仿宋" w:cs="仿宋"/>
          <w:color w:val="auto"/>
          <w:sz w:val="24"/>
          <w:highlight w:val="none"/>
          <w:u w:val="single"/>
        </w:rPr>
        <w:t>（全名）</w:t>
      </w:r>
      <w:r>
        <w:rPr>
          <w:rFonts w:hint="eastAsia" w:ascii="仿宋" w:hAnsi="仿宋" w:eastAsia="仿宋" w:cs="仿宋"/>
          <w:color w:val="auto"/>
          <w:sz w:val="24"/>
          <w:highlight w:val="none"/>
        </w:rPr>
        <w:t>经正式授权并代表供应商</w:t>
      </w:r>
      <w:r>
        <w:rPr>
          <w:rFonts w:hint="eastAsia" w:ascii="仿宋" w:hAnsi="仿宋" w:eastAsia="仿宋" w:cs="仿宋"/>
          <w:color w:val="auto"/>
          <w:sz w:val="24"/>
          <w:highlight w:val="none"/>
          <w:u w:val="single"/>
        </w:rPr>
        <w:t>（供应商名称）</w:t>
      </w:r>
      <w:r>
        <w:rPr>
          <w:rFonts w:hint="eastAsia" w:ascii="仿宋" w:hAnsi="仿宋" w:eastAsia="仿宋" w:cs="仿宋"/>
          <w:color w:val="auto"/>
          <w:sz w:val="24"/>
          <w:highlight w:val="none"/>
        </w:rPr>
        <w:t>提交《技术、商务、资信及其他文件》和《首次报价文件》。</w:t>
      </w:r>
    </w:p>
    <w:p w14:paraId="4FFCEE89">
      <w:pPr>
        <w:snapToGrid w:val="0"/>
        <w:spacing w:line="600" w:lineRule="exact"/>
        <w:ind w:firstLine="480" w:firstLineChars="200"/>
        <w:rPr>
          <w:rFonts w:ascii="仿宋" w:hAnsi="仿宋" w:eastAsia="仿宋" w:cs="仿宋"/>
          <w:color w:val="auto"/>
          <w:sz w:val="24"/>
          <w:szCs w:val="20"/>
          <w:highlight w:val="none"/>
        </w:rPr>
      </w:pPr>
      <w:r>
        <w:rPr>
          <w:rFonts w:hint="eastAsia" w:ascii="仿宋" w:hAnsi="仿宋" w:eastAsia="仿宋" w:cs="仿宋"/>
          <w:color w:val="auto"/>
          <w:sz w:val="24"/>
          <w:highlight w:val="none"/>
        </w:rPr>
        <w:t>据此函，签字代表宣布同意如下：</w:t>
      </w:r>
    </w:p>
    <w:p w14:paraId="375B1FC1">
      <w:pPr>
        <w:snapToGrid w:val="0"/>
        <w:spacing w:line="600" w:lineRule="exact"/>
        <w:ind w:firstLine="480" w:firstLineChars="200"/>
        <w:rPr>
          <w:rFonts w:ascii="仿宋" w:hAnsi="仿宋" w:eastAsia="仿宋" w:cs="仿宋"/>
          <w:color w:val="auto"/>
          <w:sz w:val="24"/>
          <w:szCs w:val="20"/>
          <w:highlight w:val="none"/>
        </w:rPr>
      </w:pPr>
      <w:r>
        <w:rPr>
          <w:rFonts w:hint="eastAsia" w:ascii="仿宋" w:hAnsi="仿宋" w:eastAsia="仿宋" w:cs="仿宋"/>
          <w:color w:val="auto"/>
          <w:sz w:val="24"/>
          <w:highlight w:val="none"/>
        </w:rPr>
        <w:t>1.供应商已详细审查全部“磋商文件”，包括修改文件（如有的话）以及全部参考资料和有关附件，已经了解我方对于磋商文件、采购过程、采购结果有依法进行询问、质疑、投诉的权利及相关渠道和要求。</w:t>
      </w:r>
    </w:p>
    <w:p w14:paraId="5D253546">
      <w:pPr>
        <w:snapToGrid w:val="0"/>
        <w:spacing w:line="600" w:lineRule="exact"/>
        <w:ind w:firstLine="480" w:firstLineChars="200"/>
        <w:rPr>
          <w:rFonts w:ascii="仿宋" w:hAnsi="仿宋" w:eastAsia="仿宋" w:cs="仿宋"/>
          <w:color w:val="auto"/>
          <w:sz w:val="24"/>
          <w:szCs w:val="20"/>
          <w:highlight w:val="none"/>
        </w:rPr>
      </w:pPr>
      <w:r>
        <w:rPr>
          <w:rFonts w:hint="eastAsia" w:ascii="仿宋" w:hAnsi="仿宋" w:eastAsia="仿宋" w:cs="仿宋"/>
          <w:color w:val="auto"/>
          <w:sz w:val="24"/>
          <w:highlight w:val="none"/>
        </w:rPr>
        <w:t>2.供应商在磋商之前已经与贵方进行了充分的沟通，完全理解并接受磋商文件的各项规定和要求，对磋商文件的合理性、合法性不再有异议。</w:t>
      </w:r>
    </w:p>
    <w:p w14:paraId="44AC9D4F">
      <w:pPr>
        <w:snapToGrid w:val="0"/>
        <w:spacing w:line="600" w:lineRule="exact"/>
        <w:ind w:firstLine="480" w:firstLineChars="200"/>
        <w:rPr>
          <w:rFonts w:ascii="仿宋" w:hAnsi="仿宋" w:eastAsia="仿宋" w:cs="仿宋"/>
          <w:color w:val="auto"/>
          <w:sz w:val="24"/>
          <w:szCs w:val="20"/>
          <w:highlight w:val="none"/>
        </w:rPr>
      </w:pPr>
      <w:r>
        <w:rPr>
          <w:rFonts w:hint="eastAsia" w:ascii="仿宋" w:hAnsi="仿宋" w:eastAsia="仿宋" w:cs="仿宋"/>
          <w:color w:val="auto"/>
          <w:sz w:val="24"/>
          <w:highlight w:val="none"/>
        </w:rPr>
        <w:t>3.本磋商有效期自开标日起</w:t>
      </w:r>
      <w:r>
        <w:rPr>
          <w:rFonts w:hint="eastAsia" w:ascii="仿宋" w:hAnsi="仿宋" w:eastAsia="仿宋" w:cs="仿宋"/>
          <w:color w:val="auto"/>
          <w:sz w:val="24"/>
          <w:highlight w:val="none"/>
          <w:u w:val="single"/>
        </w:rPr>
        <w:t>60</w:t>
      </w:r>
      <w:r>
        <w:rPr>
          <w:rFonts w:hint="eastAsia" w:ascii="仿宋" w:hAnsi="仿宋" w:eastAsia="仿宋" w:cs="仿宋"/>
          <w:color w:val="auto"/>
          <w:sz w:val="24"/>
          <w:highlight w:val="none"/>
        </w:rPr>
        <w:t>个日历天。</w:t>
      </w:r>
    </w:p>
    <w:p w14:paraId="0B8372D3">
      <w:pPr>
        <w:snapToGrid w:val="0"/>
        <w:spacing w:line="600" w:lineRule="exact"/>
        <w:ind w:firstLine="480" w:firstLineChars="200"/>
        <w:rPr>
          <w:rFonts w:ascii="仿宋" w:hAnsi="仿宋" w:eastAsia="仿宋" w:cs="仿宋"/>
          <w:color w:val="auto"/>
          <w:sz w:val="24"/>
          <w:szCs w:val="20"/>
          <w:highlight w:val="none"/>
        </w:rPr>
      </w:pPr>
      <w:r>
        <w:rPr>
          <w:rFonts w:hint="eastAsia" w:ascii="仿宋" w:hAnsi="仿宋" w:eastAsia="仿宋" w:cs="仿宋"/>
          <w:color w:val="auto"/>
          <w:sz w:val="24"/>
          <w:highlight w:val="none"/>
        </w:rPr>
        <w:t>4.如成交，本响应文件至本项目合同履行完毕止均保持有效，本供应商将按“磋商文件”及政府采购法律、法规的规定履行合同责任和义务。</w:t>
      </w:r>
    </w:p>
    <w:p w14:paraId="5055CCB2">
      <w:pPr>
        <w:snapToGrid w:val="0"/>
        <w:spacing w:line="600" w:lineRule="exact"/>
        <w:ind w:firstLine="480" w:firstLineChars="200"/>
        <w:rPr>
          <w:rFonts w:ascii="仿宋" w:hAnsi="仿宋" w:eastAsia="仿宋" w:cs="仿宋"/>
          <w:color w:val="auto"/>
          <w:sz w:val="24"/>
          <w:szCs w:val="20"/>
          <w:highlight w:val="none"/>
        </w:rPr>
      </w:pPr>
      <w:r>
        <w:rPr>
          <w:rFonts w:hint="eastAsia" w:ascii="仿宋" w:hAnsi="仿宋" w:eastAsia="仿宋" w:cs="仿宋"/>
          <w:color w:val="auto"/>
          <w:sz w:val="24"/>
          <w:highlight w:val="none"/>
        </w:rPr>
        <w:t>5.供应商同意按照贵方要求提供与磋商有关的一切数据或资料。</w:t>
      </w:r>
    </w:p>
    <w:p w14:paraId="701BEF8A">
      <w:pPr>
        <w:snapToGrid w:val="0"/>
        <w:spacing w:line="60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6.与本磋商有关的一切正式往来信函请寄：</w:t>
      </w:r>
    </w:p>
    <w:p w14:paraId="5BCB7767">
      <w:pPr>
        <w:snapToGrid w:val="0"/>
        <w:spacing w:line="600" w:lineRule="exact"/>
        <w:ind w:firstLine="480" w:firstLineChars="200"/>
        <w:rPr>
          <w:rFonts w:ascii="仿宋" w:hAnsi="仿宋" w:eastAsia="仿宋" w:cs="仿宋"/>
          <w:color w:val="auto"/>
          <w:sz w:val="24"/>
          <w:szCs w:val="20"/>
          <w:highlight w:val="none"/>
        </w:rPr>
      </w:pPr>
    </w:p>
    <w:p w14:paraId="62B517C6">
      <w:pPr>
        <w:snapToGrid w:val="0"/>
        <w:spacing w:line="600" w:lineRule="exact"/>
        <w:rPr>
          <w:rFonts w:ascii="仿宋" w:hAnsi="仿宋" w:eastAsia="仿宋" w:cs="仿宋"/>
          <w:color w:val="auto"/>
          <w:sz w:val="24"/>
          <w:szCs w:val="20"/>
          <w:highlight w:val="none"/>
        </w:rPr>
      </w:pPr>
      <w:r>
        <w:rPr>
          <w:rFonts w:hint="eastAsia" w:ascii="仿宋" w:hAnsi="仿宋" w:eastAsia="仿宋" w:cs="仿宋"/>
          <w:color w:val="auto"/>
          <w:sz w:val="24"/>
          <w:highlight w:val="none"/>
        </w:rPr>
        <w:t>地址：                       邮编：                        电话：</w:t>
      </w:r>
    </w:p>
    <w:p w14:paraId="07007DEB">
      <w:pPr>
        <w:snapToGrid w:val="0"/>
        <w:spacing w:line="600" w:lineRule="exact"/>
        <w:rPr>
          <w:rFonts w:ascii="仿宋" w:hAnsi="仿宋" w:eastAsia="仿宋" w:cs="仿宋"/>
          <w:color w:val="auto"/>
          <w:sz w:val="24"/>
          <w:szCs w:val="20"/>
          <w:highlight w:val="none"/>
        </w:rPr>
      </w:pPr>
      <w:r>
        <w:rPr>
          <w:rFonts w:hint="eastAsia" w:ascii="仿宋" w:hAnsi="仿宋" w:eastAsia="仿宋" w:cs="仿宋"/>
          <w:color w:val="auto"/>
          <w:sz w:val="24"/>
          <w:highlight w:val="none"/>
        </w:rPr>
        <w:t>传真：                       供应商代表姓名：              职务：</w:t>
      </w:r>
    </w:p>
    <w:p w14:paraId="7AB623D6">
      <w:pPr>
        <w:snapToGrid w:val="0"/>
        <w:spacing w:line="600" w:lineRule="exact"/>
        <w:rPr>
          <w:rFonts w:ascii="仿宋" w:hAnsi="仿宋" w:eastAsia="仿宋" w:cs="仿宋"/>
          <w:color w:val="auto"/>
          <w:sz w:val="24"/>
          <w:highlight w:val="none"/>
          <w:u w:val="single"/>
        </w:rPr>
      </w:pPr>
      <w:r>
        <w:rPr>
          <w:rFonts w:hint="eastAsia" w:ascii="仿宋" w:hAnsi="仿宋" w:eastAsia="仿宋" w:cs="仿宋"/>
          <w:color w:val="auto"/>
          <w:sz w:val="24"/>
          <w:highlight w:val="none"/>
        </w:rPr>
        <w:t>供应商名称(公章):</w:t>
      </w:r>
    </w:p>
    <w:p w14:paraId="1F82FB58">
      <w:pPr>
        <w:snapToGrid w:val="0"/>
        <w:spacing w:line="600" w:lineRule="exact"/>
        <w:rPr>
          <w:rFonts w:ascii="仿宋" w:hAnsi="仿宋" w:eastAsia="仿宋" w:cs="仿宋"/>
          <w:color w:val="auto"/>
          <w:sz w:val="24"/>
          <w:szCs w:val="20"/>
          <w:highlight w:val="none"/>
        </w:rPr>
      </w:pPr>
      <w:r>
        <w:rPr>
          <w:rFonts w:hint="eastAsia" w:ascii="仿宋" w:hAnsi="仿宋" w:eastAsia="仿宋" w:cs="仿宋"/>
          <w:color w:val="auto"/>
          <w:sz w:val="24"/>
          <w:highlight w:val="none"/>
        </w:rPr>
        <w:t>开户银行：                   银行帐号：</w:t>
      </w:r>
    </w:p>
    <w:p w14:paraId="09C7EE5C">
      <w:pPr>
        <w:snapToGrid w:val="0"/>
        <w:spacing w:line="600" w:lineRule="exact"/>
        <w:rPr>
          <w:rFonts w:ascii="仿宋" w:hAnsi="仿宋" w:eastAsia="仿宋" w:cs="仿宋"/>
          <w:color w:val="auto"/>
          <w:sz w:val="30"/>
          <w:szCs w:val="20"/>
          <w:highlight w:val="none"/>
        </w:rPr>
      </w:pPr>
      <w:r>
        <w:rPr>
          <w:rFonts w:hint="eastAsia" w:ascii="仿宋" w:hAnsi="仿宋" w:eastAsia="仿宋" w:cs="仿宋"/>
          <w:color w:val="auto"/>
          <w:sz w:val="24"/>
          <w:highlight w:val="none"/>
          <w:lang w:val="en-US" w:eastAsia="zh-CN"/>
        </w:rPr>
        <w:t>法定代表人或</w:t>
      </w:r>
      <w:r>
        <w:rPr>
          <w:rFonts w:hint="eastAsia" w:ascii="仿宋" w:hAnsi="仿宋" w:eastAsia="仿宋" w:cs="仿宋"/>
          <w:color w:val="auto"/>
          <w:sz w:val="24"/>
          <w:highlight w:val="none"/>
        </w:rPr>
        <w:t>授权代理人签字</w:t>
      </w:r>
      <w:r>
        <w:rPr>
          <w:rFonts w:hint="eastAsia" w:ascii="仿宋" w:hAnsi="仿宋" w:eastAsia="仿宋" w:cs="仿宋"/>
          <w:color w:val="auto"/>
          <w:sz w:val="24"/>
          <w:highlight w:val="none"/>
          <w:lang w:val="en-US" w:eastAsia="zh-CN"/>
        </w:rPr>
        <w:t>或盖章</w:t>
      </w:r>
      <w:r>
        <w:rPr>
          <w:rFonts w:hint="eastAsia" w:ascii="仿宋" w:hAnsi="仿宋" w:eastAsia="仿宋" w:cs="仿宋"/>
          <w:color w:val="auto"/>
          <w:sz w:val="24"/>
          <w:highlight w:val="none"/>
        </w:rPr>
        <w:t>:              日期:年月日</w:t>
      </w:r>
    </w:p>
    <w:p w14:paraId="3678B3E5">
      <w:pPr>
        <w:rPr>
          <w:rFonts w:ascii="仿宋" w:hAnsi="仿宋" w:eastAsia="仿宋" w:cs="仿宋"/>
          <w:b/>
          <w:color w:val="auto"/>
          <w:sz w:val="28"/>
          <w:szCs w:val="28"/>
          <w:highlight w:val="none"/>
          <w:lang w:val="zh-CN"/>
        </w:rPr>
      </w:pPr>
      <w:r>
        <w:rPr>
          <w:rFonts w:hint="eastAsia" w:ascii="仿宋" w:hAnsi="仿宋" w:eastAsia="仿宋" w:cs="仿宋"/>
          <w:b/>
          <w:color w:val="auto"/>
          <w:sz w:val="28"/>
          <w:szCs w:val="28"/>
          <w:highlight w:val="none"/>
          <w:lang w:val="zh-CN"/>
        </w:rPr>
        <w:br w:type="page"/>
      </w:r>
    </w:p>
    <w:p w14:paraId="6B151B2D">
      <w:pPr>
        <w:snapToGrid w:val="0"/>
        <w:spacing w:beforeLines="50" w:after="50"/>
        <w:jc w:val="center"/>
        <w:outlineLvl w:val="1"/>
        <w:rPr>
          <w:rFonts w:ascii="仿宋" w:hAnsi="仿宋" w:eastAsia="仿宋" w:cs="仿宋"/>
          <w:b/>
          <w:color w:val="auto"/>
          <w:sz w:val="28"/>
          <w:szCs w:val="28"/>
          <w:highlight w:val="none"/>
          <w:lang w:val="zh-CN"/>
        </w:rPr>
      </w:pPr>
      <w:r>
        <w:rPr>
          <w:rFonts w:hint="eastAsia" w:ascii="仿宋" w:hAnsi="仿宋" w:eastAsia="仿宋" w:cs="仿宋"/>
          <w:b/>
          <w:color w:val="auto"/>
          <w:sz w:val="28"/>
          <w:szCs w:val="28"/>
          <w:highlight w:val="none"/>
          <w:lang w:val="zh-CN"/>
        </w:rPr>
        <w:t>磋商报价表（首次报价）</w:t>
      </w:r>
    </w:p>
    <w:p w14:paraId="1706BFF7">
      <w:pPr>
        <w:autoSpaceDE w:val="0"/>
        <w:autoSpaceDN w:val="0"/>
        <w:adjustRightInd w:val="0"/>
        <w:spacing w:line="600" w:lineRule="exact"/>
        <w:ind w:firstLine="6720" w:firstLineChars="2800"/>
        <w:rPr>
          <w:rFonts w:ascii="仿宋" w:hAnsi="仿宋" w:eastAsia="仿宋" w:cs="仿宋"/>
          <w:color w:val="auto"/>
          <w:sz w:val="24"/>
          <w:highlight w:val="none"/>
        </w:rPr>
      </w:pPr>
      <w:r>
        <w:rPr>
          <w:rFonts w:hint="eastAsia" w:ascii="仿宋" w:hAnsi="仿宋" w:eastAsia="仿宋" w:cs="仿宋"/>
          <w:color w:val="auto"/>
          <w:sz w:val="24"/>
          <w:highlight w:val="none"/>
          <w:lang w:val="zh-CN"/>
        </w:rPr>
        <w:t>报价单位：</w:t>
      </w:r>
      <w:r>
        <w:rPr>
          <w:rFonts w:hint="eastAsia" w:ascii="仿宋" w:hAnsi="仿宋" w:eastAsia="仿宋" w:cs="仿宋"/>
          <w:color w:val="auto"/>
          <w:sz w:val="24"/>
          <w:highlight w:val="none"/>
        </w:rPr>
        <w:t>元</w:t>
      </w:r>
    </w:p>
    <w:tbl>
      <w:tblPr>
        <w:tblStyle w:val="27"/>
        <w:tblW w:w="9579"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68"/>
        <w:gridCol w:w="8211"/>
      </w:tblGrid>
      <w:tr w14:paraId="3FC5E0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1368" w:type="dxa"/>
            <w:tcBorders>
              <w:top w:val="single" w:color="auto" w:sz="4" w:space="0"/>
            </w:tcBorders>
            <w:noWrap/>
            <w:vAlign w:val="center"/>
          </w:tcPr>
          <w:p w14:paraId="4E3CE11E">
            <w:pPr>
              <w:spacing w:line="540" w:lineRule="exact"/>
              <w:jc w:val="center"/>
              <w:rPr>
                <w:rFonts w:ascii="仿宋" w:hAnsi="仿宋" w:eastAsia="仿宋" w:cs="仿宋"/>
                <w:color w:val="auto"/>
                <w:sz w:val="24"/>
                <w:highlight w:val="none"/>
              </w:rPr>
            </w:pPr>
            <w:r>
              <w:rPr>
                <w:rFonts w:hint="eastAsia" w:ascii="仿宋" w:hAnsi="仿宋" w:eastAsia="仿宋" w:cs="仿宋"/>
                <w:color w:val="auto"/>
                <w:sz w:val="24"/>
                <w:highlight w:val="none"/>
              </w:rPr>
              <w:t>项目名称</w:t>
            </w:r>
          </w:p>
        </w:tc>
        <w:tc>
          <w:tcPr>
            <w:tcW w:w="8211" w:type="dxa"/>
            <w:tcBorders>
              <w:top w:val="single" w:color="auto" w:sz="4" w:space="0"/>
              <w:bottom w:val="single" w:color="auto" w:sz="4" w:space="0"/>
            </w:tcBorders>
            <w:noWrap/>
            <w:vAlign w:val="center"/>
          </w:tcPr>
          <w:p w14:paraId="41C8096D">
            <w:pPr>
              <w:spacing w:line="540" w:lineRule="exact"/>
              <w:jc w:val="center"/>
              <w:rPr>
                <w:rFonts w:hint="eastAsia" w:ascii="仿宋" w:hAnsi="仿宋" w:eastAsia="仿宋" w:cs="仿宋"/>
                <w:color w:val="auto"/>
                <w:sz w:val="24"/>
                <w:highlight w:val="none"/>
                <w:lang w:eastAsia="zh-CN"/>
              </w:rPr>
            </w:pPr>
            <w:r>
              <w:rPr>
                <w:rFonts w:hint="eastAsia" w:ascii="仿宋" w:hAnsi="仿宋" w:eastAsia="仿宋" w:cs="宋体"/>
                <w:bCs/>
                <w:color w:val="auto"/>
                <w:sz w:val="24"/>
                <w:highlight w:val="none"/>
                <w:lang w:eastAsia="zh-CN"/>
              </w:rPr>
              <w:t xml:space="preserve">举办湖州市气排球超级联赛项目  </w:t>
            </w:r>
          </w:p>
        </w:tc>
      </w:tr>
      <w:tr w14:paraId="60629E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8" w:hRule="atLeast"/>
        </w:trPr>
        <w:tc>
          <w:tcPr>
            <w:tcW w:w="1368" w:type="dxa"/>
            <w:tcBorders>
              <w:top w:val="single" w:color="auto" w:sz="4" w:space="0"/>
            </w:tcBorders>
            <w:noWrap/>
            <w:vAlign w:val="center"/>
          </w:tcPr>
          <w:p w14:paraId="5D4D8EC9">
            <w:pPr>
              <w:autoSpaceDE w:val="0"/>
              <w:autoSpaceDN w:val="0"/>
              <w:adjustRightInd w:val="0"/>
              <w:spacing w:line="600" w:lineRule="exact"/>
              <w:jc w:val="center"/>
              <w:rPr>
                <w:rFonts w:ascii="仿宋" w:hAnsi="仿宋" w:eastAsia="仿宋" w:cs="仿宋"/>
                <w:color w:val="auto"/>
                <w:sz w:val="24"/>
                <w:highlight w:val="none"/>
              </w:rPr>
            </w:pPr>
            <w:r>
              <w:rPr>
                <w:rFonts w:hint="eastAsia" w:ascii="仿宋" w:hAnsi="仿宋" w:eastAsia="仿宋" w:cs="仿宋"/>
                <w:color w:val="auto"/>
                <w:sz w:val="24"/>
                <w:highlight w:val="none"/>
                <w:lang w:val="zh-CN"/>
              </w:rPr>
              <w:t>项目编号</w:t>
            </w:r>
          </w:p>
        </w:tc>
        <w:tc>
          <w:tcPr>
            <w:tcW w:w="8211" w:type="dxa"/>
            <w:tcBorders>
              <w:top w:val="single" w:color="auto" w:sz="4" w:space="0"/>
              <w:bottom w:val="single" w:color="auto" w:sz="4" w:space="0"/>
            </w:tcBorders>
            <w:noWrap/>
            <w:vAlign w:val="center"/>
          </w:tcPr>
          <w:p w14:paraId="3B19568B">
            <w:pPr>
              <w:spacing w:line="540" w:lineRule="exact"/>
              <w:jc w:val="center"/>
              <w:rPr>
                <w:rFonts w:ascii="仿宋" w:hAnsi="仿宋" w:eastAsia="仿宋" w:cs="仿宋"/>
                <w:color w:val="auto"/>
                <w:sz w:val="24"/>
                <w:highlight w:val="none"/>
              </w:rPr>
            </w:pPr>
            <w:r>
              <w:rPr>
                <w:rFonts w:hint="eastAsia" w:ascii="仿宋" w:hAnsi="仿宋" w:eastAsia="仿宋" w:cs="宋体"/>
                <w:bCs/>
                <w:color w:val="auto"/>
                <w:sz w:val="24"/>
                <w:highlight w:val="none"/>
              </w:rPr>
              <w:t>XCXHZ-2025-</w:t>
            </w:r>
            <w:r>
              <w:rPr>
                <w:rFonts w:hint="eastAsia" w:ascii="仿宋" w:hAnsi="仿宋" w:eastAsia="仿宋" w:cs="宋体"/>
                <w:bCs/>
                <w:color w:val="auto"/>
                <w:sz w:val="24"/>
                <w:highlight w:val="none"/>
                <w:lang w:val="en-US" w:eastAsia="zh-CN"/>
              </w:rPr>
              <w:t>048</w:t>
            </w:r>
            <w:r>
              <w:rPr>
                <w:rFonts w:hint="eastAsia" w:ascii="仿宋" w:hAnsi="仿宋" w:eastAsia="仿宋" w:cs="宋体"/>
                <w:bCs/>
                <w:color w:val="auto"/>
                <w:sz w:val="24"/>
                <w:highlight w:val="none"/>
              </w:rPr>
              <w:t>（CG）</w:t>
            </w:r>
          </w:p>
        </w:tc>
      </w:tr>
      <w:tr w14:paraId="2CC0AB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18" w:hRule="atLeast"/>
        </w:trPr>
        <w:tc>
          <w:tcPr>
            <w:tcW w:w="1368" w:type="dxa"/>
            <w:noWrap/>
            <w:vAlign w:val="center"/>
          </w:tcPr>
          <w:p w14:paraId="548ACBC5">
            <w:pPr>
              <w:spacing w:line="540" w:lineRule="exact"/>
              <w:jc w:val="center"/>
              <w:rPr>
                <w:rFonts w:ascii="仿宋" w:hAnsi="仿宋" w:eastAsia="仿宋" w:cs="仿宋"/>
                <w:color w:val="auto"/>
                <w:sz w:val="24"/>
                <w:highlight w:val="none"/>
              </w:rPr>
            </w:pPr>
            <w:r>
              <w:rPr>
                <w:rFonts w:hint="eastAsia" w:ascii="仿宋" w:hAnsi="仿宋" w:eastAsia="仿宋" w:cs="仿宋"/>
                <w:color w:val="auto"/>
                <w:sz w:val="24"/>
                <w:highlight w:val="none"/>
              </w:rPr>
              <w:t>磋商报价</w:t>
            </w:r>
          </w:p>
        </w:tc>
        <w:tc>
          <w:tcPr>
            <w:tcW w:w="8211" w:type="dxa"/>
            <w:tcBorders>
              <w:top w:val="single" w:color="auto" w:sz="4" w:space="0"/>
              <w:bottom w:val="single" w:color="auto" w:sz="4" w:space="0"/>
            </w:tcBorders>
            <w:noWrap/>
            <w:vAlign w:val="center"/>
          </w:tcPr>
          <w:p w14:paraId="3CBF9139">
            <w:pPr>
              <w:spacing w:line="540" w:lineRule="exact"/>
              <w:jc w:val="left"/>
              <w:rPr>
                <w:rFonts w:ascii="仿宋" w:hAnsi="仿宋" w:eastAsia="仿宋" w:cs="仿宋"/>
                <w:color w:val="auto"/>
                <w:sz w:val="24"/>
                <w:highlight w:val="none"/>
              </w:rPr>
            </w:pPr>
            <w:r>
              <w:rPr>
                <w:rFonts w:hint="eastAsia" w:ascii="仿宋" w:hAnsi="仿宋" w:eastAsia="仿宋" w:cs="仿宋"/>
                <w:color w:val="auto"/>
                <w:sz w:val="24"/>
                <w:highlight w:val="none"/>
              </w:rPr>
              <w:t>小写：</w:t>
            </w:r>
          </w:p>
          <w:p w14:paraId="45C6E5BE">
            <w:pPr>
              <w:spacing w:line="540" w:lineRule="exact"/>
              <w:jc w:val="left"/>
              <w:rPr>
                <w:rFonts w:ascii="仿宋" w:hAnsi="仿宋" w:eastAsia="仿宋" w:cs="仿宋"/>
                <w:bCs/>
                <w:color w:val="auto"/>
                <w:kern w:val="0"/>
                <w:sz w:val="24"/>
                <w:highlight w:val="none"/>
              </w:rPr>
            </w:pPr>
            <w:r>
              <w:rPr>
                <w:rFonts w:hint="eastAsia" w:ascii="仿宋" w:hAnsi="仿宋" w:eastAsia="仿宋" w:cs="仿宋"/>
                <w:color w:val="auto"/>
                <w:sz w:val="24"/>
                <w:highlight w:val="none"/>
              </w:rPr>
              <w:t>大写：</w:t>
            </w:r>
          </w:p>
        </w:tc>
      </w:tr>
    </w:tbl>
    <w:p w14:paraId="09A192E3">
      <w:pPr>
        <w:pStyle w:val="17"/>
        <w:spacing w:before="156" w:after="156" w:line="480" w:lineRule="exact"/>
        <w:ind w:firstLine="480" w:firstLineChars="200"/>
        <w:rPr>
          <w:rFonts w:ascii="仿宋" w:hAnsi="仿宋" w:eastAsia="仿宋" w:cs="仿宋"/>
          <w:bCs/>
          <w:color w:val="auto"/>
          <w:highlight w:val="none"/>
          <w:u w:val="single"/>
        </w:rPr>
      </w:pPr>
      <w:r>
        <w:rPr>
          <w:rFonts w:hint="eastAsia" w:ascii="仿宋" w:hAnsi="仿宋" w:eastAsia="仿宋" w:cs="仿宋"/>
          <w:bCs/>
          <w:color w:val="auto"/>
          <w:highlight w:val="none"/>
        </w:rPr>
        <w:t>注：1、报价一经涂改，应在涂改处加盖单位公章或者由法定代表人或授权委托人签字或盖章，否则其磋商作无效标处理。</w:t>
      </w:r>
    </w:p>
    <w:p w14:paraId="0F552899">
      <w:pPr>
        <w:pStyle w:val="17"/>
        <w:spacing w:before="156" w:after="156" w:line="480" w:lineRule="exact"/>
        <w:ind w:firstLine="480" w:firstLineChars="200"/>
        <w:rPr>
          <w:rFonts w:ascii="仿宋" w:hAnsi="仿宋" w:eastAsia="仿宋" w:cs="仿宋"/>
          <w:bCs/>
          <w:color w:val="auto"/>
          <w:highlight w:val="none"/>
        </w:rPr>
      </w:pPr>
      <w:r>
        <w:rPr>
          <w:rFonts w:hint="eastAsia" w:ascii="仿宋" w:hAnsi="仿宋" w:eastAsia="仿宋" w:cs="仿宋"/>
          <w:bCs/>
          <w:color w:val="auto"/>
          <w:highlight w:val="none"/>
        </w:rPr>
        <w:t>2、应包含服务所发生的费用及供应商认为完成本磋商文件规定内容所需发生的其它费用，凡未列入的，将被视为均已包含在磋商总报价中。只允许有一个报价，任何有选择的或有条件的报价将不予接受。</w:t>
      </w:r>
    </w:p>
    <w:p w14:paraId="57DBDBD5">
      <w:pPr>
        <w:pStyle w:val="17"/>
        <w:spacing w:before="156" w:after="156" w:line="480" w:lineRule="exact"/>
        <w:ind w:firstLine="480" w:firstLineChars="200"/>
        <w:rPr>
          <w:rFonts w:ascii="仿宋" w:hAnsi="仿宋" w:eastAsia="仿宋" w:cs="仿宋"/>
          <w:bCs/>
          <w:color w:val="auto"/>
          <w:highlight w:val="none"/>
        </w:rPr>
      </w:pPr>
      <w:r>
        <w:rPr>
          <w:rFonts w:hint="eastAsia" w:ascii="仿宋" w:hAnsi="仿宋" w:eastAsia="仿宋" w:cs="仿宋"/>
          <w:bCs/>
          <w:color w:val="auto"/>
          <w:highlight w:val="none"/>
        </w:rPr>
        <w:t>3、不提供此表格的将视为没有实质性响应磋商文件。</w:t>
      </w:r>
    </w:p>
    <w:p w14:paraId="5A59FC5F">
      <w:pPr>
        <w:autoSpaceDE w:val="0"/>
        <w:autoSpaceDN w:val="0"/>
        <w:adjustRightInd w:val="0"/>
        <w:spacing w:line="600" w:lineRule="exact"/>
        <w:rPr>
          <w:color w:val="auto"/>
          <w:highlight w:val="none"/>
          <w:lang w:val="zh-CN"/>
        </w:rPr>
      </w:pPr>
      <w:r>
        <w:rPr>
          <w:rFonts w:hint="eastAsia" w:ascii="仿宋" w:hAnsi="仿宋" w:eastAsia="仿宋" w:cs="仿宋"/>
          <w:color w:val="auto"/>
          <w:sz w:val="24"/>
          <w:highlight w:val="none"/>
        </w:rPr>
        <w:t>供应商名称（公章）：</w:t>
      </w:r>
    </w:p>
    <w:p w14:paraId="0AE5DD61">
      <w:pPr>
        <w:spacing w:line="360" w:lineRule="auto"/>
        <w:rPr>
          <w:rFonts w:ascii="仿宋" w:hAnsi="仿宋" w:eastAsia="仿宋" w:cs="仿宋"/>
          <w:color w:val="auto"/>
          <w:sz w:val="24"/>
          <w:highlight w:val="none"/>
        </w:rPr>
      </w:pPr>
      <w:r>
        <w:rPr>
          <w:rFonts w:hint="eastAsia" w:ascii="仿宋" w:hAnsi="仿宋" w:eastAsia="仿宋" w:cs="仿宋"/>
          <w:color w:val="auto"/>
          <w:sz w:val="24"/>
          <w:highlight w:val="none"/>
        </w:rPr>
        <w:t>法定代表人或其授权代理人签字或盖章：</w:t>
      </w:r>
    </w:p>
    <w:p w14:paraId="7103D994">
      <w:pPr>
        <w:spacing w:line="360" w:lineRule="auto"/>
        <w:rPr>
          <w:rFonts w:ascii="仿宋" w:hAnsi="仿宋" w:eastAsia="仿宋" w:cs="仿宋"/>
          <w:b/>
          <w:color w:val="auto"/>
          <w:szCs w:val="28"/>
          <w:highlight w:val="none"/>
        </w:rPr>
      </w:pPr>
      <w:r>
        <w:rPr>
          <w:rFonts w:hint="eastAsia" w:ascii="仿宋" w:hAnsi="仿宋" w:eastAsia="仿宋" w:cs="仿宋"/>
          <w:color w:val="auto"/>
          <w:sz w:val="24"/>
          <w:highlight w:val="none"/>
        </w:rPr>
        <w:t>日期：  年   月  日</w:t>
      </w:r>
    </w:p>
    <w:p w14:paraId="454DB3FC">
      <w:pPr>
        <w:spacing w:line="360" w:lineRule="auto"/>
        <w:jc w:val="center"/>
        <w:outlineLvl w:val="1"/>
        <w:rPr>
          <w:rFonts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br w:type="page"/>
      </w:r>
      <w:r>
        <w:rPr>
          <w:rFonts w:hint="eastAsia" w:ascii="仿宋" w:hAnsi="仿宋" w:eastAsia="仿宋" w:cs="仿宋"/>
          <w:b/>
          <w:bCs/>
          <w:color w:val="auto"/>
          <w:sz w:val="28"/>
          <w:szCs w:val="28"/>
          <w:highlight w:val="none"/>
        </w:rPr>
        <w:t>中小企业声明函（工程、 服务）</w:t>
      </w:r>
    </w:p>
    <w:p w14:paraId="722CAF9D">
      <w:pPr>
        <w:spacing w:line="560" w:lineRule="exact"/>
        <w:ind w:firstLine="720" w:firstLineChars="300"/>
        <w:rPr>
          <w:rFonts w:ascii="仿宋" w:hAnsi="仿宋" w:eastAsia="仿宋" w:cs="仿宋"/>
          <w:color w:val="auto"/>
          <w:sz w:val="24"/>
          <w:highlight w:val="none"/>
        </w:rPr>
      </w:pPr>
      <w:r>
        <w:rPr>
          <w:rFonts w:hint="eastAsia" w:ascii="仿宋" w:hAnsi="仿宋" w:eastAsia="仿宋" w:cs="仿宋"/>
          <w:color w:val="auto"/>
          <w:sz w:val="24"/>
          <w:highlight w:val="none"/>
        </w:rPr>
        <w:t>本公司（联合体）郑重声明，根据《政府采购促进中小企业发展管理办法》（财</w:t>
      </w:r>
    </w:p>
    <w:p w14:paraId="7D338115">
      <w:pPr>
        <w:spacing w:line="560" w:lineRule="exact"/>
        <w:rPr>
          <w:rFonts w:ascii="仿宋" w:hAnsi="仿宋" w:eastAsia="仿宋" w:cs="仿宋"/>
          <w:color w:val="auto"/>
          <w:sz w:val="24"/>
          <w:highlight w:val="none"/>
          <w:u w:val="single"/>
        </w:rPr>
      </w:pPr>
      <w:r>
        <w:rPr>
          <w:rFonts w:hint="eastAsia" w:ascii="仿宋" w:hAnsi="仿宋" w:eastAsia="仿宋" w:cs="仿宋"/>
          <w:color w:val="auto"/>
          <w:sz w:val="24"/>
          <w:highlight w:val="none"/>
        </w:rPr>
        <w:t>库﹝2020﹞46 号）的规定，本公司 （联合体）参加</w:t>
      </w:r>
      <w:r>
        <w:rPr>
          <w:rFonts w:hint="eastAsia" w:ascii="仿宋" w:hAnsi="仿宋" w:eastAsia="仿宋" w:cs="仿宋"/>
          <w:color w:val="auto"/>
          <w:sz w:val="24"/>
          <w:highlight w:val="none"/>
          <w:u w:val="single"/>
        </w:rPr>
        <w:t xml:space="preserve"> </w:t>
      </w:r>
      <w:r>
        <w:rPr>
          <w:rFonts w:hint="eastAsia" w:ascii="仿宋" w:hAnsi="仿宋" w:eastAsia="仿宋" w:cs="仿宋"/>
          <w:i/>
          <w:iCs/>
          <w:color w:val="auto"/>
          <w:sz w:val="24"/>
          <w:highlight w:val="none"/>
          <w:u w:val="single"/>
        </w:rPr>
        <w:t>（ 单位名称 ）</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 xml:space="preserve">的 </w:t>
      </w:r>
      <w:r>
        <w:rPr>
          <w:rFonts w:hint="eastAsia" w:ascii="仿宋" w:hAnsi="仿宋" w:eastAsia="仿宋" w:cs="仿宋"/>
          <w:i/>
          <w:iCs/>
          <w:color w:val="auto"/>
          <w:sz w:val="24"/>
          <w:highlight w:val="none"/>
          <w:u w:val="single"/>
        </w:rPr>
        <w:t>（ 项目名称 ）</w:t>
      </w:r>
      <w:r>
        <w:rPr>
          <w:rFonts w:hint="eastAsia" w:ascii="仿宋" w:hAnsi="仿宋" w:eastAsia="仿宋" w:cs="仿宋"/>
          <w:color w:val="auto"/>
          <w:sz w:val="24"/>
          <w:highlight w:val="none"/>
        </w:rPr>
        <w:t xml:space="preserve">采购活动，工程的施工单位全部为符合政策要求的中小企业（或者：服务全部由符合政策要求的中小企业承接）。相关企业（含联合体中的中小企业、签订分包意向协议的中小企业）的具体情况如下： </w:t>
      </w:r>
    </w:p>
    <w:p w14:paraId="1F4BF0BA">
      <w:pPr>
        <w:spacing w:line="560" w:lineRule="exact"/>
        <w:ind w:firstLine="960" w:firstLineChars="400"/>
        <w:rPr>
          <w:rFonts w:ascii="仿宋" w:hAnsi="仿宋" w:eastAsia="仿宋" w:cs="仿宋"/>
          <w:color w:val="auto"/>
          <w:sz w:val="24"/>
          <w:highlight w:val="none"/>
        </w:rPr>
      </w:pPr>
      <w:r>
        <w:rPr>
          <w:rFonts w:hint="eastAsia" w:ascii="仿宋" w:hAnsi="仿宋" w:eastAsia="仿宋" w:cs="仿宋"/>
          <w:color w:val="auto"/>
          <w:sz w:val="24"/>
          <w:highlight w:val="none"/>
        </w:rPr>
        <w:t xml:space="preserve">1. </w:t>
      </w:r>
      <w:r>
        <w:rPr>
          <w:rFonts w:hint="eastAsia" w:ascii="仿宋" w:hAnsi="仿宋" w:eastAsia="仿宋" w:cs="仿宋"/>
          <w:i/>
          <w:iCs/>
          <w:color w:val="auto"/>
          <w:sz w:val="24"/>
          <w:highlight w:val="none"/>
          <w:u w:val="single"/>
        </w:rPr>
        <w:t>（ 标的名称 ）</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，属于</w:t>
      </w:r>
      <w:r>
        <w:rPr>
          <w:rFonts w:hint="eastAsia" w:ascii="仿宋" w:hAnsi="仿宋" w:eastAsia="仿宋" w:cs="仿宋"/>
          <w:color w:val="auto"/>
          <w:sz w:val="24"/>
          <w:highlight w:val="none"/>
          <w:u w:val="single"/>
        </w:rPr>
        <w:t xml:space="preserve"> </w:t>
      </w:r>
      <w:r>
        <w:rPr>
          <w:rFonts w:hint="eastAsia" w:ascii="仿宋" w:hAnsi="仿宋" w:eastAsia="仿宋" w:cs="仿宋"/>
          <w:i/>
          <w:iCs/>
          <w:color w:val="auto"/>
          <w:sz w:val="24"/>
          <w:highlight w:val="none"/>
          <w:u w:val="single"/>
        </w:rPr>
        <w:t xml:space="preserve">（ </w:t>
      </w:r>
      <w:r>
        <w:rPr>
          <w:rFonts w:hint="eastAsia" w:ascii="仿宋" w:hAnsi="仿宋" w:eastAsia="仿宋"/>
          <w:i/>
          <w:iCs/>
          <w:color w:val="auto"/>
          <w:sz w:val="24"/>
          <w:highlight w:val="none"/>
          <w:u w:val="single"/>
        </w:rPr>
        <w:t>采购文件中明确的所属行业</w:t>
      </w:r>
      <w:r>
        <w:rPr>
          <w:rFonts w:hint="eastAsia" w:ascii="仿宋" w:hAnsi="仿宋" w:eastAsia="仿宋" w:cs="仿宋"/>
          <w:i/>
          <w:iCs/>
          <w:color w:val="auto"/>
          <w:sz w:val="24"/>
          <w:highlight w:val="none"/>
          <w:u w:val="single"/>
        </w:rPr>
        <w:t xml:space="preserve"> ）</w:t>
      </w:r>
      <w:r>
        <w:rPr>
          <w:rFonts w:hint="eastAsia" w:ascii="仿宋" w:hAnsi="仿宋" w:eastAsia="仿宋" w:cs="仿宋"/>
          <w:color w:val="auto"/>
          <w:sz w:val="24"/>
          <w:highlight w:val="none"/>
        </w:rPr>
        <w:t xml:space="preserve"> ； 承建（承接）企业为</w:t>
      </w:r>
      <w:r>
        <w:rPr>
          <w:rFonts w:hint="eastAsia" w:ascii="仿宋" w:hAnsi="仿宋" w:eastAsia="仿宋" w:cs="仿宋"/>
          <w:color w:val="auto"/>
          <w:sz w:val="24"/>
          <w:highlight w:val="none"/>
          <w:u w:val="single"/>
        </w:rPr>
        <w:t xml:space="preserve"> </w:t>
      </w:r>
      <w:r>
        <w:rPr>
          <w:rFonts w:hint="eastAsia" w:ascii="仿宋" w:hAnsi="仿宋" w:eastAsia="仿宋" w:cs="仿宋"/>
          <w:i/>
          <w:iCs/>
          <w:color w:val="auto"/>
          <w:sz w:val="24"/>
          <w:highlight w:val="none"/>
          <w:u w:val="single"/>
        </w:rPr>
        <w:t>（ 企业名称）</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，从业人员</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rPr>
        <w:t>人，营业收入为</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rPr>
        <w:t>万元，资产总额为</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rPr>
        <w:t>万元</w:t>
      </w:r>
      <w:r>
        <w:rPr>
          <w:rFonts w:hint="eastAsia" w:ascii="仿宋" w:hAnsi="仿宋" w:eastAsia="仿宋" w:cs="仿宋"/>
          <w:color w:val="auto"/>
          <w:sz w:val="24"/>
          <w:highlight w:val="none"/>
          <w:vertAlign w:val="superscript"/>
          <w:lang w:val="en-US" w:eastAsia="zh-CN"/>
        </w:rPr>
        <w:t>1</w:t>
      </w:r>
      <w:r>
        <w:rPr>
          <w:rFonts w:hint="eastAsia" w:ascii="仿宋" w:hAnsi="仿宋" w:eastAsia="仿宋" w:cs="仿宋"/>
          <w:color w:val="auto"/>
          <w:sz w:val="24"/>
          <w:highlight w:val="none"/>
        </w:rPr>
        <w:t>，属于</w:t>
      </w:r>
      <w:r>
        <w:rPr>
          <w:rFonts w:hint="eastAsia" w:ascii="仿宋" w:hAnsi="仿宋" w:eastAsia="仿宋" w:cs="仿宋"/>
          <w:color w:val="auto"/>
          <w:sz w:val="24"/>
          <w:highlight w:val="none"/>
          <w:u w:val="single"/>
        </w:rPr>
        <w:t xml:space="preserve"> </w:t>
      </w:r>
      <w:r>
        <w:rPr>
          <w:rFonts w:hint="eastAsia" w:ascii="仿宋" w:hAnsi="仿宋" w:eastAsia="仿宋" w:cs="仿宋"/>
          <w:i/>
          <w:iCs/>
          <w:color w:val="auto"/>
          <w:sz w:val="24"/>
          <w:highlight w:val="none"/>
          <w:u w:val="single"/>
        </w:rPr>
        <w:t xml:space="preserve">（中型企业 、小型企业 、微型企业 ） </w:t>
      </w:r>
      <w:r>
        <w:rPr>
          <w:rFonts w:hint="eastAsia" w:ascii="仿宋" w:hAnsi="仿宋" w:eastAsia="仿宋" w:cs="仿宋"/>
          <w:color w:val="auto"/>
          <w:sz w:val="24"/>
          <w:highlight w:val="none"/>
        </w:rPr>
        <w:t xml:space="preserve">； </w:t>
      </w:r>
    </w:p>
    <w:p w14:paraId="22306860">
      <w:pPr>
        <w:spacing w:line="560" w:lineRule="exact"/>
        <w:ind w:firstLine="960" w:firstLineChars="400"/>
        <w:rPr>
          <w:rFonts w:ascii="仿宋" w:hAnsi="仿宋" w:eastAsia="仿宋" w:cs="仿宋"/>
          <w:color w:val="auto"/>
          <w:sz w:val="24"/>
          <w:highlight w:val="none"/>
        </w:rPr>
      </w:pPr>
      <w:r>
        <w:rPr>
          <w:rFonts w:hint="eastAsia" w:ascii="仿宋" w:hAnsi="仿宋" w:eastAsia="仿宋" w:cs="仿宋"/>
          <w:color w:val="auto"/>
          <w:sz w:val="24"/>
          <w:highlight w:val="none"/>
        </w:rPr>
        <w:t xml:space="preserve">2. </w:t>
      </w:r>
      <w:r>
        <w:rPr>
          <w:rFonts w:hint="eastAsia" w:ascii="仿宋" w:hAnsi="仿宋" w:eastAsia="仿宋" w:cs="仿宋"/>
          <w:i/>
          <w:iCs/>
          <w:color w:val="auto"/>
          <w:sz w:val="24"/>
          <w:highlight w:val="none"/>
          <w:u w:val="single"/>
        </w:rPr>
        <w:t>（ 标的名称 ）</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，属于</w:t>
      </w:r>
      <w:r>
        <w:rPr>
          <w:rFonts w:hint="eastAsia" w:ascii="仿宋" w:hAnsi="仿宋" w:eastAsia="仿宋" w:cs="仿宋"/>
          <w:color w:val="auto"/>
          <w:sz w:val="24"/>
          <w:highlight w:val="none"/>
          <w:u w:val="single"/>
        </w:rPr>
        <w:t xml:space="preserve"> </w:t>
      </w:r>
      <w:r>
        <w:rPr>
          <w:rFonts w:hint="eastAsia" w:ascii="仿宋" w:hAnsi="仿宋" w:eastAsia="仿宋" w:cs="仿宋"/>
          <w:i/>
          <w:iCs/>
          <w:color w:val="auto"/>
          <w:sz w:val="24"/>
          <w:highlight w:val="none"/>
          <w:u w:val="single"/>
        </w:rPr>
        <w:t xml:space="preserve">（ </w:t>
      </w:r>
      <w:r>
        <w:rPr>
          <w:rFonts w:hint="eastAsia" w:ascii="仿宋" w:hAnsi="仿宋" w:eastAsia="仿宋"/>
          <w:i/>
          <w:iCs/>
          <w:color w:val="auto"/>
          <w:sz w:val="24"/>
          <w:highlight w:val="none"/>
          <w:u w:val="single"/>
        </w:rPr>
        <w:t>采购文件中明确的所属行业</w:t>
      </w:r>
      <w:r>
        <w:rPr>
          <w:rFonts w:hint="eastAsia" w:ascii="仿宋" w:hAnsi="仿宋" w:eastAsia="仿宋" w:cs="仿宋"/>
          <w:i/>
          <w:iCs/>
          <w:color w:val="auto"/>
          <w:sz w:val="24"/>
          <w:highlight w:val="none"/>
          <w:u w:val="single"/>
        </w:rPr>
        <w:t xml:space="preserve"> ）</w:t>
      </w:r>
      <w:r>
        <w:rPr>
          <w:rFonts w:hint="eastAsia" w:ascii="仿宋" w:hAnsi="仿宋" w:eastAsia="仿宋" w:cs="仿宋"/>
          <w:i/>
          <w:iCs/>
          <w:color w:val="auto"/>
          <w:sz w:val="24"/>
          <w:highlight w:val="none"/>
        </w:rPr>
        <w:t xml:space="preserve"> </w:t>
      </w:r>
      <w:r>
        <w:rPr>
          <w:rFonts w:hint="eastAsia" w:ascii="仿宋" w:hAnsi="仿宋" w:eastAsia="仿宋" w:cs="仿宋"/>
          <w:color w:val="auto"/>
          <w:sz w:val="24"/>
          <w:highlight w:val="none"/>
        </w:rPr>
        <w:t>； 承建（承接）企业为</w:t>
      </w:r>
      <w:r>
        <w:rPr>
          <w:rFonts w:hint="eastAsia" w:ascii="仿宋" w:hAnsi="仿宋" w:eastAsia="仿宋" w:cs="仿宋"/>
          <w:color w:val="auto"/>
          <w:sz w:val="24"/>
          <w:highlight w:val="none"/>
          <w:u w:val="single"/>
        </w:rPr>
        <w:t xml:space="preserve"> </w:t>
      </w:r>
      <w:r>
        <w:rPr>
          <w:rFonts w:hint="eastAsia" w:ascii="仿宋" w:hAnsi="仿宋" w:eastAsia="仿宋" w:cs="仿宋"/>
          <w:i/>
          <w:iCs/>
          <w:color w:val="auto"/>
          <w:sz w:val="24"/>
          <w:highlight w:val="none"/>
          <w:u w:val="single"/>
        </w:rPr>
        <w:t>（ 企业名称）</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，从业人员</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rPr>
        <w:t>人，营业收入为</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rPr>
        <w:t>万元，资产总额为</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rPr>
        <w:t>万元，属于</w:t>
      </w:r>
      <w:r>
        <w:rPr>
          <w:rFonts w:hint="eastAsia" w:ascii="仿宋" w:hAnsi="仿宋" w:eastAsia="仿宋" w:cs="仿宋"/>
          <w:color w:val="auto"/>
          <w:sz w:val="24"/>
          <w:highlight w:val="none"/>
          <w:u w:val="single"/>
        </w:rPr>
        <w:t xml:space="preserve"> </w:t>
      </w:r>
      <w:r>
        <w:rPr>
          <w:rFonts w:hint="eastAsia" w:ascii="仿宋" w:hAnsi="仿宋" w:eastAsia="仿宋" w:cs="仿宋"/>
          <w:i/>
          <w:iCs/>
          <w:color w:val="auto"/>
          <w:sz w:val="24"/>
          <w:highlight w:val="none"/>
          <w:u w:val="single"/>
        </w:rPr>
        <w:t>（中型企业 、小型企业 、微型企业 ）</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w:t>
      </w:r>
    </w:p>
    <w:p w14:paraId="246AE322">
      <w:pPr>
        <w:spacing w:line="560" w:lineRule="exact"/>
        <w:ind w:firstLine="960" w:firstLineChars="400"/>
        <w:rPr>
          <w:rFonts w:ascii="仿宋" w:hAnsi="仿宋" w:eastAsia="仿宋" w:cs="仿宋"/>
          <w:color w:val="auto"/>
          <w:sz w:val="24"/>
          <w:highlight w:val="none"/>
        </w:rPr>
      </w:pPr>
      <w:r>
        <w:rPr>
          <w:rFonts w:hint="eastAsia" w:ascii="仿宋" w:hAnsi="仿宋" w:eastAsia="仿宋" w:cs="仿宋"/>
          <w:color w:val="auto"/>
          <w:sz w:val="24"/>
          <w:highlight w:val="none"/>
        </w:rPr>
        <w:t xml:space="preserve"> ……</w:t>
      </w:r>
    </w:p>
    <w:p w14:paraId="51F6C787">
      <w:pPr>
        <w:spacing w:line="560" w:lineRule="exact"/>
        <w:ind w:firstLine="960" w:firstLineChars="400"/>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 以上企业，不属于大企业的分支机构，不存在控股股东为大企业的情形，也不存在与大企业的负责人为同一人的情形。 </w:t>
      </w:r>
    </w:p>
    <w:p w14:paraId="610F5FFC">
      <w:pPr>
        <w:spacing w:line="560" w:lineRule="exact"/>
        <w:ind w:firstLine="960" w:firstLineChars="400"/>
        <w:rPr>
          <w:rFonts w:ascii="仿宋" w:hAnsi="仿宋" w:eastAsia="仿宋" w:cs="仿宋"/>
          <w:color w:val="auto"/>
          <w:sz w:val="24"/>
          <w:highlight w:val="none"/>
        </w:rPr>
      </w:pPr>
      <w:r>
        <w:rPr>
          <w:rFonts w:hint="eastAsia" w:ascii="仿宋" w:hAnsi="仿宋" w:eastAsia="仿宋" w:cs="仿宋"/>
          <w:color w:val="auto"/>
          <w:sz w:val="24"/>
          <w:highlight w:val="none"/>
        </w:rPr>
        <w:t xml:space="preserve">本企业对上述声明内容的真实性负责。如有虚假，将依法承担相应责任。 </w:t>
      </w:r>
    </w:p>
    <w:p w14:paraId="611C2B6D">
      <w:pPr>
        <w:tabs>
          <w:tab w:val="left" w:pos="2996"/>
        </w:tabs>
        <w:spacing w:line="600" w:lineRule="exact"/>
        <w:ind w:firstLine="480" w:firstLineChars="200"/>
        <w:rPr>
          <w:rFonts w:ascii="仿宋" w:hAnsi="仿宋" w:eastAsia="仿宋" w:cs="仿宋"/>
          <w:color w:val="auto"/>
          <w:sz w:val="24"/>
          <w:highlight w:val="none"/>
        </w:rPr>
      </w:pPr>
    </w:p>
    <w:p w14:paraId="0D19F4A1">
      <w:pPr>
        <w:tabs>
          <w:tab w:val="left" w:pos="2996"/>
        </w:tabs>
        <w:spacing w:line="600" w:lineRule="exact"/>
        <w:ind w:firstLine="480" w:firstLineChars="200"/>
        <w:rPr>
          <w:rFonts w:ascii="仿宋" w:hAnsi="仿宋" w:eastAsia="仿宋" w:cs="仿宋"/>
          <w:color w:val="auto"/>
          <w:sz w:val="24"/>
          <w:highlight w:val="none"/>
        </w:rPr>
      </w:pPr>
    </w:p>
    <w:p w14:paraId="6624E301">
      <w:pPr>
        <w:tabs>
          <w:tab w:val="left" w:pos="2996"/>
        </w:tabs>
        <w:spacing w:line="600" w:lineRule="exact"/>
        <w:ind w:firstLine="480" w:firstLineChars="200"/>
        <w:jc w:val="right"/>
        <w:rPr>
          <w:rFonts w:ascii="仿宋" w:hAnsi="仿宋" w:eastAsia="仿宋" w:cs="仿宋"/>
          <w:color w:val="auto"/>
          <w:sz w:val="24"/>
          <w:highlight w:val="none"/>
        </w:rPr>
      </w:pPr>
      <w:r>
        <w:rPr>
          <w:rFonts w:hint="eastAsia" w:ascii="仿宋" w:hAnsi="仿宋" w:eastAsia="仿宋" w:cs="仿宋"/>
          <w:color w:val="auto"/>
          <w:sz w:val="24"/>
          <w:highlight w:val="none"/>
          <w:lang w:val="en-US" w:eastAsia="zh-CN"/>
        </w:rPr>
        <w:t>企业</w:t>
      </w:r>
      <w:r>
        <w:rPr>
          <w:rFonts w:hint="eastAsia" w:ascii="仿宋" w:hAnsi="仿宋" w:eastAsia="仿宋" w:cs="仿宋"/>
          <w:color w:val="auto"/>
          <w:sz w:val="24"/>
          <w:highlight w:val="none"/>
        </w:rPr>
        <w:t>名称（盖章）：</w:t>
      </w:r>
    </w:p>
    <w:p w14:paraId="37D828BA">
      <w:pPr>
        <w:tabs>
          <w:tab w:val="left" w:pos="2996"/>
        </w:tabs>
        <w:spacing w:line="600" w:lineRule="exact"/>
        <w:ind w:firstLine="480" w:firstLineChars="200"/>
        <w:jc w:val="center"/>
        <w:rPr>
          <w:rFonts w:ascii="仿宋" w:hAnsi="仿宋" w:eastAsia="仿宋" w:cs="仿宋"/>
          <w:color w:val="auto"/>
          <w:sz w:val="24"/>
          <w:highlight w:val="none"/>
        </w:rPr>
      </w:pPr>
      <w:r>
        <w:rPr>
          <w:rFonts w:hint="eastAsia" w:ascii="仿宋" w:hAnsi="仿宋" w:eastAsia="仿宋" w:cs="仿宋"/>
          <w:color w:val="auto"/>
          <w:sz w:val="24"/>
          <w:highlight w:val="none"/>
          <w:lang w:val="en-US" w:eastAsia="zh-CN"/>
        </w:rPr>
        <w:t xml:space="preserve">                                             </w:t>
      </w:r>
      <w:r>
        <w:rPr>
          <w:rFonts w:hint="eastAsia" w:ascii="仿宋" w:hAnsi="仿宋" w:eastAsia="仿宋" w:cs="仿宋"/>
          <w:color w:val="auto"/>
          <w:sz w:val="24"/>
          <w:highlight w:val="none"/>
        </w:rPr>
        <w:t>日期：</w:t>
      </w:r>
    </w:p>
    <w:p w14:paraId="1EB69613">
      <w:pPr>
        <w:widowControl/>
        <w:jc w:val="left"/>
        <w:rPr>
          <w:rFonts w:ascii="Times New Roman" w:hAnsi="Times New Roman"/>
          <w:color w:val="auto"/>
          <w:kern w:val="0"/>
          <w:sz w:val="11"/>
          <w:szCs w:val="11"/>
          <w:highlight w:val="none"/>
        </w:rPr>
      </w:pPr>
    </w:p>
    <w:p w14:paraId="6F139A67">
      <w:pPr>
        <w:widowControl/>
        <w:jc w:val="left"/>
        <w:rPr>
          <w:rFonts w:ascii="Times New Roman" w:hAnsi="Times New Roman"/>
          <w:color w:val="auto"/>
          <w:kern w:val="0"/>
          <w:sz w:val="11"/>
          <w:szCs w:val="11"/>
          <w:highlight w:val="none"/>
        </w:rPr>
      </w:pPr>
    </w:p>
    <w:p w14:paraId="5BD69506">
      <w:pPr>
        <w:widowControl/>
        <w:jc w:val="left"/>
        <w:rPr>
          <w:rFonts w:hint="default" w:ascii="Times New Roman" w:hAnsi="Times New Roman" w:eastAsia="宋体"/>
          <w:color w:val="auto"/>
          <w:kern w:val="0"/>
          <w:sz w:val="11"/>
          <w:szCs w:val="11"/>
          <w:highlight w:val="none"/>
          <w:u w:val="single"/>
          <w:lang w:val="en-US" w:eastAsia="zh-CN"/>
        </w:rPr>
      </w:pPr>
      <w:r>
        <w:rPr>
          <w:rFonts w:hint="eastAsia" w:ascii="Times New Roman" w:hAnsi="Times New Roman"/>
          <w:color w:val="auto"/>
          <w:kern w:val="0"/>
          <w:sz w:val="11"/>
          <w:szCs w:val="11"/>
          <w:highlight w:val="none"/>
          <w:u w:val="single"/>
          <w:lang w:val="en-US" w:eastAsia="zh-CN"/>
        </w:rPr>
        <w:t xml:space="preserve">                                                      </w:t>
      </w:r>
    </w:p>
    <w:p w14:paraId="20B1B354">
      <w:pPr>
        <w:widowControl/>
        <w:jc w:val="left"/>
        <w:rPr>
          <w:color w:val="auto"/>
          <w:highlight w:val="none"/>
        </w:rPr>
      </w:pPr>
      <w:r>
        <w:rPr>
          <w:rFonts w:ascii="Times New Roman" w:hAnsi="Times New Roman"/>
          <w:color w:val="auto"/>
          <w:kern w:val="0"/>
          <w:sz w:val="11"/>
          <w:szCs w:val="11"/>
          <w:highlight w:val="none"/>
        </w:rPr>
        <w:t>1</w:t>
      </w:r>
      <w:r>
        <w:rPr>
          <w:rFonts w:hint="eastAsia" w:ascii="宋体" w:hAnsi="宋体" w:cs="宋体"/>
          <w:color w:val="auto"/>
          <w:kern w:val="0"/>
          <w:sz w:val="18"/>
          <w:szCs w:val="18"/>
          <w:highlight w:val="none"/>
        </w:rPr>
        <w:t>从业人员、营业收入、资产总额填报上一年度数据，无上一年度数据的新成立企业可不填报。</w:t>
      </w:r>
    </w:p>
    <w:p w14:paraId="56F02B21">
      <w:pPr>
        <w:spacing w:line="360" w:lineRule="auto"/>
        <w:outlineLvl w:val="1"/>
        <w:rPr>
          <w:rFonts w:ascii="仿宋" w:hAnsi="仿宋" w:eastAsia="仿宋" w:cs="仿宋"/>
          <w:b/>
          <w:bCs/>
          <w:color w:val="auto"/>
          <w:sz w:val="28"/>
          <w:szCs w:val="28"/>
          <w:highlight w:val="none"/>
        </w:rPr>
      </w:pPr>
    </w:p>
    <w:p w14:paraId="442E2A3C">
      <w:pPr>
        <w:pStyle w:val="2"/>
        <w:rPr>
          <w:color w:val="auto"/>
          <w:highlight w:val="none"/>
        </w:rPr>
      </w:pPr>
    </w:p>
    <w:p w14:paraId="2921C71E">
      <w:pPr>
        <w:spacing w:line="360" w:lineRule="auto"/>
        <w:jc w:val="center"/>
        <w:outlineLvl w:val="1"/>
        <w:rPr>
          <w:rFonts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监狱企业声明函</w:t>
      </w:r>
    </w:p>
    <w:p w14:paraId="6571E611">
      <w:pPr>
        <w:spacing w:line="600" w:lineRule="exact"/>
        <w:jc w:val="center"/>
        <w:rPr>
          <w:rFonts w:ascii="仿宋" w:hAnsi="仿宋" w:eastAsia="仿宋" w:cs="仿宋"/>
          <w:color w:val="auto"/>
          <w:sz w:val="24"/>
          <w:highlight w:val="none"/>
        </w:rPr>
      </w:pPr>
      <w:r>
        <w:rPr>
          <w:rFonts w:hint="eastAsia" w:ascii="仿宋" w:hAnsi="仿宋" w:eastAsia="仿宋" w:cs="仿宋"/>
          <w:color w:val="auto"/>
          <w:sz w:val="24"/>
          <w:highlight w:val="none"/>
        </w:rPr>
        <w:t>【非监狱企业的不用提供】</w:t>
      </w:r>
    </w:p>
    <w:p w14:paraId="37A7CEBC">
      <w:pPr>
        <w:spacing w:line="60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本企业郑重声明，根据《关于政府采购支持监狱企业发展有关问题的通知》(财库[2014]68号）的规定，本企业为监狱企业。</w:t>
      </w:r>
    </w:p>
    <w:p w14:paraId="5F7FA986">
      <w:pPr>
        <w:spacing w:line="60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根据上述标准，我企业属于监狱企业的理由为:</w:t>
      </w:r>
    </w:p>
    <w:p w14:paraId="5D07908F">
      <w:pPr>
        <w:spacing w:line="60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本企业为参加(项目名称:) (项目编号:)采购活动提供本企业的产品。</w:t>
      </w:r>
    </w:p>
    <w:p w14:paraId="2B2082CC">
      <w:pPr>
        <w:spacing w:line="600" w:lineRule="exact"/>
        <w:ind w:firstLine="360" w:firstLineChars="150"/>
        <w:rPr>
          <w:rFonts w:ascii="仿宋" w:hAnsi="仿宋" w:eastAsia="仿宋" w:cs="仿宋"/>
          <w:color w:val="auto"/>
          <w:sz w:val="24"/>
          <w:highlight w:val="none"/>
        </w:rPr>
      </w:pPr>
      <w:r>
        <w:rPr>
          <w:rFonts w:hint="eastAsia" w:ascii="仿宋" w:hAnsi="仿宋" w:eastAsia="仿宋" w:cs="仿宋"/>
          <w:color w:val="auto"/>
          <w:sz w:val="24"/>
          <w:highlight w:val="none"/>
        </w:rPr>
        <w:t>本企业对上述声明的真实性负责。如有虚假，将依法承担相应责任。</w:t>
      </w:r>
    </w:p>
    <w:p w14:paraId="733797F4">
      <w:pPr>
        <w:spacing w:line="600" w:lineRule="exact"/>
        <w:rPr>
          <w:rFonts w:ascii="仿宋" w:hAnsi="仿宋" w:eastAsia="仿宋" w:cs="仿宋"/>
          <w:color w:val="auto"/>
          <w:sz w:val="24"/>
          <w:highlight w:val="none"/>
        </w:rPr>
      </w:pPr>
    </w:p>
    <w:p w14:paraId="25900C1E">
      <w:pPr>
        <w:spacing w:line="600" w:lineRule="exact"/>
        <w:ind w:firstLine="360" w:firstLineChars="150"/>
        <w:jc w:val="right"/>
        <w:rPr>
          <w:rFonts w:ascii="仿宋" w:hAnsi="仿宋" w:eastAsia="仿宋" w:cs="仿宋"/>
          <w:color w:val="auto"/>
          <w:sz w:val="24"/>
          <w:highlight w:val="none"/>
        </w:rPr>
      </w:pPr>
      <w:r>
        <w:rPr>
          <w:rFonts w:hint="eastAsia" w:ascii="仿宋" w:hAnsi="仿宋" w:eastAsia="仿宋" w:cs="仿宋"/>
          <w:color w:val="auto"/>
          <w:sz w:val="24"/>
          <w:highlight w:val="none"/>
        </w:rPr>
        <w:t>供应商名称(盖章) :</w:t>
      </w:r>
    </w:p>
    <w:p w14:paraId="2F46AB06">
      <w:pPr>
        <w:spacing w:line="600" w:lineRule="exact"/>
        <w:ind w:firstLine="360" w:firstLineChars="150"/>
        <w:jc w:val="right"/>
        <w:rPr>
          <w:rFonts w:ascii="仿宋" w:hAnsi="仿宋" w:eastAsia="仿宋" w:cs="仿宋"/>
          <w:color w:val="auto"/>
          <w:sz w:val="24"/>
          <w:highlight w:val="none"/>
        </w:rPr>
      </w:pPr>
      <w:r>
        <w:rPr>
          <w:rFonts w:hint="eastAsia" w:ascii="仿宋" w:hAnsi="仿宋" w:eastAsia="仿宋" w:cs="仿宋"/>
          <w:color w:val="auto"/>
          <w:sz w:val="24"/>
          <w:highlight w:val="none"/>
        </w:rPr>
        <w:t>日期:  年  月   日</w:t>
      </w:r>
    </w:p>
    <w:p w14:paraId="7C6C1B5F">
      <w:pPr>
        <w:spacing w:line="600" w:lineRule="exact"/>
        <w:ind w:firstLine="360" w:firstLineChars="150"/>
        <w:jc w:val="right"/>
        <w:rPr>
          <w:rFonts w:ascii="仿宋" w:hAnsi="仿宋" w:eastAsia="仿宋" w:cs="仿宋"/>
          <w:color w:val="auto"/>
          <w:sz w:val="24"/>
          <w:highlight w:val="none"/>
        </w:rPr>
      </w:pPr>
    </w:p>
    <w:p w14:paraId="6B20A839">
      <w:pPr>
        <w:spacing w:line="360" w:lineRule="auto"/>
        <w:rPr>
          <w:rFonts w:ascii="仿宋" w:hAnsi="仿宋" w:eastAsia="仿宋" w:cs="仿宋"/>
          <w:color w:val="auto"/>
          <w:sz w:val="24"/>
          <w:highlight w:val="none"/>
        </w:rPr>
      </w:pPr>
      <w:r>
        <w:rPr>
          <w:rFonts w:hint="eastAsia" w:ascii="仿宋" w:hAnsi="仿宋" w:eastAsia="仿宋" w:cs="仿宋"/>
          <w:color w:val="auto"/>
          <w:sz w:val="24"/>
          <w:highlight w:val="none"/>
        </w:rPr>
        <w:t>注：1、根据《关于政府采购支持监狱企业发展有关问题的通知》（财库[2014]68 号）的规定，供应商提供由省级以上监狱管理局、戒毒管理局（含新疆生产建设兵团）出具的属于监狱企业证明文件的，视同为小型和微型企业小微企业名录；</w:t>
      </w:r>
    </w:p>
    <w:p w14:paraId="6CE33200">
      <w:pPr>
        <w:spacing w:line="60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2、监狱企业参加政府采购活动时，应当提供由省级以上监狱管理局、戒毒管理局(含新疆生产建设兵团)出具的属于监狱企业的证明文件；</w:t>
      </w:r>
    </w:p>
    <w:p w14:paraId="505E6935">
      <w:pPr>
        <w:spacing w:line="60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3、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w:t>
      </w:r>
    </w:p>
    <w:p w14:paraId="6C45074C">
      <w:pPr>
        <w:spacing w:line="540" w:lineRule="exact"/>
        <w:rPr>
          <w:rFonts w:ascii="仿宋" w:hAnsi="仿宋" w:eastAsia="仿宋" w:cs="仿宋"/>
          <w:color w:val="auto"/>
          <w:sz w:val="24"/>
          <w:highlight w:val="none"/>
        </w:rPr>
      </w:pPr>
    </w:p>
    <w:p w14:paraId="79331834">
      <w:pPr>
        <w:rPr>
          <w:rFonts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br w:type="page"/>
      </w:r>
    </w:p>
    <w:p w14:paraId="36880DEC">
      <w:pPr>
        <w:spacing w:line="360" w:lineRule="auto"/>
        <w:jc w:val="center"/>
        <w:outlineLvl w:val="1"/>
        <w:rPr>
          <w:rFonts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残疾人福利性单位声明函</w:t>
      </w:r>
    </w:p>
    <w:p w14:paraId="4DE4E7A1">
      <w:pPr>
        <w:spacing w:line="600" w:lineRule="exact"/>
        <w:jc w:val="center"/>
        <w:rPr>
          <w:rFonts w:ascii="仿宋" w:hAnsi="仿宋" w:eastAsia="仿宋" w:cs="仿宋"/>
          <w:color w:val="auto"/>
          <w:sz w:val="24"/>
          <w:highlight w:val="none"/>
        </w:rPr>
      </w:pPr>
      <w:r>
        <w:rPr>
          <w:rFonts w:hint="eastAsia" w:ascii="仿宋" w:hAnsi="仿宋" w:eastAsia="仿宋" w:cs="仿宋"/>
          <w:color w:val="auto"/>
          <w:sz w:val="24"/>
          <w:highlight w:val="none"/>
        </w:rPr>
        <w:t>【非残疾人福利性单位不用提供】</w:t>
      </w:r>
    </w:p>
    <w:p w14:paraId="250CD84F">
      <w:pPr>
        <w:spacing w:line="60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本单位郑重声明，根据《财政部民政部中国残疾人联合会关于促进残疾人就业政府采购政策的通知》(财库(2017) 141号)的规定。本单位为符合条件的残疾人福利性单位，且本单位参加(采购人名称)单位的(项目名称)项目采购活动提供本单位制造的货物(由本单位承担工程/提供服务)，或者提供其他残疾人福利性单位制造的货物(不包括使用非残疾人福利性单位注册商标的货物)。</w:t>
      </w:r>
    </w:p>
    <w:p w14:paraId="009F6907">
      <w:pPr>
        <w:spacing w:line="60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本单位对上述声明的真实性负责，如有虚假，将依法承但相应责任。</w:t>
      </w:r>
    </w:p>
    <w:p w14:paraId="34C6956C">
      <w:pPr>
        <w:spacing w:line="600" w:lineRule="exact"/>
        <w:ind w:firstLine="480" w:firstLineChars="200"/>
        <w:rPr>
          <w:rFonts w:ascii="仿宋" w:hAnsi="仿宋" w:eastAsia="仿宋" w:cs="仿宋"/>
          <w:color w:val="auto"/>
          <w:sz w:val="24"/>
          <w:highlight w:val="none"/>
        </w:rPr>
      </w:pPr>
    </w:p>
    <w:p w14:paraId="29DA958F">
      <w:pPr>
        <w:spacing w:line="600" w:lineRule="exact"/>
        <w:ind w:firstLine="480" w:firstLineChars="200"/>
        <w:rPr>
          <w:rFonts w:ascii="仿宋" w:hAnsi="仿宋" w:eastAsia="仿宋" w:cs="仿宋"/>
          <w:color w:val="auto"/>
          <w:sz w:val="24"/>
          <w:highlight w:val="none"/>
        </w:rPr>
      </w:pPr>
    </w:p>
    <w:p w14:paraId="5087ED22">
      <w:pPr>
        <w:spacing w:line="600" w:lineRule="exact"/>
        <w:ind w:firstLine="480" w:firstLineChars="200"/>
        <w:jc w:val="right"/>
        <w:rPr>
          <w:rFonts w:ascii="仿宋" w:hAnsi="仿宋" w:eastAsia="仿宋" w:cs="仿宋"/>
          <w:color w:val="auto"/>
          <w:sz w:val="24"/>
          <w:highlight w:val="none"/>
        </w:rPr>
      </w:pPr>
      <w:r>
        <w:rPr>
          <w:rFonts w:hint="eastAsia" w:ascii="仿宋" w:hAnsi="仿宋" w:eastAsia="仿宋" w:cs="仿宋"/>
          <w:color w:val="auto"/>
          <w:sz w:val="24"/>
          <w:highlight w:val="none"/>
        </w:rPr>
        <w:t>供应商名称(盖章)：</w:t>
      </w:r>
    </w:p>
    <w:p w14:paraId="74C36F22">
      <w:pPr>
        <w:spacing w:line="600" w:lineRule="exact"/>
        <w:ind w:firstLine="480" w:firstLineChars="200"/>
        <w:jc w:val="right"/>
        <w:rPr>
          <w:rFonts w:ascii="仿宋" w:hAnsi="仿宋" w:eastAsia="仿宋" w:cs="仿宋"/>
          <w:color w:val="auto"/>
          <w:sz w:val="24"/>
          <w:highlight w:val="none"/>
        </w:rPr>
      </w:pPr>
      <w:r>
        <w:rPr>
          <w:rFonts w:hint="eastAsia" w:ascii="仿宋" w:hAnsi="仿宋" w:eastAsia="仿宋" w:cs="仿宋"/>
          <w:color w:val="auto"/>
          <w:sz w:val="24"/>
          <w:highlight w:val="none"/>
        </w:rPr>
        <w:t>日期：  年  月  日</w:t>
      </w:r>
    </w:p>
    <w:p w14:paraId="338AFB2A">
      <w:pPr>
        <w:spacing w:line="360" w:lineRule="auto"/>
        <w:rPr>
          <w:rFonts w:ascii="仿宋" w:hAnsi="仿宋" w:eastAsia="仿宋" w:cs="仿宋"/>
          <w:b/>
          <w:color w:val="auto"/>
          <w:szCs w:val="28"/>
          <w:highlight w:val="none"/>
        </w:rPr>
      </w:pPr>
    </w:p>
    <w:p w14:paraId="7EE477D2">
      <w:pPr>
        <w:spacing w:line="360" w:lineRule="auto"/>
        <w:rPr>
          <w:rFonts w:ascii="仿宋" w:hAnsi="仿宋" w:eastAsia="仿宋" w:cs="仿宋"/>
          <w:b/>
          <w:color w:val="auto"/>
          <w:szCs w:val="28"/>
          <w:highlight w:val="none"/>
        </w:rPr>
      </w:pPr>
    </w:p>
    <w:p w14:paraId="57B44E88">
      <w:pPr>
        <w:spacing w:line="360" w:lineRule="auto"/>
        <w:rPr>
          <w:rFonts w:ascii="仿宋" w:hAnsi="仿宋" w:eastAsia="仿宋" w:cs="仿宋"/>
          <w:b/>
          <w:color w:val="auto"/>
          <w:szCs w:val="28"/>
          <w:highlight w:val="none"/>
        </w:rPr>
      </w:pPr>
    </w:p>
    <w:p w14:paraId="20CA9BF7">
      <w:pPr>
        <w:spacing w:line="600" w:lineRule="exact"/>
        <w:rPr>
          <w:rFonts w:ascii="仿宋" w:hAnsi="仿宋" w:eastAsia="仿宋" w:cs="仿宋"/>
          <w:color w:val="auto"/>
          <w:sz w:val="24"/>
          <w:highlight w:val="none"/>
        </w:rPr>
      </w:pPr>
      <w:r>
        <w:rPr>
          <w:rFonts w:hint="eastAsia" w:ascii="仿宋" w:hAnsi="仿宋" w:eastAsia="仿宋" w:cs="仿宋"/>
          <w:color w:val="auto"/>
          <w:sz w:val="24"/>
          <w:highlight w:val="none"/>
        </w:rPr>
        <w:t>注：符合《关于促进残疾人就业政府采购政策的通知》（财库〔2017〕141 号）规定的条件并提供《残疾人福利性单位声明函》的残疾人福利性单位视同小型、微型企业。</w:t>
      </w:r>
    </w:p>
    <w:p w14:paraId="2B2B1A29">
      <w:pPr>
        <w:rPr>
          <w:rFonts w:ascii="仿宋" w:hAnsi="仿宋" w:eastAsia="仿宋" w:cs="仿宋"/>
          <w:b/>
          <w:bCs/>
          <w:color w:val="auto"/>
          <w:sz w:val="28"/>
          <w:szCs w:val="28"/>
          <w:highlight w:val="none"/>
        </w:rPr>
      </w:pPr>
    </w:p>
    <w:p w14:paraId="5E49F6AF">
      <w:pPr>
        <w:pStyle w:val="7"/>
        <w:spacing w:line="500" w:lineRule="exact"/>
        <w:jc w:val="center"/>
        <w:outlineLvl w:val="1"/>
        <w:rPr>
          <w:rFonts w:hint="eastAsia" w:ascii="仿宋" w:hAnsi="仿宋" w:eastAsia="仿宋" w:cs="仿宋"/>
          <w:b/>
          <w:bCs/>
          <w:color w:val="auto"/>
          <w:sz w:val="28"/>
          <w:szCs w:val="28"/>
          <w:highlight w:val="none"/>
        </w:rPr>
      </w:pPr>
    </w:p>
    <w:p w14:paraId="07774107">
      <w:pPr>
        <w:pStyle w:val="7"/>
        <w:spacing w:line="500" w:lineRule="exact"/>
        <w:jc w:val="center"/>
        <w:outlineLvl w:val="1"/>
        <w:rPr>
          <w:rFonts w:hint="eastAsia" w:ascii="仿宋" w:hAnsi="仿宋" w:eastAsia="仿宋" w:cs="仿宋"/>
          <w:b/>
          <w:bCs/>
          <w:color w:val="auto"/>
          <w:sz w:val="28"/>
          <w:szCs w:val="28"/>
          <w:highlight w:val="none"/>
        </w:rPr>
      </w:pPr>
    </w:p>
    <w:p w14:paraId="1FAFB691">
      <w:pPr>
        <w:pStyle w:val="7"/>
        <w:spacing w:line="500" w:lineRule="exact"/>
        <w:jc w:val="center"/>
        <w:outlineLvl w:val="1"/>
        <w:rPr>
          <w:rFonts w:hint="eastAsia" w:ascii="仿宋" w:hAnsi="仿宋" w:eastAsia="仿宋" w:cs="仿宋"/>
          <w:b/>
          <w:bCs/>
          <w:color w:val="auto"/>
          <w:sz w:val="28"/>
          <w:szCs w:val="28"/>
          <w:highlight w:val="none"/>
        </w:rPr>
      </w:pPr>
    </w:p>
    <w:p w14:paraId="312EB99F">
      <w:pPr>
        <w:pStyle w:val="7"/>
        <w:spacing w:line="500" w:lineRule="exact"/>
        <w:jc w:val="center"/>
        <w:outlineLvl w:val="1"/>
        <w:rPr>
          <w:rFonts w:hint="eastAsia" w:ascii="仿宋" w:hAnsi="仿宋" w:eastAsia="仿宋" w:cs="仿宋"/>
          <w:b/>
          <w:bCs/>
          <w:color w:val="auto"/>
          <w:sz w:val="28"/>
          <w:szCs w:val="28"/>
          <w:highlight w:val="none"/>
        </w:rPr>
      </w:pPr>
    </w:p>
    <w:p w14:paraId="1493DEC4">
      <w:pPr>
        <w:pStyle w:val="7"/>
        <w:spacing w:line="500" w:lineRule="exact"/>
        <w:jc w:val="center"/>
        <w:outlineLvl w:val="1"/>
        <w:rPr>
          <w:rFonts w:hint="eastAsia" w:ascii="仿宋" w:hAnsi="仿宋" w:eastAsia="仿宋" w:cs="仿宋"/>
          <w:b/>
          <w:bCs/>
          <w:color w:val="auto"/>
          <w:sz w:val="28"/>
          <w:szCs w:val="28"/>
          <w:highlight w:val="none"/>
        </w:rPr>
      </w:pPr>
    </w:p>
    <w:p w14:paraId="56685CAF">
      <w:pPr>
        <w:pStyle w:val="7"/>
        <w:spacing w:line="500" w:lineRule="exact"/>
        <w:jc w:val="center"/>
        <w:outlineLvl w:val="1"/>
        <w:rPr>
          <w:rFonts w:hint="eastAsia" w:ascii="仿宋" w:hAnsi="仿宋" w:eastAsia="仿宋" w:cs="仿宋"/>
          <w:b/>
          <w:bCs/>
          <w:color w:val="auto"/>
          <w:sz w:val="28"/>
          <w:szCs w:val="28"/>
          <w:highlight w:val="none"/>
        </w:rPr>
      </w:pPr>
    </w:p>
    <w:p w14:paraId="72346887">
      <w:pPr>
        <w:pStyle w:val="7"/>
        <w:spacing w:line="500" w:lineRule="exact"/>
        <w:jc w:val="center"/>
        <w:outlineLvl w:val="1"/>
        <w:rPr>
          <w:rFonts w:hint="eastAsia" w:ascii="仿宋" w:hAnsi="仿宋" w:eastAsia="仿宋" w:cs="仿宋"/>
          <w:b/>
          <w:bCs/>
          <w:color w:val="auto"/>
          <w:sz w:val="28"/>
          <w:szCs w:val="28"/>
          <w:highlight w:val="none"/>
        </w:rPr>
      </w:pPr>
    </w:p>
    <w:p w14:paraId="022CC997">
      <w:pPr>
        <w:pStyle w:val="7"/>
        <w:spacing w:line="500" w:lineRule="exact"/>
        <w:jc w:val="center"/>
        <w:outlineLvl w:val="1"/>
        <w:rPr>
          <w:rFonts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磋商代理服务费承诺函</w:t>
      </w:r>
    </w:p>
    <w:p w14:paraId="491D436F">
      <w:pPr>
        <w:pStyle w:val="7"/>
        <w:spacing w:line="500" w:lineRule="exact"/>
        <w:jc w:val="center"/>
        <w:rPr>
          <w:rFonts w:ascii="仿宋" w:hAnsi="仿宋" w:eastAsia="仿宋" w:cs="仿宋"/>
          <w:b/>
          <w:color w:val="auto"/>
          <w:sz w:val="28"/>
          <w:szCs w:val="28"/>
          <w:highlight w:val="none"/>
        </w:rPr>
      </w:pPr>
    </w:p>
    <w:p w14:paraId="7A7DD4CF">
      <w:pPr>
        <w:pStyle w:val="7"/>
        <w:spacing w:line="720" w:lineRule="exact"/>
        <w:ind w:firstLine="0"/>
        <w:jc w:val="left"/>
        <w:rPr>
          <w:rFonts w:ascii="仿宋" w:hAnsi="仿宋" w:eastAsia="仿宋" w:cs="仿宋"/>
          <w:color w:val="auto"/>
          <w:sz w:val="24"/>
          <w:highlight w:val="none"/>
        </w:rPr>
      </w:pPr>
      <w:r>
        <w:rPr>
          <w:rFonts w:hint="eastAsia" w:ascii="仿宋" w:hAnsi="仿宋" w:eastAsia="仿宋" w:cs="仿宋"/>
          <w:color w:val="auto"/>
          <w:sz w:val="24"/>
          <w:highlight w:val="none"/>
        </w:rPr>
        <w:t>浙江新诚信工程咨询有限公司 ：</w:t>
      </w:r>
    </w:p>
    <w:p w14:paraId="2967C1D7">
      <w:pPr>
        <w:pStyle w:val="7"/>
        <w:spacing w:line="72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根据磋商文件的规定，一旦我公司成交，我公司同意按磋商文件要求向贵公司交纳成交项目的磋商代理服务费，在收到成交通知书后的当天一次性结清。</w:t>
      </w:r>
    </w:p>
    <w:p w14:paraId="3DDF78EB">
      <w:pPr>
        <w:pStyle w:val="7"/>
        <w:spacing w:line="720" w:lineRule="exact"/>
        <w:jc w:val="left"/>
        <w:rPr>
          <w:rFonts w:ascii="仿宋" w:hAnsi="仿宋" w:eastAsia="仿宋" w:cs="仿宋"/>
          <w:color w:val="auto"/>
          <w:sz w:val="24"/>
          <w:highlight w:val="none"/>
        </w:rPr>
      </w:pPr>
      <w:r>
        <w:rPr>
          <w:rFonts w:hint="eastAsia" w:ascii="仿宋" w:hAnsi="仿宋" w:eastAsia="仿宋" w:cs="仿宋"/>
          <w:color w:val="auto"/>
          <w:sz w:val="24"/>
          <w:highlight w:val="none"/>
        </w:rPr>
        <w:t>本承诺函自开标之日起至本次采购期满有效。</w:t>
      </w:r>
    </w:p>
    <w:p w14:paraId="0B9F6591">
      <w:pPr>
        <w:pStyle w:val="7"/>
        <w:spacing w:line="720" w:lineRule="exact"/>
        <w:jc w:val="left"/>
        <w:rPr>
          <w:rFonts w:ascii="仿宋" w:hAnsi="仿宋" w:eastAsia="仿宋" w:cs="仿宋"/>
          <w:color w:val="auto"/>
          <w:sz w:val="24"/>
          <w:highlight w:val="none"/>
        </w:rPr>
      </w:pPr>
    </w:p>
    <w:p w14:paraId="2B20AB88">
      <w:pPr>
        <w:pStyle w:val="7"/>
        <w:spacing w:line="720" w:lineRule="exact"/>
        <w:jc w:val="left"/>
        <w:rPr>
          <w:rFonts w:ascii="仿宋" w:hAnsi="仿宋" w:eastAsia="仿宋" w:cs="仿宋"/>
          <w:color w:val="auto"/>
          <w:sz w:val="24"/>
          <w:highlight w:val="none"/>
        </w:rPr>
      </w:pPr>
    </w:p>
    <w:p w14:paraId="32541C30">
      <w:pPr>
        <w:pStyle w:val="7"/>
        <w:spacing w:line="720" w:lineRule="exact"/>
        <w:ind w:firstLine="0"/>
        <w:jc w:val="left"/>
        <w:rPr>
          <w:rFonts w:ascii="仿宋" w:hAnsi="仿宋" w:eastAsia="仿宋" w:cs="仿宋"/>
          <w:color w:val="auto"/>
          <w:sz w:val="24"/>
          <w:highlight w:val="none"/>
        </w:rPr>
      </w:pPr>
      <w:r>
        <w:rPr>
          <w:rFonts w:hint="eastAsia" w:ascii="仿宋" w:hAnsi="仿宋" w:eastAsia="仿宋" w:cs="仿宋"/>
          <w:color w:val="auto"/>
          <w:sz w:val="24"/>
          <w:highlight w:val="none"/>
        </w:rPr>
        <w:t>法定代表人或授权代理人签字：</w:t>
      </w:r>
    </w:p>
    <w:p w14:paraId="53F8486E">
      <w:pPr>
        <w:pStyle w:val="7"/>
        <w:spacing w:line="720" w:lineRule="exact"/>
        <w:ind w:firstLine="0"/>
        <w:jc w:val="left"/>
        <w:rPr>
          <w:rFonts w:ascii="仿宋" w:hAnsi="仿宋" w:eastAsia="仿宋" w:cs="仿宋"/>
          <w:color w:val="auto"/>
          <w:sz w:val="24"/>
          <w:highlight w:val="none"/>
        </w:rPr>
      </w:pPr>
      <w:r>
        <w:rPr>
          <w:rFonts w:hint="eastAsia" w:ascii="仿宋" w:hAnsi="仿宋" w:eastAsia="仿宋" w:cs="仿宋"/>
          <w:color w:val="auto"/>
          <w:sz w:val="24"/>
          <w:highlight w:val="none"/>
        </w:rPr>
        <w:t>供应商公章：</w:t>
      </w:r>
    </w:p>
    <w:p w14:paraId="3BBA60E5">
      <w:pPr>
        <w:pStyle w:val="7"/>
        <w:spacing w:line="720" w:lineRule="exact"/>
        <w:ind w:firstLine="0"/>
        <w:jc w:val="left"/>
        <w:rPr>
          <w:rFonts w:ascii="仿宋" w:hAnsi="仿宋" w:eastAsia="仿宋" w:cs="仿宋"/>
          <w:color w:val="auto"/>
          <w:sz w:val="24"/>
          <w:highlight w:val="none"/>
        </w:rPr>
      </w:pPr>
      <w:r>
        <w:rPr>
          <w:rFonts w:hint="eastAsia" w:ascii="仿宋" w:hAnsi="仿宋" w:eastAsia="仿宋" w:cs="仿宋"/>
          <w:color w:val="auto"/>
          <w:sz w:val="24"/>
          <w:highlight w:val="none"/>
        </w:rPr>
        <w:t>日期：2025年  月  日</w:t>
      </w:r>
    </w:p>
    <w:p w14:paraId="6E525CF9">
      <w:pPr>
        <w:pBdr>
          <w:bottom w:val="single" w:color="auto" w:sz="6" w:space="1"/>
        </w:pBdr>
        <w:spacing w:line="540" w:lineRule="exact"/>
        <w:rPr>
          <w:rFonts w:ascii="仿宋" w:hAnsi="仿宋" w:eastAsia="仿宋" w:cs="仿宋"/>
          <w:color w:val="auto"/>
          <w:sz w:val="24"/>
          <w:highlight w:val="none"/>
        </w:rPr>
      </w:pPr>
    </w:p>
    <w:p w14:paraId="4CA47CF0">
      <w:pPr>
        <w:spacing w:line="540" w:lineRule="exact"/>
        <w:rPr>
          <w:rFonts w:ascii="仿宋" w:hAnsi="仿宋" w:eastAsia="仿宋" w:cs="仿宋"/>
          <w:color w:val="auto"/>
          <w:sz w:val="24"/>
          <w:highlight w:val="none"/>
        </w:rPr>
      </w:pPr>
    </w:p>
    <w:p w14:paraId="1D4895AE">
      <w:pPr>
        <w:autoSpaceDE w:val="0"/>
        <w:autoSpaceDN w:val="0"/>
        <w:adjustRightInd w:val="0"/>
        <w:spacing w:line="460" w:lineRule="atLeast"/>
        <w:ind w:firstLine="360"/>
        <w:jc w:val="left"/>
        <w:rPr>
          <w:rFonts w:ascii="仿宋" w:hAnsi="仿宋" w:eastAsia="仿宋" w:cs="仿宋"/>
          <w:b/>
          <w:bCs/>
          <w:color w:val="auto"/>
          <w:kern w:val="0"/>
          <w:sz w:val="24"/>
          <w:highlight w:val="none"/>
          <w:u w:val="single"/>
        </w:rPr>
      </w:pPr>
      <w:r>
        <w:rPr>
          <w:rFonts w:hint="eastAsia" w:ascii="仿宋" w:hAnsi="仿宋" w:eastAsia="仿宋" w:cs="仿宋"/>
          <w:b/>
          <w:bCs/>
          <w:color w:val="auto"/>
          <w:kern w:val="0"/>
          <w:sz w:val="24"/>
          <w:highlight w:val="none"/>
          <w:u w:val="single"/>
          <w:lang w:val="zh-CN"/>
        </w:rPr>
        <w:t>代理费汇款账号：</w:t>
      </w:r>
    </w:p>
    <w:p w14:paraId="1294AB4E">
      <w:pPr>
        <w:autoSpaceDE w:val="0"/>
        <w:autoSpaceDN w:val="0"/>
        <w:adjustRightInd w:val="0"/>
        <w:spacing w:line="460" w:lineRule="atLeast"/>
        <w:ind w:firstLine="360"/>
        <w:jc w:val="left"/>
        <w:rPr>
          <w:rFonts w:ascii="仿宋" w:hAnsi="仿宋" w:eastAsia="仿宋" w:cs="仿宋"/>
          <w:b/>
          <w:bCs/>
          <w:color w:val="auto"/>
          <w:kern w:val="0"/>
          <w:sz w:val="24"/>
          <w:highlight w:val="none"/>
          <w:u w:val="single"/>
        </w:rPr>
      </w:pPr>
    </w:p>
    <w:p w14:paraId="1073B730">
      <w:pPr>
        <w:widowControl/>
        <w:spacing w:line="360" w:lineRule="auto"/>
        <w:ind w:left="750" w:leftChars="300" w:hanging="120" w:hangingChars="50"/>
        <w:rPr>
          <w:rFonts w:ascii="仿宋" w:hAnsi="仿宋" w:eastAsia="仿宋" w:cs="仿宋"/>
          <w:color w:val="auto"/>
          <w:sz w:val="24"/>
          <w:highlight w:val="none"/>
        </w:rPr>
      </w:pPr>
      <w:r>
        <w:rPr>
          <w:rFonts w:hint="eastAsia" w:ascii="仿宋" w:hAnsi="仿宋" w:eastAsia="仿宋" w:cs="仿宋"/>
          <w:color w:val="auto"/>
          <w:sz w:val="24"/>
          <w:highlight w:val="none"/>
        </w:rPr>
        <w:t>账户名称：浙江新诚信工程咨询有限公司湖州分公司</w:t>
      </w:r>
    </w:p>
    <w:p w14:paraId="585CBC4C">
      <w:pPr>
        <w:widowControl/>
        <w:spacing w:line="360" w:lineRule="auto"/>
        <w:ind w:left="750" w:leftChars="300" w:hanging="120" w:hangingChars="50"/>
        <w:rPr>
          <w:rFonts w:ascii="仿宋" w:hAnsi="仿宋" w:eastAsia="仿宋" w:cs="仿宋"/>
          <w:color w:val="auto"/>
          <w:sz w:val="24"/>
          <w:highlight w:val="none"/>
        </w:rPr>
      </w:pPr>
      <w:r>
        <w:rPr>
          <w:rFonts w:hint="eastAsia" w:ascii="仿宋" w:hAnsi="仿宋" w:eastAsia="仿宋" w:cs="仿宋"/>
          <w:color w:val="auto"/>
          <w:sz w:val="24"/>
          <w:highlight w:val="none"/>
        </w:rPr>
        <w:t>开户银行：湖州银行股份有限公司南园支行           </w:t>
      </w:r>
    </w:p>
    <w:p w14:paraId="43AE8E61">
      <w:pPr>
        <w:widowControl/>
        <w:spacing w:line="360" w:lineRule="auto"/>
        <w:ind w:left="750" w:leftChars="300" w:hanging="120" w:hangingChars="50"/>
        <w:rPr>
          <w:rFonts w:ascii="仿宋" w:hAnsi="仿宋" w:eastAsia="仿宋" w:cs="仿宋"/>
          <w:color w:val="auto"/>
          <w:sz w:val="24"/>
          <w:highlight w:val="none"/>
        </w:rPr>
      </w:pPr>
      <w:r>
        <w:rPr>
          <w:rFonts w:hint="eastAsia" w:ascii="仿宋" w:hAnsi="仿宋" w:eastAsia="仿宋" w:cs="仿宋"/>
          <w:color w:val="auto"/>
          <w:sz w:val="24"/>
          <w:highlight w:val="none"/>
        </w:rPr>
        <w:t>银行账号：800028090000155</w:t>
      </w:r>
    </w:p>
    <w:p w14:paraId="0C975B97">
      <w:pPr>
        <w:widowControl/>
        <w:spacing w:line="360" w:lineRule="auto"/>
        <w:ind w:left="750" w:leftChars="300" w:hanging="120" w:hangingChars="50"/>
        <w:rPr>
          <w:rFonts w:ascii="仿宋" w:hAnsi="仿宋" w:eastAsia="仿宋" w:cs="仿宋"/>
          <w:color w:val="auto"/>
          <w:sz w:val="24"/>
          <w:highlight w:val="none"/>
        </w:rPr>
      </w:pPr>
      <w:r>
        <w:rPr>
          <w:rFonts w:hint="eastAsia" w:ascii="仿宋" w:hAnsi="仿宋" w:eastAsia="仿宋" w:cs="仿宋"/>
          <w:color w:val="auto"/>
          <w:sz w:val="24"/>
          <w:highlight w:val="none"/>
        </w:rPr>
        <w:t>“用途”一栏注明项目编号XCXHZ-2025-0</w:t>
      </w:r>
      <w:r>
        <w:rPr>
          <w:rFonts w:hint="eastAsia" w:ascii="仿宋" w:hAnsi="仿宋" w:eastAsia="仿宋" w:cs="仿宋"/>
          <w:color w:val="auto"/>
          <w:sz w:val="24"/>
          <w:highlight w:val="none"/>
          <w:lang w:val="en-US" w:eastAsia="zh-CN"/>
        </w:rPr>
        <w:t>48</w:t>
      </w:r>
      <w:r>
        <w:rPr>
          <w:rFonts w:hint="eastAsia" w:ascii="仿宋" w:hAnsi="仿宋" w:eastAsia="仿宋" w:cs="仿宋"/>
          <w:color w:val="auto"/>
          <w:sz w:val="24"/>
          <w:highlight w:val="none"/>
        </w:rPr>
        <w:t>(CG)</w:t>
      </w:r>
    </w:p>
    <w:p w14:paraId="5D045E5E">
      <w:pPr>
        <w:snapToGrid w:val="0"/>
        <w:spacing w:beforeLines="50" w:after="50"/>
        <w:jc w:val="center"/>
        <w:rPr>
          <w:rFonts w:ascii="仿宋" w:hAnsi="仿宋" w:eastAsia="仿宋" w:cs="仿宋"/>
          <w:b/>
          <w:color w:val="auto"/>
          <w:sz w:val="28"/>
          <w:szCs w:val="28"/>
          <w:highlight w:val="none"/>
          <w:lang w:val="zh-CN"/>
        </w:rPr>
      </w:pPr>
    </w:p>
    <w:p w14:paraId="49CF95E4">
      <w:pPr>
        <w:rPr>
          <w:rFonts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br w:type="page"/>
      </w:r>
    </w:p>
    <w:p w14:paraId="5720C2B6">
      <w:pPr>
        <w:pStyle w:val="3"/>
        <w:spacing w:line="460" w:lineRule="exact"/>
        <w:jc w:val="center"/>
        <w:rPr>
          <w:rFonts w:ascii="仿宋" w:hAnsi="仿宋" w:eastAsia="仿宋" w:cs="仿宋"/>
          <w:color w:val="auto"/>
          <w:sz w:val="36"/>
          <w:szCs w:val="36"/>
          <w:highlight w:val="none"/>
        </w:rPr>
      </w:pPr>
      <w:r>
        <w:rPr>
          <w:rFonts w:hint="eastAsia" w:ascii="仿宋" w:hAnsi="仿宋" w:eastAsia="仿宋" w:cs="仿宋"/>
          <w:color w:val="auto"/>
          <w:kern w:val="2"/>
          <w:sz w:val="36"/>
          <w:szCs w:val="36"/>
          <w:highlight w:val="none"/>
        </w:rPr>
        <w:t>第六章 磋商办法及评分标准</w:t>
      </w:r>
    </w:p>
    <w:p w14:paraId="6378D472">
      <w:pPr>
        <w:spacing w:line="550" w:lineRule="exact"/>
        <w:ind w:firstLine="420"/>
        <w:rPr>
          <w:rFonts w:ascii="仿宋" w:hAnsi="仿宋" w:eastAsia="仿宋" w:cs="仿宋"/>
          <w:bCs/>
          <w:color w:val="auto"/>
          <w:sz w:val="24"/>
          <w:highlight w:val="none"/>
        </w:rPr>
      </w:pPr>
      <w:r>
        <w:rPr>
          <w:rFonts w:hint="eastAsia" w:ascii="仿宋" w:hAnsi="仿宋" w:eastAsia="仿宋" w:cs="仿宋"/>
          <w:bCs/>
          <w:color w:val="auto"/>
          <w:sz w:val="24"/>
          <w:highlight w:val="none"/>
        </w:rPr>
        <w:t>为公正、公平、科学地选择成交供应商，根据《中华人民共和国政府采购法》、《政府采购竞争性磋商采购方式管理暂行办法》等有关法律法规的规定，并结合本项目的实际，制定本办法。</w:t>
      </w:r>
    </w:p>
    <w:p w14:paraId="7AAB0A61">
      <w:pPr>
        <w:spacing w:line="550" w:lineRule="exact"/>
        <w:ind w:firstLine="472" w:firstLineChars="196"/>
        <w:outlineLvl w:val="1"/>
        <w:rPr>
          <w:rFonts w:ascii="仿宋" w:hAnsi="仿宋" w:eastAsia="仿宋" w:cs="仿宋"/>
          <w:b/>
          <w:bCs/>
          <w:color w:val="auto"/>
          <w:sz w:val="24"/>
          <w:highlight w:val="none"/>
        </w:rPr>
      </w:pPr>
      <w:r>
        <w:rPr>
          <w:rFonts w:hint="eastAsia" w:ascii="仿宋" w:hAnsi="仿宋" w:eastAsia="仿宋" w:cs="仿宋"/>
          <w:b/>
          <w:bCs/>
          <w:color w:val="auto"/>
          <w:sz w:val="24"/>
          <w:highlight w:val="none"/>
        </w:rPr>
        <w:t>一、总则：</w:t>
      </w:r>
    </w:p>
    <w:p w14:paraId="45D87629">
      <w:pPr>
        <w:spacing w:line="550" w:lineRule="exact"/>
        <w:ind w:left="472"/>
        <w:rPr>
          <w:rFonts w:ascii="仿宋" w:hAnsi="仿宋" w:eastAsia="仿宋" w:cs="仿宋"/>
          <w:color w:val="auto"/>
          <w:sz w:val="24"/>
          <w:highlight w:val="none"/>
        </w:rPr>
      </w:pPr>
      <w:r>
        <w:rPr>
          <w:rFonts w:hint="eastAsia" w:ascii="仿宋" w:hAnsi="仿宋" w:eastAsia="仿宋" w:cs="仿宋"/>
          <w:color w:val="auto"/>
          <w:sz w:val="24"/>
          <w:highlight w:val="none"/>
        </w:rPr>
        <w:t>（一）磋商小组遵循公开、公平、公正、科学合理、竞争择优的原则；</w:t>
      </w:r>
    </w:p>
    <w:p w14:paraId="22AE7DD5">
      <w:pPr>
        <w:spacing w:line="55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（二）磋商由磋商小组负责，磋商小组由采购人依据有关规定组建</w:t>
      </w:r>
      <w:r>
        <w:rPr>
          <w:rFonts w:hint="eastAsia" w:ascii="仿宋" w:hAnsi="仿宋" w:eastAsia="仿宋" w:cs="仿宋"/>
          <w:color w:val="auto"/>
          <w:sz w:val="24"/>
          <w:highlight w:val="none"/>
          <w:lang w:eastAsia="zh-CN"/>
        </w:rPr>
        <w:t>，</w:t>
      </w:r>
      <w:r>
        <w:rPr>
          <w:rFonts w:hint="eastAsia" w:ascii="仿宋" w:hAnsi="仿宋" w:eastAsia="仿宋" w:cs="仿宋"/>
          <w:color w:val="auto"/>
          <w:sz w:val="24"/>
          <w:highlight w:val="none"/>
        </w:rPr>
        <w:t>共</w:t>
      </w:r>
      <w:r>
        <w:rPr>
          <w:rFonts w:hint="eastAsia" w:ascii="仿宋" w:hAnsi="仿宋" w:eastAsia="仿宋" w:cs="仿宋"/>
          <w:color w:val="auto"/>
          <w:sz w:val="24"/>
          <w:highlight w:val="none"/>
          <w:u w:val="single"/>
        </w:rPr>
        <w:t>3</w:t>
      </w:r>
      <w:r>
        <w:rPr>
          <w:rFonts w:hint="eastAsia" w:ascii="仿宋" w:hAnsi="仿宋" w:eastAsia="仿宋" w:cs="仿宋"/>
          <w:color w:val="auto"/>
          <w:sz w:val="24"/>
          <w:highlight w:val="none"/>
        </w:rPr>
        <w:t>人组成，其中技术、经济专家于磋商前在监管人员的监督下从专家库中随机抽取。有关人员对磋商小组成员名单必须严格保密，与磋商有利害关系的人员不得参加磋商会；</w:t>
      </w:r>
    </w:p>
    <w:p w14:paraId="571830B2">
      <w:pPr>
        <w:spacing w:line="550" w:lineRule="exact"/>
        <w:ind w:firstLine="360" w:firstLineChars="150"/>
        <w:rPr>
          <w:rFonts w:ascii="仿宋" w:hAnsi="仿宋" w:eastAsia="仿宋" w:cs="仿宋"/>
          <w:color w:val="auto"/>
          <w:sz w:val="24"/>
          <w:highlight w:val="none"/>
        </w:rPr>
      </w:pPr>
      <w:r>
        <w:rPr>
          <w:rFonts w:hint="eastAsia" w:ascii="仿宋" w:hAnsi="仿宋" w:eastAsia="仿宋" w:cs="仿宋"/>
          <w:color w:val="auto"/>
          <w:sz w:val="24"/>
          <w:highlight w:val="none"/>
        </w:rPr>
        <w:t>（三）磋商小组成员及参加磋商的其他相关人员应严格遵守国家有关保密的法律、法规和规定，并接受有关部门的监督；</w:t>
      </w:r>
    </w:p>
    <w:p w14:paraId="1AC455BB">
      <w:pPr>
        <w:spacing w:line="550" w:lineRule="exact"/>
        <w:ind w:firstLine="360" w:firstLineChars="150"/>
        <w:rPr>
          <w:rFonts w:ascii="仿宋" w:hAnsi="仿宋" w:eastAsia="仿宋" w:cs="仿宋"/>
          <w:color w:val="auto"/>
          <w:sz w:val="24"/>
          <w:highlight w:val="none"/>
        </w:rPr>
      </w:pPr>
      <w:r>
        <w:rPr>
          <w:rFonts w:hint="eastAsia" w:ascii="仿宋" w:hAnsi="仿宋" w:eastAsia="仿宋" w:cs="仿宋"/>
          <w:color w:val="auto"/>
          <w:sz w:val="24"/>
          <w:highlight w:val="none"/>
        </w:rPr>
        <w:t>（四）磋商小组应按磋商文件规定的程序进行磋商；</w:t>
      </w:r>
    </w:p>
    <w:p w14:paraId="016A84EF">
      <w:pPr>
        <w:spacing w:line="550" w:lineRule="exact"/>
        <w:ind w:firstLine="360" w:firstLineChars="150"/>
        <w:rPr>
          <w:rFonts w:ascii="仿宋" w:hAnsi="仿宋" w:eastAsia="仿宋" w:cs="仿宋"/>
          <w:color w:val="auto"/>
          <w:sz w:val="24"/>
          <w:highlight w:val="none"/>
        </w:rPr>
      </w:pPr>
      <w:r>
        <w:rPr>
          <w:rFonts w:hint="eastAsia" w:ascii="仿宋" w:hAnsi="仿宋" w:eastAsia="仿宋" w:cs="仿宋"/>
          <w:color w:val="auto"/>
          <w:sz w:val="24"/>
          <w:highlight w:val="none"/>
        </w:rPr>
        <w:t>（五）通讯工具管理：在磋商期间，磋商小组每个成员的手机都必须关机；</w:t>
      </w:r>
    </w:p>
    <w:p w14:paraId="097A65EC">
      <w:pPr>
        <w:spacing w:line="550" w:lineRule="exact"/>
        <w:ind w:firstLine="360" w:firstLineChars="150"/>
        <w:rPr>
          <w:rFonts w:ascii="仿宋" w:hAnsi="仿宋" w:eastAsia="仿宋" w:cs="仿宋"/>
          <w:color w:val="auto"/>
          <w:sz w:val="24"/>
          <w:highlight w:val="none"/>
        </w:rPr>
      </w:pPr>
      <w:r>
        <w:rPr>
          <w:rFonts w:hint="eastAsia" w:ascii="仿宋" w:hAnsi="仿宋" w:eastAsia="仿宋" w:cs="仿宋"/>
          <w:color w:val="auto"/>
          <w:sz w:val="24"/>
          <w:highlight w:val="none"/>
        </w:rPr>
        <w:t>（六）在磋商期间，磋商小组各成员不得随意离开规定的磋商地点，所有资料由采购代理机构工作人员专门保管和发放。磋商小组成员完成磋商时应如数、及时归还，任何与本项目有关的资料不得带离磋商现场；</w:t>
      </w:r>
    </w:p>
    <w:p w14:paraId="48788441">
      <w:pPr>
        <w:spacing w:line="550" w:lineRule="exact"/>
        <w:ind w:firstLine="360" w:firstLineChars="150"/>
        <w:rPr>
          <w:rFonts w:hint="eastAsia" w:ascii="仿宋" w:hAnsi="仿宋" w:eastAsia="仿宋" w:cs="宋体"/>
          <w:bCs/>
          <w:color w:val="auto"/>
          <w:sz w:val="24"/>
          <w:highlight w:val="none"/>
        </w:rPr>
      </w:pPr>
      <w:r>
        <w:rPr>
          <w:rFonts w:hint="eastAsia" w:ascii="仿宋" w:hAnsi="仿宋" w:eastAsia="仿宋" w:cs="仿宋"/>
          <w:bCs/>
          <w:color w:val="auto"/>
          <w:sz w:val="24"/>
          <w:highlight w:val="none"/>
        </w:rPr>
        <w:t>（七）</w:t>
      </w:r>
      <w:r>
        <w:rPr>
          <w:rFonts w:hint="eastAsia" w:ascii="仿宋" w:hAnsi="仿宋" w:eastAsia="仿宋" w:cs="宋体"/>
          <w:bCs/>
          <w:color w:val="auto"/>
          <w:sz w:val="24"/>
          <w:highlight w:val="none"/>
        </w:rPr>
        <w:t>本次磋商采用综合评分法，总分为100分，其中价格分</w:t>
      </w:r>
      <w:r>
        <w:rPr>
          <w:rFonts w:hint="eastAsia" w:ascii="仿宋" w:hAnsi="仿宋" w:eastAsia="仿宋" w:cs="宋体"/>
          <w:bCs/>
          <w:color w:val="auto"/>
          <w:sz w:val="24"/>
          <w:highlight w:val="none"/>
          <w:lang w:val="en-US" w:eastAsia="zh-CN"/>
        </w:rPr>
        <w:t>2</w:t>
      </w:r>
      <w:r>
        <w:rPr>
          <w:rFonts w:hint="eastAsia" w:ascii="仿宋" w:hAnsi="仿宋" w:eastAsia="仿宋" w:cs="宋体"/>
          <w:bCs/>
          <w:color w:val="auto"/>
          <w:sz w:val="24"/>
          <w:highlight w:val="none"/>
        </w:rPr>
        <w:t>0分；技术、商务、资信及其他</w:t>
      </w:r>
      <w:r>
        <w:rPr>
          <w:rFonts w:hint="eastAsia" w:ascii="仿宋" w:hAnsi="仿宋" w:eastAsia="仿宋" w:cs="宋体"/>
          <w:bCs/>
          <w:color w:val="auto"/>
          <w:sz w:val="24"/>
          <w:highlight w:val="none"/>
          <w:lang w:val="en-US" w:eastAsia="zh-CN"/>
        </w:rPr>
        <w:t>8</w:t>
      </w:r>
      <w:r>
        <w:rPr>
          <w:rFonts w:hint="eastAsia" w:ascii="仿宋" w:hAnsi="仿宋" w:eastAsia="仿宋" w:cs="宋体"/>
          <w:bCs/>
          <w:color w:val="auto"/>
          <w:sz w:val="24"/>
          <w:highlight w:val="none"/>
        </w:rPr>
        <w:t>0分。合格供应商的评标得分为各项目汇总得分，成交候选资格按评标得分由高到低顺序排列，得分相同的，按磋商报价由低到高顺序排列；得分且磋商报价相同的，按技术得分由高到低顺序排列。技术部分得分仍相同的，由采购人采用随机抽取的方式决定。排名第一的供应商为第一成交候选人,其他供应商成交候选资格依此类推。第一成交候选人放弃成交或者因不可抗力提出不能履行合同，采购人可以确定第二成交候选人为成交人，排名第二的成交候选人因前款同样的原因不能签订合同，采购人可以确定排名第三的成交候选人为成交人，采购人也可选择重新采购。评分过程中采用四舍五入法，并保留小数2位。</w:t>
      </w:r>
    </w:p>
    <w:p w14:paraId="60A34EC1">
      <w:pPr>
        <w:tabs>
          <w:tab w:val="left" w:pos="3870"/>
          <w:tab w:val="left" w:pos="4085"/>
        </w:tabs>
        <w:snapToGrid w:val="0"/>
        <w:spacing w:line="550" w:lineRule="exact"/>
        <w:ind w:firstLine="482" w:firstLineChars="200"/>
        <w:jc w:val="left"/>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二、计算方法：（按评分标准）</w:t>
      </w:r>
    </w:p>
    <w:p w14:paraId="2CB27BA1">
      <w:pPr>
        <w:spacing w:line="360" w:lineRule="auto"/>
        <w:ind w:firstLine="420" w:firstLineChars="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一</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价格分</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2</w:t>
      </w:r>
      <w:r>
        <w:rPr>
          <w:rFonts w:hint="eastAsia" w:ascii="仿宋" w:hAnsi="仿宋" w:eastAsia="仿宋" w:cs="仿宋"/>
          <w:color w:val="auto"/>
          <w:sz w:val="24"/>
          <w:szCs w:val="24"/>
          <w:highlight w:val="none"/>
        </w:rPr>
        <w:t>0分</w:t>
      </w:r>
    </w:p>
    <w:p w14:paraId="281E3C4F">
      <w:pPr>
        <w:spacing w:line="360" w:lineRule="auto"/>
        <w:ind w:firstLine="420" w:firstLineChars="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1、价格分采用低价优先法计算、即满足</w:t>
      </w:r>
      <w:r>
        <w:rPr>
          <w:rFonts w:hint="eastAsia" w:ascii="仿宋" w:hAnsi="仿宋" w:eastAsia="仿宋" w:cs="仿宋"/>
          <w:color w:val="auto"/>
          <w:sz w:val="24"/>
          <w:szCs w:val="24"/>
          <w:highlight w:val="none"/>
          <w:lang w:val="en-US" w:eastAsia="zh-CN"/>
        </w:rPr>
        <w:t>磋商文件</w:t>
      </w:r>
      <w:r>
        <w:rPr>
          <w:rFonts w:hint="eastAsia" w:ascii="仿宋" w:hAnsi="仿宋" w:eastAsia="仿宋" w:cs="仿宋"/>
          <w:color w:val="auto"/>
          <w:sz w:val="24"/>
          <w:szCs w:val="24"/>
          <w:highlight w:val="none"/>
        </w:rPr>
        <w:t>要求且最后报价最低的供应商的价格为磋商基准价，其价格分为满分、其他供</w:t>
      </w:r>
      <w:r>
        <w:rPr>
          <w:rFonts w:hint="eastAsia" w:ascii="仿宋" w:hAnsi="仿宋" w:eastAsia="仿宋" w:cs="仿宋"/>
          <w:color w:val="auto"/>
          <w:sz w:val="24"/>
          <w:szCs w:val="24"/>
          <w:highlight w:val="none"/>
          <w:lang w:val="en-US" w:eastAsia="zh-CN"/>
        </w:rPr>
        <w:t>应</w:t>
      </w:r>
      <w:r>
        <w:rPr>
          <w:rFonts w:hint="eastAsia" w:ascii="仿宋" w:hAnsi="仿宋" w:eastAsia="仿宋" w:cs="仿宋"/>
          <w:color w:val="auto"/>
          <w:sz w:val="24"/>
          <w:szCs w:val="24"/>
          <w:highlight w:val="none"/>
        </w:rPr>
        <w:t>商的价格分统一按照下列公式计算</w:t>
      </w:r>
      <w:r>
        <w:rPr>
          <w:rFonts w:hint="eastAsia" w:ascii="仿宋" w:hAnsi="仿宋" w:eastAsia="仿宋" w:cs="仿宋"/>
          <w:color w:val="auto"/>
          <w:sz w:val="24"/>
          <w:szCs w:val="24"/>
          <w:highlight w:val="none"/>
          <w:lang w:eastAsia="zh-CN"/>
        </w:rPr>
        <w:t>：</w:t>
      </w:r>
    </w:p>
    <w:p w14:paraId="217D777F">
      <w:pPr>
        <w:spacing w:line="360" w:lineRule="auto"/>
        <w:ind w:firstLine="420" w:firstLineChars="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磋商报价得分=</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基准价/磋商报价</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w:t>
      </w:r>
      <w:r>
        <w:rPr>
          <w:rFonts w:hint="eastAsia" w:ascii="仿宋" w:hAnsi="仿宋" w:eastAsia="仿宋" w:cs="仿宋"/>
          <w:color w:val="auto"/>
          <w:sz w:val="24"/>
          <w:szCs w:val="24"/>
          <w:highlight w:val="none"/>
        </w:rPr>
        <w:t>100</w:t>
      </w:r>
      <w:r>
        <w:rPr>
          <w:rFonts w:hint="eastAsia" w:ascii="仿宋" w:hAnsi="仿宋" w:eastAsia="仿宋" w:cs="仿宋"/>
          <w:color w:val="auto"/>
          <w:sz w:val="24"/>
          <w:szCs w:val="24"/>
          <w:highlight w:val="none"/>
          <w:lang w:val="en-US" w:eastAsia="zh-CN"/>
        </w:rPr>
        <w:t>×2</w:t>
      </w:r>
      <w:r>
        <w:rPr>
          <w:rFonts w:hint="eastAsia" w:ascii="仿宋" w:hAnsi="仿宋" w:eastAsia="仿宋" w:cs="仿宋"/>
          <w:color w:val="auto"/>
          <w:sz w:val="24"/>
          <w:szCs w:val="24"/>
          <w:highlight w:val="none"/>
        </w:rPr>
        <w:t>0%</w:t>
      </w:r>
    </w:p>
    <w:p w14:paraId="3DD161E5">
      <w:pPr>
        <w:spacing w:line="550" w:lineRule="exact"/>
        <w:ind w:firstLine="480" w:firstLineChars="200"/>
        <w:jc w:val="left"/>
        <w:rPr>
          <w:rFonts w:ascii="仿宋" w:hAnsi="仿宋" w:eastAsia="仿宋" w:cs="宋体"/>
          <w:bCs/>
          <w:color w:val="auto"/>
          <w:sz w:val="24"/>
          <w:highlight w:val="none"/>
        </w:rPr>
      </w:pPr>
      <w:r>
        <w:rPr>
          <w:rFonts w:ascii="仿宋" w:hAnsi="仿宋" w:eastAsia="仿宋" w:cs="宋体"/>
          <w:bCs/>
          <w:color w:val="auto"/>
          <w:sz w:val="24"/>
          <w:highlight w:val="none"/>
        </w:rPr>
        <w:t>落实政府采购政策：</w:t>
      </w:r>
    </w:p>
    <w:p w14:paraId="4FAAE5E7">
      <w:pPr>
        <w:spacing w:line="550" w:lineRule="exact"/>
        <w:ind w:firstLine="480" w:firstLineChars="200"/>
        <w:jc w:val="left"/>
        <w:rPr>
          <w:rFonts w:hint="eastAsia" w:ascii="仿宋" w:hAnsi="仿宋" w:eastAsia="仿宋" w:cs="仿宋"/>
          <w:bCs/>
          <w:color w:val="auto"/>
          <w:kern w:val="2"/>
          <w:sz w:val="24"/>
          <w:szCs w:val="24"/>
          <w:highlight w:val="none"/>
          <w:lang w:val="en-US" w:eastAsia="zh-CN" w:bidi="ar-SA"/>
        </w:rPr>
      </w:pPr>
      <w:r>
        <w:rPr>
          <w:rFonts w:hint="eastAsia" w:ascii="仿宋" w:hAnsi="仿宋" w:eastAsia="仿宋" w:cs="仿宋"/>
          <w:bCs/>
          <w:color w:val="auto"/>
          <w:kern w:val="2"/>
          <w:sz w:val="24"/>
          <w:szCs w:val="24"/>
          <w:highlight w:val="none"/>
          <w:lang w:val="en-US" w:eastAsia="zh-CN" w:bidi="ar-SA"/>
        </w:rPr>
        <w:t>根据财政部《关于进一步加大政府采购支持中小企业力度的通知》（财库〔2022〕19号），对符合规定的小微企业投标报价给予10%的扣除，并用扣除后的价格计算价格评分。</w:t>
      </w:r>
    </w:p>
    <w:p w14:paraId="4CC80B98">
      <w:pPr>
        <w:spacing w:line="550" w:lineRule="exact"/>
        <w:ind w:firstLine="480" w:firstLineChars="200"/>
        <w:jc w:val="left"/>
        <w:rPr>
          <w:rFonts w:ascii="仿宋" w:hAnsi="仿宋" w:eastAsia="仿宋" w:cs="宋体"/>
          <w:bCs/>
          <w:color w:val="auto"/>
          <w:sz w:val="24"/>
          <w:highlight w:val="none"/>
        </w:rPr>
      </w:pPr>
      <w:r>
        <w:rPr>
          <w:rFonts w:ascii="仿宋" w:hAnsi="仿宋" w:eastAsia="仿宋" w:cs="宋体"/>
          <w:bCs/>
          <w:color w:val="auto"/>
          <w:sz w:val="24"/>
          <w:highlight w:val="none"/>
        </w:rPr>
        <w:t>符合以下所有要求的供应商被认定为小型、微型企业</w:t>
      </w:r>
      <w:r>
        <w:rPr>
          <w:rFonts w:hint="eastAsia" w:ascii="仿宋" w:hAnsi="仿宋" w:eastAsia="仿宋" w:cs="宋体"/>
          <w:bCs/>
          <w:color w:val="auto"/>
          <w:sz w:val="24"/>
          <w:highlight w:val="none"/>
        </w:rPr>
        <w:t>：</w:t>
      </w:r>
    </w:p>
    <w:p w14:paraId="0086D281">
      <w:pPr>
        <w:spacing w:line="550" w:lineRule="exact"/>
        <w:ind w:firstLine="480" w:firstLineChars="200"/>
        <w:jc w:val="left"/>
        <w:rPr>
          <w:rFonts w:ascii="仿宋" w:hAnsi="仿宋" w:eastAsia="仿宋" w:cs="宋体"/>
          <w:bCs/>
          <w:color w:val="auto"/>
          <w:sz w:val="24"/>
          <w:highlight w:val="none"/>
        </w:rPr>
      </w:pPr>
      <w:r>
        <w:rPr>
          <w:rFonts w:ascii="仿宋" w:hAnsi="仿宋" w:eastAsia="仿宋" w:cs="宋体"/>
          <w:bCs/>
          <w:color w:val="auto"/>
          <w:sz w:val="24"/>
          <w:highlight w:val="none"/>
        </w:rPr>
        <w:t>1）供应商按照《关于印发中小企业划型标准规定的通知》（工信部联企业【2011】300号）的所属行业规定为小型、微型企业【按《政府采购促进中小企业发展管理办法》的通知（财库【2020】46 号）规定提供《中小企业声明函》，不提供不予认可】。</w:t>
      </w:r>
    </w:p>
    <w:p w14:paraId="71029BAF">
      <w:pPr>
        <w:spacing w:line="550" w:lineRule="exact"/>
        <w:ind w:firstLine="480" w:firstLineChars="200"/>
        <w:jc w:val="left"/>
        <w:rPr>
          <w:rFonts w:ascii="仿宋" w:hAnsi="仿宋" w:eastAsia="仿宋" w:cs="宋体"/>
          <w:bCs/>
          <w:color w:val="auto"/>
          <w:sz w:val="24"/>
          <w:highlight w:val="none"/>
        </w:rPr>
      </w:pPr>
      <w:r>
        <w:rPr>
          <w:rFonts w:hint="eastAsia" w:ascii="仿宋" w:hAnsi="仿宋" w:eastAsia="仿宋" w:cs="宋体"/>
          <w:bCs/>
          <w:color w:val="auto"/>
          <w:sz w:val="24"/>
          <w:highlight w:val="none"/>
        </w:rPr>
        <w:t>2）</w:t>
      </w:r>
      <w:r>
        <w:rPr>
          <w:rFonts w:ascii="仿宋" w:hAnsi="仿宋" w:eastAsia="仿宋" w:cs="宋体"/>
          <w:bCs/>
          <w:color w:val="auto"/>
          <w:sz w:val="24"/>
          <w:highlight w:val="none"/>
        </w:rPr>
        <w:t>监狱企业参加投标【提供《监狱企业声明函》及其相关的证明材料】，视为小型、微型企业，享受小微企业政策扶持，监狱企业属于小型、微型企业的，不重复享受政策。</w:t>
      </w:r>
    </w:p>
    <w:p w14:paraId="20974104">
      <w:pPr>
        <w:spacing w:line="550" w:lineRule="exact"/>
        <w:ind w:firstLine="480" w:firstLineChars="200"/>
        <w:jc w:val="left"/>
        <w:rPr>
          <w:rFonts w:ascii="仿宋" w:hAnsi="仿宋" w:eastAsia="仿宋" w:cs="宋体"/>
          <w:bCs/>
          <w:color w:val="auto"/>
          <w:sz w:val="24"/>
          <w:highlight w:val="none"/>
        </w:rPr>
      </w:pPr>
      <w:r>
        <w:rPr>
          <w:rFonts w:hint="eastAsia" w:ascii="仿宋" w:hAnsi="仿宋" w:eastAsia="仿宋" w:cs="宋体"/>
          <w:bCs/>
          <w:color w:val="auto"/>
          <w:sz w:val="24"/>
          <w:highlight w:val="none"/>
        </w:rPr>
        <w:t>3）</w:t>
      </w:r>
      <w:r>
        <w:rPr>
          <w:rFonts w:ascii="仿宋" w:hAnsi="仿宋" w:eastAsia="仿宋" w:cs="宋体"/>
          <w:bCs/>
          <w:color w:val="auto"/>
          <w:sz w:val="24"/>
          <w:highlight w:val="none"/>
        </w:rPr>
        <w:t>残疾人福利性单位参加投标【提供《残疾人福利性单位声明函》】，视为小型、微型企业，享受小微企业政策扶持，残疾人福利性单位属于小型、微型企业的，不重复享受政策。</w:t>
      </w:r>
    </w:p>
    <w:p w14:paraId="2B4609C5">
      <w:pPr>
        <w:spacing w:line="550" w:lineRule="exact"/>
        <w:ind w:firstLine="480" w:firstLineChars="200"/>
        <w:jc w:val="left"/>
        <w:rPr>
          <w:rFonts w:hint="eastAsia"/>
          <w:color w:val="auto"/>
          <w:highlight w:val="none"/>
        </w:rPr>
      </w:pPr>
      <w:r>
        <w:rPr>
          <w:rFonts w:ascii="仿宋" w:hAnsi="仿宋" w:eastAsia="仿宋" w:cs="宋体"/>
          <w:bCs/>
          <w:color w:val="auto"/>
          <w:sz w:val="24"/>
          <w:highlight w:val="none"/>
        </w:rPr>
        <w:t>供应商按照规定提供声明函内容不实的，属于提供虚假材料谋取中标（成交），依照《中华人民共和国政府采购法》等国家有关规定追究相应责任。</w:t>
      </w:r>
    </w:p>
    <w:p w14:paraId="3F3E4C14">
      <w:pPr>
        <w:pStyle w:val="20"/>
        <w:rPr>
          <w:rFonts w:hint="eastAsia"/>
          <w:color w:val="auto"/>
          <w:highlight w:val="none"/>
        </w:rPr>
      </w:pPr>
    </w:p>
    <w:p w14:paraId="04D636E9">
      <w:pPr>
        <w:spacing w:line="360" w:lineRule="auto"/>
        <w:ind w:firstLine="420" w:firstLineChars="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二</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技术分、商务资信及其他分</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80</w:t>
      </w:r>
      <w:r>
        <w:rPr>
          <w:rFonts w:hint="eastAsia" w:ascii="仿宋" w:hAnsi="仿宋" w:eastAsia="仿宋" w:cs="仿宋"/>
          <w:color w:val="auto"/>
          <w:sz w:val="24"/>
          <w:szCs w:val="24"/>
          <w:highlight w:val="none"/>
        </w:rPr>
        <w:t>分</w:t>
      </w:r>
    </w:p>
    <w:p w14:paraId="2D10F9D2">
      <w:pPr>
        <w:spacing w:line="360" w:lineRule="auto"/>
        <w:ind w:firstLine="420" w:firstLineChars="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1、本</w:t>
      </w:r>
      <w:r>
        <w:rPr>
          <w:rFonts w:hint="eastAsia" w:ascii="仿宋" w:hAnsi="仿宋" w:eastAsia="仿宋" w:cs="仿宋"/>
          <w:color w:val="auto"/>
          <w:sz w:val="24"/>
          <w:szCs w:val="24"/>
          <w:highlight w:val="none"/>
          <w:lang w:val="en-US" w:eastAsia="zh-CN"/>
        </w:rPr>
        <w:t>标项</w:t>
      </w:r>
      <w:r>
        <w:rPr>
          <w:rFonts w:hint="eastAsia" w:ascii="仿宋" w:hAnsi="仿宋" w:eastAsia="仿宋" w:cs="仿宋"/>
          <w:color w:val="auto"/>
          <w:sz w:val="24"/>
          <w:szCs w:val="24"/>
          <w:highlight w:val="none"/>
        </w:rPr>
        <w:t>设技术分</w:t>
      </w:r>
      <w:r>
        <w:rPr>
          <w:rFonts w:hint="eastAsia" w:ascii="仿宋" w:hAnsi="仿宋" w:eastAsia="仿宋" w:cs="仿宋"/>
          <w:color w:val="auto"/>
          <w:sz w:val="24"/>
          <w:szCs w:val="24"/>
          <w:highlight w:val="none"/>
          <w:lang w:val="en-US" w:eastAsia="zh-CN"/>
        </w:rPr>
        <w:t>60</w:t>
      </w:r>
      <w:r>
        <w:rPr>
          <w:rFonts w:hint="eastAsia" w:ascii="仿宋" w:hAnsi="仿宋" w:eastAsia="仿宋" w:cs="仿宋"/>
          <w:color w:val="auto"/>
          <w:sz w:val="24"/>
          <w:szCs w:val="24"/>
          <w:highlight w:val="none"/>
        </w:rPr>
        <w:t>分、商务资信及其他分</w:t>
      </w:r>
      <w:r>
        <w:rPr>
          <w:rFonts w:hint="eastAsia" w:ascii="仿宋" w:hAnsi="仿宋" w:eastAsia="仿宋" w:cs="仿宋"/>
          <w:color w:val="auto"/>
          <w:sz w:val="24"/>
          <w:szCs w:val="24"/>
          <w:highlight w:val="none"/>
          <w:lang w:val="en-US" w:eastAsia="zh-CN"/>
        </w:rPr>
        <w:t>20</w:t>
      </w:r>
      <w:r>
        <w:rPr>
          <w:rFonts w:hint="eastAsia" w:ascii="仿宋" w:hAnsi="仿宋" w:eastAsia="仿宋" w:cs="仿宋"/>
          <w:color w:val="auto"/>
          <w:sz w:val="24"/>
          <w:szCs w:val="24"/>
          <w:highlight w:val="none"/>
        </w:rPr>
        <w:t>分</w:t>
      </w:r>
    </w:p>
    <w:p w14:paraId="26CB99D5">
      <w:pPr>
        <w:spacing w:line="360" w:lineRule="auto"/>
        <w:ind w:firstLine="420" w:firstLineChars="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2、技术分、商务资信及其他分的计算</w:t>
      </w:r>
      <w:r>
        <w:rPr>
          <w:rFonts w:hint="eastAsia" w:ascii="仿宋" w:hAnsi="仿宋" w:eastAsia="仿宋" w:cs="仿宋"/>
          <w:color w:val="auto"/>
          <w:sz w:val="24"/>
          <w:szCs w:val="24"/>
          <w:highlight w:val="none"/>
          <w:lang w:eastAsia="zh-CN"/>
        </w:rPr>
        <w:t>：</w:t>
      </w:r>
    </w:p>
    <w:p w14:paraId="77F23CDF">
      <w:pPr>
        <w:spacing w:line="360" w:lineRule="auto"/>
        <w:ind w:firstLine="420" w:firstLineChars="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技术分、商务资信及其他分按照磋商小组成员的独立评分结果汇总数的算术平均分计算，计算公式为</w:t>
      </w:r>
      <w:r>
        <w:rPr>
          <w:rFonts w:hint="eastAsia" w:ascii="仿宋" w:hAnsi="仿宋" w:eastAsia="仿宋" w:cs="仿宋"/>
          <w:color w:val="auto"/>
          <w:sz w:val="24"/>
          <w:szCs w:val="24"/>
          <w:highlight w:val="none"/>
          <w:lang w:eastAsia="zh-CN"/>
        </w:rPr>
        <w:t>：</w:t>
      </w:r>
    </w:p>
    <w:p w14:paraId="524C2648">
      <w:pPr>
        <w:spacing w:line="360" w:lineRule="auto"/>
        <w:ind w:firstLine="420" w:firstLineChars="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rPr>
        <w:t>技术分、商务资信及其他分=</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磋商小组所有成员评分合计数</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w:t>
      </w:r>
      <w:r>
        <w:rPr>
          <w:rFonts w:hint="eastAsia" w:ascii="仿宋" w:hAnsi="仿宋" w:eastAsia="仿宋" w:cs="仿宋"/>
          <w:color w:val="auto"/>
          <w:sz w:val="24"/>
          <w:szCs w:val="24"/>
          <w:highlight w:val="none"/>
        </w:rPr>
        <w:t>磋商小组人员数</w:t>
      </w:r>
      <w:r>
        <w:rPr>
          <w:rFonts w:hint="eastAsia" w:ascii="仿宋" w:hAnsi="仿宋" w:eastAsia="仿宋" w:cs="仿宋"/>
          <w:color w:val="auto"/>
          <w:sz w:val="24"/>
          <w:szCs w:val="24"/>
          <w:highlight w:val="none"/>
          <w:lang w:val="en-US" w:eastAsia="zh-CN"/>
        </w:rPr>
        <w:t>）</w:t>
      </w:r>
    </w:p>
    <w:p w14:paraId="326E4BBC">
      <w:pPr>
        <w:spacing w:line="550" w:lineRule="exact"/>
        <w:ind w:firstLine="480" w:firstLineChars="200"/>
        <w:jc w:val="left"/>
        <w:rPr>
          <w:rFonts w:hint="eastAsia" w:ascii="仿宋" w:hAnsi="仿宋" w:eastAsia="仿宋" w:cs="仿宋"/>
          <w:bCs/>
          <w:color w:val="auto"/>
          <w:sz w:val="24"/>
          <w:highlight w:val="none"/>
        </w:rPr>
      </w:pPr>
      <w:r>
        <w:rPr>
          <w:rFonts w:hint="eastAsia" w:ascii="仿宋" w:hAnsi="仿宋" w:eastAsia="仿宋" w:cs="仿宋"/>
          <w:color w:val="auto"/>
          <w:sz w:val="24"/>
          <w:szCs w:val="24"/>
          <w:highlight w:val="none"/>
        </w:rPr>
        <w:t>磋商小组在评审时发现供应商</w:t>
      </w:r>
      <w:r>
        <w:rPr>
          <w:rFonts w:hint="eastAsia" w:ascii="仿宋" w:hAnsi="仿宋" w:eastAsia="仿宋" w:cs="仿宋"/>
          <w:color w:val="auto"/>
          <w:sz w:val="24"/>
          <w:szCs w:val="24"/>
          <w:highlight w:val="none"/>
          <w:lang w:eastAsia="zh-CN"/>
        </w:rPr>
        <w:t>的</w:t>
      </w:r>
      <w:r>
        <w:rPr>
          <w:rFonts w:hint="eastAsia" w:ascii="仿宋" w:hAnsi="仿宋" w:eastAsia="仿宋" w:cs="仿宋"/>
          <w:color w:val="auto"/>
          <w:sz w:val="24"/>
          <w:szCs w:val="24"/>
          <w:highlight w:val="none"/>
        </w:rPr>
        <w:t>报价</w:t>
      </w:r>
      <w:r>
        <w:rPr>
          <w:rFonts w:hint="eastAsia" w:ascii="仿宋" w:hAnsi="仿宋" w:eastAsia="仿宋" w:cs="仿宋"/>
          <w:color w:val="auto"/>
          <w:sz w:val="24"/>
          <w:szCs w:val="24"/>
          <w:highlight w:val="none"/>
          <w:lang w:val="en-US" w:eastAsia="zh-CN"/>
        </w:rPr>
        <w:t>明显高于</w:t>
      </w:r>
      <w:r>
        <w:rPr>
          <w:rFonts w:hint="eastAsia" w:ascii="仿宋" w:hAnsi="仿宋" w:eastAsia="仿宋" w:cs="仿宋"/>
          <w:color w:val="auto"/>
          <w:sz w:val="24"/>
          <w:szCs w:val="24"/>
          <w:highlight w:val="none"/>
        </w:rPr>
        <w:t>其市场报价或低于成本价的，应当要求供应商书面说明并提供相关证明材料。供应商不能当场合理说明原因并提供证明材料的，磋商小组应将该供应商的磋商文件作无效处理，并在评审报告中说明</w:t>
      </w:r>
      <w:r>
        <w:rPr>
          <w:rFonts w:hint="eastAsia" w:ascii="仿宋" w:hAnsi="仿宋" w:eastAsia="仿宋" w:cs="仿宋"/>
          <w:color w:val="auto"/>
          <w:sz w:val="24"/>
          <w:szCs w:val="24"/>
          <w:highlight w:val="none"/>
          <w:lang w:eastAsia="zh-CN"/>
        </w:rPr>
        <w:t>。</w:t>
      </w:r>
    </w:p>
    <w:tbl>
      <w:tblPr>
        <w:tblStyle w:val="27"/>
        <w:tblpPr w:leftFromText="180" w:rightFromText="180" w:vertAnchor="text" w:horzAnchor="page" w:tblpX="882" w:tblpY="300"/>
        <w:tblOverlap w:val="never"/>
        <w:tblW w:w="10321"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Layout w:type="fixed"/>
        <w:tblCellMar>
          <w:top w:w="0" w:type="dxa"/>
          <w:left w:w="108" w:type="dxa"/>
          <w:bottom w:w="0" w:type="dxa"/>
          <w:right w:w="108" w:type="dxa"/>
        </w:tblCellMar>
      </w:tblPr>
      <w:tblGrid>
        <w:gridCol w:w="705"/>
        <w:gridCol w:w="1275"/>
        <w:gridCol w:w="7350"/>
        <w:gridCol w:w="991"/>
      </w:tblGrid>
      <w:tr w14:paraId="53FB7AF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08" w:hRule="atLeast"/>
        </w:trPr>
        <w:tc>
          <w:tcPr>
            <w:tcW w:w="705" w:type="dxa"/>
            <w:tcBorders>
              <w:tl2br w:val="nil"/>
              <w:tr2bl w:val="nil"/>
            </w:tcBorders>
            <w:shd w:val="clear" w:color="auto" w:fill="auto"/>
            <w:vAlign w:val="center"/>
          </w:tcPr>
          <w:p w14:paraId="53BB2C5C">
            <w:pPr>
              <w:keepNext w:val="0"/>
              <w:keepLines w:val="0"/>
              <w:widowControl/>
              <w:suppressLineNumbers w:val="0"/>
              <w:jc w:val="both"/>
              <w:textAlignment w:val="center"/>
              <w:rPr>
                <w:rFonts w:ascii="仿宋" w:hAnsi="仿宋" w:eastAsia="仿宋" w:cs="仿宋"/>
                <w:b/>
                <w:bCs/>
                <w:i w:val="0"/>
                <w:iCs w:val="0"/>
                <w:color w:val="auto"/>
                <w:sz w:val="24"/>
                <w:szCs w:val="24"/>
                <w:highlight w:val="none"/>
                <w:u w:val="none"/>
              </w:rPr>
            </w:pPr>
            <w:r>
              <w:rPr>
                <w:rFonts w:hint="eastAsia" w:ascii="仿宋" w:hAnsi="仿宋" w:eastAsia="仿宋" w:cs="仿宋"/>
                <w:b/>
                <w:bCs/>
                <w:i w:val="0"/>
                <w:iCs w:val="0"/>
                <w:color w:val="auto"/>
                <w:kern w:val="0"/>
                <w:sz w:val="24"/>
                <w:szCs w:val="24"/>
                <w:highlight w:val="none"/>
                <w:u w:val="none"/>
                <w:lang w:val="en-US" w:eastAsia="zh-CN" w:bidi="ar"/>
              </w:rPr>
              <w:t>序号</w:t>
            </w:r>
          </w:p>
        </w:tc>
        <w:tc>
          <w:tcPr>
            <w:tcW w:w="1275" w:type="dxa"/>
            <w:tcBorders>
              <w:tl2br w:val="nil"/>
              <w:tr2bl w:val="nil"/>
            </w:tcBorders>
            <w:shd w:val="clear" w:color="auto" w:fill="auto"/>
            <w:vAlign w:val="center"/>
          </w:tcPr>
          <w:p w14:paraId="112D4B5D">
            <w:pPr>
              <w:keepNext w:val="0"/>
              <w:keepLines w:val="0"/>
              <w:widowControl/>
              <w:suppressLineNumbers w:val="0"/>
              <w:jc w:val="center"/>
              <w:textAlignment w:val="center"/>
              <w:rPr>
                <w:rFonts w:hint="eastAsia" w:ascii="仿宋" w:hAnsi="仿宋" w:eastAsia="仿宋" w:cs="仿宋"/>
                <w:b/>
                <w:bCs/>
                <w:i w:val="0"/>
                <w:iCs w:val="0"/>
                <w:color w:val="auto"/>
                <w:sz w:val="24"/>
                <w:szCs w:val="24"/>
                <w:highlight w:val="none"/>
                <w:u w:val="none"/>
              </w:rPr>
            </w:pPr>
            <w:r>
              <w:rPr>
                <w:rFonts w:hint="eastAsia" w:ascii="仿宋" w:hAnsi="仿宋" w:eastAsia="仿宋" w:cs="仿宋"/>
                <w:b/>
                <w:bCs/>
                <w:i w:val="0"/>
                <w:iCs w:val="0"/>
                <w:color w:val="auto"/>
                <w:kern w:val="0"/>
                <w:sz w:val="24"/>
                <w:szCs w:val="24"/>
                <w:highlight w:val="none"/>
                <w:u w:val="none"/>
                <w:lang w:val="en-US" w:eastAsia="zh-CN" w:bidi="ar"/>
              </w:rPr>
              <w:t>评审内容</w:t>
            </w:r>
          </w:p>
        </w:tc>
        <w:tc>
          <w:tcPr>
            <w:tcW w:w="7350" w:type="dxa"/>
            <w:tcBorders>
              <w:tl2br w:val="nil"/>
              <w:tr2bl w:val="nil"/>
            </w:tcBorders>
            <w:shd w:val="clear" w:color="auto" w:fill="auto"/>
            <w:vAlign w:val="center"/>
          </w:tcPr>
          <w:p w14:paraId="08C7C8C1">
            <w:pPr>
              <w:keepNext w:val="0"/>
              <w:keepLines w:val="0"/>
              <w:widowControl/>
              <w:suppressLineNumbers w:val="0"/>
              <w:jc w:val="center"/>
              <w:textAlignment w:val="center"/>
              <w:rPr>
                <w:rFonts w:hint="eastAsia" w:ascii="仿宋" w:hAnsi="仿宋" w:eastAsia="仿宋" w:cs="仿宋"/>
                <w:b/>
                <w:bCs/>
                <w:i w:val="0"/>
                <w:iCs w:val="0"/>
                <w:color w:val="auto"/>
                <w:sz w:val="24"/>
                <w:szCs w:val="24"/>
                <w:highlight w:val="none"/>
                <w:u w:val="none"/>
              </w:rPr>
            </w:pPr>
            <w:r>
              <w:rPr>
                <w:rFonts w:hint="eastAsia" w:ascii="仿宋" w:hAnsi="仿宋" w:eastAsia="仿宋" w:cs="仿宋"/>
                <w:b/>
                <w:bCs/>
                <w:i w:val="0"/>
                <w:iCs w:val="0"/>
                <w:color w:val="auto"/>
                <w:kern w:val="0"/>
                <w:sz w:val="24"/>
                <w:szCs w:val="24"/>
                <w:highlight w:val="none"/>
                <w:u w:val="none"/>
                <w:lang w:val="en-US" w:eastAsia="zh-CN" w:bidi="ar"/>
              </w:rPr>
              <w:t>评分标准</w:t>
            </w:r>
          </w:p>
        </w:tc>
        <w:tc>
          <w:tcPr>
            <w:tcW w:w="991" w:type="dxa"/>
            <w:tcBorders>
              <w:tl2br w:val="nil"/>
              <w:tr2bl w:val="nil"/>
            </w:tcBorders>
            <w:shd w:val="clear" w:color="auto" w:fill="auto"/>
            <w:vAlign w:val="center"/>
          </w:tcPr>
          <w:p w14:paraId="009393F5">
            <w:pPr>
              <w:keepNext w:val="0"/>
              <w:keepLines w:val="0"/>
              <w:widowControl/>
              <w:suppressLineNumbers w:val="0"/>
              <w:jc w:val="center"/>
              <w:textAlignment w:val="center"/>
              <w:rPr>
                <w:rFonts w:hint="eastAsia" w:ascii="仿宋" w:hAnsi="仿宋" w:eastAsia="仿宋" w:cs="仿宋"/>
                <w:b/>
                <w:bCs/>
                <w:i w:val="0"/>
                <w:iCs w:val="0"/>
                <w:color w:val="auto"/>
                <w:sz w:val="24"/>
                <w:szCs w:val="24"/>
                <w:highlight w:val="none"/>
                <w:u w:val="none"/>
              </w:rPr>
            </w:pPr>
            <w:r>
              <w:rPr>
                <w:rFonts w:hint="eastAsia" w:ascii="仿宋" w:hAnsi="仿宋" w:eastAsia="仿宋" w:cs="仿宋"/>
                <w:b/>
                <w:bCs/>
                <w:i w:val="0"/>
                <w:iCs w:val="0"/>
                <w:color w:val="auto"/>
                <w:kern w:val="0"/>
                <w:sz w:val="24"/>
                <w:szCs w:val="24"/>
                <w:highlight w:val="none"/>
                <w:u w:val="none"/>
                <w:lang w:val="en-US" w:eastAsia="zh-CN" w:bidi="ar"/>
              </w:rPr>
              <w:t>分值</w:t>
            </w:r>
          </w:p>
        </w:tc>
      </w:tr>
      <w:tr w14:paraId="0F09F22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408" w:hRule="atLeast"/>
        </w:trPr>
        <w:tc>
          <w:tcPr>
            <w:tcW w:w="9330" w:type="dxa"/>
            <w:gridSpan w:val="3"/>
            <w:tcBorders>
              <w:tl2br w:val="nil"/>
              <w:tr2bl w:val="nil"/>
            </w:tcBorders>
            <w:shd w:val="clear" w:color="auto" w:fill="auto"/>
            <w:vAlign w:val="bottom"/>
          </w:tcPr>
          <w:p w14:paraId="31A9229B">
            <w:pPr>
              <w:keepNext w:val="0"/>
              <w:keepLines w:val="0"/>
              <w:widowControl/>
              <w:suppressLineNumbers w:val="0"/>
              <w:jc w:val="center"/>
              <w:textAlignment w:val="bottom"/>
              <w:rPr>
                <w:rFonts w:hint="default" w:ascii="仿宋" w:hAnsi="仿宋" w:eastAsia="仿宋" w:cs="仿宋"/>
                <w:b/>
                <w:bCs/>
                <w:i w:val="0"/>
                <w:iCs w:val="0"/>
                <w:color w:val="auto"/>
                <w:sz w:val="24"/>
                <w:szCs w:val="24"/>
                <w:highlight w:val="none"/>
                <w:u w:val="none"/>
                <w:lang w:val="en-US"/>
              </w:rPr>
            </w:pPr>
            <w:r>
              <w:rPr>
                <w:rFonts w:hint="eastAsia" w:ascii="仿宋" w:hAnsi="仿宋" w:eastAsia="仿宋" w:cs="仿宋"/>
                <w:b/>
                <w:bCs/>
                <w:i w:val="0"/>
                <w:iCs w:val="0"/>
                <w:color w:val="auto"/>
                <w:kern w:val="0"/>
                <w:sz w:val="24"/>
                <w:szCs w:val="24"/>
                <w:highlight w:val="none"/>
                <w:u w:val="none"/>
                <w:lang w:val="en-US" w:eastAsia="zh-CN" w:bidi="ar"/>
              </w:rPr>
              <w:t xml:space="preserve">技术部分                                                                                                                      </w:t>
            </w:r>
          </w:p>
        </w:tc>
        <w:tc>
          <w:tcPr>
            <w:tcW w:w="991" w:type="dxa"/>
            <w:tcBorders>
              <w:tl2br w:val="nil"/>
              <w:tr2bl w:val="nil"/>
            </w:tcBorders>
            <w:shd w:val="clear" w:color="auto" w:fill="auto"/>
            <w:vAlign w:val="center"/>
          </w:tcPr>
          <w:p w14:paraId="6531B8B8">
            <w:pPr>
              <w:keepNext w:val="0"/>
              <w:keepLines w:val="0"/>
              <w:widowControl/>
              <w:suppressLineNumbers w:val="0"/>
              <w:jc w:val="center"/>
              <w:textAlignment w:val="center"/>
              <w:rPr>
                <w:rFonts w:hint="eastAsia" w:ascii="仿宋" w:hAnsi="仿宋" w:eastAsia="仿宋" w:cs="仿宋"/>
                <w:b/>
                <w:bCs/>
                <w:i w:val="0"/>
                <w:iCs w:val="0"/>
                <w:color w:val="auto"/>
                <w:sz w:val="24"/>
                <w:szCs w:val="24"/>
                <w:highlight w:val="none"/>
                <w:u w:val="none"/>
              </w:rPr>
            </w:pPr>
            <w:r>
              <w:rPr>
                <w:rFonts w:hint="eastAsia" w:ascii="仿宋" w:hAnsi="仿宋" w:eastAsia="仿宋" w:cs="仿宋"/>
                <w:b/>
                <w:bCs/>
                <w:i w:val="0"/>
                <w:iCs w:val="0"/>
                <w:color w:val="auto"/>
                <w:kern w:val="0"/>
                <w:sz w:val="24"/>
                <w:szCs w:val="24"/>
                <w:highlight w:val="none"/>
                <w:u w:val="none"/>
                <w:lang w:val="en-US" w:eastAsia="zh-CN" w:bidi="ar"/>
              </w:rPr>
              <w:t>60分</w:t>
            </w:r>
          </w:p>
        </w:tc>
      </w:tr>
      <w:tr w14:paraId="7662033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3155" w:hRule="atLeast"/>
        </w:trPr>
        <w:tc>
          <w:tcPr>
            <w:tcW w:w="705" w:type="dxa"/>
            <w:tcBorders>
              <w:tl2br w:val="nil"/>
              <w:tr2bl w:val="nil"/>
            </w:tcBorders>
            <w:shd w:val="clear" w:color="auto" w:fill="auto"/>
            <w:vAlign w:val="center"/>
          </w:tcPr>
          <w:p w14:paraId="3EA520BF">
            <w:pPr>
              <w:keepNext w:val="0"/>
              <w:keepLines w:val="0"/>
              <w:widowControl/>
              <w:suppressLineNumbers w:val="0"/>
              <w:jc w:val="center"/>
              <w:textAlignment w:val="center"/>
              <w:rPr>
                <w:rFonts w:hint="eastAsia" w:ascii="仿宋" w:hAnsi="仿宋" w:eastAsia="仿宋" w:cs="仿宋"/>
                <w:b/>
                <w:bCs/>
                <w:i w:val="0"/>
                <w:iCs w:val="0"/>
                <w:color w:val="auto"/>
                <w:kern w:val="0"/>
                <w:sz w:val="24"/>
                <w:szCs w:val="24"/>
                <w:highlight w:val="none"/>
                <w:u w:val="none"/>
                <w:lang w:val="en-US" w:eastAsia="zh-CN" w:bidi="ar"/>
              </w:rPr>
            </w:pPr>
            <w:r>
              <w:rPr>
                <w:rFonts w:hint="eastAsia" w:ascii="仿宋" w:hAnsi="仿宋" w:eastAsia="仿宋" w:cs="仿宋"/>
                <w:b/>
                <w:bCs/>
                <w:i w:val="0"/>
                <w:iCs w:val="0"/>
                <w:color w:val="auto"/>
                <w:kern w:val="0"/>
                <w:sz w:val="24"/>
                <w:szCs w:val="24"/>
                <w:highlight w:val="none"/>
                <w:u w:val="none"/>
                <w:lang w:val="en-US" w:eastAsia="zh-CN" w:bidi="ar"/>
              </w:rPr>
              <w:t>1</w:t>
            </w:r>
          </w:p>
        </w:tc>
        <w:tc>
          <w:tcPr>
            <w:tcW w:w="1275" w:type="dxa"/>
            <w:tcBorders>
              <w:tl2br w:val="nil"/>
              <w:tr2bl w:val="nil"/>
            </w:tcBorders>
            <w:shd w:val="clear" w:color="auto" w:fill="auto"/>
            <w:vAlign w:val="center"/>
          </w:tcPr>
          <w:p w14:paraId="2720633C">
            <w:pPr>
              <w:tabs>
                <w:tab w:val="left" w:pos="1080"/>
              </w:tabs>
              <w:spacing w:line="400" w:lineRule="exact"/>
              <w:jc w:val="center"/>
              <w:rPr>
                <w:rFonts w:hint="eastAsia" w:ascii="仿宋" w:hAnsi="仿宋" w:eastAsia="仿宋" w:cs="仿宋"/>
                <w:b/>
                <w:bCs/>
                <w:i w:val="0"/>
                <w:iCs w:val="0"/>
                <w:color w:val="auto"/>
                <w:sz w:val="24"/>
                <w:szCs w:val="24"/>
                <w:highlight w:val="none"/>
                <w:u w:val="none"/>
              </w:rPr>
            </w:pPr>
            <w:r>
              <w:rPr>
                <w:rFonts w:hint="eastAsia" w:ascii="仿宋" w:hAnsi="仿宋" w:eastAsia="仿宋" w:cs="仿宋"/>
                <w:b/>
                <w:bCs/>
                <w:color w:val="auto"/>
                <w:sz w:val="24"/>
                <w:highlight w:val="none"/>
              </w:rPr>
              <w:t>整体活动方案</w:t>
            </w:r>
          </w:p>
        </w:tc>
        <w:tc>
          <w:tcPr>
            <w:tcW w:w="7350" w:type="dxa"/>
            <w:tcBorders>
              <w:tl2br w:val="nil"/>
              <w:tr2bl w:val="nil"/>
            </w:tcBorders>
            <w:shd w:val="clear" w:color="auto" w:fill="auto"/>
            <w:vAlign w:val="center"/>
          </w:tcPr>
          <w:p w14:paraId="5C9929B0">
            <w:pPr>
              <w:numPr>
                <w:ilvl w:val="0"/>
                <w:numId w:val="0"/>
              </w:numPr>
              <w:spacing w:line="440" w:lineRule="exact"/>
              <w:rPr>
                <w:rFonts w:hint="eastAsia" w:ascii="仿宋" w:hAnsi="仿宋" w:eastAsia="仿宋" w:cs="仿宋"/>
                <w:i w:val="0"/>
                <w:iCs w:val="0"/>
                <w:color w:val="auto"/>
                <w:sz w:val="24"/>
                <w:szCs w:val="24"/>
                <w:highlight w:val="none"/>
                <w:u w:val="none"/>
              </w:rPr>
            </w:pPr>
            <w:r>
              <w:rPr>
                <w:rFonts w:hint="eastAsia" w:ascii="仿宋" w:hAnsi="仿宋" w:eastAsia="仿宋" w:cs="仿宋"/>
                <w:color w:val="auto"/>
                <w:sz w:val="24"/>
                <w:highlight w:val="none"/>
              </w:rPr>
              <w:t>项目整体活动方案思路清晰、活动安排确实到位、提供项目比赛规程（草案）能够满足采购人需求且对本项目的实施有推进作用的得</w:t>
            </w:r>
            <w:r>
              <w:rPr>
                <w:rFonts w:hint="eastAsia" w:ascii="仿宋" w:hAnsi="仿宋" w:eastAsia="仿宋" w:cs="仿宋"/>
                <w:color w:val="auto"/>
                <w:sz w:val="24"/>
                <w:highlight w:val="none"/>
                <w:lang w:val="en-US" w:eastAsia="zh-CN"/>
              </w:rPr>
              <w:t>12</w:t>
            </w:r>
            <w:r>
              <w:rPr>
                <w:rFonts w:hint="eastAsia" w:ascii="仿宋" w:hAnsi="仿宋" w:eastAsia="仿宋" w:cs="仿宋"/>
                <w:color w:val="auto"/>
                <w:sz w:val="24"/>
                <w:highlight w:val="none"/>
              </w:rPr>
              <w:t>分；各项方案描述详尽、合理、可行性较强的得</w:t>
            </w:r>
            <w:r>
              <w:rPr>
                <w:rFonts w:hint="eastAsia" w:ascii="仿宋" w:hAnsi="仿宋" w:eastAsia="仿宋" w:cs="仿宋"/>
                <w:color w:val="auto"/>
                <w:sz w:val="24"/>
                <w:highlight w:val="none"/>
                <w:lang w:val="en-US" w:eastAsia="zh-CN"/>
              </w:rPr>
              <w:t>10</w:t>
            </w:r>
            <w:r>
              <w:rPr>
                <w:rFonts w:hint="eastAsia" w:ascii="仿宋" w:hAnsi="仿宋" w:eastAsia="仿宋" w:cs="仿宋"/>
                <w:color w:val="auto"/>
                <w:sz w:val="24"/>
                <w:highlight w:val="none"/>
              </w:rPr>
              <w:t>分；各项方案描述</w:t>
            </w:r>
            <w:r>
              <w:rPr>
                <w:rFonts w:hint="eastAsia" w:ascii="仿宋" w:hAnsi="仿宋" w:eastAsia="仿宋" w:cs="仿宋"/>
                <w:color w:val="auto"/>
                <w:sz w:val="24"/>
                <w:highlight w:val="none"/>
                <w:lang w:eastAsia="zh-CN"/>
              </w:rPr>
              <w:t>较</w:t>
            </w:r>
            <w:r>
              <w:rPr>
                <w:rFonts w:hint="eastAsia" w:ascii="仿宋" w:hAnsi="仿宋" w:eastAsia="仿宋" w:cs="仿宋"/>
                <w:color w:val="auto"/>
                <w:sz w:val="24"/>
                <w:highlight w:val="none"/>
              </w:rPr>
              <w:t>详尽、合理、可行性较强的得</w:t>
            </w:r>
            <w:r>
              <w:rPr>
                <w:rFonts w:hint="eastAsia" w:ascii="仿宋" w:hAnsi="仿宋" w:eastAsia="仿宋" w:cs="仿宋"/>
                <w:color w:val="auto"/>
                <w:sz w:val="24"/>
                <w:highlight w:val="none"/>
                <w:lang w:val="en-US" w:eastAsia="zh-CN"/>
              </w:rPr>
              <w:t>8</w:t>
            </w:r>
            <w:r>
              <w:rPr>
                <w:rFonts w:hint="eastAsia" w:ascii="仿宋" w:hAnsi="仿宋" w:eastAsia="仿宋" w:cs="仿宋"/>
                <w:color w:val="auto"/>
                <w:sz w:val="24"/>
                <w:highlight w:val="none"/>
              </w:rPr>
              <w:t>分；对项目各项方案有全面描述，但可行性一般的得</w:t>
            </w:r>
            <w:r>
              <w:rPr>
                <w:rFonts w:hint="eastAsia" w:ascii="仿宋" w:hAnsi="仿宋" w:eastAsia="仿宋" w:cs="仿宋"/>
                <w:color w:val="auto"/>
                <w:sz w:val="24"/>
                <w:highlight w:val="none"/>
                <w:lang w:val="en-US" w:eastAsia="zh-CN"/>
              </w:rPr>
              <w:t>6</w:t>
            </w:r>
            <w:r>
              <w:rPr>
                <w:rFonts w:hint="eastAsia" w:ascii="仿宋" w:hAnsi="仿宋" w:eastAsia="仿宋" w:cs="仿宋"/>
                <w:color w:val="auto"/>
                <w:sz w:val="24"/>
                <w:highlight w:val="none"/>
              </w:rPr>
              <w:t>分；对项目各项方案描述</w:t>
            </w:r>
            <w:r>
              <w:rPr>
                <w:rFonts w:hint="eastAsia" w:ascii="仿宋" w:hAnsi="仿宋" w:eastAsia="仿宋" w:cs="仿宋"/>
                <w:color w:val="auto"/>
                <w:sz w:val="24"/>
                <w:highlight w:val="none"/>
                <w:lang w:eastAsia="zh-CN"/>
              </w:rPr>
              <w:t>基本全面</w:t>
            </w:r>
            <w:r>
              <w:rPr>
                <w:rFonts w:hint="eastAsia" w:ascii="仿宋" w:hAnsi="仿宋" w:eastAsia="仿宋" w:cs="仿宋"/>
                <w:color w:val="auto"/>
                <w:sz w:val="24"/>
                <w:highlight w:val="none"/>
              </w:rPr>
              <w:t>，但可行性一般的得</w:t>
            </w:r>
            <w:r>
              <w:rPr>
                <w:rFonts w:hint="eastAsia" w:ascii="仿宋" w:hAnsi="仿宋" w:eastAsia="仿宋" w:cs="仿宋"/>
                <w:color w:val="auto"/>
                <w:sz w:val="24"/>
                <w:highlight w:val="none"/>
                <w:lang w:val="en-US" w:eastAsia="zh-CN"/>
              </w:rPr>
              <w:t>4</w:t>
            </w:r>
            <w:r>
              <w:rPr>
                <w:rFonts w:hint="eastAsia" w:ascii="仿宋" w:hAnsi="仿宋" w:eastAsia="仿宋" w:cs="仿宋"/>
                <w:color w:val="auto"/>
                <w:sz w:val="24"/>
                <w:highlight w:val="none"/>
              </w:rPr>
              <w:t>分；各项方案描述有部分缺失但基本可行的得3分；各项方案描述简单且不全面，可行性不确定的得</w:t>
            </w:r>
            <w:r>
              <w:rPr>
                <w:rFonts w:hint="eastAsia" w:ascii="仿宋" w:hAnsi="仿宋" w:eastAsia="仿宋" w:cs="仿宋"/>
                <w:color w:val="auto"/>
                <w:sz w:val="24"/>
                <w:highlight w:val="none"/>
                <w:lang w:eastAsia="zh-CN"/>
              </w:rPr>
              <w:t>2</w:t>
            </w:r>
            <w:r>
              <w:rPr>
                <w:rFonts w:hint="eastAsia" w:ascii="仿宋" w:hAnsi="仿宋" w:eastAsia="仿宋" w:cs="仿宋"/>
                <w:color w:val="auto"/>
                <w:sz w:val="24"/>
                <w:highlight w:val="none"/>
              </w:rPr>
              <w:t>分</w:t>
            </w:r>
            <w:r>
              <w:rPr>
                <w:rFonts w:hint="eastAsia" w:ascii="仿宋" w:hAnsi="仿宋" w:eastAsia="仿宋" w:cs="仿宋"/>
                <w:color w:val="auto"/>
                <w:sz w:val="24"/>
                <w:highlight w:val="none"/>
                <w:lang w:eastAsia="zh-CN"/>
              </w:rPr>
              <w:t>；</w:t>
            </w:r>
            <w:r>
              <w:rPr>
                <w:rFonts w:hint="eastAsia" w:ascii="仿宋" w:hAnsi="仿宋" w:eastAsia="仿宋" w:cs="仿宋"/>
                <w:color w:val="auto"/>
                <w:sz w:val="24"/>
                <w:highlight w:val="none"/>
              </w:rPr>
              <w:t>各项方案描述</w:t>
            </w:r>
            <w:r>
              <w:rPr>
                <w:rFonts w:hint="eastAsia" w:ascii="仿宋" w:hAnsi="仿宋" w:eastAsia="仿宋" w:cs="仿宋"/>
                <w:color w:val="auto"/>
                <w:sz w:val="24"/>
                <w:highlight w:val="none"/>
                <w:lang w:val="en-US" w:eastAsia="zh-CN"/>
              </w:rPr>
              <w:t>与项目需求不符</w:t>
            </w:r>
            <w:r>
              <w:rPr>
                <w:rFonts w:hint="eastAsia" w:ascii="仿宋" w:hAnsi="仿宋" w:eastAsia="仿宋" w:cs="仿宋"/>
                <w:color w:val="auto"/>
                <w:sz w:val="24"/>
                <w:highlight w:val="none"/>
              </w:rPr>
              <w:t>，</w:t>
            </w:r>
            <w:r>
              <w:rPr>
                <w:rFonts w:hint="eastAsia" w:ascii="仿宋" w:hAnsi="仿宋" w:eastAsia="仿宋" w:cs="仿宋"/>
                <w:color w:val="auto"/>
                <w:sz w:val="24"/>
                <w:highlight w:val="none"/>
                <w:lang w:val="en-US" w:eastAsia="zh-CN"/>
              </w:rPr>
              <w:t>不具备</w:t>
            </w:r>
            <w:r>
              <w:rPr>
                <w:rFonts w:hint="eastAsia" w:ascii="仿宋" w:hAnsi="仿宋" w:eastAsia="仿宋" w:cs="仿宋"/>
                <w:color w:val="auto"/>
                <w:sz w:val="24"/>
                <w:highlight w:val="none"/>
              </w:rPr>
              <w:t>可行性的得</w:t>
            </w:r>
            <w:r>
              <w:rPr>
                <w:rFonts w:hint="eastAsia" w:ascii="仿宋" w:hAnsi="仿宋" w:eastAsia="仿宋" w:cs="仿宋"/>
                <w:color w:val="auto"/>
                <w:sz w:val="24"/>
                <w:highlight w:val="none"/>
                <w:lang w:val="en-US" w:eastAsia="zh-CN"/>
              </w:rPr>
              <w:t>1</w:t>
            </w:r>
            <w:r>
              <w:rPr>
                <w:rFonts w:hint="eastAsia" w:ascii="仿宋" w:hAnsi="仿宋" w:eastAsia="仿宋" w:cs="仿宋"/>
                <w:color w:val="auto"/>
                <w:sz w:val="24"/>
                <w:highlight w:val="none"/>
              </w:rPr>
              <w:t>分。</w:t>
            </w:r>
          </w:p>
        </w:tc>
        <w:tc>
          <w:tcPr>
            <w:tcW w:w="991" w:type="dxa"/>
            <w:tcBorders>
              <w:tl2br w:val="nil"/>
              <w:tr2bl w:val="nil"/>
            </w:tcBorders>
            <w:shd w:val="clear" w:color="auto" w:fill="auto"/>
            <w:vAlign w:val="center"/>
          </w:tcPr>
          <w:p w14:paraId="78B3EDF1">
            <w:pPr>
              <w:keepNext w:val="0"/>
              <w:keepLines w:val="0"/>
              <w:widowControl/>
              <w:suppressLineNumbers w:val="0"/>
              <w:jc w:val="center"/>
              <w:textAlignment w:val="center"/>
              <w:rPr>
                <w:rFonts w:hint="default" w:ascii="仿宋" w:hAnsi="仿宋" w:eastAsia="仿宋" w:cs="仿宋"/>
                <w:b/>
                <w:bCs/>
                <w:i w:val="0"/>
                <w:iCs w:val="0"/>
                <w:color w:val="auto"/>
                <w:sz w:val="24"/>
                <w:szCs w:val="24"/>
                <w:highlight w:val="none"/>
                <w:u w:val="none"/>
                <w:lang w:val="en-US" w:eastAsia="zh-CN"/>
              </w:rPr>
            </w:pPr>
            <w:r>
              <w:rPr>
                <w:rFonts w:hint="eastAsia" w:ascii="仿宋" w:hAnsi="仿宋" w:eastAsia="仿宋" w:cs="仿宋"/>
                <w:b/>
                <w:bCs/>
                <w:color w:val="auto"/>
                <w:kern w:val="2"/>
                <w:sz w:val="24"/>
                <w:szCs w:val="24"/>
                <w:highlight w:val="none"/>
                <w:lang w:val="en-US" w:eastAsia="zh-CN" w:bidi="ar-SA"/>
              </w:rPr>
              <w:t>0-1</w:t>
            </w:r>
            <w:r>
              <w:rPr>
                <w:rFonts w:hint="eastAsia" w:ascii="仿宋" w:hAnsi="仿宋" w:eastAsia="仿宋" w:cs="仿宋"/>
                <w:b/>
                <w:bCs/>
                <w:i w:val="0"/>
                <w:iCs w:val="0"/>
                <w:color w:val="auto"/>
                <w:sz w:val="24"/>
                <w:szCs w:val="24"/>
                <w:highlight w:val="none"/>
                <w:u w:val="none"/>
                <w:lang w:val="en-US" w:eastAsia="zh-CN"/>
              </w:rPr>
              <w:t>2</w:t>
            </w:r>
            <w:r>
              <w:rPr>
                <w:rFonts w:hint="eastAsia" w:ascii="仿宋" w:hAnsi="仿宋" w:eastAsia="仿宋" w:cs="仿宋"/>
                <w:b/>
                <w:bCs/>
                <w:color w:val="auto"/>
                <w:kern w:val="2"/>
                <w:sz w:val="24"/>
                <w:szCs w:val="24"/>
                <w:highlight w:val="none"/>
                <w:lang w:val="en-US" w:eastAsia="zh-CN" w:bidi="ar-SA"/>
              </w:rPr>
              <w:t>分</w:t>
            </w:r>
          </w:p>
        </w:tc>
      </w:tr>
      <w:tr w14:paraId="76ABC35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3230" w:hRule="atLeast"/>
        </w:trPr>
        <w:tc>
          <w:tcPr>
            <w:tcW w:w="705" w:type="dxa"/>
            <w:tcBorders>
              <w:tl2br w:val="nil"/>
              <w:tr2bl w:val="nil"/>
            </w:tcBorders>
            <w:shd w:val="clear" w:color="auto" w:fill="auto"/>
            <w:vAlign w:val="center"/>
          </w:tcPr>
          <w:p w14:paraId="243C73C8">
            <w:pPr>
              <w:keepNext w:val="0"/>
              <w:keepLines w:val="0"/>
              <w:widowControl/>
              <w:suppressLineNumbers w:val="0"/>
              <w:jc w:val="center"/>
              <w:textAlignment w:val="center"/>
              <w:rPr>
                <w:rFonts w:hint="eastAsia" w:ascii="仿宋" w:hAnsi="仿宋" w:eastAsia="仿宋" w:cs="仿宋"/>
                <w:b/>
                <w:bCs/>
                <w:i w:val="0"/>
                <w:iCs w:val="0"/>
                <w:color w:val="auto"/>
                <w:kern w:val="0"/>
                <w:sz w:val="24"/>
                <w:szCs w:val="24"/>
                <w:highlight w:val="none"/>
                <w:u w:val="none"/>
                <w:lang w:val="en-US" w:eastAsia="zh-CN" w:bidi="ar"/>
              </w:rPr>
            </w:pPr>
            <w:r>
              <w:rPr>
                <w:rFonts w:hint="eastAsia" w:ascii="仿宋" w:hAnsi="仿宋" w:eastAsia="仿宋" w:cs="仿宋"/>
                <w:b/>
                <w:bCs/>
                <w:i w:val="0"/>
                <w:iCs w:val="0"/>
                <w:color w:val="auto"/>
                <w:kern w:val="0"/>
                <w:sz w:val="24"/>
                <w:szCs w:val="24"/>
                <w:highlight w:val="none"/>
                <w:u w:val="none"/>
                <w:lang w:val="en-US" w:eastAsia="zh-CN" w:bidi="ar"/>
              </w:rPr>
              <w:t>2</w:t>
            </w:r>
          </w:p>
        </w:tc>
        <w:tc>
          <w:tcPr>
            <w:tcW w:w="1275" w:type="dxa"/>
            <w:tcBorders>
              <w:tl2br w:val="nil"/>
              <w:tr2bl w:val="nil"/>
            </w:tcBorders>
            <w:shd w:val="clear" w:color="auto" w:fill="auto"/>
            <w:vAlign w:val="center"/>
          </w:tcPr>
          <w:p w14:paraId="49557C78">
            <w:pPr>
              <w:spacing w:line="440" w:lineRule="exact"/>
              <w:jc w:val="center"/>
              <w:rPr>
                <w:color w:val="auto"/>
                <w:highlight w:val="none"/>
              </w:rPr>
            </w:pPr>
            <w:r>
              <w:rPr>
                <w:rFonts w:hint="eastAsia" w:ascii="仿宋" w:hAnsi="仿宋" w:eastAsia="仿宋" w:cs="仿宋"/>
                <w:b/>
                <w:bCs w:val="0"/>
                <w:color w:val="auto"/>
                <w:kern w:val="0"/>
                <w:sz w:val="24"/>
                <w:highlight w:val="none"/>
              </w:rPr>
              <w:t>重点难点分析及解决方案</w:t>
            </w:r>
          </w:p>
        </w:tc>
        <w:tc>
          <w:tcPr>
            <w:tcW w:w="7350" w:type="dxa"/>
            <w:tcBorders>
              <w:tl2br w:val="nil"/>
              <w:tr2bl w:val="nil"/>
            </w:tcBorders>
            <w:shd w:val="clear" w:color="auto" w:fill="auto"/>
            <w:vAlign w:val="center"/>
          </w:tcPr>
          <w:p w14:paraId="2387DC92">
            <w:pPr>
              <w:numPr>
                <w:ilvl w:val="0"/>
                <w:numId w:val="0"/>
              </w:numPr>
              <w:spacing w:line="440" w:lineRule="exact"/>
              <w:rPr>
                <w:rFonts w:hint="eastAsia" w:ascii="仿宋" w:hAnsi="仿宋" w:eastAsia="仿宋" w:cs="仿宋"/>
                <w:b/>
                <w:bCs w:val="0"/>
                <w:color w:val="auto"/>
                <w:sz w:val="24"/>
                <w:highlight w:val="none"/>
                <w:lang w:val="en-US" w:eastAsia="zh-CN"/>
              </w:rPr>
            </w:pPr>
            <w:r>
              <w:rPr>
                <w:rFonts w:hint="eastAsia" w:ascii="仿宋" w:hAnsi="仿宋" w:eastAsia="仿宋" w:cs="仿宋"/>
                <w:color w:val="auto"/>
                <w:kern w:val="0"/>
                <w:sz w:val="24"/>
                <w:highlight w:val="none"/>
              </w:rPr>
              <w:t>供应商针对本项目重点难点分析到位，明确且有合理、切实、针对性强的解决方案的得</w:t>
            </w:r>
            <w:r>
              <w:rPr>
                <w:rFonts w:hint="eastAsia" w:ascii="仿宋" w:hAnsi="仿宋" w:eastAsia="仿宋" w:cs="仿宋"/>
                <w:color w:val="auto"/>
                <w:kern w:val="0"/>
                <w:sz w:val="24"/>
                <w:highlight w:val="none"/>
                <w:lang w:val="en-US" w:eastAsia="zh-CN"/>
              </w:rPr>
              <w:t>12</w:t>
            </w:r>
            <w:r>
              <w:rPr>
                <w:rFonts w:hint="eastAsia" w:ascii="仿宋" w:hAnsi="仿宋" w:eastAsia="仿宋" w:cs="仿宋"/>
                <w:color w:val="auto"/>
                <w:kern w:val="0"/>
                <w:sz w:val="24"/>
                <w:highlight w:val="none"/>
              </w:rPr>
              <w:t>分；供应商针对本项目重点难点分析到位，明确且有合理、切实、针对性</w:t>
            </w:r>
            <w:r>
              <w:rPr>
                <w:rFonts w:hint="eastAsia" w:ascii="仿宋" w:hAnsi="仿宋" w:eastAsia="仿宋" w:cs="仿宋"/>
                <w:color w:val="auto"/>
                <w:kern w:val="0"/>
                <w:sz w:val="24"/>
                <w:highlight w:val="none"/>
                <w:lang w:val="en-US" w:eastAsia="zh-CN"/>
              </w:rPr>
              <w:t>较</w:t>
            </w:r>
            <w:r>
              <w:rPr>
                <w:rFonts w:hint="eastAsia" w:ascii="仿宋" w:hAnsi="仿宋" w:eastAsia="仿宋" w:cs="仿宋"/>
                <w:color w:val="auto"/>
                <w:kern w:val="0"/>
                <w:sz w:val="24"/>
                <w:highlight w:val="none"/>
              </w:rPr>
              <w:t>强的解决方案的得</w:t>
            </w:r>
            <w:r>
              <w:rPr>
                <w:rFonts w:hint="eastAsia" w:ascii="仿宋" w:hAnsi="仿宋" w:eastAsia="仿宋" w:cs="仿宋"/>
                <w:color w:val="auto"/>
                <w:kern w:val="0"/>
                <w:sz w:val="24"/>
                <w:highlight w:val="none"/>
                <w:lang w:val="en-US" w:eastAsia="zh-CN"/>
              </w:rPr>
              <w:t>10</w:t>
            </w:r>
            <w:r>
              <w:rPr>
                <w:rFonts w:hint="eastAsia" w:ascii="仿宋" w:hAnsi="仿宋" w:eastAsia="仿宋" w:cs="仿宋"/>
                <w:color w:val="auto"/>
                <w:kern w:val="0"/>
                <w:sz w:val="24"/>
                <w:highlight w:val="none"/>
              </w:rPr>
              <w:t>分；重点难点分析</w:t>
            </w:r>
            <w:r>
              <w:rPr>
                <w:rFonts w:hint="eastAsia" w:ascii="仿宋" w:hAnsi="仿宋" w:eastAsia="仿宋" w:cs="仿宋"/>
                <w:color w:val="auto"/>
                <w:kern w:val="0"/>
                <w:sz w:val="24"/>
                <w:highlight w:val="none"/>
                <w:lang w:val="en-US" w:eastAsia="zh-CN"/>
              </w:rPr>
              <w:t>较</w:t>
            </w:r>
            <w:r>
              <w:rPr>
                <w:rFonts w:hint="eastAsia" w:ascii="仿宋" w:hAnsi="仿宋" w:eastAsia="仿宋" w:cs="仿宋"/>
                <w:color w:val="auto"/>
                <w:kern w:val="0"/>
                <w:sz w:val="24"/>
                <w:highlight w:val="none"/>
              </w:rPr>
              <w:t>到位，</w:t>
            </w:r>
            <w:r>
              <w:rPr>
                <w:rFonts w:hint="eastAsia" w:ascii="仿宋" w:hAnsi="仿宋" w:eastAsia="仿宋" w:cs="仿宋"/>
                <w:color w:val="auto"/>
                <w:kern w:val="0"/>
                <w:sz w:val="24"/>
                <w:highlight w:val="none"/>
                <w:lang w:val="en-US" w:eastAsia="zh-CN"/>
              </w:rPr>
              <w:t>较</w:t>
            </w:r>
            <w:r>
              <w:rPr>
                <w:rFonts w:hint="eastAsia" w:ascii="仿宋" w:hAnsi="仿宋" w:eastAsia="仿宋" w:cs="仿宋"/>
                <w:color w:val="auto"/>
                <w:kern w:val="0"/>
                <w:sz w:val="24"/>
                <w:highlight w:val="none"/>
              </w:rPr>
              <w:t>明确合理、</w:t>
            </w:r>
            <w:r>
              <w:rPr>
                <w:rFonts w:hint="eastAsia" w:ascii="仿宋" w:hAnsi="仿宋" w:eastAsia="仿宋" w:cs="仿宋"/>
                <w:color w:val="auto"/>
                <w:kern w:val="0"/>
                <w:sz w:val="24"/>
                <w:highlight w:val="none"/>
                <w:lang w:val="en-US" w:eastAsia="zh-CN"/>
              </w:rPr>
              <w:t>较</w:t>
            </w:r>
            <w:r>
              <w:rPr>
                <w:rFonts w:hint="eastAsia" w:ascii="仿宋" w:hAnsi="仿宋" w:eastAsia="仿宋" w:cs="仿宋"/>
                <w:color w:val="auto"/>
                <w:kern w:val="0"/>
                <w:sz w:val="24"/>
                <w:highlight w:val="none"/>
              </w:rPr>
              <w:t>切实、针对性</w:t>
            </w:r>
            <w:r>
              <w:rPr>
                <w:rFonts w:hint="eastAsia" w:ascii="仿宋" w:hAnsi="仿宋" w:eastAsia="仿宋" w:cs="仿宋"/>
                <w:color w:val="auto"/>
                <w:kern w:val="0"/>
                <w:sz w:val="24"/>
                <w:highlight w:val="none"/>
                <w:lang w:val="en-US" w:eastAsia="zh-CN"/>
              </w:rPr>
              <w:t>较</w:t>
            </w:r>
            <w:r>
              <w:rPr>
                <w:rFonts w:hint="eastAsia" w:ascii="仿宋" w:hAnsi="仿宋" w:eastAsia="仿宋" w:cs="仿宋"/>
                <w:color w:val="auto"/>
                <w:kern w:val="0"/>
                <w:sz w:val="24"/>
                <w:highlight w:val="none"/>
              </w:rPr>
              <w:t>强的解决方案的得</w:t>
            </w:r>
            <w:r>
              <w:rPr>
                <w:rFonts w:hint="eastAsia" w:ascii="仿宋" w:hAnsi="仿宋" w:eastAsia="仿宋" w:cs="仿宋"/>
                <w:color w:val="auto"/>
                <w:kern w:val="0"/>
                <w:sz w:val="24"/>
                <w:highlight w:val="none"/>
                <w:lang w:val="en-US" w:eastAsia="zh-CN"/>
              </w:rPr>
              <w:t>8</w:t>
            </w:r>
            <w:r>
              <w:rPr>
                <w:rFonts w:hint="eastAsia" w:ascii="仿宋" w:hAnsi="仿宋" w:eastAsia="仿宋" w:cs="仿宋"/>
                <w:color w:val="auto"/>
                <w:kern w:val="0"/>
                <w:sz w:val="24"/>
                <w:highlight w:val="none"/>
              </w:rPr>
              <w:t>分；重点难点分析</w:t>
            </w:r>
            <w:r>
              <w:rPr>
                <w:rFonts w:hint="eastAsia" w:ascii="仿宋" w:hAnsi="仿宋" w:eastAsia="仿宋" w:cs="仿宋"/>
                <w:color w:val="auto"/>
                <w:kern w:val="0"/>
                <w:sz w:val="24"/>
                <w:highlight w:val="none"/>
                <w:lang w:val="en-US" w:eastAsia="zh-CN"/>
              </w:rPr>
              <w:t>较</w:t>
            </w:r>
            <w:r>
              <w:rPr>
                <w:rFonts w:hint="eastAsia" w:ascii="仿宋" w:hAnsi="仿宋" w:eastAsia="仿宋" w:cs="仿宋"/>
                <w:color w:val="auto"/>
                <w:kern w:val="0"/>
                <w:sz w:val="24"/>
                <w:highlight w:val="none"/>
              </w:rPr>
              <w:t>到位，</w:t>
            </w:r>
            <w:r>
              <w:rPr>
                <w:rFonts w:hint="eastAsia" w:ascii="仿宋" w:hAnsi="仿宋" w:eastAsia="仿宋" w:cs="仿宋"/>
                <w:color w:val="auto"/>
                <w:kern w:val="0"/>
                <w:sz w:val="24"/>
                <w:highlight w:val="none"/>
                <w:lang w:val="en-US" w:eastAsia="zh-CN"/>
              </w:rPr>
              <w:t>较</w:t>
            </w:r>
            <w:r>
              <w:rPr>
                <w:rFonts w:hint="eastAsia" w:ascii="仿宋" w:hAnsi="仿宋" w:eastAsia="仿宋" w:cs="仿宋"/>
                <w:color w:val="auto"/>
                <w:kern w:val="0"/>
                <w:sz w:val="24"/>
                <w:highlight w:val="none"/>
              </w:rPr>
              <w:t>明确合理、</w:t>
            </w:r>
            <w:r>
              <w:rPr>
                <w:rFonts w:hint="eastAsia" w:ascii="仿宋" w:hAnsi="仿宋" w:eastAsia="仿宋" w:cs="仿宋"/>
                <w:color w:val="auto"/>
                <w:kern w:val="0"/>
                <w:sz w:val="24"/>
                <w:highlight w:val="none"/>
                <w:lang w:val="en-US" w:eastAsia="zh-CN"/>
              </w:rPr>
              <w:t>较</w:t>
            </w:r>
            <w:r>
              <w:rPr>
                <w:rFonts w:hint="eastAsia" w:ascii="仿宋" w:hAnsi="仿宋" w:eastAsia="仿宋" w:cs="仿宋"/>
                <w:color w:val="auto"/>
                <w:kern w:val="0"/>
                <w:sz w:val="24"/>
                <w:highlight w:val="none"/>
              </w:rPr>
              <w:t>切实、针对性</w:t>
            </w:r>
            <w:r>
              <w:rPr>
                <w:rFonts w:hint="eastAsia" w:ascii="仿宋" w:hAnsi="仿宋" w:eastAsia="仿宋" w:cs="仿宋"/>
                <w:color w:val="auto"/>
                <w:kern w:val="0"/>
                <w:sz w:val="24"/>
                <w:highlight w:val="none"/>
                <w:lang w:val="en-US" w:eastAsia="zh-CN"/>
              </w:rPr>
              <w:t>一般</w:t>
            </w:r>
            <w:r>
              <w:rPr>
                <w:rFonts w:hint="eastAsia" w:ascii="仿宋" w:hAnsi="仿宋" w:eastAsia="仿宋" w:cs="仿宋"/>
                <w:color w:val="auto"/>
                <w:kern w:val="0"/>
                <w:sz w:val="24"/>
                <w:highlight w:val="none"/>
              </w:rPr>
              <w:t>的解决方案的得</w:t>
            </w:r>
            <w:r>
              <w:rPr>
                <w:rFonts w:hint="eastAsia" w:ascii="仿宋" w:hAnsi="仿宋" w:eastAsia="仿宋" w:cs="仿宋"/>
                <w:color w:val="auto"/>
                <w:kern w:val="0"/>
                <w:sz w:val="24"/>
                <w:highlight w:val="none"/>
                <w:lang w:val="en-US" w:eastAsia="zh-CN"/>
              </w:rPr>
              <w:t>6</w:t>
            </w:r>
            <w:r>
              <w:rPr>
                <w:rFonts w:hint="eastAsia" w:ascii="仿宋" w:hAnsi="仿宋" w:eastAsia="仿宋" w:cs="仿宋"/>
                <w:color w:val="auto"/>
                <w:kern w:val="0"/>
                <w:sz w:val="24"/>
                <w:highlight w:val="none"/>
              </w:rPr>
              <w:t>分；重点难点有部分缺失、针对性</w:t>
            </w:r>
            <w:r>
              <w:rPr>
                <w:rFonts w:hint="eastAsia" w:ascii="仿宋" w:hAnsi="仿宋" w:eastAsia="仿宋" w:cs="仿宋"/>
                <w:color w:val="auto"/>
                <w:kern w:val="0"/>
                <w:sz w:val="24"/>
                <w:highlight w:val="none"/>
                <w:lang w:val="en-US" w:eastAsia="zh-CN"/>
              </w:rPr>
              <w:t>一般</w:t>
            </w:r>
            <w:r>
              <w:rPr>
                <w:rFonts w:hint="eastAsia" w:ascii="仿宋" w:hAnsi="仿宋" w:eastAsia="仿宋" w:cs="仿宋"/>
                <w:color w:val="auto"/>
                <w:kern w:val="0"/>
                <w:sz w:val="24"/>
                <w:highlight w:val="none"/>
              </w:rPr>
              <w:t>的解决方案的得</w:t>
            </w:r>
            <w:r>
              <w:rPr>
                <w:rFonts w:hint="eastAsia" w:ascii="仿宋" w:hAnsi="仿宋" w:eastAsia="仿宋" w:cs="仿宋"/>
                <w:color w:val="auto"/>
                <w:kern w:val="0"/>
                <w:sz w:val="24"/>
                <w:highlight w:val="none"/>
                <w:lang w:val="en-US" w:eastAsia="zh-CN"/>
              </w:rPr>
              <w:t>4</w:t>
            </w:r>
            <w:r>
              <w:rPr>
                <w:rFonts w:hint="eastAsia" w:ascii="仿宋" w:hAnsi="仿宋" w:eastAsia="仿宋" w:cs="仿宋"/>
                <w:color w:val="auto"/>
                <w:kern w:val="0"/>
                <w:sz w:val="24"/>
                <w:highlight w:val="none"/>
              </w:rPr>
              <w:t>分；重点难点分析一般的得</w:t>
            </w:r>
            <w:r>
              <w:rPr>
                <w:rFonts w:hint="eastAsia" w:ascii="仿宋" w:hAnsi="仿宋" w:eastAsia="仿宋" w:cs="仿宋"/>
                <w:color w:val="auto"/>
                <w:kern w:val="0"/>
                <w:sz w:val="24"/>
                <w:highlight w:val="none"/>
                <w:lang w:val="en-US" w:eastAsia="zh-CN"/>
              </w:rPr>
              <w:t>3</w:t>
            </w:r>
            <w:r>
              <w:rPr>
                <w:rFonts w:hint="eastAsia" w:ascii="仿宋" w:hAnsi="仿宋" w:eastAsia="仿宋" w:cs="仿宋"/>
                <w:color w:val="auto"/>
                <w:kern w:val="0"/>
                <w:sz w:val="24"/>
                <w:highlight w:val="none"/>
              </w:rPr>
              <w:t>分；有重点难点分析，但不准确的得</w:t>
            </w:r>
            <w:r>
              <w:rPr>
                <w:rFonts w:hint="eastAsia" w:ascii="仿宋" w:hAnsi="仿宋" w:eastAsia="仿宋" w:cs="仿宋"/>
                <w:color w:val="auto"/>
                <w:kern w:val="0"/>
                <w:sz w:val="24"/>
                <w:highlight w:val="none"/>
                <w:lang w:val="en-US" w:eastAsia="zh-CN"/>
              </w:rPr>
              <w:t>2</w:t>
            </w:r>
            <w:r>
              <w:rPr>
                <w:rFonts w:hint="eastAsia" w:ascii="仿宋" w:hAnsi="仿宋" w:eastAsia="仿宋" w:cs="仿宋"/>
                <w:color w:val="auto"/>
                <w:kern w:val="0"/>
                <w:sz w:val="24"/>
                <w:highlight w:val="none"/>
              </w:rPr>
              <w:t>分；重点难点分析</w:t>
            </w:r>
            <w:r>
              <w:rPr>
                <w:rFonts w:hint="eastAsia" w:ascii="仿宋" w:hAnsi="仿宋" w:eastAsia="仿宋" w:cs="仿宋"/>
                <w:color w:val="auto"/>
                <w:kern w:val="0"/>
                <w:sz w:val="24"/>
                <w:highlight w:val="none"/>
                <w:lang w:val="en-US" w:eastAsia="zh-CN"/>
              </w:rPr>
              <w:t>不符合项目需求的得1分</w:t>
            </w:r>
            <w:r>
              <w:rPr>
                <w:rFonts w:hint="eastAsia" w:ascii="仿宋" w:hAnsi="仿宋" w:eastAsia="仿宋" w:cs="仿宋"/>
                <w:color w:val="auto"/>
                <w:sz w:val="24"/>
                <w:highlight w:val="none"/>
              </w:rPr>
              <w:t>。</w:t>
            </w:r>
          </w:p>
        </w:tc>
        <w:tc>
          <w:tcPr>
            <w:tcW w:w="991" w:type="dxa"/>
            <w:tcBorders>
              <w:tl2br w:val="nil"/>
              <w:tr2bl w:val="nil"/>
            </w:tcBorders>
            <w:shd w:val="clear" w:color="auto" w:fill="auto"/>
            <w:vAlign w:val="center"/>
          </w:tcPr>
          <w:p w14:paraId="67927991">
            <w:pPr>
              <w:spacing w:line="440" w:lineRule="exact"/>
              <w:rPr>
                <w:rFonts w:hint="default" w:ascii="仿宋" w:hAnsi="仿宋" w:eastAsia="仿宋" w:cs="仿宋"/>
                <w:b/>
                <w:bCs w:val="0"/>
                <w:color w:val="auto"/>
                <w:sz w:val="24"/>
                <w:highlight w:val="none"/>
                <w:lang w:val="en-US" w:eastAsia="zh-CN"/>
              </w:rPr>
            </w:pPr>
            <w:r>
              <w:rPr>
                <w:rFonts w:hint="eastAsia" w:ascii="仿宋" w:hAnsi="仿宋" w:eastAsia="仿宋" w:cs="仿宋"/>
                <w:b/>
                <w:bCs/>
                <w:color w:val="auto"/>
                <w:kern w:val="2"/>
                <w:sz w:val="24"/>
                <w:szCs w:val="24"/>
                <w:highlight w:val="none"/>
                <w:lang w:val="en-US" w:eastAsia="zh-CN" w:bidi="ar-SA"/>
              </w:rPr>
              <w:t>0-1</w:t>
            </w:r>
            <w:r>
              <w:rPr>
                <w:rFonts w:hint="eastAsia" w:ascii="仿宋" w:hAnsi="仿宋" w:eastAsia="仿宋" w:cs="仿宋"/>
                <w:b/>
                <w:bCs w:val="0"/>
                <w:color w:val="auto"/>
                <w:sz w:val="24"/>
                <w:highlight w:val="none"/>
                <w:lang w:val="en-US" w:eastAsia="zh-CN"/>
              </w:rPr>
              <w:t>2</w:t>
            </w:r>
            <w:r>
              <w:rPr>
                <w:rFonts w:hint="eastAsia" w:ascii="仿宋" w:hAnsi="仿宋" w:eastAsia="仿宋" w:cs="仿宋"/>
                <w:b/>
                <w:bCs/>
                <w:color w:val="auto"/>
                <w:kern w:val="2"/>
                <w:sz w:val="24"/>
                <w:szCs w:val="24"/>
                <w:highlight w:val="none"/>
                <w:lang w:val="en-US" w:eastAsia="zh-CN" w:bidi="ar-SA"/>
              </w:rPr>
              <w:t>分</w:t>
            </w:r>
          </w:p>
        </w:tc>
      </w:tr>
      <w:tr w14:paraId="7E0713A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3185" w:hRule="atLeast"/>
        </w:trPr>
        <w:tc>
          <w:tcPr>
            <w:tcW w:w="705" w:type="dxa"/>
            <w:tcBorders>
              <w:tl2br w:val="nil"/>
              <w:tr2bl w:val="nil"/>
            </w:tcBorders>
            <w:shd w:val="clear" w:color="auto" w:fill="auto"/>
            <w:vAlign w:val="center"/>
          </w:tcPr>
          <w:p w14:paraId="5708C4FD">
            <w:pPr>
              <w:keepNext w:val="0"/>
              <w:keepLines w:val="0"/>
              <w:widowControl/>
              <w:suppressLineNumbers w:val="0"/>
              <w:jc w:val="center"/>
              <w:textAlignment w:val="center"/>
              <w:rPr>
                <w:rFonts w:hint="default" w:ascii="仿宋" w:hAnsi="仿宋" w:eastAsia="仿宋" w:cs="仿宋"/>
                <w:b/>
                <w:bCs/>
                <w:i w:val="0"/>
                <w:iCs w:val="0"/>
                <w:color w:val="auto"/>
                <w:kern w:val="0"/>
                <w:sz w:val="24"/>
                <w:szCs w:val="24"/>
                <w:highlight w:val="none"/>
                <w:u w:val="none"/>
                <w:lang w:val="en-US" w:eastAsia="zh-CN" w:bidi="ar"/>
              </w:rPr>
            </w:pPr>
            <w:r>
              <w:rPr>
                <w:rFonts w:hint="eastAsia" w:ascii="仿宋" w:hAnsi="仿宋" w:eastAsia="仿宋" w:cs="仿宋"/>
                <w:b/>
                <w:bCs/>
                <w:i w:val="0"/>
                <w:iCs w:val="0"/>
                <w:color w:val="auto"/>
                <w:kern w:val="0"/>
                <w:sz w:val="24"/>
                <w:szCs w:val="24"/>
                <w:highlight w:val="none"/>
                <w:u w:val="none"/>
                <w:lang w:val="en-US" w:eastAsia="zh-CN" w:bidi="ar"/>
              </w:rPr>
              <w:t>3</w:t>
            </w:r>
          </w:p>
        </w:tc>
        <w:tc>
          <w:tcPr>
            <w:tcW w:w="1275" w:type="dxa"/>
            <w:tcBorders>
              <w:tl2br w:val="nil"/>
              <w:tr2bl w:val="nil"/>
            </w:tcBorders>
            <w:shd w:val="clear" w:color="auto" w:fill="auto"/>
            <w:vAlign w:val="center"/>
          </w:tcPr>
          <w:p w14:paraId="213F3A25">
            <w:pPr>
              <w:spacing w:line="440" w:lineRule="exact"/>
              <w:jc w:val="center"/>
              <w:rPr>
                <w:rFonts w:hint="eastAsia" w:ascii="仿宋" w:hAnsi="仿宋" w:eastAsia="仿宋" w:cs="仿宋"/>
                <w:b/>
                <w:bCs w:val="0"/>
                <w:color w:val="auto"/>
                <w:sz w:val="24"/>
                <w:highlight w:val="none"/>
                <w:lang w:val="en-US" w:eastAsia="zh-CN"/>
              </w:rPr>
            </w:pPr>
            <w:r>
              <w:rPr>
                <w:rFonts w:hint="eastAsia" w:ascii="仿宋" w:hAnsi="仿宋" w:eastAsia="仿宋" w:cs="仿宋"/>
                <w:b/>
                <w:bCs/>
                <w:color w:val="auto"/>
                <w:sz w:val="24"/>
                <w:highlight w:val="none"/>
              </w:rPr>
              <w:t>媒体宣传推广方案</w:t>
            </w:r>
          </w:p>
        </w:tc>
        <w:tc>
          <w:tcPr>
            <w:tcW w:w="7350" w:type="dxa"/>
            <w:tcBorders>
              <w:tl2br w:val="nil"/>
              <w:tr2bl w:val="nil"/>
            </w:tcBorders>
            <w:shd w:val="clear" w:color="auto" w:fill="auto"/>
            <w:vAlign w:val="center"/>
          </w:tcPr>
          <w:p w14:paraId="11315B38">
            <w:pPr>
              <w:spacing w:line="440" w:lineRule="exact"/>
              <w:rPr>
                <w:rFonts w:hint="eastAsia" w:ascii="仿宋" w:hAnsi="仿宋" w:eastAsia="仿宋" w:cs="仿宋"/>
                <w:b/>
                <w:bCs w:val="0"/>
                <w:color w:val="auto"/>
                <w:sz w:val="24"/>
                <w:highlight w:val="none"/>
                <w:lang w:val="en-US" w:eastAsia="zh-CN"/>
              </w:rPr>
            </w:pPr>
            <w:r>
              <w:rPr>
                <w:rFonts w:hint="eastAsia" w:ascii="仿宋" w:hAnsi="仿宋" w:eastAsia="仿宋" w:cs="仿宋"/>
                <w:color w:val="auto"/>
                <w:sz w:val="24"/>
                <w:highlight w:val="none"/>
              </w:rPr>
              <w:t>媒体宣传推广方案满足采购项目需求，考虑充分，方案详尽且对本项目的实施有推进作用的得</w:t>
            </w:r>
            <w:r>
              <w:rPr>
                <w:rFonts w:hint="eastAsia" w:ascii="仿宋" w:hAnsi="仿宋" w:eastAsia="仿宋" w:cs="仿宋"/>
                <w:color w:val="auto"/>
                <w:sz w:val="24"/>
                <w:highlight w:val="none"/>
                <w:lang w:val="en-US" w:eastAsia="zh-CN"/>
              </w:rPr>
              <w:t>12</w:t>
            </w:r>
            <w:r>
              <w:rPr>
                <w:rFonts w:hint="eastAsia" w:ascii="仿宋" w:hAnsi="仿宋" w:eastAsia="仿宋" w:cs="仿宋"/>
                <w:color w:val="auto"/>
                <w:sz w:val="24"/>
                <w:highlight w:val="none"/>
              </w:rPr>
              <w:t>分；方案描述详尽、可行性较强的得</w:t>
            </w:r>
            <w:r>
              <w:rPr>
                <w:rFonts w:hint="eastAsia" w:ascii="仿宋" w:hAnsi="仿宋" w:eastAsia="仿宋" w:cs="仿宋"/>
                <w:color w:val="auto"/>
                <w:sz w:val="24"/>
                <w:highlight w:val="none"/>
                <w:lang w:val="en-US" w:eastAsia="zh-CN"/>
              </w:rPr>
              <w:t>10</w:t>
            </w:r>
            <w:r>
              <w:rPr>
                <w:rFonts w:hint="eastAsia" w:ascii="仿宋" w:hAnsi="仿宋" w:eastAsia="仿宋" w:cs="仿宋"/>
                <w:color w:val="auto"/>
                <w:sz w:val="24"/>
                <w:highlight w:val="none"/>
              </w:rPr>
              <w:t>分；方案有全面</w:t>
            </w:r>
            <w:r>
              <w:rPr>
                <w:rFonts w:hint="eastAsia" w:ascii="仿宋" w:hAnsi="仿宋" w:eastAsia="仿宋" w:cs="仿宋"/>
                <w:color w:val="auto"/>
                <w:sz w:val="24"/>
                <w:highlight w:val="none"/>
                <w:lang w:eastAsia="zh-CN"/>
              </w:rPr>
              <w:t>描述，具有</w:t>
            </w:r>
            <w:r>
              <w:rPr>
                <w:rFonts w:hint="eastAsia" w:ascii="仿宋" w:hAnsi="仿宋" w:eastAsia="仿宋" w:cs="仿宋"/>
                <w:color w:val="auto"/>
                <w:sz w:val="24"/>
                <w:highlight w:val="none"/>
              </w:rPr>
              <w:t>可行性的得</w:t>
            </w:r>
            <w:r>
              <w:rPr>
                <w:rFonts w:hint="eastAsia" w:ascii="仿宋" w:hAnsi="仿宋" w:eastAsia="仿宋" w:cs="仿宋"/>
                <w:color w:val="auto"/>
                <w:sz w:val="24"/>
                <w:highlight w:val="none"/>
                <w:lang w:val="en-US" w:eastAsia="zh-CN"/>
              </w:rPr>
              <w:t>8</w:t>
            </w:r>
            <w:r>
              <w:rPr>
                <w:rFonts w:hint="eastAsia" w:ascii="仿宋" w:hAnsi="仿宋" w:eastAsia="仿宋" w:cs="仿宋"/>
                <w:color w:val="auto"/>
                <w:sz w:val="24"/>
                <w:highlight w:val="none"/>
              </w:rPr>
              <w:t>分；</w:t>
            </w:r>
            <w:r>
              <w:rPr>
                <w:rFonts w:hint="eastAsia" w:ascii="仿宋" w:hAnsi="仿宋" w:eastAsia="仿宋" w:cs="仿宋"/>
                <w:color w:val="auto"/>
                <w:sz w:val="24"/>
                <w:highlight w:val="none"/>
                <w:lang w:eastAsia="zh-CN"/>
              </w:rPr>
              <w:t>方案描述相对全面，具有一定的可行性的得</w:t>
            </w:r>
            <w:r>
              <w:rPr>
                <w:rFonts w:hint="eastAsia" w:ascii="仿宋" w:hAnsi="仿宋" w:eastAsia="仿宋" w:cs="仿宋"/>
                <w:color w:val="auto"/>
                <w:sz w:val="24"/>
                <w:highlight w:val="none"/>
                <w:lang w:val="en-US" w:eastAsia="zh-CN"/>
              </w:rPr>
              <w:t>6分</w:t>
            </w:r>
            <w:r>
              <w:rPr>
                <w:rFonts w:hint="eastAsia" w:ascii="仿宋" w:hAnsi="仿宋" w:eastAsia="仿宋" w:cs="仿宋"/>
                <w:color w:val="auto"/>
                <w:sz w:val="24"/>
                <w:highlight w:val="none"/>
                <w:lang w:eastAsia="zh-CN"/>
              </w:rPr>
              <w:t>；方案</w:t>
            </w:r>
            <w:r>
              <w:rPr>
                <w:rFonts w:hint="eastAsia" w:ascii="仿宋" w:hAnsi="仿宋" w:eastAsia="仿宋" w:cs="仿宋"/>
                <w:color w:val="auto"/>
                <w:sz w:val="24"/>
                <w:highlight w:val="none"/>
              </w:rPr>
              <w:t>描述</w:t>
            </w:r>
            <w:r>
              <w:rPr>
                <w:rFonts w:hint="eastAsia" w:ascii="仿宋" w:hAnsi="仿宋" w:eastAsia="仿宋" w:cs="仿宋"/>
                <w:color w:val="auto"/>
                <w:sz w:val="24"/>
                <w:highlight w:val="none"/>
                <w:lang w:eastAsia="zh-CN"/>
              </w:rPr>
              <w:t>基本全面</w:t>
            </w:r>
            <w:r>
              <w:rPr>
                <w:rFonts w:hint="eastAsia" w:ascii="仿宋" w:hAnsi="仿宋" w:eastAsia="仿宋" w:cs="仿宋"/>
                <w:color w:val="auto"/>
                <w:sz w:val="24"/>
                <w:highlight w:val="none"/>
              </w:rPr>
              <w:t>，但可行性一般的得</w:t>
            </w:r>
            <w:r>
              <w:rPr>
                <w:rFonts w:hint="eastAsia" w:ascii="仿宋" w:hAnsi="仿宋" w:eastAsia="仿宋" w:cs="仿宋"/>
                <w:color w:val="auto"/>
                <w:sz w:val="24"/>
                <w:highlight w:val="none"/>
                <w:lang w:val="en-US" w:eastAsia="zh-CN"/>
              </w:rPr>
              <w:t>4</w:t>
            </w:r>
            <w:r>
              <w:rPr>
                <w:rFonts w:hint="eastAsia" w:ascii="仿宋" w:hAnsi="仿宋" w:eastAsia="仿宋" w:cs="仿宋"/>
                <w:color w:val="auto"/>
                <w:sz w:val="24"/>
                <w:highlight w:val="none"/>
              </w:rPr>
              <w:t>分</w:t>
            </w:r>
            <w:r>
              <w:rPr>
                <w:rFonts w:hint="eastAsia" w:ascii="仿宋" w:hAnsi="仿宋" w:eastAsia="仿宋" w:cs="仿宋"/>
                <w:color w:val="auto"/>
                <w:sz w:val="24"/>
                <w:highlight w:val="none"/>
                <w:lang w:eastAsia="zh-CN"/>
              </w:rPr>
              <w:t>；</w:t>
            </w:r>
            <w:r>
              <w:rPr>
                <w:rFonts w:hint="eastAsia" w:ascii="仿宋" w:hAnsi="仿宋" w:eastAsia="仿宋" w:cs="仿宋"/>
                <w:color w:val="auto"/>
                <w:sz w:val="24"/>
                <w:highlight w:val="none"/>
              </w:rPr>
              <w:t>方案描述有部分缺失但基本可行的得3分；方案描述简单且不全面，可行性不确定的得</w:t>
            </w:r>
            <w:r>
              <w:rPr>
                <w:rFonts w:hint="eastAsia" w:ascii="仿宋" w:hAnsi="仿宋" w:eastAsia="仿宋" w:cs="仿宋"/>
                <w:color w:val="auto"/>
                <w:sz w:val="24"/>
                <w:highlight w:val="none"/>
                <w:lang w:val="en-US" w:eastAsia="zh-CN"/>
              </w:rPr>
              <w:t>2</w:t>
            </w:r>
            <w:r>
              <w:rPr>
                <w:rFonts w:hint="eastAsia" w:ascii="仿宋" w:hAnsi="仿宋" w:eastAsia="仿宋" w:cs="仿宋"/>
                <w:color w:val="auto"/>
                <w:sz w:val="24"/>
                <w:highlight w:val="none"/>
              </w:rPr>
              <w:t>分</w:t>
            </w:r>
            <w:r>
              <w:rPr>
                <w:rFonts w:hint="eastAsia" w:ascii="仿宋" w:hAnsi="仿宋" w:eastAsia="仿宋" w:cs="仿宋"/>
                <w:color w:val="auto"/>
                <w:sz w:val="24"/>
                <w:highlight w:val="none"/>
                <w:lang w:eastAsia="zh-CN"/>
              </w:rPr>
              <w:t>；方案</w:t>
            </w:r>
            <w:r>
              <w:rPr>
                <w:rFonts w:hint="eastAsia" w:ascii="仿宋" w:hAnsi="仿宋" w:eastAsia="仿宋" w:cs="仿宋"/>
                <w:color w:val="auto"/>
                <w:sz w:val="24"/>
                <w:highlight w:val="none"/>
              </w:rPr>
              <w:t>描述</w:t>
            </w:r>
            <w:r>
              <w:rPr>
                <w:rFonts w:hint="eastAsia" w:ascii="仿宋" w:hAnsi="仿宋" w:eastAsia="仿宋" w:cs="仿宋"/>
                <w:color w:val="auto"/>
                <w:sz w:val="24"/>
                <w:highlight w:val="none"/>
                <w:lang w:val="en-US" w:eastAsia="zh-CN"/>
              </w:rPr>
              <w:t>与项目需求不符</w:t>
            </w:r>
            <w:r>
              <w:rPr>
                <w:rFonts w:hint="eastAsia" w:ascii="仿宋" w:hAnsi="仿宋" w:eastAsia="仿宋" w:cs="仿宋"/>
                <w:color w:val="auto"/>
                <w:sz w:val="24"/>
                <w:highlight w:val="none"/>
              </w:rPr>
              <w:t>，</w:t>
            </w:r>
            <w:r>
              <w:rPr>
                <w:rFonts w:hint="eastAsia" w:ascii="仿宋" w:hAnsi="仿宋" w:eastAsia="仿宋" w:cs="仿宋"/>
                <w:color w:val="auto"/>
                <w:sz w:val="24"/>
                <w:highlight w:val="none"/>
                <w:lang w:val="en-US" w:eastAsia="zh-CN"/>
              </w:rPr>
              <w:t>不具备</w:t>
            </w:r>
            <w:r>
              <w:rPr>
                <w:rFonts w:hint="eastAsia" w:ascii="仿宋" w:hAnsi="仿宋" w:eastAsia="仿宋" w:cs="仿宋"/>
                <w:color w:val="auto"/>
                <w:sz w:val="24"/>
                <w:highlight w:val="none"/>
              </w:rPr>
              <w:t>可行性的得</w:t>
            </w:r>
            <w:r>
              <w:rPr>
                <w:rFonts w:hint="eastAsia" w:ascii="仿宋" w:hAnsi="仿宋" w:eastAsia="仿宋" w:cs="仿宋"/>
                <w:color w:val="auto"/>
                <w:sz w:val="24"/>
                <w:highlight w:val="none"/>
                <w:lang w:val="en-US" w:eastAsia="zh-CN"/>
              </w:rPr>
              <w:t>1</w:t>
            </w:r>
            <w:r>
              <w:rPr>
                <w:rFonts w:hint="eastAsia" w:ascii="仿宋" w:hAnsi="仿宋" w:eastAsia="仿宋" w:cs="仿宋"/>
                <w:color w:val="auto"/>
                <w:sz w:val="24"/>
                <w:highlight w:val="none"/>
              </w:rPr>
              <w:t>分。</w:t>
            </w:r>
          </w:p>
        </w:tc>
        <w:tc>
          <w:tcPr>
            <w:tcW w:w="991" w:type="dxa"/>
            <w:tcBorders>
              <w:tl2br w:val="nil"/>
              <w:tr2bl w:val="nil"/>
            </w:tcBorders>
            <w:shd w:val="clear" w:color="auto" w:fill="auto"/>
            <w:vAlign w:val="center"/>
          </w:tcPr>
          <w:p w14:paraId="2D0469FA">
            <w:pPr>
              <w:spacing w:line="440" w:lineRule="exact"/>
              <w:rPr>
                <w:rFonts w:hint="default" w:ascii="仿宋" w:hAnsi="仿宋" w:eastAsia="仿宋" w:cs="仿宋"/>
                <w:b/>
                <w:bCs w:val="0"/>
                <w:color w:val="auto"/>
                <w:sz w:val="24"/>
                <w:highlight w:val="none"/>
                <w:lang w:val="en-US" w:eastAsia="zh-CN"/>
              </w:rPr>
            </w:pPr>
            <w:r>
              <w:rPr>
                <w:rFonts w:hint="eastAsia" w:ascii="仿宋" w:hAnsi="仿宋" w:eastAsia="仿宋" w:cs="仿宋"/>
                <w:b/>
                <w:bCs/>
                <w:color w:val="auto"/>
                <w:kern w:val="2"/>
                <w:sz w:val="24"/>
                <w:szCs w:val="24"/>
                <w:highlight w:val="none"/>
                <w:lang w:val="en-US" w:eastAsia="zh-CN" w:bidi="ar-SA"/>
              </w:rPr>
              <w:t>0-1</w:t>
            </w:r>
            <w:r>
              <w:rPr>
                <w:rFonts w:hint="eastAsia" w:ascii="仿宋" w:hAnsi="仿宋" w:eastAsia="仿宋" w:cs="仿宋"/>
                <w:b/>
                <w:bCs w:val="0"/>
                <w:color w:val="auto"/>
                <w:sz w:val="24"/>
                <w:highlight w:val="none"/>
                <w:lang w:val="en-US" w:eastAsia="zh-CN"/>
              </w:rPr>
              <w:t>2</w:t>
            </w:r>
            <w:r>
              <w:rPr>
                <w:rFonts w:hint="eastAsia" w:ascii="仿宋" w:hAnsi="仿宋" w:eastAsia="仿宋" w:cs="仿宋"/>
                <w:b/>
                <w:bCs/>
                <w:color w:val="auto"/>
                <w:kern w:val="2"/>
                <w:sz w:val="24"/>
                <w:szCs w:val="24"/>
                <w:highlight w:val="none"/>
                <w:lang w:val="en-US" w:eastAsia="zh-CN" w:bidi="ar-SA"/>
              </w:rPr>
              <w:t>分</w:t>
            </w:r>
          </w:p>
        </w:tc>
      </w:tr>
      <w:tr w14:paraId="0F71B41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615" w:hRule="atLeast"/>
        </w:trPr>
        <w:tc>
          <w:tcPr>
            <w:tcW w:w="705" w:type="dxa"/>
            <w:tcBorders>
              <w:tl2br w:val="nil"/>
              <w:tr2bl w:val="nil"/>
            </w:tcBorders>
            <w:shd w:val="clear" w:color="auto" w:fill="auto"/>
            <w:vAlign w:val="center"/>
          </w:tcPr>
          <w:p w14:paraId="6B23866C">
            <w:pPr>
              <w:keepNext w:val="0"/>
              <w:keepLines w:val="0"/>
              <w:widowControl/>
              <w:suppressLineNumbers w:val="0"/>
              <w:jc w:val="center"/>
              <w:textAlignment w:val="center"/>
              <w:rPr>
                <w:rFonts w:hint="default" w:ascii="仿宋" w:hAnsi="仿宋" w:eastAsia="仿宋" w:cs="仿宋"/>
                <w:b/>
                <w:bCs/>
                <w:i w:val="0"/>
                <w:iCs w:val="0"/>
                <w:color w:val="auto"/>
                <w:kern w:val="0"/>
                <w:sz w:val="24"/>
                <w:szCs w:val="24"/>
                <w:highlight w:val="none"/>
                <w:u w:val="none"/>
                <w:lang w:val="en-US" w:eastAsia="zh-CN" w:bidi="ar"/>
              </w:rPr>
            </w:pPr>
            <w:r>
              <w:rPr>
                <w:rFonts w:hint="eastAsia" w:ascii="仿宋" w:hAnsi="仿宋" w:eastAsia="仿宋" w:cs="仿宋"/>
                <w:b/>
                <w:bCs/>
                <w:i w:val="0"/>
                <w:iCs w:val="0"/>
                <w:color w:val="auto"/>
                <w:kern w:val="0"/>
                <w:sz w:val="24"/>
                <w:szCs w:val="24"/>
                <w:highlight w:val="none"/>
                <w:u w:val="none"/>
                <w:lang w:val="en-US" w:eastAsia="zh-CN" w:bidi="ar"/>
              </w:rPr>
              <w:t>4</w:t>
            </w:r>
          </w:p>
        </w:tc>
        <w:tc>
          <w:tcPr>
            <w:tcW w:w="1275" w:type="dxa"/>
            <w:tcBorders>
              <w:tl2br w:val="nil"/>
              <w:tr2bl w:val="nil"/>
            </w:tcBorders>
            <w:shd w:val="clear" w:color="auto" w:fill="auto"/>
            <w:vAlign w:val="center"/>
          </w:tcPr>
          <w:p w14:paraId="5E55A4C4">
            <w:pPr>
              <w:spacing w:line="440" w:lineRule="exact"/>
              <w:jc w:val="center"/>
              <w:rPr>
                <w:rFonts w:hint="eastAsia" w:ascii="仿宋" w:hAnsi="仿宋" w:eastAsia="仿宋" w:cs="仿宋"/>
                <w:b/>
                <w:bCs w:val="0"/>
                <w:color w:val="auto"/>
                <w:sz w:val="24"/>
                <w:highlight w:val="none"/>
                <w:lang w:val="en-US" w:eastAsia="zh-CN"/>
              </w:rPr>
            </w:pPr>
            <w:r>
              <w:rPr>
                <w:rFonts w:hint="eastAsia" w:ascii="仿宋" w:hAnsi="仿宋" w:eastAsia="仿宋" w:cs="仿宋"/>
                <w:b/>
                <w:bCs w:val="0"/>
                <w:color w:val="auto"/>
                <w:kern w:val="0"/>
                <w:sz w:val="24"/>
                <w:highlight w:val="none"/>
              </w:rPr>
              <w:t>应急解决方案</w:t>
            </w:r>
          </w:p>
        </w:tc>
        <w:tc>
          <w:tcPr>
            <w:tcW w:w="7350" w:type="dxa"/>
            <w:tcBorders>
              <w:tl2br w:val="nil"/>
              <w:tr2bl w:val="nil"/>
            </w:tcBorders>
            <w:shd w:val="clear" w:color="auto" w:fill="auto"/>
            <w:vAlign w:val="center"/>
          </w:tcPr>
          <w:p w14:paraId="422FBF89">
            <w:pPr>
              <w:spacing w:line="440" w:lineRule="exact"/>
              <w:rPr>
                <w:rFonts w:hint="eastAsia" w:ascii="仿宋" w:hAnsi="仿宋" w:eastAsia="仿宋" w:cs="仿宋"/>
                <w:b/>
                <w:bCs w:val="0"/>
                <w:color w:val="auto"/>
                <w:sz w:val="24"/>
                <w:highlight w:val="none"/>
                <w:lang w:val="en-US" w:eastAsia="zh-CN"/>
              </w:rPr>
            </w:pPr>
            <w:r>
              <w:rPr>
                <w:rFonts w:hint="eastAsia" w:ascii="仿宋" w:hAnsi="仿宋" w:eastAsia="仿宋" w:cs="仿宋"/>
                <w:color w:val="auto"/>
                <w:kern w:val="0"/>
                <w:sz w:val="24"/>
                <w:highlight w:val="none"/>
              </w:rPr>
              <w:t>供应商提供的应急方案切实可行，能快速有效的解决问题的得</w:t>
            </w:r>
            <w:r>
              <w:rPr>
                <w:rFonts w:hint="eastAsia" w:ascii="仿宋" w:hAnsi="仿宋" w:eastAsia="仿宋" w:cs="仿宋"/>
                <w:color w:val="auto"/>
                <w:kern w:val="0"/>
                <w:sz w:val="24"/>
                <w:highlight w:val="none"/>
                <w:lang w:val="en-US" w:eastAsia="zh-CN"/>
              </w:rPr>
              <w:t>12</w:t>
            </w:r>
            <w:r>
              <w:rPr>
                <w:rFonts w:hint="eastAsia" w:ascii="仿宋" w:hAnsi="仿宋" w:eastAsia="仿宋" w:cs="仿宋"/>
                <w:color w:val="auto"/>
                <w:kern w:val="0"/>
                <w:sz w:val="24"/>
                <w:highlight w:val="none"/>
              </w:rPr>
              <w:t>分；</w:t>
            </w:r>
            <w:r>
              <w:rPr>
                <w:rFonts w:hint="eastAsia" w:ascii="仿宋" w:hAnsi="仿宋" w:eastAsia="仿宋" w:cs="仿宋"/>
                <w:color w:val="auto"/>
                <w:kern w:val="0"/>
                <w:sz w:val="24"/>
                <w:highlight w:val="none"/>
                <w:lang w:eastAsia="zh-CN"/>
              </w:rPr>
              <w:t>应急</w:t>
            </w:r>
            <w:r>
              <w:rPr>
                <w:rFonts w:hint="eastAsia" w:ascii="仿宋" w:hAnsi="仿宋" w:eastAsia="仿宋" w:cs="仿宋"/>
                <w:color w:val="auto"/>
                <w:sz w:val="24"/>
                <w:highlight w:val="none"/>
              </w:rPr>
              <w:t>方案描述详尽、可行性较强</w:t>
            </w:r>
            <w:r>
              <w:rPr>
                <w:rFonts w:hint="eastAsia" w:ascii="仿宋" w:hAnsi="仿宋" w:eastAsia="仿宋" w:cs="仿宋"/>
                <w:color w:val="auto"/>
                <w:sz w:val="24"/>
                <w:highlight w:val="none"/>
                <w:lang w:eastAsia="zh-CN"/>
              </w:rPr>
              <w:t>，能较快解决问题的</w:t>
            </w:r>
            <w:r>
              <w:rPr>
                <w:rFonts w:hint="eastAsia" w:ascii="仿宋" w:hAnsi="仿宋" w:eastAsia="仿宋" w:cs="仿宋"/>
                <w:color w:val="auto"/>
                <w:sz w:val="24"/>
                <w:highlight w:val="none"/>
              </w:rPr>
              <w:t>得</w:t>
            </w:r>
            <w:r>
              <w:rPr>
                <w:rFonts w:hint="eastAsia" w:ascii="仿宋" w:hAnsi="仿宋" w:eastAsia="仿宋" w:cs="仿宋"/>
                <w:color w:val="auto"/>
                <w:sz w:val="24"/>
                <w:highlight w:val="none"/>
                <w:lang w:val="en-US" w:eastAsia="zh-CN"/>
              </w:rPr>
              <w:t>10</w:t>
            </w:r>
            <w:r>
              <w:rPr>
                <w:rFonts w:hint="eastAsia" w:ascii="仿宋" w:hAnsi="仿宋" w:eastAsia="仿宋" w:cs="仿宋"/>
                <w:color w:val="auto"/>
                <w:sz w:val="24"/>
                <w:highlight w:val="none"/>
              </w:rPr>
              <w:t>分；</w:t>
            </w:r>
            <w:r>
              <w:rPr>
                <w:rFonts w:hint="eastAsia" w:ascii="仿宋" w:hAnsi="仿宋" w:eastAsia="仿宋" w:cs="仿宋"/>
                <w:color w:val="auto"/>
                <w:sz w:val="24"/>
                <w:highlight w:val="none"/>
                <w:lang w:eastAsia="zh-CN"/>
              </w:rPr>
              <w:t>应急</w:t>
            </w:r>
            <w:r>
              <w:rPr>
                <w:rFonts w:hint="eastAsia" w:ascii="仿宋" w:hAnsi="仿宋" w:eastAsia="仿宋" w:cs="仿宋"/>
                <w:color w:val="auto"/>
                <w:sz w:val="24"/>
                <w:highlight w:val="none"/>
              </w:rPr>
              <w:t>方案有全面</w:t>
            </w:r>
            <w:r>
              <w:rPr>
                <w:rFonts w:hint="eastAsia" w:ascii="仿宋" w:hAnsi="仿宋" w:eastAsia="仿宋" w:cs="仿宋"/>
                <w:color w:val="auto"/>
                <w:sz w:val="24"/>
                <w:highlight w:val="none"/>
                <w:lang w:eastAsia="zh-CN"/>
              </w:rPr>
              <w:t>描述，具有</w:t>
            </w:r>
            <w:r>
              <w:rPr>
                <w:rFonts w:hint="eastAsia" w:ascii="仿宋" w:hAnsi="仿宋" w:eastAsia="仿宋" w:cs="仿宋"/>
                <w:color w:val="auto"/>
                <w:sz w:val="24"/>
                <w:highlight w:val="none"/>
              </w:rPr>
              <w:t>可行性</w:t>
            </w:r>
            <w:r>
              <w:rPr>
                <w:rFonts w:hint="eastAsia" w:ascii="仿宋" w:hAnsi="仿宋" w:eastAsia="仿宋" w:cs="仿宋"/>
                <w:color w:val="auto"/>
                <w:sz w:val="24"/>
                <w:highlight w:val="none"/>
                <w:lang w:eastAsia="zh-CN"/>
              </w:rPr>
              <w:t>，能解决问题</w:t>
            </w:r>
            <w:r>
              <w:rPr>
                <w:rFonts w:hint="eastAsia" w:ascii="仿宋" w:hAnsi="仿宋" w:eastAsia="仿宋" w:cs="仿宋"/>
                <w:color w:val="auto"/>
                <w:sz w:val="24"/>
                <w:highlight w:val="none"/>
              </w:rPr>
              <w:t>的得</w:t>
            </w:r>
            <w:r>
              <w:rPr>
                <w:rFonts w:hint="eastAsia" w:ascii="仿宋" w:hAnsi="仿宋" w:eastAsia="仿宋" w:cs="仿宋"/>
                <w:color w:val="auto"/>
                <w:sz w:val="24"/>
                <w:highlight w:val="none"/>
                <w:lang w:val="en-US" w:eastAsia="zh-CN"/>
              </w:rPr>
              <w:t>8</w:t>
            </w:r>
            <w:r>
              <w:rPr>
                <w:rFonts w:hint="eastAsia" w:ascii="仿宋" w:hAnsi="仿宋" w:eastAsia="仿宋" w:cs="仿宋"/>
                <w:color w:val="auto"/>
                <w:sz w:val="24"/>
                <w:highlight w:val="none"/>
              </w:rPr>
              <w:t>分；</w:t>
            </w:r>
            <w:r>
              <w:rPr>
                <w:rFonts w:hint="eastAsia" w:ascii="仿宋" w:hAnsi="仿宋" w:eastAsia="仿宋" w:cs="仿宋"/>
                <w:color w:val="auto"/>
                <w:sz w:val="24"/>
                <w:highlight w:val="none"/>
                <w:lang w:eastAsia="zh-CN"/>
              </w:rPr>
              <w:t>应急方案描述相对全面，具有一定的可行性，相对能解决问题的得</w:t>
            </w:r>
            <w:r>
              <w:rPr>
                <w:rFonts w:hint="eastAsia" w:ascii="仿宋" w:hAnsi="仿宋" w:eastAsia="仿宋" w:cs="仿宋"/>
                <w:color w:val="auto"/>
                <w:sz w:val="24"/>
                <w:highlight w:val="none"/>
                <w:lang w:val="en-US" w:eastAsia="zh-CN"/>
              </w:rPr>
              <w:t>6分</w:t>
            </w:r>
            <w:r>
              <w:rPr>
                <w:rFonts w:hint="eastAsia" w:ascii="仿宋" w:hAnsi="仿宋" w:eastAsia="仿宋" w:cs="仿宋"/>
                <w:color w:val="auto"/>
                <w:sz w:val="24"/>
                <w:highlight w:val="none"/>
                <w:lang w:eastAsia="zh-CN"/>
              </w:rPr>
              <w:t>；应急方案</w:t>
            </w:r>
            <w:r>
              <w:rPr>
                <w:rFonts w:hint="eastAsia" w:ascii="仿宋" w:hAnsi="仿宋" w:eastAsia="仿宋" w:cs="仿宋"/>
                <w:color w:val="auto"/>
                <w:sz w:val="24"/>
                <w:highlight w:val="none"/>
              </w:rPr>
              <w:t>描述</w:t>
            </w:r>
            <w:r>
              <w:rPr>
                <w:rFonts w:hint="eastAsia" w:ascii="仿宋" w:hAnsi="仿宋" w:eastAsia="仿宋" w:cs="仿宋"/>
                <w:color w:val="auto"/>
                <w:sz w:val="24"/>
                <w:highlight w:val="none"/>
                <w:lang w:eastAsia="zh-CN"/>
              </w:rPr>
              <w:t>基本全面</w:t>
            </w:r>
            <w:r>
              <w:rPr>
                <w:rFonts w:hint="eastAsia" w:ascii="仿宋" w:hAnsi="仿宋" w:eastAsia="仿宋" w:cs="仿宋"/>
                <w:color w:val="auto"/>
                <w:sz w:val="24"/>
                <w:highlight w:val="none"/>
              </w:rPr>
              <w:t>，但可行性一般</w:t>
            </w:r>
            <w:r>
              <w:rPr>
                <w:rFonts w:hint="eastAsia" w:ascii="仿宋" w:hAnsi="仿宋" w:eastAsia="仿宋" w:cs="仿宋"/>
                <w:color w:val="auto"/>
                <w:sz w:val="24"/>
                <w:highlight w:val="none"/>
                <w:lang w:eastAsia="zh-CN"/>
              </w:rPr>
              <w:t>，基本能解决问题</w:t>
            </w:r>
            <w:r>
              <w:rPr>
                <w:rFonts w:hint="eastAsia" w:ascii="仿宋" w:hAnsi="仿宋" w:eastAsia="仿宋" w:cs="仿宋"/>
                <w:color w:val="auto"/>
                <w:sz w:val="24"/>
                <w:highlight w:val="none"/>
              </w:rPr>
              <w:t>的得</w:t>
            </w:r>
            <w:r>
              <w:rPr>
                <w:rFonts w:hint="eastAsia" w:ascii="仿宋" w:hAnsi="仿宋" w:eastAsia="仿宋" w:cs="仿宋"/>
                <w:color w:val="auto"/>
                <w:sz w:val="24"/>
                <w:highlight w:val="none"/>
                <w:lang w:val="en-US" w:eastAsia="zh-CN"/>
              </w:rPr>
              <w:t>4</w:t>
            </w:r>
            <w:r>
              <w:rPr>
                <w:rFonts w:hint="eastAsia" w:ascii="仿宋" w:hAnsi="仿宋" w:eastAsia="仿宋" w:cs="仿宋"/>
                <w:color w:val="auto"/>
                <w:sz w:val="24"/>
                <w:highlight w:val="none"/>
              </w:rPr>
              <w:t>分</w:t>
            </w:r>
            <w:r>
              <w:rPr>
                <w:rFonts w:hint="eastAsia" w:ascii="仿宋" w:hAnsi="仿宋" w:eastAsia="仿宋" w:cs="仿宋"/>
                <w:color w:val="auto"/>
                <w:sz w:val="24"/>
                <w:highlight w:val="none"/>
                <w:lang w:eastAsia="zh-CN"/>
              </w:rPr>
              <w:t>；应急</w:t>
            </w:r>
            <w:r>
              <w:rPr>
                <w:rFonts w:hint="eastAsia" w:ascii="仿宋" w:hAnsi="仿宋" w:eastAsia="仿宋" w:cs="仿宋"/>
                <w:color w:val="auto"/>
                <w:sz w:val="24"/>
                <w:highlight w:val="none"/>
              </w:rPr>
              <w:t>方案描述有部分缺失但基本可行</w:t>
            </w:r>
            <w:r>
              <w:rPr>
                <w:rFonts w:hint="eastAsia" w:ascii="仿宋" w:hAnsi="仿宋" w:eastAsia="仿宋" w:cs="仿宋"/>
                <w:color w:val="auto"/>
                <w:sz w:val="24"/>
                <w:highlight w:val="none"/>
                <w:lang w:eastAsia="zh-CN"/>
              </w:rPr>
              <w:t>，能解决部分问题</w:t>
            </w:r>
            <w:r>
              <w:rPr>
                <w:rFonts w:hint="eastAsia" w:ascii="仿宋" w:hAnsi="仿宋" w:eastAsia="仿宋" w:cs="仿宋"/>
                <w:color w:val="auto"/>
                <w:sz w:val="24"/>
                <w:highlight w:val="none"/>
              </w:rPr>
              <w:t>的得3分；</w:t>
            </w:r>
            <w:r>
              <w:rPr>
                <w:rFonts w:hint="eastAsia" w:ascii="仿宋" w:hAnsi="仿宋" w:eastAsia="仿宋" w:cs="仿宋"/>
                <w:color w:val="auto"/>
                <w:sz w:val="24"/>
                <w:highlight w:val="none"/>
                <w:lang w:eastAsia="zh-CN"/>
              </w:rPr>
              <w:t>应急</w:t>
            </w:r>
            <w:r>
              <w:rPr>
                <w:rFonts w:hint="eastAsia" w:ascii="仿宋" w:hAnsi="仿宋" w:eastAsia="仿宋" w:cs="仿宋"/>
                <w:color w:val="auto"/>
                <w:sz w:val="24"/>
                <w:highlight w:val="none"/>
              </w:rPr>
              <w:t>方案描述简单且不全面，可行性不确定的得</w:t>
            </w:r>
            <w:r>
              <w:rPr>
                <w:rFonts w:hint="eastAsia" w:ascii="仿宋" w:hAnsi="仿宋" w:eastAsia="仿宋" w:cs="仿宋"/>
                <w:color w:val="auto"/>
                <w:sz w:val="24"/>
                <w:highlight w:val="none"/>
                <w:lang w:val="en-US" w:eastAsia="zh-CN"/>
              </w:rPr>
              <w:t>2</w:t>
            </w:r>
            <w:r>
              <w:rPr>
                <w:rFonts w:hint="eastAsia" w:ascii="仿宋" w:hAnsi="仿宋" w:eastAsia="仿宋" w:cs="仿宋"/>
                <w:color w:val="auto"/>
                <w:sz w:val="24"/>
                <w:highlight w:val="none"/>
              </w:rPr>
              <w:t>分</w:t>
            </w:r>
            <w:r>
              <w:rPr>
                <w:rFonts w:hint="eastAsia" w:ascii="仿宋" w:hAnsi="仿宋" w:eastAsia="仿宋" w:cs="仿宋"/>
                <w:color w:val="auto"/>
                <w:sz w:val="24"/>
                <w:highlight w:val="none"/>
                <w:lang w:eastAsia="zh-CN"/>
              </w:rPr>
              <w:t>；应急方案</w:t>
            </w:r>
            <w:r>
              <w:rPr>
                <w:rFonts w:hint="eastAsia" w:ascii="仿宋" w:hAnsi="仿宋" w:eastAsia="仿宋" w:cs="仿宋"/>
                <w:color w:val="auto"/>
                <w:sz w:val="24"/>
                <w:highlight w:val="none"/>
              </w:rPr>
              <w:t>描述</w:t>
            </w:r>
            <w:r>
              <w:rPr>
                <w:rFonts w:hint="eastAsia" w:ascii="仿宋" w:hAnsi="仿宋" w:eastAsia="仿宋" w:cs="仿宋"/>
                <w:color w:val="auto"/>
                <w:sz w:val="24"/>
                <w:highlight w:val="none"/>
                <w:lang w:val="en-US" w:eastAsia="zh-CN"/>
              </w:rPr>
              <w:t>与项目需求不符</w:t>
            </w:r>
            <w:r>
              <w:rPr>
                <w:rFonts w:hint="eastAsia" w:ascii="仿宋" w:hAnsi="仿宋" w:eastAsia="仿宋" w:cs="仿宋"/>
                <w:color w:val="auto"/>
                <w:sz w:val="24"/>
                <w:highlight w:val="none"/>
              </w:rPr>
              <w:t>，</w:t>
            </w:r>
            <w:r>
              <w:rPr>
                <w:rFonts w:hint="eastAsia" w:ascii="仿宋" w:hAnsi="仿宋" w:eastAsia="仿宋" w:cs="仿宋"/>
                <w:color w:val="auto"/>
                <w:sz w:val="24"/>
                <w:highlight w:val="none"/>
                <w:lang w:val="en-US" w:eastAsia="zh-CN"/>
              </w:rPr>
              <w:t>不具备</w:t>
            </w:r>
            <w:r>
              <w:rPr>
                <w:rFonts w:hint="eastAsia" w:ascii="仿宋" w:hAnsi="仿宋" w:eastAsia="仿宋" w:cs="仿宋"/>
                <w:color w:val="auto"/>
                <w:sz w:val="24"/>
                <w:highlight w:val="none"/>
              </w:rPr>
              <w:t>可行性的得</w:t>
            </w:r>
            <w:r>
              <w:rPr>
                <w:rFonts w:hint="eastAsia" w:ascii="仿宋" w:hAnsi="仿宋" w:eastAsia="仿宋" w:cs="仿宋"/>
                <w:color w:val="auto"/>
                <w:sz w:val="24"/>
                <w:highlight w:val="none"/>
                <w:lang w:val="en-US" w:eastAsia="zh-CN"/>
              </w:rPr>
              <w:t>1</w:t>
            </w:r>
            <w:r>
              <w:rPr>
                <w:rFonts w:hint="eastAsia" w:ascii="仿宋" w:hAnsi="仿宋" w:eastAsia="仿宋" w:cs="仿宋"/>
                <w:color w:val="auto"/>
                <w:sz w:val="24"/>
                <w:highlight w:val="none"/>
              </w:rPr>
              <w:t>分。</w:t>
            </w:r>
          </w:p>
        </w:tc>
        <w:tc>
          <w:tcPr>
            <w:tcW w:w="991" w:type="dxa"/>
            <w:tcBorders>
              <w:tl2br w:val="nil"/>
              <w:tr2bl w:val="nil"/>
            </w:tcBorders>
            <w:shd w:val="clear" w:color="auto" w:fill="auto"/>
            <w:vAlign w:val="center"/>
          </w:tcPr>
          <w:p w14:paraId="2B0EE54A">
            <w:pPr>
              <w:spacing w:line="440" w:lineRule="exact"/>
              <w:rPr>
                <w:rFonts w:hint="default" w:ascii="仿宋" w:hAnsi="仿宋" w:eastAsia="仿宋" w:cs="仿宋"/>
                <w:b/>
                <w:bCs w:val="0"/>
                <w:color w:val="auto"/>
                <w:sz w:val="24"/>
                <w:highlight w:val="none"/>
                <w:lang w:val="en-US" w:eastAsia="zh-CN"/>
              </w:rPr>
            </w:pPr>
            <w:r>
              <w:rPr>
                <w:rFonts w:hint="eastAsia" w:ascii="仿宋" w:hAnsi="仿宋" w:eastAsia="仿宋" w:cs="仿宋"/>
                <w:b/>
                <w:bCs/>
                <w:color w:val="auto"/>
                <w:kern w:val="2"/>
                <w:sz w:val="24"/>
                <w:szCs w:val="24"/>
                <w:highlight w:val="none"/>
                <w:lang w:val="en-US" w:eastAsia="zh-CN" w:bidi="ar-SA"/>
              </w:rPr>
              <w:t>0-1</w:t>
            </w:r>
            <w:r>
              <w:rPr>
                <w:rFonts w:hint="eastAsia" w:ascii="仿宋" w:hAnsi="仿宋" w:eastAsia="仿宋" w:cs="仿宋"/>
                <w:b/>
                <w:bCs w:val="0"/>
                <w:color w:val="auto"/>
                <w:sz w:val="24"/>
                <w:highlight w:val="none"/>
                <w:lang w:val="en-US" w:eastAsia="zh-CN"/>
              </w:rPr>
              <w:t>2</w:t>
            </w:r>
            <w:r>
              <w:rPr>
                <w:rFonts w:hint="eastAsia" w:ascii="仿宋" w:hAnsi="仿宋" w:eastAsia="仿宋" w:cs="仿宋"/>
                <w:b/>
                <w:bCs/>
                <w:color w:val="auto"/>
                <w:kern w:val="2"/>
                <w:sz w:val="24"/>
                <w:szCs w:val="24"/>
                <w:highlight w:val="none"/>
                <w:lang w:val="en-US" w:eastAsia="zh-CN" w:bidi="ar-SA"/>
              </w:rPr>
              <w:t>分</w:t>
            </w:r>
          </w:p>
        </w:tc>
      </w:tr>
      <w:tr w14:paraId="638CD01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3855" w:hRule="atLeast"/>
        </w:trPr>
        <w:tc>
          <w:tcPr>
            <w:tcW w:w="705" w:type="dxa"/>
            <w:tcBorders>
              <w:tl2br w:val="nil"/>
              <w:tr2bl w:val="nil"/>
            </w:tcBorders>
            <w:shd w:val="clear" w:color="auto" w:fill="auto"/>
            <w:vAlign w:val="center"/>
          </w:tcPr>
          <w:p w14:paraId="376603DE">
            <w:pPr>
              <w:keepNext w:val="0"/>
              <w:keepLines w:val="0"/>
              <w:widowControl/>
              <w:suppressLineNumbers w:val="0"/>
              <w:jc w:val="center"/>
              <w:textAlignment w:val="center"/>
              <w:rPr>
                <w:rFonts w:hint="default" w:ascii="仿宋" w:hAnsi="仿宋" w:eastAsia="仿宋" w:cs="仿宋"/>
                <w:b/>
                <w:bCs/>
                <w:i w:val="0"/>
                <w:iCs w:val="0"/>
                <w:color w:val="auto"/>
                <w:kern w:val="0"/>
                <w:sz w:val="24"/>
                <w:szCs w:val="24"/>
                <w:highlight w:val="none"/>
                <w:u w:val="none"/>
                <w:lang w:val="en-US" w:eastAsia="zh-CN" w:bidi="ar"/>
              </w:rPr>
            </w:pPr>
            <w:r>
              <w:rPr>
                <w:rFonts w:hint="eastAsia" w:ascii="仿宋" w:hAnsi="仿宋" w:eastAsia="仿宋" w:cs="仿宋"/>
                <w:b/>
                <w:bCs/>
                <w:i w:val="0"/>
                <w:iCs w:val="0"/>
                <w:color w:val="auto"/>
                <w:kern w:val="0"/>
                <w:sz w:val="24"/>
                <w:szCs w:val="24"/>
                <w:highlight w:val="none"/>
                <w:u w:val="none"/>
                <w:lang w:val="en-US" w:eastAsia="zh-CN" w:bidi="ar"/>
              </w:rPr>
              <w:t>5</w:t>
            </w:r>
          </w:p>
        </w:tc>
        <w:tc>
          <w:tcPr>
            <w:tcW w:w="1275" w:type="dxa"/>
            <w:tcBorders>
              <w:tl2br w:val="nil"/>
              <w:tr2bl w:val="nil"/>
            </w:tcBorders>
            <w:shd w:val="clear" w:color="auto" w:fill="auto"/>
            <w:vAlign w:val="center"/>
          </w:tcPr>
          <w:p w14:paraId="4DEFF7FA">
            <w:pPr>
              <w:spacing w:line="440" w:lineRule="exact"/>
              <w:jc w:val="center"/>
              <w:rPr>
                <w:rFonts w:hint="eastAsia" w:ascii="仿宋" w:hAnsi="仿宋" w:eastAsia="仿宋" w:cs="仿宋"/>
                <w:color w:val="auto"/>
                <w:kern w:val="0"/>
                <w:sz w:val="24"/>
                <w:szCs w:val="24"/>
                <w:highlight w:val="none"/>
                <w:lang w:val="en-US" w:eastAsia="zh-CN" w:bidi="ar"/>
              </w:rPr>
            </w:pPr>
            <w:r>
              <w:rPr>
                <w:rFonts w:hint="eastAsia" w:ascii="仿宋" w:hAnsi="仿宋" w:eastAsia="仿宋" w:cs="仿宋"/>
                <w:b/>
                <w:bCs/>
                <w:color w:val="auto"/>
                <w:sz w:val="24"/>
                <w:highlight w:val="none"/>
                <w:lang w:val="en-US" w:eastAsia="zh-CN"/>
              </w:rPr>
              <w:t>投入本项目团队安排</w:t>
            </w:r>
          </w:p>
        </w:tc>
        <w:tc>
          <w:tcPr>
            <w:tcW w:w="7350" w:type="dxa"/>
            <w:tcBorders>
              <w:tl2br w:val="nil"/>
              <w:tr2bl w:val="nil"/>
            </w:tcBorders>
            <w:shd w:val="clear" w:color="auto" w:fill="auto"/>
            <w:vAlign w:val="center"/>
          </w:tcPr>
          <w:p w14:paraId="55424511">
            <w:pPr>
              <w:spacing w:line="440" w:lineRule="exact"/>
              <w:rPr>
                <w:rFonts w:hint="eastAsia" w:ascii="仿宋" w:hAnsi="仿宋" w:eastAsia="仿宋" w:cs="仿宋"/>
                <w:b/>
                <w:color w:val="auto"/>
                <w:kern w:val="0"/>
                <w:sz w:val="24"/>
                <w:highlight w:val="none"/>
                <w:u w:val="single"/>
              </w:rPr>
            </w:pPr>
            <w:r>
              <w:rPr>
                <w:rFonts w:hint="eastAsia" w:ascii="仿宋" w:hAnsi="仿宋" w:eastAsia="仿宋" w:cs="仿宋"/>
                <w:b/>
                <w:bCs/>
                <w:color w:val="auto"/>
                <w:sz w:val="24"/>
                <w:highlight w:val="none"/>
              </w:rPr>
              <w:t>根据活动赛季赛事承办期间，提供的接待人员与工作人员安排计划表</w:t>
            </w:r>
            <w:r>
              <w:rPr>
                <w:rFonts w:hint="eastAsia" w:ascii="仿宋" w:hAnsi="仿宋" w:eastAsia="仿宋" w:cs="仿宋"/>
                <w:b/>
                <w:bCs/>
                <w:color w:val="auto"/>
                <w:kern w:val="2"/>
                <w:sz w:val="24"/>
                <w:szCs w:val="24"/>
                <w:highlight w:val="none"/>
                <w:lang w:val="en-US" w:eastAsia="zh-CN" w:bidi="ar-SA"/>
              </w:rPr>
              <w:t>进行打分：</w:t>
            </w:r>
            <w:r>
              <w:rPr>
                <w:rFonts w:hint="eastAsia" w:ascii="仿宋" w:hAnsi="仿宋" w:eastAsia="仿宋" w:cs="仿宋"/>
                <w:color w:val="auto"/>
                <w:sz w:val="24"/>
                <w:highlight w:val="none"/>
              </w:rPr>
              <w:t>人员安排充分、岗位明确且人员的资质有利于本项目实施的得</w:t>
            </w:r>
            <w:r>
              <w:rPr>
                <w:rFonts w:hint="eastAsia" w:ascii="仿宋" w:hAnsi="仿宋" w:eastAsia="仿宋" w:cs="仿宋"/>
                <w:color w:val="auto"/>
                <w:sz w:val="24"/>
                <w:highlight w:val="none"/>
                <w:lang w:val="en-US" w:eastAsia="zh-CN"/>
              </w:rPr>
              <w:t>12</w:t>
            </w:r>
            <w:r>
              <w:rPr>
                <w:rFonts w:hint="eastAsia" w:ascii="仿宋" w:hAnsi="仿宋" w:eastAsia="仿宋" w:cs="仿宋"/>
                <w:color w:val="auto"/>
                <w:sz w:val="24"/>
                <w:highlight w:val="none"/>
              </w:rPr>
              <w:t>分；人员安排</w:t>
            </w:r>
            <w:r>
              <w:rPr>
                <w:rFonts w:hint="eastAsia" w:ascii="仿宋" w:hAnsi="仿宋" w:eastAsia="仿宋" w:cs="仿宋"/>
                <w:color w:val="auto"/>
                <w:sz w:val="24"/>
                <w:highlight w:val="none"/>
                <w:lang w:eastAsia="zh-CN"/>
              </w:rPr>
              <w:t>较</w:t>
            </w:r>
            <w:r>
              <w:rPr>
                <w:rFonts w:hint="eastAsia" w:ascii="仿宋" w:hAnsi="仿宋" w:eastAsia="仿宋" w:cs="仿宋"/>
                <w:color w:val="auto"/>
                <w:sz w:val="24"/>
                <w:highlight w:val="none"/>
              </w:rPr>
              <w:t>充分、岗位</w:t>
            </w:r>
            <w:r>
              <w:rPr>
                <w:rFonts w:hint="eastAsia" w:ascii="仿宋" w:hAnsi="仿宋" w:eastAsia="仿宋" w:cs="仿宋"/>
                <w:color w:val="auto"/>
                <w:sz w:val="24"/>
                <w:highlight w:val="none"/>
                <w:lang w:eastAsia="zh-CN"/>
              </w:rPr>
              <w:t>较</w:t>
            </w:r>
            <w:r>
              <w:rPr>
                <w:rFonts w:hint="eastAsia" w:ascii="仿宋" w:hAnsi="仿宋" w:eastAsia="仿宋" w:cs="仿宋"/>
                <w:color w:val="auto"/>
                <w:sz w:val="24"/>
                <w:highlight w:val="none"/>
              </w:rPr>
              <w:t>明确</w:t>
            </w:r>
            <w:r>
              <w:rPr>
                <w:rFonts w:hint="eastAsia" w:ascii="仿宋" w:hAnsi="仿宋" w:eastAsia="仿宋" w:cs="仿宋"/>
                <w:color w:val="auto"/>
                <w:sz w:val="24"/>
                <w:highlight w:val="none"/>
                <w:lang w:eastAsia="zh-CN"/>
              </w:rPr>
              <w:t>，</w:t>
            </w:r>
            <w:r>
              <w:rPr>
                <w:rFonts w:hint="eastAsia" w:ascii="仿宋" w:hAnsi="仿宋" w:eastAsia="仿宋" w:cs="仿宋"/>
                <w:color w:val="auto"/>
                <w:sz w:val="24"/>
                <w:highlight w:val="none"/>
              </w:rPr>
              <w:t>实施人员资质</w:t>
            </w:r>
            <w:r>
              <w:rPr>
                <w:rFonts w:hint="eastAsia" w:ascii="仿宋" w:hAnsi="仿宋" w:eastAsia="仿宋" w:cs="仿宋"/>
                <w:color w:val="auto"/>
                <w:sz w:val="24"/>
                <w:highlight w:val="none"/>
                <w:lang w:eastAsia="zh-CN"/>
              </w:rPr>
              <w:t>较</w:t>
            </w:r>
            <w:r>
              <w:rPr>
                <w:rFonts w:hint="eastAsia" w:ascii="仿宋" w:hAnsi="仿宋" w:eastAsia="仿宋" w:cs="仿宋"/>
                <w:color w:val="auto"/>
                <w:sz w:val="24"/>
                <w:highlight w:val="none"/>
              </w:rPr>
              <w:t>符合项目实施要求</w:t>
            </w:r>
            <w:r>
              <w:rPr>
                <w:rFonts w:hint="eastAsia" w:ascii="仿宋" w:hAnsi="仿宋" w:eastAsia="仿宋" w:cs="仿宋"/>
                <w:color w:val="auto"/>
                <w:sz w:val="24"/>
                <w:highlight w:val="none"/>
                <w:lang w:eastAsia="zh-CN"/>
              </w:rPr>
              <w:t>，较有利于本项目实施的得</w:t>
            </w:r>
            <w:r>
              <w:rPr>
                <w:rFonts w:hint="eastAsia" w:ascii="仿宋" w:hAnsi="仿宋" w:eastAsia="仿宋" w:cs="仿宋"/>
                <w:color w:val="auto"/>
                <w:sz w:val="24"/>
                <w:highlight w:val="none"/>
                <w:lang w:val="en-US" w:eastAsia="zh-CN"/>
              </w:rPr>
              <w:t>10分；</w:t>
            </w:r>
            <w:r>
              <w:rPr>
                <w:rFonts w:hint="eastAsia" w:ascii="仿宋" w:hAnsi="仿宋" w:eastAsia="仿宋" w:cs="仿宋"/>
                <w:color w:val="auto"/>
                <w:sz w:val="24"/>
                <w:highlight w:val="none"/>
              </w:rPr>
              <w:t>人员</w:t>
            </w:r>
            <w:r>
              <w:rPr>
                <w:rFonts w:hint="eastAsia" w:ascii="仿宋" w:hAnsi="仿宋" w:eastAsia="仿宋" w:cs="仿宋"/>
                <w:color w:val="auto"/>
                <w:sz w:val="24"/>
                <w:highlight w:val="none"/>
                <w:lang w:eastAsia="zh-CN"/>
              </w:rPr>
              <w:t>安排相对充分，</w:t>
            </w:r>
            <w:r>
              <w:rPr>
                <w:rFonts w:hint="eastAsia" w:ascii="仿宋" w:hAnsi="仿宋" w:eastAsia="仿宋" w:cs="仿宋"/>
                <w:color w:val="auto"/>
                <w:sz w:val="24"/>
                <w:highlight w:val="none"/>
              </w:rPr>
              <w:t>岗位</w:t>
            </w:r>
            <w:r>
              <w:rPr>
                <w:rFonts w:hint="eastAsia" w:ascii="仿宋" w:hAnsi="仿宋" w:eastAsia="仿宋" w:cs="仿宋"/>
                <w:color w:val="auto"/>
                <w:sz w:val="24"/>
                <w:highlight w:val="none"/>
                <w:lang w:eastAsia="zh-CN"/>
              </w:rPr>
              <w:t>相对明确，</w:t>
            </w:r>
            <w:r>
              <w:rPr>
                <w:rFonts w:hint="eastAsia" w:ascii="仿宋" w:hAnsi="仿宋" w:eastAsia="仿宋" w:cs="仿宋"/>
                <w:color w:val="auto"/>
                <w:sz w:val="24"/>
                <w:highlight w:val="none"/>
              </w:rPr>
              <w:t>实施人员资质</w:t>
            </w:r>
            <w:r>
              <w:rPr>
                <w:rFonts w:hint="eastAsia" w:ascii="仿宋" w:hAnsi="仿宋" w:eastAsia="仿宋" w:cs="仿宋"/>
                <w:color w:val="auto"/>
                <w:sz w:val="24"/>
                <w:highlight w:val="none"/>
                <w:lang w:eastAsia="zh-CN"/>
              </w:rPr>
              <w:t>相对</w:t>
            </w:r>
            <w:r>
              <w:rPr>
                <w:rFonts w:hint="eastAsia" w:ascii="仿宋" w:hAnsi="仿宋" w:eastAsia="仿宋" w:cs="仿宋"/>
                <w:color w:val="auto"/>
                <w:sz w:val="24"/>
                <w:highlight w:val="none"/>
              </w:rPr>
              <w:t>符合项目实施要求</w:t>
            </w:r>
            <w:r>
              <w:rPr>
                <w:rFonts w:hint="eastAsia" w:ascii="仿宋" w:hAnsi="仿宋" w:eastAsia="仿宋" w:cs="仿宋"/>
                <w:color w:val="auto"/>
                <w:sz w:val="24"/>
                <w:highlight w:val="none"/>
                <w:lang w:eastAsia="zh-CN"/>
              </w:rPr>
              <w:t>的得</w:t>
            </w:r>
            <w:r>
              <w:rPr>
                <w:rFonts w:hint="eastAsia" w:ascii="仿宋" w:hAnsi="仿宋" w:eastAsia="仿宋" w:cs="仿宋"/>
                <w:color w:val="auto"/>
                <w:sz w:val="24"/>
                <w:highlight w:val="none"/>
                <w:lang w:val="en-US" w:eastAsia="zh-CN"/>
              </w:rPr>
              <w:t>8分；人员岗位</w:t>
            </w:r>
            <w:r>
              <w:rPr>
                <w:rFonts w:hint="eastAsia" w:ascii="仿宋" w:hAnsi="仿宋" w:eastAsia="仿宋" w:cs="仿宋"/>
                <w:color w:val="auto"/>
                <w:sz w:val="24"/>
                <w:highlight w:val="none"/>
              </w:rPr>
              <w:t>安排基本符合</w:t>
            </w:r>
            <w:r>
              <w:rPr>
                <w:rFonts w:hint="eastAsia" w:ascii="仿宋" w:hAnsi="仿宋" w:eastAsia="仿宋" w:cs="仿宋"/>
                <w:color w:val="auto"/>
                <w:sz w:val="24"/>
                <w:highlight w:val="none"/>
                <w:lang w:val="en-US" w:eastAsia="zh-CN"/>
              </w:rPr>
              <w:t>采购</w:t>
            </w:r>
            <w:r>
              <w:rPr>
                <w:rFonts w:hint="eastAsia" w:ascii="仿宋" w:hAnsi="仿宋" w:eastAsia="仿宋" w:cs="仿宋"/>
                <w:color w:val="auto"/>
                <w:sz w:val="24"/>
                <w:highlight w:val="none"/>
              </w:rPr>
              <w:t>文件要求，实施人员资质也基本符合项目实施要求的得</w:t>
            </w:r>
            <w:r>
              <w:rPr>
                <w:rFonts w:hint="eastAsia" w:ascii="仿宋" w:hAnsi="仿宋" w:eastAsia="仿宋" w:cs="仿宋"/>
                <w:color w:val="auto"/>
                <w:sz w:val="24"/>
                <w:highlight w:val="none"/>
                <w:lang w:val="en-US" w:eastAsia="zh-CN"/>
              </w:rPr>
              <w:t>6</w:t>
            </w:r>
            <w:r>
              <w:rPr>
                <w:rFonts w:hint="eastAsia" w:ascii="仿宋" w:hAnsi="仿宋" w:eastAsia="仿宋" w:cs="仿宋"/>
                <w:color w:val="auto"/>
                <w:sz w:val="24"/>
                <w:highlight w:val="none"/>
              </w:rPr>
              <w:t>分；人员岗位安排基本符合</w:t>
            </w:r>
            <w:r>
              <w:rPr>
                <w:rFonts w:hint="eastAsia" w:ascii="仿宋" w:hAnsi="仿宋" w:eastAsia="仿宋" w:cs="仿宋"/>
                <w:color w:val="auto"/>
                <w:sz w:val="24"/>
                <w:highlight w:val="none"/>
                <w:lang w:val="en-US" w:eastAsia="zh-CN"/>
              </w:rPr>
              <w:t>采购</w:t>
            </w:r>
            <w:r>
              <w:rPr>
                <w:rFonts w:hint="eastAsia" w:ascii="仿宋" w:hAnsi="仿宋" w:eastAsia="仿宋" w:cs="仿宋"/>
                <w:color w:val="auto"/>
                <w:sz w:val="24"/>
                <w:highlight w:val="none"/>
              </w:rPr>
              <w:t>文件要求，但实施人员资质较欠缺的得</w:t>
            </w:r>
            <w:r>
              <w:rPr>
                <w:rFonts w:hint="eastAsia" w:ascii="仿宋" w:hAnsi="仿宋" w:eastAsia="仿宋" w:cs="仿宋"/>
                <w:color w:val="auto"/>
                <w:sz w:val="24"/>
                <w:highlight w:val="none"/>
                <w:lang w:val="en-US" w:eastAsia="zh-CN"/>
              </w:rPr>
              <w:t>4</w:t>
            </w:r>
            <w:r>
              <w:rPr>
                <w:rFonts w:hint="eastAsia" w:ascii="仿宋" w:hAnsi="仿宋" w:eastAsia="仿宋" w:cs="仿宋"/>
                <w:color w:val="auto"/>
                <w:sz w:val="24"/>
                <w:highlight w:val="none"/>
              </w:rPr>
              <w:t>分；服务队伍规模及人员配备能满足</w:t>
            </w:r>
            <w:r>
              <w:rPr>
                <w:rFonts w:hint="eastAsia" w:ascii="仿宋" w:hAnsi="仿宋" w:eastAsia="仿宋" w:cs="仿宋"/>
                <w:color w:val="auto"/>
                <w:sz w:val="24"/>
                <w:highlight w:val="none"/>
                <w:lang w:val="en-US" w:eastAsia="zh-CN"/>
              </w:rPr>
              <w:t>采购</w:t>
            </w:r>
            <w:r>
              <w:rPr>
                <w:rFonts w:hint="eastAsia" w:ascii="仿宋" w:hAnsi="仿宋" w:eastAsia="仿宋" w:cs="仿宋"/>
                <w:color w:val="auto"/>
                <w:sz w:val="24"/>
                <w:highlight w:val="none"/>
              </w:rPr>
              <w:t>文件要求，但安排计划较简单的得</w:t>
            </w:r>
            <w:r>
              <w:rPr>
                <w:rFonts w:hint="eastAsia" w:ascii="仿宋" w:hAnsi="仿宋" w:eastAsia="仿宋" w:cs="仿宋"/>
                <w:color w:val="auto"/>
                <w:sz w:val="24"/>
                <w:highlight w:val="none"/>
                <w:lang w:val="en-US" w:eastAsia="zh-CN"/>
              </w:rPr>
              <w:t>3</w:t>
            </w:r>
            <w:r>
              <w:rPr>
                <w:rFonts w:hint="eastAsia" w:ascii="仿宋" w:hAnsi="仿宋" w:eastAsia="仿宋" w:cs="仿宋"/>
                <w:color w:val="auto"/>
                <w:sz w:val="24"/>
                <w:highlight w:val="none"/>
              </w:rPr>
              <w:t>分。人员岗位安排</w:t>
            </w:r>
            <w:r>
              <w:rPr>
                <w:rFonts w:hint="eastAsia" w:ascii="仿宋" w:hAnsi="仿宋" w:eastAsia="仿宋" w:cs="仿宋"/>
                <w:color w:val="auto"/>
                <w:sz w:val="24"/>
                <w:highlight w:val="none"/>
                <w:lang w:val="en-US" w:eastAsia="zh-CN"/>
              </w:rPr>
              <w:t>及</w:t>
            </w:r>
            <w:r>
              <w:rPr>
                <w:rFonts w:hint="eastAsia" w:ascii="仿宋" w:hAnsi="仿宋" w:eastAsia="仿宋" w:cs="仿宋"/>
                <w:color w:val="auto"/>
                <w:sz w:val="24"/>
                <w:highlight w:val="none"/>
              </w:rPr>
              <w:t>实施人员资质</w:t>
            </w:r>
            <w:r>
              <w:rPr>
                <w:rFonts w:hint="eastAsia" w:ascii="仿宋" w:hAnsi="仿宋" w:eastAsia="仿宋" w:cs="仿宋"/>
                <w:color w:val="auto"/>
                <w:sz w:val="24"/>
                <w:highlight w:val="none"/>
                <w:lang w:val="en-US" w:eastAsia="zh-CN"/>
              </w:rPr>
              <w:t>与采购文件需求有差距的</w:t>
            </w:r>
            <w:r>
              <w:rPr>
                <w:rFonts w:hint="eastAsia" w:ascii="仿宋" w:hAnsi="仿宋" w:eastAsia="仿宋" w:cs="仿宋"/>
                <w:color w:val="auto"/>
                <w:sz w:val="24"/>
                <w:highlight w:val="none"/>
              </w:rPr>
              <w:t>得</w:t>
            </w:r>
            <w:r>
              <w:rPr>
                <w:rFonts w:hint="eastAsia" w:ascii="仿宋" w:hAnsi="仿宋" w:eastAsia="仿宋" w:cs="仿宋"/>
                <w:color w:val="auto"/>
                <w:sz w:val="24"/>
                <w:highlight w:val="none"/>
                <w:lang w:val="en-US" w:eastAsia="zh-CN"/>
              </w:rPr>
              <w:t>2</w:t>
            </w:r>
            <w:r>
              <w:rPr>
                <w:rFonts w:hint="eastAsia" w:ascii="仿宋" w:hAnsi="仿宋" w:eastAsia="仿宋" w:cs="仿宋"/>
                <w:color w:val="auto"/>
                <w:sz w:val="24"/>
                <w:highlight w:val="none"/>
              </w:rPr>
              <w:t>分</w:t>
            </w:r>
            <w:r>
              <w:rPr>
                <w:rFonts w:hint="eastAsia" w:ascii="仿宋" w:hAnsi="仿宋" w:eastAsia="仿宋" w:cs="仿宋"/>
                <w:color w:val="auto"/>
                <w:sz w:val="24"/>
                <w:highlight w:val="none"/>
                <w:lang w:eastAsia="zh-CN"/>
              </w:rPr>
              <w:t>；</w:t>
            </w:r>
            <w:r>
              <w:rPr>
                <w:rFonts w:hint="eastAsia" w:ascii="仿宋" w:hAnsi="仿宋" w:eastAsia="仿宋" w:cs="仿宋"/>
                <w:color w:val="auto"/>
                <w:sz w:val="24"/>
                <w:highlight w:val="none"/>
              </w:rPr>
              <w:t>人员岗位安排</w:t>
            </w:r>
            <w:r>
              <w:rPr>
                <w:rFonts w:hint="eastAsia" w:ascii="仿宋" w:hAnsi="仿宋" w:eastAsia="仿宋" w:cs="仿宋"/>
                <w:color w:val="auto"/>
                <w:sz w:val="24"/>
                <w:highlight w:val="none"/>
                <w:lang w:val="en-US" w:eastAsia="zh-CN"/>
              </w:rPr>
              <w:t>及</w:t>
            </w:r>
            <w:r>
              <w:rPr>
                <w:rFonts w:hint="eastAsia" w:ascii="仿宋" w:hAnsi="仿宋" w:eastAsia="仿宋" w:cs="仿宋"/>
                <w:color w:val="auto"/>
                <w:sz w:val="24"/>
                <w:highlight w:val="none"/>
              </w:rPr>
              <w:t>实施人员资质</w:t>
            </w:r>
            <w:r>
              <w:rPr>
                <w:rFonts w:hint="eastAsia" w:ascii="仿宋" w:hAnsi="仿宋" w:eastAsia="仿宋" w:cs="仿宋"/>
                <w:color w:val="auto"/>
                <w:sz w:val="24"/>
                <w:highlight w:val="none"/>
                <w:lang w:val="en-US" w:eastAsia="zh-CN"/>
              </w:rPr>
              <w:t>与项目需求不符</w:t>
            </w:r>
            <w:r>
              <w:rPr>
                <w:rFonts w:hint="eastAsia" w:ascii="仿宋" w:hAnsi="仿宋" w:eastAsia="仿宋" w:cs="仿宋"/>
                <w:color w:val="auto"/>
                <w:sz w:val="24"/>
                <w:highlight w:val="none"/>
              </w:rPr>
              <w:t>，</w:t>
            </w:r>
            <w:r>
              <w:rPr>
                <w:rFonts w:hint="eastAsia" w:ascii="仿宋" w:hAnsi="仿宋" w:eastAsia="仿宋" w:cs="仿宋"/>
                <w:color w:val="auto"/>
                <w:sz w:val="24"/>
                <w:highlight w:val="none"/>
                <w:lang w:val="en-US" w:eastAsia="zh-CN"/>
              </w:rPr>
              <w:t>不具备</w:t>
            </w:r>
            <w:r>
              <w:rPr>
                <w:rFonts w:hint="eastAsia" w:ascii="仿宋" w:hAnsi="仿宋" w:eastAsia="仿宋" w:cs="仿宋"/>
                <w:color w:val="auto"/>
                <w:sz w:val="24"/>
                <w:highlight w:val="none"/>
              </w:rPr>
              <w:t>可行性的得</w:t>
            </w:r>
            <w:r>
              <w:rPr>
                <w:rFonts w:hint="eastAsia" w:ascii="仿宋" w:hAnsi="仿宋" w:eastAsia="仿宋" w:cs="仿宋"/>
                <w:color w:val="auto"/>
                <w:sz w:val="24"/>
                <w:highlight w:val="none"/>
                <w:lang w:val="en-US" w:eastAsia="zh-CN"/>
              </w:rPr>
              <w:t>1</w:t>
            </w:r>
            <w:r>
              <w:rPr>
                <w:rFonts w:hint="eastAsia" w:ascii="仿宋" w:hAnsi="仿宋" w:eastAsia="仿宋" w:cs="仿宋"/>
                <w:color w:val="auto"/>
                <w:sz w:val="24"/>
                <w:highlight w:val="none"/>
              </w:rPr>
              <w:t>分。</w:t>
            </w:r>
          </w:p>
        </w:tc>
        <w:tc>
          <w:tcPr>
            <w:tcW w:w="991" w:type="dxa"/>
            <w:tcBorders>
              <w:tl2br w:val="nil"/>
              <w:tr2bl w:val="nil"/>
            </w:tcBorders>
            <w:shd w:val="clear" w:color="auto" w:fill="auto"/>
            <w:vAlign w:val="center"/>
          </w:tcPr>
          <w:p w14:paraId="7E145D47">
            <w:pPr>
              <w:widowControl/>
              <w:spacing w:line="440" w:lineRule="exact"/>
              <w:jc w:val="center"/>
              <w:rPr>
                <w:rFonts w:hint="eastAsia" w:ascii="仿宋" w:hAnsi="仿宋" w:eastAsia="仿宋" w:cs="仿宋"/>
                <w:b/>
                <w:bCs/>
                <w:color w:val="auto"/>
                <w:kern w:val="2"/>
                <w:sz w:val="24"/>
                <w:szCs w:val="24"/>
                <w:highlight w:val="none"/>
                <w:lang w:val="en-US" w:eastAsia="zh-CN" w:bidi="ar-SA"/>
              </w:rPr>
            </w:pPr>
            <w:r>
              <w:rPr>
                <w:rFonts w:hint="eastAsia" w:ascii="仿宋" w:hAnsi="仿宋" w:eastAsia="仿宋" w:cs="仿宋"/>
                <w:b/>
                <w:bCs/>
                <w:color w:val="auto"/>
                <w:kern w:val="2"/>
                <w:sz w:val="24"/>
                <w:szCs w:val="24"/>
                <w:highlight w:val="none"/>
                <w:lang w:val="en-US" w:eastAsia="zh-CN" w:bidi="ar-SA"/>
              </w:rPr>
              <w:t>0-12分</w:t>
            </w:r>
          </w:p>
        </w:tc>
      </w:tr>
      <w:tr w14:paraId="22F5A35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483" w:hRule="atLeast"/>
        </w:trPr>
        <w:tc>
          <w:tcPr>
            <w:tcW w:w="9330" w:type="dxa"/>
            <w:gridSpan w:val="3"/>
            <w:tcBorders>
              <w:tl2br w:val="nil"/>
              <w:tr2bl w:val="nil"/>
            </w:tcBorders>
            <w:shd w:val="clear" w:color="auto" w:fill="auto"/>
            <w:vAlign w:val="center"/>
          </w:tcPr>
          <w:p w14:paraId="656856D9">
            <w:pPr>
              <w:keepNext w:val="0"/>
              <w:keepLines w:val="0"/>
              <w:widowControl/>
              <w:suppressLineNumbers w:val="0"/>
              <w:jc w:val="center"/>
              <w:textAlignment w:val="center"/>
              <w:rPr>
                <w:rFonts w:hint="eastAsia" w:ascii="仿宋" w:hAnsi="仿宋" w:eastAsia="仿宋" w:cs="仿宋"/>
                <w:b/>
                <w:bCs/>
                <w:i w:val="0"/>
                <w:iCs w:val="0"/>
                <w:color w:val="auto"/>
                <w:sz w:val="24"/>
                <w:szCs w:val="24"/>
                <w:highlight w:val="none"/>
                <w:u w:val="none"/>
              </w:rPr>
            </w:pPr>
            <w:r>
              <w:rPr>
                <w:rFonts w:hint="eastAsia" w:ascii="仿宋" w:hAnsi="仿宋" w:eastAsia="仿宋" w:cs="仿宋"/>
                <w:b/>
                <w:bCs/>
                <w:i w:val="0"/>
                <w:iCs w:val="0"/>
                <w:color w:val="auto"/>
                <w:kern w:val="0"/>
                <w:sz w:val="24"/>
                <w:szCs w:val="24"/>
                <w:highlight w:val="none"/>
                <w:u w:val="none"/>
                <w:lang w:val="en-US" w:eastAsia="zh-CN" w:bidi="ar"/>
              </w:rPr>
              <w:t>商务、资信及其他部分</w:t>
            </w:r>
          </w:p>
        </w:tc>
        <w:tc>
          <w:tcPr>
            <w:tcW w:w="991" w:type="dxa"/>
            <w:tcBorders>
              <w:tl2br w:val="nil"/>
              <w:tr2bl w:val="nil"/>
            </w:tcBorders>
            <w:shd w:val="clear" w:color="auto" w:fill="auto"/>
            <w:vAlign w:val="center"/>
          </w:tcPr>
          <w:p w14:paraId="23BD4022">
            <w:pPr>
              <w:keepNext w:val="0"/>
              <w:keepLines w:val="0"/>
              <w:widowControl/>
              <w:suppressLineNumbers w:val="0"/>
              <w:jc w:val="center"/>
              <w:textAlignment w:val="center"/>
              <w:rPr>
                <w:rFonts w:hint="eastAsia" w:ascii="仿宋" w:hAnsi="仿宋" w:eastAsia="仿宋" w:cs="仿宋"/>
                <w:b/>
                <w:bCs/>
                <w:i w:val="0"/>
                <w:iCs w:val="0"/>
                <w:color w:val="auto"/>
                <w:sz w:val="24"/>
                <w:szCs w:val="24"/>
                <w:highlight w:val="none"/>
                <w:u w:val="none"/>
              </w:rPr>
            </w:pPr>
            <w:r>
              <w:rPr>
                <w:rFonts w:hint="eastAsia" w:ascii="仿宋" w:hAnsi="仿宋" w:eastAsia="仿宋" w:cs="仿宋"/>
                <w:b/>
                <w:bCs/>
                <w:i w:val="0"/>
                <w:iCs w:val="0"/>
                <w:color w:val="auto"/>
                <w:kern w:val="0"/>
                <w:sz w:val="24"/>
                <w:szCs w:val="24"/>
                <w:highlight w:val="none"/>
                <w:u w:val="none"/>
                <w:lang w:val="en-US" w:eastAsia="zh-CN" w:bidi="ar"/>
              </w:rPr>
              <w:t>20分</w:t>
            </w:r>
          </w:p>
        </w:tc>
      </w:tr>
      <w:tr w14:paraId="4E7D33B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1540" w:hRule="atLeast"/>
        </w:trPr>
        <w:tc>
          <w:tcPr>
            <w:tcW w:w="705" w:type="dxa"/>
            <w:tcBorders>
              <w:tl2br w:val="nil"/>
              <w:tr2bl w:val="nil"/>
            </w:tcBorders>
            <w:shd w:val="clear" w:color="auto" w:fill="auto"/>
            <w:vAlign w:val="center"/>
          </w:tcPr>
          <w:p w14:paraId="3F7AA1B4">
            <w:pPr>
              <w:keepNext w:val="0"/>
              <w:keepLines w:val="0"/>
              <w:widowControl/>
              <w:suppressLineNumbers w:val="0"/>
              <w:jc w:val="center"/>
              <w:textAlignment w:val="center"/>
              <w:rPr>
                <w:rFonts w:hint="eastAsia" w:ascii="仿宋" w:hAnsi="仿宋" w:eastAsia="仿宋" w:cs="仿宋"/>
                <w:b/>
                <w:bCs/>
                <w:i w:val="0"/>
                <w:iCs w:val="0"/>
                <w:color w:val="auto"/>
                <w:sz w:val="24"/>
                <w:szCs w:val="24"/>
                <w:highlight w:val="none"/>
                <w:u w:val="none"/>
                <w:lang w:val="en-US" w:eastAsia="zh-CN"/>
              </w:rPr>
            </w:pPr>
            <w:r>
              <w:rPr>
                <w:rFonts w:hint="eastAsia" w:ascii="仿宋" w:hAnsi="仿宋" w:eastAsia="仿宋" w:cs="仿宋"/>
                <w:b/>
                <w:bCs/>
                <w:i w:val="0"/>
                <w:iCs w:val="0"/>
                <w:color w:val="auto"/>
                <w:sz w:val="24"/>
                <w:szCs w:val="24"/>
                <w:highlight w:val="none"/>
                <w:u w:val="none"/>
                <w:lang w:val="en-US" w:eastAsia="zh-CN"/>
              </w:rPr>
              <w:t>6</w:t>
            </w:r>
          </w:p>
        </w:tc>
        <w:tc>
          <w:tcPr>
            <w:tcW w:w="1275" w:type="dxa"/>
            <w:tcBorders>
              <w:tl2br w:val="nil"/>
              <w:tr2bl w:val="nil"/>
            </w:tcBorders>
            <w:shd w:val="clear" w:color="auto" w:fill="auto"/>
            <w:vAlign w:val="center"/>
          </w:tcPr>
          <w:p w14:paraId="3320EE55">
            <w:pPr>
              <w:spacing w:line="440" w:lineRule="exact"/>
              <w:rPr>
                <w:rFonts w:hint="eastAsia" w:ascii="仿宋" w:hAnsi="仿宋" w:eastAsia="仿宋" w:cs="仿宋"/>
                <w:b/>
                <w:bCs/>
                <w:i w:val="0"/>
                <w:iCs w:val="0"/>
                <w:color w:val="auto"/>
                <w:sz w:val="24"/>
                <w:szCs w:val="24"/>
                <w:highlight w:val="none"/>
                <w:u w:val="none"/>
              </w:rPr>
            </w:pPr>
            <w:r>
              <w:rPr>
                <w:rFonts w:hint="eastAsia" w:ascii="仿宋" w:hAnsi="仿宋" w:eastAsia="仿宋" w:cs="仿宋"/>
                <w:b/>
                <w:bCs/>
                <w:color w:val="auto"/>
                <w:sz w:val="24"/>
                <w:highlight w:val="none"/>
              </w:rPr>
              <w:t>响应时间</w:t>
            </w:r>
          </w:p>
        </w:tc>
        <w:tc>
          <w:tcPr>
            <w:tcW w:w="7350" w:type="dxa"/>
            <w:tcBorders>
              <w:tl2br w:val="nil"/>
              <w:tr2bl w:val="nil"/>
            </w:tcBorders>
            <w:shd w:val="clear" w:color="auto" w:fill="auto"/>
            <w:vAlign w:val="center"/>
          </w:tcPr>
          <w:p w14:paraId="717442FE">
            <w:pPr>
              <w:spacing w:line="440" w:lineRule="exact"/>
              <w:ind w:firstLine="0" w:firstLineChars="0"/>
              <w:rPr>
                <w:rFonts w:hint="eastAsia" w:ascii="仿宋" w:hAnsi="仿宋" w:eastAsia="仿宋" w:cs="仿宋"/>
                <w:color w:val="auto"/>
                <w:sz w:val="24"/>
                <w:highlight w:val="none"/>
              </w:rPr>
            </w:pPr>
            <w:r>
              <w:rPr>
                <w:rFonts w:hint="eastAsia" w:ascii="仿宋" w:hAnsi="仿宋" w:eastAsia="仿宋" w:cs="仿宋"/>
                <w:color w:val="auto"/>
                <w:sz w:val="24"/>
                <w:highlight w:val="none"/>
              </w:rPr>
              <w:t>供应商承诺接到采购人有服务需求的通知（电话、电传等）后2小时内到现场响应得</w:t>
            </w:r>
            <w:r>
              <w:rPr>
                <w:rFonts w:hint="eastAsia" w:ascii="仿宋" w:hAnsi="仿宋" w:eastAsia="仿宋" w:cs="仿宋"/>
                <w:color w:val="auto"/>
                <w:sz w:val="24"/>
                <w:highlight w:val="none"/>
                <w:lang w:val="en-US" w:eastAsia="zh-CN"/>
              </w:rPr>
              <w:t>5</w:t>
            </w:r>
            <w:r>
              <w:rPr>
                <w:rFonts w:hint="eastAsia" w:ascii="仿宋" w:hAnsi="仿宋" w:eastAsia="仿宋" w:cs="仿宋"/>
                <w:color w:val="auto"/>
                <w:sz w:val="24"/>
                <w:highlight w:val="none"/>
              </w:rPr>
              <w:t>分，每减少0.5小时加1分，最</w:t>
            </w:r>
            <w:r>
              <w:rPr>
                <w:rFonts w:hint="eastAsia" w:ascii="仿宋" w:hAnsi="仿宋" w:eastAsia="仿宋" w:cs="仿宋"/>
                <w:color w:val="auto"/>
                <w:sz w:val="24"/>
                <w:highlight w:val="none"/>
                <w:lang w:val="en-US" w:eastAsia="zh-CN"/>
              </w:rPr>
              <w:t>多加</w:t>
            </w:r>
            <w:r>
              <w:rPr>
                <w:rFonts w:hint="eastAsia" w:ascii="仿宋" w:hAnsi="仿宋" w:eastAsia="仿宋" w:cs="仿宋"/>
                <w:color w:val="auto"/>
                <w:sz w:val="24"/>
                <w:highlight w:val="none"/>
              </w:rPr>
              <w:t>3分。</w:t>
            </w:r>
          </w:p>
          <w:p w14:paraId="3EF26B43">
            <w:pPr>
              <w:spacing w:line="440" w:lineRule="exact"/>
              <w:rPr>
                <w:rFonts w:hint="eastAsia" w:ascii="仿宋" w:hAnsi="仿宋" w:eastAsia="仿宋" w:cs="仿宋"/>
                <w:b/>
                <w:bCs/>
                <w:i w:val="0"/>
                <w:iCs w:val="0"/>
                <w:color w:val="auto"/>
                <w:sz w:val="24"/>
                <w:szCs w:val="24"/>
                <w:highlight w:val="none"/>
                <w:u w:val="single"/>
              </w:rPr>
            </w:pPr>
            <w:r>
              <w:rPr>
                <w:rFonts w:hint="eastAsia" w:ascii="仿宋" w:hAnsi="仿宋" w:eastAsia="仿宋" w:cs="仿宋"/>
                <w:b/>
                <w:bCs/>
                <w:color w:val="auto"/>
                <w:sz w:val="24"/>
                <w:highlight w:val="none"/>
                <w:u w:val="single"/>
              </w:rPr>
              <w:t>注</w:t>
            </w:r>
            <w:r>
              <w:rPr>
                <w:rFonts w:hint="eastAsia" w:ascii="仿宋" w:hAnsi="仿宋" w:eastAsia="仿宋" w:cs="仿宋"/>
                <w:b/>
                <w:bCs/>
                <w:color w:val="auto"/>
                <w:sz w:val="24"/>
                <w:highlight w:val="none"/>
                <w:u w:val="single"/>
                <w:lang w:val="en-US" w:eastAsia="zh-CN"/>
              </w:rPr>
              <w:t>.</w:t>
            </w:r>
            <w:r>
              <w:rPr>
                <w:rFonts w:hint="eastAsia" w:ascii="仿宋" w:hAnsi="仿宋" w:eastAsia="仿宋" w:cs="仿宋"/>
                <w:b/>
                <w:bCs/>
                <w:color w:val="auto"/>
                <w:sz w:val="24"/>
                <w:highlight w:val="none"/>
                <w:u w:val="single"/>
              </w:rPr>
              <w:t>未提供承诺不得分</w:t>
            </w:r>
            <w:r>
              <w:rPr>
                <w:rFonts w:hint="eastAsia" w:ascii="仿宋" w:hAnsi="仿宋" w:eastAsia="仿宋" w:cs="仿宋"/>
                <w:b/>
                <w:bCs/>
                <w:color w:val="auto"/>
                <w:sz w:val="24"/>
                <w:highlight w:val="none"/>
                <w:u w:val="single"/>
                <w:lang w:eastAsia="zh-CN"/>
              </w:rPr>
              <w:t>，</w:t>
            </w:r>
            <w:r>
              <w:rPr>
                <w:rFonts w:hint="eastAsia" w:ascii="仿宋" w:hAnsi="仿宋" w:eastAsia="仿宋" w:cs="仿宋"/>
                <w:b/>
                <w:bCs/>
                <w:color w:val="auto"/>
                <w:sz w:val="24"/>
                <w:highlight w:val="none"/>
                <w:u w:val="single"/>
              </w:rPr>
              <w:t>承诺函自拟。</w:t>
            </w:r>
          </w:p>
        </w:tc>
        <w:tc>
          <w:tcPr>
            <w:tcW w:w="991" w:type="dxa"/>
            <w:tcBorders>
              <w:tl2br w:val="nil"/>
              <w:tr2bl w:val="nil"/>
            </w:tcBorders>
            <w:shd w:val="clear" w:color="auto" w:fill="auto"/>
            <w:vAlign w:val="center"/>
          </w:tcPr>
          <w:p w14:paraId="1D04D678">
            <w:pPr>
              <w:spacing w:line="440" w:lineRule="exact"/>
              <w:jc w:val="center"/>
              <w:rPr>
                <w:rFonts w:hint="eastAsia" w:ascii="仿宋" w:hAnsi="仿宋" w:eastAsia="仿宋" w:cs="仿宋"/>
                <w:b/>
                <w:bCs/>
                <w:i w:val="0"/>
                <w:iCs w:val="0"/>
                <w:color w:val="auto"/>
                <w:sz w:val="24"/>
                <w:szCs w:val="24"/>
                <w:highlight w:val="none"/>
                <w:u w:val="none"/>
              </w:rPr>
            </w:pPr>
            <w:r>
              <w:rPr>
                <w:rFonts w:hint="eastAsia" w:ascii="仿宋" w:hAnsi="仿宋" w:eastAsia="仿宋" w:cs="仿宋"/>
                <w:color w:val="auto"/>
                <w:sz w:val="24"/>
                <w:highlight w:val="none"/>
                <w:lang w:val="en-US" w:eastAsia="zh-CN"/>
              </w:rPr>
              <w:t>0-8分</w:t>
            </w:r>
          </w:p>
        </w:tc>
      </w:tr>
      <w:tr w14:paraId="3335650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425" w:hRule="atLeast"/>
        </w:trPr>
        <w:tc>
          <w:tcPr>
            <w:tcW w:w="705" w:type="dxa"/>
            <w:tcBorders>
              <w:tl2br w:val="nil"/>
              <w:tr2bl w:val="nil"/>
            </w:tcBorders>
            <w:shd w:val="clear" w:color="auto" w:fill="auto"/>
            <w:vAlign w:val="center"/>
          </w:tcPr>
          <w:p w14:paraId="1E57915E">
            <w:pPr>
              <w:keepNext w:val="0"/>
              <w:keepLines w:val="0"/>
              <w:widowControl/>
              <w:suppressLineNumbers w:val="0"/>
              <w:jc w:val="center"/>
              <w:textAlignment w:val="center"/>
              <w:rPr>
                <w:rFonts w:hint="eastAsia" w:ascii="仿宋" w:hAnsi="仿宋" w:eastAsia="仿宋" w:cs="仿宋"/>
                <w:b/>
                <w:bCs/>
                <w:i w:val="0"/>
                <w:iCs w:val="0"/>
                <w:color w:val="auto"/>
                <w:sz w:val="24"/>
                <w:szCs w:val="24"/>
                <w:highlight w:val="none"/>
                <w:u w:val="none"/>
                <w:lang w:val="en-US" w:eastAsia="zh-CN"/>
              </w:rPr>
            </w:pPr>
            <w:r>
              <w:rPr>
                <w:rFonts w:hint="eastAsia" w:ascii="仿宋" w:hAnsi="仿宋" w:eastAsia="仿宋" w:cs="仿宋"/>
                <w:b/>
                <w:bCs/>
                <w:i w:val="0"/>
                <w:iCs w:val="0"/>
                <w:color w:val="auto"/>
                <w:sz w:val="24"/>
                <w:szCs w:val="24"/>
                <w:highlight w:val="none"/>
                <w:u w:val="none"/>
                <w:lang w:val="en-US" w:eastAsia="zh-CN"/>
              </w:rPr>
              <w:t>7</w:t>
            </w:r>
          </w:p>
        </w:tc>
        <w:tc>
          <w:tcPr>
            <w:tcW w:w="1275" w:type="dxa"/>
            <w:tcBorders>
              <w:tl2br w:val="nil"/>
              <w:tr2bl w:val="nil"/>
            </w:tcBorders>
            <w:shd w:val="clear" w:color="auto" w:fill="auto"/>
            <w:vAlign w:val="center"/>
          </w:tcPr>
          <w:p w14:paraId="06DF66D1">
            <w:pPr>
              <w:spacing w:line="440" w:lineRule="exact"/>
              <w:rPr>
                <w:rFonts w:hint="eastAsia" w:ascii="仿宋" w:hAnsi="仿宋" w:eastAsia="仿宋" w:cs="仿宋"/>
                <w:b/>
                <w:bCs/>
                <w:i w:val="0"/>
                <w:iCs w:val="0"/>
                <w:color w:val="auto"/>
                <w:kern w:val="2"/>
                <w:sz w:val="24"/>
                <w:szCs w:val="24"/>
                <w:highlight w:val="none"/>
                <w:u w:val="none"/>
                <w:lang w:val="en-US" w:eastAsia="zh-CN" w:bidi="ar-SA"/>
              </w:rPr>
            </w:pPr>
            <w:r>
              <w:rPr>
                <w:rFonts w:hint="eastAsia" w:ascii="仿宋" w:hAnsi="仿宋" w:eastAsia="仿宋" w:cs="仿宋"/>
                <w:b/>
                <w:bCs/>
                <w:color w:val="auto"/>
                <w:sz w:val="24"/>
                <w:highlight w:val="none"/>
              </w:rPr>
              <w:t>企业荣誉</w:t>
            </w:r>
          </w:p>
        </w:tc>
        <w:tc>
          <w:tcPr>
            <w:tcW w:w="7350" w:type="dxa"/>
            <w:tcBorders>
              <w:tl2br w:val="nil"/>
              <w:tr2bl w:val="nil"/>
            </w:tcBorders>
            <w:shd w:val="clear" w:color="auto" w:fill="auto"/>
            <w:vAlign w:val="center"/>
          </w:tcPr>
          <w:p w14:paraId="797BC580">
            <w:pPr>
              <w:spacing w:line="440" w:lineRule="exact"/>
              <w:ind w:firstLine="0" w:firstLineChars="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val="en-US" w:eastAsia="zh-CN"/>
              </w:rPr>
              <w:t>根据</w:t>
            </w:r>
            <w:r>
              <w:rPr>
                <w:rFonts w:hint="eastAsia" w:ascii="仿宋" w:hAnsi="仿宋" w:eastAsia="仿宋" w:cs="仿宋"/>
                <w:color w:val="auto"/>
                <w:sz w:val="24"/>
                <w:highlight w:val="none"/>
              </w:rPr>
              <w:t>供应商提供</w:t>
            </w:r>
            <w:r>
              <w:rPr>
                <w:rFonts w:hint="eastAsia" w:ascii="仿宋" w:hAnsi="仿宋" w:eastAsia="仿宋" w:cs="仿宋"/>
                <w:color w:val="auto"/>
                <w:sz w:val="24"/>
                <w:highlight w:val="none"/>
                <w:lang w:val="en-US" w:eastAsia="zh-CN"/>
              </w:rPr>
              <w:t>的自</w:t>
            </w:r>
            <w:r>
              <w:rPr>
                <w:rFonts w:hint="eastAsia" w:ascii="仿宋" w:hAnsi="仿宋" w:eastAsia="仿宋" w:cs="仿宋"/>
                <w:color w:val="auto"/>
                <w:sz w:val="24"/>
                <w:highlight w:val="none"/>
              </w:rPr>
              <w:t>202</w:t>
            </w:r>
            <w:r>
              <w:rPr>
                <w:rFonts w:hint="eastAsia" w:ascii="仿宋" w:hAnsi="仿宋" w:eastAsia="仿宋" w:cs="仿宋"/>
                <w:color w:val="auto"/>
                <w:sz w:val="24"/>
                <w:highlight w:val="none"/>
                <w:lang w:val="en-US" w:eastAsia="zh-CN"/>
              </w:rPr>
              <w:t>2</w:t>
            </w:r>
            <w:r>
              <w:rPr>
                <w:rFonts w:hint="eastAsia" w:ascii="仿宋" w:hAnsi="仿宋" w:eastAsia="仿宋" w:cs="仿宋"/>
                <w:color w:val="auto"/>
                <w:sz w:val="24"/>
                <w:highlight w:val="none"/>
              </w:rPr>
              <w:t>年1月1日至今</w:t>
            </w:r>
            <w:r>
              <w:rPr>
                <w:rFonts w:hint="eastAsia" w:ascii="仿宋" w:hAnsi="仿宋" w:eastAsia="仿宋" w:cs="仿宋"/>
                <w:color w:val="auto"/>
                <w:kern w:val="2"/>
                <w:sz w:val="24"/>
                <w:szCs w:val="24"/>
                <w:highlight w:val="none"/>
              </w:rPr>
              <w:t>政府行政职能部门授予</w:t>
            </w:r>
            <w:r>
              <w:rPr>
                <w:rFonts w:hint="eastAsia" w:ascii="仿宋" w:hAnsi="仿宋" w:eastAsia="仿宋" w:cs="仿宋"/>
                <w:color w:val="auto"/>
                <w:sz w:val="24"/>
                <w:szCs w:val="24"/>
                <w:highlight w:val="none"/>
              </w:rPr>
              <w:t>的企业荣誉进行评分</w:t>
            </w:r>
            <w:r>
              <w:rPr>
                <w:rFonts w:hint="eastAsia" w:ascii="仿宋" w:hAnsi="仿宋" w:eastAsia="仿宋" w:cs="仿宋"/>
                <w:color w:val="auto"/>
                <w:sz w:val="24"/>
                <w:highlight w:val="none"/>
                <w:lang w:eastAsia="zh-CN"/>
              </w:rPr>
              <w:t>：</w:t>
            </w:r>
          </w:p>
          <w:p w14:paraId="4F2779A5">
            <w:pPr>
              <w:numPr>
                <w:ilvl w:val="-1"/>
                <w:numId w:val="0"/>
              </w:numPr>
              <w:spacing w:line="440" w:lineRule="exact"/>
              <w:ind w:firstLine="0" w:firstLineChars="0"/>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1、</w:t>
            </w:r>
            <w:r>
              <w:rPr>
                <w:rFonts w:hint="eastAsia" w:ascii="仿宋" w:hAnsi="仿宋" w:eastAsia="仿宋" w:cs="仿宋"/>
                <w:color w:val="auto"/>
                <w:sz w:val="24"/>
                <w:highlight w:val="none"/>
              </w:rPr>
              <w:t>获得过国家级，包含国务院所属的部、委、办、局授予的荣誉得</w:t>
            </w:r>
            <w:r>
              <w:rPr>
                <w:rFonts w:hint="eastAsia" w:ascii="仿宋" w:hAnsi="仿宋" w:eastAsia="仿宋" w:cs="仿宋"/>
                <w:color w:val="auto"/>
                <w:sz w:val="24"/>
                <w:highlight w:val="none"/>
                <w:lang w:val="en-US" w:eastAsia="zh-CN"/>
              </w:rPr>
              <w:t>10</w:t>
            </w:r>
            <w:r>
              <w:rPr>
                <w:rFonts w:hint="eastAsia" w:ascii="仿宋" w:hAnsi="仿宋" w:eastAsia="仿宋" w:cs="仿宋"/>
                <w:color w:val="auto"/>
                <w:sz w:val="24"/>
                <w:highlight w:val="none"/>
              </w:rPr>
              <w:t>分；</w:t>
            </w:r>
          </w:p>
          <w:p w14:paraId="2DC644EF">
            <w:pPr>
              <w:numPr>
                <w:ilvl w:val="-1"/>
                <w:numId w:val="0"/>
              </w:numPr>
              <w:spacing w:line="440" w:lineRule="exact"/>
              <w:ind w:firstLine="0" w:firstLineChars="0"/>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2、</w:t>
            </w:r>
            <w:r>
              <w:rPr>
                <w:rFonts w:hint="eastAsia" w:ascii="仿宋" w:hAnsi="仿宋" w:eastAsia="仿宋" w:cs="仿宋"/>
                <w:color w:val="auto"/>
                <w:sz w:val="24"/>
                <w:highlight w:val="none"/>
              </w:rPr>
              <w:t>获得过省级，包含省政府所属的部、委、办、局（厅）、授予的荣誉得</w:t>
            </w:r>
            <w:r>
              <w:rPr>
                <w:rFonts w:hint="eastAsia" w:ascii="仿宋" w:hAnsi="仿宋" w:eastAsia="仿宋" w:cs="仿宋"/>
                <w:color w:val="auto"/>
                <w:sz w:val="24"/>
                <w:highlight w:val="none"/>
                <w:lang w:val="en-US" w:eastAsia="zh-CN"/>
              </w:rPr>
              <w:t>7</w:t>
            </w:r>
            <w:r>
              <w:rPr>
                <w:rFonts w:hint="eastAsia" w:ascii="仿宋" w:hAnsi="仿宋" w:eastAsia="仿宋" w:cs="仿宋"/>
                <w:color w:val="auto"/>
                <w:sz w:val="24"/>
                <w:highlight w:val="none"/>
              </w:rPr>
              <w:t>分；</w:t>
            </w:r>
          </w:p>
          <w:p w14:paraId="7F820D28">
            <w:pPr>
              <w:numPr>
                <w:ilvl w:val="-1"/>
                <w:numId w:val="0"/>
              </w:numPr>
              <w:spacing w:line="440" w:lineRule="exact"/>
              <w:ind w:firstLine="0" w:firstLineChars="0"/>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3、</w:t>
            </w:r>
            <w:r>
              <w:rPr>
                <w:rFonts w:hint="eastAsia" w:ascii="仿宋" w:hAnsi="仿宋" w:eastAsia="仿宋" w:cs="仿宋"/>
                <w:color w:val="auto"/>
                <w:sz w:val="24"/>
                <w:highlight w:val="none"/>
              </w:rPr>
              <w:t>获得过市级，包含市政府所属的部、委、办、局或区、县政府授予的荣誉得</w:t>
            </w:r>
            <w:r>
              <w:rPr>
                <w:rFonts w:hint="eastAsia" w:ascii="仿宋" w:hAnsi="仿宋" w:eastAsia="仿宋" w:cs="仿宋"/>
                <w:color w:val="auto"/>
                <w:sz w:val="24"/>
                <w:highlight w:val="none"/>
                <w:lang w:val="en-US" w:eastAsia="zh-CN"/>
              </w:rPr>
              <w:t>3</w:t>
            </w:r>
            <w:r>
              <w:rPr>
                <w:rFonts w:hint="eastAsia" w:ascii="仿宋" w:hAnsi="仿宋" w:eastAsia="仿宋" w:cs="仿宋"/>
                <w:color w:val="auto"/>
                <w:sz w:val="24"/>
                <w:highlight w:val="none"/>
              </w:rPr>
              <w:t>分</w:t>
            </w:r>
            <w:r>
              <w:rPr>
                <w:rFonts w:hint="eastAsia" w:ascii="仿宋" w:hAnsi="仿宋" w:eastAsia="仿宋" w:cs="仿宋"/>
                <w:color w:val="auto"/>
                <w:sz w:val="24"/>
                <w:highlight w:val="none"/>
                <w:lang w:eastAsia="zh-CN"/>
              </w:rPr>
              <w:t>。</w:t>
            </w:r>
          </w:p>
          <w:p w14:paraId="1ADCB3C4">
            <w:pPr>
              <w:spacing w:line="440" w:lineRule="exact"/>
              <w:rPr>
                <w:rFonts w:hint="eastAsia" w:ascii="宋体" w:hAnsi="宋体" w:eastAsia="宋体" w:cs="宋体"/>
                <w:color w:val="auto"/>
                <w:kern w:val="2"/>
                <w:sz w:val="24"/>
                <w:szCs w:val="24"/>
                <w:highlight w:val="none"/>
                <w:lang w:val="en-US" w:eastAsia="zh-CN" w:bidi="ar-SA"/>
              </w:rPr>
            </w:pPr>
            <w:r>
              <w:rPr>
                <w:rFonts w:hint="eastAsia" w:ascii="仿宋" w:hAnsi="仿宋" w:eastAsia="仿宋" w:cs="仿宋"/>
                <w:b/>
                <w:bCs/>
                <w:color w:val="auto"/>
                <w:sz w:val="24"/>
                <w:highlight w:val="none"/>
                <w:u w:val="none"/>
              </w:rPr>
              <w:t>注</w:t>
            </w:r>
            <w:r>
              <w:rPr>
                <w:rFonts w:hint="eastAsia" w:ascii="仿宋" w:hAnsi="仿宋" w:eastAsia="仿宋" w:cs="仿宋"/>
                <w:b/>
                <w:bCs/>
                <w:color w:val="auto"/>
                <w:sz w:val="24"/>
                <w:highlight w:val="none"/>
                <w:u w:val="none"/>
                <w:lang w:val="en-US" w:eastAsia="zh-CN"/>
              </w:rPr>
              <w:t>.</w:t>
            </w:r>
            <w:r>
              <w:rPr>
                <w:rFonts w:hint="eastAsia" w:ascii="仿宋" w:hAnsi="仿宋" w:eastAsia="仿宋" w:cs="仿宋"/>
                <w:b/>
                <w:bCs/>
                <w:color w:val="auto"/>
                <w:sz w:val="24"/>
                <w:highlight w:val="none"/>
                <w:u w:val="none"/>
              </w:rPr>
              <w:t>本项最高得</w:t>
            </w:r>
            <w:r>
              <w:rPr>
                <w:rFonts w:hint="eastAsia" w:ascii="仿宋" w:hAnsi="仿宋" w:eastAsia="仿宋" w:cs="仿宋"/>
                <w:b/>
                <w:bCs/>
                <w:color w:val="auto"/>
                <w:sz w:val="24"/>
                <w:highlight w:val="none"/>
                <w:u w:val="none"/>
                <w:lang w:val="en-US" w:eastAsia="zh-CN"/>
              </w:rPr>
              <w:t>10</w:t>
            </w:r>
            <w:r>
              <w:rPr>
                <w:rFonts w:hint="eastAsia" w:ascii="仿宋" w:hAnsi="仿宋" w:eastAsia="仿宋" w:cs="仿宋"/>
                <w:b/>
                <w:bCs/>
                <w:color w:val="auto"/>
                <w:sz w:val="24"/>
                <w:highlight w:val="none"/>
                <w:u w:val="none"/>
              </w:rPr>
              <w:t>分。</w:t>
            </w:r>
            <w:r>
              <w:rPr>
                <w:rFonts w:hint="eastAsia" w:ascii="仿宋_GB2312" w:hAnsi="仿宋_GB2312" w:eastAsia="仿宋_GB2312" w:cs="仿宋_GB2312"/>
                <w:b/>
                <w:bCs/>
                <w:color w:val="auto"/>
                <w:sz w:val="24"/>
                <w:szCs w:val="24"/>
                <w:highlight w:val="none"/>
                <w:lang w:val="en-US" w:eastAsia="zh-CN"/>
              </w:rPr>
              <w:t>提供荣誉证书或获奖文件，</w:t>
            </w:r>
            <w:r>
              <w:rPr>
                <w:rFonts w:hint="eastAsia" w:ascii="仿宋_GB2312" w:hAnsi="仿宋_GB2312" w:eastAsia="仿宋_GB2312" w:cs="仿宋_GB2312"/>
                <w:b/>
                <w:bCs/>
                <w:color w:val="auto"/>
                <w:sz w:val="24"/>
                <w:szCs w:val="24"/>
                <w:highlight w:val="none"/>
              </w:rPr>
              <w:t>复印件</w:t>
            </w:r>
            <w:r>
              <w:rPr>
                <w:rFonts w:hint="eastAsia" w:ascii="仿宋_GB2312" w:hAnsi="仿宋_GB2312" w:eastAsia="仿宋_GB2312" w:cs="仿宋_GB2312"/>
                <w:b/>
                <w:bCs/>
                <w:color w:val="auto"/>
                <w:sz w:val="24"/>
                <w:szCs w:val="24"/>
                <w:highlight w:val="none"/>
                <w:lang w:eastAsia="zh-CN"/>
              </w:rPr>
              <w:t>（</w:t>
            </w:r>
            <w:r>
              <w:rPr>
                <w:rFonts w:hint="eastAsia" w:ascii="仿宋_GB2312" w:hAnsi="仿宋_GB2312" w:eastAsia="仿宋_GB2312" w:cs="仿宋_GB2312"/>
                <w:b/>
                <w:bCs/>
                <w:color w:val="auto"/>
                <w:sz w:val="24"/>
                <w:szCs w:val="24"/>
                <w:highlight w:val="none"/>
                <w:lang w:val="en-US" w:eastAsia="zh-CN"/>
              </w:rPr>
              <w:t>或扫描件</w:t>
            </w:r>
            <w:r>
              <w:rPr>
                <w:rFonts w:hint="eastAsia" w:ascii="仿宋_GB2312" w:hAnsi="仿宋_GB2312" w:eastAsia="仿宋_GB2312" w:cs="仿宋_GB2312"/>
                <w:b/>
                <w:bCs/>
                <w:color w:val="auto"/>
                <w:sz w:val="24"/>
                <w:szCs w:val="24"/>
                <w:highlight w:val="none"/>
                <w:lang w:eastAsia="zh-CN"/>
              </w:rPr>
              <w:t>）</w:t>
            </w:r>
            <w:r>
              <w:rPr>
                <w:rFonts w:hint="eastAsia" w:ascii="仿宋_GB2312" w:hAnsi="仿宋_GB2312" w:eastAsia="仿宋_GB2312" w:cs="仿宋_GB2312"/>
                <w:b/>
                <w:bCs/>
                <w:color w:val="auto"/>
                <w:sz w:val="24"/>
                <w:szCs w:val="24"/>
                <w:highlight w:val="none"/>
              </w:rPr>
              <w:t>并加盖</w:t>
            </w:r>
            <w:r>
              <w:rPr>
                <w:rFonts w:hint="eastAsia" w:ascii="仿宋_GB2312" w:hAnsi="仿宋_GB2312" w:eastAsia="仿宋_GB2312" w:cs="仿宋_GB2312"/>
                <w:b/>
                <w:bCs/>
                <w:color w:val="auto"/>
                <w:sz w:val="24"/>
                <w:szCs w:val="24"/>
                <w:highlight w:val="none"/>
                <w:lang w:val="en-US" w:eastAsia="zh-CN"/>
              </w:rPr>
              <w:t>供应商单位</w:t>
            </w:r>
            <w:r>
              <w:rPr>
                <w:rFonts w:hint="eastAsia" w:ascii="仿宋_GB2312" w:hAnsi="仿宋_GB2312" w:eastAsia="仿宋_GB2312" w:cs="仿宋_GB2312"/>
                <w:b/>
                <w:bCs/>
                <w:color w:val="auto"/>
                <w:sz w:val="24"/>
                <w:szCs w:val="24"/>
                <w:highlight w:val="none"/>
              </w:rPr>
              <w:t>公章</w:t>
            </w:r>
            <w:r>
              <w:rPr>
                <w:rFonts w:hint="eastAsia" w:ascii="仿宋_GB2312" w:hAnsi="仿宋_GB2312" w:eastAsia="仿宋_GB2312" w:cs="仿宋_GB2312"/>
                <w:b/>
                <w:bCs/>
                <w:color w:val="auto"/>
                <w:sz w:val="24"/>
                <w:szCs w:val="24"/>
                <w:highlight w:val="none"/>
                <w:lang w:eastAsia="zh-CN"/>
              </w:rPr>
              <w:t>，</w:t>
            </w:r>
            <w:r>
              <w:rPr>
                <w:rFonts w:hint="eastAsia" w:ascii="仿宋_GB2312" w:hAnsi="仿宋_GB2312" w:eastAsia="仿宋_GB2312" w:cs="仿宋_GB2312"/>
                <w:b/>
                <w:bCs/>
                <w:color w:val="auto"/>
                <w:sz w:val="24"/>
                <w:szCs w:val="24"/>
                <w:highlight w:val="none"/>
                <w:lang w:val="en-US" w:eastAsia="zh-CN"/>
              </w:rPr>
              <w:t>证书上未体现单位名称的，请提供相应证明文件，否则不计分。</w:t>
            </w:r>
          </w:p>
        </w:tc>
        <w:tc>
          <w:tcPr>
            <w:tcW w:w="991" w:type="dxa"/>
            <w:tcBorders>
              <w:tl2br w:val="nil"/>
              <w:tr2bl w:val="nil"/>
            </w:tcBorders>
            <w:shd w:val="clear" w:color="auto" w:fill="auto"/>
            <w:vAlign w:val="center"/>
          </w:tcPr>
          <w:p w14:paraId="77E00752">
            <w:pPr>
              <w:spacing w:line="440" w:lineRule="exact"/>
              <w:jc w:val="center"/>
              <w:rPr>
                <w:rFonts w:hint="eastAsia" w:ascii="仿宋" w:hAnsi="仿宋" w:eastAsia="仿宋" w:cs="仿宋"/>
                <w:b/>
                <w:bCs/>
                <w:i w:val="0"/>
                <w:iCs w:val="0"/>
                <w:color w:val="auto"/>
                <w:kern w:val="2"/>
                <w:sz w:val="24"/>
                <w:szCs w:val="24"/>
                <w:highlight w:val="none"/>
                <w:u w:val="none"/>
                <w:lang w:val="en-US" w:eastAsia="zh-CN" w:bidi="ar-SA"/>
              </w:rPr>
            </w:pPr>
            <w:r>
              <w:rPr>
                <w:rFonts w:hint="eastAsia" w:ascii="仿宋" w:hAnsi="仿宋" w:eastAsia="仿宋" w:cs="仿宋"/>
                <w:color w:val="auto"/>
                <w:sz w:val="24"/>
                <w:highlight w:val="none"/>
                <w:lang w:val="en-US" w:eastAsia="zh-CN"/>
              </w:rPr>
              <w:t>0-10</w:t>
            </w:r>
            <w:r>
              <w:rPr>
                <w:rFonts w:hint="eastAsia" w:ascii="仿宋" w:hAnsi="仿宋" w:eastAsia="仿宋" w:cs="仿宋"/>
                <w:color w:val="auto"/>
                <w:sz w:val="24"/>
                <w:highlight w:val="none"/>
              </w:rPr>
              <w:t>分</w:t>
            </w:r>
          </w:p>
        </w:tc>
      </w:tr>
      <w:tr w14:paraId="57CE391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408" w:hRule="atLeast"/>
        </w:trPr>
        <w:tc>
          <w:tcPr>
            <w:tcW w:w="705" w:type="dxa"/>
            <w:tcBorders>
              <w:tl2br w:val="nil"/>
              <w:tr2bl w:val="nil"/>
            </w:tcBorders>
            <w:shd w:val="clear" w:color="auto" w:fill="auto"/>
            <w:vAlign w:val="center"/>
          </w:tcPr>
          <w:p w14:paraId="18ED0539">
            <w:pPr>
              <w:keepNext w:val="0"/>
              <w:keepLines w:val="0"/>
              <w:widowControl/>
              <w:suppressLineNumbers w:val="0"/>
              <w:jc w:val="center"/>
              <w:textAlignment w:val="center"/>
              <w:rPr>
                <w:rFonts w:hint="default" w:ascii="仿宋" w:hAnsi="仿宋" w:eastAsia="仿宋" w:cs="仿宋"/>
                <w:b/>
                <w:bCs/>
                <w:i w:val="0"/>
                <w:iCs w:val="0"/>
                <w:color w:val="auto"/>
                <w:kern w:val="0"/>
                <w:sz w:val="24"/>
                <w:szCs w:val="24"/>
                <w:highlight w:val="none"/>
                <w:u w:val="none"/>
                <w:lang w:val="en-US" w:eastAsia="zh-CN" w:bidi="ar"/>
              </w:rPr>
            </w:pPr>
            <w:r>
              <w:rPr>
                <w:rFonts w:hint="eastAsia" w:ascii="仿宋" w:hAnsi="仿宋" w:eastAsia="仿宋" w:cs="仿宋"/>
                <w:b/>
                <w:bCs/>
                <w:i w:val="0"/>
                <w:iCs w:val="0"/>
                <w:color w:val="auto"/>
                <w:kern w:val="0"/>
                <w:sz w:val="24"/>
                <w:szCs w:val="24"/>
                <w:highlight w:val="none"/>
                <w:u w:val="none"/>
                <w:lang w:val="en-US" w:eastAsia="zh-CN" w:bidi="ar"/>
              </w:rPr>
              <w:t>8</w:t>
            </w:r>
          </w:p>
        </w:tc>
        <w:tc>
          <w:tcPr>
            <w:tcW w:w="1275" w:type="dxa"/>
            <w:tcBorders>
              <w:tl2br w:val="nil"/>
              <w:tr2bl w:val="nil"/>
            </w:tcBorders>
            <w:shd w:val="clear" w:color="auto" w:fill="auto"/>
            <w:vAlign w:val="center"/>
          </w:tcPr>
          <w:p w14:paraId="4504F6A2">
            <w:pPr>
              <w:spacing w:line="440" w:lineRule="exact"/>
              <w:rPr>
                <w:rFonts w:hint="eastAsia" w:ascii="仿宋" w:hAnsi="仿宋" w:eastAsia="仿宋" w:cs="仿宋"/>
                <w:b/>
                <w:bCs/>
                <w:i w:val="0"/>
                <w:iCs w:val="0"/>
                <w:color w:val="auto"/>
                <w:kern w:val="2"/>
                <w:sz w:val="24"/>
                <w:szCs w:val="24"/>
                <w:highlight w:val="none"/>
                <w:u w:val="none"/>
                <w:lang w:val="en-US" w:eastAsia="zh-CN" w:bidi="ar-SA"/>
              </w:rPr>
            </w:pPr>
            <w:r>
              <w:rPr>
                <w:rFonts w:hint="eastAsia" w:ascii="仿宋" w:hAnsi="仿宋" w:eastAsia="仿宋" w:cs="仿宋"/>
                <w:b/>
                <w:bCs/>
                <w:color w:val="auto"/>
                <w:sz w:val="24"/>
                <w:highlight w:val="none"/>
              </w:rPr>
              <w:t>企业业绩</w:t>
            </w:r>
          </w:p>
        </w:tc>
        <w:tc>
          <w:tcPr>
            <w:tcW w:w="7350" w:type="dxa"/>
            <w:tcBorders>
              <w:tl2br w:val="nil"/>
              <w:tr2bl w:val="nil"/>
            </w:tcBorders>
            <w:shd w:val="clear" w:color="auto" w:fill="auto"/>
            <w:vAlign w:val="center"/>
          </w:tcPr>
          <w:p w14:paraId="4678EF35">
            <w:pPr>
              <w:spacing w:line="440" w:lineRule="exact"/>
              <w:ind w:firstLine="0"/>
              <w:rPr>
                <w:rFonts w:hint="eastAsia" w:ascii="仿宋" w:hAnsi="仿宋" w:eastAsia="仿宋" w:cs="仿宋"/>
                <w:color w:val="auto"/>
                <w:sz w:val="24"/>
                <w:highlight w:val="none"/>
              </w:rPr>
            </w:pPr>
            <w:r>
              <w:rPr>
                <w:rFonts w:hint="eastAsia" w:ascii="仿宋" w:hAnsi="仿宋" w:eastAsia="仿宋" w:cs="仿宋"/>
                <w:bCs/>
                <w:color w:val="auto"/>
                <w:sz w:val="24"/>
                <w:highlight w:val="none"/>
              </w:rPr>
              <w:t>根据供应商提供的自202</w:t>
            </w:r>
            <w:r>
              <w:rPr>
                <w:rFonts w:hint="eastAsia" w:ascii="仿宋" w:hAnsi="仿宋" w:eastAsia="仿宋" w:cs="仿宋"/>
                <w:bCs/>
                <w:color w:val="auto"/>
                <w:sz w:val="24"/>
                <w:highlight w:val="none"/>
                <w:lang w:val="en-US" w:eastAsia="zh-CN"/>
              </w:rPr>
              <w:t>2</w:t>
            </w:r>
            <w:r>
              <w:rPr>
                <w:rFonts w:hint="eastAsia" w:ascii="仿宋" w:hAnsi="仿宋" w:eastAsia="仿宋" w:cs="仿宋"/>
                <w:bCs/>
                <w:color w:val="auto"/>
                <w:sz w:val="24"/>
                <w:highlight w:val="none"/>
              </w:rPr>
              <w:t>年1月1日起至</w:t>
            </w:r>
            <w:r>
              <w:rPr>
                <w:rFonts w:hint="eastAsia" w:ascii="仿宋" w:hAnsi="仿宋" w:eastAsia="仿宋" w:cs="仿宋"/>
                <w:bCs/>
                <w:color w:val="auto"/>
                <w:sz w:val="24"/>
                <w:highlight w:val="none"/>
                <w:lang w:eastAsia="zh-CN"/>
              </w:rPr>
              <w:t>磋商</w:t>
            </w:r>
            <w:r>
              <w:rPr>
                <w:rFonts w:hint="eastAsia" w:ascii="仿宋" w:hAnsi="仿宋" w:eastAsia="仿宋" w:cs="仿宋"/>
                <w:bCs/>
                <w:color w:val="auto"/>
                <w:sz w:val="24"/>
                <w:highlight w:val="none"/>
              </w:rPr>
              <w:t>截止日前（以合同签订时间为准）同类（成功举办过体育赛事）</w:t>
            </w:r>
            <w:r>
              <w:rPr>
                <w:rFonts w:hint="eastAsia" w:ascii="仿宋" w:hAnsi="仿宋" w:eastAsia="仿宋" w:cs="仿宋"/>
                <w:color w:val="auto"/>
                <w:sz w:val="24"/>
                <w:highlight w:val="none"/>
              </w:rPr>
              <w:t>项目的成功案例，每提供一份有效合同得</w:t>
            </w:r>
            <w:r>
              <w:rPr>
                <w:rFonts w:hint="eastAsia" w:ascii="仿宋" w:hAnsi="仿宋" w:eastAsia="仿宋" w:cs="仿宋"/>
                <w:color w:val="auto"/>
                <w:sz w:val="24"/>
                <w:highlight w:val="none"/>
                <w:lang w:val="en-US" w:eastAsia="zh-CN"/>
              </w:rPr>
              <w:t>1</w:t>
            </w:r>
            <w:r>
              <w:rPr>
                <w:rFonts w:hint="eastAsia" w:ascii="仿宋" w:hAnsi="仿宋" w:eastAsia="仿宋" w:cs="仿宋"/>
                <w:color w:val="auto"/>
                <w:sz w:val="24"/>
                <w:highlight w:val="none"/>
              </w:rPr>
              <w:t>分，最</w:t>
            </w:r>
            <w:r>
              <w:rPr>
                <w:rFonts w:hint="eastAsia" w:ascii="仿宋" w:hAnsi="仿宋" w:eastAsia="仿宋" w:cs="仿宋"/>
                <w:color w:val="auto"/>
                <w:sz w:val="24"/>
                <w:highlight w:val="none"/>
                <w:lang w:val="en-US" w:eastAsia="zh-CN"/>
              </w:rPr>
              <w:t>多得2</w:t>
            </w:r>
            <w:r>
              <w:rPr>
                <w:rFonts w:hint="eastAsia" w:ascii="仿宋" w:hAnsi="仿宋" w:eastAsia="仿宋" w:cs="仿宋"/>
                <w:color w:val="auto"/>
                <w:sz w:val="24"/>
                <w:highlight w:val="none"/>
              </w:rPr>
              <w:t>分。</w:t>
            </w:r>
          </w:p>
          <w:p w14:paraId="3B5B66C2">
            <w:pPr>
              <w:spacing w:line="440" w:lineRule="exact"/>
              <w:rPr>
                <w:rFonts w:hint="eastAsia" w:ascii="仿宋" w:hAnsi="仿宋" w:eastAsia="仿宋" w:cs="仿宋"/>
                <w:i w:val="0"/>
                <w:iCs w:val="0"/>
                <w:color w:val="auto"/>
                <w:kern w:val="2"/>
                <w:sz w:val="24"/>
                <w:szCs w:val="24"/>
                <w:highlight w:val="none"/>
                <w:u w:val="none"/>
                <w:lang w:val="en-US" w:eastAsia="zh-CN" w:bidi="ar-SA"/>
              </w:rPr>
            </w:pPr>
            <w:r>
              <w:rPr>
                <w:rFonts w:hint="eastAsia" w:ascii="仿宋" w:hAnsi="仿宋" w:eastAsia="仿宋" w:cs="仿宋"/>
                <w:b/>
                <w:bCs/>
                <w:color w:val="auto"/>
                <w:sz w:val="24"/>
                <w:highlight w:val="none"/>
                <w:u w:val="none"/>
              </w:rPr>
              <w:t>注</w:t>
            </w:r>
            <w:r>
              <w:rPr>
                <w:rFonts w:hint="eastAsia" w:ascii="仿宋" w:hAnsi="仿宋" w:eastAsia="仿宋" w:cs="仿宋"/>
                <w:b/>
                <w:bCs/>
                <w:color w:val="auto"/>
                <w:sz w:val="24"/>
                <w:highlight w:val="none"/>
                <w:u w:val="none"/>
                <w:lang w:val="en-US" w:eastAsia="zh-CN"/>
              </w:rPr>
              <w:t>.</w:t>
            </w:r>
            <w:r>
              <w:rPr>
                <w:rFonts w:hint="eastAsia" w:ascii="仿宋" w:hAnsi="仿宋" w:eastAsia="仿宋" w:cs="仿宋"/>
                <w:b/>
                <w:color w:val="auto"/>
                <w:sz w:val="24"/>
                <w:highlight w:val="none"/>
                <w:u w:val="none"/>
              </w:rPr>
              <w:t>供应商须提供合同复印件（或扫描件）并加盖供应商公章。</w:t>
            </w:r>
          </w:p>
        </w:tc>
        <w:tc>
          <w:tcPr>
            <w:tcW w:w="991" w:type="dxa"/>
            <w:tcBorders>
              <w:tl2br w:val="nil"/>
              <w:tr2bl w:val="nil"/>
            </w:tcBorders>
            <w:shd w:val="clear" w:color="auto" w:fill="auto"/>
            <w:vAlign w:val="center"/>
          </w:tcPr>
          <w:p w14:paraId="05C0DDB1">
            <w:pPr>
              <w:spacing w:line="440" w:lineRule="exact"/>
              <w:jc w:val="center"/>
              <w:rPr>
                <w:rFonts w:hint="eastAsia" w:ascii="仿宋" w:hAnsi="仿宋" w:eastAsia="仿宋" w:cs="仿宋"/>
                <w:b/>
                <w:bCs/>
                <w:i w:val="0"/>
                <w:iCs w:val="0"/>
                <w:color w:val="auto"/>
                <w:kern w:val="2"/>
                <w:sz w:val="24"/>
                <w:szCs w:val="24"/>
                <w:highlight w:val="none"/>
                <w:u w:val="none"/>
                <w:lang w:val="en-US" w:eastAsia="zh-CN" w:bidi="ar-SA"/>
              </w:rPr>
            </w:pPr>
            <w:r>
              <w:rPr>
                <w:rFonts w:hint="eastAsia" w:ascii="仿宋" w:hAnsi="仿宋" w:eastAsia="仿宋" w:cs="仿宋"/>
                <w:color w:val="auto"/>
                <w:sz w:val="24"/>
                <w:highlight w:val="none"/>
                <w:lang w:val="en-US" w:eastAsia="zh-CN"/>
              </w:rPr>
              <w:t>0-2</w:t>
            </w:r>
            <w:r>
              <w:rPr>
                <w:rFonts w:hint="eastAsia" w:ascii="仿宋" w:hAnsi="仿宋" w:eastAsia="仿宋" w:cs="仿宋"/>
                <w:color w:val="auto"/>
                <w:sz w:val="24"/>
                <w:highlight w:val="none"/>
              </w:rPr>
              <w:t>分</w:t>
            </w:r>
          </w:p>
        </w:tc>
      </w:tr>
    </w:tbl>
    <w:p w14:paraId="7E08CE56">
      <w:pPr>
        <w:spacing w:line="240" w:lineRule="auto"/>
        <w:ind w:right="0" w:rightChars="0"/>
        <w:rPr>
          <w:rFonts w:hint="eastAsia" w:ascii="仿宋" w:hAnsi="仿宋" w:eastAsia="仿宋" w:cs="仿宋"/>
          <w:color w:val="auto"/>
          <w:highlight w:val="none"/>
          <w:lang w:eastAsia="zh-CN"/>
        </w:rPr>
      </w:pPr>
    </w:p>
    <w:sectPr>
      <w:headerReference r:id="rId7" w:type="default"/>
      <w:footerReference r:id="rId8" w:type="default"/>
      <w:pgSz w:w="11906" w:h="16838"/>
      <w:pgMar w:top="1361" w:right="1247" w:bottom="1372" w:left="1247" w:header="851" w:footer="850" w:gutter="0"/>
      <w:pgNumType w:fmt="decimal"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roman"/>
    <w:pitch w:val="default"/>
    <w:sig w:usb0="E0002EFF" w:usb1="C000785B"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Helvetica">
    <w:altName w:val="Arial"/>
    <w:panose1 w:val="020B0604020202020204"/>
    <w:charset w:val="00"/>
    <w:family w:val="swiss"/>
    <w:pitch w:val="default"/>
    <w:sig w:usb0="00000000" w:usb1="00000000" w:usb2="00000000" w:usb3="00000000" w:csb0="00000001" w:csb1="00000000"/>
  </w:font>
  <w:font w:name="Verdana">
    <w:panose1 w:val="020B0604030504040204"/>
    <w:charset w:val="00"/>
    <w:family w:val="swiss"/>
    <w:pitch w:val="default"/>
    <w:sig w:usb0="A00006FF" w:usb1="4000205B" w:usb2="0000001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9E55F9">
    <w:pPr>
      <w:pStyle w:val="20"/>
      <w:ind w:right="360"/>
      <w:jc w:val="center"/>
      <w:rPr>
        <w:rFonts w:ascii="仿宋" w:hAnsi="仿宋" w:eastAsia="仿宋" w:cs="仿宋"/>
        <w:sz w:val="21"/>
        <w:szCs w:val="21"/>
      </w:rPr>
    </w:pPr>
    <w:r>
      <w:rPr>
        <w:rFonts w:hint="eastAsia" w:ascii="仿宋" w:hAnsi="仿宋" w:eastAsia="仿宋" w:cs="仿宋"/>
        <w:sz w:val="21"/>
        <w:szCs w:val="21"/>
        <w:u w:val="single"/>
        <w:shd w:val="pct10" w:color="auto" w:fill="FFFFFF"/>
      </w:rPr>
      <w:t>浙江新诚信工程咨询有限公司                                0572-2615598</w:t>
    </w:r>
  </w:p>
  <w:p w14:paraId="775D4B46">
    <w:pPr>
      <w:pStyle w:val="20"/>
      <w:jc w:val="center"/>
      <w:rPr>
        <w:rFonts w:ascii="仿宋" w:hAnsi="仿宋" w:eastAsia="仿宋" w:cs="仿宋"/>
        <w:sz w:val="21"/>
        <w:szCs w:val="21"/>
      </w:rPr>
    </w:pPr>
  </w:p>
  <w:p w14:paraId="0ABB1796">
    <w:pPr>
      <w:pStyle w:val="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5C12B2">
    <w:pPr>
      <w:pStyle w:val="20"/>
      <w:ind w:right="360"/>
      <w:jc w:val="center"/>
      <w:rPr>
        <w:rFonts w:ascii="仿宋" w:hAnsi="仿宋" w:eastAsia="仿宋" w:cs="仿宋"/>
        <w:sz w:val="21"/>
        <w:szCs w:val="21"/>
      </w:rPr>
    </w:pPr>
    <w:r>
      <w:rPr>
        <w:rFonts w:hint="eastAsia" w:ascii="仿宋" w:hAnsi="仿宋" w:eastAsia="仿宋" w:cs="仿宋"/>
        <w:sz w:val="21"/>
        <w:szCs w:val="21"/>
        <w:u w:val="single"/>
        <w:shd w:val="pct10" w:color="auto" w:fill="FFFFFF"/>
      </w:rPr>
      <w:t>浙江新诚信工程咨询有限公司                                0572-2615598</w:t>
    </w:r>
  </w:p>
  <w:p w14:paraId="160C8B4D">
    <w:pPr>
      <w:pStyle w:val="20"/>
      <w:jc w:val="center"/>
      <w:rPr>
        <w:rFonts w:ascii="仿宋" w:hAnsi="仿宋" w:eastAsia="仿宋" w:cs="仿宋"/>
        <w:sz w:val="21"/>
        <w:szCs w:val="21"/>
      </w:rPr>
    </w:pPr>
  </w:p>
  <w:p w14:paraId="115BCD59">
    <w:pPr>
      <w:pStyle w:val="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90AE8B">
    <w:pPr>
      <w:pStyle w:val="2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31E9D5">
    <w:pPr>
      <w:pStyle w:val="2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195580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0E96807C">
                          <w:pPr>
                            <w:pStyle w:val="20"/>
                            <w:rPr>
                              <w:rStyle w:val="31"/>
                            </w:rPr>
                          </w:pPr>
                          <w:r>
                            <w:rPr>
                              <w:rStyle w:val="31"/>
                            </w:rPr>
                            <w:fldChar w:fldCharType="begin"/>
                          </w:r>
                          <w:r>
                            <w:rPr>
                              <w:rStyle w:val="31"/>
                            </w:rPr>
                            <w:instrText xml:space="preserve"> PAGE  \* MERGEFORMAT </w:instrText>
                          </w:r>
                          <w:r>
                            <w:rPr>
                              <w:rStyle w:val="31"/>
                            </w:rPr>
                            <w:fldChar w:fldCharType="separate"/>
                          </w:r>
                          <w:r>
                            <w:rPr>
                              <w:rStyle w:val="31"/>
                            </w:rPr>
                            <w:t>1</w:t>
                          </w:r>
                          <w:r>
                            <w:rPr>
                              <w:rStyle w:val="31"/>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15.4pt;height:144pt;width:144pt;mso-position-horizontal:center;mso-position-horizontal-relative:margin;mso-wrap-style:none;z-index:251659264;mso-width-relative:page;mso-height-relative:page;" filled="f" stroked="f" coordsize="21600,21600" o:gfxdata="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GBRZELTAAAABwEAAA8AAAAAAAAAAQAgAAAAIgAAAGRycy9kb3ducmV2LnhtbFBLAQIU&#10;ABQAAAAIAIdO4kCG8Zm0MQIAAGMEAAAOAAAAAAAAAAEAIAAAACIBAABkcnMvZTJvRG9jLnhtbFBL&#10;BQYAAAAABgAGAFkBAADFBQAAAAA=&#10;">
              <v:fill on="f" focussize="0,0"/>
              <v:stroke on="f" weight="0.5pt"/>
              <v:imagedata o:title=""/>
              <o:lock v:ext="edit" aspectratio="f"/>
              <v:textbox inset="0mm,0mm,0mm,0mm" style="mso-fit-shape-to-text:t;">
                <w:txbxContent>
                  <w:p w14:paraId="0E96807C">
                    <w:pPr>
                      <w:pStyle w:val="20"/>
                      <w:rPr>
                        <w:rStyle w:val="31"/>
                      </w:rPr>
                    </w:pPr>
                    <w:r>
                      <w:rPr>
                        <w:rStyle w:val="31"/>
                      </w:rPr>
                      <w:fldChar w:fldCharType="begin"/>
                    </w:r>
                    <w:r>
                      <w:rPr>
                        <w:rStyle w:val="31"/>
                      </w:rPr>
                      <w:instrText xml:space="preserve"> PAGE  \* MERGEFORMAT </w:instrText>
                    </w:r>
                    <w:r>
                      <w:rPr>
                        <w:rStyle w:val="31"/>
                      </w:rPr>
                      <w:fldChar w:fldCharType="separate"/>
                    </w:r>
                    <w:r>
                      <w:rPr>
                        <w:rStyle w:val="31"/>
                      </w:rPr>
                      <w:t>1</w:t>
                    </w:r>
                    <w:r>
                      <w:rPr>
                        <w:rStyle w:val="31"/>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7CDD2A">
    <w:pPr>
      <w:pStyle w:val="21"/>
      <w:pBdr>
        <w:bottom w:val="none" w:color="auto" w:sz="0" w:space="1"/>
      </w:pBdr>
      <w:ind w:left="7770" w:hanging="7770" w:hangingChars="3700"/>
      <w:jc w:val="left"/>
      <w:rPr>
        <w:rFonts w:ascii="仿宋" w:hAnsi="仿宋" w:eastAsia="仿宋" w:cs="仿宋"/>
        <w:sz w:val="21"/>
        <w:szCs w:val="21"/>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5C6FF2">
    <w:pPr>
      <w:widowControl/>
      <w:spacing w:line="660" w:lineRule="exact"/>
      <w:rPr>
        <w:rFonts w:ascii="仿宋" w:hAnsi="仿宋" w:eastAsia="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E57D5BD"/>
    <w:multiLevelType w:val="singleLevel"/>
    <w:tmpl w:val="DE57D5BD"/>
    <w:lvl w:ilvl="0" w:tentative="0">
      <w:start w:val="1"/>
      <w:numFmt w:val="chineseCounting"/>
      <w:suff w:val="nothing"/>
      <w:lvlText w:val="%1、"/>
      <w:lvlJc w:val="left"/>
      <w:rPr>
        <w:rFonts w:hint="eastAsia"/>
      </w:rPr>
    </w:lvl>
  </w:abstractNum>
  <w:abstractNum w:abstractNumId="1">
    <w:nsid w:val="0210A811"/>
    <w:multiLevelType w:val="singleLevel"/>
    <w:tmpl w:val="0210A811"/>
    <w:lvl w:ilvl="0" w:tentative="0">
      <w:start w:val="2"/>
      <w:numFmt w:val="decimal"/>
      <w:suff w:val="nothing"/>
      <w:lvlText w:val="%1、"/>
      <w:lvlJc w:val="left"/>
    </w:lvl>
  </w:abstractNum>
  <w:abstractNum w:abstractNumId="2">
    <w:nsid w:val="177F1145"/>
    <w:multiLevelType w:val="multilevel"/>
    <w:tmpl w:val="177F1145"/>
    <w:lvl w:ilvl="0" w:tentative="0">
      <w:start w:val="1"/>
      <w:numFmt w:val="japaneseCounting"/>
      <w:lvlText w:val="第%1章"/>
      <w:lvlJc w:val="left"/>
      <w:pPr>
        <w:ind w:left="1320" w:hanging="13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3E39D6FF"/>
    <w:multiLevelType w:val="singleLevel"/>
    <w:tmpl w:val="3E39D6FF"/>
    <w:lvl w:ilvl="0" w:tentative="0">
      <w:start w:val="1"/>
      <w:numFmt w:val="chineseCounting"/>
      <w:suff w:val="space"/>
      <w:lvlText w:val="第%1章"/>
      <w:lvlJc w:val="left"/>
      <w:rPr>
        <w:rFonts w:hint="eastAsia"/>
      </w:rPr>
    </w:lvl>
  </w:abstractNum>
  <w:abstractNum w:abstractNumId="4">
    <w:nsid w:val="4CA46F2E"/>
    <w:multiLevelType w:val="multilevel"/>
    <w:tmpl w:val="4CA46F2E"/>
    <w:lvl w:ilvl="0" w:tentative="0">
      <w:start w:val="1"/>
      <w:numFmt w:val="decimal"/>
      <w:lvlText w:val="%1."/>
      <w:lvlJc w:val="left"/>
      <w:pPr>
        <w:ind w:left="432" w:hanging="432"/>
      </w:pPr>
      <w:rPr>
        <w:rFonts w:hint="default"/>
      </w:rPr>
    </w:lvl>
    <w:lvl w:ilvl="1" w:tentative="0">
      <w:start w:val="1"/>
      <w:numFmt w:val="decimal"/>
      <w:lvlText w:val="%1.%2."/>
      <w:lvlJc w:val="left"/>
      <w:pPr>
        <w:ind w:left="575" w:hanging="575"/>
      </w:pPr>
      <w:rPr>
        <w:rFonts w:hint="default"/>
      </w:rPr>
    </w:lvl>
    <w:lvl w:ilvl="2" w:tentative="0">
      <w:start w:val="1"/>
      <w:numFmt w:val="decimal"/>
      <w:pStyle w:val="4"/>
      <w:lvlText w:val="%1.%2.%3."/>
      <w:lvlJc w:val="left"/>
      <w:pPr>
        <w:ind w:left="720" w:hanging="720"/>
      </w:pPr>
      <w:rPr>
        <w:rFonts w:hint="default"/>
      </w:rPr>
    </w:lvl>
    <w:lvl w:ilvl="3" w:tentative="0">
      <w:start w:val="1"/>
      <w:numFmt w:val="decimal"/>
      <w:lvlText w:val="%1.%2.%3.%4."/>
      <w:lvlJc w:val="left"/>
      <w:pPr>
        <w:ind w:left="864" w:hanging="864"/>
      </w:pPr>
      <w:rPr>
        <w:rFonts w:hint="default"/>
      </w:rPr>
    </w:lvl>
    <w:lvl w:ilvl="4" w:tentative="0">
      <w:start w:val="1"/>
      <w:numFmt w:val="decimal"/>
      <w:pStyle w:val="6"/>
      <w:lvlText w:val="%1.%2.%3.%4.%5."/>
      <w:lvlJc w:val="left"/>
      <w:pPr>
        <w:ind w:left="1008" w:hanging="1008"/>
      </w:pPr>
      <w:rPr>
        <w:rFonts w:hint="default"/>
      </w:rPr>
    </w:lvl>
    <w:lvl w:ilvl="5" w:tentative="0">
      <w:start w:val="1"/>
      <w:numFmt w:val="decimal"/>
      <w:lvlText w:val="%1.%2.%3.%4.%5.%6."/>
      <w:lvlJc w:val="left"/>
      <w:pPr>
        <w:ind w:left="1151" w:hanging="1151"/>
      </w:pPr>
      <w:rPr>
        <w:rFonts w:hint="default"/>
      </w:rPr>
    </w:lvl>
    <w:lvl w:ilvl="6" w:tentative="0">
      <w:start w:val="1"/>
      <w:numFmt w:val="decimal"/>
      <w:lvlText w:val="%1.%2.%3.%4.%5.%6.%7."/>
      <w:lvlJc w:val="left"/>
      <w:pPr>
        <w:ind w:left="1296" w:hanging="1296"/>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583" w:hanging="1583"/>
      </w:pPr>
      <w:rPr>
        <w:rFonts w:hint="default"/>
      </w:rPr>
    </w:lvl>
  </w:abstractNum>
  <w:num w:numId="1">
    <w:abstractNumId w:val="4"/>
  </w:num>
  <w:num w:numId="2">
    <w:abstractNumId w:val="3"/>
  </w:num>
  <w:num w:numId="3">
    <w:abstractNumId w:val="2"/>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revisionView w:markup="0"/>
  <w:trackRevisions w:val="1"/>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YwMzdlMDU1MTc1YzQ3NzExMmIxNTAyNDE2NzA4MjgifQ=="/>
    <w:docVar w:name="KSO_WPS_MARK_KEY" w:val="bf0cebdd-ff94-4ef8-b352-e53529499eaf"/>
  </w:docVars>
  <w:rsids>
    <w:rsidRoot w:val="00172A27"/>
    <w:rsid w:val="00097F54"/>
    <w:rsid w:val="00100786"/>
    <w:rsid w:val="00172A27"/>
    <w:rsid w:val="00461156"/>
    <w:rsid w:val="009A5857"/>
    <w:rsid w:val="00B46961"/>
    <w:rsid w:val="00C72553"/>
    <w:rsid w:val="00C955C5"/>
    <w:rsid w:val="00D35A12"/>
    <w:rsid w:val="00E332D4"/>
    <w:rsid w:val="00F03612"/>
    <w:rsid w:val="00F470EA"/>
    <w:rsid w:val="013D4B60"/>
    <w:rsid w:val="01594AA8"/>
    <w:rsid w:val="015B73CA"/>
    <w:rsid w:val="019901BF"/>
    <w:rsid w:val="01C4065D"/>
    <w:rsid w:val="01EE10E5"/>
    <w:rsid w:val="023B4457"/>
    <w:rsid w:val="02436A73"/>
    <w:rsid w:val="02973924"/>
    <w:rsid w:val="02A1245A"/>
    <w:rsid w:val="02CA69C3"/>
    <w:rsid w:val="02D8723E"/>
    <w:rsid w:val="031B4DCD"/>
    <w:rsid w:val="03B40A04"/>
    <w:rsid w:val="03C66B76"/>
    <w:rsid w:val="042B2A2D"/>
    <w:rsid w:val="04385A96"/>
    <w:rsid w:val="04693B3D"/>
    <w:rsid w:val="04D82D56"/>
    <w:rsid w:val="052D1615"/>
    <w:rsid w:val="05372020"/>
    <w:rsid w:val="05907F65"/>
    <w:rsid w:val="05A4454E"/>
    <w:rsid w:val="05C23B25"/>
    <w:rsid w:val="05C537BE"/>
    <w:rsid w:val="05D2339D"/>
    <w:rsid w:val="0671352A"/>
    <w:rsid w:val="06820426"/>
    <w:rsid w:val="068943A3"/>
    <w:rsid w:val="06BB3CE5"/>
    <w:rsid w:val="070B26EF"/>
    <w:rsid w:val="072478F4"/>
    <w:rsid w:val="0771579B"/>
    <w:rsid w:val="07E15B19"/>
    <w:rsid w:val="080B4FC2"/>
    <w:rsid w:val="081B6C28"/>
    <w:rsid w:val="08246E93"/>
    <w:rsid w:val="082D0FEC"/>
    <w:rsid w:val="08557237"/>
    <w:rsid w:val="088F5575"/>
    <w:rsid w:val="08C63771"/>
    <w:rsid w:val="08CB75BD"/>
    <w:rsid w:val="0904563C"/>
    <w:rsid w:val="093A1CD8"/>
    <w:rsid w:val="093F3F82"/>
    <w:rsid w:val="09CC161A"/>
    <w:rsid w:val="0A2509B7"/>
    <w:rsid w:val="0A9915BA"/>
    <w:rsid w:val="0AB06A35"/>
    <w:rsid w:val="0ACB306F"/>
    <w:rsid w:val="0AD376B8"/>
    <w:rsid w:val="0ADA7B8E"/>
    <w:rsid w:val="0B1008C8"/>
    <w:rsid w:val="0B20482E"/>
    <w:rsid w:val="0B347FF6"/>
    <w:rsid w:val="0B4F7C07"/>
    <w:rsid w:val="0B64718D"/>
    <w:rsid w:val="0B6E767D"/>
    <w:rsid w:val="0B77573F"/>
    <w:rsid w:val="0BA92DF2"/>
    <w:rsid w:val="0BC0559A"/>
    <w:rsid w:val="0BC62A87"/>
    <w:rsid w:val="0BDE68A5"/>
    <w:rsid w:val="0BEB24AE"/>
    <w:rsid w:val="0C0158DF"/>
    <w:rsid w:val="0C07111F"/>
    <w:rsid w:val="0C0E2E19"/>
    <w:rsid w:val="0C2C180D"/>
    <w:rsid w:val="0C3255ED"/>
    <w:rsid w:val="0C3969CD"/>
    <w:rsid w:val="0C6A5B49"/>
    <w:rsid w:val="0CAE17F9"/>
    <w:rsid w:val="0CE71E24"/>
    <w:rsid w:val="0CF65BDD"/>
    <w:rsid w:val="0CFC185B"/>
    <w:rsid w:val="0D3B2BC7"/>
    <w:rsid w:val="0D646E08"/>
    <w:rsid w:val="0D690623"/>
    <w:rsid w:val="0DA341AF"/>
    <w:rsid w:val="0DD86730"/>
    <w:rsid w:val="0DF3026D"/>
    <w:rsid w:val="0E137E11"/>
    <w:rsid w:val="0E163CB6"/>
    <w:rsid w:val="0E3538B1"/>
    <w:rsid w:val="0E4512A2"/>
    <w:rsid w:val="0E5728E3"/>
    <w:rsid w:val="0EA32867"/>
    <w:rsid w:val="0F27485B"/>
    <w:rsid w:val="0F2B4043"/>
    <w:rsid w:val="0F36417B"/>
    <w:rsid w:val="0FA14F53"/>
    <w:rsid w:val="0FDF3286"/>
    <w:rsid w:val="10130D68"/>
    <w:rsid w:val="108B2B3B"/>
    <w:rsid w:val="10B7486C"/>
    <w:rsid w:val="10F5757C"/>
    <w:rsid w:val="111749F9"/>
    <w:rsid w:val="11617E2F"/>
    <w:rsid w:val="11861A0E"/>
    <w:rsid w:val="11D30DBF"/>
    <w:rsid w:val="120B614A"/>
    <w:rsid w:val="12135469"/>
    <w:rsid w:val="123B7D46"/>
    <w:rsid w:val="12A10CC2"/>
    <w:rsid w:val="12A149F8"/>
    <w:rsid w:val="12A72D69"/>
    <w:rsid w:val="12CD0AA7"/>
    <w:rsid w:val="12F26E2C"/>
    <w:rsid w:val="13141501"/>
    <w:rsid w:val="13164819"/>
    <w:rsid w:val="13242569"/>
    <w:rsid w:val="1335758E"/>
    <w:rsid w:val="133656E5"/>
    <w:rsid w:val="13944620"/>
    <w:rsid w:val="14135A37"/>
    <w:rsid w:val="141B26E0"/>
    <w:rsid w:val="14282CBE"/>
    <w:rsid w:val="1430271A"/>
    <w:rsid w:val="147B0A12"/>
    <w:rsid w:val="14993759"/>
    <w:rsid w:val="14F0527E"/>
    <w:rsid w:val="153100E0"/>
    <w:rsid w:val="15593193"/>
    <w:rsid w:val="15887DFB"/>
    <w:rsid w:val="15CB3977"/>
    <w:rsid w:val="15ED5270"/>
    <w:rsid w:val="16443A9D"/>
    <w:rsid w:val="16740EF4"/>
    <w:rsid w:val="16764CEA"/>
    <w:rsid w:val="16A77330"/>
    <w:rsid w:val="16B6444E"/>
    <w:rsid w:val="16CB6312"/>
    <w:rsid w:val="17005C7A"/>
    <w:rsid w:val="170F6114"/>
    <w:rsid w:val="17171279"/>
    <w:rsid w:val="1740285C"/>
    <w:rsid w:val="177D2588"/>
    <w:rsid w:val="17EB2569"/>
    <w:rsid w:val="17FAC4D3"/>
    <w:rsid w:val="183606C3"/>
    <w:rsid w:val="18801768"/>
    <w:rsid w:val="18E45469"/>
    <w:rsid w:val="19317DF2"/>
    <w:rsid w:val="193B23CF"/>
    <w:rsid w:val="19514BD9"/>
    <w:rsid w:val="19571D20"/>
    <w:rsid w:val="1990646A"/>
    <w:rsid w:val="19942328"/>
    <w:rsid w:val="19E35BF1"/>
    <w:rsid w:val="19F85670"/>
    <w:rsid w:val="1A05130C"/>
    <w:rsid w:val="1A7A70EF"/>
    <w:rsid w:val="1ABC72D1"/>
    <w:rsid w:val="1AD93112"/>
    <w:rsid w:val="1B276316"/>
    <w:rsid w:val="1B3F77E9"/>
    <w:rsid w:val="1B4F4DFB"/>
    <w:rsid w:val="1BE877C1"/>
    <w:rsid w:val="1C06768E"/>
    <w:rsid w:val="1C1A0C21"/>
    <w:rsid w:val="1C2F2E9F"/>
    <w:rsid w:val="1CA84555"/>
    <w:rsid w:val="1CCE7A03"/>
    <w:rsid w:val="1DA87390"/>
    <w:rsid w:val="1DFB7C65"/>
    <w:rsid w:val="1E035D66"/>
    <w:rsid w:val="1E327280"/>
    <w:rsid w:val="1EF603BC"/>
    <w:rsid w:val="1EF6339E"/>
    <w:rsid w:val="1F2418C4"/>
    <w:rsid w:val="1F505D79"/>
    <w:rsid w:val="1F6A6616"/>
    <w:rsid w:val="1F8C6C4C"/>
    <w:rsid w:val="1F961AC8"/>
    <w:rsid w:val="1FC37230"/>
    <w:rsid w:val="1FCB27B8"/>
    <w:rsid w:val="1FCF796F"/>
    <w:rsid w:val="1FEC4899"/>
    <w:rsid w:val="20922CB7"/>
    <w:rsid w:val="20A53B59"/>
    <w:rsid w:val="21AB6153"/>
    <w:rsid w:val="22063C17"/>
    <w:rsid w:val="223219B2"/>
    <w:rsid w:val="224A2BFB"/>
    <w:rsid w:val="2281728D"/>
    <w:rsid w:val="228A2AFC"/>
    <w:rsid w:val="22B54189"/>
    <w:rsid w:val="22BA6B35"/>
    <w:rsid w:val="22F64C82"/>
    <w:rsid w:val="232D20FA"/>
    <w:rsid w:val="237F7C33"/>
    <w:rsid w:val="23881862"/>
    <w:rsid w:val="23D1105D"/>
    <w:rsid w:val="23F54417"/>
    <w:rsid w:val="24935653"/>
    <w:rsid w:val="249A47EB"/>
    <w:rsid w:val="24A21A72"/>
    <w:rsid w:val="24E87D94"/>
    <w:rsid w:val="250E1CE4"/>
    <w:rsid w:val="25302054"/>
    <w:rsid w:val="25414148"/>
    <w:rsid w:val="25A4390E"/>
    <w:rsid w:val="262A5111"/>
    <w:rsid w:val="26373CBC"/>
    <w:rsid w:val="268D73AC"/>
    <w:rsid w:val="26915D55"/>
    <w:rsid w:val="269C249C"/>
    <w:rsid w:val="270333F6"/>
    <w:rsid w:val="2733555C"/>
    <w:rsid w:val="27797A29"/>
    <w:rsid w:val="2783150D"/>
    <w:rsid w:val="2814527D"/>
    <w:rsid w:val="2830745C"/>
    <w:rsid w:val="28365677"/>
    <w:rsid w:val="284449AE"/>
    <w:rsid w:val="285F106F"/>
    <w:rsid w:val="288874AD"/>
    <w:rsid w:val="289831A1"/>
    <w:rsid w:val="28D728F5"/>
    <w:rsid w:val="28DE3252"/>
    <w:rsid w:val="291034CC"/>
    <w:rsid w:val="29112458"/>
    <w:rsid w:val="291D4D0A"/>
    <w:rsid w:val="298927F8"/>
    <w:rsid w:val="29B8498C"/>
    <w:rsid w:val="29BE15C6"/>
    <w:rsid w:val="29E62F3B"/>
    <w:rsid w:val="2A233FCE"/>
    <w:rsid w:val="2A384496"/>
    <w:rsid w:val="2A492A2D"/>
    <w:rsid w:val="2A632E8A"/>
    <w:rsid w:val="2A787807"/>
    <w:rsid w:val="2A7953A1"/>
    <w:rsid w:val="2AC07052"/>
    <w:rsid w:val="2AD43590"/>
    <w:rsid w:val="2AE9491C"/>
    <w:rsid w:val="2B0214BD"/>
    <w:rsid w:val="2B0B3754"/>
    <w:rsid w:val="2B190124"/>
    <w:rsid w:val="2B552DF1"/>
    <w:rsid w:val="2BD8709E"/>
    <w:rsid w:val="2BE74A05"/>
    <w:rsid w:val="2BEC28A4"/>
    <w:rsid w:val="2BFB2E19"/>
    <w:rsid w:val="2C3F2F17"/>
    <w:rsid w:val="2C475AEE"/>
    <w:rsid w:val="2CAA6070"/>
    <w:rsid w:val="2CBB6D5D"/>
    <w:rsid w:val="2CC444C4"/>
    <w:rsid w:val="2CE832F7"/>
    <w:rsid w:val="2D0314F6"/>
    <w:rsid w:val="2D2773D1"/>
    <w:rsid w:val="2D2C2DED"/>
    <w:rsid w:val="2D6F38B7"/>
    <w:rsid w:val="2DEE4968"/>
    <w:rsid w:val="2E09179F"/>
    <w:rsid w:val="2E2020E1"/>
    <w:rsid w:val="2E8A2E93"/>
    <w:rsid w:val="2E9F2E49"/>
    <w:rsid w:val="2EAB2B9C"/>
    <w:rsid w:val="2EE87A66"/>
    <w:rsid w:val="2EF02C89"/>
    <w:rsid w:val="2EF8624D"/>
    <w:rsid w:val="2EFB6551"/>
    <w:rsid w:val="2F6A7BFA"/>
    <w:rsid w:val="2F9E6908"/>
    <w:rsid w:val="2FA26989"/>
    <w:rsid w:val="2FAA4FA4"/>
    <w:rsid w:val="30180020"/>
    <w:rsid w:val="302E5E9B"/>
    <w:rsid w:val="30497D75"/>
    <w:rsid w:val="304F650E"/>
    <w:rsid w:val="308253DB"/>
    <w:rsid w:val="31063B63"/>
    <w:rsid w:val="31267F1E"/>
    <w:rsid w:val="31300690"/>
    <w:rsid w:val="31482F68"/>
    <w:rsid w:val="31552F9F"/>
    <w:rsid w:val="315E7873"/>
    <w:rsid w:val="319525C0"/>
    <w:rsid w:val="31C335E3"/>
    <w:rsid w:val="31CC6AA5"/>
    <w:rsid w:val="3255145A"/>
    <w:rsid w:val="326205EA"/>
    <w:rsid w:val="32A004DC"/>
    <w:rsid w:val="32D50F5A"/>
    <w:rsid w:val="33013677"/>
    <w:rsid w:val="332E52E9"/>
    <w:rsid w:val="333B3FD9"/>
    <w:rsid w:val="33435798"/>
    <w:rsid w:val="33466BF6"/>
    <w:rsid w:val="3369543D"/>
    <w:rsid w:val="338A0FFE"/>
    <w:rsid w:val="33B31EB4"/>
    <w:rsid w:val="33C03E65"/>
    <w:rsid w:val="33C24980"/>
    <w:rsid w:val="33D623CD"/>
    <w:rsid w:val="33F92805"/>
    <w:rsid w:val="340547AC"/>
    <w:rsid w:val="3444432F"/>
    <w:rsid w:val="349A7A3F"/>
    <w:rsid w:val="34B85698"/>
    <w:rsid w:val="34F15104"/>
    <w:rsid w:val="35305866"/>
    <w:rsid w:val="35D7315E"/>
    <w:rsid w:val="35E3760C"/>
    <w:rsid w:val="360867E3"/>
    <w:rsid w:val="36765044"/>
    <w:rsid w:val="36D35A1E"/>
    <w:rsid w:val="36EE5669"/>
    <w:rsid w:val="370E607B"/>
    <w:rsid w:val="37441298"/>
    <w:rsid w:val="37725351"/>
    <w:rsid w:val="378B5DCC"/>
    <w:rsid w:val="381A2417"/>
    <w:rsid w:val="3838732A"/>
    <w:rsid w:val="387664FA"/>
    <w:rsid w:val="387A07E5"/>
    <w:rsid w:val="38A26F76"/>
    <w:rsid w:val="38A320EF"/>
    <w:rsid w:val="38B669E3"/>
    <w:rsid w:val="39E67C4A"/>
    <w:rsid w:val="39F64DC7"/>
    <w:rsid w:val="3A0B34EA"/>
    <w:rsid w:val="3A3A3B2A"/>
    <w:rsid w:val="3A4C711F"/>
    <w:rsid w:val="3B2640A1"/>
    <w:rsid w:val="3B3910A0"/>
    <w:rsid w:val="3B3C195C"/>
    <w:rsid w:val="3B45726A"/>
    <w:rsid w:val="3B4856EB"/>
    <w:rsid w:val="3B646736"/>
    <w:rsid w:val="3B6F09CF"/>
    <w:rsid w:val="3B7D5E85"/>
    <w:rsid w:val="3B8829D4"/>
    <w:rsid w:val="3BDD3C05"/>
    <w:rsid w:val="3C3209F8"/>
    <w:rsid w:val="3C342695"/>
    <w:rsid w:val="3C62707C"/>
    <w:rsid w:val="3CD10311"/>
    <w:rsid w:val="3CEB2520"/>
    <w:rsid w:val="3D001434"/>
    <w:rsid w:val="3D0038A0"/>
    <w:rsid w:val="3D053ED7"/>
    <w:rsid w:val="3D5D60A8"/>
    <w:rsid w:val="3DC201B3"/>
    <w:rsid w:val="3DC924E9"/>
    <w:rsid w:val="3DD57961"/>
    <w:rsid w:val="3DFE4168"/>
    <w:rsid w:val="3E1201FF"/>
    <w:rsid w:val="3E5B3103"/>
    <w:rsid w:val="3E667279"/>
    <w:rsid w:val="3E78202C"/>
    <w:rsid w:val="3F42139D"/>
    <w:rsid w:val="3F454EB3"/>
    <w:rsid w:val="3F5600D8"/>
    <w:rsid w:val="3F634A8A"/>
    <w:rsid w:val="3F664BFC"/>
    <w:rsid w:val="3F861B34"/>
    <w:rsid w:val="3FA037AF"/>
    <w:rsid w:val="3FAB3381"/>
    <w:rsid w:val="3FBB1A3C"/>
    <w:rsid w:val="3FD37E62"/>
    <w:rsid w:val="401A3413"/>
    <w:rsid w:val="403C65F0"/>
    <w:rsid w:val="4113053B"/>
    <w:rsid w:val="412A4986"/>
    <w:rsid w:val="413127D1"/>
    <w:rsid w:val="415D4B3C"/>
    <w:rsid w:val="418424EB"/>
    <w:rsid w:val="41B31CF9"/>
    <w:rsid w:val="41E06866"/>
    <w:rsid w:val="41E43C4C"/>
    <w:rsid w:val="42192802"/>
    <w:rsid w:val="423C5C2A"/>
    <w:rsid w:val="4243251F"/>
    <w:rsid w:val="42A145F4"/>
    <w:rsid w:val="42B653D8"/>
    <w:rsid w:val="42D9110E"/>
    <w:rsid w:val="431959A7"/>
    <w:rsid w:val="435E5276"/>
    <w:rsid w:val="43E75F34"/>
    <w:rsid w:val="44383774"/>
    <w:rsid w:val="447B39B3"/>
    <w:rsid w:val="44991EDC"/>
    <w:rsid w:val="44D07F90"/>
    <w:rsid w:val="44E03886"/>
    <w:rsid w:val="44EB3285"/>
    <w:rsid w:val="451070A1"/>
    <w:rsid w:val="4528655A"/>
    <w:rsid w:val="45630CC0"/>
    <w:rsid w:val="457B2D49"/>
    <w:rsid w:val="459E0B1A"/>
    <w:rsid w:val="45BF52DB"/>
    <w:rsid w:val="45C30031"/>
    <w:rsid w:val="45DC5C7F"/>
    <w:rsid w:val="460F771A"/>
    <w:rsid w:val="462417D4"/>
    <w:rsid w:val="464956A3"/>
    <w:rsid w:val="464B3AF8"/>
    <w:rsid w:val="464F25F8"/>
    <w:rsid w:val="46C44412"/>
    <w:rsid w:val="46DC70FD"/>
    <w:rsid w:val="470775A3"/>
    <w:rsid w:val="47356752"/>
    <w:rsid w:val="47CD3790"/>
    <w:rsid w:val="47D864D4"/>
    <w:rsid w:val="4800348F"/>
    <w:rsid w:val="480C5D35"/>
    <w:rsid w:val="48234C0F"/>
    <w:rsid w:val="48271645"/>
    <w:rsid w:val="483D1C62"/>
    <w:rsid w:val="486B1FD7"/>
    <w:rsid w:val="48C12F4D"/>
    <w:rsid w:val="49211B63"/>
    <w:rsid w:val="49661035"/>
    <w:rsid w:val="49DA10FE"/>
    <w:rsid w:val="4A123756"/>
    <w:rsid w:val="4A1C197E"/>
    <w:rsid w:val="4A4C71A1"/>
    <w:rsid w:val="4A550FBD"/>
    <w:rsid w:val="4A773957"/>
    <w:rsid w:val="4A8065F0"/>
    <w:rsid w:val="4A9A7C03"/>
    <w:rsid w:val="4A9F0EFE"/>
    <w:rsid w:val="4AA778D1"/>
    <w:rsid w:val="4AA82F6B"/>
    <w:rsid w:val="4ACA72FB"/>
    <w:rsid w:val="4B1D60B4"/>
    <w:rsid w:val="4BB74194"/>
    <w:rsid w:val="4BB900ED"/>
    <w:rsid w:val="4BCE24FB"/>
    <w:rsid w:val="4BE814C6"/>
    <w:rsid w:val="4BF60E13"/>
    <w:rsid w:val="4C1244F7"/>
    <w:rsid w:val="4C29643C"/>
    <w:rsid w:val="4C441543"/>
    <w:rsid w:val="4C5E3F3B"/>
    <w:rsid w:val="4CA0731E"/>
    <w:rsid w:val="4CA85A8C"/>
    <w:rsid w:val="4CE42200"/>
    <w:rsid w:val="4D060757"/>
    <w:rsid w:val="4D490D09"/>
    <w:rsid w:val="4D963E29"/>
    <w:rsid w:val="4DA370C6"/>
    <w:rsid w:val="4DAC067B"/>
    <w:rsid w:val="4DB73B3A"/>
    <w:rsid w:val="4DC725B8"/>
    <w:rsid w:val="4DE414E3"/>
    <w:rsid w:val="4DF11073"/>
    <w:rsid w:val="4E094FEC"/>
    <w:rsid w:val="4E0B4E03"/>
    <w:rsid w:val="4E1E03F4"/>
    <w:rsid w:val="4E213FB1"/>
    <w:rsid w:val="4E246514"/>
    <w:rsid w:val="4E292B41"/>
    <w:rsid w:val="4E3B287B"/>
    <w:rsid w:val="4E526418"/>
    <w:rsid w:val="4E710F72"/>
    <w:rsid w:val="4E7A5B06"/>
    <w:rsid w:val="4E894AA6"/>
    <w:rsid w:val="4EF86F9D"/>
    <w:rsid w:val="4F0E0B39"/>
    <w:rsid w:val="4F1373BE"/>
    <w:rsid w:val="4F5C3E56"/>
    <w:rsid w:val="4F6E20F8"/>
    <w:rsid w:val="4FA36F0E"/>
    <w:rsid w:val="4FCD042A"/>
    <w:rsid w:val="50594CB7"/>
    <w:rsid w:val="506E2C10"/>
    <w:rsid w:val="50E52447"/>
    <w:rsid w:val="51051586"/>
    <w:rsid w:val="51331AED"/>
    <w:rsid w:val="51C838E3"/>
    <w:rsid w:val="51E33D99"/>
    <w:rsid w:val="51EB4B97"/>
    <w:rsid w:val="52103846"/>
    <w:rsid w:val="52360E0C"/>
    <w:rsid w:val="523942DD"/>
    <w:rsid w:val="524D4E26"/>
    <w:rsid w:val="5275657F"/>
    <w:rsid w:val="52866565"/>
    <w:rsid w:val="52DF5181"/>
    <w:rsid w:val="52EF3704"/>
    <w:rsid w:val="530214BD"/>
    <w:rsid w:val="53090C02"/>
    <w:rsid w:val="532F71C7"/>
    <w:rsid w:val="539D19BB"/>
    <w:rsid w:val="53A86C1F"/>
    <w:rsid w:val="53EC7F6B"/>
    <w:rsid w:val="54077C82"/>
    <w:rsid w:val="54A35CBB"/>
    <w:rsid w:val="54AF02B1"/>
    <w:rsid w:val="54D32A41"/>
    <w:rsid w:val="54E30B20"/>
    <w:rsid w:val="54F95460"/>
    <w:rsid w:val="54FB30C3"/>
    <w:rsid w:val="55456726"/>
    <w:rsid w:val="555A5DEC"/>
    <w:rsid w:val="555B3075"/>
    <w:rsid w:val="556B5097"/>
    <w:rsid w:val="55F25770"/>
    <w:rsid w:val="565E0296"/>
    <w:rsid w:val="568E14BC"/>
    <w:rsid w:val="56BC4005"/>
    <w:rsid w:val="56E81AE4"/>
    <w:rsid w:val="56EA1269"/>
    <w:rsid w:val="57072008"/>
    <w:rsid w:val="572341B6"/>
    <w:rsid w:val="57247B1F"/>
    <w:rsid w:val="57862D68"/>
    <w:rsid w:val="5799311F"/>
    <w:rsid w:val="57E36383"/>
    <w:rsid w:val="57F62CC3"/>
    <w:rsid w:val="581907B8"/>
    <w:rsid w:val="583E0CB1"/>
    <w:rsid w:val="585322D1"/>
    <w:rsid w:val="5871327B"/>
    <w:rsid w:val="58991383"/>
    <w:rsid w:val="58D03A3A"/>
    <w:rsid w:val="58D22B7F"/>
    <w:rsid w:val="5929028C"/>
    <w:rsid w:val="5934586C"/>
    <w:rsid w:val="596013A4"/>
    <w:rsid w:val="596A270D"/>
    <w:rsid w:val="59AF0A45"/>
    <w:rsid w:val="59CC0D4E"/>
    <w:rsid w:val="59DB2571"/>
    <w:rsid w:val="5A2426D0"/>
    <w:rsid w:val="5A710284"/>
    <w:rsid w:val="5A767910"/>
    <w:rsid w:val="5A7D391C"/>
    <w:rsid w:val="5A87548E"/>
    <w:rsid w:val="5A8A26E4"/>
    <w:rsid w:val="5ACA3FDF"/>
    <w:rsid w:val="5AE31B30"/>
    <w:rsid w:val="5B0E7B48"/>
    <w:rsid w:val="5B386973"/>
    <w:rsid w:val="5B5B7E08"/>
    <w:rsid w:val="5B62456B"/>
    <w:rsid w:val="5B694BE9"/>
    <w:rsid w:val="5BC86593"/>
    <w:rsid w:val="5C3A5362"/>
    <w:rsid w:val="5C3E6229"/>
    <w:rsid w:val="5C4A4966"/>
    <w:rsid w:val="5C6C59CD"/>
    <w:rsid w:val="5C970AB9"/>
    <w:rsid w:val="5CCB2E26"/>
    <w:rsid w:val="5CD1185B"/>
    <w:rsid w:val="5CD35D3E"/>
    <w:rsid w:val="5CE7404B"/>
    <w:rsid w:val="5D6A05DC"/>
    <w:rsid w:val="5D7F13FC"/>
    <w:rsid w:val="5DFA0558"/>
    <w:rsid w:val="5E147815"/>
    <w:rsid w:val="5E2F1776"/>
    <w:rsid w:val="5E541E21"/>
    <w:rsid w:val="5E7A26E4"/>
    <w:rsid w:val="5E9A2473"/>
    <w:rsid w:val="5EC26AB0"/>
    <w:rsid w:val="5F423DF6"/>
    <w:rsid w:val="5F4E49D2"/>
    <w:rsid w:val="5F641286"/>
    <w:rsid w:val="5FEE72CA"/>
    <w:rsid w:val="602010AE"/>
    <w:rsid w:val="60361BA1"/>
    <w:rsid w:val="605E5CF5"/>
    <w:rsid w:val="60786190"/>
    <w:rsid w:val="611575D5"/>
    <w:rsid w:val="61273D49"/>
    <w:rsid w:val="613025C6"/>
    <w:rsid w:val="614318D6"/>
    <w:rsid w:val="618A73AA"/>
    <w:rsid w:val="61E27004"/>
    <w:rsid w:val="620B4C69"/>
    <w:rsid w:val="620B4DE2"/>
    <w:rsid w:val="62220A71"/>
    <w:rsid w:val="6229295F"/>
    <w:rsid w:val="628A16C5"/>
    <w:rsid w:val="62C47861"/>
    <w:rsid w:val="63007459"/>
    <w:rsid w:val="63226E50"/>
    <w:rsid w:val="633A4C72"/>
    <w:rsid w:val="633D6D7A"/>
    <w:rsid w:val="63797AC3"/>
    <w:rsid w:val="63811457"/>
    <w:rsid w:val="63936E3D"/>
    <w:rsid w:val="63C57B95"/>
    <w:rsid w:val="63CE48B3"/>
    <w:rsid w:val="63D146D3"/>
    <w:rsid w:val="63D70ECA"/>
    <w:rsid w:val="645D3FD0"/>
    <w:rsid w:val="64615B78"/>
    <w:rsid w:val="648A2EBA"/>
    <w:rsid w:val="64E01F98"/>
    <w:rsid w:val="65221D5E"/>
    <w:rsid w:val="65235F13"/>
    <w:rsid w:val="653852E6"/>
    <w:rsid w:val="6569483A"/>
    <w:rsid w:val="65A43583"/>
    <w:rsid w:val="65C81BB4"/>
    <w:rsid w:val="663A016C"/>
    <w:rsid w:val="66540B05"/>
    <w:rsid w:val="667E2906"/>
    <w:rsid w:val="668A7943"/>
    <w:rsid w:val="6691078F"/>
    <w:rsid w:val="669B2A06"/>
    <w:rsid w:val="66BC3D6A"/>
    <w:rsid w:val="66E52CB4"/>
    <w:rsid w:val="66EF6B73"/>
    <w:rsid w:val="66F652E5"/>
    <w:rsid w:val="671F17EB"/>
    <w:rsid w:val="67211A33"/>
    <w:rsid w:val="673749DB"/>
    <w:rsid w:val="674A5482"/>
    <w:rsid w:val="67562CB8"/>
    <w:rsid w:val="67731D8A"/>
    <w:rsid w:val="677A1D46"/>
    <w:rsid w:val="6793565D"/>
    <w:rsid w:val="67F644A0"/>
    <w:rsid w:val="68025E35"/>
    <w:rsid w:val="68141B8B"/>
    <w:rsid w:val="681450EA"/>
    <w:rsid w:val="684A5B95"/>
    <w:rsid w:val="689C6793"/>
    <w:rsid w:val="68D75C06"/>
    <w:rsid w:val="6916677A"/>
    <w:rsid w:val="691804DB"/>
    <w:rsid w:val="694C6837"/>
    <w:rsid w:val="696E786B"/>
    <w:rsid w:val="69AB16BB"/>
    <w:rsid w:val="69BD19C1"/>
    <w:rsid w:val="6A1432B1"/>
    <w:rsid w:val="6A70682E"/>
    <w:rsid w:val="6ACE0985"/>
    <w:rsid w:val="6AD4435E"/>
    <w:rsid w:val="6AF814A5"/>
    <w:rsid w:val="6B4950A9"/>
    <w:rsid w:val="6B5109DA"/>
    <w:rsid w:val="6B6C2B09"/>
    <w:rsid w:val="6B740057"/>
    <w:rsid w:val="6B7A55A4"/>
    <w:rsid w:val="6B994AD4"/>
    <w:rsid w:val="6BA82C30"/>
    <w:rsid w:val="6BD76DDA"/>
    <w:rsid w:val="6BFC1338"/>
    <w:rsid w:val="6BFF1784"/>
    <w:rsid w:val="6C2E4B41"/>
    <w:rsid w:val="6C823BCB"/>
    <w:rsid w:val="6CAE44ED"/>
    <w:rsid w:val="6CC41357"/>
    <w:rsid w:val="6CF13D2F"/>
    <w:rsid w:val="6CF546C4"/>
    <w:rsid w:val="6D0E5786"/>
    <w:rsid w:val="6D3558E2"/>
    <w:rsid w:val="6D99465B"/>
    <w:rsid w:val="6DD5685C"/>
    <w:rsid w:val="6DF2085E"/>
    <w:rsid w:val="6E3379D9"/>
    <w:rsid w:val="6E37145A"/>
    <w:rsid w:val="6E671469"/>
    <w:rsid w:val="6E97376B"/>
    <w:rsid w:val="6ED4637D"/>
    <w:rsid w:val="6EF571EF"/>
    <w:rsid w:val="6F433E0D"/>
    <w:rsid w:val="6F4A42DA"/>
    <w:rsid w:val="6F652652"/>
    <w:rsid w:val="6F6C40D6"/>
    <w:rsid w:val="6F7EA9E9"/>
    <w:rsid w:val="6F873C8C"/>
    <w:rsid w:val="6FBB73E4"/>
    <w:rsid w:val="6FE75F47"/>
    <w:rsid w:val="70121EEF"/>
    <w:rsid w:val="70A96034"/>
    <w:rsid w:val="713B0382"/>
    <w:rsid w:val="718169FE"/>
    <w:rsid w:val="718F3E5B"/>
    <w:rsid w:val="71A1306D"/>
    <w:rsid w:val="71B75B64"/>
    <w:rsid w:val="71C829EA"/>
    <w:rsid w:val="72515C8C"/>
    <w:rsid w:val="728D39C8"/>
    <w:rsid w:val="72CD18F7"/>
    <w:rsid w:val="72E24852"/>
    <w:rsid w:val="73666B57"/>
    <w:rsid w:val="739A7603"/>
    <w:rsid w:val="73CD4756"/>
    <w:rsid w:val="73F94001"/>
    <w:rsid w:val="74122000"/>
    <w:rsid w:val="742F3CB1"/>
    <w:rsid w:val="74330669"/>
    <w:rsid w:val="746E2ABD"/>
    <w:rsid w:val="74777719"/>
    <w:rsid w:val="74852ECC"/>
    <w:rsid w:val="74A44223"/>
    <w:rsid w:val="74A67F54"/>
    <w:rsid w:val="74EA09B6"/>
    <w:rsid w:val="74F00563"/>
    <w:rsid w:val="74F556AA"/>
    <w:rsid w:val="74FF2F33"/>
    <w:rsid w:val="75130EA2"/>
    <w:rsid w:val="75CA08BE"/>
    <w:rsid w:val="75F51DD2"/>
    <w:rsid w:val="76515259"/>
    <w:rsid w:val="765637C0"/>
    <w:rsid w:val="76983B1E"/>
    <w:rsid w:val="76E121E0"/>
    <w:rsid w:val="773F40B1"/>
    <w:rsid w:val="77763C00"/>
    <w:rsid w:val="779D52B1"/>
    <w:rsid w:val="78704423"/>
    <w:rsid w:val="788F055B"/>
    <w:rsid w:val="78AC5046"/>
    <w:rsid w:val="78BB2C99"/>
    <w:rsid w:val="78E63D42"/>
    <w:rsid w:val="78F572F7"/>
    <w:rsid w:val="79216FB6"/>
    <w:rsid w:val="792A07ED"/>
    <w:rsid w:val="79445974"/>
    <w:rsid w:val="794C38BE"/>
    <w:rsid w:val="797D6FDD"/>
    <w:rsid w:val="798412AA"/>
    <w:rsid w:val="79C4103C"/>
    <w:rsid w:val="79C67B14"/>
    <w:rsid w:val="79F341C6"/>
    <w:rsid w:val="7A42133E"/>
    <w:rsid w:val="7A7D5833"/>
    <w:rsid w:val="7B1138F9"/>
    <w:rsid w:val="7B160EDC"/>
    <w:rsid w:val="7B66762B"/>
    <w:rsid w:val="7B9945BC"/>
    <w:rsid w:val="7BD960B7"/>
    <w:rsid w:val="7C4E1AFC"/>
    <w:rsid w:val="7C973EA1"/>
    <w:rsid w:val="7CC01B5A"/>
    <w:rsid w:val="7D1D41F4"/>
    <w:rsid w:val="7D246948"/>
    <w:rsid w:val="7D41467E"/>
    <w:rsid w:val="7D4B095E"/>
    <w:rsid w:val="7D783EEB"/>
    <w:rsid w:val="7D7F5576"/>
    <w:rsid w:val="7D9B444F"/>
    <w:rsid w:val="7DAA0ADC"/>
    <w:rsid w:val="7DB23A4C"/>
    <w:rsid w:val="7DF726D2"/>
    <w:rsid w:val="7E4A540F"/>
    <w:rsid w:val="7E64769F"/>
    <w:rsid w:val="7E8E7D1F"/>
    <w:rsid w:val="7EA865E1"/>
    <w:rsid w:val="7EC148B6"/>
    <w:rsid w:val="7ECD35DF"/>
    <w:rsid w:val="7F0F3592"/>
    <w:rsid w:val="7F896EDB"/>
    <w:rsid w:val="7F9E6E81"/>
    <w:rsid w:val="7FCB5E84"/>
    <w:rsid w:val="9ED780EE"/>
    <w:rsid w:val="BDDB9517"/>
    <w:rsid w:val="FF8FBBDD"/>
    <w:rsid w:val="FFCF020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99" w:semiHidden="0" w:name="heading 3"/>
    <w:lsdException w:qFormat="1" w:unhideWhenUsed="0" w:uiPriority="9" w:semiHidden="0" w:name="heading 4"/>
    <w:lsdException w:qFormat="1" w:unhideWhenUsed="0" w:uiPriority="9" w:semiHidden="0" w:name="heading 5"/>
    <w:lsdException w:qFormat="1" w:uiPriority="9"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qFormat="1"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99"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qFormat="1" w:unhideWhenUsed="0" w:uiPriority="99" w:semiHidden="0" w:name="Body Text Indent 3"/>
    <w:lsdException w:qFormat="1" w:unhideWhenUsed="0" w:uiPriority="99"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qFormat="1"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3">
    <w:name w:val="heading 1"/>
    <w:basedOn w:val="1"/>
    <w:next w:val="1"/>
    <w:qFormat/>
    <w:uiPriority w:val="0"/>
    <w:pPr>
      <w:keepNext/>
      <w:keepLines/>
      <w:spacing w:line="578" w:lineRule="auto"/>
      <w:outlineLvl w:val="0"/>
    </w:pPr>
    <w:rPr>
      <w:b/>
      <w:bCs/>
      <w:kern w:val="44"/>
      <w:sz w:val="44"/>
      <w:szCs w:val="44"/>
    </w:rPr>
  </w:style>
  <w:style w:type="paragraph" w:styleId="2">
    <w:name w:val="heading 2"/>
    <w:basedOn w:val="1"/>
    <w:next w:val="1"/>
    <w:qFormat/>
    <w:uiPriority w:val="0"/>
    <w:pPr>
      <w:keepNext/>
      <w:keepLines/>
      <w:spacing w:line="416" w:lineRule="auto"/>
      <w:outlineLvl w:val="1"/>
    </w:pPr>
    <w:rPr>
      <w:rFonts w:ascii="Arial" w:hAnsi="Arial" w:eastAsia="黑体"/>
      <w:b/>
      <w:bCs/>
      <w:sz w:val="32"/>
      <w:szCs w:val="32"/>
    </w:rPr>
  </w:style>
  <w:style w:type="paragraph" w:styleId="4">
    <w:name w:val="heading 3"/>
    <w:basedOn w:val="1"/>
    <w:next w:val="1"/>
    <w:qFormat/>
    <w:uiPriority w:val="99"/>
    <w:pPr>
      <w:keepNext/>
      <w:keepLines/>
      <w:numPr>
        <w:ilvl w:val="2"/>
        <w:numId w:val="1"/>
      </w:numPr>
      <w:outlineLvl w:val="2"/>
    </w:pPr>
    <w:rPr>
      <w:rFonts w:ascii="仿宋" w:hAnsi="仿宋"/>
      <w:b/>
      <w:bCs/>
      <w:sz w:val="30"/>
      <w:szCs w:val="32"/>
    </w:rPr>
  </w:style>
  <w:style w:type="paragraph" w:styleId="5">
    <w:name w:val="heading 4"/>
    <w:basedOn w:val="1"/>
    <w:next w:val="1"/>
    <w:qFormat/>
    <w:uiPriority w:val="9"/>
    <w:pPr>
      <w:outlineLvl w:val="3"/>
    </w:pPr>
    <w:rPr>
      <w:sz w:val="28"/>
      <w:szCs w:val="28"/>
    </w:rPr>
  </w:style>
  <w:style w:type="paragraph" w:styleId="6">
    <w:name w:val="heading 5"/>
    <w:basedOn w:val="1"/>
    <w:next w:val="1"/>
    <w:qFormat/>
    <w:uiPriority w:val="9"/>
    <w:pPr>
      <w:keepNext/>
      <w:keepLines/>
      <w:numPr>
        <w:ilvl w:val="4"/>
        <w:numId w:val="1"/>
      </w:numPr>
      <w:spacing w:before="120" w:after="120" w:line="377" w:lineRule="auto"/>
      <w:outlineLvl w:val="4"/>
    </w:pPr>
    <w:rPr>
      <w:b/>
      <w:bCs/>
      <w:szCs w:val="28"/>
    </w:rPr>
  </w:style>
  <w:style w:type="character" w:default="1" w:styleId="29">
    <w:name w:val="Default Paragraph Font"/>
    <w:semiHidden/>
    <w:unhideWhenUsed/>
    <w:qFormat/>
    <w:uiPriority w:val="1"/>
  </w:style>
  <w:style w:type="table" w:default="1" w:styleId="27">
    <w:name w:val="Normal Table"/>
    <w:semiHidden/>
    <w:unhideWhenUsed/>
    <w:qFormat/>
    <w:uiPriority w:val="99"/>
    <w:tblPr>
      <w:tblCellMar>
        <w:top w:w="0" w:type="dxa"/>
        <w:left w:w="108" w:type="dxa"/>
        <w:bottom w:w="0" w:type="dxa"/>
        <w:right w:w="108" w:type="dxa"/>
      </w:tblCellMar>
    </w:tblPr>
  </w:style>
  <w:style w:type="paragraph" w:styleId="7">
    <w:name w:val="Normal Indent"/>
    <w:basedOn w:val="1"/>
    <w:next w:val="8"/>
    <w:qFormat/>
    <w:uiPriority w:val="0"/>
    <w:pPr>
      <w:ind w:firstLine="420"/>
    </w:pPr>
    <w:rPr>
      <w:szCs w:val="20"/>
    </w:rPr>
  </w:style>
  <w:style w:type="paragraph" w:styleId="8">
    <w:name w:val="Body Text Indent"/>
    <w:basedOn w:val="1"/>
    <w:next w:val="9"/>
    <w:qFormat/>
    <w:uiPriority w:val="0"/>
    <w:pPr>
      <w:spacing w:line="360" w:lineRule="auto"/>
      <w:ind w:firstLine="600" w:firstLineChars="200"/>
    </w:pPr>
    <w:rPr>
      <w:rFonts w:ascii="仿宋_GB2312" w:hAnsi="宋体" w:eastAsia="仿宋_GB2312"/>
      <w:sz w:val="30"/>
    </w:rPr>
  </w:style>
  <w:style w:type="paragraph" w:styleId="9">
    <w:name w:val="Body Text First Indent 2"/>
    <w:basedOn w:val="8"/>
    <w:next w:val="10"/>
    <w:qFormat/>
    <w:uiPriority w:val="99"/>
    <w:pPr>
      <w:tabs>
        <w:tab w:val="left" w:pos="0"/>
        <w:tab w:val="left" w:pos="993"/>
        <w:tab w:val="left" w:pos="1134"/>
      </w:tabs>
      <w:spacing w:after="120" w:line="240" w:lineRule="auto"/>
      <w:ind w:left="420" w:leftChars="200" w:firstLine="420"/>
    </w:pPr>
    <w:rPr>
      <w:sz w:val="21"/>
      <w:szCs w:val="21"/>
    </w:rPr>
  </w:style>
  <w:style w:type="paragraph" w:styleId="10">
    <w:name w:val="Body Text First Indent"/>
    <w:basedOn w:val="11"/>
    <w:next w:val="1"/>
    <w:qFormat/>
    <w:uiPriority w:val="0"/>
    <w:pPr>
      <w:spacing w:line="312" w:lineRule="auto"/>
      <w:ind w:firstLine="420"/>
    </w:pPr>
  </w:style>
  <w:style w:type="paragraph" w:styleId="11">
    <w:name w:val="Body Text"/>
    <w:basedOn w:val="1"/>
    <w:next w:val="12"/>
    <w:qFormat/>
    <w:uiPriority w:val="0"/>
    <w:rPr>
      <w:rFonts w:ascii="宋体" w:hAnsi="宋体"/>
      <w:sz w:val="28"/>
    </w:rPr>
  </w:style>
  <w:style w:type="paragraph" w:customStyle="1" w:styleId="12">
    <w:name w:val="Default"/>
    <w:next w:val="1"/>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paragraph" w:styleId="13">
    <w:name w:val="caption"/>
    <w:basedOn w:val="1"/>
    <w:next w:val="1"/>
    <w:qFormat/>
    <w:uiPriority w:val="0"/>
    <w:rPr>
      <w:rFonts w:ascii="Arial" w:hAnsi="Arial" w:eastAsia="黑体"/>
      <w:sz w:val="20"/>
      <w:szCs w:val="20"/>
    </w:rPr>
  </w:style>
  <w:style w:type="paragraph" w:styleId="14">
    <w:name w:val="toa heading"/>
    <w:basedOn w:val="1"/>
    <w:next w:val="1"/>
    <w:qFormat/>
    <w:uiPriority w:val="0"/>
    <w:pPr>
      <w:spacing w:before="120"/>
    </w:pPr>
    <w:rPr>
      <w:rFonts w:ascii="Arial" w:hAnsi="Arial"/>
      <w:sz w:val="24"/>
    </w:rPr>
  </w:style>
  <w:style w:type="paragraph" w:styleId="15">
    <w:name w:val="annotation text"/>
    <w:basedOn w:val="1"/>
    <w:qFormat/>
    <w:uiPriority w:val="0"/>
    <w:pPr>
      <w:jc w:val="left"/>
    </w:pPr>
  </w:style>
  <w:style w:type="paragraph" w:styleId="16">
    <w:name w:val="Block Text"/>
    <w:basedOn w:val="1"/>
    <w:qFormat/>
    <w:uiPriority w:val="99"/>
    <w:pPr>
      <w:adjustRightInd w:val="0"/>
      <w:ind w:left="420" w:right="33"/>
      <w:textAlignment w:val="baseline"/>
    </w:pPr>
    <w:rPr>
      <w:sz w:val="24"/>
    </w:rPr>
  </w:style>
  <w:style w:type="paragraph" w:styleId="17">
    <w:name w:val="Plain Text"/>
    <w:basedOn w:val="1"/>
    <w:next w:val="1"/>
    <w:qFormat/>
    <w:uiPriority w:val="0"/>
    <w:pPr>
      <w:spacing w:beforeLines="50" w:afterLines="50" w:line="400" w:lineRule="exact"/>
    </w:pPr>
    <w:rPr>
      <w:rFonts w:ascii="宋体" w:hAnsi="Courier New"/>
      <w:sz w:val="24"/>
    </w:rPr>
  </w:style>
  <w:style w:type="paragraph" w:styleId="18">
    <w:name w:val="Body Text Indent 2"/>
    <w:basedOn w:val="1"/>
    <w:qFormat/>
    <w:uiPriority w:val="0"/>
    <w:pPr>
      <w:spacing w:line="480" w:lineRule="auto"/>
      <w:ind w:left="420" w:leftChars="200"/>
    </w:pPr>
  </w:style>
  <w:style w:type="paragraph" w:styleId="19">
    <w:name w:val="Balloon Text"/>
    <w:basedOn w:val="1"/>
    <w:link w:val="52"/>
    <w:qFormat/>
    <w:uiPriority w:val="0"/>
    <w:rPr>
      <w:sz w:val="18"/>
      <w:szCs w:val="18"/>
    </w:rPr>
  </w:style>
  <w:style w:type="paragraph" w:styleId="20">
    <w:name w:val="footer"/>
    <w:basedOn w:val="1"/>
    <w:qFormat/>
    <w:uiPriority w:val="99"/>
    <w:pPr>
      <w:tabs>
        <w:tab w:val="center" w:pos="4153"/>
        <w:tab w:val="right" w:pos="8306"/>
      </w:tabs>
      <w:snapToGrid w:val="0"/>
      <w:jc w:val="left"/>
    </w:pPr>
    <w:rPr>
      <w:sz w:val="18"/>
      <w:szCs w:val="18"/>
    </w:rPr>
  </w:style>
  <w:style w:type="paragraph" w:styleId="21">
    <w:name w:val="header"/>
    <w:basedOn w:val="1"/>
    <w:qFormat/>
    <w:uiPriority w:val="99"/>
    <w:pPr>
      <w:pBdr>
        <w:bottom w:val="single" w:color="auto" w:sz="6" w:space="1"/>
      </w:pBdr>
      <w:tabs>
        <w:tab w:val="center" w:pos="4153"/>
        <w:tab w:val="right" w:pos="8306"/>
      </w:tabs>
      <w:adjustRightInd w:val="0"/>
      <w:snapToGrid w:val="0"/>
      <w:spacing w:line="240" w:lineRule="atLeast"/>
      <w:jc w:val="center"/>
      <w:textAlignment w:val="baseline"/>
    </w:pPr>
    <w:rPr>
      <w:rFonts w:ascii="宋体"/>
      <w:kern w:val="0"/>
      <w:sz w:val="18"/>
      <w:szCs w:val="20"/>
    </w:rPr>
  </w:style>
  <w:style w:type="paragraph" w:styleId="22">
    <w:name w:val="toc 6"/>
    <w:basedOn w:val="1"/>
    <w:next w:val="1"/>
    <w:qFormat/>
    <w:uiPriority w:val="0"/>
    <w:pPr>
      <w:ind w:left="1050"/>
      <w:jc w:val="left"/>
    </w:pPr>
    <w:rPr>
      <w:sz w:val="18"/>
      <w:szCs w:val="18"/>
    </w:rPr>
  </w:style>
  <w:style w:type="paragraph" w:styleId="23">
    <w:name w:val="Body Text Indent 3"/>
    <w:basedOn w:val="1"/>
    <w:qFormat/>
    <w:uiPriority w:val="99"/>
    <w:pPr>
      <w:spacing w:line="500" w:lineRule="atLeast"/>
      <w:ind w:firstLine="720" w:firstLineChars="300"/>
    </w:pPr>
    <w:rPr>
      <w:rFonts w:ascii="Times New Roman" w:hAnsi="Times New Roman"/>
      <w:sz w:val="24"/>
    </w:rPr>
  </w:style>
  <w:style w:type="paragraph" w:styleId="24">
    <w:name w:val="toc 2"/>
    <w:basedOn w:val="1"/>
    <w:next w:val="1"/>
    <w:qFormat/>
    <w:uiPriority w:val="39"/>
    <w:pPr>
      <w:ind w:left="420" w:leftChars="200"/>
    </w:pPr>
    <w:rPr>
      <w:szCs w:val="20"/>
    </w:rPr>
  </w:style>
  <w:style w:type="paragraph" w:styleId="25">
    <w:name w:val="Normal (Web)"/>
    <w:basedOn w:val="1"/>
    <w:qFormat/>
    <w:uiPriority w:val="0"/>
    <w:pPr>
      <w:spacing w:beforeAutospacing="1" w:afterAutospacing="1"/>
      <w:jc w:val="left"/>
    </w:pPr>
    <w:rPr>
      <w:rFonts w:asciiTheme="minorHAnsi" w:hAnsiTheme="minorHAnsi" w:eastAsiaTheme="minorEastAsia"/>
      <w:kern w:val="0"/>
      <w:sz w:val="24"/>
    </w:rPr>
  </w:style>
  <w:style w:type="paragraph" w:styleId="26">
    <w:name w:val="Title"/>
    <w:basedOn w:val="1"/>
    <w:next w:val="1"/>
    <w:qFormat/>
    <w:uiPriority w:val="99"/>
    <w:pPr>
      <w:autoSpaceDE w:val="0"/>
      <w:autoSpaceDN w:val="0"/>
      <w:adjustRightInd w:val="0"/>
      <w:spacing w:before="240" w:after="60"/>
      <w:jc w:val="center"/>
      <w:outlineLvl w:val="0"/>
    </w:pPr>
    <w:rPr>
      <w:rFonts w:ascii="Cambria" w:hAnsi="Cambria"/>
      <w:b/>
      <w:color w:val="000000"/>
      <w:kern w:val="0"/>
      <w:sz w:val="32"/>
      <w:szCs w:val="32"/>
    </w:rPr>
  </w:style>
  <w:style w:type="table" w:styleId="28">
    <w:name w:val="Table Grid"/>
    <w:basedOn w:val="27"/>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30">
    <w:name w:val="Strong"/>
    <w:basedOn w:val="29"/>
    <w:qFormat/>
    <w:uiPriority w:val="0"/>
    <w:rPr>
      <w:b/>
    </w:rPr>
  </w:style>
  <w:style w:type="character" w:styleId="31">
    <w:name w:val="page number"/>
    <w:qFormat/>
    <w:uiPriority w:val="0"/>
  </w:style>
  <w:style w:type="character" w:styleId="32">
    <w:name w:val="Hyperlink"/>
    <w:basedOn w:val="29"/>
    <w:qFormat/>
    <w:uiPriority w:val="99"/>
    <w:rPr>
      <w:color w:val="1F1F1F"/>
      <w:u w:val="none"/>
    </w:rPr>
  </w:style>
  <w:style w:type="character" w:styleId="33">
    <w:name w:val="annotation reference"/>
    <w:basedOn w:val="29"/>
    <w:qFormat/>
    <w:uiPriority w:val="0"/>
    <w:rPr>
      <w:sz w:val="21"/>
      <w:szCs w:val="21"/>
    </w:rPr>
  </w:style>
  <w:style w:type="character" w:styleId="34">
    <w:name w:val="HTML Sample"/>
    <w:basedOn w:val="29"/>
    <w:qFormat/>
    <w:uiPriority w:val="0"/>
    <w:rPr>
      <w:rFonts w:ascii="Courier New" w:hAnsi="Courier New"/>
    </w:rPr>
  </w:style>
  <w:style w:type="paragraph" w:customStyle="1" w:styleId="35">
    <w:name w:val="正文格式"/>
    <w:basedOn w:val="1"/>
    <w:qFormat/>
    <w:uiPriority w:val="0"/>
    <w:pPr>
      <w:widowControl/>
      <w:adjustRightInd w:val="0"/>
      <w:snapToGrid w:val="0"/>
      <w:spacing w:line="400" w:lineRule="atLeast"/>
      <w:ind w:firstLine="482"/>
      <w:textAlignment w:val="baseline"/>
    </w:pPr>
    <w:rPr>
      <w:kern w:val="0"/>
      <w:sz w:val="24"/>
      <w:szCs w:val="22"/>
    </w:rPr>
  </w:style>
  <w:style w:type="paragraph" w:customStyle="1" w:styleId="36">
    <w:name w:val="_Style 1"/>
    <w:qFormat/>
    <w:uiPriority w:val="0"/>
    <w:rPr>
      <w:rFonts w:ascii="Times New Roman" w:hAnsi="Times New Roman" w:eastAsia="宋体" w:cs="Times New Roman"/>
      <w:kern w:val="2"/>
      <w:sz w:val="28"/>
      <w:szCs w:val="22"/>
      <w:lang w:val="en-US" w:eastAsia="zh-CN" w:bidi="ar-SA"/>
    </w:rPr>
  </w:style>
  <w:style w:type="paragraph" w:customStyle="1" w:styleId="37">
    <w:name w:val="表格文字"/>
    <w:basedOn w:val="1"/>
    <w:next w:val="11"/>
    <w:qFormat/>
    <w:uiPriority w:val="0"/>
    <w:pPr>
      <w:adjustRightInd w:val="0"/>
      <w:spacing w:line="420" w:lineRule="atLeast"/>
      <w:jc w:val="left"/>
      <w:textAlignment w:val="baseline"/>
    </w:pPr>
    <w:rPr>
      <w:kern w:val="0"/>
      <w:szCs w:val="21"/>
    </w:rPr>
  </w:style>
  <w:style w:type="paragraph" w:customStyle="1" w:styleId="38">
    <w:name w:val="章正文"/>
    <w:basedOn w:val="1"/>
    <w:qFormat/>
    <w:uiPriority w:val="0"/>
    <w:pPr>
      <w:spacing w:beforeLines="50" w:after="120" w:line="300" w:lineRule="auto"/>
      <w:ind w:firstLine="480"/>
    </w:pPr>
    <w:rPr>
      <w:rFonts w:ascii="Helvetica" w:hAnsi="Helvetica"/>
      <w:kern w:val="0"/>
      <w:sz w:val="24"/>
    </w:rPr>
  </w:style>
  <w:style w:type="paragraph" w:customStyle="1" w:styleId="39">
    <w:name w:val="reader-word-layer"/>
    <w:basedOn w:val="1"/>
    <w:qFormat/>
    <w:uiPriority w:val="0"/>
    <w:pPr>
      <w:widowControl/>
      <w:spacing w:before="100" w:beforeAutospacing="1" w:after="100" w:afterAutospacing="1"/>
      <w:jc w:val="left"/>
    </w:pPr>
    <w:rPr>
      <w:rFonts w:ascii="宋体" w:hAnsi="宋体" w:cs="宋体"/>
      <w:kern w:val="0"/>
      <w:sz w:val="24"/>
    </w:rPr>
  </w:style>
  <w:style w:type="paragraph" w:customStyle="1" w:styleId="40">
    <w:name w:val="BodyText1I2"/>
    <w:basedOn w:val="41"/>
    <w:qFormat/>
    <w:uiPriority w:val="0"/>
    <w:pPr>
      <w:tabs>
        <w:tab w:val="left" w:pos="720"/>
        <w:tab w:val="left" w:pos="1260"/>
        <w:tab w:val="left" w:pos="2160"/>
        <w:tab w:val="left" w:pos="2880"/>
        <w:tab w:val="left" w:pos="3600"/>
        <w:tab w:val="left" w:pos="4320"/>
        <w:tab w:val="left" w:pos="5040"/>
        <w:tab w:val="left" w:pos="5760"/>
      </w:tabs>
      <w:ind w:firstLine="210"/>
    </w:pPr>
    <w:rPr>
      <w:szCs w:val="24"/>
    </w:rPr>
  </w:style>
  <w:style w:type="paragraph" w:customStyle="1" w:styleId="41">
    <w:name w:val="BodyTextIndent"/>
    <w:basedOn w:val="1"/>
    <w:qFormat/>
    <w:uiPriority w:val="0"/>
    <w:pPr>
      <w:widowControl/>
      <w:tabs>
        <w:tab w:val="left" w:pos="720"/>
        <w:tab w:val="left" w:pos="1260"/>
        <w:tab w:val="left" w:pos="2160"/>
        <w:tab w:val="left" w:pos="2880"/>
        <w:tab w:val="left" w:pos="3600"/>
        <w:tab w:val="left" w:pos="4320"/>
        <w:tab w:val="left" w:pos="5040"/>
        <w:tab w:val="left" w:pos="5760"/>
      </w:tabs>
      <w:spacing w:line="360" w:lineRule="auto"/>
      <w:ind w:right="25" w:rightChars="12" w:firstLine="720" w:firstLineChars="300"/>
      <w:jc w:val="left"/>
      <w:textAlignment w:val="baseline"/>
    </w:pPr>
    <w:rPr>
      <w:rFonts w:ascii="宋体"/>
      <w:color w:val="000000"/>
      <w:kern w:val="0"/>
      <w:sz w:val="24"/>
      <w:szCs w:val="20"/>
    </w:rPr>
  </w:style>
  <w:style w:type="paragraph" w:customStyle="1" w:styleId="42">
    <w:name w:val="Table Paragraph"/>
    <w:basedOn w:val="1"/>
    <w:qFormat/>
    <w:uiPriority w:val="1"/>
  </w:style>
  <w:style w:type="paragraph" w:customStyle="1" w:styleId="43">
    <w:name w:val="列出段落1"/>
    <w:basedOn w:val="1"/>
    <w:qFormat/>
    <w:uiPriority w:val="0"/>
    <w:pPr>
      <w:ind w:firstLine="420" w:firstLineChars="200"/>
    </w:pPr>
  </w:style>
  <w:style w:type="paragraph" w:customStyle="1" w:styleId="44">
    <w:name w:val="正文段"/>
    <w:basedOn w:val="1"/>
    <w:qFormat/>
    <w:uiPriority w:val="0"/>
    <w:pPr>
      <w:widowControl/>
      <w:snapToGrid w:val="0"/>
      <w:spacing w:afterLines="50"/>
      <w:ind w:firstLine="200" w:firstLineChars="200"/>
    </w:pPr>
    <w:rPr>
      <w:kern w:val="0"/>
      <w:sz w:val="24"/>
      <w:szCs w:val="20"/>
    </w:rPr>
  </w:style>
  <w:style w:type="paragraph" w:customStyle="1" w:styleId="45">
    <w:name w:val="BodyText1I"/>
    <w:basedOn w:val="46"/>
    <w:qFormat/>
    <w:uiPriority w:val="0"/>
    <w:pPr>
      <w:tabs>
        <w:tab w:val="left" w:pos="3380"/>
      </w:tabs>
      <w:ind w:firstLine="420" w:firstLineChars="100"/>
    </w:pPr>
    <w:rPr>
      <w:rFonts w:ascii="宋体" w:hAnsi="宋体"/>
      <w:sz w:val="28"/>
      <w:szCs w:val="28"/>
    </w:rPr>
  </w:style>
  <w:style w:type="paragraph" w:customStyle="1" w:styleId="46">
    <w:name w:val="BodyText"/>
    <w:basedOn w:val="1"/>
    <w:qFormat/>
    <w:uiPriority w:val="0"/>
    <w:pPr>
      <w:tabs>
        <w:tab w:val="left" w:pos="3380"/>
      </w:tabs>
      <w:jc w:val="center"/>
      <w:textAlignment w:val="baseline"/>
    </w:pPr>
    <w:rPr>
      <w:rFonts w:ascii="Times New Roman"/>
      <w:b/>
      <w:bCs/>
      <w:spacing w:val="-20"/>
      <w:kern w:val="0"/>
      <w:sz w:val="36"/>
    </w:rPr>
  </w:style>
  <w:style w:type="paragraph" w:customStyle="1" w:styleId="47">
    <w:name w:val="[Normal]"/>
    <w:qFormat/>
    <w:uiPriority w:val="0"/>
    <w:rPr>
      <w:rFonts w:ascii="宋体" w:hAnsi="宋体" w:eastAsia="宋体" w:cs="Times New Roman"/>
      <w:sz w:val="24"/>
      <w:szCs w:val="22"/>
      <w:lang w:val="zh-CN" w:eastAsia="zh-CN" w:bidi="ar-SA"/>
    </w:rPr>
  </w:style>
  <w:style w:type="character" w:customStyle="1" w:styleId="48">
    <w:name w:val="font41"/>
    <w:basedOn w:val="29"/>
    <w:qFormat/>
    <w:uiPriority w:val="0"/>
    <w:rPr>
      <w:rFonts w:hint="eastAsia" w:ascii="宋体" w:hAnsi="宋体" w:eastAsia="宋体" w:cs="宋体"/>
      <w:color w:val="000000"/>
      <w:sz w:val="20"/>
      <w:szCs w:val="20"/>
      <w:u w:val="none"/>
    </w:rPr>
  </w:style>
  <w:style w:type="character" w:customStyle="1" w:styleId="49">
    <w:name w:val="NormalCharacter"/>
    <w:qFormat/>
    <w:uiPriority w:val="0"/>
  </w:style>
  <w:style w:type="paragraph" w:customStyle="1" w:styleId="50">
    <w:name w:val="*正文"/>
    <w:basedOn w:val="1"/>
    <w:next w:val="1"/>
    <w:qFormat/>
    <w:uiPriority w:val="0"/>
    <w:pPr>
      <w:widowControl/>
      <w:ind w:firstLine="200" w:firstLineChars="200"/>
      <w:jc w:val="left"/>
    </w:pPr>
    <w:rPr>
      <w:rFonts w:ascii="仿宋_GB2312" w:eastAsia="仿宋_GB2312"/>
      <w:szCs w:val="28"/>
    </w:rPr>
  </w:style>
  <w:style w:type="paragraph" w:customStyle="1" w:styleId="51">
    <w:name w:val="sp-正文"/>
    <w:basedOn w:val="1"/>
    <w:qFormat/>
    <w:uiPriority w:val="9"/>
  </w:style>
  <w:style w:type="character" w:customStyle="1" w:styleId="52">
    <w:name w:val="批注框文本 Char"/>
    <w:basedOn w:val="29"/>
    <w:link w:val="19"/>
    <w:qFormat/>
    <w:uiPriority w:val="0"/>
    <w:rPr>
      <w:rFonts w:ascii="Calibri" w:hAnsi="Calibri"/>
      <w:kern w:val="2"/>
      <w:sz w:val="18"/>
      <w:szCs w:val="18"/>
    </w:rPr>
  </w:style>
  <w:style w:type="character" w:customStyle="1" w:styleId="53">
    <w:name w:val="font21"/>
    <w:basedOn w:val="29"/>
    <w:qFormat/>
    <w:uiPriority w:val="0"/>
    <w:rPr>
      <w:rFonts w:hint="eastAsia" w:ascii="仿宋" w:hAnsi="仿宋" w:eastAsia="仿宋" w:cs="仿宋"/>
      <w:color w:val="000000"/>
      <w:sz w:val="24"/>
      <w:szCs w:val="24"/>
      <w:u w:val="single"/>
    </w:rPr>
  </w:style>
  <w:style w:type="character" w:customStyle="1" w:styleId="54">
    <w:name w:val="font11"/>
    <w:basedOn w:val="29"/>
    <w:qFormat/>
    <w:uiPriority w:val="0"/>
    <w:rPr>
      <w:rFonts w:hint="eastAsia" w:ascii="仿宋" w:hAnsi="仿宋" w:eastAsia="仿宋" w:cs="仿宋"/>
      <w:color w:val="000000"/>
      <w:sz w:val="24"/>
      <w:szCs w:val="24"/>
      <w:u w:val="none"/>
    </w:rPr>
  </w:style>
  <w:style w:type="paragraph" w:customStyle="1" w:styleId="55">
    <w:name w:val="样式 正文文本缩进 + 首行缩进:  2 字符 行距: 1.5 倍行距"/>
    <w:basedOn w:val="8"/>
    <w:qFormat/>
    <w:uiPriority w:val="0"/>
    <w:pPr>
      <w:spacing w:before="156"/>
      <w:ind w:firstLine="482"/>
    </w:pPr>
    <w:rPr>
      <w:rFonts w:cs="宋体"/>
      <w:b/>
    </w:rPr>
  </w:style>
  <w:style w:type="paragraph" w:customStyle="1" w:styleId="56">
    <w:name w:val="列表段落1"/>
    <w:basedOn w:val="1"/>
    <w:qFormat/>
    <w:uiPriority w:val="99"/>
    <w:pPr>
      <w:spacing w:line="360" w:lineRule="auto"/>
      <w:ind w:firstLine="420"/>
    </w:pPr>
    <w:rPr>
      <w:rFonts w:eastAsia="仿宋_GB2312" w:asciiTheme="minorHAnsi" w:hAnsiTheme="minorHAnsi"/>
      <w:spacing w:val="6"/>
      <w:szCs w:val="20"/>
    </w:rPr>
  </w:style>
  <w:style w:type="paragraph" w:customStyle="1" w:styleId="57">
    <w:name w:val="Heading3"/>
    <w:basedOn w:val="1"/>
    <w:next w:val="1"/>
    <w:qFormat/>
    <w:uiPriority w:val="0"/>
    <w:pPr>
      <w:spacing w:before="120" w:after="120" w:line="300" w:lineRule="auto"/>
    </w:pPr>
    <w:rPr>
      <w:sz w:val="24"/>
      <w:szCs w:val="20"/>
    </w:rPr>
  </w:style>
  <w:style w:type="character" w:customStyle="1" w:styleId="58">
    <w:name w:val="font31"/>
    <w:basedOn w:val="29"/>
    <w:qFormat/>
    <w:uiPriority w:val="0"/>
    <w:rPr>
      <w:rFonts w:hint="eastAsia" w:ascii="宋体" w:hAnsi="宋体" w:eastAsia="宋体" w:cs="宋体"/>
      <w:color w:val="000000"/>
      <w:sz w:val="20"/>
      <w:szCs w:val="20"/>
      <w:u w:val="none"/>
    </w:rPr>
  </w:style>
  <w:style w:type="paragraph" w:customStyle="1" w:styleId="59">
    <w:name w:val="DAS正文"/>
    <w:basedOn w:val="1"/>
    <w:qFormat/>
    <w:uiPriority w:val="0"/>
    <w:pPr>
      <w:spacing w:line="360" w:lineRule="auto"/>
      <w:ind w:right="181" w:firstLine="480" w:firstLineChars="200"/>
    </w:pPr>
    <w:rPr>
      <w:rFonts w:ascii="Verdana" w:hAnsi="Verdana" w:cs="Verdana"/>
    </w:rPr>
  </w:style>
  <w:style w:type="paragraph" w:styleId="60">
    <w:name w:val="No Spacing"/>
    <w:basedOn w:val="1"/>
    <w:qFormat/>
    <w:uiPriority w:val="1"/>
    <w:pPr>
      <w:widowControl w:val="0"/>
      <w:jc w:val="both"/>
    </w:pPr>
    <w:rPr>
      <w:rFonts w:ascii="Times New Roman" w:hAnsi="Times New Roman" w:eastAsia="宋体" w:cs="Calibri"/>
      <w:kern w:val="2"/>
      <w:sz w:val="21"/>
      <w:szCs w:val="22"/>
      <w:lang w:val="en-US" w:eastAsia="zh-CN" w:bidi="ar-SA"/>
    </w:rPr>
  </w:style>
  <w:style w:type="paragraph" w:customStyle="1" w:styleId="61">
    <w:name w:val="首行缩进"/>
    <w:basedOn w:val="1"/>
    <w:qFormat/>
    <w:uiPriority w:val="0"/>
    <w:pPr>
      <w:ind w:firstLine="480" w:firstLineChars="200"/>
    </w:pPr>
    <w:rPr>
      <w:lang w:val="zh-CN"/>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4.xml"/><Relationship Id="rId7" Type="http://schemas.openxmlformats.org/officeDocument/2006/relationships/header" Target="header2.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52</Pages>
  <Words>4102</Words>
  <Characters>4590</Characters>
  <Lines>192</Lines>
  <Paragraphs>54</Paragraphs>
  <TotalTime>2678</TotalTime>
  <ScaleCrop>false</ScaleCrop>
  <LinksUpToDate>false</LinksUpToDate>
  <CharactersWithSpaces>4789</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2025-03-03T17:52:00Z</dcterms:created>
  <dc:creator>Administrator.PC-20160716QTOZ</dc:creator>
  <cp:lastModifiedBy>Administrator</cp:lastModifiedBy>
  <cp:lastPrinted>2025-07-03T00:49:00Z</cp:lastPrinted>
  <dcterms:modified xsi:type="dcterms:W3CDTF">2025-07-03T01:27:24Z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068C04E838024022AB8DBC0119246F05_13</vt:lpwstr>
  </property>
  <property fmtid="{D5CDD505-2E9C-101B-9397-08002B2CF9AE}" pid="4" name="KSOSaveFontToCloudKey">
    <vt:lpwstr>240195731_btnclosed</vt:lpwstr>
  </property>
  <property fmtid="{D5CDD505-2E9C-101B-9397-08002B2CF9AE}" pid="5" name="KSOTemplateDocerSaveRecord">
    <vt:lpwstr>eyJoZGlkIjoiNGYwMzdlMDU1MTc1YzQ3NzExMmIxNTAyNDE2NzA4MjgiLCJ1c2VySWQiOiI1MDAxMDEzNjUifQ==</vt:lpwstr>
  </property>
</Properties>
</file>