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highlight w:val="none"/>
        </w:rPr>
      </w:pPr>
    </w:p>
    <w:p>
      <w:pPr>
        <w:pStyle w:val="28"/>
        <w:jc w:val="both"/>
        <w:rPr>
          <w:rFonts w:hint="eastAsia" w:ascii="宋体" w:hAnsi="宋体" w:eastAsia="宋体" w:cs="宋体"/>
          <w:sz w:val="52"/>
          <w:highlight w:val="none"/>
        </w:rPr>
      </w:pPr>
    </w:p>
    <w:p>
      <w:pPr>
        <w:pStyle w:val="28"/>
        <w:jc w:val="both"/>
        <w:rPr>
          <w:rFonts w:hint="eastAsia" w:ascii="宋体" w:hAnsi="宋体" w:eastAsia="宋体" w:cs="宋体"/>
          <w:sz w:val="52"/>
          <w:highlight w:val="none"/>
        </w:rPr>
      </w:pPr>
    </w:p>
    <w:p>
      <w:pPr>
        <w:pStyle w:val="28"/>
        <w:keepNext w:val="0"/>
        <w:keepLines w:val="0"/>
        <w:pageBreakBefore w:val="0"/>
        <w:widowControl w:val="0"/>
        <w:kinsoku/>
        <w:wordWrap/>
        <w:overflowPunct/>
        <w:topLinePunct w:val="0"/>
        <w:autoSpaceDE/>
        <w:autoSpaceDN/>
        <w:bidi w:val="0"/>
        <w:adjustRightInd/>
        <w:snapToGrid/>
        <w:spacing w:line="480" w:lineRule="auto"/>
        <w:ind w:left="735" w:leftChars="350" w:right="735" w:rightChars="350"/>
        <w:textAlignment w:val="auto"/>
        <w:rPr>
          <w:rFonts w:hint="eastAsia" w:ascii="宋体" w:hAnsi="宋体" w:eastAsia="宋体" w:cs="宋体"/>
          <w:b/>
          <w:color w:val="000000"/>
          <w:kern w:val="2"/>
          <w:sz w:val="56"/>
          <w:szCs w:val="56"/>
          <w:highlight w:val="none"/>
          <w:lang w:val="en-US" w:eastAsia="zh-CN" w:bidi="ar-SA"/>
        </w:rPr>
      </w:pPr>
      <w:r>
        <w:rPr>
          <w:rFonts w:hint="eastAsia" w:ascii="宋体" w:hAnsi="宋体" w:eastAsia="宋体" w:cs="宋体"/>
          <w:b/>
          <w:color w:val="000000"/>
          <w:kern w:val="2"/>
          <w:sz w:val="56"/>
          <w:szCs w:val="56"/>
          <w:highlight w:val="none"/>
          <w:lang w:val="en-US" w:eastAsia="zh-CN" w:bidi="ar-SA"/>
        </w:rPr>
        <w:t>塘汇街道2023年河道保洁及养护项目</w:t>
      </w:r>
    </w:p>
    <w:p>
      <w:pPr>
        <w:pStyle w:val="28"/>
        <w:spacing w:line="600" w:lineRule="exact"/>
        <w:jc w:val="both"/>
        <w:rPr>
          <w:rFonts w:hint="eastAsia" w:ascii="宋体" w:hAnsi="宋体" w:eastAsia="宋体" w:cs="宋体"/>
          <w:sz w:val="48"/>
          <w:szCs w:val="48"/>
          <w:highlight w:val="none"/>
        </w:rPr>
      </w:pPr>
    </w:p>
    <w:p>
      <w:pPr>
        <w:pStyle w:val="28"/>
        <w:spacing w:line="600" w:lineRule="exact"/>
        <w:jc w:val="both"/>
        <w:rPr>
          <w:rFonts w:hint="eastAsia" w:ascii="宋体" w:hAnsi="宋体" w:eastAsia="宋体" w:cs="宋体"/>
          <w:sz w:val="48"/>
          <w:szCs w:val="48"/>
          <w:highlight w:val="none"/>
        </w:rPr>
      </w:pPr>
    </w:p>
    <w:p>
      <w:pPr>
        <w:pStyle w:val="28"/>
        <w:spacing w:line="600" w:lineRule="exact"/>
        <w:jc w:val="both"/>
        <w:rPr>
          <w:rFonts w:hint="eastAsia" w:ascii="宋体" w:hAnsi="宋体" w:eastAsia="宋体" w:cs="宋体"/>
          <w:sz w:val="48"/>
          <w:szCs w:val="48"/>
          <w:highlight w:val="none"/>
        </w:rPr>
      </w:pPr>
    </w:p>
    <w:p>
      <w:pPr>
        <w:pStyle w:val="28"/>
        <w:spacing w:line="600" w:lineRule="exact"/>
        <w:rPr>
          <w:rFonts w:hint="eastAsia" w:ascii="宋体" w:hAnsi="宋体" w:eastAsia="宋体" w:cs="宋体"/>
          <w:sz w:val="44"/>
          <w:szCs w:val="44"/>
          <w:highlight w:val="none"/>
        </w:rPr>
      </w:pPr>
    </w:p>
    <w:p>
      <w:pPr>
        <w:pStyle w:val="28"/>
        <w:keepNext w:val="0"/>
        <w:keepLines w:val="0"/>
        <w:pageBreakBefore w:val="0"/>
        <w:widowControl w:val="0"/>
        <w:kinsoku/>
        <w:wordWrap/>
        <w:overflowPunct/>
        <w:topLinePunct w:val="0"/>
        <w:autoSpaceDE/>
        <w:autoSpaceDN/>
        <w:bidi w:val="0"/>
        <w:adjustRightInd/>
        <w:snapToGrid/>
        <w:spacing w:line="480" w:lineRule="auto"/>
        <w:textAlignment w:val="auto"/>
        <w:outlineLvl w:val="0"/>
        <w:rPr>
          <w:rFonts w:hint="eastAsia" w:ascii="宋体" w:hAnsi="宋体" w:eastAsia="宋体" w:cs="宋体"/>
          <w:b/>
          <w:color w:val="000000"/>
          <w:sz w:val="72"/>
          <w:szCs w:val="72"/>
          <w:highlight w:val="none"/>
        </w:rPr>
      </w:pPr>
      <w:bookmarkStart w:id="0" w:name="_Toc23033"/>
      <w:r>
        <w:rPr>
          <w:rFonts w:hint="eastAsia" w:ascii="宋体" w:hAnsi="宋体" w:eastAsia="宋体" w:cs="宋体"/>
          <w:b/>
          <w:color w:val="000000"/>
          <w:sz w:val="72"/>
          <w:szCs w:val="72"/>
          <w:highlight w:val="none"/>
        </w:rPr>
        <w:t>竞争性磋商文件</w:t>
      </w:r>
      <w:bookmarkEnd w:id="0"/>
    </w:p>
    <w:p>
      <w:pPr>
        <w:spacing w:before="156" w:beforeLines="50" w:line="360" w:lineRule="auto"/>
        <w:jc w:val="center"/>
        <w:rPr>
          <w:rFonts w:hint="eastAsia" w:ascii="宋体" w:hAnsi="宋体" w:eastAsia="宋体" w:cs="宋体"/>
          <w:b/>
          <w:color w:val="000000"/>
          <w:sz w:val="72"/>
          <w:szCs w:val="72"/>
          <w:highlight w:val="none"/>
        </w:rPr>
      </w:pPr>
    </w:p>
    <w:p>
      <w:pPr>
        <w:pStyle w:val="28"/>
        <w:jc w:val="both"/>
        <w:rPr>
          <w:rFonts w:hint="eastAsia" w:ascii="宋体" w:hAnsi="宋体" w:eastAsia="宋体" w:cs="宋体"/>
          <w:sz w:val="52"/>
          <w:highlight w:val="none"/>
        </w:rPr>
      </w:pPr>
    </w:p>
    <w:p>
      <w:pPr>
        <w:spacing w:line="600" w:lineRule="exact"/>
        <w:rPr>
          <w:rFonts w:hint="eastAsia" w:ascii="宋体" w:hAnsi="宋体" w:eastAsia="宋体" w:cs="宋体"/>
          <w:b/>
          <w:sz w:val="32"/>
          <w:szCs w:val="32"/>
          <w:highlight w:val="none"/>
        </w:rPr>
      </w:pPr>
    </w:p>
    <w:p>
      <w:pPr>
        <w:pStyle w:val="57"/>
        <w:rPr>
          <w:rFonts w:hint="eastAsia" w:ascii="宋体" w:hAnsi="宋体" w:eastAsia="宋体" w:cs="宋体"/>
          <w:highlight w:val="none"/>
        </w:rPr>
      </w:pPr>
    </w:p>
    <w:p>
      <w:pPr>
        <w:pStyle w:val="57"/>
        <w:rPr>
          <w:rFonts w:hint="eastAsia" w:ascii="宋体" w:hAnsi="宋体" w:eastAsia="宋体" w:cs="宋体"/>
          <w:highlight w:val="none"/>
        </w:rPr>
      </w:pPr>
    </w:p>
    <w:p>
      <w:pPr>
        <w:pStyle w:val="57"/>
        <w:rPr>
          <w:rFonts w:hint="eastAsia" w:ascii="宋体" w:hAnsi="宋体" w:eastAsia="宋体" w:cs="宋体"/>
          <w:highlight w:val="none"/>
        </w:rPr>
      </w:pPr>
    </w:p>
    <w:p>
      <w:pPr>
        <w:pStyle w:val="57"/>
        <w:rPr>
          <w:rFonts w:hint="eastAsia" w:ascii="宋体" w:hAnsi="宋体" w:eastAsia="宋体" w:cs="宋体"/>
          <w:highlight w:val="none"/>
        </w:rPr>
      </w:pPr>
    </w:p>
    <w:p>
      <w:pPr>
        <w:spacing w:line="600" w:lineRule="exact"/>
        <w:ind w:firstLine="643" w:firstLineChars="200"/>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项目编号：</w:t>
      </w:r>
      <w:r>
        <w:rPr>
          <w:rFonts w:hint="eastAsia" w:ascii="宋体" w:hAnsi="宋体" w:cs="宋体"/>
          <w:b/>
          <w:sz w:val="32"/>
          <w:szCs w:val="32"/>
          <w:highlight w:val="none"/>
          <w:lang w:eastAsia="zh-CN"/>
        </w:rPr>
        <w:t>ZJZM-2022-75</w:t>
      </w:r>
    </w:p>
    <w:p>
      <w:pPr>
        <w:spacing w:line="600" w:lineRule="exact"/>
        <w:ind w:firstLine="643" w:firstLineChars="200"/>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采购单位：</w:t>
      </w:r>
      <w:r>
        <w:rPr>
          <w:rFonts w:hint="eastAsia" w:ascii="宋体" w:hAnsi="宋体" w:eastAsia="宋体" w:cs="宋体"/>
          <w:b/>
          <w:sz w:val="32"/>
          <w:szCs w:val="32"/>
          <w:highlight w:val="none"/>
          <w:lang w:eastAsia="zh-CN"/>
        </w:rPr>
        <w:t>嘉兴市秀洲区人民政府塘汇街道办事处</w:t>
      </w:r>
    </w:p>
    <w:p>
      <w:pPr>
        <w:spacing w:line="600" w:lineRule="exact"/>
        <w:ind w:firstLine="643"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代理单位：浙江中明工程咨询有限公司</w:t>
      </w:r>
    </w:p>
    <w:p>
      <w:pPr>
        <w:spacing w:line="600" w:lineRule="exact"/>
        <w:jc w:val="center"/>
        <w:rPr>
          <w:rFonts w:hint="eastAsia" w:ascii="宋体" w:hAnsi="宋体" w:eastAsia="宋体" w:cs="宋体"/>
          <w:b/>
          <w:sz w:val="32"/>
          <w:szCs w:val="32"/>
          <w:highlight w:val="none"/>
        </w:rPr>
        <w:sectPr>
          <w:headerReference r:id="rId3" w:type="default"/>
          <w:pgSz w:w="11906" w:h="16838"/>
          <w:pgMar w:top="1134" w:right="1361" w:bottom="1134" w:left="1361"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sz w:val="32"/>
          <w:szCs w:val="32"/>
          <w:highlight w:val="none"/>
        </w:rPr>
        <w:t>2022年</w:t>
      </w:r>
      <w:r>
        <w:rPr>
          <w:rFonts w:hint="eastAsia" w:ascii="宋体" w:hAnsi="宋体" w:cs="宋体"/>
          <w:b/>
          <w:sz w:val="32"/>
          <w:szCs w:val="32"/>
          <w:highlight w:val="none"/>
          <w:lang w:val="en-US" w:eastAsia="zh-CN"/>
        </w:rPr>
        <w:t>12</w:t>
      </w:r>
      <w:r>
        <w:rPr>
          <w:rFonts w:hint="eastAsia" w:ascii="宋体" w:hAnsi="宋体" w:eastAsia="宋体" w:cs="宋体"/>
          <w:b/>
          <w:sz w:val="32"/>
          <w:szCs w:val="32"/>
          <w:highlight w:val="none"/>
        </w:rPr>
        <w:t>月</w:t>
      </w:r>
    </w:p>
    <w:p>
      <w:pPr>
        <w:spacing w:line="600" w:lineRule="exact"/>
        <w:jc w:val="center"/>
        <w:rPr>
          <w:rFonts w:hint="eastAsia" w:ascii="宋体" w:hAnsi="宋体" w:eastAsia="宋体" w:cs="宋体"/>
          <w:b/>
          <w:sz w:val="32"/>
          <w:szCs w:val="32"/>
          <w:highlight w:val="none"/>
        </w:rPr>
      </w:pPr>
    </w:p>
    <w:p>
      <w:pPr>
        <w:spacing w:line="600" w:lineRule="exact"/>
        <w:rPr>
          <w:rFonts w:hint="eastAsia" w:ascii="宋体" w:hAnsi="宋体" w:eastAsia="宋体" w:cs="宋体"/>
          <w:b/>
          <w:sz w:val="32"/>
          <w:szCs w:val="32"/>
          <w:highlight w:val="none"/>
        </w:rPr>
      </w:pPr>
    </w:p>
    <w:p>
      <w:pPr>
        <w:pStyle w:val="18"/>
        <w:spacing w:before="120" w:after="120" w:line="360" w:lineRule="auto"/>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目  录</w:t>
      </w:r>
    </w:p>
    <w:p>
      <w:pPr>
        <w:pStyle w:val="18"/>
        <w:spacing w:before="120" w:after="120" w:line="360" w:lineRule="auto"/>
        <w:jc w:val="center"/>
        <w:rPr>
          <w:rFonts w:hint="eastAsia" w:ascii="宋体" w:hAnsi="宋体" w:eastAsia="宋体" w:cs="宋体"/>
          <w:color w:val="000000"/>
          <w:sz w:val="44"/>
          <w:szCs w:val="44"/>
          <w:highlight w:val="none"/>
        </w:rPr>
      </w:pPr>
    </w:p>
    <w:p>
      <w:pPr>
        <w:numPr>
          <w:ilvl w:val="0"/>
          <w:numId w:val="3"/>
        </w:numPr>
        <w:tabs>
          <w:tab w:val="left" w:pos="2520"/>
        </w:tabs>
        <w:spacing w:before="156" w:beforeLines="50" w:line="480" w:lineRule="exact"/>
        <w:ind w:hanging="195"/>
        <w:rPr>
          <w:rFonts w:hint="eastAsia" w:ascii="宋体" w:hAnsi="宋体" w:eastAsia="宋体" w:cs="宋体"/>
          <w:color w:val="000000"/>
          <w:sz w:val="32"/>
          <w:szCs w:val="32"/>
          <w:highlight w:val="none"/>
        </w:rPr>
      </w:pPr>
      <w:r>
        <w:rPr>
          <w:rFonts w:hint="eastAsia" w:ascii="宋体" w:hAnsi="宋体" w:cs="宋体"/>
          <w:color w:val="000000"/>
          <w:sz w:val="32"/>
          <w:szCs w:val="32"/>
          <w:highlight w:val="none"/>
          <w:lang w:eastAsia="zh-CN"/>
        </w:rPr>
        <w:t>竞争性磋商</w:t>
      </w:r>
      <w:r>
        <w:rPr>
          <w:rFonts w:hint="eastAsia" w:ascii="宋体" w:hAnsi="宋体" w:eastAsia="宋体" w:cs="宋体"/>
          <w:color w:val="000000"/>
          <w:sz w:val="32"/>
          <w:szCs w:val="32"/>
          <w:highlight w:val="none"/>
        </w:rPr>
        <w:t>公告</w:t>
      </w:r>
    </w:p>
    <w:p>
      <w:pPr>
        <w:numPr>
          <w:ilvl w:val="0"/>
          <w:numId w:val="3"/>
        </w:numPr>
        <w:tabs>
          <w:tab w:val="left" w:pos="2520"/>
        </w:tabs>
        <w:spacing w:before="156" w:beforeLines="50" w:line="480" w:lineRule="exact"/>
        <w:ind w:hanging="195"/>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招标需求</w:t>
      </w:r>
    </w:p>
    <w:p>
      <w:pPr>
        <w:numPr>
          <w:ilvl w:val="0"/>
          <w:numId w:val="3"/>
        </w:numPr>
        <w:tabs>
          <w:tab w:val="left" w:pos="2520"/>
        </w:tabs>
        <w:spacing w:before="156" w:beforeLines="50" w:line="480" w:lineRule="exact"/>
        <w:ind w:hanging="195"/>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供应商须知</w:t>
      </w:r>
    </w:p>
    <w:p>
      <w:pPr>
        <w:numPr>
          <w:ilvl w:val="0"/>
          <w:numId w:val="3"/>
        </w:numPr>
        <w:tabs>
          <w:tab w:val="left" w:pos="2520"/>
        </w:tabs>
        <w:spacing w:before="156" w:beforeLines="50" w:line="480" w:lineRule="exact"/>
        <w:ind w:hanging="195"/>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评标办法及评分标准</w:t>
      </w:r>
    </w:p>
    <w:p>
      <w:pPr>
        <w:numPr>
          <w:ilvl w:val="0"/>
          <w:numId w:val="3"/>
        </w:numPr>
        <w:tabs>
          <w:tab w:val="left" w:pos="2520"/>
        </w:tabs>
        <w:spacing w:before="156" w:beforeLines="50" w:line="480" w:lineRule="exact"/>
        <w:ind w:hanging="195"/>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政府采购合同主要条款</w:t>
      </w:r>
    </w:p>
    <w:p>
      <w:pPr>
        <w:numPr>
          <w:ilvl w:val="0"/>
          <w:numId w:val="3"/>
        </w:numPr>
        <w:tabs>
          <w:tab w:val="left" w:pos="2520"/>
        </w:tabs>
        <w:spacing w:before="156" w:beforeLines="50" w:line="480" w:lineRule="exact"/>
        <w:ind w:hanging="195"/>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投标文件格式</w:t>
      </w:r>
    </w:p>
    <w:p>
      <w:pPr>
        <w:spacing w:before="31" w:beforeLines="10" w:after="31" w:afterLines="10" w:line="460" w:lineRule="exact"/>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br w:type="page"/>
      </w:r>
      <w:r>
        <w:rPr>
          <w:rFonts w:hint="eastAsia" w:ascii="宋体" w:hAnsi="宋体" w:eastAsia="宋体" w:cs="宋体"/>
          <w:b/>
          <w:bCs/>
          <w:color w:val="000000"/>
          <w:sz w:val="32"/>
          <w:szCs w:val="32"/>
          <w:highlight w:val="none"/>
        </w:rPr>
        <w:t>第一章   竞争性磋商公告</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根据《中华人民共和国政府采购法》《中华人民共和国政府采购法实施条例》等规定，</w:t>
      </w:r>
      <w:r>
        <w:rPr>
          <w:rFonts w:hint="eastAsia" w:ascii="宋体" w:hAnsi="宋体" w:eastAsia="宋体" w:cs="宋体"/>
          <w:szCs w:val="21"/>
          <w:highlight w:val="none"/>
          <w:u w:val="single"/>
        </w:rPr>
        <w:t>浙江中明工程咨询有限公司</w:t>
      </w:r>
      <w:r>
        <w:rPr>
          <w:rFonts w:hint="eastAsia" w:ascii="宋体" w:hAnsi="宋体" w:eastAsia="宋体" w:cs="宋体"/>
          <w:szCs w:val="21"/>
          <w:highlight w:val="none"/>
        </w:rPr>
        <w:t>受</w:t>
      </w:r>
      <w:r>
        <w:rPr>
          <w:rFonts w:hint="eastAsia" w:ascii="宋体" w:hAnsi="宋体" w:eastAsia="宋体" w:cs="宋体"/>
          <w:szCs w:val="21"/>
          <w:highlight w:val="none"/>
          <w:u w:val="single"/>
          <w:lang w:val="en-US" w:eastAsia="zh-CN"/>
        </w:rPr>
        <w:t xml:space="preserve"> 嘉兴市秀洲区人民政府塘汇街道办事处 </w:t>
      </w:r>
      <w:r>
        <w:rPr>
          <w:rFonts w:hint="eastAsia" w:ascii="宋体" w:hAnsi="宋体" w:eastAsia="宋体" w:cs="宋体"/>
          <w:szCs w:val="21"/>
          <w:highlight w:val="none"/>
        </w:rPr>
        <w:t>委托，并经</w:t>
      </w:r>
      <w:r>
        <w:rPr>
          <w:rFonts w:hint="eastAsia" w:ascii="宋体" w:hAnsi="宋体" w:eastAsia="宋体" w:cs="宋体"/>
          <w:b/>
          <w:bCs/>
          <w:color w:val="auto"/>
          <w:szCs w:val="21"/>
          <w:highlight w:val="none"/>
          <w:u w:val="single"/>
        </w:rPr>
        <w:t>嘉兴市经济开发区财政局政府采购办公室临</w:t>
      </w:r>
      <w:r>
        <w:rPr>
          <w:rFonts w:hint="eastAsia" w:ascii="宋体" w:hAnsi="宋体" w:eastAsia="宋体" w:cs="宋体"/>
          <w:b/>
          <w:bCs/>
          <w:color w:val="auto"/>
          <w:szCs w:val="21"/>
          <w:highlight w:val="none"/>
          <w:u w:val="single"/>
          <w:lang w:val="en-US" w:eastAsia="zh-CN"/>
        </w:rPr>
        <w:t>[2022]2078号</w:t>
      </w:r>
      <w:r>
        <w:rPr>
          <w:rFonts w:hint="eastAsia" w:ascii="宋体" w:hAnsi="宋体" w:eastAsia="宋体" w:cs="宋体"/>
          <w:szCs w:val="21"/>
          <w:highlight w:val="none"/>
        </w:rPr>
        <w:t>采购计划确认批准，现就</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u w:val="single"/>
        </w:rPr>
        <w:t>塘汇街道2023年河道保洁及养护项目</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进行竞争性磋商招标，欢迎国内合格的投标人前来投标，现将有关事项公告如下：</w:t>
      </w:r>
    </w:p>
    <w:p>
      <w:pPr>
        <w:snapToGrid w:val="0"/>
        <w:spacing w:line="46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color w:val="000000"/>
          <w:szCs w:val="21"/>
          <w:highlight w:val="none"/>
        </w:rPr>
        <w:t>一、</w:t>
      </w:r>
      <w:r>
        <w:rPr>
          <w:rFonts w:hint="eastAsia" w:ascii="宋体" w:hAnsi="宋体" w:eastAsia="宋体" w:cs="宋体"/>
          <w:b/>
          <w:bCs/>
          <w:color w:val="000000"/>
          <w:szCs w:val="21"/>
          <w:highlight w:val="none"/>
        </w:rPr>
        <w:t>项目编号：</w:t>
      </w:r>
      <w:r>
        <w:rPr>
          <w:rFonts w:hint="eastAsia" w:ascii="宋体" w:hAnsi="宋体" w:cs="宋体"/>
          <w:color w:val="000000"/>
          <w:szCs w:val="21"/>
          <w:highlight w:val="none"/>
          <w:lang w:eastAsia="zh-CN"/>
        </w:rPr>
        <w:t>ZJZM-2022-75</w:t>
      </w:r>
    </w:p>
    <w:p>
      <w:pPr>
        <w:snapToGrid w:val="0"/>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eastAsia="宋体" w:cs="宋体"/>
          <w:b/>
          <w:szCs w:val="21"/>
          <w:highlight w:val="none"/>
        </w:rPr>
        <w:t>采购组织类型：</w:t>
      </w:r>
      <w:r>
        <w:rPr>
          <w:rFonts w:hint="eastAsia" w:ascii="宋体" w:hAnsi="宋体" w:eastAsia="宋体" w:cs="宋体"/>
          <w:szCs w:val="21"/>
          <w:highlight w:val="none"/>
        </w:rPr>
        <w:t>分散采购委托中介</w:t>
      </w:r>
    </w:p>
    <w:p>
      <w:pPr>
        <w:snapToGrid w:val="0"/>
        <w:spacing w:line="460" w:lineRule="exact"/>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三、采购方式：</w:t>
      </w:r>
      <w:r>
        <w:rPr>
          <w:rFonts w:hint="eastAsia" w:ascii="宋体" w:hAnsi="宋体" w:cs="宋体"/>
          <w:color w:val="auto"/>
          <w:szCs w:val="21"/>
          <w:highlight w:val="none"/>
          <w:lang w:eastAsia="zh-CN"/>
        </w:rPr>
        <w:t>竞争性磋商</w:t>
      </w:r>
    </w:p>
    <w:p>
      <w:pPr>
        <w:snapToGrid w:val="0"/>
        <w:spacing w:line="460" w:lineRule="exact"/>
        <w:ind w:firstLine="422" w:firstLineChars="200"/>
        <w:rPr>
          <w:rFonts w:hint="default" w:ascii="宋体" w:hAnsi="宋体" w:eastAsia="宋体" w:cs="宋体"/>
          <w:color w:val="auto"/>
          <w:szCs w:val="21"/>
          <w:highlight w:val="none"/>
          <w:lang w:val="en-US" w:eastAsia="zh-CN"/>
        </w:rPr>
      </w:pPr>
      <w:r>
        <w:rPr>
          <w:rFonts w:hint="eastAsia" w:ascii="宋体" w:hAnsi="宋体" w:eastAsia="宋体" w:cs="宋体"/>
          <w:b/>
          <w:color w:val="auto"/>
          <w:sz w:val="21"/>
          <w:szCs w:val="21"/>
          <w:highlight w:val="none"/>
        </w:rPr>
        <w:t>四、</w:t>
      </w:r>
      <w:r>
        <w:rPr>
          <w:rFonts w:hint="eastAsia" w:ascii="宋体" w:hAnsi="宋体" w:eastAsia="宋体" w:cs="宋体"/>
          <w:b/>
          <w:color w:val="auto"/>
          <w:szCs w:val="21"/>
          <w:highlight w:val="none"/>
        </w:rPr>
        <w:t>总预算金额（元）：</w:t>
      </w:r>
      <w:r>
        <w:rPr>
          <w:rFonts w:hint="eastAsia" w:ascii="宋体" w:hAnsi="宋体" w:cs="宋体"/>
          <w:color w:val="auto"/>
          <w:szCs w:val="21"/>
          <w:highlight w:val="none"/>
          <w:lang w:val="en-US" w:eastAsia="zh-CN"/>
        </w:rPr>
        <w:t>870000.00元。</w:t>
      </w:r>
    </w:p>
    <w:p>
      <w:pPr>
        <w:snapToGrid w:val="0"/>
        <w:spacing w:line="460" w:lineRule="exact"/>
        <w:ind w:firstLine="843" w:firstLineChars="4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最高限价（元）：</w:t>
      </w:r>
      <w:r>
        <w:rPr>
          <w:rFonts w:hint="eastAsia" w:ascii="宋体" w:hAnsi="宋体" w:cs="宋体"/>
          <w:color w:val="auto"/>
          <w:szCs w:val="21"/>
          <w:highlight w:val="none"/>
          <w:lang w:val="en-US" w:eastAsia="zh-CN"/>
        </w:rPr>
        <w:t>870000.00元。</w:t>
      </w:r>
    </w:p>
    <w:p>
      <w:pPr>
        <w:snapToGrid w:val="0"/>
        <w:spacing w:line="460" w:lineRule="exact"/>
        <w:ind w:firstLine="843" w:firstLineChars="4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采购需求：</w:t>
      </w:r>
    </w:p>
    <w:tbl>
      <w:tblPr>
        <w:tblStyle w:val="34"/>
        <w:tblW w:w="52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301"/>
        <w:gridCol w:w="846"/>
        <w:gridCol w:w="845"/>
        <w:gridCol w:w="1452"/>
        <w:gridCol w:w="2817"/>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09" w:type="pct"/>
            <w:tcMar>
              <w:top w:w="75" w:type="dxa"/>
              <w:left w:w="150" w:type="dxa"/>
              <w:bottom w:w="75" w:type="dxa"/>
              <w:right w:w="150" w:type="dxa"/>
            </w:tcMar>
            <w:vAlign w:val="center"/>
          </w:tcPr>
          <w:p>
            <w:pPr>
              <w:spacing w:line="276" w:lineRule="auto"/>
              <w:ind w:firstLine="0" w:firstLineChars="0"/>
              <w:jc w:val="center"/>
              <w:rPr>
                <w:rFonts w:hint="eastAsia" w:ascii="宋体" w:hAnsi="宋体" w:eastAsia="宋体" w:cs="宋体"/>
                <w:szCs w:val="21"/>
                <w:highlight w:val="none"/>
                <w:u w:val="none"/>
              </w:rPr>
            </w:pPr>
            <w:r>
              <w:rPr>
                <w:rFonts w:hint="eastAsia" w:ascii="宋体" w:hAnsi="宋体" w:eastAsia="宋体" w:cs="宋体"/>
                <w:szCs w:val="21"/>
                <w:highlight w:val="none"/>
                <w:u w:val="none"/>
              </w:rPr>
              <w:t>标项</w:t>
            </w:r>
          </w:p>
        </w:tc>
        <w:tc>
          <w:tcPr>
            <w:tcW w:w="1158" w:type="pct"/>
            <w:tcMar>
              <w:top w:w="75" w:type="dxa"/>
              <w:left w:w="150" w:type="dxa"/>
              <w:bottom w:w="75" w:type="dxa"/>
              <w:right w:w="150" w:type="dxa"/>
            </w:tcMar>
            <w:vAlign w:val="center"/>
          </w:tcPr>
          <w:p>
            <w:pPr>
              <w:spacing w:line="276" w:lineRule="auto"/>
              <w:ind w:firstLine="0" w:firstLineChars="0"/>
              <w:jc w:val="center"/>
              <w:rPr>
                <w:rFonts w:hint="eastAsia" w:ascii="宋体" w:hAnsi="宋体" w:eastAsia="宋体" w:cs="宋体"/>
                <w:szCs w:val="21"/>
                <w:highlight w:val="none"/>
                <w:u w:val="none"/>
              </w:rPr>
            </w:pPr>
            <w:r>
              <w:rPr>
                <w:rFonts w:hint="eastAsia" w:ascii="宋体" w:hAnsi="宋体" w:eastAsia="宋体" w:cs="宋体"/>
                <w:szCs w:val="21"/>
                <w:highlight w:val="none"/>
                <w:u w:val="none"/>
              </w:rPr>
              <w:t>标项名称</w:t>
            </w:r>
          </w:p>
        </w:tc>
        <w:tc>
          <w:tcPr>
            <w:tcW w:w="425" w:type="pct"/>
            <w:tcMar>
              <w:top w:w="75" w:type="dxa"/>
              <w:left w:w="150" w:type="dxa"/>
              <w:bottom w:w="75" w:type="dxa"/>
              <w:right w:w="150" w:type="dxa"/>
            </w:tcMar>
            <w:vAlign w:val="center"/>
          </w:tcPr>
          <w:p>
            <w:pPr>
              <w:spacing w:line="276" w:lineRule="auto"/>
              <w:ind w:firstLine="0" w:firstLineChars="0"/>
              <w:jc w:val="center"/>
              <w:rPr>
                <w:rFonts w:hint="eastAsia" w:ascii="宋体" w:hAnsi="宋体" w:eastAsia="宋体" w:cs="宋体"/>
                <w:szCs w:val="21"/>
                <w:highlight w:val="none"/>
                <w:u w:val="none"/>
              </w:rPr>
            </w:pPr>
            <w:r>
              <w:rPr>
                <w:rFonts w:hint="eastAsia" w:ascii="宋体" w:hAnsi="宋体" w:eastAsia="宋体" w:cs="宋体"/>
                <w:szCs w:val="21"/>
                <w:highlight w:val="none"/>
                <w:u w:val="none"/>
              </w:rPr>
              <w:t>数量</w:t>
            </w:r>
          </w:p>
        </w:tc>
        <w:tc>
          <w:tcPr>
            <w:tcW w:w="425" w:type="pct"/>
            <w:tcMar>
              <w:top w:w="75" w:type="dxa"/>
              <w:left w:w="150" w:type="dxa"/>
              <w:bottom w:w="75" w:type="dxa"/>
              <w:right w:w="150" w:type="dxa"/>
            </w:tcMar>
            <w:vAlign w:val="center"/>
          </w:tcPr>
          <w:p>
            <w:pPr>
              <w:spacing w:line="276" w:lineRule="auto"/>
              <w:ind w:firstLine="0" w:firstLineChars="0"/>
              <w:jc w:val="center"/>
              <w:rPr>
                <w:rFonts w:hint="eastAsia" w:ascii="宋体" w:hAnsi="宋体" w:eastAsia="宋体" w:cs="宋体"/>
                <w:szCs w:val="21"/>
                <w:highlight w:val="none"/>
                <w:u w:val="none"/>
              </w:rPr>
            </w:pPr>
            <w:r>
              <w:rPr>
                <w:rFonts w:hint="eastAsia" w:ascii="宋体" w:hAnsi="宋体" w:eastAsia="宋体" w:cs="宋体"/>
                <w:szCs w:val="21"/>
                <w:highlight w:val="none"/>
                <w:u w:val="none"/>
              </w:rPr>
              <w:t>单位</w:t>
            </w:r>
          </w:p>
        </w:tc>
        <w:tc>
          <w:tcPr>
            <w:tcW w:w="730" w:type="pct"/>
            <w:tcMar>
              <w:top w:w="75" w:type="dxa"/>
              <w:left w:w="150" w:type="dxa"/>
              <w:bottom w:w="75" w:type="dxa"/>
              <w:right w:w="150" w:type="dxa"/>
            </w:tcMar>
            <w:vAlign w:val="center"/>
          </w:tcPr>
          <w:p>
            <w:pPr>
              <w:spacing w:line="276" w:lineRule="auto"/>
              <w:ind w:firstLine="0" w:firstLineChars="0"/>
              <w:jc w:val="center"/>
              <w:rPr>
                <w:rFonts w:hint="eastAsia" w:ascii="宋体" w:hAnsi="宋体" w:eastAsia="宋体" w:cs="宋体"/>
                <w:szCs w:val="21"/>
                <w:highlight w:val="none"/>
                <w:u w:val="none"/>
              </w:rPr>
            </w:pPr>
            <w:r>
              <w:rPr>
                <w:rFonts w:hint="eastAsia" w:ascii="宋体" w:hAnsi="宋体" w:eastAsia="宋体" w:cs="宋体"/>
                <w:szCs w:val="21"/>
                <w:highlight w:val="none"/>
                <w:u w:val="none"/>
              </w:rPr>
              <w:t>预算金(元)</w:t>
            </w:r>
          </w:p>
        </w:tc>
        <w:tc>
          <w:tcPr>
            <w:tcW w:w="1417" w:type="pct"/>
            <w:tcMar>
              <w:top w:w="75" w:type="dxa"/>
              <w:left w:w="150" w:type="dxa"/>
              <w:bottom w:w="75" w:type="dxa"/>
              <w:right w:w="150" w:type="dxa"/>
            </w:tcMar>
            <w:vAlign w:val="center"/>
          </w:tcPr>
          <w:p>
            <w:pPr>
              <w:spacing w:line="276" w:lineRule="auto"/>
              <w:ind w:firstLine="0" w:firstLineChars="0"/>
              <w:jc w:val="center"/>
              <w:rPr>
                <w:rFonts w:hint="eastAsia" w:ascii="宋体" w:hAnsi="宋体" w:eastAsia="宋体" w:cs="宋体"/>
                <w:szCs w:val="21"/>
                <w:highlight w:val="none"/>
                <w:u w:val="none"/>
              </w:rPr>
            </w:pPr>
            <w:r>
              <w:rPr>
                <w:rFonts w:hint="eastAsia" w:ascii="宋体" w:hAnsi="宋体" w:eastAsia="宋体" w:cs="宋体"/>
                <w:szCs w:val="21"/>
                <w:highlight w:val="none"/>
                <w:u w:val="none"/>
              </w:rPr>
              <w:t>简要规格描述</w:t>
            </w:r>
          </w:p>
        </w:tc>
        <w:tc>
          <w:tcPr>
            <w:tcW w:w="432" w:type="pct"/>
            <w:tcMar>
              <w:top w:w="75" w:type="dxa"/>
              <w:left w:w="150" w:type="dxa"/>
              <w:bottom w:w="75" w:type="dxa"/>
              <w:right w:w="150" w:type="dxa"/>
            </w:tcMar>
            <w:vAlign w:val="center"/>
          </w:tcPr>
          <w:p>
            <w:pPr>
              <w:spacing w:line="276" w:lineRule="auto"/>
              <w:ind w:firstLine="0" w:firstLineChars="0"/>
              <w:jc w:val="center"/>
              <w:rPr>
                <w:rFonts w:hint="eastAsia" w:ascii="宋体" w:hAnsi="宋体" w:eastAsia="宋体" w:cs="宋体"/>
                <w:szCs w:val="21"/>
                <w:highlight w:val="none"/>
                <w:u w:val="none"/>
              </w:rPr>
            </w:pPr>
            <w:r>
              <w:rPr>
                <w:rFonts w:hint="eastAsia" w:ascii="宋体" w:hAnsi="宋体" w:eastAsia="宋体" w:cs="宋体"/>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409" w:type="pct"/>
            <w:tcMar>
              <w:top w:w="75" w:type="dxa"/>
              <w:left w:w="150" w:type="dxa"/>
              <w:bottom w:w="75" w:type="dxa"/>
              <w:right w:w="150" w:type="dxa"/>
            </w:tcMar>
            <w:vAlign w:val="center"/>
          </w:tcPr>
          <w:p>
            <w:pPr>
              <w:spacing w:line="276" w:lineRule="auto"/>
              <w:ind w:firstLine="0" w:firstLineChars="0"/>
              <w:jc w:val="center"/>
              <w:rPr>
                <w:rFonts w:hint="eastAsia" w:ascii="宋体" w:hAnsi="宋体" w:eastAsia="宋体" w:cs="宋体"/>
                <w:szCs w:val="21"/>
                <w:highlight w:val="none"/>
                <w:u w:val="none"/>
              </w:rPr>
            </w:pPr>
            <w:r>
              <w:rPr>
                <w:rFonts w:hint="eastAsia" w:ascii="宋体" w:hAnsi="宋体" w:eastAsia="宋体" w:cs="宋体"/>
                <w:szCs w:val="21"/>
                <w:highlight w:val="none"/>
                <w:u w:val="none"/>
              </w:rPr>
              <w:t>1</w:t>
            </w:r>
          </w:p>
        </w:tc>
        <w:tc>
          <w:tcPr>
            <w:tcW w:w="1158" w:type="pct"/>
            <w:tcMar>
              <w:top w:w="75" w:type="dxa"/>
              <w:left w:w="150" w:type="dxa"/>
              <w:bottom w:w="75" w:type="dxa"/>
              <w:right w:w="150" w:type="dxa"/>
            </w:tcMar>
            <w:vAlign w:val="center"/>
          </w:tcPr>
          <w:p>
            <w:pPr>
              <w:spacing w:line="276" w:lineRule="auto"/>
              <w:ind w:firstLine="0" w:firstLineChars="0"/>
              <w:jc w:val="center"/>
              <w:rPr>
                <w:rFonts w:hint="eastAsia" w:ascii="宋体" w:hAnsi="宋体" w:eastAsia="宋体" w:cs="宋体"/>
                <w:szCs w:val="21"/>
                <w:highlight w:val="none"/>
                <w:u w:val="none"/>
              </w:rPr>
            </w:pPr>
            <w:r>
              <w:rPr>
                <w:rFonts w:hint="eastAsia" w:ascii="宋体" w:hAnsi="宋体" w:eastAsia="宋体" w:cs="宋体"/>
                <w:szCs w:val="21"/>
                <w:highlight w:val="none"/>
                <w:u w:val="none"/>
              </w:rPr>
              <w:t>塘汇街道2023年河道保洁及养护项目</w:t>
            </w:r>
          </w:p>
        </w:tc>
        <w:tc>
          <w:tcPr>
            <w:tcW w:w="425" w:type="pct"/>
            <w:tcMar>
              <w:top w:w="75" w:type="dxa"/>
              <w:left w:w="150" w:type="dxa"/>
              <w:bottom w:w="75" w:type="dxa"/>
              <w:right w:w="150" w:type="dxa"/>
            </w:tcMar>
            <w:vAlign w:val="center"/>
          </w:tcPr>
          <w:p>
            <w:pPr>
              <w:spacing w:line="276" w:lineRule="auto"/>
              <w:ind w:firstLine="0" w:firstLineChars="0"/>
              <w:jc w:val="center"/>
              <w:rPr>
                <w:rFonts w:hint="eastAsia" w:ascii="宋体" w:hAnsi="宋体" w:eastAsia="宋体" w:cs="宋体"/>
                <w:szCs w:val="21"/>
                <w:highlight w:val="none"/>
                <w:u w:val="none"/>
              </w:rPr>
            </w:pPr>
            <w:r>
              <w:rPr>
                <w:rFonts w:hint="eastAsia" w:ascii="宋体" w:hAnsi="宋体" w:eastAsia="宋体" w:cs="宋体"/>
                <w:szCs w:val="21"/>
                <w:highlight w:val="none"/>
                <w:u w:val="none"/>
              </w:rPr>
              <w:t>1</w:t>
            </w:r>
          </w:p>
        </w:tc>
        <w:tc>
          <w:tcPr>
            <w:tcW w:w="425" w:type="pct"/>
            <w:tcMar>
              <w:top w:w="75" w:type="dxa"/>
              <w:left w:w="150" w:type="dxa"/>
              <w:bottom w:w="75" w:type="dxa"/>
              <w:right w:w="150" w:type="dxa"/>
            </w:tcMar>
            <w:vAlign w:val="center"/>
          </w:tcPr>
          <w:p>
            <w:pPr>
              <w:spacing w:line="276" w:lineRule="auto"/>
              <w:ind w:firstLine="0" w:firstLineChars="0"/>
              <w:jc w:val="center"/>
              <w:rPr>
                <w:rFonts w:hint="eastAsia" w:ascii="宋体" w:hAnsi="宋体" w:eastAsia="宋体" w:cs="宋体"/>
                <w:szCs w:val="21"/>
                <w:highlight w:val="none"/>
                <w:u w:val="none"/>
              </w:rPr>
            </w:pPr>
            <w:r>
              <w:rPr>
                <w:rFonts w:hint="eastAsia" w:ascii="宋体" w:hAnsi="宋体" w:eastAsia="宋体" w:cs="宋体"/>
                <w:szCs w:val="21"/>
                <w:highlight w:val="none"/>
                <w:u w:val="none"/>
              </w:rPr>
              <w:t>批</w:t>
            </w:r>
          </w:p>
        </w:tc>
        <w:tc>
          <w:tcPr>
            <w:tcW w:w="730" w:type="pct"/>
            <w:tcMar>
              <w:top w:w="75" w:type="dxa"/>
              <w:left w:w="150" w:type="dxa"/>
              <w:bottom w:w="75" w:type="dxa"/>
              <w:right w:w="150" w:type="dxa"/>
            </w:tcMar>
            <w:vAlign w:val="center"/>
          </w:tcPr>
          <w:p>
            <w:pPr>
              <w:spacing w:line="276" w:lineRule="auto"/>
              <w:ind w:firstLine="0" w:firstLineChars="0"/>
              <w:jc w:val="center"/>
              <w:rPr>
                <w:rFonts w:hint="eastAsia" w:ascii="宋体" w:hAnsi="宋体" w:eastAsia="宋体" w:cs="宋体"/>
                <w:szCs w:val="21"/>
                <w:highlight w:val="none"/>
                <w:u w:val="none"/>
                <w:lang w:val="en-US" w:eastAsia="zh-CN"/>
              </w:rPr>
            </w:pPr>
            <w:r>
              <w:rPr>
                <w:rFonts w:hint="eastAsia" w:ascii="宋体" w:hAnsi="宋体" w:eastAsia="宋体" w:cs="宋体"/>
                <w:szCs w:val="21"/>
                <w:highlight w:val="none"/>
                <w:u w:val="none"/>
                <w:lang w:val="en-US" w:eastAsia="zh-CN"/>
              </w:rPr>
              <w:t>870000</w:t>
            </w:r>
          </w:p>
        </w:tc>
        <w:tc>
          <w:tcPr>
            <w:tcW w:w="1417" w:type="pct"/>
            <w:tcMar>
              <w:top w:w="75" w:type="dxa"/>
              <w:left w:w="150" w:type="dxa"/>
              <w:bottom w:w="75" w:type="dxa"/>
              <w:right w:w="150" w:type="dxa"/>
            </w:tcMar>
            <w:vAlign w:val="center"/>
          </w:tcPr>
          <w:p>
            <w:pPr>
              <w:spacing w:line="276" w:lineRule="auto"/>
              <w:ind w:firstLine="0" w:firstLineChars="0"/>
              <w:jc w:val="both"/>
              <w:rPr>
                <w:rFonts w:hint="eastAsia" w:ascii="宋体" w:hAnsi="宋体" w:eastAsia="宋体" w:cs="宋体"/>
                <w:szCs w:val="21"/>
                <w:highlight w:val="none"/>
                <w:u w:val="none"/>
                <w:lang w:val="en-US" w:eastAsia="zh-CN"/>
              </w:rPr>
            </w:pPr>
            <w:r>
              <w:rPr>
                <w:rFonts w:hint="eastAsia" w:ascii="宋体" w:hAnsi="宋体" w:eastAsia="宋体" w:cs="宋体"/>
                <w:szCs w:val="21"/>
                <w:highlight w:val="none"/>
                <w:u w:val="none"/>
              </w:rPr>
              <w:t>主要包括：河道表面落叶漂浮物处理，水下水草和挺水植物收割，青苔处理，投放微生物提升水质，喷泉曝气设备维护等</w:t>
            </w:r>
            <w:r>
              <w:rPr>
                <w:rFonts w:hint="eastAsia" w:ascii="宋体" w:hAnsi="宋体" w:eastAsia="宋体" w:cs="宋体"/>
                <w:szCs w:val="21"/>
                <w:highlight w:val="none"/>
                <w:u w:val="none"/>
                <w:lang w:eastAsia="zh-CN"/>
              </w:rPr>
              <w:t>，</w:t>
            </w:r>
            <w:r>
              <w:rPr>
                <w:rFonts w:hint="eastAsia" w:ascii="宋体" w:hAnsi="宋体" w:eastAsia="宋体" w:cs="宋体"/>
                <w:szCs w:val="21"/>
                <w:highlight w:val="none"/>
                <w:u w:val="none"/>
                <w:lang w:val="en-US" w:eastAsia="zh-CN"/>
              </w:rPr>
              <w:t>详见</w:t>
            </w:r>
            <w:r>
              <w:rPr>
                <w:rFonts w:hint="eastAsia" w:ascii="宋体" w:hAnsi="宋体" w:eastAsia="宋体" w:cs="宋体"/>
                <w:szCs w:val="21"/>
                <w:highlight w:val="none"/>
                <w:u w:val="none"/>
              </w:rPr>
              <w:t>招标需求</w:t>
            </w:r>
            <w:r>
              <w:rPr>
                <w:rFonts w:hint="eastAsia" w:ascii="宋体" w:hAnsi="宋体" w:eastAsia="宋体" w:cs="宋体"/>
                <w:szCs w:val="21"/>
                <w:highlight w:val="none"/>
                <w:u w:val="none"/>
                <w:lang w:eastAsia="zh-CN"/>
              </w:rPr>
              <w:t>。</w:t>
            </w:r>
          </w:p>
        </w:tc>
        <w:tc>
          <w:tcPr>
            <w:tcW w:w="432" w:type="pct"/>
            <w:tcMar>
              <w:top w:w="75" w:type="dxa"/>
              <w:left w:w="150" w:type="dxa"/>
              <w:bottom w:w="75" w:type="dxa"/>
              <w:right w:w="150" w:type="dxa"/>
            </w:tcMar>
            <w:vAlign w:val="center"/>
          </w:tcPr>
          <w:p>
            <w:pPr>
              <w:spacing w:line="276" w:lineRule="auto"/>
              <w:ind w:firstLine="0" w:firstLineChars="0"/>
              <w:jc w:val="center"/>
              <w:rPr>
                <w:rFonts w:hint="eastAsia" w:ascii="宋体" w:hAnsi="宋体" w:eastAsia="宋体" w:cs="宋体"/>
                <w:szCs w:val="21"/>
                <w:highlight w:val="none"/>
                <w:u w:val="none"/>
              </w:rPr>
            </w:pPr>
          </w:p>
        </w:tc>
      </w:tr>
    </w:tbl>
    <w:p>
      <w:pPr>
        <w:snapToGrid w:val="0"/>
        <w:spacing w:line="4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五、合格投标人的资格要求：</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1、符合《中华人民共和国政府采购法》第二十二条的规定。</w:t>
      </w:r>
    </w:p>
    <w:p>
      <w:pPr>
        <w:spacing w:line="460" w:lineRule="exact"/>
        <w:ind w:firstLine="420" w:firstLineChars="200"/>
        <w:rPr>
          <w:rFonts w:hint="eastAsia" w:ascii="宋体" w:hAnsi="宋体" w:eastAsia="宋体" w:cs="宋体"/>
          <w:color w:val="FF0000"/>
          <w:highlight w:val="none"/>
        </w:rPr>
      </w:pPr>
      <w:r>
        <w:rPr>
          <w:rFonts w:hint="eastAsia" w:ascii="宋体" w:hAnsi="宋体" w:eastAsia="宋体" w:cs="宋体"/>
          <w:color w:val="auto"/>
          <w:szCs w:val="21"/>
          <w:highlight w:val="none"/>
        </w:rPr>
        <w:t>2、未被“信用中国”（www.creditchina.gov.cn）、中国政府采购网（www.ccgp.gov.cn）列入失信被执行人、重大税收违法案件当事人名单、政府采购严重违法失信行为记录名</w:t>
      </w:r>
      <w:r>
        <w:rPr>
          <w:rFonts w:hint="eastAsia" w:ascii="宋体" w:hAnsi="宋体" w:eastAsia="宋体" w:cs="宋体"/>
          <w:szCs w:val="21"/>
          <w:highlight w:val="none"/>
        </w:rPr>
        <w:t>单。</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3、本项目属于预留份额专门</w:t>
      </w:r>
      <w:r>
        <w:rPr>
          <w:rFonts w:hint="eastAsia" w:ascii="宋体" w:hAnsi="宋体" w:eastAsia="宋体" w:cs="宋体"/>
          <w:b/>
          <w:bCs/>
          <w:szCs w:val="21"/>
          <w:highlight w:val="none"/>
        </w:rPr>
        <w:t>面向</w:t>
      </w:r>
      <w:r>
        <w:rPr>
          <w:rFonts w:hint="eastAsia" w:ascii="宋体" w:hAnsi="宋体" w:eastAsia="宋体" w:cs="宋体"/>
          <w:szCs w:val="21"/>
          <w:highlight w:val="none"/>
        </w:rPr>
        <w:t>中小企业采购。</w:t>
      </w:r>
      <w:r>
        <w:rPr>
          <w:rFonts w:hint="eastAsia" w:ascii="宋体" w:hAnsi="宋体" w:eastAsia="宋体" w:cs="宋体"/>
          <w:b/>
          <w:bCs/>
          <w:szCs w:val="21"/>
          <w:highlight w:val="none"/>
        </w:rPr>
        <w:t>（中小企业划分标准对应行业为</w:t>
      </w:r>
      <w:r>
        <w:rPr>
          <w:rFonts w:hint="eastAsia" w:ascii="宋体" w:hAnsi="宋体" w:eastAsia="宋体" w:cs="宋体"/>
          <w:b/>
          <w:bCs/>
          <w:strike w:val="0"/>
          <w:szCs w:val="21"/>
          <w:highlight w:val="none"/>
        </w:rPr>
        <w:t>“</w:t>
      </w:r>
      <w:r>
        <w:rPr>
          <w:rFonts w:hint="eastAsia" w:ascii="宋体" w:hAnsi="宋体" w:cs="宋体"/>
          <w:b/>
          <w:bCs/>
          <w:strike w:val="0"/>
          <w:color w:val="000000"/>
          <w:sz w:val="21"/>
          <w:szCs w:val="21"/>
          <w:highlight w:val="none"/>
          <w:lang w:eastAsia="zh-CN"/>
        </w:rPr>
        <w:t>其他未列明行业</w:t>
      </w:r>
      <w:r>
        <w:rPr>
          <w:rFonts w:hint="eastAsia" w:ascii="宋体" w:hAnsi="宋体" w:eastAsia="宋体" w:cs="宋体"/>
          <w:b/>
          <w:bCs/>
          <w:strike w:val="0"/>
          <w:szCs w:val="21"/>
          <w:highlight w:val="none"/>
        </w:rPr>
        <w:t>”</w:t>
      </w:r>
      <w:r>
        <w:rPr>
          <w:rFonts w:hint="eastAsia" w:ascii="宋体" w:hAnsi="宋体" w:eastAsia="宋体" w:cs="宋体"/>
          <w:b/>
          <w:bCs/>
          <w:szCs w:val="21"/>
          <w:highlight w:val="none"/>
        </w:rPr>
        <w:t>）。</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b/>
          <w:bCs/>
          <w:color w:val="000000"/>
          <w:szCs w:val="21"/>
          <w:highlight w:val="none"/>
        </w:rPr>
        <w:t>特定资格要求：</w:t>
      </w:r>
      <w:r>
        <w:rPr>
          <w:rFonts w:hint="eastAsia" w:ascii="宋体" w:hAnsi="宋体" w:eastAsia="宋体" w:cs="宋体"/>
          <w:b/>
          <w:bCs/>
          <w:color w:val="000000"/>
          <w:szCs w:val="21"/>
          <w:highlight w:val="none"/>
          <w:lang w:val="en-US" w:eastAsia="zh-CN"/>
        </w:rPr>
        <w:t>无。</w:t>
      </w:r>
      <w:r>
        <w:rPr>
          <w:rFonts w:hint="eastAsia" w:ascii="宋体" w:hAnsi="宋体" w:eastAsia="宋体" w:cs="宋体"/>
          <w:b/>
          <w:bCs/>
          <w:color w:val="000000"/>
          <w:szCs w:val="21"/>
          <w:highlight w:val="none"/>
        </w:rPr>
        <w:t> </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本项目谢绝联合体投标。</w:t>
      </w:r>
    </w:p>
    <w:p>
      <w:pPr>
        <w:spacing w:line="460" w:lineRule="exact"/>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注：本采购项目，中标单位与采购单位签订的政府采购合同适用于嘉兴市政府采购贷款政策，简称“政采贷”，具体内容可参阅政府采购贷款流程：</w:t>
      </w:r>
    </w:p>
    <w:p>
      <w:pPr>
        <w:spacing w:line="460" w:lineRule="exact"/>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http://jxszwsjb.jiaxing.gov.cn/zxfw/005012/20181016/7e541bf4-ad29-4286-ace8-d12c1b2c54fc.html</w:t>
      </w:r>
    </w:p>
    <w:p>
      <w:pPr>
        <w:snapToGrid w:val="0"/>
        <w:spacing w:line="460" w:lineRule="exact"/>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六、招标文件的获取：</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1、本项目招标文件实行“政府采购云平台”在线获取，不提供招标文件纸质版。供应商获取招标文件前应先完成“政府采购云平台”的账号注册；</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2、地点：政采云平台（https://www.zcygov.cn/）；</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注：请供应商按上述要求获取招标文件，如未在“政采云”系统内完成相关流程，引起的投标无效责任自负。</w:t>
      </w:r>
    </w:p>
    <w:p>
      <w:pPr>
        <w:spacing w:line="4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七、投标截止时间：</w:t>
      </w:r>
      <w:r>
        <w:rPr>
          <w:rFonts w:hint="eastAsia" w:ascii="宋体" w:hAnsi="宋体" w:eastAsia="宋体" w:cs="宋体"/>
          <w:b/>
          <w:bCs/>
          <w:color w:val="auto"/>
          <w:szCs w:val="21"/>
          <w:highlight w:val="none"/>
          <w:lang w:eastAsia="zh-CN"/>
        </w:rPr>
        <w:t>2022年</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lang w:eastAsia="zh-CN"/>
        </w:rPr>
        <w:t>月</w:t>
      </w:r>
      <w:r>
        <w:rPr>
          <w:rFonts w:hint="eastAsia" w:ascii="宋体" w:hAnsi="宋体" w:eastAsia="宋体" w:cs="宋体"/>
          <w:b/>
          <w:bCs/>
          <w:color w:val="auto"/>
          <w:szCs w:val="21"/>
          <w:highlight w:val="none"/>
          <w:lang w:val="en-US" w:eastAsia="zh-CN"/>
        </w:rPr>
        <w:t xml:space="preserve"> </w:t>
      </w:r>
      <w:r>
        <w:rPr>
          <w:rFonts w:hint="eastAsia" w:ascii="宋体" w:hAnsi="宋体" w:cs="宋体"/>
          <w:b/>
          <w:bCs/>
          <w:color w:val="auto"/>
          <w:szCs w:val="21"/>
          <w:highlight w:val="none"/>
          <w:lang w:val="en-US" w:eastAsia="zh-CN"/>
        </w:rPr>
        <w:t>16</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lang w:eastAsia="zh-CN"/>
        </w:rPr>
        <w:t>日09时30分</w:t>
      </w:r>
      <w:r>
        <w:rPr>
          <w:rFonts w:hint="eastAsia" w:ascii="宋体" w:hAnsi="宋体" w:eastAsia="宋体" w:cs="宋体"/>
          <w:b/>
          <w:bCs/>
          <w:color w:val="auto"/>
          <w:szCs w:val="21"/>
          <w:highlight w:val="none"/>
        </w:rPr>
        <w:t>。</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八、投标地点：政采云平台线上投标</w:t>
      </w:r>
    </w:p>
    <w:p>
      <w:pPr>
        <w:spacing w:line="4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九、开标时间：</w:t>
      </w:r>
      <w:r>
        <w:rPr>
          <w:rFonts w:hint="eastAsia" w:ascii="宋体" w:hAnsi="宋体" w:eastAsia="宋体" w:cs="宋体"/>
          <w:b/>
          <w:bCs/>
          <w:color w:val="auto"/>
          <w:szCs w:val="21"/>
          <w:highlight w:val="none"/>
          <w:lang w:eastAsia="zh-CN"/>
        </w:rPr>
        <w:t>2022年</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lang w:eastAsia="zh-CN"/>
        </w:rPr>
        <w:t>月</w:t>
      </w:r>
      <w:r>
        <w:rPr>
          <w:rFonts w:hint="eastAsia" w:ascii="宋体" w:hAnsi="宋体" w:cs="宋体"/>
          <w:b/>
          <w:bCs/>
          <w:color w:val="auto"/>
          <w:szCs w:val="21"/>
          <w:highlight w:val="none"/>
          <w:lang w:val="en-US" w:eastAsia="zh-CN"/>
        </w:rPr>
        <w:t>16</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lang w:eastAsia="zh-CN"/>
        </w:rPr>
        <w:t>日09时30分</w:t>
      </w:r>
      <w:r>
        <w:rPr>
          <w:rFonts w:hint="eastAsia" w:ascii="宋体" w:hAnsi="宋体" w:eastAsia="宋体" w:cs="宋体"/>
          <w:b/>
          <w:bCs/>
          <w:color w:val="auto"/>
          <w:szCs w:val="21"/>
          <w:highlight w:val="none"/>
        </w:rPr>
        <w:t>。</w:t>
      </w:r>
    </w:p>
    <w:p>
      <w:pPr>
        <w:spacing w:line="4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十、开标地点：政采云平台线上开标</w:t>
      </w:r>
      <w:r>
        <w:rPr>
          <w:rFonts w:hint="eastAsia" w:ascii="宋体" w:hAnsi="宋体" w:cs="宋体"/>
          <w:color w:val="auto"/>
          <w:szCs w:val="21"/>
          <w:highlight w:val="none"/>
          <w:lang w:eastAsia="zh-CN"/>
        </w:rPr>
        <w:t>（</w:t>
      </w:r>
      <w:r>
        <w:rPr>
          <w:rFonts w:hint="eastAsia" w:ascii="宋体" w:hAnsi="宋体" w:eastAsia="宋体" w:cs="宋体"/>
          <w:szCs w:val="21"/>
          <w:highlight w:val="none"/>
        </w:rPr>
        <w:t>嘉兴市南湖区由拳路309号紫御大厦17楼</w:t>
      </w:r>
      <w:r>
        <w:rPr>
          <w:rFonts w:hint="eastAsia" w:ascii="宋体" w:hAnsi="宋体" w:cs="宋体"/>
          <w:szCs w:val="21"/>
          <w:highlight w:val="none"/>
          <w:lang w:val="en-US" w:eastAsia="zh-CN"/>
        </w:rPr>
        <w:t>1701</w:t>
      </w:r>
      <w:r>
        <w:rPr>
          <w:rFonts w:hint="eastAsia" w:ascii="宋体" w:hAnsi="宋体" w:eastAsia="宋体" w:cs="宋体"/>
          <w:szCs w:val="21"/>
          <w:highlight w:val="none"/>
        </w:rPr>
        <w:t>浙江中明工程咨询有限公司</w:t>
      </w:r>
      <w:r>
        <w:rPr>
          <w:rFonts w:hint="eastAsia" w:ascii="宋体" w:hAnsi="宋体" w:cs="宋体"/>
          <w:szCs w:val="21"/>
          <w:highlight w:val="none"/>
          <w:lang w:val="en-US" w:eastAsia="zh-CN"/>
        </w:rPr>
        <w:t>开标室</w:t>
      </w:r>
      <w:r>
        <w:rPr>
          <w:rFonts w:hint="eastAsia" w:ascii="宋体" w:hAnsi="宋体" w:cs="宋体"/>
          <w:color w:val="auto"/>
          <w:szCs w:val="21"/>
          <w:highlight w:val="none"/>
          <w:lang w:eastAsia="zh-CN"/>
        </w:rPr>
        <w:t>）</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十一、投标保证金：无</w:t>
      </w:r>
    </w:p>
    <w:p>
      <w:pPr>
        <w:snapToGrid w:val="0"/>
        <w:spacing w:line="460" w:lineRule="exact"/>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十二、在线投标响应（电子投标）说明</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“政采云电子交易客户端”请自行前往“浙江政府采购网-下载专区-电子交易客户端”进行下载。</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2、供应商须申领CA，并在政采云平台完成绑定方可进行投标文件的编制，CA相关操作可参考“浙江政府采购网-下载专区-电子交易客户端-CA驱动和申领流程”。</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注：供应商在进行上述操作时，如遇技术问题可致电400-881-7190进行咨询或查阅《供应商项目采购-电子招投标操作指南》。操作指南在政府采购电子卖场-服务中心-帮助文档-供应商登录后，查看最新版指南。</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3、投标供应商应当在投标截止时间前，将生成的“电子加密投标文件”上传递交至“政府采购云平台”。</w:t>
      </w:r>
      <w:r>
        <w:rPr>
          <w:rFonts w:hint="eastAsia" w:ascii="宋体" w:hAnsi="宋体" w:eastAsia="宋体" w:cs="宋体"/>
          <w:b/>
          <w:bCs/>
          <w:szCs w:val="21"/>
          <w:highlight w:val="none"/>
        </w:rPr>
        <w:t>投标截止时间以后上传递交的投标文件将被“政府采购云平台”拒收。</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pPr>
        <w:spacing w:line="460" w:lineRule="exact"/>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napToGrid w:val="0"/>
        <w:spacing w:line="460" w:lineRule="exact"/>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十三、其他事项：</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1、本项目公告期限：5个工作日（公告期截止后，允许投标单位参加本项目投标活动）</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供应商认为招标文件使自己的权益受到损害的，可以自获取招标文件之日（公告期截止日之后收到招标文件的，以公告期截止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snapToGrid w:val="0"/>
        <w:spacing w:line="46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十四、业务咨询：</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zCs w:val="21"/>
          <w:highlight w:val="none"/>
          <w:lang w:val="en-US" w:eastAsia="zh-CN"/>
        </w:rPr>
      </w:pPr>
      <w:bookmarkStart w:id="1" w:name="OLE_LINK33"/>
      <w:r>
        <w:rPr>
          <w:rFonts w:hint="eastAsia" w:ascii="宋体" w:hAnsi="宋体" w:eastAsia="宋体" w:cs="宋体"/>
          <w:szCs w:val="21"/>
          <w:highlight w:val="none"/>
          <w:lang w:val="en-US" w:eastAsia="zh-CN"/>
        </w:rPr>
        <w:t>1.采购单位：</w:t>
      </w:r>
      <w:bookmarkEnd w:id="1"/>
      <w:bookmarkStart w:id="2" w:name="OLE_LINK34"/>
      <w:r>
        <w:rPr>
          <w:rFonts w:hint="eastAsia" w:ascii="宋体" w:hAnsi="宋体" w:eastAsia="宋体" w:cs="宋体"/>
          <w:szCs w:val="21"/>
          <w:highlight w:val="none"/>
          <w:lang w:val="en-US" w:eastAsia="zh-CN"/>
        </w:rPr>
        <w:t>嘉兴市秀洲区人民政府塘汇街道办事处</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地址：</w:t>
      </w:r>
      <w:r>
        <w:rPr>
          <w:rFonts w:hint="eastAsia" w:ascii="宋体" w:hAnsi="宋体" w:eastAsia="宋体" w:cs="宋体"/>
          <w:szCs w:val="21"/>
          <w:highlight w:val="none"/>
          <w:lang w:val="en-US" w:eastAsia="zh-CN"/>
        </w:rPr>
        <w:t xml:space="preserve"> 浙江省嘉兴市塘汇路976号</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联系人：</w:t>
      </w:r>
      <w:r>
        <w:rPr>
          <w:rFonts w:hint="eastAsia" w:ascii="宋体" w:hAnsi="宋体" w:eastAsia="宋体" w:cs="宋体"/>
          <w:szCs w:val="21"/>
          <w:highlight w:val="none"/>
          <w:lang w:val="en-US" w:eastAsia="zh-CN"/>
        </w:rPr>
        <w:t xml:space="preserve">章先生          </w:t>
      </w:r>
      <w:r>
        <w:rPr>
          <w:rFonts w:hint="eastAsia" w:ascii="宋体" w:hAnsi="宋体" w:eastAsia="宋体" w:cs="宋体"/>
          <w:szCs w:val="21"/>
          <w:highlight w:val="none"/>
          <w:lang w:val="en-US" w:eastAsia="zh-CN"/>
        </w:rPr>
        <w:t xml:space="preserve">   联系电话：</w:t>
      </w:r>
      <w:r>
        <w:rPr>
          <w:rFonts w:hint="eastAsia" w:ascii="宋体" w:hAnsi="宋体" w:eastAsia="宋体" w:cs="宋体"/>
          <w:szCs w:val="21"/>
          <w:highlight w:val="none"/>
          <w:lang w:val="en-US" w:eastAsia="zh-CN"/>
        </w:rPr>
        <w:t xml:space="preserve"> 15888306882 </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质疑联系人：许女士</w:t>
      </w:r>
      <w:r>
        <w:rPr>
          <w:rFonts w:hint="eastAsia" w:ascii="宋体" w:hAnsi="宋体" w:eastAsia="宋体" w:cs="宋体"/>
          <w:szCs w:val="21"/>
          <w:highlight w:val="none"/>
          <w:lang w:val="en-US" w:eastAsia="zh-CN"/>
        </w:rPr>
        <w:t xml:space="preserve">         联系电话：</w:t>
      </w:r>
      <w:r>
        <w:rPr>
          <w:rFonts w:hint="eastAsia" w:ascii="宋体" w:hAnsi="宋体" w:eastAsia="宋体" w:cs="宋体"/>
          <w:szCs w:val="21"/>
          <w:highlight w:val="none"/>
          <w:lang w:val="en-US" w:eastAsia="zh-CN"/>
        </w:rPr>
        <w:t xml:space="preserve"> 0573-82337517</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2.采购代理机构：浙江中明工程咨询有限公司</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地址：嘉兴市南湖区由拳路309号紫御大厦17楼</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经办联系人：</w:t>
      </w:r>
      <w:r>
        <w:rPr>
          <w:rFonts w:hint="eastAsia" w:ascii="宋体" w:hAnsi="宋体" w:eastAsia="宋体" w:cs="宋体"/>
          <w:szCs w:val="21"/>
          <w:highlight w:val="none"/>
          <w:lang w:val="en-US" w:eastAsia="zh-CN"/>
        </w:rPr>
        <w:t xml:space="preserve">杜园园        </w:t>
      </w:r>
      <w:r>
        <w:rPr>
          <w:rFonts w:hint="eastAsia" w:ascii="宋体" w:hAnsi="宋体" w:eastAsia="宋体" w:cs="宋体"/>
          <w:szCs w:val="21"/>
          <w:highlight w:val="none"/>
          <w:lang w:val="en-US" w:eastAsia="zh-CN"/>
        </w:rPr>
        <w:t xml:space="preserve">     联系电话：</w:t>
      </w:r>
      <w:r>
        <w:rPr>
          <w:rFonts w:hint="eastAsia" w:ascii="宋体" w:hAnsi="宋体" w:eastAsia="宋体" w:cs="宋体"/>
          <w:szCs w:val="21"/>
          <w:highlight w:val="none"/>
          <w:lang w:val="en-US" w:eastAsia="zh-CN"/>
        </w:rPr>
        <w:t>0573-83679693/13857329234</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质疑联系人：姚琪        </w:t>
      </w:r>
      <w:r>
        <w:rPr>
          <w:rFonts w:hint="eastAsia" w:ascii="宋体" w:hAnsi="宋体" w:eastAsia="宋体" w:cs="宋体"/>
          <w:szCs w:val="21"/>
          <w:highlight w:val="none"/>
          <w:lang w:val="en-US" w:eastAsia="zh-CN"/>
        </w:rPr>
        <w:t xml:space="preserve">     联系电话：0573-83679693</w:t>
      </w:r>
    </w:p>
    <w:bookmarkEnd w:id="2"/>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3.同级政府采购监督管理部门：嘉兴经济技术开发区财政局             </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地    址：</w:t>
      </w: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HYPERLINK "https://ditu.so.com/?pid=aad9f8d3bbb07553&amp;src=onebox" \t "https://www.so.com/_blank" </w:instrText>
      </w:r>
      <w:r>
        <w:rPr>
          <w:rFonts w:hint="eastAsia" w:ascii="宋体" w:hAnsi="宋体" w:eastAsia="宋体" w:cs="宋体"/>
          <w:szCs w:val="21"/>
          <w:highlight w:val="none"/>
          <w:lang w:val="en-US" w:eastAsia="zh-CN"/>
        </w:rPr>
        <w:fldChar w:fldCharType="separate"/>
      </w:r>
      <w:r>
        <w:rPr>
          <w:rFonts w:hint="default" w:ascii="宋体" w:hAnsi="宋体" w:eastAsia="宋体" w:cs="宋体"/>
          <w:szCs w:val="21"/>
          <w:highlight w:val="none"/>
          <w:lang w:val="en-US" w:eastAsia="zh-CN"/>
        </w:rPr>
        <w:t>浙江省嘉兴市南湖区展望路1号经投大厦A座9层</w:t>
      </w:r>
      <w:r>
        <w:rPr>
          <w:rFonts w:hint="default" w:ascii="宋体" w:hAnsi="宋体" w:eastAsia="宋体" w:cs="宋体"/>
          <w:szCs w:val="21"/>
          <w:highlight w:val="none"/>
          <w:lang w:val="en-US" w:eastAsia="zh-CN"/>
        </w:rPr>
        <w:fldChar w:fldCharType="end"/>
      </w:r>
      <w:r>
        <w:rPr>
          <w:rFonts w:hint="eastAsia" w:ascii="宋体" w:hAnsi="宋体" w:eastAsia="宋体" w:cs="宋体"/>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传    真：/             </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联 </w:t>
      </w:r>
      <w:r>
        <w:rPr>
          <w:rFonts w:hint="eastAsia" w:ascii="宋体" w:hAnsi="宋体" w:eastAsia="宋体" w:cs="宋体"/>
          <w:szCs w:val="21"/>
          <w:highlight w:val="none"/>
          <w:lang w:val="en-US" w:eastAsia="zh-CN"/>
        </w:rPr>
        <w:t>系人：嘉兴经济技术开发区财政局</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b/>
          <w:bCs/>
          <w:color w:val="000000"/>
          <w:sz w:val="32"/>
          <w:szCs w:val="32"/>
          <w:highlight w:val="none"/>
        </w:rPr>
      </w:pPr>
      <w:r>
        <w:rPr>
          <w:rFonts w:hint="eastAsia" w:ascii="宋体" w:hAnsi="宋体" w:eastAsia="宋体" w:cs="宋体"/>
          <w:szCs w:val="21"/>
          <w:highlight w:val="none"/>
          <w:lang w:val="en-US" w:eastAsia="zh-CN"/>
        </w:rPr>
        <w:t>监督投诉电话：0573-82208590</w:t>
      </w:r>
      <w:r>
        <w:rPr>
          <w:rFonts w:hint="eastAsia" w:ascii="宋体" w:hAnsi="宋体" w:eastAsia="宋体" w:cs="宋体"/>
          <w:b/>
          <w:sz w:val="30"/>
          <w:szCs w:val="30"/>
          <w:highlight w:val="none"/>
        </w:rPr>
        <w:br w:type="page"/>
      </w:r>
      <w:r>
        <w:rPr>
          <w:rFonts w:hint="eastAsia" w:ascii="宋体" w:hAnsi="宋体" w:eastAsia="宋体" w:cs="宋体"/>
          <w:b/>
          <w:bCs/>
          <w:color w:val="000000"/>
          <w:sz w:val="32"/>
          <w:szCs w:val="32"/>
          <w:highlight w:val="none"/>
        </w:rPr>
        <w:t>第二章  招标需求</w:t>
      </w:r>
    </w:p>
    <w:p>
      <w:pPr>
        <w:pStyle w:val="107"/>
        <w:spacing w:line="360" w:lineRule="auto"/>
        <w:ind w:firstLine="424" w:firstLineChars="176"/>
        <w:outlineLvl w:val="1"/>
        <w:rPr>
          <w:rFonts w:ascii="宋体" w:cs="Times New Roman"/>
          <w:b/>
          <w:bCs/>
          <w:sz w:val="24"/>
          <w:szCs w:val="24"/>
          <w:highlight w:val="none"/>
        </w:rPr>
      </w:pPr>
      <w:bookmarkStart w:id="3" w:name="_Toc327773690"/>
      <w:bookmarkStart w:id="4" w:name="_Toc467269133"/>
      <w:r>
        <w:rPr>
          <w:rFonts w:hint="eastAsia" w:ascii="宋体" w:hAnsi="宋体"/>
          <w:b/>
          <w:bCs/>
          <w:sz w:val="24"/>
          <w:szCs w:val="24"/>
          <w:highlight w:val="none"/>
        </w:rPr>
        <w:t>一、采购项目主要内容</w:t>
      </w:r>
    </w:p>
    <w:p>
      <w:pPr>
        <w:spacing w:line="46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本次采购共1个标项，</w:t>
      </w:r>
      <w:r>
        <w:rPr>
          <w:rFonts w:hint="eastAsia" w:ascii="宋体" w:hAnsi="宋体" w:eastAsia="宋体" w:cs="宋体"/>
          <w:szCs w:val="21"/>
          <w:highlight w:val="none"/>
          <w:lang w:val="en-US" w:eastAsia="zh-CN"/>
        </w:rPr>
        <w:t>预算金额87万元。</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主要内容有：对辖区所有河道进行长效管理保洁，包含道路桥堍两侧、桥下空间，河道驳岸，河岸两侧围墙至河岸约5米范围及内的垃圾、杂草进行清理；对河道保洁范围内水生植物进行修剪、除虫、除杂草，对水生植物种植范围内进行垃圾清理保洁、对设施设备进行维修维护；对因河道保洁产生的垃圾按照垃圾分类要求按照规定处置</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对长纤塘及六里长泾进行协助保洁（无特殊情况无需保洁，但是发生特殊情况需要协助保洁）；需在外河交界处做好拦河栅（需符合有关部门相关规定）建设；对河道内蓝藻进行打捞，动态清理（养护范围：十字港10200平方米，街道办事处内河6400平方米，六里长泾200平方米，隆兴港225平方米。主要包括：河道表面落叶漂浮物处理，水下水草和挺水植物收割，青苔处理，投放微生物提升水质，喷泉曝气设备维护等）。</w:t>
      </w:r>
    </w:p>
    <w:p>
      <w:pPr>
        <w:pStyle w:val="107"/>
        <w:spacing w:line="360" w:lineRule="auto"/>
        <w:ind w:firstLine="424" w:firstLineChars="176"/>
        <w:outlineLvl w:val="1"/>
        <w:rPr>
          <w:rFonts w:hint="eastAsia" w:ascii="宋体" w:hAnsi="宋体" w:eastAsia="宋体" w:cs="宋体"/>
          <w:b/>
          <w:bCs/>
          <w:sz w:val="24"/>
          <w:szCs w:val="24"/>
          <w:highlight w:val="none"/>
        </w:rPr>
      </w:pPr>
      <w:bookmarkStart w:id="5" w:name="_Toc467269134"/>
      <w:bookmarkStart w:id="6" w:name="_Toc327773691"/>
      <w:r>
        <w:rPr>
          <w:rFonts w:hint="eastAsia" w:ascii="宋体" w:hAnsi="宋体" w:eastAsia="宋体" w:cs="宋体"/>
          <w:b/>
          <w:bCs/>
          <w:sz w:val="24"/>
          <w:szCs w:val="24"/>
          <w:highlight w:val="none"/>
        </w:rPr>
        <w:t>二、保洁区域范围</w:t>
      </w:r>
      <w:bookmarkEnd w:id="5"/>
      <w:bookmarkEnd w:id="6"/>
    </w:p>
    <w:bookmarkEnd w:id="3"/>
    <w:bookmarkEnd w:id="4"/>
    <w:tbl>
      <w:tblPr>
        <w:tblStyle w:val="3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6"/>
        <w:gridCol w:w="1096"/>
        <w:gridCol w:w="3076"/>
        <w:gridCol w:w="986"/>
        <w:gridCol w:w="986"/>
        <w:gridCol w:w="1756"/>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0" w:type="auto"/>
            <w:gridSpan w:val="7"/>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kern w:val="2"/>
                <w:sz w:val="24"/>
                <w:szCs w:val="24"/>
                <w:highlight w:val="none"/>
                <w:lang w:val="en-US" w:eastAsia="zh-CN" w:bidi="ar-SA"/>
              </w:rPr>
              <w:t>塘汇街道2023年度河道保洁区域明细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街道</w:t>
            </w:r>
          </w:p>
        </w:tc>
        <w:tc>
          <w:tcPr>
            <w:tcW w:w="0" w:type="auto"/>
            <w:vMerge w:val="restar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名称</w:t>
            </w:r>
          </w:p>
        </w:tc>
        <w:tc>
          <w:tcPr>
            <w:tcW w:w="0" w:type="auto"/>
            <w:vMerge w:val="restart"/>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起止点</w:t>
            </w:r>
          </w:p>
        </w:tc>
        <w:tc>
          <w:tcPr>
            <w:tcW w:w="0" w:type="auto"/>
            <w:gridSpan w:val="3"/>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河面保洁</w:t>
            </w:r>
          </w:p>
        </w:tc>
        <w:tc>
          <w:tcPr>
            <w:tcW w:w="0" w:type="auto"/>
            <w:vMerge w:val="restart"/>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长度(m)</w:t>
            </w:r>
          </w:p>
        </w:tc>
        <w:tc>
          <w:tcPr>
            <w:tcW w:w="0" w:type="auto"/>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宽度(m)</w:t>
            </w:r>
          </w:p>
        </w:tc>
        <w:tc>
          <w:tcPr>
            <w:tcW w:w="0" w:type="auto"/>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保洁面积（㎡）</w:t>
            </w:r>
          </w:p>
        </w:tc>
        <w:tc>
          <w:tcPr>
            <w:tcW w:w="0" w:type="auto"/>
            <w:vMerge w:val="continue"/>
            <w:tcBorders>
              <w:top w:val="single" w:color="000000" w:sz="8" w:space="0"/>
              <w:left w:val="nil"/>
              <w:bottom w:val="single" w:color="000000" w:sz="8" w:space="0"/>
              <w:right w:val="single" w:color="000000" w:sz="8"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vMerge w:val="restart"/>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塘汇</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禾风港</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中环北路—北郊河</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1403</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18240</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八字桥港</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苏州河—禾风港</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1010</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15150</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水车港</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苏州河—周家角港</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18000</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六里长泾</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中环北路—北郊河</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1870</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69213</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隆兴桥港</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三店塘—北郊河</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1650</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26400</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周家角港</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水车港—北郊河</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1084</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15176</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姚河浜</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横港—浜底</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10560</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北胜浜</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九里亭港—浜底</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530</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10600</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好德浜</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东环河—陈家埭港</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11200</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鸣羊港</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三店塘—隆兴桥港</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1460</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26280</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颜马浜</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三店塘—浜底</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860</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18060</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张家港</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三店塘—北郊河</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18000</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陈家埭</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三店塘—七号桥</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2682</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59004</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陶家浜</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三店塘—乌支港</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2396</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55108</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东浜</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三店塘—浜底</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4550</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分水墩</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分水墩—铁路</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32000</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王家厍</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隆兴港—茶园路</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王家浜</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塘汇街道平安9-3组</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351</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5967</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河岸保洁</w:t>
            </w:r>
          </w:p>
        </w:tc>
        <w:tc>
          <w:tcPr>
            <w:tcW w:w="0" w:type="auto"/>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所有河道河岸5米范围内保洁</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20136</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100680</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gridSpan w:val="3"/>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面积</w:t>
            </w:r>
            <w:r>
              <w:rPr>
                <w:rFonts w:hint="eastAsia" w:ascii="宋体" w:hAnsi="宋体" w:eastAsia="宋体" w:cs="宋体"/>
                <w:i w:val="0"/>
                <w:iCs w:val="0"/>
                <w:color w:val="000000"/>
                <w:kern w:val="0"/>
                <w:sz w:val="22"/>
                <w:szCs w:val="22"/>
                <w:highlight w:val="none"/>
                <w:u w:val="none"/>
                <w:lang w:val="en-US" w:eastAsia="zh-CN" w:bidi="ar"/>
              </w:rPr>
              <w:t>合计</w:t>
            </w:r>
          </w:p>
        </w:tc>
        <w:tc>
          <w:tcPr>
            <w:tcW w:w="0" w:type="auto"/>
            <w:gridSpan w:val="3"/>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517188</w:t>
            </w:r>
          </w:p>
        </w:tc>
        <w:tc>
          <w:tcPr>
            <w:tcW w:w="0" w:type="auto"/>
            <w:tcBorders>
              <w:top w:val="nil"/>
              <w:left w:val="nil"/>
              <w:bottom w:val="single" w:color="000000" w:sz="8" w:space="0"/>
              <w:right w:val="single" w:color="000000" w:sz="8" w:space="0"/>
            </w:tcBorders>
            <w:shd w:val="clear" w:color="auto" w:fill="FFFFFF"/>
            <w:noWrap/>
            <w:vAlign w:val="center"/>
          </w:tcPr>
          <w:p>
            <w:pPr>
              <w:jc w:val="left"/>
              <w:rPr>
                <w:rFonts w:hint="eastAsia" w:ascii="宋体" w:hAnsi="宋体" w:eastAsia="宋体" w:cs="宋体"/>
                <w:i w:val="0"/>
                <w:iCs w:val="0"/>
                <w:color w:val="000000"/>
                <w:sz w:val="24"/>
                <w:szCs w:val="24"/>
                <w:highlight w:val="none"/>
                <w:u w:val="none"/>
              </w:rPr>
            </w:pPr>
          </w:p>
        </w:tc>
      </w:tr>
    </w:tbl>
    <w:p>
      <w:pPr>
        <w:pStyle w:val="107"/>
        <w:spacing w:line="360" w:lineRule="auto"/>
        <w:ind w:firstLine="424" w:firstLineChars="176"/>
        <w:outlineLvl w:val="1"/>
        <w:rPr>
          <w:rFonts w:hint="eastAsia" w:ascii="宋体" w:hAnsi="宋体" w:eastAsia="宋体" w:cs="宋体"/>
          <w:b/>
          <w:bCs/>
          <w:sz w:val="24"/>
          <w:szCs w:val="24"/>
          <w:highlight w:val="none"/>
          <w:lang w:val="en-US" w:eastAsia="zh-CN"/>
        </w:rPr>
      </w:pPr>
    </w:p>
    <w:p>
      <w:pPr>
        <w:pStyle w:val="107"/>
        <w:spacing w:line="360" w:lineRule="auto"/>
        <w:ind w:firstLine="424" w:firstLineChars="176"/>
        <w:outlineLvl w:val="1"/>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河道保洁</w:t>
      </w:r>
      <w:r>
        <w:rPr>
          <w:rFonts w:hint="eastAsia" w:ascii="宋体" w:hAnsi="宋体" w:eastAsia="宋体" w:cs="宋体"/>
          <w:b/>
          <w:bCs/>
          <w:sz w:val="24"/>
          <w:szCs w:val="24"/>
          <w:highlight w:val="none"/>
          <w:lang w:val="en-US" w:eastAsia="zh-CN"/>
        </w:rPr>
        <w:t>内容及相关要求</w:t>
      </w:r>
    </w:p>
    <w:p>
      <w:pPr>
        <w:keepNext w:val="0"/>
        <w:keepLines w:val="0"/>
        <w:pageBreakBefore w:val="0"/>
        <w:widowControl w:val="0"/>
        <w:kinsoku/>
        <w:wordWrap/>
        <w:overflowPunct/>
        <w:topLinePunct w:val="0"/>
        <w:bidi w:val="0"/>
        <w:adjustRightInd w:val="0"/>
        <w:spacing w:after="0" w:line="360" w:lineRule="auto"/>
        <w:ind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（一）服务内容：</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1、河面垃圾、落叶、浮萍、水葫芦、水草（含穿顶水草）、污花、油污等各类漂浮物的打捞清除。</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2、水面保洁质量要求达到“四无三净”。“四无”即：河面无漂浮物、岸边无水生植物、河边无暴露垃圾、河中无死亡动物；“三净”即：水面干净、浅滩干净、堤岸干净；</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3、垃圾日产日清，运至垃圾中转站或环卫站处理。</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4、沿河排水口巡查及管理</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建立巡查台账</w:t>
      </w:r>
      <w:r>
        <w:rPr>
          <w:rFonts w:hint="eastAsia" w:ascii="宋体" w:hAnsi="宋体" w:eastAsia="宋体" w:cs="宋体"/>
          <w:color w:val="auto"/>
          <w:kern w:val="2"/>
          <w:sz w:val="21"/>
          <w:szCs w:val="21"/>
          <w:highlight w:val="none"/>
        </w:rPr>
        <w:t>。</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5、重大活动及重大节日、突发应急事件河道保洁（保障）服务。</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6、河道安全警示牌、河长制公示牌、保洁公示牌、排放口公示牌维护。</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7、涉河违法行为、水体突变、设施隐患等情况上报。</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8、对下河玩耍、捕鱼、摸螺狮、游泳人员进行劝阻。</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9、河道清理障碍（地笼、网箱、跃进斗、竹木桩等）。</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bookmarkStart w:id="7" w:name="OLE_LINK1"/>
      <w:r>
        <w:rPr>
          <w:rFonts w:hint="eastAsia" w:ascii="宋体" w:hAnsi="宋体" w:eastAsia="宋体" w:cs="宋体"/>
          <w:color w:val="auto"/>
          <w:kern w:val="2"/>
          <w:sz w:val="21"/>
          <w:szCs w:val="21"/>
          <w:highlight w:val="none"/>
        </w:rPr>
        <w:t>负责机埠及控制闸设施管护，做到设施完好，根据引配水及防汛要求定期运转，保持周边环境整洁。</w:t>
      </w:r>
      <w:bookmarkEnd w:id="7"/>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11、其他有关河道保洁</w:t>
      </w:r>
      <w:r>
        <w:rPr>
          <w:rFonts w:hint="eastAsia" w:ascii="宋体" w:hAnsi="宋体" w:eastAsia="宋体" w:cs="宋体"/>
          <w:color w:val="auto"/>
          <w:kern w:val="2"/>
          <w:sz w:val="21"/>
          <w:szCs w:val="21"/>
          <w:highlight w:val="none"/>
          <w:lang w:eastAsia="zh-CN"/>
        </w:rPr>
        <w:t>管养</w:t>
      </w:r>
      <w:r>
        <w:rPr>
          <w:rFonts w:hint="eastAsia" w:ascii="宋体" w:hAnsi="宋体" w:eastAsia="宋体" w:cs="宋体"/>
          <w:color w:val="auto"/>
          <w:kern w:val="2"/>
          <w:sz w:val="21"/>
          <w:szCs w:val="21"/>
          <w:highlight w:val="none"/>
        </w:rPr>
        <w:t>的工作内容。</w:t>
      </w:r>
    </w:p>
    <w:p>
      <w:pPr>
        <w:keepNext w:val="0"/>
        <w:keepLines w:val="0"/>
        <w:pageBreakBefore w:val="0"/>
        <w:widowControl w:val="0"/>
        <w:kinsoku/>
        <w:wordWrap/>
        <w:overflowPunct/>
        <w:topLinePunct w:val="0"/>
        <w:bidi w:val="0"/>
        <w:adjustRightInd w:val="0"/>
        <w:spacing w:after="0" w:line="360" w:lineRule="auto"/>
        <w:ind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（二）保洁要求：</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1、在河道保洁作业时，保洁人员必须统一着装，穿上有效救生衣，认真检查船只及机械，确认安全的情况下方可进行作业，保洁人员工作时间不得饮酒。</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中标单位</w:t>
      </w:r>
      <w:r>
        <w:rPr>
          <w:rFonts w:hint="eastAsia" w:ascii="宋体" w:hAnsi="宋体" w:eastAsia="宋体" w:cs="宋体"/>
          <w:color w:val="auto"/>
          <w:kern w:val="2"/>
          <w:sz w:val="21"/>
          <w:szCs w:val="21"/>
          <w:highlight w:val="none"/>
        </w:rPr>
        <w:t>必须服从业主单位的全过程管理和临时保洁调度，不得自作主张有损水法规和河段管理条例的行为。</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中标单位</w:t>
      </w:r>
      <w:r>
        <w:rPr>
          <w:rFonts w:hint="eastAsia" w:ascii="宋体" w:hAnsi="宋体" w:eastAsia="宋体" w:cs="宋体"/>
          <w:color w:val="auto"/>
          <w:kern w:val="2"/>
          <w:sz w:val="21"/>
          <w:szCs w:val="21"/>
          <w:highlight w:val="none"/>
        </w:rPr>
        <w:t>及时做好保洁人员的上岗前培训，聘用人员要求为男性，且身体健康，无心脏病、高血压、精神病等疾病，识水性，不符合条件的绝对不能录用上岗，在作业时要文明管理，规范操作，避免与沿线群众直接发生纠纷，如遇问题及时互相协商处理。</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4、在保洁过程中发生各类事故，所有经济和安全责任由</w:t>
      </w:r>
      <w:r>
        <w:rPr>
          <w:rFonts w:hint="eastAsia" w:ascii="宋体" w:hAnsi="宋体" w:eastAsia="宋体" w:cs="宋体"/>
          <w:color w:val="auto"/>
          <w:kern w:val="2"/>
          <w:sz w:val="21"/>
          <w:szCs w:val="21"/>
          <w:highlight w:val="none"/>
          <w:lang w:eastAsia="zh-CN"/>
        </w:rPr>
        <w:t>中标单位</w:t>
      </w:r>
      <w:r>
        <w:rPr>
          <w:rFonts w:hint="eastAsia" w:ascii="宋体" w:hAnsi="宋体" w:eastAsia="宋体" w:cs="宋体"/>
          <w:color w:val="auto"/>
          <w:kern w:val="2"/>
          <w:sz w:val="21"/>
          <w:szCs w:val="21"/>
          <w:highlight w:val="none"/>
        </w:rPr>
        <w:t>承担。</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5、河道保洁主要工具及人员的配备，根据河道管理、保洁范围的实际需要应配备如下（不少于以下要求）：</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⑴河道保洁：河道保洁人员不少于</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人（含负责人）；</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⑵河道保洁时间一般为上午7:00—11：00，下午12：30—1</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0。</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作业频次：每日巡回保洁，</w:t>
      </w:r>
      <w:r>
        <w:rPr>
          <w:rFonts w:hint="eastAsia" w:ascii="宋体" w:hAnsi="宋体" w:eastAsia="宋体" w:cs="宋体"/>
          <w:color w:val="auto"/>
          <w:kern w:val="2"/>
          <w:sz w:val="21"/>
          <w:szCs w:val="21"/>
          <w:highlight w:val="none"/>
        </w:rPr>
        <w:t>必须保持全天候保洁（无论天晴、下雨）；</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⑶每个保洁员配备救生衣；</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⑷统一配备保洁工作服；</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⑸垃圾收集上岸由</w:t>
      </w:r>
      <w:r>
        <w:rPr>
          <w:rFonts w:hint="eastAsia" w:ascii="宋体" w:hAnsi="宋体" w:eastAsia="宋体" w:cs="宋体"/>
          <w:color w:val="auto"/>
          <w:kern w:val="2"/>
          <w:sz w:val="21"/>
          <w:szCs w:val="21"/>
          <w:highlight w:val="none"/>
          <w:lang w:eastAsia="zh-CN"/>
        </w:rPr>
        <w:t>中标单位</w:t>
      </w:r>
      <w:r>
        <w:rPr>
          <w:rFonts w:hint="eastAsia" w:ascii="宋体" w:hAnsi="宋体" w:eastAsia="宋体" w:cs="宋体"/>
          <w:color w:val="auto"/>
          <w:kern w:val="2"/>
          <w:sz w:val="21"/>
          <w:szCs w:val="21"/>
          <w:highlight w:val="none"/>
        </w:rPr>
        <w:t>自行处理；</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⑹自行落实垃圾处理</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kinsoku/>
        <w:wordWrap/>
        <w:overflowPunct/>
        <w:topLinePunct w:val="0"/>
        <w:bidi w:val="0"/>
        <w:adjustRightInd w:val="0"/>
        <w:spacing w:after="0" w:line="360" w:lineRule="auto"/>
        <w:ind w:firstLine="422" w:firstLineChars="200"/>
        <w:jc w:val="both"/>
        <w:rPr>
          <w:rFonts w:hint="default" w:ascii="宋体" w:hAnsi="宋体" w:eastAsia="宋体" w:cs="宋体"/>
          <w:b/>
          <w:bCs/>
          <w:color w:val="0000FF"/>
          <w:kern w:val="2"/>
          <w:sz w:val="21"/>
          <w:szCs w:val="21"/>
          <w:highlight w:val="none"/>
          <w:lang w:val="en-US" w:eastAsia="zh-CN"/>
        </w:rPr>
      </w:pPr>
      <w:r>
        <w:rPr>
          <w:rFonts w:hint="eastAsia" w:ascii="宋体" w:hAnsi="宋体" w:eastAsia="宋体" w:cs="宋体"/>
          <w:b/>
          <w:bCs/>
          <w:color w:val="0000FF"/>
          <w:kern w:val="2"/>
          <w:sz w:val="21"/>
          <w:szCs w:val="21"/>
          <w:highlight w:val="none"/>
          <w:lang w:eastAsia="zh-CN"/>
        </w:rPr>
        <w:t>⑺</w:t>
      </w:r>
      <w:r>
        <w:rPr>
          <w:rFonts w:hint="eastAsia" w:ascii="宋体" w:hAnsi="宋体" w:eastAsia="宋体" w:cs="宋体"/>
          <w:b/>
          <w:bCs/>
          <w:color w:val="0000FF"/>
          <w:kern w:val="2"/>
          <w:sz w:val="21"/>
          <w:szCs w:val="21"/>
          <w:highlight w:val="none"/>
          <w:lang w:val="en-US" w:eastAsia="zh-CN"/>
        </w:rPr>
        <w:t>动力保洁船不少于6艘</w:t>
      </w:r>
      <w:r>
        <w:rPr>
          <w:rFonts w:hint="eastAsia" w:ascii="宋体" w:hAnsi="宋体" w:cs="宋体"/>
          <w:b/>
          <w:bCs/>
          <w:color w:val="0000FF"/>
          <w:kern w:val="2"/>
          <w:sz w:val="21"/>
          <w:szCs w:val="21"/>
          <w:highlight w:val="none"/>
          <w:lang w:val="en-US" w:eastAsia="zh-CN"/>
        </w:rPr>
        <w:t>（自有或租赁）</w:t>
      </w:r>
      <w:r>
        <w:rPr>
          <w:rFonts w:hint="eastAsia" w:ascii="宋体" w:hAnsi="宋体" w:eastAsia="宋体" w:cs="宋体"/>
          <w:b/>
          <w:bCs/>
          <w:color w:val="0000FF"/>
          <w:kern w:val="2"/>
          <w:sz w:val="21"/>
          <w:szCs w:val="21"/>
          <w:highlight w:val="none"/>
          <w:lang w:val="en-US" w:eastAsia="zh-CN"/>
        </w:rPr>
        <w:t>。</w:t>
      </w:r>
    </w:p>
    <w:p>
      <w:pPr>
        <w:keepNext w:val="0"/>
        <w:keepLines w:val="0"/>
        <w:pageBreakBefore w:val="0"/>
        <w:widowControl w:val="0"/>
        <w:kinsoku/>
        <w:wordWrap/>
        <w:overflowPunct/>
        <w:topLinePunct w:val="0"/>
        <w:bidi w:val="0"/>
        <w:adjustRightInd w:val="0"/>
        <w:spacing w:after="0" w:line="360" w:lineRule="auto"/>
        <w:ind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当业主单位认为以上人员和设备仍不能满足河道保洁要求时，有权要求增加人员和设备。</w:t>
      </w:r>
    </w:p>
    <w:p>
      <w:pPr>
        <w:keepNext w:val="0"/>
        <w:keepLines w:val="0"/>
        <w:pageBreakBefore w:val="0"/>
        <w:widowControl w:val="0"/>
        <w:kinsoku/>
        <w:wordWrap/>
        <w:overflowPunct/>
        <w:topLinePunct w:val="0"/>
        <w:bidi w:val="0"/>
        <w:adjustRightInd w:val="0"/>
        <w:spacing w:after="0" w:line="360" w:lineRule="auto"/>
        <w:ind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（三）质量要求：</w:t>
      </w:r>
    </w:p>
    <w:p>
      <w:pPr>
        <w:keepNext w:val="0"/>
        <w:keepLines w:val="0"/>
        <w:pageBreakBefore w:val="0"/>
        <w:widowControl/>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河面清洁无垃圾、落叶、浮萍、水葫芦、水草（含穿顶水草）、污花、油污等各类飘浮物；石坎及压顶无垃圾、杂草、杂物、枯枝落叶、青苔、积泥；边坡无垃圾、杂物；河道设施保持完好；第一时间发现并上报污水偷排、偷倒、水体突变、设施隐患及涉河违法行为；确保安全文明作业。</w:t>
      </w:r>
    </w:p>
    <w:p>
      <w:pPr>
        <w:keepNext w:val="0"/>
        <w:keepLines w:val="0"/>
        <w:pageBreakBefore w:val="0"/>
        <w:widowControl w:val="0"/>
        <w:kinsoku/>
        <w:wordWrap/>
        <w:overflowPunct/>
        <w:topLinePunct w:val="0"/>
        <w:bidi w:val="0"/>
        <w:adjustRightInd w:val="0"/>
        <w:spacing w:after="0" w:line="360" w:lineRule="auto"/>
        <w:ind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（四）船舶、人员配置要求：</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1、根据项目情况由中标单位自行配备船只，船舶应符合交通部门要求；</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eastAsia="zh-CN"/>
        </w:rPr>
        <w:t>河道水域保洁船只应有醒目标志、标旗；</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rPr>
        <w:t>、服务期间内所有机械、工具的保养、维修、油费</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现场用水、用电、施工便道等由</w:t>
      </w:r>
      <w:r>
        <w:rPr>
          <w:rFonts w:hint="eastAsia" w:ascii="宋体" w:hAnsi="宋体" w:eastAsia="宋体" w:cs="宋体"/>
          <w:bCs/>
          <w:color w:val="auto"/>
          <w:kern w:val="2"/>
          <w:sz w:val="21"/>
          <w:szCs w:val="21"/>
          <w:highlight w:val="none"/>
          <w:lang w:eastAsia="zh-CN"/>
        </w:rPr>
        <w:t>中标单位</w:t>
      </w:r>
      <w:r>
        <w:rPr>
          <w:rFonts w:hint="eastAsia" w:ascii="宋体" w:hAnsi="宋体" w:eastAsia="宋体" w:cs="宋体"/>
          <w:bCs/>
          <w:color w:val="auto"/>
          <w:kern w:val="2"/>
          <w:sz w:val="21"/>
          <w:szCs w:val="21"/>
          <w:highlight w:val="none"/>
        </w:rPr>
        <w:t>自行承担</w:t>
      </w:r>
      <w:r>
        <w:rPr>
          <w:rFonts w:hint="eastAsia" w:ascii="宋体" w:hAnsi="宋体" w:eastAsia="宋体" w:cs="宋体"/>
          <w:bCs/>
          <w:color w:val="auto"/>
          <w:kern w:val="2"/>
          <w:sz w:val="21"/>
          <w:szCs w:val="21"/>
          <w:highlight w:val="none"/>
          <w:lang w:eastAsia="zh-CN"/>
        </w:rPr>
        <w:t>；</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eastAsia="zh-CN"/>
        </w:rPr>
        <w:t>中标单位</w:t>
      </w:r>
      <w:r>
        <w:rPr>
          <w:rFonts w:hint="eastAsia" w:ascii="宋体" w:hAnsi="宋体" w:eastAsia="宋体" w:cs="宋体"/>
          <w:bCs/>
          <w:color w:val="auto"/>
          <w:kern w:val="2"/>
          <w:sz w:val="21"/>
          <w:szCs w:val="21"/>
          <w:highlight w:val="none"/>
        </w:rPr>
        <w:t>保洁所配备的器械、工具等必须经业主单位同意。</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eastAsia="zh-CN"/>
        </w:rPr>
        <w:t>中标单位</w:t>
      </w:r>
      <w:r>
        <w:rPr>
          <w:rFonts w:hint="eastAsia" w:ascii="宋体" w:hAnsi="宋体" w:eastAsia="宋体" w:cs="宋体"/>
          <w:bCs/>
          <w:color w:val="auto"/>
          <w:kern w:val="2"/>
          <w:sz w:val="21"/>
          <w:szCs w:val="21"/>
          <w:highlight w:val="none"/>
        </w:rPr>
        <w:t>必须为保洁人员配备救生衣、购买人身安全保险，承担保洁人员、船只等安全的全部责任。</w:t>
      </w:r>
    </w:p>
    <w:p>
      <w:pPr>
        <w:keepNext w:val="0"/>
        <w:keepLines w:val="0"/>
        <w:pageBreakBefore w:val="0"/>
        <w:widowControl w:val="0"/>
        <w:kinsoku/>
        <w:wordWrap/>
        <w:overflowPunct/>
        <w:topLinePunct w:val="0"/>
        <w:bidi w:val="0"/>
        <w:adjustRightInd w:val="0"/>
        <w:spacing w:after="0" w:line="360" w:lineRule="auto"/>
        <w:ind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color w:val="auto"/>
          <w:kern w:val="2"/>
          <w:sz w:val="21"/>
          <w:szCs w:val="21"/>
          <w:highlight w:val="none"/>
        </w:rPr>
        <w:t>（</w:t>
      </w:r>
      <w:r>
        <w:rPr>
          <w:rFonts w:hint="eastAsia" w:ascii="宋体" w:hAnsi="宋体" w:eastAsia="宋体" w:cs="宋体"/>
          <w:b/>
          <w:color w:val="auto"/>
          <w:kern w:val="2"/>
          <w:sz w:val="21"/>
          <w:szCs w:val="21"/>
          <w:highlight w:val="none"/>
          <w:lang w:val="en-US" w:eastAsia="zh-CN"/>
        </w:rPr>
        <w:t>五</w:t>
      </w:r>
      <w:r>
        <w:rPr>
          <w:rFonts w:hint="eastAsia" w:ascii="宋体" w:hAnsi="宋体" w:eastAsia="宋体" w:cs="宋体"/>
          <w:b/>
          <w:color w:val="auto"/>
          <w:kern w:val="2"/>
          <w:sz w:val="21"/>
          <w:szCs w:val="21"/>
          <w:highlight w:val="none"/>
        </w:rPr>
        <w:t>）</w:t>
      </w:r>
      <w:r>
        <w:rPr>
          <w:rFonts w:hint="eastAsia" w:ascii="宋体" w:hAnsi="宋体" w:eastAsia="宋体" w:cs="宋体"/>
          <w:b/>
          <w:bCs/>
          <w:color w:val="auto"/>
          <w:kern w:val="2"/>
          <w:sz w:val="21"/>
          <w:szCs w:val="21"/>
          <w:highlight w:val="none"/>
        </w:rPr>
        <w:t>服务质量承诺</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（1）为确保服务质量及与采购人沟通联络，</w:t>
      </w:r>
      <w:r>
        <w:rPr>
          <w:rFonts w:hint="eastAsia" w:ascii="宋体" w:hAnsi="宋体" w:eastAsia="宋体" w:cs="宋体"/>
          <w:color w:val="auto"/>
          <w:kern w:val="2"/>
          <w:sz w:val="21"/>
          <w:szCs w:val="21"/>
          <w:highlight w:val="none"/>
          <w:lang w:val="en-US" w:eastAsia="zh-CN"/>
        </w:rPr>
        <w:t>中标单位</w:t>
      </w:r>
      <w:r>
        <w:rPr>
          <w:rFonts w:hint="eastAsia" w:ascii="宋体" w:hAnsi="宋体" w:eastAsia="宋体" w:cs="宋体"/>
          <w:color w:val="auto"/>
          <w:kern w:val="2"/>
          <w:sz w:val="21"/>
          <w:szCs w:val="21"/>
          <w:highlight w:val="none"/>
        </w:rPr>
        <w:t>须设置专职主管，负责对承包项目、范围、服务质量的检查监督及与采购人日常业务联系；</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中标单位</w:t>
      </w:r>
      <w:r>
        <w:rPr>
          <w:rFonts w:hint="eastAsia" w:ascii="宋体" w:hAnsi="宋体" w:eastAsia="宋体" w:cs="宋体"/>
          <w:color w:val="auto"/>
          <w:kern w:val="2"/>
          <w:sz w:val="21"/>
          <w:szCs w:val="21"/>
          <w:highlight w:val="none"/>
        </w:rPr>
        <w:t>需提供员工管理服务规范要求及确保服务质量达标的具体措施；</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中标单位</w:t>
      </w:r>
      <w:r>
        <w:rPr>
          <w:rFonts w:hint="eastAsia" w:ascii="宋体" w:hAnsi="宋体" w:eastAsia="宋体" w:cs="宋体"/>
          <w:color w:val="auto"/>
          <w:kern w:val="2"/>
          <w:sz w:val="21"/>
          <w:szCs w:val="21"/>
          <w:highlight w:val="none"/>
        </w:rPr>
        <w:t>需向采购人提供服务承诺；</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val="en-US" w:eastAsia="zh-CN"/>
        </w:rPr>
        <w:t>中标单位</w:t>
      </w:r>
      <w:r>
        <w:rPr>
          <w:rFonts w:hint="eastAsia" w:ascii="宋体" w:hAnsi="宋体" w:eastAsia="宋体" w:cs="宋体"/>
          <w:color w:val="auto"/>
          <w:kern w:val="2"/>
          <w:sz w:val="21"/>
          <w:szCs w:val="21"/>
          <w:highlight w:val="none"/>
        </w:rPr>
        <w:t>须主动接受采购人的指导、检查、监督及协调；</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（5）现有服务范围内，由于调整而增加的工作量，不再增加费用。</w:t>
      </w:r>
    </w:p>
    <w:p>
      <w:pPr>
        <w:keepNext w:val="0"/>
        <w:keepLines w:val="0"/>
        <w:pageBreakBefore w:val="0"/>
        <w:widowControl w:val="0"/>
        <w:kinsoku/>
        <w:wordWrap/>
        <w:overflowPunct/>
        <w:topLinePunct w:val="0"/>
        <w:bidi w:val="0"/>
        <w:adjustRightInd w:val="0"/>
        <w:spacing w:after="0" w:line="360" w:lineRule="auto"/>
        <w:ind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六</w:t>
      </w:r>
      <w:r>
        <w:rPr>
          <w:rFonts w:hint="eastAsia" w:ascii="宋体" w:hAnsi="宋体" w:eastAsia="宋体" w:cs="宋体"/>
          <w:b/>
          <w:bCs/>
          <w:color w:val="auto"/>
          <w:kern w:val="2"/>
          <w:sz w:val="21"/>
          <w:szCs w:val="21"/>
          <w:highlight w:val="none"/>
        </w:rPr>
        <w:t>）承包方式：包工包料。本项目投标人一旦中标，不得分包转包，一经发现</w:t>
      </w:r>
      <w:r>
        <w:rPr>
          <w:rFonts w:hint="eastAsia" w:ascii="宋体" w:hAnsi="宋体" w:eastAsia="宋体" w:cs="宋体"/>
          <w:b/>
          <w:bCs/>
          <w:color w:val="auto"/>
          <w:kern w:val="2"/>
          <w:sz w:val="21"/>
          <w:szCs w:val="21"/>
          <w:highlight w:val="none"/>
          <w:lang w:eastAsia="zh-CN"/>
        </w:rPr>
        <w:t>中标单位</w:t>
      </w:r>
      <w:r>
        <w:rPr>
          <w:rFonts w:hint="eastAsia" w:ascii="宋体" w:hAnsi="宋体" w:eastAsia="宋体" w:cs="宋体"/>
          <w:b/>
          <w:bCs/>
          <w:color w:val="auto"/>
          <w:kern w:val="2"/>
          <w:sz w:val="21"/>
          <w:szCs w:val="21"/>
          <w:highlight w:val="none"/>
        </w:rPr>
        <w:t>存在分包转包的行为，本项目合同立即自动中止</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投标人根据此次招标范围自行踏勘现场，</w:t>
      </w:r>
      <w:r>
        <w:rPr>
          <w:rFonts w:hint="eastAsia" w:ascii="宋体" w:hAnsi="宋体" w:eastAsia="宋体" w:cs="宋体"/>
          <w:b/>
          <w:bCs/>
          <w:color w:val="auto"/>
          <w:kern w:val="2"/>
          <w:sz w:val="21"/>
          <w:szCs w:val="21"/>
          <w:highlight w:val="none"/>
          <w:lang w:val="en-US" w:eastAsia="zh-CN"/>
        </w:rPr>
        <w:t>如实际养护区域有调整按一次性包干</w:t>
      </w:r>
      <w:r>
        <w:rPr>
          <w:rFonts w:hint="eastAsia" w:ascii="宋体" w:hAnsi="宋体" w:eastAsia="宋体" w:cs="宋体"/>
          <w:b/>
          <w:bCs/>
          <w:color w:val="auto"/>
          <w:kern w:val="2"/>
          <w:sz w:val="21"/>
          <w:szCs w:val="21"/>
          <w:highlight w:val="none"/>
        </w:rPr>
        <w:t>，费用已包含在本次招标</w:t>
      </w:r>
      <w:r>
        <w:rPr>
          <w:rFonts w:hint="eastAsia" w:ascii="宋体" w:hAnsi="宋体" w:eastAsia="宋体" w:cs="宋体"/>
          <w:b/>
          <w:bCs/>
          <w:color w:val="auto"/>
          <w:kern w:val="2"/>
          <w:sz w:val="21"/>
          <w:szCs w:val="21"/>
          <w:highlight w:val="none"/>
          <w:lang w:eastAsia="zh-CN"/>
        </w:rPr>
        <w:t>管养</w:t>
      </w:r>
      <w:r>
        <w:rPr>
          <w:rFonts w:hint="eastAsia" w:ascii="宋体" w:hAnsi="宋体" w:eastAsia="宋体" w:cs="宋体"/>
          <w:b/>
          <w:bCs/>
          <w:color w:val="auto"/>
          <w:kern w:val="2"/>
          <w:sz w:val="21"/>
          <w:szCs w:val="21"/>
          <w:highlight w:val="none"/>
        </w:rPr>
        <w:t>费用中。</w:t>
      </w:r>
    </w:p>
    <w:p>
      <w:pPr>
        <w:pStyle w:val="2"/>
        <w:numPr>
          <w:ilvl w:val="0"/>
          <w:numId w:val="0"/>
        </w:numPr>
        <w:spacing w:line="500" w:lineRule="exact"/>
        <w:ind w:left="420" w:leftChars="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四、项目服务期限</w:t>
      </w:r>
    </w:p>
    <w:p>
      <w:pPr>
        <w:keepNext w:val="0"/>
        <w:keepLines w:val="0"/>
        <w:pageBreakBefore w:val="0"/>
        <w:widowControl w:val="0"/>
        <w:kinsoku/>
        <w:wordWrap/>
        <w:overflowPunct/>
        <w:topLinePunct w:val="0"/>
        <w:bidi w:val="0"/>
        <w:adjustRightInd w:val="0"/>
        <w:spacing w:after="0" w:line="360" w:lineRule="auto"/>
        <w:ind w:firstLine="422"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b/>
          <w:bCs/>
          <w:color w:val="auto"/>
          <w:kern w:val="2"/>
          <w:sz w:val="21"/>
          <w:szCs w:val="21"/>
          <w:highlight w:val="none"/>
          <w:lang w:val="en-US" w:eastAsia="zh-CN"/>
        </w:rPr>
        <w:t>1、</w:t>
      </w:r>
      <w:r>
        <w:rPr>
          <w:rFonts w:hint="eastAsia" w:ascii="宋体" w:hAnsi="宋体" w:cs="宋体"/>
          <w:b/>
          <w:bCs/>
          <w:color w:val="auto"/>
          <w:kern w:val="2"/>
          <w:sz w:val="21"/>
          <w:szCs w:val="21"/>
          <w:highlight w:val="none"/>
          <w:lang w:val="en-US" w:eastAsia="zh-CN"/>
        </w:rPr>
        <w:t>服务</w:t>
      </w:r>
      <w:r>
        <w:rPr>
          <w:rFonts w:hint="eastAsia" w:ascii="宋体" w:hAnsi="宋体" w:eastAsia="宋体" w:cs="宋体"/>
          <w:b/>
          <w:bCs/>
          <w:color w:val="auto"/>
          <w:kern w:val="2"/>
          <w:sz w:val="21"/>
          <w:szCs w:val="21"/>
          <w:highlight w:val="none"/>
          <w:lang w:eastAsia="zh-CN"/>
        </w:rPr>
        <w:t>期限</w:t>
      </w:r>
      <w:r>
        <w:rPr>
          <w:rFonts w:hint="eastAsia" w:ascii="宋体" w:hAnsi="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lang w:eastAsia="zh-CN"/>
        </w:rPr>
        <w:t>12个月，</w:t>
      </w:r>
      <w:r>
        <w:rPr>
          <w:rFonts w:hint="eastAsia" w:ascii="宋体" w:hAnsi="宋体" w:eastAsia="宋体" w:cs="宋体"/>
          <w:color w:val="auto"/>
          <w:kern w:val="2"/>
          <w:sz w:val="21"/>
          <w:szCs w:val="21"/>
          <w:highlight w:val="none"/>
          <w:lang w:eastAsia="zh-CN"/>
        </w:rPr>
        <w:t>服务期满后根据中标单位的工作情况、采购单位满意度情况，综合考虑是否续签合同（按浙财采监〔2021〕2号《浙江省财政厅关于进一步规范政府购买服务采购管理的通知》的有关规定续签合同）。年平均考核分达到90分（含）以上，且无季度考核低于8</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lang w:eastAsia="zh-CN"/>
        </w:rPr>
        <w:t>分的，经双方同意，上级主管部门及财政部门批准，可续签。</w:t>
      </w:r>
    </w:p>
    <w:p>
      <w:pPr>
        <w:keepNext w:val="0"/>
        <w:keepLines w:val="0"/>
        <w:pageBreakBefore w:val="0"/>
        <w:widowControl w:val="0"/>
        <w:kinsoku/>
        <w:wordWrap/>
        <w:overflowPunct/>
        <w:topLinePunct w:val="0"/>
        <w:bidi w:val="0"/>
        <w:adjustRightInd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附件：</w:t>
      </w:r>
      <w:r>
        <w:rPr>
          <w:rFonts w:hint="eastAsia" w:ascii="宋体" w:hAnsi="宋体" w:eastAsia="宋体" w:cs="宋体"/>
          <w:color w:val="auto"/>
          <w:kern w:val="2"/>
          <w:sz w:val="21"/>
          <w:szCs w:val="21"/>
          <w:highlight w:val="none"/>
        </w:rPr>
        <w:t>保洁优化管理制度及考核评分</w:t>
      </w:r>
    </w:p>
    <w:p>
      <w:pPr>
        <w:numPr>
          <w:ilvl w:val="0"/>
          <w:numId w:val="4"/>
        </w:numPr>
        <w:tabs>
          <w:tab w:val="left" w:pos="0"/>
        </w:tabs>
        <w:spacing w:line="500" w:lineRule="exact"/>
        <w:ind w:left="0" w:firstLine="420"/>
        <w:jc w:val="both"/>
        <w:rPr>
          <w:rFonts w:ascii="微软雅黑" w:hAnsi="微软雅黑" w:cs="微软雅黑"/>
          <w:b/>
          <w:bCs/>
          <w:highlight w:val="none"/>
        </w:rPr>
      </w:pPr>
      <w:r>
        <w:rPr>
          <w:rFonts w:hint="eastAsia" w:ascii="微软雅黑" w:hAnsi="微软雅黑" w:cs="微软雅黑"/>
          <w:b/>
          <w:bCs/>
          <w:highlight w:val="none"/>
        </w:rPr>
        <w:t>河道保洁项目考核评分细则</w:t>
      </w:r>
    </w:p>
    <w:tbl>
      <w:tblPr>
        <w:tblStyle w:val="34"/>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3152"/>
        <w:gridCol w:w="5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182" w:type="dxa"/>
            <w:vMerge w:val="restart"/>
            <w:noWrap/>
            <w:vAlign w:val="center"/>
          </w:tcPr>
          <w:p>
            <w:pPr>
              <w:spacing w:line="240" w:lineRule="auto"/>
              <w:ind w:firstLine="0" w:firstLineChars="0"/>
              <w:outlineLvl w:val="0"/>
              <w:rPr>
                <w:rFonts w:hint="eastAsia" w:ascii="宋体" w:hAnsi="宋体" w:eastAsia="宋体" w:cs="宋体"/>
                <w:sz w:val="21"/>
                <w:szCs w:val="21"/>
                <w:highlight w:val="none"/>
              </w:rPr>
            </w:pPr>
            <w:bookmarkStart w:id="8" w:name="_Toc482363669"/>
            <w:bookmarkStart w:id="9" w:name="_Toc417992861"/>
            <w:r>
              <w:rPr>
                <w:rFonts w:hint="eastAsia" w:ascii="宋体" w:hAnsi="宋体" w:eastAsia="宋体" w:cs="宋体"/>
                <w:sz w:val="21"/>
                <w:szCs w:val="21"/>
                <w:highlight w:val="none"/>
              </w:rPr>
              <w:t>措施落实</w:t>
            </w:r>
            <w:bookmarkEnd w:id="8"/>
            <w:bookmarkEnd w:id="9"/>
          </w:p>
          <w:p>
            <w:pPr>
              <w:spacing w:line="240" w:lineRule="auto"/>
              <w:ind w:firstLine="0" w:firstLineChars="0"/>
              <w:outlineLvl w:val="0"/>
              <w:rPr>
                <w:rFonts w:hint="eastAsia" w:ascii="宋体" w:hAnsi="宋体" w:eastAsia="宋体" w:cs="宋体"/>
                <w:sz w:val="21"/>
                <w:szCs w:val="21"/>
                <w:highlight w:val="none"/>
              </w:rPr>
            </w:pPr>
            <w:bookmarkStart w:id="10" w:name="_Toc482363670"/>
            <w:bookmarkStart w:id="11" w:name="_Toc417992862"/>
            <w:r>
              <w:rPr>
                <w:rFonts w:hint="eastAsia" w:ascii="宋体" w:hAnsi="宋体" w:eastAsia="宋体" w:cs="宋体"/>
                <w:sz w:val="21"/>
                <w:szCs w:val="21"/>
                <w:highlight w:val="none"/>
              </w:rPr>
              <w:t>（15分）</w:t>
            </w:r>
            <w:bookmarkEnd w:id="10"/>
            <w:bookmarkEnd w:id="11"/>
          </w:p>
        </w:tc>
        <w:tc>
          <w:tcPr>
            <w:tcW w:w="3152" w:type="dxa"/>
            <w:noWrap/>
            <w:vAlign w:val="center"/>
          </w:tcPr>
          <w:p>
            <w:pPr>
              <w:spacing w:line="240" w:lineRule="auto"/>
              <w:ind w:firstLine="0" w:firstLineChars="0"/>
              <w:jc w:val="center"/>
              <w:outlineLvl w:val="0"/>
              <w:rPr>
                <w:rFonts w:hint="eastAsia" w:ascii="宋体" w:hAnsi="宋体" w:eastAsia="宋体" w:cs="宋体"/>
                <w:sz w:val="21"/>
                <w:szCs w:val="21"/>
                <w:highlight w:val="none"/>
              </w:rPr>
            </w:pPr>
            <w:bookmarkStart w:id="12" w:name="_Toc482363671"/>
            <w:bookmarkStart w:id="13" w:name="_Toc417992863"/>
            <w:r>
              <w:rPr>
                <w:rFonts w:hint="eastAsia" w:ascii="宋体" w:hAnsi="宋体" w:eastAsia="宋体" w:cs="宋体"/>
                <w:sz w:val="21"/>
                <w:szCs w:val="21"/>
                <w:highlight w:val="none"/>
              </w:rPr>
              <w:t>考核内容</w:t>
            </w:r>
            <w:bookmarkEnd w:id="12"/>
            <w:bookmarkEnd w:id="13"/>
          </w:p>
        </w:tc>
        <w:tc>
          <w:tcPr>
            <w:tcW w:w="5004" w:type="dxa"/>
            <w:noWrap/>
            <w:vAlign w:val="center"/>
          </w:tcPr>
          <w:p>
            <w:pPr>
              <w:spacing w:line="240" w:lineRule="auto"/>
              <w:ind w:firstLine="0" w:firstLineChars="0"/>
              <w:jc w:val="center"/>
              <w:outlineLvl w:val="0"/>
              <w:rPr>
                <w:rFonts w:hint="eastAsia" w:ascii="宋体" w:hAnsi="宋体" w:eastAsia="宋体" w:cs="宋体"/>
                <w:sz w:val="21"/>
                <w:szCs w:val="21"/>
                <w:highlight w:val="none"/>
              </w:rPr>
            </w:pPr>
            <w:bookmarkStart w:id="14" w:name="_Toc417992864"/>
            <w:bookmarkStart w:id="15" w:name="_Toc482363672"/>
            <w:r>
              <w:rPr>
                <w:rFonts w:hint="eastAsia" w:ascii="宋体" w:hAnsi="宋体" w:eastAsia="宋体" w:cs="宋体"/>
                <w:sz w:val="21"/>
                <w:szCs w:val="21"/>
                <w:highlight w:val="none"/>
              </w:rPr>
              <w:t>考核办法</w:t>
            </w:r>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182" w:type="dxa"/>
            <w:vMerge w:val="continue"/>
            <w:noWrap/>
            <w:vAlign w:val="center"/>
          </w:tcPr>
          <w:p>
            <w:pPr>
              <w:spacing w:line="240" w:lineRule="auto"/>
              <w:ind w:firstLine="0" w:firstLineChars="0"/>
              <w:outlineLvl w:val="0"/>
              <w:rPr>
                <w:rFonts w:hint="eastAsia" w:ascii="宋体" w:hAnsi="宋体" w:eastAsia="宋体" w:cs="宋体"/>
                <w:sz w:val="21"/>
                <w:szCs w:val="21"/>
                <w:highlight w:val="none"/>
              </w:rPr>
            </w:pPr>
          </w:p>
        </w:tc>
        <w:tc>
          <w:tcPr>
            <w:tcW w:w="3152"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1、落实河道保洁制度，有台帐可查（3分）</w:t>
            </w:r>
          </w:p>
        </w:tc>
        <w:tc>
          <w:tcPr>
            <w:tcW w:w="5004"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未落实保洁制度的，扣3分，扣3000元；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182" w:type="dxa"/>
            <w:vMerge w:val="continue"/>
            <w:noWrap/>
            <w:vAlign w:val="center"/>
          </w:tcPr>
          <w:p>
            <w:pPr>
              <w:spacing w:line="240" w:lineRule="auto"/>
              <w:ind w:firstLine="0" w:firstLineChars="0"/>
              <w:outlineLvl w:val="0"/>
              <w:rPr>
                <w:rFonts w:hint="eastAsia" w:ascii="宋体" w:hAnsi="宋体" w:eastAsia="宋体" w:cs="宋体"/>
                <w:sz w:val="21"/>
                <w:szCs w:val="21"/>
                <w:highlight w:val="none"/>
              </w:rPr>
            </w:pPr>
          </w:p>
        </w:tc>
        <w:tc>
          <w:tcPr>
            <w:tcW w:w="3152"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sz w:val="21"/>
                <w:szCs w:val="21"/>
                <w:highlight w:val="none"/>
              </w:rPr>
              <w:t>实施全日制巡回保洁（4分）</w:t>
            </w:r>
          </w:p>
        </w:tc>
        <w:tc>
          <w:tcPr>
            <w:tcW w:w="5004"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发现保洁员上班时间缺岗的，每次扣0.5分，每次每人扣200元；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82" w:type="dxa"/>
            <w:vMerge w:val="continue"/>
            <w:noWrap/>
            <w:vAlign w:val="center"/>
          </w:tcPr>
          <w:p>
            <w:pPr>
              <w:spacing w:line="240" w:lineRule="auto"/>
              <w:ind w:firstLine="0" w:firstLineChars="0"/>
              <w:outlineLvl w:val="0"/>
              <w:rPr>
                <w:rFonts w:hint="eastAsia" w:ascii="宋体" w:hAnsi="宋体" w:eastAsia="宋体" w:cs="宋体"/>
                <w:sz w:val="21"/>
                <w:szCs w:val="21"/>
                <w:highlight w:val="none"/>
              </w:rPr>
            </w:pPr>
          </w:p>
        </w:tc>
        <w:tc>
          <w:tcPr>
            <w:tcW w:w="3152"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3、按规定配足保洁人员和船只（3分）</w:t>
            </w:r>
          </w:p>
        </w:tc>
        <w:tc>
          <w:tcPr>
            <w:tcW w:w="5004" w:type="dxa"/>
            <w:noWrap/>
            <w:vAlign w:val="center"/>
          </w:tcPr>
          <w:p>
            <w:pPr>
              <w:widowControl/>
              <w:spacing w:line="240" w:lineRule="auto"/>
              <w:ind w:firstLine="0" w:firstLineChars="0"/>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未按规定配足人员和船只的，每少一名（艘）扣3分</w:t>
            </w:r>
            <w:r>
              <w:rPr>
                <w:rFonts w:hint="eastAsia" w:ascii="宋体" w:hAnsi="宋体" w:eastAsia="宋体" w:cs="宋体"/>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vMerge w:val="continue"/>
            <w:noWrap/>
            <w:vAlign w:val="center"/>
          </w:tcPr>
          <w:p>
            <w:pPr>
              <w:spacing w:line="240" w:lineRule="auto"/>
              <w:ind w:firstLine="0" w:firstLineChars="0"/>
              <w:outlineLvl w:val="0"/>
              <w:rPr>
                <w:rFonts w:hint="eastAsia" w:ascii="宋体" w:hAnsi="宋体" w:eastAsia="宋体" w:cs="宋体"/>
                <w:sz w:val="21"/>
                <w:szCs w:val="21"/>
                <w:highlight w:val="none"/>
              </w:rPr>
            </w:pPr>
          </w:p>
        </w:tc>
        <w:tc>
          <w:tcPr>
            <w:tcW w:w="3152"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4、每艘保洁船的GPS定位及视频监控系统正常运行；</w:t>
            </w:r>
          </w:p>
        </w:tc>
        <w:tc>
          <w:tcPr>
            <w:tcW w:w="5004" w:type="dxa"/>
            <w:noWrap/>
            <w:vAlign w:val="center"/>
          </w:tcPr>
          <w:p>
            <w:pPr>
              <w:widowControl/>
              <w:spacing w:line="240" w:lineRule="auto"/>
              <w:ind w:firstLine="0" w:firstLineChars="0"/>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连续三天无故未正常运行的，每艘扣1分</w:t>
            </w:r>
            <w:r>
              <w:rPr>
                <w:rFonts w:hint="eastAsia" w:ascii="宋体" w:hAnsi="宋体" w:eastAsia="宋体" w:cs="宋体"/>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182" w:type="dxa"/>
            <w:vMerge w:val="continue"/>
            <w:noWrap/>
            <w:vAlign w:val="center"/>
          </w:tcPr>
          <w:p>
            <w:pPr>
              <w:spacing w:line="240" w:lineRule="auto"/>
              <w:ind w:firstLine="0" w:firstLineChars="0"/>
              <w:outlineLvl w:val="0"/>
              <w:rPr>
                <w:rFonts w:hint="eastAsia" w:ascii="宋体" w:hAnsi="宋体" w:eastAsia="宋体" w:cs="宋体"/>
                <w:sz w:val="21"/>
                <w:szCs w:val="21"/>
                <w:highlight w:val="none"/>
              </w:rPr>
            </w:pPr>
          </w:p>
        </w:tc>
        <w:tc>
          <w:tcPr>
            <w:tcW w:w="3152"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5、安全措施（5分）</w:t>
            </w:r>
          </w:p>
        </w:tc>
        <w:tc>
          <w:tcPr>
            <w:tcW w:w="5004"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1、保洁人员未配搭救生衣的计扣1分；</w:t>
            </w:r>
          </w:p>
          <w:p>
            <w:pPr>
              <w:widowControl/>
              <w:spacing w:line="240" w:lineRule="auto"/>
              <w:ind w:firstLine="0" w:firstLineChars="0"/>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2、保洁人员人生保险购买未做到人手一份的扣1分</w:t>
            </w:r>
            <w:r>
              <w:rPr>
                <w:rFonts w:hint="eastAsia" w:ascii="宋体" w:hAnsi="宋体" w:eastAsia="宋体" w:cs="宋体"/>
                <w:kern w:val="0"/>
                <w:sz w:val="21"/>
                <w:szCs w:val="21"/>
                <w:highlight w:val="none"/>
                <w:lang w:eastAsia="zh-CN"/>
              </w:rPr>
              <w:t>；</w:t>
            </w:r>
          </w:p>
          <w:p>
            <w:pPr>
              <w:widowControl/>
              <w:spacing w:line="240" w:lineRule="auto"/>
              <w:ind w:firstLine="0" w:firstLineChars="0"/>
              <w:rPr>
                <w:rFonts w:hint="eastAsia" w:ascii="宋体" w:hAnsi="宋体" w:eastAsia="宋体" w:cs="宋体"/>
                <w:b/>
                <w:bCs/>
                <w:kern w:val="0"/>
                <w:sz w:val="21"/>
                <w:szCs w:val="21"/>
                <w:highlight w:val="none"/>
                <w:lang w:eastAsia="zh-CN"/>
              </w:rPr>
            </w:pPr>
            <w:r>
              <w:rPr>
                <w:rFonts w:hint="eastAsia" w:ascii="宋体" w:hAnsi="宋体" w:eastAsia="宋体" w:cs="宋体"/>
                <w:bCs/>
                <w:kern w:val="0"/>
                <w:sz w:val="21"/>
                <w:szCs w:val="21"/>
                <w:highlight w:val="none"/>
              </w:rPr>
              <w:t>3、</w:t>
            </w:r>
            <w:r>
              <w:rPr>
                <w:rFonts w:hint="eastAsia" w:ascii="宋体" w:hAnsi="宋体" w:eastAsia="宋体" w:cs="宋体"/>
                <w:kern w:val="0"/>
                <w:sz w:val="21"/>
                <w:szCs w:val="21"/>
                <w:highlight w:val="none"/>
              </w:rPr>
              <w:t>保洁作业船上无配备救生设备发现一次扣2分</w:t>
            </w:r>
            <w:r>
              <w:rPr>
                <w:rFonts w:hint="eastAsia" w:ascii="宋体" w:hAnsi="宋体" w:eastAsia="宋体" w:cs="宋体"/>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1182" w:type="dxa"/>
            <w:vMerge w:val="restart"/>
            <w:noWrap/>
            <w:vAlign w:val="center"/>
          </w:tcPr>
          <w:p>
            <w:pPr>
              <w:spacing w:line="240" w:lineRule="auto"/>
              <w:ind w:firstLine="0" w:firstLineChars="0"/>
              <w:outlineLvl w:val="0"/>
              <w:rPr>
                <w:rFonts w:hint="eastAsia" w:ascii="宋体" w:hAnsi="宋体" w:eastAsia="宋体" w:cs="宋体"/>
                <w:sz w:val="21"/>
                <w:szCs w:val="21"/>
                <w:highlight w:val="none"/>
              </w:rPr>
            </w:pPr>
            <w:bookmarkStart w:id="16" w:name="_Toc482363674"/>
            <w:bookmarkStart w:id="17" w:name="_Toc417992866"/>
            <w:r>
              <w:rPr>
                <w:rFonts w:hint="eastAsia" w:ascii="宋体" w:hAnsi="宋体" w:eastAsia="宋体" w:cs="宋体"/>
                <w:sz w:val="21"/>
                <w:szCs w:val="21"/>
                <w:highlight w:val="none"/>
              </w:rPr>
              <w:t>日常保洁</w:t>
            </w:r>
            <w:bookmarkEnd w:id="16"/>
            <w:bookmarkEnd w:id="17"/>
          </w:p>
          <w:p>
            <w:pPr>
              <w:spacing w:line="240" w:lineRule="auto"/>
              <w:ind w:firstLine="0" w:firstLineChars="0"/>
              <w:outlineLvl w:val="0"/>
              <w:rPr>
                <w:rFonts w:hint="eastAsia" w:ascii="宋体" w:hAnsi="宋体" w:eastAsia="宋体" w:cs="宋体"/>
                <w:sz w:val="21"/>
                <w:szCs w:val="21"/>
                <w:highlight w:val="none"/>
              </w:rPr>
            </w:pPr>
            <w:bookmarkStart w:id="18" w:name="_Toc482363675"/>
            <w:bookmarkStart w:id="19" w:name="_Toc417992867"/>
            <w:r>
              <w:rPr>
                <w:rFonts w:hint="eastAsia" w:ascii="宋体" w:hAnsi="宋体" w:eastAsia="宋体" w:cs="宋体"/>
                <w:sz w:val="21"/>
                <w:szCs w:val="21"/>
                <w:highlight w:val="none"/>
              </w:rPr>
              <w:t>（85分）</w:t>
            </w:r>
            <w:bookmarkEnd w:id="18"/>
            <w:bookmarkEnd w:id="19"/>
          </w:p>
        </w:tc>
        <w:tc>
          <w:tcPr>
            <w:tcW w:w="3152"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1、保持水面洁净，无杂草无漂浮物。桥洞河埠头无垃圾废弃物、杂草、禽畜粪便等（</w:t>
            </w:r>
            <w:r>
              <w:rPr>
                <w:rFonts w:hint="eastAsia" w:ascii="宋体" w:hAnsi="宋体" w:cs="宋体"/>
                <w:kern w:val="0"/>
                <w:sz w:val="21"/>
                <w:szCs w:val="21"/>
                <w:highlight w:val="none"/>
                <w:lang w:val="en-US" w:eastAsia="zh-CN"/>
              </w:rPr>
              <w:t>25</w:t>
            </w:r>
            <w:r>
              <w:rPr>
                <w:rFonts w:hint="eastAsia" w:ascii="宋体" w:hAnsi="宋体" w:eastAsia="宋体" w:cs="宋体"/>
                <w:kern w:val="0"/>
                <w:sz w:val="21"/>
                <w:szCs w:val="21"/>
                <w:highlight w:val="none"/>
              </w:rPr>
              <w:t>分）</w:t>
            </w:r>
          </w:p>
        </w:tc>
        <w:tc>
          <w:tcPr>
            <w:tcW w:w="5004"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1、在每例行检查中,对每1处漂浮物或杂草扣0.2分，对1m2以上的大漂浮物，每一处扣1分；</w:t>
            </w:r>
          </w:p>
          <w:p>
            <w:pPr>
              <w:widowControl/>
              <w:spacing w:line="240" w:lineRule="auto"/>
              <w:ind w:firstLine="0" w:firstLineChars="0"/>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2、对死猪、其它死亡动物等污染严重的漂浮物，发现一次扣1分</w:t>
            </w:r>
            <w:r>
              <w:rPr>
                <w:rFonts w:hint="eastAsia" w:ascii="宋体" w:hAnsi="宋体" w:eastAsia="宋体" w:cs="宋体"/>
                <w:kern w:val="0"/>
                <w:sz w:val="21"/>
                <w:szCs w:val="21"/>
                <w:highlight w:val="none"/>
                <w:lang w:eastAsia="zh-CN"/>
              </w:rPr>
              <w:t>；</w:t>
            </w:r>
          </w:p>
          <w:p>
            <w:pPr>
              <w:widowControl/>
              <w:spacing w:line="240" w:lineRule="auto"/>
              <w:ind w:firstLine="0" w:firstLineChars="0"/>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3、对死亡家禽等发现一次扣0.2分</w:t>
            </w:r>
            <w:r>
              <w:rPr>
                <w:rFonts w:hint="eastAsia" w:ascii="宋体" w:hAnsi="宋体" w:eastAsia="宋体" w:cs="宋体"/>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182" w:type="dxa"/>
            <w:vMerge w:val="continue"/>
            <w:noWrap/>
            <w:vAlign w:val="center"/>
          </w:tcPr>
          <w:p>
            <w:pPr>
              <w:spacing w:line="240" w:lineRule="auto"/>
              <w:ind w:firstLine="0" w:firstLineChars="0"/>
              <w:outlineLvl w:val="0"/>
              <w:rPr>
                <w:rFonts w:hint="eastAsia" w:ascii="宋体" w:hAnsi="宋体" w:eastAsia="宋体" w:cs="宋体"/>
                <w:sz w:val="21"/>
                <w:szCs w:val="21"/>
                <w:highlight w:val="none"/>
              </w:rPr>
            </w:pPr>
          </w:p>
        </w:tc>
        <w:tc>
          <w:tcPr>
            <w:tcW w:w="3152"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2、打捞的垃圾，漂浮物做到日产日清，上岸运走，并在指定地点倾倒。（20分）</w:t>
            </w:r>
          </w:p>
        </w:tc>
        <w:tc>
          <w:tcPr>
            <w:tcW w:w="5004"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1、发现河岸垃圾每处扣0.5分，扣200；</w:t>
            </w:r>
          </w:p>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2、对1m2以上的大堆垃圾，每处扣1分；</w:t>
            </w:r>
          </w:p>
          <w:p>
            <w:pPr>
              <w:widowControl/>
              <w:spacing w:line="240" w:lineRule="auto"/>
              <w:ind w:firstLine="0" w:firstLineChars="0"/>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3、达不到垃圾日产日清要求的或未上岸运走，未在指定地点倾倒的每发现或核实1次，扣1分</w:t>
            </w:r>
            <w:r>
              <w:rPr>
                <w:rFonts w:hint="eastAsia" w:ascii="宋体" w:hAnsi="宋体" w:eastAsia="宋体" w:cs="宋体"/>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182" w:type="dxa"/>
            <w:vMerge w:val="continue"/>
            <w:noWrap/>
            <w:vAlign w:val="center"/>
          </w:tcPr>
          <w:p>
            <w:pPr>
              <w:spacing w:line="240" w:lineRule="auto"/>
              <w:ind w:firstLine="0" w:firstLineChars="0"/>
              <w:outlineLvl w:val="0"/>
              <w:rPr>
                <w:rFonts w:hint="eastAsia" w:ascii="宋体" w:hAnsi="宋体" w:eastAsia="宋体" w:cs="宋体"/>
                <w:sz w:val="21"/>
                <w:szCs w:val="21"/>
                <w:highlight w:val="none"/>
              </w:rPr>
            </w:pPr>
          </w:p>
        </w:tc>
        <w:tc>
          <w:tcPr>
            <w:tcW w:w="3152"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3、保洁中发现水面油污，需及时清洁；（10分）</w:t>
            </w:r>
          </w:p>
        </w:tc>
        <w:tc>
          <w:tcPr>
            <w:tcW w:w="5004"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发现未及时清洁，每次 扣1分；</w:t>
            </w:r>
          </w:p>
          <w:p>
            <w:pPr>
              <w:widowControl/>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造成一定影响的，扣5分；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182" w:type="dxa"/>
            <w:vMerge w:val="continue"/>
            <w:noWrap/>
            <w:vAlign w:val="center"/>
          </w:tcPr>
          <w:p>
            <w:pPr>
              <w:spacing w:line="240" w:lineRule="auto"/>
              <w:ind w:firstLine="0" w:firstLineChars="0"/>
              <w:outlineLvl w:val="0"/>
              <w:rPr>
                <w:rFonts w:hint="eastAsia" w:ascii="宋体" w:hAnsi="宋体" w:eastAsia="宋体" w:cs="宋体"/>
                <w:sz w:val="21"/>
                <w:szCs w:val="21"/>
                <w:highlight w:val="none"/>
              </w:rPr>
            </w:pPr>
          </w:p>
        </w:tc>
        <w:tc>
          <w:tcPr>
            <w:tcW w:w="3152"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4、保洁中发现水质异常（排水口出水异常）的，需及时报告采购单位（10分）</w:t>
            </w:r>
          </w:p>
        </w:tc>
        <w:tc>
          <w:tcPr>
            <w:tcW w:w="5004" w:type="dxa"/>
            <w:noWrap/>
            <w:vAlign w:val="center"/>
          </w:tcPr>
          <w:p>
            <w:pPr>
              <w:widowControl/>
              <w:spacing w:line="240" w:lineRule="auto"/>
              <w:ind w:firstLine="0" w:firstLineChars="0"/>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未按规定报告采购单位的，造成一定影响的，每次扣10分</w:t>
            </w:r>
            <w:r>
              <w:rPr>
                <w:rFonts w:hint="eastAsia" w:ascii="宋体" w:hAnsi="宋体" w:eastAsia="宋体" w:cs="宋体"/>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82" w:type="dxa"/>
            <w:vMerge w:val="continue"/>
            <w:noWrap/>
            <w:vAlign w:val="center"/>
          </w:tcPr>
          <w:p>
            <w:pPr>
              <w:spacing w:line="240" w:lineRule="auto"/>
              <w:ind w:firstLine="0" w:firstLineChars="0"/>
              <w:outlineLvl w:val="0"/>
              <w:rPr>
                <w:rFonts w:hint="eastAsia" w:ascii="宋体" w:hAnsi="宋体" w:eastAsia="宋体" w:cs="宋体"/>
                <w:sz w:val="21"/>
                <w:szCs w:val="21"/>
                <w:highlight w:val="none"/>
              </w:rPr>
            </w:pPr>
          </w:p>
        </w:tc>
        <w:tc>
          <w:tcPr>
            <w:tcW w:w="3152"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5、重要活动期间，应增加打捞次数，保持河面干净（10分）</w:t>
            </w:r>
          </w:p>
        </w:tc>
        <w:tc>
          <w:tcPr>
            <w:tcW w:w="5004"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未保持河面干净的每次扣1分；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82" w:type="dxa"/>
            <w:vMerge w:val="continue"/>
            <w:noWrap/>
            <w:vAlign w:val="center"/>
          </w:tcPr>
          <w:p>
            <w:pPr>
              <w:spacing w:line="240" w:lineRule="auto"/>
              <w:ind w:firstLine="0" w:firstLineChars="0"/>
              <w:outlineLvl w:val="0"/>
              <w:rPr>
                <w:rFonts w:hint="eastAsia" w:ascii="宋体" w:hAnsi="宋体" w:eastAsia="宋体" w:cs="宋体"/>
                <w:sz w:val="21"/>
                <w:szCs w:val="21"/>
                <w:highlight w:val="none"/>
              </w:rPr>
            </w:pPr>
          </w:p>
        </w:tc>
        <w:tc>
          <w:tcPr>
            <w:tcW w:w="3152"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6、落实每日巡查工作</w:t>
            </w:r>
          </w:p>
        </w:tc>
        <w:tc>
          <w:tcPr>
            <w:tcW w:w="5004"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发包方随时抽查巡查情况，发现巡查不到位的，每次扣3分，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82" w:type="dxa"/>
            <w:vMerge w:val="continue"/>
            <w:noWrap/>
            <w:vAlign w:val="center"/>
          </w:tcPr>
          <w:p>
            <w:pPr>
              <w:spacing w:line="240" w:lineRule="auto"/>
              <w:ind w:firstLine="0" w:firstLineChars="0"/>
              <w:outlineLvl w:val="0"/>
              <w:rPr>
                <w:rFonts w:hint="eastAsia" w:ascii="宋体" w:hAnsi="宋体" w:eastAsia="宋体" w:cs="宋体"/>
                <w:sz w:val="21"/>
                <w:szCs w:val="21"/>
                <w:highlight w:val="none"/>
              </w:rPr>
            </w:pPr>
          </w:p>
        </w:tc>
        <w:tc>
          <w:tcPr>
            <w:tcW w:w="3152"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7、河岸两侧枯枝修剪</w:t>
            </w:r>
          </w:p>
        </w:tc>
        <w:tc>
          <w:tcPr>
            <w:tcW w:w="5004"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发现无故不修剪的，每次扣1分，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182" w:type="dxa"/>
            <w:vMerge w:val="continue"/>
            <w:noWrap/>
            <w:vAlign w:val="center"/>
          </w:tcPr>
          <w:p>
            <w:pPr>
              <w:spacing w:line="240" w:lineRule="auto"/>
              <w:ind w:firstLine="0" w:firstLineChars="0"/>
              <w:outlineLvl w:val="0"/>
              <w:rPr>
                <w:rFonts w:hint="eastAsia" w:ascii="宋体" w:hAnsi="宋体" w:eastAsia="宋体" w:cs="宋体"/>
                <w:sz w:val="21"/>
                <w:szCs w:val="21"/>
                <w:highlight w:val="none"/>
              </w:rPr>
            </w:pPr>
          </w:p>
        </w:tc>
        <w:tc>
          <w:tcPr>
            <w:tcW w:w="3152"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8、保持河岸两侧10米范围内无垃圾，白色垃圾等其它垃圾，30分钟内及时清理（10分）</w:t>
            </w:r>
          </w:p>
        </w:tc>
        <w:tc>
          <w:tcPr>
            <w:tcW w:w="5004"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不及时清理的，每次扣1分，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82" w:type="dxa"/>
            <w:vMerge w:val="restart"/>
            <w:noWrap/>
            <w:vAlign w:val="center"/>
          </w:tcPr>
          <w:p>
            <w:pPr>
              <w:spacing w:line="240" w:lineRule="auto"/>
              <w:ind w:firstLine="0" w:firstLineChars="0"/>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巡查</w:t>
            </w:r>
          </w:p>
        </w:tc>
        <w:tc>
          <w:tcPr>
            <w:tcW w:w="3152"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群众反映，镇里自查</w:t>
            </w:r>
          </w:p>
        </w:tc>
        <w:tc>
          <w:tcPr>
            <w:tcW w:w="5004" w:type="dxa"/>
            <w:noWrap/>
            <w:vAlign w:val="center"/>
          </w:tcPr>
          <w:p>
            <w:pPr>
              <w:pStyle w:val="107"/>
              <w:widowControl/>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发现问题的，每次扣300元；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82" w:type="dxa"/>
            <w:vMerge w:val="continue"/>
            <w:noWrap/>
            <w:vAlign w:val="center"/>
          </w:tcPr>
          <w:p>
            <w:pPr>
              <w:spacing w:line="240" w:lineRule="auto"/>
              <w:ind w:firstLine="0" w:firstLineChars="0"/>
              <w:outlineLvl w:val="0"/>
              <w:rPr>
                <w:rFonts w:hint="eastAsia" w:ascii="宋体" w:hAnsi="宋体" w:eastAsia="宋体" w:cs="宋体"/>
                <w:sz w:val="21"/>
                <w:szCs w:val="21"/>
                <w:highlight w:val="none"/>
              </w:rPr>
            </w:pPr>
          </w:p>
        </w:tc>
        <w:tc>
          <w:tcPr>
            <w:tcW w:w="3152"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区里巡查、考核</w:t>
            </w:r>
          </w:p>
        </w:tc>
        <w:tc>
          <w:tcPr>
            <w:tcW w:w="5004" w:type="dxa"/>
            <w:noWrap/>
            <w:vAlign w:val="center"/>
          </w:tcPr>
          <w:p>
            <w:pPr>
              <w:pStyle w:val="107"/>
              <w:widowControl/>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发现问题的，每次扣500元；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82" w:type="dxa"/>
            <w:vMerge w:val="continue"/>
            <w:noWrap/>
            <w:vAlign w:val="center"/>
          </w:tcPr>
          <w:p>
            <w:pPr>
              <w:spacing w:line="240" w:lineRule="auto"/>
              <w:ind w:firstLine="0" w:firstLineChars="0"/>
              <w:outlineLvl w:val="0"/>
              <w:rPr>
                <w:rFonts w:hint="eastAsia" w:ascii="宋体" w:hAnsi="宋体" w:eastAsia="宋体" w:cs="宋体"/>
                <w:sz w:val="21"/>
                <w:szCs w:val="21"/>
                <w:highlight w:val="none"/>
              </w:rPr>
            </w:pPr>
          </w:p>
        </w:tc>
        <w:tc>
          <w:tcPr>
            <w:tcW w:w="3152"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市里巡查，考核</w:t>
            </w:r>
          </w:p>
        </w:tc>
        <w:tc>
          <w:tcPr>
            <w:tcW w:w="5004" w:type="dxa"/>
            <w:noWrap/>
            <w:vAlign w:val="center"/>
          </w:tcPr>
          <w:p>
            <w:pPr>
              <w:pStyle w:val="107"/>
              <w:widowControl/>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发现问题的，每次扣1000元；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82" w:type="dxa"/>
            <w:vMerge w:val="restart"/>
            <w:noWrap/>
            <w:vAlign w:val="center"/>
          </w:tcPr>
          <w:p>
            <w:pPr>
              <w:spacing w:line="240" w:lineRule="auto"/>
              <w:ind w:firstLine="0" w:firstLineChars="0"/>
              <w:outlineLvl w:val="0"/>
              <w:rPr>
                <w:rFonts w:hint="eastAsia" w:ascii="宋体" w:hAnsi="宋体" w:eastAsia="宋体" w:cs="宋体"/>
                <w:sz w:val="21"/>
                <w:szCs w:val="21"/>
                <w:highlight w:val="none"/>
              </w:rPr>
            </w:pPr>
            <w:bookmarkStart w:id="20" w:name="_Toc482363676"/>
            <w:bookmarkStart w:id="21" w:name="_Toc417992868"/>
            <w:r>
              <w:rPr>
                <w:rFonts w:hint="eastAsia" w:ascii="宋体" w:hAnsi="宋体" w:eastAsia="宋体" w:cs="宋体"/>
                <w:sz w:val="21"/>
                <w:szCs w:val="21"/>
                <w:highlight w:val="none"/>
              </w:rPr>
              <w:t>加、扣分</w:t>
            </w:r>
            <w:bookmarkEnd w:id="20"/>
            <w:bookmarkEnd w:id="21"/>
          </w:p>
        </w:tc>
        <w:tc>
          <w:tcPr>
            <w:tcW w:w="3152"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媒体爆光</w:t>
            </w:r>
          </w:p>
        </w:tc>
        <w:tc>
          <w:tcPr>
            <w:tcW w:w="5004" w:type="dxa"/>
            <w:noWrap/>
            <w:vAlign w:val="center"/>
          </w:tcPr>
          <w:p>
            <w:pPr>
              <w:pStyle w:val="107"/>
              <w:widowControl/>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媒体爆光，每次加扣5 分，扣20000元；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82" w:type="dxa"/>
            <w:vMerge w:val="continue"/>
            <w:noWrap/>
            <w:vAlign w:val="center"/>
          </w:tcPr>
          <w:p>
            <w:pPr>
              <w:spacing w:line="240" w:lineRule="auto"/>
              <w:ind w:firstLine="0" w:firstLineChars="0"/>
              <w:outlineLvl w:val="0"/>
              <w:rPr>
                <w:rFonts w:hint="eastAsia" w:ascii="宋体" w:hAnsi="宋体" w:eastAsia="宋体" w:cs="宋体"/>
                <w:sz w:val="21"/>
                <w:szCs w:val="21"/>
                <w:highlight w:val="none"/>
              </w:rPr>
            </w:pPr>
          </w:p>
        </w:tc>
        <w:tc>
          <w:tcPr>
            <w:tcW w:w="3152"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受区级以上表扬、表彰</w:t>
            </w:r>
          </w:p>
        </w:tc>
        <w:tc>
          <w:tcPr>
            <w:tcW w:w="5004" w:type="dxa"/>
            <w:noWrap/>
            <w:vAlign w:val="center"/>
          </w:tcPr>
          <w:p>
            <w:pPr>
              <w:spacing w:line="240" w:lineRule="auto"/>
              <w:ind w:firstLine="0" w:firstLineChars="0"/>
              <w:outlineLvl w:val="0"/>
              <w:rPr>
                <w:rFonts w:hint="eastAsia" w:ascii="宋体" w:hAnsi="宋体" w:eastAsia="宋体" w:cs="宋体"/>
                <w:sz w:val="21"/>
                <w:szCs w:val="21"/>
                <w:highlight w:val="none"/>
              </w:rPr>
            </w:pPr>
            <w:bookmarkStart w:id="22" w:name="_Toc482363677"/>
            <w:bookmarkStart w:id="23" w:name="_Toc417992869"/>
            <w:r>
              <w:rPr>
                <w:rFonts w:hint="eastAsia" w:ascii="宋体" w:hAnsi="宋体" w:eastAsia="宋体" w:cs="宋体"/>
                <w:sz w:val="21"/>
                <w:szCs w:val="21"/>
                <w:highlight w:val="none"/>
              </w:rPr>
              <w:t>每次加1 分</w:t>
            </w:r>
            <w:bookmarkEnd w:id="22"/>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82" w:type="dxa"/>
            <w:vMerge w:val="continue"/>
            <w:noWrap/>
            <w:vAlign w:val="center"/>
          </w:tcPr>
          <w:p>
            <w:pPr>
              <w:spacing w:line="240" w:lineRule="auto"/>
              <w:ind w:firstLine="0" w:firstLineChars="0"/>
              <w:outlineLvl w:val="0"/>
              <w:rPr>
                <w:rFonts w:hint="eastAsia" w:ascii="宋体" w:hAnsi="宋体" w:eastAsia="宋体" w:cs="宋体"/>
                <w:sz w:val="21"/>
                <w:szCs w:val="21"/>
                <w:highlight w:val="none"/>
              </w:rPr>
            </w:pPr>
          </w:p>
        </w:tc>
        <w:tc>
          <w:tcPr>
            <w:tcW w:w="3152" w:type="dxa"/>
            <w:noWrap/>
            <w:vAlign w:val="center"/>
          </w:tcPr>
          <w:p>
            <w:pPr>
              <w:widowControl/>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当次考核无扣分</w:t>
            </w:r>
          </w:p>
        </w:tc>
        <w:tc>
          <w:tcPr>
            <w:tcW w:w="5004" w:type="dxa"/>
            <w:noWrap/>
            <w:vAlign w:val="center"/>
          </w:tcPr>
          <w:p>
            <w:pPr>
              <w:spacing w:line="240" w:lineRule="auto"/>
              <w:ind w:firstLine="0" w:firstLineChars="0"/>
              <w:outlineLvl w:val="0"/>
              <w:rPr>
                <w:rFonts w:hint="eastAsia" w:ascii="宋体" w:hAnsi="宋体" w:eastAsia="宋体" w:cs="宋体"/>
                <w:sz w:val="21"/>
                <w:szCs w:val="21"/>
                <w:highlight w:val="none"/>
              </w:rPr>
            </w:pPr>
            <w:bookmarkStart w:id="24" w:name="_Toc417992870"/>
            <w:bookmarkStart w:id="25" w:name="_Toc482363678"/>
            <w:r>
              <w:rPr>
                <w:rFonts w:hint="eastAsia" w:ascii="宋体" w:hAnsi="宋体" w:eastAsia="宋体" w:cs="宋体"/>
                <w:sz w:val="21"/>
                <w:szCs w:val="21"/>
                <w:highlight w:val="none"/>
              </w:rPr>
              <w:t>当季加2 分</w:t>
            </w:r>
            <w:bookmarkEnd w:id="24"/>
            <w:bookmarkEnd w:id="25"/>
          </w:p>
        </w:tc>
      </w:tr>
    </w:tbl>
    <w:p>
      <w:pPr>
        <w:numPr>
          <w:ilvl w:val="0"/>
          <w:numId w:val="4"/>
        </w:numPr>
        <w:tabs>
          <w:tab w:val="left" w:pos="0"/>
        </w:tabs>
        <w:spacing w:line="500" w:lineRule="exact"/>
        <w:ind w:left="0" w:firstLine="420"/>
        <w:jc w:val="both"/>
        <w:rPr>
          <w:rFonts w:ascii="微软雅黑" w:hAnsi="微软雅黑" w:cs="微软雅黑"/>
          <w:b/>
          <w:bCs/>
          <w:highlight w:val="none"/>
        </w:rPr>
      </w:pPr>
      <w:r>
        <w:rPr>
          <w:rFonts w:hint="eastAsia" w:ascii="微软雅黑" w:hAnsi="微软雅黑" w:cs="微软雅黑"/>
          <w:b/>
          <w:bCs/>
          <w:highlight w:val="none"/>
        </w:rPr>
        <w:t>考核办法</w:t>
      </w:r>
    </w:p>
    <w:p>
      <w:pPr>
        <w:numPr>
          <w:ilvl w:val="1"/>
          <w:numId w:val="5"/>
        </w:numPr>
        <w:tabs>
          <w:tab w:val="left" w:pos="0"/>
        </w:tabs>
        <w:spacing w:line="500" w:lineRule="exact"/>
        <w:ind w:left="0" w:firstLine="424" w:firstLineChars="202"/>
        <w:jc w:val="both"/>
        <w:rPr>
          <w:rFonts w:hint="eastAsia" w:ascii="微软雅黑" w:hAnsi="微软雅黑" w:eastAsia="宋体" w:cs="宋体"/>
          <w:kern w:val="0"/>
          <w:szCs w:val="21"/>
          <w:highlight w:val="none"/>
        </w:rPr>
      </w:pPr>
      <w:r>
        <w:rPr>
          <w:rFonts w:hint="eastAsia" w:ascii="微软雅黑" w:hAnsi="微软雅黑" w:eastAsia="宋体" w:cs="宋体"/>
          <w:kern w:val="0"/>
          <w:szCs w:val="21"/>
          <w:highlight w:val="none"/>
        </w:rPr>
        <w:t>业主单位参照考核评分表的内容，组织有关单位人员进行考核检查，采取随机抽查和暗查相结合，季末综合评定；</w:t>
      </w:r>
    </w:p>
    <w:p>
      <w:pPr>
        <w:numPr>
          <w:ilvl w:val="1"/>
          <w:numId w:val="5"/>
        </w:numPr>
        <w:tabs>
          <w:tab w:val="left" w:pos="0"/>
        </w:tabs>
        <w:spacing w:line="500" w:lineRule="exact"/>
        <w:ind w:left="0" w:firstLine="424" w:firstLineChars="202"/>
        <w:jc w:val="both"/>
        <w:rPr>
          <w:rFonts w:hint="eastAsia" w:ascii="微软雅黑" w:hAnsi="微软雅黑" w:eastAsia="宋体" w:cs="宋体"/>
          <w:kern w:val="0"/>
          <w:szCs w:val="21"/>
          <w:highlight w:val="none"/>
        </w:rPr>
      </w:pPr>
      <w:r>
        <w:rPr>
          <w:rFonts w:hint="eastAsia" w:ascii="微软雅黑" w:hAnsi="微软雅黑" w:eastAsia="宋体" w:cs="宋体"/>
          <w:kern w:val="0"/>
          <w:szCs w:val="21"/>
          <w:highlight w:val="none"/>
        </w:rPr>
        <w:t>检查有详细记录入册，作为考核依据；</w:t>
      </w:r>
    </w:p>
    <w:p>
      <w:pPr>
        <w:numPr>
          <w:ilvl w:val="1"/>
          <w:numId w:val="5"/>
        </w:numPr>
        <w:tabs>
          <w:tab w:val="left" w:pos="0"/>
        </w:tabs>
        <w:spacing w:line="500" w:lineRule="exact"/>
        <w:ind w:left="0" w:firstLine="424" w:firstLineChars="202"/>
        <w:jc w:val="both"/>
        <w:rPr>
          <w:rFonts w:hint="eastAsia" w:ascii="微软雅黑" w:hAnsi="微软雅黑" w:eastAsia="宋体" w:cs="宋体"/>
          <w:kern w:val="0"/>
          <w:szCs w:val="21"/>
          <w:highlight w:val="none"/>
        </w:rPr>
      </w:pPr>
      <w:r>
        <w:rPr>
          <w:rFonts w:hint="eastAsia" w:ascii="微软雅黑" w:hAnsi="微软雅黑" w:eastAsia="宋体" w:cs="宋体"/>
          <w:kern w:val="0"/>
          <w:szCs w:val="21"/>
          <w:highlight w:val="none"/>
        </w:rPr>
        <w:t>考核分值为100分制，每次巡查或检查发现问题，即扣分，季末汇总合计扣款值与扣分值</w:t>
      </w:r>
      <w:r>
        <w:rPr>
          <w:rFonts w:hint="eastAsia" w:ascii="微软雅黑" w:hAnsi="微软雅黑" w:cs="宋体"/>
          <w:kern w:val="0"/>
          <w:szCs w:val="21"/>
          <w:highlight w:val="none"/>
          <w:lang w:eastAsia="zh-CN"/>
        </w:rPr>
        <w:t>。</w:t>
      </w:r>
    </w:p>
    <w:p>
      <w:pPr>
        <w:numPr>
          <w:ilvl w:val="0"/>
          <w:numId w:val="4"/>
        </w:numPr>
        <w:tabs>
          <w:tab w:val="left" w:pos="0"/>
        </w:tabs>
        <w:spacing w:line="500" w:lineRule="exact"/>
        <w:ind w:left="0" w:firstLine="420"/>
        <w:jc w:val="both"/>
        <w:rPr>
          <w:rFonts w:ascii="微软雅黑" w:hAnsi="微软雅黑" w:cs="微软雅黑"/>
          <w:b/>
          <w:bCs/>
          <w:highlight w:val="none"/>
        </w:rPr>
      </w:pPr>
      <w:r>
        <w:rPr>
          <w:rFonts w:hint="eastAsia" w:ascii="微软雅黑" w:hAnsi="微软雅黑" w:cs="微软雅黑"/>
          <w:b/>
          <w:bCs/>
          <w:highlight w:val="none"/>
        </w:rPr>
        <w:t>考核细则</w:t>
      </w:r>
    </w:p>
    <w:p>
      <w:pPr>
        <w:pStyle w:val="107"/>
        <w:numPr>
          <w:ilvl w:val="0"/>
          <w:numId w:val="6"/>
        </w:numPr>
        <w:tabs>
          <w:tab w:val="left" w:pos="0"/>
        </w:tabs>
        <w:spacing w:line="500" w:lineRule="exact"/>
        <w:ind w:firstLineChars="0"/>
        <w:jc w:val="both"/>
        <w:rPr>
          <w:rFonts w:ascii="微软雅黑" w:hAnsi="微软雅黑"/>
          <w:vanish/>
          <w:kern w:val="0"/>
          <w:szCs w:val="21"/>
          <w:highlight w:val="none"/>
        </w:rPr>
      </w:pPr>
    </w:p>
    <w:p>
      <w:pPr>
        <w:pStyle w:val="107"/>
        <w:numPr>
          <w:ilvl w:val="0"/>
          <w:numId w:val="6"/>
        </w:numPr>
        <w:tabs>
          <w:tab w:val="left" w:pos="0"/>
        </w:tabs>
        <w:spacing w:line="500" w:lineRule="exact"/>
        <w:ind w:firstLineChars="0"/>
        <w:jc w:val="both"/>
        <w:rPr>
          <w:rFonts w:ascii="微软雅黑" w:hAnsi="微软雅黑"/>
          <w:vanish/>
          <w:kern w:val="0"/>
          <w:szCs w:val="21"/>
          <w:highlight w:val="none"/>
        </w:rPr>
      </w:pPr>
    </w:p>
    <w:p>
      <w:pPr>
        <w:numPr>
          <w:ilvl w:val="1"/>
          <w:numId w:val="6"/>
        </w:numPr>
        <w:tabs>
          <w:tab w:val="left" w:pos="0"/>
        </w:tabs>
        <w:spacing w:line="500" w:lineRule="exact"/>
        <w:ind w:left="0" w:firstLine="426" w:firstLineChars="0"/>
        <w:jc w:val="both"/>
        <w:rPr>
          <w:rFonts w:ascii="微软雅黑" w:hAnsi="微软雅黑"/>
          <w:kern w:val="0"/>
          <w:szCs w:val="21"/>
          <w:highlight w:val="none"/>
        </w:rPr>
      </w:pPr>
      <w:r>
        <w:rPr>
          <w:rFonts w:hint="eastAsia" w:ascii="微软雅黑" w:hAnsi="微软雅黑"/>
          <w:kern w:val="0"/>
          <w:szCs w:val="21"/>
          <w:highlight w:val="none"/>
        </w:rPr>
        <w:t>每季考核100分为基本分。季得分=100-月扣分总分，直至扣完为止。</w:t>
      </w:r>
    </w:p>
    <w:p>
      <w:pPr>
        <w:numPr>
          <w:ilvl w:val="1"/>
          <w:numId w:val="6"/>
        </w:numPr>
        <w:tabs>
          <w:tab w:val="left" w:pos="0"/>
        </w:tabs>
        <w:spacing w:line="500" w:lineRule="exact"/>
        <w:ind w:left="0" w:firstLine="426" w:firstLineChars="0"/>
        <w:jc w:val="both"/>
        <w:rPr>
          <w:rFonts w:ascii="微软雅黑" w:hAnsi="微软雅黑"/>
          <w:kern w:val="0"/>
          <w:szCs w:val="21"/>
          <w:highlight w:val="none"/>
        </w:rPr>
      </w:pPr>
      <w:r>
        <w:rPr>
          <w:rFonts w:hint="eastAsia" w:ascii="微软雅黑" w:hAnsi="微软雅黑"/>
          <w:kern w:val="0"/>
          <w:szCs w:val="21"/>
          <w:highlight w:val="none"/>
        </w:rPr>
        <w:t>季度考核得分如有低于85分的，进行督促整改。保洁工作中发生重大失误，保洁质量受到严重影响、对社会造成重大负面影响，及中标单位在经营过程中因经营不善或违法违纪导致公司无法确保保洁质量的，发包方有权终止保洁合同。</w:t>
      </w:r>
    </w:p>
    <w:p>
      <w:pPr>
        <w:pStyle w:val="107"/>
        <w:spacing w:line="360" w:lineRule="auto"/>
        <w:ind w:firstLine="424" w:firstLineChars="176"/>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五、付款方式</w:t>
      </w:r>
    </w:p>
    <w:p>
      <w:pPr>
        <w:pStyle w:val="13"/>
        <w:numPr>
          <w:ilvl w:val="0"/>
          <w:numId w:val="7"/>
        </w:numPr>
        <w:adjustRightInd w:val="0"/>
        <w:snapToGrid w:val="0"/>
        <w:spacing w:after="0" w:line="500" w:lineRule="exact"/>
        <w:ind w:firstLineChars="0"/>
        <w:rPr>
          <w:rFonts w:ascii="微软雅黑" w:hAnsi="微软雅黑"/>
          <w:b/>
          <w:szCs w:val="21"/>
          <w:highlight w:val="none"/>
        </w:rPr>
      </w:pPr>
      <w:r>
        <w:rPr>
          <w:rFonts w:hint="eastAsia" w:ascii="微软雅黑" w:hAnsi="微软雅黑"/>
          <w:b/>
          <w:szCs w:val="21"/>
          <w:highlight w:val="none"/>
        </w:rPr>
        <w:t>预付款</w:t>
      </w:r>
    </w:p>
    <w:p>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w:t>
      </w:r>
      <w:r>
        <w:rPr>
          <w:rFonts w:hint="eastAsia" w:ascii="微软雅黑" w:hAnsi="微软雅黑" w:cs="微软雅黑"/>
          <w:szCs w:val="21"/>
          <w:highlight w:val="none"/>
        </w:rPr>
        <w:t>例或者不约定预付款。在签订合同同时，供应商明确表示无需预付款或者主动要求降低预付款比例的，采购单位可不适用前述规定。</w:t>
      </w:r>
    </w:p>
    <w:p>
      <w:pPr>
        <w:pStyle w:val="13"/>
        <w:numPr>
          <w:ilvl w:val="0"/>
          <w:numId w:val="7"/>
        </w:numPr>
        <w:adjustRightInd w:val="0"/>
        <w:snapToGrid w:val="0"/>
        <w:spacing w:after="0" w:line="500" w:lineRule="exact"/>
        <w:ind w:firstLineChars="0"/>
        <w:rPr>
          <w:rFonts w:ascii="微软雅黑" w:hAnsi="微软雅黑"/>
          <w:b/>
          <w:szCs w:val="21"/>
          <w:highlight w:val="none"/>
        </w:rPr>
      </w:pPr>
      <w:r>
        <w:rPr>
          <w:rFonts w:hint="eastAsia" w:ascii="微软雅黑" w:hAnsi="微软雅黑"/>
          <w:b/>
          <w:szCs w:val="21"/>
          <w:highlight w:val="none"/>
        </w:rPr>
        <w:t>项目进度款</w:t>
      </w:r>
    </w:p>
    <w:p>
      <w:pPr>
        <w:pStyle w:val="47"/>
        <w:ind w:firstLine="422" w:firstLineChars="200"/>
        <w:rPr>
          <w:rFonts w:hint="eastAsia" w:ascii="微软雅黑" w:hAnsi="微软雅黑" w:eastAsia="宋体" w:cs="微软雅黑"/>
          <w:b/>
          <w:bCs/>
          <w:color w:val="auto"/>
          <w:spacing w:val="0"/>
          <w:kern w:val="2"/>
          <w:sz w:val="21"/>
          <w:szCs w:val="21"/>
          <w:highlight w:val="none"/>
          <w:lang w:val="en-US" w:eastAsia="zh-CN" w:bidi="ar-SA"/>
        </w:rPr>
      </w:pPr>
      <w:r>
        <w:rPr>
          <w:rFonts w:hint="eastAsia" w:ascii="微软雅黑" w:hAnsi="微软雅黑" w:eastAsia="宋体" w:cs="微软雅黑"/>
          <w:b/>
          <w:bCs/>
          <w:color w:val="auto"/>
          <w:spacing w:val="0"/>
          <w:kern w:val="2"/>
          <w:sz w:val="21"/>
          <w:szCs w:val="21"/>
          <w:highlight w:val="none"/>
          <w:lang w:val="en-US" w:eastAsia="zh-CN" w:bidi="ar-SA"/>
        </w:rPr>
        <w:t>项目进度款按照季度支付</w:t>
      </w:r>
      <w:r>
        <w:rPr>
          <w:rFonts w:hint="eastAsia" w:ascii="微软雅黑" w:hAnsi="微软雅黑" w:cs="微软雅黑"/>
          <w:b/>
          <w:bCs/>
          <w:color w:val="auto"/>
          <w:spacing w:val="0"/>
          <w:kern w:val="2"/>
          <w:sz w:val="21"/>
          <w:szCs w:val="21"/>
          <w:highlight w:val="none"/>
          <w:lang w:val="en-US" w:eastAsia="zh-CN" w:bidi="ar-SA"/>
        </w:rPr>
        <w:t>，每季度按</w:t>
      </w:r>
      <w:r>
        <w:rPr>
          <w:rFonts w:hint="eastAsia" w:ascii="微软雅黑" w:hAnsi="微软雅黑" w:eastAsia="宋体" w:cs="微软雅黑"/>
          <w:b/>
          <w:bCs/>
          <w:color w:val="auto"/>
          <w:spacing w:val="0"/>
          <w:kern w:val="2"/>
          <w:sz w:val="21"/>
          <w:szCs w:val="21"/>
          <w:highlight w:val="none"/>
          <w:lang w:val="en-US" w:eastAsia="zh-CN" w:bidi="ar-SA"/>
        </w:rPr>
        <w:t>合同价款的90%*25%进行支付，合计分四次支付至合同价款的90%；剩余合同价款的10%费用，按照每季度考核得分的平均值及每季度巡查问题累计扣款情况进行支付。本项目支付时，中标人必须提供正规合法的税票。</w:t>
      </w:r>
    </w:p>
    <w:p>
      <w:pPr>
        <w:snapToGrid w:val="0"/>
        <w:spacing w:line="420" w:lineRule="exact"/>
        <w:jc w:val="center"/>
        <w:rPr>
          <w:rFonts w:hint="eastAsia" w:ascii="宋体" w:hAnsi="宋体" w:eastAsia="宋体" w:cs="宋体"/>
          <w:b/>
          <w:sz w:val="32"/>
          <w:szCs w:val="32"/>
          <w:highlight w:val="none"/>
        </w:rPr>
      </w:pPr>
    </w:p>
    <w:p>
      <w:pPr>
        <w:snapToGrid w:val="0"/>
        <w:spacing w:line="420" w:lineRule="exact"/>
        <w:jc w:val="center"/>
        <w:rPr>
          <w:rFonts w:hint="eastAsia" w:ascii="宋体" w:hAnsi="宋体" w:eastAsia="宋体" w:cs="宋体"/>
          <w:b/>
          <w:sz w:val="30"/>
          <w:szCs w:val="30"/>
          <w:highlight w:val="none"/>
        </w:rPr>
      </w:pPr>
      <w:r>
        <w:rPr>
          <w:rFonts w:hint="eastAsia" w:ascii="宋体" w:hAnsi="宋体" w:eastAsia="宋体" w:cs="宋体"/>
          <w:b/>
          <w:sz w:val="32"/>
          <w:szCs w:val="32"/>
          <w:highlight w:val="none"/>
        </w:rPr>
        <w:t>第三章  供应商须知</w:t>
      </w:r>
    </w:p>
    <w:p>
      <w:pPr>
        <w:snapToGrid w:val="0"/>
        <w:spacing w:line="360" w:lineRule="auto"/>
        <w:ind w:left="238"/>
        <w:jc w:val="center"/>
        <w:outlineLvl w:val="1"/>
        <w:rPr>
          <w:rFonts w:hint="eastAsia" w:ascii="宋体" w:hAnsi="宋体" w:eastAsia="宋体" w:cs="宋体"/>
          <w:b/>
          <w:szCs w:val="21"/>
          <w:highlight w:val="none"/>
        </w:rPr>
      </w:pPr>
      <w:bookmarkStart w:id="26" w:name="_Toc33535345"/>
      <w:r>
        <w:rPr>
          <w:rFonts w:hint="eastAsia" w:ascii="宋体" w:hAnsi="宋体" w:eastAsia="宋体" w:cs="宋体"/>
          <w:b/>
          <w:szCs w:val="21"/>
          <w:highlight w:val="none"/>
        </w:rPr>
        <w:t>前附表</w:t>
      </w:r>
      <w:bookmarkEnd w:id="26"/>
    </w:p>
    <w:tbl>
      <w:tblPr>
        <w:tblStyle w:val="34"/>
        <w:tblW w:w="9389"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87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8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8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项目名称：</w:t>
            </w:r>
            <w:r>
              <w:rPr>
                <w:rFonts w:hint="eastAsia" w:ascii="宋体" w:hAnsi="宋体" w:eastAsia="宋体" w:cs="宋体"/>
                <w:szCs w:val="21"/>
                <w:highlight w:val="none"/>
                <w:lang w:eastAsia="zh-CN"/>
              </w:rPr>
              <w:t>塘汇街道2023年河道保洁及养护项目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8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招标编号：</w:t>
            </w:r>
            <w:r>
              <w:rPr>
                <w:rFonts w:hint="eastAsia" w:ascii="宋体" w:hAnsi="宋体" w:cs="宋体"/>
                <w:szCs w:val="21"/>
                <w:highlight w:val="none"/>
                <w:lang w:eastAsia="zh-CN"/>
              </w:rPr>
              <w:t>ZJZM-2022-75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8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hint="eastAsia" w:ascii="宋体" w:hAnsi="宋体" w:eastAsia="宋体" w:cs="宋体"/>
                <w:szCs w:val="21"/>
                <w:highlight w:val="none"/>
              </w:rPr>
            </w:pPr>
            <w:r>
              <w:rPr>
                <w:rFonts w:hint="eastAsia" w:ascii="宋体" w:hAnsi="宋体" w:eastAsia="宋体" w:cs="宋体"/>
                <w:szCs w:val="21"/>
                <w:highlight w:val="none"/>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8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hint="eastAsia" w:ascii="宋体" w:hAnsi="宋体" w:eastAsia="宋体" w:cs="宋体"/>
                <w:szCs w:val="21"/>
                <w:highlight w:val="none"/>
              </w:rPr>
            </w:pPr>
            <w:r>
              <w:rPr>
                <w:rFonts w:hint="eastAsia" w:ascii="宋体" w:hAnsi="宋体" w:eastAsia="宋体" w:cs="宋体"/>
                <w:szCs w:val="21"/>
                <w:highlight w:val="none"/>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8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hint="eastAsia" w:ascii="宋体" w:hAnsi="宋体" w:eastAsia="宋体" w:cs="宋体"/>
                <w:szCs w:val="21"/>
                <w:highlight w:val="none"/>
              </w:rPr>
            </w:pPr>
            <w:r>
              <w:rPr>
                <w:rFonts w:hint="eastAsia" w:ascii="宋体" w:hAnsi="宋体" w:eastAsia="宋体" w:cs="宋体"/>
                <w:szCs w:val="21"/>
                <w:highlight w:val="none"/>
              </w:rPr>
              <w:t>现场踏勘：自行踏勘（费用自理）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8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hint="eastAsia" w:ascii="宋体" w:hAnsi="宋体" w:eastAsia="宋体" w:cs="宋体"/>
                <w:szCs w:val="21"/>
                <w:highlight w:val="none"/>
              </w:rPr>
            </w:pPr>
            <w:r>
              <w:rPr>
                <w:rFonts w:hint="eastAsia" w:ascii="宋体" w:hAnsi="宋体" w:eastAsia="宋体" w:cs="宋体"/>
                <w:szCs w:val="21"/>
                <w:highlight w:val="none"/>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8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hint="eastAsia" w:ascii="宋体" w:hAnsi="宋体" w:eastAsia="宋体" w:cs="宋体"/>
                <w:szCs w:val="21"/>
                <w:highlight w:val="none"/>
              </w:rPr>
            </w:pPr>
            <w:r>
              <w:rPr>
                <w:rFonts w:hint="eastAsia" w:ascii="宋体" w:hAnsi="宋体" w:eastAsia="宋体" w:cs="宋体"/>
                <w:szCs w:val="21"/>
                <w:highlight w:val="none"/>
              </w:rPr>
              <w:t>答疑与澄清：无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875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hint="eastAsia" w:ascii="宋体" w:hAnsi="宋体" w:eastAsia="宋体" w:cs="宋体"/>
                <w:szCs w:val="21"/>
                <w:highlight w:val="none"/>
              </w:rPr>
            </w:pPr>
            <w:r>
              <w:rPr>
                <w:rFonts w:hint="eastAsia" w:ascii="宋体" w:hAnsi="宋体" w:eastAsia="宋体" w:cs="宋体"/>
                <w:szCs w:val="21"/>
                <w:highlight w:val="none"/>
              </w:rPr>
              <w:t>投标文件组成：</w:t>
            </w:r>
            <w:r>
              <w:rPr>
                <w:rFonts w:hint="eastAsia" w:ascii="宋体" w:hAnsi="宋体" w:eastAsia="宋体" w:cs="宋体"/>
                <w:bCs/>
                <w:szCs w:val="21"/>
                <w:highlight w:val="none"/>
              </w:rPr>
              <w:t>完整的《投标文件》由</w:t>
            </w:r>
            <w:r>
              <w:rPr>
                <w:rFonts w:hint="eastAsia" w:ascii="宋体" w:hAnsi="宋体" w:eastAsia="宋体" w:cs="宋体"/>
                <w:b/>
                <w:szCs w:val="21"/>
                <w:highlight w:val="none"/>
              </w:rPr>
              <w:t>资格文件、商务技术文件及报价文件三部份组成</w:t>
            </w:r>
            <w:r>
              <w:rPr>
                <w:rFonts w:hint="eastAsia" w:ascii="宋体" w:hAnsi="宋体" w:eastAsia="宋体" w:cs="宋体"/>
                <w:bCs/>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875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t>投标文件的编制：供应商应先安装“政采云电子交易客户端”，并按照本招标文件和“政府采购云平台”的要求，通过“政采云电子交易客户端”编制并加密投标文件。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875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t>投标文件的签章：电子签章。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11</w:t>
            </w:r>
          </w:p>
        </w:tc>
        <w:tc>
          <w:tcPr>
            <w:tcW w:w="875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投标文件的形式：</w:t>
            </w:r>
            <w:r>
              <w:rPr>
                <w:rFonts w:hint="eastAsia" w:ascii="宋体" w:hAnsi="宋体" w:eastAsia="宋体" w:cs="宋体"/>
                <w:bCs/>
                <w:color w:val="auto"/>
                <w:szCs w:val="21"/>
                <w:highlight w:val="none"/>
              </w:rPr>
              <w:t>☑电子投标文件（包括“电子加密投标文件”和“备份投标文件”，在投标文件编制完成后同时生成）；</w:t>
            </w:r>
          </w:p>
          <w:p>
            <w:pPr>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（1）“电子加密投标文件”是指通过“政采云电子交易客户端”完成投标文件编制后生成并加密的数据电文形式的投标文件。</w:t>
            </w:r>
          </w:p>
          <w:p>
            <w:pPr>
              <w:spacing w:line="44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12</w:t>
            </w:r>
          </w:p>
        </w:tc>
        <w:tc>
          <w:tcPr>
            <w:tcW w:w="875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投标文件份数：</w:t>
            </w:r>
            <w:r>
              <w:rPr>
                <w:rFonts w:hint="eastAsia" w:ascii="宋体" w:hAnsi="宋体" w:eastAsia="宋体" w:cs="宋体"/>
                <w:bCs/>
                <w:color w:val="auto"/>
                <w:szCs w:val="21"/>
                <w:highlight w:val="none"/>
              </w:rPr>
              <w:t>（1）“电子加密投标文件”：在线上传递交一份。（2）“备份投标文件”：密封包装后（邮寄形式）投标截止时间前递交一份</w:t>
            </w:r>
            <w:r>
              <w:rPr>
                <w:rFonts w:hint="eastAsia" w:ascii="宋体" w:hAnsi="宋体" w:eastAsia="宋体" w:cs="宋体"/>
                <w:b/>
                <w:bCs w:val="0"/>
                <w:color w:val="auto"/>
                <w:szCs w:val="21"/>
                <w:highlight w:val="none"/>
              </w:rPr>
              <w:t>（邮寄地址：嘉兴市由拳路309号紫御大厦17楼浙江中明工程咨询有限公司（</w:t>
            </w:r>
            <w:r>
              <w:rPr>
                <w:rFonts w:hint="eastAsia" w:ascii="宋体" w:hAnsi="宋体" w:eastAsia="宋体" w:cs="宋体"/>
                <w:b/>
                <w:bCs w:val="0"/>
                <w:color w:val="auto"/>
                <w:szCs w:val="21"/>
                <w:highlight w:val="none"/>
                <w:lang w:val="en-US" w:eastAsia="zh-CN"/>
              </w:rPr>
              <w:t>杜园园</w:t>
            </w:r>
            <w:r>
              <w:rPr>
                <w:rFonts w:hint="eastAsia" w:ascii="宋体" w:hAnsi="宋体" w:eastAsia="宋体" w:cs="宋体"/>
                <w:b/>
                <w:bCs w:val="0"/>
                <w:color w:val="auto"/>
                <w:szCs w:val="21"/>
                <w:highlight w:val="none"/>
              </w:rPr>
              <w:t xml:space="preserve">  电话：0573-83679693/13857329234）。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13</w:t>
            </w:r>
          </w:p>
        </w:tc>
        <w:tc>
          <w:tcPr>
            <w:tcW w:w="875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t>投标文件的上传和递交：</w:t>
            </w:r>
          </w:p>
          <w:p>
            <w:pPr>
              <w:spacing w:line="44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（1）“电子加密投标文件”的上传、递交：</w:t>
            </w:r>
          </w:p>
          <w:p>
            <w:pPr>
              <w:spacing w:line="44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a.投标供应商应在投标截止时间前将“电子加密投标文件”成功上传递交至“政府采购云平台”，否则投标无效。</w:t>
            </w:r>
          </w:p>
          <w:p>
            <w:pPr>
              <w:spacing w:line="44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b.“电子加密投标文件”成功上传递交后，供应商可自行打印投标文件接收回执。</w:t>
            </w:r>
          </w:p>
          <w:p>
            <w:pPr>
              <w:spacing w:line="44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（2）“备份投标文件”的密封包装、递交：</w:t>
            </w:r>
          </w:p>
          <w:p>
            <w:pPr>
              <w:spacing w:line="44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a.投标供应商在“政府采购云平台”完成“电子加密投标文件”的上传递交后，还可以（邮寄形式）在投标截止时间前递交以介质（U盘）存储的“备份投标文件”（一份）；</w:t>
            </w:r>
          </w:p>
          <w:p>
            <w:pPr>
              <w:spacing w:line="44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b.“备份投标文件”应当密封包装，并在包装上标注投标项目名称、投标单位名称并加盖公章。没有密封包装或者逾期邮寄送达至上述邮寄地点的“备份投标文件”将不予接收；</w:t>
            </w:r>
          </w:p>
          <w:p>
            <w:pPr>
              <w:spacing w:line="440" w:lineRule="exact"/>
              <w:jc w:val="left"/>
              <w:rPr>
                <w:rFonts w:hint="eastAsia" w:ascii="宋体" w:hAnsi="宋体" w:eastAsia="宋体" w:cs="宋体"/>
                <w:szCs w:val="21"/>
                <w:highlight w:val="none"/>
              </w:rPr>
            </w:pPr>
            <w:r>
              <w:rPr>
                <w:rFonts w:hint="eastAsia" w:ascii="宋体" w:hAnsi="宋体" w:eastAsia="宋体" w:cs="宋体"/>
                <w:bCs/>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14</w:t>
            </w:r>
          </w:p>
        </w:tc>
        <w:tc>
          <w:tcPr>
            <w:tcW w:w="875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t>电子加密投标文件的解密和异常情况处理：</w:t>
            </w:r>
          </w:p>
          <w:p>
            <w:pPr>
              <w:spacing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t>（1）开标后，采购组织机构将向各投标供应商发出“电子加密投标文件”的解密通知，各投标供应商代表应当在接到解密通知后30分钟内自行完成“电子加密投标文件”的在线解密。</w:t>
            </w:r>
          </w:p>
          <w:p>
            <w:pPr>
              <w:spacing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15</w:t>
            </w:r>
          </w:p>
        </w:tc>
        <w:tc>
          <w:tcPr>
            <w:tcW w:w="8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b/>
                <w:bCs/>
                <w:color w:val="FF0000"/>
                <w:szCs w:val="21"/>
                <w:highlight w:val="none"/>
                <w:lang w:eastAsia="zh-CN"/>
              </w:rPr>
            </w:pPr>
            <w:r>
              <w:rPr>
                <w:rFonts w:hint="eastAsia" w:ascii="宋体" w:hAnsi="宋体" w:eastAsia="宋体" w:cs="宋体"/>
                <w:b/>
                <w:bCs/>
                <w:color w:val="FF0000"/>
                <w:szCs w:val="21"/>
                <w:highlight w:val="none"/>
              </w:rPr>
              <w:t>投标截止时间：</w:t>
            </w:r>
            <w:r>
              <w:rPr>
                <w:rFonts w:hint="eastAsia" w:ascii="宋体" w:hAnsi="宋体" w:eastAsia="宋体" w:cs="宋体"/>
                <w:b/>
                <w:bCs/>
                <w:color w:val="FF0000"/>
                <w:szCs w:val="21"/>
                <w:highlight w:val="none"/>
                <w:lang w:eastAsia="zh-CN"/>
              </w:rPr>
              <w:t>2022年</w:t>
            </w:r>
            <w:r>
              <w:rPr>
                <w:rFonts w:hint="eastAsia" w:ascii="宋体" w:hAnsi="宋体" w:eastAsia="宋体" w:cs="宋体"/>
                <w:b/>
                <w:bCs/>
                <w:color w:val="FF0000"/>
                <w:szCs w:val="21"/>
                <w:highlight w:val="none"/>
                <w:lang w:val="en-US" w:eastAsia="zh-CN"/>
              </w:rPr>
              <w:t>12</w:t>
            </w:r>
            <w:r>
              <w:rPr>
                <w:rFonts w:hint="eastAsia" w:ascii="宋体" w:hAnsi="宋体" w:eastAsia="宋体" w:cs="宋体"/>
                <w:b/>
                <w:bCs/>
                <w:color w:val="FF0000"/>
                <w:szCs w:val="21"/>
                <w:highlight w:val="none"/>
                <w:lang w:eastAsia="zh-CN"/>
              </w:rPr>
              <w:t>月</w:t>
            </w:r>
            <w:r>
              <w:rPr>
                <w:rFonts w:hint="eastAsia" w:ascii="宋体" w:hAnsi="宋体" w:cs="宋体"/>
                <w:b/>
                <w:bCs/>
                <w:color w:val="FF0000"/>
                <w:szCs w:val="21"/>
                <w:highlight w:val="none"/>
                <w:lang w:val="en-US" w:eastAsia="zh-CN"/>
              </w:rPr>
              <w:t>16</w:t>
            </w:r>
            <w:r>
              <w:rPr>
                <w:rFonts w:hint="eastAsia" w:ascii="宋体" w:hAnsi="宋体" w:eastAsia="宋体" w:cs="宋体"/>
                <w:b/>
                <w:bCs/>
                <w:color w:val="FF0000"/>
                <w:szCs w:val="21"/>
                <w:highlight w:val="none"/>
                <w:lang w:eastAsia="zh-CN"/>
              </w:rPr>
              <w:t>日09时30分</w:t>
            </w:r>
          </w:p>
          <w:p>
            <w:pPr>
              <w:snapToGrid w:val="0"/>
              <w:spacing w:line="440" w:lineRule="exact"/>
              <w:jc w:val="left"/>
              <w:rPr>
                <w:rFonts w:hint="eastAsia" w:ascii="宋体" w:hAnsi="宋体" w:eastAsia="宋体" w:cs="宋体"/>
                <w:b/>
                <w:bCs/>
                <w:color w:val="FF0000"/>
                <w:szCs w:val="21"/>
                <w:highlight w:val="none"/>
              </w:rPr>
            </w:pPr>
            <w:r>
              <w:rPr>
                <w:rFonts w:hint="eastAsia" w:ascii="宋体" w:hAnsi="宋体" w:eastAsia="宋体" w:cs="宋体"/>
                <w:b/>
                <w:bCs/>
                <w:color w:val="FF0000"/>
                <w:szCs w:val="21"/>
                <w:highlight w:val="none"/>
              </w:rPr>
              <w:t>投标截止地点：</w:t>
            </w:r>
            <w:r>
              <w:rPr>
                <w:rFonts w:hint="eastAsia" w:ascii="宋体" w:hAnsi="宋体" w:eastAsia="宋体" w:cs="宋体"/>
                <w:b/>
                <w:bCs/>
                <w:color w:val="FF0000"/>
                <w:kern w:val="0"/>
                <w:szCs w:val="21"/>
                <w:highlight w:val="none"/>
              </w:rPr>
              <w:t>政采云平台线上投标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16</w:t>
            </w:r>
          </w:p>
        </w:tc>
        <w:tc>
          <w:tcPr>
            <w:tcW w:w="8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b/>
                <w:bCs/>
                <w:color w:val="FF0000"/>
                <w:szCs w:val="21"/>
                <w:highlight w:val="none"/>
                <w:lang w:eastAsia="zh-CN"/>
              </w:rPr>
            </w:pPr>
            <w:r>
              <w:rPr>
                <w:rFonts w:hint="eastAsia" w:ascii="宋体" w:hAnsi="宋体" w:eastAsia="宋体" w:cs="宋体"/>
                <w:b/>
                <w:bCs/>
                <w:color w:val="FF0000"/>
                <w:szCs w:val="21"/>
                <w:highlight w:val="none"/>
              </w:rPr>
              <w:t>开标时间：</w:t>
            </w:r>
            <w:r>
              <w:rPr>
                <w:rFonts w:hint="eastAsia" w:ascii="宋体" w:hAnsi="宋体" w:eastAsia="宋体" w:cs="宋体"/>
                <w:b/>
                <w:bCs/>
                <w:color w:val="FF0000"/>
                <w:szCs w:val="21"/>
                <w:highlight w:val="none"/>
                <w:lang w:eastAsia="zh-CN"/>
              </w:rPr>
              <w:t>2022年</w:t>
            </w:r>
            <w:r>
              <w:rPr>
                <w:rFonts w:hint="eastAsia" w:ascii="宋体" w:hAnsi="宋体" w:eastAsia="宋体" w:cs="宋体"/>
                <w:b/>
                <w:bCs/>
                <w:color w:val="FF0000"/>
                <w:szCs w:val="21"/>
                <w:highlight w:val="none"/>
                <w:lang w:val="en-US" w:eastAsia="zh-CN"/>
              </w:rPr>
              <w:t>12</w:t>
            </w:r>
            <w:r>
              <w:rPr>
                <w:rFonts w:hint="eastAsia" w:ascii="宋体" w:hAnsi="宋体" w:eastAsia="宋体" w:cs="宋体"/>
                <w:b/>
                <w:bCs/>
                <w:color w:val="FF0000"/>
                <w:szCs w:val="21"/>
                <w:highlight w:val="none"/>
                <w:lang w:eastAsia="zh-CN"/>
              </w:rPr>
              <w:t>月</w:t>
            </w:r>
            <w:r>
              <w:rPr>
                <w:rFonts w:hint="eastAsia" w:ascii="宋体" w:hAnsi="宋体" w:cs="宋体"/>
                <w:b/>
                <w:bCs/>
                <w:color w:val="FF0000"/>
                <w:szCs w:val="21"/>
                <w:highlight w:val="none"/>
                <w:lang w:val="en-US" w:eastAsia="zh-CN"/>
              </w:rPr>
              <w:t>16</w:t>
            </w:r>
            <w:r>
              <w:rPr>
                <w:rFonts w:hint="eastAsia" w:ascii="宋体" w:hAnsi="宋体" w:eastAsia="宋体" w:cs="宋体"/>
                <w:b/>
                <w:bCs/>
                <w:color w:val="FF0000"/>
                <w:szCs w:val="21"/>
                <w:highlight w:val="none"/>
                <w:lang w:eastAsia="zh-CN"/>
              </w:rPr>
              <w:t>日09时30分</w:t>
            </w:r>
          </w:p>
          <w:p>
            <w:pPr>
              <w:snapToGrid w:val="0"/>
              <w:spacing w:line="440" w:lineRule="exact"/>
              <w:jc w:val="left"/>
              <w:rPr>
                <w:rFonts w:hint="eastAsia" w:ascii="宋体" w:hAnsi="宋体" w:eastAsia="宋体" w:cs="宋体"/>
                <w:b/>
                <w:bCs/>
                <w:color w:val="FF0000"/>
                <w:szCs w:val="21"/>
                <w:highlight w:val="none"/>
                <w:lang w:eastAsia="zh-CN"/>
              </w:rPr>
            </w:pPr>
            <w:r>
              <w:rPr>
                <w:rFonts w:hint="eastAsia" w:ascii="宋体" w:hAnsi="宋体" w:eastAsia="宋体" w:cs="宋体"/>
                <w:b/>
                <w:bCs/>
                <w:color w:val="FF0000"/>
                <w:szCs w:val="21"/>
                <w:highlight w:val="none"/>
              </w:rPr>
              <w:t xml:space="preserve"> 开标地点</w:t>
            </w:r>
            <w:r>
              <w:rPr>
                <w:rFonts w:hint="eastAsia" w:ascii="宋体" w:hAnsi="宋体" w:eastAsia="宋体" w:cs="宋体"/>
                <w:b/>
                <w:bCs/>
                <w:color w:val="FF0000"/>
                <w:szCs w:val="21"/>
                <w:highlight w:val="none"/>
                <w:lang w:eastAsia="zh-CN"/>
              </w:rPr>
              <w:t>：</w:t>
            </w:r>
            <w:r>
              <w:rPr>
                <w:rFonts w:hint="eastAsia" w:ascii="宋体" w:hAnsi="宋体" w:eastAsia="宋体" w:cs="宋体"/>
                <w:b/>
                <w:bCs/>
                <w:color w:val="FF0000"/>
                <w:szCs w:val="21"/>
                <w:highlight w:val="none"/>
              </w:rPr>
              <w:t>政采云平台线上开标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17</w:t>
            </w:r>
          </w:p>
        </w:tc>
        <w:tc>
          <w:tcPr>
            <w:tcW w:w="875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hint="eastAsia" w:ascii="宋体" w:hAnsi="宋体" w:eastAsia="宋体" w:cs="宋体"/>
                <w:b/>
                <w:szCs w:val="21"/>
                <w:highlight w:val="none"/>
              </w:rPr>
            </w:pPr>
            <w:r>
              <w:rPr>
                <w:rFonts w:hint="eastAsia" w:ascii="宋体" w:hAnsi="宋体" w:eastAsia="宋体" w:cs="宋体"/>
                <w:szCs w:val="21"/>
                <w:highlight w:val="none"/>
              </w:rPr>
              <w:t>投标费用：中标单位支付招标代理服务费。（收费标准详见招标文件）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18</w:t>
            </w:r>
          </w:p>
        </w:tc>
        <w:tc>
          <w:tcPr>
            <w:tcW w:w="875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hint="eastAsia" w:ascii="宋体" w:hAnsi="宋体" w:eastAsia="宋体" w:cs="宋体"/>
                <w:szCs w:val="21"/>
                <w:highlight w:val="none"/>
              </w:rPr>
            </w:pPr>
            <w:r>
              <w:rPr>
                <w:rFonts w:hint="eastAsia" w:ascii="宋体" w:hAnsi="宋体" w:eastAsia="宋体" w:cs="宋体"/>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19</w:t>
            </w:r>
          </w:p>
        </w:tc>
        <w:tc>
          <w:tcPr>
            <w:tcW w:w="875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hint="eastAsia" w:ascii="宋体" w:hAnsi="宋体" w:eastAsia="宋体" w:cs="宋体"/>
                <w:szCs w:val="21"/>
                <w:highlight w:val="none"/>
              </w:rPr>
            </w:pPr>
            <w:r>
              <w:rPr>
                <w:rFonts w:hint="eastAsia" w:ascii="宋体" w:hAnsi="宋体" w:eastAsia="宋体" w:cs="宋体"/>
                <w:b/>
                <w:bCs/>
                <w:szCs w:val="21"/>
                <w:highlight w:val="none"/>
              </w:rPr>
              <w:t>最高限价：人民币</w:t>
            </w:r>
            <w:r>
              <w:rPr>
                <w:rFonts w:hint="eastAsia" w:ascii="宋体" w:hAnsi="宋体" w:eastAsia="宋体" w:cs="宋体"/>
                <w:b/>
                <w:bCs/>
                <w:szCs w:val="21"/>
                <w:highlight w:val="none"/>
                <w:lang w:val="en-US" w:eastAsia="zh-CN"/>
              </w:rPr>
              <w:t>87万</w:t>
            </w:r>
            <w:r>
              <w:rPr>
                <w:rFonts w:hint="eastAsia" w:ascii="宋体" w:hAnsi="宋体" w:eastAsia="宋体" w:cs="宋体"/>
                <w:b/>
                <w:bCs/>
                <w:szCs w:val="21"/>
                <w:highlight w:val="none"/>
              </w:rPr>
              <w:t>元，超过最高限价的投标报价按无效标处理。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20</w:t>
            </w:r>
          </w:p>
        </w:tc>
        <w:tc>
          <w:tcPr>
            <w:tcW w:w="875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hint="eastAsia" w:ascii="宋体" w:hAnsi="宋体" w:eastAsia="宋体" w:cs="宋体"/>
                <w:b/>
                <w:bCs/>
                <w:szCs w:val="21"/>
                <w:highlight w:val="none"/>
              </w:rPr>
            </w:pPr>
            <w:r>
              <w:rPr>
                <w:rFonts w:hint="eastAsia" w:ascii="宋体" w:hAnsi="宋体" w:cs="宋体"/>
                <w:b/>
                <w:bCs/>
                <w:color w:val="auto"/>
                <w:kern w:val="2"/>
                <w:sz w:val="21"/>
                <w:szCs w:val="21"/>
                <w:highlight w:val="none"/>
                <w:lang w:val="en-US" w:eastAsia="zh-CN"/>
              </w:rPr>
              <w:t>服务</w:t>
            </w:r>
            <w:r>
              <w:rPr>
                <w:rFonts w:hint="eastAsia" w:ascii="宋体" w:hAnsi="宋体" w:eastAsia="宋体" w:cs="宋体"/>
                <w:b/>
                <w:bCs/>
                <w:color w:val="auto"/>
                <w:kern w:val="2"/>
                <w:sz w:val="21"/>
                <w:szCs w:val="21"/>
                <w:highlight w:val="none"/>
                <w:lang w:eastAsia="zh-CN"/>
              </w:rPr>
              <w:t>期限</w:t>
            </w:r>
            <w:r>
              <w:rPr>
                <w:rFonts w:hint="eastAsia" w:ascii="宋体" w:hAnsi="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lang w:eastAsia="zh-CN"/>
              </w:rPr>
              <w:t>12个月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21</w:t>
            </w:r>
          </w:p>
        </w:tc>
        <w:tc>
          <w:tcPr>
            <w:tcW w:w="875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hint="eastAsia" w:ascii="宋体" w:hAnsi="宋体" w:eastAsia="宋体" w:cs="宋体"/>
                <w:szCs w:val="21"/>
                <w:highlight w:val="none"/>
                <w:lang w:val="en-US" w:eastAsia="zh-CN"/>
              </w:rPr>
            </w:pPr>
            <w:r>
              <w:rPr>
                <w:rFonts w:hint="eastAsia" w:ascii="宋体" w:hAnsi="宋体" w:eastAsia="宋体" w:cs="宋体"/>
                <w:szCs w:val="21"/>
                <w:highlight w:val="none"/>
              </w:rPr>
              <w:t>履约保证金：</w:t>
            </w:r>
            <w:r>
              <w:rPr>
                <w:rFonts w:hint="eastAsia" w:ascii="宋体" w:hAnsi="宋体" w:eastAsia="宋体" w:cs="宋体"/>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22</w:t>
            </w:r>
          </w:p>
        </w:tc>
        <w:tc>
          <w:tcPr>
            <w:tcW w:w="875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hint="eastAsia" w:ascii="宋体" w:hAnsi="宋体" w:eastAsia="宋体" w:cs="宋体"/>
                <w:szCs w:val="21"/>
                <w:highlight w:val="none"/>
              </w:rPr>
            </w:pPr>
            <w:r>
              <w:rPr>
                <w:rFonts w:hint="eastAsia" w:ascii="宋体" w:hAnsi="宋体" w:eastAsia="宋体" w:cs="宋体"/>
                <w:szCs w:val="21"/>
                <w:highlight w:val="none"/>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23</w:t>
            </w:r>
          </w:p>
        </w:tc>
        <w:tc>
          <w:tcPr>
            <w:tcW w:w="8753"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Cs w:val="21"/>
                <w:highlight w:val="none"/>
              </w:rPr>
            </w:pPr>
            <w:r>
              <w:rPr>
                <w:rFonts w:hint="eastAsia" w:ascii="宋体" w:hAnsi="宋体" w:eastAsia="宋体" w:cs="宋体"/>
                <w:kern w:val="0"/>
                <w:szCs w:val="21"/>
                <w:highlight w:val="none"/>
              </w:rPr>
              <w:t>网上注册：本项目</w:t>
            </w:r>
            <w:r>
              <w:rPr>
                <w:rFonts w:hint="eastAsia" w:ascii="宋体" w:hAnsi="宋体" w:eastAsia="宋体" w:cs="宋体"/>
                <w:szCs w:val="21"/>
                <w:highlight w:val="none"/>
              </w:rPr>
              <w:t>不提供采购文件纸质版</w:t>
            </w:r>
            <w:r>
              <w:rPr>
                <w:rFonts w:hint="eastAsia" w:ascii="宋体" w:hAnsi="宋体" w:eastAsia="宋体" w:cs="宋体"/>
                <w:kern w:val="0"/>
                <w:szCs w:val="21"/>
                <w:highlight w:val="none"/>
              </w:rPr>
              <w:t>，</w:t>
            </w:r>
            <w:r>
              <w:rPr>
                <w:rFonts w:hint="eastAsia" w:ascii="宋体" w:hAnsi="宋体" w:eastAsia="宋体" w:cs="宋体"/>
                <w:szCs w:val="21"/>
                <w:highlight w:val="none"/>
              </w:rPr>
              <w:t>实行“政府采购云平台”在线获取</w:t>
            </w:r>
            <w:r>
              <w:rPr>
                <w:rFonts w:hint="eastAsia" w:ascii="宋体" w:hAnsi="宋体" w:eastAsia="宋体" w:cs="宋体"/>
                <w:kern w:val="0"/>
                <w:szCs w:val="21"/>
                <w:highlight w:val="none"/>
              </w:rPr>
              <w:t>。须在浙江政府采购网进行供应商注册。（详情请见第一章公告及采购文件的获取）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24</w:t>
            </w:r>
          </w:p>
        </w:tc>
        <w:tc>
          <w:tcPr>
            <w:tcW w:w="87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一、说明</w:t>
            </w:r>
          </w:p>
          <w:p>
            <w:pPr>
              <w:adjustRightInd w:val="0"/>
              <w:snapToGrid w:val="0"/>
              <w:spacing w:line="320" w:lineRule="exact"/>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中小企业</w:t>
            </w:r>
          </w:p>
          <w:p>
            <w:pPr>
              <w:adjustRightInd w:val="0"/>
              <w:snapToGrid w:val="0"/>
              <w:spacing w:line="32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2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符合中小企业划分标准的个体工商户，在政府采购活动中视同中小企业。</w:t>
            </w:r>
          </w:p>
          <w:p>
            <w:pPr>
              <w:adjustRightInd w:val="0"/>
              <w:snapToGrid w:val="0"/>
              <w:spacing w:line="320" w:lineRule="exact"/>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在政府采购活动中，供应商提供的货物、工程或者服务符合下列情形的，享受本办法规定的中小企业扶持政策：</w:t>
            </w:r>
          </w:p>
          <w:p>
            <w:pPr>
              <w:adjustRightInd w:val="0"/>
              <w:snapToGrid w:val="0"/>
              <w:spacing w:line="320" w:lineRule="exact"/>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(一)在货物采购项目中，货物由中小企业制造，即货物由中小企业生产且使用该中小企业商号或者注册商标；</w:t>
            </w:r>
          </w:p>
          <w:p>
            <w:pPr>
              <w:adjustRightInd w:val="0"/>
              <w:snapToGrid w:val="0"/>
              <w:spacing w:line="320" w:lineRule="exact"/>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(二)在工程采购项目中，工程由中小企业承建，即工程施工单位为中小企业；</w:t>
            </w:r>
          </w:p>
          <w:p>
            <w:pPr>
              <w:adjustRightInd w:val="0"/>
              <w:snapToGrid w:val="0"/>
              <w:spacing w:line="320" w:lineRule="exact"/>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(三)在服务采购项目中，服务由中小企业承接，即提供服务的人员为中小企业依照《中华人民共和国劳动合同法》订立劳动合同的从业人员。</w:t>
            </w:r>
          </w:p>
          <w:p>
            <w:pPr>
              <w:adjustRightInd w:val="0"/>
              <w:snapToGrid w:val="0"/>
              <w:spacing w:line="320" w:lineRule="exact"/>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在货物采购项目中，供应商提供的货物既有中小企业制造货物，也有大型企业制造货物的，不享受本办法规定的中小企业扶持政策。</w:t>
            </w:r>
          </w:p>
          <w:p>
            <w:pPr>
              <w:adjustRightInd w:val="0"/>
              <w:snapToGrid w:val="0"/>
              <w:spacing w:line="320" w:lineRule="exact"/>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320" w:lineRule="exact"/>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残疾人福利性单位</w:t>
            </w:r>
          </w:p>
          <w:p>
            <w:pPr>
              <w:adjustRightInd w:val="0"/>
              <w:snapToGrid w:val="0"/>
              <w:spacing w:line="32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pPr>
              <w:adjustRightInd w:val="0"/>
              <w:snapToGrid w:val="0"/>
              <w:spacing w:line="320" w:lineRule="exact"/>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监狱企业</w:t>
            </w:r>
          </w:p>
          <w:p>
            <w:pPr>
              <w:adjustRightInd w:val="0"/>
              <w:snapToGrid w:val="0"/>
              <w:spacing w:line="32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pPr>
              <w:adjustRightInd w:val="0"/>
              <w:snapToGrid w:val="0"/>
              <w:spacing w:line="320" w:lineRule="exac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二、针对本项目的相关规定</w:t>
            </w:r>
          </w:p>
          <w:p>
            <w:pPr>
              <w:adjustRightInd w:val="0"/>
              <w:snapToGrid w:val="0"/>
              <w:spacing w:line="320" w:lineRule="exact"/>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1.</w:t>
            </w:r>
            <w:r>
              <w:rPr>
                <w:rFonts w:hint="eastAsia" w:ascii="宋体" w:hAnsi="宋体" w:eastAsia="宋体" w:cs="宋体"/>
                <w:b/>
                <w:bCs/>
                <w:szCs w:val="21"/>
                <w:highlight w:val="none"/>
              </w:rPr>
              <w:t>本项目属于预留份额专门面向中小企业采购的项目。</w:t>
            </w:r>
          </w:p>
          <w:p>
            <w:pPr>
              <w:spacing w:line="460" w:lineRule="exact"/>
              <w:ind w:firstLine="422" w:firstLineChars="200"/>
              <w:rPr>
                <w:rFonts w:hint="eastAsia" w:ascii="宋体" w:hAnsi="宋体" w:eastAsia="宋体" w:cs="宋体"/>
                <w:szCs w:val="21"/>
                <w:highlight w:val="none"/>
              </w:rPr>
            </w:pPr>
            <w:r>
              <w:rPr>
                <w:rFonts w:hint="eastAsia" w:ascii="宋体" w:hAnsi="宋体" w:eastAsia="宋体" w:cs="宋体"/>
                <w:b/>
                <w:bCs/>
                <w:color w:val="000000"/>
                <w:szCs w:val="21"/>
                <w:highlight w:val="none"/>
              </w:rPr>
              <w:t>2.本项目采购标的对应的中小企业计划分标准所属行业为：</w:t>
            </w:r>
            <w:r>
              <w:rPr>
                <w:rFonts w:hint="eastAsia" w:ascii="宋体" w:hAnsi="宋体" w:eastAsia="宋体" w:cs="宋体"/>
                <w:b/>
                <w:bCs/>
                <w:strike w:val="0"/>
                <w:szCs w:val="21"/>
                <w:highlight w:val="none"/>
              </w:rPr>
              <w:t>“</w:t>
            </w:r>
            <w:r>
              <w:rPr>
                <w:rFonts w:hint="eastAsia" w:ascii="宋体" w:hAnsi="宋体" w:cs="宋体"/>
                <w:b/>
                <w:bCs/>
                <w:strike w:val="0"/>
                <w:color w:val="000000"/>
                <w:sz w:val="21"/>
                <w:szCs w:val="21"/>
                <w:highlight w:val="none"/>
                <w:lang w:eastAsia="zh-CN"/>
              </w:rPr>
              <w:t>其他未列明行业</w:t>
            </w:r>
            <w:r>
              <w:rPr>
                <w:rFonts w:hint="eastAsia" w:ascii="宋体" w:hAnsi="宋体" w:eastAsia="宋体" w:cs="宋体"/>
                <w:b/>
                <w:bCs/>
                <w:strike w:val="0"/>
                <w:szCs w:val="21"/>
                <w:highlight w:val="none"/>
              </w:rPr>
              <w:t>”</w:t>
            </w:r>
            <w:r>
              <w:rPr>
                <w:rFonts w:hint="eastAsia" w:ascii="宋体" w:hAnsi="宋体" w:eastAsia="宋体" w:cs="宋体"/>
                <w:b/>
                <w:bCs/>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25</w:t>
            </w:r>
          </w:p>
        </w:tc>
        <w:tc>
          <w:tcPr>
            <w:tcW w:w="8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hint="eastAsia" w:ascii="宋体" w:hAnsi="宋体" w:eastAsia="宋体" w:cs="宋体"/>
                <w:szCs w:val="21"/>
                <w:highlight w:val="none"/>
              </w:rPr>
            </w:pPr>
            <w:r>
              <w:rPr>
                <w:rFonts w:hint="eastAsia" w:ascii="宋体" w:hAnsi="宋体" w:eastAsia="宋体" w:cs="宋体"/>
                <w:szCs w:val="21"/>
                <w:highlight w:val="none"/>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26</w:t>
            </w:r>
          </w:p>
        </w:tc>
        <w:tc>
          <w:tcPr>
            <w:tcW w:w="8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金融支持</w:t>
            </w:r>
            <w:r>
              <w:rPr>
                <w:rFonts w:hint="eastAsia" w:ascii="宋体" w:hAnsi="宋体" w:eastAsia="宋体" w:cs="宋体"/>
                <w:szCs w:val="21"/>
                <w:highlight w:val="none"/>
                <w:lang w:eastAsia="zh-CN"/>
              </w:rPr>
              <w:t>：</w:t>
            </w:r>
          </w:p>
          <w:p>
            <w:pPr>
              <w:snapToGrid w:val="0"/>
              <w:spacing w:line="440" w:lineRule="exact"/>
              <w:rPr>
                <w:rFonts w:hint="eastAsia" w:ascii="宋体" w:hAnsi="宋体" w:eastAsia="宋体" w:cs="宋体"/>
                <w:szCs w:val="21"/>
                <w:highlight w:val="none"/>
              </w:rPr>
            </w:pPr>
            <w:r>
              <w:rPr>
                <w:rFonts w:hint="eastAsia" w:ascii="宋体" w:hAnsi="宋体" w:eastAsia="宋体" w:cs="宋体"/>
                <w:szCs w:val="21"/>
                <w:highlight w:val="none"/>
              </w:rPr>
              <w:t>为支持和促进中小企业发展，进一步发挥政府采购政策功能，浙江省财政厅出台浙财采监〔2022〕3号文件，企业若有融资意向，可通过政采云平台或其他渠道进行咨询。</w:t>
            </w:r>
          </w:p>
          <w:p>
            <w:pPr>
              <w:snapToGrid w:val="0"/>
              <w:spacing w:line="440" w:lineRule="exact"/>
              <w:rPr>
                <w:rFonts w:hint="eastAsia" w:ascii="宋体" w:hAnsi="宋体" w:eastAsia="宋体" w:cs="宋体"/>
                <w:szCs w:val="21"/>
                <w:highlight w:val="none"/>
              </w:rPr>
            </w:pPr>
            <w:r>
              <w:rPr>
                <w:rFonts w:hint="eastAsia" w:ascii="宋体" w:hAnsi="宋体" w:eastAsia="宋体" w:cs="宋体"/>
                <w:szCs w:val="21"/>
                <w:highlight w:val="none"/>
              </w:rPr>
              <w:t>政采云平台融资服务（https://jinrong.zcygov.cn/finance-service/#/home)，可查看相应融资政策文件及各相关银行服务方案。</w:t>
            </w:r>
          </w:p>
        </w:tc>
      </w:tr>
    </w:tbl>
    <w:p>
      <w:pPr>
        <w:pStyle w:val="18"/>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b/>
          <w:sz w:val="28"/>
          <w:szCs w:val="28"/>
          <w:highlight w:val="none"/>
        </w:rPr>
      </w:pPr>
      <w:r>
        <w:rPr>
          <w:rFonts w:hint="eastAsia" w:ascii="宋体" w:hAnsi="宋体" w:eastAsia="宋体" w:cs="宋体"/>
          <w:szCs w:val="21"/>
          <w:highlight w:val="none"/>
        </w:rPr>
        <w:br w:type="page"/>
      </w:r>
      <w:r>
        <w:rPr>
          <w:rFonts w:hint="eastAsia" w:ascii="宋体" w:hAnsi="宋体" w:eastAsia="宋体" w:cs="宋体"/>
          <w:b/>
          <w:sz w:val="28"/>
          <w:szCs w:val="28"/>
          <w:highlight w:val="none"/>
        </w:rPr>
        <w:t>一、总  则</w:t>
      </w:r>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outlineLvl w:val="1"/>
        <w:rPr>
          <w:rFonts w:hint="eastAsia" w:ascii="宋体" w:hAnsi="宋体" w:eastAsia="宋体" w:cs="宋体"/>
          <w:b/>
          <w:szCs w:val="21"/>
          <w:highlight w:val="none"/>
        </w:rPr>
      </w:pPr>
      <w:bookmarkStart w:id="27" w:name="_Toc33535346"/>
      <w:r>
        <w:rPr>
          <w:rFonts w:hint="eastAsia" w:ascii="宋体" w:hAnsi="宋体" w:eastAsia="宋体" w:cs="宋体"/>
          <w:b/>
          <w:szCs w:val="21"/>
          <w:highlight w:val="none"/>
        </w:rPr>
        <w:t>（一）适用范围</w:t>
      </w:r>
      <w:bookmarkEnd w:id="27"/>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本招标文件适用于本项目的招标、投标、评标、定标、验收、合同履约、付款等行为（法律、法规另有规定的，从其规定）。</w:t>
      </w:r>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outlineLvl w:val="1"/>
        <w:rPr>
          <w:rFonts w:hint="eastAsia" w:ascii="宋体" w:hAnsi="宋体" w:eastAsia="宋体" w:cs="宋体"/>
          <w:b/>
          <w:szCs w:val="21"/>
          <w:highlight w:val="none"/>
        </w:rPr>
      </w:pPr>
      <w:bookmarkStart w:id="28" w:name="_Toc33535347"/>
      <w:r>
        <w:rPr>
          <w:rFonts w:hint="eastAsia" w:ascii="宋体" w:hAnsi="宋体" w:eastAsia="宋体" w:cs="宋体"/>
          <w:b/>
          <w:szCs w:val="21"/>
          <w:highlight w:val="none"/>
        </w:rPr>
        <w:t>（二）定义</w:t>
      </w:r>
      <w:bookmarkEnd w:id="28"/>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1、招标采购人：系指组织本次招标的代理机构或采购人。</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2、“供应商”系指向招标方提交投标文件的单位或个人。</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3、“产品”系指供方按招标文件规定，须向采购人提供的一切设备、保险、税金、备品备件、工具、手册及其它有关技术资料和材料。</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4、“服务”系指招标文件规定供应商须承担的安装、调试、技术协助、校准、培训、技术指导以及其他类似的义务。</w:t>
      </w:r>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rPr>
          <w:rFonts w:hint="eastAsia" w:ascii="宋体" w:hAnsi="宋体" w:eastAsia="宋体" w:cs="宋体"/>
          <w:b/>
          <w:bCs/>
          <w:szCs w:val="21"/>
          <w:highlight w:val="none"/>
          <w:u w:val="single"/>
        </w:rPr>
      </w:pPr>
      <w:r>
        <w:rPr>
          <w:rFonts w:hint="eastAsia" w:ascii="宋体" w:hAnsi="宋体" w:eastAsia="宋体" w:cs="宋体"/>
          <w:b/>
          <w:bCs/>
          <w:szCs w:val="21"/>
          <w:highlight w:val="none"/>
          <w:u w:val="single"/>
          <w:lang w:eastAsia="zh-CN"/>
        </w:rPr>
        <w:t>本项目</w:t>
      </w:r>
      <w:r>
        <w:rPr>
          <w:rFonts w:hint="eastAsia" w:ascii="宋体" w:hAnsi="宋体" w:eastAsia="宋体" w:cs="宋体"/>
          <w:b/>
          <w:bCs/>
          <w:szCs w:val="21"/>
          <w:highlight w:val="none"/>
          <w:u w:val="single"/>
        </w:rPr>
        <w:t>“服务”系指招标文件规定投标单位向采购人</w:t>
      </w:r>
      <w:r>
        <w:rPr>
          <w:rFonts w:hint="eastAsia" w:ascii="宋体" w:hAnsi="宋体" w:eastAsia="宋体" w:cs="宋体"/>
          <w:b/>
          <w:bCs/>
          <w:szCs w:val="21"/>
          <w:highlight w:val="none"/>
          <w:u w:val="single"/>
          <w:lang w:eastAsia="zh-CN"/>
        </w:rPr>
        <w:t>提供塘汇街道2023年河道保洁及养护项目及其他相关技术支持</w:t>
      </w:r>
      <w:r>
        <w:rPr>
          <w:rFonts w:hint="eastAsia" w:ascii="宋体" w:hAnsi="宋体" w:eastAsia="宋体" w:cs="宋体"/>
          <w:b/>
          <w:bCs/>
          <w:szCs w:val="21"/>
          <w:highlight w:val="none"/>
          <w:u w:val="single"/>
        </w:rPr>
        <w:t>。</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5、“项目”系指供应商按招标文件规定向采购人提供的产品和服务。</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6、“书面形式”包括信函、传真、电报等。</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7、“▲”系指实质性要求条款，不满足实质性要求条款的投标文件无效。“★”系指核心产品。</w:t>
      </w:r>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outlineLvl w:val="1"/>
        <w:rPr>
          <w:rFonts w:hint="eastAsia" w:ascii="宋体" w:hAnsi="宋体" w:eastAsia="宋体" w:cs="宋体"/>
          <w:b/>
          <w:szCs w:val="21"/>
          <w:highlight w:val="none"/>
        </w:rPr>
      </w:pPr>
      <w:bookmarkStart w:id="29" w:name="_Toc33535348"/>
      <w:r>
        <w:rPr>
          <w:rFonts w:hint="eastAsia" w:ascii="宋体" w:hAnsi="宋体" w:eastAsia="宋体" w:cs="宋体"/>
          <w:b/>
          <w:szCs w:val="21"/>
          <w:highlight w:val="none"/>
        </w:rPr>
        <w:t>（三）采购方式</w:t>
      </w:r>
      <w:bookmarkEnd w:id="29"/>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本项目采用</w:t>
      </w:r>
      <w:r>
        <w:rPr>
          <w:rFonts w:hint="eastAsia" w:ascii="宋体" w:hAnsi="宋体" w:cs="宋体"/>
          <w:szCs w:val="21"/>
          <w:highlight w:val="none"/>
          <w:u w:val="single"/>
          <w:lang w:eastAsia="zh-CN"/>
        </w:rPr>
        <w:t>竞争性磋商</w:t>
      </w:r>
      <w:r>
        <w:rPr>
          <w:rFonts w:hint="eastAsia" w:ascii="宋体" w:hAnsi="宋体" w:eastAsia="宋体" w:cs="宋体"/>
          <w:szCs w:val="21"/>
          <w:highlight w:val="none"/>
        </w:rPr>
        <w:t>方式进行。</w:t>
      </w:r>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outlineLvl w:val="1"/>
        <w:rPr>
          <w:rFonts w:hint="eastAsia" w:ascii="宋体" w:hAnsi="宋体" w:eastAsia="宋体" w:cs="宋体"/>
          <w:b/>
          <w:szCs w:val="21"/>
          <w:highlight w:val="none"/>
        </w:rPr>
      </w:pPr>
      <w:bookmarkStart w:id="30" w:name="_Toc33535350"/>
      <w:r>
        <w:rPr>
          <w:rFonts w:hint="eastAsia" w:ascii="宋体" w:hAnsi="宋体" w:eastAsia="宋体" w:cs="宋体"/>
          <w:b/>
          <w:szCs w:val="21"/>
          <w:highlight w:val="none"/>
        </w:rPr>
        <w:t>（四）投标费用</w:t>
      </w:r>
      <w:bookmarkEnd w:id="30"/>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不论投标结果如何，供应商均应自行承担所有与投标有关的全部费用。（招标文件有相反规定除外）</w:t>
      </w:r>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（五）联合体投标</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本项目不允许联合体投标。</w:t>
      </w:r>
    </w:p>
    <w:p>
      <w:pPr>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kern w:val="0"/>
          <w:szCs w:val="21"/>
          <w:highlight w:val="none"/>
        </w:rPr>
      </w:pPr>
      <w:r>
        <w:rPr>
          <w:rFonts w:hint="eastAsia" w:ascii="宋体" w:hAnsi="宋体" w:eastAsia="宋体" w:cs="宋体"/>
          <w:b/>
          <w:szCs w:val="21"/>
          <w:highlight w:val="none"/>
        </w:rPr>
        <w:t>（六）</w:t>
      </w:r>
      <w:r>
        <w:rPr>
          <w:rFonts w:hint="eastAsia" w:ascii="宋体" w:hAnsi="宋体" w:eastAsia="宋体" w:cs="宋体"/>
          <w:b/>
          <w:kern w:val="0"/>
          <w:szCs w:val="21"/>
          <w:highlight w:val="none"/>
        </w:rPr>
        <w:t>转包与分包</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1.本项目不允许转包。</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2.本项目不允许分包。</w:t>
      </w:r>
    </w:p>
    <w:p>
      <w:pPr>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rPr>
        <w:t>（七）是否允许采购进口产品</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outlineLvl w:val="1"/>
        <w:rPr>
          <w:rFonts w:hint="eastAsia" w:ascii="宋体" w:hAnsi="宋体" w:eastAsia="宋体" w:cs="宋体"/>
          <w:kern w:val="0"/>
          <w:szCs w:val="21"/>
          <w:highlight w:val="none"/>
        </w:rPr>
      </w:pPr>
      <w:bookmarkStart w:id="31" w:name="_Toc33535351"/>
      <w:r>
        <w:rPr>
          <w:rFonts w:hint="eastAsia" w:ascii="宋体" w:hAnsi="宋体" w:eastAsia="宋体" w:cs="宋体"/>
          <w:kern w:val="0"/>
          <w:szCs w:val="21"/>
          <w:highlight w:val="none"/>
        </w:rPr>
        <w:t>不允许采购进口产品。</w:t>
      </w:r>
      <w:bookmarkEnd w:id="31"/>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outlineLvl w:val="1"/>
        <w:rPr>
          <w:rFonts w:hint="eastAsia" w:ascii="宋体" w:hAnsi="宋体" w:eastAsia="宋体" w:cs="宋体"/>
          <w:b/>
          <w:szCs w:val="21"/>
          <w:highlight w:val="none"/>
        </w:rPr>
      </w:pPr>
      <w:bookmarkStart w:id="32" w:name="_Toc33535352"/>
      <w:r>
        <w:rPr>
          <w:rFonts w:hint="eastAsia" w:ascii="宋体" w:hAnsi="宋体" w:eastAsia="宋体" w:cs="宋体"/>
          <w:b/>
          <w:szCs w:val="21"/>
          <w:highlight w:val="none"/>
        </w:rPr>
        <w:t>（八）特别说明：</w:t>
      </w:r>
      <w:bookmarkEnd w:id="32"/>
    </w:p>
    <w:p>
      <w:pPr>
        <w:pStyle w:val="30"/>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多家供应商参加投标，如提供相同品牌产品且通过资格审查、符合性审查的不同投标人参加同一合同项下投标的，按一家投标人计算，评审后得分最高的同品牌投标人获得中标人推荐资格；评审得分相同的，取报价最低的同品牌投标人；当报价也相同时，则取技术标最优的同品牌投标人；均相同时，由招标人代表随机抽取方式确定。其他同品牌投标人不作为中标候选人。</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非单一产品采购项目，以带“★”作为核心产品。多家投标人提供的核心产品品牌相同的，按前款规定处理。</w:t>
      </w:r>
    </w:p>
    <w:p>
      <w:pPr>
        <w:pStyle w:val="18"/>
        <w:keepNext w:val="0"/>
        <w:keepLines w:val="0"/>
        <w:pageBreakBefore w:val="0"/>
        <w:kinsoku/>
        <w:wordWrap/>
        <w:overflowPunct/>
        <w:topLinePunct w:val="0"/>
        <w:autoSpaceDE/>
        <w:autoSpaceDN/>
        <w:bidi w:val="0"/>
        <w:adjustRightInd/>
        <w:snapToGrid w:val="0"/>
        <w:spacing w:line="420" w:lineRule="exact"/>
        <w:ind w:left="2" w:leftChars="1"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2、供应商投标所使用的资格、信誉、荣誉、业绩与企业认证必须为本法人所拥有。供应商投标所使用的采购项目实施人员必须为本法人员工（或必须为本法人或控股公司正式员工）。</w:t>
      </w:r>
    </w:p>
    <w:p>
      <w:pPr>
        <w:pStyle w:val="18"/>
        <w:keepNext w:val="0"/>
        <w:keepLines w:val="0"/>
        <w:pageBreakBefore w:val="0"/>
        <w:kinsoku/>
        <w:wordWrap/>
        <w:overflowPunct/>
        <w:topLinePunct w:val="0"/>
        <w:autoSpaceDE/>
        <w:autoSpaceDN/>
        <w:bidi w:val="0"/>
        <w:adjustRightInd/>
        <w:snapToGrid w:val="0"/>
        <w:spacing w:line="420" w:lineRule="exact"/>
        <w:ind w:left="2" w:leftChars="1"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3、供应商应仔细阅读采购文件的所有内容，按照采购文件的要求提交投标文件，并对所提供的全部资料的真实性承担法律责任。</w:t>
      </w:r>
    </w:p>
    <w:p>
      <w:pPr>
        <w:pStyle w:val="18"/>
        <w:keepNext w:val="0"/>
        <w:keepLines w:val="0"/>
        <w:pageBreakBefore w:val="0"/>
        <w:kinsoku/>
        <w:wordWrap/>
        <w:overflowPunct/>
        <w:topLinePunct w:val="0"/>
        <w:autoSpaceDE/>
        <w:autoSpaceDN/>
        <w:bidi w:val="0"/>
        <w:adjustRightInd/>
        <w:snapToGrid w:val="0"/>
        <w:spacing w:line="420" w:lineRule="exact"/>
        <w:ind w:left="2" w:leftChars="1"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pStyle w:val="18"/>
        <w:keepNext w:val="0"/>
        <w:keepLines w:val="0"/>
        <w:pageBreakBefore w:val="0"/>
        <w:kinsoku/>
        <w:wordWrap/>
        <w:overflowPunct/>
        <w:topLinePunct w:val="0"/>
        <w:autoSpaceDE/>
        <w:autoSpaceDN/>
        <w:bidi w:val="0"/>
        <w:adjustRightInd/>
        <w:snapToGrid w:val="0"/>
        <w:spacing w:line="420" w:lineRule="exact"/>
        <w:ind w:firstLine="422" w:firstLineChars="200"/>
        <w:textAlignment w:val="auto"/>
        <w:outlineLvl w:val="1"/>
        <w:rPr>
          <w:rFonts w:hint="eastAsia" w:ascii="宋体" w:hAnsi="宋体" w:eastAsia="宋体" w:cs="宋体"/>
          <w:b/>
          <w:bCs/>
          <w:szCs w:val="21"/>
          <w:highlight w:val="none"/>
        </w:rPr>
      </w:pPr>
      <w:bookmarkStart w:id="33" w:name="_Toc33535353"/>
      <w:r>
        <w:rPr>
          <w:rFonts w:hint="eastAsia" w:ascii="宋体" w:hAnsi="宋体" w:eastAsia="宋体" w:cs="宋体"/>
          <w:b/>
          <w:bCs/>
          <w:szCs w:val="21"/>
          <w:highlight w:val="none"/>
        </w:rPr>
        <w:t>（九）质疑和投诉</w:t>
      </w:r>
      <w:bookmarkEnd w:id="33"/>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1、供应商认为采购文件、采购过程、中标或者成交结果使自己的权益受到损害的，可以在知道或者应知其权益受到损害之日起7个工作日内，以书面形式一次性向采购人、采购代理机构提出针对同一采购程序环节的质疑。质疑供应商对采购人、采购代理机构的答复不满意，或者采购人、采购代理机构未在规定时间内作出答复的，可以在答复期满后15个工作日内向规定的财政部门提起投诉。</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2、供应商须在法定质疑期内一次性提出针对同一采购程序环节的质疑.</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3、供应商认为采购代理机构在质疑答复程序中启用的调查和复评等程序，在该程序操作过程未明显违反法律禁止性规定时，不得提出疑义。</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4、质疑和投诉应当满足《政府采购质疑和投诉办法》（中华人民共和国财政部令第94号）要求。</w:t>
      </w:r>
    </w:p>
    <w:p>
      <w:pPr>
        <w:pStyle w:val="18"/>
        <w:keepNext w:val="0"/>
        <w:keepLines w:val="0"/>
        <w:pageBreakBefore w:val="0"/>
        <w:kinsoku/>
        <w:wordWrap/>
        <w:overflowPunct/>
        <w:topLinePunct w:val="0"/>
        <w:autoSpaceDE/>
        <w:autoSpaceDN/>
        <w:bidi w:val="0"/>
        <w:adjustRightInd/>
        <w:snapToGrid w:val="0"/>
        <w:spacing w:line="420" w:lineRule="exact"/>
        <w:ind w:firstLine="413" w:firstLineChars="196"/>
        <w:jc w:val="center"/>
        <w:textAlignment w:val="auto"/>
        <w:outlineLvl w:val="0"/>
        <w:rPr>
          <w:rFonts w:hint="eastAsia" w:ascii="宋体" w:hAnsi="宋体" w:eastAsia="宋体" w:cs="宋体"/>
          <w:b/>
          <w:szCs w:val="21"/>
          <w:highlight w:val="none"/>
        </w:rPr>
      </w:pPr>
      <w:bookmarkStart w:id="34" w:name="_Toc406402943"/>
      <w:bookmarkStart w:id="35" w:name="_Toc406402987"/>
      <w:bookmarkStart w:id="36" w:name="_Toc33535354"/>
    </w:p>
    <w:p>
      <w:pPr>
        <w:pStyle w:val="18"/>
        <w:keepNext w:val="0"/>
        <w:keepLines w:val="0"/>
        <w:pageBreakBefore w:val="0"/>
        <w:kinsoku/>
        <w:wordWrap/>
        <w:overflowPunct/>
        <w:topLinePunct w:val="0"/>
        <w:autoSpaceDE/>
        <w:autoSpaceDN/>
        <w:bidi w:val="0"/>
        <w:adjustRightInd/>
        <w:snapToGrid w:val="0"/>
        <w:spacing w:line="420" w:lineRule="exact"/>
        <w:ind w:firstLine="551" w:firstLineChars="196"/>
        <w:jc w:val="center"/>
        <w:textAlignment w:val="auto"/>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二、招标文件</w:t>
      </w:r>
      <w:bookmarkEnd w:id="34"/>
      <w:bookmarkEnd w:id="35"/>
      <w:bookmarkEnd w:id="36"/>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（一）招标文件的构成。本招标文件由以下部份组成：</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1、招标公告</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2、招标需求</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3、供应商须知</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4、评标办法及标准</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5、合同主要条款</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6、投标文件格式</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7、本项目招标文件的澄清、答复、修改、补充的内容</w:t>
      </w:r>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（二）供应商的风险</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供应商没有按照招标文件要求提供全部资料，或者供应商没有对招标文件在各方面作出实质性响应是供应商的风险，并可能导致其投标为无效标。</w:t>
      </w:r>
    </w:p>
    <w:p>
      <w:pPr>
        <w:pStyle w:val="6"/>
        <w:keepNext w:val="0"/>
        <w:keepLines w:val="0"/>
        <w:pageBreakBefore w:val="0"/>
        <w:numPr>
          <w:ilvl w:val="0"/>
          <w:numId w:val="0"/>
        </w:numPr>
        <w:tabs>
          <w:tab w:val="left" w:pos="720"/>
        </w:tabs>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rPr>
        <w:t>（三）招标文件的澄清与修改</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bCs/>
          <w:szCs w:val="21"/>
          <w:highlight w:val="none"/>
        </w:rPr>
        <w:t>供应商应认真阅读本招标文件，发现其中有误或有不合理要求的，可要求招标采购人澄清</w:t>
      </w:r>
      <w:r>
        <w:rPr>
          <w:rFonts w:hint="eastAsia" w:ascii="宋体" w:hAnsi="宋体" w:eastAsia="宋体" w:cs="宋体"/>
          <w:szCs w:val="21"/>
          <w:highlight w:val="none"/>
        </w:rPr>
        <w:t>。招标采购人对已发出的招标文件进行必要澄清或者修改的，应当在招标文件要求提交投标文件截止十五日前，在财政部门指定的政府采购信息发布媒体上发布更正公告，并以书面形式通知所有招标文件获取人。</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2、招标文件澄清或者修改的内容为招标文件的组成部分。当招标文件与澄清或者修改就同一内容的表述不一致时，以最后发出的书面文件为准。</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3、对招标文件的澄清、答复、修改或补充都应该通过采购代理机构以法定形式发布，采购人非通过本机构，不得擅自澄清、答复、修改或补充招标文件。</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4、供应商按照招标文件要求投标，即表明其自愿无条件接受招标文件列明的全部内容，无论中标与否，均不得在投标截止日后提出异议。</w:t>
      </w:r>
    </w:p>
    <w:p>
      <w:pPr>
        <w:pStyle w:val="18"/>
        <w:keepNext w:val="0"/>
        <w:keepLines w:val="0"/>
        <w:pageBreakBefore w:val="0"/>
        <w:kinsoku/>
        <w:wordWrap/>
        <w:overflowPunct/>
        <w:topLinePunct w:val="0"/>
        <w:autoSpaceDE/>
        <w:autoSpaceDN/>
        <w:bidi w:val="0"/>
        <w:adjustRightInd/>
        <w:snapToGrid w:val="0"/>
        <w:spacing w:line="420" w:lineRule="exact"/>
        <w:ind w:firstLine="551" w:firstLineChars="196"/>
        <w:jc w:val="center"/>
        <w:textAlignment w:val="auto"/>
        <w:outlineLvl w:val="0"/>
        <w:rPr>
          <w:rFonts w:hint="eastAsia" w:ascii="宋体" w:hAnsi="宋体" w:eastAsia="宋体" w:cs="宋体"/>
          <w:b/>
          <w:sz w:val="28"/>
          <w:szCs w:val="28"/>
          <w:highlight w:val="none"/>
        </w:rPr>
      </w:pPr>
      <w:bookmarkStart w:id="37" w:name="_Toc33535355"/>
    </w:p>
    <w:p>
      <w:pPr>
        <w:pStyle w:val="18"/>
        <w:keepNext w:val="0"/>
        <w:keepLines w:val="0"/>
        <w:pageBreakBefore w:val="0"/>
        <w:kinsoku/>
        <w:wordWrap/>
        <w:overflowPunct/>
        <w:topLinePunct w:val="0"/>
        <w:autoSpaceDE/>
        <w:autoSpaceDN/>
        <w:bidi w:val="0"/>
        <w:adjustRightInd/>
        <w:snapToGrid w:val="0"/>
        <w:spacing w:line="420" w:lineRule="exact"/>
        <w:ind w:firstLine="551" w:firstLineChars="196"/>
        <w:jc w:val="center"/>
        <w:textAlignment w:val="auto"/>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三、投标文件的编制</w:t>
      </w:r>
      <w:bookmarkEnd w:id="37"/>
    </w:p>
    <w:p>
      <w:pPr>
        <w:pStyle w:val="18"/>
        <w:keepNext w:val="0"/>
        <w:keepLines w:val="0"/>
        <w:pageBreakBefore w:val="0"/>
        <w:kinsoku/>
        <w:wordWrap/>
        <w:overflowPunct/>
        <w:topLinePunct w:val="0"/>
        <w:autoSpaceDE/>
        <w:autoSpaceDN/>
        <w:bidi w:val="0"/>
        <w:adjustRightInd/>
        <w:snapToGrid w:val="0"/>
        <w:spacing w:line="420" w:lineRule="exact"/>
        <w:ind w:firstLine="422" w:firstLineChars="200"/>
        <w:textAlignment w:val="auto"/>
        <w:outlineLvl w:val="1"/>
        <w:rPr>
          <w:rFonts w:hint="eastAsia" w:ascii="宋体" w:hAnsi="宋体" w:eastAsia="宋体" w:cs="宋体"/>
          <w:b/>
          <w:szCs w:val="21"/>
          <w:highlight w:val="none"/>
        </w:rPr>
      </w:pPr>
      <w:bookmarkStart w:id="38" w:name="_Toc33535356"/>
      <w:r>
        <w:rPr>
          <w:rFonts w:hint="eastAsia" w:ascii="宋体" w:hAnsi="宋体" w:eastAsia="宋体" w:cs="宋体"/>
          <w:b/>
          <w:szCs w:val="21"/>
          <w:highlight w:val="none"/>
        </w:rPr>
        <w:t>本项目所涉投标文件格式请详见第六章，未给出的格式请自拟。</w:t>
      </w:r>
      <w:bookmarkEnd w:id="38"/>
    </w:p>
    <w:p>
      <w:pPr>
        <w:pStyle w:val="18"/>
        <w:keepNext w:val="0"/>
        <w:keepLines w:val="0"/>
        <w:pageBreakBefore w:val="0"/>
        <w:kinsoku/>
        <w:wordWrap/>
        <w:overflowPunct/>
        <w:topLinePunct w:val="0"/>
        <w:autoSpaceDE/>
        <w:autoSpaceDN/>
        <w:bidi w:val="0"/>
        <w:adjustRightInd/>
        <w:snapToGrid w:val="0"/>
        <w:spacing w:line="420" w:lineRule="exact"/>
        <w:ind w:firstLine="422" w:firstLineChars="200"/>
        <w:textAlignment w:val="auto"/>
        <w:outlineLvl w:val="1"/>
        <w:rPr>
          <w:rFonts w:hint="eastAsia" w:ascii="宋体" w:hAnsi="宋体" w:eastAsia="宋体" w:cs="宋体"/>
          <w:b/>
          <w:szCs w:val="21"/>
          <w:highlight w:val="none"/>
        </w:rPr>
      </w:pPr>
      <w:bookmarkStart w:id="39" w:name="_Toc33535357"/>
      <w:r>
        <w:rPr>
          <w:rFonts w:hint="eastAsia" w:ascii="宋体" w:hAnsi="宋体" w:eastAsia="宋体" w:cs="宋体"/>
          <w:b/>
          <w:szCs w:val="21"/>
          <w:highlight w:val="none"/>
        </w:rPr>
        <w:t>（一）总体要求：</w:t>
      </w:r>
      <w:bookmarkEnd w:id="39"/>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1、供应商应仔细阅读招标文件的所有内容，按本文件的要求提供投标文件，并保证所提供的全部资料的真实性，以使其投标文件对招标文件作出实质性响应，否则，投标文件可能视为无效投标文件。</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2、投标文件及供应商与采购有关的来往通知，函件和文件均应使用中文。</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3、供应商应按本文件中提供的文件格式、内容和要求制作投标文件。</w:t>
      </w:r>
    </w:p>
    <w:p>
      <w:pPr>
        <w:keepNext w:val="0"/>
        <w:keepLines w:val="0"/>
        <w:pageBreakBefore w:val="0"/>
        <w:kinsoku/>
        <w:wordWrap/>
        <w:overflowPunct/>
        <w:topLinePunct w:val="0"/>
        <w:autoSpaceDE/>
        <w:autoSpaceDN/>
        <w:bidi w:val="0"/>
        <w:adjustRightInd/>
        <w:spacing w:line="420" w:lineRule="exact"/>
        <w:ind w:firstLine="422" w:firstLineChars="200"/>
        <w:jc w:val="left"/>
        <w:textAlignment w:val="auto"/>
        <w:rPr>
          <w:rFonts w:hint="eastAsia" w:ascii="宋体" w:hAnsi="宋体" w:eastAsia="宋体" w:cs="宋体"/>
          <w:bCs/>
          <w:szCs w:val="21"/>
          <w:highlight w:val="none"/>
        </w:rPr>
      </w:pPr>
      <w:r>
        <w:rPr>
          <w:rFonts w:hint="eastAsia" w:ascii="宋体" w:hAnsi="宋体" w:eastAsia="宋体" w:cs="宋体"/>
          <w:b/>
          <w:szCs w:val="21"/>
          <w:highlight w:val="none"/>
        </w:rPr>
        <w:t>4、投标文件的效力：投标文件的启用，按先后顺位分别为电子投标文件、电子备份投标文件。</w:t>
      </w:r>
      <w:r>
        <w:rPr>
          <w:rFonts w:hint="eastAsia" w:ascii="宋体" w:hAnsi="宋体" w:eastAsia="宋体" w:cs="宋体"/>
          <w:bCs/>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outlineLvl w:val="0"/>
        <w:rPr>
          <w:rFonts w:hint="eastAsia" w:ascii="宋体" w:hAnsi="宋体" w:eastAsia="宋体" w:cs="宋体"/>
          <w:b/>
          <w:szCs w:val="21"/>
          <w:highlight w:val="none"/>
        </w:rPr>
      </w:pPr>
      <w:bookmarkStart w:id="40" w:name="_Toc406402944"/>
      <w:bookmarkStart w:id="41" w:name="_Toc406402988"/>
      <w:bookmarkStart w:id="42" w:name="_Toc33535358"/>
      <w:r>
        <w:rPr>
          <w:rFonts w:hint="eastAsia" w:ascii="宋体" w:hAnsi="宋体" w:eastAsia="宋体" w:cs="宋体"/>
          <w:b/>
          <w:szCs w:val="21"/>
          <w:highlight w:val="none"/>
        </w:rPr>
        <w:t>（二）投标文件的组成</w:t>
      </w:r>
      <w:bookmarkEnd w:id="40"/>
      <w:bookmarkEnd w:id="41"/>
      <w:bookmarkEnd w:id="42"/>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包括电子投标文件和电子备份投标文件（选送），均由资格文件、商务技术文件及报价文件三部份组成。</w:t>
      </w:r>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rPr>
          <w:rFonts w:hint="eastAsia" w:ascii="宋体" w:hAnsi="宋体" w:eastAsia="宋体" w:cs="宋体"/>
          <w:b/>
          <w:szCs w:val="21"/>
          <w:highlight w:val="none"/>
        </w:rPr>
      </w:pPr>
      <w:bookmarkStart w:id="43" w:name="_Toc402963117"/>
      <w:bookmarkStart w:id="44" w:name="_Toc33535360"/>
      <w:bookmarkStart w:id="45" w:name="_Toc406402990"/>
      <w:bookmarkStart w:id="46" w:name="_Toc385854100"/>
      <w:bookmarkStart w:id="47" w:name="_Toc402963084"/>
      <w:bookmarkStart w:id="48" w:name="_Toc385854146"/>
      <w:bookmarkStart w:id="49" w:name="_Toc406402946"/>
      <w:r>
        <w:rPr>
          <w:rFonts w:hint="eastAsia" w:ascii="宋体" w:hAnsi="宋体" w:eastAsia="宋体" w:cs="宋体"/>
          <w:b/>
          <w:szCs w:val="21"/>
          <w:highlight w:val="none"/>
        </w:rPr>
        <w:t>1、资格文件：</w:t>
      </w:r>
    </w:p>
    <w:p>
      <w:pPr>
        <w:pStyle w:val="19"/>
        <w:snapToGrid w:val="0"/>
        <w:spacing w:line="412" w:lineRule="exact"/>
        <w:ind w:left="-178" w:leftChars="-85" w:firstLine="575" w:firstLineChars="27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（1）投标声明书(格式见附件)；</w:t>
      </w:r>
    </w:p>
    <w:p>
      <w:pPr>
        <w:pStyle w:val="19"/>
        <w:snapToGrid w:val="0"/>
        <w:spacing w:line="412" w:lineRule="exact"/>
        <w:ind w:left="-178" w:leftChars="-85" w:firstLine="575" w:firstLineChars="27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（2）法定代表人授权委托书(格式见附件)；</w:t>
      </w:r>
    </w:p>
    <w:p>
      <w:pPr>
        <w:pStyle w:val="19"/>
        <w:snapToGrid w:val="0"/>
        <w:spacing w:line="412" w:lineRule="exact"/>
        <w:ind w:left="-178" w:leftChars="-85" w:firstLine="575" w:firstLineChars="27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color w:val="auto"/>
          <w:sz w:val="21"/>
          <w:szCs w:val="21"/>
          <w:highlight w:val="none"/>
        </w:rPr>
        <w:t>承诺函</w:t>
      </w:r>
      <w:r>
        <w:rPr>
          <w:rFonts w:hint="eastAsia" w:ascii="宋体" w:hAnsi="宋体" w:eastAsia="宋体" w:cs="宋体"/>
          <w:color w:val="000000"/>
          <w:sz w:val="21"/>
          <w:szCs w:val="21"/>
          <w:highlight w:val="none"/>
        </w:rPr>
        <w:t>(格式见附件)；</w:t>
      </w:r>
    </w:p>
    <w:p>
      <w:pPr>
        <w:pStyle w:val="19"/>
        <w:snapToGrid w:val="0"/>
        <w:spacing w:line="412" w:lineRule="exact"/>
        <w:ind w:left="-178" w:leftChars="-85" w:firstLine="575" w:firstLineChars="274"/>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营业执照；</w:t>
      </w:r>
    </w:p>
    <w:p>
      <w:pPr>
        <w:pStyle w:val="19"/>
        <w:snapToGrid w:val="0"/>
        <w:spacing w:line="412" w:lineRule="exact"/>
        <w:ind w:left="-178" w:leftChars="-85" w:firstLine="575" w:firstLineChars="27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）中小企业</w:t>
      </w:r>
      <w:r>
        <w:rPr>
          <w:rFonts w:hint="eastAsia" w:ascii="宋体" w:hAnsi="宋体" w:eastAsia="宋体" w:cs="宋体"/>
          <w:color w:val="000000"/>
          <w:sz w:val="21"/>
          <w:szCs w:val="21"/>
          <w:highlight w:val="none"/>
        </w:rPr>
        <w:t>声明函（格式见附件）；</w:t>
      </w:r>
    </w:p>
    <w:p>
      <w:pPr>
        <w:pStyle w:val="19"/>
        <w:snapToGrid w:val="0"/>
        <w:spacing w:line="412" w:lineRule="exact"/>
        <w:ind w:left="-178" w:leftChars="-85" w:firstLine="575" w:firstLineChars="27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）残疾人福利性单位声明函（格式见附件）；</w:t>
      </w:r>
    </w:p>
    <w:p>
      <w:pPr>
        <w:pStyle w:val="19"/>
        <w:snapToGrid w:val="0"/>
        <w:spacing w:line="412" w:lineRule="exact"/>
        <w:ind w:left="-178" w:leftChars="-85" w:firstLine="575" w:firstLineChars="27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）监狱企业声明函（格式见附件）。</w:t>
      </w:r>
    </w:p>
    <w:p>
      <w:pPr>
        <w:keepNext w:val="0"/>
        <w:keepLines w:val="0"/>
        <w:pageBreakBefore w:val="0"/>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rPr>
        <w:t>2、商务技术文件：</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（1）投标人情况介绍；</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（2）项目业绩</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如有</w:t>
      </w:r>
      <w:r>
        <w:rPr>
          <w:rFonts w:hint="eastAsia" w:ascii="宋体" w:hAnsi="宋体" w:eastAsia="宋体" w:cs="宋体"/>
          <w:szCs w:val="21"/>
          <w:highlight w:val="none"/>
          <w:lang w:eastAsia="zh-CN"/>
        </w:rPr>
        <w:t>）</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（3）实施方案</w:t>
      </w:r>
      <w:r>
        <w:rPr>
          <w:rFonts w:hint="eastAsia" w:ascii="宋体" w:hAnsi="宋体" w:eastAsia="宋体" w:cs="宋体"/>
          <w:szCs w:val="21"/>
          <w:highlight w:val="none"/>
          <w:lang w:eastAsia="zh-CN"/>
        </w:rPr>
        <w:t>（</w:t>
      </w:r>
      <w:r>
        <w:rPr>
          <w:rFonts w:hint="eastAsia" w:ascii="宋体" w:hAnsi="宋体" w:eastAsia="宋体" w:cs="宋体"/>
          <w:szCs w:val="21"/>
          <w:highlight w:val="none"/>
        </w:rPr>
        <w:t>对本项目总体要求的理解</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现状分析、解决方案等</w:t>
      </w:r>
      <w:r>
        <w:rPr>
          <w:rFonts w:hint="eastAsia" w:ascii="宋体" w:hAnsi="宋体" w:eastAsia="宋体" w:cs="宋体"/>
          <w:szCs w:val="21"/>
          <w:highlight w:val="none"/>
          <w:lang w:eastAsia="zh-CN"/>
        </w:rPr>
        <w:t>）；</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cs="宋体"/>
          <w:szCs w:val="21"/>
          <w:highlight w:val="none"/>
          <w:lang w:val="en-US" w:eastAsia="zh-CN"/>
        </w:rPr>
        <w:t>技术</w:t>
      </w:r>
      <w:r>
        <w:rPr>
          <w:rFonts w:hint="eastAsia" w:ascii="宋体" w:hAnsi="宋体" w:eastAsia="宋体" w:cs="宋体"/>
          <w:szCs w:val="21"/>
          <w:highlight w:val="none"/>
        </w:rPr>
        <w:t>培训、服务</w:t>
      </w:r>
      <w:r>
        <w:rPr>
          <w:rFonts w:hint="eastAsia" w:ascii="宋体" w:hAnsi="宋体" w:cs="宋体"/>
          <w:szCs w:val="21"/>
          <w:highlight w:val="none"/>
          <w:lang w:val="en-US" w:eastAsia="zh-CN"/>
        </w:rPr>
        <w:t>质量保障/</w:t>
      </w:r>
      <w:r>
        <w:rPr>
          <w:rFonts w:hint="eastAsia" w:ascii="宋体" w:hAnsi="宋体" w:eastAsia="宋体" w:cs="宋体"/>
          <w:szCs w:val="21"/>
          <w:highlight w:val="none"/>
          <w:lang w:val="en-US" w:eastAsia="zh-CN"/>
        </w:rPr>
        <w:t>承诺</w:t>
      </w:r>
      <w:r>
        <w:rPr>
          <w:rFonts w:hint="eastAsia" w:ascii="宋体" w:hAnsi="宋体" w:eastAsia="宋体" w:cs="宋体"/>
          <w:szCs w:val="21"/>
          <w:highlight w:val="none"/>
        </w:rPr>
        <w:t>的内容和应急预案</w:t>
      </w:r>
      <w:r>
        <w:rPr>
          <w:rFonts w:hint="eastAsia" w:ascii="宋体" w:hAnsi="宋体" w:eastAsia="宋体" w:cs="宋体"/>
          <w:szCs w:val="21"/>
          <w:highlight w:val="none"/>
          <w:lang w:val="en-US" w:eastAsia="zh-CN"/>
        </w:rPr>
        <w:t>采取的</w:t>
      </w:r>
      <w:r>
        <w:rPr>
          <w:rFonts w:hint="eastAsia" w:ascii="宋体" w:hAnsi="宋体" w:eastAsia="宋体" w:cs="宋体"/>
          <w:szCs w:val="21"/>
          <w:highlight w:val="none"/>
        </w:rPr>
        <w:t>措施</w:t>
      </w:r>
      <w:r>
        <w:rPr>
          <w:rFonts w:hint="eastAsia" w:ascii="宋体" w:hAnsi="宋体" w:eastAsia="宋体" w:cs="宋体"/>
          <w:szCs w:val="21"/>
          <w:highlight w:val="none"/>
          <w:lang w:val="en-US" w:eastAsia="zh-CN"/>
        </w:rPr>
        <w:t>等</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）项目实施人员一览表（格式见附件）；</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）投标人承诺给予采购人的</w:t>
      </w:r>
      <w:r>
        <w:rPr>
          <w:rFonts w:hint="eastAsia" w:ascii="宋体" w:hAnsi="宋体" w:eastAsia="宋体" w:cs="宋体"/>
          <w:szCs w:val="21"/>
          <w:highlight w:val="none"/>
          <w:lang w:val="en-US" w:eastAsia="zh-CN"/>
        </w:rPr>
        <w:t>合理化建议、</w:t>
      </w:r>
      <w:r>
        <w:rPr>
          <w:rFonts w:hint="eastAsia" w:ascii="宋体" w:hAnsi="宋体" w:eastAsia="宋体" w:cs="宋体"/>
          <w:szCs w:val="21"/>
          <w:highlight w:val="none"/>
        </w:rPr>
        <w:t>各种优惠条件；</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）技术</w:t>
      </w:r>
      <w:r>
        <w:rPr>
          <w:rFonts w:hint="eastAsia" w:ascii="宋体" w:hAnsi="宋体" w:eastAsia="宋体" w:cs="宋体"/>
          <w:szCs w:val="21"/>
          <w:highlight w:val="none"/>
          <w:lang w:val="en-US" w:eastAsia="zh-CN"/>
        </w:rPr>
        <w:t>/商务</w:t>
      </w:r>
      <w:r>
        <w:rPr>
          <w:rFonts w:hint="eastAsia" w:ascii="宋体" w:hAnsi="宋体" w:eastAsia="宋体" w:cs="宋体"/>
          <w:szCs w:val="21"/>
          <w:highlight w:val="none"/>
        </w:rPr>
        <w:t>响应表（格式见附件）；</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）具有履行合同所必需的专业服务（技术）能力的承诺函（格式见附件）；</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）投标人需要说明的其他内容（未尽事宜可按评分细则部分制作）。</w:t>
      </w:r>
    </w:p>
    <w:p>
      <w:pPr>
        <w:keepNext w:val="0"/>
        <w:keepLines w:val="0"/>
        <w:pageBreakBefore w:val="0"/>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rPr>
        <w:t>3、投标报价文件：</w:t>
      </w:r>
    </w:p>
    <w:p>
      <w:pPr>
        <w:keepNext w:val="0"/>
        <w:keepLines w:val="0"/>
        <w:pageBreakBefore w:val="0"/>
        <w:tabs>
          <w:tab w:val="left" w:pos="3870"/>
          <w:tab w:val="left" w:pos="4085"/>
        </w:tabs>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（1）投标函（格式见附件）；</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（2）开标一览表（格式见附件）。</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 xml:space="preserve">）报价明细表； </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）投标人需要说明的其他文件和说明（格式自拟）。</w:t>
      </w:r>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outlineLvl w:val="0"/>
        <w:rPr>
          <w:rFonts w:hint="eastAsia" w:ascii="宋体" w:hAnsi="宋体" w:eastAsia="宋体" w:cs="宋体"/>
          <w:b/>
          <w:szCs w:val="21"/>
          <w:highlight w:val="none"/>
        </w:rPr>
      </w:pPr>
      <w:r>
        <w:rPr>
          <w:rFonts w:hint="eastAsia" w:ascii="宋体" w:hAnsi="宋体" w:eastAsia="宋体" w:cs="宋体"/>
          <w:b/>
          <w:szCs w:val="21"/>
          <w:highlight w:val="none"/>
        </w:rPr>
        <w:t>（三）投标文件的语言及计量</w:t>
      </w:r>
      <w:bookmarkEnd w:id="43"/>
      <w:bookmarkEnd w:id="44"/>
      <w:bookmarkEnd w:id="45"/>
      <w:bookmarkEnd w:id="46"/>
      <w:bookmarkEnd w:id="47"/>
      <w:bookmarkEnd w:id="48"/>
      <w:bookmarkEnd w:id="49"/>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outlineLvl w:val="0"/>
        <w:rPr>
          <w:rFonts w:hint="eastAsia" w:ascii="宋体" w:hAnsi="宋体" w:eastAsia="宋体" w:cs="宋体"/>
          <w:b/>
          <w:szCs w:val="21"/>
          <w:highlight w:val="none"/>
        </w:rPr>
      </w:pPr>
      <w:bookmarkStart w:id="50" w:name="_Toc33535361"/>
      <w:bookmarkStart w:id="51" w:name="_Toc406402947"/>
      <w:bookmarkStart w:id="52" w:name="_Toc406402991"/>
      <w:bookmarkStart w:id="53" w:name="_Toc402963118"/>
      <w:bookmarkStart w:id="54" w:name="_Toc385854101"/>
      <w:bookmarkStart w:id="55" w:name="_Toc385854147"/>
      <w:bookmarkStart w:id="56" w:name="_Toc402963085"/>
      <w:r>
        <w:rPr>
          <w:rFonts w:hint="eastAsia" w:ascii="宋体" w:hAnsi="宋体" w:eastAsia="宋体" w:cs="宋体"/>
          <w:b/>
          <w:szCs w:val="21"/>
          <w:highlight w:val="none"/>
        </w:rPr>
        <w:t>（四）投标报价</w:t>
      </w:r>
      <w:bookmarkEnd w:id="50"/>
      <w:bookmarkEnd w:id="51"/>
      <w:bookmarkEnd w:id="52"/>
      <w:bookmarkEnd w:id="53"/>
      <w:bookmarkEnd w:id="54"/>
      <w:bookmarkEnd w:id="55"/>
      <w:bookmarkEnd w:id="56"/>
    </w:p>
    <w:p>
      <w:pPr>
        <w:pStyle w:val="18"/>
        <w:keepNext w:val="0"/>
        <w:keepLines w:val="0"/>
        <w:pageBreakBefore w:val="0"/>
        <w:kinsoku/>
        <w:wordWrap/>
        <w:overflowPunct/>
        <w:topLinePunct w:val="0"/>
        <w:autoSpaceDE/>
        <w:autoSpaceDN/>
        <w:bidi w:val="0"/>
        <w:adjustRightInd/>
        <w:snapToGrid w:val="0"/>
        <w:spacing w:line="420" w:lineRule="exact"/>
        <w:ind w:firstLine="630" w:firstLineChars="3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1、投标报价应按招标文件中相关附表格式填写。</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b/>
          <w:bCs/>
          <w:szCs w:val="21"/>
          <w:highlight w:val="none"/>
          <w:lang w:val="en-US" w:eastAsia="zh-CN"/>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w:t>
      </w:r>
      <w:r>
        <w:rPr>
          <w:rFonts w:hint="eastAsia" w:ascii="宋体" w:hAnsi="宋体" w:eastAsia="宋体" w:cs="宋体"/>
          <w:b/>
          <w:bCs/>
          <w:szCs w:val="21"/>
          <w:highlight w:val="none"/>
          <w:lang w:val="en-US" w:eastAsia="zh-CN"/>
        </w:rPr>
        <w:t>除非合同中另有规定，投标人报价应按照一年的总承包费用报价，并采用固定总价承包。投标报价应包括一切人员工资、奖金、各种社会保险（基本养老保险、基本医疗保险、工伤保险、失业保险，包含但不仅限于以上内容）、高温费、意外险、公积金、各项补贴、管理费（包括项目负责人费用支出等）、人员管理服务费、餐费、税费、利润等完成合同所需的一切本身和不可或缺的所有工作开支、政策性文件规定及合同包含的所有风险、责任等各项全部费用并承担一切风险责任。</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val="en-US" w:eastAsia="zh-CN"/>
        </w:rPr>
        <w:t>、</w:t>
      </w:r>
      <w:r>
        <w:rPr>
          <w:rFonts w:hint="eastAsia" w:ascii="宋体" w:hAnsi="宋体" w:eastAsia="宋体" w:cs="宋体"/>
          <w:color w:val="auto"/>
          <w:szCs w:val="21"/>
          <w:highlight w:val="none"/>
        </w:rPr>
        <w:t>投标文件只允许有一个报价，有选择的或有条件的报价将不予接受。</w:t>
      </w:r>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outlineLvl w:val="0"/>
        <w:rPr>
          <w:rFonts w:hint="eastAsia" w:ascii="宋体" w:hAnsi="宋体" w:eastAsia="宋体" w:cs="宋体"/>
          <w:b/>
          <w:szCs w:val="21"/>
          <w:highlight w:val="none"/>
        </w:rPr>
      </w:pPr>
      <w:r>
        <w:rPr>
          <w:rFonts w:hint="eastAsia" w:ascii="宋体" w:hAnsi="宋体" w:eastAsia="宋体" w:cs="宋体"/>
          <w:b/>
          <w:szCs w:val="21"/>
          <w:highlight w:val="none"/>
        </w:rPr>
        <w:t>（五）投标文件的有效期</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outlineLvl w:val="0"/>
        <w:rPr>
          <w:rFonts w:hint="eastAsia" w:ascii="宋体" w:hAnsi="宋体" w:eastAsia="宋体" w:cs="宋体"/>
          <w:szCs w:val="21"/>
          <w:highlight w:val="none"/>
        </w:rPr>
      </w:pPr>
      <w:r>
        <w:rPr>
          <w:rFonts w:hint="eastAsia" w:ascii="宋体" w:hAnsi="宋体" w:eastAsia="宋体" w:cs="宋体"/>
          <w:szCs w:val="21"/>
          <w:highlight w:val="none"/>
        </w:rPr>
        <w:t>1、自投标截止日起60天投标文件应保持有效。有效期不足的投标文件将被拒绝。</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outlineLvl w:val="0"/>
        <w:rPr>
          <w:rFonts w:hint="eastAsia" w:ascii="宋体" w:hAnsi="宋体" w:eastAsia="宋体" w:cs="宋体"/>
          <w:szCs w:val="21"/>
          <w:highlight w:val="none"/>
        </w:rPr>
      </w:pPr>
      <w:r>
        <w:rPr>
          <w:rFonts w:hint="eastAsia" w:ascii="宋体" w:hAnsi="宋体" w:eastAsia="宋体" w:cs="宋体"/>
          <w:szCs w:val="21"/>
          <w:highlight w:val="none"/>
        </w:rPr>
        <w:t>2、在特殊情况下，采购人可与供应商协商延长投标书的有效期，这种要求和答复均以书面形式进行。</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outlineLvl w:val="0"/>
        <w:rPr>
          <w:rFonts w:hint="eastAsia" w:ascii="宋体" w:hAnsi="宋体" w:eastAsia="宋体" w:cs="宋体"/>
          <w:b/>
          <w:szCs w:val="21"/>
          <w:highlight w:val="none"/>
        </w:rPr>
      </w:pPr>
      <w:bookmarkStart w:id="57" w:name="_Toc402963119"/>
      <w:bookmarkStart w:id="58" w:name="_Toc406402992"/>
      <w:bookmarkStart w:id="59" w:name="_Toc33535362"/>
      <w:bookmarkStart w:id="60" w:name="_Toc402963086"/>
      <w:bookmarkStart w:id="61" w:name="_Toc385854148"/>
      <w:bookmarkStart w:id="62" w:name="_Toc385854102"/>
      <w:bookmarkStart w:id="63" w:name="_Toc406402948"/>
      <w:r>
        <w:rPr>
          <w:rFonts w:hint="eastAsia" w:ascii="宋体" w:hAnsi="宋体" w:eastAsia="宋体" w:cs="宋体"/>
          <w:szCs w:val="21"/>
          <w:highlight w:val="none"/>
        </w:rPr>
        <w:t>3、供应商可拒绝接受延期要求。同意延长有效期的供应商不能修改投标文件。</w:t>
      </w:r>
      <w:bookmarkEnd w:id="57"/>
      <w:bookmarkEnd w:id="58"/>
      <w:bookmarkEnd w:id="59"/>
      <w:bookmarkEnd w:id="60"/>
      <w:bookmarkEnd w:id="61"/>
      <w:bookmarkEnd w:id="62"/>
      <w:bookmarkEnd w:id="63"/>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outlineLvl w:val="0"/>
        <w:rPr>
          <w:rFonts w:hint="eastAsia" w:ascii="宋体" w:hAnsi="宋体" w:eastAsia="宋体" w:cs="宋体"/>
          <w:b/>
          <w:szCs w:val="21"/>
          <w:highlight w:val="none"/>
        </w:rPr>
      </w:pPr>
      <w:bookmarkStart w:id="64" w:name="_Toc402963087"/>
      <w:bookmarkStart w:id="65" w:name="_Toc402963120"/>
      <w:bookmarkStart w:id="66" w:name="_Toc406402993"/>
      <w:bookmarkStart w:id="67" w:name="_Toc385854149"/>
      <w:bookmarkStart w:id="68" w:name="_Toc385854103"/>
      <w:bookmarkStart w:id="69" w:name="_Toc33535363"/>
      <w:bookmarkStart w:id="70" w:name="_Toc406402949"/>
      <w:r>
        <w:rPr>
          <w:rFonts w:hint="eastAsia" w:ascii="宋体" w:hAnsi="宋体" w:eastAsia="宋体" w:cs="宋体"/>
          <w:szCs w:val="21"/>
          <w:highlight w:val="none"/>
        </w:rPr>
        <w:t>4、中标人的投标文件自开标之日起至合同履行完毕止均应保持有效。</w:t>
      </w:r>
      <w:bookmarkEnd w:id="64"/>
      <w:bookmarkEnd w:id="65"/>
      <w:bookmarkEnd w:id="66"/>
      <w:bookmarkEnd w:id="67"/>
      <w:bookmarkEnd w:id="68"/>
      <w:bookmarkEnd w:id="69"/>
      <w:bookmarkEnd w:id="70"/>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outlineLvl w:val="0"/>
        <w:rPr>
          <w:rFonts w:hint="eastAsia" w:ascii="宋体" w:hAnsi="宋体" w:eastAsia="宋体" w:cs="宋体"/>
          <w:b/>
          <w:szCs w:val="21"/>
          <w:highlight w:val="none"/>
        </w:rPr>
      </w:pPr>
      <w:bookmarkStart w:id="71" w:name="_Toc406402995"/>
      <w:bookmarkStart w:id="72" w:name="_Toc385854105"/>
      <w:bookmarkStart w:id="73" w:name="_Toc33535364"/>
      <w:bookmarkStart w:id="74" w:name="_Toc385854151"/>
      <w:bookmarkStart w:id="75" w:name="_Toc402963122"/>
      <w:bookmarkStart w:id="76" w:name="_Toc406402951"/>
      <w:bookmarkStart w:id="77" w:name="_Toc402963089"/>
      <w:r>
        <w:rPr>
          <w:rFonts w:hint="eastAsia" w:ascii="宋体" w:hAnsi="宋体" w:eastAsia="宋体" w:cs="宋体"/>
          <w:b/>
          <w:szCs w:val="21"/>
          <w:highlight w:val="none"/>
        </w:rPr>
        <w:t>（六）投标文件的签署和份数</w:t>
      </w:r>
      <w:bookmarkEnd w:id="71"/>
      <w:bookmarkEnd w:id="72"/>
      <w:bookmarkEnd w:id="73"/>
      <w:bookmarkEnd w:id="74"/>
      <w:bookmarkEnd w:id="75"/>
      <w:bookmarkEnd w:id="76"/>
      <w:bookmarkEnd w:id="77"/>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outlineLvl w:val="0"/>
        <w:rPr>
          <w:rFonts w:hint="eastAsia" w:ascii="宋体" w:hAnsi="宋体" w:eastAsia="宋体" w:cs="宋体"/>
          <w:b/>
          <w:bCs/>
          <w:szCs w:val="21"/>
          <w:highlight w:val="none"/>
        </w:rPr>
      </w:pPr>
      <w:r>
        <w:rPr>
          <w:rFonts w:hint="eastAsia" w:ascii="宋体" w:hAnsi="宋体" w:eastAsia="宋体" w:cs="宋体"/>
          <w:szCs w:val="21"/>
          <w:highlight w:val="none"/>
        </w:rPr>
        <w:t>投标文件的形式：</w:t>
      </w:r>
      <w:r>
        <w:rPr>
          <w:rFonts w:hint="eastAsia" w:ascii="宋体" w:hAnsi="宋体" w:eastAsia="宋体" w:cs="宋体"/>
          <w:b/>
          <w:bCs/>
          <w:szCs w:val="21"/>
          <w:highlight w:val="none"/>
        </w:rPr>
        <w:t>☑电子投标文件（包括“电子加密投标文件”和“备份投标文件”，在投标文件编制完成后同时生成）；</w:t>
      </w:r>
    </w:p>
    <w:p>
      <w:pPr>
        <w:keepNext w:val="0"/>
        <w:keepLines w:val="0"/>
        <w:pageBreakBefore w:val="0"/>
        <w:kinsoku/>
        <w:wordWrap/>
        <w:overflowPunct/>
        <w:topLinePunct w:val="0"/>
        <w:autoSpaceDE/>
        <w:autoSpaceDN/>
        <w:bidi w:val="0"/>
        <w:adjustRightInd/>
        <w:spacing w:line="420" w:lineRule="exact"/>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1、“电子加密投标文件”是指通过“政采云电子交易客户端”完成投标文件编制后生成并加密的数据电文形式的投标文件。</w:t>
      </w:r>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2、“备份投标文件”是指与“电子加密投标文件”同时生成的数据电文形式的电子文件（备份标书），其他方式编制的备份投标文件视为无效备份投标文件。</w:t>
      </w:r>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（七）</w:t>
      </w:r>
      <w:bookmarkStart w:id="78" w:name="_Toc33535368"/>
      <w:r>
        <w:rPr>
          <w:rFonts w:hint="eastAsia" w:ascii="宋体" w:hAnsi="宋体" w:eastAsia="宋体" w:cs="宋体"/>
          <w:b/>
          <w:bCs/>
          <w:szCs w:val="21"/>
          <w:highlight w:val="none"/>
        </w:rPr>
        <w:t>投标文件的上传和递交：</w:t>
      </w:r>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1、“电子加密投标文件”的上传、递交：</w:t>
      </w:r>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a.投标供应商应在投标截止时间前将“电子加密投标文件”成功上传递交至“政府采购云平台”，否则投标无效。</w:t>
      </w:r>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2、“备份投标文件”的密封包装、递交：</w:t>
      </w:r>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a.投标供应商在“政府采购云平台”完成“电子加密投标文件”的上传递交后，还可以（邮寄形式）在投标截止时间前递交以介质（U盘）存储的“备份投标文件”（一份）；</w:t>
      </w:r>
    </w:p>
    <w:p>
      <w:pPr>
        <w:keepNext w:val="0"/>
        <w:keepLines w:val="0"/>
        <w:pageBreakBefore w:val="0"/>
        <w:kinsoku/>
        <w:wordWrap/>
        <w:overflowPunct/>
        <w:topLinePunct w:val="0"/>
        <w:autoSpaceDE/>
        <w:autoSpaceDN/>
        <w:bidi w:val="0"/>
        <w:adjustRightInd/>
        <w:snapToGrid w:val="0"/>
        <w:spacing w:line="420" w:lineRule="exact"/>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b.“备份投标文件”应当密封包装，并在包装上标注投标项目名称、投标单位名称并加盖公章。没有密封包装或者逾期邮寄送达至邮寄接收地点的“备份投标文件”将不予接收；</w:t>
      </w:r>
    </w:p>
    <w:p>
      <w:pPr>
        <w:keepNext w:val="0"/>
        <w:keepLines w:val="0"/>
        <w:pageBreakBefore w:val="0"/>
        <w:kinsoku/>
        <w:wordWrap/>
        <w:overflowPunct/>
        <w:topLinePunct w:val="0"/>
        <w:autoSpaceDE/>
        <w:autoSpaceDN/>
        <w:bidi w:val="0"/>
        <w:adjustRightInd/>
        <w:snapToGrid w:val="0"/>
        <w:spacing w:line="420" w:lineRule="exact"/>
        <w:ind w:firstLine="422" w:firstLineChars="200"/>
        <w:textAlignment w:val="auto"/>
        <w:outlineLvl w:val="2"/>
        <w:rPr>
          <w:rFonts w:hint="eastAsia" w:ascii="宋体" w:hAnsi="宋体" w:eastAsia="宋体" w:cs="宋体"/>
          <w:b/>
          <w:bCs/>
          <w:szCs w:val="21"/>
          <w:highlight w:val="none"/>
        </w:rPr>
      </w:pPr>
      <w:r>
        <w:rPr>
          <w:rFonts w:hint="eastAsia" w:ascii="宋体" w:hAnsi="宋体" w:eastAsia="宋体" w:cs="宋体"/>
          <w:b/>
          <w:bCs/>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keepNext w:val="0"/>
        <w:keepLines w:val="0"/>
        <w:pageBreakBefore w:val="0"/>
        <w:kinsoku/>
        <w:wordWrap/>
        <w:overflowPunct/>
        <w:topLinePunct w:val="0"/>
        <w:autoSpaceDE/>
        <w:autoSpaceDN/>
        <w:bidi w:val="0"/>
        <w:adjustRightInd/>
        <w:snapToGrid w:val="0"/>
        <w:spacing w:line="420" w:lineRule="exact"/>
        <w:ind w:firstLine="422" w:firstLineChars="200"/>
        <w:textAlignment w:val="auto"/>
        <w:outlineLvl w:val="2"/>
        <w:rPr>
          <w:rFonts w:hint="eastAsia" w:ascii="宋体" w:hAnsi="宋体" w:eastAsia="宋体" w:cs="宋体"/>
          <w:b/>
          <w:szCs w:val="21"/>
          <w:highlight w:val="none"/>
        </w:rPr>
      </w:pPr>
      <w:r>
        <w:rPr>
          <w:rFonts w:hint="eastAsia" w:ascii="宋体" w:hAnsi="宋体" w:eastAsia="宋体" w:cs="宋体"/>
          <w:b/>
          <w:szCs w:val="21"/>
          <w:highlight w:val="none"/>
        </w:rPr>
        <w:t>（八）投标无效的情形</w:t>
      </w:r>
      <w:bookmarkEnd w:id="78"/>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根据《政府采购货物和服务招标投标管理办法》有下列情形之一的，视为供应商串通投标，其投标无效：</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1、不同供应商的投标文件由同一单位或者个人编制。</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2、不同供应商委托同一单位或者个人办理投标事宜。</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3、不同供应商的投标文件载明的项目管理成员或者联系人员为同一人。</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4、不同供应商的投标文件异常一致或者投标报价呈规律性差异。</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5、不同供应商的投标文件相互混装。</w:t>
      </w:r>
    </w:p>
    <w:p>
      <w:pPr>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rPr>
        <w:t>实质上没有响应招标文件要求的投标将被视为无效投标：</w:t>
      </w:r>
    </w:p>
    <w:p>
      <w:pPr>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1、电子投标文件解密失败的，且未在规定时间内提交备份投标文件的。</w:t>
      </w:r>
    </w:p>
    <w:p>
      <w:pPr>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2、没有通过资格审查的，投标文件将被视为无效。</w:t>
      </w:r>
    </w:p>
    <w:p>
      <w:pPr>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3、在符合性审查和商务评审时，如发现下列情形之一的，投标文件将被视为无效：</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bookmarkStart w:id="79" w:name="_Toc33535369"/>
      <w:r>
        <w:rPr>
          <w:rFonts w:hint="eastAsia" w:ascii="宋体" w:hAnsi="宋体" w:eastAsia="宋体" w:cs="宋体"/>
          <w:szCs w:val="21"/>
          <w:highlight w:val="none"/>
        </w:rPr>
        <w:t>（1）未按采购文件规定签字、盖章的；</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（2）单位负责人为同一人或者存在直接控股、管理关系的不同供应商参加同一合同项下的政府采购活动；</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（3）投标文件内容虚假的；</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（4）投标文件的实质性内容未使用中文表述、意思表述不明确、前后矛盾或者使用计量单位不符合采购文件要求的（经评标委员会认定并允许更正的笔误除外）；</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（5）未实质性响应采购文件要求或者投标文件有采购方不能接受的附加条件的；</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（6）不符合法律法规的相关规定。</w:t>
      </w:r>
    </w:p>
    <w:p>
      <w:pPr>
        <w:pStyle w:val="16"/>
        <w:keepNext w:val="0"/>
        <w:keepLines w:val="0"/>
        <w:pageBreakBefore w:val="0"/>
        <w:kinsoku/>
        <w:wordWrap/>
        <w:overflowPunct/>
        <w:topLinePunct w:val="0"/>
        <w:autoSpaceDE/>
        <w:autoSpaceDN/>
        <w:bidi w:val="0"/>
        <w:adjustRightInd/>
        <w:snapToGrid w:val="0"/>
        <w:spacing w:line="420" w:lineRule="exact"/>
        <w:ind w:firstLine="422"/>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4、在技术评审时，如发现下列情形之一的，投标文件将被视为无效：</w:t>
      </w:r>
    </w:p>
    <w:p>
      <w:pPr>
        <w:pStyle w:val="16"/>
        <w:keepNext w:val="0"/>
        <w:keepLines w:val="0"/>
        <w:pageBreakBefore w:val="0"/>
        <w:kinsoku/>
        <w:wordWrap/>
        <w:overflowPunct/>
        <w:topLinePunct w:val="0"/>
        <w:autoSpaceDE/>
        <w:autoSpaceDN/>
        <w:bidi w:val="0"/>
        <w:adjustRightInd/>
        <w:snapToGrid w:val="0"/>
        <w:spacing w:line="42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（1）未提供或未如实提供投标货物的技术参数，或者投标文件标明的响应或偏离与事实不符或虚假投标的；</w:t>
      </w:r>
    </w:p>
    <w:p>
      <w:pPr>
        <w:pStyle w:val="16"/>
        <w:keepNext w:val="0"/>
        <w:keepLines w:val="0"/>
        <w:pageBreakBefore w:val="0"/>
        <w:kinsoku/>
        <w:wordWrap/>
        <w:overflowPunct/>
        <w:topLinePunct w:val="0"/>
        <w:autoSpaceDE/>
        <w:autoSpaceDN/>
        <w:bidi w:val="0"/>
        <w:adjustRightInd/>
        <w:snapToGrid w:val="0"/>
        <w:spacing w:line="42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napToGrid w:val="0"/>
          <w:sz w:val="21"/>
          <w:szCs w:val="21"/>
          <w:highlight w:val="none"/>
        </w:rPr>
        <w:t>明显不符合招标文件要求的规格型号、质量标准，或者与</w:t>
      </w:r>
      <w:r>
        <w:rPr>
          <w:rFonts w:hint="eastAsia" w:ascii="宋体" w:hAnsi="宋体" w:eastAsia="宋体" w:cs="宋体"/>
          <w:sz w:val="21"/>
          <w:szCs w:val="21"/>
          <w:highlight w:val="none"/>
        </w:rPr>
        <w:t>招标文件中标“▲”的技术指标、主要功能项目发生实质性偏离的；</w:t>
      </w:r>
    </w:p>
    <w:p>
      <w:pPr>
        <w:pStyle w:val="16"/>
        <w:keepNext w:val="0"/>
        <w:keepLines w:val="0"/>
        <w:pageBreakBefore w:val="0"/>
        <w:kinsoku/>
        <w:wordWrap/>
        <w:overflowPunct/>
        <w:topLinePunct w:val="0"/>
        <w:autoSpaceDE/>
        <w:autoSpaceDN/>
        <w:bidi w:val="0"/>
        <w:adjustRightInd/>
        <w:snapToGrid w:val="0"/>
        <w:spacing w:line="420" w:lineRule="exact"/>
        <w:ind w:firstLine="420"/>
        <w:textAlignment w:val="auto"/>
        <w:rPr>
          <w:rFonts w:hint="eastAsia" w:ascii="宋体" w:hAnsi="宋体" w:eastAsia="宋体" w:cs="宋体"/>
          <w:sz w:val="21"/>
          <w:szCs w:val="21"/>
          <w:highlight w:val="none"/>
        </w:rPr>
      </w:pPr>
      <w:r>
        <w:rPr>
          <w:rFonts w:hint="eastAsia" w:ascii="宋体" w:hAnsi="宋体" w:eastAsia="宋体" w:cs="宋体"/>
          <w:snapToGrid w:val="0"/>
          <w:sz w:val="21"/>
          <w:szCs w:val="21"/>
          <w:highlight w:val="none"/>
        </w:rPr>
        <w:t>（3）</w:t>
      </w:r>
      <w:r>
        <w:rPr>
          <w:rFonts w:hint="eastAsia" w:ascii="宋体" w:hAnsi="宋体" w:eastAsia="宋体" w:cs="宋体"/>
          <w:sz w:val="21"/>
          <w:szCs w:val="21"/>
          <w:highlight w:val="none"/>
        </w:rPr>
        <w:t>投标技术方案不明确，存在一个或一个以上备选（替代）投标方案的；</w:t>
      </w:r>
    </w:p>
    <w:p>
      <w:pPr>
        <w:pStyle w:val="16"/>
        <w:keepNext w:val="0"/>
        <w:keepLines w:val="0"/>
        <w:pageBreakBefore w:val="0"/>
        <w:kinsoku/>
        <w:wordWrap/>
        <w:overflowPunct/>
        <w:topLinePunct w:val="0"/>
        <w:autoSpaceDE/>
        <w:autoSpaceDN/>
        <w:bidi w:val="0"/>
        <w:adjustRightInd/>
        <w:snapToGrid w:val="0"/>
        <w:spacing w:line="42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napToGrid w:val="0"/>
          <w:sz w:val="21"/>
          <w:szCs w:val="21"/>
          <w:highlight w:val="none"/>
        </w:rPr>
        <w:t>4）</w:t>
      </w:r>
      <w:r>
        <w:rPr>
          <w:rFonts w:hint="eastAsia" w:ascii="宋体" w:hAnsi="宋体" w:eastAsia="宋体" w:cs="宋体"/>
          <w:sz w:val="21"/>
          <w:szCs w:val="21"/>
          <w:highlight w:val="none"/>
        </w:rPr>
        <w:t>未实质性响应招标文件要求或者投标文件有招标方不能接受的附加条件的。</w:t>
      </w:r>
    </w:p>
    <w:p>
      <w:pPr>
        <w:pStyle w:val="16"/>
        <w:keepNext w:val="0"/>
        <w:keepLines w:val="0"/>
        <w:pageBreakBefore w:val="0"/>
        <w:kinsoku/>
        <w:wordWrap/>
        <w:overflowPunct/>
        <w:topLinePunct w:val="0"/>
        <w:autoSpaceDE/>
        <w:autoSpaceDN/>
        <w:bidi w:val="0"/>
        <w:adjustRightInd/>
        <w:snapToGrid w:val="0"/>
        <w:spacing w:line="420" w:lineRule="exact"/>
        <w:ind w:firstLine="422"/>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5、在报价评审时，如发现下列情形之一的，投标文件将被视为无效：</w:t>
      </w:r>
    </w:p>
    <w:p>
      <w:pPr>
        <w:pStyle w:val="16"/>
        <w:keepNext w:val="0"/>
        <w:keepLines w:val="0"/>
        <w:pageBreakBefore w:val="0"/>
        <w:kinsoku/>
        <w:wordWrap/>
        <w:overflowPunct/>
        <w:topLinePunct w:val="0"/>
        <w:autoSpaceDE/>
        <w:autoSpaceDN/>
        <w:bidi w:val="0"/>
        <w:adjustRightInd/>
        <w:snapToGrid w:val="0"/>
        <w:spacing w:line="42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（1）未采用人民币报价或者未按照招标文件标明的币种报价的；</w:t>
      </w:r>
    </w:p>
    <w:p>
      <w:pPr>
        <w:pStyle w:val="16"/>
        <w:keepNext w:val="0"/>
        <w:keepLines w:val="0"/>
        <w:pageBreakBefore w:val="0"/>
        <w:kinsoku/>
        <w:wordWrap/>
        <w:overflowPunct/>
        <w:topLinePunct w:val="0"/>
        <w:autoSpaceDE/>
        <w:autoSpaceDN/>
        <w:bidi w:val="0"/>
        <w:adjustRightInd/>
        <w:snapToGrid w:val="0"/>
        <w:spacing w:line="42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（2）报价超出最高限价的；</w:t>
      </w:r>
    </w:p>
    <w:p>
      <w:pPr>
        <w:pStyle w:val="16"/>
        <w:keepNext w:val="0"/>
        <w:keepLines w:val="0"/>
        <w:pageBreakBefore w:val="0"/>
        <w:kinsoku/>
        <w:wordWrap/>
        <w:overflowPunct/>
        <w:topLinePunct w:val="0"/>
        <w:autoSpaceDE/>
        <w:autoSpaceDN/>
        <w:bidi w:val="0"/>
        <w:adjustRightInd/>
        <w:snapToGrid w:val="0"/>
        <w:spacing w:line="42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（3）投标报价具有选择性，或者开标价格与投标文件承诺的优惠（折扣）价格不一致的；</w:t>
      </w:r>
    </w:p>
    <w:p>
      <w:pPr>
        <w:pStyle w:val="16"/>
        <w:keepNext w:val="0"/>
        <w:keepLines w:val="0"/>
        <w:pageBreakBefore w:val="0"/>
        <w:kinsoku/>
        <w:wordWrap/>
        <w:overflowPunct/>
        <w:topLinePunct w:val="0"/>
        <w:autoSpaceDE/>
        <w:autoSpaceDN/>
        <w:bidi w:val="0"/>
        <w:adjustRightInd/>
        <w:snapToGrid w:val="0"/>
        <w:spacing w:line="42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napToGrid w:val="0"/>
          <w:sz w:val="21"/>
          <w:szCs w:val="21"/>
          <w:highlight w:val="none"/>
        </w:rPr>
        <w:t>4）</w:t>
      </w:r>
      <w:r>
        <w:rPr>
          <w:rFonts w:hint="eastAsia" w:ascii="宋体" w:hAnsi="宋体" w:eastAsia="宋体" w:cs="宋体"/>
          <w:sz w:val="21"/>
          <w:szCs w:val="21"/>
          <w:highlight w:val="none"/>
        </w:rPr>
        <w:t>未实质性响应招标文件要求或者投标文件有招标方不能接受的附加条件的。</w:t>
      </w:r>
    </w:p>
    <w:p>
      <w:pPr>
        <w:pStyle w:val="16"/>
        <w:keepNext w:val="0"/>
        <w:keepLines w:val="0"/>
        <w:pageBreakBefore w:val="0"/>
        <w:kinsoku/>
        <w:wordWrap/>
        <w:overflowPunct/>
        <w:topLinePunct w:val="0"/>
        <w:autoSpaceDE/>
        <w:autoSpaceDN/>
        <w:bidi w:val="0"/>
        <w:adjustRightInd/>
        <w:snapToGrid w:val="0"/>
        <w:spacing w:line="420" w:lineRule="exact"/>
        <w:ind w:firstLine="422"/>
        <w:textAlignment w:val="auto"/>
        <w:rPr>
          <w:rFonts w:hint="eastAsia" w:ascii="宋体" w:hAnsi="宋体" w:eastAsia="宋体" w:cs="宋体"/>
          <w:b/>
          <w:snapToGrid w:val="0"/>
          <w:sz w:val="21"/>
          <w:szCs w:val="21"/>
          <w:highlight w:val="none"/>
        </w:rPr>
      </w:pPr>
      <w:r>
        <w:rPr>
          <w:rFonts w:hint="eastAsia" w:ascii="宋体" w:hAnsi="宋体" w:eastAsia="宋体" w:cs="宋体"/>
          <w:b/>
          <w:sz w:val="21"/>
          <w:szCs w:val="21"/>
          <w:highlight w:val="none"/>
        </w:rPr>
        <w:t>6、被拒绝的投标文件为无效。</w:t>
      </w:r>
    </w:p>
    <w:p>
      <w:pPr>
        <w:pStyle w:val="16"/>
        <w:keepNext w:val="0"/>
        <w:keepLines w:val="0"/>
        <w:pageBreakBefore w:val="0"/>
        <w:kinsoku/>
        <w:wordWrap/>
        <w:overflowPunct/>
        <w:topLinePunct w:val="0"/>
        <w:autoSpaceDE/>
        <w:autoSpaceDN/>
        <w:bidi w:val="0"/>
        <w:adjustRightInd/>
        <w:snapToGrid w:val="0"/>
        <w:spacing w:line="420" w:lineRule="exact"/>
        <w:ind w:firstLine="413" w:firstLineChars="196"/>
        <w:jc w:val="center"/>
        <w:textAlignment w:val="auto"/>
        <w:outlineLvl w:val="1"/>
        <w:rPr>
          <w:rFonts w:hint="eastAsia" w:ascii="宋体" w:hAnsi="宋体" w:eastAsia="宋体" w:cs="宋体"/>
          <w:b/>
          <w:sz w:val="21"/>
          <w:szCs w:val="21"/>
          <w:highlight w:val="none"/>
        </w:rPr>
      </w:pPr>
    </w:p>
    <w:p>
      <w:pPr>
        <w:pStyle w:val="16"/>
        <w:keepNext w:val="0"/>
        <w:keepLines w:val="0"/>
        <w:pageBreakBefore w:val="0"/>
        <w:kinsoku/>
        <w:wordWrap/>
        <w:overflowPunct/>
        <w:topLinePunct w:val="0"/>
        <w:autoSpaceDE/>
        <w:autoSpaceDN/>
        <w:bidi w:val="0"/>
        <w:adjustRightInd/>
        <w:snapToGrid w:val="0"/>
        <w:spacing w:line="420" w:lineRule="exact"/>
        <w:ind w:firstLine="551" w:firstLineChars="196"/>
        <w:jc w:val="center"/>
        <w:textAlignment w:val="auto"/>
        <w:outlineLvl w:val="1"/>
        <w:rPr>
          <w:rFonts w:hint="eastAsia" w:ascii="宋体" w:hAnsi="宋体" w:eastAsia="宋体" w:cs="宋体"/>
          <w:b/>
          <w:snapToGrid w:val="0"/>
          <w:szCs w:val="28"/>
          <w:highlight w:val="none"/>
        </w:rPr>
      </w:pPr>
      <w:r>
        <w:rPr>
          <w:rFonts w:hint="eastAsia" w:ascii="宋体" w:hAnsi="宋体" w:eastAsia="宋体" w:cs="宋体"/>
          <w:b/>
          <w:szCs w:val="28"/>
          <w:highlight w:val="none"/>
        </w:rPr>
        <w:t>四、开标</w:t>
      </w:r>
      <w:bookmarkEnd w:id="79"/>
    </w:p>
    <w:p>
      <w:pPr>
        <w:pStyle w:val="18"/>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（一）开标准备</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1、开标的准备工作由采购组织机构负责落实。</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2、采购组织机构将按照招标文件规定的时间通过“政府采购云平台”组织开标、开启投标文件，所有供应商均</w:t>
      </w:r>
      <w:r>
        <w:rPr>
          <w:rFonts w:hint="eastAsia" w:ascii="宋体" w:hAnsi="宋体" w:eastAsia="宋体" w:cs="宋体"/>
          <w:b/>
          <w:szCs w:val="21"/>
          <w:highlight w:val="none"/>
        </w:rPr>
        <w:t>应当准时在线参加</w:t>
      </w:r>
      <w:r>
        <w:rPr>
          <w:rFonts w:hint="eastAsia" w:ascii="宋体" w:hAnsi="宋体" w:eastAsia="宋体" w:cs="宋体"/>
          <w:bCs/>
          <w:szCs w:val="21"/>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18"/>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bCs/>
          <w:szCs w:val="21"/>
          <w:highlight w:val="none"/>
        </w:rPr>
        <w:t>（二）</w:t>
      </w:r>
      <w:r>
        <w:rPr>
          <w:rFonts w:hint="eastAsia" w:ascii="宋体" w:hAnsi="宋体" w:eastAsia="宋体" w:cs="宋体"/>
          <w:b/>
          <w:szCs w:val="21"/>
          <w:highlight w:val="none"/>
        </w:rPr>
        <w:t>采购人或者采购代理机构职责</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采购人或者采购代理机构负责组织评标工作，并履行下列职责：</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1、核对评审专家身份和采购人代表授权函，对评审专家在政府采购活动中的职责履行情况予以记录，并及时将有关违法违规行为向财政部门报告；</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2、宣布评标纪律；</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3、公布供应商名单，告知评审专家应当回避的情形；</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4、组织评标委员会推选评标组长，采购人代表不得担任组长；</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5、在评标期间采取必要的通讯管理措施，保证评标活动不受外界干扰；</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6、根据评标委员会的要求介绍政府采购相关政策法规、招标文件；</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7、维护评标秩序，监督评标委员会依照招标文件规定的评标程序、方法和标准进行独立评审，及时制止和纠正采购人代表、评审专家的倾向性言论或者违法违规行为；</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9、评审工作完成后，按照规定向评审专家支付劳务报酬和异地评审差旅费；</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10、处理与评标有关的其他事项。</w:t>
      </w:r>
    </w:p>
    <w:p>
      <w:pPr>
        <w:pStyle w:val="18"/>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（三）开标流程（两阶段）</w:t>
      </w:r>
    </w:p>
    <w:p>
      <w:pPr>
        <w:keepNext w:val="0"/>
        <w:keepLines w:val="0"/>
        <w:pageBreakBefore w:val="0"/>
        <w:kinsoku/>
        <w:wordWrap/>
        <w:overflowPunct/>
        <w:topLinePunct w:val="0"/>
        <w:autoSpaceDE/>
        <w:autoSpaceDN/>
        <w:bidi w:val="0"/>
        <w:adjustRightInd/>
        <w:spacing w:line="420" w:lineRule="exact"/>
        <w:ind w:firstLine="422" w:firstLineChars="200"/>
        <w:jc w:val="left"/>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1、开标第一阶段</w:t>
      </w:r>
    </w:p>
    <w:p>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（2）开启投标文件，进入资格审查；</w:t>
      </w:r>
    </w:p>
    <w:p>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（3）资格审查通过的投标供应商的商务技术文件进入符合性审查、商务技术评审；</w:t>
      </w:r>
    </w:p>
    <w:p>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（4）第一阶段开标结束。</w:t>
      </w:r>
    </w:p>
    <w:p>
      <w:pPr>
        <w:keepNext w:val="0"/>
        <w:keepLines w:val="0"/>
        <w:pageBreakBefore w:val="0"/>
        <w:kinsoku/>
        <w:wordWrap/>
        <w:overflowPunct/>
        <w:topLinePunct w:val="0"/>
        <w:autoSpaceDE/>
        <w:autoSpaceDN/>
        <w:bidi w:val="0"/>
        <w:adjustRightInd/>
        <w:spacing w:line="420" w:lineRule="exact"/>
        <w:ind w:firstLine="422" w:firstLineChars="200"/>
        <w:jc w:val="left"/>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备注：采购人或采购代理机构将依法对投标供应商的资格进行审查，资格审查结束后进入符合性审查和商务技术的评审工作，具体见本章节“投标供应商资格审查”相关规定。</w:t>
      </w:r>
    </w:p>
    <w:p>
      <w:pPr>
        <w:spacing w:line="440" w:lineRule="exact"/>
        <w:ind w:firstLine="422" w:firstLineChars="200"/>
        <w:jc w:val="left"/>
        <w:rPr>
          <w:rFonts w:hint="eastAsia" w:ascii="宋体" w:hAnsi="宋体" w:eastAsia="宋体" w:cs="宋体"/>
          <w:b/>
          <w:color w:val="000000"/>
          <w:kern w:val="0"/>
          <w:szCs w:val="21"/>
          <w:highlight w:val="none"/>
        </w:rPr>
      </w:pPr>
      <w:bookmarkStart w:id="80" w:name="_Toc33194393"/>
      <w:bookmarkStart w:id="81" w:name="_Toc24550037"/>
      <w:r>
        <w:rPr>
          <w:rFonts w:hint="eastAsia" w:ascii="宋体" w:hAnsi="宋体" w:eastAsia="宋体" w:cs="宋体"/>
          <w:b/>
          <w:color w:val="000000"/>
          <w:kern w:val="0"/>
          <w:szCs w:val="21"/>
          <w:highlight w:val="none"/>
        </w:rPr>
        <w:t>2、开标大会第二阶段</w:t>
      </w:r>
    </w:p>
    <w:p>
      <w:pPr>
        <w:spacing w:line="440" w:lineRule="exact"/>
        <w:ind w:firstLine="420" w:firstLineChars="2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（1）符合性审查、商务技术评审结束后，举行开标大会第二阶段会议。</w:t>
      </w:r>
    </w:p>
    <w:p>
      <w:pPr>
        <w:pStyle w:val="18"/>
        <w:spacing w:line="440" w:lineRule="exact"/>
        <w:ind w:firstLine="415" w:firstLineChars="198"/>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（2）</w:t>
      </w:r>
      <w:r>
        <w:rPr>
          <w:rFonts w:hint="eastAsia" w:ascii="宋体" w:hAnsi="宋体" w:eastAsia="宋体" w:cs="宋体"/>
          <w:color w:val="000000"/>
          <w:szCs w:val="21"/>
          <w:highlight w:val="none"/>
        </w:rPr>
        <w:t>磋商小组通过</w:t>
      </w:r>
      <w:r>
        <w:rPr>
          <w:rFonts w:hint="eastAsia" w:ascii="宋体" w:hAnsi="宋体" w:eastAsia="宋体" w:cs="宋体"/>
          <w:b/>
          <w:bCs/>
          <w:color w:val="000000"/>
          <w:szCs w:val="21"/>
          <w:highlight w:val="none"/>
        </w:rPr>
        <w:t>远程视频或政采云系统发起磋商</w:t>
      </w:r>
      <w:r>
        <w:rPr>
          <w:rFonts w:hint="eastAsia" w:ascii="宋体" w:hAnsi="宋体" w:eastAsia="宋体" w:cs="宋体"/>
          <w:color w:val="000000"/>
          <w:szCs w:val="21"/>
          <w:highlight w:val="none"/>
        </w:rPr>
        <w:t>，按标项与各磋商响应方就公司情况、项目需求、项目方案、价格构成、付款方式等要素分别进行逐家磋商。</w:t>
      </w:r>
    </w:p>
    <w:p>
      <w:pPr>
        <w:pStyle w:val="18"/>
        <w:spacing w:line="440" w:lineRule="exact"/>
        <w:ind w:firstLine="415" w:firstLineChars="198"/>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（3）</w:t>
      </w:r>
      <w:r>
        <w:rPr>
          <w:rFonts w:hint="eastAsia" w:ascii="宋体" w:hAnsi="宋体" w:eastAsia="宋体" w:cs="宋体"/>
          <w:color w:val="000000"/>
          <w:szCs w:val="21"/>
          <w:highlight w:val="none"/>
        </w:rPr>
        <w:t>在磋商过程中，采购人和磋商对象可就合同内容进行磋商，技术服务需求如双方都认为有必要的情况可作相应微调，但评分标准不作调整。</w:t>
      </w:r>
    </w:p>
    <w:p>
      <w:pPr>
        <w:pStyle w:val="18"/>
        <w:spacing w:line="440" w:lineRule="exact"/>
        <w:ind w:firstLine="415" w:firstLineChars="198"/>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（4）</w:t>
      </w:r>
      <w:r>
        <w:rPr>
          <w:rFonts w:hint="eastAsia" w:ascii="宋体" w:hAnsi="宋体" w:eastAsia="宋体" w:cs="宋体"/>
          <w:color w:val="000000"/>
          <w:szCs w:val="21"/>
          <w:highlight w:val="none"/>
        </w:rPr>
        <w:t>如磋商过程中有调整的内容，在最后一轮报价前，代理机构和采购人将根据磋商内容将调整的部分发给符合参与最后一轮报价的供应商，以便其在最后一轮报价中调整报价。</w:t>
      </w:r>
    </w:p>
    <w:p>
      <w:pPr>
        <w:pStyle w:val="18"/>
        <w:spacing w:line="440" w:lineRule="exact"/>
        <w:ind w:firstLine="415" w:firstLineChars="198"/>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（5）</w:t>
      </w:r>
      <w:r>
        <w:rPr>
          <w:rFonts w:hint="eastAsia" w:ascii="宋体" w:hAnsi="宋体" w:eastAsia="宋体" w:cs="宋体"/>
          <w:color w:val="000000"/>
          <w:szCs w:val="21"/>
          <w:highlight w:val="none"/>
        </w:rPr>
        <w:t>标项磋商结束后，磋商小组根据本磋商文件的评审方法对各供应商的商务资信技术服务情况进行评审打分，然后对各供应商的初次报价进行审核。</w:t>
      </w:r>
    </w:p>
    <w:p>
      <w:pPr>
        <w:pStyle w:val="18"/>
        <w:spacing w:line="440" w:lineRule="exact"/>
        <w:ind w:firstLine="415" w:firstLineChars="198"/>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（6）报价评审后</w:t>
      </w:r>
      <w:r>
        <w:rPr>
          <w:rFonts w:hint="eastAsia" w:ascii="宋体" w:hAnsi="宋体" w:eastAsia="宋体" w:cs="宋体"/>
          <w:color w:val="000000"/>
          <w:szCs w:val="21"/>
          <w:highlight w:val="none"/>
        </w:rPr>
        <w:t>，代理机构在政采云系统开启最终报价（最终报价的最高限价默认为采购文件规定的最高限价），要求各供应商在规定时间（默认30分钟）内在政采云系统里进行最终报价。在规定时间内没有提交最终报价的供应商，视为退出磋商。</w:t>
      </w:r>
    </w:p>
    <w:p>
      <w:pPr>
        <w:pStyle w:val="18"/>
        <w:spacing w:line="440" w:lineRule="exact"/>
        <w:ind w:firstLine="415" w:firstLineChars="198"/>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（7）</w:t>
      </w:r>
      <w:r>
        <w:rPr>
          <w:rFonts w:hint="eastAsia" w:ascii="宋体" w:hAnsi="宋体" w:eastAsia="宋体" w:cs="宋体"/>
          <w:color w:val="000000"/>
          <w:szCs w:val="21"/>
          <w:highlight w:val="none"/>
        </w:rPr>
        <w:t>在规定时间内供应商全部提交最终报价后，磋商小组对最终报价的合理性进行审核，决定是否结束磋商。若报价合理，磋商小组则根据第四章评标方法推荐中标</w:t>
      </w:r>
      <w:r>
        <w:rPr>
          <w:rFonts w:hint="eastAsia" w:ascii="宋体" w:hAnsi="宋体" w:eastAsia="宋体" w:cs="宋体"/>
          <w:color w:val="000000"/>
          <w:kern w:val="0"/>
          <w:szCs w:val="21"/>
          <w:highlight w:val="none"/>
        </w:rPr>
        <w:t>（成交）</w:t>
      </w:r>
      <w:r>
        <w:rPr>
          <w:rFonts w:hint="eastAsia" w:ascii="宋体" w:hAnsi="宋体" w:eastAsia="宋体" w:cs="宋体"/>
          <w:color w:val="000000"/>
          <w:szCs w:val="21"/>
          <w:highlight w:val="none"/>
        </w:rPr>
        <w:t>候选供应商。</w:t>
      </w:r>
    </w:p>
    <w:p>
      <w:pPr>
        <w:spacing w:line="440" w:lineRule="exact"/>
        <w:ind w:firstLine="420" w:firstLineChars="200"/>
        <w:jc w:val="left"/>
        <w:rPr>
          <w:rFonts w:hint="eastAsia" w:ascii="宋体" w:hAnsi="宋体" w:eastAsia="宋体" w:cs="宋体"/>
          <w:color w:val="000000"/>
          <w:kern w:val="0"/>
          <w:szCs w:val="21"/>
          <w:highlight w:val="none"/>
        </w:rPr>
      </w:pPr>
      <w:r>
        <w:rPr>
          <w:rFonts w:hint="eastAsia" w:ascii="宋体" w:hAnsi="宋体" w:eastAsia="宋体" w:cs="宋体"/>
          <w:color w:val="000000"/>
          <w:szCs w:val="21"/>
          <w:highlight w:val="none"/>
        </w:rPr>
        <w:t>（8）最后</w:t>
      </w:r>
      <w:r>
        <w:rPr>
          <w:rFonts w:hint="eastAsia" w:ascii="宋体" w:hAnsi="宋体" w:eastAsia="宋体" w:cs="宋体"/>
          <w:color w:val="000000"/>
          <w:kern w:val="0"/>
          <w:szCs w:val="21"/>
          <w:highlight w:val="none"/>
        </w:rPr>
        <w:t>代理机构在政采云系统进行结果公布。</w:t>
      </w:r>
    </w:p>
    <w:p>
      <w:pPr>
        <w:spacing w:line="440" w:lineRule="exact"/>
        <w:ind w:firstLine="422" w:firstLineChars="200"/>
        <w:jc w:val="left"/>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特别说明：如遇“政府采购云平台”电子化开标或评审程序调整的，按调整后程序执行。</w:t>
      </w:r>
    </w:p>
    <w:p>
      <w:pPr>
        <w:pStyle w:val="18"/>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（四）投标供应商资格审查</w:t>
      </w:r>
      <w:bookmarkEnd w:id="80"/>
      <w:bookmarkEnd w:id="81"/>
    </w:p>
    <w:p>
      <w:pPr>
        <w:keepNext w:val="0"/>
        <w:keepLines w:val="0"/>
        <w:pageBreakBefore w:val="0"/>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rPr>
        <w:t>1、采购人或采购代理机构首先依法对各投标供应商的资格进行审查，审查各投标供应商的资格是否满足招标文件的要求。</w:t>
      </w:r>
      <w:r>
        <w:rPr>
          <w:rFonts w:hint="eastAsia" w:ascii="宋体" w:hAnsi="宋体" w:eastAsia="宋体" w:cs="宋体"/>
          <w:szCs w:val="21"/>
          <w:highlight w:val="none"/>
        </w:rPr>
        <w:t>采购人或采购代理机构对投标供应商所提交的资格证明材料仅负审核的责任。如发现投标供应商所提交的资格证明材料不合法或与事实不符，采购人可取消其中标资格并追究投标供应商的法律责任。</w:t>
      </w:r>
    </w:p>
    <w:p>
      <w:pPr>
        <w:keepNext w:val="0"/>
        <w:keepLines w:val="0"/>
        <w:pageBreakBefore w:val="0"/>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kern w:val="0"/>
          <w:szCs w:val="21"/>
          <w:highlight w:val="none"/>
        </w:rPr>
      </w:pPr>
      <w:r>
        <w:rPr>
          <w:rFonts w:hint="eastAsia" w:ascii="宋体" w:hAnsi="宋体" w:eastAsia="宋体" w:cs="宋体"/>
          <w:b/>
          <w:szCs w:val="21"/>
          <w:highlight w:val="none"/>
        </w:rPr>
        <w:t>2、投标供应商提交的资格证明材料无法证明其符合招标文件规定的“投标供应商资格要求”的，采购人或采购代理机构</w:t>
      </w:r>
      <w:r>
        <w:rPr>
          <w:rFonts w:hint="eastAsia" w:ascii="宋体" w:hAnsi="宋体" w:eastAsia="宋体" w:cs="宋体"/>
          <w:b/>
          <w:kern w:val="0"/>
          <w:szCs w:val="21"/>
          <w:highlight w:val="none"/>
        </w:rPr>
        <w:t>将对其作资格审查不通过处理（无效投标），并不再将其投标提交评标委员会进行后续评审。</w:t>
      </w:r>
    </w:p>
    <w:p>
      <w:pPr>
        <w:pStyle w:val="18"/>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szCs w:val="21"/>
          <w:highlight w:val="none"/>
        </w:rPr>
      </w:pPr>
    </w:p>
    <w:p>
      <w:pPr>
        <w:pStyle w:val="18"/>
        <w:keepNext w:val="0"/>
        <w:keepLines w:val="0"/>
        <w:pageBreakBefore w:val="0"/>
        <w:kinsoku/>
        <w:wordWrap/>
        <w:overflowPunct/>
        <w:topLinePunct w:val="0"/>
        <w:autoSpaceDE/>
        <w:autoSpaceDN/>
        <w:bidi w:val="0"/>
        <w:adjustRightInd/>
        <w:snapToGrid w:val="0"/>
        <w:spacing w:line="420" w:lineRule="exact"/>
        <w:ind w:left="842" w:leftChars="267" w:hanging="281" w:hangingChars="100"/>
        <w:jc w:val="center"/>
        <w:textAlignment w:val="auto"/>
        <w:outlineLvl w:val="1"/>
        <w:rPr>
          <w:rFonts w:hint="eastAsia" w:ascii="宋体" w:hAnsi="宋体" w:eastAsia="宋体" w:cs="宋体"/>
          <w:b/>
          <w:sz w:val="28"/>
          <w:szCs w:val="28"/>
          <w:highlight w:val="none"/>
        </w:rPr>
      </w:pPr>
      <w:bookmarkStart w:id="82" w:name="_Toc33535370"/>
      <w:r>
        <w:rPr>
          <w:rFonts w:hint="eastAsia" w:ascii="宋体" w:hAnsi="宋体" w:eastAsia="宋体" w:cs="宋体"/>
          <w:b/>
          <w:sz w:val="28"/>
          <w:szCs w:val="28"/>
          <w:highlight w:val="none"/>
        </w:rPr>
        <w:t>五、评标</w:t>
      </w:r>
      <w:bookmarkEnd w:id="82"/>
    </w:p>
    <w:p>
      <w:pPr>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rPr>
        <w:t>（一）组建评标委员会</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kern w:val="0"/>
          <w:szCs w:val="21"/>
          <w:highlight w:val="none"/>
        </w:rPr>
        <w:t>评标委员会由</w:t>
      </w:r>
      <w:r>
        <w:rPr>
          <w:rFonts w:hint="eastAsia" w:ascii="宋体" w:hAnsi="宋体" w:eastAsia="宋体" w:cs="宋体"/>
          <w:szCs w:val="21"/>
          <w:highlight w:val="none"/>
        </w:rPr>
        <w:t>政府采购评审专家</w:t>
      </w:r>
      <w:r>
        <w:rPr>
          <w:rFonts w:hint="eastAsia" w:hAnsi="宋体" w:cs="宋体"/>
          <w:szCs w:val="21"/>
          <w:highlight w:val="none"/>
          <w:lang w:val="en-US" w:eastAsia="zh-CN"/>
        </w:rPr>
        <w:t>2</w:t>
      </w:r>
      <w:r>
        <w:rPr>
          <w:rFonts w:hint="eastAsia" w:ascii="宋体" w:hAnsi="宋体" w:eastAsia="宋体" w:cs="宋体"/>
          <w:szCs w:val="21"/>
          <w:highlight w:val="none"/>
        </w:rPr>
        <w:t>人和招标人代表</w:t>
      </w:r>
      <w:r>
        <w:rPr>
          <w:rFonts w:hint="eastAsia" w:ascii="宋体" w:hAnsi="宋体" w:eastAsia="宋体" w:cs="宋体"/>
          <w:szCs w:val="21"/>
          <w:highlight w:val="none"/>
          <w:u w:val="single"/>
        </w:rPr>
        <w:t>1</w:t>
      </w:r>
      <w:r>
        <w:rPr>
          <w:rFonts w:hint="eastAsia" w:ascii="宋体" w:hAnsi="宋体" w:eastAsia="宋体" w:cs="宋体"/>
          <w:szCs w:val="21"/>
          <w:highlight w:val="none"/>
        </w:rPr>
        <w:t>人，共</w:t>
      </w:r>
      <w:r>
        <w:rPr>
          <w:rFonts w:hint="eastAsia" w:hAnsi="宋体" w:cs="宋体"/>
          <w:szCs w:val="21"/>
          <w:highlight w:val="none"/>
          <w:u w:val="single"/>
          <w:lang w:val="en-US" w:eastAsia="zh-CN"/>
        </w:rPr>
        <w:t>3</w:t>
      </w:r>
      <w:r>
        <w:rPr>
          <w:rFonts w:hint="eastAsia" w:ascii="宋体" w:hAnsi="宋体" w:eastAsia="宋体" w:cs="宋体"/>
          <w:szCs w:val="21"/>
          <w:highlight w:val="none"/>
        </w:rPr>
        <w:t>人组成。</w:t>
      </w:r>
    </w:p>
    <w:p>
      <w:pPr>
        <w:keepNext w:val="0"/>
        <w:keepLines w:val="0"/>
        <w:pageBreakBefore w:val="0"/>
        <w:widowControl/>
        <w:shd w:val="clear" w:color="auto" w:fill="FFFFFF"/>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评标委员会负责具体评标事务，并独立履行下列职责：</w:t>
      </w:r>
    </w:p>
    <w:p>
      <w:pPr>
        <w:keepNext w:val="0"/>
        <w:keepLines w:val="0"/>
        <w:pageBreakBefore w:val="0"/>
        <w:widowControl/>
        <w:shd w:val="clear" w:color="auto" w:fill="FFFFFF"/>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1、审查、评价投标文件是否符合招标文件的商务技术等实质性要求；</w:t>
      </w:r>
    </w:p>
    <w:p>
      <w:pPr>
        <w:keepNext w:val="0"/>
        <w:keepLines w:val="0"/>
        <w:pageBreakBefore w:val="0"/>
        <w:widowControl/>
        <w:shd w:val="clear" w:color="auto" w:fill="FFFFFF"/>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2、要求供应商对投标文件有关事项作出澄清或者说明；</w:t>
      </w:r>
    </w:p>
    <w:p>
      <w:pPr>
        <w:keepNext w:val="0"/>
        <w:keepLines w:val="0"/>
        <w:pageBreakBefore w:val="0"/>
        <w:widowControl/>
        <w:shd w:val="clear" w:color="auto" w:fill="FFFFFF"/>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3、对投标文件进行比较和评价；</w:t>
      </w:r>
    </w:p>
    <w:p>
      <w:pPr>
        <w:keepNext w:val="0"/>
        <w:keepLines w:val="0"/>
        <w:pageBreakBefore w:val="0"/>
        <w:widowControl/>
        <w:shd w:val="clear" w:color="auto" w:fill="FFFFFF"/>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4、确定中标候选人名单，以及根据采购人委托直接确定中标人；</w:t>
      </w:r>
    </w:p>
    <w:p>
      <w:pPr>
        <w:keepNext w:val="0"/>
        <w:keepLines w:val="0"/>
        <w:pageBreakBefore w:val="0"/>
        <w:widowControl/>
        <w:shd w:val="clear" w:color="auto" w:fill="FFFFFF"/>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5、向采购人、采购代理机构或者有关部门报告评标中发现的违法行为。</w:t>
      </w:r>
    </w:p>
    <w:p>
      <w:pPr>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rPr>
        <w:t>（二）评标的方式</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本项目采用</w:t>
      </w:r>
      <w:r>
        <w:rPr>
          <w:rFonts w:hint="eastAsia" w:hAnsi="宋体" w:cs="宋体"/>
          <w:b/>
          <w:bCs w:val="0"/>
          <w:szCs w:val="21"/>
          <w:highlight w:val="none"/>
          <w:lang w:val="en-US" w:eastAsia="zh-CN"/>
        </w:rPr>
        <w:t>不</w:t>
      </w:r>
      <w:r>
        <w:rPr>
          <w:rFonts w:hint="eastAsia" w:ascii="宋体" w:hAnsi="宋体" w:eastAsia="宋体" w:cs="宋体"/>
          <w:b/>
          <w:bCs w:val="0"/>
          <w:szCs w:val="21"/>
          <w:highlight w:val="none"/>
        </w:rPr>
        <w:t>公开方式评标</w:t>
      </w:r>
      <w:r>
        <w:rPr>
          <w:rFonts w:hint="eastAsia" w:ascii="宋体" w:hAnsi="宋体" w:eastAsia="宋体" w:cs="宋体"/>
          <w:bCs/>
          <w:szCs w:val="21"/>
          <w:highlight w:val="none"/>
        </w:rPr>
        <w:t>，评标的依据为招标文件和投标文件。</w:t>
      </w:r>
    </w:p>
    <w:p>
      <w:pPr>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rPr>
        <w:t>（三）评标程序</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采购人可以在评标前说明项目背景和采购需求，说明内容不得含有歧视性、倾向性意见，不得超出招标文件所述范围。说明应当提交书面材料，并随采购文件一并存档。</w:t>
      </w:r>
    </w:p>
    <w:p>
      <w:pPr>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1、形式审查</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形式审查包括资格审查和符合性审查，即对供应商的资格和投标文件的完整性、合法性等进行审查。投标文件形式审查未通过的供应商，其投标文件将不再评审。</w:t>
      </w:r>
    </w:p>
    <w:p>
      <w:pPr>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2、实质审查与比较</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（1）评标委员会审查投标文件的实质性内容是否符合招标文件的实质性要求。</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（2）评标委员会将根据供应商的投标文件进行审查、核对，如有疑问，将对供应商进行询标，供应商要向评标委员会澄清有关问题，并最终以书面形式进行答复。</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询标时，供应商代表未在线或者拒绝澄清或者澄清的内容改变了投标文件的实质性内容的，评标委员会有权对该投标文件作出不利于供应商的评判。</w:t>
      </w:r>
    </w:p>
    <w:p>
      <w:pPr>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（3）各供应商的商务资信技术分按照评标委员会成员的独立评分结果汇总后的算术平均分计算。</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（4）采购代理机构工作人员协助评标委员会根据本项目的评分标准操作政府采购业务系统，由系统计算各供应商的报价得分。</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（5）评标委员会完成评标后，评委对各部分得分汇总，计算出本项目最终得分、性价比、评标价等。评标委员会按评标原则推荐中标</w:t>
      </w:r>
      <w:r>
        <w:rPr>
          <w:rFonts w:hint="eastAsia" w:ascii="宋体" w:hAnsi="宋体" w:eastAsia="宋体" w:cs="宋体"/>
          <w:kern w:val="0"/>
          <w:szCs w:val="21"/>
          <w:highlight w:val="none"/>
        </w:rPr>
        <w:t>（成交）</w:t>
      </w:r>
      <w:r>
        <w:rPr>
          <w:rFonts w:hint="eastAsia" w:ascii="宋体" w:hAnsi="宋体" w:eastAsia="宋体" w:cs="宋体"/>
          <w:szCs w:val="21"/>
          <w:highlight w:val="none"/>
        </w:rPr>
        <w:t>候选人同时起草评标报告。</w:t>
      </w:r>
    </w:p>
    <w:p>
      <w:pPr>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rPr>
        <w:t>（四）澄清问题的形式</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szCs w:val="21"/>
          <w:highlight w:val="none"/>
        </w:rPr>
        <w:t>（1）</w:t>
      </w:r>
      <w:r>
        <w:rPr>
          <w:rFonts w:hint="eastAsia" w:ascii="宋体" w:hAnsi="宋体" w:eastAsia="宋体" w:cs="宋体"/>
          <w:kern w:val="0"/>
          <w:szCs w:val="21"/>
          <w:highlight w:val="none"/>
        </w:rPr>
        <w:t>对于投标文件中含义不明确、同类问题表述不一致或者有明显文字和计算错误的内容，评标委员会将以书面形式（或通过“政采云平台”在线询标）的形式要求投标供应商在规定的时间内作出必要的澄清、说明或者补正，投标供应商澄清、说明或补正时间为30分钟。</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szCs w:val="21"/>
          <w:highlight w:val="none"/>
        </w:rPr>
        <w:t>（2）</w:t>
      </w:r>
      <w:r>
        <w:rPr>
          <w:rFonts w:hint="eastAsia" w:ascii="宋体" w:hAnsi="宋体" w:eastAsia="宋体" w:cs="宋体"/>
          <w:kern w:val="0"/>
          <w:szCs w:val="21"/>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18"/>
        <w:keepNext w:val="0"/>
        <w:keepLines w:val="0"/>
        <w:pageBreakBefore w:val="0"/>
        <w:tabs>
          <w:tab w:val="left" w:pos="630"/>
        </w:tabs>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rPr>
        <w:t>（五）错误修正</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投标文件如果出现计算或表达上的错误，修正错误的原则如下：</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1、开标一览表总价与投标报价明细表汇总数不一致的，</w:t>
      </w:r>
      <w:r>
        <w:rPr>
          <w:rFonts w:hint="eastAsia" w:ascii="宋体" w:hAnsi="宋体" w:eastAsia="宋体" w:cs="宋体"/>
          <w:kern w:val="0"/>
          <w:szCs w:val="21"/>
          <w:highlight w:val="none"/>
        </w:rPr>
        <w:t>以开标一览表为准；</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2、投标文件的大写金额和小写金额不一致的，以大写金额为准；</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3、总价金额与按单价汇总金额不一致的，以单价金额计算结果为准；</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4、对不同文字文本投标文件的解释发生异议的，以中文文本为准；</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color w:val="000000"/>
          <w:highlight w:val="none"/>
        </w:rPr>
        <w:t>政采云平台填报的开标一览表中的价格与上传的报价文件中开标一览表的报价不一致的，以上传的报价文件为准</w:t>
      </w:r>
      <w:r>
        <w:rPr>
          <w:rFonts w:hint="eastAsia" w:ascii="宋体" w:hAnsi="宋体" w:eastAsia="宋体" w:cs="宋体"/>
          <w:szCs w:val="21"/>
          <w:highlight w:val="none"/>
        </w:rPr>
        <w:t>。</w:t>
      </w:r>
    </w:p>
    <w:p>
      <w:pPr>
        <w:pStyle w:val="18"/>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同时出现两种及以上不一致的，按照前款规定的顺序修正。修正后的报价经投标人确认后产生约束力，投标人不确认的，其投标无效。</w:t>
      </w:r>
    </w:p>
    <w:p>
      <w:pPr>
        <w:pStyle w:val="18"/>
        <w:keepNext w:val="0"/>
        <w:keepLines w:val="0"/>
        <w:pageBreakBefore w:val="0"/>
        <w:tabs>
          <w:tab w:val="left" w:pos="630"/>
        </w:tabs>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rPr>
        <w:t>（六）评标原则和评标办法</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2、评标办法。本项目评标办法是 综合评分法 ，具体评标内容及评分标准等详见《第四章：评标办法及评分标准》。</w:t>
      </w:r>
    </w:p>
    <w:p>
      <w:pPr>
        <w:pStyle w:val="18"/>
        <w:keepNext w:val="0"/>
        <w:keepLines w:val="0"/>
        <w:pageBreakBefore w:val="0"/>
        <w:kinsoku/>
        <w:wordWrap/>
        <w:overflowPunct/>
        <w:topLinePunct w:val="0"/>
        <w:autoSpaceDE/>
        <w:autoSpaceDN/>
        <w:bidi w:val="0"/>
        <w:adjustRightInd/>
        <w:snapToGrid w:val="0"/>
        <w:spacing w:line="42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rPr>
        <w:t>（七）评标过程的监控</w:t>
      </w:r>
    </w:p>
    <w:p>
      <w:pPr>
        <w:pStyle w:val="18"/>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本项目评标过程实行全程录音、录像监控。供应商在评标过程中所进行的试图影响评标结果的不公正活动，可能导致其投标被拒绝。</w:t>
      </w:r>
    </w:p>
    <w:p>
      <w:pPr>
        <w:pStyle w:val="18"/>
        <w:keepNext w:val="0"/>
        <w:keepLines w:val="0"/>
        <w:pageBreakBefore w:val="0"/>
        <w:kinsoku/>
        <w:wordWrap/>
        <w:overflowPunct/>
        <w:topLinePunct w:val="0"/>
        <w:autoSpaceDE/>
        <w:autoSpaceDN/>
        <w:bidi w:val="0"/>
        <w:adjustRightInd/>
        <w:snapToGrid w:val="0"/>
        <w:spacing w:line="420" w:lineRule="exact"/>
        <w:ind w:firstLine="413" w:firstLineChars="196"/>
        <w:jc w:val="center"/>
        <w:textAlignment w:val="auto"/>
        <w:outlineLvl w:val="1"/>
        <w:rPr>
          <w:rFonts w:hint="eastAsia" w:ascii="宋体" w:hAnsi="宋体" w:eastAsia="宋体" w:cs="宋体"/>
          <w:b/>
          <w:szCs w:val="21"/>
          <w:highlight w:val="none"/>
        </w:rPr>
      </w:pPr>
      <w:bookmarkStart w:id="83" w:name="_Toc33535371"/>
    </w:p>
    <w:p>
      <w:pPr>
        <w:pStyle w:val="18"/>
        <w:keepNext w:val="0"/>
        <w:keepLines w:val="0"/>
        <w:pageBreakBefore w:val="0"/>
        <w:kinsoku/>
        <w:wordWrap/>
        <w:overflowPunct/>
        <w:topLinePunct w:val="0"/>
        <w:autoSpaceDE/>
        <w:autoSpaceDN/>
        <w:bidi w:val="0"/>
        <w:adjustRightInd/>
        <w:snapToGrid w:val="0"/>
        <w:spacing w:line="420" w:lineRule="exact"/>
        <w:ind w:firstLine="551" w:firstLineChars="196"/>
        <w:jc w:val="center"/>
        <w:textAlignment w:val="auto"/>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六、定标</w:t>
      </w:r>
      <w:bookmarkEnd w:id="83"/>
    </w:p>
    <w:p>
      <w:pPr>
        <w:pStyle w:val="18"/>
        <w:keepNext w:val="0"/>
        <w:keepLines w:val="0"/>
        <w:pageBreakBefore w:val="0"/>
        <w:kinsoku/>
        <w:wordWrap/>
        <w:overflowPunct/>
        <w:topLinePunct w:val="0"/>
        <w:autoSpaceDE/>
        <w:autoSpaceDN/>
        <w:bidi w:val="0"/>
        <w:adjustRightInd/>
        <w:snapToGrid w:val="0"/>
        <w:spacing w:line="420" w:lineRule="exact"/>
        <w:ind w:firstLine="413" w:firstLineChars="196"/>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（一）确定中标人。</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1、采购代理机构在评标结束后2个工作日内将评标报告交采购人确认，同时在发布招标公告的网站上对评标结果进行公告。</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2、供应商对评标结果无异议的，采购人应在收到评标报告后5个工作日内对评标结果进行确认。如有供应商对评标结果提出质疑的，采购人可在质疑处理完毕后确定中标人。</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3.在公告中标结果的同时，采购代理机构向中标人发出中标通知书。</w:t>
      </w:r>
    </w:p>
    <w:p>
      <w:pPr>
        <w:pStyle w:val="18"/>
        <w:keepNext w:val="0"/>
        <w:keepLines w:val="0"/>
        <w:pageBreakBefore w:val="0"/>
        <w:kinsoku/>
        <w:wordWrap/>
        <w:overflowPunct/>
        <w:topLinePunct w:val="0"/>
        <w:autoSpaceDE/>
        <w:autoSpaceDN/>
        <w:bidi w:val="0"/>
        <w:adjustRightInd/>
        <w:snapToGrid w:val="0"/>
        <w:spacing w:line="420" w:lineRule="exact"/>
        <w:ind w:firstLine="413" w:firstLineChars="196"/>
        <w:jc w:val="center"/>
        <w:textAlignment w:val="auto"/>
        <w:outlineLvl w:val="1"/>
        <w:rPr>
          <w:rFonts w:hint="eastAsia" w:ascii="宋体" w:hAnsi="宋体" w:eastAsia="宋体" w:cs="宋体"/>
          <w:b/>
          <w:szCs w:val="21"/>
          <w:highlight w:val="none"/>
        </w:rPr>
      </w:pPr>
      <w:bookmarkStart w:id="84" w:name="_Toc33535372"/>
    </w:p>
    <w:p>
      <w:pPr>
        <w:pStyle w:val="18"/>
        <w:keepNext w:val="0"/>
        <w:keepLines w:val="0"/>
        <w:pageBreakBefore w:val="0"/>
        <w:kinsoku/>
        <w:wordWrap/>
        <w:overflowPunct/>
        <w:topLinePunct w:val="0"/>
        <w:autoSpaceDE/>
        <w:autoSpaceDN/>
        <w:bidi w:val="0"/>
        <w:adjustRightInd/>
        <w:snapToGrid w:val="0"/>
        <w:spacing w:line="420" w:lineRule="exact"/>
        <w:ind w:firstLine="551" w:firstLineChars="196"/>
        <w:jc w:val="center"/>
        <w:textAlignment w:val="auto"/>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七、合同授予</w:t>
      </w:r>
      <w:bookmarkEnd w:id="84"/>
    </w:p>
    <w:p>
      <w:pPr>
        <w:keepNext w:val="0"/>
        <w:keepLines w:val="0"/>
        <w:pageBreakBefore w:val="0"/>
        <w:kinsoku/>
        <w:wordWrap/>
        <w:overflowPunct/>
        <w:topLinePunct w:val="0"/>
        <w:autoSpaceDE/>
        <w:autoSpaceDN/>
        <w:bidi w:val="0"/>
        <w:adjustRightInd/>
        <w:snapToGrid w:val="0"/>
        <w:spacing w:line="420" w:lineRule="exact"/>
        <w:ind w:firstLine="413" w:firstLineChars="196"/>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（一）签订合同</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1、采购人与中标人应当在《中标通知书》发出之日起30日内签订政府采购合同。</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2、中标人拖延、拒签合同的，将被取消中标资格，并报监督管理部门。采购人可以按照评审报告推荐的中标或者成交候选人名单排序，确定下一候选人为中标或者成交供应商，也可以重新开展政府采购活动。</w:t>
      </w:r>
    </w:p>
    <w:p>
      <w:pPr>
        <w:pStyle w:val="8"/>
        <w:rPr>
          <w:rFonts w:hint="eastAsia" w:ascii="宋体" w:hAnsi="宋体" w:eastAsia="宋体" w:cs="宋体"/>
          <w:highlight w:val="none"/>
        </w:rPr>
      </w:pPr>
    </w:p>
    <w:p>
      <w:pPr>
        <w:pStyle w:val="18"/>
        <w:keepNext w:val="0"/>
        <w:keepLines w:val="0"/>
        <w:pageBreakBefore w:val="0"/>
        <w:kinsoku/>
        <w:wordWrap/>
        <w:overflowPunct/>
        <w:topLinePunct w:val="0"/>
        <w:autoSpaceDE/>
        <w:autoSpaceDN/>
        <w:bidi w:val="0"/>
        <w:adjustRightInd/>
        <w:snapToGrid w:val="0"/>
        <w:spacing w:line="420" w:lineRule="exact"/>
        <w:ind w:firstLine="551" w:firstLineChars="196"/>
        <w:jc w:val="center"/>
        <w:textAlignment w:val="auto"/>
        <w:outlineLvl w:val="1"/>
        <w:rPr>
          <w:rFonts w:hint="eastAsia" w:ascii="宋体" w:hAnsi="宋体" w:eastAsia="宋体" w:cs="宋体"/>
          <w:b/>
          <w:sz w:val="28"/>
          <w:szCs w:val="28"/>
          <w:highlight w:val="none"/>
        </w:rPr>
      </w:pPr>
    </w:p>
    <w:p>
      <w:pPr>
        <w:pStyle w:val="18"/>
        <w:keepNext w:val="0"/>
        <w:keepLines w:val="0"/>
        <w:pageBreakBefore w:val="0"/>
        <w:kinsoku/>
        <w:wordWrap/>
        <w:overflowPunct/>
        <w:topLinePunct w:val="0"/>
        <w:autoSpaceDE/>
        <w:autoSpaceDN/>
        <w:bidi w:val="0"/>
        <w:adjustRightInd/>
        <w:snapToGrid w:val="0"/>
        <w:spacing w:line="420" w:lineRule="exact"/>
        <w:ind w:firstLine="551" w:firstLineChars="196"/>
        <w:jc w:val="center"/>
        <w:textAlignment w:val="auto"/>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八、招标代理费</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1、本项目招标代理服务费按计价格(2002)1980号收费标准计取，</w:t>
      </w:r>
      <w:r>
        <w:rPr>
          <w:rFonts w:hint="eastAsia" w:ascii="宋体" w:hAnsi="宋体" w:eastAsia="宋体" w:cs="宋体"/>
          <w:szCs w:val="21"/>
          <w:highlight w:val="none"/>
          <w:lang w:val="en-US" w:eastAsia="zh-CN"/>
        </w:rPr>
        <w:t>不</w:t>
      </w:r>
      <w:r>
        <w:rPr>
          <w:rFonts w:hint="eastAsia" w:ascii="宋体" w:hAnsi="宋体" w:eastAsia="宋体" w:cs="宋体"/>
          <w:szCs w:val="21"/>
          <w:highlight w:val="none"/>
          <w:lang w:val="en-US" w:eastAsia="zh-CN"/>
        </w:rPr>
        <w:t>足5000元，按5000元计，</w:t>
      </w:r>
      <w:r>
        <w:rPr>
          <w:rFonts w:hint="eastAsia" w:ascii="宋体" w:hAnsi="宋体" w:eastAsia="宋体" w:cs="宋体"/>
          <w:b/>
          <w:bCs/>
          <w:szCs w:val="21"/>
          <w:highlight w:val="none"/>
        </w:rPr>
        <w:t>由中标供应商支付。</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2、服务费的货币为人民币。</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3、服务费支付方式：一次性以银行划账、电汇、汇票或支票的形式支付。</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4、服务费以银行划账方式按下列要求提交：</w:t>
      </w:r>
    </w:p>
    <w:p>
      <w:pPr>
        <w:keepNext w:val="0"/>
        <w:keepLines w:val="0"/>
        <w:pageBreakBefore w:val="0"/>
        <w:kinsoku/>
        <w:wordWrap/>
        <w:overflowPunct/>
        <w:topLinePunct w:val="0"/>
        <w:autoSpaceDE/>
        <w:autoSpaceDN/>
        <w:bidi w:val="0"/>
        <w:adjustRightInd/>
        <w:snapToGrid w:val="0"/>
        <w:spacing w:line="420" w:lineRule="exact"/>
        <w:ind w:firstLine="843" w:firstLineChars="4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户名：浙江中明工程咨询有限公司</w:t>
      </w:r>
    </w:p>
    <w:p>
      <w:pPr>
        <w:keepNext w:val="0"/>
        <w:keepLines w:val="0"/>
        <w:pageBreakBefore w:val="0"/>
        <w:kinsoku/>
        <w:wordWrap/>
        <w:overflowPunct/>
        <w:topLinePunct w:val="0"/>
        <w:autoSpaceDE/>
        <w:autoSpaceDN/>
        <w:bidi w:val="0"/>
        <w:adjustRightInd/>
        <w:snapToGrid w:val="0"/>
        <w:spacing w:line="420" w:lineRule="exact"/>
        <w:ind w:firstLine="843" w:firstLineChars="4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开户银行：交通银行嘉兴禾城支行</w:t>
      </w:r>
    </w:p>
    <w:p>
      <w:pPr>
        <w:keepNext w:val="0"/>
        <w:keepLines w:val="0"/>
        <w:pageBreakBefore w:val="0"/>
        <w:kinsoku/>
        <w:wordWrap/>
        <w:overflowPunct/>
        <w:topLinePunct w:val="0"/>
        <w:autoSpaceDE/>
        <w:autoSpaceDN/>
        <w:bidi w:val="0"/>
        <w:adjustRightInd/>
        <w:snapToGrid w:val="0"/>
        <w:spacing w:line="420" w:lineRule="exact"/>
        <w:ind w:firstLine="843" w:firstLineChars="4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账号：334603000018170031720</w:t>
      </w:r>
    </w:p>
    <w:p>
      <w:pPr>
        <w:snapToGrid w:val="0"/>
        <w:spacing w:line="42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5、服务费支付时间：服务费必须在中标人领取《中标通知书》时一次性付清，如果中标人未能按时交纳服务费，采购代理机构/采购人保留取消其中标资格并追究其法律责任的权利。</w:t>
      </w:r>
    </w:p>
    <w:p>
      <w:pPr>
        <w:snapToGrid w:val="0"/>
        <w:spacing w:line="42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6、服务费不在投标报价中单列。</w:t>
      </w:r>
    </w:p>
    <w:p>
      <w:pPr>
        <w:snapToGrid w:val="0"/>
        <w:spacing w:line="42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浙江省财政厅关于明确政府采购保证金管理工作的通知》（浙财采监〔2019〕5号）规定“供应商在政府采购活动中违反政府采购相关规定给采购组织机构造成损失的，采购组织机构可按照采购文件约定要求供应商承担赔偿责任。”现约定，对放弃中标（成交）资格的供应商，要求其承担代理费和专家评审费等费用。</w:t>
      </w:r>
    </w:p>
    <w:p>
      <w:pPr>
        <w:pStyle w:val="18"/>
        <w:spacing w:before="120" w:after="120" w:line="40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r>
        <w:rPr>
          <w:rFonts w:hint="eastAsia" w:ascii="宋体" w:hAnsi="宋体" w:eastAsia="宋体" w:cs="宋体"/>
          <w:b/>
          <w:sz w:val="32"/>
          <w:szCs w:val="32"/>
          <w:highlight w:val="none"/>
        </w:rPr>
        <w:t>第四章  评标办法及评分标准</w:t>
      </w:r>
    </w:p>
    <w:p>
      <w:pPr>
        <w:spacing w:line="400" w:lineRule="exact"/>
        <w:ind w:firstLine="420"/>
        <w:rPr>
          <w:rFonts w:hint="eastAsia" w:ascii="宋体" w:hAnsi="宋体" w:eastAsia="宋体" w:cs="宋体"/>
          <w:szCs w:val="21"/>
          <w:highlight w:val="none"/>
        </w:rPr>
      </w:pPr>
      <w:bookmarkStart w:id="85" w:name="_Toc19362"/>
      <w:bookmarkEnd w:id="85"/>
      <w:r>
        <w:rPr>
          <w:rFonts w:hint="eastAsia" w:ascii="宋体" w:hAnsi="宋体" w:eastAsia="宋体" w:cs="宋体"/>
          <w:szCs w:val="21"/>
          <w:highlight w:val="none"/>
        </w:rPr>
        <w:t>为公正、公平、科学地选择中标人，根据《中华人民共和国政府采购法》等有关法律法规的规定，并结合本项目的实际，按照公正、公平、科学、择优的原则选择中标单位，制定本办法。</w:t>
      </w:r>
    </w:p>
    <w:p>
      <w:pPr>
        <w:spacing w:line="400" w:lineRule="exact"/>
        <w:rPr>
          <w:rFonts w:hint="eastAsia" w:ascii="宋体" w:hAnsi="宋体" w:eastAsia="宋体" w:cs="宋体"/>
          <w:b/>
          <w:szCs w:val="21"/>
          <w:highlight w:val="none"/>
        </w:rPr>
      </w:pPr>
      <w:bookmarkStart w:id="86" w:name="_Toc170792813"/>
      <w:r>
        <w:rPr>
          <w:rFonts w:hint="eastAsia" w:ascii="宋体" w:hAnsi="宋体" w:eastAsia="宋体" w:cs="宋体"/>
          <w:b/>
          <w:szCs w:val="21"/>
          <w:highlight w:val="none"/>
        </w:rPr>
        <w:t>一、总则</w:t>
      </w:r>
    </w:p>
    <w:bookmarkEnd w:id="86"/>
    <w:p>
      <w:pPr>
        <w:spacing w:line="400" w:lineRule="exact"/>
        <w:ind w:firstLine="42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本次评标采用综合评分法，总分为100分</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其中价格分</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lang w:val="en-US" w:eastAsia="zh-CN"/>
        </w:rPr>
        <w:t>0分、资信及商务技术分</w:t>
      </w:r>
      <w:r>
        <w:rPr>
          <w:rFonts w:hint="eastAsia" w:ascii="宋体" w:hAnsi="宋体" w:cs="宋体"/>
          <w:b/>
          <w:bCs/>
          <w:color w:val="auto"/>
          <w:szCs w:val="21"/>
          <w:highlight w:val="none"/>
          <w:lang w:val="en-US" w:eastAsia="zh-CN"/>
        </w:rPr>
        <w:t>90</w:t>
      </w:r>
      <w:r>
        <w:rPr>
          <w:rFonts w:hint="eastAsia" w:ascii="宋体" w:hAnsi="宋体" w:eastAsia="宋体" w:cs="宋体"/>
          <w:b/>
          <w:bCs/>
          <w:color w:val="auto"/>
          <w:szCs w:val="21"/>
          <w:highlight w:val="none"/>
          <w:lang w:val="en-US" w:eastAsia="zh-CN"/>
        </w:rPr>
        <w:t>分等二部分</w:t>
      </w:r>
      <w:r>
        <w:rPr>
          <w:rFonts w:hint="eastAsia" w:ascii="宋体" w:hAnsi="宋体" w:eastAsia="宋体" w:cs="宋体"/>
          <w:b/>
          <w:bCs/>
          <w:color w:val="auto"/>
          <w:szCs w:val="21"/>
          <w:highlight w:val="none"/>
        </w:rPr>
        <w:t>。</w:t>
      </w:r>
    </w:p>
    <w:p>
      <w:pPr>
        <w:spacing w:line="400" w:lineRule="exact"/>
        <w:ind w:firstLine="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2.合格投标人</w:t>
      </w:r>
      <w:r>
        <w:rPr>
          <w:rFonts w:hint="eastAsia" w:ascii="宋体" w:hAnsi="宋体" w:eastAsia="宋体" w:cs="宋体"/>
          <w:szCs w:val="21"/>
          <w:highlight w:val="none"/>
          <w:lang w:val="en-US" w:eastAsia="zh-CN"/>
        </w:rPr>
        <w:t>的评标得分为各部分汇总得分，中标候选资格按评标得分由高到低顺序排列，得分相同的，按投标报价由低到高顺序排列；得分且投标报价相同的，按技术得分由高到低顺序排列。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采购活动。评分过程中采用四舍五入法，并保</w:t>
      </w:r>
      <w:r>
        <w:rPr>
          <w:rFonts w:hint="eastAsia" w:ascii="宋体" w:hAnsi="宋体" w:eastAsia="宋体" w:cs="宋体"/>
          <w:color w:val="auto"/>
          <w:szCs w:val="21"/>
          <w:highlight w:val="none"/>
          <w:lang w:val="en-US" w:eastAsia="zh-CN"/>
        </w:rPr>
        <w:t>留小数2位。</w:t>
      </w:r>
    </w:p>
    <w:p>
      <w:pPr>
        <w:spacing w:line="400" w:lineRule="exact"/>
        <w:ind w:firstLine="42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3.投标人的投标报价不得超过采购人设定的上限价。价格是评标的重要因素之一，但最低报价不是入围的唯一依据。若经评标专家一致认为某一投标人的报价为恶意报价的，其价格分按零分处理。</w:t>
      </w:r>
    </w:p>
    <w:p>
      <w:pPr>
        <w:numPr>
          <w:ilvl w:val="0"/>
          <w:numId w:val="0"/>
        </w:numPr>
        <w:spacing w:line="360" w:lineRule="auto"/>
        <w:ind w:leftChars="0" w:firstLine="482" w:firstLineChars="200"/>
        <w:rPr>
          <w:rFonts w:hint="eastAsia" w:ascii="宋体" w:hAnsi="宋体" w:eastAsia="宋体" w:cs="宋体"/>
          <w:b/>
          <w:bCs/>
          <w:szCs w:val="21"/>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Cs w:val="21"/>
          <w:highlight w:val="none"/>
        </w:rPr>
        <w:t>投标人评标总得分=商务资信</w:t>
      </w:r>
      <w:r>
        <w:rPr>
          <w:rFonts w:hint="eastAsia" w:ascii="宋体" w:hAnsi="宋体" w:eastAsia="宋体" w:cs="宋体"/>
          <w:b/>
          <w:bCs/>
          <w:szCs w:val="21"/>
          <w:highlight w:val="none"/>
        </w:rPr>
        <w:t>技术分+价格分（评分过程中采用四舍五入法，并保留小数2位）</w:t>
      </w:r>
    </w:p>
    <w:p>
      <w:pPr>
        <w:spacing w:line="400" w:lineRule="exact"/>
        <w:jc w:val="left"/>
        <w:rPr>
          <w:rFonts w:hint="eastAsia" w:ascii="宋体" w:hAnsi="宋体" w:eastAsia="宋体" w:cs="宋体"/>
          <w:b/>
          <w:szCs w:val="21"/>
          <w:highlight w:val="none"/>
        </w:rPr>
      </w:pPr>
      <w:r>
        <w:rPr>
          <w:rFonts w:hint="eastAsia" w:ascii="宋体" w:hAnsi="宋体" w:eastAsia="宋体" w:cs="宋体"/>
          <w:b/>
          <w:szCs w:val="21"/>
          <w:highlight w:val="none"/>
        </w:rPr>
        <w:t>二、评标内容和标准</w:t>
      </w:r>
    </w:p>
    <w:p>
      <w:pPr>
        <w:spacing w:line="400" w:lineRule="exact"/>
        <w:ind w:firstLine="422" w:firstLineChars="200"/>
        <w:rPr>
          <w:rFonts w:hint="eastAsia" w:ascii="宋体" w:hAnsi="宋体" w:eastAsia="宋体" w:cs="宋体"/>
          <w:b/>
          <w:sz w:val="28"/>
          <w:szCs w:val="28"/>
          <w:highlight w:val="none"/>
        </w:rPr>
      </w:pPr>
      <w:r>
        <w:rPr>
          <w:rFonts w:hint="eastAsia" w:ascii="宋体" w:hAnsi="宋体" w:eastAsia="宋体" w:cs="宋体"/>
          <w:b/>
          <w:bCs/>
          <w:szCs w:val="21"/>
          <w:highlight w:val="none"/>
        </w:rPr>
        <w:t>（一）</w:t>
      </w:r>
      <w:r>
        <w:rPr>
          <w:rFonts w:hint="eastAsia" w:ascii="宋体" w:hAnsi="宋体" w:eastAsia="宋体" w:cs="宋体"/>
          <w:b/>
          <w:szCs w:val="21"/>
          <w:highlight w:val="none"/>
        </w:rPr>
        <w:t>商务资信技术分（满分</w:t>
      </w:r>
      <w:r>
        <w:rPr>
          <w:rFonts w:hint="eastAsia" w:ascii="宋体" w:hAnsi="宋体" w:cs="宋体"/>
          <w:b/>
          <w:szCs w:val="21"/>
          <w:highlight w:val="none"/>
          <w:lang w:val="en-US" w:eastAsia="zh-CN"/>
        </w:rPr>
        <w:t>9</w:t>
      </w:r>
      <w:r>
        <w:rPr>
          <w:rFonts w:hint="eastAsia" w:ascii="宋体" w:hAnsi="宋体" w:eastAsia="宋体" w:cs="宋体"/>
          <w:b/>
          <w:szCs w:val="21"/>
          <w:highlight w:val="none"/>
          <w:lang w:val="en-US" w:eastAsia="zh-CN"/>
        </w:rPr>
        <w:t>0</w:t>
      </w:r>
      <w:r>
        <w:rPr>
          <w:rFonts w:hint="eastAsia" w:ascii="宋体" w:hAnsi="宋体" w:eastAsia="宋体" w:cs="宋体"/>
          <w:b/>
          <w:szCs w:val="21"/>
          <w:highlight w:val="none"/>
        </w:rPr>
        <w:t>分）</w:t>
      </w:r>
    </w:p>
    <w:tbl>
      <w:tblPr>
        <w:tblStyle w:val="34"/>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75"/>
        <w:gridCol w:w="6810"/>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96" w:type="dxa"/>
            <w:noWrap w:val="0"/>
            <w:vAlign w:val="center"/>
          </w:tcPr>
          <w:p>
            <w:pPr>
              <w:widowControl/>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序号</w:t>
            </w:r>
          </w:p>
        </w:tc>
        <w:tc>
          <w:tcPr>
            <w:tcW w:w="1675" w:type="dxa"/>
            <w:noWrap w:val="0"/>
            <w:vAlign w:val="center"/>
          </w:tcPr>
          <w:p>
            <w:pPr>
              <w:widowControl/>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评审项目</w:t>
            </w:r>
          </w:p>
        </w:tc>
        <w:tc>
          <w:tcPr>
            <w:tcW w:w="6810" w:type="dxa"/>
            <w:noWrap w:val="0"/>
            <w:vAlign w:val="center"/>
          </w:tcPr>
          <w:p>
            <w:pPr>
              <w:widowControl/>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评审细则</w:t>
            </w:r>
          </w:p>
        </w:tc>
        <w:tc>
          <w:tcPr>
            <w:tcW w:w="1191" w:type="dxa"/>
            <w:noWrap w:val="0"/>
            <w:vAlign w:val="center"/>
          </w:tcPr>
          <w:p>
            <w:pPr>
              <w:widowControl/>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6" w:type="dxa"/>
            <w:noWrap w:val="0"/>
            <w:vAlign w:val="center"/>
          </w:tcPr>
          <w:p>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675" w:type="dxa"/>
            <w:noWrap w:val="0"/>
            <w:vAlign w:val="center"/>
          </w:tcPr>
          <w:p>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对现状的分析以及重点难点的解决方案</w:t>
            </w:r>
          </w:p>
        </w:tc>
        <w:tc>
          <w:tcPr>
            <w:tcW w:w="6810" w:type="dxa"/>
            <w:noWrap w:val="0"/>
            <w:vAlign w:val="center"/>
          </w:tcPr>
          <w:p>
            <w:pPr>
              <w:widowControl/>
              <w:snapToGrid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根据各投标人对本项目调查剖析及解决措施进行打分。</w:t>
            </w:r>
          </w:p>
          <w:p>
            <w:pPr>
              <w:widowControl/>
              <w:snapToGrid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1）对项目现状、存在的问题和难点、要点等问题进行调查剖析（</w:t>
            </w:r>
            <w:r>
              <w:rPr>
                <w:rFonts w:hint="eastAsia" w:ascii="宋体" w:hAnsi="宋体" w:cs="宋体"/>
                <w:kern w:val="0"/>
                <w:sz w:val="21"/>
                <w:szCs w:val="21"/>
                <w:highlight w:val="none"/>
                <w:lang w:val="en-US" w:eastAsia="zh-CN"/>
              </w:rPr>
              <w:t>6</w:t>
            </w: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en-US" w:eastAsia="zh-CN"/>
              </w:rPr>
              <w:t>分</w:t>
            </w:r>
            <w:r>
              <w:rPr>
                <w:rFonts w:hint="eastAsia" w:ascii="宋体" w:hAnsi="宋体" w:eastAsia="宋体" w:cs="宋体"/>
                <w:kern w:val="0"/>
                <w:sz w:val="21"/>
                <w:szCs w:val="21"/>
                <w:highlight w:val="none"/>
              </w:rPr>
              <w:t>）；</w:t>
            </w:r>
          </w:p>
          <w:p>
            <w:pPr>
              <w:snapToGrid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2）针对本项目提出克服问题、难点和要点的解决措施（</w:t>
            </w:r>
            <w:r>
              <w:rPr>
                <w:rFonts w:hint="eastAsia" w:ascii="宋体" w:hAnsi="宋体" w:cs="宋体"/>
                <w:kern w:val="0"/>
                <w:sz w:val="21"/>
                <w:szCs w:val="21"/>
                <w:highlight w:val="none"/>
                <w:lang w:val="en-US" w:eastAsia="zh-CN"/>
              </w:rPr>
              <w:t>6</w:t>
            </w: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en-US" w:eastAsia="zh-CN"/>
              </w:rPr>
              <w:t>分</w:t>
            </w:r>
            <w:r>
              <w:rPr>
                <w:rFonts w:hint="eastAsia" w:ascii="宋体" w:hAnsi="宋体" w:eastAsia="宋体" w:cs="宋体"/>
                <w:kern w:val="0"/>
                <w:sz w:val="21"/>
                <w:szCs w:val="21"/>
                <w:highlight w:val="none"/>
              </w:rPr>
              <w:t>）。</w:t>
            </w:r>
          </w:p>
        </w:tc>
        <w:tc>
          <w:tcPr>
            <w:tcW w:w="1191" w:type="dxa"/>
            <w:noWrap w:val="0"/>
            <w:vAlign w:val="center"/>
          </w:tcPr>
          <w:p>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0或</w:t>
            </w:r>
            <w:r>
              <w:rPr>
                <w:rFonts w:hint="eastAsia" w:ascii="宋体" w:hAnsi="宋体" w:cs="宋体"/>
                <w:kern w:val="0"/>
                <w:sz w:val="21"/>
                <w:szCs w:val="21"/>
                <w:highlight w:val="none"/>
                <w:lang w:val="en-US" w:eastAsia="zh-CN"/>
              </w:rPr>
              <w:t>12</w:t>
            </w: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96" w:type="dxa"/>
            <w:noWrap w:val="0"/>
            <w:vAlign w:val="center"/>
          </w:tcPr>
          <w:p>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675" w:type="dxa"/>
            <w:noWrap w:val="0"/>
            <w:vAlign w:val="center"/>
          </w:tcPr>
          <w:p>
            <w:pPr>
              <w:spacing w:line="500" w:lineRule="exact"/>
              <w:jc w:val="center"/>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管理目标制度以及其他措施</w:t>
            </w:r>
          </w:p>
        </w:tc>
        <w:tc>
          <w:tcPr>
            <w:tcW w:w="6810" w:type="dxa"/>
            <w:noWrap w:val="0"/>
            <w:vAlign w:val="center"/>
          </w:tcPr>
          <w:p>
            <w:pPr>
              <w:widowControl/>
              <w:numPr>
                <w:ilvl w:val="0"/>
                <w:numId w:val="0"/>
              </w:numPr>
              <w:snapToGrid w:val="0"/>
              <w:ind w:left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根据各投标人提供的</w:t>
            </w:r>
            <w:r>
              <w:rPr>
                <w:rFonts w:hint="eastAsia" w:ascii="宋体" w:hAnsi="宋体" w:eastAsia="宋体" w:cs="宋体"/>
                <w:spacing w:val="4"/>
                <w:sz w:val="21"/>
                <w:szCs w:val="21"/>
                <w:highlight w:val="none"/>
              </w:rPr>
              <w:t>详细</w:t>
            </w:r>
            <w:r>
              <w:rPr>
                <w:rFonts w:hint="eastAsia" w:ascii="宋体" w:hAnsi="宋体" w:eastAsia="宋体" w:cs="宋体"/>
                <w:sz w:val="21"/>
                <w:szCs w:val="21"/>
                <w:highlight w:val="none"/>
              </w:rPr>
              <w:t>服务标准及实施方案评分。</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8分</w:t>
            </w:r>
            <w:r>
              <w:rPr>
                <w:rFonts w:hint="eastAsia" w:ascii="宋体" w:hAnsi="宋体" w:eastAsia="宋体" w:cs="宋体"/>
                <w:kern w:val="0"/>
                <w:sz w:val="21"/>
                <w:szCs w:val="21"/>
                <w:highlight w:val="none"/>
              </w:rPr>
              <w:t>）</w:t>
            </w:r>
          </w:p>
          <w:p>
            <w:pPr>
              <w:widowControl/>
              <w:numPr>
                <w:ilvl w:val="0"/>
                <w:numId w:val="0"/>
              </w:numPr>
              <w:snapToGrid w:val="0"/>
              <w:ind w:leftChars="0"/>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根据各投标人提供的</w:t>
            </w:r>
            <w:r>
              <w:rPr>
                <w:rFonts w:hint="eastAsia" w:ascii="宋体" w:hAnsi="宋体" w:eastAsia="宋体" w:cs="宋体"/>
                <w:spacing w:val="4"/>
                <w:sz w:val="21"/>
                <w:szCs w:val="21"/>
                <w:highlight w:val="none"/>
              </w:rPr>
              <w:t>详细管理人员考核制度</w:t>
            </w:r>
            <w:r>
              <w:rPr>
                <w:rFonts w:hint="eastAsia" w:ascii="宋体" w:hAnsi="宋体" w:eastAsia="宋体" w:cs="宋体"/>
                <w:sz w:val="21"/>
                <w:szCs w:val="21"/>
                <w:highlight w:val="none"/>
              </w:rPr>
              <w:t>评分。</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8分</w:t>
            </w:r>
            <w:r>
              <w:rPr>
                <w:rFonts w:hint="eastAsia" w:ascii="宋体" w:hAnsi="宋体" w:eastAsia="宋体" w:cs="宋体"/>
                <w:kern w:val="0"/>
                <w:sz w:val="21"/>
                <w:szCs w:val="21"/>
                <w:highlight w:val="none"/>
              </w:rPr>
              <w:t>）</w:t>
            </w:r>
          </w:p>
          <w:p>
            <w:pPr>
              <w:widowControl/>
              <w:numPr>
                <w:ilvl w:val="0"/>
                <w:numId w:val="0"/>
              </w:numPr>
              <w:snapToGrid w:val="0"/>
              <w:ind w:leftChars="0"/>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根据各投标人提供的</w:t>
            </w:r>
            <w:r>
              <w:rPr>
                <w:rFonts w:hint="eastAsia" w:ascii="宋体" w:hAnsi="宋体" w:eastAsia="宋体" w:cs="宋体"/>
                <w:spacing w:val="4"/>
                <w:sz w:val="21"/>
                <w:szCs w:val="21"/>
                <w:highlight w:val="none"/>
              </w:rPr>
              <w:t>详细的</w:t>
            </w:r>
            <w:r>
              <w:rPr>
                <w:rFonts w:hint="eastAsia" w:ascii="宋体" w:hAnsi="宋体" w:eastAsia="宋体" w:cs="宋体"/>
                <w:sz w:val="21"/>
                <w:szCs w:val="21"/>
                <w:highlight w:val="none"/>
              </w:rPr>
              <w:t>服务管理规章制度、岗位职责评分。</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8分</w:t>
            </w:r>
            <w:r>
              <w:rPr>
                <w:rFonts w:hint="eastAsia" w:ascii="宋体" w:hAnsi="宋体" w:eastAsia="宋体" w:cs="宋体"/>
                <w:kern w:val="0"/>
                <w:sz w:val="21"/>
                <w:szCs w:val="21"/>
                <w:highlight w:val="none"/>
              </w:rPr>
              <w:t>）</w:t>
            </w:r>
          </w:p>
        </w:tc>
        <w:tc>
          <w:tcPr>
            <w:tcW w:w="1191" w:type="dxa"/>
            <w:noWrap w:val="0"/>
            <w:vAlign w:val="center"/>
          </w:tcPr>
          <w:p>
            <w:pPr>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lang w:val="en-US" w:eastAsia="zh-CN"/>
              </w:rPr>
              <w:t>或12</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6" w:type="dxa"/>
            <w:noWrap w:val="0"/>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675" w:type="dxa"/>
            <w:noWrap w:val="0"/>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保证服务质量</w:t>
            </w:r>
          </w:p>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的措施及承诺</w:t>
            </w:r>
          </w:p>
        </w:tc>
        <w:tc>
          <w:tcPr>
            <w:tcW w:w="6810" w:type="dxa"/>
            <w:noWrap w:val="0"/>
            <w:vAlign w:val="center"/>
          </w:tcPr>
          <w:p>
            <w:pPr>
              <w:widowControl/>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rPr>
              <w:t>根据各投标人针对本项目保证服务质量的措施及承诺情况进行评分。</w:t>
            </w:r>
            <w:r>
              <w:rPr>
                <w:rFonts w:hint="eastAsia" w:ascii="宋体" w:hAnsi="宋体" w:eastAsia="宋体" w:cs="宋体"/>
                <w:color w:val="auto"/>
                <w:sz w:val="21"/>
                <w:szCs w:val="21"/>
                <w:highlight w:val="none"/>
                <w:lang w:eastAsia="zh-CN"/>
              </w:rPr>
              <w:t>缺项不得分。（</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10</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tc>
        <w:tc>
          <w:tcPr>
            <w:tcW w:w="1191" w:type="dxa"/>
            <w:noWrap w:val="0"/>
            <w:vAlign w:val="center"/>
          </w:tcPr>
          <w:p>
            <w:pPr>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0或5</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96" w:type="dxa"/>
            <w:noWrap w:val="0"/>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675" w:type="dxa"/>
            <w:noWrap w:val="0"/>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应急预案</w:t>
            </w:r>
          </w:p>
        </w:tc>
        <w:tc>
          <w:tcPr>
            <w:tcW w:w="6810" w:type="dxa"/>
            <w:noWrap w:val="0"/>
            <w:vAlign w:val="center"/>
          </w:tcPr>
          <w:p>
            <w:pPr>
              <w:widowControl/>
              <w:rPr>
                <w:rFonts w:hint="eastAsia" w:ascii="宋体" w:hAnsi="宋体" w:eastAsia="宋体" w:cs="宋体"/>
                <w:b w:val="0"/>
                <w:snapToGrid w:val="0"/>
                <w:kern w:val="2"/>
                <w:sz w:val="21"/>
                <w:szCs w:val="21"/>
                <w:highlight w:val="none"/>
                <w:lang w:val="en-US" w:eastAsia="zh-CN" w:bidi="ar-SA"/>
              </w:rPr>
            </w:pPr>
            <w:r>
              <w:rPr>
                <w:rFonts w:hint="eastAsia" w:ascii="宋体" w:hAnsi="宋体" w:eastAsia="宋体" w:cs="宋体"/>
                <w:b w:val="0"/>
                <w:snapToGrid w:val="0"/>
                <w:kern w:val="2"/>
                <w:sz w:val="21"/>
                <w:szCs w:val="21"/>
                <w:highlight w:val="none"/>
                <w:lang w:val="en-US" w:eastAsia="zh-CN" w:bidi="ar-SA"/>
              </w:rPr>
              <w:t>根据各投标人针对本项目的特点提出的对应急突发事件的处置能力及方案措施情况进行评分。缺项不得分。</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8分</w:t>
            </w:r>
            <w:r>
              <w:rPr>
                <w:rFonts w:hint="eastAsia" w:ascii="宋体" w:hAnsi="宋体" w:eastAsia="宋体" w:cs="宋体"/>
                <w:kern w:val="0"/>
                <w:sz w:val="21"/>
                <w:szCs w:val="21"/>
                <w:highlight w:val="none"/>
              </w:rPr>
              <w:t>）</w:t>
            </w:r>
            <w:r>
              <w:rPr>
                <w:rFonts w:hint="eastAsia" w:ascii="宋体" w:hAnsi="宋体" w:eastAsia="宋体" w:cs="宋体"/>
                <w:b w:val="0"/>
                <w:snapToGrid w:val="0"/>
                <w:kern w:val="2"/>
                <w:sz w:val="21"/>
                <w:szCs w:val="21"/>
                <w:highlight w:val="none"/>
                <w:lang w:val="en-US" w:eastAsia="zh-CN" w:bidi="ar-SA"/>
              </w:rPr>
              <w:cr/>
            </w:r>
          </w:p>
        </w:tc>
        <w:tc>
          <w:tcPr>
            <w:tcW w:w="1191" w:type="dxa"/>
            <w:noWrap w:val="0"/>
            <w:vAlign w:val="center"/>
          </w:tcPr>
          <w:p>
            <w:pPr>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0或4</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96" w:type="dxa"/>
            <w:noWrap w:val="0"/>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w:t>
            </w:r>
          </w:p>
        </w:tc>
        <w:tc>
          <w:tcPr>
            <w:tcW w:w="1675" w:type="dxa"/>
            <w:noWrap w:val="0"/>
            <w:vAlign w:val="center"/>
          </w:tcPr>
          <w:p>
            <w:pPr>
              <w:keepNext w:val="0"/>
              <w:keepLines w:val="0"/>
              <w:pageBreakBefore w:val="0"/>
              <w:kinsoku/>
              <w:wordWrap/>
              <w:topLinePunct w:val="0"/>
              <w:bidi w:val="0"/>
              <w:snapToGrid/>
              <w:spacing w:line="320" w:lineRule="exact"/>
              <w:jc w:val="center"/>
              <w:rPr>
                <w:rFonts w:hint="eastAsia" w:ascii="宋体" w:hAnsi="宋体" w:eastAsia="宋体" w:cs="宋体"/>
                <w:kern w:val="0"/>
                <w:sz w:val="21"/>
                <w:szCs w:val="21"/>
                <w:highlight w:val="none"/>
              </w:rPr>
            </w:pPr>
            <w:r>
              <w:rPr>
                <w:rFonts w:hint="eastAsia" w:ascii="宋体" w:hAnsi="宋体" w:eastAsia="宋体" w:cs="宋体"/>
                <w:color w:val="000000"/>
                <w:sz w:val="21"/>
                <w:szCs w:val="21"/>
                <w:highlight w:val="none"/>
              </w:rPr>
              <w:t>项目人员配备</w:t>
            </w:r>
          </w:p>
        </w:tc>
        <w:tc>
          <w:tcPr>
            <w:tcW w:w="6810" w:type="dxa"/>
            <w:noWrap w:val="0"/>
            <w:vAlign w:val="center"/>
          </w:tcPr>
          <w:p>
            <w:pPr>
              <w:pStyle w:val="31"/>
              <w:keepNext w:val="0"/>
              <w:keepLines w:val="0"/>
              <w:pageBreakBefore w:val="0"/>
              <w:kinsoku/>
              <w:wordWrap/>
              <w:topLinePunct w:val="0"/>
              <w:bidi w:val="0"/>
              <w:snapToGrid/>
              <w:spacing w:line="320" w:lineRule="exact"/>
              <w:jc w:val="both"/>
              <w:rPr>
                <w:rFonts w:hint="eastAsia" w:ascii="宋体" w:hAnsi="宋体" w:eastAsia="宋体" w:cs="宋体"/>
                <w:b w:val="0"/>
                <w:snapToGrid w:val="0"/>
                <w:kern w:val="2"/>
                <w:sz w:val="21"/>
                <w:szCs w:val="21"/>
                <w:highlight w:val="none"/>
                <w:lang w:val="en-US" w:eastAsia="zh-CN" w:bidi="ar-SA"/>
              </w:rPr>
            </w:pPr>
            <w:r>
              <w:rPr>
                <w:rFonts w:hint="eastAsia" w:ascii="宋体" w:hAnsi="宋体" w:eastAsia="宋体" w:cs="宋体"/>
                <w:b w:val="0"/>
                <w:snapToGrid w:val="0"/>
                <w:kern w:val="2"/>
                <w:sz w:val="21"/>
                <w:szCs w:val="21"/>
                <w:highlight w:val="none"/>
                <w:lang w:val="en-US" w:eastAsia="zh-CN" w:bidi="ar-SA"/>
              </w:rPr>
              <w:t>提供项目负责人项目经历情况，人员基本配置（年龄、从业时间、工作经验等）情况酌情评分。（</w:t>
            </w:r>
            <w:r>
              <w:rPr>
                <w:rFonts w:hint="eastAsia" w:ascii="宋体" w:hAnsi="宋体" w:cs="宋体"/>
                <w:b w:val="0"/>
                <w:snapToGrid w:val="0"/>
                <w:kern w:val="2"/>
                <w:sz w:val="21"/>
                <w:szCs w:val="21"/>
                <w:highlight w:val="none"/>
                <w:lang w:val="en-US" w:eastAsia="zh-CN" w:bidi="ar-SA"/>
              </w:rPr>
              <w:t>4</w:t>
            </w:r>
            <w:r>
              <w:rPr>
                <w:rFonts w:hint="eastAsia" w:ascii="宋体" w:hAnsi="宋体" w:eastAsia="宋体" w:cs="宋体"/>
                <w:b w:val="0"/>
                <w:snapToGrid w:val="0"/>
                <w:kern w:val="2"/>
                <w:sz w:val="21"/>
                <w:szCs w:val="21"/>
                <w:highlight w:val="none"/>
                <w:lang w:val="en-US" w:eastAsia="zh-CN" w:bidi="ar-SA"/>
              </w:rPr>
              <w:t>-</w:t>
            </w:r>
            <w:r>
              <w:rPr>
                <w:rFonts w:hint="eastAsia" w:ascii="宋体" w:hAnsi="宋体" w:cs="宋体"/>
                <w:b w:val="0"/>
                <w:snapToGrid w:val="0"/>
                <w:kern w:val="2"/>
                <w:sz w:val="21"/>
                <w:szCs w:val="21"/>
                <w:highlight w:val="none"/>
                <w:lang w:val="en-US" w:eastAsia="zh-CN" w:bidi="ar-SA"/>
              </w:rPr>
              <w:t>8</w:t>
            </w:r>
            <w:r>
              <w:rPr>
                <w:rFonts w:hint="eastAsia" w:ascii="宋体" w:hAnsi="宋体" w:eastAsia="宋体" w:cs="宋体"/>
                <w:b w:val="0"/>
                <w:snapToGrid w:val="0"/>
                <w:kern w:val="2"/>
                <w:sz w:val="21"/>
                <w:szCs w:val="21"/>
                <w:highlight w:val="none"/>
                <w:lang w:val="en-US" w:eastAsia="zh-CN" w:bidi="ar-SA"/>
              </w:rPr>
              <w:t>分）</w:t>
            </w:r>
          </w:p>
          <w:p>
            <w:pPr>
              <w:pStyle w:val="31"/>
              <w:keepNext w:val="0"/>
              <w:keepLines w:val="0"/>
              <w:pageBreakBefore w:val="0"/>
              <w:kinsoku/>
              <w:wordWrap/>
              <w:topLinePunct w:val="0"/>
              <w:bidi w:val="0"/>
              <w:snapToGrid/>
              <w:spacing w:line="320" w:lineRule="exact"/>
              <w:jc w:val="both"/>
              <w:rPr>
                <w:rFonts w:hint="eastAsia" w:ascii="宋体" w:hAnsi="宋体" w:eastAsia="宋体" w:cs="宋体"/>
                <w:b w:val="0"/>
                <w:snapToGrid w:val="0"/>
                <w:kern w:val="2"/>
                <w:sz w:val="21"/>
                <w:szCs w:val="21"/>
                <w:highlight w:val="none"/>
                <w:lang w:val="en-US" w:eastAsia="zh-CN" w:bidi="ar-SA"/>
              </w:rPr>
            </w:pPr>
            <w:r>
              <w:rPr>
                <w:rFonts w:hint="eastAsia" w:ascii="宋体" w:hAnsi="宋体" w:eastAsia="宋体" w:cs="宋体"/>
                <w:b w:val="0"/>
                <w:snapToGrid w:val="0"/>
                <w:kern w:val="2"/>
                <w:sz w:val="21"/>
                <w:szCs w:val="21"/>
                <w:highlight w:val="none"/>
                <w:lang w:val="en-US" w:eastAsia="zh-CN" w:bidi="ar-SA"/>
              </w:rPr>
              <w:t>投标人承诺所配备人员在合同履行中能够及时到位情况（</w:t>
            </w:r>
            <w:r>
              <w:rPr>
                <w:rFonts w:hint="eastAsia" w:ascii="宋体" w:hAnsi="宋体" w:cs="宋体"/>
                <w:b w:val="0"/>
                <w:snapToGrid w:val="0"/>
                <w:kern w:val="2"/>
                <w:sz w:val="21"/>
                <w:szCs w:val="21"/>
                <w:highlight w:val="none"/>
                <w:lang w:val="en-US" w:eastAsia="zh-CN" w:bidi="ar-SA"/>
              </w:rPr>
              <w:t>4</w:t>
            </w:r>
            <w:r>
              <w:rPr>
                <w:rFonts w:hint="eastAsia" w:ascii="宋体" w:hAnsi="宋体" w:eastAsia="宋体" w:cs="宋体"/>
                <w:b w:val="0"/>
                <w:snapToGrid w:val="0"/>
                <w:kern w:val="2"/>
                <w:sz w:val="21"/>
                <w:szCs w:val="21"/>
                <w:highlight w:val="none"/>
                <w:lang w:val="en-US" w:eastAsia="zh-CN" w:bidi="ar-SA"/>
              </w:rPr>
              <w:t>-</w:t>
            </w:r>
            <w:r>
              <w:rPr>
                <w:rFonts w:hint="eastAsia" w:ascii="宋体" w:hAnsi="宋体" w:cs="宋体"/>
                <w:b w:val="0"/>
                <w:snapToGrid w:val="0"/>
                <w:kern w:val="2"/>
                <w:sz w:val="21"/>
                <w:szCs w:val="21"/>
                <w:highlight w:val="none"/>
                <w:lang w:val="en-US" w:eastAsia="zh-CN" w:bidi="ar-SA"/>
              </w:rPr>
              <w:t>8</w:t>
            </w:r>
            <w:r>
              <w:rPr>
                <w:rFonts w:hint="eastAsia" w:ascii="宋体" w:hAnsi="宋体" w:eastAsia="宋体" w:cs="宋体"/>
                <w:b w:val="0"/>
                <w:snapToGrid w:val="0"/>
                <w:kern w:val="2"/>
                <w:sz w:val="21"/>
                <w:szCs w:val="21"/>
                <w:highlight w:val="none"/>
                <w:lang w:val="en-US" w:eastAsia="zh-CN" w:bidi="ar-SA"/>
              </w:rPr>
              <w:t>分）</w:t>
            </w:r>
          </w:p>
        </w:tc>
        <w:tc>
          <w:tcPr>
            <w:tcW w:w="1191" w:type="dxa"/>
            <w:noWrap w:val="0"/>
            <w:vAlign w:val="center"/>
          </w:tcPr>
          <w:p>
            <w:pPr>
              <w:pStyle w:val="11"/>
              <w:keepNext w:val="0"/>
              <w:keepLines w:val="0"/>
              <w:pageBreakBefore w:val="0"/>
              <w:kinsoku/>
              <w:wordWrap/>
              <w:topLinePunct w:val="0"/>
              <w:bidi w:val="0"/>
              <w:snapToGrid/>
              <w:spacing w:line="32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0或</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6" w:type="dxa"/>
            <w:noWrap w:val="0"/>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w:t>
            </w:r>
          </w:p>
        </w:tc>
        <w:tc>
          <w:tcPr>
            <w:tcW w:w="1675" w:type="dxa"/>
            <w:noWrap w:val="0"/>
            <w:vAlign w:val="center"/>
          </w:tcPr>
          <w:p>
            <w:pPr>
              <w:keepNext w:val="0"/>
              <w:keepLines w:val="0"/>
              <w:pageBreakBefore w:val="0"/>
              <w:kinsoku/>
              <w:wordWrap/>
              <w:topLinePunct w:val="0"/>
              <w:bidi w:val="0"/>
              <w:snapToGrid/>
              <w:spacing w:line="32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服务承诺</w:t>
            </w:r>
          </w:p>
        </w:tc>
        <w:tc>
          <w:tcPr>
            <w:tcW w:w="6810" w:type="dxa"/>
            <w:noWrap w:val="0"/>
            <w:vAlign w:val="center"/>
          </w:tcPr>
          <w:p>
            <w:pPr>
              <w:keepNext w:val="0"/>
              <w:keepLines w:val="0"/>
              <w:pageBreakBefore w:val="0"/>
              <w:kinsoku/>
              <w:wordWrap/>
              <w:topLinePunct w:val="0"/>
              <w:bidi w:val="0"/>
              <w:snapToGrid/>
              <w:spacing w:line="320" w:lineRule="exact"/>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rPr>
              <w:t>服务承诺（根据各投标人提供的相关服务承诺酌情打分）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6</w:t>
            </w:r>
            <w:r>
              <w:rPr>
                <w:rFonts w:hint="eastAsia" w:ascii="宋体" w:hAnsi="宋体" w:eastAsia="宋体" w:cs="宋体"/>
                <w:b w:val="0"/>
                <w:snapToGrid w:val="0"/>
                <w:kern w:val="2"/>
                <w:sz w:val="21"/>
                <w:szCs w:val="21"/>
                <w:highlight w:val="none"/>
                <w:lang w:val="en-US" w:eastAsia="zh-CN" w:bidi="ar-SA"/>
              </w:rPr>
              <w:t>分）</w:t>
            </w:r>
          </w:p>
        </w:tc>
        <w:tc>
          <w:tcPr>
            <w:tcW w:w="1191" w:type="dxa"/>
            <w:noWrap w:val="0"/>
            <w:vAlign w:val="center"/>
          </w:tcPr>
          <w:p>
            <w:pPr>
              <w:keepNext w:val="0"/>
              <w:keepLines w:val="0"/>
              <w:pageBreakBefore w:val="0"/>
              <w:kinsoku/>
              <w:wordWrap/>
              <w:topLinePunct w:val="0"/>
              <w:bidi w:val="0"/>
              <w:snapToGrid/>
              <w:spacing w:line="32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0或</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96" w:type="dxa"/>
            <w:noWrap w:val="0"/>
            <w:vAlign w:val="center"/>
          </w:tcPr>
          <w:p>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w:t>
            </w:r>
          </w:p>
        </w:tc>
        <w:tc>
          <w:tcPr>
            <w:tcW w:w="1675" w:type="dxa"/>
            <w:noWrap w:val="0"/>
            <w:vAlign w:val="center"/>
          </w:tcPr>
          <w:p>
            <w:pPr>
              <w:keepNext w:val="0"/>
              <w:keepLines w:val="0"/>
              <w:pageBreakBefore w:val="0"/>
              <w:kinsoku/>
              <w:wordWrap/>
              <w:topLinePunct w:val="0"/>
              <w:bidi w:val="0"/>
              <w:snapToGrid/>
              <w:spacing w:line="32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eastAsia="zh-CN"/>
              </w:rPr>
              <w:t>合理化建议</w:t>
            </w:r>
          </w:p>
        </w:tc>
        <w:tc>
          <w:tcPr>
            <w:tcW w:w="6810" w:type="dxa"/>
            <w:noWrap w:val="0"/>
            <w:vAlign w:val="center"/>
          </w:tcPr>
          <w:p>
            <w:pPr>
              <w:keepNext w:val="0"/>
              <w:keepLines w:val="0"/>
              <w:pageBreakBefore w:val="0"/>
              <w:kinsoku/>
              <w:wordWrap/>
              <w:topLinePunct w:val="0"/>
              <w:bidi w:val="0"/>
              <w:snapToGrid/>
              <w:spacing w:line="320" w:lineRule="exact"/>
              <w:rPr>
                <w:rFonts w:hint="eastAsia" w:ascii="宋体" w:hAnsi="宋体" w:eastAsia="宋体" w:cs="宋体"/>
                <w:kern w:val="0"/>
                <w:sz w:val="21"/>
                <w:szCs w:val="21"/>
                <w:highlight w:val="none"/>
              </w:rPr>
            </w:pPr>
            <w:r>
              <w:rPr>
                <w:rFonts w:hint="eastAsia" w:ascii="宋体" w:hAnsi="宋体" w:eastAsia="宋体" w:cs="宋体"/>
                <w:color w:val="auto"/>
                <w:kern w:val="10"/>
                <w:sz w:val="21"/>
                <w:szCs w:val="21"/>
                <w:highlight w:val="none"/>
              </w:rPr>
              <w:t>根据</w:t>
            </w:r>
            <w:r>
              <w:rPr>
                <w:rFonts w:hint="eastAsia" w:ascii="宋体" w:hAnsi="宋体" w:eastAsia="宋体" w:cs="宋体"/>
                <w:color w:val="auto"/>
                <w:kern w:val="10"/>
                <w:sz w:val="21"/>
                <w:szCs w:val="21"/>
                <w:highlight w:val="none"/>
                <w:lang w:eastAsia="zh-CN"/>
              </w:rPr>
              <w:t>投标单位</w:t>
            </w:r>
            <w:r>
              <w:rPr>
                <w:rFonts w:hint="eastAsia" w:ascii="宋体" w:hAnsi="宋体" w:eastAsia="宋体" w:cs="宋体"/>
                <w:color w:val="auto"/>
                <w:kern w:val="0"/>
                <w:sz w:val="21"/>
                <w:szCs w:val="21"/>
                <w:highlight w:val="none"/>
              </w:rPr>
              <w:t>对本项目合理化建议进行评分</w:t>
            </w:r>
            <w:r>
              <w:rPr>
                <w:rFonts w:hint="eastAsia" w:ascii="宋体" w:hAnsi="宋体" w:eastAsia="宋体" w:cs="宋体"/>
                <w:color w:val="auto"/>
                <w:kern w:val="10"/>
                <w:sz w:val="21"/>
                <w:szCs w:val="21"/>
                <w:highlight w:val="none"/>
              </w:rPr>
              <w:t>，经评委组一致认可的每条建议得</w:t>
            </w:r>
            <w:r>
              <w:rPr>
                <w:rFonts w:hint="eastAsia" w:ascii="宋体" w:hAnsi="宋体" w:eastAsia="宋体" w:cs="宋体"/>
                <w:color w:val="auto"/>
                <w:kern w:val="10"/>
                <w:sz w:val="21"/>
                <w:szCs w:val="21"/>
                <w:highlight w:val="none"/>
                <w:lang w:val="en-US" w:eastAsia="zh-CN"/>
              </w:rPr>
              <w:t>1</w:t>
            </w:r>
            <w:r>
              <w:rPr>
                <w:rFonts w:hint="eastAsia" w:ascii="宋体" w:hAnsi="宋体" w:eastAsia="宋体" w:cs="宋体"/>
                <w:color w:val="auto"/>
                <w:kern w:val="10"/>
                <w:sz w:val="21"/>
                <w:szCs w:val="21"/>
                <w:highlight w:val="none"/>
              </w:rPr>
              <w:t>分，最高得</w:t>
            </w:r>
            <w:r>
              <w:rPr>
                <w:rFonts w:hint="eastAsia" w:ascii="宋体" w:hAnsi="宋体" w:eastAsia="宋体" w:cs="宋体"/>
                <w:color w:val="auto"/>
                <w:kern w:val="10"/>
                <w:sz w:val="21"/>
                <w:szCs w:val="21"/>
                <w:highlight w:val="none"/>
                <w:lang w:val="en-US" w:eastAsia="zh-CN"/>
              </w:rPr>
              <w:t>3</w:t>
            </w:r>
            <w:r>
              <w:rPr>
                <w:rFonts w:hint="eastAsia" w:ascii="宋体" w:hAnsi="宋体" w:eastAsia="宋体" w:cs="宋体"/>
                <w:color w:val="auto"/>
                <w:kern w:val="10"/>
                <w:sz w:val="21"/>
                <w:szCs w:val="21"/>
                <w:highlight w:val="none"/>
              </w:rPr>
              <w:t>分。</w:t>
            </w:r>
          </w:p>
        </w:tc>
        <w:tc>
          <w:tcPr>
            <w:tcW w:w="1191" w:type="dxa"/>
            <w:noWrap w:val="0"/>
            <w:vAlign w:val="center"/>
          </w:tcPr>
          <w:p>
            <w:pPr>
              <w:keepNext w:val="0"/>
              <w:keepLines w:val="0"/>
              <w:pageBreakBefore w:val="0"/>
              <w:kinsoku/>
              <w:wordWrap/>
              <w:topLinePunct w:val="0"/>
              <w:bidi w:val="0"/>
              <w:snapToGrid/>
              <w:spacing w:line="32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0或1-3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6" w:type="dxa"/>
            <w:noWrap w:val="0"/>
            <w:vAlign w:val="center"/>
          </w:tcPr>
          <w:p>
            <w:pPr>
              <w:widowControl/>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8</w:t>
            </w:r>
          </w:p>
        </w:tc>
        <w:tc>
          <w:tcPr>
            <w:tcW w:w="1675" w:type="dxa"/>
            <w:noWrap w:val="0"/>
            <w:vAlign w:val="center"/>
          </w:tcPr>
          <w:p>
            <w:pPr>
              <w:jc w:val="center"/>
              <w:rPr>
                <w:rFonts w:hint="eastAsia" w:ascii="宋体" w:hAnsi="宋体" w:eastAsia="宋体" w:cs="宋体"/>
                <w:strike w:val="0"/>
                <w:dstrike w:val="0"/>
                <w:kern w:val="0"/>
                <w:sz w:val="21"/>
                <w:szCs w:val="21"/>
                <w:highlight w:val="none"/>
              </w:rPr>
            </w:pPr>
            <w:r>
              <w:rPr>
                <w:rFonts w:hint="eastAsia" w:ascii="宋体" w:hAnsi="宋体" w:cs="宋体"/>
                <w:strike w:val="0"/>
                <w:dstrike w:val="0"/>
                <w:kern w:val="0"/>
                <w:sz w:val="21"/>
                <w:szCs w:val="21"/>
                <w:highlight w:val="none"/>
                <w:lang w:eastAsia="zh-CN"/>
              </w:rPr>
              <w:t>相关</w:t>
            </w:r>
            <w:r>
              <w:rPr>
                <w:rFonts w:hint="eastAsia" w:ascii="宋体" w:hAnsi="宋体" w:eastAsia="宋体" w:cs="宋体"/>
                <w:strike w:val="0"/>
                <w:dstrike w:val="0"/>
                <w:kern w:val="0"/>
                <w:sz w:val="21"/>
                <w:szCs w:val="21"/>
                <w:highlight w:val="none"/>
                <w:lang w:val="en-US" w:eastAsia="zh-CN"/>
              </w:rPr>
              <w:t>证书</w:t>
            </w:r>
          </w:p>
        </w:tc>
        <w:tc>
          <w:tcPr>
            <w:tcW w:w="6810" w:type="dxa"/>
            <w:noWrap w:val="0"/>
            <w:vAlign w:val="center"/>
          </w:tcPr>
          <w:p>
            <w:pPr>
              <w:widowControl/>
              <w:rPr>
                <w:rFonts w:hint="eastAsia" w:ascii="宋体" w:hAnsi="宋体" w:eastAsia="宋体" w:cs="宋体"/>
                <w:strike w:val="0"/>
                <w:dstrike w:val="0"/>
                <w:kern w:val="0"/>
                <w:sz w:val="21"/>
                <w:szCs w:val="21"/>
                <w:highlight w:val="none"/>
              </w:rPr>
            </w:pPr>
            <w:r>
              <w:rPr>
                <w:rFonts w:hint="eastAsia" w:ascii="宋体" w:hAnsi="宋体" w:eastAsia="宋体" w:cs="宋体"/>
                <w:strike w:val="0"/>
                <w:dstrike w:val="0"/>
                <w:kern w:val="0"/>
                <w:sz w:val="21"/>
                <w:szCs w:val="21"/>
                <w:highlight w:val="none"/>
              </w:rPr>
              <w:t>供应商具有质量管理体系、环境管理体系、职业健康管理体系认证证书的每项得1分，最高3分；注：提供证书或证明材料复印件加盖公章。</w:t>
            </w:r>
          </w:p>
        </w:tc>
        <w:tc>
          <w:tcPr>
            <w:tcW w:w="1191" w:type="dxa"/>
            <w:noWrap w:val="0"/>
            <w:vAlign w:val="center"/>
          </w:tcPr>
          <w:p>
            <w:pPr>
              <w:widowControl/>
              <w:jc w:val="center"/>
              <w:rPr>
                <w:rFonts w:hint="eastAsia" w:ascii="宋体" w:hAnsi="宋体" w:cs="宋体"/>
                <w:bCs/>
                <w:strike w:val="0"/>
                <w:dstrike w:val="0"/>
                <w:kern w:val="0"/>
                <w:sz w:val="21"/>
                <w:szCs w:val="21"/>
                <w:highlight w:val="none"/>
                <w:lang w:val="en-US" w:eastAsia="zh-CN"/>
              </w:rPr>
            </w:pPr>
            <w:r>
              <w:rPr>
                <w:rFonts w:hint="eastAsia" w:ascii="宋体" w:hAnsi="宋体" w:eastAsia="宋体" w:cs="宋体"/>
                <w:bCs/>
                <w:strike w:val="0"/>
                <w:dstrike w:val="0"/>
                <w:kern w:val="0"/>
                <w:sz w:val="21"/>
                <w:szCs w:val="21"/>
                <w:highlight w:val="none"/>
              </w:rPr>
              <w:t>0</w:t>
            </w:r>
            <w:r>
              <w:rPr>
                <w:rFonts w:hint="eastAsia" w:ascii="宋体" w:hAnsi="宋体" w:eastAsia="宋体" w:cs="宋体"/>
                <w:bCs/>
                <w:strike w:val="0"/>
                <w:dstrike w:val="0"/>
                <w:kern w:val="0"/>
                <w:sz w:val="21"/>
                <w:szCs w:val="21"/>
                <w:highlight w:val="none"/>
                <w:lang w:val="en-US" w:eastAsia="zh-CN"/>
              </w:rPr>
              <w:t>或1</w:t>
            </w:r>
            <w:r>
              <w:rPr>
                <w:rFonts w:hint="eastAsia" w:ascii="宋体" w:hAnsi="宋体" w:eastAsia="宋体" w:cs="宋体"/>
                <w:bCs/>
                <w:strike w:val="0"/>
                <w:dstrike w:val="0"/>
                <w:kern w:val="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181" w:type="dxa"/>
            <w:gridSpan w:val="3"/>
            <w:noWrap w:val="0"/>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 计</w:t>
            </w:r>
          </w:p>
        </w:tc>
        <w:tc>
          <w:tcPr>
            <w:tcW w:w="1191" w:type="dxa"/>
            <w:noWrap w:val="0"/>
            <w:vAlign w:val="center"/>
          </w:tcPr>
          <w:p>
            <w:pPr>
              <w:widowControl/>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90</w:t>
            </w:r>
          </w:p>
        </w:tc>
      </w:tr>
    </w:tbl>
    <w:p>
      <w:pPr>
        <w:pStyle w:val="18"/>
        <w:keepNext w:val="0"/>
        <w:keepLines w:val="0"/>
        <w:pageBreakBefore w:val="0"/>
        <w:tabs>
          <w:tab w:val="left" w:pos="630"/>
        </w:tabs>
        <w:kinsoku/>
        <w:wordWrap/>
        <w:overflowPunct/>
        <w:topLinePunct w:val="0"/>
        <w:autoSpaceDE/>
        <w:autoSpaceDN/>
        <w:bidi w:val="0"/>
        <w:spacing w:line="420" w:lineRule="exact"/>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注：</w:t>
      </w:r>
      <w:r>
        <w:rPr>
          <w:rFonts w:hint="eastAsia" w:ascii="宋体" w:hAnsi="宋体" w:eastAsia="宋体" w:cs="宋体"/>
          <w:b/>
          <w:szCs w:val="21"/>
          <w:highlight w:val="none"/>
        </w:rPr>
        <w:t>投标人须将上述评分所需证明资料加盖投标人公章放入投标文件中，未提供不得分。存在弄虚作假的后果自负。若上所涉及内容，附件格式未提供，请自行设计格式。</w:t>
      </w:r>
    </w:p>
    <w:p>
      <w:pPr>
        <w:keepNext w:val="0"/>
        <w:keepLines w:val="0"/>
        <w:pageBreakBefore w:val="0"/>
        <w:kinsoku/>
        <w:wordWrap/>
        <w:overflowPunct/>
        <w:topLinePunct w:val="0"/>
        <w:autoSpaceDE/>
        <w:autoSpaceDN/>
        <w:bidi w:val="0"/>
        <w:adjustRightInd w:val="0"/>
        <w:snapToGrid w:val="0"/>
        <w:spacing w:line="420" w:lineRule="exact"/>
        <w:ind w:firstLine="422" w:firstLineChars="200"/>
        <w:textAlignment w:val="auto"/>
        <w:rPr>
          <w:rFonts w:hint="eastAsia" w:ascii="宋体" w:hAnsi="宋体" w:eastAsia="宋体" w:cs="宋体"/>
          <w:b/>
          <w:color w:val="00B050"/>
          <w:szCs w:val="21"/>
          <w:highlight w:val="none"/>
        </w:rPr>
      </w:pPr>
      <w:r>
        <w:rPr>
          <w:rFonts w:hint="eastAsia" w:ascii="宋体" w:hAnsi="宋体" w:eastAsia="宋体" w:cs="宋体"/>
          <w:b/>
          <w:szCs w:val="21"/>
          <w:highlight w:val="none"/>
        </w:rPr>
        <w:t>（二）价格分（满分</w:t>
      </w:r>
      <w:r>
        <w:rPr>
          <w:rFonts w:hint="eastAsia" w:ascii="宋体" w:hAnsi="宋体" w:cs="宋体"/>
          <w:b/>
          <w:szCs w:val="21"/>
          <w:highlight w:val="none"/>
          <w:lang w:val="en-US" w:eastAsia="zh-CN"/>
        </w:rPr>
        <w:t>1</w:t>
      </w:r>
      <w:r>
        <w:rPr>
          <w:rFonts w:hint="eastAsia" w:ascii="宋体" w:hAnsi="宋体" w:eastAsia="宋体" w:cs="宋体"/>
          <w:b/>
          <w:szCs w:val="21"/>
          <w:highlight w:val="none"/>
          <w:lang w:val="en-US" w:eastAsia="zh-CN"/>
        </w:rPr>
        <w:t>0</w:t>
      </w:r>
      <w:r>
        <w:rPr>
          <w:rFonts w:hint="eastAsia" w:ascii="宋体" w:hAnsi="宋体" w:eastAsia="宋体" w:cs="宋体"/>
          <w:b/>
          <w:szCs w:val="21"/>
          <w:highlight w:val="none"/>
        </w:rPr>
        <w:t>分）</w:t>
      </w:r>
    </w:p>
    <w:p>
      <w:pPr>
        <w:keepNext w:val="0"/>
        <w:keepLines w:val="0"/>
        <w:pageBreakBefore w:val="0"/>
        <w:tabs>
          <w:tab w:val="left" w:pos="0"/>
        </w:tabs>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1、投标报价在各阶段评审中未被定为无效响应文件或废标，其投标人的投标报价为有效投标报价。</w:t>
      </w:r>
    </w:p>
    <w:p>
      <w:pPr>
        <w:pStyle w:val="18"/>
        <w:keepNext w:val="0"/>
        <w:keepLines w:val="0"/>
        <w:pageBreakBefore w:val="0"/>
        <w:tabs>
          <w:tab w:val="left" w:pos="630"/>
        </w:tabs>
        <w:kinsoku/>
        <w:wordWrap/>
        <w:overflowPunct/>
        <w:topLinePunct w:val="0"/>
        <w:autoSpaceDE/>
        <w:autoSpaceDN/>
        <w:bidi w:val="0"/>
        <w:spacing w:line="420" w:lineRule="exact"/>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价格分采用低价优先法计算，即满足招标文件要求且投标价格最低的投标报价为评标基准价</w:t>
      </w:r>
      <w:r>
        <w:rPr>
          <w:rFonts w:hint="eastAsia" w:ascii="宋体" w:hAnsi="宋体" w:eastAsia="宋体" w:cs="宋体"/>
          <w:b/>
          <w:bCs/>
          <w:kern w:val="0"/>
          <w:szCs w:val="21"/>
          <w:highlight w:val="none"/>
        </w:rPr>
        <w:t>，其价格分为满分。</w:t>
      </w:r>
      <w:r>
        <w:rPr>
          <w:rFonts w:hint="eastAsia" w:ascii="宋体" w:hAnsi="宋体" w:eastAsia="宋体" w:cs="宋体"/>
          <w:b/>
          <w:bCs/>
          <w:szCs w:val="21"/>
          <w:highlight w:val="none"/>
        </w:rPr>
        <w:t>其他投标人的价格分按照下列公式计算：</w:t>
      </w:r>
    </w:p>
    <w:p>
      <w:pPr>
        <w:keepNext w:val="0"/>
        <w:keepLines w:val="0"/>
        <w:pageBreakBefore w:val="0"/>
        <w:widowControl/>
        <w:kinsoku/>
        <w:wordWrap/>
        <w:overflowPunct/>
        <w:topLinePunct w:val="0"/>
        <w:autoSpaceDE/>
        <w:autoSpaceDN/>
        <w:bidi w:val="0"/>
        <w:adjustRightInd w:val="0"/>
        <w:snapToGrid w:val="0"/>
        <w:spacing w:line="42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价格分=</w:t>
      </w:r>
      <w:r>
        <w:rPr>
          <w:rFonts w:hint="eastAsia" w:ascii="宋体" w:hAnsi="宋体" w:eastAsia="宋体" w:cs="宋体"/>
          <w:b/>
          <w:bCs/>
          <w:color w:val="auto"/>
          <w:kern w:val="0"/>
          <w:szCs w:val="21"/>
          <w:highlight w:val="none"/>
        </w:rPr>
        <w:t>（评标基准价/投标报价）×</w:t>
      </w:r>
      <w:r>
        <w:rPr>
          <w:rFonts w:hint="eastAsia" w:ascii="宋体" w:hAnsi="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szCs w:val="21"/>
          <w:highlight w:val="none"/>
        </w:rPr>
        <w:t>%×100分</w:t>
      </w:r>
    </w:p>
    <w:p>
      <w:pPr>
        <w:pStyle w:val="18"/>
        <w:keepNext w:val="0"/>
        <w:keepLines w:val="0"/>
        <w:pageBreakBefore w:val="0"/>
        <w:tabs>
          <w:tab w:val="left" w:pos="630"/>
        </w:tabs>
        <w:kinsoku/>
        <w:wordWrap/>
        <w:overflowPunct/>
        <w:topLinePunct w:val="0"/>
        <w:autoSpaceDE/>
        <w:autoSpaceDN/>
        <w:bidi w:val="0"/>
        <w:spacing w:line="420" w:lineRule="exact"/>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adjustRightInd w:val="0"/>
        <w:snapToGrid w:val="0"/>
        <w:spacing w:line="360" w:lineRule="auto"/>
        <w:jc w:val="center"/>
        <w:rPr>
          <w:rFonts w:hint="eastAsia" w:ascii="宋体" w:hAnsi="宋体" w:eastAsia="宋体" w:cs="宋体"/>
          <w:b/>
          <w:sz w:val="30"/>
          <w:szCs w:val="30"/>
          <w:highlight w:val="none"/>
        </w:rPr>
      </w:pPr>
      <w:r>
        <w:rPr>
          <w:rFonts w:hint="eastAsia" w:ascii="宋体" w:hAnsi="宋体" w:eastAsia="宋体" w:cs="宋体"/>
          <w:b/>
          <w:sz w:val="36"/>
          <w:szCs w:val="36"/>
          <w:highlight w:val="none"/>
        </w:rPr>
        <w:br w:type="page"/>
      </w:r>
      <w:r>
        <w:rPr>
          <w:rFonts w:hint="eastAsia" w:ascii="宋体" w:hAnsi="宋体" w:eastAsia="宋体" w:cs="宋体"/>
          <w:b/>
          <w:sz w:val="32"/>
          <w:szCs w:val="32"/>
          <w:highlight w:val="none"/>
        </w:rPr>
        <w:t>第五章  政府采购合同主要条款</w:t>
      </w:r>
    </w:p>
    <w:p>
      <w:pPr>
        <w:widowControl/>
        <w:spacing w:line="420" w:lineRule="exact"/>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一、通用条款部分</w:t>
      </w:r>
    </w:p>
    <w:p>
      <w:pPr>
        <w:widowControl/>
        <w:spacing w:line="42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招标编号：</w:t>
      </w:r>
      <w:r>
        <w:rPr>
          <w:rFonts w:hint="eastAsia" w:ascii="宋体" w:hAnsi="宋体" w:eastAsia="宋体" w:cs="宋体"/>
          <w:kern w:val="0"/>
          <w:szCs w:val="21"/>
          <w:highlight w:val="none"/>
          <w:u w:val="single"/>
          <w:lang w:val="en-US" w:eastAsia="zh-CN"/>
        </w:rPr>
        <w:t xml:space="preserve">           </w:t>
      </w:r>
    </w:p>
    <w:p>
      <w:pPr>
        <w:widowControl/>
        <w:spacing w:line="42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政府采购计划（预算）确认号：</w:t>
      </w:r>
      <w:r>
        <w:rPr>
          <w:rFonts w:hint="eastAsia" w:ascii="宋体" w:hAnsi="宋体" w:eastAsia="宋体" w:cs="宋体"/>
          <w:kern w:val="0"/>
          <w:szCs w:val="21"/>
          <w:highlight w:val="none"/>
          <w:u w:val="single"/>
          <w:lang w:val="en-US" w:eastAsia="zh-CN"/>
        </w:rPr>
        <w:t xml:space="preserve">                </w:t>
      </w:r>
    </w:p>
    <w:p>
      <w:pPr>
        <w:widowControl/>
        <w:spacing w:line="420" w:lineRule="exact"/>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预算金额：</w:t>
      </w:r>
      <w:r>
        <w:rPr>
          <w:rFonts w:hint="eastAsia" w:ascii="宋体" w:hAnsi="宋体" w:eastAsia="宋体" w:cs="宋体"/>
          <w:kern w:val="0"/>
          <w:szCs w:val="21"/>
          <w:highlight w:val="none"/>
          <w:lang w:eastAsia="zh-CN"/>
        </w:rPr>
        <w:t>人民币：</w:t>
      </w:r>
      <w:r>
        <w:rPr>
          <w:rFonts w:hint="eastAsia" w:ascii="宋体" w:hAnsi="宋体" w:eastAsia="宋体" w:cs="宋体"/>
          <w:kern w:val="0"/>
          <w:szCs w:val="21"/>
          <w:highlight w:val="none"/>
          <w:u w:val="single"/>
          <w:lang w:val="en-US" w:eastAsia="zh-CN"/>
        </w:rPr>
        <w:t>87万元</w:t>
      </w:r>
    </w:p>
    <w:p>
      <w:pPr>
        <w:widowControl/>
        <w:spacing w:line="42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采购人（以下称甲方）：</w:t>
      </w:r>
    </w:p>
    <w:p>
      <w:pPr>
        <w:widowControl/>
        <w:spacing w:line="42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供应商（以下称乙方）：</w:t>
      </w:r>
    </w:p>
    <w:p>
      <w:pPr>
        <w:widowControl/>
        <w:spacing w:line="42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采购代理机构：浙江中明工程咨询有限公司</w:t>
      </w:r>
    </w:p>
    <w:p>
      <w:pPr>
        <w:widowControl/>
        <w:spacing w:line="420" w:lineRule="exact"/>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采购方式：</w:t>
      </w:r>
      <w:r>
        <w:rPr>
          <w:rFonts w:hint="eastAsia" w:ascii="宋体" w:hAnsi="宋体" w:cs="宋体"/>
          <w:kern w:val="0"/>
          <w:szCs w:val="21"/>
          <w:highlight w:val="none"/>
          <w:lang w:eastAsia="zh-CN"/>
        </w:rPr>
        <w:t>竞争性磋商</w:t>
      </w:r>
    </w:p>
    <w:p>
      <w:pPr>
        <w:widowControl/>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根据《中华人民共和国政府采购法》、《中华人民共和国民法典》等法律法规的规定，甲乙双方按照</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rPr>
        <w:t>采购结果签订本合同。</w:t>
      </w:r>
    </w:p>
    <w:p>
      <w:pPr>
        <w:widowControl/>
        <w:spacing w:line="420" w:lineRule="exact"/>
        <w:ind w:firstLine="422" w:firstLineChars="200"/>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第一条 合同组成</w:t>
      </w:r>
    </w:p>
    <w:p>
      <w:pPr>
        <w:widowControl/>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本次政府采购活动的相关文件为本合同的组成部分，这些文件包括但不限于：</w:t>
      </w:r>
    </w:p>
    <w:p>
      <w:pPr>
        <w:widowControl/>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（1）本合同文本；</w:t>
      </w:r>
    </w:p>
    <w:p>
      <w:pPr>
        <w:widowControl/>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（2）采购文件与采购响应文件；</w:t>
      </w:r>
    </w:p>
    <w:p>
      <w:pPr>
        <w:widowControl/>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（3）中标或成交通知书；</w:t>
      </w:r>
    </w:p>
    <w:p>
      <w:pPr>
        <w:widowControl/>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组成本合同的所有文件必须为书面形式。</w:t>
      </w:r>
    </w:p>
    <w:p>
      <w:pPr>
        <w:widowControl/>
        <w:spacing w:line="420" w:lineRule="exact"/>
        <w:ind w:firstLine="422" w:firstLineChars="200"/>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第二条 合同标的与相关属性</w:t>
      </w:r>
    </w:p>
    <w:p>
      <w:pPr>
        <w:widowControl/>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本次采购的是</w:t>
      </w:r>
      <w:r>
        <w:rPr>
          <w:rFonts w:hint="eastAsia" w:ascii="宋体" w:hAnsi="宋体" w:eastAsia="宋体" w:cs="宋体"/>
          <w:kern w:val="0"/>
          <w:szCs w:val="21"/>
          <w:highlight w:val="none"/>
          <w:u w:val="single"/>
          <w:lang w:eastAsia="zh-CN"/>
        </w:rPr>
        <w:t>塘汇街道2023年河道保洁及养护项目</w:t>
      </w:r>
      <w:r>
        <w:rPr>
          <w:rFonts w:hint="eastAsia" w:ascii="宋体" w:hAnsi="宋体" w:eastAsia="宋体" w:cs="宋体"/>
          <w:kern w:val="0"/>
          <w:szCs w:val="21"/>
          <w:highlight w:val="none"/>
          <w:u w:val="singl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1、本合同项下总价款为（大写）</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人民币，分项价款见“价格清单”（若有）。</w:t>
      </w:r>
    </w:p>
    <w:p>
      <w:pPr>
        <w:snapToGrid w:val="0"/>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2、本合同价款含所有税费。</w:t>
      </w:r>
    </w:p>
    <w:p>
      <w:pPr>
        <w:pStyle w:val="66"/>
        <w:widowControl/>
        <w:shd w:val="clear" w:color="auto" w:fill="FDFDFD"/>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3、本合同付款方式为：</w:t>
      </w:r>
      <w:r>
        <w:rPr>
          <w:rFonts w:hint="eastAsia" w:ascii="宋体" w:hAnsi="宋体" w:eastAsia="宋体" w:cs="宋体"/>
          <w:color w:val="auto"/>
          <w:kern w:val="0"/>
          <w:sz w:val="21"/>
          <w:szCs w:val="21"/>
          <w:highlight w:val="none"/>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乙方不得擅自部分或全部转让其应履行的合同义务。乙方分包的，应事先征得甲方书面同意。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kern w:val="0"/>
          <w:szCs w:val="21"/>
          <w:highlight w:val="none"/>
        </w:rPr>
      </w:pPr>
      <w:bookmarkStart w:id="87" w:name="OLE_LINK3"/>
      <w:r>
        <w:rPr>
          <w:rFonts w:hint="eastAsia" w:ascii="宋体" w:hAnsi="宋体" w:eastAsia="宋体" w:cs="宋体"/>
          <w:kern w:val="0"/>
          <w:szCs w:val="21"/>
          <w:highlight w:val="none"/>
        </w:rPr>
        <w:t>1、因履行本合同引起的或与本合同有关的争议，甲、乙双方应首先通过友好协商解决，如果协商不能解决争议，则采取以下第</w:t>
      </w:r>
      <w:r>
        <w:rPr>
          <w:rFonts w:hint="eastAsia" w:ascii="宋体" w:hAnsi="宋体" w:eastAsia="宋体" w:cs="宋体"/>
          <w:kern w:val="0"/>
          <w:szCs w:val="21"/>
          <w:highlight w:val="none"/>
          <w:u w:val="single"/>
        </w:rPr>
        <w:t xml:space="preserve">  （1）  </w:t>
      </w:r>
      <w:r>
        <w:rPr>
          <w:rFonts w:hint="eastAsia" w:ascii="宋体" w:hAnsi="宋体" w:eastAsia="宋体" w:cs="宋体"/>
          <w:kern w:val="0"/>
          <w:szCs w:val="21"/>
          <w:highlight w:val="none"/>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（2）向</w:t>
      </w:r>
      <w:r>
        <w:rPr>
          <w:rFonts w:hint="eastAsia" w:ascii="宋体" w:hAnsi="宋体" w:eastAsia="宋体" w:cs="宋体"/>
          <w:kern w:val="0"/>
          <w:szCs w:val="21"/>
          <w:highlight w:val="none"/>
          <w:u w:val="single"/>
        </w:rPr>
        <w:t xml:space="preserve">  嘉兴 </w:t>
      </w:r>
      <w:r>
        <w:rPr>
          <w:rFonts w:hint="eastAsia" w:ascii="宋体" w:hAnsi="宋体" w:eastAsia="宋体" w:cs="宋体"/>
          <w:kern w:val="0"/>
          <w:szCs w:val="21"/>
          <w:highlight w:val="none"/>
        </w:rPr>
        <w:t>仲裁委员申请仲裁。</w:t>
      </w:r>
    </w:p>
    <w:bookmarkEnd w:id="87"/>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第八条 合同备案及其他</w:t>
      </w:r>
    </w:p>
    <w:p>
      <w:pPr>
        <w:widowControl/>
        <w:spacing w:line="420" w:lineRule="exact"/>
        <w:ind w:firstLine="420" w:firstLineChars="200"/>
        <w:jc w:val="left"/>
        <w:rPr>
          <w:rFonts w:hint="eastAsia" w:ascii="宋体" w:hAnsi="宋体" w:eastAsia="宋体" w:cs="宋体"/>
          <w:b/>
          <w:bCs/>
          <w:kern w:val="0"/>
          <w:sz w:val="30"/>
          <w:szCs w:val="30"/>
          <w:highlight w:val="none"/>
        </w:rPr>
      </w:pPr>
      <w:r>
        <w:rPr>
          <w:rFonts w:hint="eastAsia" w:ascii="宋体" w:hAnsi="宋体" w:eastAsia="宋体" w:cs="宋体"/>
          <w:kern w:val="0"/>
          <w:szCs w:val="21"/>
          <w:highlight w:val="none"/>
        </w:rPr>
        <w:t>本合同一式</w:t>
      </w:r>
      <w:r>
        <w:rPr>
          <w:rFonts w:hint="eastAsia" w:ascii="宋体" w:hAnsi="宋体" w:eastAsia="宋体" w:cs="宋体"/>
          <w:kern w:val="0"/>
          <w:szCs w:val="21"/>
          <w:highlight w:val="none"/>
          <w:u w:val="single"/>
        </w:rPr>
        <w:t xml:space="preserve"> 五 </w:t>
      </w:r>
      <w:r>
        <w:rPr>
          <w:rFonts w:hint="eastAsia" w:ascii="宋体" w:hAnsi="宋体" w:eastAsia="宋体" w:cs="宋体"/>
          <w:kern w:val="0"/>
          <w:szCs w:val="21"/>
          <w:highlight w:val="none"/>
        </w:rPr>
        <w:t>份，甲乙双方各执</w:t>
      </w:r>
      <w:r>
        <w:rPr>
          <w:rFonts w:hint="eastAsia" w:ascii="宋体" w:hAnsi="宋体" w:eastAsia="宋体" w:cs="宋体"/>
          <w:kern w:val="0"/>
          <w:szCs w:val="21"/>
          <w:highlight w:val="none"/>
          <w:u w:val="single"/>
        </w:rPr>
        <w:t xml:space="preserve"> 二 </w:t>
      </w:r>
      <w:r>
        <w:rPr>
          <w:rFonts w:hint="eastAsia" w:ascii="宋体" w:hAnsi="宋体" w:eastAsia="宋体" w:cs="宋体"/>
          <w:kern w:val="0"/>
          <w:szCs w:val="21"/>
          <w:highlight w:val="none"/>
        </w:rPr>
        <w:t>份，</w:t>
      </w:r>
      <w:r>
        <w:rPr>
          <w:rFonts w:hint="eastAsia" w:ascii="宋体" w:hAnsi="宋体" w:eastAsia="宋体" w:cs="宋体"/>
          <w:kern w:val="0"/>
          <w:szCs w:val="21"/>
          <w:highlight w:val="none"/>
          <w:u w:val="single"/>
        </w:rPr>
        <w:t xml:space="preserve"> 一 </w:t>
      </w:r>
      <w:r>
        <w:rPr>
          <w:rFonts w:hint="eastAsia" w:ascii="宋体" w:hAnsi="宋体" w:eastAsia="宋体" w:cs="宋体"/>
          <w:kern w:val="0"/>
          <w:szCs w:val="21"/>
          <w:highlight w:val="none"/>
        </w:rPr>
        <w:t>份留采购代理单位存档备查。</w:t>
      </w:r>
      <w:r>
        <w:rPr>
          <w:rFonts w:hint="eastAsia" w:ascii="宋体" w:hAnsi="宋体" w:eastAsia="宋体" w:cs="宋体"/>
          <w:b/>
          <w:bCs/>
          <w:kern w:val="0"/>
          <w:szCs w:val="21"/>
          <w:highlight w:val="none"/>
          <w:u w:val="single"/>
        </w:rPr>
        <w:t>（若执行“政采贷”，另加二份）</w:t>
      </w:r>
    </w:p>
    <w:p>
      <w:pPr>
        <w:pStyle w:val="13"/>
        <w:rPr>
          <w:rFonts w:hint="eastAsia" w:ascii="宋体" w:hAnsi="宋体" w:eastAsia="宋体" w:cs="宋体"/>
          <w:b/>
          <w:bCs/>
          <w:kern w:val="0"/>
          <w:sz w:val="28"/>
          <w:szCs w:val="28"/>
          <w:highlight w:val="none"/>
        </w:rPr>
      </w:pPr>
    </w:p>
    <w:p>
      <w:pPr>
        <w:pStyle w:val="18"/>
        <w:snapToGrid w:val="0"/>
        <w:spacing w:before="120" w:after="120" w:line="420" w:lineRule="exact"/>
        <w:jc w:val="center"/>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t>二、专用条款部分</w:t>
      </w:r>
    </w:p>
    <w:p>
      <w:pPr>
        <w:pStyle w:val="18"/>
        <w:snapToGrid w:val="0"/>
        <w:spacing w:before="120" w:after="120" w:line="400" w:lineRule="exact"/>
        <w:rPr>
          <w:rFonts w:hint="eastAsia" w:ascii="宋体" w:hAnsi="宋体" w:eastAsia="宋体" w:cs="宋体"/>
          <w:sz w:val="32"/>
          <w:szCs w:val="32"/>
          <w:highlight w:val="none"/>
        </w:rPr>
      </w:pPr>
    </w:p>
    <w:p>
      <w:pPr>
        <w:pStyle w:val="18"/>
        <w:keepNext w:val="0"/>
        <w:keepLines w:val="0"/>
        <w:pageBreakBefore w:val="0"/>
        <w:widowControl w:val="0"/>
        <w:kinsoku/>
        <w:wordWrap/>
        <w:overflowPunct/>
        <w:topLinePunct w:val="0"/>
        <w:bidi w:val="0"/>
        <w:snapToGrid w:val="0"/>
        <w:spacing w:line="360" w:lineRule="auto"/>
        <w:ind w:firstLine="413" w:firstLineChars="196"/>
        <w:textAlignment w:val="auto"/>
        <w:rPr>
          <w:rFonts w:hint="eastAsia" w:ascii="宋体" w:hAnsi="宋体" w:eastAsia="宋体" w:cs="宋体"/>
          <w:b/>
          <w:kern w:val="0"/>
          <w:sz w:val="21"/>
          <w:szCs w:val="21"/>
          <w:highlight w:val="none"/>
          <w:lang w:val="en-US" w:eastAsia="zh-CN" w:bidi="ar-SA"/>
        </w:rPr>
      </w:pPr>
      <w:r>
        <w:rPr>
          <w:rFonts w:hint="eastAsia" w:ascii="宋体" w:hAnsi="宋体" w:eastAsia="宋体" w:cs="宋体"/>
          <w:b/>
          <w:kern w:val="0"/>
          <w:sz w:val="21"/>
          <w:szCs w:val="21"/>
          <w:highlight w:val="none"/>
          <w:lang w:val="en-US" w:eastAsia="zh-CN" w:bidi="ar-SA"/>
        </w:rPr>
        <w:t>第一条服务内容</w:t>
      </w:r>
    </w:p>
    <w:p>
      <w:pPr>
        <w:keepNext w:val="0"/>
        <w:keepLines w:val="0"/>
        <w:pageBreakBefore w:val="0"/>
        <w:widowControl w:val="0"/>
        <w:kinsoku/>
        <w:wordWrap/>
        <w:overflowPunct/>
        <w:topLinePunct w:val="0"/>
        <w:autoSpaceDE w:val="0"/>
        <w:autoSpaceDN w:val="0"/>
        <w:bidi w:val="0"/>
        <w:adjustRightInd w:val="0"/>
        <w:spacing w:line="360" w:lineRule="auto"/>
        <w:ind w:firstLine="420"/>
        <w:textAlignment w:val="auto"/>
        <w:rPr>
          <w:rFonts w:hint="eastAsia" w:ascii="宋体" w:hAnsi="宋体" w:eastAsia="宋体" w:cs="宋体"/>
          <w:b/>
          <w:kern w:val="36"/>
          <w:sz w:val="21"/>
          <w:szCs w:val="21"/>
          <w:highlight w:val="none"/>
        </w:rPr>
      </w:pPr>
      <w:r>
        <w:rPr>
          <w:rFonts w:hint="eastAsia" w:ascii="宋体" w:hAnsi="宋体" w:eastAsia="宋体" w:cs="宋体"/>
          <w:b/>
          <w:kern w:val="36"/>
          <w:sz w:val="21"/>
          <w:szCs w:val="21"/>
          <w:highlight w:val="none"/>
        </w:rPr>
        <w:t>……</w:t>
      </w:r>
    </w:p>
    <w:p>
      <w:pPr>
        <w:pStyle w:val="18"/>
        <w:keepNext w:val="0"/>
        <w:keepLines w:val="0"/>
        <w:pageBreakBefore w:val="0"/>
        <w:widowControl w:val="0"/>
        <w:kinsoku/>
        <w:wordWrap/>
        <w:overflowPunct/>
        <w:topLinePunct w:val="0"/>
        <w:bidi w:val="0"/>
        <w:snapToGrid w:val="0"/>
        <w:spacing w:line="360" w:lineRule="auto"/>
        <w:ind w:firstLine="413" w:firstLineChars="196"/>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第二条合同履行时间、履行方式及履行地点</w:t>
      </w:r>
    </w:p>
    <w:p>
      <w:pPr>
        <w:pStyle w:val="18"/>
        <w:keepNext w:val="0"/>
        <w:keepLines w:val="0"/>
        <w:pageBreakBefore w:val="0"/>
        <w:widowControl w:val="0"/>
        <w:kinsoku/>
        <w:wordWrap/>
        <w:overflowPunct/>
        <w:topLinePunct w:val="0"/>
        <w:bidi w:val="0"/>
        <w:snapToGrid w:val="0"/>
        <w:spacing w:line="360" w:lineRule="auto"/>
        <w:ind w:firstLine="411" w:firstLineChars="196"/>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sz w:val="21"/>
          <w:szCs w:val="21"/>
          <w:highlight w:val="none"/>
        </w:rPr>
        <w:t>履行时间</w:t>
      </w:r>
      <w:r>
        <w:rPr>
          <w:rFonts w:hint="eastAsia" w:ascii="宋体" w:hAnsi="宋体" w:eastAsia="宋体" w:cs="宋体"/>
          <w:bCs/>
          <w:sz w:val="21"/>
          <w:szCs w:val="21"/>
          <w:highlight w:val="none"/>
        </w:rPr>
        <w:t>：</w:t>
      </w:r>
    </w:p>
    <w:p>
      <w:pPr>
        <w:pStyle w:val="18"/>
        <w:keepNext w:val="0"/>
        <w:keepLines w:val="0"/>
        <w:pageBreakBefore w:val="0"/>
        <w:widowControl w:val="0"/>
        <w:kinsoku/>
        <w:wordWrap/>
        <w:overflowPunct/>
        <w:topLinePunct w:val="0"/>
        <w:bidi w:val="0"/>
        <w:snapToGrid w:val="0"/>
        <w:spacing w:line="360" w:lineRule="auto"/>
        <w:ind w:firstLine="411" w:firstLineChars="196"/>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r>
        <w:rPr>
          <w:rFonts w:hint="eastAsia" w:ascii="宋体" w:hAnsi="宋体" w:eastAsia="宋体" w:cs="宋体"/>
          <w:sz w:val="21"/>
          <w:szCs w:val="21"/>
          <w:highlight w:val="none"/>
        </w:rPr>
        <w:t>履行方式</w:t>
      </w:r>
      <w:r>
        <w:rPr>
          <w:rFonts w:hint="eastAsia" w:ascii="宋体" w:hAnsi="宋体" w:eastAsia="宋体" w:cs="宋体"/>
          <w:bCs/>
          <w:sz w:val="21"/>
          <w:szCs w:val="21"/>
          <w:highlight w:val="none"/>
        </w:rPr>
        <w:t>：</w:t>
      </w:r>
    </w:p>
    <w:p>
      <w:pPr>
        <w:pStyle w:val="18"/>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r>
        <w:rPr>
          <w:rFonts w:hint="eastAsia" w:ascii="宋体" w:hAnsi="宋体" w:eastAsia="宋体" w:cs="宋体"/>
          <w:sz w:val="21"/>
          <w:szCs w:val="21"/>
          <w:highlight w:val="none"/>
        </w:rPr>
        <w:t>履行地点</w:t>
      </w:r>
      <w:r>
        <w:rPr>
          <w:rFonts w:hint="eastAsia" w:ascii="宋体" w:hAnsi="宋体" w:eastAsia="宋体" w:cs="宋体"/>
          <w:bCs/>
          <w:sz w:val="21"/>
          <w:szCs w:val="21"/>
          <w:highlight w:val="none"/>
        </w:rPr>
        <w:t>：</w:t>
      </w:r>
    </w:p>
    <w:p>
      <w:pPr>
        <w:pStyle w:val="18"/>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第三条技术资料</w:t>
      </w:r>
    </w:p>
    <w:p>
      <w:pPr>
        <w:pStyle w:val="18"/>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1、乙方应按招标文件规定的时间向甲方提供有关技术资料。</w:t>
      </w:r>
    </w:p>
    <w:p>
      <w:pPr>
        <w:pStyle w:val="18"/>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第四条知识产权</w:t>
      </w:r>
    </w:p>
    <w:p>
      <w:pPr>
        <w:pStyle w:val="18"/>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乙方应保证提供服务过程中不会侵犯任何第三方的</w:t>
      </w:r>
      <w:r>
        <w:rPr>
          <w:rFonts w:hint="eastAsia" w:ascii="宋体" w:hAnsi="宋体" w:eastAsia="宋体" w:cs="宋体"/>
          <w:b/>
          <w:sz w:val="21"/>
          <w:szCs w:val="21"/>
          <w:highlight w:val="none"/>
        </w:rPr>
        <w:t>知识产权</w:t>
      </w:r>
      <w:r>
        <w:rPr>
          <w:rFonts w:hint="eastAsia" w:ascii="宋体" w:hAnsi="宋体" w:eastAsia="宋体" w:cs="宋体"/>
          <w:b/>
          <w:bCs/>
          <w:sz w:val="21"/>
          <w:szCs w:val="21"/>
          <w:highlight w:val="none"/>
        </w:rPr>
        <w:t>。</w:t>
      </w:r>
    </w:p>
    <w:p>
      <w:pPr>
        <w:pStyle w:val="18"/>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第五条履约保证金</w:t>
      </w:r>
    </w:p>
    <w:p>
      <w:pPr>
        <w:pStyle w:val="18"/>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乙方交纳人民币△元作为本合同的履约保证金。</w:t>
      </w:r>
    </w:p>
    <w:p>
      <w:pPr>
        <w:keepNext w:val="0"/>
        <w:keepLines w:val="0"/>
        <w:pageBreakBefore w:val="0"/>
        <w:widowControl w:val="0"/>
        <w:kinsoku/>
        <w:wordWrap/>
        <w:overflowPunct/>
        <w:topLinePunct w:val="0"/>
        <w:bidi w:val="0"/>
        <w:snapToGrid w:val="0"/>
        <w:spacing w:line="360" w:lineRule="auto"/>
        <w:ind w:firstLine="413" w:firstLineChars="196"/>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第六条 税费</w:t>
      </w:r>
    </w:p>
    <w:p>
      <w:pPr>
        <w:keepNext w:val="0"/>
        <w:keepLines w:val="0"/>
        <w:pageBreakBefore w:val="0"/>
        <w:widowControl w:val="0"/>
        <w:kinsoku/>
        <w:wordWrap/>
        <w:overflowPunct/>
        <w:topLinePunct w:val="0"/>
        <w:bidi w:val="0"/>
        <w:snapToGrid w:val="0"/>
        <w:spacing w:line="360" w:lineRule="auto"/>
        <w:ind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本合同执行中相关的一切税费均由乙方负担。</w:t>
      </w:r>
    </w:p>
    <w:p>
      <w:pPr>
        <w:pStyle w:val="18"/>
        <w:keepNext w:val="0"/>
        <w:keepLines w:val="0"/>
        <w:pageBreakBefore w:val="0"/>
        <w:widowControl w:val="0"/>
        <w:kinsoku/>
        <w:wordWrap/>
        <w:overflowPunct/>
        <w:topLinePunct w:val="0"/>
        <w:bidi w:val="0"/>
        <w:snapToGrid w:val="0"/>
        <w:spacing w:line="360" w:lineRule="auto"/>
        <w:ind w:firstLine="413" w:firstLineChars="196"/>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第七条违约责任</w:t>
      </w:r>
    </w:p>
    <w:p>
      <w:pPr>
        <w:pStyle w:val="18"/>
        <w:keepNext w:val="0"/>
        <w:keepLines w:val="0"/>
        <w:pageBreakBefore w:val="0"/>
        <w:widowControl w:val="0"/>
        <w:kinsoku/>
        <w:wordWrap/>
        <w:overflowPunct/>
        <w:topLinePunct w:val="0"/>
        <w:bidi w:val="0"/>
        <w:snapToGrid w:val="0"/>
        <w:spacing w:line="360" w:lineRule="auto"/>
        <w:ind w:firstLine="413" w:firstLineChars="196"/>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w:t>
      </w:r>
    </w:p>
    <w:p>
      <w:pPr>
        <w:pStyle w:val="18"/>
        <w:keepNext w:val="0"/>
        <w:keepLines w:val="0"/>
        <w:pageBreakBefore w:val="0"/>
        <w:widowControl w:val="0"/>
        <w:kinsoku/>
        <w:wordWrap/>
        <w:overflowPunct/>
        <w:topLinePunct w:val="0"/>
        <w:bidi w:val="0"/>
        <w:snapToGrid w:val="0"/>
        <w:spacing w:line="360" w:lineRule="auto"/>
        <w:ind w:firstLine="413" w:firstLineChars="196"/>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第八条不可抗力事件处理</w:t>
      </w:r>
    </w:p>
    <w:p>
      <w:pPr>
        <w:pStyle w:val="18"/>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1、在合同有效期内，任何一方因不可抗力事件导致不能履行合同，则合同履行期可延长，其延长期与不可抗力影响期相同。</w:t>
      </w:r>
    </w:p>
    <w:p>
      <w:pPr>
        <w:pStyle w:val="18"/>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2、不可抗力事件发生后，应立即通知对方，并寄送有关权威机构出具的证明。</w:t>
      </w:r>
    </w:p>
    <w:p>
      <w:pPr>
        <w:pStyle w:val="18"/>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3、不可抗力事件延续120天以上，双方应通过友好协商，确定是否继续履行合同。</w:t>
      </w:r>
    </w:p>
    <w:p>
      <w:pPr>
        <w:pStyle w:val="18"/>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第九条诉讼</w:t>
      </w:r>
    </w:p>
    <w:p>
      <w:pPr>
        <w:pStyle w:val="18"/>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双方在执行合同中所发生的一切争议，应通过协商解决。如协商不成，可向甲方所在地法院起诉。</w:t>
      </w:r>
    </w:p>
    <w:p>
      <w:pPr>
        <w:pStyle w:val="18"/>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第十条合同生效及其它</w:t>
      </w:r>
    </w:p>
    <w:p>
      <w:pPr>
        <w:keepNext w:val="0"/>
        <w:keepLines w:val="0"/>
        <w:pageBreakBefore w:val="0"/>
        <w:widowControl w:val="0"/>
        <w:kinsoku/>
        <w:wordWrap/>
        <w:overflowPunct/>
        <w:topLinePunct w:val="0"/>
        <w:autoSpaceDE w:val="0"/>
        <w:autoSpaceDN w:val="0"/>
        <w:bidi w:val="0"/>
        <w:adjustRightInd w:val="0"/>
        <w:spacing w:line="360" w:lineRule="auto"/>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1、合同经双方法定代表人或授权委托代理人签字并加盖单位公章后生效。</w:t>
      </w:r>
    </w:p>
    <w:p>
      <w:pPr>
        <w:keepNext w:val="0"/>
        <w:keepLines w:val="0"/>
        <w:pageBreakBefore w:val="0"/>
        <w:widowControl w:val="0"/>
        <w:kinsoku/>
        <w:wordWrap/>
        <w:overflowPunct/>
        <w:topLinePunct w:val="0"/>
        <w:autoSpaceDE w:val="0"/>
        <w:autoSpaceDN w:val="0"/>
        <w:bidi w:val="0"/>
        <w:adjustRightInd w:val="0"/>
        <w:spacing w:line="360" w:lineRule="auto"/>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2、本合同未尽事宜，遵照《</w:t>
      </w:r>
      <w:r>
        <w:rPr>
          <w:rFonts w:hint="eastAsia" w:ascii="宋体" w:hAnsi="宋体" w:eastAsia="宋体" w:cs="宋体"/>
          <w:kern w:val="0"/>
          <w:sz w:val="21"/>
          <w:szCs w:val="21"/>
          <w:highlight w:val="none"/>
        </w:rPr>
        <w:t>中华人民共和国</w:t>
      </w:r>
      <w:r>
        <w:rPr>
          <w:rFonts w:hint="eastAsia" w:ascii="宋体" w:hAnsi="宋体" w:eastAsia="宋体" w:cs="宋体"/>
          <w:sz w:val="21"/>
          <w:szCs w:val="21"/>
          <w:highlight w:val="none"/>
        </w:rPr>
        <w:t>民法典》有关条文执行。</w:t>
      </w:r>
    </w:p>
    <w:p>
      <w:pPr>
        <w:pStyle w:val="18"/>
        <w:keepNext w:val="0"/>
        <w:keepLines w:val="0"/>
        <w:pageBreakBefore w:val="0"/>
        <w:widowControl w:val="0"/>
        <w:kinsoku/>
        <w:wordWrap/>
        <w:overflowPunct/>
        <w:topLinePunct w:val="0"/>
        <w:bidi w:val="0"/>
        <w:snapToGrid w:val="0"/>
        <w:spacing w:line="360" w:lineRule="auto"/>
        <w:ind w:left="420" w:hanging="420" w:hangingChars="200"/>
        <w:textAlignment w:val="auto"/>
        <w:rPr>
          <w:rFonts w:hint="eastAsia" w:ascii="宋体" w:hAnsi="宋体" w:eastAsia="宋体" w:cs="宋体"/>
          <w:sz w:val="21"/>
          <w:szCs w:val="21"/>
          <w:highlight w:val="none"/>
        </w:rPr>
      </w:pPr>
    </w:p>
    <w:p>
      <w:pPr>
        <w:pStyle w:val="18"/>
        <w:keepNext w:val="0"/>
        <w:keepLines w:val="0"/>
        <w:pageBreakBefore w:val="0"/>
        <w:widowControl w:val="0"/>
        <w:kinsoku/>
        <w:wordWrap/>
        <w:overflowPunct/>
        <w:topLinePunct w:val="0"/>
        <w:bidi w:val="0"/>
        <w:snapToGrid w:val="0"/>
        <w:spacing w:line="360" w:lineRule="auto"/>
        <w:ind w:left="420" w:hanging="420" w:hanging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           </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 xml:space="preserve">乙方： </w:t>
      </w:r>
    </w:p>
    <w:p>
      <w:pPr>
        <w:pStyle w:val="18"/>
        <w:keepNext w:val="0"/>
        <w:keepLines w:val="0"/>
        <w:pageBreakBefore w:val="0"/>
        <w:widowControl w:val="0"/>
        <w:kinsoku/>
        <w:wordWrap/>
        <w:overflowPunct/>
        <w:topLinePunct w:val="0"/>
        <w:bidi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地址：         </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 xml:space="preserve">地址： </w:t>
      </w:r>
    </w:p>
    <w:p>
      <w:pPr>
        <w:pStyle w:val="18"/>
        <w:keepNext w:val="0"/>
        <w:keepLines w:val="0"/>
        <w:pageBreakBefore w:val="0"/>
        <w:widowControl w:val="0"/>
        <w:kinsoku/>
        <w:wordWrap/>
        <w:overflowPunct/>
        <w:topLinePunct w:val="0"/>
        <w:bidi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法定（授权）代表人：           法定（授权）代表人：</w:t>
      </w:r>
    </w:p>
    <w:p>
      <w:pPr>
        <w:pStyle w:val="18"/>
        <w:keepNext w:val="0"/>
        <w:keepLines w:val="0"/>
        <w:pageBreakBefore w:val="0"/>
        <w:widowControl w:val="0"/>
        <w:kinsoku/>
        <w:wordWrap/>
        <w:overflowPunct/>
        <w:topLinePunct w:val="0"/>
        <w:bidi w:val="0"/>
        <w:snapToGrid w:val="0"/>
        <w:spacing w:line="360" w:lineRule="auto"/>
        <w:ind w:firstLine="3360" w:firstLineChars="16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p>
    <w:p>
      <w:pPr>
        <w:pStyle w:val="18"/>
        <w:keepNext w:val="0"/>
        <w:keepLines w:val="0"/>
        <w:pageBreakBefore w:val="0"/>
        <w:widowControl w:val="0"/>
        <w:kinsoku/>
        <w:wordWrap/>
        <w:overflowPunct/>
        <w:topLinePunct w:val="0"/>
        <w:bidi w:val="0"/>
        <w:snapToGrid w:val="0"/>
        <w:spacing w:line="360" w:lineRule="auto"/>
        <w:ind w:firstLine="3360" w:firstLineChars="16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p>
      <w:pPr>
        <w:pStyle w:val="18"/>
        <w:keepNext w:val="0"/>
        <w:keepLines w:val="0"/>
        <w:pageBreakBefore w:val="0"/>
        <w:widowControl w:val="0"/>
        <w:kinsoku/>
        <w:wordWrap/>
        <w:overflowPunct/>
        <w:topLinePunct w:val="0"/>
        <w:bidi w:val="0"/>
        <w:snapToGrid w:val="0"/>
        <w:spacing w:line="360" w:lineRule="auto"/>
        <w:ind w:firstLine="3360" w:firstLineChars="16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银行账号：</w:t>
      </w:r>
    </w:p>
    <w:p>
      <w:pPr>
        <w:pStyle w:val="18"/>
        <w:keepNext w:val="0"/>
        <w:keepLines w:val="0"/>
        <w:pageBreakBefore w:val="0"/>
        <w:widowControl w:val="0"/>
        <w:kinsoku/>
        <w:wordWrap/>
        <w:overflowPunct/>
        <w:topLinePunct w:val="0"/>
        <w:bidi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签字日期：      年  月  日      签字日期：      年  月  日</w:t>
      </w:r>
    </w:p>
    <w:p>
      <w:pPr>
        <w:keepNext w:val="0"/>
        <w:keepLines w:val="0"/>
        <w:pageBreakBefore w:val="0"/>
        <w:widowControl w:val="0"/>
        <w:kinsoku/>
        <w:wordWrap/>
        <w:overflowPunct/>
        <w:topLinePunct w:val="0"/>
        <w:bidi w:val="0"/>
        <w:spacing w:before="156" w:beforeLines="50" w:after="156" w:afterLines="50" w:line="360" w:lineRule="auto"/>
        <w:jc w:val="center"/>
        <w:textAlignment w:val="auto"/>
        <w:rPr>
          <w:rFonts w:hint="eastAsia" w:ascii="宋体" w:hAnsi="宋体" w:eastAsia="宋体" w:cs="宋体"/>
          <w:b/>
          <w:sz w:val="21"/>
          <w:szCs w:val="21"/>
          <w:highlight w:val="none"/>
        </w:rPr>
      </w:pPr>
    </w:p>
    <w:p>
      <w:pPr>
        <w:spacing w:before="156" w:beforeLines="50" w:after="156" w:afterLines="50" w:line="440" w:lineRule="exact"/>
        <w:jc w:val="center"/>
        <w:rPr>
          <w:rFonts w:hint="eastAsia" w:ascii="宋体" w:hAnsi="宋体" w:eastAsia="宋体" w:cs="宋体"/>
          <w:b/>
          <w:sz w:val="30"/>
          <w:szCs w:val="30"/>
          <w:highlight w:val="none"/>
        </w:rPr>
      </w:pPr>
    </w:p>
    <w:p>
      <w:pPr>
        <w:spacing w:before="156" w:beforeLines="50" w:after="156" w:afterLines="50" w:line="440" w:lineRule="exact"/>
        <w:jc w:val="center"/>
        <w:rPr>
          <w:rFonts w:hint="eastAsia" w:ascii="宋体" w:hAnsi="宋体" w:eastAsia="宋体" w:cs="宋体"/>
          <w:b/>
          <w:sz w:val="30"/>
          <w:szCs w:val="30"/>
          <w:highlight w:val="none"/>
        </w:rPr>
      </w:pPr>
    </w:p>
    <w:p>
      <w:pPr>
        <w:snapToGrid w:val="0"/>
        <w:spacing w:before="156" w:beforeLines="50" w:line="360" w:lineRule="exact"/>
        <w:rPr>
          <w:rFonts w:hint="eastAsia" w:ascii="宋体" w:hAnsi="宋体" w:eastAsia="宋体" w:cs="宋体"/>
          <w:b/>
          <w:color w:val="auto"/>
          <w:szCs w:val="21"/>
          <w:highlight w:val="none"/>
        </w:rPr>
      </w:pPr>
      <w:r>
        <w:rPr>
          <w:rFonts w:hint="eastAsia" w:ascii="宋体" w:hAnsi="宋体" w:eastAsia="宋体" w:cs="宋体"/>
          <w:b/>
          <w:bCs/>
          <w:color w:val="auto"/>
          <w:highlight w:val="none"/>
        </w:rPr>
        <w:t>注：上述条款仅供参考，具体以中标供应商与招标人所签定正式合同为准。</w:t>
      </w:r>
    </w:p>
    <w:p>
      <w:pPr>
        <w:spacing w:before="156" w:beforeLines="50" w:after="156" w:afterLines="50" w:line="440" w:lineRule="exact"/>
        <w:jc w:val="center"/>
        <w:rPr>
          <w:rFonts w:hint="eastAsia" w:ascii="宋体" w:hAnsi="宋体" w:eastAsia="宋体" w:cs="宋体"/>
          <w:b/>
          <w:sz w:val="30"/>
          <w:szCs w:val="30"/>
          <w:highlight w:val="none"/>
        </w:rPr>
      </w:pPr>
    </w:p>
    <w:p>
      <w:pPr>
        <w:spacing w:before="156" w:beforeLines="50" w:after="156" w:afterLines="50" w:line="440" w:lineRule="exact"/>
        <w:jc w:val="center"/>
        <w:rPr>
          <w:rFonts w:hint="eastAsia" w:ascii="宋体" w:hAnsi="宋体" w:eastAsia="宋体" w:cs="宋体"/>
          <w:b/>
          <w:sz w:val="30"/>
          <w:szCs w:val="30"/>
          <w:highlight w:val="none"/>
        </w:rPr>
      </w:pPr>
      <w:bookmarkStart w:id="97" w:name="_GoBack"/>
      <w:bookmarkEnd w:id="97"/>
    </w:p>
    <w:p>
      <w:pPr>
        <w:spacing w:before="156" w:beforeLines="50" w:after="156" w:afterLines="50" w:line="440" w:lineRule="exact"/>
        <w:jc w:val="center"/>
        <w:rPr>
          <w:rFonts w:hint="eastAsia" w:ascii="宋体" w:hAnsi="宋体" w:eastAsia="宋体" w:cs="宋体"/>
          <w:b/>
          <w:sz w:val="30"/>
          <w:szCs w:val="30"/>
          <w:highlight w:val="none"/>
        </w:rPr>
      </w:pPr>
    </w:p>
    <w:p>
      <w:pPr>
        <w:spacing w:before="156" w:beforeLines="50" w:after="156" w:afterLines="50" w:line="440" w:lineRule="exact"/>
        <w:jc w:val="center"/>
        <w:rPr>
          <w:rFonts w:hint="eastAsia" w:ascii="宋体" w:hAnsi="宋体" w:eastAsia="宋体" w:cs="宋体"/>
          <w:b/>
          <w:sz w:val="30"/>
          <w:szCs w:val="30"/>
          <w:highlight w:val="none"/>
        </w:rPr>
      </w:pPr>
    </w:p>
    <w:p>
      <w:pPr>
        <w:spacing w:before="156" w:beforeLines="50" w:after="156" w:afterLines="50" w:line="440" w:lineRule="exact"/>
        <w:jc w:val="center"/>
        <w:rPr>
          <w:rFonts w:hint="eastAsia" w:ascii="宋体" w:hAnsi="宋体" w:eastAsia="宋体" w:cs="宋体"/>
          <w:b/>
          <w:sz w:val="30"/>
          <w:szCs w:val="30"/>
          <w:highlight w:val="none"/>
        </w:rPr>
      </w:pPr>
    </w:p>
    <w:p>
      <w:pPr>
        <w:spacing w:before="156" w:beforeLines="50" w:after="156" w:afterLines="50" w:line="440" w:lineRule="exact"/>
        <w:jc w:val="center"/>
        <w:rPr>
          <w:rFonts w:hint="eastAsia" w:ascii="宋体" w:hAnsi="宋体" w:eastAsia="宋体" w:cs="宋体"/>
          <w:b/>
          <w:sz w:val="30"/>
          <w:szCs w:val="30"/>
          <w:highlight w:val="none"/>
        </w:rPr>
      </w:pPr>
    </w:p>
    <w:p>
      <w:pPr>
        <w:spacing w:before="156" w:beforeLines="50" w:after="156" w:afterLines="50" w:line="440" w:lineRule="exact"/>
        <w:jc w:val="center"/>
        <w:rPr>
          <w:rFonts w:hint="eastAsia" w:ascii="宋体" w:hAnsi="宋体" w:eastAsia="宋体" w:cs="宋体"/>
          <w:b/>
          <w:sz w:val="30"/>
          <w:szCs w:val="30"/>
          <w:highlight w:val="none"/>
        </w:rPr>
      </w:pPr>
    </w:p>
    <w:p>
      <w:pPr>
        <w:spacing w:before="156" w:beforeLines="50" w:after="156" w:afterLines="50" w:line="440" w:lineRule="exact"/>
        <w:jc w:val="center"/>
        <w:rPr>
          <w:rFonts w:hint="eastAsia" w:ascii="宋体" w:hAnsi="宋体" w:eastAsia="宋体" w:cs="宋体"/>
          <w:b/>
          <w:sz w:val="30"/>
          <w:szCs w:val="30"/>
          <w:highlight w:val="none"/>
        </w:rPr>
      </w:pPr>
    </w:p>
    <w:p>
      <w:pPr>
        <w:spacing w:before="156" w:beforeLines="50" w:after="156" w:afterLines="50" w:line="440" w:lineRule="exact"/>
        <w:jc w:val="center"/>
        <w:rPr>
          <w:rFonts w:hint="eastAsia" w:ascii="宋体" w:hAnsi="宋体" w:eastAsia="宋体" w:cs="宋体"/>
          <w:b/>
          <w:sz w:val="30"/>
          <w:szCs w:val="30"/>
          <w:highlight w:val="none"/>
        </w:rPr>
      </w:pPr>
    </w:p>
    <w:p>
      <w:pPr>
        <w:spacing w:before="156" w:beforeLines="50" w:after="156" w:afterLines="50" w:line="440" w:lineRule="exact"/>
        <w:jc w:val="center"/>
        <w:rPr>
          <w:rFonts w:hint="eastAsia" w:ascii="宋体" w:hAnsi="宋体" w:eastAsia="宋体" w:cs="宋体"/>
          <w:b/>
          <w:sz w:val="30"/>
          <w:szCs w:val="30"/>
          <w:highlight w:val="none"/>
        </w:rPr>
      </w:pPr>
    </w:p>
    <w:p>
      <w:pPr>
        <w:spacing w:before="156" w:beforeLines="50" w:after="156" w:afterLines="50" w:line="440" w:lineRule="exact"/>
        <w:jc w:val="center"/>
        <w:rPr>
          <w:rFonts w:hint="eastAsia" w:ascii="宋体" w:hAnsi="宋体" w:eastAsia="宋体" w:cs="宋体"/>
          <w:b/>
          <w:sz w:val="30"/>
          <w:szCs w:val="30"/>
          <w:highlight w:val="none"/>
        </w:rPr>
      </w:pPr>
    </w:p>
    <w:p>
      <w:pPr>
        <w:spacing w:before="156" w:beforeLines="50" w:after="156" w:afterLines="50" w:line="440" w:lineRule="exact"/>
        <w:jc w:val="center"/>
        <w:rPr>
          <w:rFonts w:hint="eastAsia" w:ascii="宋体" w:hAnsi="宋体" w:eastAsia="宋体" w:cs="宋体"/>
          <w:b/>
          <w:sz w:val="30"/>
          <w:szCs w:val="30"/>
          <w:highlight w:val="none"/>
        </w:rPr>
      </w:pPr>
    </w:p>
    <w:p>
      <w:pPr>
        <w:spacing w:before="156" w:beforeLines="50" w:after="156" w:afterLines="50" w:line="440" w:lineRule="exact"/>
        <w:jc w:val="center"/>
        <w:rPr>
          <w:rFonts w:hint="eastAsia" w:ascii="宋体" w:hAnsi="宋体" w:eastAsia="宋体" w:cs="宋体"/>
          <w:b/>
          <w:sz w:val="30"/>
          <w:szCs w:val="30"/>
          <w:highlight w:val="none"/>
        </w:rPr>
      </w:pPr>
    </w:p>
    <w:p>
      <w:pPr>
        <w:spacing w:before="156" w:beforeLines="50" w:after="156" w:afterLines="50" w:line="440" w:lineRule="exact"/>
        <w:jc w:val="center"/>
        <w:rPr>
          <w:rFonts w:hint="eastAsia" w:ascii="宋体" w:hAnsi="宋体" w:eastAsia="宋体" w:cs="宋体"/>
          <w:b/>
          <w:sz w:val="30"/>
          <w:szCs w:val="30"/>
          <w:highlight w:val="none"/>
        </w:rPr>
      </w:pPr>
    </w:p>
    <w:p>
      <w:pPr>
        <w:spacing w:before="156" w:beforeLines="50" w:after="156" w:afterLines="50"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第六章  投标文件格式</w:t>
      </w:r>
    </w:p>
    <w:p>
      <w:pPr>
        <w:snapToGrid w:val="0"/>
        <w:spacing w:before="156" w:beforeLines="50" w:after="50" w:line="440" w:lineRule="exact"/>
        <w:jc w:val="center"/>
        <w:outlineLvl w:val="1"/>
        <w:rPr>
          <w:rFonts w:hint="eastAsia" w:ascii="宋体" w:hAnsi="宋体" w:eastAsia="宋体" w:cs="宋体"/>
          <w:sz w:val="24"/>
          <w:highlight w:val="none"/>
        </w:rPr>
      </w:pPr>
      <w:r>
        <w:rPr>
          <w:rFonts w:hint="eastAsia" w:ascii="宋体" w:hAnsi="宋体" w:eastAsia="宋体" w:cs="宋体"/>
          <w:b/>
          <w:bCs/>
          <w:sz w:val="24"/>
          <w:highlight w:val="none"/>
        </w:rPr>
        <w:t>一、资格文件格式</w:t>
      </w:r>
    </w:p>
    <w:p>
      <w:pPr>
        <w:snapToGrid w:val="0"/>
        <w:spacing w:before="156" w:beforeLines="50" w:after="50" w:line="440" w:lineRule="exact"/>
        <w:rPr>
          <w:rFonts w:hint="eastAsia" w:ascii="宋体" w:hAnsi="宋体" w:eastAsia="宋体" w:cs="宋体"/>
          <w:sz w:val="24"/>
          <w:highlight w:val="none"/>
        </w:rPr>
      </w:pPr>
      <w:r>
        <w:rPr>
          <w:rFonts w:hint="eastAsia" w:ascii="宋体" w:hAnsi="宋体" w:eastAsia="宋体" w:cs="宋体"/>
          <w:sz w:val="24"/>
          <w:highlight w:val="none"/>
        </w:rPr>
        <w:t>·资格文件封面格式：</w:t>
      </w:r>
    </w:p>
    <w:p>
      <w:pPr>
        <w:snapToGrid w:val="0"/>
        <w:spacing w:before="156" w:beforeLines="50" w:after="50" w:line="440" w:lineRule="exact"/>
        <w:rPr>
          <w:rFonts w:hint="eastAsia" w:ascii="宋体" w:hAnsi="宋体" w:eastAsia="宋体" w:cs="宋体"/>
          <w:b/>
          <w:bCs/>
          <w:sz w:val="32"/>
          <w:highlight w:val="none"/>
        </w:rPr>
      </w:pPr>
      <w:r>
        <w:rPr>
          <w:rFonts w:hint="eastAsia" w:ascii="宋体" w:hAnsi="宋体" w:eastAsia="宋体" w:cs="宋体"/>
          <w:sz w:val="24"/>
          <w:highlight w:val="none"/>
        </w:rPr>
        <w:t xml:space="preserve">                                               </w:t>
      </w:r>
    </w:p>
    <w:p>
      <w:pPr>
        <w:snapToGrid w:val="0"/>
        <w:spacing w:before="156" w:beforeLines="50" w:after="50" w:line="440" w:lineRule="exact"/>
        <w:rPr>
          <w:rFonts w:hint="eastAsia" w:ascii="宋体" w:hAnsi="宋体" w:eastAsia="宋体" w:cs="宋体"/>
          <w:sz w:val="24"/>
          <w:highlight w:val="none"/>
        </w:rPr>
      </w:pPr>
    </w:p>
    <w:p>
      <w:pPr>
        <w:snapToGrid w:val="0"/>
        <w:spacing w:before="156" w:beforeLines="50" w:after="50" w:line="440" w:lineRule="exact"/>
        <w:jc w:val="center"/>
        <w:rPr>
          <w:rFonts w:hint="eastAsia" w:ascii="宋体" w:hAnsi="宋体" w:eastAsia="宋体" w:cs="宋体"/>
          <w:bCs/>
          <w:sz w:val="24"/>
          <w:highlight w:val="none"/>
        </w:rPr>
      </w:pPr>
    </w:p>
    <w:p>
      <w:pPr>
        <w:snapToGrid w:val="0"/>
        <w:spacing w:before="156" w:beforeLines="50" w:after="50" w:line="44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资格</w:t>
      </w:r>
      <w:r>
        <w:rPr>
          <w:rFonts w:hint="eastAsia" w:ascii="宋体" w:hAnsi="宋体" w:eastAsia="宋体" w:cs="宋体"/>
          <w:sz w:val="24"/>
          <w:highlight w:val="none"/>
        </w:rPr>
        <w:t>文件</w:t>
      </w:r>
    </w:p>
    <w:p>
      <w:pPr>
        <w:snapToGrid w:val="0"/>
        <w:spacing w:before="156" w:beforeLines="50" w:after="50" w:line="440" w:lineRule="exact"/>
        <w:rPr>
          <w:rFonts w:hint="eastAsia" w:ascii="宋体" w:hAnsi="宋体" w:eastAsia="宋体" w:cs="宋体"/>
          <w:bCs/>
          <w:sz w:val="24"/>
          <w:highlight w:val="none"/>
        </w:rPr>
      </w:pPr>
    </w:p>
    <w:p>
      <w:pPr>
        <w:snapToGrid w:val="0"/>
        <w:spacing w:before="156" w:beforeLines="50" w:after="50" w:line="440" w:lineRule="exact"/>
        <w:ind w:firstLine="1068" w:firstLineChars="445"/>
        <w:rPr>
          <w:rFonts w:hint="eastAsia" w:ascii="宋体" w:hAnsi="宋体" w:eastAsia="宋体" w:cs="宋体"/>
          <w:bCs/>
          <w:sz w:val="24"/>
          <w:highlight w:val="none"/>
        </w:rPr>
      </w:pPr>
      <w:r>
        <w:rPr>
          <w:rFonts w:hint="eastAsia" w:ascii="宋体" w:hAnsi="宋体" w:eastAsia="宋体" w:cs="宋体"/>
          <w:bCs/>
          <w:sz w:val="24"/>
          <w:highlight w:val="none"/>
        </w:rPr>
        <w:t>项目名称：</w:t>
      </w:r>
    </w:p>
    <w:p>
      <w:pPr>
        <w:snapToGrid w:val="0"/>
        <w:spacing w:before="156" w:beforeLines="50" w:after="50" w:line="44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 xml:space="preserve">     项目编号：</w:t>
      </w:r>
      <w:r>
        <w:rPr>
          <w:rFonts w:hint="eastAsia" w:ascii="宋体" w:hAnsi="宋体" w:eastAsia="宋体" w:cs="宋体"/>
          <w:bCs/>
          <w:sz w:val="24"/>
          <w:highlight w:val="none"/>
          <w:lang w:eastAsia="zh-CN"/>
        </w:rPr>
        <w:t>ZJZM-2022-75</w:t>
      </w:r>
    </w:p>
    <w:p>
      <w:pPr>
        <w:snapToGrid w:val="0"/>
        <w:spacing w:before="156" w:beforeLines="50" w:after="50" w:line="44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 xml:space="preserve">     投标人名称：</w:t>
      </w:r>
    </w:p>
    <w:p>
      <w:pPr>
        <w:pStyle w:val="7"/>
        <w:spacing w:before="50" w:after="50" w:line="440" w:lineRule="exact"/>
        <w:ind w:firstLine="998" w:firstLineChars="416"/>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投标人地址：</w:t>
      </w:r>
    </w:p>
    <w:p>
      <w:pPr>
        <w:snapToGrid w:val="0"/>
        <w:spacing w:before="156" w:beforeLines="50" w:after="50" w:line="440" w:lineRule="exact"/>
        <w:ind w:firstLine="4080" w:firstLineChars="1700"/>
        <w:rPr>
          <w:rFonts w:hint="eastAsia" w:ascii="宋体" w:hAnsi="宋体" w:eastAsia="宋体" w:cs="宋体"/>
          <w:sz w:val="24"/>
          <w:highlight w:val="none"/>
        </w:rPr>
      </w:pPr>
    </w:p>
    <w:p>
      <w:pPr>
        <w:snapToGrid w:val="0"/>
        <w:spacing w:before="156" w:beforeLines="50" w:after="50" w:line="440" w:lineRule="exact"/>
        <w:ind w:firstLine="645"/>
        <w:jc w:val="center"/>
        <w:rPr>
          <w:rFonts w:hint="eastAsia" w:ascii="宋体" w:hAnsi="宋体" w:eastAsia="宋体" w:cs="宋体"/>
          <w:b/>
          <w:sz w:val="24"/>
          <w:highlight w:val="none"/>
        </w:rPr>
      </w:pPr>
      <w:r>
        <w:rPr>
          <w:rFonts w:hint="eastAsia" w:ascii="宋体" w:hAnsi="宋体" w:eastAsia="宋体" w:cs="宋体"/>
          <w:sz w:val="24"/>
          <w:highlight w:val="none"/>
        </w:rPr>
        <w:t xml:space="preserve">                        年  月  日</w:t>
      </w:r>
    </w:p>
    <w:p>
      <w:pPr>
        <w:pStyle w:val="30"/>
        <w:spacing w:before="0" w:beforeAutospacing="0" w:after="0" w:afterAutospacing="0" w:line="420" w:lineRule="exact"/>
        <w:jc w:val="both"/>
        <w:rPr>
          <w:rFonts w:hint="eastAsia" w:ascii="宋体" w:hAnsi="宋体" w:eastAsia="宋体" w:cs="宋体"/>
          <w:color w:val="000000"/>
          <w:sz w:val="21"/>
          <w:szCs w:val="21"/>
          <w:highlight w:val="none"/>
        </w:rPr>
      </w:pPr>
      <w:bookmarkStart w:id="88" w:name="OLE_LINK9"/>
    </w:p>
    <w:p>
      <w:pPr>
        <w:snapToGrid w:val="0"/>
        <w:spacing w:line="360" w:lineRule="auto"/>
        <w:rPr>
          <w:rFonts w:hint="eastAsia" w:ascii="宋体" w:hAnsi="宋体" w:eastAsia="宋体" w:cs="宋体"/>
          <w:szCs w:val="21"/>
          <w:highlight w:val="none"/>
        </w:rPr>
      </w:pPr>
      <w:r>
        <w:rPr>
          <w:rFonts w:hint="eastAsia" w:ascii="宋体" w:hAnsi="宋体" w:eastAsia="宋体" w:cs="宋体"/>
          <w:b/>
          <w:sz w:val="24"/>
          <w:highlight w:val="none"/>
        </w:rPr>
        <w:br w:type="page"/>
      </w:r>
      <w:bookmarkEnd w:id="88"/>
      <w:r>
        <w:rPr>
          <w:rFonts w:hint="eastAsia" w:ascii="宋体" w:hAnsi="宋体" w:eastAsia="宋体" w:cs="宋体"/>
          <w:b/>
          <w:szCs w:val="21"/>
          <w:highlight w:val="none"/>
        </w:rPr>
        <w:t>资格文件、商务技术文件及报价文件目录</w:t>
      </w:r>
      <w:r>
        <w:rPr>
          <w:rFonts w:hint="eastAsia" w:ascii="宋体" w:hAnsi="宋体" w:eastAsia="宋体" w:cs="宋体"/>
          <w:b/>
          <w:bCs/>
          <w:szCs w:val="21"/>
          <w:highlight w:val="none"/>
        </w:rPr>
        <w:t>（请按照“第三章投标人须知，三、投标文件的编制”的顺序、评分内容自行编制目录）</w:t>
      </w:r>
    </w:p>
    <w:p>
      <w:pPr>
        <w:snapToGri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例如：</w:t>
      </w:r>
    </w:p>
    <w:p>
      <w:pPr>
        <w:snapToGrid w:val="0"/>
        <w:spacing w:line="360" w:lineRule="auto"/>
        <w:rPr>
          <w:rFonts w:hint="eastAsia" w:ascii="宋体" w:hAnsi="宋体" w:eastAsia="宋体" w:cs="宋体"/>
          <w:szCs w:val="21"/>
          <w:highlight w:val="none"/>
        </w:rPr>
      </w:pPr>
      <w:r>
        <w:rPr>
          <w:rFonts w:hint="eastAsia" w:ascii="宋体" w:hAnsi="宋体" w:eastAsia="宋体" w:cs="宋体"/>
          <w:b/>
          <w:bCs/>
          <w:szCs w:val="21"/>
          <w:highlight w:val="none"/>
        </w:rPr>
        <w:t>资格文件：</w:t>
      </w:r>
    </w:p>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（1）投标声明书(格式见附件)————————页码</w:t>
      </w:r>
    </w:p>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（2）法定代表人授权委托书(格式见附件)————————</w:t>
      </w:r>
    </w:p>
    <w:p>
      <w:pPr>
        <w:snapToGrid w:val="0"/>
        <w:spacing w:line="360" w:lineRule="auto"/>
        <w:jc w:val="left"/>
        <w:rPr>
          <w:rFonts w:hint="eastAsia" w:ascii="宋体" w:hAnsi="宋体" w:eastAsia="宋体" w:cs="宋体"/>
          <w:b/>
          <w:szCs w:val="21"/>
          <w:highlight w:val="none"/>
        </w:rPr>
      </w:pPr>
      <w:r>
        <w:rPr>
          <w:rFonts w:hint="eastAsia" w:ascii="宋体" w:hAnsi="宋体" w:eastAsia="宋体" w:cs="宋体"/>
          <w:b/>
          <w:szCs w:val="21"/>
          <w:highlight w:val="none"/>
        </w:rPr>
        <w:t>......</w:t>
      </w:r>
    </w:p>
    <w:p>
      <w:pPr>
        <w:snapToGrid w:val="0"/>
        <w:spacing w:line="360" w:lineRule="auto"/>
        <w:rPr>
          <w:rFonts w:hint="eastAsia" w:ascii="宋体" w:hAnsi="宋体" w:eastAsia="宋体" w:cs="宋体"/>
          <w:sz w:val="32"/>
          <w:szCs w:val="32"/>
          <w:highlight w:val="none"/>
        </w:rPr>
      </w:pPr>
      <w:bookmarkStart w:id="89" w:name="OLE_LINK11"/>
    </w:p>
    <w:p>
      <w:pPr>
        <w:spacing w:line="460" w:lineRule="exact"/>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rPr>
        <w:t>1、投标声明书格式：</w:t>
      </w:r>
    </w:p>
    <w:bookmarkEnd w:id="89"/>
    <w:p>
      <w:pPr>
        <w:snapToGrid w:val="0"/>
        <w:spacing w:before="156" w:beforeLines="50" w:after="50" w:line="440" w:lineRule="exact"/>
        <w:jc w:val="center"/>
        <w:rPr>
          <w:rFonts w:hint="eastAsia" w:ascii="宋体" w:hAnsi="宋体" w:eastAsia="宋体" w:cs="宋体"/>
          <w:b/>
          <w:bCs/>
          <w:sz w:val="32"/>
          <w:szCs w:val="32"/>
          <w:highlight w:val="none"/>
        </w:rPr>
      </w:pPr>
      <w:bookmarkStart w:id="90" w:name="OLE_LINK12"/>
      <w:r>
        <w:rPr>
          <w:rFonts w:hint="eastAsia" w:ascii="宋体" w:hAnsi="宋体" w:eastAsia="宋体" w:cs="宋体"/>
          <w:b/>
          <w:bCs/>
          <w:sz w:val="32"/>
          <w:szCs w:val="32"/>
          <w:highlight w:val="none"/>
        </w:rPr>
        <w:t>投标声明书</w:t>
      </w:r>
    </w:p>
    <w:p>
      <w:pPr>
        <w:snapToGrid w:val="0"/>
        <w:spacing w:before="156" w:beforeLines="50" w:after="50" w:line="440" w:lineRule="exact"/>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（采购单位名称）：</w:t>
      </w:r>
    </w:p>
    <w:p>
      <w:pPr>
        <w:snapToGrid w:val="0"/>
        <w:spacing w:before="156" w:beforeLines="50" w:after="50"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（投标人名称）系中华人民共和国合法企业，经营地址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napToGrid w:val="0"/>
        <w:spacing w:before="156" w:beforeLines="50" w:after="50"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（投标人名称）的法定代表人，我方愿意参加贵方组织的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项目的投标，为便于贵方公正、择优地确定</w:t>
      </w:r>
      <w:r>
        <w:rPr>
          <w:rFonts w:hint="eastAsia" w:ascii="宋体" w:hAnsi="宋体" w:eastAsia="宋体" w:cs="宋体"/>
          <w:color w:val="000000"/>
          <w:sz w:val="24"/>
          <w:highlight w:val="none"/>
        </w:rPr>
        <w:t>中标人及服务，</w:t>
      </w:r>
      <w:r>
        <w:rPr>
          <w:rFonts w:hint="eastAsia" w:ascii="宋体" w:hAnsi="宋体" w:eastAsia="宋体" w:cs="宋体"/>
          <w:sz w:val="24"/>
          <w:highlight w:val="none"/>
        </w:rPr>
        <w:t>我方就本次投标有关事项郑重声明如下：</w:t>
      </w:r>
    </w:p>
    <w:p>
      <w:pPr>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1.我方向贵方提交的所有投标文件、资料都是准确的和真实的。</w:t>
      </w:r>
    </w:p>
    <w:p>
      <w:pPr>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2.我方不是采购人的附属机构；在获知本项目投标信息后，与采购人聘请的为此项目提供招标代理公司及其附属机构没有任何联系。</w:t>
      </w:r>
    </w:p>
    <w:p>
      <w:pPr>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3.以上事项如有虚假或隐瞒，我方愿意承担一切后果，并不再寻求任何旨在减轻或免除法律责任的辩解。</w:t>
      </w:r>
    </w:p>
    <w:p>
      <w:pPr>
        <w:pStyle w:val="17"/>
        <w:tabs>
          <w:tab w:val="left" w:pos="939"/>
        </w:tabs>
        <w:snapToGrid w:val="0"/>
        <w:spacing w:line="440" w:lineRule="exact"/>
        <w:ind w:left="773" w:leftChars="150" w:hanging="458" w:hangingChars="191"/>
        <w:rPr>
          <w:rFonts w:hint="eastAsia" w:ascii="宋体" w:hAnsi="宋体" w:eastAsia="宋体" w:cs="宋体"/>
          <w:sz w:val="24"/>
          <w:highlight w:val="none"/>
        </w:rPr>
      </w:pPr>
    </w:p>
    <w:p>
      <w:pPr>
        <w:pStyle w:val="17"/>
        <w:tabs>
          <w:tab w:val="left" w:pos="939"/>
        </w:tabs>
        <w:snapToGrid w:val="0"/>
        <w:spacing w:line="440" w:lineRule="exact"/>
        <w:ind w:left="773" w:leftChars="150" w:hanging="458" w:hangingChars="191"/>
        <w:rPr>
          <w:rFonts w:hint="eastAsia" w:ascii="宋体" w:hAnsi="宋体" w:eastAsia="宋体" w:cs="宋体"/>
          <w:sz w:val="24"/>
          <w:highlight w:val="none"/>
        </w:rPr>
      </w:pPr>
    </w:p>
    <w:p>
      <w:pPr>
        <w:snapToGrid w:val="0"/>
        <w:spacing w:before="156" w:beforeLines="50" w:line="440" w:lineRule="exact"/>
        <w:rPr>
          <w:rFonts w:hint="eastAsia" w:ascii="宋体" w:hAnsi="宋体" w:eastAsia="宋体" w:cs="宋体"/>
          <w:sz w:val="24"/>
          <w:highlight w:val="none"/>
          <w:u w:val="single"/>
        </w:rPr>
      </w:pPr>
      <w:r>
        <w:rPr>
          <w:rFonts w:hint="eastAsia" w:ascii="宋体" w:hAnsi="宋体" w:eastAsia="宋体" w:cs="宋体"/>
          <w:sz w:val="24"/>
          <w:highlight w:val="none"/>
        </w:rPr>
        <w:t>法定代表人（签字或盖章）：</w:t>
      </w:r>
      <w:r>
        <w:rPr>
          <w:rFonts w:hint="eastAsia" w:ascii="宋体" w:hAnsi="宋体" w:eastAsia="宋体" w:cs="宋体"/>
          <w:sz w:val="24"/>
          <w:highlight w:val="none"/>
          <w:u w:val="single"/>
        </w:rPr>
        <w:t xml:space="preserve">             </w:t>
      </w:r>
    </w:p>
    <w:p>
      <w:pPr>
        <w:widowControl/>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投标人公章：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widowControl/>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bookmarkEnd w:id="90"/>
    <w:p>
      <w:pPr>
        <w:widowControl/>
        <w:spacing w:line="360" w:lineRule="auto"/>
        <w:jc w:val="left"/>
        <w:rPr>
          <w:rFonts w:hint="eastAsia" w:ascii="宋体" w:hAnsi="宋体" w:eastAsia="宋体" w:cs="宋体"/>
          <w:b/>
          <w:sz w:val="24"/>
          <w:highlight w:val="none"/>
        </w:rPr>
      </w:pPr>
      <w:r>
        <w:rPr>
          <w:rFonts w:hint="eastAsia" w:ascii="宋体" w:hAnsi="宋体" w:eastAsia="宋体" w:cs="宋体"/>
          <w:color w:val="000000"/>
          <w:sz w:val="24"/>
          <w:highlight w:val="none"/>
        </w:rPr>
        <w:br w:type="page"/>
      </w:r>
      <w:bookmarkStart w:id="91" w:name="OLE_LINK15"/>
      <w:r>
        <w:rPr>
          <w:rFonts w:hint="eastAsia" w:ascii="宋体" w:hAnsi="宋体" w:eastAsia="宋体" w:cs="宋体"/>
          <w:b/>
          <w:bCs/>
          <w:color w:val="000000"/>
          <w:sz w:val="24"/>
          <w:highlight w:val="none"/>
        </w:rPr>
        <w:t>2、</w:t>
      </w:r>
      <w:r>
        <w:rPr>
          <w:rFonts w:hint="eastAsia" w:ascii="宋体" w:hAnsi="宋体" w:eastAsia="宋体" w:cs="宋体"/>
          <w:b/>
          <w:bCs/>
          <w:sz w:val="24"/>
          <w:highlight w:val="none"/>
        </w:rPr>
        <w:t>法定代表人授权委托书格式：</w:t>
      </w:r>
      <w:bookmarkEnd w:id="91"/>
    </w:p>
    <w:p>
      <w:pPr>
        <w:snapToGrid w:val="0"/>
        <w:spacing w:before="156" w:beforeLines="50" w:after="50" w:line="44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法定代表人授权委托书</w:t>
      </w:r>
    </w:p>
    <w:p>
      <w:pPr>
        <w:snapToGrid w:val="0"/>
        <w:spacing w:before="156" w:beforeLines="50" w:after="50" w:line="440" w:lineRule="exact"/>
        <w:rPr>
          <w:rFonts w:hint="eastAsia" w:ascii="宋体" w:hAnsi="宋体" w:eastAsia="宋体" w:cs="宋体"/>
          <w:b/>
          <w:bCs/>
          <w:sz w:val="24"/>
          <w:highlight w:val="none"/>
        </w:rPr>
      </w:pPr>
      <w:r>
        <w:rPr>
          <w:rFonts w:hint="eastAsia" w:ascii="宋体" w:hAnsi="宋体" w:eastAsia="宋体" w:cs="宋体"/>
          <w:bCs/>
          <w:sz w:val="24"/>
          <w:highlight w:val="none"/>
        </w:rPr>
        <w:t>致：</w:t>
      </w:r>
      <w:r>
        <w:rPr>
          <w:rFonts w:hint="eastAsia" w:ascii="宋体" w:hAnsi="宋体" w:eastAsia="宋体" w:cs="宋体"/>
          <w:bCs/>
          <w:sz w:val="24"/>
          <w:highlight w:val="none"/>
          <w:u w:val="single"/>
        </w:rPr>
        <w:t xml:space="preserve">               </w:t>
      </w:r>
      <w:r>
        <w:rPr>
          <w:rFonts w:hint="eastAsia" w:ascii="宋体" w:hAnsi="宋体" w:eastAsia="宋体" w:cs="宋体"/>
          <w:sz w:val="24"/>
          <w:highlight w:val="none"/>
        </w:rPr>
        <w:t>（采购单位名称）：</w:t>
      </w:r>
    </w:p>
    <w:p>
      <w:pPr>
        <w:snapToGrid w:val="0"/>
        <w:spacing w:before="156" w:beforeLines="50" w:after="50"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（投标人名称）的法定代表人，现授权委托本单位在职职工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（姓名）以我方的名义参加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项目的投标活动，并代表我方全权办理针对上述项目的投标、开标、评标、签约等具体事务和签署相关文件。</w:t>
      </w:r>
    </w:p>
    <w:p>
      <w:pPr>
        <w:snapToGrid w:val="0"/>
        <w:spacing w:before="156" w:beforeLines="50" w:after="50"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我方对被授权人的签名事项负全部责任。</w:t>
      </w:r>
    </w:p>
    <w:p>
      <w:pPr>
        <w:snapToGrid w:val="0"/>
        <w:spacing w:before="156" w:beforeLines="50" w:after="50" w:line="440" w:lineRule="exact"/>
        <w:ind w:firstLine="480"/>
        <w:rPr>
          <w:rFonts w:hint="eastAsia" w:ascii="宋体" w:hAnsi="宋体" w:eastAsia="宋体" w:cs="宋体"/>
          <w:sz w:val="24"/>
          <w:highlight w:val="none"/>
        </w:rPr>
      </w:pPr>
      <w:r>
        <w:rPr>
          <w:rFonts w:hint="eastAsia" w:ascii="宋体" w:hAnsi="宋体" w:eastAsia="宋体" w:cs="宋体"/>
          <w:sz w:val="24"/>
          <w:highlight w:val="none"/>
          <w:u w:val="single"/>
        </w:rPr>
        <w:t>在撤销授权的书面通知以前，本授权书一直有效。</w:t>
      </w:r>
      <w:r>
        <w:rPr>
          <w:rFonts w:hint="eastAsia" w:ascii="宋体" w:hAnsi="宋体" w:eastAsia="宋体" w:cs="宋体"/>
          <w:sz w:val="24"/>
          <w:highlight w:val="none"/>
        </w:rPr>
        <w:t>被授权人在授权书有效期内签署的所有文件不因授权的撤销而失效。</w:t>
      </w:r>
    </w:p>
    <w:p>
      <w:pPr>
        <w:snapToGrid w:val="0"/>
        <w:spacing w:before="156" w:beforeLines="50" w:after="50"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被授权人无转委托权，特此委托。</w:t>
      </w:r>
    </w:p>
    <w:p>
      <w:pPr>
        <w:snapToGrid w:val="0"/>
        <w:spacing w:before="156" w:beforeLines="50" w:after="50" w:line="440" w:lineRule="exact"/>
        <w:rPr>
          <w:rFonts w:hint="eastAsia" w:ascii="宋体" w:hAnsi="宋体" w:eastAsia="宋体" w:cs="宋体"/>
          <w:sz w:val="24"/>
          <w:highlight w:val="none"/>
        </w:rPr>
      </w:pPr>
    </w:p>
    <w:p>
      <w:pPr>
        <w:snapToGrid w:val="0"/>
        <w:spacing w:before="156" w:beforeLines="50" w:after="50" w:line="440" w:lineRule="exact"/>
        <w:rPr>
          <w:rFonts w:hint="eastAsia" w:ascii="宋体" w:hAnsi="宋体" w:eastAsia="宋体" w:cs="宋体"/>
          <w:sz w:val="24"/>
          <w:highlight w:val="none"/>
          <w:u w:val="single"/>
        </w:rPr>
      </w:pPr>
      <w:r>
        <w:rPr>
          <w:rFonts w:hint="eastAsia" w:ascii="宋体" w:hAnsi="宋体" w:eastAsia="宋体" w:cs="宋体"/>
          <w:sz w:val="24"/>
          <w:highlight w:val="none"/>
        </w:rPr>
        <w:t>被授权人：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法定代表人签名或盖章：</w:t>
      </w:r>
      <w:r>
        <w:rPr>
          <w:rFonts w:hint="eastAsia" w:ascii="宋体" w:hAnsi="宋体" w:eastAsia="宋体" w:cs="宋体"/>
          <w:sz w:val="24"/>
          <w:highlight w:val="none"/>
          <w:u w:val="single"/>
        </w:rPr>
        <w:t xml:space="preserve">          </w:t>
      </w:r>
    </w:p>
    <w:p>
      <w:pPr>
        <w:snapToGrid w:val="0"/>
        <w:spacing w:before="156" w:beforeLines="50" w:after="50" w:line="440" w:lineRule="exact"/>
        <w:rPr>
          <w:rFonts w:hint="eastAsia" w:ascii="宋体" w:hAnsi="宋体" w:eastAsia="宋体" w:cs="宋体"/>
          <w:sz w:val="24"/>
          <w:highlight w:val="none"/>
        </w:rPr>
      </w:pP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职务：</w:t>
      </w:r>
      <w:r>
        <w:rPr>
          <w:rFonts w:hint="eastAsia" w:ascii="宋体" w:hAnsi="宋体" w:eastAsia="宋体" w:cs="宋体"/>
          <w:sz w:val="24"/>
          <w:highlight w:val="none"/>
          <w:u w:val="single"/>
        </w:rPr>
        <w:t xml:space="preserve">           </w:t>
      </w:r>
    </w:p>
    <w:p>
      <w:pPr>
        <w:snapToGrid w:val="0"/>
        <w:spacing w:before="156" w:beforeLines="50" w:after="50" w:line="440" w:lineRule="exact"/>
        <w:rPr>
          <w:rFonts w:hint="eastAsia" w:ascii="宋体" w:hAnsi="宋体" w:eastAsia="宋体" w:cs="宋体"/>
          <w:sz w:val="24"/>
          <w:highlight w:val="none"/>
        </w:rPr>
      </w:pPr>
      <w:r>
        <w:rPr>
          <w:rFonts w:hint="eastAsia" w:ascii="宋体" w:hAnsi="宋体" w:eastAsia="宋体" w:cs="宋体"/>
          <w:sz w:val="24"/>
          <w:highlight w:val="none"/>
        </w:rPr>
        <w:t>被授权人身份证号码：</w:t>
      </w:r>
      <w:r>
        <w:rPr>
          <w:rFonts w:hint="eastAsia" w:ascii="宋体" w:hAnsi="宋体" w:eastAsia="宋体" w:cs="宋体"/>
          <w:sz w:val="24"/>
          <w:highlight w:val="none"/>
          <w:u w:val="single"/>
        </w:rPr>
        <w:t xml:space="preserve">                </w:t>
      </w:r>
    </w:p>
    <w:p>
      <w:pPr>
        <w:snapToGrid w:val="0"/>
        <w:spacing w:before="156" w:beforeLines="50" w:after="50"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投标人公章：</w:t>
      </w:r>
      <w:r>
        <w:rPr>
          <w:rFonts w:hint="eastAsia" w:ascii="宋体" w:hAnsi="宋体" w:eastAsia="宋体" w:cs="宋体"/>
          <w:sz w:val="24"/>
          <w:highlight w:val="none"/>
          <w:u w:val="single"/>
        </w:rPr>
        <w:t xml:space="preserve">           </w:t>
      </w:r>
    </w:p>
    <w:p>
      <w:pPr>
        <w:snapToGrid w:val="0"/>
        <w:spacing w:before="156" w:beforeLines="50" w:after="50"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pPr>
        <w:snapToGrid w:val="0"/>
        <w:spacing w:line="360" w:lineRule="auto"/>
        <w:rPr>
          <w:rFonts w:hint="eastAsia" w:ascii="宋体" w:hAnsi="宋体" w:eastAsia="宋体" w:cs="宋体"/>
          <w:b/>
          <w:sz w:val="24"/>
          <w:highlight w:val="none"/>
        </w:rPr>
      </w:pPr>
      <w:r>
        <w:rPr>
          <w:rFonts w:hint="eastAsia" w:ascii="宋体" w:hAnsi="宋体" w:eastAsia="宋体" w:cs="宋体"/>
          <w:sz w:val="24"/>
          <w:highlight w:val="none"/>
        </w:rPr>
        <w:br w:type="page"/>
      </w:r>
      <w:bookmarkStart w:id="92" w:name="OLE_LINK16"/>
      <w:r>
        <w:rPr>
          <w:rFonts w:hint="eastAsia" w:ascii="宋体" w:hAnsi="宋体" w:eastAsia="宋体" w:cs="宋体"/>
          <w:b/>
          <w:bCs/>
          <w:color w:val="000000"/>
          <w:sz w:val="24"/>
          <w:highlight w:val="none"/>
          <w:lang w:val="en-US" w:eastAsia="zh-CN"/>
        </w:rPr>
        <w:t>3</w:t>
      </w:r>
      <w:r>
        <w:rPr>
          <w:rFonts w:hint="eastAsia" w:ascii="宋体" w:hAnsi="宋体" w:eastAsia="宋体" w:cs="宋体"/>
          <w:b/>
          <w:bCs/>
          <w:color w:val="000000"/>
          <w:sz w:val="24"/>
          <w:highlight w:val="none"/>
        </w:rPr>
        <w:t>、承诺函格式</w:t>
      </w:r>
    </w:p>
    <w:p>
      <w:pPr>
        <w:spacing w:line="360" w:lineRule="auto"/>
        <w:jc w:val="center"/>
        <w:rPr>
          <w:rFonts w:hint="eastAsia" w:ascii="宋体" w:hAnsi="宋体" w:eastAsia="宋体" w:cs="宋体"/>
          <w:b/>
          <w:sz w:val="32"/>
          <w:highlight w:val="none"/>
        </w:rPr>
      </w:pPr>
      <w:r>
        <w:rPr>
          <w:rFonts w:hint="eastAsia" w:ascii="宋体" w:hAnsi="宋体" w:eastAsia="宋体" w:cs="宋体"/>
          <w:b/>
          <w:sz w:val="32"/>
          <w:highlight w:val="none"/>
        </w:rPr>
        <w:t>承诺函</w:t>
      </w:r>
    </w:p>
    <w:p>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（采购单位名称）：</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我方在参加贵单位的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政府采购项目的招投标活动中，郑重承诺如下：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1、我方申报的所有资料都是真实、准确、完整的；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2、我方无资质挂靠情形，保证不参与串标、围标及抬标；</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3、我方符合《中华人民共和国政府采购法》第二十二条的规定；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4、我方未被信用中国（www.creditchina.gov.cn)、中国政府采购网（www.ccgp.gov.cn）列入失信被执行人、重大税收违法案件当事人名单、政府采购严重违法失信行为记录名单；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5、若我方中标，将严格按照规定及时与采购人签订合同；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6、若我方中标，将严格按照招标文件要求及投标文件承诺的报价、质量、工期、投标方案、项目负责人等内容组织实施；</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特此承诺。</w:t>
      </w:r>
    </w:p>
    <w:p>
      <w:pPr>
        <w:spacing w:line="360" w:lineRule="auto"/>
        <w:ind w:firstLine="480" w:firstLineChars="200"/>
        <w:rPr>
          <w:rFonts w:hint="eastAsia" w:ascii="宋体" w:hAnsi="宋体" w:eastAsia="宋体" w:cs="宋体"/>
          <w:sz w:val="24"/>
          <w:highlight w:val="none"/>
        </w:rPr>
      </w:pPr>
    </w:p>
    <w:p>
      <w:pPr>
        <w:pStyle w:val="3"/>
        <w:rPr>
          <w:rFonts w:hint="eastAsia" w:ascii="宋体" w:hAnsi="宋体" w:eastAsia="宋体" w:cs="宋体"/>
          <w:highlight w:val="none"/>
        </w:rPr>
      </w:pPr>
    </w:p>
    <w:p>
      <w:pPr>
        <w:snapToGrid w:val="0"/>
        <w:spacing w:before="50" w:after="50" w:line="360" w:lineRule="auto"/>
        <w:rPr>
          <w:rFonts w:hint="eastAsia" w:ascii="宋体" w:hAnsi="宋体" w:eastAsia="宋体" w:cs="宋体"/>
          <w:spacing w:val="20"/>
          <w:sz w:val="24"/>
          <w:highlight w:val="none"/>
          <w:u w:val="single"/>
        </w:rPr>
      </w:pPr>
      <w:r>
        <w:rPr>
          <w:rFonts w:hint="eastAsia" w:ascii="宋体" w:hAnsi="宋体" w:eastAsia="宋体" w:cs="宋体"/>
          <w:sz w:val="24"/>
          <w:highlight w:val="none"/>
        </w:rPr>
        <w:t>法定代表人</w:t>
      </w:r>
      <w:r>
        <w:rPr>
          <w:rFonts w:hint="eastAsia" w:ascii="宋体" w:hAnsi="宋体" w:cs="宋体"/>
          <w:sz w:val="24"/>
          <w:highlight w:val="none"/>
          <w:lang w:eastAsia="zh-CN"/>
        </w:rPr>
        <w:t>（</w:t>
      </w:r>
      <w:r>
        <w:rPr>
          <w:rFonts w:hint="eastAsia" w:ascii="宋体" w:hAnsi="宋体" w:eastAsia="宋体" w:cs="宋体"/>
          <w:sz w:val="24"/>
          <w:highlight w:val="none"/>
        </w:rPr>
        <w:t>或其委托代理人</w:t>
      </w:r>
      <w:r>
        <w:rPr>
          <w:rFonts w:hint="eastAsia" w:ascii="宋体" w:hAnsi="宋体" w:cs="宋体"/>
          <w:sz w:val="24"/>
          <w:highlight w:val="none"/>
          <w:lang w:eastAsia="zh-CN"/>
        </w:rPr>
        <w:t>）</w:t>
      </w:r>
      <w:r>
        <w:rPr>
          <w:rFonts w:hint="eastAsia" w:ascii="宋体" w:hAnsi="宋体" w:eastAsia="宋体" w:cs="宋体"/>
          <w:sz w:val="24"/>
          <w:highlight w:val="none"/>
        </w:rPr>
        <w:t>签字或盖章</w:t>
      </w:r>
      <w:r>
        <w:rPr>
          <w:rFonts w:hint="eastAsia" w:ascii="宋体" w:hAnsi="宋体" w:eastAsia="宋体" w:cs="宋体"/>
          <w:spacing w:val="20"/>
          <w:sz w:val="24"/>
          <w:highlight w:val="none"/>
        </w:rPr>
        <w:t>：</w:t>
      </w:r>
      <w:r>
        <w:rPr>
          <w:rFonts w:hint="eastAsia" w:ascii="宋体" w:hAnsi="宋体" w:eastAsia="宋体" w:cs="宋体"/>
          <w:spacing w:val="20"/>
          <w:sz w:val="24"/>
          <w:highlight w:val="none"/>
          <w:u w:val="single"/>
        </w:rPr>
        <w:t xml:space="preserve">        </w:t>
      </w:r>
    </w:p>
    <w:p>
      <w:pPr>
        <w:pStyle w:val="87"/>
        <w:spacing w:line="360" w:lineRule="auto"/>
        <w:ind w:right="480"/>
        <w:rPr>
          <w:rFonts w:hint="eastAsia" w:ascii="宋体" w:hAnsi="宋体" w:eastAsia="宋体" w:cs="宋体"/>
          <w:sz w:val="24"/>
          <w:highlight w:val="none"/>
        </w:rPr>
      </w:pPr>
      <w:r>
        <w:rPr>
          <w:rFonts w:hint="eastAsia" w:ascii="宋体" w:hAnsi="宋体" w:eastAsia="宋体" w:cs="宋体"/>
          <w:sz w:val="24"/>
          <w:highlight w:val="none"/>
        </w:rPr>
        <w:t>投标人全称（盖单位公章）：</w:t>
      </w:r>
      <w:r>
        <w:rPr>
          <w:rFonts w:hint="eastAsia" w:ascii="宋体" w:hAnsi="宋体" w:eastAsia="宋体" w:cs="宋体"/>
          <w:spacing w:val="20"/>
          <w:sz w:val="24"/>
          <w:highlight w:val="none"/>
          <w:u w:val="single"/>
        </w:rPr>
        <w:t xml:space="preserve">        </w:t>
      </w:r>
      <w:r>
        <w:rPr>
          <w:rFonts w:hint="eastAsia" w:hAnsi="宋体" w:eastAsia="宋体" w:cs="宋体"/>
          <w:sz w:val="24"/>
          <w:highlight w:val="none"/>
          <w:lang w:val="en-US" w:eastAsia="zh-CN"/>
        </w:rPr>
        <w:t xml:space="preserve">          </w:t>
      </w:r>
      <w:r>
        <w:rPr>
          <w:rFonts w:hint="eastAsia" w:ascii="宋体" w:hAnsi="宋体" w:eastAsia="宋体" w:cs="宋体"/>
          <w:sz w:val="24"/>
          <w:highlight w:val="none"/>
        </w:rPr>
        <w:t xml:space="preserve">                     </w:t>
      </w:r>
    </w:p>
    <w:p>
      <w:pPr>
        <w:pStyle w:val="87"/>
        <w:spacing w:line="360" w:lineRule="auto"/>
        <w:ind w:right="480"/>
        <w:rPr>
          <w:rFonts w:hint="eastAsia" w:ascii="宋体" w:hAnsi="宋体" w:eastAsia="宋体" w:cs="宋体"/>
          <w:b/>
          <w:color w:val="0000CC"/>
          <w:szCs w:val="21"/>
          <w:highlight w:val="none"/>
        </w:rPr>
      </w:pPr>
      <w:r>
        <w:rPr>
          <w:rFonts w:hint="eastAsia" w:ascii="宋体" w:hAnsi="宋体" w:eastAsia="宋体" w:cs="宋体"/>
          <w:sz w:val="24"/>
          <w:highlight w:val="none"/>
        </w:rPr>
        <w:t xml:space="preserve">   年    月    日</w:t>
      </w:r>
    </w:p>
    <w:p>
      <w:pPr>
        <w:wordWrap w:val="0"/>
        <w:snapToGrid w:val="0"/>
        <w:spacing w:after="156" w:afterLines="50" w:line="360" w:lineRule="auto"/>
        <w:jc w:val="left"/>
        <w:rPr>
          <w:rFonts w:hint="eastAsia" w:ascii="宋体" w:hAnsi="宋体" w:eastAsia="宋体" w:cs="宋体"/>
          <w:b/>
          <w:sz w:val="24"/>
          <w:highlight w:val="none"/>
        </w:rPr>
      </w:pPr>
    </w:p>
    <w:p>
      <w:pPr>
        <w:numPr>
          <w:ilvl w:val="0"/>
          <w:numId w:val="8"/>
        </w:numPr>
        <w:snapToGrid w:val="0"/>
        <w:spacing w:before="156" w:beforeLines="50" w:after="50" w:line="440" w:lineRule="exact"/>
        <w:rPr>
          <w:rFonts w:hint="eastAsia" w:ascii="宋体" w:hAnsi="宋体" w:eastAsia="宋体" w:cs="宋体"/>
          <w:b w:val="0"/>
          <w:bCs w:val="0"/>
          <w:color w:val="000000"/>
          <w:sz w:val="24"/>
          <w:highlight w:val="none"/>
          <w:lang w:eastAsia="zh-CN"/>
        </w:rPr>
      </w:pPr>
      <w:r>
        <w:rPr>
          <w:rFonts w:hint="eastAsia" w:ascii="宋体" w:hAnsi="宋体" w:eastAsia="宋体" w:cs="宋体"/>
          <w:sz w:val="24"/>
          <w:highlight w:val="none"/>
        </w:rPr>
        <w:br w:type="page"/>
      </w:r>
      <w:r>
        <w:rPr>
          <w:rFonts w:hint="eastAsia" w:ascii="宋体" w:hAnsi="宋体" w:eastAsia="宋体" w:cs="宋体"/>
          <w:b w:val="0"/>
          <w:bCs w:val="0"/>
          <w:color w:val="000000"/>
          <w:sz w:val="24"/>
          <w:highlight w:val="none"/>
          <w:lang w:eastAsia="zh-CN"/>
        </w:rPr>
        <w:t>营业执照</w:t>
      </w:r>
    </w:p>
    <w:p>
      <w:pPr>
        <w:pStyle w:val="2"/>
        <w:rPr>
          <w:rFonts w:hint="eastAsia" w:ascii="宋体" w:hAnsi="宋体" w:eastAsia="宋体" w:cs="宋体"/>
          <w:b w:val="0"/>
          <w:bCs w:val="0"/>
          <w:color w:val="000000"/>
          <w:sz w:val="24"/>
          <w:highlight w:val="none"/>
          <w:lang w:eastAsia="zh-CN"/>
        </w:rPr>
      </w:pPr>
    </w:p>
    <w:p>
      <w:pPr>
        <w:rPr>
          <w:rFonts w:hint="eastAsia" w:ascii="宋体" w:hAnsi="宋体" w:eastAsia="宋体" w:cs="宋体"/>
          <w:b w:val="0"/>
          <w:bCs w:val="0"/>
          <w:color w:val="000000"/>
          <w:sz w:val="24"/>
          <w:highlight w:val="none"/>
          <w:lang w:eastAsia="zh-CN"/>
        </w:rPr>
      </w:pPr>
    </w:p>
    <w:p>
      <w:pPr>
        <w:pStyle w:val="2"/>
        <w:rPr>
          <w:rFonts w:hint="eastAsia" w:ascii="宋体" w:hAnsi="宋体" w:eastAsia="宋体" w:cs="宋体"/>
          <w:b w:val="0"/>
          <w:bCs w:val="0"/>
          <w:color w:val="000000"/>
          <w:sz w:val="24"/>
          <w:highlight w:val="none"/>
          <w:lang w:eastAsia="zh-CN"/>
        </w:rPr>
      </w:pPr>
    </w:p>
    <w:p>
      <w:pPr>
        <w:rPr>
          <w:rFonts w:hint="eastAsia" w:ascii="宋体" w:hAnsi="宋体" w:eastAsia="宋体" w:cs="宋体"/>
          <w:highlight w:val="none"/>
          <w:lang w:eastAsia="zh-CN"/>
        </w:rPr>
      </w:pPr>
    </w:p>
    <w:p>
      <w:pPr>
        <w:snapToGrid w:val="0"/>
        <w:spacing w:line="460" w:lineRule="atLeast"/>
        <w:jc w:val="left"/>
        <w:rPr>
          <w:rFonts w:hint="eastAsia" w:ascii="宋体" w:hAnsi="宋体" w:eastAsia="宋体" w:cs="宋体"/>
          <w:sz w:val="24"/>
          <w:highlight w:val="none"/>
        </w:rPr>
      </w:pPr>
    </w:p>
    <w:p>
      <w:pPr>
        <w:pStyle w:val="30"/>
        <w:jc w:val="both"/>
        <w:rPr>
          <w:rFonts w:hint="eastAsia" w:ascii="宋体" w:hAnsi="宋体" w:eastAsia="宋体" w:cs="宋体"/>
          <w:b/>
          <w:highlight w:val="none"/>
          <w:lang w:val="en-US" w:eastAsia="zh-CN"/>
        </w:rPr>
      </w:pPr>
      <w:r>
        <w:rPr>
          <w:rFonts w:hint="eastAsia" w:ascii="宋体" w:hAnsi="宋体" w:eastAsia="宋体" w:cs="宋体"/>
          <w:sz w:val="24"/>
          <w:highlight w:val="none"/>
        </w:rPr>
        <w:br w:type="page"/>
      </w:r>
      <w:r>
        <w:rPr>
          <w:rFonts w:hint="eastAsia" w:ascii="宋体" w:hAnsi="宋体" w:eastAsia="宋体" w:cs="宋体"/>
          <w:b/>
          <w:highlight w:val="none"/>
          <w:lang w:val="en-US" w:eastAsia="zh-CN"/>
        </w:rPr>
        <w:t>5、中小企业声明函格式</w:t>
      </w:r>
    </w:p>
    <w:p>
      <w:pPr>
        <w:pStyle w:val="30"/>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中小企业声明函</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本公司（联合体）郑重声明，根据《政府采购促进中小企业发展管理办法》（财库﹝2020﹞46号）</w:t>
      </w:r>
      <w:r>
        <w:rPr>
          <w:rFonts w:hint="eastAsia" w:ascii="宋体" w:hAnsi="宋体" w:eastAsia="宋体" w:cs="宋体"/>
          <w:sz w:val="24"/>
          <w:highlight w:val="none"/>
          <w:lang w:eastAsia="zh-CN"/>
        </w:rPr>
        <w:t>等</w:t>
      </w:r>
      <w:r>
        <w:rPr>
          <w:rFonts w:hint="eastAsia" w:ascii="宋体" w:hAnsi="宋体" w:eastAsia="宋体" w:cs="宋体"/>
          <w:sz w:val="24"/>
          <w:highlight w:val="none"/>
        </w:rPr>
        <w:t>规定，本公司（联合体）参加</w:t>
      </w:r>
      <w:r>
        <w:rPr>
          <w:rFonts w:hint="eastAsia" w:ascii="宋体" w:hAnsi="宋体" w:eastAsia="宋体" w:cs="宋体"/>
          <w:sz w:val="24"/>
          <w:highlight w:val="none"/>
          <w:u w:val="single"/>
        </w:rPr>
        <w:t xml:space="preserve"> （单位名称） </w:t>
      </w:r>
      <w:r>
        <w:rPr>
          <w:rFonts w:hint="eastAsia" w:ascii="宋体" w:hAnsi="宋体" w:eastAsia="宋体" w:cs="宋体"/>
          <w:sz w:val="24"/>
          <w:highlight w:val="none"/>
        </w:rPr>
        <w:t>的</w:t>
      </w:r>
      <w:r>
        <w:rPr>
          <w:rFonts w:hint="eastAsia" w:ascii="宋体" w:hAnsi="宋体" w:eastAsia="宋体" w:cs="宋体"/>
          <w:sz w:val="24"/>
          <w:highlight w:val="none"/>
          <w:u w:val="single"/>
        </w:rPr>
        <w:t xml:space="preserve">（项目名称） </w:t>
      </w:r>
      <w:r>
        <w:rPr>
          <w:rFonts w:hint="eastAsia" w:ascii="宋体" w:hAnsi="宋体" w:eastAsia="宋体" w:cs="宋体"/>
          <w:sz w:val="24"/>
          <w:highlight w:val="none"/>
        </w:rPr>
        <w:t>采购活动，</w:t>
      </w:r>
      <w:r>
        <w:rPr>
          <w:rFonts w:hint="eastAsia" w:ascii="宋体" w:hAnsi="宋体" w:eastAsia="宋体" w:cs="宋体"/>
          <w:spacing w:val="-2"/>
          <w:sz w:val="24"/>
          <w:highlight w:val="none"/>
        </w:rPr>
        <w:t>提供的货物全部由符合政策要求的中小企业制造。</w:t>
      </w:r>
      <w:r>
        <w:rPr>
          <w:rFonts w:hint="eastAsia" w:ascii="宋体" w:hAnsi="宋体" w:eastAsia="宋体" w:cs="宋体"/>
          <w:sz w:val="24"/>
          <w:highlight w:val="none"/>
        </w:rPr>
        <w:t>相关企业（含联合体中的</w:t>
      </w:r>
      <w:r>
        <w:rPr>
          <w:rFonts w:hint="eastAsia" w:ascii="宋体" w:hAnsi="宋体" w:eastAsia="宋体" w:cs="宋体"/>
          <w:sz w:val="24"/>
          <w:highlight w:val="none"/>
          <w:lang w:eastAsia="zh-CN"/>
        </w:rPr>
        <w:t>中小企业</w:t>
      </w:r>
      <w:r>
        <w:rPr>
          <w:rFonts w:hint="eastAsia" w:ascii="宋体" w:hAnsi="宋体" w:eastAsia="宋体" w:cs="宋体"/>
          <w:sz w:val="24"/>
          <w:highlight w:val="none"/>
        </w:rPr>
        <w:t>、签订分包意向协议的</w:t>
      </w:r>
      <w:r>
        <w:rPr>
          <w:rFonts w:hint="eastAsia" w:ascii="宋体" w:hAnsi="宋体" w:eastAsia="宋体" w:cs="宋体"/>
          <w:sz w:val="24"/>
          <w:highlight w:val="none"/>
          <w:lang w:eastAsia="zh-CN"/>
        </w:rPr>
        <w:t>中小企业</w:t>
      </w:r>
      <w:r>
        <w:rPr>
          <w:rFonts w:hint="eastAsia" w:ascii="宋体" w:hAnsi="宋体" w:eastAsia="宋体" w:cs="宋体"/>
          <w:sz w:val="24"/>
          <w:highlight w:val="none"/>
        </w:rPr>
        <w:t>）的具体情况如下：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rPr>
        <w:t xml:space="preserve"> （标的名称） </w:t>
      </w:r>
      <w:r>
        <w:rPr>
          <w:rFonts w:hint="eastAsia" w:ascii="宋体" w:hAnsi="宋体" w:eastAsia="宋体" w:cs="宋体"/>
          <w:sz w:val="24"/>
          <w:highlight w:val="none"/>
        </w:rPr>
        <w:t>，</w:t>
      </w:r>
      <w:r>
        <w:rPr>
          <w:rFonts w:hint="eastAsia" w:ascii="宋体" w:hAnsi="宋体" w:eastAsia="宋体" w:cs="宋体"/>
          <w:sz w:val="24"/>
          <w:highlight w:val="none"/>
          <w:lang w:eastAsia="zh-CN"/>
        </w:rPr>
        <w:t>属于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eastAsia="zh-CN"/>
        </w:rPr>
        <w:t>采购文件中明确的所属行业</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val="en-US" w:eastAsia="zh-CN"/>
        </w:rPr>
        <w:t xml:space="preserve"> </w:t>
      </w:r>
      <w:r>
        <w:rPr>
          <w:rFonts w:hint="eastAsia" w:ascii="宋体" w:hAnsi="宋体" w:eastAsia="宋体" w:cs="宋体"/>
          <w:spacing w:val="-2"/>
          <w:sz w:val="24"/>
          <w:highlight w:val="none"/>
        </w:rPr>
        <w:t>制造商为</w:t>
      </w:r>
      <w:r>
        <w:rPr>
          <w:rFonts w:hint="eastAsia" w:ascii="宋体" w:hAnsi="宋体" w:eastAsia="宋体" w:cs="宋体"/>
          <w:sz w:val="24"/>
          <w:highlight w:val="none"/>
          <w:u w:val="single"/>
        </w:rPr>
        <w:t xml:space="preserve"> （企业名称） </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eastAsia="zh-CN"/>
        </w:rPr>
        <w:t>中型企业、</w:t>
      </w:r>
      <w:r>
        <w:rPr>
          <w:rFonts w:hint="eastAsia" w:ascii="宋体" w:hAnsi="宋体" w:eastAsia="宋体" w:cs="宋体"/>
          <w:sz w:val="24"/>
          <w:highlight w:val="none"/>
          <w:u w:val="single"/>
        </w:rPr>
        <w:t>小型企业、微型企业）</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u w:val="single"/>
        </w:rPr>
        <w:t xml:space="preserve"> （标的名称） </w:t>
      </w:r>
      <w:r>
        <w:rPr>
          <w:rFonts w:hint="eastAsia" w:ascii="宋体" w:hAnsi="宋体" w:eastAsia="宋体" w:cs="宋体"/>
          <w:sz w:val="24"/>
          <w:highlight w:val="none"/>
        </w:rPr>
        <w:t>，</w:t>
      </w:r>
      <w:r>
        <w:rPr>
          <w:rFonts w:hint="eastAsia" w:ascii="宋体" w:hAnsi="宋体" w:eastAsia="宋体" w:cs="宋体"/>
          <w:sz w:val="24"/>
          <w:highlight w:val="none"/>
          <w:lang w:eastAsia="zh-CN"/>
        </w:rPr>
        <w:t>属于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eastAsia="zh-CN"/>
        </w:rPr>
        <w:t>采购文件中明确的所属行业</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val="en-US" w:eastAsia="zh-CN"/>
        </w:rPr>
        <w:t xml:space="preserve"> </w:t>
      </w:r>
      <w:r>
        <w:rPr>
          <w:rFonts w:hint="eastAsia" w:ascii="宋体" w:hAnsi="宋体" w:eastAsia="宋体" w:cs="宋体"/>
          <w:spacing w:val="-2"/>
          <w:sz w:val="24"/>
          <w:highlight w:val="none"/>
        </w:rPr>
        <w:t>制造商为</w:t>
      </w:r>
      <w:r>
        <w:rPr>
          <w:rFonts w:hint="eastAsia" w:ascii="宋体" w:hAnsi="宋体" w:eastAsia="宋体" w:cs="宋体"/>
          <w:sz w:val="24"/>
          <w:highlight w:val="none"/>
          <w:u w:val="single"/>
        </w:rPr>
        <w:t xml:space="preserve"> （企业名称） </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eastAsia="zh-CN"/>
        </w:rPr>
        <w:t>中型企业、</w:t>
      </w:r>
      <w:r>
        <w:rPr>
          <w:rFonts w:hint="eastAsia" w:ascii="宋体" w:hAnsi="宋体" w:eastAsia="宋体" w:cs="宋体"/>
          <w:sz w:val="24"/>
          <w:highlight w:val="none"/>
          <w:u w:val="single"/>
        </w:rPr>
        <w:t>小型企业、微型企业）</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spacing w:line="360" w:lineRule="auto"/>
        <w:ind w:firstLine="480" w:firstLineChars="200"/>
        <w:rPr>
          <w:rFonts w:hint="eastAsia" w:ascii="宋体" w:hAnsi="宋体" w:eastAsia="宋体" w:cs="宋体"/>
          <w:sz w:val="24"/>
          <w:highlight w:val="none"/>
        </w:rPr>
      </w:pPr>
    </w:p>
    <w:p>
      <w:pPr>
        <w:pStyle w:val="3"/>
        <w:rPr>
          <w:rFonts w:hint="eastAsia" w:ascii="宋体" w:hAnsi="宋体" w:eastAsia="宋体" w:cs="宋体"/>
          <w:highlight w:val="none"/>
        </w:rPr>
      </w:pPr>
    </w:p>
    <w:p>
      <w:pPr>
        <w:spacing w:line="360" w:lineRule="auto"/>
        <w:ind w:firstLine="5280" w:firstLineChars="2200"/>
        <w:rPr>
          <w:rFonts w:hint="eastAsia" w:ascii="宋体" w:hAnsi="宋体" w:eastAsia="宋体" w:cs="宋体"/>
          <w:sz w:val="24"/>
          <w:highlight w:val="none"/>
        </w:rPr>
      </w:pPr>
      <w:r>
        <w:rPr>
          <w:rFonts w:hint="eastAsia" w:ascii="宋体" w:hAnsi="宋体" w:eastAsia="宋体" w:cs="宋体"/>
          <w:sz w:val="24"/>
          <w:highlight w:val="none"/>
        </w:rPr>
        <w:t>企业名称（盖章）：</w:t>
      </w:r>
    </w:p>
    <w:p>
      <w:pPr>
        <w:spacing w:line="360" w:lineRule="auto"/>
        <w:ind w:firstLine="6000" w:firstLineChars="2500"/>
        <w:rPr>
          <w:rFonts w:hint="eastAsia" w:ascii="宋体" w:hAnsi="宋体" w:eastAsia="宋体" w:cs="宋体"/>
          <w:sz w:val="24"/>
          <w:highlight w:val="none"/>
        </w:rPr>
      </w:pPr>
      <w:r>
        <w:rPr>
          <w:rFonts w:hint="eastAsia" w:ascii="宋体" w:hAnsi="宋体" w:eastAsia="宋体" w:cs="宋体"/>
          <w:sz w:val="24"/>
          <w:highlight w:val="none"/>
        </w:rPr>
        <w:t>日 期：</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说明：</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1、从业人员、营业收入、资产总额填报上一年度数据，无上一年度数据的新成立企业可不填报。</w:t>
      </w:r>
    </w:p>
    <w:p>
      <w:pPr>
        <w:pStyle w:val="30"/>
        <w:jc w:val="both"/>
        <w:rPr>
          <w:rFonts w:hint="eastAsia" w:ascii="宋体" w:hAnsi="宋体" w:eastAsia="宋体" w:cs="宋体"/>
          <w:b/>
          <w:highlight w:val="none"/>
        </w:rPr>
      </w:pPr>
      <w:r>
        <w:rPr>
          <w:rFonts w:hint="eastAsia" w:ascii="宋体" w:hAnsi="宋体" w:eastAsia="宋体" w:cs="宋体"/>
          <w:b/>
          <w:highlight w:val="none"/>
        </w:rPr>
        <w:br w:type="page"/>
      </w:r>
      <w:r>
        <w:rPr>
          <w:rFonts w:hint="eastAsia" w:ascii="宋体" w:hAnsi="宋体" w:eastAsia="宋体" w:cs="宋体"/>
          <w:b/>
          <w:highlight w:val="none"/>
          <w:lang w:val="en-US" w:eastAsia="zh-CN"/>
        </w:rPr>
        <w:t>6</w:t>
      </w:r>
      <w:r>
        <w:rPr>
          <w:rFonts w:hint="eastAsia" w:ascii="宋体" w:hAnsi="宋体" w:eastAsia="宋体" w:cs="宋体"/>
          <w:b/>
          <w:highlight w:val="none"/>
        </w:rPr>
        <w:t>、残疾人福利性单位声明函格式</w:t>
      </w:r>
    </w:p>
    <w:p>
      <w:pPr>
        <w:pStyle w:val="18"/>
        <w:snapToGrid w:val="0"/>
        <w:spacing w:before="31" w:beforeLines="10" w:after="31" w:afterLines="10"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残疾人福利性单位声明函</w:t>
      </w:r>
    </w:p>
    <w:p>
      <w:pPr>
        <w:pStyle w:val="18"/>
        <w:snapToGrid w:val="0"/>
        <w:spacing w:before="31" w:beforeLines="10" w:after="31" w:afterLines="1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单位的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项目采购活动提供本单位制造的货物（由本单位承担工程、提供服务），或者提供其他残疾人福利性单位制造的货物（不包括使用非残疾人福利性单位注册商标的货物）。</w:t>
      </w:r>
    </w:p>
    <w:p>
      <w:pPr>
        <w:pStyle w:val="18"/>
        <w:snapToGrid w:val="0"/>
        <w:spacing w:before="31" w:beforeLines="10" w:after="31" w:afterLines="1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pPr>
        <w:pStyle w:val="18"/>
        <w:snapToGrid w:val="0"/>
        <w:spacing w:before="31" w:beforeLines="10" w:after="31" w:afterLines="10" w:line="360" w:lineRule="auto"/>
        <w:rPr>
          <w:rFonts w:hint="eastAsia" w:ascii="宋体" w:hAnsi="宋体" w:eastAsia="宋体" w:cs="宋体"/>
          <w:sz w:val="24"/>
          <w:highlight w:val="none"/>
        </w:rPr>
      </w:pPr>
    </w:p>
    <w:p>
      <w:pPr>
        <w:pStyle w:val="18"/>
        <w:snapToGrid w:val="0"/>
        <w:spacing w:before="31" w:beforeLines="10" w:after="31" w:afterLines="10" w:line="360" w:lineRule="auto"/>
        <w:rPr>
          <w:rFonts w:hint="eastAsia" w:ascii="宋体" w:hAnsi="宋体" w:eastAsia="宋体" w:cs="宋体"/>
          <w:sz w:val="24"/>
          <w:highlight w:val="none"/>
        </w:rPr>
      </w:pPr>
    </w:p>
    <w:p>
      <w:pPr>
        <w:pStyle w:val="18"/>
        <w:snapToGrid w:val="0"/>
        <w:spacing w:before="31" w:beforeLines="10" w:after="31" w:afterLines="1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投标人（盖章）</w:t>
      </w:r>
    </w:p>
    <w:p>
      <w:pPr>
        <w:pStyle w:val="18"/>
        <w:snapToGrid w:val="0"/>
        <w:spacing w:before="31" w:beforeLines="10" w:after="31" w:afterLines="1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说明：</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1、非残疾人福利性单位不需提供此声明函。</w:t>
      </w:r>
    </w:p>
    <w:p>
      <w:pPr>
        <w:pStyle w:val="18"/>
        <w:snapToGrid w:val="0"/>
        <w:spacing w:before="31" w:beforeLines="10" w:after="31" w:afterLines="1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2、联合体主办方和各成员单位分别提供此函。</w:t>
      </w:r>
    </w:p>
    <w:p>
      <w:pPr>
        <w:pStyle w:val="18"/>
        <w:snapToGrid w:val="0"/>
        <w:spacing w:before="31" w:beforeLines="10" w:after="31" w:afterLines="10" w:line="360" w:lineRule="auto"/>
        <w:rPr>
          <w:rFonts w:hint="eastAsia" w:ascii="宋体" w:hAnsi="宋体" w:eastAsia="宋体" w:cs="宋体"/>
          <w:b/>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lang w:val="en-US" w:eastAsia="zh-CN"/>
        </w:rPr>
        <w:t>7</w:t>
      </w:r>
      <w:r>
        <w:rPr>
          <w:rFonts w:hint="eastAsia" w:ascii="宋体" w:hAnsi="宋体" w:eastAsia="宋体" w:cs="宋体"/>
          <w:b/>
          <w:sz w:val="24"/>
          <w:highlight w:val="none"/>
        </w:rPr>
        <w:t>、监狱企业声明函格式</w:t>
      </w:r>
    </w:p>
    <w:p>
      <w:pPr>
        <w:pStyle w:val="18"/>
        <w:snapToGrid w:val="0"/>
        <w:spacing w:before="31" w:beforeLines="10" w:after="31" w:afterLines="10"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监狱企业声明函</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本单位郑重声明，根据《关于政府采购支持监狱企业发展有关问题的通知》（财库[2014]68号）的规定，本单位为监狱企业。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根据上述标准，我单位属于监狱企业的理由为：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pStyle w:val="18"/>
        <w:snapToGrid w:val="0"/>
        <w:spacing w:before="31" w:beforeLines="10" w:after="31" w:afterLines="1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本单位参加</w:t>
      </w:r>
      <w:r>
        <w:rPr>
          <w:rFonts w:hint="eastAsia" w:ascii="宋体" w:hAnsi="宋体" w:eastAsia="宋体" w:cs="宋体"/>
          <w:sz w:val="24"/>
          <w:highlight w:val="none"/>
          <w:u w:val="single"/>
        </w:rPr>
        <w:t xml:space="preserve">（采购人名称）       </w:t>
      </w:r>
      <w:r>
        <w:rPr>
          <w:rFonts w:hint="eastAsia" w:ascii="宋体" w:hAnsi="宋体" w:eastAsia="宋体" w:cs="宋体"/>
          <w:sz w:val="24"/>
          <w:highlight w:val="none"/>
        </w:rPr>
        <w:t>单位的</w:t>
      </w:r>
      <w:r>
        <w:rPr>
          <w:rFonts w:hint="eastAsia" w:ascii="宋体" w:hAnsi="宋体" w:eastAsia="宋体" w:cs="宋体"/>
          <w:sz w:val="24"/>
          <w:highlight w:val="none"/>
          <w:u w:val="single"/>
        </w:rPr>
        <w:t xml:space="preserve"> （项目名称）         </w:t>
      </w:r>
      <w:r>
        <w:rPr>
          <w:rFonts w:hint="eastAsia" w:ascii="宋体" w:hAnsi="宋体" w:eastAsia="宋体" w:cs="宋体"/>
          <w:sz w:val="24"/>
          <w:highlight w:val="none"/>
        </w:rPr>
        <w:t>项目的采购活动，并由本单位为本项目提供货物。</w:t>
      </w:r>
    </w:p>
    <w:p>
      <w:pPr>
        <w:pStyle w:val="18"/>
        <w:snapToGrid w:val="0"/>
        <w:spacing w:before="31" w:beforeLines="10" w:after="31" w:afterLines="1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pPr>
        <w:pStyle w:val="18"/>
        <w:snapToGrid w:val="0"/>
        <w:spacing w:before="31" w:beforeLines="10" w:after="31" w:afterLines="10" w:line="360" w:lineRule="auto"/>
        <w:rPr>
          <w:rFonts w:hint="eastAsia" w:ascii="宋体" w:hAnsi="宋体" w:eastAsia="宋体" w:cs="宋体"/>
          <w:sz w:val="24"/>
          <w:highlight w:val="none"/>
        </w:rPr>
      </w:pPr>
    </w:p>
    <w:p>
      <w:pPr>
        <w:pStyle w:val="18"/>
        <w:snapToGrid w:val="0"/>
        <w:spacing w:before="31" w:beforeLines="10" w:after="31" w:afterLines="10" w:line="360" w:lineRule="auto"/>
        <w:rPr>
          <w:rFonts w:hint="eastAsia" w:ascii="宋体" w:hAnsi="宋体" w:eastAsia="宋体" w:cs="宋体"/>
          <w:sz w:val="24"/>
          <w:highlight w:val="none"/>
        </w:rPr>
      </w:pPr>
    </w:p>
    <w:p>
      <w:pPr>
        <w:pStyle w:val="18"/>
        <w:snapToGrid w:val="0"/>
        <w:spacing w:before="31" w:beforeLines="10" w:after="31" w:afterLines="1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投标人（盖章）</w:t>
      </w:r>
    </w:p>
    <w:p>
      <w:pPr>
        <w:pStyle w:val="18"/>
        <w:snapToGrid w:val="0"/>
        <w:spacing w:before="31" w:beforeLines="10" w:after="31" w:afterLines="1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说明：</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1、监狱企业参加采购活动时，应当提供由省级以上监狱管理局、戒毒管理局（含新疆生产建设兵团）出具的属于监狱企业的证明文件。</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3、非监狱企业不需提供此声明函。</w:t>
      </w:r>
    </w:p>
    <w:p>
      <w:pPr>
        <w:pStyle w:val="18"/>
        <w:snapToGrid w:val="0"/>
        <w:spacing w:before="31" w:beforeLines="10" w:after="31" w:afterLines="10"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sz w:val="24"/>
          <w:highlight w:val="none"/>
        </w:rPr>
        <w:t>4、联合体主办方和各成员单位分别提供此函。</w:t>
      </w:r>
    </w:p>
    <w:p>
      <w:pPr>
        <w:snapToGrid w:val="0"/>
        <w:spacing w:before="156" w:beforeLines="50" w:after="50" w:line="440" w:lineRule="exact"/>
        <w:jc w:val="center"/>
        <w:outlineLvl w:val="1"/>
        <w:rPr>
          <w:rFonts w:hint="eastAsia" w:ascii="宋体" w:hAnsi="宋体" w:eastAsia="宋体" w:cs="宋体"/>
          <w:sz w:val="24"/>
          <w:highlight w:val="none"/>
        </w:rPr>
      </w:pPr>
      <w:r>
        <w:rPr>
          <w:rFonts w:hint="eastAsia" w:ascii="宋体" w:hAnsi="宋体" w:eastAsia="宋体" w:cs="宋体"/>
          <w:sz w:val="24"/>
          <w:highlight w:val="none"/>
        </w:rPr>
        <w:br w:type="page"/>
      </w:r>
      <w:r>
        <w:rPr>
          <w:rFonts w:hint="eastAsia" w:ascii="宋体" w:hAnsi="宋体" w:eastAsia="宋体" w:cs="宋体"/>
          <w:b/>
          <w:bCs/>
          <w:sz w:val="24"/>
          <w:highlight w:val="none"/>
        </w:rPr>
        <w:t>二、商务技术文件格式</w:t>
      </w:r>
    </w:p>
    <w:p>
      <w:pPr>
        <w:snapToGrid w:val="0"/>
        <w:spacing w:before="156" w:beforeLines="50" w:after="50" w:line="440" w:lineRule="exact"/>
        <w:rPr>
          <w:rFonts w:hint="eastAsia" w:ascii="宋体" w:hAnsi="宋体" w:eastAsia="宋体" w:cs="宋体"/>
          <w:sz w:val="24"/>
          <w:highlight w:val="none"/>
        </w:rPr>
      </w:pPr>
      <w:r>
        <w:rPr>
          <w:rFonts w:hint="eastAsia" w:ascii="宋体" w:hAnsi="宋体" w:eastAsia="宋体" w:cs="宋体"/>
          <w:sz w:val="24"/>
          <w:highlight w:val="none"/>
        </w:rPr>
        <w:t>·商务技术文件封面格式：</w:t>
      </w:r>
    </w:p>
    <w:p>
      <w:pPr>
        <w:snapToGrid w:val="0"/>
        <w:spacing w:before="156" w:beforeLines="50" w:after="50" w:line="440" w:lineRule="exact"/>
        <w:rPr>
          <w:rFonts w:hint="eastAsia" w:ascii="宋体" w:hAnsi="宋体" w:eastAsia="宋体" w:cs="宋体"/>
          <w:b/>
          <w:bCs/>
          <w:sz w:val="32"/>
          <w:highlight w:val="none"/>
        </w:rPr>
      </w:pPr>
      <w:r>
        <w:rPr>
          <w:rFonts w:hint="eastAsia" w:ascii="宋体" w:hAnsi="宋体" w:eastAsia="宋体" w:cs="宋体"/>
          <w:sz w:val="24"/>
          <w:highlight w:val="none"/>
        </w:rPr>
        <w:t xml:space="preserve">                                               </w:t>
      </w:r>
    </w:p>
    <w:p>
      <w:pPr>
        <w:snapToGrid w:val="0"/>
        <w:spacing w:before="156" w:beforeLines="50" w:after="50" w:line="440" w:lineRule="exact"/>
        <w:rPr>
          <w:rFonts w:hint="eastAsia" w:ascii="宋体" w:hAnsi="宋体" w:eastAsia="宋体" w:cs="宋体"/>
          <w:sz w:val="24"/>
          <w:highlight w:val="none"/>
        </w:rPr>
      </w:pPr>
    </w:p>
    <w:p>
      <w:pPr>
        <w:snapToGrid w:val="0"/>
        <w:spacing w:before="156" w:beforeLines="50" w:after="50" w:line="440" w:lineRule="exact"/>
        <w:jc w:val="center"/>
        <w:rPr>
          <w:rFonts w:hint="eastAsia" w:ascii="宋体" w:hAnsi="宋体" w:eastAsia="宋体" w:cs="宋体"/>
          <w:bCs/>
          <w:sz w:val="24"/>
          <w:highlight w:val="none"/>
        </w:rPr>
      </w:pPr>
    </w:p>
    <w:p>
      <w:pPr>
        <w:snapToGrid w:val="0"/>
        <w:spacing w:before="156" w:beforeLines="50" w:after="50" w:line="44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商务技术</w:t>
      </w:r>
      <w:r>
        <w:rPr>
          <w:rFonts w:hint="eastAsia" w:ascii="宋体" w:hAnsi="宋体" w:eastAsia="宋体" w:cs="宋体"/>
          <w:sz w:val="24"/>
          <w:highlight w:val="none"/>
        </w:rPr>
        <w:t>文件</w:t>
      </w:r>
    </w:p>
    <w:p>
      <w:pPr>
        <w:snapToGrid w:val="0"/>
        <w:spacing w:before="156" w:beforeLines="50" w:after="50" w:line="440" w:lineRule="exact"/>
        <w:rPr>
          <w:rFonts w:hint="eastAsia" w:ascii="宋体" w:hAnsi="宋体" w:eastAsia="宋体" w:cs="宋体"/>
          <w:bCs/>
          <w:sz w:val="24"/>
          <w:highlight w:val="none"/>
        </w:rPr>
      </w:pPr>
    </w:p>
    <w:p>
      <w:pPr>
        <w:snapToGrid w:val="0"/>
        <w:spacing w:before="156" w:beforeLines="50" w:after="50" w:line="440" w:lineRule="exact"/>
        <w:ind w:firstLine="1068" w:firstLineChars="445"/>
        <w:rPr>
          <w:rFonts w:hint="eastAsia" w:ascii="宋体" w:hAnsi="宋体" w:eastAsia="宋体" w:cs="宋体"/>
          <w:bCs/>
          <w:sz w:val="24"/>
          <w:highlight w:val="none"/>
        </w:rPr>
      </w:pPr>
      <w:r>
        <w:rPr>
          <w:rFonts w:hint="eastAsia" w:ascii="宋体" w:hAnsi="宋体" w:eastAsia="宋体" w:cs="宋体"/>
          <w:bCs/>
          <w:sz w:val="24"/>
          <w:highlight w:val="none"/>
        </w:rPr>
        <w:t>项目名称：</w:t>
      </w:r>
      <w:r>
        <w:rPr>
          <w:rFonts w:hint="eastAsia" w:ascii="宋体" w:hAnsi="宋体" w:eastAsia="宋体" w:cs="宋体"/>
          <w:bCs/>
          <w:sz w:val="24"/>
          <w:highlight w:val="none"/>
          <w:lang w:eastAsia="zh-CN"/>
        </w:rPr>
        <w:t>塘汇街道2023年河道保洁及养护项目</w:t>
      </w:r>
    </w:p>
    <w:p>
      <w:pPr>
        <w:snapToGrid w:val="0"/>
        <w:spacing w:before="156" w:beforeLines="50" w:after="50" w:line="44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 xml:space="preserve">     项目编号：</w:t>
      </w:r>
      <w:r>
        <w:rPr>
          <w:rFonts w:hint="eastAsia" w:ascii="宋体" w:hAnsi="宋体" w:eastAsia="宋体" w:cs="宋体"/>
          <w:bCs/>
          <w:sz w:val="24"/>
          <w:highlight w:val="none"/>
          <w:lang w:eastAsia="zh-CN"/>
        </w:rPr>
        <w:t>ZJZM-2022-75</w:t>
      </w:r>
    </w:p>
    <w:p>
      <w:pPr>
        <w:snapToGrid w:val="0"/>
        <w:spacing w:before="156" w:beforeLines="50" w:after="50" w:line="44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 xml:space="preserve">     投标人名称：</w:t>
      </w:r>
    </w:p>
    <w:p>
      <w:pPr>
        <w:pStyle w:val="7"/>
        <w:spacing w:before="50" w:after="50" w:line="440" w:lineRule="exact"/>
        <w:ind w:firstLine="998" w:firstLineChars="416"/>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投标人地址：</w:t>
      </w:r>
    </w:p>
    <w:p>
      <w:pPr>
        <w:snapToGrid w:val="0"/>
        <w:spacing w:before="156" w:beforeLines="50" w:after="50" w:line="440" w:lineRule="exact"/>
        <w:ind w:firstLine="4080" w:firstLineChars="1700"/>
        <w:rPr>
          <w:rFonts w:hint="eastAsia" w:ascii="宋体" w:hAnsi="宋体" w:eastAsia="宋体" w:cs="宋体"/>
          <w:sz w:val="24"/>
          <w:highlight w:val="none"/>
        </w:rPr>
      </w:pPr>
    </w:p>
    <w:p>
      <w:pPr>
        <w:snapToGrid w:val="0"/>
        <w:spacing w:before="156" w:beforeLines="50" w:after="50" w:line="440" w:lineRule="exact"/>
        <w:ind w:firstLine="645"/>
        <w:jc w:val="center"/>
        <w:rPr>
          <w:rFonts w:hint="eastAsia" w:ascii="宋体" w:hAnsi="宋体" w:eastAsia="宋体" w:cs="宋体"/>
          <w:b/>
          <w:color w:val="0000CC"/>
          <w:szCs w:val="21"/>
          <w:highlight w:val="none"/>
        </w:rPr>
      </w:pPr>
      <w:r>
        <w:rPr>
          <w:rFonts w:hint="eastAsia" w:ascii="宋体" w:hAnsi="宋体" w:eastAsia="宋体" w:cs="宋体"/>
          <w:sz w:val="24"/>
          <w:highlight w:val="none"/>
        </w:rPr>
        <w:t xml:space="preserve">                        年  月  日</w:t>
      </w:r>
    </w:p>
    <w:p>
      <w:pPr>
        <w:pStyle w:val="53"/>
        <w:spacing w:line="360" w:lineRule="auto"/>
        <w:jc w:val="right"/>
        <w:rPr>
          <w:rFonts w:hint="eastAsia" w:ascii="宋体" w:hAnsi="宋体" w:eastAsia="宋体" w:cs="宋体"/>
          <w:color w:val="0000CC"/>
          <w:szCs w:val="21"/>
          <w:highlight w:val="none"/>
        </w:rPr>
      </w:pPr>
    </w:p>
    <w:p>
      <w:pPr>
        <w:snapToGrid w:val="0"/>
        <w:spacing w:before="50" w:after="156" w:afterLines="50" w:line="440" w:lineRule="exact"/>
        <w:jc w:val="left"/>
        <w:rPr>
          <w:rFonts w:hint="eastAsia" w:ascii="宋体" w:hAnsi="宋体" w:eastAsia="宋体" w:cs="宋体"/>
          <w:b/>
          <w:bCs/>
          <w:sz w:val="24"/>
          <w:highlight w:val="none"/>
        </w:rPr>
      </w:pPr>
      <w:r>
        <w:rPr>
          <w:rFonts w:hint="eastAsia" w:ascii="宋体" w:hAnsi="宋体" w:eastAsia="宋体" w:cs="宋体"/>
          <w:szCs w:val="21"/>
          <w:highlight w:val="none"/>
        </w:rPr>
        <w:br w:type="page"/>
      </w:r>
      <w:bookmarkEnd w:id="92"/>
      <w:bookmarkStart w:id="93" w:name="OLE_LINK17"/>
      <w:r>
        <w:rPr>
          <w:rFonts w:hint="eastAsia" w:ascii="宋体" w:hAnsi="宋体" w:eastAsia="宋体" w:cs="宋体"/>
          <w:b/>
          <w:bCs/>
          <w:sz w:val="24"/>
          <w:highlight w:val="none"/>
        </w:rPr>
        <w:t>1、投标人情况介绍</w:t>
      </w:r>
    </w:p>
    <w:p>
      <w:pPr>
        <w:spacing w:before="72"/>
        <w:ind w:left="65" w:right="6"/>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投标人基本情况表</w:t>
      </w:r>
    </w:p>
    <w:tbl>
      <w:tblPr>
        <w:tblStyle w:val="34"/>
        <w:tblW w:w="924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279"/>
        <w:gridCol w:w="1640"/>
        <w:gridCol w:w="192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restart"/>
            <w:noWrap w:val="0"/>
            <w:vAlign w:val="center"/>
          </w:tcPr>
          <w:p>
            <w:pPr>
              <w:rPr>
                <w:rFonts w:hint="eastAsia" w:ascii="宋体" w:hAnsi="宋体" w:eastAsia="宋体" w:cs="宋体"/>
                <w:color w:val="000000"/>
                <w:sz w:val="24"/>
                <w:highlight w:val="none"/>
              </w:rPr>
            </w:pP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w:t>
            </w:r>
          </w:p>
          <w:p>
            <w:pPr>
              <w:jc w:val="center"/>
              <w:rPr>
                <w:rFonts w:hint="eastAsia" w:ascii="宋体" w:hAnsi="宋体" w:eastAsia="宋体" w:cs="宋体"/>
                <w:color w:val="000000"/>
                <w:sz w:val="24"/>
                <w:highlight w:val="none"/>
              </w:rPr>
            </w:pP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标</w:t>
            </w:r>
          </w:p>
          <w:p>
            <w:pPr>
              <w:jc w:val="center"/>
              <w:rPr>
                <w:rFonts w:hint="eastAsia" w:ascii="宋体" w:hAnsi="宋体" w:eastAsia="宋体" w:cs="宋体"/>
                <w:color w:val="000000"/>
                <w:sz w:val="24"/>
                <w:highlight w:val="none"/>
              </w:rPr>
            </w:pP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w:t>
            </w:r>
          </w:p>
          <w:p>
            <w:pPr>
              <w:jc w:val="center"/>
              <w:rPr>
                <w:rFonts w:hint="eastAsia" w:ascii="宋体" w:hAnsi="宋体" w:eastAsia="宋体" w:cs="宋体"/>
                <w:color w:val="000000"/>
                <w:sz w:val="24"/>
                <w:highlight w:val="none"/>
              </w:rPr>
            </w:pP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概</w:t>
            </w:r>
          </w:p>
          <w:p>
            <w:pPr>
              <w:jc w:val="center"/>
              <w:rPr>
                <w:rFonts w:hint="eastAsia" w:ascii="宋体" w:hAnsi="宋体" w:eastAsia="宋体" w:cs="宋体"/>
                <w:color w:val="000000"/>
                <w:sz w:val="24"/>
                <w:highlight w:val="none"/>
              </w:rPr>
            </w:pP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况</w:t>
            </w:r>
          </w:p>
        </w:tc>
        <w:tc>
          <w:tcPr>
            <w:tcW w:w="2279"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公司名称</w:t>
            </w:r>
          </w:p>
        </w:tc>
        <w:tc>
          <w:tcPr>
            <w:tcW w:w="6316" w:type="dxa"/>
            <w:gridSpan w:val="3"/>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0"/>
            <w:vAlign w:val="center"/>
          </w:tcPr>
          <w:p>
            <w:pPr>
              <w:jc w:val="center"/>
              <w:rPr>
                <w:rFonts w:hint="eastAsia" w:ascii="宋体" w:hAnsi="宋体" w:eastAsia="宋体" w:cs="宋体"/>
                <w:color w:val="000000"/>
                <w:sz w:val="24"/>
                <w:highlight w:val="none"/>
              </w:rPr>
            </w:pPr>
          </w:p>
        </w:tc>
        <w:tc>
          <w:tcPr>
            <w:tcW w:w="2279"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p>
        </w:tc>
        <w:tc>
          <w:tcPr>
            <w:tcW w:w="6316" w:type="dxa"/>
            <w:gridSpan w:val="3"/>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0"/>
            <w:vAlign w:val="center"/>
          </w:tcPr>
          <w:p>
            <w:pPr>
              <w:jc w:val="center"/>
              <w:rPr>
                <w:rFonts w:hint="eastAsia" w:ascii="宋体" w:hAnsi="宋体" w:eastAsia="宋体" w:cs="宋体"/>
                <w:color w:val="000000"/>
                <w:sz w:val="24"/>
                <w:highlight w:val="none"/>
              </w:rPr>
            </w:pPr>
          </w:p>
        </w:tc>
        <w:tc>
          <w:tcPr>
            <w:tcW w:w="2279"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经营范围</w:t>
            </w:r>
          </w:p>
        </w:tc>
        <w:tc>
          <w:tcPr>
            <w:tcW w:w="6316" w:type="dxa"/>
            <w:gridSpan w:val="3"/>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0"/>
            <w:vAlign w:val="center"/>
          </w:tcPr>
          <w:p>
            <w:pPr>
              <w:jc w:val="center"/>
              <w:rPr>
                <w:rFonts w:hint="eastAsia" w:ascii="宋体" w:hAnsi="宋体" w:eastAsia="宋体" w:cs="宋体"/>
                <w:color w:val="000000"/>
                <w:sz w:val="24"/>
                <w:highlight w:val="none"/>
              </w:rPr>
            </w:pPr>
          </w:p>
        </w:tc>
        <w:tc>
          <w:tcPr>
            <w:tcW w:w="2279"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统一社会信用代码</w:t>
            </w:r>
          </w:p>
        </w:tc>
        <w:tc>
          <w:tcPr>
            <w:tcW w:w="6316" w:type="dxa"/>
            <w:gridSpan w:val="3"/>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0"/>
            <w:vAlign w:val="center"/>
          </w:tcPr>
          <w:p>
            <w:pPr>
              <w:jc w:val="center"/>
              <w:rPr>
                <w:rFonts w:hint="eastAsia" w:ascii="宋体" w:hAnsi="宋体" w:eastAsia="宋体" w:cs="宋体"/>
                <w:color w:val="000000"/>
                <w:sz w:val="24"/>
                <w:highlight w:val="none"/>
              </w:rPr>
            </w:pPr>
          </w:p>
        </w:tc>
        <w:tc>
          <w:tcPr>
            <w:tcW w:w="2279"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成立时间</w:t>
            </w:r>
          </w:p>
        </w:tc>
        <w:tc>
          <w:tcPr>
            <w:tcW w:w="1640" w:type="dxa"/>
            <w:noWrap w:val="0"/>
            <w:vAlign w:val="center"/>
          </w:tcPr>
          <w:p>
            <w:pPr>
              <w:jc w:val="center"/>
              <w:rPr>
                <w:rFonts w:hint="eastAsia" w:ascii="宋体" w:hAnsi="宋体" w:eastAsia="宋体" w:cs="宋体"/>
                <w:color w:val="000000"/>
                <w:sz w:val="24"/>
                <w:highlight w:val="none"/>
              </w:rPr>
            </w:pPr>
          </w:p>
        </w:tc>
        <w:tc>
          <w:tcPr>
            <w:tcW w:w="19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经济性质</w:t>
            </w:r>
          </w:p>
        </w:tc>
        <w:tc>
          <w:tcPr>
            <w:tcW w:w="2756"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0"/>
            <w:vAlign w:val="center"/>
          </w:tcPr>
          <w:p>
            <w:pPr>
              <w:jc w:val="center"/>
              <w:rPr>
                <w:rFonts w:hint="eastAsia" w:ascii="宋体" w:hAnsi="宋体" w:eastAsia="宋体" w:cs="宋体"/>
                <w:color w:val="000000"/>
                <w:sz w:val="24"/>
                <w:highlight w:val="none"/>
              </w:rPr>
            </w:pPr>
          </w:p>
        </w:tc>
        <w:tc>
          <w:tcPr>
            <w:tcW w:w="2279"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w:t>
            </w:r>
          </w:p>
        </w:tc>
        <w:tc>
          <w:tcPr>
            <w:tcW w:w="1640" w:type="dxa"/>
            <w:noWrap w:val="0"/>
            <w:vAlign w:val="center"/>
          </w:tcPr>
          <w:p>
            <w:pPr>
              <w:jc w:val="center"/>
              <w:rPr>
                <w:rFonts w:hint="eastAsia" w:ascii="宋体" w:hAnsi="宋体" w:eastAsia="宋体" w:cs="宋体"/>
                <w:color w:val="000000"/>
                <w:sz w:val="24"/>
                <w:highlight w:val="none"/>
              </w:rPr>
            </w:pPr>
          </w:p>
        </w:tc>
        <w:tc>
          <w:tcPr>
            <w:tcW w:w="19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p>
        </w:tc>
        <w:tc>
          <w:tcPr>
            <w:tcW w:w="2756"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0"/>
            <w:vAlign w:val="center"/>
          </w:tcPr>
          <w:p>
            <w:pPr>
              <w:jc w:val="center"/>
              <w:rPr>
                <w:rFonts w:hint="eastAsia" w:ascii="宋体" w:hAnsi="宋体" w:eastAsia="宋体" w:cs="宋体"/>
                <w:color w:val="000000"/>
                <w:sz w:val="24"/>
                <w:highlight w:val="none"/>
              </w:rPr>
            </w:pPr>
          </w:p>
        </w:tc>
        <w:tc>
          <w:tcPr>
            <w:tcW w:w="2279"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注册资金</w:t>
            </w:r>
          </w:p>
        </w:tc>
        <w:tc>
          <w:tcPr>
            <w:tcW w:w="1640" w:type="dxa"/>
            <w:noWrap w:val="0"/>
            <w:vAlign w:val="center"/>
          </w:tcPr>
          <w:p>
            <w:pPr>
              <w:jc w:val="center"/>
              <w:rPr>
                <w:rFonts w:hint="eastAsia" w:ascii="宋体" w:hAnsi="宋体" w:eastAsia="宋体" w:cs="宋体"/>
                <w:color w:val="000000"/>
                <w:sz w:val="24"/>
                <w:highlight w:val="none"/>
              </w:rPr>
            </w:pPr>
          </w:p>
        </w:tc>
        <w:tc>
          <w:tcPr>
            <w:tcW w:w="19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技术人员数</w:t>
            </w:r>
          </w:p>
        </w:tc>
        <w:tc>
          <w:tcPr>
            <w:tcW w:w="2756"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0"/>
            <w:vAlign w:val="center"/>
          </w:tcPr>
          <w:p>
            <w:pPr>
              <w:jc w:val="center"/>
              <w:rPr>
                <w:rFonts w:hint="eastAsia" w:ascii="宋体" w:hAnsi="宋体" w:eastAsia="宋体" w:cs="宋体"/>
                <w:color w:val="000000"/>
                <w:sz w:val="24"/>
                <w:highlight w:val="none"/>
              </w:rPr>
            </w:pPr>
          </w:p>
        </w:tc>
        <w:tc>
          <w:tcPr>
            <w:tcW w:w="2279"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资产总额</w:t>
            </w:r>
          </w:p>
        </w:tc>
        <w:tc>
          <w:tcPr>
            <w:tcW w:w="1640" w:type="dxa"/>
            <w:noWrap w:val="0"/>
            <w:vAlign w:val="center"/>
          </w:tcPr>
          <w:p>
            <w:pPr>
              <w:jc w:val="center"/>
              <w:rPr>
                <w:rFonts w:hint="eastAsia" w:ascii="宋体" w:hAnsi="宋体" w:eastAsia="宋体" w:cs="宋体"/>
                <w:color w:val="000000"/>
                <w:sz w:val="24"/>
                <w:highlight w:val="none"/>
              </w:rPr>
            </w:pPr>
          </w:p>
        </w:tc>
        <w:tc>
          <w:tcPr>
            <w:tcW w:w="19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净资产</w:t>
            </w:r>
          </w:p>
        </w:tc>
        <w:tc>
          <w:tcPr>
            <w:tcW w:w="2756"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0"/>
            <w:vAlign w:val="center"/>
          </w:tcPr>
          <w:p>
            <w:pPr>
              <w:jc w:val="center"/>
              <w:rPr>
                <w:rFonts w:hint="eastAsia" w:ascii="宋体" w:hAnsi="宋体" w:eastAsia="宋体" w:cs="宋体"/>
                <w:color w:val="000000"/>
                <w:sz w:val="24"/>
                <w:highlight w:val="none"/>
              </w:rPr>
            </w:pPr>
          </w:p>
        </w:tc>
        <w:tc>
          <w:tcPr>
            <w:tcW w:w="2279"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是否依法纳税</w:t>
            </w:r>
          </w:p>
        </w:tc>
        <w:tc>
          <w:tcPr>
            <w:tcW w:w="1640" w:type="dxa"/>
            <w:noWrap w:val="0"/>
            <w:vAlign w:val="center"/>
          </w:tcPr>
          <w:p>
            <w:pPr>
              <w:jc w:val="center"/>
              <w:rPr>
                <w:rFonts w:hint="eastAsia" w:ascii="宋体" w:hAnsi="宋体" w:eastAsia="宋体" w:cs="宋体"/>
                <w:color w:val="000000"/>
                <w:sz w:val="24"/>
                <w:highlight w:val="none"/>
              </w:rPr>
            </w:pPr>
          </w:p>
        </w:tc>
        <w:tc>
          <w:tcPr>
            <w:tcW w:w="19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是否参加社保</w:t>
            </w:r>
          </w:p>
        </w:tc>
        <w:tc>
          <w:tcPr>
            <w:tcW w:w="2756"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645" w:type="dxa"/>
            <w:vMerge w:val="continue"/>
            <w:noWrap w:val="0"/>
            <w:vAlign w:val="center"/>
          </w:tcPr>
          <w:p>
            <w:pPr>
              <w:jc w:val="center"/>
              <w:rPr>
                <w:rFonts w:hint="eastAsia" w:ascii="宋体" w:hAnsi="宋体" w:eastAsia="宋体" w:cs="宋体"/>
                <w:color w:val="000000"/>
                <w:sz w:val="24"/>
                <w:highlight w:val="none"/>
              </w:rPr>
            </w:pPr>
          </w:p>
        </w:tc>
        <w:tc>
          <w:tcPr>
            <w:tcW w:w="2279"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近三年公司</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业绩、信誉</w:t>
            </w:r>
          </w:p>
        </w:tc>
        <w:tc>
          <w:tcPr>
            <w:tcW w:w="6316" w:type="dxa"/>
            <w:gridSpan w:val="3"/>
            <w:noWrap w:val="0"/>
            <w:vAlign w:val="center"/>
          </w:tcPr>
          <w:p>
            <w:pPr>
              <w:jc w:val="center"/>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645" w:type="dxa"/>
            <w:vMerge w:val="continue"/>
            <w:noWrap w:val="0"/>
            <w:vAlign w:val="center"/>
          </w:tcPr>
          <w:p>
            <w:pPr>
              <w:jc w:val="center"/>
              <w:rPr>
                <w:rFonts w:hint="eastAsia" w:ascii="宋体" w:hAnsi="宋体" w:eastAsia="宋体" w:cs="宋体"/>
                <w:color w:val="000000"/>
                <w:sz w:val="24"/>
                <w:highlight w:val="none"/>
              </w:rPr>
            </w:pPr>
          </w:p>
        </w:tc>
        <w:tc>
          <w:tcPr>
            <w:tcW w:w="8595" w:type="dxa"/>
            <w:gridSpan w:val="4"/>
            <w:noWrap w:val="0"/>
            <w:vAlign w:val="top"/>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单位优势及特点：</w:t>
            </w:r>
          </w:p>
        </w:tc>
      </w:tr>
    </w:tbl>
    <w:p>
      <w:pPr>
        <w:pStyle w:val="30"/>
        <w:spacing w:before="0" w:beforeAutospacing="0" w:after="0" w:afterAutospacing="0"/>
        <w:rPr>
          <w:rFonts w:hint="eastAsia" w:ascii="宋体" w:hAnsi="宋体" w:eastAsia="宋体" w:cs="宋体"/>
          <w:snapToGrid w:val="0"/>
          <w:color w:val="000000"/>
          <w:highlight w:val="none"/>
        </w:rPr>
      </w:pPr>
      <w:r>
        <w:rPr>
          <w:rFonts w:hint="eastAsia" w:ascii="宋体" w:hAnsi="宋体" w:eastAsia="宋体" w:cs="宋体"/>
          <w:snapToGrid w:val="0"/>
          <w:color w:val="000000"/>
          <w:highlight w:val="none"/>
        </w:rPr>
        <w:t>说明：本表后应附有单位简介。</w:t>
      </w:r>
    </w:p>
    <w:p>
      <w:pPr>
        <w:pStyle w:val="3"/>
        <w:rPr>
          <w:rFonts w:hint="eastAsia" w:ascii="宋体" w:hAnsi="宋体" w:eastAsia="宋体" w:cs="宋体"/>
          <w:highlight w:val="none"/>
        </w:rPr>
      </w:pPr>
    </w:p>
    <w:p>
      <w:pPr>
        <w:snapToGrid w:val="0"/>
        <w:spacing w:before="50" w:after="50" w:line="360" w:lineRule="auto"/>
        <w:rPr>
          <w:rFonts w:hint="eastAsia" w:ascii="宋体" w:hAnsi="宋体" w:eastAsia="宋体" w:cs="宋体"/>
          <w:spacing w:val="20"/>
          <w:sz w:val="24"/>
          <w:highlight w:val="none"/>
          <w:u w:val="single"/>
        </w:rPr>
      </w:pPr>
      <w:r>
        <w:rPr>
          <w:rFonts w:hint="eastAsia" w:ascii="宋体" w:hAnsi="宋体" w:eastAsia="宋体" w:cs="宋体"/>
          <w:sz w:val="24"/>
          <w:highlight w:val="none"/>
        </w:rPr>
        <w:t>法定代表人</w:t>
      </w:r>
      <w:r>
        <w:rPr>
          <w:rFonts w:hint="eastAsia" w:ascii="宋体" w:hAnsi="宋体" w:cs="宋体"/>
          <w:sz w:val="24"/>
          <w:highlight w:val="none"/>
          <w:lang w:eastAsia="zh-CN"/>
        </w:rPr>
        <w:t>（</w:t>
      </w:r>
      <w:r>
        <w:rPr>
          <w:rFonts w:hint="eastAsia" w:ascii="宋体" w:hAnsi="宋体" w:eastAsia="宋体" w:cs="宋体"/>
          <w:sz w:val="24"/>
          <w:highlight w:val="none"/>
        </w:rPr>
        <w:t>或其委托代理人</w:t>
      </w:r>
      <w:r>
        <w:rPr>
          <w:rFonts w:hint="eastAsia" w:ascii="宋体" w:hAnsi="宋体" w:cs="宋体"/>
          <w:sz w:val="24"/>
          <w:highlight w:val="none"/>
          <w:lang w:eastAsia="zh-CN"/>
        </w:rPr>
        <w:t>）</w:t>
      </w:r>
      <w:r>
        <w:rPr>
          <w:rFonts w:hint="eastAsia" w:ascii="宋体" w:hAnsi="宋体" w:eastAsia="宋体" w:cs="宋体"/>
          <w:sz w:val="24"/>
          <w:highlight w:val="none"/>
        </w:rPr>
        <w:t>签字或盖章</w:t>
      </w:r>
      <w:r>
        <w:rPr>
          <w:rFonts w:hint="eastAsia" w:ascii="宋体" w:hAnsi="宋体" w:eastAsia="宋体" w:cs="宋体"/>
          <w:spacing w:val="20"/>
          <w:sz w:val="24"/>
          <w:highlight w:val="none"/>
        </w:rPr>
        <w:t>：</w:t>
      </w:r>
      <w:r>
        <w:rPr>
          <w:rFonts w:hint="eastAsia" w:ascii="宋体" w:hAnsi="宋体" w:eastAsia="宋体" w:cs="宋体"/>
          <w:spacing w:val="20"/>
          <w:sz w:val="24"/>
          <w:highlight w:val="none"/>
          <w:u w:val="single"/>
        </w:rPr>
        <w:t xml:space="preserve">        </w:t>
      </w:r>
    </w:p>
    <w:p>
      <w:pPr>
        <w:pStyle w:val="87"/>
        <w:spacing w:line="360" w:lineRule="auto"/>
        <w:ind w:right="480"/>
        <w:rPr>
          <w:rFonts w:hint="eastAsia" w:ascii="宋体" w:hAnsi="宋体" w:eastAsia="宋体" w:cs="宋体"/>
          <w:sz w:val="24"/>
          <w:highlight w:val="none"/>
        </w:rPr>
      </w:pPr>
      <w:r>
        <w:rPr>
          <w:rFonts w:hint="eastAsia" w:ascii="宋体" w:hAnsi="宋体" w:eastAsia="宋体" w:cs="宋体"/>
          <w:sz w:val="24"/>
          <w:highlight w:val="none"/>
        </w:rPr>
        <w:t>投标人全称（盖单位公章）：</w:t>
      </w:r>
      <w:r>
        <w:rPr>
          <w:rFonts w:hint="eastAsia" w:ascii="宋体" w:hAnsi="宋体" w:eastAsia="宋体" w:cs="宋体"/>
          <w:spacing w:val="20"/>
          <w:sz w:val="24"/>
          <w:highlight w:val="none"/>
          <w:u w:val="single"/>
        </w:rPr>
        <w:t xml:space="preserve"> </w:t>
      </w:r>
      <w:r>
        <w:rPr>
          <w:rFonts w:hint="eastAsia" w:hAnsi="宋体" w:eastAsia="宋体" w:cs="宋体"/>
          <w:spacing w:val="20"/>
          <w:sz w:val="24"/>
          <w:highlight w:val="none"/>
          <w:u w:val="single"/>
          <w:lang w:val="en-US" w:eastAsia="zh-CN"/>
        </w:rPr>
        <w:t xml:space="preserve">             </w:t>
      </w:r>
      <w:r>
        <w:rPr>
          <w:rFonts w:hint="eastAsia" w:ascii="宋体" w:hAnsi="宋体" w:eastAsia="宋体" w:cs="宋体"/>
          <w:spacing w:val="20"/>
          <w:sz w:val="24"/>
          <w:highlight w:val="none"/>
          <w:u w:val="single"/>
        </w:rPr>
        <w:t xml:space="preserve"> </w:t>
      </w:r>
      <w:r>
        <w:rPr>
          <w:rFonts w:hint="eastAsia" w:ascii="宋体" w:hAnsi="宋体" w:eastAsia="宋体" w:cs="宋体"/>
          <w:sz w:val="24"/>
          <w:highlight w:val="none"/>
        </w:rPr>
        <w:t xml:space="preserve">                        </w:t>
      </w:r>
    </w:p>
    <w:p>
      <w:pPr>
        <w:pStyle w:val="87"/>
        <w:spacing w:line="360" w:lineRule="auto"/>
        <w:ind w:right="480"/>
        <w:rPr>
          <w:rFonts w:hint="eastAsia" w:ascii="宋体" w:hAnsi="宋体" w:eastAsia="宋体" w:cs="宋体"/>
          <w:b/>
          <w:color w:val="0000CC"/>
          <w:szCs w:val="21"/>
          <w:highlight w:val="none"/>
        </w:rPr>
      </w:pPr>
      <w:r>
        <w:rPr>
          <w:rFonts w:hint="eastAsia" w:ascii="宋体" w:hAnsi="宋体" w:eastAsia="宋体" w:cs="宋体"/>
          <w:sz w:val="24"/>
          <w:highlight w:val="none"/>
        </w:rPr>
        <w:t xml:space="preserve">   年    月    日</w:t>
      </w:r>
    </w:p>
    <w:p>
      <w:pPr>
        <w:snapToGrid w:val="0"/>
        <w:spacing w:before="50" w:after="156" w:afterLines="50" w:line="440" w:lineRule="exact"/>
        <w:jc w:val="left"/>
        <w:rPr>
          <w:rFonts w:hint="eastAsia" w:ascii="宋体" w:hAnsi="宋体" w:eastAsia="宋体" w:cs="宋体"/>
          <w:sz w:val="24"/>
          <w:highlight w:val="none"/>
        </w:rPr>
      </w:pPr>
      <w:r>
        <w:rPr>
          <w:rFonts w:hint="eastAsia" w:ascii="宋体" w:hAnsi="宋体" w:eastAsia="宋体" w:cs="宋体"/>
          <w:b/>
          <w:color w:val="0000CC"/>
          <w:szCs w:val="21"/>
          <w:highlight w:val="none"/>
        </w:rPr>
        <w:br w:type="page"/>
      </w:r>
      <w:bookmarkEnd w:id="93"/>
    </w:p>
    <w:p>
      <w:pPr>
        <w:pStyle w:val="3"/>
        <w:rPr>
          <w:rFonts w:hint="eastAsia" w:ascii="宋体" w:hAnsi="宋体" w:eastAsia="宋体" w:cs="宋体"/>
          <w:b/>
          <w:highlight w:val="none"/>
        </w:rPr>
      </w:pPr>
      <w:r>
        <w:rPr>
          <w:rFonts w:hint="eastAsia" w:ascii="宋体" w:hAnsi="宋体" w:eastAsia="宋体" w:cs="宋体"/>
          <w:b/>
          <w:bCs/>
          <w:szCs w:val="22"/>
          <w:highlight w:val="none"/>
        </w:rPr>
        <w:t>2、</w:t>
      </w:r>
      <w:r>
        <w:rPr>
          <w:rFonts w:hint="eastAsia" w:ascii="宋体" w:hAnsi="宋体" w:eastAsia="宋体" w:cs="宋体"/>
          <w:b/>
          <w:highlight w:val="none"/>
        </w:rPr>
        <w:t>项目业绩格式</w:t>
      </w:r>
    </w:p>
    <w:p>
      <w:pPr>
        <w:pStyle w:val="87"/>
        <w:spacing w:line="360" w:lineRule="auto"/>
        <w:jc w:val="center"/>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项目业绩一览表</w:t>
      </w:r>
      <w:r>
        <w:rPr>
          <w:rFonts w:hint="eastAsia" w:hAnsi="宋体" w:eastAsia="宋体" w:cs="宋体"/>
          <w:b/>
          <w:sz w:val="32"/>
          <w:szCs w:val="32"/>
          <w:highlight w:val="none"/>
          <w:lang w:eastAsia="zh-CN"/>
        </w:rPr>
        <w:t>（</w:t>
      </w:r>
      <w:r>
        <w:rPr>
          <w:rFonts w:hint="eastAsia" w:hAnsi="宋体" w:eastAsia="宋体" w:cs="宋体"/>
          <w:b/>
          <w:sz w:val="32"/>
          <w:szCs w:val="32"/>
          <w:highlight w:val="none"/>
          <w:lang w:val="en-US" w:eastAsia="zh-CN"/>
        </w:rPr>
        <w:t>如有</w:t>
      </w:r>
      <w:r>
        <w:rPr>
          <w:rFonts w:hint="eastAsia" w:hAnsi="宋体" w:eastAsia="宋体" w:cs="宋体"/>
          <w:b/>
          <w:sz w:val="32"/>
          <w:szCs w:val="32"/>
          <w:highlight w:val="none"/>
          <w:lang w:eastAsia="zh-CN"/>
        </w:rPr>
        <w:t>）</w:t>
      </w:r>
    </w:p>
    <w:tbl>
      <w:tblPr>
        <w:tblStyle w:val="34"/>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02"/>
        <w:gridCol w:w="1734"/>
        <w:gridCol w:w="1860"/>
        <w:gridCol w:w="1424"/>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11" w:type="dxa"/>
            <w:noWrap w:val="0"/>
            <w:vAlign w:val="center"/>
          </w:tcPr>
          <w:p>
            <w:pPr>
              <w:pStyle w:val="8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eastAsia" w:ascii="宋体" w:hAnsi="宋体" w:eastAsia="宋体" w:cs="宋体"/>
                <w:b/>
                <w:sz w:val="24"/>
                <w:highlight w:val="none"/>
              </w:rPr>
            </w:pPr>
            <w:r>
              <w:rPr>
                <w:rFonts w:hint="eastAsia" w:ascii="宋体" w:hAnsi="宋体" w:eastAsia="宋体" w:cs="宋体"/>
                <w:b w:val="0"/>
                <w:bCs/>
                <w:sz w:val="24"/>
                <w:szCs w:val="24"/>
                <w:highlight w:val="none"/>
                <w:vertAlign w:val="baseline"/>
                <w:lang w:val="en-US" w:eastAsia="zh-CN"/>
              </w:rPr>
              <w:t>序号</w:t>
            </w:r>
          </w:p>
        </w:tc>
        <w:tc>
          <w:tcPr>
            <w:tcW w:w="1202" w:type="dxa"/>
            <w:noWrap w:val="0"/>
            <w:vAlign w:val="center"/>
          </w:tcPr>
          <w:p>
            <w:pPr>
              <w:pStyle w:val="8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eastAsia" w:ascii="宋体" w:hAnsi="宋体" w:eastAsia="宋体" w:cs="宋体"/>
                <w:b/>
                <w:sz w:val="24"/>
                <w:highlight w:val="none"/>
              </w:rPr>
            </w:pPr>
            <w:r>
              <w:rPr>
                <w:rFonts w:hint="eastAsia" w:ascii="宋体" w:hAnsi="宋体" w:eastAsia="宋体" w:cs="宋体"/>
                <w:b w:val="0"/>
                <w:bCs/>
                <w:sz w:val="24"/>
                <w:szCs w:val="24"/>
                <w:highlight w:val="none"/>
                <w:vertAlign w:val="baseline"/>
                <w:lang w:val="en-US" w:eastAsia="zh-CN"/>
              </w:rPr>
              <w:t>项目名称</w:t>
            </w:r>
          </w:p>
        </w:tc>
        <w:tc>
          <w:tcPr>
            <w:tcW w:w="1734" w:type="dxa"/>
            <w:noWrap w:val="0"/>
            <w:vAlign w:val="center"/>
          </w:tcPr>
          <w:p>
            <w:pPr>
              <w:pStyle w:val="8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eastAsia" w:ascii="宋体" w:hAnsi="宋体" w:eastAsia="宋体" w:cs="宋体"/>
                <w:b/>
                <w:sz w:val="24"/>
                <w:highlight w:val="none"/>
              </w:rPr>
            </w:pPr>
            <w:r>
              <w:rPr>
                <w:rFonts w:hint="eastAsia" w:ascii="宋体" w:hAnsi="宋体" w:eastAsia="宋体" w:cs="宋体"/>
                <w:b w:val="0"/>
                <w:bCs/>
                <w:sz w:val="24"/>
                <w:szCs w:val="24"/>
                <w:highlight w:val="none"/>
                <w:vertAlign w:val="baseline"/>
                <w:lang w:val="en-US" w:eastAsia="zh-CN"/>
              </w:rPr>
              <w:t>中标通知书编号</w:t>
            </w:r>
          </w:p>
        </w:tc>
        <w:tc>
          <w:tcPr>
            <w:tcW w:w="1860" w:type="dxa"/>
            <w:noWrap w:val="0"/>
            <w:vAlign w:val="center"/>
          </w:tcPr>
          <w:p>
            <w:pPr>
              <w:pStyle w:val="8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eastAsia" w:ascii="宋体" w:hAnsi="宋体" w:eastAsia="宋体" w:cs="宋体"/>
                <w:b/>
                <w:sz w:val="24"/>
                <w:highlight w:val="none"/>
              </w:rPr>
            </w:pPr>
            <w:r>
              <w:rPr>
                <w:rFonts w:hint="eastAsia" w:ascii="宋体" w:hAnsi="宋体" w:eastAsia="宋体" w:cs="宋体"/>
                <w:b w:val="0"/>
                <w:bCs/>
                <w:sz w:val="24"/>
                <w:szCs w:val="24"/>
                <w:highlight w:val="none"/>
                <w:vertAlign w:val="baseline"/>
                <w:lang w:val="en-US" w:eastAsia="zh-CN"/>
              </w:rPr>
              <w:t>服务期限（起、止时间）</w:t>
            </w:r>
          </w:p>
        </w:tc>
        <w:tc>
          <w:tcPr>
            <w:tcW w:w="1424" w:type="dxa"/>
            <w:noWrap w:val="0"/>
            <w:vAlign w:val="center"/>
          </w:tcPr>
          <w:p>
            <w:pPr>
              <w:pStyle w:val="8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val="0"/>
                <w:bCs/>
                <w:sz w:val="24"/>
                <w:szCs w:val="24"/>
                <w:highlight w:val="none"/>
                <w:vertAlign w:val="baseline"/>
                <w:lang w:val="en-US" w:eastAsia="zh-CN"/>
              </w:rPr>
              <w:t>合同金额（万元）</w:t>
            </w:r>
          </w:p>
        </w:tc>
        <w:tc>
          <w:tcPr>
            <w:tcW w:w="1297" w:type="dxa"/>
            <w:noWrap w:val="0"/>
            <w:vAlign w:val="center"/>
          </w:tcPr>
          <w:p>
            <w:pPr>
              <w:pStyle w:val="87"/>
              <w:keepNext w:val="0"/>
              <w:keepLines w:val="0"/>
              <w:pageBreakBefore w:val="0"/>
              <w:widowControl w:val="0"/>
              <w:kinsoku/>
              <w:wordWrap/>
              <w:overflowPunct/>
              <w:topLinePunct w:val="0"/>
              <w:autoSpaceDE/>
              <w:autoSpaceDN/>
              <w:bidi w:val="0"/>
              <w:adjustRightInd/>
              <w:snapToGrid w:val="0"/>
              <w:spacing w:line="15" w:lineRule="atLeast"/>
              <w:jc w:val="center"/>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val="0"/>
                <w:bCs/>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1"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202" w:type="dxa"/>
            <w:noWrap w:val="0"/>
            <w:vAlign w:val="center"/>
          </w:tcPr>
          <w:p>
            <w:pPr>
              <w:jc w:val="center"/>
              <w:rPr>
                <w:rFonts w:hint="eastAsia" w:ascii="宋体" w:hAnsi="宋体" w:eastAsia="宋体" w:cs="宋体"/>
                <w:sz w:val="24"/>
                <w:highlight w:val="none"/>
              </w:rPr>
            </w:pPr>
          </w:p>
        </w:tc>
        <w:tc>
          <w:tcPr>
            <w:tcW w:w="1734" w:type="dxa"/>
            <w:noWrap w:val="0"/>
            <w:vAlign w:val="top"/>
          </w:tcPr>
          <w:p>
            <w:pPr>
              <w:jc w:val="center"/>
              <w:rPr>
                <w:rFonts w:hint="eastAsia" w:ascii="宋体" w:hAnsi="宋体" w:eastAsia="宋体" w:cs="宋体"/>
                <w:sz w:val="24"/>
                <w:highlight w:val="none"/>
              </w:rPr>
            </w:pPr>
          </w:p>
        </w:tc>
        <w:tc>
          <w:tcPr>
            <w:tcW w:w="1860" w:type="dxa"/>
            <w:noWrap w:val="0"/>
            <w:vAlign w:val="center"/>
          </w:tcPr>
          <w:p>
            <w:pPr>
              <w:jc w:val="center"/>
              <w:rPr>
                <w:rFonts w:hint="eastAsia" w:ascii="宋体" w:hAnsi="宋体" w:eastAsia="宋体" w:cs="宋体"/>
                <w:sz w:val="24"/>
                <w:highlight w:val="none"/>
              </w:rPr>
            </w:pPr>
          </w:p>
        </w:tc>
        <w:tc>
          <w:tcPr>
            <w:tcW w:w="1424" w:type="dxa"/>
            <w:noWrap w:val="0"/>
            <w:vAlign w:val="center"/>
          </w:tcPr>
          <w:p>
            <w:pPr>
              <w:jc w:val="center"/>
              <w:rPr>
                <w:rFonts w:hint="eastAsia" w:ascii="宋体" w:hAnsi="宋体" w:eastAsia="宋体" w:cs="宋体"/>
                <w:sz w:val="24"/>
                <w:highlight w:val="none"/>
              </w:rPr>
            </w:pPr>
          </w:p>
        </w:tc>
        <w:tc>
          <w:tcPr>
            <w:tcW w:w="1297" w:type="dxa"/>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1"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202" w:type="dxa"/>
            <w:noWrap w:val="0"/>
            <w:vAlign w:val="center"/>
          </w:tcPr>
          <w:p>
            <w:pPr>
              <w:jc w:val="center"/>
              <w:rPr>
                <w:rFonts w:hint="eastAsia" w:ascii="宋体" w:hAnsi="宋体" w:eastAsia="宋体" w:cs="宋体"/>
                <w:sz w:val="24"/>
                <w:highlight w:val="none"/>
              </w:rPr>
            </w:pPr>
          </w:p>
        </w:tc>
        <w:tc>
          <w:tcPr>
            <w:tcW w:w="1734" w:type="dxa"/>
            <w:noWrap w:val="0"/>
            <w:vAlign w:val="top"/>
          </w:tcPr>
          <w:p>
            <w:pPr>
              <w:jc w:val="center"/>
              <w:rPr>
                <w:rFonts w:hint="eastAsia" w:ascii="宋体" w:hAnsi="宋体" w:eastAsia="宋体" w:cs="宋体"/>
                <w:sz w:val="24"/>
                <w:highlight w:val="none"/>
              </w:rPr>
            </w:pPr>
          </w:p>
        </w:tc>
        <w:tc>
          <w:tcPr>
            <w:tcW w:w="1860" w:type="dxa"/>
            <w:noWrap w:val="0"/>
            <w:vAlign w:val="center"/>
          </w:tcPr>
          <w:p>
            <w:pPr>
              <w:jc w:val="center"/>
              <w:rPr>
                <w:rFonts w:hint="eastAsia" w:ascii="宋体" w:hAnsi="宋体" w:eastAsia="宋体" w:cs="宋体"/>
                <w:sz w:val="24"/>
                <w:highlight w:val="none"/>
              </w:rPr>
            </w:pPr>
          </w:p>
        </w:tc>
        <w:tc>
          <w:tcPr>
            <w:tcW w:w="1424" w:type="dxa"/>
            <w:noWrap w:val="0"/>
            <w:vAlign w:val="center"/>
          </w:tcPr>
          <w:p>
            <w:pPr>
              <w:jc w:val="center"/>
              <w:rPr>
                <w:rFonts w:hint="eastAsia" w:ascii="宋体" w:hAnsi="宋体" w:eastAsia="宋体" w:cs="宋体"/>
                <w:sz w:val="24"/>
                <w:highlight w:val="none"/>
              </w:rPr>
            </w:pPr>
          </w:p>
        </w:tc>
        <w:tc>
          <w:tcPr>
            <w:tcW w:w="1297" w:type="dxa"/>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1"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202" w:type="dxa"/>
            <w:noWrap w:val="0"/>
            <w:vAlign w:val="center"/>
          </w:tcPr>
          <w:p>
            <w:pPr>
              <w:jc w:val="center"/>
              <w:rPr>
                <w:rFonts w:hint="eastAsia" w:ascii="宋体" w:hAnsi="宋体" w:eastAsia="宋体" w:cs="宋体"/>
                <w:sz w:val="24"/>
                <w:highlight w:val="none"/>
              </w:rPr>
            </w:pPr>
          </w:p>
        </w:tc>
        <w:tc>
          <w:tcPr>
            <w:tcW w:w="1734" w:type="dxa"/>
            <w:noWrap w:val="0"/>
            <w:vAlign w:val="top"/>
          </w:tcPr>
          <w:p>
            <w:pPr>
              <w:jc w:val="center"/>
              <w:rPr>
                <w:rFonts w:hint="eastAsia" w:ascii="宋体" w:hAnsi="宋体" w:eastAsia="宋体" w:cs="宋体"/>
                <w:sz w:val="24"/>
                <w:highlight w:val="none"/>
              </w:rPr>
            </w:pPr>
          </w:p>
        </w:tc>
        <w:tc>
          <w:tcPr>
            <w:tcW w:w="1860" w:type="dxa"/>
            <w:noWrap w:val="0"/>
            <w:vAlign w:val="center"/>
          </w:tcPr>
          <w:p>
            <w:pPr>
              <w:jc w:val="center"/>
              <w:rPr>
                <w:rFonts w:hint="eastAsia" w:ascii="宋体" w:hAnsi="宋体" w:eastAsia="宋体" w:cs="宋体"/>
                <w:sz w:val="24"/>
                <w:highlight w:val="none"/>
              </w:rPr>
            </w:pPr>
          </w:p>
        </w:tc>
        <w:tc>
          <w:tcPr>
            <w:tcW w:w="1424" w:type="dxa"/>
            <w:noWrap w:val="0"/>
            <w:vAlign w:val="center"/>
          </w:tcPr>
          <w:p>
            <w:pPr>
              <w:jc w:val="center"/>
              <w:rPr>
                <w:rFonts w:hint="eastAsia" w:ascii="宋体" w:hAnsi="宋体" w:eastAsia="宋体" w:cs="宋体"/>
                <w:sz w:val="24"/>
                <w:highlight w:val="none"/>
              </w:rPr>
            </w:pPr>
          </w:p>
        </w:tc>
        <w:tc>
          <w:tcPr>
            <w:tcW w:w="1297" w:type="dxa"/>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1"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202" w:type="dxa"/>
            <w:noWrap w:val="0"/>
            <w:vAlign w:val="center"/>
          </w:tcPr>
          <w:p>
            <w:pPr>
              <w:jc w:val="center"/>
              <w:rPr>
                <w:rFonts w:hint="eastAsia" w:ascii="宋体" w:hAnsi="宋体" w:eastAsia="宋体" w:cs="宋体"/>
                <w:sz w:val="24"/>
                <w:highlight w:val="none"/>
              </w:rPr>
            </w:pPr>
          </w:p>
        </w:tc>
        <w:tc>
          <w:tcPr>
            <w:tcW w:w="1734" w:type="dxa"/>
            <w:noWrap w:val="0"/>
            <w:vAlign w:val="top"/>
          </w:tcPr>
          <w:p>
            <w:pPr>
              <w:jc w:val="center"/>
              <w:rPr>
                <w:rFonts w:hint="eastAsia" w:ascii="宋体" w:hAnsi="宋体" w:eastAsia="宋体" w:cs="宋体"/>
                <w:sz w:val="24"/>
                <w:highlight w:val="none"/>
              </w:rPr>
            </w:pPr>
          </w:p>
        </w:tc>
        <w:tc>
          <w:tcPr>
            <w:tcW w:w="1860" w:type="dxa"/>
            <w:noWrap w:val="0"/>
            <w:vAlign w:val="center"/>
          </w:tcPr>
          <w:p>
            <w:pPr>
              <w:jc w:val="center"/>
              <w:rPr>
                <w:rFonts w:hint="eastAsia" w:ascii="宋体" w:hAnsi="宋体" w:eastAsia="宋体" w:cs="宋体"/>
                <w:sz w:val="24"/>
                <w:highlight w:val="none"/>
              </w:rPr>
            </w:pPr>
          </w:p>
        </w:tc>
        <w:tc>
          <w:tcPr>
            <w:tcW w:w="1424" w:type="dxa"/>
            <w:noWrap w:val="0"/>
            <w:vAlign w:val="center"/>
          </w:tcPr>
          <w:p>
            <w:pPr>
              <w:jc w:val="center"/>
              <w:rPr>
                <w:rFonts w:hint="eastAsia" w:ascii="宋体" w:hAnsi="宋体" w:eastAsia="宋体" w:cs="宋体"/>
                <w:sz w:val="24"/>
                <w:highlight w:val="none"/>
              </w:rPr>
            </w:pPr>
          </w:p>
        </w:tc>
        <w:tc>
          <w:tcPr>
            <w:tcW w:w="1297" w:type="dxa"/>
            <w:noWrap w:val="0"/>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1"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02" w:type="dxa"/>
            <w:noWrap w:val="0"/>
            <w:vAlign w:val="center"/>
          </w:tcPr>
          <w:p>
            <w:pPr>
              <w:jc w:val="center"/>
              <w:rPr>
                <w:rFonts w:hint="eastAsia" w:ascii="宋体" w:hAnsi="宋体" w:eastAsia="宋体" w:cs="宋体"/>
                <w:color w:val="auto"/>
                <w:sz w:val="24"/>
                <w:highlight w:val="none"/>
              </w:rPr>
            </w:pPr>
          </w:p>
        </w:tc>
        <w:tc>
          <w:tcPr>
            <w:tcW w:w="1734" w:type="dxa"/>
            <w:noWrap w:val="0"/>
            <w:vAlign w:val="top"/>
          </w:tcPr>
          <w:p>
            <w:pPr>
              <w:jc w:val="center"/>
              <w:rPr>
                <w:rFonts w:hint="eastAsia" w:ascii="宋体" w:hAnsi="宋体" w:eastAsia="宋体" w:cs="宋体"/>
                <w:color w:val="auto"/>
                <w:sz w:val="24"/>
                <w:highlight w:val="none"/>
              </w:rPr>
            </w:pPr>
          </w:p>
        </w:tc>
        <w:tc>
          <w:tcPr>
            <w:tcW w:w="1860" w:type="dxa"/>
            <w:noWrap w:val="0"/>
            <w:vAlign w:val="center"/>
          </w:tcPr>
          <w:p>
            <w:pPr>
              <w:jc w:val="center"/>
              <w:rPr>
                <w:rFonts w:hint="eastAsia" w:ascii="宋体" w:hAnsi="宋体" w:eastAsia="宋体" w:cs="宋体"/>
                <w:color w:val="auto"/>
                <w:sz w:val="24"/>
                <w:highlight w:val="none"/>
              </w:rPr>
            </w:pPr>
          </w:p>
        </w:tc>
        <w:tc>
          <w:tcPr>
            <w:tcW w:w="1424" w:type="dxa"/>
            <w:noWrap w:val="0"/>
            <w:vAlign w:val="center"/>
          </w:tcPr>
          <w:p>
            <w:pPr>
              <w:jc w:val="center"/>
              <w:rPr>
                <w:rFonts w:hint="eastAsia" w:ascii="宋体" w:hAnsi="宋体" w:eastAsia="宋体" w:cs="宋体"/>
                <w:color w:val="auto"/>
                <w:sz w:val="24"/>
                <w:highlight w:val="none"/>
              </w:rPr>
            </w:pPr>
          </w:p>
        </w:tc>
        <w:tc>
          <w:tcPr>
            <w:tcW w:w="1297" w:type="dxa"/>
            <w:noWrap w:val="0"/>
            <w:vAlign w:val="center"/>
          </w:tcPr>
          <w:p>
            <w:pPr>
              <w:jc w:val="center"/>
              <w:rPr>
                <w:rFonts w:hint="eastAsia" w:ascii="宋体" w:hAnsi="宋体" w:eastAsia="宋体" w:cs="宋体"/>
                <w:color w:val="auto"/>
                <w:sz w:val="24"/>
                <w:highlight w:val="none"/>
              </w:rPr>
            </w:pPr>
          </w:p>
        </w:tc>
      </w:tr>
    </w:tbl>
    <w:p>
      <w:pPr>
        <w:snapToGrid w:val="0"/>
        <w:spacing w:line="240" w:lineRule="atLeast"/>
        <w:ind w:firstLine="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注：1.此表不提供，视为无业绩。</w:t>
      </w:r>
    </w:p>
    <w:p>
      <w:pPr>
        <w:snapToGrid w:val="0"/>
        <w:spacing w:line="240" w:lineRule="atLeast"/>
        <w:ind w:firstLine="704" w:firstLineChars="29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2.此表仅提供了格式，表格不够可自行增加。</w:t>
      </w:r>
    </w:p>
    <w:p>
      <w:pPr>
        <w:snapToGrid w:val="0"/>
        <w:spacing w:line="240" w:lineRule="atLeast"/>
        <w:ind w:firstLine="704" w:firstLineChars="29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3.后附合同等</w:t>
      </w:r>
      <w:r>
        <w:rPr>
          <w:rFonts w:hint="eastAsia" w:ascii="宋体" w:hAnsi="宋体" w:eastAsia="宋体" w:cs="宋体"/>
          <w:b/>
          <w:color w:val="auto"/>
          <w:sz w:val="24"/>
          <w:highlight w:val="none"/>
          <w:lang w:val="en-US" w:eastAsia="zh-CN"/>
        </w:rPr>
        <w:t>复印件</w:t>
      </w:r>
      <w:r>
        <w:rPr>
          <w:rFonts w:hint="eastAsia" w:ascii="宋体" w:hAnsi="宋体" w:eastAsia="宋体" w:cs="宋体"/>
          <w:b/>
          <w:color w:val="auto"/>
          <w:sz w:val="24"/>
          <w:highlight w:val="none"/>
        </w:rPr>
        <w:t>资料</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加盖公章</w:t>
      </w:r>
      <w:r>
        <w:rPr>
          <w:rFonts w:hint="eastAsia" w:ascii="宋体" w:hAnsi="宋体" w:eastAsia="宋体" w:cs="宋体"/>
          <w:b/>
          <w:color w:val="auto"/>
          <w:sz w:val="24"/>
          <w:highlight w:val="none"/>
        </w:rPr>
        <w:t>。</w:t>
      </w:r>
    </w:p>
    <w:p>
      <w:pPr>
        <w:snapToGrid w:val="0"/>
        <w:spacing w:line="240" w:lineRule="atLeast"/>
        <w:ind w:firstLine="701" w:firstLineChars="29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4.如本表格不适合投标人的实际情况，可自行制表填写。</w:t>
      </w:r>
    </w:p>
    <w:p>
      <w:pPr>
        <w:snapToGrid w:val="0"/>
        <w:spacing w:line="240" w:lineRule="atLeast"/>
        <w:ind w:firstLine="701" w:firstLineChars="291"/>
        <w:rPr>
          <w:rFonts w:hint="eastAsia" w:ascii="宋体" w:hAnsi="宋体" w:eastAsia="宋体" w:cs="宋体"/>
          <w:b/>
          <w:sz w:val="24"/>
          <w:highlight w:val="none"/>
        </w:rPr>
      </w:pPr>
    </w:p>
    <w:p>
      <w:pPr>
        <w:snapToGrid w:val="0"/>
        <w:spacing w:line="240" w:lineRule="atLeast"/>
        <w:ind w:firstLine="701" w:firstLineChars="291"/>
        <w:rPr>
          <w:rFonts w:hint="eastAsia" w:ascii="宋体" w:hAnsi="宋体" w:eastAsia="宋体" w:cs="宋体"/>
          <w:b/>
          <w:sz w:val="24"/>
          <w:highlight w:val="none"/>
        </w:rPr>
      </w:pPr>
    </w:p>
    <w:p>
      <w:pPr>
        <w:snapToGrid w:val="0"/>
        <w:spacing w:before="50" w:after="50" w:line="360" w:lineRule="auto"/>
        <w:rPr>
          <w:rFonts w:hint="eastAsia" w:ascii="宋体" w:hAnsi="宋体" w:eastAsia="宋体" w:cs="宋体"/>
          <w:spacing w:val="20"/>
          <w:sz w:val="24"/>
          <w:highlight w:val="none"/>
          <w:u w:val="single"/>
        </w:rPr>
      </w:pPr>
      <w:r>
        <w:rPr>
          <w:rFonts w:hint="eastAsia" w:ascii="宋体" w:hAnsi="宋体" w:eastAsia="宋体" w:cs="宋体"/>
          <w:sz w:val="24"/>
          <w:highlight w:val="none"/>
        </w:rPr>
        <w:t>法定代表人</w:t>
      </w:r>
      <w:r>
        <w:rPr>
          <w:rFonts w:hint="eastAsia" w:ascii="宋体" w:hAnsi="宋体" w:cs="宋体"/>
          <w:sz w:val="24"/>
          <w:highlight w:val="none"/>
          <w:lang w:eastAsia="zh-CN"/>
        </w:rPr>
        <w:t>（</w:t>
      </w:r>
      <w:r>
        <w:rPr>
          <w:rFonts w:hint="eastAsia" w:ascii="宋体" w:hAnsi="宋体" w:eastAsia="宋体" w:cs="宋体"/>
          <w:sz w:val="24"/>
          <w:highlight w:val="none"/>
        </w:rPr>
        <w:t>或其委托代理人</w:t>
      </w:r>
      <w:r>
        <w:rPr>
          <w:rFonts w:hint="eastAsia" w:ascii="宋体" w:hAnsi="宋体" w:cs="宋体"/>
          <w:sz w:val="24"/>
          <w:highlight w:val="none"/>
          <w:lang w:eastAsia="zh-CN"/>
        </w:rPr>
        <w:t>）</w:t>
      </w:r>
      <w:r>
        <w:rPr>
          <w:rFonts w:hint="eastAsia" w:ascii="宋体" w:hAnsi="宋体" w:eastAsia="宋体" w:cs="宋体"/>
          <w:sz w:val="24"/>
          <w:highlight w:val="none"/>
        </w:rPr>
        <w:t>签字或盖章</w:t>
      </w:r>
      <w:r>
        <w:rPr>
          <w:rFonts w:hint="eastAsia" w:ascii="宋体" w:hAnsi="宋体" w:eastAsia="宋体" w:cs="宋体"/>
          <w:spacing w:val="20"/>
          <w:sz w:val="24"/>
          <w:highlight w:val="none"/>
        </w:rPr>
        <w:t>：</w:t>
      </w:r>
      <w:r>
        <w:rPr>
          <w:rFonts w:hint="eastAsia" w:ascii="宋体" w:hAnsi="宋体" w:eastAsia="宋体" w:cs="宋体"/>
          <w:spacing w:val="20"/>
          <w:sz w:val="24"/>
          <w:highlight w:val="none"/>
          <w:u w:val="single"/>
        </w:rPr>
        <w:t xml:space="preserve">        </w:t>
      </w:r>
    </w:p>
    <w:p>
      <w:pPr>
        <w:pStyle w:val="87"/>
        <w:spacing w:line="360" w:lineRule="auto"/>
        <w:ind w:right="480"/>
        <w:rPr>
          <w:rFonts w:hint="eastAsia" w:ascii="宋体" w:hAnsi="宋体" w:eastAsia="宋体" w:cs="宋体"/>
          <w:sz w:val="24"/>
          <w:highlight w:val="none"/>
        </w:rPr>
      </w:pPr>
      <w:r>
        <w:rPr>
          <w:rFonts w:hint="eastAsia" w:ascii="宋体" w:hAnsi="宋体" w:eastAsia="宋体" w:cs="宋体"/>
          <w:sz w:val="24"/>
          <w:highlight w:val="none"/>
        </w:rPr>
        <w:t>投标人全称（盖单位公章）：</w:t>
      </w:r>
      <w:r>
        <w:rPr>
          <w:rFonts w:hint="eastAsia" w:ascii="宋体" w:hAnsi="宋体" w:eastAsia="宋体" w:cs="宋体"/>
          <w:spacing w:val="20"/>
          <w:sz w:val="24"/>
          <w:highlight w:val="none"/>
          <w:u w:val="single"/>
        </w:rPr>
        <w:t xml:space="preserve">        </w:t>
      </w:r>
      <w:r>
        <w:rPr>
          <w:rFonts w:hint="eastAsia" w:hAnsi="宋体" w:eastAsia="宋体" w:cs="宋体"/>
          <w:sz w:val="24"/>
          <w:highlight w:val="none"/>
          <w:lang w:val="en-US" w:eastAsia="zh-CN"/>
        </w:rPr>
        <w:t xml:space="preserve">          </w:t>
      </w:r>
      <w:r>
        <w:rPr>
          <w:rFonts w:hint="eastAsia" w:ascii="宋体" w:hAnsi="宋体" w:eastAsia="宋体" w:cs="宋体"/>
          <w:sz w:val="24"/>
          <w:highlight w:val="none"/>
        </w:rPr>
        <w:t xml:space="preserve">                     </w:t>
      </w:r>
    </w:p>
    <w:p>
      <w:pPr>
        <w:pStyle w:val="87"/>
        <w:spacing w:line="360" w:lineRule="auto"/>
        <w:ind w:right="480"/>
        <w:rPr>
          <w:rFonts w:hint="eastAsia" w:ascii="宋体" w:hAnsi="宋体" w:eastAsia="宋体" w:cs="宋体"/>
          <w:b/>
          <w:color w:val="0000CC"/>
          <w:szCs w:val="21"/>
          <w:highlight w:val="none"/>
        </w:rPr>
      </w:pPr>
      <w:r>
        <w:rPr>
          <w:rFonts w:hint="eastAsia" w:ascii="宋体" w:hAnsi="宋体" w:eastAsia="宋体" w:cs="宋体"/>
          <w:sz w:val="24"/>
          <w:highlight w:val="none"/>
        </w:rPr>
        <w:t xml:space="preserve">   年    月    日</w:t>
      </w:r>
    </w:p>
    <w:p>
      <w:pPr>
        <w:rPr>
          <w:rFonts w:hint="eastAsia" w:ascii="宋体" w:hAnsi="宋体" w:eastAsia="宋体" w:cs="宋体"/>
          <w:sz w:val="24"/>
          <w:szCs w:val="24"/>
          <w:highlight w:val="none"/>
          <w:lang w:val="en-US" w:eastAsia="zh-CN"/>
        </w:rPr>
      </w:pPr>
      <w:r>
        <w:rPr>
          <w:rFonts w:hint="eastAsia" w:ascii="宋体" w:hAnsi="宋体" w:eastAsia="宋体" w:cs="宋体"/>
          <w:highlight w:val="none"/>
        </w:rPr>
        <w:br w:type="page"/>
      </w:r>
      <w:bookmarkStart w:id="94" w:name="OLE_LINK21"/>
      <w:r>
        <w:rPr>
          <w:rFonts w:hint="eastAsia" w:ascii="宋体" w:hAnsi="宋体" w:eastAsia="宋体" w:cs="宋体"/>
          <w:b/>
          <w:kern w:val="0"/>
          <w:sz w:val="24"/>
          <w:highlight w:val="none"/>
        </w:rPr>
        <w:t>3、</w:t>
      </w:r>
      <w:r>
        <w:rPr>
          <w:rFonts w:hint="eastAsia" w:ascii="宋体" w:hAnsi="宋体" w:eastAsia="宋体" w:cs="宋体"/>
          <w:b/>
          <w:kern w:val="0"/>
          <w:sz w:val="24"/>
          <w:highlight w:val="none"/>
          <w:lang w:val="en-US" w:eastAsia="zh-CN"/>
        </w:rPr>
        <w:t>实施方案（对本项目总体要求的理解、现状分析、解决方案等）；</w:t>
      </w: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default" w:ascii="宋体" w:hAnsi="宋体" w:eastAsia="宋体" w:cs="宋体"/>
          <w:b/>
          <w:sz w:val="24"/>
          <w:highlight w:val="none"/>
          <w:lang w:val="en-US" w:eastAsia="zh-CN"/>
        </w:rPr>
      </w:pPr>
      <w:r>
        <w:rPr>
          <w:rFonts w:hint="eastAsia" w:ascii="宋体" w:hAnsi="宋体" w:eastAsia="宋体" w:cs="宋体"/>
          <w:b/>
          <w:kern w:val="0"/>
          <w:sz w:val="24"/>
          <w:highlight w:val="none"/>
          <w:lang w:val="en-US" w:eastAsia="zh-CN"/>
        </w:rPr>
        <w:t>4</w:t>
      </w:r>
      <w:r>
        <w:rPr>
          <w:rFonts w:hint="eastAsia" w:ascii="宋体" w:hAnsi="宋体" w:cs="宋体"/>
          <w:b/>
          <w:kern w:val="0"/>
          <w:sz w:val="24"/>
          <w:highlight w:val="none"/>
          <w:lang w:val="en-US" w:eastAsia="zh-CN"/>
        </w:rPr>
        <w:t>、</w:t>
      </w:r>
      <w:r>
        <w:rPr>
          <w:rFonts w:hint="eastAsia" w:ascii="宋体" w:hAnsi="宋体" w:eastAsia="宋体" w:cs="宋体"/>
          <w:b/>
          <w:kern w:val="0"/>
          <w:sz w:val="24"/>
          <w:highlight w:val="none"/>
          <w:lang w:val="en-US" w:eastAsia="zh-CN"/>
        </w:rPr>
        <w:t>人员管理目标</w:t>
      </w:r>
      <w:r>
        <w:rPr>
          <w:rFonts w:hint="eastAsia" w:ascii="宋体" w:hAnsi="宋体" w:cs="宋体"/>
          <w:b/>
          <w:kern w:val="0"/>
          <w:sz w:val="24"/>
          <w:highlight w:val="none"/>
          <w:lang w:val="en-US" w:eastAsia="zh-CN"/>
        </w:rPr>
        <w:t>、</w:t>
      </w:r>
      <w:r>
        <w:rPr>
          <w:rFonts w:hint="eastAsia" w:ascii="宋体" w:hAnsi="宋体" w:eastAsia="宋体" w:cs="宋体"/>
          <w:b/>
          <w:kern w:val="0"/>
          <w:sz w:val="24"/>
          <w:highlight w:val="none"/>
          <w:lang w:val="en-US" w:eastAsia="zh-CN"/>
        </w:rPr>
        <w:t>保证服务质量的措施及承诺</w:t>
      </w:r>
      <w:bookmarkEnd w:id="94"/>
      <w:r>
        <w:rPr>
          <w:rFonts w:hint="eastAsia" w:ascii="宋体" w:hAnsi="宋体" w:cs="宋体"/>
          <w:b/>
          <w:kern w:val="0"/>
          <w:sz w:val="24"/>
          <w:highlight w:val="none"/>
          <w:lang w:val="en-US" w:eastAsia="zh-CN"/>
        </w:rPr>
        <w:t>、</w:t>
      </w:r>
      <w:r>
        <w:rPr>
          <w:rFonts w:hint="eastAsia" w:ascii="宋体" w:hAnsi="宋体" w:eastAsia="宋体" w:cs="宋体"/>
          <w:b/>
          <w:sz w:val="24"/>
          <w:highlight w:val="none"/>
          <w:lang w:val="en-US" w:eastAsia="zh-CN"/>
        </w:rPr>
        <w:t>应急处理、服务承诺的内容和措施</w:t>
      </w:r>
      <w:r>
        <w:rPr>
          <w:rFonts w:hint="eastAsia" w:ascii="宋体" w:hAnsi="宋体" w:cs="宋体"/>
          <w:b/>
          <w:sz w:val="24"/>
          <w:highlight w:val="none"/>
          <w:lang w:val="en-US" w:eastAsia="zh-CN"/>
        </w:rPr>
        <w:t>等；</w:t>
      </w:r>
    </w:p>
    <w:p>
      <w:pPr>
        <w:snapToGrid w:val="0"/>
        <w:spacing w:before="156" w:beforeLines="50" w:after="50" w:line="440" w:lineRule="exact"/>
        <w:rPr>
          <w:rFonts w:hint="eastAsia" w:ascii="宋体" w:hAnsi="宋体" w:eastAsia="宋体" w:cs="宋体"/>
          <w:b/>
          <w:sz w:val="24"/>
          <w:highlight w:val="none"/>
        </w:rPr>
      </w:pPr>
    </w:p>
    <w:p>
      <w:pPr>
        <w:pStyle w:val="8"/>
        <w:ind w:left="0" w:leftChars="0"/>
        <w:rPr>
          <w:rFonts w:hint="eastAsia" w:ascii="宋体" w:hAnsi="宋体" w:eastAsia="宋体" w:cs="宋体"/>
          <w:b/>
          <w:sz w:val="24"/>
          <w:highlight w:val="none"/>
        </w:rPr>
      </w:pPr>
    </w:p>
    <w:p>
      <w:pPr>
        <w:pStyle w:val="8"/>
        <w:ind w:left="0" w:leftChars="0"/>
        <w:rPr>
          <w:rFonts w:hint="eastAsia" w:ascii="宋体" w:hAnsi="宋体" w:eastAsia="宋体" w:cs="宋体"/>
          <w:highlight w:val="none"/>
        </w:rPr>
      </w:pPr>
    </w:p>
    <w:p>
      <w:pPr>
        <w:snapToGrid w:val="0"/>
        <w:spacing w:before="156" w:beforeLines="50" w:after="50" w:line="440" w:lineRule="exact"/>
        <w:rPr>
          <w:rFonts w:hint="eastAsia" w:ascii="宋体" w:hAnsi="宋体" w:eastAsia="宋体" w:cs="宋体"/>
          <w:b/>
          <w:sz w:val="24"/>
          <w:highlight w:val="none"/>
        </w:rPr>
      </w:pPr>
    </w:p>
    <w:p>
      <w:pPr>
        <w:snapToGrid w:val="0"/>
        <w:spacing w:before="156" w:beforeLines="50" w:after="50" w:line="440" w:lineRule="exact"/>
        <w:rPr>
          <w:rFonts w:hint="eastAsia" w:ascii="宋体" w:hAnsi="宋体" w:eastAsia="宋体" w:cs="宋体"/>
          <w:b/>
          <w:sz w:val="24"/>
          <w:highlight w:val="none"/>
        </w:rPr>
      </w:pPr>
      <w:r>
        <w:rPr>
          <w:rFonts w:hint="eastAsia" w:ascii="宋体" w:hAnsi="宋体" w:cs="宋体"/>
          <w:b/>
          <w:sz w:val="24"/>
          <w:highlight w:val="none"/>
          <w:lang w:val="en-US" w:eastAsia="zh-CN"/>
        </w:rPr>
        <w:t>5</w:t>
      </w:r>
      <w:r>
        <w:rPr>
          <w:rFonts w:hint="eastAsia" w:ascii="宋体" w:hAnsi="宋体" w:eastAsia="宋体" w:cs="宋体"/>
          <w:b/>
          <w:sz w:val="24"/>
          <w:highlight w:val="none"/>
        </w:rPr>
        <w:t>、投标人承诺给予采购人的</w:t>
      </w:r>
      <w:r>
        <w:rPr>
          <w:rFonts w:hint="eastAsia" w:ascii="宋体" w:hAnsi="宋体" w:eastAsia="宋体" w:cs="宋体"/>
          <w:b/>
          <w:sz w:val="24"/>
          <w:highlight w:val="none"/>
          <w:lang w:eastAsia="zh-CN"/>
        </w:rPr>
        <w:t>合理化建议、</w:t>
      </w:r>
      <w:r>
        <w:rPr>
          <w:rFonts w:hint="eastAsia" w:ascii="宋体" w:hAnsi="宋体" w:eastAsia="宋体" w:cs="宋体"/>
          <w:b/>
          <w:sz w:val="24"/>
          <w:highlight w:val="none"/>
        </w:rPr>
        <w:t>各种优惠条件</w:t>
      </w:r>
    </w:p>
    <w:p>
      <w:pPr>
        <w:spacing w:line="460" w:lineRule="atLeast"/>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pStyle w:val="33"/>
        <w:rPr>
          <w:rFonts w:hint="eastAsia" w:ascii="宋体" w:hAnsi="宋体" w:eastAsia="宋体" w:cs="宋体"/>
          <w:b/>
          <w:bCs/>
          <w:sz w:val="24"/>
          <w:highlight w:val="none"/>
        </w:rPr>
      </w:pPr>
    </w:p>
    <w:p>
      <w:pPr>
        <w:snapToGrid w:val="0"/>
        <w:spacing w:before="50" w:after="156" w:afterLines="50"/>
        <w:jc w:val="left"/>
        <w:rPr>
          <w:rFonts w:hint="eastAsia" w:ascii="宋体" w:hAnsi="宋体" w:eastAsia="宋体" w:cs="宋体"/>
          <w:b/>
          <w:bCs/>
          <w:sz w:val="24"/>
          <w:highlight w:val="none"/>
          <w:lang w:val="en-US" w:eastAsia="zh-CN"/>
        </w:rPr>
        <w:sectPr>
          <w:headerReference r:id="rId4" w:type="default"/>
          <w:footerReference r:id="rId5" w:type="default"/>
          <w:pgSz w:w="11906" w:h="16838"/>
          <w:pgMar w:top="1304" w:right="1361" w:bottom="1417" w:left="1361"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left"/>
        <w:rPr>
          <w:rFonts w:hint="eastAsia" w:ascii="宋体" w:hAnsi="宋体" w:eastAsia="宋体" w:cs="宋体"/>
          <w:b/>
          <w:bCs/>
          <w:sz w:val="24"/>
          <w:highlight w:val="none"/>
        </w:rPr>
      </w:pPr>
      <w:r>
        <w:rPr>
          <w:rFonts w:hint="eastAsia" w:ascii="宋体" w:hAnsi="宋体" w:cs="宋体"/>
          <w:b/>
          <w:bCs/>
          <w:sz w:val="24"/>
          <w:highlight w:val="none"/>
          <w:lang w:val="en-US" w:eastAsia="zh-CN"/>
        </w:rPr>
        <w:t>6</w:t>
      </w:r>
      <w:r>
        <w:rPr>
          <w:rFonts w:hint="eastAsia" w:ascii="宋体" w:hAnsi="宋体" w:eastAsia="宋体" w:cs="宋体"/>
          <w:b/>
          <w:bCs/>
          <w:sz w:val="24"/>
          <w:highlight w:val="none"/>
        </w:rPr>
        <w:t>、项目实施人员</w:t>
      </w:r>
    </w:p>
    <w:p>
      <w:pPr>
        <w:pStyle w:val="18"/>
        <w:adjustRightInd w:val="0"/>
        <w:spacing w:before="120" w:after="120" w:line="360" w:lineRule="auto"/>
        <w:jc w:val="center"/>
        <w:textAlignment w:val="baseline"/>
        <w:rPr>
          <w:rFonts w:hint="eastAsia" w:ascii="宋体" w:hAnsi="宋体" w:eastAsia="宋体" w:cs="宋体"/>
          <w:sz w:val="32"/>
          <w:szCs w:val="32"/>
          <w:highlight w:val="none"/>
        </w:rPr>
      </w:pPr>
      <w:r>
        <w:rPr>
          <w:rFonts w:hint="eastAsia" w:ascii="宋体" w:hAnsi="宋体" w:eastAsia="宋体" w:cs="宋体"/>
          <w:b/>
          <w:sz w:val="32"/>
          <w:szCs w:val="32"/>
          <w:highlight w:val="none"/>
        </w:rPr>
        <w:t>项目实施人员一览表</w:t>
      </w:r>
    </w:p>
    <w:tbl>
      <w:tblPr>
        <w:tblStyle w:val="34"/>
        <w:tblW w:w="92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0"/>
        <w:gridCol w:w="1129"/>
        <w:gridCol w:w="915"/>
        <w:gridCol w:w="928"/>
        <w:gridCol w:w="1134"/>
        <w:gridCol w:w="1134"/>
        <w:gridCol w:w="976"/>
        <w:gridCol w:w="20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项目组所任职务</w:t>
            </w: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性别</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年龄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学 历</w:t>
            </w:r>
          </w:p>
        </w:tc>
        <w:tc>
          <w:tcPr>
            <w:tcW w:w="9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专业</w:t>
            </w:r>
          </w:p>
        </w:tc>
        <w:tc>
          <w:tcPr>
            <w:tcW w:w="2011"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从事本工作时间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宋体" w:hAnsi="宋体" w:eastAsia="宋体" w:cs="宋体"/>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宋体" w:hAnsi="宋体" w:eastAsia="宋体" w:cs="宋体"/>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宋体" w:hAnsi="宋体" w:eastAsia="宋体" w:cs="宋体"/>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宋体" w:hAnsi="宋体" w:eastAsia="宋体" w:cs="宋体"/>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宋体" w:hAnsi="宋体" w:eastAsia="宋体" w:cs="宋体"/>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宋体" w:hAnsi="宋体" w:eastAsia="宋体" w:cs="宋体"/>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宋体" w:hAnsi="宋体" w:eastAsia="宋体" w:cs="宋体"/>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宋体" w:hAnsi="宋体" w:eastAsia="宋体" w:cs="宋体"/>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rPr>
            </w:pPr>
          </w:p>
        </w:tc>
      </w:tr>
    </w:tbl>
    <w:p>
      <w:pPr>
        <w:spacing w:line="360" w:lineRule="auto"/>
        <w:ind w:firstLine="422" w:firstLineChars="200"/>
        <w:rPr>
          <w:rFonts w:hint="eastAsia" w:ascii="宋体" w:hAnsi="宋体" w:eastAsia="宋体" w:cs="宋体"/>
          <w:b/>
          <w:color w:val="0000FF"/>
          <w:szCs w:val="21"/>
          <w:highlight w:val="none"/>
        </w:rPr>
      </w:pPr>
      <w:r>
        <w:rPr>
          <w:rFonts w:hint="eastAsia" w:ascii="宋体" w:hAnsi="宋体" w:eastAsia="宋体" w:cs="宋体"/>
          <w:b/>
          <w:color w:val="0000FF"/>
          <w:szCs w:val="21"/>
          <w:highlight w:val="none"/>
        </w:rPr>
        <w:t>注：1、“项目实施人员”指投标单位针对该项目实施所配备的人员。河道保洁：河道保洁人员不少于</w:t>
      </w:r>
      <w:r>
        <w:rPr>
          <w:rFonts w:hint="eastAsia" w:ascii="宋体" w:hAnsi="宋体" w:eastAsia="宋体" w:cs="宋体"/>
          <w:b/>
          <w:color w:val="0000FF"/>
          <w:szCs w:val="21"/>
          <w:highlight w:val="none"/>
          <w:lang w:val="en-US" w:eastAsia="zh-CN"/>
        </w:rPr>
        <w:t>9</w:t>
      </w:r>
      <w:r>
        <w:rPr>
          <w:rFonts w:hint="eastAsia" w:ascii="宋体" w:hAnsi="宋体" w:eastAsia="宋体" w:cs="宋体"/>
          <w:b/>
          <w:color w:val="0000FF"/>
          <w:szCs w:val="21"/>
          <w:highlight w:val="none"/>
        </w:rPr>
        <w:t>人（含负责人）</w:t>
      </w:r>
    </w:p>
    <w:p>
      <w:pPr>
        <w:spacing w:line="360" w:lineRule="auto"/>
        <w:ind w:firstLine="843" w:firstLineChars="400"/>
        <w:rPr>
          <w:rFonts w:hint="eastAsia" w:ascii="宋体" w:hAnsi="宋体" w:eastAsia="宋体" w:cs="宋体"/>
          <w:b/>
          <w:szCs w:val="21"/>
          <w:highlight w:val="none"/>
        </w:rPr>
      </w:pPr>
      <w:r>
        <w:rPr>
          <w:rFonts w:hint="eastAsia" w:ascii="宋体" w:hAnsi="宋体" w:eastAsia="宋体" w:cs="宋体"/>
          <w:b/>
          <w:szCs w:val="21"/>
          <w:highlight w:val="none"/>
        </w:rPr>
        <w:t>2、后附各专业人员</w:t>
      </w:r>
      <w:r>
        <w:rPr>
          <w:rFonts w:hint="eastAsia" w:ascii="宋体" w:hAnsi="宋体" w:eastAsia="宋体" w:cs="宋体"/>
          <w:b/>
          <w:color w:val="000000"/>
          <w:highlight w:val="none"/>
        </w:rPr>
        <w:t>身份证、相关证书</w:t>
      </w:r>
      <w:r>
        <w:rPr>
          <w:rFonts w:hint="eastAsia" w:ascii="宋体" w:hAnsi="宋体" w:cs="宋体"/>
          <w:b/>
          <w:color w:val="000000"/>
          <w:highlight w:val="none"/>
          <w:lang w:eastAsia="zh-CN"/>
        </w:rPr>
        <w:t>（</w:t>
      </w:r>
      <w:r>
        <w:rPr>
          <w:rFonts w:hint="eastAsia" w:ascii="宋体" w:hAnsi="宋体" w:cs="宋体"/>
          <w:b/>
          <w:color w:val="000000"/>
          <w:highlight w:val="none"/>
          <w:lang w:val="en-US" w:eastAsia="zh-CN"/>
        </w:rPr>
        <w:t>如有</w:t>
      </w:r>
      <w:r>
        <w:rPr>
          <w:rFonts w:hint="eastAsia" w:ascii="宋体" w:hAnsi="宋体" w:cs="宋体"/>
          <w:b/>
          <w:color w:val="000000"/>
          <w:highlight w:val="none"/>
          <w:lang w:eastAsia="zh-CN"/>
        </w:rPr>
        <w:t>）</w:t>
      </w:r>
      <w:r>
        <w:rPr>
          <w:rFonts w:hint="eastAsia" w:ascii="宋体" w:hAnsi="宋体" w:eastAsia="宋体" w:cs="宋体"/>
          <w:b/>
          <w:color w:val="000000"/>
          <w:highlight w:val="none"/>
        </w:rPr>
        <w:t>等证明材料</w:t>
      </w:r>
      <w:r>
        <w:rPr>
          <w:rFonts w:hint="eastAsia" w:ascii="宋体" w:hAnsi="宋体" w:eastAsia="宋体" w:cs="宋体"/>
          <w:b/>
          <w:szCs w:val="21"/>
          <w:highlight w:val="none"/>
        </w:rPr>
        <w:t>复印件（加盖公章）。</w:t>
      </w:r>
    </w:p>
    <w:p>
      <w:pPr>
        <w:spacing w:line="360" w:lineRule="auto"/>
        <w:ind w:firstLine="843" w:firstLineChars="400"/>
        <w:rPr>
          <w:rFonts w:hint="eastAsia" w:ascii="宋体" w:hAnsi="宋体" w:eastAsia="宋体" w:cs="宋体"/>
          <w:b/>
          <w:szCs w:val="21"/>
          <w:highlight w:val="none"/>
        </w:rPr>
      </w:pPr>
      <w:r>
        <w:rPr>
          <w:rFonts w:hint="eastAsia" w:ascii="宋体" w:hAnsi="宋体" w:eastAsia="宋体" w:cs="宋体"/>
          <w:b/>
          <w:szCs w:val="21"/>
          <w:highlight w:val="none"/>
        </w:rPr>
        <w:t>3、表格不够填写可添加。如本表格不适合投标人的实际情况，可自行制表填写。</w:t>
      </w:r>
    </w:p>
    <w:p>
      <w:pPr>
        <w:spacing w:line="360" w:lineRule="auto"/>
        <w:ind w:firstLine="843" w:firstLineChars="400"/>
        <w:rPr>
          <w:rFonts w:hint="eastAsia" w:ascii="宋体" w:hAnsi="宋体" w:eastAsia="宋体" w:cs="宋体"/>
          <w:b/>
          <w:szCs w:val="21"/>
          <w:highlight w:val="none"/>
        </w:rPr>
      </w:pPr>
    </w:p>
    <w:p>
      <w:pPr>
        <w:pStyle w:val="3"/>
        <w:rPr>
          <w:rFonts w:hint="eastAsia" w:ascii="宋体" w:hAnsi="宋体" w:eastAsia="宋体" w:cs="宋体"/>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投标人全称（盖单位公章）：</w:t>
      </w:r>
      <w:r>
        <w:rPr>
          <w:rFonts w:hint="eastAsia" w:ascii="宋体" w:hAnsi="宋体" w:eastAsia="宋体" w:cs="宋体"/>
          <w:spacing w:val="20"/>
          <w:sz w:val="24"/>
          <w:highlight w:val="none"/>
          <w:u w:val="single"/>
        </w:rPr>
        <w:t xml:space="preserve">        </w:t>
      </w:r>
      <w:r>
        <w:rPr>
          <w:rFonts w:hint="eastAsia" w:ascii="宋体" w:hAnsi="宋体" w:eastAsia="宋体" w:cs="宋体"/>
          <w:sz w:val="24"/>
          <w:highlight w:val="none"/>
        </w:rPr>
        <w:t xml:space="preserve">  </w:t>
      </w:r>
    </w:p>
    <w:p>
      <w:pPr>
        <w:widowControl/>
        <w:adjustRightInd w:val="0"/>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法定代表人或其授权代表（签字或盖章）：</w:t>
      </w:r>
      <w:r>
        <w:rPr>
          <w:rFonts w:hint="eastAsia" w:ascii="宋体" w:hAnsi="宋体" w:eastAsia="宋体" w:cs="宋体"/>
          <w:spacing w:val="20"/>
          <w:sz w:val="24"/>
          <w:highlight w:val="none"/>
          <w:u w:val="single"/>
        </w:rPr>
        <w:t xml:space="preserve">        </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日期： 年  月  日 </w:t>
      </w:r>
    </w:p>
    <w:p>
      <w:pPr>
        <w:snapToGrid w:val="0"/>
        <w:spacing w:before="156" w:beforeLines="50" w:after="50"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p>
    <w:p>
      <w:pPr>
        <w:pStyle w:val="30"/>
        <w:spacing w:before="0" w:beforeAutospacing="0" w:after="0" w:afterAutospacing="0"/>
        <w:jc w:val="both"/>
        <w:rPr>
          <w:rFonts w:hint="eastAsia" w:ascii="宋体" w:hAnsi="宋体" w:eastAsia="宋体" w:cs="宋体"/>
          <w:highlight w:val="none"/>
        </w:rPr>
      </w:pPr>
    </w:p>
    <w:p>
      <w:pPr>
        <w:pStyle w:val="3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br w:type="page"/>
      </w:r>
    </w:p>
    <w:p>
      <w:pPr>
        <w:pStyle w:val="30"/>
        <w:spacing w:before="0" w:beforeAutospacing="0" w:after="0" w:afterAutospacing="0"/>
        <w:jc w:val="left"/>
        <w:rPr>
          <w:rFonts w:hint="eastAsia" w:ascii="宋体" w:hAnsi="宋体" w:eastAsia="宋体" w:cs="宋体"/>
          <w:b/>
          <w:bCs/>
          <w:kern w:val="2"/>
          <w:sz w:val="24"/>
          <w:szCs w:val="24"/>
          <w:highlight w:val="none"/>
          <w:lang w:val="en-US" w:eastAsia="zh-CN" w:bidi="ar-SA"/>
        </w:rPr>
      </w:pPr>
      <w:r>
        <w:rPr>
          <w:rFonts w:hint="eastAsia" w:cs="宋体"/>
          <w:b/>
          <w:bCs/>
          <w:kern w:val="2"/>
          <w:sz w:val="24"/>
          <w:szCs w:val="24"/>
          <w:highlight w:val="none"/>
          <w:lang w:val="en-US" w:eastAsia="zh-CN" w:bidi="ar-SA"/>
        </w:rPr>
        <w:t>7</w:t>
      </w:r>
      <w:r>
        <w:rPr>
          <w:rFonts w:hint="eastAsia" w:ascii="宋体" w:hAnsi="宋体" w:eastAsia="宋体" w:cs="宋体"/>
          <w:b/>
          <w:bCs/>
          <w:kern w:val="2"/>
          <w:sz w:val="24"/>
          <w:szCs w:val="24"/>
          <w:highlight w:val="none"/>
          <w:lang w:val="en-US" w:eastAsia="zh-CN" w:bidi="ar-SA"/>
        </w:rPr>
        <w:t>、项目负责人</w:t>
      </w:r>
    </w:p>
    <w:p>
      <w:pPr>
        <w:pStyle w:val="30"/>
        <w:spacing w:before="0" w:beforeAutospacing="0" w:after="0" w:afterAutospacing="0"/>
        <w:jc w:val="center"/>
        <w:rPr>
          <w:rFonts w:hint="eastAsia" w:ascii="宋体" w:hAnsi="宋体" w:eastAsia="宋体" w:cs="宋体"/>
          <w:highlight w:val="none"/>
        </w:rPr>
      </w:pPr>
    </w:p>
    <w:p>
      <w:pPr>
        <w:pStyle w:val="30"/>
        <w:spacing w:before="0" w:beforeAutospacing="0" w:after="0" w:afterAutospacing="0"/>
        <w:jc w:val="center"/>
        <w:rPr>
          <w:rFonts w:hint="eastAsia" w:ascii="宋体" w:hAnsi="宋体" w:eastAsia="宋体" w:cs="宋体"/>
          <w:highlight w:val="none"/>
        </w:rPr>
      </w:pPr>
    </w:p>
    <w:p>
      <w:pPr>
        <w:pStyle w:val="30"/>
        <w:spacing w:before="0" w:beforeAutospacing="0" w:after="0" w:afterAutospacing="0"/>
        <w:jc w:val="center"/>
        <w:rPr>
          <w:rFonts w:hint="eastAsia" w:ascii="宋体" w:hAnsi="宋体" w:eastAsia="宋体" w:cs="宋体"/>
          <w:b/>
          <w:color w:val="000000"/>
          <w:highlight w:val="none"/>
        </w:rPr>
      </w:pPr>
      <w:r>
        <w:rPr>
          <w:rFonts w:hint="eastAsia" w:ascii="宋体" w:hAnsi="宋体" w:eastAsia="宋体" w:cs="宋体"/>
          <w:b/>
          <w:color w:val="000000"/>
          <w:sz w:val="32"/>
          <w:szCs w:val="32"/>
          <w:highlight w:val="none"/>
        </w:rPr>
        <w:t>项目负责人简历表</w:t>
      </w:r>
    </w:p>
    <w:p>
      <w:pPr>
        <w:pStyle w:val="30"/>
        <w:spacing w:before="0" w:beforeAutospacing="0" w:after="0" w:afterAutospacing="0"/>
        <w:jc w:val="center"/>
        <w:rPr>
          <w:rFonts w:hint="eastAsia" w:ascii="宋体" w:hAnsi="宋体" w:eastAsia="宋体" w:cs="宋体"/>
          <w:b/>
          <w:snapToGrid w:val="0"/>
          <w:color w:val="000000"/>
          <w:highlight w:val="none"/>
        </w:rPr>
      </w:pPr>
    </w:p>
    <w:tbl>
      <w:tblPr>
        <w:tblStyle w:val="34"/>
        <w:tblW w:w="9052" w:type="dxa"/>
        <w:jc w:val="center"/>
        <w:tblLayout w:type="fixed"/>
        <w:tblCellMar>
          <w:top w:w="57" w:type="dxa"/>
          <w:left w:w="57" w:type="dxa"/>
          <w:bottom w:w="57" w:type="dxa"/>
          <w:right w:w="57" w:type="dxa"/>
        </w:tblCellMar>
      </w:tblPr>
      <w:tblGrid>
        <w:gridCol w:w="2018"/>
        <w:gridCol w:w="205"/>
        <w:gridCol w:w="1951"/>
        <w:gridCol w:w="730"/>
        <w:gridCol w:w="424"/>
        <w:gridCol w:w="296"/>
        <w:gridCol w:w="602"/>
        <w:gridCol w:w="118"/>
        <w:gridCol w:w="180"/>
        <w:gridCol w:w="616"/>
        <w:gridCol w:w="464"/>
        <w:gridCol w:w="150"/>
        <w:gridCol w:w="1298"/>
      </w:tblGrid>
      <w:tr>
        <w:tblPrEx>
          <w:tblCellMar>
            <w:top w:w="57" w:type="dxa"/>
            <w:left w:w="57" w:type="dxa"/>
            <w:bottom w:w="57" w:type="dxa"/>
            <w:right w:w="57" w:type="dxa"/>
          </w:tblCellMar>
        </w:tblPrEx>
        <w:trPr>
          <w:trHeight w:val="743" w:hRule="atLeast"/>
          <w:jc w:val="center"/>
        </w:trPr>
        <w:tc>
          <w:tcPr>
            <w:tcW w:w="2018" w:type="dxa"/>
            <w:tcBorders>
              <w:top w:val="single" w:color="auto" w:sz="6" w:space="0"/>
              <w:left w:val="single" w:color="auto" w:sz="6" w:space="0"/>
              <w:bottom w:val="single" w:color="auto" w:sz="6" w:space="0"/>
              <w:right w:val="single" w:color="auto" w:sz="6" w:space="0"/>
            </w:tcBorders>
            <w:noWrap w:val="0"/>
            <w:vAlign w:val="center"/>
          </w:tcPr>
          <w:p>
            <w:pPr>
              <w:jc w:val="distribute"/>
              <w:rPr>
                <w:rFonts w:hint="eastAsia" w:ascii="宋体" w:hAnsi="宋体" w:eastAsia="宋体" w:cs="宋体"/>
                <w:color w:val="000000"/>
                <w:highlight w:val="none"/>
              </w:rPr>
            </w:pPr>
            <w:r>
              <w:rPr>
                <w:rFonts w:hint="eastAsia" w:ascii="宋体" w:hAnsi="宋体" w:eastAsia="宋体" w:cs="宋体"/>
                <w:color w:val="000000"/>
                <w:highlight w:val="none"/>
              </w:rPr>
              <w:t>项目负责</w:t>
            </w:r>
          </w:p>
          <w:p>
            <w:pPr>
              <w:jc w:val="distribute"/>
              <w:rPr>
                <w:rFonts w:hint="eastAsia" w:ascii="宋体" w:hAnsi="宋体" w:eastAsia="宋体" w:cs="宋体"/>
                <w:color w:val="000000"/>
                <w:highlight w:val="none"/>
              </w:rPr>
            </w:pPr>
            <w:r>
              <w:rPr>
                <w:rFonts w:hint="eastAsia" w:ascii="宋体" w:hAnsi="宋体" w:eastAsia="宋体" w:cs="宋体"/>
                <w:color w:val="000000"/>
                <w:highlight w:val="none"/>
              </w:rPr>
              <w:t>人姓名</w:t>
            </w:r>
          </w:p>
        </w:tc>
        <w:tc>
          <w:tcPr>
            <w:tcW w:w="21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性</w:t>
            </w:r>
          </w:p>
          <w:p>
            <w:pPr>
              <w:jc w:val="center"/>
              <w:rPr>
                <w:rFonts w:hint="eastAsia" w:ascii="宋体" w:hAnsi="宋体" w:eastAsia="宋体" w:cs="宋体"/>
                <w:color w:val="000000"/>
                <w:highlight w:val="none"/>
              </w:rPr>
            </w:pPr>
            <w:r>
              <w:rPr>
                <w:rFonts w:hint="eastAsia" w:ascii="宋体" w:hAnsi="宋体" w:eastAsia="宋体" w:cs="宋体"/>
                <w:color w:val="000000"/>
                <w:highlight w:val="none"/>
              </w:rPr>
              <w:t>别</w:t>
            </w: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年</w:t>
            </w:r>
          </w:p>
          <w:p>
            <w:pPr>
              <w:jc w:val="center"/>
              <w:rPr>
                <w:rFonts w:hint="eastAsia" w:ascii="宋体" w:hAnsi="宋体" w:eastAsia="宋体" w:cs="宋体"/>
                <w:color w:val="000000"/>
                <w:highlight w:val="none"/>
              </w:rPr>
            </w:pPr>
            <w:r>
              <w:rPr>
                <w:rFonts w:hint="eastAsia" w:ascii="宋体" w:hAnsi="宋体" w:eastAsia="宋体" w:cs="宋体"/>
                <w:color w:val="000000"/>
                <w:highlight w:val="none"/>
              </w:rPr>
              <w:t>龄</w:t>
            </w:r>
          </w:p>
        </w:tc>
        <w:tc>
          <w:tcPr>
            <w:tcW w:w="79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p>
        </w:tc>
        <w:tc>
          <w:tcPr>
            <w:tcW w:w="61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学</w:t>
            </w:r>
          </w:p>
          <w:p>
            <w:pPr>
              <w:jc w:val="center"/>
              <w:rPr>
                <w:rFonts w:hint="eastAsia" w:ascii="宋体" w:hAnsi="宋体" w:eastAsia="宋体" w:cs="宋体"/>
                <w:color w:val="000000"/>
                <w:highlight w:val="none"/>
              </w:rPr>
            </w:pPr>
            <w:r>
              <w:rPr>
                <w:rFonts w:hint="eastAsia" w:ascii="宋体" w:hAnsi="宋体" w:eastAsia="宋体" w:cs="宋体"/>
                <w:color w:val="000000"/>
                <w:highlight w:val="none"/>
              </w:rPr>
              <w:t>历</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p>
        </w:tc>
      </w:tr>
      <w:tr>
        <w:tblPrEx>
          <w:tblCellMar>
            <w:top w:w="57" w:type="dxa"/>
            <w:left w:w="57" w:type="dxa"/>
            <w:bottom w:w="57" w:type="dxa"/>
            <w:right w:w="57" w:type="dxa"/>
          </w:tblCellMar>
        </w:tblPrEx>
        <w:trPr>
          <w:trHeight w:val="490" w:hRule="atLeast"/>
          <w:jc w:val="center"/>
        </w:trPr>
        <w:tc>
          <w:tcPr>
            <w:tcW w:w="2018" w:type="dxa"/>
            <w:tcBorders>
              <w:top w:val="single" w:color="auto" w:sz="6" w:space="0"/>
              <w:left w:val="single" w:color="auto" w:sz="6" w:space="0"/>
              <w:bottom w:val="single" w:color="auto" w:sz="6" w:space="0"/>
              <w:right w:val="single" w:color="auto" w:sz="6" w:space="0"/>
            </w:tcBorders>
            <w:noWrap w:val="0"/>
            <w:vAlign w:val="center"/>
          </w:tcPr>
          <w:p>
            <w:pPr>
              <w:jc w:val="distribute"/>
              <w:rPr>
                <w:rFonts w:hint="eastAsia" w:ascii="宋体" w:hAnsi="宋体" w:eastAsia="宋体" w:cs="宋体"/>
                <w:color w:val="000000"/>
                <w:highlight w:val="none"/>
              </w:rPr>
            </w:pPr>
            <w:r>
              <w:rPr>
                <w:rFonts w:hint="eastAsia" w:ascii="宋体" w:hAnsi="宋体" w:eastAsia="宋体" w:cs="宋体"/>
                <w:color w:val="000000"/>
                <w:highlight w:val="none"/>
              </w:rPr>
              <w:t>行政职务</w:t>
            </w:r>
          </w:p>
        </w:tc>
        <w:tc>
          <w:tcPr>
            <w:tcW w:w="21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专业职称</w:t>
            </w:r>
          </w:p>
        </w:tc>
        <w:tc>
          <w:tcPr>
            <w:tcW w:w="1322"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p>
        </w:tc>
        <w:tc>
          <w:tcPr>
            <w:tcW w:w="1378"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专业年限</w:t>
            </w:r>
          </w:p>
        </w:tc>
        <w:tc>
          <w:tcPr>
            <w:tcW w:w="144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p>
        </w:tc>
      </w:tr>
      <w:tr>
        <w:tblPrEx>
          <w:tblCellMar>
            <w:top w:w="57" w:type="dxa"/>
            <w:left w:w="57" w:type="dxa"/>
            <w:bottom w:w="57" w:type="dxa"/>
            <w:right w:w="57" w:type="dxa"/>
          </w:tblCellMar>
        </w:tblPrEx>
        <w:trPr>
          <w:cantSplit/>
          <w:trHeight w:val="469" w:hRule="atLeast"/>
          <w:jc w:val="center"/>
        </w:trPr>
        <w:tc>
          <w:tcPr>
            <w:tcW w:w="201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工 作 单 位</w:t>
            </w:r>
          </w:p>
        </w:tc>
        <w:tc>
          <w:tcPr>
            <w:tcW w:w="4208" w:type="dxa"/>
            <w:gridSpan w:val="6"/>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p>
        </w:tc>
        <w:tc>
          <w:tcPr>
            <w:tcW w:w="1378"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电话</w:t>
            </w:r>
          </w:p>
        </w:tc>
        <w:tc>
          <w:tcPr>
            <w:tcW w:w="144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p>
        </w:tc>
      </w:tr>
      <w:tr>
        <w:tblPrEx>
          <w:tblCellMar>
            <w:top w:w="57" w:type="dxa"/>
            <w:left w:w="57" w:type="dxa"/>
            <w:bottom w:w="57" w:type="dxa"/>
            <w:right w:w="57" w:type="dxa"/>
          </w:tblCellMar>
        </w:tblPrEx>
        <w:trPr>
          <w:trHeight w:val="469" w:hRule="atLeast"/>
          <w:jc w:val="center"/>
        </w:trPr>
        <w:tc>
          <w:tcPr>
            <w:tcW w:w="2018" w:type="dxa"/>
            <w:tcBorders>
              <w:top w:val="single" w:color="auto" w:sz="6" w:space="0"/>
              <w:left w:val="single" w:color="auto" w:sz="6" w:space="0"/>
              <w:bottom w:val="single" w:color="auto" w:sz="6" w:space="0"/>
              <w:right w:val="single" w:color="auto" w:sz="6" w:space="0"/>
            </w:tcBorders>
            <w:noWrap w:val="0"/>
            <w:vAlign w:val="center"/>
          </w:tcPr>
          <w:p>
            <w:pPr>
              <w:jc w:val="distribute"/>
              <w:rPr>
                <w:rFonts w:hint="eastAsia" w:ascii="宋体" w:hAnsi="宋体" w:eastAsia="宋体" w:cs="宋体"/>
                <w:color w:val="000000"/>
                <w:highlight w:val="none"/>
              </w:rPr>
            </w:pPr>
            <w:r>
              <w:rPr>
                <w:rFonts w:hint="eastAsia" w:ascii="宋体" w:hAnsi="宋体" w:eastAsia="宋体" w:cs="宋体"/>
                <w:color w:val="000000"/>
                <w:highlight w:val="none"/>
              </w:rPr>
              <w:t>通讯地址</w:t>
            </w:r>
          </w:p>
        </w:tc>
        <w:tc>
          <w:tcPr>
            <w:tcW w:w="4208" w:type="dxa"/>
            <w:gridSpan w:val="6"/>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p>
        </w:tc>
        <w:tc>
          <w:tcPr>
            <w:tcW w:w="1378"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邮编</w:t>
            </w:r>
          </w:p>
        </w:tc>
        <w:tc>
          <w:tcPr>
            <w:tcW w:w="144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p>
        </w:tc>
      </w:tr>
      <w:tr>
        <w:tblPrEx>
          <w:tblCellMar>
            <w:top w:w="57" w:type="dxa"/>
            <w:left w:w="57" w:type="dxa"/>
            <w:bottom w:w="57" w:type="dxa"/>
            <w:right w:w="57" w:type="dxa"/>
          </w:tblCellMar>
        </w:tblPrEx>
        <w:trPr>
          <w:cantSplit/>
          <w:trHeight w:val="551" w:hRule="atLeast"/>
          <w:jc w:val="center"/>
        </w:trPr>
        <w:tc>
          <w:tcPr>
            <w:tcW w:w="9052" w:type="dxa"/>
            <w:gridSpan w:val="13"/>
            <w:tcBorders>
              <w:top w:val="single" w:color="auto" w:sz="6" w:space="0"/>
              <w:left w:val="single" w:color="auto" w:sz="6" w:space="0"/>
              <w:bottom w:val="nil"/>
              <w:right w:val="single" w:color="auto" w:sz="6"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类似项目工作经验</w:t>
            </w:r>
          </w:p>
        </w:tc>
      </w:tr>
      <w:tr>
        <w:tblPrEx>
          <w:tblCellMar>
            <w:top w:w="57" w:type="dxa"/>
            <w:left w:w="57" w:type="dxa"/>
            <w:bottom w:w="57" w:type="dxa"/>
            <w:right w:w="57" w:type="dxa"/>
          </w:tblCellMar>
        </w:tblPrEx>
        <w:trPr>
          <w:cantSplit/>
          <w:trHeight w:val="795" w:hRule="atLeast"/>
          <w:jc w:val="center"/>
        </w:trPr>
        <w:tc>
          <w:tcPr>
            <w:tcW w:w="2223"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参加过的类似项目</w:t>
            </w:r>
          </w:p>
        </w:tc>
        <w:tc>
          <w:tcPr>
            <w:tcW w:w="1196"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担任职务</w:t>
            </w:r>
          </w:p>
        </w:tc>
        <w:tc>
          <w:tcPr>
            <w:tcW w:w="2528" w:type="dxa"/>
            <w:gridSpan w:val="4"/>
            <w:tcBorders>
              <w:top w:val="single" w:color="auto" w:sz="6" w:space="0"/>
              <w:left w:val="single" w:color="auto" w:sz="6" w:space="0"/>
              <w:bottom w:val="single" w:color="auto" w:sz="6" w:space="0"/>
              <w:right w:val="single" w:color="auto" w:sz="6" w:space="0"/>
            </w:tcBorders>
            <w:noWrap w:val="0"/>
            <w:vAlign w:val="center"/>
          </w:tcPr>
          <w:p>
            <w:pPr>
              <w:ind w:firstLine="105" w:firstLineChars="50"/>
              <w:rPr>
                <w:rFonts w:hint="eastAsia" w:ascii="宋体" w:hAnsi="宋体" w:eastAsia="宋体" w:cs="宋体"/>
                <w:color w:val="000000"/>
                <w:highlight w:val="none"/>
              </w:rPr>
            </w:pPr>
            <w:r>
              <w:rPr>
                <w:rFonts w:hint="eastAsia" w:ascii="宋体" w:hAnsi="宋体" w:eastAsia="宋体" w:cs="宋体"/>
                <w:color w:val="000000"/>
                <w:highlight w:val="none"/>
              </w:rPr>
              <w:t>发包人及联系电话</w:t>
            </w:r>
          </w:p>
        </w:tc>
      </w:tr>
      <w:tr>
        <w:tblPrEx>
          <w:tblCellMar>
            <w:top w:w="57" w:type="dxa"/>
            <w:left w:w="57" w:type="dxa"/>
            <w:bottom w:w="57" w:type="dxa"/>
            <w:right w:w="57" w:type="dxa"/>
          </w:tblCellMar>
        </w:tblPrEx>
        <w:trPr>
          <w:cantSplit/>
          <w:trHeight w:val="639" w:hRule="atLeast"/>
          <w:jc w:val="center"/>
        </w:trPr>
        <w:tc>
          <w:tcPr>
            <w:tcW w:w="2223" w:type="dxa"/>
            <w:gridSpan w:val="2"/>
            <w:tcBorders>
              <w:top w:val="single" w:color="auto" w:sz="6" w:space="0"/>
              <w:left w:val="single" w:color="auto" w:sz="6" w:space="0"/>
              <w:bottom w:val="single" w:color="auto" w:sz="4" w:space="0"/>
              <w:right w:val="single" w:color="auto" w:sz="6" w:space="0"/>
            </w:tcBorders>
            <w:noWrap w:val="0"/>
            <w:vAlign w:val="center"/>
          </w:tcPr>
          <w:p>
            <w:pPr>
              <w:spacing w:line="900" w:lineRule="auto"/>
              <w:jc w:val="center"/>
              <w:rPr>
                <w:rFonts w:hint="eastAsia" w:ascii="宋体" w:hAnsi="宋体" w:eastAsia="宋体" w:cs="宋体"/>
                <w:color w:val="000000"/>
                <w:highlight w:val="none"/>
              </w:rPr>
            </w:pPr>
          </w:p>
          <w:p>
            <w:pPr>
              <w:spacing w:line="900" w:lineRule="auto"/>
              <w:jc w:val="center"/>
              <w:rPr>
                <w:rFonts w:hint="eastAsia" w:ascii="宋体" w:hAnsi="宋体" w:eastAsia="宋体" w:cs="宋体"/>
                <w:color w:val="000000"/>
                <w:highlight w:val="none"/>
              </w:rPr>
            </w:pPr>
          </w:p>
        </w:tc>
        <w:tc>
          <w:tcPr>
            <w:tcW w:w="3105" w:type="dxa"/>
            <w:gridSpan w:val="3"/>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color w:val="000000"/>
                <w:highlight w:val="none"/>
              </w:rPr>
            </w:pPr>
          </w:p>
        </w:tc>
        <w:tc>
          <w:tcPr>
            <w:tcW w:w="1196" w:type="dxa"/>
            <w:gridSpan w:val="4"/>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color w:val="000000"/>
                <w:highlight w:val="none"/>
              </w:rPr>
            </w:pPr>
          </w:p>
        </w:tc>
        <w:tc>
          <w:tcPr>
            <w:tcW w:w="2528"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highlight w:val="none"/>
              </w:rPr>
            </w:pPr>
          </w:p>
        </w:tc>
      </w:tr>
    </w:tbl>
    <w:p>
      <w:pPr>
        <w:spacing w:line="460" w:lineRule="atLeas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注：后附项目负责人</w:t>
      </w:r>
      <w:r>
        <w:rPr>
          <w:rFonts w:hint="eastAsia" w:ascii="宋体" w:hAnsi="宋体" w:eastAsia="宋体" w:cs="宋体"/>
          <w:b/>
          <w:color w:val="000000"/>
          <w:highlight w:val="none"/>
        </w:rPr>
        <w:t>身份证、相关证书</w:t>
      </w:r>
      <w:r>
        <w:rPr>
          <w:rFonts w:hint="eastAsia" w:ascii="宋体" w:hAnsi="宋体" w:cs="宋体"/>
          <w:b/>
          <w:color w:val="000000"/>
          <w:highlight w:val="none"/>
          <w:lang w:eastAsia="zh-CN"/>
        </w:rPr>
        <w:t>（</w:t>
      </w:r>
      <w:r>
        <w:rPr>
          <w:rFonts w:hint="eastAsia" w:ascii="宋体" w:hAnsi="宋体" w:cs="宋体"/>
          <w:b/>
          <w:color w:val="000000"/>
          <w:highlight w:val="none"/>
          <w:lang w:val="en-US" w:eastAsia="zh-CN"/>
        </w:rPr>
        <w:t>如有</w:t>
      </w:r>
      <w:r>
        <w:rPr>
          <w:rFonts w:hint="eastAsia" w:ascii="宋体" w:hAnsi="宋体" w:cs="宋体"/>
          <w:b/>
          <w:color w:val="000000"/>
          <w:highlight w:val="none"/>
          <w:lang w:eastAsia="zh-CN"/>
        </w:rPr>
        <w:t>）</w:t>
      </w:r>
      <w:r>
        <w:rPr>
          <w:rFonts w:hint="eastAsia" w:ascii="宋体" w:hAnsi="宋体" w:eastAsia="宋体" w:cs="宋体"/>
          <w:b/>
          <w:color w:val="000000"/>
          <w:highlight w:val="none"/>
        </w:rPr>
        <w:t>等证明材料</w:t>
      </w:r>
      <w:r>
        <w:rPr>
          <w:rFonts w:hint="eastAsia" w:ascii="宋体" w:hAnsi="宋体" w:eastAsia="宋体" w:cs="宋体"/>
          <w:b/>
          <w:szCs w:val="21"/>
          <w:highlight w:val="none"/>
        </w:rPr>
        <w:t>复印件（加盖公章）。</w:t>
      </w:r>
    </w:p>
    <w:p>
      <w:pPr>
        <w:spacing w:line="460" w:lineRule="atLeast"/>
        <w:rPr>
          <w:rFonts w:hint="eastAsia" w:ascii="宋体" w:hAnsi="宋体" w:eastAsia="宋体" w:cs="宋体"/>
          <w:b/>
          <w:sz w:val="24"/>
          <w:highlight w:val="none"/>
        </w:rPr>
      </w:pPr>
    </w:p>
    <w:p>
      <w:pPr>
        <w:pStyle w:val="3"/>
        <w:rPr>
          <w:rFonts w:hint="eastAsia" w:ascii="宋体" w:hAnsi="宋体" w:eastAsia="宋体" w:cs="宋体"/>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投标人（盖单位公章）：</w:t>
      </w:r>
      <w:r>
        <w:rPr>
          <w:rFonts w:hint="eastAsia" w:ascii="宋体" w:hAnsi="宋体" w:eastAsia="宋体" w:cs="宋体"/>
          <w:spacing w:val="20"/>
          <w:sz w:val="24"/>
          <w:highlight w:val="none"/>
          <w:u w:val="single"/>
        </w:rPr>
        <w:t xml:space="preserve">        </w:t>
      </w:r>
    </w:p>
    <w:p>
      <w:pPr>
        <w:widowControl/>
        <w:adjustRightInd w:val="0"/>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法定代表人或其授权代表（签字或盖章）：</w:t>
      </w:r>
      <w:r>
        <w:rPr>
          <w:rFonts w:hint="eastAsia" w:ascii="宋体" w:hAnsi="宋体" w:eastAsia="宋体" w:cs="宋体"/>
          <w:spacing w:val="20"/>
          <w:sz w:val="24"/>
          <w:highlight w:val="none"/>
          <w:u w:val="singl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日期： 年  月  日 </w:t>
      </w:r>
    </w:p>
    <w:p>
      <w:pPr>
        <w:spacing w:line="460" w:lineRule="atLeast"/>
        <w:rPr>
          <w:rFonts w:hint="eastAsia" w:ascii="宋体" w:hAnsi="宋体" w:eastAsia="宋体" w:cs="宋体"/>
          <w:b/>
          <w:sz w:val="24"/>
          <w:highlight w:val="none"/>
          <w:lang w:eastAsia="zh-CN"/>
        </w:rPr>
      </w:pP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p>
    <w:p>
      <w:pPr>
        <w:snapToGrid w:val="0"/>
        <w:spacing w:before="50" w:after="156" w:afterLines="50"/>
        <w:jc w:val="left"/>
        <w:rPr>
          <w:rFonts w:hint="eastAsia" w:ascii="宋体" w:hAnsi="宋体" w:eastAsia="宋体" w:cs="宋体"/>
          <w:b/>
          <w:bCs/>
          <w:sz w:val="24"/>
          <w:highlight w:val="none"/>
          <w:lang w:val="en-US" w:eastAsia="zh-CN"/>
        </w:rPr>
        <w:sectPr>
          <w:pgSz w:w="11906" w:h="16838"/>
          <w:pgMar w:top="1304" w:right="1361" w:bottom="1417" w:left="1361"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before="50" w:after="156" w:afterLines="50"/>
        <w:jc w:val="left"/>
        <w:rPr>
          <w:rFonts w:hint="eastAsia" w:ascii="宋体" w:hAnsi="宋体" w:eastAsia="宋体" w:cs="宋体"/>
          <w:b/>
          <w:bCs/>
          <w:sz w:val="24"/>
          <w:highlight w:val="none"/>
        </w:rPr>
      </w:pPr>
      <w:r>
        <w:rPr>
          <w:rFonts w:hint="eastAsia" w:ascii="宋体" w:hAnsi="宋体" w:cs="宋体"/>
          <w:b/>
          <w:bCs/>
          <w:sz w:val="24"/>
          <w:highlight w:val="none"/>
          <w:lang w:val="en-US" w:eastAsia="zh-CN"/>
        </w:rPr>
        <w:t>8</w:t>
      </w:r>
      <w:r>
        <w:rPr>
          <w:rFonts w:hint="eastAsia" w:ascii="宋体" w:hAnsi="宋体" w:eastAsia="宋体" w:cs="宋体"/>
          <w:b/>
          <w:bCs/>
          <w:sz w:val="24"/>
          <w:highlight w:val="none"/>
        </w:rPr>
        <w:t>、技术响应表格式：</w:t>
      </w:r>
    </w:p>
    <w:p>
      <w:pPr>
        <w:snapToGrid w:val="0"/>
        <w:spacing w:before="50" w:after="156" w:afterLines="5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技术响应表</w:t>
      </w:r>
    </w:p>
    <w:tbl>
      <w:tblPr>
        <w:tblStyle w:val="34"/>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946"/>
        <w:gridCol w:w="3828"/>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6" w:hRule="atLeast"/>
        </w:trPr>
        <w:tc>
          <w:tcPr>
            <w:tcW w:w="848" w:type="dxa"/>
            <w:noWrap w:val="0"/>
            <w:vAlign w:val="center"/>
          </w:tcPr>
          <w:p>
            <w:pPr>
              <w:pStyle w:val="18"/>
              <w:spacing w:before="156" w:beforeLines="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946" w:type="dxa"/>
            <w:noWrap w:val="0"/>
            <w:vAlign w:val="center"/>
          </w:tcPr>
          <w:p>
            <w:pPr>
              <w:pStyle w:val="18"/>
              <w:spacing w:before="156" w:beforeLines="50"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招标文件技术参数需求</w:t>
            </w:r>
          </w:p>
        </w:tc>
        <w:tc>
          <w:tcPr>
            <w:tcW w:w="3828" w:type="dxa"/>
            <w:noWrap w:val="0"/>
            <w:vAlign w:val="center"/>
          </w:tcPr>
          <w:p>
            <w:pPr>
              <w:spacing w:before="156" w:beforeLines="50"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投标文件响应</w:t>
            </w:r>
          </w:p>
        </w:tc>
        <w:tc>
          <w:tcPr>
            <w:tcW w:w="1660" w:type="dxa"/>
            <w:noWrap w:val="0"/>
            <w:vAlign w:val="center"/>
          </w:tcPr>
          <w:p>
            <w:pPr>
              <w:spacing w:before="156" w:beforeLines="50"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8" w:type="dxa"/>
            <w:noWrap w:val="0"/>
            <w:vAlign w:val="center"/>
          </w:tcPr>
          <w:p>
            <w:pPr>
              <w:pStyle w:val="18"/>
              <w:spacing w:before="156" w:beforeLines="50" w:line="360" w:lineRule="auto"/>
              <w:jc w:val="center"/>
              <w:rPr>
                <w:rFonts w:hint="eastAsia" w:ascii="宋体" w:hAnsi="宋体" w:eastAsia="宋体" w:cs="宋体"/>
                <w:szCs w:val="21"/>
                <w:highlight w:val="none"/>
              </w:rPr>
            </w:pPr>
          </w:p>
        </w:tc>
        <w:tc>
          <w:tcPr>
            <w:tcW w:w="2946" w:type="dxa"/>
            <w:noWrap w:val="0"/>
            <w:vAlign w:val="top"/>
          </w:tcPr>
          <w:p>
            <w:pPr>
              <w:pStyle w:val="18"/>
              <w:spacing w:before="156" w:beforeLines="50" w:line="360" w:lineRule="auto"/>
              <w:jc w:val="center"/>
              <w:rPr>
                <w:rFonts w:hint="eastAsia" w:ascii="宋体" w:hAnsi="宋体" w:eastAsia="宋体" w:cs="宋体"/>
                <w:szCs w:val="21"/>
                <w:highlight w:val="none"/>
              </w:rPr>
            </w:pPr>
          </w:p>
        </w:tc>
        <w:tc>
          <w:tcPr>
            <w:tcW w:w="3828" w:type="dxa"/>
            <w:noWrap w:val="0"/>
            <w:vAlign w:val="top"/>
          </w:tcPr>
          <w:p>
            <w:pPr>
              <w:pStyle w:val="18"/>
              <w:spacing w:before="156" w:beforeLines="50" w:line="360" w:lineRule="auto"/>
              <w:jc w:val="center"/>
              <w:rPr>
                <w:rFonts w:hint="eastAsia" w:ascii="宋体" w:hAnsi="宋体" w:eastAsia="宋体" w:cs="宋体"/>
                <w:szCs w:val="21"/>
                <w:highlight w:val="none"/>
              </w:rPr>
            </w:pPr>
          </w:p>
        </w:tc>
        <w:tc>
          <w:tcPr>
            <w:tcW w:w="1660" w:type="dxa"/>
            <w:noWrap w:val="0"/>
            <w:vAlign w:val="center"/>
          </w:tcPr>
          <w:p>
            <w:pPr>
              <w:pStyle w:val="18"/>
              <w:spacing w:before="156" w:beforeLines="50"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8" w:type="dxa"/>
            <w:noWrap w:val="0"/>
            <w:vAlign w:val="center"/>
          </w:tcPr>
          <w:p>
            <w:pPr>
              <w:pStyle w:val="18"/>
              <w:spacing w:before="156" w:beforeLines="50" w:line="360" w:lineRule="auto"/>
              <w:jc w:val="center"/>
              <w:rPr>
                <w:rFonts w:hint="eastAsia" w:ascii="宋体" w:hAnsi="宋体" w:eastAsia="宋体" w:cs="宋体"/>
                <w:szCs w:val="21"/>
                <w:highlight w:val="none"/>
              </w:rPr>
            </w:pPr>
          </w:p>
        </w:tc>
        <w:tc>
          <w:tcPr>
            <w:tcW w:w="2946" w:type="dxa"/>
            <w:noWrap w:val="0"/>
            <w:vAlign w:val="top"/>
          </w:tcPr>
          <w:p>
            <w:pPr>
              <w:pStyle w:val="18"/>
              <w:spacing w:before="156" w:beforeLines="50" w:line="360" w:lineRule="auto"/>
              <w:jc w:val="center"/>
              <w:rPr>
                <w:rFonts w:hint="eastAsia" w:ascii="宋体" w:hAnsi="宋体" w:eastAsia="宋体" w:cs="宋体"/>
                <w:szCs w:val="21"/>
                <w:highlight w:val="none"/>
              </w:rPr>
            </w:pPr>
          </w:p>
        </w:tc>
        <w:tc>
          <w:tcPr>
            <w:tcW w:w="3828" w:type="dxa"/>
            <w:noWrap w:val="0"/>
            <w:vAlign w:val="top"/>
          </w:tcPr>
          <w:p>
            <w:pPr>
              <w:pStyle w:val="18"/>
              <w:spacing w:before="156" w:beforeLines="50" w:line="360" w:lineRule="auto"/>
              <w:jc w:val="center"/>
              <w:rPr>
                <w:rFonts w:hint="eastAsia" w:ascii="宋体" w:hAnsi="宋体" w:eastAsia="宋体" w:cs="宋体"/>
                <w:szCs w:val="21"/>
                <w:highlight w:val="none"/>
              </w:rPr>
            </w:pPr>
          </w:p>
        </w:tc>
        <w:tc>
          <w:tcPr>
            <w:tcW w:w="1660" w:type="dxa"/>
            <w:noWrap w:val="0"/>
            <w:vAlign w:val="center"/>
          </w:tcPr>
          <w:p>
            <w:pPr>
              <w:pStyle w:val="18"/>
              <w:spacing w:before="156" w:beforeLines="50"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8" w:type="dxa"/>
            <w:noWrap w:val="0"/>
            <w:vAlign w:val="center"/>
          </w:tcPr>
          <w:p>
            <w:pPr>
              <w:pStyle w:val="18"/>
              <w:spacing w:before="156" w:beforeLines="50" w:line="360" w:lineRule="auto"/>
              <w:jc w:val="center"/>
              <w:rPr>
                <w:rFonts w:hint="eastAsia" w:ascii="宋体" w:hAnsi="宋体" w:eastAsia="宋体" w:cs="宋体"/>
                <w:szCs w:val="21"/>
                <w:highlight w:val="none"/>
              </w:rPr>
            </w:pPr>
          </w:p>
        </w:tc>
        <w:tc>
          <w:tcPr>
            <w:tcW w:w="2946" w:type="dxa"/>
            <w:noWrap w:val="0"/>
            <w:vAlign w:val="top"/>
          </w:tcPr>
          <w:p>
            <w:pPr>
              <w:pStyle w:val="18"/>
              <w:spacing w:before="156" w:beforeLines="50" w:line="360" w:lineRule="auto"/>
              <w:jc w:val="center"/>
              <w:rPr>
                <w:rFonts w:hint="eastAsia" w:ascii="宋体" w:hAnsi="宋体" w:eastAsia="宋体" w:cs="宋体"/>
                <w:szCs w:val="21"/>
                <w:highlight w:val="none"/>
              </w:rPr>
            </w:pPr>
          </w:p>
        </w:tc>
        <w:tc>
          <w:tcPr>
            <w:tcW w:w="3828" w:type="dxa"/>
            <w:noWrap w:val="0"/>
            <w:vAlign w:val="top"/>
          </w:tcPr>
          <w:p>
            <w:pPr>
              <w:pStyle w:val="18"/>
              <w:spacing w:before="156" w:beforeLines="50" w:line="360" w:lineRule="auto"/>
              <w:jc w:val="center"/>
              <w:rPr>
                <w:rFonts w:hint="eastAsia" w:ascii="宋体" w:hAnsi="宋体" w:eastAsia="宋体" w:cs="宋体"/>
                <w:szCs w:val="21"/>
                <w:highlight w:val="none"/>
              </w:rPr>
            </w:pPr>
          </w:p>
        </w:tc>
        <w:tc>
          <w:tcPr>
            <w:tcW w:w="1660" w:type="dxa"/>
            <w:noWrap w:val="0"/>
            <w:vAlign w:val="center"/>
          </w:tcPr>
          <w:p>
            <w:pPr>
              <w:pStyle w:val="18"/>
              <w:spacing w:before="156" w:beforeLines="50"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48" w:type="dxa"/>
            <w:noWrap w:val="0"/>
            <w:vAlign w:val="center"/>
          </w:tcPr>
          <w:p>
            <w:pPr>
              <w:pStyle w:val="18"/>
              <w:spacing w:before="156" w:beforeLines="50" w:line="360" w:lineRule="auto"/>
              <w:jc w:val="center"/>
              <w:rPr>
                <w:rFonts w:hint="eastAsia" w:ascii="宋体" w:hAnsi="宋体" w:eastAsia="宋体" w:cs="宋体"/>
                <w:szCs w:val="21"/>
                <w:highlight w:val="none"/>
              </w:rPr>
            </w:pPr>
          </w:p>
        </w:tc>
        <w:tc>
          <w:tcPr>
            <w:tcW w:w="2946" w:type="dxa"/>
            <w:noWrap w:val="0"/>
            <w:vAlign w:val="top"/>
          </w:tcPr>
          <w:p>
            <w:pPr>
              <w:pStyle w:val="18"/>
              <w:spacing w:before="156" w:beforeLines="50" w:line="360" w:lineRule="auto"/>
              <w:jc w:val="center"/>
              <w:rPr>
                <w:rFonts w:hint="eastAsia" w:ascii="宋体" w:hAnsi="宋体" w:eastAsia="宋体" w:cs="宋体"/>
                <w:szCs w:val="21"/>
                <w:highlight w:val="none"/>
              </w:rPr>
            </w:pPr>
          </w:p>
        </w:tc>
        <w:tc>
          <w:tcPr>
            <w:tcW w:w="3828" w:type="dxa"/>
            <w:noWrap w:val="0"/>
            <w:vAlign w:val="top"/>
          </w:tcPr>
          <w:p>
            <w:pPr>
              <w:pStyle w:val="18"/>
              <w:spacing w:before="156" w:beforeLines="50" w:line="360" w:lineRule="auto"/>
              <w:jc w:val="center"/>
              <w:rPr>
                <w:rFonts w:hint="eastAsia" w:ascii="宋体" w:hAnsi="宋体" w:eastAsia="宋体" w:cs="宋体"/>
                <w:szCs w:val="21"/>
                <w:highlight w:val="none"/>
              </w:rPr>
            </w:pPr>
          </w:p>
        </w:tc>
        <w:tc>
          <w:tcPr>
            <w:tcW w:w="1660" w:type="dxa"/>
            <w:noWrap w:val="0"/>
            <w:vAlign w:val="center"/>
          </w:tcPr>
          <w:p>
            <w:pPr>
              <w:pStyle w:val="18"/>
              <w:spacing w:before="156" w:beforeLines="50"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8" w:type="dxa"/>
            <w:noWrap w:val="0"/>
            <w:vAlign w:val="center"/>
          </w:tcPr>
          <w:p>
            <w:pPr>
              <w:pStyle w:val="18"/>
              <w:spacing w:before="156" w:beforeLines="50" w:line="360" w:lineRule="auto"/>
              <w:jc w:val="center"/>
              <w:rPr>
                <w:rFonts w:hint="eastAsia" w:ascii="宋体" w:hAnsi="宋体" w:eastAsia="宋体" w:cs="宋体"/>
                <w:szCs w:val="21"/>
                <w:highlight w:val="none"/>
              </w:rPr>
            </w:pPr>
          </w:p>
        </w:tc>
        <w:tc>
          <w:tcPr>
            <w:tcW w:w="2946" w:type="dxa"/>
            <w:noWrap w:val="0"/>
            <w:vAlign w:val="top"/>
          </w:tcPr>
          <w:p>
            <w:pPr>
              <w:pStyle w:val="18"/>
              <w:spacing w:before="156" w:beforeLines="50" w:line="360" w:lineRule="auto"/>
              <w:jc w:val="center"/>
              <w:rPr>
                <w:rFonts w:hint="eastAsia" w:ascii="宋体" w:hAnsi="宋体" w:eastAsia="宋体" w:cs="宋体"/>
                <w:szCs w:val="21"/>
                <w:highlight w:val="none"/>
              </w:rPr>
            </w:pPr>
          </w:p>
        </w:tc>
        <w:tc>
          <w:tcPr>
            <w:tcW w:w="3828" w:type="dxa"/>
            <w:noWrap w:val="0"/>
            <w:vAlign w:val="top"/>
          </w:tcPr>
          <w:p>
            <w:pPr>
              <w:pStyle w:val="18"/>
              <w:spacing w:before="156" w:beforeLines="50" w:line="360" w:lineRule="auto"/>
              <w:jc w:val="center"/>
              <w:rPr>
                <w:rFonts w:hint="eastAsia" w:ascii="宋体" w:hAnsi="宋体" w:eastAsia="宋体" w:cs="宋体"/>
                <w:szCs w:val="21"/>
                <w:highlight w:val="none"/>
              </w:rPr>
            </w:pPr>
          </w:p>
        </w:tc>
        <w:tc>
          <w:tcPr>
            <w:tcW w:w="1660" w:type="dxa"/>
            <w:noWrap w:val="0"/>
            <w:vAlign w:val="center"/>
          </w:tcPr>
          <w:p>
            <w:pPr>
              <w:pStyle w:val="18"/>
              <w:spacing w:before="156" w:beforeLines="50"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8" w:type="dxa"/>
            <w:noWrap w:val="0"/>
            <w:vAlign w:val="center"/>
          </w:tcPr>
          <w:p>
            <w:pPr>
              <w:pStyle w:val="18"/>
              <w:spacing w:before="156" w:beforeLines="50" w:line="360" w:lineRule="auto"/>
              <w:jc w:val="center"/>
              <w:rPr>
                <w:rFonts w:hint="eastAsia" w:ascii="宋体" w:hAnsi="宋体" w:eastAsia="宋体" w:cs="宋体"/>
                <w:szCs w:val="21"/>
                <w:highlight w:val="none"/>
              </w:rPr>
            </w:pPr>
          </w:p>
        </w:tc>
        <w:tc>
          <w:tcPr>
            <w:tcW w:w="2946" w:type="dxa"/>
            <w:noWrap w:val="0"/>
            <w:vAlign w:val="top"/>
          </w:tcPr>
          <w:p>
            <w:pPr>
              <w:pStyle w:val="18"/>
              <w:spacing w:before="156" w:beforeLines="50" w:line="360" w:lineRule="auto"/>
              <w:jc w:val="center"/>
              <w:rPr>
                <w:rFonts w:hint="eastAsia" w:ascii="宋体" w:hAnsi="宋体" w:eastAsia="宋体" w:cs="宋体"/>
                <w:szCs w:val="21"/>
                <w:highlight w:val="none"/>
              </w:rPr>
            </w:pPr>
          </w:p>
        </w:tc>
        <w:tc>
          <w:tcPr>
            <w:tcW w:w="3828" w:type="dxa"/>
            <w:noWrap w:val="0"/>
            <w:vAlign w:val="top"/>
          </w:tcPr>
          <w:p>
            <w:pPr>
              <w:pStyle w:val="18"/>
              <w:spacing w:before="156" w:beforeLines="50" w:line="360" w:lineRule="auto"/>
              <w:jc w:val="center"/>
              <w:rPr>
                <w:rFonts w:hint="eastAsia" w:ascii="宋体" w:hAnsi="宋体" w:eastAsia="宋体" w:cs="宋体"/>
                <w:szCs w:val="21"/>
                <w:highlight w:val="none"/>
              </w:rPr>
            </w:pPr>
          </w:p>
        </w:tc>
        <w:tc>
          <w:tcPr>
            <w:tcW w:w="1660" w:type="dxa"/>
            <w:noWrap w:val="0"/>
            <w:vAlign w:val="center"/>
          </w:tcPr>
          <w:p>
            <w:pPr>
              <w:pStyle w:val="18"/>
              <w:spacing w:before="156" w:beforeLines="50"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8" w:type="dxa"/>
            <w:noWrap w:val="0"/>
            <w:vAlign w:val="center"/>
          </w:tcPr>
          <w:p>
            <w:pPr>
              <w:pStyle w:val="18"/>
              <w:spacing w:before="156" w:beforeLines="50" w:line="360" w:lineRule="auto"/>
              <w:jc w:val="center"/>
              <w:rPr>
                <w:rFonts w:hint="eastAsia" w:ascii="宋体" w:hAnsi="宋体" w:eastAsia="宋体" w:cs="宋体"/>
                <w:szCs w:val="21"/>
                <w:highlight w:val="none"/>
              </w:rPr>
            </w:pPr>
          </w:p>
        </w:tc>
        <w:tc>
          <w:tcPr>
            <w:tcW w:w="2946" w:type="dxa"/>
            <w:noWrap w:val="0"/>
            <w:vAlign w:val="top"/>
          </w:tcPr>
          <w:p>
            <w:pPr>
              <w:pStyle w:val="18"/>
              <w:spacing w:before="156" w:beforeLines="50" w:line="360" w:lineRule="auto"/>
              <w:jc w:val="center"/>
              <w:rPr>
                <w:rFonts w:hint="eastAsia" w:ascii="宋体" w:hAnsi="宋体" w:eastAsia="宋体" w:cs="宋体"/>
                <w:szCs w:val="21"/>
                <w:highlight w:val="none"/>
              </w:rPr>
            </w:pPr>
          </w:p>
        </w:tc>
        <w:tc>
          <w:tcPr>
            <w:tcW w:w="3828" w:type="dxa"/>
            <w:noWrap w:val="0"/>
            <w:vAlign w:val="top"/>
          </w:tcPr>
          <w:p>
            <w:pPr>
              <w:pStyle w:val="18"/>
              <w:spacing w:before="156" w:beforeLines="50" w:line="360" w:lineRule="auto"/>
              <w:jc w:val="center"/>
              <w:rPr>
                <w:rFonts w:hint="eastAsia" w:ascii="宋体" w:hAnsi="宋体" w:eastAsia="宋体" w:cs="宋体"/>
                <w:szCs w:val="21"/>
                <w:highlight w:val="none"/>
              </w:rPr>
            </w:pPr>
          </w:p>
        </w:tc>
        <w:tc>
          <w:tcPr>
            <w:tcW w:w="1660" w:type="dxa"/>
            <w:noWrap w:val="0"/>
            <w:vAlign w:val="center"/>
          </w:tcPr>
          <w:p>
            <w:pPr>
              <w:pStyle w:val="18"/>
              <w:spacing w:before="156" w:beforeLines="50"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48" w:type="dxa"/>
            <w:noWrap w:val="0"/>
            <w:vAlign w:val="center"/>
          </w:tcPr>
          <w:p>
            <w:pPr>
              <w:pStyle w:val="18"/>
              <w:spacing w:before="156" w:beforeLines="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2946" w:type="dxa"/>
            <w:noWrap w:val="0"/>
            <w:vAlign w:val="top"/>
          </w:tcPr>
          <w:p>
            <w:pPr>
              <w:pStyle w:val="18"/>
              <w:spacing w:before="156" w:beforeLines="50" w:line="360" w:lineRule="auto"/>
              <w:jc w:val="center"/>
              <w:rPr>
                <w:rFonts w:hint="eastAsia" w:ascii="宋体" w:hAnsi="宋体" w:eastAsia="宋体" w:cs="宋体"/>
                <w:szCs w:val="21"/>
                <w:highlight w:val="none"/>
              </w:rPr>
            </w:pPr>
          </w:p>
        </w:tc>
        <w:tc>
          <w:tcPr>
            <w:tcW w:w="3828" w:type="dxa"/>
            <w:noWrap w:val="0"/>
            <w:vAlign w:val="top"/>
          </w:tcPr>
          <w:p>
            <w:pPr>
              <w:pStyle w:val="18"/>
              <w:spacing w:before="156" w:beforeLines="50" w:line="360" w:lineRule="auto"/>
              <w:jc w:val="center"/>
              <w:rPr>
                <w:rFonts w:hint="eastAsia" w:ascii="宋体" w:hAnsi="宋体" w:eastAsia="宋体" w:cs="宋体"/>
                <w:szCs w:val="21"/>
                <w:highlight w:val="none"/>
              </w:rPr>
            </w:pPr>
          </w:p>
        </w:tc>
        <w:tc>
          <w:tcPr>
            <w:tcW w:w="1660" w:type="dxa"/>
            <w:noWrap w:val="0"/>
            <w:vAlign w:val="center"/>
          </w:tcPr>
          <w:p>
            <w:pPr>
              <w:pStyle w:val="18"/>
              <w:spacing w:before="156" w:beforeLines="50" w:line="360" w:lineRule="auto"/>
              <w:jc w:val="center"/>
              <w:rPr>
                <w:rFonts w:hint="eastAsia" w:ascii="宋体" w:hAnsi="宋体" w:eastAsia="宋体" w:cs="宋体"/>
                <w:szCs w:val="21"/>
                <w:highlight w:val="none"/>
              </w:rPr>
            </w:pPr>
          </w:p>
        </w:tc>
      </w:tr>
    </w:tbl>
    <w:p>
      <w:pPr>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注：1、投标人应根据投标产品的性能指标、对照招标文件要求在“偏离情况”栏注明“正偏离”、“负偏离”或“无偏离”。</w:t>
      </w:r>
    </w:p>
    <w:p>
      <w:pPr>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2、表格不够填写可添加。如本表格不适合投标人的实际情况，可自行制表填写。</w:t>
      </w:r>
    </w:p>
    <w:p>
      <w:pPr>
        <w:pStyle w:val="12"/>
        <w:rPr>
          <w:rFonts w:hint="eastAsia" w:ascii="宋体" w:hAnsi="宋体" w:eastAsia="宋体" w:cs="宋体"/>
          <w:sz w:val="21"/>
          <w:szCs w:val="21"/>
          <w:highlight w:val="none"/>
        </w:rPr>
      </w:pPr>
    </w:p>
    <w:p>
      <w:pPr>
        <w:pStyle w:val="12"/>
        <w:rPr>
          <w:rFonts w:hint="eastAsia" w:ascii="宋体" w:hAnsi="宋体" w:eastAsia="宋体" w:cs="宋体"/>
          <w:sz w:val="21"/>
          <w:szCs w:val="21"/>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投标人（盖单位公章）：</w:t>
      </w:r>
      <w:r>
        <w:rPr>
          <w:rFonts w:hint="eastAsia" w:ascii="宋体" w:hAnsi="宋体" w:eastAsia="宋体" w:cs="宋体"/>
          <w:spacing w:val="20"/>
          <w:sz w:val="24"/>
          <w:highlight w:val="none"/>
          <w:u w:val="single"/>
        </w:rPr>
        <w:t xml:space="preserve">        </w:t>
      </w:r>
    </w:p>
    <w:p>
      <w:pPr>
        <w:widowControl/>
        <w:adjustRightInd w:val="0"/>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法定代表人或其授权代表（签字或盖章）：</w:t>
      </w:r>
      <w:r>
        <w:rPr>
          <w:rFonts w:hint="eastAsia" w:ascii="宋体" w:hAnsi="宋体" w:eastAsia="宋体" w:cs="宋体"/>
          <w:spacing w:val="20"/>
          <w:sz w:val="24"/>
          <w:highlight w:val="none"/>
          <w:u w:val="singl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日期： 年  月  日 </w:t>
      </w:r>
    </w:p>
    <w:p>
      <w:pPr>
        <w:snapToGrid w:val="0"/>
        <w:spacing w:line="360" w:lineRule="auto"/>
        <w:jc w:val="left"/>
        <w:rPr>
          <w:rFonts w:hint="eastAsia" w:ascii="宋体" w:hAnsi="宋体" w:eastAsia="宋体" w:cs="宋体"/>
          <w:b/>
          <w:bCs/>
          <w:sz w:val="24"/>
          <w:highlight w:val="none"/>
        </w:rPr>
        <w:sectPr>
          <w:pgSz w:w="11906" w:h="16838"/>
          <w:pgMar w:top="1304" w:right="1361" w:bottom="1417" w:left="1361"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sz w:val="24"/>
          <w:highlight w:val="none"/>
        </w:rPr>
        <w:br w:type="page"/>
      </w:r>
    </w:p>
    <w:p>
      <w:pPr>
        <w:pStyle w:val="87"/>
        <w:spacing w:line="360" w:lineRule="auto"/>
        <w:rPr>
          <w:rFonts w:hint="eastAsia" w:ascii="宋体" w:hAnsi="宋体" w:eastAsia="宋体" w:cs="宋体"/>
          <w:b/>
          <w:sz w:val="24"/>
          <w:szCs w:val="24"/>
          <w:highlight w:val="none"/>
        </w:rPr>
      </w:pPr>
      <w:r>
        <w:rPr>
          <w:rFonts w:hint="eastAsia" w:hAnsi="宋体" w:eastAsia="宋体" w:cs="宋体"/>
          <w:b/>
          <w:bCs/>
          <w:sz w:val="24"/>
          <w:highlight w:val="none"/>
          <w:lang w:val="en-US" w:eastAsia="zh-CN"/>
        </w:rPr>
        <w:t>9</w:t>
      </w:r>
      <w:r>
        <w:rPr>
          <w:rFonts w:hint="eastAsia" w:ascii="宋体" w:hAnsi="宋体" w:eastAsia="宋体" w:cs="宋体"/>
          <w:b/>
          <w:bCs/>
          <w:sz w:val="24"/>
          <w:highlight w:val="none"/>
        </w:rPr>
        <w:t>、</w:t>
      </w:r>
      <w:r>
        <w:rPr>
          <w:rFonts w:hint="eastAsia" w:ascii="宋体" w:hAnsi="宋体" w:eastAsia="宋体" w:cs="宋体"/>
          <w:b/>
          <w:sz w:val="24"/>
          <w:szCs w:val="24"/>
          <w:highlight w:val="none"/>
        </w:rPr>
        <w:t>商务响应表</w:t>
      </w:r>
    </w:p>
    <w:p>
      <w:pPr>
        <w:pStyle w:val="87"/>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商务响应表</w:t>
      </w:r>
    </w:p>
    <w:p>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单位名称（盖章）：</w:t>
      </w:r>
    </w:p>
    <w:tbl>
      <w:tblPr>
        <w:tblStyle w:val="34"/>
        <w:tblW w:w="8493" w:type="dxa"/>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086" w:type="dxa"/>
            <w:noWrap w:val="0"/>
            <w:vAlign w:val="top"/>
          </w:tcPr>
          <w:p>
            <w:pPr>
              <w:spacing w:before="240" w:after="240"/>
              <w:jc w:val="center"/>
              <w:rPr>
                <w:rFonts w:hint="eastAsia" w:ascii="宋体" w:hAnsi="宋体" w:eastAsia="宋体" w:cs="宋体"/>
                <w:szCs w:val="21"/>
                <w:highlight w:val="none"/>
              </w:rPr>
            </w:pPr>
            <w:r>
              <w:rPr>
                <w:rFonts w:hint="eastAsia" w:ascii="宋体" w:hAnsi="宋体" w:eastAsia="宋体" w:cs="宋体"/>
                <w:szCs w:val="21"/>
                <w:highlight w:val="none"/>
              </w:rPr>
              <w:t>招标文件的规定</w:t>
            </w:r>
          </w:p>
        </w:tc>
        <w:tc>
          <w:tcPr>
            <w:tcW w:w="3086" w:type="dxa"/>
            <w:noWrap w:val="0"/>
            <w:vAlign w:val="top"/>
          </w:tcPr>
          <w:p>
            <w:pPr>
              <w:spacing w:before="240" w:after="240"/>
              <w:jc w:val="center"/>
              <w:rPr>
                <w:rFonts w:hint="eastAsia" w:ascii="宋体" w:hAnsi="宋体" w:eastAsia="宋体" w:cs="宋体"/>
                <w:szCs w:val="21"/>
                <w:highlight w:val="none"/>
              </w:rPr>
            </w:pPr>
            <w:r>
              <w:rPr>
                <w:rFonts w:hint="eastAsia" w:ascii="宋体" w:hAnsi="宋体" w:eastAsia="宋体" w:cs="宋体"/>
                <w:szCs w:val="21"/>
                <w:highlight w:val="none"/>
              </w:rPr>
              <w:t>投标文件的相应</w:t>
            </w:r>
          </w:p>
        </w:tc>
        <w:tc>
          <w:tcPr>
            <w:tcW w:w="1411" w:type="dxa"/>
            <w:noWrap w:val="0"/>
            <w:vAlign w:val="top"/>
          </w:tcPr>
          <w:p>
            <w:pPr>
              <w:spacing w:before="240" w:after="240"/>
              <w:jc w:val="center"/>
              <w:rPr>
                <w:rFonts w:hint="eastAsia" w:ascii="宋体" w:hAnsi="宋体" w:eastAsia="宋体" w:cs="宋体"/>
                <w:szCs w:val="21"/>
                <w:highlight w:val="none"/>
              </w:rPr>
            </w:pPr>
            <w:r>
              <w:rPr>
                <w:rFonts w:hint="eastAsia" w:ascii="宋体" w:hAnsi="宋体" w:eastAsia="宋体" w:cs="宋体"/>
                <w:szCs w:val="21"/>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3086" w:type="dxa"/>
            <w:noWrap w:val="0"/>
            <w:vAlign w:val="top"/>
          </w:tcPr>
          <w:p>
            <w:pPr>
              <w:spacing w:before="240" w:after="240"/>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lang w:eastAsia="zh-CN"/>
              </w:rPr>
              <w:t>期限</w:t>
            </w:r>
          </w:p>
        </w:tc>
        <w:tc>
          <w:tcPr>
            <w:tcW w:w="3086" w:type="dxa"/>
            <w:noWrap w:val="0"/>
            <w:vAlign w:val="top"/>
          </w:tcPr>
          <w:p>
            <w:pPr>
              <w:spacing w:before="240" w:after="240"/>
              <w:rPr>
                <w:rFonts w:hint="eastAsia" w:ascii="宋体" w:hAnsi="宋体" w:eastAsia="宋体" w:cs="宋体"/>
                <w:szCs w:val="21"/>
                <w:highlight w:val="none"/>
              </w:rPr>
            </w:pPr>
          </w:p>
        </w:tc>
        <w:tc>
          <w:tcPr>
            <w:tcW w:w="1411" w:type="dxa"/>
            <w:noWrap w:val="0"/>
            <w:vAlign w:val="top"/>
          </w:tcPr>
          <w:p>
            <w:pPr>
              <w:spacing w:before="240" w:after="240"/>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rPr>
                <w:rFonts w:hint="eastAsia" w:ascii="宋体" w:hAnsi="宋体" w:eastAsia="宋体" w:cs="宋体"/>
                <w:szCs w:val="21"/>
                <w:highlight w:val="none"/>
              </w:rPr>
            </w:pPr>
            <w:r>
              <w:rPr>
                <w:rFonts w:hint="eastAsia" w:ascii="宋体" w:hAnsi="宋体" w:eastAsia="宋体" w:cs="宋体"/>
                <w:szCs w:val="21"/>
                <w:highlight w:val="none"/>
              </w:rPr>
              <w:t xml:space="preserve">   2</w:t>
            </w:r>
          </w:p>
        </w:tc>
        <w:tc>
          <w:tcPr>
            <w:tcW w:w="3086" w:type="dxa"/>
            <w:noWrap w:val="0"/>
            <w:vAlign w:val="top"/>
          </w:tcPr>
          <w:p>
            <w:pPr>
              <w:spacing w:before="240" w:after="240"/>
              <w:jc w:val="center"/>
              <w:rPr>
                <w:rFonts w:hint="eastAsia" w:ascii="宋体" w:hAnsi="宋体" w:eastAsia="宋体" w:cs="宋体"/>
                <w:szCs w:val="21"/>
                <w:highlight w:val="none"/>
              </w:rPr>
            </w:pPr>
            <w:r>
              <w:rPr>
                <w:rFonts w:hint="eastAsia" w:ascii="宋体" w:hAnsi="宋体" w:eastAsia="宋体" w:cs="宋体"/>
                <w:szCs w:val="21"/>
                <w:highlight w:val="none"/>
              </w:rPr>
              <w:t>付款条件</w:t>
            </w:r>
          </w:p>
        </w:tc>
        <w:tc>
          <w:tcPr>
            <w:tcW w:w="3086" w:type="dxa"/>
            <w:noWrap w:val="0"/>
            <w:vAlign w:val="top"/>
          </w:tcPr>
          <w:p>
            <w:pPr>
              <w:spacing w:before="240" w:after="240"/>
              <w:rPr>
                <w:rFonts w:hint="eastAsia" w:ascii="宋体" w:hAnsi="宋体" w:eastAsia="宋体" w:cs="宋体"/>
                <w:szCs w:val="21"/>
                <w:highlight w:val="none"/>
              </w:rPr>
            </w:pPr>
          </w:p>
        </w:tc>
        <w:tc>
          <w:tcPr>
            <w:tcW w:w="1411" w:type="dxa"/>
            <w:noWrap w:val="0"/>
            <w:vAlign w:val="top"/>
          </w:tcPr>
          <w:p>
            <w:pPr>
              <w:spacing w:before="240" w:after="240"/>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rPr>
                <w:rFonts w:hint="eastAsia" w:ascii="宋体" w:hAnsi="宋体" w:eastAsia="宋体" w:cs="宋体"/>
                <w:szCs w:val="21"/>
                <w:highlight w:val="none"/>
              </w:rPr>
            </w:pPr>
          </w:p>
        </w:tc>
        <w:tc>
          <w:tcPr>
            <w:tcW w:w="3086" w:type="dxa"/>
            <w:noWrap w:val="0"/>
            <w:vAlign w:val="top"/>
          </w:tcPr>
          <w:p>
            <w:pPr>
              <w:spacing w:before="240" w:after="240"/>
              <w:rPr>
                <w:rFonts w:hint="eastAsia" w:ascii="宋体" w:hAnsi="宋体" w:eastAsia="宋体" w:cs="宋体"/>
                <w:szCs w:val="21"/>
                <w:highlight w:val="none"/>
              </w:rPr>
            </w:pPr>
          </w:p>
        </w:tc>
        <w:tc>
          <w:tcPr>
            <w:tcW w:w="3086" w:type="dxa"/>
            <w:noWrap w:val="0"/>
            <w:vAlign w:val="top"/>
          </w:tcPr>
          <w:p>
            <w:pPr>
              <w:spacing w:before="240" w:after="240"/>
              <w:rPr>
                <w:rFonts w:hint="eastAsia" w:ascii="宋体" w:hAnsi="宋体" w:eastAsia="宋体" w:cs="宋体"/>
                <w:szCs w:val="21"/>
                <w:highlight w:val="none"/>
              </w:rPr>
            </w:pPr>
          </w:p>
        </w:tc>
        <w:tc>
          <w:tcPr>
            <w:tcW w:w="1411" w:type="dxa"/>
            <w:noWrap w:val="0"/>
            <w:vAlign w:val="top"/>
          </w:tcPr>
          <w:p>
            <w:pPr>
              <w:spacing w:before="240" w:after="240"/>
              <w:rPr>
                <w:rFonts w:hint="eastAsia" w:ascii="宋体" w:hAnsi="宋体" w:eastAsia="宋体" w:cs="宋体"/>
                <w:szCs w:val="21"/>
                <w:highlight w:val="none"/>
              </w:rPr>
            </w:pPr>
          </w:p>
        </w:tc>
      </w:tr>
    </w:tbl>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注：投标人的投标文件（除技术规格部分）与招标文件之规定存在偏离的，应在此表中如实说明。未在上表中说明的，将被认为完全响应招标文件的规定。</w:t>
      </w:r>
    </w:p>
    <w:p>
      <w:pPr>
        <w:pStyle w:val="7"/>
        <w:spacing w:line="360" w:lineRule="auto"/>
        <w:ind w:firstLine="4830" w:firstLineChars="2300"/>
        <w:rPr>
          <w:rFonts w:hint="eastAsia" w:ascii="宋体" w:hAnsi="宋体" w:eastAsia="宋体" w:cs="宋体"/>
          <w:sz w:val="21"/>
          <w:szCs w:val="21"/>
          <w:highlight w:val="none"/>
        </w:rPr>
      </w:pPr>
    </w:p>
    <w:p>
      <w:pPr>
        <w:pStyle w:val="7"/>
        <w:spacing w:line="360" w:lineRule="auto"/>
        <w:ind w:firstLine="4830" w:firstLineChars="2300"/>
        <w:rPr>
          <w:rFonts w:hint="eastAsia" w:ascii="宋体" w:hAnsi="宋体" w:eastAsia="宋体" w:cs="宋体"/>
          <w:sz w:val="21"/>
          <w:szCs w:val="21"/>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投标人（盖单位公章）：</w:t>
      </w:r>
      <w:r>
        <w:rPr>
          <w:rFonts w:hint="eastAsia" w:ascii="宋体" w:hAnsi="宋体" w:eastAsia="宋体" w:cs="宋体"/>
          <w:spacing w:val="20"/>
          <w:sz w:val="24"/>
          <w:highlight w:val="none"/>
          <w:u w:val="single"/>
        </w:rPr>
        <w:t xml:space="preserve">        </w:t>
      </w:r>
    </w:p>
    <w:p>
      <w:pPr>
        <w:widowControl/>
        <w:adjustRightInd w:val="0"/>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法定代表人或其授权代表（签字或盖章）：</w:t>
      </w:r>
      <w:r>
        <w:rPr>
          <w:rFonts w:hint="eastAsia" w:ascii="宋体" w:hAnsi="宋体" w:eastAsia="宋体" w:cs="宋体"/>
          <w:spacing w:val="20"/>
          <w:sz w:val="24"/>
          <w:highlight w:val="none"/>
          <w:u w:val="singl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日期： 年  月  日 </w:t>
      </w:r>
    </w:p>
    <w:p>
      <w:pPr>
        <w:snapToGrid w:val="0"/>
        <w:spacing w:line="360" w:lineRule="auto"/>
        <w:jc w:val="left"/>
        <w:rPr>
          <w:rFonts w:hint="eastAsia" w:ascii="宋体" w:hAnsi="宋体" w:eastAsia="宋体" w:cs="宋体"/>
          <w:b/>
          <w:bCs/>
          <w:sz w:val="24"/>
          <w:highlight w:val="none"/>
        </w:rPr>
        <w:sectPr>
          <w:headerReference r:id="rId6" w:type="default"/>
          <w:footerReference r:id="rId7" w:type="default"/>
          <w:pgSz w:w="11906" w:h="16838"/>
          <w:pgMar w:top="1304" w:right="1361" w:bottom="1417" w:left="1361"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left"/>
        <w:rPr>
          <w:rFonts w:hint="eastAsia" w:ascii="宋体" w:hAnsi="宋体" w:eastAsia="宋体" w:cs="宋体"/>
          <w:sz w:val="24"/>
          <w:highlight w:val="none"/>
        </w:rPr>
      </w:pPr>
      <w:r>
        <w:rPr>
          <w:rFonts w:hint="eastAsia" w:ascii="宋体" w:hAnsi="宋体" w:eastAsia="宋体" w:cs="宋体"/>
          <w:b/>
          <w:bCs/>
          <w:sz w:val="24"/>
          <w:highlight w:val="none"/>
          <w:lang w:val="en-US" w:eastAsia="zh-CN"/>
        </w:rPr>
        <w:t>8</w:t>
      </w:r>
      <w:r>
        <w:rPr>
          <w:rFonts w:hint="eastAsia" w:ascii="宋体" w:hAnsi="宋体" w:eastAsia="宋体" w:cs="宋体"/>
          <w:b/>
          <w:bCs/>
          <w:sz w:val="24"/>
          <w:highlight w:val="none"/>
        </w:rPr>
        <w:t>、具有履行合同所必需的专业服务（技术）能力的承诺函格式：</w:t>
      </w:r>
    </w:p>
    <w:p>
      <w:pPr>
        <w:adjustRightInd w:val="0"/>
        <w:snapToGrid w:val="0"/>
        <w:spacing w:line="360" w:lineRule="auto"/>
        <w:rPr>
          <w:rFonts w:hint="eastAsia" w:ascii="宋体" w:hAnsi="宋体" w:eastAsia="宋体" w:cs="宋体"/>
          <w:b/>
          <w:bCs/>
          <w:sz w:val="24"/>
          <w:highlight w:val="none"/>
        </w:rPr>
      </w:pPr>
    </w:p>
    <w:p>
      <w:pPr>
        <w:jc w:val="center"/>
        <w:rPr>
          <w:rFonts w:hint="eastAsia" w:ascii="宋体" w:hAnsi="宋体" w:eastAsia="宋体" w:cs="宋体"/>
          <w:b/>
          <w:sz w:val="32"/>
          <w:highlight w:val="none"/>
        </w:rPr>
      </w:pPr>
      <w:bookmarkStart w:id="95" w:name="_Toc21481"/>
      <w:r>
        <w:rPr>
          <w:rFonts w:hint="eastAsia" w:ascii="宋体" w:hAnsi="宋体" w:eastAsia="宋体" w:cs="宋体"/>
          <w:b/>
          <w:sz w:val="32"/>
          <w:highlight w:val="none"/>
        </w:rPr>
        <w:t>具有履行合同所必需的专业服务（技术）能力的承诺函</w:t>
      </w:r>
      <w:bookmarkEnd w:id="95"/>
    </w:p>
    <w:p>
      <w:pPr>
        <w:spacing w:line="360" w:lineRule="auto"/>
        <w:rPr>
          <w:rFonts w:hint="eastAsia" w:ascii="宋体" w:hAnsi="宋体" w:eastAsia="宋体" w:cs="宋体"/>
          <w:highlight w:val="none"/>
        </w:rPr>
      </w:pPr>
    </w:p>
    <w:p>
      <w:pPr>
        <w:widowControl/>
        <w:adjustRightInd w:val="0"/>
        <w:snapToGri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u w:val="single"/>
        </w:rPr>
        <w:t xml:space="preserve">（采购人）                   </w:t>
      </w:r>
      <w:r>
        <w:rPr>
          <w:rFonts w:hint="eastAsia" w:ascii="宋体" w:hAnsi="宋体" w:eastAsia="宋体" w:cs="宋体"/>
          <w:kern w:val="0"/>
          <w:sz w:val="24"/>
          <w:highlight w:val="none"/>
        </w:rPr>
        <w:t>：</w:t>
      </w:r>
    </w:p>
    <w:p>
      <w:pPr>
        <w:widowControl/>
        <w:adjustRightInd w:val="0"/>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我方</w:t>
      </w:r>
      <w:r>
        <w:rPr>
          <w:rFonts w:hint="eastAsia" w:ascii="宋体" w:hAnsi="宋体" w:eastAsia="宋体" w:cs="宋体"/>
          <w:kern w:val="0"/>
          <w:sz w:val="24"/>
          <w:highlight w:val="none"/>
          <w:u w:val="single"/>
        </w:rPr>
        <w:t xml:space="preserve"> （供应商）          </w:t>
      </w:r>
      <w:r>
        <w:rPr>
          <w:rFonts w:hint="eastAsia" w:ascii="宋体" w:hAnsi="宋体" w:eastAsia="宋体" w:cs="宋体"/>
          <w:kern w:val="0"/>
          <w:sz w:val="24"/>
          <w:highlight w:val="none"/>
        </w:rPr>
        <w:t>承诺具有履行合同所必需的专业服务（技术）能力。如有虚假，采购人可取消我方任何资格（投标/中标/签订合同），我方对此无任何异议。</w:t>
      </w:r>
    </w:p>
    <w:p>
      <w:pPr>
        <w:widowControl/>
        <w:adjustRightInd w:val="0"/>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特此承诺！</w:t>
      </w:r>
    </w:p>
    <w:p>
      <w:pPr>
        <w:widowControl/>
        <w:adjustRightInd w:val="0"/>
        <w:snapToGrid w:val="0"/>
        <w:spacing w:line="360" w:lineRule="auto"/>
        <w:ind w:firstLine="480" w:firstLineChars="200"/>
        <w:jc w:val="left"/>
        <w:rPr>
          <w:rFonts w:hint="eastAsia" w:ascii="宋体" w:hAnsi="宋体" w:eastAsia="宋体" w:cs="宋体"/>
          <w:kern w:val="0"/>
          <w:sz w:val="24"/>
          <w:highlight w:val="none"/>
        </w:rPr>
      </w:pPr>
    </w:p>
    <w:p>
      <w:pPr>
        <w:pStyle w:val="3"/>
        <w:rPr>
          <w:rFonts w:hint="eastAsia" w:ascii="宋体" w:hAnsi="宋体" w:eastAsia="宋体" w:cs="宋体"/>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投标人（盖单位公章）：</w:t>
      </w:r>
      <w:r>
        <w:rPr>
          <w:rFonts w:hint="eastAsia" w:ascii="宋体" w:hAnsi="宋体" w:eastAsia="宋体" w:cs="宋体"/>
          <w:spacing w:val="20"/>
          <w:sz w:val="24"/>
          <w:highlight w:val="none"/>
          <w:u w:val="single"/>
        </w:rPr>
        <w:t xml:space="preserve">        </w:t>
      </w:r>
    </w:p>
    <w:p>
      <w:pPr>
        <w:widowControl/>
        <w:adjustRightInd w:val="0"/>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法定代表人或其授权代表（签字或盖章）：</w:t>
      </w:r>
      <w:r>
        <w:rPr>
          <w:rFonts w:hint="eastAsia" w:ascii="宋体" w:hAnsi="宋体" w:eastAsia="宋体" w:cs="宋体"/>
          <w:spacing w:val="20"/>
          <w:sz w:val="24"/>
          <w:highlight w:val="none"/>
          <w:u w:val="singl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日期： 年  月  日 </w:t>
      </w:r>
    </w:p>
    <w:p>
      <w:pPr>
        <w:spacing w:line="460" w:lineRule="atLeast"/>
        <w:rPr>
          <w:rFonts w:hint="eastAsia" w:ascii="宋体" w:hAnsi="宋体" w:eastAsia="宋体" w:cs="宋体"/>
          <w:b/>
          <w:sz w:val="24"/>
          <w:highlight w:val="none"/>
        </w:rPr>
      </w:pPr>
      <w:r>
        <w:rPr>
          <w:rFonts w:hint="eastAsia" w:ascii="宋体" w:hAnsi="宋体" w:eastAsia="宋体" w:cs="宋体"/>
          <w:b/>
          <w:bCs/>
          <w:sz w:val="24"/>
          <w:highlight w:val="none"/>
        </w:rPr>
        <w:br w:type="page"/>
      </w:r>
      <w:bookmarkStart w:id="96" w:name="OLE_LINK20"/>
    </w:p>
    <w:bookmarkEnd w:id="96"/>
    <w:p>
      <w:pPr>
        <w:pStyle w:val="3"/>
        <w:rPr>
          <w:rFonts w:hint="eastAsia" w:ascii="宋体" w:hAnsi="宋体" w:eastAsia="宋体" w:cs="宋体"/>
          <w:highlight w:val="none"/>
        </w:rPr>
      </w:pPr>
    </w:p>
    <w:p>
      <w:pPr>
        <w:pStyle w:val="18"/>
        <w:snapToGrid w:val="0"/>
        <w:spacing w:before="31" w:beforeLines="10" w:after="31" w:afterLines="10" w:line="360" w:lineRule="auto"/>
        <w:rPr>
          <w:rFonts w:hint="eastAsia" w:ascii="宋体" w:hAnsi="宋体" w:eastAsia="宋体" w:cs="宋体"/>
          <w:sz w:val="24"/>
          <w:highlight w:val="none"/>
        </w:rPr>
      </w:pPr>
      <w:r>
        <w:rPr>
          <w:rFonts w:hint="eastAsia" w:hAnsi="宋体" w:cs="宋体"/>
          <w:b/>
          <w:sz w:val="24"/>
          <w:highlight w:val="none"/>
          <w:lang w:val="en-US" w:eastAsia="zh-CN"/>
        </w:rPr>
        <w:t>9</w:t>
      </w:r>
      <w:r>
        <w:rPr>
          <w:rFonts w:hint="eastAsia" w:ascii="宋体" w:hAnsi="宋体" w:eastAsia="宋体" w:cs="宋体"/>
          <w:b/>
          <w:sz w:val="24"/>
          <w:highlight w:val="none"/>
        </w:rPr>
        <w:t>、投标人需要说明的其他内容。（未尽事宜可按评分细则部分制作）</w:t>
      </w:r>
    </w:p>
    <w:p>
      <w:pPr>
        <w:spacing w:line="460" w:lineRule="atLeast"/>
        <w:rPr>
          <w:rFonts w:hint="eastAsia" w:ascii="宋体" w:hAnsi="宋体" w:eastAsia="宋体" w:cs="宋体"/>
          <w:highlight w:val="none"/>
        </w:rPr>
      </w:pPr>
    </w:p>
    <w:p>
      <w:pPr>
        <w:pStyle w:val="18"/>
        <w:snapToGrid w:val="0"/>
        <w:spacing w:before="31" w:beforeLines="10" w:after="31" w:afterLines="10" w:line="360" w:lineRule="auto"/>
        <w:rPr>
          <w:rFonts w:hint="eastAsia" w:ascii="宋体" w:hAnsi="宋体" w:eastAsia="宋体" w:cs="宋体"/>
          <w:sz w:val="24"/>
          <w:highlight w:val="none"/>
        </w:rPr>
      </w:pPr>
    </w:p>
    <w:p>
      <w:pPr>
        <w:spacing w:line="460" w:lineRule="atLeast"/>
        <w:rPr>
          <w:rFonts w:hint="eastAsia" w:ascii="宋体" w:hAnsi="宋体" w:eastAsia="宋体" w:cs="宋体"/>
          <w:highlight w:val="none"/>
        </w:rPr>
      </w:pPr>
    </w:p>
    <w:p>
      <w:pPr>
        <w:spacing w:line="460" w:lineRule="atLeast"/>
        <w:jc w:val="center"/>
        <w:rPr>
          <w:rFonts w:hint="eastAsia" w:ascii="宋体" w:hAnsi="宋体" w:eastAsia="宋体" w:cs="宋体"/>
          <w:sz w:val="24"/>
          <w:highlight w:val="none"/>
        </w:rPr>
      </w:pPr>
      <w:r>
        <w:rPr>
          <w:rFonts w:hint="eastAsia" w:ascii="宋体" w:hAnsi="宋体" w:eastAsia="宋体" w:cs="宋体"/>
          <w:highlight w:val="none"/>
        </w:rPr>
        <w:br w:type="page"/>
      </w:r>
      <w:r>
        <w:rPr>
          <w:rFonts w:hint="eastAsia" w:ascii="宋体" w:hAnsi="宋体" w:eastAsia="宋体" w:cs="宋体"/>
          <w:b/>
          <w:sz w:val="24"/>
          <w:highlight w:val="none"/>
        </w:rPr>
        <w:t>三、报价文件格式</w:t>
      </w:r>
    </w:p>
    <w:p>
      <w:pPr>
        <w:snapToGrid w:val="0"/>
        <w:spacing w:before="156" w:beforeLines="50" w:after="50"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·报价文件封面格式： </w:t>
      </w:r>
    </w:p>
    <w:p>
      <w:pPr>
        <w:snapToGrid w:val="0"/>
        <w:spacing w:before="156" w:beforeLines="50" w:after="50" w:line="440" w:lineRule="exact"/>
        <w:rPr>
          <w:rFonts w:hint="eastAsia" w:ascii="宋体" w:hAnsi="宋体" w:eastAsia="宋体" w:cs="宋体"/>
          <w:b/>
          <w:bCs/>
          <w:sz w:val="32"/>
          <w:highlight w:val="none"/>
        </w:rPr>
      </w:pPr>
      <w:r>
        <w:rPr>
          <w:rFonts w:hint="eastAsia" w:ascii="宋体" w:hAnsi="宋体" w:eastAsia="宋体" w:cs="宋体"/>
          <w:sz w:val="24"/>
          <w:highlight w:val="none"/>
        </w:rPr>
        <w:t xml:space="preserve">                                             </w:t>
      </w:r>
    </w:p>
    <w:p>
      <w:pPr>
        <w:snapToGrid w:val="0"/>
        <w:spacing w:before="156" w:beforeLines="50" w:after="50" w:line="440" w:lineRule="exact"/>
        <w:rPr>
          <w:rFonts w:hint="eastAsia" w:ascii="宋体" w:hAnsi="宋体" w:eastAsia="宋体" w:cs="宋体"/>
          <w:bCs/>
          <w:sz w:val="24"/>
          <w:highlight w:val="none"/>
        </w:rPr>
      </w:pPr>
    </w:p>
    <w:p>
      <w:pPr>
        <w:snapToGrid w:val="0"/>
        <w:spacing w:before="156" w:beforeLines="50" w:after="50" w:line="44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报 价 文 件</w:t>
      </w:r>
    </w:p>
    <w:p>
      <w:pPr>
        <w:snapToGrid w:val="0"/>
        <w:spacing w:before="156" w:beforeLines="50" w:after="50" w:line="440" w:lineRule="exact"/>
        <w:ind w:firstLine="1068" w:firstLineChars="445"/>
        <w:rPr>
          <w:rFonts w:hint="eastAsia" w:ascii="宋体" w:hAnsi="宋体" w:eastAsia="宋体" w:cs="宋体"/>
          <w:bCs/>
          <w:sz w:val="24"/>
          <w:highlight w:val="none"/>
        </w:rPr>
      </w:pPr>
      <w:r>
        <w:rPr>
          <w:rFonts w:hint="eastAsia" w:ascii="宋体" w:hAnsi="宋体" w:eastAsia="宋体" w:cs="宋体"/>
          <w:bCs/>
          <w:sz w:val="24"/>
          <w:highlight w:val="none"/>
        </w:rPr>
        <w:t>项目名称：</w:t>
      </w:r>
      <w:r>
        <w:rPr>
          <w:rFonts w:hint="eastAsia" w:ascii="宋体" w:hAnsi="宋体" w:eastAsia="宋体" w:cs="宋体"/>
          <w:bCs/>
          <w:sz w:val="24"/>
          <w:highlight w:val="none"/>
          <w:lang w:eastAsia="zh-CN"/>
        </w:rPr>
        <w:t>塘汇街道2023年河道保洁及养护项目</w:t>
      </w:r>
    </w:p>
    <w:p>
      <w:pPr>
        <w:snapToGrid w:val="0"/>
        <w:spacing w:before="156" w:beforeLines="50" w:after="50" w:line="44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 xml:space="preserve">     项目编号：</w:t>
      </w:r>
    </w:p>
    <w:p>
      <w:pPr>
        <w:snapToGrid w:val="0"/>
        <w:spacing w:before="156" w:beforeLines="50" w:after="50" w:line="44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 xml:space="preserve">    投标人名称：</w:t>
      </w:r>
    </w:p>
    <w:p>
      <w:pPr>
        <w:pStyle w:val="7"/>
        <w:spacing w:before="50" w:after="50" w:line="440" w:lineRule="exact"/>
        <w:ind w:firstLine="998" w:firstLineChars="416"/>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投标人地址：</w:t>
      </w:r>
    </w:p>
    <w:p>
      <w:pPr>
        <w:snapToGrid w:val="0"/>
        <w:spacing w:before="156" w:beforeLines="50" w:after="50" w:line="440" w:lineRule="exact"/>
        <w:rPr>
          <w:rFonts w:hint="eastAsia" w:ascii="宋体" w:hAnsi="宋体" w:eastAsia="宋体" w:cs="宋体"/>
          <w:sz w:val="24"/>
          <w:highlight w:val="none"/>
        </w:rPr>
      </w:pPr>
    </w:p>
    <w:p>
      <w:pPr>
        <w:snapToGrid w:val="0"/>
        <w:spacing w:before="156" w:beforeLines="50" w:after="50"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pPr>
        <w:snapToGrid w:val="0"/>
        <w:spacing w:before="156" w:beforeLines="50" w:after="50" w:line="440" w:lineRule="exact"/>
        <w:rPr>
          <w:rFonts w:hint="eastAsia" w:ascii="宋体" w:hAnsi="宋体" w:eastAsia="宋体" w:cs="宋体"/>
          <w:b/>
          <w:sz w:val="32"/>
          <w:szCs w:val="32"/>
          <w:highlight w:val="none"/>
        </w:rPr>
      </w:pPr>
      <w:r>
        <w:rPr>
          <w:rFonts w:hint="eastAsia" w:ascii="宋体" w:hAnsi="宋体" w:eastAsia="宋体" w:cs="宋体"/>
          <w:sz w:val="24"/>
          <w:highlight w:val="none"/>
        </w:rPr>
        <w:br w:type="page"/>
      </w:r>
      <w:r>
        <w:rPr>
          <w:rFonts w:hint="eastAsia" w:ascii="宋体" w:hAnsi="宋体" w:eastAsia="宋体" w:cs="宋体"/>
          <w:b/>
          <w:bCs/>
          <w:sz w:val="24"/>
          <w:highlight w:val="none"/>
        </w:rPr>
        <w:t>1、投标函格式：</w:t>
      </w:r>
    </w:p>
    <w:p>
      <w:pPr>
        <w:pStyle w:val="18"/>
        <w:adjustRightInd w:val="0"/>
        <w:snapToGrid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投 标 函</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（采购单位名称）：</w:t>
      </w:r>
    </w:p>
    <w:p>
      <w:pPr>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根据贵方为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项目的招标公告（项目编号：</w:t>
      </w:r>
      <w:r>
        <w:rPr>
          <w:rFonts w:hint="eastAsia" w:ascii="宋体" w:hAnsi="宋体" w:eastAsia="宋体" w:cs="宋体"/>
          <w:sz w:val="24"/>
          <w:highlight w:val="none"/>
          <w:u w:val="single"/>
          <w:lang w:eastAsia="zh-CN"/>
        </w:rPr>
        <w:t>ZJZM-2022-75</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，签字代表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（全名）经正式授权并代表投标人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（投标人名称）提交了电子投标文件。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据此函，签字代表宣布同意如下：</w:t>
      </w:r>
    </w:p>
    <w:p>
      <w:pPr>
        <w:pStyle w:val="16"/>
        <w:spacing w:line="360" w:lineRule="auto"/>
        <w:ind w:right="-91" w:firstLine="460" w:firstLineChars="192"/>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1、我方已详细审查了采购文件的全部内容及其相关补充文件</w:t>
      </w:r>
      <w:r>
        <w:rPr>
          <w:rFonts w:hint="eastAsia" w:ascii="宋体" w:hAnsi="宋体" w:eastAsia="宋体" w:cs="宋体"/>
          <w:b/>
          <w:color w:val="000000"/>
          <w:sz w:val="24"/>
          <w:highlight w:val="none"/>
        </w:rPr>
        <w:t>（若有）</w:t>
      </w:r>
      <w:r>
        <w:rPr>
          <w:rFonts w:hint="eastAsia" w:ascii="宋体" w:hAnsi="宋体" w:eastAsia="宋体" w:cs="宋体"/>
          <w:color w:val="000000"/>
          <w:sz w:val="24"/>
          <w:highlight w:val="none"/>
        </w:rPr>
        <w:t>，并完全清晰理解全部内容及相关的补充文件</w:t>
      </w:r>
      <w:r>
        <w:rPr>
          <w:rFonts w:hint="eastAsia" w:ascii="宋体" w:hAnsi="宋体" w:eastAsia="宋体" w:cs="宋体"/>
          <w:b/>
          <w:color w:val="000000"/>
          <w:sz w:val="24"/>
          <w:highlight w:val="none"/>
        </w:rPr>
        <w:t>（若有）</w:t>
      </w:r>
      <w:r>
        <w:rPr>
          <w:rFonts w:hint="eastAsia" w:ascii="宋体" w:hAnsi="宋体" w:eastAsia="宋体" w:cs="宋体"/>
          <w:color w:val="000000"/>
          <w:sz w:val="24"/>
          <w:highlight w:val="none"/>
        </w:rPr>
        <w:t>，不存在任何误解之处，同意放弃提出异议和质疑的权利。</w:t>
      </w:r>
    </w:p>
    <w:p>
      <w:pPr>
        <w:spacing w:line="360" w:lineRule="auto"/>
        <w:ind w:right="-89" w:firstLine="464" w:firstLineChars="200"/>
        <w:jc w:val="left"/>
        <w:rPr>
          <w:rFonts w:hint="eastAsia" w:ascii="宋体" w:hAnsi="宋体" w:eastAsia="宋体" w:cs="宋体"/>
          <w:color w:val="000000"/>
          <w:spacing w:val="-4"/>
          <w:sz w:val="24"/>
          <w:highlight w:val="none"/>
        </w:rPr>
      </w:pPr>
      <w:r>
        <w:rPr>
          <w:rFonts w:hint="eastAsia" w:ascii="宋体" w:hAnsi="宋体" w:eastAsia="宋体" w:cs="宋体"/>
          <w:color w:val="000000"/>
          <w:spacing w:val="-4"/>
          <w:sz w:val="24"/>
          <w:highlight w:val="none"/>
        </w:rPr>
        <w:t>2、我方遵守《中华人民共和国政府采购法》及相关法律法规的规定。同意采购文件中所提到的无效标条款，并服从有关开标现场的会议纪律。否则，同意被废除投标资格。</w:t>
      </w:r>
    </w:p>
    <w:p>
      <w:pPr>
        <w:spacing w:line="360" w:lineRule="auto"/>
        <w:ind w:firstLine="464" w:firstLineChars="200"/>
        <w:rPr>
          <w:rFonts w:hint="eastAsia" w:ascii="宋体" w:hAnsi="宋体" w:eastAsia="宋体" w:cs="宋体"/>
          <w:color w:val="000000"/>
          <w:spacing w:val="-4"/>
          <w:sz w:val="24"/>
          <w:highlight w:val="none"/>
        </w:rPr>
      </w:pPr>
      <w:r>
        <w:rPr>
          <w:rFonts w:hint="eastAsia" w:ascii="宋体" w:hAnsi="宋体" w:eastAsia="宋体" w:cs="宋体"/>
          <w:color w:val="000000"/>
          <w:spacing w:val="-4"/>
          <w:sz w:val="24"/>
          <w:highlight w:val="none"/>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firstLine="464" w:firstLineChars="200"/>
        <w:rPr>
          <w:rFonts w:hint="eastAsia" w:ascii="宋体" w:hAnsi="宋体" w:eastAsia="宋体" w:cs="宋体"/>
          <w:color w:val="000000"/>
          <w:spacing w:val="-4"/>
          <w:sz w:val="24"/>
          <w:highlight w:val="none"/>
        </w:rPr>
      </w:pPr>
      <w:r>
        <w:rPr>
          <w:rFonts w:hint="eastAsia" w:ascii="宋体" w:hAnsi="宋体" w:eastAsia="宋体" w:cs="宋体"/>
          <w:color w:val="000000"/>
          <w:spacing w:val="-4"/>
          <w:sz w:val="24"/>
          <w:highlight w:val="none"/>
        </w:rPr>
        <w:t>4、投标有效期为自开标之日起</w:t>
      </w:r>
      <w:r>
        <w:rPr>
          <w:rFonts w:hint="eastAsia" w:ascii="宋体" w:hAnsi="宋体" w:eastAsia="宋体" w:cs="宋体"/>
          <w:color w:val="000000"/>
          <w:spacing w:val="-4"/>
          <w:sz w:val="24"/>
          <w:highlight w:val="none"/>
          <w:u w:val="single"/>
        </w:rPr>
        <w:t>60</w:t>
      </w:r>
      <w:r>
        <w:rPr>
          <w:rFonts w:hint="eastAsia" w:ascii="宋体" w:hAnsi="宋体" w:eastAsia="宋体" w:cs="宋体"/>
          <w:color w:val="000000"/>
          <w:spacing w:val="-4"/>
          <w:sz w:val="24"/>
          <w:highlight w:val="none"/>
        </w:rPr>
        <w:t>天内，如在投标有效期内撤回投标，我方同意被废除投标资格。</w:t>
      </w:r>
    </w:p>
    <w:p>
      <w:pPr>
        <w:spacing w:line="360" w:lineRule="auto"/>
        <w:ind w:firstLine="464" w:firstLineChars="200"/>
        <w:rPr>
          <w:rFonts w:hint="eastAsia" w:ascii="宋体" w:hAnsi="宋体" w:eastAsia="宋体" w:cs="宋体"/>
          <w:sz w:val="24"/>
          <w:highlight w:val="none"/>
        </w:rPr>
      </w:pPr>
      <w:r>
        <w:rPr>
          <w:rFonts w:hint="eastAsia" w:ascii="宋体" w:hAnsi="宋体" w:eastAsia="宋体" w:cs="宋体"/>
          <w:color w:val="000000"/>
          <w:spacing w:val="-4"/>
          <w:sz w:val="24"/>
          <w:highlight w:val="none"/>
        </w:rPr>
        <w:t>5、</w:t>
      </w:r>
      <w:r>
        <w:rPr>
          <w:rFonts w:hint="eastAsia" w:ascii="宋体" w:hAnsi="宋体" w:eastAsia="宋体" w:cs="宋体"/>
          <w:sz w:val="24"/>
          <w:highlight w:val="none"/>
        </w:rPr>
        <w:t>若我方中标，则直至合同履行完毕为止，本投标文件有效。</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6、与本投标有关的一切正式往来信函请寄：</w:t>
      </w:r>
    </w:p>
    <w:p>
      <w:pPr>
        <w:snapToGrid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邮编：__________   电话：______________</w:t>
      </w:r>
    </w:p>
    <w:p>
      <w:pPr>
        <w:snapToGrid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传真：______________投标人代表姓名：___________  职务：</w:t>
      </w:r>
      <w:r>
        <w:rPr>
          <w:rFonts w:hint="eastAsia" w:ascii="宋体" w:hAnsi="宋体" w:eastAsia="宋体" w:cs="宋体"/>
          <w:sz w:val="24"/>
          <w:highlight w:val="none"/>
          <w:u w:val="single"/>
        </w:rPr>
        <w:t xml:space="preserve">              </w:t>
      </w:r>
    </w:p>
    <w:p>
      <w:pPr>
        <w:snapToGrid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投标人名称(公章):___________________</w:t>
      </w:r>
    </w:p>
    <w:p>
      <w:pPr>
        <w:snapToGrid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开户银行：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银行账号：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adjustRightInd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法定代表人签字或盖章:___________</w:t>
      </w:r>
    </w:p>
    <w:p>
      <w:pPr>
        <w:adjustRightInd w:val="0"/>
        <w:spacing w:line="440" w:lineRule="exact"/>
        <w:rPr>
          <w:rFonts w:hint="eastAsia" w:ascii="宋体" w:hAnsi="宋体" w:eastAsia="宋体" w:cs="宋体"/>
          <w:b/>
          <w:sz w:val="24"/>
          <w:highlight w:val="none"/>
        </w:rPr>
      </w:pPr>
      <w:r>
        <w:rPr>
          <w:rFonts w:hint="eastAsia" w:ascii="宋体" w:hAnsi="宋体" w:eastAsia="宋体" w:cs="宋体"/>
          <w:sz w:val="24"/>
          <w:highlight w:val="none"/>
        </w:rPr>
        <w:t>日期:_____年___月___日</w:t>
      </w:r>
    </w:p>
    <w:p>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rPr>
        <w:t>2、开标一览表格式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开标一览表</w:t>
      </w:r>
    </w:p>
    <w:p>
      <w:pPr>
        <w:spacing w:before="156" w:beforeLines="50" w:line="440" w:lineRule="exact"/>
        <w:rPr>
          <w:rFonts w:hint="eastAsia" w:ascii="宋体" w:hAnsi="宋体" w:eastAsia="宋体" w:cs="宋体"/>
          <w:sz w:val="24"/>
          <w:highlight w:val="none"/>
        </w:rPr>
      </w:pP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ZJZM-2022-75</w:t>
      </w:r>
    </w:p>
    <w:p>
      <w:pPr>
        <w:spacing w:before="156" w:beforeLines="50" w:line="440" w:lineRule="exact"/>
        <w:rPr>
          <w:rFonts w:hint="eastAsia" w:ascii="宋体" w:hAnsi="宋体" w:eastAsia="宋体" w:cs="宋体"/>
          <w:b/>
          <w:sz w:val="24"/>
          <w:highlight w:val="none"/>
          <w:lang w:val="en-US" w:eastAsia="zh-CN"/>
        </w:rPr>
      </w:pPr>
      <w:r>
        <w:rPr>
          <w:rFonts w:hint="eastAsia" w:ascii="宋体" w:hAnsi="宋体" w:eastAsia="宋体" w:cs="宋体"/>
          <w:sz w:val="24"/>
          <w:highlight w:val="none"/>
          <w:lang w:val="en-US" w:eastAsia="zh-CN"/>
        </w:rPr>
        <w:t>单位：元</w:t>
      </w:r>
    </w:p>
    <w:tbl>
      <w:tblPr>
        <w:tblStyle w:val="34"/>
        <w:tblW w:w="9237"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71"/>
        <w:gridCol w:w="7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207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7166" w:type="dxa"/>
            <w:tcBorders>
              <w:top w:val="single" w:color="auto" w:sz="4" w:space="0"/>
              <w:left w:val="single" w:color="auto" w:sz="4" w:space="0"/>
              <w:bottom w:val="single" w:color="auto" w:sz="4" w:space="0"/>
              <w:right w:val="single" w:color="000000" w:sz="4" w:space="0"/>
            </w:tcBorders>
            <w:vAlign w:val="center"/>
          </w:tcPr>
          <w:p>
            <w:pPr>
              <w:adjustRightInd w:val="0"/>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塘汇街道2023年河道保洁及养护项目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9" w:hRule="atLeast"/>
        </w:trPr>
        <w:tc>
          <w:tcPr>
            <w:tcW w:w="2071"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hint="eastAsia" w:ascii="宋体" w:hAnsi="宋体" w:eastAsia="宋体" w:cs="宋体"/>
                <w:kern w:val="0"/>
                <w:sz w:val="24"/>
                <w:highlight w:val="none"/>
              </w:rPr>
            </w:pPr>
            <w:r>
              <w:rPr>
                <w:rFonts w:hint="eastAsia" w:ascii="宋体" w:hAnsi="宋体" w:eastAsia="宋体" w:cs="宋体"/>
                <w:sz w:val="24"/>
                <w:highlight w:val="none"/>
              </w:rPr>
              <w:t>总投标报价</w:t>
            </w:r>
          </w:p>
        </w:tc>
        <w:tc>
          <w:tcPr>
            <w:tcW w:w="7166" w:type="dxa"/>
            <w:tcBorders>
              <w:top w:val="single" w:color="auto" w:sz="4" w:space="0"/>
              <w:left w:val="single" w:color="auto" w:sz="4" w:space="0"/>
              <w:bottom w:val="single" w:color="auto" w:sz="4" w:space="0"/>
              <w:right w:val="single" w:color="000000" w:sz="4" w:space="0"/>
            </w:tcBorders>
            <w:vAlign w:val="center"/>
          </w:tcPr>
          <w:p>
            <w:pPr>
              <w:adjustRightInd w:val="0"/>
              <w:spacing w:line="440" w:lineRule="exact"/>
              <w:ind w:firstLine="240" w:firstLineChars="100"/>
              <w:jc w:val="left"/>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大写（人民币）：</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val="en-US" w:eastAsia="zh-CN"/>
              </w:rPr>
              <w:t>元</w:t>
            </w:r>
          </w:p>
          <w:p>
            <w:pPr>
              <w:adjustRightInd w:val="0"/>
              <w:spacing w:line="440" w:lineRule="exact"/>
              <w:ind w:firstLine="240" w:firstLineChars="100"/>
              <w:jc w:val="left"/>
              <w:rPr>
                <w:rFonts w:hint="default" w:ascii="宋体" w:hAnsi="宋体" w:eastAsia="宋体" w:cs="宋体"/>
                <w:color w:val="000000"/>
                <w:sz w:val="24"/>
                <w:highlight w:val="none"/>
                <w:lang w:val="en-US"/>
              </w:rPr>
            </w:pPr>
            <w:r>
              <w:rPr>
                <w:rFonts w:hint="eastAsia" w:ascii="宋体" w:hAnsi="宋体" w:eastAsia="宋体" w:cs="宋体"/>
                <w:color w:val="000000"/>
                <w:sz w:val="24"/>
                <w:highlight w:val="none"/>
              </w:rPr>
              <w:t xml:space="preserve">小写：￥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cs="宋体"/>
                <w:color w:val="000000"/>
                <w:sz w:val="24"/>
                <w:highlight w:val="none"/>
                <w:u w:val="single"/>
                <w:lang w:val="en-US"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07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备注</w:t>
            </w:r>
          </w:p>
        </w:tc>
        <w:tc>
          <w:tcPr>
            <w:tcW w:w="7166" w:type="dxa"/>
            <w:tcBorders>
              <w:top w:val="single" w:color="auto" w:sz="4" w:space="0"/>
              <w:left w:val="single" w:color="auto" w:sz="4" w:space="0"/>
              <w:bottom w:val="single" w:color="auto" w:sz="4" w:space="0"/>
              <w:right w:val="single" w:color="000000" w:sz="4" w:space="0"/>
            </w:tcBorders>
            <w:vAlign w:val="center"/>
          </w:tcPr>
          <w:p>
            <w:pPr>
              <w:adjustRightInd w:val="0"/>
              <w:spacing w:line="440" w:lineRule="exact"/>
              <w:ind w:firstLine="240" w:firstLineChars="100"/>
              <w:rPr>
                <w:rFonts w:hint="eastAsia" w:ascii="宋体" w:hAnsi="宋体" w:eastAsia="宋体" w:cs="宋体"/>
                <w:sz w:val="24"/>
                <w:highlight w:val="none"/>
              </w:rPr>
            </w:pPr>
          </w:p>
        </w:tc>
      </w:tr>
    </w:tbl>
    <w:p>
      <w:pPr>
        <w:adjustRightInd w:val="0"/>
        <w:spacing w:line="440" w:lineRule="exact"/>
        <w:rPr>
          <w:rFonts w:hint="eastAsia" w:ascii="宋体" w:hAnsi="宋体" w:eastAsia="宋体" w:cs="宋体"/>
          <w:kern w:val="0"/>
          <w:szCs w:val="21"/>
          <w:highlight w:val="none"/>
        </w:rPr>
      </w:pPr>
      <w:r>
        <w:rPr>
          <w:rFonts w:hint="eastAsia" w:ascii="宋体" w:hAnsi="宋体" w:eastAsia="宋体" w:cs="宋体"/>
          <w:b/>
          <w:bCs/>
          <w:szCs w:val="21"/>
          <w:highlight w:val="none"/>
        </w:rPr>
        <w:t>注</w:t>
      </w:r>
      <w:r>
        <w:rPr>
          <w:rFonts w:hint="eastAsia" w:ascii="宋体" w:hAnsi="宋体" w:eastAsia="宋体" w:cs="宋体"/>
          <w:kern w:val="0"/>
          <w:szCs w:val="21"/>
          <w:highlight w:val="none"/>
        </w:rPr>
        <w:t>：1、按以上表格形式填写。</w:t>
      </w:r>
    </w:p>
    <w:p>
      <w:pPr>
        <w:adjustRightInd w:val="0"/>
        <w:spacing w:line="440" w:lineRule="exact"/>
        <w:ind w:firstLine="420" w:firstLineChars="20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投标报价包括投标报价应包括一切人员工资、奖金、各种社会保险（基本养老保险、基本医疗保险、工伤保险、失业保险，包含但不仅限于以上内容）、高温费、意外险、公积金、各项补贴、管理费（包括项目负责人费用支出等）、人员管理服务费、餐费、税费、利润等完成合同所需的一切本身和不可或缺的所有工作开支、政策性文件规定及合同包含的所有风险、责任等各项全部费用并承担一切风险责任。</w:t>
      </w:r>
    </w:p>
    <w:p>
      <w:pPr>
        <w:adjustRightInd w:val="0"/>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3、投标人如果需要对报价、服务或其它内容加以说明，可在备注一栏中填写。</w:t>
      </w:r>
    </w:p>
    <w:p>
      <w:pPr>
        <w:spacing w:line="380" w:lineRule="exact"/>
        <w:rPr>
          <w:rFonts w:hint="eastAsia" w:ascii="宋体" w:hAnsi="宋体" w:eastAsia="宋体" w:cs="宋体"/>
          <w:sz w:val="24"/>
          <w:highlight w:val="none"/>
        </w:rPr>
      </w:pPr>
    </w:p>
    <w:p>
      <w:pPr>
        <w:pStyle w:val="3"/>
        <w:rPr>
          <w:rFonts w:hint="eastAsia" w:ascii="宋体" w:hAnsi="宋体" w:eastAsia="宋体" w:cs="宋体"/>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投标人（盖单位公章）：</w:t>
      </w:r>
      <w:r>
        <w:rPr>
          <w:rFonts w:hint="eastAsia" w:ascii="宋体" w:hAnsi="宋体" w:eastAsia="宋体" w:cs="宋体"/>
          <w:spacing w:val="20"/>
          <w:sz w:val="24"/>
          <w:highlight w:val="none"/>
          <w:u w:val="single"/>
        </w:rPr>
        <w:t xml:space="preserve">        </w:t>
      </w:r>
    </w:p>
    <w:p>
      <w:pPr>
        <w:widowControl/>
        <w:adjustRightInd w:val="0"/>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法定代表人或其授权代表（签字或盖章）：</w:t>
      </w:r>
      <w:r>
        <w:rPr>
          <w:rFonts w:hint="eastAsia" w:ascii="宋体" w:hAnsi="宋体" w:eastAsia="宋体" w:cs="宋体"/>
          <w:spacing w:val="20"/>
          <w:sz w:val="24"/>
          <w:highlight w:val="none"/>
          <w:u w:val="singl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日期： 年  月  日 </w:t>
      </w:r>
    </w:p>
    <w:p>
      <w:pPr>
        <w:pStyle w:val="18"/>
        <w:snapToGrid w:val="0"/>
        <w:spacing w:before="31" w:beforeLines="10" w:after="31" w:afterLines="10" w:line="360" w:lineRule="auto"/>
        <w:rPr>
          <w:rFonts w:hint="eastAsia" w:ascii="宋体" w:hAnsi="宋体" w:eastAsia="宋体" w:cs="宋体"/>
          <w:highlight w:val="none"/>
        </w:rPr>
      </w:pPr>
    </w:p>
    <w:p>
      <w:pPr>
        <w:pStyle w:val="7"/>
        <w:rPr>
          <w:rFonts w:hint="eastAsia" w:ascii="宋体" w:hAnsi="宋体" w:eastAsia="宋体" w:cs="宋体"/>
          <w:highlight w:val="none"/>
        </w:rPr>
      </w:pPr>
    </w:p>
    <w:p>
      <w:pPr>
        <w:pStyle w:val="8"/>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13"/>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32"/>
          <w:szCs w:val="32"/>
          <w:highlight w:val="none"/>
          <w:lang w:val="en-US" w:eastAsia="zh-CN"/>
        </w:rPr>
        <w:t xml:space="preserve">服务费用报价明细表  </w:t>
      </w:r>
      <w:r>
        <w:rPr>
          <w:rFonts w:hint="eastAsia" w:ascii="宋体" w:hAnsi="宋体" w:eastAsia="宋体" w:cs="宋体"/>
          <w:b/>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2"/>
          <w:szCs w:val="32"/>
          <w:highlight w:val="none"/>
          <w:lang w:val="en-US" w:eastAsia="zh-CN"/>
        </w:rPr>
      </w:pPr>
      <w:r>
        <w:rPr>
          <w:rFonts w:hint="eastAsia" w:ascii="宋体" w:hAnsi="宋体" w:cs="宋体"/>
          <w:b/>
          <w:sz w:val="21"/>
          <w:szCs w:val="21"/>
          <w:highlight w:val="none"/>
          <w:lang w:val="en-US" w:eastAsia="zh-CN"/>
        </w:rPr>
        <w:t xml:space="preserve">                                                        </w:t>
      </w:r>
      <w:r>
        <w:rPr>
          <w:rFonts w:hint="eastAsia" w:ascii="宋体" w:hAnsi="宋体" w:eastAsia="宋体" w:cs="宋体"/>
          <w:b/>
          <w:sz w:val="21"/>
          <w:szCs w:val="21"/>
          <w:highlight w:val="none"/>
          <w:lang w:val="en-US" w:eastAsia="zh-CN"/>
        </w:rPr>
        <w:t>金额单位：人民币（元）</w:t>
      </w:r>
    </w:p>
    <w:p>
      <w:pPr>
        <w:jc w:val="both"/>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项目名称：</w:t>
      </w:r>
    </w:p>
    <w:p>
      <w:pPr>
        <w:rPr>
          <w:rFonts w:hint="eastAsia" w:ascii="宋体" w:hAnsi="宋体" w:eastAsia="宋体" w:cs="宋体"/>
          <w:highlight w:val="non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color w:val="auto"/>
          <w:kern w:val="0"/>
          <w:sz w:val="21"/>
          <w:szCs w:val="21"/>
          <w:highlight w:val="none"/>
          <w:lang w:val="en-US" w:eastAsia="zh-CN"/>
        </w:rPr>
        <w:t>注：</w:t>
      </w:r>
      <w:r>
        <w:rPr>
          <w:rFonts w:hint="eastAsia" w:ascii="宋体" w:hAnsi="宋体" w:eastAsia="宋体" w:cs="宋体"/>
          <w:b/>
          <w:bCs/>
          <w:color w:val="auto"/>
          <w:kern w:val="2"/>
          <w:sz w:val="21"/>
          <w:szCs w:val="21"/>
          <w:highlight w:val="none"/>
          <w:lang w:val="en-US" w:eastAsia="zh-CN" w:bidi="ar"/>
        </w:rPr>
        <w:t>1、报价中已包含了完成招标文件中规定的全部工作内容所需全部费用及投标人认为需要的其他所有费用。</w:t>
      </w:r>
    </w:p>
    <w:p>
      <w:pPr>
        <w:keepNext w:val="0"/>
        <w:keepLines w:val="0"/>
        <w:pageBreakBefore w:val="0"/>
        <w:widowControl/>
        <w:suppressLineNumbers w:val="0"/>
        <w:kinsoku/>
        <w:wordWrap/>
        <w:overflowPunct/>
        <w:topLinePunct w:val="0"/>
        <w:autoSpaceDE/>
        <w:autoSpaceDN/>
        <w:bidi w:val="0"/>
        <w:adjustRightInd/>
        <w:snapToGrid/>
        <w:spacing w:line="400" w:lineRule="exact"/>
        <w:ind w:right="-267" w:firstLine="422" w:firstLineChars="200"/>
        <w:jc w:val="left"/>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2、“投标报价明细表”应与“开标一览表”中的“投标报价”一致。</w:t>
      </w:r>
    </w:p>
    <w:p>
      <w:pPr>
        <w:keepNext w:val="0"/>
        <w:keepLines w:val="0"/>
        <w:pageBreakBefore w:val="0"/>
        <w:widowControl/>
        <w:suppressLineNumbers w:val="0"/>
        <w:kinsoku/>
        <w:wordWrap/>
        <w:overflowPunct/>
        <w:topLinePunct w:val="0"/>
        <w:autoSpaceDE/>
        <w:autoSpaceDN/>
        <w:bidi w:val="0"/>
        <w:adjustRightInd/>
        <w:snapToGrid/>
        <w:spacing w:line="400" w:lineRule="exact"/>
        <w:ind w:right="-267" w:firstLine="422" w:firstLineChars="200"/>
        <w:jc w:val="left"/>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3、投标人如果需要对报价、服务或其它内容加以说明，可在备注一栏中填写。</w:t>
      </w:r>
    </w:p>
    <w:p>
      <w:pPr>
        <w:keepNext w:val="0"/>
        <w:keepLines w:val="0"/>
        <w:pageBreakBefore w:val="0"/>
        <w:kinsoku/>
        <w:wordWrap/>
        <w:overflowPunct/>
        <w:topLinePunct w:val="0"/>
        <w:autoSpaceDE/>
        <w:autoSpaceDN/>
        <w:bidi w:val="0"/>
        <w:adjustRightInd/>
        <w:snapToGrid/>
        <w:spacing w:before="50" w:after="156" w:afterLines="50" w:line="400" w:lineRule="exact"/>
        <w:ind w:firstLine="361" w:firstLineChars="200"/>
        <w:jc w:val="left"/>
        <w:textAlignment w:val="auto"/>
        <w:rPr>
          <w:rFonts w:hint="eastAsia" w:ascii="宋体" w:hAnsi="宋体" w:eastAsia="宋体" w:cs="宋体"/>
          <w:b/>
          <w:sz w:val="18"/>
          <w:szCs w:val="18"/>
          <w:highlight w:val="none"/>
        </w:rPr>
      </w:pPr>
    </w:p>
    <w:p>
      <w:pPr>
        <w:pStyle w:val="2"/>
        <w:rPr>
          <w:rFonts w:hint="eastAsia" w:ascii="宋体" w:hAnsi="宋体" w:eastAsia="宋体" w:cs="宋体"/>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投标人（盖单位公章）：</w:t>
      </w:r>
      <w:r>
        <w:rPr>
          <w:rFonts w:hint="eastAsia" w:ascii="宋体" w:hAnsi="宋体" w:eastAsia="宋体" w:cs="宋体"/>
          <w:spacing w:val="20"/>
          <w:sz w:val="24"/>
          <w:highlight w:val="none"/>
          <w:u w:val="single"/>
        </w:rPr>
        <w:t xml:space="preserve">        </w:t>
      </w:r>
    </w:p>
    <w:p>
      <w:pPr>
        <w:widowControl/>
        <w:adjustRightInd w:val="0"/>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法定代表人或其授权代表（签字或盖章）：</w:t>
      </w:r>
      <w:r>
        <w:rPr>
          <w:rFonts w:hint="eastAsia" w:ascii="宋体" w:hAnsi="宋体" w:eastAsia="宋体" w:cs="宋体"/>
          <w:spacing w:val="20"/>
          <w:sz w:val="24"/>
          <w:highlight w:val="none"/>
          <w:u w:val="singl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日期： 年  月  日 </w:t>
      </w:r>
    </w:p>
    <w:p>
      <w:pPr>
        <w:pStyle w:val="47"/>
        <w:rPr>
          <w:rFonts w:hint="eastAsia" w:ascii="宋体" w:hAnsi="宋体" w:eastAsia="宋体" w:cs="宋体"/>
          <w:highlight w:val="none"/>
          <w:lang w:val="en-US" w:eastAsia="zh-CN"/>
        </w:rPr>
      </w:pPr>
    </w:p>
    <w:p>
      <w:pPr>
        <w:pStyle w:val="13"/>
        <w:rPr>
          <w:rFonts w:hint="eastAsia" w:ascii="宋体" w:hAnsi="宋体" w:eastAsia="宋体" w:cs="宋体"/>
          <w:highlight w:val="none"/>
          <w:lang w:val="en-US" w:eastAsia="zh-CN"/>
        </w:rPr>
      </w:pPr>
    </w:p>
    <w:p>
      <w:pPr>
        <w:pStyle w:val="14"/>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sectPr>
      <w:pgSz w:w="11906" w:h="16838"/>
      <w:pgMar w:top="1304" w:right="1361" w:bottom="1417" w:left="136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roman"/>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swiss"/>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宋体" w:hAnsi="宋体"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rPr>
      <w:t xml:space="preserve">浙江中明工程咨询有限公司   </w:t>
    </w:r>
    <w:r>
      <w:rPr>
        <w:rFonts w:hint="eastAsia" w:ascii="宋体" w:hAnsi="宋体"/>
      </w:rPr>
      <w:tab/>
    </w:r>
    <w:r>
      <w:rPr>
        <w:rFonts w:hint="eastAsia" w:ascii="宋体" w:hAnsi="宋体"/>
      </w:rPr>
      <w:t xml:space="preserve">         联系电话：</w:t>
    </w:r>
    <w:r>
      <w:rPr>
        <w:rFonts w:hint="eastAsia" w:ascii="宋体" w:hAnsi="宋体"/>
        <w:lang w:eastAsia="zh-CN"/>
      </w:rPr>
      <w:t>0573-83679693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宋体" w:hAnsi="宋体"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rPr>
      <w:t xml:space="preserve">浙江中明工程咨询有限公司   </w:t>
    </w:r>
    <w:r>
      <w:rPr>
        <w:rFonts w:hint="eastAsia" w:ascii="宋体" w:hAnsi="宋体"/>
      </w:rPr>
      <w:tab/>
    </w:r>
    <w:r>
      <w:rPr>
        <w:rFonts w:hint="eastAsia" w:ascii="宋体" w:hAnsi="宋体"/>
      </w:rPr>
      <w:t xml:space="preserve">         联系电话：</w:t>
    </w:r>
    <w:r>
      <w:rPr>
        <w:rFonts w:hint="eastAsia" w:ascii="宋体" w:hAnsi="宋体"/>
        <w:lang w:eastAsia="zh-CN"/>
      </w:rPr>
      <w:t>0573-83679693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CBE8E"/>
    <w:multiLevelType w:val="singleLevel"/>
    <w:tmpl w:val="8F9CBE8E"/>
    <w:lvl w:ilvl="0" w:tentative="0">
      <w:start w:val="1"/>
      <w:numFmt w:val="decimal"/>
      <w:lvlText w:val="%1、"/>
      <w:lvlJc w:val="left"/>
      <w:pPr>
        <w:ind w:left="420" w:hanging="420"/>
      </w:pPr>
      <w:rPr>
        <w:rFonts w:hint="eastAsia"/>
      </w:rPr>
    </w:lvl>
  </w:abstractNum>
  <w:abstractNum w:abstractNumId="1">
    <w:nsid w:val="00000001"/>
    <w:multiLevelType w:val="multilevel"/>
    <w:tmpl w:val="00000001"/>
    <w:lvl w:ilvl="0" w:tentative="0">
      <w:start w:val="1"/>
      <w:numFmt w:val="decimal"/>
      <w:pStyle w:val="55"/>
      <w:lvlText w:val="（%1）"/>
      <w:lvlJc w:val="left"/>
      <w:pPr>
        <w:tabs>
          <w:tab w:val="left" w:pos="1365"/>
        </w:tabs>
        <w:ind w:left="1365" w:hanging="735"/>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
    <w:nsid w:val="00000002"/>
    <w:multiLevelType w:val="singleLevel"/>
    <w:tmpl w:val="00000002"/>
    <w:lvl w:ilvl="0" w:tentative="0">
      <w:start w:val="1"/>
      <w:numFmt w:val="decimal"/>
      <w:pStyle w:val="6"/>
      <w:lvlText w:val="%1."/>
      <w:lvlJc w:val="left"/>
      <w:pPr>
        <w:tabs>
          <w:tab w:val="left" w:pos="360"/>
        </w:tabs>
        <w:ind w:left="360" w:hanging="360"/>
      </w:pPr>
    </w:lvl>
  </w:abstractNum>
  <w:abstractNum w:abstractNumId="3">
    <w:nsid w:val="00000003"/>
    <w:multiLevelType w:val="multilevel"/>
    <w:tmpl w:val="00000003"/>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90943E9"/>
    <w:multiLevelType w:val="multilevel"/>
    <w:tmpl w:val="090943E9"/>
    <w:lvl w:ilvl="0" w:tentative="0">
      <w:start w:val="2"/>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1CAA8AA8"/>
    <w:multiLevelType w:val="multilevel"/>
    <w:tmpl w:val="1CAA8AA8"/>
    <w:lvl w:ilvl="0" w:tentative="0">
      <w:start w:val="1"/>
      <w:numFmt w:val="chineseCountingThousand"/>
      <w:lvlText w:val="(%1)"/>
      <w:lvlJc w:val="left"/>
      <w:pPr>
        <w:ind w:left="832" w:hanging="420"/>
      </w:pPr>
      <w:rPr>
        <w:rFonts w:hint="eastAsia" w:eastAsia="微软雅黑"/>
        <w:sz w:val="21"/>
        <w:szCs w:val="21"/>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6">
    <w:nsid w:val="241040AB"/>
    <w:multiLevelType w:val="multilevel"/>
    <w:tmpl w:val="241040AB"/>
    <w:lvl w:ilvl="0" w:tentative="0">
      <w:start w:val="2"/>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3AB00048"/>
    <w:multiLevelType w:val="singleLevel"/>
    <w:tmpl w:val="3AB00048"/>
    <w:lvl w:ilvl="0" w:tentative="0">
      <w:start w:val="4"/>
      <w:numFmt w:val="decimal"/>
      <w:suff w:val="nothing"/>
      <w:lvlText w:val="%1、"/>
      <w:lvlJc w:val="left"/>
    </w:lvl>
  </w:abstractNum>
  <w:num w:numId="1">
    <w:abstractNumId w:val="2"/>
  </w:num>
  <w:num w:numId="2">
    <w:abstractNumId w:val="1"/>
  </w:num>
  <w:num w:numId="3">
    <w:abstractNumId w:val="3"/>
    <w:lvlOverride w:ilvl="0">
      <w:startOverride w:val="1"/>
    </w:lvlOverride>
  </w:num>
  <w:num w:numId="4">
    <w:abstractNumId w:val="0"/>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displayBackgroundShape w:val="1"/>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YTQ5MGUyYWZiMDJmOGI2MTdlYzY4YjVmOWU2MWEifQ=="/>
  </w:docVars>
  <w:rsids>
    <w:rsidRoot w:val="00172A27"/>
    <w:rsid w:val="00007BB3"/>
    <w:rsid w:val="0001506B"/>
    <w:rsid w:val="0002152F"/>
    <w:rsid w:val="000227D0"/>
    <w:rsid w:val="00022E1B"/>
    <w:rsid w:val="0004469A"/>
    <w:rsid w:val="00052E35"/>
    <w:rsid w:val="000604C5"/>
    <w:rsid w:val="0006370E"/>
    <w:rsid w:val="00067252"/>
    <w:rsid w:val="00087C8E"/>
    <w:rsid w:val="000B17E2"/>
    <w:rsid w:val="000B7B60"/>
    <w:rsid w:val="000C0028"/>
    <w:rsid w:val="000C787A"/>
    <w:rsid w:val="000D4765"/>
    <w:rsid w:val="000D77DC"/>
    <w:rsid w:val="000E43E8"/>
    <w:rsid w:val="000F3821"/>
    <w:rsid w:val="00100A76"/>
    <w:rsid w:val="00102CC5"/>
    <w:rsid w:val="00163D6B"/>
    <w:rsid w:val="00172A27"/>
    <w:rsid w:val="00173825"/>
    <w:rsid w:val="00186BF0"/>
    <w:rsid w:val="001A42BF"/>
    <w:rsid w:val="001A5C24"/>
    <w:rsid w:val="001B34F6"/>
    <w:rsid w:val="001B3E2B"/>
    <w:rsid w:val="001B73C5"/>
    <w:rsid w:val="001C0FD0"/>
    <w:rsid w:val="001C5169"/>
    <w:rsid w:val="001C66E0"/>
    <w:rsid w:val="001D1A65"/>
    <w:rsid w:val="001D5FB4"/>
    <w:rsid w:val="001F167D"/>
    <w:rsid w:val="0020035C"/>
    <w:rsid w:val="00200A8B"/>
    <w:rsid w:val="00202A52"/>
    <w:rsid w:val="0022559D"/>
    <w:rsid w:val="00233A49"/>
    <w:rsid w:val="0023487F"/>
    <w:rsid w:val="00244B46"/>
    <w:rsid w:val="002455E5"/>
    <w:rsid w:val="00253A3E"/>
    <w:rsid w:val="00257D8C"/>
    <w:rsid w:val="00262C8C"/>
    <w:rsid w:val="00266D45"/>
    <w:rsid w:val="00270EFA"/>
    <w:rsid w:val="00277B2A"/>
    <w:rsid w:val="00282FE4"/>
    <w:rsid w:val="002A38BB"/>
    <w:rsid w:val="002A3B76"/>
    <w:rsid w:val="002A67C1"/>
    <w:rsid w:val="002A7C2D"/>
    <w:rsid w:val="002B19DF"/>
    <w:rsid w:val="002C2955"/>
    <w:rsid w:val="002C6FBC"/>
    <w:rsid w:val="002D197A"/>
    <w:rsid w:val="002D3554"/>
    <w:rsid w:val="002F095B"/>
    <w:rsid w:val="002F71E8"/>
    <w:rsid w:val="002F7BBE"/>
    <w:rsid w:val="0031582E"/>
    <w:rsid w:val="003339B3"/>
    <w:rsid w:val="00343816"/>
    <w:rsid w:val="00357B76"/>
    <w:rsid w:val="00361CCE"/>
    <w:rsid w:val="00364098"/>
    <w:rsid w:val="0036787D"/>
    <w:rsid w:val="00375CEE"/>
    <w:rsid w:val="003834CC"/>
    <w:rsid w:val="00387A37"/>
    <w:rsid w:val="00395165"/>
    <w:rsid w:val="003A1563"/>
    <w:rsid w:val="003A7864"/>
    <w:rsid w:val="003B0893"/>
    <w:rsid w:val="003D2504"/>
    <w:rsid w:val="003D2D34"/>
    <w:rsid w:val="003D4DB4"/>
    <w:rsid w:val="003E6EBD"/>
    <w:rsid w:val="003E78CC"/>
    <w:rsid w:val="003F796D"/>
    <w:rsid w:val="003F798E"/>
    <w:rsid w:val="004040E2"/>
    <w:rsid w:val="00405AF1"/>
    <w:rsid w:val="004061E4"/>
    <w:rsid w:val="00433A9C"/>
    <w:rsid w:val="00445864"/>
    <w:rsid w:val="00456636"/>
    <w:rsid w:val="00457D0A"/>
    <w:rsid w:val="004636CC"/>
    <w:rsid w:val="00467D24"/>
    <w:rsid w:val="004717CB"/>
    <w:rsid w:val="00472DB9"/>
    <w:rsid w:val="00475C6D"/>
    <w:rsid w:val="00482733"/>
    <w:rsid w:val="00487D83"/>
    <w:rsid w:val="004B36C5"/>
    <w:rsid w:val="004B5FA0"/>
    <w:rsid w:val="004B7AAF"/>
    <w:rsid w:val="004C33A2"/>
    <w:rsid w:val="004E4F7F"/>
    <w:rsid w:val="004F0280"/>
    <w:rsid w:val="004F0D26"/>
    <w:rsid w:val="00502F91"/>
    <w:rsid w:val="00512959"/>
    <w:rsid w:val="00512C16"/>
    <w:rsid w:val="00523B53"/>
    <w:rsid w:val="00542A0C"/>
    <w:rsid w:val="00543B49"/>
    <w:rsid w:val="0054607A"/>
    <w:rsid w:val="00575A76"/>
    <w:rsid w:val="0058006C"/>
    <w:rsid w:val="00581E51"/>
    <w:rsid w:val="00583298"/>
    <w:rsid w:val="005A00B9"/>
    <w:rsid w:val="005A1672"/>
    <w:rsid w:val="005A6E94"/>
    <w:rsid w:val="005B3675"/>
    <w:rsid w:val="005B46AD"/>
    <w:rsid w:val="005B4BB9"/>
    <w:rsid w:val="005B61A3"/>
    <w:rsid w:val="005C4691"/>
    <w:rsid w:val="005D33C7"/>
    <w:rsid w:val="005E2DAD"/>
    <w:rsid w:val="005E4FC4"/>
    <w:rsid w:val="005E74ED"/>
    <w:rsid w:val="005F6A93"/>
    <w:rsid w:val="00626F02"/>
    <w:rsid w:val="0062723B"/>
    <w:rsid w:val="006421A6"/>
    <w:rsid w:val="0064241F"/>
    <w:rsid w:val="006437E7"/>
    <w:rsid w:val="00646895"/>
    <w:rsid w:val="00646A7D"/>
    <w:rsid w:val="006471DE"/>
    <w:rsid w:val="006614D9"/>
    <w:rsid w:val="006645DF"/>
    <w:rsid w:val="006659FE"/>
    <w:rsid w:val="00676FCF"/>
    <w:rsid w:val="0068419F"/>
    <w:rsid w:val="006922AC"/>
    <w:rsid w:val="006938EE"/>
    <w:rsid w:val="0069490C"/>
    <w:rsid w:val="0069497F"/>
    <w:rsid w:val="006A612D"/>
    <w:rsid w:val="006B1364"/>
    <w:rsid w:val="006C02CB"/>
    <w:rsid w:val="006D2B01"/>
    <w:rsid w:val="006E2BE7"/>
    <w:rsid w:val="006E49E5"/>
    <w:rsid w:val="006F26A3"/>
    <w:rsid w:val="006F5D73"/>
    <w:rsid w:val="00702FF4"/>
    <w:rsid w:val="00707AF4"/>
    <w:rsid w:val="00711F5D"/>
    <w:rsid w:val="00723E93"/>
    <w:rsid w:val="007247C1"/>
    <w:rsid w:val="00725339"/>
    <w:rsid w:val="007439F1"/>
    <w:rsid w:val="0075037B"/>
    <w:rsid w:val="00784C49"/>
    <w:rsid w:val="00785DD8"/>
    <w:rsid w:val="0078758D"/>
    <w:rsid w:val="007A0E94"/>
    <w:rsid w:val="007B1F5E"/>
    <w:rsid w:val="007B474C"/>
    <w:rsid w:val="007B4F57"/>
    <w:rsid w:val="007B6D0D"/>
    <w:rsid w:val="007C3E69"/>
    <w:rsid w:val="007C71BF"/>
    <w:rsid w:val="007E02C1"/>
    <w:rsid w:val="007E2778"/>
    <w:rsid w:val="007E4C59"/>
    <w:rsid w:val="008000D4"/>
    <w:rsid w:val="008002B1"/>
    <w:rsid w:val="00801B02"/>
    <w:rsid w:val="00801C63"/>
    <w:rsid w:val="0080200A"/>
    <w:rsid w:val="00822BA0"/>
    <w:rsid w:val="00826D2B"/>
    <w:rsid w:val="00832195"/>
    <w:rsid w:val="0084150F"/>
    <w:rsid w:val="0084575A"/>
    <w:rsid w:val="00845F60"/>
    <w:rsid w:val="00851808"/>
    <w:rsid w:val="00874312"/>
    <w:rsid w:val="00884D11"/>
    <w:rsid w:val="008A3D46"/>
    <w:rsid w:val="008B5112"/>
    <w:rsid w:val="008C0BC7"/>
    <w:rsid w:val="008D17D3"/>
    <w:rsid w:val="008D3486"/>
    <w:rsid w:val="008E026D"/>
    <w:rsid w:val="008E5D9F"/>
    <w:rsid w:val="008F1257"/>
    <w:rsid w:val="008F1810"/>
    <w:rsid w:val="008F287D"/>
    <w:rsid w:val="008F5C8B"/>
    <w:rsid w:val="00903100"/>
    <w:rsid w:val="00904769"/>
    <w:rsid w:val="00907356"/>
    <w:rsid w:val="00910AAE"/>
    <w:rsid w:val="009249C7"/>
    <w:rsid w:val="0093352B"/>
    <w:rsid w:val="00944306"/>
    <w:rsid w:val="0094678D"/>
    <w:rsid w:val="00970070"/>
    <w:rsid w:val="00972187"/>
    <w:rsid w:val="00984F1D"/>
    <w:rsid w:val="009C2B10"/>
    <w:rsid w:val="009C60B2"/>
    <w:rsid w:val="009D556B"/>
    <w:rsid w:val="009D77B5"/>
    <w:rsid w:val="009E1294"/>
    <w:rsid w:val="009E1727"/>
    <w:rsid w:val="009E1C7F"/>
    <w:rsid w:val="00A2637E"/>
    <w:rsid w:val="00A3344E"/>
    <w:rsid w:val="00A33450"/>
    <w:rsid w:val="00A35631"/>
    <w:rsid w:val="00A36643"/>
    <w:rsid w:val="00A45773"/>
    <w:rsid w:val="00A479E1"/>
    <w:rsid w:val="00A5472D"/>
    <w:rsid w:val="00A61EC1"/>
    <w:rsid w:val="00A61FDF"/>
    <w:rsid w:val="00A63C58"/>
    <w:rsid w:val="00A94311"/>
    <w:rsid w:val="00AA19B3"/>
    <w:rsid w:val="00AA7363"/>
    <w:rsid w:val="00AB17D8"/>
    <w:rsid w:val="00AC4F64"/>
    <w:rsid w:val="00AC5A41"/>
    <w:rsid w:val="00AE3AC9"/>
    <w:rsid w:val="00AF017F"/>
    <w:rsid w:val="00AF04A2"/>
    <w:rsid w:val="00AF4055"/>
    <w:rsid w:val="00B05DF5"/>
    <w:rsid w:val="00B137C7"/>
    <w:rsid w:val="00B23EBF"/>
    <w:rsid w:val="00B26305"/>
    <w:rsid w:val="00B31FB6"/>
    <w:rsid w:val="00B348BF"/>
    <w:rsid w:val="00B40EAF"/>
    <w:rsid w:val="00B477E5"/>
    <w:rsid w:val="00B63175"/>
    <w:rsid w:val="00B6423E"/>
    <w:rsid w:val="00B6598F"/>
    <w:rsid w:val="00B65B8C"/>
    <w:rsid w:val="00B7444B"/>
    <w:rsid w:val="00B75807"/>
    <w:rsid w:val="00B86898"/>
    <w:rsid w:val="00B93B18"/>
    <w:rsid w:val="00B945F6"/>
    <w:rsid w:val="00BA1A9A"/>
    <w:rsid w:val="00BA5AAF"/>
    <w:rsid w:val="00BC3C17"/>
    <w:rsid w:val="00BE13BC"/>
    <w:rsid w:val="00BE2755"/>
    <w:rsid w:val="00BF076A"/>
    <w:rsid w:val="00BF15CC"/>
    <w:rsid w:val="00BF79C1"/>
    <w:rsid w:val="00C057F0"/>
    <w:rsid w:val="00C17555"/>
    <w:rsid w:val="00C52BE9"/>
    <w:rsid w:val="00C541D7"/>
    <w:rsid w:val="00C60786"/>
    <w:rsid w:val="00C63667"/>
    <w:rsid w:val="00C74231"/>
    <w:rsid w:val="00C820EA"/>
    <w:rsid w:val="00C87195"/>
    <w:rsid w:val="00CA008E"/>
    <w:rsid w:val="00CA0939"/>
    <w:rsid w:val="00CA2A72"/>
    <w:rsid w:val="00CA7541"/>
    <w:rsid w:val="00CB477E"/>
    <w:rsid w:val="00CB4FD1"/>
    <w:rsid w:val="00CB795A"/>
    <w:rsid w:val="00CC5A04"/>
    <w:rsid w:val="00CD5E2B"/>
    <w:rsid w:val="00CD73CB"/>
    <w:rsid w:val="00CD773C"/>
    <w:rsid w:val="00CE4999"/>
    <w:rsid w:val="00CF0F42"/>
    <w:rsid w:val="00CF1A15"/>
    <w:rsid w:val="00CF2B1C"/>
    <w:rsid w:val="00CF2F1C"/>
    <w:rsid w:val="00CF5DFF"/>
    <w:rsid w:val="00D01AD5"/>
    <w:rsid w:val="00D0332E"/>
    <w:rsid w:val="00D055E8"/>
    <w:rsid w:val="00D1473F"/>
    <w:rsid w:val="00D17C1A"/>
    <w:rsid w:val="00D33ADE"/>
    <w:rsid w:val="00D34178"/>
    <w:rsid w:val="00D34F90"/>
    <w:rsid w:val="00D365CA"/>
    <w:rsid w:val="00D40FA1"/>
    <w:rsid w:val="00D41D17"/>
    <w:rsid w:val="00D51492"/>
    <w:rsid w:val="00D63158"/>
    <w:rsid w:val="00DB45F2"/>
    <w:rsid w:val="00DC2727"/>
    <w:rsid w:val="00DD33E6"/>
    <w:rsid w:val="00DD367F"/>
    <w:rsid w:val="00DE445A"/>
    <w:rsid w:val="00DF13C1"/>
    <w:rsid w:val="00E04403"/>
    <w:rsid w:val="00E2197E"/>
    <w:rsid w:val="00E338EE"/>
    <w:rsid w:val="00E37A92"/>
    <w:rsid w:val="00E42F3C"/>
    <w:rsid w:val="00E43A44"/>
    <w:rsid w:val="00E44E8C"/>
    <w:rsid w:val="00E54482"/>
    <w:rsid w:val="00E64525"/>
    <w:rsid w:val="00E71C39"/>
    <w:rsid w:val="00E74AF1"/>
    <w:rsid w:val="00E8195F"/>
    <w:rsid w:val="00E96A95"/>
    <w:rsid w:val="00EA147D"/>
    <w:rsid w:val="00EA2BEF"/>
    <w:rsid w:val="00EC0F24"/>
    <w:rsid w:val="00EC2881"/>
    <w:rsid w:val="00EC387C"/>
    <w:rsid w:val="00ED26FB"/>
    <w:rsid w:val="00ED501E"/>
    <w:rsid w:val="00ED7547"/>
    <w:rsid w:val="00EE0DEE"/>
    <w:rsid w:val="00EE5BAE"/>
    <w:rsid w:val="00EF0B3E"/>
    <w:rsid w:val="00EF1103"/>
    <w:rsid w:val="00EF1402"/>
    <w:rsid w:val="00F02E8D"/>
    <w:rsid w:val="00F0468B"/>
    <w:rsid w:val="00F13A71"/>
    <w:rsid w:val="00F13D0F"/>
    <w:rsid w:val="00F34A3F"/>
    <w:rsid w:val="00F36908"/>
    <w:rsid w:val="00F4290A"/>
    <w:rsid w:val="00F54A8C"/>
    <w:rsid w:val="00F56A1A"/>
    <w:rsid w:val="00F616D8"/>
    <w:rsid w:val="00F815C3"/>
    <w:rsid w:val="00F90E70"/>
    <w:rsid w:val="00F97CDC"/>
    <w:rsid w:val="00FB6BB3"/>
    <w:rsid w:val="00FC68FC"/>
    <w:rsid w:val="00FC6C4F"/>
    <w:rsid w:val="00FD7457"/>
    <w:rsid w:val="00FF61FD"/>
    <w:rsid w:val="01580E6C"/>
    <w:rsid w:val="015950E9"/>
    <w:rsid w:val="01981D96"/>
    <w:rsid w:val="01A67464"/>
    <w:rsid w:val="01B82438"/>
    <w:rsid w:val="01CA0F56"/>
    <w:rsid w:val="01CE3A0A"/>
    <w:rsid w:val="01D96255"/>
    <w:rsid w:val="01FF25C3"/>
    <w:rsid w:val="020B5D15"/>
    <w:rsid w:val="02136DBD"/>
    <w:rsid w:val="021653B1"/>
    <w:rsid w:val="021A6C4F"/>
    <w:rsid w:val="02217327"/>
    <w:rsid w:val="02315D47"/>
    <w:rsid w:val="023F2212"/>
    <w:rsid w:val="024C492F"/>
    <w:rsid w:val="025B1B6D"/>
    <w:rsid w:val="02647ECA"/>
    <w:rsid w:val="02702610"/>
    <w:rsid w:val="02765051"/>
    <w:rsid w:val="028265A2"/>
    <w:rsid w:val="029C0249"/>
    <w:rsid w:val="02AF6457"/>
    <w:rsid w:val="02B24AD7"/>
    <w:rsid w:val="02BC3862"/>
    <w:rsid w:val="02FC38B0"/>
    <w:rsid w:val="0301396B"/>
    <w:rsid w:val="031A4A2D"/>
    <w:rsid w:val="033A069B"/>
    <w:rsid w:val="0356189E"/>
    <w:rsid w:val="03604B36"/>
    <w:rsid w:val="03790208"/>
    <w:rsid w:val="0385459C"/>
    <w:rsid w:val="03936CB9"/>
    <w:rsid w:val="03D33559"/>
    <w:rsid w:val="03FB4984"/>
    <w:rsid w:val="0414147C"/>
    <w:rsid w:val="0430275A"/>
    <w:rsid w:val="0446766D"/>
    <w:rsid w:val="045B2BCC"/>
    <w:rsid w:val="04B62533"/>
    <w:rsid w:val="04BF5AC5"/>
    <w:rsid w:val="04CE364C"/>
    <w:rsid w:val="04CF6896"/>
    <w:rsid w:val="04E60A4D"/>
    <w:rsid w:val="04F63741"/>
    <w:rsid w:val="05104339"/>
    <w:rsid w:val="051B3D36"/>
    <w:rsid w:val="054B35C3"/>
    <w:rsid w:val="0563090D"/>
    <w:rsid w:val="057448C8"/>
    <w:rsid w:val="058F525E"/>
    <w:rsid w:val="059264EC"/>
    <w:rsid w:val="059F7C3A"/>
    <w:rsid w:val="05AA1B80"/>
    <w:rsid w:val="05D84E57"/>
    <w:rsid w:val="05EC1A8E"/>
    <w:rsid w:val="060C68AF"/>
    <w:rsid w:val="061232BB"/>
    <w:rsid w:val="0616571D"/>
    <w:rsid w:val="06345E06"/>
    <w:rsid w:val="0696086E"/>
    <w:rsid w:val="069B37CC"/>
    <w:rsid w:val="06AE5BB8"/>
    <w:rsid w:val="06E635A4"/>
    <w:rsid w:val="06FB3319"/>
    <w:rsid w:val="072B0FB7"/>
    <w:rsid w:val="073E6F3C"/>
    <w:rsid w:val="07595183"/>
    <w:rsid w:val="075C3866"/>
    <w:rsid w:val="07697D31"/>
    <w:rsid w:val="07855D60"/>
    <w:rsid w:val="07AB158F"/>
    <w:rsid w:val="07C806C6"/>
    <w:rsid w:val="07E521E7"/>
    <w:rsid w:val="0809228B"/>
    <w:rsid w:val="080C71B4"/>
    <w:rsid w:val="08123F24"/>
    <w:rsid w:val="08147C9D"/>
    <w:rsid w:val="082D6FB0"/>
    <w:rsid w:val="0845254C"/>
    <w:rsid w:val="084E6060"/>
    <w:rsid w:val="08566406"/>
    <w:rsid w:val="086329D2"/>
    <w:rsid w:val="087F0545"/>
    <w:rsid w:val="0881693E"/>
    <w:rsid w:val="088C3CD7"/>
    <w:rsid w:val="089112ED"/>
    <w:rsid w:val="08A2799E"/>
    <w:rsid w:val="08AD1F6E"/>
    <w:rsid w:val="08C276F9"/>
    <w:rsid w:val="08F2440D"/>
    <w:rsid w:val="09271C52"/>
    <w:rsid w:val="094252FC"/>
    <w:rsid w:val="095B2A47"/>
    <w:rsid w:val="09750C0F"/>
    <w:rsid w:val="097529BD"/>
    <w:rsid w:val="097D5AA3"/>
    <w:rsid w:val="098350DA"/>
    <w:rsid w:val="09AA08FD"/>
    <w:rsid w:val="09D43B87"/>
    <w:rsid w:val="09E3309E"/>
    <w:rsid w:val="0A066E85"/>
    <w:rsid w:val="0A7669ED"/>
    <w:rsid w:val="0AAA3D92"/>
    <w:rsid w:val="0AC77248"/>
    <w:rsid w:val="0ADC4429"/>
    <w:rsid w:val="0AE3678E"/>
    <w:rsid w:val="0B0F1CB4"/>
    <w:rsid w:val="0B1A680E"/>
    <w:rsid w:val="0B274E3E"/>
    <w:rsid w:val="0B431531"/>
    <w:rsid w:val="0B575602"/>
    <w:rsid w:val="0B5A00BC"/>
    <w:rsid w:val="0B5A34EB"/>
    <w:rsid w:val="0B7A42BB"/>
    <w:rsid w:val="0B8953AF"/>
    <w:rsid w:val="0BBF637F"/>
    <w:rsid w:val="0BC75351"/>
    <w:rsid w:val="0BF57CBC"/>
    <w:rsid w:val="0C142961"/>
    <w:rsid w:val="0C175BFE"/>
    <w:rsid w:val="0C353F27"/>
    <w:rsid w:val="0C5A2708"/>
    <w:rsid w:val="0C5C02E2"/>
    <w:rsid w:val="0C71390F"/>
    <w:rsid w:val="0C8E44C1"/>
    <w:rsid w:val="0CCC7E58"/>
    <w:rsid w:val="0CF03205"/>
    <w:rsid w:val="0CF3524D"/>
    <w:rsid w:val="0D060E2A"/>
    <w:rsid w:val="0D272220"/>
    <w:rsid w:val="0D330BC5"/>
    <w:rsid w:val="0D3606B5"/>
    <w:rsid w:val="0D427DED"/>
    <w:rsid w:val="0D486CA3"/>
    <w:rsid w:val="0D701E19"/>
    <w:rsid w:val="0D731909"/>
    <w:rsid w:val="0D8B3D0A"/>
    <w:rsid w:val="0D9621F4"/>
    <w:rsid w:val="0DA41AC3"/>
    <w:rsid w:val="0DC63FC3"/>
    <w:rsid w:val="0DC9777B"/>
    <w:rsid w:val="0E146C48"/>
    <w:rsid w:val="0E161299"/>
    <w:rsid w:val="0E3A5F83"/>
    <w:rsid w:val="0E5C0210"/>
    <w:rsid w:val="0E7E79F3"/>
    <w:rsid w:val="0E9E3075"/>
    <w:rsid w:val="0EC651E0"/>
    <w:rsid w:val="0ECD6DF7"/>
    <w:rsid w:val="0ECF2A58"/>
    <w:rsid w:val="0ED14B39"/>
    <w:rsid w:val="0ED70B14"/>
    <w:rsid w:val="0EF60322"/>
    <w:rsid w:val="0F262659"/>
    <w:rsid w:val="0F5A5680"/>
    <w:rsid w:val="0F5E4E99"/>
    <w:rsid w:val="0F635C91"/>
    <w:rsid w:val="0F7C2CF7"/>
    <w:rsid w:val="0F94465A"/>
    <w:rsid w:val="0FDC19E8"/>
    <w:rsid w:val="0FE60171"/>
    <w:rsid w:val="0FE64614"/>
    <w:rsid w:val="0FF35B80"/>
    <w:rsid w:val="10060AFE"/>
    <w:rsid w:val="101271B8"/>
    <w:rsid w:val="10635C65"/>
    <w:rsid w:val="1065378B"/>
    <w:rsid w:val="106F460A"/>
    <w:rsid w:val="109A412B"/>
    <w:rsid w:val="10C43F6C"/>
    <w:rsid w:val="10D87AE7"/>
    <w:rsid w:val="10F34DD4"/>
    <w:rsid w:val="110805BA"/>
    <w:rsid w:val="110D583F"/>
    <w:rsid w:val="11166833"/>
    <w:rsid w:val="111B6540"/>
    <w:rsid w:val="11370ECA"/>
    <w:rsid w:val="115B06EA"/>
    <w:rsid w:val="11691059"/>
    <w:rsid w:val="11C20769"/>
    <w:rsid w:val="11D66E59"/>
    <w:rsid w:val="11E608FC"/>
    <w:rsid w:val="11EC18D4"/>
    <w:rsid w:val="11FA2072"/>
    <w:rsid w:val="12145A02"/>
    <w:rsid w:val="122B64DB"/>
    <w:rsid w:val="122F7FCB"/>
    <w:rsid w:val="123E1BF4"/>
    <w:rsid w:val="123E24E6"/>
    <w:rsid w:val="12505D75"/>
    <w:rsid w:val="126902C7"/>
    <w:rsid w:val="12744159"/>
    <w:rsid w:val="12802AFE"/>
    <w:rsid w:val="1283439D"/>
    <w:rsid w:val="128D0D77"/>
    <w:rsid w:val="128F4AEF"/>
    <w:rsid w:val="12B427A8"/>
    <w:rsid w:val="12DF7D50"/>
    <w:rsid w:val="13023513"/>
    <w:rsid w:val="13174AE5"/>
    <w:rsid w:val="131B6859"/>
    <w:rsid w:val="132D60B6"/>
    <w:rsid w:val="13390EFF"/>
    <w:rsid w:val="135B5769"/>
    <w:rsid w:val="139E4231"/>
    <w:rsid w:val="13A54B13"/>
    <w:rsid w:val="13AE36DE"/>
    <w:rsid w:val="13AF57DB"/>
    <w:rsid w:val="13BA3DEE"/>
    <w:rsid w:val="13EE351C"/>
    <w:rsid w:val="13FA243C"/>
    <w:rsid w:val="141521A6"/>
    <w:rsid w:val="142771FD"/>
    <w:rsid w:val="142851FC"/>
    <w:rsid w:val="143C4803"/>
    <w:rsid w:val="14423DE3"/>
    <w:rsid w:val="14467430"/>
    <w:rsid w:val="14495172"/>
    <w:rsid w:val="144C129E"/>
    <w:rsid w:val="14612C7C"/>
    <w:rsid w:val="14856198"/>
    <w:rsid w:val="14A405FA"/>
    <w:rsid w:val="14AF1479"/>
    <w:rsid w:val="14C50C9C"/>
    <w:rsid w:val="150869FD"/>
    <w:rsid w:val="151A266A"/>
    <w:rsid w:val="1522498D"/>
    <w:rsid w:val="152D6842"/>
    <w:rsid w:val="153A798A"/>
    <w:rsid w:val="15431B06"/>
    <w:rsid w:val="154745BD"/>
    <w:rsid w:val="154F0F48"/>
    <w:rsid w:val="156A53A0"/>
    <w:rsid w:val="156F462C"/>
    <w:rsid w:val="157306F8"/>
    <w:rsid w:val="15802E15"/>
    <w:rsid w:val="161863A1"/>
    <w:rsid w:val="161C0D90"/>
    <w:rsid w:val="163F2850"/>
    <w:rsid w:val="16481480"/>
    <w:rsid w:val="16E318AE"/>
    <w:rsid w:val="17081314"/>
    <w:rsid w:val="170F37F4"/>
    <w:rsid w:val="174C5E13"/>
    <w:rsid w:val="17671E03"/>
    <w:rsid w:val="177B3894"/>
    <w:rsid w:val="178A7FB9"/>
    <w:rsid w:val="179E3A27"/>
    <w:rsid w:val="17A0154D"/>
    <w:rsid w:val="17A56B63"/>
    <w:rsid w:val="17AF1790"/>
    <w:rsid w:val="17C0399D"/>
    <w:rsid w:val="17CE7BBF"/>
    <w:rsid w:val="17D15BAA"/>
    <w:rsid w:val="17DE06DA"/>
    <w:rsid w:val="17F458CF"/>
    <w:rsid w:val="18047D2E"/>
    <w:rsid w:val="18687DCA"/>
    <w:rsid w:val="1876405C"/>
    <w:rsid w:val="187708EA"/>
    <w:rsid w:val="18891FE1"/>
    <w:rsid w:val="18B97EC3"/>
    <w:rsid w:val="18D004E2"/>
    <w:rsid w:val="18D019BE"/>
    <w:rsid w:val="19022CA7"/>
    <w:rsid w:val="1970104B"/>
    <w:rsid w:val="197E58BE"/>
    <w:rsid w:val="19810F0A"/>
    <w:rsid w:val="198D007A"/>
    <w:rsid w:val="1997591B"/>
    <w:rsid w:val="19AF3CC9"/>
    <w:rsid w:val="19DB7287"/>
    <w:rsid w:val="19EE47F1"/>
    <w:rsid w:val="19F17E3E"/>
    <w:rsid w:val="1A4545F6"/>
    <w:rsid w:val="1A5E2AD6"/>
    <w:rsid w:val="1AA15EFA"/>
    <w:rsid w:val="1AA76620"/>
    <w:rsid w:val="1AB86BAD"/>
    <w:rsid w:val="1AC074E4"/>
    <w:rsid w:val="1ACC1D44"/>
    <w:rsid w:val="1ACE3D5F"/>
    <w:rsid w:val="1ADA7313"/>
    <w:rsid w:val="1B0B13D3"/>
    <w:rsid w:val="1B0E67CD"/>
    <w:rsid w:val="1B35349A"/>
    <w:rsid w:val="1B572B4C"/>
    <w:rsid w:val="1B6504CF"/>
    <w:rsid w:val="1B7F1479"/>
    <w:rsid w:val="1B800516"/>
    <w:rsid w:val="1BA92D51"/>
    <w:rsid w:val="1BC352CD"/>
    <w:rsid w:val="1BD96DDB"/>
    <w:rsid w:val="1BE22134"/>
    <w:rsid w:val="1C56533A"/>
    <w:rsid w:val="1C740B5C"/>
    <w:rsid w:val="1CAB69CA"/>
    <w:rsid w:val="1CB452A0"/>
    <w:rsid w:val="1CB515F6"/>
    <w:rsid w:val="1CD60579"/>
    <w:rsid w:val="1D1125A5"/>
    <w:rsid w:val="1D115CC0"/>
    <w:rsid w:val="1D7C2114"/>
    <w:rsid w:val="1D807DB2"/>
    <w:rsid w:val="1D817327"/>
    <w:rsid w:val="1D9E45C0"/>
    <w:rsid w:val="1DA578BD"/>
    <w:rsid w:val="1DCD0AE9"/>
    <w:rsid w:val="1DD32803"/>
    <w:rsid w:val="1DDC2BB3"/>
    <w:rsid w:val="1DF70B2D"/>
    <w:rsid w:val="1E081866"/>
    <w:rsid w:val="1E133217"/>
    <w:rsid w:val="1E222CBC"/>
    <w:rsid w:val="1E3B4FAB"/>
    <w:rsid w:val="1E3F2ADD"/>
    <w:rsid w:val="1E4735BD"/>
    <w:rsid w:val="1E483162"/>
    <w:rsid w:val="1E4B60EC"/>
    <w:rsid w:val="1E4F7829"/>
    <w:rsid w:val="1E5866DD"/>
    <w:rsid w:val="1E696B3C"/>
    <w:rsid w:val="1E9B0CC0"/>
    <w:rsid w:val="1EB05579"/>
    <w:rsid w:val="1EBD0C36"/>
    <w:rsid w:val="1F2953ED"/>
    <w:rsid w:val="1F30765A"/>
    <w:rsid w:val="1F3A5D31"/>
    <w:rsid w:val="1F435AB7"/>
    <w:rsid w:val="1F8E3B36"/>
    <w:rsid w:val="1F915F12"/>
    <w:rsid w:val="1FAB6CE1"/>
    <w:rsid w:val="1FAD2A59"/>
    <w:rsid w:val="1FD431F0"/>
    <w:rsid w:val="1FEA15B7"/>
    <w:rsid w:val="1FF233D2"/>
    <w:rsid w:val="1FF561AE"/>
    <w:rsid w:val="201330C0"/>
    <w:rsid w:val="202E5EDE"/>
    <w:rsid w:val="20410712"/>
    <w:rsid w:val="204333BD"/>
    <w:rsid w:val="207302A3"/>
    <w:rsid w:val="207C34E9"/>
    <w:rsid w:val="207F2647"/>
    <w:rsid w:val="20C0056A"/>
    <w:rsid w:val="20F3093F"/>
    <w:rsid w:val="210668C5"/>
    <w:rsid w:val="21261611"/>
    <w:rsid w:val="2152693A"/>
    <w:rsid w:val="21DA7BE2"/>
    <w:rsid w:val="21DE316F"/>
    <w:rsid w:val="21E12F82"/>
    <w:rsid w:val="21FB2E54"/>
    <w:rsid w:val="22001566"/>
    <w:rsid w:val="22470893"/>
    <w:rsid w:val="22AB76A5"/>
    <w:rsid w:val="22B50492"/>
    <w:rsid w:val="22C57AA8"/>
    <w:rsid w:val="22D60519"/>
    <w:rsid w:val="2319435A"/>
    <w:rsid w:val="231B417D"/>
    <w:rsid w:val="23445482"/>
    <w:rsid w:val="23865A9B"/>
    <w:rsid w:val="238768AD"/>
    <w:rsid w:val="238B4578"/>
    <w:rsid w:val="239161EE"/>
    <w:rsid w:val="239A32F4"/>
    <w:rsid w:val="23A35ADA"/>
    <w:rsid w:val="23C95987"/>
    <w:rsid w:val="23D83E1C"/>
    <w:rsid w:val="23E77360"/>
    <w:rsid w:val="23EF300E"/>
    <w:rsid w:val="23FE7D27"/>
    <w:rsid w:val="243E0123"/>
    <w:rsid w:val="244D6157"/>
    <w:rsid w:val="24520004"/>
    <w:rsid w:val="245538EE"/>
    <w:rsid w:val="245B12BB"/>
    <w:rsid w:val="249A5443"/>
    <w:rsid w:val="24A87C93"/>
    <w:rsid w:val="24AB4C03"/>
    <w:rsid w:val="24B735F7"/>
    <w:rsid w:val="24D97E4C"/>
    <w:rsid w:val="24F353CE"/>
    <w:rsid w:val="250273A3"/>
    <w:rsid w:val="253E0773"/>
    <w:rsid w:val="25BC3215"/>
    <w:rsid w:val="25C94FEB"/>
    <w:rsid w:val="25E70642"/>
    <w:rsid w:val="25F71903"/>
    <w:rsid w:val="260E7FC9"/>
    <w:rsid w:val="26103D41"/>
    <w:rsid w:val="26592460"/>
    <w:rsid w:val="269A360B"/>
    <w:rsid w:val="27094CDC"/>
    <w:rsid w:val="270F3FF9"/>
    <w:rsid w:val="27165D0C"/>
    <w:rsid w:val="271F447F"/>
    <w:rsid w:val="272740E8"/>
    <w:rsid w:val="27343A60"/>
    <w:rsid w:val="2748204C"/>
    <w:rsid w:val="275C796D"/>
    <w:rsid w:val="27621CFE"/>
    <w:rsid w:val="27743E5C"/>
    <w:rsid w:val="27B96EAD"/>
    <w:rsid w:val="27BA3F65"/>
    <w:rsid w:val="27EB4FAC"/>
    <w:rsid w:val="28212236"/>
    <w:rsid w:val="284B1061"/>
    <w:rsid w:val="284B72B3"/>
    <w:rsid w:val="28933E79"/>
    <w:rsid w:val="28985F92"/>
    <w:rsid w:val="28B22E8E"/>
    <w:rsid w:val="28C36E49"/>
    <w:rsid w:val="28C66939"/>
    <w:rsid w:val="28E514B5"/>
    <w:rsid w:val="28EB4FF4"/>
    <w:rsid w:val="29211DC2"/>
    <w:rsid w:val="292E6004"/>
    <w:rsid w:val="292E6AC2"/>
    <w:rsid w:val="299D6177"/>
    <w:rsid w:val="29A0362E"/>
    <w:rsid w:val="29A35024"/>
    <w:rsid w:val="29AF179D"/>
    <w:rsid w:val="2A1C2084"/>
    <w:rsid w:val="2A28676B"/>
    <w:rsid w:val="2A2D4EC2"/>
    <w:rsid w:val="2AC54112"/>
    <w:rsid w:val="2AF92FF6"/>
    <w:rsid w:val="2B0012E8"/>
    <w:rsid w:val="2B044F6A"/>
    <w:rsid w:val="2B35253C"/>
    <w:rsid w:val="2B357DA8"/>
    <w:rsid w:val="2B3C1135"/>
    <w:rsid w:val="2B400C25"/>
    <w:rsid w:val="2BA17E5E"/>
    <w:rsid w:val="2BCE4483"/>
    <w:rsid w:val="2BE55328"/>
    <w:rsid w:val="2C1B6F9C"/>
    <w:rsid w:val="2C1D2D14"/>
    <w:rsid w:val="2C2916B9"/>
    <w:rsid w:val="2C385DA0"/>
    <w:rsid w:val="2C491D5B"/>
    <w:rsid w:val="2CA262F6"/>
    <w:rsid w:val="2CC85B24"/>
    <w:rsid w:val="2CE850D0"/>
    <w:rsid w:val="2CF3274D"/>
    <w:rsid w:val="2CFB12A7"/>
    <w:rsid w:val="2D1934DC"/>
    <w:rsid w:val="2D2F57D7"/>
    <w:rsid w:val="2D300825"/>
    <w:rsid w:val="2D3322E5"/>
    <w:rsid w:val="2D345C8F"/>
    <w:rsid w:val="2DAC0846"/>
    <w:rsid w:val="2DB11966"/>
    <w:rsid w:val="2DC31F48"/>
    <w:rsid w:val="2DD66D52"/>
    <w:rsid w:val="2E045F3A"/>
    <w:rsid w:val="2E6536FA"/>
    <w:rsid w:val="2E6D7F83"/>
    <w:rsid w:val="2E7A0014"/>
    <w:rsid w:val="2E954DE4"/>
    <w:rsid w:val="2EA339A5"/>
    <w:rsid w:val="2ED2428A"/>
    <w:rsid w:val="2F0E4B96"/>
    <w:rsid w:val="2F234AE5"/>
    <w:rsid w:val="2F3E386C"/>
    <w:rsid w:val="2F503401"/>
    <w:rsid w:val="2F6A2714"/>
    <w:rsid w:val="2F7722EC"/>
    <w:rsid w:val="2F796ED7"/>
    <w:rsid w:val="2F8134D7"/>
    <w:rsid w:val="2F947791"/>
    <w:rsid w:val="2FA6796C"/>
    <w:rsid w:val="2FAC421C"/>
    <w:rsid w:val="2FB27C17"/>
    <w:rsid w:val="2FD34791"/>
    <w:rsid w:val="2FDD7D49"/>
    <w:rsid w:val="2FE222AB"/>
    <w:rsid w:val="2FE73D65"/>
    <w:rsid w:val="304A3813"/>
    <w:rsid w:val="30607673"/>
    <w:rsid w:val="309B63BE"/>
    <w:rsid w:val="30A739BB"/>
    <w:rsid w:val="30F5293C"/>
    <w:rsid w:val="312F7772"/>
    <w:rsid w:val="314C61CB"/>
    <w:rsid w:val="31533BDF"/>
    <w:rsid w:val="315F792B"/>
    <w:rsid w:val="316867E0"/>
    <w:rsid w:val="317B750B"/>
    <w:rsid w:val="31D74720"/>
    <w:rsid w:val="32282F0C"/>
    <w:rsid w:val="32494863"/>
    <w:rsid w:val="324A7697"/>
    <w:rsid w:val="325239A8"/>
    <w:rsid w:val="325A7673"/>
    <w:rsid w:val="327D275F"/>
    <w:rsid w:val="32911D66"/>
    <w:rsid w:val="32AD49B4"/>
    <w:rsid w:val="32C81CE5"/>
    <w:rsid w:val="32E75E2A"/>
    <w:rsid w:val="3320181C"/>
    <w:rsid w:val="333F4524"/>
    <w:rsid w:val="33592B3D"/>
    <w:rsid w:val="337D02CD"/>
    <w:rsid w:val="337E4384"/>
    <w:rsid w:val="33AD497E"/>
    <w:rsid w:val="33C30645"/>
    <w:rsid w:val="33C97EFF"/>
    <w:rsid w:val="34014CC9"/>
    <w:rsid w:val="340B78AF"/>
    <w:rsid w:val="34205E8E"/>
    <w:rsid w:val="342F5CDB"/>
    <w:rsid w:val="34433534"/>
    <w:rsid w:val="3445105A"/>
    <w:rsid w:val="344A48C2"/>
    <w:rsid w:val="34961F32"/>
    <w:rsid w:val="34A00986"/>
    <w:rsid w:val="34AD0F50"/>
    <w:rsid w:val="34F62354"/>
    <w:rsid w:val="352769B2"/>
    <w:rsid w:val="354971FA"/>
    <w:rsid w:val="35BA3691"/>
    <w:rsid w:val="35E0728C"/>
    <w:rsid w:val="35F33270"/>
    <w:rsid w:val="35F7680A"/>
    <w:rsid w:val="35FE2622"/>
    <w:rsid w:val="3625331A"/>
    <w:rsid w:val="363009AC"/>
    <w:rsid w:val="36347C65"/>
    <w:rsid w:val="365D6B2F"/>
    <w:rsid w:val="36691DA0"/>
    <w:rsid w:val="366D6646"/>
    <w:rsid w:val="367B7FC3"/>
    <w:rsid w:val="367E73A9"/>
    <w:rsid w:val="36873BAC"/>
    <w:rsid w:val="36A363F9"/>
    <w:rsid w:val="36A56197"/>
    <w:rsid w:val="36BD00AD"/>
    <w:rsid w:val="36C107AF"/>
    <w:rsid w:val="370945C1"/>
    <w:rsid w:val="371D1E1A"/>
    <w:rsid w:val="372B39B3"/>
    <w:rsid w:val="37321D6A"/>
    <w:rsid w:val="373830F8"/>
    <w:rsid w:val="374455F9"/>
    <w:rsid w:val="374B4C2A"/>
    <w:rsid w:val="376D2348"/>
    <w:rsid w:val="376D2DA2"/>
    <w:rsid w:val="377311F1"/>
    <w:rsid w:val="37734130"/>
    <w:rsid w:val="3783024A"/>
    <w:rsid w:val="37AD2BAA"/>
    <w:rsid w:val="37D3697D"/>
    <w:rsid w:val="37F570CC"/>
    <w:rsid w:val="37FF36C2"/>
    <w:rsid w:val="38001ED1"/>
    <w:rsid w:val="380B4C30"/>
    <w:rsid w:val="380D1E8F"/>
    <w:rsid w:val="3837515E"/>
    <w:rsid w:val="384F068B"/>
    <w:rsid w:val="386A108F"/>
    <w:rsid w:val="38C253BB"/>
    <w:rsid w:val="38C52A81"/>
    <w:rsid w:val="38CC40BF"/>
    <w:rsid w:val="38F222A3"/>
    <w:rsid w:val="38FB0712"/>
    <w:rsid w:val="39045A80"/>
    <w:rsid w:val="390A1E17"/>
    <w:rsid w:val="39493A7B"/>
    <w:rsid w:val="39521A94"/>
    <w:rsid w:val="39AD2E17"/>
    <w:rsid w:val="39E3559D"/>
    <w:rsid w:val="39F41558"/>
    <w:rsid w:val="3A3114D6"/>
    <w:rsid w:val="3A4A2CCC"/>
    <w:rsid w:val="3A4B4EF0"/>
    <w:rsid w:val="3A76577E"/>
    <w:rsid w:val="3A791A5E"/>
    <w:rsid w:val="3A7C7C11"/>
    <w:rsid w:val="3A7E7074"/>
    <w:rsid w:val="3A7F4D4F"/>
    <w:rsid w:val="3A86542E"/>
    <w:rsid w:val="3A927A2B"/>
    <w:rsid w:val="3AB95D9F"/>
    <w:rsid w:val="3AB962FE"/>
    <w:rsid w:val="3ACA72AB"/>
    <w:rsid w:val="3AD6079A"/>
    <w:rsid w:val="3ADA3505"/>
    <w:rsid w:val="3AE80991"/>
    <w:rsid w:val="3B181276"/>
    <w:rsid w:val="3B196D9D"/>
    <w:rsid w:val="3B2E495E"/>
    <w:rsid w:val="3B4430A4"/>
    <w:rsid w:val="3B571B2D"/>
    <w:rsid w:val="3B5F4141"/>
    <w:rsid w:val="3B6E6127"/>
    <w:rsid w:val="3B712A3F"/>
    <w:rsid w:val="3B7700EF"/>
    <w:rsid w:val="3BAB3E99"/>
    <w:rsid w:val="3BAD21DD"/>
    <w:rsid w:val="3BBE3479"/>
    <w:rsid w:val="3BD7738D"/>
    <w:rsid w:val="3BDC04F6"/>
    <w:rsid w:val="3BF20CEE"/>
    <w:rsid w:val="3C0D4B53"/>
    <w:rsid w:val="3C0F6D9B"/>
    <w:rsid w:val="3C11604C"/>
    <w:rsid w:val="3C2F4ACA"/>
    <w:rsid w:val="3C3328AA"/>
    <w:rsid w:val="3C3E711C"/>
    <w:rsid w:val="3C4131D2"/>
    <w:rsid w:val="3C514A40"/>
    <w:rsid w:val="3C53008C"/>
    <w:rsid w:val="3C694142"/>
    <w:rsid w:val="3C6F56F0"/>
    <w:rsid w:val="3C7C3A87"/>
    <w:rsid w:val="3C885F88"/>
    <w:rsid w:val="3C9100B2"/>
    <w:rsid w:val="3CB13B28"/>
    <w:rsid w:val="3CB274A9"/>
    <w:rsid w:val="3CD65500"/>
    <w:rsid w:val="3CDA218B"/>
    <w:rsid w:val="3CFB6DB0"/>
    <w:rsid w:val="3D033860"/>
    <w:rsid w:val="3D1617E6"/>
    <w:rsid w:val="3D213E0A"/>
    <w:rsid w:val="3D216783"/>
    <w:rsid w:val="3D683A5A"/>
    <w:rsid w:val="3D9A4D1A"/>
    <w:rsid w:val="3DAF11C8"/>
    <w:rsid w:val="3E0C2BE9"/>
    <w:rsid w:val="3E155F41"/>
    <w:rsid w:val="3E316F98"/>
    <w:rsid w:val="3E546A69"/>
    <w:rsid w:val="3E5720B6"/>
    <w:rsid w:val="3E663DC7"/>
    <w:rsid w:val="3E682515"/>
    <w:rsid w:val="3E781198"/>
    <w:rsid w:val="3EA45DE0"/>
    <w:rsid w:val="3EA507EC"/>
    <w:rsid w:val="3ED03C16"/>
    <w:rsid w:val="3ED81271"/>
    <w:rsid w:val="3EFD0EAF"/>
    <w:rsid w:val="3F246212"/>
    <w:rsid w:val="3F250A03"/>
    <w:rsid w:val="3F312907"/>
    <w:rsid w:val="3F5A718F"/>
    <w:rsid w:val="3F5E56C6"/>
    <w:rsid w:val="3F746C97"/>
    <w:rsid w:val="3F76656C"/>
    <w:rsid w:val="3F7A57E8"/>
    <w:rsid w:val="3FA801D6"/>
    <w:rsid w:val="3FAB1A35"/>
    <w:rsid w:val="3FD00372"/>
    <w:rsid w:val="4037219F"/>
    <w:rsid w:val="40556615"/>
    <w:rsid w:val="407E4C8D"/>
    <w:rsid w:val="40A04F25"/>
    <w:rsid w:val="40C61775"/>
    <w:rsid w:val="40D01B70"/>
    <w:rsid w:val="41195D48"/>
    <w:rsid w:val="412D35A2"/>
    <w:rsid w:val="414032D5"/>
    <w:rsid w:val="417411D1"/>
    <w:rsid w:val="41AC3523"/>
    <w:rsid w:val="41CF4D8C"/>
    <w:rsid w:val="41F8770C"/>
    <w:rsid w:val="4205655B"/>
    <w:rsid w:val="42304060"/>
    <w:rsid w:val="424E557E"/>
    <w:rsid w:val="426771C5"/>
    <w:rsid w:val="427C033D"/>
    <w:rsid w:val="42AD6748"/>
    <w:rsid w:val="42C35F6C"/>
    <w:rsid w:val="42C910A8"/>
    <w:rsid w:val="43291B47"/>
    <w:rsid w:val="43362BE2"/>
    <w:rsid w:val="434F5A51"/>
    <w:rsid w:val="43903D74"/>
    <w:rsid w:val="43A15B81"/>
    <w:rsid w:val="43A22025"/>
    <w:rsid w:val="43C05449"/>
    <w:rsid w:val="43E71A51"/>
    <w:rsid w:val="43F9452C"/>
    <w:rsid w:val="43FC664A"/>
    <w:rsid w:val="44061B6C"/>
    <w:rsid w:val="44134CD1"/>
    <w:rsid w:val="44142E9D"/>
    <w:rsid w:val="441951DF"/>
    <w:rsid w:val="441F5424"/>
    <w:rsid w:val="442567B2"/>
    <w:rsid w:val="444906F3"/>
    <w:rsid w:val="444E6F6A"/>
    <w:rsid w:val="44516544"/>
    <w:rsid w:val="44982178"/>
    <w:rsid w:val="44983428"/>
    <w:rsid w:val="44DB3695"/>
    <w:rsid w:val="44F106C9"/>
    <w:rsid w:val="44FA7C3F"/>
    <w:rsid w:val="450420E6"/>
    <w:rsid w:val="450D7972"/>
    <w:rsid w:val="4522137C"/>
    <w:rsid w:val="455C726A"/>
    <w:rsid w:val="456357E4"/>
    <w:rsid w:val="457519DB"/>
    <w:rsid w:val="45941E41"/>
    <w:rsid w:val="4599295C"/>
    <w:rsid w:val="45B07DD3"/>
    <w:rsid w:val="45D97540"/>
    <w:rsid w:val="45FD79E7"/>
    <w:rsid w:val="45FE72BB"/>
    <w:rsid w:val="460B4082"/>
    <w:rsid w:val="460E0608"/>
    <w:rsid w:val="461446D4"/>
    <w:rsid w:val="46285E68"/>
    <w:rsid w:val="46476EB4"/>
    <w:rsid w:val="46965745"/>
    <w:rsid w:val="46AC4F69"/>
    <w:rsid w:val="46B300A5"/>
    <w:rsid w:val="46EB3F0D"/>
    <w:rsid w:val="46EB5A91"/>
    <w:rsid w:val="470C44B2"/>
    <w:rsid w:val="471F1F5C"/>
    <w:rsid w:val="4723347D"/>
    <w:rsid w:val="474B6530"/>
    <w:rsid w:val="474C5379"/>
    <w:rsid w:val="47525B10"/>
    <w:rsid w:val="47573C81"/>
    <w:rsid w:val="47764DC0"/>
    <w:rsid w:val="479C6D8B"/>
    <w:rsid w:val="47BE6D02"/>
    <w:rsid w:val="47C264BF"/>
    <w:rsid w:val="47DC187E"/>
    <w:rsid w:val="47E2130D"/>
    <w:rsid w:val="47EE4B99"/>
    <w:rsid w:val="47EF0E6E"/>
    <w:rsid w:val="480037BE"/>
    <w:rsid w:val="48030EA4"/>
    <w:rsid w:val="48180B08"/>
    <w:rsid w:val="48291816"/>
    <w:rsid w:val="482A25E9"/>
    <w:rsid w:val="48315726"/>
    <w:rsid w:val="488A284F"/>
    <w:rsid w:val="48BF71D5"/>
    <w:rsid w:val="48C4711F"/>
    <w:rsid w:val="48EF5AA8"/>
    <w:rsid w:val="491F7C74"/>
    <w:rsid w:val="493279A7"/>
    <w:rsid w:val="4950607F"/>
    <w:rsid w:val="49540847"/>
    <w:rsid w:val="49557B3A"/>
    <w:rsid w:val="496F4A3E"/>
    <w:rsid w:val="499834EE"/>
    <w:rsid w:val="49B16DC9"/>
    <w:rsid w:val="49B67B88"/>
    <w:rsid w:val="49D00F6E"/>
    <w:rsid w:val="49DA3B9B"/>
    <w:rsid w:val="49DE7B2F"/>
    <w:rsid w:val="49F509D5"/>
    <w:rsid w:val="49F931C4"/>
    <w:rsid w:val="49FC7E5D"/>
    <w:rsid w:val="4A173903"/>
    <w:rsid w:val="4A3D6CC2"/>
    <w:rsid w:val="4A616D3D"/>
    <w:rsid w:val="4A802994"/>
    <w:rsid w:val="4A82495E"/>
    <w:rsid w:val="4A851D59"/>
    <w:rsid w:val="4A981A8C"/>
    <w:rsid w:val="4AA71E3A"/>
    <w:rsid w:val="4AAA5C63"/>
    <w:rsid w:val="4AB703EF"/>
    <w:rsid w:val="4ABF6405"/>
    <w:rsid w:val="4AC00FE3"/>
    <w:rsid w:val="4ACA42E7"/>
    <w:rsid w:val="4ACE1952"/>
    <w:rsid w:val="4AD54A8E"/>
    <w:rsid w:val="4AE72A13"/>
    <w:rsid w:val="4B15132F"/>
    <w:rsid w:val="4B2665F4"/>
    <w:rsid w:val="4B2B5700"/>
    <w:rsid w:val="4B52719C"/>
    <w:rsid w:val="4B542E90"/>
    <w:rsid w:val="4B59022F"/>
    <w:rsid w:val="4B72052F"/>
    <w:rsid w:val="4BAA41A7"/>
    <w:rsid w:val="4BBC5C4E"/>
    <w:rsid w:val="4BDC52F9"/>
    <w:rsid w:val="4BF92D50"/>
    <w:rsid w:val="4C066236"/>
    <w:rsid w:val="4C0F5D7E"/>
    <w:rsid w:val="4C241E2E"/>
    <w:rsid w:val="4C577725"/>
    <w:rsid w:val="4C5F5C1D"/>
    <w:rsid w:val="4C720E18"/>
    <w:rsid w:val="4C8466A8"/>
    <w:rsid w:val="4C8C5620"/>
    <w:rsid w:val="4CB132D9"/>
    <w:rsid w:val="4CB342C8"/>
    <w:rsid w:val="4CC53F3F"/>
    <w:rsid w:val="4CE200B3"/>
    <w:rsid w:val="4CF02842"/>
    <w:rsid w:val="4D001B6A"/>
    <w:rsid w:val="4D292176"/>
    <w:rsid w:val="4D2B308B"/>
    <w:rsid w:val="4D4C3ECB"/>
    <w:rsid w:val="4D7A191D"/>
    <w:rsid w:val="4D8E7176"/>
    <w:rsid w:val="4DA60B74"/>
    <w:rsid w:val="4DD10F56"/>
    <w:rsid w:val="4E1A310B"/>
    <w:rsid w:val="4E1E6C22"/>
    <w:rsid w:val="4E375A60"/>
    <w:rsid w:val="4E3C4E24"/>
    <w:rsid w:val="4E4D4825"/>
    <w:rsid w:val="4E65437B"/>
    <w:rsid w:val="4E6F51FA"/>
    <w:rsid w:val="4E721147"/>
    <w:rsid w:val="4EA74993"/>
    <w:rsid w:val="4EAE4A7E"/>
    <w:rsid w:val="4ED11A10"/>
    <w:rsid w:val="4EE9700D"/>
    <w:rsid w:val="4F226A8C"/>
    <w:rsid w:val="4F5336EF"/>
    <w:rsid w:val="4F564114"/>
    <w:rsid w:val="4F684CD7"/>
    <w:rsid w:val="4F766114"/>
    <w:rsid w:val="4FA964E9"/>
    <w:rsid w:val="4FBE01E7"/>
    <w:rsid w:val="4FC92766"/>
    <w:rsid w:val="4FFB2588"/>
    <w:rsid w:val="500C0342"/>
    <w:rsid w:val="502C4C13"/>
    <w:rsid w:val="50454464"/>
    <w:rsid w:val="50527605"/>
    <w:rsid w:val="507A1C34"/>
    <w:rsid w:val="50876C82"/>
    <w:rsid w:val="50990ABF"/>
    <w:rsid w:val="50A258C9"/>
    <w:rsid w:val="50BB64D4"/>
    <w:rsid w:val="50F639B0"/>
    <w:rsid w:val="510F05CE"/>
    <w:rsid w:val="5111349B"/>
    <w:rsid w:val="513649CD"/>
    <w:rsid w:val="513A054C"/>
    <w:rsid w:val="517448D5"/>
    <w:rsid w:val="51752B27"/>
    <w:rsid w:val="519F0D4E"/>
    <w:rsid w:val="51B761EE"/>
    <w:rsid w:val="51DB3067"/>
    <w:rsid w:val="51DF63F3"/>
    <w:rsid w:val="52185DFC"/>
    <w:rsid w:val="524F1E74"/>
    <w:rsid w:val="5257047F"/>
    <w:rsid w:val="52693B3B"/>
    <w:rsid w:val="527270F8"/>
    <w:rsid w:val="52833289"/>
    <w:rsid w:val="52972F71"/>
    <w:rsid w:val="529F5982"/>
    <w:rsid w:val="52D16FBF"/>
    <w:rsid w:val="52E837CD"/>
    <w:rsid w:val="52EB4F08"/>
    <w:rsid w:val="52EC69E9"/>
    <w:rsid w:val="52FE346D"/>
    <w:rsid w:val="530B35A8"/>
    <w:rsid w:val="531C6FD2"/>
    <w:rsid w:val="53C12719"/>
    <w:rsid w:val="53D27EFA"/>
    <w:rsid w:val="53E82BA0"/>
    <w:rsid w:val="5436724D"/>
    <w:rsid w:val="544E780A"/>
    <w:rsid w:val="54AD62A2"/>
    <w:rsid w:val="54ED0C26"/>
    <w:rsid w:val="54F75F49"/>
    <w:rsid w:val="54FA3860"/>
    <w:rsid w:val="550C0239"/>
    <w:rsid w:val="550F5041"/>
    <w:rsid w:val="551164ED"/>
    <w:rsid w:val="55117F01"/>
    <w:rsid w:val="55301C97"/>
    <w:rsid w:val="55384597"/>
    <w:rsid w:val="554D5143"/>
    <w:rsid w:val="555C76B9"/>
    <w:rsid w:val="559317CE"/>
    <w:rsid w:val="55990AA9"/>
    <w:rsid w:val="55CA6603"/>
    <w:rsid w:val="55CC4374"/>
    <w:rsid w:val="55E9183D"/>
    <w:rsid w:val="562B40FC"/>
    <w:rsid w:val="564515C1"/>
    <w:rsid w:val="56520A75"/>
    <w:rsid w:val="56671279"/>
    <w:rsid w:val="568556E6"/>
    <w:rsid w:val="569C2C01"/>
    <w:rsid w:val="56BC4D54"/>
    <w:rsid w:val="56F031A2"/>
    <w:rsid w:val="56F444EE"/>
    <w:rsid w:val="570E00B5"/>
    <w:rsid w:val="571406EC"/>
    <w:rsid w:val="571903F8"/>
    <w:rsid w:val="57266C63"/>
    <w:rsid w:val="57435475"/>
    <w:rsid w:val="57477C1E"/>
    <w:rsid w:val="574A7F37"/>
    <w:rsid w:val="57511940"/>
    <w:rsid w:val="57DB070F"/>
    <w:rsid w:val="57E44562"/>
    <w:rsid w:val="58005114"/>
    <w:rsid w:val="580764A3"/>
    <w:rsid w:val="58177C8A"/>
    <w:rsid w:val="58962D72"/>
    <w:rsid w:val="589862A1"/>
    <w:rsid w:val="589F0489"/>
    <w:rsid w:val="58A25872"/>
    <w:rsid w:val="58C5536C"/>
    <w:rsid w:val="58E47EE3"/>
    <w:rsid w:val="58FC6B2B"/>
    <w:rsid w:val="59025F97"/>
    <w:rsid w:val="593C217C"/>
    <w:rsid w:val="594A2AEB"/>
    <w:rsid w:val="59527BF2"/>
    <w:rsid w:val="59706C10"/>
    <w:rsid w:val="59A26483"/>
    <w:rsid w:val="59A34386"/>
    <w:rsid w:val="59AD4E28"/>
    <w:rsid w:val="59BB14E1"/>
    <w:rsid w:val="59CC4967"/>
    <w:rsid w:val="59CE12B8"/>
    <w:rsid w:val="59D24E0C"/>
    <w:rsid w:val="5A13112F"/>
    <w:rsid w:val="5A336869"/>
    <w:rsid w:val="5A3717FC"/>
    <w:rsid w:val="5A3A15EA"/>
    <w:rsid w:val="5A4D0867"/>
    <w:rsid w:val="5A61633E"/>
    <w:rsid w:val="5A616911"/>
    <w:rsid w:val="5A65657D"/>
    <w:rsid w:val="5A6D29FD"/>
    <w:rsid w:val="5A7616BE"/>
    <w:rsid w:val="5A9164F8"/>
    <w:rsid w:val="5AA82544"/>
    <w:rsid w:val="5ABF3219"/>
    <w:rsid w:val="5AC10B8B"/>
    <w:rsid w:val="5AC33B31"/>
    <w:rsid w:val="5AF2338E"/>
    <w:rsid w:val="5B24736C"/>
    <w:rsid w:val="5B3B3154"/>
    <w:rsid w:val="5B547C51"/>
    <w:rsid w:val="5B8816A9"/>
    <w:rsid w:val="5B9A42C8"/>
    <w:rsid w:val="5BAD5ED8"/>
    <w:rsid w:val="5BAE68A6"/>
    <w:rsid w:val="5BCA3A6F"/>
    <w:rsid w:val="5BE82147"/>
    <w:rsid w:val="5C301597"/>
    <w:rsid w:val="5C3E620B"/>
    <w:rsid w:val="5C605325"/>
    <w:rsid w:val="5C646AE3"/>
    <w:rsid w:val="5C9327EC"/>
    <w:rsid w:val="5C9906DC"/>
    <w:rsid w:val="5CA37340"/>
    <w:rsid w:val="5CC04E72"/>
    <w:rsid w:val="5CD32E7C"/>
    <w:rsid w:val="5CE13766"/>
    <w:rsid w:val="5CEF4B56"/>
    <w:rsid w:val="5CFF1550"/>
    <w:rsid w:val="5D2B5744"/>
    <w:rsid w:val="5D437FF9"/>
    <w:rsid w:val="5D494E68"/>
    <w:rsid w:val="5D5932FD"/>
    <w:rsid w:val="5D9B311D"/>
    <w:rsid w:val="5DA541AF"/>
    <w:rsid w:val="5DB0643F"/>
    <w:rsid w:val="5DB46785"/>
    <w:rsid w:val="5DCC2370"/>
    <w:rsid w:val="5DD961EC"/>
    <w:rsid w:val="5DDE3802"/>
    <w:rsid w:val="5DE83964"/>
    <w:rsid w:val="5DFB43B4"/>
    <w:rsid w:val="5E1A4783"/>
    <w:rsid w:val="5E2558D5"/>
    <w:rsid w:val="5E4C10B3"/>
    <w:rsid w:val="5E5E7B70"/>
    <w:rsid w:val="5ED03A93"/>
    <w:rsid w:val="5F092B01"/>
    <w:rsid w:val="5F0B5E7A"/>
    <w:rsid w:val="5F155949"/>
    <w:rsid w:val="5F282CBE"/>
    <w:rsid w:val="5F3E6C4E"/>
    <w:rsid w:val="5F45553B"/>
    <w:rsid w:val="5F61282E"/>
    <w:rsid w:val="5F665FF8"/>
    <w:rsid w:val="5F7819CA"/>
    <w:rsid w:val="5F815E9E"/>
    <w:rsid w:val="5FB36E1F"/>
    <w:rsid w:val="5FDC6467"/>
    <w:rsid w:val="5FE570CA"/>
    <w:rsid w:val="5FEB40B7"/>
    <w:rsid w:val="5FF94923"/>
    <w:rsid w:val="604007A4"/>
    <w:rsid w:val="6056347B"/>
    <w:rsid w:val="606C77EB"/>
    <w:rsid w:val="60853099"/>
    <w:rsid w:val="608E1DE2"/>
    <w:rsid w:val="609E6905"/>
    <w:rsid w:val="60AA3E6F"/>
    <w:rsid w:val="60AC5E39"/>
    <w:rsid w:val="60BA3DD6"/>
    <w:rsid w:val="60C6783C"/>
    <w:rsid w:val="613F0409"/>
    <w:rsid w:val="614F309A"/>
    <w:rsid w:val="616F1EDB"/>
    <w:rsid w:val="6175346E"/>
    <w:rsid w:val="617605EE"/>
    <w:rsid w:val="617A5F38"/>
    <w:rsid w:val="617E55BF"/>
    <w:rsid w:val="618D3BF2"/>
    <w:rsid w:val="61A343E1"/>
    <w:rsid w:val="61A74815"/>
    <w:rsid w:val="61C3168D"/>
    <w:rsid w:val="61CE731F"/>
    <w:rsid w:val="61D92C5E"/>
    <w:rsid w:val="61F15A5B"/>
    <w:rsid w:val="620A72BB"/>
    <w:rsid w:val="620D56EA"/>
    <w:rsid w:val="62172E25"/>
    <w:rsid w:val="6239194F"/>
    <w:rsid w:val="623F7346"/>
    <w:rsid w:val="626901BA"/>
    <w:rsid w:val="62745598"/>
    <w:rsid w:val="6283706E"/>
    <w:rsid w:val="62B92EA8"/>
    <w:rsid w:val="62C1049A"/>
    <w:rsid w:val="62D1350D"/>
    <w:rsid w:val="62FA2138"/>
    <w:rsid w:val="62FF4946"/>
    <w:rsid w:val="63047250"/>
    <w:rsid w:val="630E6937"/>
    <w:rsid w:val="634F2B30"/>
    <w:rsid w:val="637016AE"/>
    <w:rsid w:val="63747742"/>
    <w:rsid w:val="637718CB"/>
    <w:rsid w:val="63930A8A"/>
    <w:rsid w:val="639C2195"/>
    <w:rsid w:val="63B84AF5"/>
    <w:rsid w:val="63CD67F3"/>
    <w:rsid w:val="63DD630A"/>
    <w:rsid w:val="63E63410"/>
    <w:rsid w:val="63EE6769"/>
    <w:rsid w:val="63F04FBF"/>
    <w:rsid w:val="63F07540"/>
    <w:rsid w:val="63F20007"/>
    <w:rsid w:val="63FD2EB7"/>
    <w:rsid w:val="6401024A"/>
    <w:rsid w:val="64025D70"/>
    <w:rsid w:val="64095516"/>
    <w:rsid w:val="64265F03"/>
    <w:rsid w:val="642F3009"/>
    <w:rsid w:val="644D5995"/>
    <w:rsid w:val="64555CDA"/>
    <w:rsid w:val="64587C66"/>
    <w:rsid w:val="6468651B"/>
    <w:rsid w:val="647B37F7"/>
    <w:rsid w:val="64990483"/>
    <w:rsid w:val="649E018F"/>
    <w:rsid w:val="64AD62C1"/>
    <w:rsid w:val="64B13433"/>
    <w:rsid w:val="64C14FBA"/>
    <w:rsid w:val="64D0777F"/>
    <w:rsid w:val="64D31828"/>
    <w:rsid w:val="64EA4AFA"/>
    <w:rsid w:val="652E1C27"/>
    <w:rsid w:val="653041FC"/>
    <w:rsid w:val="653325E9"/>
    <w:rsid w:val="65566374"/>
    <w:rsid w:val="656C203B"/>
    <w:rsid w:val="656D0AB1"/>
    <w:rsid w:val="65AE4402"/>
    <w:rsid w:val="65BD1D54"/>
    <w:rsid w:val="65D75707"/>
    <w:rsid w:val="65E96E23"/>
    <w:rsid w:val="65ED6CD8"/>
    <w:rsid w:val="65FE7137"/>
    <w:rsid w:val="662E2328"/>
    <w:rsid w:val="667966D3"/>
    <w:rsid w:val="669557DC"/>
    <w:rsid w:val="66A51361"/>
    <w:rsid w:val="66A53D60"/>
    <w:rsid w:val="66A6332B"/>
    <w:rsid w:val="66CD6B09"/>
    <w:rsid w:val="66D41C46"/>
    <w:rsid w:val="66E246AD"/>
    <w:rsid w:val="670A3DDB"/>
    <w:rsid w:val="67113D35"/>
    <w:rsid w:val="67397CFB"/>
    <w:rsid w:val="673D3C8F"/>
    <w:rsid w:val="67595DBB"/>
    <w:rsid w:val="675C08FC"/>
    <w:rsid w:val="675D60DF"/>
    <w:rsid w:val="677F7E04"/>
    <w:rsid w:val="67876814"/>
    <w:rsid w:val="679A0521"/>
    <w:rsid w:val="67D652A3"/>
    <w:rsid w:val="67DB0933"/>
    <w:rsid w:val="67ED4C75"/>
    <w:rsid w:val="67F4246A"/>
    <w:rsid w:val="68262975"/>
    <w:rsid w:val="6847697C"/>
    <w:rsid w:val="684A6664"/>
    <w:rsid w:val="68555163"/>
    <w:rsid w:val="68576215"/>
    <w:rsid w:val="685F3791"/>
    <w:rsid w:val="689009B8"/>
    <w:rsid w:val="6899645A"/>
    <w:rsid w:val="68A37B22"/>
    <w:rsid w:val="68F718EB"/>
    <w:rsid w:val="692A1FF1"/>
    <w:rsid w:val="693D1D24"/>
    <w:rsid w:val="693D70F3"/>
    <w:rsid w:val="69443298"/>
    <w:rsid w:val="69501586"/>
    <w:rsid w:val="69562DE6"/>
    <w:rsid w:val="695A7BE1"/>
    <w:rsid w:val="695B21AB"/>
    <w:rsid w:val="696163D8"/>
    <w:rsid w:val="69661FBE"/>
    <w:rsid w:val="69682C81"/>
    <w:rsid w:val="698A6F34"/>
    <w:rsid w:val="69AA1760"/>
    <w:rsid w:val="6A034F50"/>
    <w:rsid w:val="6A4B0471"/>
    <w:rsid w:val="6A520C1C"/>
    <w:rsid w:val="6AB53B3C"/>
    <w:rsid w:val="6ACE4EA3"/>
    <w:rsid w:val="6ADE6ECB"/>
    <w:rsid w:val="6AF74AC3"/>
    <w:rsid w:val="6B0074AE"/>
    <w:rsid w:val="6B2D5DC9"/>
    <w:rsid w:val="6B361C12"/>
    <w:rsid w:val="6B427AC6"/>
    <w:rsid w:val="6B53713E"/>
    <w:rsid w:val="6B621F16"/>
    <w:rsid w:val="6BA442DD"/>
    <w:rsid w:val="6BD567C9"/>
    <w:rsid w:val="6BF21BB8"/>
    <w:rsid w:val="6C0022F4"/>
    <w:rsid w:val="6C005D47"/>
    <w:rsid w:val="6C0064B6"/>
    <w:rsid w:val="6C223454"/>
    <w:rsid w:val="6C735306"/>
    <w:rsid w:val="6C7F2654"/>
    <w:rsid w:val="6C817FC6"/>
    <w:rsid w:val="6C9205D9"/>
    <w:rsid w:val="6CDB0172"/>
    <w:rsid w:val="6D074C45"/>
    <w:rsid w:val="6D30394E"/>
    <w:rsid w:val="6D444DEE"/>
    <w:rsid w:val="6D4F0278"/>
    <w:rsid w:val="6D7712B9"/>
    <w:rsid w:val="6D9D79DD"/>
    <w:rsid w:val="6DA305C4"/>
    <w:rsid w:val="6DA87988"/>
    <w:rsid w:val="6DC768F5"/>
    <w:rsid w:val="6DD44413"/>
    <w:rsid w:val="6DEF229A"/>
    <w:rsid w:val="6E242F18"/>
    <w:rsid w:val="6E3E4DDA"/>
    <w:rsid w:val="6E4C4B44"/>
    <w:rsid w:val="6E7E20EE"/>
    <w:rsid w:val="6E9636B7"/>
    <w:rsid w:val="6EB73E7B"/>
    <w:rsid w:val="6ED8604B"/>
    <w:rsid w:val="6F262296"/>
    <w:rsid w:val="6F935010"/>
    <w:rsid w:val="6F9403E1"/>
    <w:rsid w:val="6FB73075"/>
    <w:rsid w:val="6FD41648"/>
    <w:rsid w:val="6FEE1FCA"/>
    <w:rsid w:val="6FFB1B87"/>
    <w:rsid w:val="704C0A9F"/>
    <w:rsid w:val="706212BB"/>
    <w:rsid w:val="707F670A"/>
    <w:rsid w:val="708449FD"/>
    <w:rsid w:val="708B529E"/>
    <w:rsid w:val="70BC365C"/>
    <w:rsid w:val="70D53CD8"/>
    <w:rsid w:val="70E07B89"/>
    <w:rsid w:val="7101188A"/>
    <w:rsid w:val="711133F5"/>
    <w:rsid w:val="71341C5F"/>
    <w:rsid w:val="71381023"/>
    <w:rsid w:val="715916C6"/>
    <w:rsid w:val="71632544"/>
    <w:rsid w:val="71753F8F"/>
    <w:rsid w:val="717A3C13"/>
    <w:rsid w:val="71A1306D"/>
    <w:rsid w:val="71A30B93"/>
    <w:rsid w:val="71B42DA0"/>
    <w:rsid w:val="71D35EFB"/>
    <w:rsid w:val="72070B3D"/>
    <w:rsid w:val="721E508E"/>
    <w:rsid w:val="72282783"/>
    <w:rsid w:val="72363A41"/>
    <w:rsid w:val="729606F7"/>
    <w:rsid w:val="72E96A79"/>
    <w:rsid w:val="73210568"/>
    <w:rsid w:val="732A4C18"/>
    <w:rsid w:val="732B0E40"/>
    <w:rsid w:val="733A1667"/>
    <w:rsid w:val="7362578E"/>
    <w:rsid w:val="73AF4CE8"/>
    <w:rsid w:val="73B726D3"/>
    <w:rsid w:val="73BE3A62"/>
    <w:rsid w:val="740D3D62"/>
    <w:rsid w:val="744228E5"/>
    <w:rsid w:val="745F3219"/>
    <w:rsid w:val="74661510"/>
    <w:rsid w:val="74681C20"/>
    <w:rsid w:val="74822CE1"/>
    <w:rsid w:val="74F11C15"/>
    <w:rsid w:val="750A33A0"/>
    <w:rsid w:val="75165D7E"/>
    <w:rsid w:val="753D2178"/>
    <w:rsid w:val="75513B74"/>
    <w:rsid w:val="75787B74"/>
    <w:rsid w:val="757A3A01"/>
    <w:rsid w:val="757A591F"/>
    <w:rsid w:val="758331B5"/>
    <w:rsid w:val="75B82733"/>
    <w:rsid w:val="76116A13"/>
    <w:rsid w:val="7614205F"/>
    <w:rsid w:val="761D53B8"/>
    <w:rsid w:val="76366479"/>
    <w:rsid w:val="763A0557"/>
    <w:rsid w:val="765661D4"/>
    <w:rsid w:val="76992564"/>
    <w:rsid w:val="769B6E0A"/>
    <w:rsid w:val="76B06FE3"/>
    <w:rsid w:val="76C61535"/>
    <w:rsid w:val="76C94043"/>
    <w:rsid w:val="77394704"/>
    <w:rsid w:val="7758241F"/>
    <w:rsid w:val="778D3CBB"/>
    <w:rsid w:val="7798281C"/>
    <w:rsid w:val="779E42D6"/>
    <w:rsid w:val="77A34190"/>
    <w:rsid w:val="780815AD"/>
    <w:rsid w:val="780E2ADE"/>
    <w:rsid w:val="78313EAC"/>
    <w:rsid w:val="78322C70"/>
    <w:rsid w:val="78324A1E"/>
    <w:rsid w:val="784E1923"/>
    <w:rsid w:val="7854596C"/>
    <w:rsid w:val="785B72DC"/>
    <w:rsid w:val="786477EF"/>
    <w:rsid w:val="78BB1902"/>
    <w:rsid w:val="78FB7506"/>
    <w:rsid w:val="794E5888"/>
    <w:rsid w:val="797C0647"/>
    <w:rsid w:val="79865022"/>
    <w:rsid w:val="79A90D10"/>
    <w:rsid w:val="79D65C0F"/>
    <w:rsid w:val="79DF2984"/>
    <w:rsid w:val="79ED01FC"/>
    <w:rsid w:val="79FA156C"/>
    <w:rsid w:val="7A1406E4"/>
    <w:rsid w:val="7A165595"/>
    <w:rsid w:val="7A24483B"/>
    <w:rsid w:val="7A2A00A3"/>
    <w:rsid w:val="7A431165"/>
    <w:rsid w:val="7A5275FA"/>
    <w:rsid w:val="7A574C10"/>
    <w:rsid w:val="7A5F2309"/>
    <w:rsid w:val="7A741B52"/>
    <w:rsid w:val="7A7B26AD"/>
    <w:rsid w:val="7A9674E6"/>
    <w:rsid w:val="7A981A09"/>
    <w:rsid w:val="7AA00365"/>
    <w:rsid w:val="7AA339B1"/>
    <w:rsid w:val="7AAB3417"/>
    <w:rsid w:val="7AF91823"/>
    <w:rsid w:val="7B0209A9"/>
    <w:rsid w:val="7B027FCA"/>
    <w:rsid w:val="7B0408F4"/>
    <w:rsid w:val="7B284CDF"/>
    <w:rsid w:val="7B3F4799"/>
    <w:rsid w:val="7B434FC5"/>
    <w:rsid w:val="7B5353D8"/>
    <w:rsid w:val="7B5E1571"/>
    <w:rsid w:val="7B6513CC"/>
    <w:rsid w:val="7B670E83"/>
    <w:rsid w:val="7B8350D7"/>
    <w:rsid w:val="7B8E4A06"/>
    <w:rsid w:val="7B9F621A"/>
    <w:rsid w:val="7BE20509"/>
    <w:rsid w:val="7C22691B"/>
    <w:rsid w:val="7C456984"/>
    <w:rsid w:val="7C5036C5"/>
    <w:rsid w:val="7C636ECC"/>
    <w:rsid w:val="7C801636"/>
    <w:rsid w:val="7C923CDE"/>
    <w:rsid w:val="7C977546"/>
    <w:rsid w:val="7CB77BE8"/>
    <w:rsid w:val="7CB85724"/>
    <w:rsid w:val="7CBE4AD3"/>
    <w:rsid w:val="7D07647A"/>
    <w:rsid w:val="7D3A4433"/>
    <w:rsid w:val="7D3F1BD7"/>
    <w:rsid w:val="7D6A6A08"/>
    <w:rsid w:val="7D6C3588"/>
    <w:rsid w:val="7DC955A4"/>
    <w:rsid w:val="7DCC3D61"/>
    <w:rsid w:val="7DE247F1"/>
    <w:rsid w:val="7DFC3B04"/>
    <w:rsid w:val="7E053FF8"/>
    <w:rsid w:val="7E1B24F2"/>
    <w:rsid w:val="7E1F77F3"/>
    <w:rsid w:val="7E3037AE"/>
    <w:rsid w:val="7E350DC4"/>
    <w:rsid w:val="7E372D8F"/>
    <w:rsid w:val="7E4061A7"/>
    <w:rsid w:val="7E584AB3"/>
    <w:rsid w:val="7EBE0DBA"/>
    <w:rsid w:val="7EDC3936"/>
    <w:rsid w:val="7EF51E43"/>
    <w:rsid w:val="7F013913"/>
    <w:rsid w:val="7F0C421B"/>
    <w:rsid w:val="7F10538E"/>
    <w:rsid w:val="7F3217A8"/>
    <w:rsid w:val="7F4A4D43"/>
    <w:rsid w:val="7F71127C"/>
    <w:rsid w:val="7F8877D9"/>
    <w:rsid w:val="7F8D69DE"/>
    <w:rsid w:val="7F907BDA"/>
    <w:rsid w:val="7FB14DC3"/>
    <w:rsid w:val="7FDC6DE5"/>
    <w:rsid w:val="7FE505C8"/>
    <w:rsid w:val="7FE6629E"/>
    <w:rsid w:val="7FE6675A"/>
    <w:rsid w:val="DE7F1746"/>
    <w:rsid w:val="FEFECF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paragraph" w:styleId="3">
    <w:name w:val="heading 1"/>
    <w:basedOn w:val="1"/>
    <w:next w:val="1"/>
    <w:link w:val="79"/>
    <w:qFormat/>
    <w:uiPriority w:val="0"/>
    <w:pPr>
      <w:adjustRightInd w:val="0"/>
      <w:spacing w:line="400" w:lineRule="exact"/>
      <w:jc w:val="left"/>
      <w:textAlignment w:val="baseline"/>
      <w:outlineLvl w:val="0"/>
    </w:pPr>
    <w:rPr>
      <w:rFonts w:eastAsia="黑体" w:cs="Times New Roman"/>
      <w:kern w:val="0"/>
      <w:sz w:val="24"/>
    </w:rPr>
  </w:style>
  <w:style w:type="paragraph" w:styleId="2">
    <w:name w:val="heading 2"/>
    <w:basedOn w:val="1"/>
    <w:next w:val="1"/>
    <w:qFormat/>
    <w:uiPriority w:val="0"/>
    <w:pPr>
      <w:tabs>
        <w:tab w:val="left" w:pos="1260"/>
        <w:tab w:val="left" w:pos="1575"/>
      </w:tabs>
      <w:jc w:val="both"/>
      <w:outlineLvl w:val="1"/>
    </w:pPr>
    <w:rPr>
      <w:rFonts w:ascii="Calibri" w:hAnsi="Calibri" w:eastAsia="宋体" w:cs="宋体"/>
    </w:rPr>
  </w:style>
  <w:style w:type="paragraph" w:styleId="4">
    <w:name w:val="heading 3"/>
    <w:basedOn w:val="1"/>
    <w:next w:val="5"/>
    <w:qFormat/>
    <w:uiPriority w:val="0"/>
    <w:pPr>
      <w:keepNext/>
      <w:keepLines/>
      <w:spacing w:before="260" w:after="260" w:line="413" w:lineRule="auto"/>
      <w:outlineLvl w:val="2"/>
    </w:pPr>
    <w:rPr>
      <w:rFonts w:ascii="Calibri" w:hAnsi="Calibri"/>
      <w:b/>
      <w:bCs/>
      <w:sz w:val="32"/>
      <w:szCs w:val="3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5">
    <w:name w:val="标准正文"/>
    <w:basedOn w:val="1"/>
    <w:qFormat/>
    <w:uiPriority w:val="0"/>
    <w:pPr>
      <w:spacing w:line="360" w:lineRule="auto"/>
      <w:ind w:firstLine="200" w:firstLineChars="200"/>
    </w:pPr>
    <w:rPr>
      <w:rFonts w:ascii="Calibri" w:hAnsi="Calibri"/>
      <w:sz w:val="24"/>
      <w:szCs w:val="20"/>
    </w:rPr>
  </w:style>
  <w:style w:type="paragraph" w:styleId="6">
    <w:name w:val="List Number"/>
    <w:basedOn w:val="1"/>
    <w:qFormat/>
    <w:uiPriority w:val="0"/>
    <w:pPr>
      <w:numPr>
        <w:ilvl w:val="0"/>
        <w:numId w:val="1"/>
      </w:numPr>
    </w:pPr>
    <w:rPr>
      <w:rFonts w:ascii="Calibri" w:hAnsi="Calibri"/>
    </w:rPr>
  </w:style>
  <w:style w:type="paragraph" w:styleId="7">
    <w:name w:val="Normal Indent"/>
    <w:basedOn w:val="1"/>
    <w:next w:val="8"/>
    <w:qFormat/>
    <w:uiPriority w:val="0"/>
    <w:pPr>
      <w:widowControl/>
      <w:adjustRightInd w:val="0"/>
      <w:snapToGrid w:val="0"/>
      <w:spacing w:line="480" w:lineRule="exact"/>
      <w:ind w:firstLine="567"/>
    </w:pPr>
    <w:rPr>
      <w:rFonts w:ascii="宋体" w:hAnsi="Calibri"/>
      <w:snapToGrid w:val="0"/>
      <w:color w:val="000000"/>
      <w:kern w:val="28"/>
      <w:sz w:val="28"/>
      <w:szCs w:val="20"/>
    </w:rPr>
  </w:style>
  <w:style w:type="paragraph" w:styleId="8">
    <w:name w:val="toc 2"/>
    <w:basedOn w:val="1"/>
    <w:next w:val="1"/>
    <w:qFormat/>
    <w:uiPriority w:val="0"/>
    <w:pPr>
      <w:ind w:left="420" w:leftChars="200"/>
    </w:pPr>
    <w:rPr>
      <w:rFonts w:ascii="Calibri" w:hAnsi="Calibri"/>
    </w:rPr>
  </w:style>
  <w:style w:type="paragraph" w:styleId="9">
    <w:name w:val="Document Map"/>
    <w:basedOn w:val="1"/>
    <w:link w:val="74"/>
    <w:qFormat/>
    <w:uiPriority w:val="0"/>
    <w:rPr>
      <w:rFonts w:ascii="宋体" w:hAnsi="Calibri" w:cs="Times New Roman"/>
      <w:sz w:val="18"/>
      <w:szCs w:val="18"/>
    </w:rPr>
  </w:style>
  <w:style w:type="paragraph" w:styleId="10">
    <w:name w:val="toa heading"/>
    <w:basedOn w:val="1"/>
    <w:next w:val="1"/>
    <w:qFormat/>
    <w:uiPriority w:val="0"/>
    <w:pPr>
      <w:spacing w:before="120"/>
    </w:pPr>
    <w:rPr>
      <w:rFonts w:ascii="Arial" w:hAnsi="Arial" w:cs="Arial"/>
      <w:sz w:val="24"/>
    </w:rPr>
  </w:style>
  <w:style w:type="paragraph" w:styleId="11">
    <w:name w:val="annotation text"/>
    <w:basedOn w:val="1"/>
    <w:link w:val="81"/>
    <w:qFormat/>
    <w:uiPriority w:val="0"/>
    <w:pPr>
      <w:jc w:val="left"/>
    </w:pPr>
    <w:rPr>
      <w:rFonts w:ascii="Calibri" w:hAnsi="Calibri" w:cs="Times New Roman"/>
    </w:rPr>
  </w:style>
  <w:style w:type="paragraph" w:styleId="12">
    <w:name w:val="Body Text 3"/>
    <w:basedOn w:val="1"/>
    <w:qFormat/>
    <w:uiPriority w:val="0"/>
    <w:pPr>
      <w:spacing w:after="120"/>
    </w:pPr>
    <w:rPr>
      <w:rFonts w:ascii="Calibri" w:hAnsi="Calibri"/>
      <w:sz w:val="16"/>
      <w:szCs w:val="16"/>
    </w:rPr>
  </w:style>
  <w:style w:type="paragraph" w:styleId="13">
    <w:name w:val="Body Text"/>
    <w:basedOn w:val="1"/>
    <w:next w:val="14"/>
    <w:qFormat/>
    <w:uiPriority w:val="0"/>
    <w:pPr>
      <w:spacing w:after="120"/>
    </w:pPr>
    <w:rPr>
      <w:rFonts w:ascii="Calibri" w:hAnsi="Calibri"/>
    </w:rPr>
  </w:style>
  <w:style w:type="paragraph" w:styleId="14">
    <w:name w:val="Body Text First Indent"/>
    <w:basedOn w:val="13"/>
    <w:next w:val="15"/>
    <w:qFormat/>
    <w:uiPriority w:val="0"/>
    <w:pPr>
      <w:ind w:firstLine="420" w:firstLineChars="100"/>
    </w:pPr>
  </w:style>
  <w:style w:type="paragraph" w:styleId="15">
    <w:name w:val="toc 6"/>
    <w:basedOn w:val="1"/>
    <w:next w:val="1"/>
    <w:qFormat/>
    <w:uiPriority w:val="0"/>
    <w:pPr>
      <w:ind w:left="1050"/>
      <w:jc w:val="left"/>
    </w:pPr>
    <w:rPr>
      <w:rFonts w:ascii="Calibri" w:hAnsi="Calibri"/>
      <w:sz w:val="18"/>
      <w:szCs w:val="18"/>
    </w:rPr>
  </w:style>
  <w:style w:type="paragraph" w:styleId="16">
    <w:name w:val="Body Text Indent"/>
    <w:basedOn w:val="1"/>
    <w:next w:val="1"/>
    <w:qFormat/>
    <w:uiPriority w:val="0"/>
    <w:pPr>
      <w:ind w:firstLine="560" w:firstLineChars="200"/>
    </w:pPr>
    <w:rPr>
      <w:rFonts w:ascii="Calibri" w:hAnsi="Calibri"/>
      <w:sz w:val="28"/>
    </w:rPr>
  </w:style>
  <w:style w:type="paragraph" w:styleId="17">
    <w:name w:val="List 2"/>
    <w:basedOn w:val="1"/>
    <w:qFormat/>
    <w:uiPriority w:val="0"/>
    <w:pPr>
      <w:ind w:left="100" w:leftChars="200" w:hanging="200" w:hangingChars="200"/>
    </w:pPr>
    <w:rPr>
      <w:rFonts w:ascii="Calibri" w:hAnsi="Calibri"/>
    </w:rPr>
  </w:style>
  <w:style w:type="paragraph" w:styleId="18">
    <w:name w:val="Plain Text"/>
    <w:basedOn w:val="1"/>
    <w:next w:val="7"/>
    <w:link w:val="77"/>
    <w:qFormat/>
    <w:uiPriority w:val="0"/>
    <w:rPr>
      <w:rFonts w:ascii="宋体" w:hAnsi="Courier New"/>
      <w:szCs w:val="20"/>
    </w:rPr>
  </w:style>
  <w:style w:type="paragraph" w:styleId="19">
    <w:name w:val="Date"/>
    <w:basedOn w:val="1"/>
    <w:next w:val="1"/>
    <w:qFormat/>
    <w:uiPriority w:val="0"/>
    <w:pPr>
      <w:ind w:left="2500" w:leftChars="2500"/>
    </w:pPr>
    <w:rPr>
      <w:rFonts w:ascii="Calibri" w:hAnsi="Calibri" w:eastAsia="楷体_GB2312"/>
      <w:sz w:val="32"/>
    </w:rPr>
  </w:style>
  <w:style w:type="paragraph" w:styleId="20">
    <w:name w:val="Body Text Indent 2"/>
    <w:basedOn w:val="1"/>
    <w:qFormat/>
    <w:uiPriority w:val="0"/>
    <w:pPr>
      <w:spacing w:line="360" w:lineRule="auto"/>
      <w:ind w:left="916" w:hanging="916" w:hangingChars="333"/>
    </w:pPr>
    <w:rPr>
      <w:rFonts w:ascii="Calibri" w:hAnsi="Calibri" w:eastAsia="黑体"/>
      <w:b/>
      <w:bCs/>
      <w:sz w:val="28"/>
    </w:rPr>
  </w:style>
  <w:style w:type="paragraph" w:styleId="21">
    <w:name w:val="Balloon Text"/>
    <w:basedOn w:val="1"/>
    <w:qFormat/>
    <w:uiPriority w:val="0"/>
    <w:rPr>
      <w:rFonts w:ascii="Calibri" w:hAnsi="Calibri"/>
      <w:sz w:val="18"/>
      <w:szCs w:val="18"/>
    </w:rPr>
  </w:style>
  <w:style w:type="paragraph" w:styleId="22">
    <w:name w:val="footer"/>
    <w:basedOn w:val="1"/>
    <w:qFormat/>
    <w:uiPriority w:val="0"/>
    <w:pPr>
      <w:tabs>
        <w:tab w:val="center" w:pos="4153"/>
        <w:tab w:val="right" w:pos="8306"/>
      </w:tabs>
      <w:snapToGrid w:val="0"/>
      <w:jc w:val="left"/>
    </w:pPr>
    <w:rPr>
      <w:rFonts w:ascii="Calibri" w:hAnsi="Calibri"/>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4">
    <w:name w:val="toc 1"/>
    <w:basedOn w:val="1"/>
    <w:next w:val="1"/>
    <w:qFormat/>
    <w:uiPriority w:val="0"/>
    <w:pPr>
      <w:spacing w:line="360" w:lineRule="atLeast"/>
    </w:pPr>
    <w:rPr>
      <w:rFonts w:ascii="宋体" w:hAnsi="宋体"/>
      <w:b/>
      <w:sz w:val="22"/>
      <w:szCs w:val="22"/>
    </w:rPr>
  </w:style>
  <w:style w:type="paragraph" w:styleId="25">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26">
    <w:name w:val="List"/>
    <w:basedOn w:val="1"/>
    <w:qFormat/>
    <w:uiPriority w:val="0"/>
    <w:pPr>
      <w:ind w:left="200" w:hanging="200"/>
    </w:pPr>
    <w:rPr>
      <w:rFonts w:ascii="Calibri" w:hAnsi="Calibri"/>
    </w:rPr>
  </w:style>
  <w:style w:type="paragraph" w:styleId="27">
    <w:name w:val="Body Text Indent 3"/>
    <w:basedOn w:val="1"/>
    <w:qFormat/>
    <w:uiPriority w:val="0"/>
    <w:pPr>
      <w:adjustRightInd w:val="0"/>
      <w:spacing w:line="360" w:lineRule="auto"/>
      <w:ind w:left="638" w:leftChars="304"/>
    </w:pPr>
    <w:rPr>
      <w:rFonts w:ascii="Calibri" w:hAnsi="Calibri"/>
      <w:sz w:val="32"/>
    </w:rPr>
  </w:style>
  <w:style w:type="paragraph" w:styleId="28">
    <w:name w:val="Body Text 2"/>
    <w:basedOn w:val="1"/>
    <w:qFormat/>
    <w:uiPriority w:val="0"/>
    <w:pPr>
      <w:jc w:val="center"/>
    </w:pPr>
    <w:rPr>
      <w:rFonts w:ascii="Calibri" w:hAnsi="Calibri"/>
      <w:b/>
      <w:sz w:val="72"/>
    </w:rPr>
  </w:style>
  <w:style w:type="paragraph" w:styleId="29">
    <w:name w:val="HTML Preformatted"/>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Times New Roman"/>
    </w:rPr>
  </w:style>
  <w:style w:type="paragraph" w:styleId="30">
    <w:name w:val="Normal (Web)"/>
    <w:basedOn w:val="1"/>
    <w:qFormat/>
    <w:uiPriority w:val="0"/>
    <w:pPr>
      <w:widowControl/>
      <w:spacing w:before="100" w:beforeAutospacing="1" w:after="100" w:afterAutospacing="1"/>
      <w:jc w:val="left"/>
    </w:pPr>
    <w:rPr>
      <w:rFonts w:ascii="宋体" w:hAnsi="宋体"/>
      <w:kern w:val="0"/>
      <w:sz w:val="24"/>
    </w:rPr>
  </w:style>
  <w:style w:type="paragraph" w:styleId="31">
    <w:name w:val="Title"/>
    <w:basedOn w:val="1"/>
    <w:next w:val="1"/>
    <w:link w:val="75"/>
    <w:qFormat/>
    <w:uiPriority w:val="0"/>
    <w:pPr>
      <w:widowControl/>
      <w:overflowPunct w:val="0"/>
      <w:autoSpaceDE w:val="0"/>
      <w:autoSpaceDN w:val="0"/>
      <w:adjustRightInd w:val="0"/>
      <w:jc w:val="center"/>
      <w:textAlignment w:val="baseline"/>
    </w:pPr>
    <w:rPr>
      <w:rFonts w:ascii="Calibri" w:hAnsi="Calibri" w:cs="Times New Roman"/>
      <w:b/>
      <w:kern w:val="0"/>
      <w:sz w:val="24"/>
      <w:lang w:val="en-GB"/>
    </w:rPr>
  </w:style>
  <w:style w:type="paragraph" w:styleId="32">
    <w:name w:val="annotation subject"/>
    <w:basedOn w:val="11"/>
    <w:next w:val="11"/>
    <w:link w:val="72"/>
    <w:qFormat/>
    <w:uiPriority w:val="0"/>
    <w:rPr>
      <w:b/>
      <w:bCs/>
    </w:rPr>
  </w:style>
  <w:style w:type="paragraph" w:styleId="33">
    <w:name w:val="Body Text First Indent 2"/>
    <w:basedOn w:val="16"/>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bCs/>
    </w:rPr>
  </w:style>
  <w:style w:type="character" w:styleId="38">
    <w:name w:val="page number"/>
    <w:qFormat/>
    <w:uiPriority w:val="0"/>
    <w:rPr>
      <w:rFonts w:ascii="Calibri" w:hAnsi="Calibri" w:eastAsia="宋体" w:cs="宋体"/>
    </w:rPr>
  </w:style>
  <w:style w:type="character" w:styleId="39">
    <w:name w:val="FollowedHyperlink"/>
    <w:basedOn w:val="36"/>
    <w:qFormat/>
    <w:uiPriority w:val="0"/>
    <w:rPr>
      <w:color w:val="3177FD"/>
      <w:u w:val="none"/>
    </w:rPr>
  </w:style>
  <w:style w:type="character" w:styleId="40">
    <w:name w:val="Emphasis"/>
    <w:basedOn w:val="36"/>
    <w:qFormat/>
    <w:uiPriority w:val="0"/>
    <w:rPr>
      <w:i/>
    </w:rPr>
  </w:style>
  <w:style w:type="character" w:styleId="41">
    <w:name w:val="HTML Definition"/>
    <w:basedOn w:val="36"/>
    <w:qFormat/>
    <w:uiPriority w:val="0"/>
    <w:rPr>
      <w:i/>
      <w:iCs/>
    </w:rPr>
  </w:style>
  <w:style w:type="character" w:styleId="42">
    <w:name w:val="Hyperlink"/>
    <w:basedOn w:val="36"/>
    <w:qFormat/>
    <w:uiPriority w:val="0"/>
    <w:rPr>
      <w:rFonts w:ascii="Calibri" w:hAnsi="Calibri" w:eastAsia="宋体" w:cs="宋体"/>
      <w:color w:val="0000FF"/>
      <w:u w:val="single"/>
    </w:rPr>
  </w:style>
  <w:style w:type="character" w:styleId="43">
    <w:name w:val="HTML Code"/>
    <w:basedOn w:val="36"/>
    <w:qFormat/>
    <w:uiPriority w:val="0"/>
    <w:rPr>
      <w:rFonts w:hint="default" w:ascii="Consolas" w:hAnsi="Consolas" w:eastAsia="Consolas" w:cs="Consolas"/>
      <w:sz w:val="21"/>
      <w:szCs w:val="21"/>
    </w:rPr>
  </w:style>
  <w:style w:type="character" w:styleId="44">
    <w:name w:val="annotation reference"/>
    <w:qFormat/>
    <w:uiPriority w:val="0"/>
    <w:rPr>
      <w:rFonts w:ascii="Calibri" w:hAnsi="Calibri" w:eastAsia="宋体" w:cs="宋体"/>
      <w:sz w:val="21"/>
      <w:szCs w:val="21"/>
    </w:rPr>
  </w:style>
  <w:style w:type="character" w:styleId="45">
    <w:name w:val="HTML Keyboard"/>
    <w:basedOn w:val="36"/>
    <w:qFormat/>
    <w:uiPriority w:val="0"/>
    <w:rPr>
      <w:rFonts w:ascii="Consolas" w:hAnsi="Consolas" w:eastAsia="Consolas" w:cs="Consolas"/>
      <w:sz w:val="21"/>
      <w:szCs w:val="21"/>
    </w:rPr>
  </w:style>
  <w:style w:type="character" w:styleId="46">
    <w:name w:val="HTML Sample"/>
    <w:basedOn w:val="36"/>
    <w:unhideWhenUsed/>
    <w:qFormat/>
    <w:uiPriority w:val="99"/>
    <w:rPr>
      <w:rFonts w:hint="default" w:ascii="Consolas" w:hAnsi="Consolas" w:eastAsia="Consolas" w:cs="Consolas"/>
      <w:sz w:val="21"/>
      <w:szCs w:val="21"/>
    </w:rPr>
  </w:style>
  <w:style w:type="paragraph" w:customStyle="1" w:styleId="47">
    <w:name w:val="表格文字"/>
    <w:basedOn w:val="1"/>
    <w:next w:val="13"/>
    <w:qFormat/>
    <w:uiPriority w:val="0"/>
    <w:pPr>
      <w:spacing w:line="360" w:lineRule="auto"/>
      <w:jc w:val="left"/>
    </w:pPr>
    <w:rPr>
      <w:bCs/>
      <w:spacing w:val="10"/>
    </w:rPr>
  </w:style>
  <w:style w:type="paragraph" w:customStyle="1" w:styleId="48">
    <w:name w:val="正"/>
    <w:qFormat/>
    <w:uiPriority w:val="0"/>
    <w:pPr>
      <w:widowControl w:val="0"/>
      <w:spacing w:line="360" w:lineRule="auto"/>
      <w:ind w:firstLine="480" w:firstLineChars="200"/>
      <w:jc w:val="both"/>
    </w:pPr>
    <w:rPr>
      <w:rFonts w:ascii="Times New Roman" w:hAnsi="Times New Roman" w:eastAsia="宋体" w:cs="宋体"/>
      <w:sz w:val="24"/>
      <w:szCs w:val="24"/>
      <w:lang w:val="en-US" w:eastAsia="zh-CN" w:bidi="ar-SA"/>
    </w:rPr>
  </w:style>
  <w:style w:type="paragraph" w:customStyle="1" w:styleId="49">
    <w:name w:val="BodyTextIndent"/>
    <w:basedOn w:val="1"/>
    <w:next w:val="1"/>
    <w:qFormat/>
    <w:uiPriority w:val="0"/>
    <w:pPr>
      <w:spacing w:line="480" w:lineRule="atLeast"/>
      <w:ind w:firstLine="570"/>
      <w:textAlignment w:val="baseline"/>
    </w:pPr>
    <w:rPr>
      <w:rFonts w:ascii="??" w:hAnsi="??" w:eastAsia="??"/>
      <w:sz w:val="28"/>
      <w:szCs w:val="28"/>
    </w:rPr>
  </w:style>
  <w:style w:type="paragraph" w:customStyle="1" w:styleId="50">
    <w:name w:val="Table Paragraph"/>
    <w:basedOn w:val="1"/>
    <w:qFormat/>
    <w:uiPriority w:val="1"/>
    <w:pPr>
      <w:autoSpaceDE w:val="0"/>
      <w:autoSpaceDN w:val="0"/>
      <w:adjustRightInd w:val="0"/>
      <w:jc w:val="left"/>
    </w:pPr>
    <w:rPr>
      <w:rFonts w:eastAsia="等线"/>
      <w:kern w:val="0"/>
      <w:sz w:val="24"/>
    </w:rPr>
  </w:style>
  <w:style w:type="paragraph" w:customStyle="1" w:styleId="51">
    <w:name w:val="Char Char Char Char Char Char"/>
    <w:basedOn w:val="1"/>
    <w:qFormat/>
    <w:uiPriority w:val="0"/>
    <w:pPr>
      <w:ind w:firstLine="200" w:firstLineChars="200"/>
    </w:pPr>
    <w:rPr>
      <w:rFonts w:ascii="Tahoma" w:hAnsi="Tahoma" w:cs="Tahoma"/>
      <w:sz w:val="24"/>
    </w:rPr>
  </w:style>
  <w:style w:type="paragraph" w:customStyle="1" w:styleId="52">
    <w:name w:val="正文2"/>
    <w:basedOn w:val="1"/>
    <w:qFormat/>
    <w:uiPriority w:val="0"/>
    <w:pPr>
      <w:spacing w:before="156" w:line="360" w:lineRule="auto"/>
      <w:ind w:firstLine="510" w:firstLineChars="200"/>
    </w:pPr>
    <w:rPr>
      <w:rFonts w:ascii="Calibri" w:hAnsi="Calibri"/>
      <w:sz w:val="24"/>
    </w:rPr>
  </w:style>
  <w:style w:type="paragraph" w:customStyle="1" w:styleId="53">
    <w:name w:val="纯文本1"/>
    <w:basedOn w:val="1"/>
    <w:qFormat/>
    <w:uiPriority w:val="0"/>
    <w:pPr>
      <w:adjustRightInd w:val="0"/>
      <w:textAlignment w:val="baseline"/>
    </w:pPr>
    <w:rPr>
      <w:rFonts w:ascii="宋体" w:hAnsi="Courier New" w:eastAsia="楷体_GB2312"/>
      <w:sz w:val="26"/>
    </w:rPr>
  </w:style>
  <w:style w:type="paragraph" w:customStyle="1" w:styleId="54">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55">
    <w:name w:val="条文1"/>
    <w:basedOn w:val="1"/>
    <w:qFormat/>
    <w:uiPriority w:val="0"/>
    <w:pPr>
      <w:numPr>
        <w:ilvl w:val="0"/>
        <w:numId w:val="2"/>
      </w:numPr>
      <w:tabs>
        <w:tab w:val="left" w:pos="720"/>
        <w:tab w:val="clear" w:pos="1365"/>
      </w:tabs>
      <w:spacing w:line="360" w:lineRule="auto"/>
    </w:pPr>
    <w:rPr>
      <w:rFonts w:ascii="MS UI Gothic" w:hAnsi="MS UI Gothic"/>
      <w:kern w:val="44"/>
      <w:sz w:val="24"/>
    </w:rPr>
  </w:style>
  <w:style w:type="paragraph" w:customStyle="1" w:styleId="56">
    <w:name w:val="Char"/>
    <w:basedOn w:val="1"/>
    <w:qFormat/>
    <w:uiPriority w:val="0"/>
    <w:rPr>
      <w:rFonts w:ascii="仿宋_GB2312" w:eastAsia="仿宋_GB2312" w:cs="仿宋_GB2312"/>
      <w:b/>
      <w:bCs/>
      <w:sz w:val="32"/>
      <w:szCs w:val="32"/>
    </w:rPr>
  </w:style>
  <w:style w:type="paragraph" w:customStyle="1" w:styleId="57">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58">
    <w:name w:val="表头文本"/>
    <w:basedOn w:val="1"/>
    <w:qFormat/>
    <w:uiPriority w:val="0"/>
    <w:pPr>
      <w:autoSpaceDE w:val="0"/>
      <w:autoSpaceDN w:val="0"/>
      <w:adjustRightInd w:val="0"/>
      <w:jc w:val="center"/>
    </w:pPr>
    <w:rPr>
      <w:rFonts w:ascii="Calibri" w:hAnsi="Calibri"/>
      <w:b/>
      <w:kern w:val="0"/>
      <w:sz w:val="24"/>
    </w:rPr>
  </w:style>
  <w:style w:type="paragraph" w:customStyle="1" w:styleId="59">
    <w:name w:val="_Style 46"/>
    <w:basedOn w:val="1"/>
    <w:qFormat/>
    <w:uiPriority w:val="34"/>
    <w:pPr>
      <w:widowControl/>
      <w:ind w:firstLine="420" w:firstLineChars="200"/>
      <w:jc w:val="left"/>
    </w:pPr>
    <w:rPr>
      <w:rFonts w:ascii="宋体" w:hAnsi="宋体"/>
      <w:kern w:val="0"/>
      <w:sz w:val="24"/>
    </w:rPr>
  </w:style>
  <w:style w:type="paragraph" w:customStyle="1" w:styleId="60">
    <w:name w:val="_Style 18"/>
    <w:basedOn w:val="1"/>
    <w:qFormat/>
    <w:uiPriority w:val="0"/>
    <w:pPr>
      <w:ind w:firstLine="420" w:firstLineChars="200"/>
    </w:pPr>
    <w:rPr>
      <w:rFonts w:ascii="Calibri" w:hAnsi="Calibri"/>
    </w:rPr>
  </w:style>
  <w:style w:type="paragraph" w:customStyle="1" w:styleId="61">
    <w:name w:val="彩色列表 - 强调文字颜色 11"/>
    <w:basedOn w:val="1"/>
    <w:qFormat/>
    <w:uiPriority w:val="0"/>
    <w:pPr>
      <w:ind w:firstLine="420" w:firstLineChars="200"/>
    </w:pPr>
    <w:rPr>
      <w:rFonts w:ascii="Calibri" w:hAnsi="Calibri"/>
      <w:szCs w:val="22"/>
    </w:rPr>
  </w:style>
  <w:style w:type="paragraph" w:customStyle="1" w:styleId="62">
    <w:name w:val="_Style 49"/>
    <w:unhideWhenUsed/>
    <w:qFormat/>
    <w:uiPriority w:val="99"/>
    <w:rPr>
      <w:rFonts w:ascii="Times New Roman" w:hAnsi="Times New Roman" w:eastAsia="宋体" w:cs="宋体"/>
      <w:kern w:val="2"/>
      <w:sz w:val="21"/>
      <w:szCs w:val="24"/>
      <w:lang w:val="en-US" w:eastAsia="zh-CN" w:bidi="ar-SA"/>
    </w:rPr>
  </w:style>
  <w:style w:type="paragraph" w:customStyle="1" w:styleId="63">
    <w:name w:val="Plain Text1"/>
    <w:basedOn w:val="1"/>
    <w:qFormat/>
    <w:uiPriority w:val="0"/>
    <w:pPr>
      <w:adjustRightInd w:val="0"/>
      <w:textAlignment w:val="baseline"/>
    </w:pPr>
    <w:rPr>
      <w:rFonts w:ascii="宋体" w:hAnsi="Courier New" w:eastAsia="楷体_GB2312"/>
      <w:sz w:val="26"/>
    </w:rPr>
  </w:style>
  <w:style w:type="paragraph" w:customStyle="1" w:styleId="64">
    <w:name w:val="正文段"/>
    <w:basedOn w:val="1"/>
    <w:qFormat/>
    <w:uiPriority w:val="0"/>
    <w:pPr>
      <w:widowControl/>
      <w:snapToGrid w:val="0"/>
      <w:spacing w:after="156" w:afterLines="50"/>
      <w:ind w:firstLine="200" w:firstLineChars="200"/>
    </w:pPr>
    <w:rPr>
      <w:rFonts w:ascii="Calibri" w:hAnsi="Calibri"/>
      <w:kern w:val="0"/>
      <w:sz w:val="24"/>
      <w:szCs w:val="20"/>
    </w:rPr>
  </w:style>
  <w:style w:type="paragraph" w:customStyle="1" w:styleId="65">
    <w:name w:val="_Style 1"/>
    <w:basedOn w:val="1"/>
    <w:qFormat/>
    <w:uiPriority w:val="0"/>
    <w:pPr>
      <w:ind w:firstLine="420" w:firstLineChars="200"/>
    </w:pPr>
    <w:rPr>
      <w:rFonts w:ascii="Calibri" w:hAnsi="Calibri"/>
    </w:rPr>
  </w:style>
  <w:style w:type="paragraph" w:customStyle="1" w:styleId="66">
    <w:name w:val="正文 A"/>
    <w:qFormat/>
    <w:uiPriority w:val="0"/>
    <w:pPr>
      <w:widowControl w:val="0"/>
      <w:jc w:val="both"/>
    </w:pPr>
    <w:rPr>
      <w:rFonts w:ascii="Times New Roman" w:hAnsi="Times New Roman" w:eastAsia="宋体" w:cs="宋体"/>
      <w:color w:val="000000"/>
      <w:kern w:val="2"/>
      <w:sz w:val="28"/>
      <w:szCs w:val="28"/>
      <w:u w:color="000000"/>
      <w:lang w:val="en-US" w:eastAsia="zh-CN" w:bidi="ar-SA"/>
    </w:rPr>
  </w:style>
  <w:style w:type="paragraph" w:customStyle="1" w:styleId="67">
    <w:name w:val="列出段落1"/>
    <w:basedOn w:val="1"/>
    <w:qFormat/>
    <w:uiPriority w:val="0"/>
    <w:pPr>
      <w:ind w:firstLine="420" w:firstLineChars="200"/>
    </w:pPr>
    <w:rPr>
      <w:rFonts w:cs="Times New Roman"/>
      <w:szCs w:val="20"/>
    </w:rPr>
  </w:style>
  <w:style w:type="paragraph" w:customStyle="1" w:styleId="68">
    <w:name w:val="Heading1"/>
    <w:basedOn w:val="1"/>
    <w:next w:val="1"/>
    <w:qFormat/>
    <w:uiPriority w:val="0"/>
    <w:pPr>
      <w:keepNext/>
      <w:keepLines/>
      <w:spacing w:before="340" w:after="330" w:line="578" w:lineRule="auto"/>
      <w:jc w:val="center"/>
      <w:textAlignment w:val="baseline"/>
    </w:pPr>
    <w:rPr>
      <w:rFonts w:ascii="Calibri" w:hAnsi="Calibri" w:cs="Times New Roman"/>
      <w:b/>
      <w:bCs/>
      <w:kern w:val="44"/>
      <w:sz w:val="32"/>
      <w:szCs w:val="44"/>
    </w:rPr>
  </w:style>
  <w:style w:type="paragraph" w:customStyle="1" w:styleId="69">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rPr>
  </w:style>
  <w:style w:type="paragraph" w:customStyle="1" w:styleId="70">
    <w:name w:val="样式1"/>
    <w:basedOn w:val="1"/>
    <w:qFormat/>
    <w:uiPriority w:val="0"/>
    <w:pPr>
      <w:spacing w:line="360" w:lineRule="exact"/>
      <w:ind w:firstLine="200" w:firstLineChars="200"/>
    </w:pPr>
    <w:rPr>
      <w:rFonts w:ascii="Arial" w:hAnsi="Arial"/>
    </w:rPr>
  </w:style>
  <w:style w:type="character" w:customStyle="1" w:styleId="71">
    <w:name w:val="HTML 预设格式 Char"/>
    <w:link w:val="29"/>
    <w:qFormat/>
    <w:uiPriority w:val="0"/>
    <w:rPr>
      <w:rFonts w:ascii="宋体" w:hAnsi="Courier New" w:cs="宋体"/>
      <w:kern w:val="2"/>
      <w:sz w:val="21"/>
      <w:szCs w:val="24"/>
    </w:rPr>
  </w:style>
  <w:style w:type="character" w:customStyle="1" w:styleId="72">
    <w:name w:val="批注主题 Char"/>
    <w:link w:val="32"/>
    <w:qFormat/>
    <w:uiPriority w:val="0"/>
    <w:rPr>
      <w:rFonts w:ascii="Calibri" w:hAnsi="Calibri" w:eastAsia="宋体" w:cs="宋体"/>
      <w:b/>
      <w:bCs/>
      <w:kern w:val="2"/>
      <w:sz w:val="21"/>
      <w:szCs w:val="24"/>
    </w:rPr>
  </w:style>
  <w:style w:type="character" w:customStyle="1" w:styleId="73">
    <w:name w:val="无"/>
    <w:qFormat/>
    <w:uiPriority w:val="0"/>
    <w:rPr>
      <w:rFonts w:ascii="Calibri" w:hAnsi="Calibri" w:eastAsia="宋体" w:cs="宋体"/>
    </w:rPr>
  </w:style>
  <w:style w:type="character" w:customStyle="1" w:styleId="74">
    <w:name w:val="文档结构图 Char"/>
    <w:link w:val="9"/>
    <w:qFormat/>
    <w:uiPriority w:val="0"/>
    <w:rPr>
      <w:rFonts w:ascii="宋体" w:hAnsi="Calibri" w:eastAsia="宋体" w:cs="宋体"/>
      <w:kern w:val="2"/>
      <w:sz w:val="18"/>
      <w:szCs w:val="18"/>
    </w:rPr>
  </w:style>
  <w:style w:type="character" w:customStyle="1" w:styleId="75">
    <w:name w:val="标题 Char"/>
    <w:link w:val="31"/>
    <w:qFormat/>
    <w:locked/>
    <w:uiPriority w:val="0"/>
    <w:rPr>
      <w:rFonts w:ascii="Calibri" w:hAnsi="Calibri" w:cs="宋体"/>
      <w:b/>
      <w:sz w:val="24"/>
      <w:szCs w:val="24"/>
      <w:lang w:val="en-GB"/>
    </w:rPr>
  </w:style>
  <w:style w:type="character" w:customStyle="1" w:styleId="76">
    <w:name w:val="批注文字 字符"/>
    <w:qFormat/>
    <w:uiPriority w:val="0"/>
    <w:rPr>
      <w:kern w:val="2"/>
      <w:sz w:val="21"/>
    </w:rPr>
  </w:style>
  <w:style w:type="character" w:customStyle="1" w:styleId="77">
    <w:name w:val="纯文本 Char"/>
    <w:link w:val="18"/>
    <w:qFormat/>
    <w:uiPriority w:val="0"/>
    <w:rPr>
      <w:rFonts w:ascii="宋体" w:hAnsi="Courier New" w:eastAsia="宋体" w:cs="宋体"/>
      <w:kern w:val="2"/>
      <w:sz w:val="21"/>
      <w:lang w:val="en-US" w:eastAsia="zh-CN" w:bidi="ar-SA"/>
    </w:rPr>
  </w:style>
  <w:style w:type="character" w:customStyle="1" w:styleId="78">
    <w:name w:val="font11"/>
    <w:qFormat/>
    <w:uiPriority w:val="0"/>
    <w:rPr>
      <w:rFonts w:hint="eastAsia" w:ascii="宋体" w:hAnsi="宋体" w:eastAsia="宋体" w:cs="宋体"/>
      <w:color w:val="000000"/>
      <w:sz w:val="20"/>
      <w:szCs w:val="20"/>
      <w:u w:val="none"/>
    </w:rPr>
  </w:style>
  <w:style w:type="character" w:customStyle="1" w:styleId="79">
    <w:name w:val="标题 1 Char"/>
    <w:link w:val="3"/>
    <w:qFormat/>
    <w:uiPriority w:val="0"/>
    <w:rPr>
      <w:rFonts w:eastAsia="黑体"/>
      <w:sz w:val="24"/>
      <w:szCs w:val="24"/>
    </w:rPr>
  </w:style>
  <w:style w:type="character" w:customStyle="1" w:styleId="80">
    <w:name w:val="HTML 预设格式 Char1"/>
    <w:qFormat/>
    <w:uiPriority w:val="0"/>
    <w:rPr>
      <w:rFonts w:ascii="宋体" w:hAnsi="Courier New" w:eastAsia="宋体" w:cs="宋体"/>
      <w:kern w:val="2"/>
      <w:sz w:val="21"/>
      <w:szCs w:val="24"/>
    </w:rPr>
  </w:style>
  <w:style w:type="character" w:customStyle="1" w:styleId="81">
    <w:name w:val="批注文字 Char"/>
    <w:link w:val="11"/>
    <w:qFormat/>
    <w:uiPriority w:val="0"/>
    <w:rPr>
      <w:rFonts w:ascii="Calibri" w:hAnsi="Calibri" w:eastAsia="宋体" w:cs="宋体"/>
      <w:kern w:val="2"/>
      <w:sz w:val="21"/>
      <w:szCs w:val="24"/>
    </w:rPr>
  </w:style>
  <w:style w:type="character" w:customStyle="1" w:styleId="82">
    <w:name w:val="font21"/>
    <w:qFormat/>
    <w:uiPriority w:val="0"/>
    <w:rPr>
      <w:rFonts w:hint="eastAsia" w:ascii="宋体" w:hAnsi="宋体" w:eastAsia="宋体" w:cs="宋体"/>
      <w:color w:val="000000"/>
      <w:sz w:val="20"/>
      <w:szCs w:val="20"/>
      <w:u w:val="none"/>
    </w:rPr>
  </w:style>
  <w:style w:type="character" w:customStyle="1" w:styleId="83">
    <w:name w:val="font31"/>
    <w:qFormat/>
    <w:uiPriority w:val="0"/>
    <w:rPr>
      <w:rFonts w:hint="default" w:ascii="Times New Roman" w:hAnsi="Times New Roman" w:cs="Times New Roman"/>
      <w:color w:val="000000"/>
      <w:sz w:val="20"/>
      <w:szCs w:val="20"/>
      <w:u w:val="none"/>
    </w:rPr>
  </w:style>
  <w:style w:type="paragraph" w:customStyle="1" w:styleId="84">
    <w:name w:val="一级标题"/>
    <w:basedOn w:val="1"/>
    <w:next w:val="13"/>
    <w:qFormat/>
    <w:uiPriority w:val="0"/>
    <w:pPr>
      <w:outlineLvl w:val="0"/>
    </w:pPr>
    <w:rPr>
      <w:bCs/>
      <w:sz w:val="32"/>
    </w:rPr>
  </w:style>
  <w:style w:type="character" w:customStyle="1" w:styleId="85">
    <w:name w:val="font01"/>
    <w:qFormat/>
    <w:uiPriority w:val="0"/>
    <w:rPr>
      <w:rFonts w:hint="eastAsia" w:ascii="宋体" w:hAnsi="宋体" w:eastAsia="宋体" w:cs="宋体"/>
      <w:color w:val="000000"/>
      <w:sz w:val="18"/>
      <w:szCs w:val="18"/>
      <w:u w:val="none"/>
    </w:rPr>
  </w:style>
  <w:style w:type="paragraph" w:customStyle="1" w:styleId="8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7">
    <w:name w:val="Plain Text"/>
    <w:basedOn w:val="1"/>
    <w:qFormat/>
    <w:uiPriority w:val="0"/>
    <w:pPr>
      <w:adjustRightInd w:val="0"/>
      <w:textAlignment w:val="baseline"/>
    </w:pPr>
    <w:rPr>
      <w:rFonts w:ascii="宋体" w:hAnsi="Courier New" w:eastAsia="楷体_GB2312" w:cs="宋体"/>
      <w:sz w:val="26"/>
    </w:rPr>
  </w:style>
  <w:style w:type="character" w:customStyle="1" w:styleId="88">
    <w:name w:val="ant-tree-checkbox"/>
    <w:basedOn w:val="36"/>
    <w:qFormat/>
    <w:uiPriority w:val="0"/>
  </w:style>
  <w:style w:type="character" w:customStyle="1" w:styleId="89">
    <w:name w:val="ant-radio+*"/>
    <w:basedOn w:val="36"/>
    <w:qFormat/>
    <w:uiPriority w:val="0"/>
  </w:style>
  <w:style w:type="character" w:customStyle="1" w:styleId="90">
    <w:name w:val="ant-radio+*1"/>
    <w:basedOn w:val="36"/>
    <w:qFormat/>
    <w:uiPriority w:val="0"/>
  </w:style>
  <w:style w:type="character" w:customStyle="1" w:styleId="91">
    <w:name w:val="ant-tree-switcher"/>
    <w:basedOn w:val="36"/>
    <w:qFormat/>
    <w:uiPriority w:val="0"/>
  </w:style>
  <w:style w:type="character" w:customStyle="1" w:styleId="92">
    <w:name w:val="ant-input16"/>
    <w:basedOn w:val="36"/>
    <w:qFormat/>
    <w:uiPriority w:val="0"/>
  </w:style>
  <w:style w:type="character" w:customStyle="1" w:styleId="93">
    <w:name w:val="ant-input17"/>
    <w:basedOn w:val="36"/>
    <w:qFormat/>
    <w:uiPriority w:val="0"/>
  </w:style>
  <w:style w:type="character" w:customStyle="1" w:styleId="94">
    <w:name w:val="ant-select-tree-checkbox"/>
    <w:basedOn w:val="36"/>
    <w:qFormat/>
    <w:uiPriority w:val="0"/>
  </w:style>
  <w:style w:type="character" w:customStyle="1" w:styleId="95">
    <w:name w:val="ant-transfer-list-search-action"/>
    <w:basedOn w:val="36"/>
    <w:qFormat/>
    <w:uiPriority w:val="0"/>
  </w:style>
  <w:style w:type="character" w:customStyle="1" w:styleId="96">
    <w:name w:val="ant-select-tree-iconele"/>
    <w:basedOn w:val="36"/>
    <w:qFormat/>
    <w:uiPriority w:val="0"/>
  </w:style>
  <w:style w:type="character" w:customStyle="1" w:styleId="97">
    <w:name w:val="ant-select-tree-switcher"/>
    <w:basedOn w:val="36"/>
    <w:qFormat/>
    <w:uiPriority w:val="0"/>
  </w:style>
  <w:style w:type="character" w:customStyle="1" w:styleId="98">
    <w:name w:val="ant-tree-iconele"/>
    <w:basedOn w:val="36"/>
    <w:qFormat/>
    <w:uiPriority w:val="0"/>
  </w:style>
  <w:style w:type="character" w:customStyle="1" w:styleId="99">
    <w:name w:val="ant-tree-icon_loading"/>
    <w:basedOn w:val="36"/>
    <w:qFormat/>
    <w:uiPriority w:val="0"/>
    <w:rPr>
      <w:shd w:val="clear" w:fill="FFFFFF"/>
    </w:rPr>
  </w:style>
  <w:style w:type="paragraph" w:customStyle="1" w:styleId="100">
    <w:name w:val="_Style 96"/>
    <w:basedOn w:val="1"/>
    <w:next w:val="1"/>
    <w:qFormat/>
    <w:uiPriority w:val="0"/>
    <w:pPr>
      <w:pBdr>
        <w:bottom w:val="single" w:color="auto" w:sz="6" w:space="1"/>
      </w:pBdr>
      <w:jc w:val="center"/>
    </w:pPr>
    <w:rPr>
      <w:rFonts w:ascii="Arial" w:eastAsia="宋体"/>
      <w:vanish/>
      <w:sz w:val="16"/>
    </w:rPr>
  </w:style>
  <w:style w:type="paragraph" w:customStyle="1" w:styleId="101">
    <w:name w:val="_Style 97"/>
    <w:basedOn w:val="1"/>
    <w:next w:val="1"/>
    <w:qFormat/>
    <w:uiPriority w:val="0"/>
    <w:pPr>
      <w:pBdr>
        <w:top w:val="single" w:color="auto" w:sz="6" w:space="1"/>
      </w:pBdr>
      <w:jc w:val="center"/>
    </w:pPr>
    <w:rPr>
      <w:rFonts w:ascii="Arial" w:eastAsia="宋体"/>
      <w:vanish/>
      <w:sz w:val="16"/>
    </w:rPr>
  </w:style>
  <w:style w:type="character" w:customStyle="1" w:styleId="102">
    <w:name w:val="ant-form-item-children1"/>
    <w:basedOn w:val="36"/>
    <w:qFormat/>
    <w:uiPriority w:val="0"/>
  </w:style>
  <w:style w:type="paragraph" w:customStyle="1" w:styleId="103">
    <w:name w:val="正文 "/>
    <w:basedOn w:val="1"/>
    <w:qFormat/>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rPr>
  </w:style>
  <w:style w:type="paragraph" w:customStyle="1" w:styleId="104">
    <w:name w:val="方案正文"/>
    <w:basedOn w:val="1"/>
    <w:qFormat/>
    <w:uiPriority w:val="0"/>
    <w:pPr>
      <w:spacing w:before="120" w:beforeLines="0" w:line="360" w:lineRule="auto"/>
      <w:ind w:firstLine="425" w:firstLineChars="177"/>
    </w:pPr>
    <w:rPr>
      <w:rFonts w:ascii="华文细黑" w:hAnsi="华文细黑" w:eastAsia="华文细黑"/>
      <w:sz w:val="24"/>
    </w:rPr>
  </w:style>
  <w:style w:type="paragraph" w:customStyle="1" w:styleId="105">
    <w:name w:val="msolistparagraph"/>
    <w:basedOn w:val="1"/>
    <w:qFormat/>
    <w:uiPriority w:val="0"/>
    <w:pPr>
      <w:spacing w:line="360" w:lineRule="auto"/>
      <w:ind w:firstLine="420" w:firstLineChars="200"/>
    </w:pPr>
    <w:rPr>
      <w:sz w:val="24"/>
    </w:rPr>
  </w:style>
  <w:style w:type="character" w:customStyle="1" w:styleId="106">
    <w:name w:val="sub"/>
    <w:qFormat/>
    <w:uiPriority w:val="0"/>
  </w:style>
  <w:style w:type="paragraph" w:customStyle="1" w:styleId="107">
    <w:name w:val="List Paragraph"/>
    <w:basedOn w:val="1"/>
    <w:qFormat/>
    <w:uiPriority w:val="0"/>
    <w:pPr>
      <w:ind w:firstLine="420" w:firstLineChars="200"/>
    </w:pPr>
    <w:rPr>
      <w:rFonts w:ascii="Calibri" w:hAnsi="Calibri"/>
      <w:sz w:val="21"/>
      <w:szCs w:val="22"/>
    </w:rPr>
  </w:style>
  <w:style w:type="character" w:customStyle="1" w:styleId="108">
    <w:name w:val="bookmark-item"/>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52</Pages>
  <Words>24831</Words>
  <Characters>25916</Characters>
  <Lines>184</Lines>
  <Paragraphs>51</Paragraphs>
  <TotalTime>0</TotalTime>
  <ScaleCrop>false</ScaleCrop>
  <LinksUpToDate>false</LinksUpToDate>
  <CharactersWithSpaces>27967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2022-04-18T22:32:00Z</dcterms:created>
  <dc:creator>微软用户</dc:creator>
  <cp:lastModifiedBy>园园</cp:lastModifiedBy>
  <cp:lastPrinted>2022-08-17T07:27:00Z</cp:lastPrinted>
  <dcterms:modified xsi:type="dcterms:W3CDTF">2022-12-05T07:54:39Z</dcterms:modified>
  <dc:title>南湖区市场监管局食品安全风险评估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978CF9E5BA064DA5970493CB0B33712A</vt:lpwstr>
  </property>
</Properties>
</file>