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8"/>
        <w:ind w:firstLine="480"/>
        <w:rPr>
          <w:highlight w:val="none"/>
        </w:rPr>
      </w:pPr>
    </w:p>
    <w:p>
      <w:pPr>
        <w:pStyle w:val="282"/>
        <w:jc w:val="center"/>
        <w:rPr>
          <w:rFonts w:hint="eastAsia" w:ascii="微软雅黑" w:hAnsi="微软雅黑" w:cs="微软雅黑"/>
          <w:b/>
          <w:bCs/>
          <w:sz w:val="72"/>
          <w:szCs w:val="72"/>
          <w:highlight w:val="none"/>
          <w:lang w:eastAsia="zh-CN"/>
        </w:rPr>
      </w:pPr>
    </w:p>
    <w:p>
      <w:pPr>
        <w:pStyle w:val="282"/>
        <w:jc w:val="center"/>
        <w:rPr>
          <w:rFonts w:hint="eastAsia" w:ascii="微软雅黑" w:hAnsi="微软雅黑" w:eastAsia="宋体" w:cs="微软雅黑"/>
          <w:b/>
          <w:bCs/>
          <w:sz w:val="72"/>
          <w:szCs w:val="72"/>
          <w:highlight w:val="none"/>
          <w:lang w:eastAsia="zh-CN"/>
        </w:rPr>
      </w:pPr>
      <w:r>
        <w:rPr>
          <w:rFonts w:hint="eastAsia" w:ascii="微软雅黑" w:hAnsi="微软雅黑" w:cs="微软雅黑"/>
          <w:b/>
          <w:bCs/>
          <w:sz w:val="72"/>
          <w:szCs w:val="72"/>
          <w:highlight w:val="none"/>
          <w:lang w:eastAsia="zh-CN"/>
        </w:rPr>
        <w:t>数字农村路 2.0 版示范创建应用项目</w:t>
      </w:r>
    </w:p>
    <w:p>
      <w:pPr>
        <w:pStyle w:val="282"/>
        <w:jc w:val="center"/>
        <w:rPr>
          <w:rFonts w:hint="eastAsia" w:ascii="方正粗黑宋简体" w:hAnsi="方正粗黑宋简体" w:eastAsia="方正粗黑宋简体"/>
          <w:sz w:val="72"/>
          <w:szCs w:val="72"/>
          <w:highlight w:val="none"/>
        </w:rPr>
      </w:pPr>
      <w:bookmarkStart w:id="214" w:name="_GoBack"/>
      <w:bookmarkEnd w:id="214"/>
    </w:p>
    <w:p>
      <w:pPr>
        <w:pStyle w:val="282"/>
        <w:jc w:val="center"/>
        <w:rPr>
          <w:rFonts w:ascii="方正粗黑宋简体" w:hAnsi="方正粗黑宋简体" w:eastAsia="方正粗黑宋简体"/>
          <w:sz w:val="72"/>
          <w:szCs w:val="72"/>
          <w:highlight w:val="none"/>
        </w:rPr>
      </w:pPr>
      <w:r>
        <w:rPr>
          <w:rFonts w:hint="eastAsia" w:ascii="方正粗黑宋简体" w:hAnsi="方正粗黑宋简体" w:eastAsia="方正粗黑宋简体"/>
          <w:sz w:val="72"/>
          <w:szCs w:val="72"/>
          <w:highlight w:val="none"/>
        </w:rPr>
        <w:t>公开招标采购文件</w:t>
      </w:r>
    </w:p>
    <w:p>
      <w:pPr>
        <w:pStyle w:val="282"/>
        <w:jc w:val="center"/>
        <w:rPr>
          <w:rFonts w:ascii="方正粗黑宋简体" w:hAnsi="方正粗黑宋简体" w:eastAsia="方正粗黑宋简体"/>
          <w:sz w:val="52"/>
          <w:szCs w:val="52"/>
          <w:highlight w:val="none"/>
        </w:rPr>
      </w:pPr>
    </w:p>
    <w:p>
      <w:pPr>
        <w:pStyle w:val="282"/>
        <w:rPr>
          <w:highlight w:val="none"/>
        </w:rPr>
      </w:pPr>
    </w:p>
    <w:p>
      <w:pPr>
        <w:pStyle w:val="27"/>
        <w:ind w:firstLine="0" w:firstLineChars="0"/>
        <w:rPr>
          <w:rFonts w:ascii="微软雅黑" w:hAnsi="微软雅黑"/>
          <w:bCs/>
          <w:w w:val="95"/>
          <w:sz w:val="28"/>
          <w:szCs w:val="28"/>
          <w:highlight w:val="none"/>
        </w:rPr>
      </w:pPr>
    </w:p>
    <w:p>
      <w:pPr>
        <w:pStyle w:val="27"/>
        <w:ind w:firstLine="0" w:firstLineChars="0"/>
        <w:rPr>
          <w:rFonts w:ascii="微软雅黑" w:hAnsi="微软雅黑"/>
          <w:bCs/>
          <w:w w:val="95"/>
          <w:sz w:val="28"/>
          <w:szCs w:val="28"/>
          <w:highlight w:val="none"/>
        </w:rPr>
      </w:pPr>
    </w:p>
    <w:p>
      <w:pPr>
        <w:pStyle w:val="27"/>
        <w:ind w:firstLine="0" w:firstLineChars="0"/>
        <w:rPr>
          <w:rFonts w:ascii="微软雅黑" w:hAnsi="微软雅黑"/>
          <w:bCs/>
          <w:w w:val="95"/>
          <w:sz w:val="28"/>
          <w:szCs w:val="28"/>
          <w:highlight w:val="none"/>
        </w:rPr>
      </w:pPr>
    </w:p>
    <w:p>
      <w:pPr>
        <w:pStyle w:val="27"/>
        <w:ind w:firstLine="0" w:firstLineChars="0"/>
        <w:rPr>
          <w:rFonts w:hint="eastAsia" w:ascii="微软雅黑" w:hAnsi="微软雅黑" w:eastAsia="微软雅黑"/>
          <w:bCs/>
          <w:w w:val="95"/>
          <w:sz w:val="28"/>
          <w:szCs w:val="28"/>
          <w:highlight w:val="none"/>
          <w:lang w:eastAsia="zh-CN"/>
        </w:rPr>
      </w:pPr>
      <w:r>
        <w:rPr>
          <w:rFonts w:hint="eastAsia" w:ascii="微软雅黑" w:hAnsi="微软雅黑"/>
          <w:bCs/>
          <w:w w:val="95"/>
          <w:sz w:val="28"/>
          <w:szCs w:val="28"/>
          <w:highlight w:val="none"/>
        </w:rPr>
        <w:t>项目名称：</w:t>
      </w:r>
      <w:r>
        <w:rPr>
          <w:rFonts w:hint="eastAsia" w:ascii="微软雅黑" w:hAnsi="微软雅黑"/>
          <w:bCs/>
          <w:w w:val="95"/>
          <w:sz w:val="28"/>
          <w:szCs w:val="28"/>
          <w:highlight w:val="none"/>
          <w:lang w:eastAsia="zh-CN"/>
        </w:rPr>
        <w:t>数字农村路 2.0 版示范创建应用项目</w:t>
      </w:r>
    </w:p>
    <w:p>
      <w:pPr>
        <w:pStyle w:val="27"/>
        <w:ind w:firstLine="0" w:firstLineChars="0"/>
        <w:rPr>
          <w:rFonts w:hint="eastAsia" w:ascii="微软雅黑" w:hAnsi="微软雅黑" w:eastAsia="微软雅黑"/>
          <w:bCs/>
          <w:w w:val="95"/>
          <w:sz w:val="28"/>
          <w:szCs w:val="28"/>
          <w:highlight w:val="none"/>
          <w:lang w:eastAsia="zh-CN"/>
        </w:rPr>
      </w:pPr>
      <w:r>
        <w:rPr>
          <w:rFonts w:hint="eastAsia" w:ascii="微软雅黑" w:hAnsi="微软雅黑"/>
          <w:bCs/>
          <w:w w:val="95"/>
          <w:sz w:val="28"/>
          <w:szCs w:val="28"/>
          <w:highlight w:val="none"/>
        </w:rPr>
        <w:t>招标编号：</w:t>
      </w:r>
      <w:r>
        <w:rPr>
          <w:rFonts w:hint="eastAsia" w:ascii="微软雅黑" w:hAnsi="微软雅黑"/>
          <w:bCs/>
          <w:w w:val="95"/>
          <w:sz w:val="28"/>
          <w:szCs w:val="28"/>
          <w:highlight w:val="none"/>
          <w:lang w:eastAsia="zh-CN"/>
        </w:rPr>
        <w:t>中际-ZJZJGC（2022）嘉33号</w:t>
      </w:r>
    </w:p>
    <w:p>
      <w:pPr>
        <w:pStyle w:val="27"/>
        <w:ind w:firstLine="0" w:firstLineChars="0"/>
        <w:rPr>
          <w:rFonts w:hint="eastAsia" w:ascii="微软雅黑" w:hAnsi="微软雅黑" w:eastAsia="微软雅黑"/>
          <w:bCs/>
          <w:w w:val="95"/>
          <w:sz w:val="28"/>
          <w:szCs w:val="28"/>
          <w:highlight w:val="none"/>
          <w:lang w:eastAsia="zh-CN"/>
        </w:rPr>
      </w:pPr>
      <w:r>
        <w:rPr>
          <w:rFonts w:hint="eastAsia" w:ascii="微软雅黑" w:hAnsi="微软雅黑"/>
          <w:bCs/>
          <w:w w:val="95"/>
          <w:sz w:val="28"/>
          <w:szCs w:val="28"/>
          <w:highlight w:val="none"/>
        </w:rPr>
        <w:t>采购单位：</w:t>
      </w:r>
      <w:r>
        <w:rPr>
          <w:rFonts w:hint="eastAsia" w:ascii="微软雅黑" w:hAnsi="微软雅黑"/>
          <w:bCs/>
          <w:w w:val="95"/>
          <w:sz w:val="28"/>
          <w:szCs w:val="28"/>
          <w:highlight w:val="none"/>
          <w:lang w:eastAsia="zh-CN"/>
        </w:rPr>
        <w:t>嘉兴市南湖区公路与运输管理服务中心</w:t>
      </w:r>
    </w:p>
    <w:p>
      <w:pPr>
        <w:pStyle w:val="27"/>
        <w:ind w:firstLine="0" w:firstLineChars="0"/>
        <w:rPr>
          <w:rFonts w:ascii="微软雅黑" w:hAnsi="微软雅黑"/>
          <w:bCs/>
          <w:w w:val="95"/>
          <w:sz w:val="28"/>
          <w:szCs w:val="28"/>
          <w:highlight w:val="none"/>
        </w:rPr>
      </w:pPr>
      <w:r>
        <w:rPr>
          <w:rFonts w:hint="eastAsia" w:ascii="微软雅黑" w:hAnsi="微软雅黑"/>
          <w:bCs/>
          <w:w w:val="95"/>
          <w:sz w:val="28"/>
          <w:szCs w:val="28"/>
          <w:highlight w:val="none"/>
        </w:rPr>
        <w:t>代理机构：浙江中际工程项目管理有限公司</w:t>
      </w:r>
    </w:p>
    <w:p>
      <w:pPr>
        <w:pStyle w:val="27"/>
        <w:ind w:firstLine="0" w:firstLineChars="0"/>
        <w:rPr>
          <w:rFonts w:ascii="微软雅黑" w:hAnsi="微软雅黑"/>
          <w:b/>
          <w:sz w:val="28"/>
          <w:szCs w:val="28"/>
          <w:highlight w:val="none"/>
        </w:rPr>
      </w:pPr>
      <w:bookmarkStart w:id="0" w:name="_Toc50012812"/>
      <w:r>
        <w:rPr>
          <w:rFonts w:hint="eastAsia" w:ascii="微软雅黑" w:hAnsi="微软雅黑"/>
          <w:bCs/>
          <w:w w:val="95"/>
          <w:sz w:val="28"/>
          <w:szCs w:val="28"/>
          <w:highlight w:val="none"/>
        </w:rPr>
        <w:t>日    期：2022年</w:t>
      </w:r>
      <w:r>
        <w:rPr>
          <w:rFonts w:hint="eastAsia" w:ascii="微软雅黑" w:hAnsi="微软雅黑"/>
          <w:bCs/>
          <w:w w:val="95"/>
          <w:sz w:val="28"/>
          <w:szCs w:val="28"/>
          <w:highlight w:val="none"/>
          <w:lang w:val="en-US" w:eastAsia="zh-CN"/>
        </w:rPr>
        <w:t>12</w:t>
      </w:r>
      <w:r>
        <w:rPr>
          <w:rFonts w:hint="eastAsia" w:ascii="微软雅黑" w:hAnsi="微软雅黑"/>
          <w:bCs/>
          <w:w w:val="95"/>
          <w:sz w:val="28"/>
          <w:szCs w:val="28"/>
          <w:highlight w:val="none"/>
        </w:rPr>
        <w:t>月</w:t>
      </w:r>
      <w:r>
        <w:rPr>
          <w:rFonts w:hint="eastAsia" w:ascii="微软雅黑" w:hAnsi="微软雅黑"/>
          <w:bCs/>
          <w:w w:val="95"/>
          <w:sz w:val="28"/>
          <w:szCs w:val="28"/>
          <w:highlight w:val="none"/>
          <w:lang w:val="en-US" w:eastAsia="zh-CN"/>
        </w:rPr>
        <w:t>06</w:t>
      </w:r>
      <w:r>
        <w:rPr>
          <w:rFonts w:hint="eastAsia" w:ascii="微软雅黑" w:hAnsi="微软雅黑"/>
          <w:bCs/>
          <w:w w:val="95"/>
          <w:sz w:val="28"/>
          <w:szCs w:val="28"/>
          <w:highlight w:val="none"/>
        </w:rPr>
        <w:t>日</w:t>
      </w:r>
      <w:bookmarkEnd w:id="0"/>
    </w:p>
    <w:p>
      <w:pPr>
        <w:ind w:firstLine="420"/>
        <w:rPr>
          <w:rFonts w:ascii="微软雅黑" w:hAnsi="微软雅黑" w:cs="微软雅黑"/>
          <w:szCs w:val="21"/>
          <w:highlight w:val="none"/>
          <w:lang w:val="zh-CN"/>
        </w:rPr>
      </w:pPr>
      <w:bookmarkStart w:id="1" w:name="_Toc13327"/>
      <w:bookmarkStart w:id="2" w:name="_Toc5881"/>
      <w:r>
        <w:rPr>
          <w:rFonts w:hint="eastAsia" w:ascii="微软雅黑" w:hAnsi="微软雅黑" w:cs="微软雅黑"/>
          <w:szCs w:val="21"/>
          <w:highlight w:val="none"/>
          <w:lang w:val="zh-CN"/>
        </w:rPr>
        <w:br w:type="page"/>
      </w:r>
    </w:p>
    <w:p>
      <w:pPr>
        <w:pStyle w:val="131"/>
        <w:spacing w:before="0" w:line="600" w:lineRule="exact"/>
        <w:jc w:val="center"/>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lang w:val="zh-CN"/>
        </w:rPr>
        <w:t>目录</w:t>
      </w:r>
      <w:bookmarkEnd w:id="1"/>
      <w:bookmarkEnd w:id="2"/>
    </w:p>
    <w:p>
      <w:pPr>
        <w:pStyle w:val="90"/>
        <w:tabs>
          <w:tab w:val="right" w:leader="dot" w:pos="8312"/>
        </w:tabs>
        <w:spacing w:line="600" w:lineRule="exact"/>
        <w:ind w:firstLine="420"/>
        <w:rPr>
          <w:rFonts w:ascii="微软雅黑" w:hAnsi="微软雅黑" w:cs="微软雅黑"/>
          <w:szCs w:val="21"/>
          <w:highlight w:val="none"/>
        </w:rPr>
      </w:pPr>
      <w:r>
        <w:rPr>
          <w:rFonts w:hint="eastAsia" w:ascii="微软雅黑" w:hAnsi="微软雅黑" w:cs="微软雅黑"/>
          <w:b/>
          <w:szCs w:val="21"/>
          <w:highlight w:val="none"/>
        </w:rPr>
        <w:fldChar w:fldCharType="begin"/>
      </w:r>
      <w:r>
        <w:rPr>
          <w:rFonts w:hint="eastAsia" w:ascii="微软雅黑" w:hAnsi="微软雅黑" w:cs="微软雅黑"/>
          <w:b/>
          <w:szCs w:val="21"/>
          <w:highlight w:val="none"/>
        </w:rPr>
        <w:instrText xml:space="preserve">TOC \o "1-1" \h \u </w:instrText>
      </w:r>
      <w:r>
        <w:rPr>
          <w:rFonts w:hint="eastAsia" w:ascii="微软雅黑" w:hAnsi="微软雅黑" w:cs="微软雅黑"/>
          <w:b/>
          <w:szCs w:val="21"/>
          <w:highlight w:val="none"/>
        </w:rPr>
        <w:fldChar w:fldCharType="separate"/>
      </w:r>
    </w:p>
    <w:p>
      <w:pPr>
        <w:pStyle w:val="90"/>
        <w:tabs>
          <w:tab w:val="right" w:leader="dot" w:pos="8312"/>
        </w:tabs>
        <w:spacing w:line="600" w:lineRule="exact"/>
        <w:ind w:firstLine="420"/>
        <w:rPr>
          <w:rFonts w:ascii="微软雅黑" w:hAnsi="微软雅黑" w:cs="微软雅黑"/>
          <w:szCs w:val="21"/>
          <w:highlight w:val="none"/>
        </w:rPr>
      </w:pPr>
      <w:r>
        <w:rPr>
          <w:highlight w:val="none"/>
        </w:rPr>
        <w:fldChar w:fldCharType="begin"/>
      </w:r>
      <w:r>
        <w:rPr>
          <w:highlight w:val="none"/>
        </w:rPr>
        <w:instrText xml:space="preserve"> HYPERLINK \l "_Toc22578" </w:instrText>
      </w:r>
      <w:r>
        <w:rPr>
          <w:highlight w:val="none"/>
        </w:rPr>
        <w:fldChar w:fldCharType="separate"/>
      </w:r>
      <w:r>
        <w:rPr>
          <w:rFonts w:hint="eastAsia" w:ascii="微软雅黑" w:hAnsi="微软雅黑" w:cs="微软雅黑"/>
          <w:szCs w:val="21"/>
          <w:highlight w:val="none"/>
        </w:rPr>
        <w:t>第一章  公开招标采购公告</w:t>
      </w:r>
      <w:r>
        <w:rPr>
          <w:rFonts w:hint="eastAsia" w:ascii="微软雅黑" w:hAnsi="微软雅黑" w:cs="微软雅黑"/>
          <w:szCs w:val="21"/>
          <w:highlight w:val="none"/>
        </w:rPr>
        <w:tab/>
      </w:r>
      <w:r>
        <w:rPr>
          <w:rFonts w:hint="eastAsia" w:ascii="微软雅黑" w:hAnsi="微软雅黑" w:cs="微软雅黑"/>
          <w:szCs w:val="21"/>
          <w:highlight w:val="none"/>
        </w:rPr>
        <w:fldChar w:fldCharType="begin"/>
      </w:r>
      <w:r>
        <w:rPr>
          <w:rFonts w:hint="eastAsia" w:ascii="微软雅黑" w:hAnsi="微软雅黑" w:cs="微软雅黑"/>
          <w:szCs w:val="21"/>
          <w:highlight w:val="none"/>
        </w:rPr>
        <w:instrText xml:space="preserve"> PAGEREF _Toc22578 </w:instrText>
      </w:r>
      <w:r>
        <w:rPr>
          <w:rFonts w:hint="eastAsia" w:ascii="微软雅黑" w:hAnsi="微软雅黑" w:cs="微软雅黑"/>
          <w:szCs w:val="21"/>
          <w:highlight w:val="none"/>
        </w:rPr>
        <w:fldChar w:fldCharType="separate"/>
      </w:r>
      <w:r>
        <w:rPr>
          <w:rFonts w:hint="eastAsia" w:ascii="微软雅黑" w:hAnsi="微软雅黑" w:cs="微软雅黑"/>
          <w:szCs w:val="21"/>
          <w:highlight w:val="none"/>
        </w:rPr>
        <w:t>3</w:t>
      </w:r>
      <w:r>
        <w:rPr>
          <w:rFonts w:hint="eastAsia" w:ascii="微软雅黑" w:hAnsi="微软雅黑" w:cs="微软雅黑"/>
          <w:szCs w:val="21"/>
          <w:highlight w:val="none"/>
        </w:rPr>
        <w:fldChar w:fldCharType="end"/>
      </w:r>
      <w:r>
        <w:rPr>
          <w:rFonts w:hint="eastAsia" w:ascii="微软雅黑" w:hAnsi="微软雅黑" w:cs="微软雅黑"/>
          <w:szCs w:val="21"/>
          <w:highlight w:val="none"/>
        </w:rPr>
        <w:fldChar w:fldCharType="end"/>
      </w:r>
    </w:p>
    <w:p>
      <w:pPr>
        <w:pStyle w:val="90"/>
        <w:tabs>
          <w:tab w:val="right" w:leader="dot" w:pos="8312"/>
        </w:tabs>
        <w:spacing w:line="600" w:lineRule="exact"/>
        <w:ind w:firstLine="420"/>
        <w:rPr>
          <w:rFonts w:ascii="微软雅黑" w:hAnsi="微软雅黑" w:cs="微软雅黑"/>
          <w:szCs w:val="21"/>
          <w:highlight w:val="none"/>
        </w:rPr>
      </w:pPr>
      <w:r>
        <w:rPr>
          <w:highlight w:val="none"/>
        </w:rPr>
        <w:fldChar w:fldCharType="begin"/>
      </w:r>
      <w:r>
        <w:rPr>
          <w:highlight w:val="none"/>
        </w:rPr>
        <w:instrText xml:space="preserve"> HYPERLINK \l "_Toc5875" </w:instrText>
      </w:r>
      <w:r>
        <w:rPr>
          <w:highlight w:val="none"/>
        </w:rPr>
        <w:fldChar w:fldCharType="separate"/>
      </w:r>
      <w:r>
        <w:rPr>
          <w:rFonts w:hint="eastAsia" w:ascii="微软雅黑" w:hAnsi="微软雅黑" w:cs="微软雅黑"/>
          <w:szCs w:val="21"/>
          <w:highlight w:val="none"/>
        </w:rPr>
        <w:t>第二章 招标项目要求</w:t>
      </w:r>
      <w:r>
        <w:rPr>
          <w:rFonts w:hint="eastAsia" w:ascii="微软雅黑" w:hAnsi="微软雅黑" w:cs="微软雅黑"/>
          <w:szCs w:val="21"/>
          <w:highlight w:val="none"/>
        </w:rPr>
        <w:tab/>
      </w:r>
      <w:r>
        <w:rPr>
          <w:rFonts w:hint="eastAsia" w:ascii="微软雅黑" w:hAnsi="微软雅黑" w:cs="微软雅黑"/>
          <w:szCs w:val="21"/>
          <w:highlight w:val="none"/>
        </w:rPr>
        <w:fldChar w:fldCharType="begin"/>
      </w:r>
      <w:r>
        <w:rPr>
          <w:rFonts w:hint="eastAsia" w:ascii="微软雅黑" w:hAnsi="微软雅黑" w:cs="微软雅黑"/>
          <w:szCs w:val="21"/>
          <w:highlight w:val="none"/>
        </w:rPr>
        <w:instrText xml:space="preserve"> PAGEREF _Toc5875 </w:instrText>
      </w:r>
      <w:r>
        <w:rPr>
          <w:rFonts w:hint="eastAsia" w:ascii="微软雅黑" w:hAnsi="微软雅黑" w:cs="微软雅黑"/>
          <w:szCs w:val="21"/>
          <w:highlight w:val="none"/>
        </w:rPr>
        <w:fldChar w:fldCharType="separate"/>
      </w:r>
      <w:r>
        <w:rPr>
          <w:rFonts w:hint="eastAsia" w:ascii="微软雅黑" w:hAnsi="微软雅黑" w:cs="微软雅黑"/>
          <w:szCs w:val="21"/>
          <w:highlight w:val="none"/>
        </w:rPr>
        <w:t>9</w:t>
      </w:r>
      <w:r>
        <w:rPr>
          <w:rFonts w:hint="eastAsia" w:ascii="微软雅黑" w:hAnsi="微软雅黑" w:cs="微软雅黑"/>
          <w:szCs w:val="21"/>
          <w:highlight w:val="none"/>
        </w:rPr>
        <w:fldChar w:fldCharType="end"/>
      </w:r>
      <w:r>
        <w:rPr>
          <w:rFonts w:hint="eastAsia" w:ascii="微软雅黑" w:hAnsi="微软雅黑" w:cs="微软雅黑"/>
          <w:szCs w:val="21"/>
          <w:highlight w:val="none"/>
        </w:rPr>
        <w:fldChar w:fldCharType="end"/>
      </w:r>
    </w:p>
    <w:p>
      <w:pPr>
        <w:pStyle w:val="90"/>
        <w:tabs>
          <w:tab w:val="right" w:leader="dot" w:pos="8312"/>
        </w:tabs>
        <w:spacing w:line="600" w:lineRule="exact"/>
        <w:ind w:firstLine="420"/>
        <w:rPr>
          <w:rFonts w:ascii="微软雅黑" w:hAnsi="微软雅黑" w:cs="微软雅黑"/>
          <w:szCs w:val="21"/>
          <w:highlight w:val="none"/>
        </w:rPr>
      </w:pPr>
      <w:r>
        <w:rPr>
          <w:highlight w:val="none"/>
        </w:rPr>
        <w:fldChar w:fldCharType="begin"/>
      </w:r>
      <w:r>
        <w:rPr>
          <w:highlight w:val="none"/>
        </w:rPr>
        <w:instrText xml:space="preserve"> HYPERLINK \l "_Toc19683" </w:instrText>
      </w:r>
      <w:r>
        <w:rPr>
          <w:highlight w:val="none"/>
        </w:rPr>
        <w:fldChar w:fldCharType="separate"/>
      </w:r>
      <w:r>
        <w:rPr>
          <w:rFonts w:hint="eastAsia" w:ascii="微软雅黑" w:hAnsi="微软雅黑" w:cs="微软雅黑"/>
          <w:szCs w:val="21"/>
          <w:highlight w:val="none"/>
        </w:rPr>
        <w:t>第三章  投标</w:t>
      </w:r>
      <w:bookmarkStart w:id="3" w:name="_Hlt66106898"/>
      <w:bookmarkStart w:id="4" w:name="_Hlt66106899"/>
      <w:r>
        <w:rPr>
          <w:rFonts w:hint="eastAsia" w:ascii="微软雅黑" w:hAnsi="微软雅黑" w:cs="微软雅黑"/>
          <w:szCs w:val="21"/>
          <w:highlight w:val="none"/>
        </w:rPr>
        <w:t>人</w:t>
      </w:r>
      <w:bookmarkEnd w:id="3"/>
      <w:bookmarkEnd w:id="4"/>
      <w:r>
        <w:rPr>
          <w:rFonts w:hint="eastAsia" w:ascii="微软雅黑" w:hAnsi="微软雅黑" w:cs="微软雅黑"/>
          <w:szCs w:val="21"/>
          <w:highlight w:val="none"/>
        </w:rPr>
        <w:t>须知</w:t>
      </w:r>
      <w:r>
        <w:rPr>
          <w:rFonts w:hint="eastAsia" w:ascii="微软雅黑" w:hAnsi="微软雅黑" w:cs="微软雅黑"/>
          <w:szCs w:val="21"/>
          <w:highlight w:val="none"/>
        </w:rPr>
        <w:tab/>
      </w:r>
      <w:r>
        <w:rPr>
          <w:rFonts w:hint="eastAsia" w:ascii="微软雅黑" w:hAnsi="微软雅黑" w:cs="微软雅黑"/>
          <w:szCs w:val="21"/>
          <w:highlight w:val="none"/>
        </w:rPr>
        <w:fldChar w:fldCharType="begin"/>
      </w:r>
      <w:r>
        <w:rPr>
          <w:rFonts w:hint="eastAsia" w:ascii="微软雅黑" w:hAnsi="微软雅黑" w:cs="微软雅黑"/>
          <w:szCs w:val="21"/>
          <w:highlight w:val="none"/>
        </w:rPr>
        <w:instrText xml:space="preserve"> PAGEREF _Toc19683 </w:instrText>
      </w:r>
      <w:r>
        <w:rPr>
          <w:rFonts w:hint="eastAsia" w:ascii="微软雅黑" w:hAnsi="微软雅黑" w:cs="微软雅黑"/>
          <w:szCs w:val="21"/>
          <w:highlight w:val="none"/>
        </w:rPr>
        <w:fldChar w:fldCharType="separate"/>
      </w:r>
      <w:r>
        <w:rPr>
          <w:rFonts w:hint="eastAsia" w:ascii="微软雅黑" w:hAnsi="微软雅黑" w:cs="微软雅黑"/>
          <w:szCs w:val="21"/>
          <w:highlight w:val="none"/>
        </w:rPr>
        <w:t>9</w:t>
      </w:r>
      <w:r>
        <w:rPr>
          <w:rFonts w:hint="eastAsia" w:ascii="微软雅黑" w:hAnsi="微软雅黑" w:cs="微软雅黑"/>
          <w:szCs w:val="21"/>
          <w:highlight w:val="none"/>
        </w:rPr>
        <w:fldChar w:fldCharType="end"/>
      </w:r>
      <w:r>
        <w:rPr>
          <w:rFonts w:hint="eastAsia" w:ascii="微软雅黑" w:hAnsi="微软雅黑" w:cs="微软雅黑"/>
          <w:szCs w:val="21"/>
          <w:highlight w:val="none"/>
        </w:rPr>
        <w:fldChar w:fldCharType="end"/>
      </w:r>
    </w:p>
    <w:p>
      <w:pPr>
        <w:pStyle w:val="90"/>
        <w:tabs>
          <w:tab w:val="right" w:leader="dot" w:pos="8312"/>
        </w:tabs>
        <w:spacing w:line="600" w:lineRule="exact"/>
        <w:ind w:firstLine="420"/>
        <w:rPr>
          <w:rFonts w:ascii="微软雅黑" w:hAnsi="微软雅黑" w:cs="微软雅黑"/>
          <w:szCs w:val="21"/>
          <w:highlight w:val="none"/>
        </w:rPr>
      </w:pPr>
      <w:r>
        <w:rPr>
          <w:highlight w:val="none"/>
        </w:rPr>
        <w:fldChar w:fldCharType="begin"/>
      </w:r>
      <w:r>
        <w:rPr>
          <w:highlight w:val="none"/>
        </w:rPr>
        <w:instrText xml:space="preserve"> HYPERLINK \l "_Toc25435" </w:instrText>
      </w:r>
      <w:r>
        <w:rPr>
          <w:highlight w:val="none"/>
        </w:rPr>
        <w:fldChar w:fldCharType="separate"/>
      </w:r>
      <w:r>
        <w:rPr>
          <w:rFonts w:hint="eastAsia" w:ascii="微软雅黑" w:hAnsi="微软雅黑" w:cs="微软雅黑"/>
          <w:szCs w:val="21"/>
          <w:highlight w:val="none"/>
        </w:rPr>
        <w:t>第四章  评标办法及评分标准</w:t>
      </w:r>
      <w:r>
        <w:rPr>
          <w:rFonts w:hint="eastAsia" w:ascii="微软雅黑" w:hAnsi="微软雅黑" w:cs="微软雅黑"/>
          <w:szCs w:val="21"/>
          <w:highlight w:val="none"/>
        </w:rPr>
        <w:tab/>
      </w:r>
      <w:r>
        <w:rPr>
          <w:rFonts w:hint="eastAsia" w:ascii="微软雅黑" w:hAnsi="微软雅黑" w:cs="微软雅黑"/>
          <w:szCs w:val="21"/>
          <w:highlight w:val="none"/>
        </w:rPr>
        <w:fldChar w:fldCharType="begin"/>
      </w:r>
      <w:r>
        <w:rPr>
          <w:rFonts w:hint="eastAsia" w:ascii="微软雅黑" w:hAnsi="微软雅黑" w:cs="微软雅黑"/>
          <w:szCs w:val="21"/>
          <w:highlight w:val="none"/>
        </w:rPr>
        <w:instrText xml:space="preserve"> PAGEREF _Toc25435 </w:instrText>
      </w:r>
      <w:r>
        <w:rPr>
          <w:rFonts w:hint="eastAsia" w:ascii="微软雅黑" w:hAnsi="微软雅黑" w:cs="微软雅黑"/>
          <w:szCs w:val="21"/>
          <w:highlight w:val="none"/>
        </w:rPr>
        <w:fldChar w:fldCharType="separate"/>
      </w:r>
      <w:r>
        <w:rPr>
          <w:rFonts w:hint="eastAsia" w:ascii="微软雅黑" w:hAnsi="微软雅黑" w:cs="微软雅黑"/>
          <w:szCs w:val="21"/>
          <w:highlight w:val="none"/>
        </w:rPr>
        <w:t>29</w:t>
      </w:r>
      <w:r>
        <w:rPr>
          <w:rFonts w:hint="eastAsia" w:ascii="微软雅黑" w:hAnsi="微软雅黑" w:cs="微软雅黑"/>
          <w:szCs w:val="21"/>
          <w:highlight w:val="none"/>
        </w:rPr>
        <w:fldChar w:fldCharType="end"/>
      </w:r>
      <w:r>
        <w:rPr>
          <w:rFonts w:hint="eastAsia" w:ascii="微软雅黑" w:hAnsi="微软雅黑" w:cs="微软雅黑"/>
          <w:szCs w:val="21"/>
          <w:highlight w:val="none"/>
        </w:rPr>
        <w:fldChar w:fldCharType="end"/>
      </w:r>
    </w:p>
    <w:p>
      <w:pPr>
        <w:pStyle w:val="90"/>
        <w:tabs>
          <w:tab w:val="right" w:leader="dot" w:pos="8312"/>
        </w:tabs>
        <w:spacing w:line="600" w:lineRule="exact"/>
        <w:ind w:firstLine="420"/>
        <w:rPr>
          <w:rFonts w:ascii="微软雅黑" w:hAnsi="微软雅黑" w:cs="微软雅黑"/>
          <w:szCs w:val="21"/>
          <w:highlight w:val="none"/>
        </w:rPr>
      </w:pPr>
      <w:r>
        <w:rPr>
          <w:highlight w:val="none"/>
        </w:rPr>
        <w:fldChar w:fldCharType="begin"/>
      </w:r>
      <w:r>
        <w:rPr>
          <w:highlight w:val="none"/>
        </w:rPr>
        <w:instrText xml:space="preserve"> HYPERLINK \l "_Toc24358" </w:instrText>
      </w:r>
      <w:r>
        <w:rPr>
          <w:highlight w:val="none"/>
        </w:rPr>
        <w:fldChar w:fldCharType="separate"/>
      </w:r>
      <w:r>
        <w:rPr>
          <w:rFonts w:hint="eastAsia" w:ascii="微软雅黑" w:hAnsi="微软雅黑" w:cs="微软雅黑"/>
          <w:szCs w:val="21"/>
          <w:highlight w:val="none"/>
        </w:rPr>
        <w:t>第五章  政府采购合同</w:t>
      </w:r>
      <w:r>
        <w:rPr>
          <w:rFonts w:hint="eastAsia" w:ascii="微软雅黑" w:hAnsi="微软雅黑" w:cs="微软雅黑"/>
          <w:szCs w:val="21"/>
          <w:highlight w:val="none"/>
        </w:rPr>
        <w:tab/>
      </w:r>
      <w:r>
        <w:rPr>
          <w:rFonts w:hint="eastAsia" w:ascii="微软雅黑" w:hAnsi="微软雅黑" w:cs="微软雅黑"/>
          <w:szCs w:val="21"/>
          <w:highlight w:val="none"/>
        </w:rPr>
        <w:fldChar w:fldCharType="begin"/>
      </w:r>
      <w:r>
        <w:rPr>
          <w:rFonts w:hint="eastAsia" w:ascii="微软雅黑" w:hAnsi="微软雅黑" w:cs="微软雅黑"/>
          <w:szCs w:val="21"/>
          <w:highlight w:val="none"/>
        </w:rPr>
        <w:instrText xml:space="preserve"> PAGEREF _Toc24358 </w:instrText>
      </w:r>
      <w:r>
        <w:rPr>
          <w:rFonts w:hint="eastAsia" w:ascii="微软雅黑" w:hAnsi="微软雅黑" w:cs="微软雅黑"/>
          <w:szCs w:val="21"/>
          <w:highlight w:val="none"/>
        </w:rPr>
        <w:fldChar w:fldCharType="separate"/>
      </w:r>
      <w:r>
        <w:rPr>
          <w:rFonts w:hint="eastAsia" w:ascii="微软雅黑" w:hAnsi="微软雅黑" w:cs="微软雅黑"/>
          <w:szCs w:val="21"/>
          <w:highlight w:val="none"/>
        </w:rPr>
        <w:t>29</w:t>
      </w:r>
      <w:r>
        <w:rPr>
          <w:rFonts w:hint="eastAsia" w:ascii="微软雅黑" w:hAnsi="微软雅黑" w:cs="微软雅黑"/>
          <w:szCs w:val="21"/>
          <w:highlight w:val="none"/>
        </w:rPr>
        <w:fldChar w:fldCharType="end"/>
      </w:r>
      <w:r>
        <w:rPr>
          <w:rFonts w:hint="eastAsia" w:ascii="微软雅黑" w:hAnsi="微软雅黑" w:cs="微软雅黑"/>
          <w:szCs w:val="21"/>
          <w:highlight w:val="none"/>
        </w:rPr>
        <w:fldChar w:fldCharType="end"/>
      </w:r>
    </w:p>
    <w:p>
      <w:pPr>
        <w:pStyle w:val="90"/>
        <w:tabs>
          <w:tab w:val="right" w:leader="dot" w:pos="8312"/>
        </w:tabs>
        <w:spacing w:line="600" w:lineRule="exact"/>
        <w:ind w:firstLine="420"/>
        <w:rPr>
          <w:rFonts w:ascii="微软雅黑" w:hAnsi="微软雅黑" w:cs="微软雅黑"/>
          <w:szCs w:val="21"/>
          <w:highlight w:val="none"/>
        </w:rPr>
      </w:pPr>
      <w:r>
        <w:rPr>
          <w:highlight w:val="none"/>
        </w:rPr>
        <w:fldChar w:fldCharType="begin"/>
      </w:r>
      <w:r>
        <w:rPr>
          <w:highlight w:val="none"/>
        </w:rPr>
        <w:instrText xml:space="preserve"> HYPERLINK \l "_Toc25864" </w:instrText>
      </w:r>
      <w:r>
        <w:rPr>
          <w:highlight w:val="none"/>
        </w:rPr>
        <w:fldChar w:fldCharType="separate"/>
      </w:r>
      <w:r>
        <w:rPr>
          <w:rFonts w:hint="eastAsia" w:ascii="微软雅黑" w:hAnsi="微软雅黑" w:cs="微软雅黑"/>
          <w:szCs w:val="21"/>
          <w:highlight w:val="none"/>
        </w:rPr>
        <w:t>第六章 投标文件相关</w:t>
      </w:r>
      <w:bookmarkStart w:id="5" w:name="_Hlt66106946"/>
      <w:r>
        <w:rPr>
          <w:rFonts w:hint="eastAsia" w:ascii="微软雅黑" w:hAnsi="微软雅黑" w:cs="微软雅黑"/>
          <w:szCs w:val="21"/>
          <w:highlight w:val="none"/>
        </w:rPr>
        <w:t>格</w:t>
      </w:r>
      <w:bookmarkEnd w:id="5"/>
      <w:r>
        <w:rPr>
          <w:rFonts w:hint="eastAsia" w:ascii="微软雅黑" w:hAnsi="微软雅黑" w:cs="微软雅黑"/>
          <w:szCs w:val="21"/>
          <w:highlight w:val="none"/>
        </w:rPr>
        <w:t>式</w:t>
      </w:r>
      <w:r>
        <w:rPr>
          <w:rFonts w:hint="eastAsia" w:ascii="微软雅黑" w:hAnsi="微软雅黑" w:cs="微软雅黑"/>
          <w:szCs w:val="21"/>
          <w:highlight w:val="none"/>
        </w:rPr>
        <w:tab/>
      </w:r>
      <w:r>
        <w:rPr>
          <w:rFonts w:hint="eastAsia" w:ascii="微软雅黑" w:hAnsi="微软雅黑" w:cs="微软雅黑"/>
          <w:szCs w:val="21"/>
          <w:highlight w:val="none"/>
        </w:rPr>
        <w:fldChar w:fldCharType="begin"/>
      </w:r>
      <w:r>
        <w:rPr>
          <w:rFonts w:hint="eastAsia" w:ascii="微软雅黑" w:hAnsi="微软雅黑" w:cs="微软雅黑"/>
          <w:szCs w:val="21"/>
          <w:highlight w:val="none"/>
        </w:rPr>
        <w:instrText xml:space="preserve"> PAGEREF _Toc25864 </w:instrText>
      </w:r>
      <w:r>
        <w:rPr>
          <w:rFonts w:hint="eastAsia" w:ascii="微软雅黑" w:hAnsi="微软雅黑" w:cs="微软雅黑"/>
          <w:szCs w:val="21"/>
          <w:highlight w:val="none"/>
        </w:rPr>
        <w:fldChar w:fldCharType="separate"/>
      </w:r>
      <w:r>
        <w:rPr>
          <w:rFonts w:hint="eastAsia" w:ascii="微软雅黑" w:hAnsi="微软雅黑" w:cs="微软雅黑"/>
          <w:szCs w:val="21"/>
          <w:highlight w:val="none"/>
        </w:rPr>
        <w:t>37</w:t>
      </w:r>
      <w:r>
        <w:rPr>
          <w:rFonts w:hint="eastAsia" w:ascii="微软雅黑" w:hAnsi="微软雅黑" w:cs="微软雅黑"/>
          <w:szCs w:val="21"/>
          <w:highlight w:val="none"/>
        </w:rPr>
        <w:fldChar w:fldCharType="end"/>
      </w:r>
      <w:r>
        <w:rPr>
          <w:rFonts w:hint="eastAsia" w:ascii="微软雅黑" w:hAnsi="微软雅黑" w:cs="微软雅黑"/>
          <w:szCs w:val="21"/>
          <w:highlight w:val="none"/>
        </w:rPr>
        <w:fldChar w:fldCharType="end"/>
      </w:r>
    </w:p>
    <w:p>
      <w:pPr>
        <w:spacing w:line="600" w:lineRule="exact"/>
        <w:ind w:firstLine="420"/>
        <w:rPr>
          <w:rFonts w:ascii="微软雅黑" w:hAnsi="微软雅黑" w:cs="微软雅黑"/>
          <w:b/>
          <w:szCs w:val="21"/>
          <w:highlight w:val="none"/>
        </w:rPr>
      </w:pPr>
      <w:r>
        <w:rPr>
          <w:rFonts w:hint="eastAsia" w:ascii="微软雅黑" w:hAnsi="微软雅黑" w:cs="微软雅黑"/>
          <w:szCs w:val="21"/>
          <w:highlight w:val="none"/>
        </w:rPr>
        <w:fldChar w:fldCharType="end"/>
      </w:r>
    </w:p>
    <w:p>
      <w:pPr>
        <w:pStyle w:val="5"/>
        <w:numPr>
          <w:ilvl w:val="0"/>
          <w:numId w:val="3"/>
        </w:numPr>
        <w:rPr>
          <w:rStyle w:val="157"/>
          <w:b/>
          <w:bCs/>
          <w:highlight w:val="none"/>
        </w:rPr>
      </w:pPr>
      <w:bookmarkStart w:id="6" w:name="_Toc493511540"/>
      <w:r>
        <w:rPr>
          <w:rFonts w:hint="eastAsia" w:ascii="微软雅黑" w:hAnsi="微软雅黑"/>
          <w:highlight w:val="none"/>
        </w:rPr>
        <w:br w:type="page"/>
      </w:r>
      <w:bookmarkStart w:id="7" w:name="_Toc22578"/>
      <w:r>
        <w:rPr>
          <w:rStyle w:val="157"/>
          <w:rFonts w:hint="eastAsia"/>
          <w:b/>
          <w:bCs/>
          <w:highlight w:val="none"/>
        </w:rPr>
        <w:t>公开招标采购公告</w:t>
      </w:r>
      <w:bookmarkEnd w:id="6"/>
      <w:bookmarkEnd w:id="7"/>
    </w:p>
    <w:p>
      <w:pPr>
        <w:spacing w:line="500" w:lineRule="exact"/>
        <w:ind w:firstLine="420"/>
        <w:rPr>
          <w:rFonts w:ascii="微软雅黑" w:hAnsi="微软雅黑"/>
          <w:szCs w:val="21"/>
          <w:highlight w:val="none"/>
        </w:rPr>
      </w:pPr>
      <w:bookmarkStart w:id="8" w:name="_Toc493511541"/>
      <w:bookmarkStart w:id="9" w:name="_Toc177870534"/>
      <w:r>
        <w:rPr>
          <w:rFonts w:hint="eastAsia" w:ascii="微软雅黑" w:hAnsi="微软雅黑"/>
          <w:szCs w:val="21"/>
          <w:highlight w:val="none"/>
        </w:rPr>
        <w:t>根据《中华人民共和国政府采购法》、《中华人民共和国政府采购法实施条例》和《政府采购货物和服务招标投标管理办法》等规定，浙江中际工程项目管理有限公司受</w:t>
      </w:r>
      <w:r>
        <w:rPr>
          <w:rFonts w:hint="eastAsia" w:ascii="微软雅黑" w:hAnsi="微软雅黑"/>
          <w:szCs w:val="21"/>
          <w:highlight w:val="none"/>
          <w:lang w:eastAsia="zh-CN"/>
        </w:rPr>
        <w:t>嘉兴市南湖区公路与运输管理服务中心</w:t>
      </w:r>
      <w:r>
        <w:rPr>
          <w:rFonts w:hint="eastAsia" w:ascii="微软雅黑" w:hAnsi="微软雅黑"/>
          <w:szCs w:val="21"/>
          <w:highlight w:val="none"/>
        </w:rPr>
        <w:t>的委托，经</w:t>
      </w:r>
      <w:r>
        <w:rPr>
          <w:rFonts w:hint="eastAsia" w:ascii="微软雅黑" w:hAnsi="微软雅黑"/>
          <w:szCs w:val="21"/>
          <w:highlight w:val="none"/>
          <w:lang w:eastAsia="zh-CN"/>
        </w:rPr>
        <w:t>嘉兴市</w:t>
      </w:r>
      <w:r>
        <w:rPr>
          <w:rFonts w:hint="eastAsia" w:ascii="微软雅黑" w:hAnsi="微软雅黑"/>
          <w:szCs w:val="21"/>
          <w:highlight w:val="none"/>
          <w:lang w:val="en-US" w:eastAsia="zh-CN"/>
        </w:rPr>
        <w:t>南湖区</w:t>
      </w:r>
      <w:r>
        <w:rPr>
          <w:rFonts w:hint="eastAsia" w:ascii="微软雅黑" w:hAnsi="微软雅黑"/>
          <w:szCs w:val="21"/>
          <w:highlight w:val="none"/>
          <w:lang w:eastAsia="zh-CN"/>
        </w:rPr>
        <w:t>财政局</w:t>
      </w:r>
      <w:r>
        <w:rPr>
          <w:rFonts w:hint="eastAsia" w:ascii="微软雅黑" w:hAnsi="微软雅黑"/>
          <w:szCs w:val="21"/>
          <w:highlight w:val="none"/>
          <w:u w:val="single"/>
          <w:lang w:val="en-US" w:eastAsia="zh-CN"/>
        </w:rPr>
        <w:t>南财采确[2022]4854</w:t>
      </w:r>
      <w:r>
        <w:rPr>
          <w:rFonts w:hint="eastAsia" w:ascii="微软雅黑" w:hAnsi="微软雅黑"/>
          <w:szCs w:val="21"/>
          <w:highlight w:val="none"/>
          <w:u w:val="single"/>
          <w:lang w:eastAsia="zh-CN"/>
        </w:rPr>
        <w:t>号</w:t>
      </w:r>
      <w:r>
        <w:rPr>
          <w:rFonts w:hint="eastAsia" w:ascii="微软雅黑" w:hAnsi="微软雅黑"/>
          <w:szCs w:val="21"/>
          <w:highlight w:val="none"/>
        </w:rPr>
        <w:t>确认书批准，现就以下项目进行公开招标采购，欢迎国内合格供应商前来投标，现将有有关事项公告如下：</w:t>
      </w:r>
    </w:p>
    <w:p>
      <w:pPr>
        <w:pStyle w:val="6"/>
        <w:numPr>
          <w:ilvl w:val="0"/>
          <w:numId w:val="4"/>
        </w:numPr>
        <w:spacing w:line="500" w:lineRule="exact"/>
        <w:ind w:firstLineChars="0"/>
        <w:rPr>
          <w:rFonts w:ascii="微软雅黑" w:hAnsi="微软雅黑"/>
          <w:szCs w:val="21"/>
          <w:highlight w:val="none"/>
        </w:rPr>
      </w:pPr>
      <w:r>
        <w:rPr>
          <w:rFonts w:ascii="微软雅黑" w:hAnsi="微软雅黑"/>
          <w:szCs w:val="21"/>
          <w:highlight w:val="none"/>
        </w:rPr>
        <w:t>项目基本情况</w:t>
      </w:r>
    </w:p>
    <w:p>
      <w:pPr>
        <w:spacing w:line="500" w:lineRule="exact"/>
        <w:ind w:firstLine="420"/>
        <w:rPr>
          <w:rFonts w:ascii="微软雅黑" w:hAnsi="微软雅黑"/>
          <w:szCs w:val="21"/>
          <w:highlight w:val="none"/>
        </w:rPr>
      </w:pPr>
      <w:r>
        <w:rPr>
          <w:rFonts w:ascii="微软雅黑" w:hAnsi="微软雅黑"/>
          <w:szCs w:val="21"/>
          <w:highlight w:val="none"/>
        </w:rPr>
        <w:t>项目编号： </w:t>
      </w:r>
      <w:r>
        <w:rPr>
          <w:rFonts w:hint="eastAsia" w:ascii="微软雅黑" w:hAnsi="微软雅黑"/>
          <w:szCs w:val="21"/>
          <w:highlight w:val="none"/>
          <w:lang w:eastAsia="zh-CN"/>
        </w:rPr>
        <w:t>中际-ZJZJGC（2022）嘉33号</w:t>
      </w:r>
      <w:r>
        <w:rPr>
          <w:rFonts w:ascii="微软雅黑" w:hAnsi="微软雅黑"/>
          <w:szCs w:val="21"/>
          <w:highlight w:val="none"/>
        </w:rPr>
        <w:t> </w:t>
      </w:r>
    </w:p>
    <w:p>
      <w:pPr>
        <w:spacing w:line="500" w:lineRule="exact"/>
        <w:ind w:firstLine="420"/>
        <w:rPr>
          <w:rFonts w:hint="eastAsia" w:ascii="微软雅黑" w:hAnsi="微软雅黑" w:eastAsia="微软雅黑"/>
          <w:szCs w:val="21"/>
          <w:highlight w:val="none"/>
          <w:lang w:eastAsia="zh-CN"/>
        </w:rPr>
      </w:pPr>
      <w:r>
        <w:rPr>
          <w:rFonts w:ascii="微软雅黑" w:hAnsi="微软雅黑"/>
          <w:szCs w:val="21"/>
          <w:highlight w:val="none"/>
        </w:rPr>
        <w:t>项目名称：</w:t>
      </w:r>
      <w:r>
        <w:rPr>
          <w:rFonts w:hint="eastAsia" w:ascii="微软雅黑" w:hAnsi="微软雅黑"/>
          <w:szCs w:val="21"/>
          <w:highlight w:val="none"/>
          <w:lang w:eastAsia="zh-CN"/>
        </w:rPr>
        <w:t>数字农村路 2.0 版示范创建应用项目</w:t>
      </w:r>
    </w:p>
    <w:p>
      <w:pPr>
        <w:spacing w:line="500" w:lineRule="exact"/>
        <w:ind w:firstLine="420"/>
        <w:rPr>
          <w:rFonts w:hint="eastAsia" w:ascii="微软雅黑" w:hAnsi="微软雅黑"/>
          <w:highlight w:val="none"/>
          <w:lang w:val="en-US" w:eastAsia="zh-CN"/>
        </w:rPr>
      </w:pPr>
      <w:r>
        <w:rPr>
          <w:rFonts w:hint="eastAsia" w:ascii="微软雅黑" w:hAnsi="微软雅黑" w:cs="微软雅黑"/>
          <w:szCs w:val="21"/>
          <w:highlight w:val="none"/>
        </w:rPr>
        <w:t>预算金额（元）：</w:t>
      </w:r>
      <w:r>
        <w:rPr>
          <w:rFonts w:hint="eastAsia" w:ascii="微软雅黑" w:hAnsi="微软雅黑"/>
          <w:highlight w:val="none"/>
          <w:lang w:val="en-US" w:eastAsia="zh-CN"/>
        </w:rPr>
        <w:t>880000.00</w:t>
      </w:r>
    </w:p>
    <w:p>
      <w:pPr>
        <w:spacing w:line="500" w:lineRule="exact"/>
        <w:ind w:firstLine="420"/>
        <w:rPr>
          <w:rFonts w:ascii="微软雅黑" w:hAnsi="微软雅黑" w:cs="微软雅黑"/>
          <w:szCs w:val="21"/>
          <w:highlight w:val="none"/>
        </w:rPr>
      </w:pPr>
      <w:r>
        <w:rPr>
          <w:rFonts w:hint="eastAsia" w:ascii="微软雅黑" w:hAnsi="微软雅黑" w:cs="微软雅黑"/>
          <w:szCs w:val="21"/>
          <w:highlight w:val="none"/>
        </w:rPr>
        <w:t>最高限价（元）：</w:t>
      </w:r>
      <w:r>
        <w:rPr>
          <w:rFonts w:hint="eastAsia" w:ascii="微软雅黑" w:hAnsi="微软雅黑"/>
          <w:highlight w:val="none"/>
          <w:lang w:val="en-US" w:eastAsia="zh-CN"/>
        </w:rPr>
        <w:t>870000.00</w:t>
      </w:r>
    </w:p>
    <w:p>
      <w:pPr>
        <w:pStyle w:val="46"/>
        <w:spacing w:before="0" w:beforeAutospacing="0" w:after="0" w:afterAutospacing="0" w:line="500" w:lineRule="exact"/>
        <w:ind w:firstLine="420"/>
        <w:rPr>
          <w:rStyle w:val="116"/>
          <w:rFonts w:hint="eastAsia" w:ascii="微软雅黑" w:hAnsi="微软雅黑" w:cs="Arial"/>
          <w:sz w:val="21"/>
          <w:szCs w:val="21"/>
          <w:highlight w:val="none"/>
        </w:rPr>
      </w:pPr>
      <w:r>
        <w:rPr>
          <w:rStyle w:val="116"/>
          <w:rFonts w:ascii="微软雅黑" w:hAnsi="微软雅黑" w:cs="Arial"/>
          <w:sz w:val="21"/>
          <w:szCs w:val="21"/>
          <w:highlight w:val="none"/>
        </w:rPr>
        <w:t>采购需求</w:t>
      </w:r>
      <w:r>
        <w:rPr>
          <w:rStyle w:val="116"/>
          <w:rFonts w:hint="eastAsia" w:ascii="微软雅黑" w:hAnsi="微软雅黑" w:cs="Arial"/>
          <w:sz w:val="21"/>
          <w:szCs w:val="21"/>
          <w:highlight w:val="none"/>
        </w:rPr>
        <w:t>：</w:t>
      </w:r>
    </w:p>
    <w:p>
      <w:pPr>
        <w:pStyle w:val="46"/>
        <w:spacing w:before="0" w:beforeAutospacing="0" w:after="0" w:afterAutospacing="0" w:line="500" w:lineRule="exact"/>
        <w:ind w:firstLine="420"/>
        <w:rPr>
          <w:rStyle w:val="116"/>
          <w:rFonts w:hint="eastAsia" w:ascii="微软雅黑" w:hAnsi="微软雅黑" w:cs="Arial"/>
          <w:sz w:val="21"/>
          <w:szCs w:val="21"/>
          <w:highlight w:val="none"/>
        </w:rPr>
      </w:pPr>
    </w:p>
    <w:p>
      <w:pPr>
        <w:spacing w:line="500" w:lineRule="exact"/>
        <w:ind w:firstLine="420"/>
        <w:rPr>
          <w:rFonts w:hint="eastAsia" w:ascii="微软雅黑" w:hAnsi="微软雅黑"/>
          <w:szCs w:val="21"/>
          <w:highlight w:val="none"/>
        </w:rPr>
      </w:pPr>
      <w:r>
        <w:rPr>
          <w:rFonts w:hint="eastAsia" w:ascii="微软雅黑" w:hAnsi="微软雅黑"/>
          <w:szCs w:val="21"/>
          <w:highlight w:val="none"/>
        </w:rPr>
        <w:t>标项名称:</w:t>
      </w:r>
      <w:r>
        <w:rPr>
          <w:rFonts w:hint="eastAsia" w:ascii="微软雅黑" w:hAnsi="微软雅黑"/>
          <w:szCs w:val="21"/>
          <w:highlight w:val="none"/>
          <w:lang w:eastAsia="zh-CN"/>
        </w:rPr>
        <w:t>数字农村路 2.0 版示范创建应用项目</w:t>
      </w:r>
      <w:r>
        <w:rPr>
          <w:rFonts w:hint="eastAsia" w:ascii="微软雅黑" w:hAnsi="微软雅黑"/>
          <w:szCs w:val="21"/>
          <w:highlight w:val="none"/>
        </w:rPr>
        <w:t> </w:t>
      </w:r>
    </w:p>
    <w:p>
      <w:pPr>
        <w:spacing w:line="500" w:lineRule="exact"/>
        <w:ind w:firstLine="420"/>
        <w:rPr>
          <w:rFonts w:hint="eastAsia" w:ascii="微软雅黑" w:hAnsi="微软雅黑"/>
          <w:szCs w:val="21"/>
          <w:highlight w:val="none"/>
        </w:rPr>
      </w:pPr>
      <w:r>
        <w:rPr>
          <w:rFonts w:hint="eastAsia" w:ascii="微软雅黑" w:hAnsi="微软雅黑"/>
          <w:szCs w:val="21"/>
          <w:highlight w:val="none"/>
        </w:rPr>
        <w:t> 数量: 不限  </w:t>
      </w:r>
    </w:p>
    <w:p>
      <w:pPr>
        <w:spacing w:line="500" w:lineRule="exact"/>
        <w:ind w:firstLine="420"/>
        <w:rPr>
          <w:rFonts w:hint="eastAsia" w:ascii="微软雅黑" w:hAnsi="微软雅黑"/>
          <w:szCs w:val="21"/>
          <w:highlight w:val="none"/>
        </w:rPr>
      </w:pPr>
      <w:r>
        <w:rPr>
          <w:rFonts w:hint="eastAsia" w:ascii="微软雅黑" w:hAnsi="微软雅黑"/>
          <w:szCs w:val="21"/>
          <w:highlight w:val="none"/>
        </w:rPr>
        <w:t> 预算金额（元）:</w:t>
      </w:r>
      <w:r>
        <w:rPr>
          <w:rFonts w:hint="eastAsia" w:ascii="微软雅黑" w:hAnsi="微软雅黑"/>
          <w:szCs w:val="21"/>
          <w:highlight w:val="none"/>
          <w:lang w:val="en-US" w:eastAsia="zh-CN"/>
        </w:rPr>
        <w:t>880000.00</w:t>
      </w:r>
    </w:p>
    <w:p>
      <w:pPr>
        <w:spacing w:line="500" w:lineRule="exact"/>
        <w:ind w:firstLine="420"/>
        <w:rPr>
          <w:rFonts w:hint="eastAsia" w:ascii="微软雅黑" w:hAnsi="微软雅黑"/>
          <w:szCs w:val="21"/>
          <w:highlight w:val="none"/>
        </w:rPr>
      </w:pPr>
      <w:r>
        <w:rPr>
          <w:rFonts w:hint="eastAsia" w:ascii="微软雅黑" w:hAnsi="微软雅黑"/>
          <w:szCs w:val="21"/>
          <w:highlight w:val="none"/>
        </w:rPr>
        <w:t> 简要规格描述或项目基本概况介绍、用途：详见采购文件 </w:t>
      </w:r>
    </w:p>
    <w:p>
      <w:pPr>
        <w:spacing w:line="500" w:lineRule="exact"/>
        <w:ind w:firstLine="420"/>
        <w:rPr>
          <w:rFonts w:hint="eastAsia" w:ascii="微软雅黑" w:hAnsi="微软雅黑"/>
          <w:szCs w:val="21"/>
          <w:highlight w:val="none"/>
        </w:rPr>
      </w:pPr>
      <w:r>
        <w:rPr>
          <w:rFonts w:hint="eastAsia" w:ascii="微软雅黑" w:hAnsi="微软雅黑"/>
          <w:szCs w:val="21"/>
          <w:highlight w:val="none"/>
        </w:rPr>
        <w:t> 备注： </w:t>
      </w:r>
    </w:p>
    <w:p>
      <w:pPr>
        <w:spacing w:line="500" w:lineRule="exact"/>
        <w:jc w:val="left"/>
        <w:rPr>
          <w:rFonts w:hint="eastAsia" w:ascii="微软雅黑" w:hAnsi="微软雅黑"/>
          <w:szCs w:val="21"/>
          <w:highlight w:val="none"/>
        </w:rPr>
      </w:pPr>
      <w:r>
        <w:rPr>
          <w:rFonts w:hint="eastAsia" w:ascii="微软雅黑" w:hAnsi="微软雅黑"/>
          <w:szCs w:val="21"/>
          <w:highlight w:val="none"/>
        </w:rPr>
        <w:t>合同履约期限：标项 1，详见采购文件</w:t>
      </w:r>
    </w:p>
    <w:p>
      <w:pPr>
        <w:spacing w:line="500" w:lineRule="exact"/>
        <w:ind w:firstLine="420"/>
        <w:jc w:val="left"/>
        <w:rPr>
          <w:rFonts w:hint="eastAsia" w:ascii="微软雅黑" w:hAnsi="微软雅黑"/>
          <w:szCs w:val="21"/>
          <w:highlight w:val="none"/>
        </w:rPr>
      </w:pPr>
      <w:r>
        <w:rPr>
          <w:rFonts w:hint="eastAsia" w:ascii="微软雅黑" w:hAnsi="微软雅黑"/>
          <w:szCs w:val="21"/>
          <w:highlight w:val="none"/>
          <w:lang w:eastAsia="zh-CN"/>
        </w:rPr>
        <w:t>本项目</w:t>
      </w:r>
      <w:r>
        <w:rPr>
          <w:rFonts w:hint="eastAsia" w:ascii="微软雅黑" w:hAnsi="微软雅黑"/>
          <w:szCs w:val="21"/>
          <w:highlight w:val="none"/>
          <w:lang w:val="en-US" w:eastAsia="zh-CN"/>
        </w:rPr>
        <w:t>不</w:t>
      </w:r>
      <w:r>
        <w:rPr>
          <w:rFonts w:hint="eastAsia" w:ascii="微软雅黑" w:hAnsi="微软雅黑"/>
          <w:szCs w:val="21"/>
          <w:highlight w:val="none"/>
          <w:lang w:eastAsia="zh-CN"/>
        </w:rPr>
        <w:t>接受联合体投标</w:t>
      </w:r>
      <w:r>
        <w:rPr>
          <w:rFonts w:hint="eastAsia" w:ascii="微软雅黑" w:hAnsi="微软雅黑"/>
          <w:szCs w:val="21"/>
          <w:highlight w:val="none"/>
        </w:rPr>
        <w:t>。</w:t>
      </w:r>
    </w:p>
    <w:p>
      <w:pPr>
        <w:pStyle w:val="6"/>
        <w:numPr>
          <w:ilvl w:val="0"/>
          <w:numId w:val="4"/>
        </w:numPr>
        <w:spacing w:line="500" w:lineRule="exact"/>
        <w:ind w:firstLineChars="0"/>
        <w:rPr>
          <w:rFonts w:ascii="微软雅黑" w:hAnsi="微软雅黑"/>
          <w:szCs w:val="21"/>
          <w:highlight w:val="none"/>
        </w:rPr>
      </w:pPr>
      <w:r>
        <w:rPr>
          <w:rFonts w:ascii="微软雅黑" w:hAnsi="微软雅黑"/>
          <w:szCs w:val="21"/>
          <w:highlight w:val="none"/>
        </w:rPr>
        <w:t>申请人的资格要求：</w:t>
      </w:r>
    </w:p>
    <w:p>
      <w:pPr>
        <w:pStyle w:val="7"/>
        <w:numPr>
          <w:ilvl w:val="0"/>
          <w:numId w:val="5"/>
        </w:numPr>
        <w:spacing w:line="500" w:lineRule="exact"/>
        <w:ind w:firstLine="420"/>
        <w:rPr>
          <w:rFonts w:ascii="微软雅黑" w:hAnsi="微软雅黑"/>
          <w:szCs w:val="21"/>
          <w:highlight w:val="none"/>
        </w:rPr>
      </w:pPr>
      <w:r>
        <w:rPr>
          <w:rFonts w:hint="eastAsia" w:ascii="微软雅黑" w:hAnsi="微软雅黑"/>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pPr>
        <w:pStyle w:val="7"/>
        <w:numPr>
          <w:ilvl w:val="0"/>
          <w:numId w:val="5"/>
        </w:numPr>
        <w:spacing w:line="500" w:lineRule="exact"/>
        <w:ind w:firstLine="420"/>
        <w:rPr>
          <w:rFonts w:ascii="微软雅黑" w:hAnsi="微软雅黑"/>
          <w:szCs w:val="21"/>
          <w:highlight w:val="none"/>
        </w:rPr>
      </w:pPr>
      <w:r>
        <w:rPr>
          <w:rFonts w:hint="eastAsia" w:ascii="微软雅黑" w:hAnsi="微软雅黑"/>
          <w:szCs w:val="21"/>
          <w:highlight w:val="none"/>
        </w:rPr>
        <w:t>落实政府采购政策需满足的资格要求：根据《政府采购促进中小企业发展管理办》（财库 ﹝2020﹞46号）的规定：本项目为专门面向中小企业,100%预留给中小微企业的采购项目，供应商应为中小微企业（监狱企业及残疾人福利性单位视同小型、微型企业）。 </w:t>
      </w:r>
    </w:p>
    <w:p>
      <w:pPr>
        <w:pStyle w:val="7"/>
        <w:numPr>
          <w:ilvl w:val="0"/>
          <w:numId w:val="5"/>
        </w:numPr>
        <w:spacing w:line="500" w:lineRule="exact"/>
        <w:ind w:firstLine="420"/>
        <w:rPr>
          <w:rFonts w:ascii="微软雅黑" w:hAnsi="微软雅黑" w:cs="Arial"/>
          <w:szCs w:val="21"/>
          <w:highlight w:val="none"/>
        </w:rPr>
      </w:pPr>
      <w:r>
        <w:rPr>
          <w:rFonts w:hint="eastAsia" w:ascii="微软雅黑" w:hAnsi="微软雅黑" w:cs="Arial"/>
          <w:szCs w:val="21"/>
          <w:highlight w:val="none"/>
        </w:rPr>
        <w:t> </w:t>
      </w:r>
      <w:r>
        <w:rPr>
          <w:rFonts w:ascii="微软雅黑" w:hAnsi="微软雅黑" w:cs="Arial"/>
          <w:szCs w:val="21"/>
          <w:highlight w:val="none"/>
        </w:rPr>
        <w:t>本项目的特定资格要求：</w:t>
      </w:r>
      <w:r>
        <w:rPr>
          <w:rFonts w:hint="eastAsia" w:ascii="微软雅黑" w:hAnsi="微软雅黑" w:cs="Arial"/>
          <w:szCs w:val="21"/>
          <w:highlight w:val="none"/>
        </w:rPr>
        <w:t>无</w:t>
      </w:r>
    </w:p>
    <w:p>
      <w:pPr>
        <w:pStyle w:val="7"/>
        <w:numPr>
          <w:ilvl w:val="0"/>
          <w:numId w:val="5"/>
        </w:numPr>
        <w:spacing w:line="500" w:lineRule="exact"/>
        <w:ind w:firstLine="420"/>
        <w:rPr>
          <w:rFonts w:ascii="微软雅黑" w:hAnsi="微软雅黑" w:cs="Arial"/>
          <w:szCs w:val="21"/>
          <w:highlight w:val="none"/>
        </w:rPr>
      </w:pPr>
      <w:r>
        <w:rPr>
          <w:rFonts w:hint="eastAsia" w:ascii="微软雅黑" w:hAnsi="微软雅黑" w:cs="Arial"/>
          <w:szCs w:val="21"/>
          <w:highlight w:val="none"/>
          <w:lang w:eastAsia="zh-CN"/>
        </w:rPr>
        <w:t>本项目</w:t>
      </w:r>
      <w:r>
        <w:rPr>
          <w:rFonts w:hint="eastAsia" w:ascii="微软雅黑" w:hAnsi="微软雅黑" w:cs="Arial"/>
          <w:szCs w:val="21"/>
          <w:highlight w:val="none"/>
          <w:lang w:val="en-US" w:eastAsia="zh-CN"/>
        </w:rPr>
        <w:t>不</w:t>
      </w:r>
      <w:r>
        <w:rPr>
          <w:rFonts w:hint="eastAsia" w:ascii="微软雅黑" w:hAnsi="微软雅黑" w:cs="Arial"/>
          <w:szCs w:val="21"/>
          <w:highlight w:val="none"/>
          <w:lang w:eastAsia="zh-CN"/>
        </w:rPr>
        <w:t>接受联合体投标</w:t>
      </w:r>
      <w:r>
        <w:rPr>
          <w:rFonts w:ascii="微软雅黑" w:hAnsi="微软雅黑" w:cs="Arial"/>
          <w:szCs w:val="21"/>
          <w:highlight w:val="none"/>
        </w:rPr>
        <w:t>。</w:t>
      </w:r>
    </w:p>
    <w:p>
      <w:pPr>
        <w:pStyle w:val="8"/>
        <w:rPr>
          <w:highlight w:val="none"/>
        </w:rPr>
      </w:pPr>
    </w:p>
    <w:p>
      <w:pPr>
        <w:pStyle w:val="6"/>
        <w:numPr>
          <w:ilvl w:val="0"/>
          <w:numId w:val="4"/>
        </w:numPr>
        <w:spacing w:line="500" w:lineRule="exact"/>
        <w:ind w:firstLineChars="0"/>
        <w:rPr>
          <w:rFonts w:ascii="微软雅黑" w:hAnsi="微软雅黑"/>
          <w:szCs w:val="21"/>
          <w:highlight w:val="none"/>
        </w:rPr>
      </w:pPr>
      <w:r>
        <w:rPr>
          <w:rFonts w:ascii="微软雅黑" w:hAnsi="微软雅黑"/>
          <w:szCs w:val="21"/>
          <w:highlight w:val="none"/>
        </w:rPr>
        <w:t>获取招标文件</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时间：</w:t>
      </w:r>
      <w:r>
        <w:rPr>
          <w:rFonts w:ascii="微软雅黑" w:hAnsi="微软雅黑" w:cs="Arial"/>
          <w:sz w:val="21"/>
          <w:szCs w:val="21"/>
          <w:highlight w:val="none"/>
          <w:u w:val="single"/>
        </w:rPr>
        <w:t> </w:t>
      </w:r>
      <w:r>
        <w:rPr>
          <w:rStyle w:val="114"/>
          <w:rFonts w:ascii="微软雅黑" w:hAnsi="微软雅黑" w:cs="Arial"/>
          <w:sz w:val="21"/>
          <w:szCs w:val="21"/>
          <w:highlight w:val="none"/>
          <w:u w:val="single"/>
        </w:rPr>
        <w:t>202</w:t>
      </w:r>
      <w:r>
        <w:rPr>
          <w:rStyle w:val="114"/>
          <w:rFonts w:hint="eastAsia" w:ascii="微软雅黑" w:hAnsi="微软雅黑" w:cs="Arial"/>
          <w:sz w:val="21"/>
          <w:szCs w:val="21"/>
          <w:highlight w:val="none"/>
          <w:u w:val="single"/>
        </w:rPr>
        <w:t>2</w:t>
      </w:r>
      <w:r>
        <w:rPr>
          <w:rStyle w:val="114"/>
          <w:rFonts w:ascii="微软雅黑" w:hAnsi="微软雅黑" w:cs="Arial"/>
          <w:sz w:val="21"/>
          <w:szCs w:val="21"/>
          <w:highlight w:val="none"/>
          <w:u w:val="single"/>
        </w:rPr>
        <w:t>年</w:t>
      </w:r>
      <w:r>
        <w:rPr>
          <w:rStyle w:val="114"/>
          <w:rFonts w:hint="eastAsia" w:ascii="微软雅黑" w:hAnsi="微软雅黑" w:cs="Arial"/>
          <w:sz w:val="21"/>
          <w:szCs w:val="21"/>
          <w:highlight w:val="none"/>
          <w:u w:val="single"/>
          <w:lang w:val="en-US" w:eastAsia="zh-CN"/>
        </w:rPr>
        <w:t>12</w:t>
      </w:r>
      <w:r>
        <w:rPr>
          <w:rStyle w:val="114"/>
          <w:rFonts w:ascii="微软雅黑" w:hAnsi="微软雅黑" w:cs="Arial"/>
          <w:sz w:val="21"/>
          <w:szCs w:val="21"/>
          <w:highlight w:val="none"/>
          <w:u w:val="single"/>
        </w:rPr>
        <w:t>月</w:t>
      </w:r>
      <w:r>
        <w:rPr>
          <w:rStyle w:val="114"/>
          <w:rFonts w:hint="eastAsia" w:ascii="微软雅黑" w:hAnsi="微软雅黑" w:cs="Arial"/>
          <w:sz w:val="21"/>
          <w:szCs w:val="21"/>
          <w:highlight w:val="none"/>
          <w:u w:val="single"/>
          <w:lang w:val="en-US" w:eastAsia="zh-CN"/>
        </w:rPr>
        <w:t>08</w:t>
      </w:r>
      <w:r>
        <w:rPr>
          <w:rStyle w:val="114"/>
          <w:rFonts w:ascii="微软雅黑" w:hAnsi="微软雅黑" w:cs="Arial"/>
          <w:sz w:val="21"/>
          <w:szCs w:val="21"/>
          <w:highlight w:val="none"/>
          <w:u w:val="single"/>
        </w:rPr>
        <w:t>日</w:t>
      </w:r>
      <w:r>
        <w:rPr>
          <w:rFonts w:ascii="微软雅黑" w:hAnsi="微软雅黑" w:cs="Arial"/>
          <w:sz w:val="21"/>
          <w:szCs w:val="21"/>
          <w:highlight w:val="none"/>
          <w:u w:val="single"/>
        </w:rPr>
        <w:t> </w:t>
      </w:r>
      <w:r>
        <w:rPr>
          <w:rFonts w:ascii="微软雅黑" w:hAnsi="微软雅黑" w:cs="Arial"/>
          <w:sz w:val="21"/>
          <w:szCs w:val="21"/>
          <w:highlight w:val="none"/>
        </w:rPr>
        <w:t>至 </w:t>
      </w:r>
      <w:r>
        <w:rPr>
          <w:rFonts w:ascii="微软雅黑" w:hAnsi="微软雅黑" w:cs="Arial"/>
          <w:sz w:val="21"/>
          <w:szCs w:val="21"/>
          <w:highlight w:val="none"/>
          <w:u w:val="single"/>
        </w:rPr>
        <w:t> </w:t>
      </w:r>
      <w:r>
        <w:rPr>
          <w:rStyle w:val="114"/>
          <w:rFonts w:ascii="微软雅黑" w:hAnsi="微软雅黑" w:cs="Arial"/>
          <w:sz w:val="21"/>
          <w:szCs w:val="21"/>
          <w:highlight w:val="none"/>
          <w:u w:val="single"/>
        </w:rPr>
        <w:t>202</w:t>
      </w:r>
      <w:r>
        <w:rPr>
          <w:rStyle w:val="114"/>
          <w:rFonts w:hint="eastAsia" w:ascii="微软雅黑" w:hAnsi="微软雅黑" w:cs="Arial"/>
          <w:sz w:val="21"/>
          <w:szCs w:val="21"/>
          <w:highlight w:val="none"/>
          <w:u w:val="single"/>
        </w:rPr>
        <w:t>2</w:t>
      </w:r>
      <w:r>
        <w:rPr>
          <w:rStyle w:val="114"/>
          <w:rFonts w:ascii="微软雅黑" w:hAnsi="微软雅黑" w:cs="Arial"/>
          <w:sz w:val="21"/>
          <w:szCs w:val="21"/>
          <w:highlight w:val="none"/>
          <w:u w:val="single"/>
        </w:rPr>
        <w:t>年</w:t>
      </w:r>
      <w:r>
        <w:rPr>
          <w:rStyle w:val="114"/>
          <w:rFonts w:hint="eastAsia" w:ascii="微软雅黑" w:hAnsi="微软雅黑" w:cs="Arial"/>
          <w:sz w:val="21"/>
          <w:szCs w:val="21"/>
          <w:highlight w:val="none"/>
          <w:u w:val="single"/>
          <w:lang w:val="en-US" w:eastAsia="zh-CN"/>
        </w:rPr>
        <w:t>12</w:t>
      </w:r>
      <w:r>
        <w:rPr>
          <w:rStyle w:val="114"/>
          <w:rFonts w:ascii="微软雅黑" w:hAnsi="微软雅黑" w:cs="Arial"/>
          <w:sz w:val="21"/>
          <w:szCs w:val="21"/>
          <w:highlight w:val="none"/>
          <w:u w:val="single"/>
        </w:rPr>
        <w:t>月</w:t>
      </w:r>
      <w:r>
        <w:rPr>
          <w:rStyle w:val="114"/>
          <w:rFonts w:hint="eastAsia" w:ascii="微软雅黑" w:hAnsi="微软雅黑" w:cs="Arial"/>
          <w:sz w:val="21"/>
          <w:szCs w:val="21"/>
          <w:highlight w:val="none"/>
          <w:u w:val="single"/>
          <w:lang w:val="en-US" w:eastAsia="zh-CN"/>
        </w:rPr>
        <w:t>29</w:t>
      </w:r>
      <w:r>
        <w:rPr>
          <w:rStyle w:val="114"/>
          <w:rFonts w:ascii="微软雅黑" w:hAnsi="微软雅黑" w:cs="Arial"/>
          <w:sz w:val="21"/>
          <w:szCs w:val="21"/>
          <w:highlight w:val="none"/>
          <w:u w:val="single"/>
        </w:rPr>
        <w:t>日</w:t>
      </w:r>
      <w:r>
        <w:rPr>
          <w:rFonts w:ascii="微软雅黑" w:hAnsi="微软雅黑" w:cs="Arial"/>
          <w:sz w:val="21"/>
          <w:szCs w:val="21"/>
          <w:highlight w:val="none"/>
          <w:u w:val="single"/>
        </w:rPr>
        <w:t>  </w:t>
      </w:r>
      <w:r>
        <w:rPr>
          <w:rFonts w:ascii="微软雅黑" w:hAnsi="微软雅黑" w:cs="Arial"/>
          <w:sz w:val="21"/>
          <w:szCs w:val="21"/>
          <w:highlight w:val="none"/>
        </w:rPr>
        <w:t>，每天上午</w:t>
      </w:r>
      <w:r>
        <w:rPr>
          <w:rFonts w:ascii="微软雅黑" w:hAnsi="微软雅黑" w:cs="Arial"/>
          <w:sz w:val="21"/>
          <w:szCs w:val="21"/>
          <w:highlight w:val="none"/>
          <w:u w:val="single"/>
        </w:rPr>
        <w:t> </w:t>
      </w:r>
      <w:r>
        <w:rPr>
          <w:rStyle w:val="114"/>
          <w:rFonts w:ascii="微软雅黑" w:hAnsi="微软雅黑" w:cs="Arial"/>
          <w:sz w:val="21"/>
          <w:szCs w:val="21"/>
          <w:highlight w:val="none"/>
          <w:u w:val="single"/>
        </w:rPr>
        <w:t>00:00至12:00</w:t>
      </w:r>
      <w:r>
        <w:rPr>
          <w:rFonts w:ascii="微软雅黑" w:hAnsi="微软雅黑" w:cs="Arial"/>
          <w:sz w:val="21"/>
          <w:szCs w:val="21"/>
          <w:highlight w:val="none"/>
        </w:rPr>
        <w:t> ，下午</w:t>
      </w:r>
      <w:r>
        <w:rPr>
          <w:rFonts w:ascii="微软雅黑" w:hAnsi="微软雅黑" w:cs="Arial"/>
          <w:sz w:val="21"/>
          <w:szCs w:val="21"/>
          <w:highlight w:val="none"/>
          <w:u w:val="single"/>
        </w:rPr>
        <w:t> </w:t>
      </w:r>
      <w:r>
        <w:rPr>
          <w:rStyle w:val="114"/>
          <w:rFonts w:ascii="微软雅黑" w:hAnsi="微软雅黑" w:cs="Arial"/>
          <w:sz w:val="21"/>
          <w:szCs w:val="21"/>
          <w:highlight w:val="none"/>
          <w:u w:val="single"/>
        </w:rPr>
        <w:t>12:00至23:59</w:t>
      </w:r>
      <w:r>
        <w:rPr>
          <w:rFonts w:ascii="微软雅黑" w:hAnsi="微软雅黑" w:cs="Arial"/>
          <w:sz w:val="21"/>
          <w:szCs w:val="21"/>
          <w:highlight w:val="none"/>
          <w:u w:val="single"/>
        </w:rPr>
        <w:t> </w:t>
      </w:r>
      <w:r>
        <w:rPr>
          <w:rFonts w:ascii="微软雅黑" w:hAnsi="微软雅黑" w:cs="Arial"/>
          <w:sz w:val="21"/>
          <w:szCs w:val="21"/>
          <w:highlight w:val="none"/>
        </w:rPr>
        <w:t>（北京时间，线上获取法定节假日均可，线下获取文件法定节假日除外）</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地点（网址）： </w:t>
      </w:r>
      <w:r>
        <w:rPr>
          <w:rStyle w:val="114"/>
          <w:rFonts w:ascii="微软雅黑" w:hAnsi="微软雅黑" w:cs="Arial"/>
          <w:sz w:val="21"/>
          <w:szCs w:val="21"/>
          <w:highlight w:val="none"/>
        </w:rPr>
        <w:t>浙江政府采购网https://zfcg.czt.zj.gov.cn/</w:t>
      </w:r>
      <w:r>
        <w:rPr>
          <w:rFonts w:ascii="微软雅黑" w:hAnsi="微软雅黑" w:cs="Arial"/>
          <w:sz w:val="21"/>
          <w:szCs w:val="21"/>
          <w:highlight w:val="none"/>
        </w:rPr>
        <w:t>  </w:t>
      </w:r>
    </w:p>
    <w:p>
      <w:pPr>
        <w:pStyle w:val="46"/>
        <w:spacing w:before="0" w:beforeAutospacing="0" w:after="0" w:afterAutospacing="0" w:line="500" w:lineRule="exact"/>
        <w:ind w:firstLine="420"/>
        <w:rPr>
          <w:rFonts w:ascii="微软雅黑" w:hAnsi="微软雅黑"/>
          <w:sz w:val="21"/>
          <w:szCs w:val="21"/>
          <w:highlight w:val="none"/>
        </w:rPr>
      </w:pPr>
      <w:r>
        <w:rPr>
          <w:rFonts w:hint="eastAsia" w:ascii="微软雅黑" w:hAnsi="微软雅黑" w:cs="Arial"/>
          <w:sz w:val="21"/>
          <w:szCs w:val="21"/>
          <w:highlight w:val="none"/>
        </w:rPr>
        <w:t>获取方式：</w:t>
      </w:r>
      <w:r>
        <w:rPr>
          <w:rFonts w:hint="eastAsia" w:ascii="微软雅黑" w:hAnsi="微软雅黑"/>
          <w:sz w:val="21"/>
          <w:szCs w:val="21"/>
          <w:highlight w:val="none"/>
        </w:rPr>
        <w:t>供应商登录政采云平台</w:t>
      </w:r>
      <w:r>
        <w:rPr>
          <w:rFonts w:ascii="微软雅黑" w:hAnsi="微软雅黑"/>
          <w:sz w:val="21"/>
          <w:szCs w:val="21"/>
          <w:highlight w:val="none"/>
        </w:rPr>
        <w:t>https://www.zcygov.cn/</w:t>
      </w:r>
      <w:r>
        <w:rPr>
          <w:rFonts w:hint="eastAsia" w:ascii="微软雅黑" w:hAnsi="微软雅黑"/>
          <w:sz w:val="21"/>
          <w:szCs w:val="21"/>
          <w:highlight w:val="none"/>
        </w:rPr>
        <w:t>在线申请获取采购文件（进入“项目采购”应用，在获取采购文件菜单中选择项目，申请获取采购文件）。</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 售价（元）：  0 </w:t>
      </w:r>
    </w:p>
    <w:p>
      <w:pPr>
        <w:pStyle w:val="6"/>
        <w:numPr>
          <w:ilvl w:val="0"/>
          <w:numId w:val="4"/>
        </w:numPr>
        <w:spacing w:line="500" w:lineRule="exact"/>
        <w:ind w:firstLineChars="0"/>
        <w:rPr>
          <w:rFonts w:ascii="微软雅黑" w:hAnsi="微软雅黑"/>
          <w:szCs w:val="21"/>
          <w:highlight w:val="none"/>
        </w:rPr>
      </w:pPr>
      <w:r>
        <w:rPr>
          <w:rFonts w:ascii="微软雅黑" w:hAnsi="微软雅黑"/>
          <w:szCs w:val="21"/>
          <w:highlight w:val="none"/>
        </w:rPr>
        <w:t>提交投标文件截止时间、开标时间和地点</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提交投标文件截止时间：</w:t>
      </w:r>
      <w:r>
        <w:rPr>
          <w:rStyle w:val="114"/>
          <w:rFonts w:ascii="微软雅黑" w:hAnsi="微软雅黑" w:cs="Arial"/>
          <w:sz w:val="21"/>
          <w:szCs w:val="21"/>
          <w:highlight w:val="none"/>
          <w:u w:val="single"/>
        </w:rPr>
        <w:t>202</w:t>
      </w:r>
      <w:r>
        <w:rPr>
          <w:rStyle w:val="114"/>
          <w:rFonts w:hint="eastAsia" w:ascii="微软雅黑" w:hAnsi="微软雅黑" w:cs="Arial"/>
          <w:sz w:val="21"/>
          <w:szCs w:val="21"/>
          <w:highlight w:val="none"/>
          <w:u w:val="single"/>
        </w:rPr>
        <w:t>2</w:t>
      </w:r>
      <w:r>
        <w:rPr>
          <w:rStyle w:val="114"/>
          <w:rFonts w:ascii="微软雅黑" w:hAnsi="微软雅黑" w:cs="Arial"/>
          <w:sz w:val="21"/>
          <w:szCs w:val="21"/>
          <w:highlight w:val="none"/>
          <w:u w:val="single"/>
        </w:rPr>
        <w:t>年</w:t>
      </w:r>
      <w:r>
        <w:rPr>
          <w:rStyle w:val="114"/>
          <w:rFonts w:hint="eastAsia" w:ascii="微软雅黑" w:hAnsi="微软雅黑" w:cs="Arial"/>
          <w:sz w:val="21"/>
          <w:szCs w:val="21"/>
          <w:highlight w:val="none"/>
          <w:u w:val="single"/>
          <w:lang w:val="en-US" w:eastAsia="zh-CN"/>
        </w:rPr>
        <w:t>12</w:t>
      </w:r>
      <w:r>
        <w:rPr>
          <w:rStyle w:val="114"/>
          <w:rFonts w:ascii="微软雅黑" w:hAnsi="微软雅黑" w:cs="Arial"/>
          <w:sz w:val="21"/>
          <w:szCs w:val="21"/>
          <w:highlight w:val="none"/>
          <w:u w:val="single"/>
        </w:rPr>
        <w:t>月</w:t>
      </w:r>
      <w:r>
        <w:rPr>
          <w:rStyle w:val="114"/>
          <w:rFonts w:hint="eastAsia" w:ascii="微软雅黑" w:hAnsi="微软雅黑" w:cs="Arial"/>
          <w:sz w:val="21"/>
          <w:szCs w:val="21"/>
          <w:highlight w:val="none"/>
          <w:u w:val="single"/>
          <w:lang w:val="en-US" w:eastAsia="zh-CN"/>
        </w:rPr>
        <w:t>29</w:t>
      </w:r>
      <w:r>
        <w:rPr>
          <w:rStyle w:val="114"/>
          <w:rFonts w:ascii="微软雅黑" w:hAnsi="微软雅黑" w:cs="Arial"/>
          <w:sz w:val="21"/>
          <w:szCs w:val="21"/>
          <w:highlight w:val="none"/>
          <w:u w:val="single"/>
        </w:rPr>
        <w:t>日</w:t>
      </w:r>
      <w:r>
        <w:rPr>
          <w:rFonts w:ascii="微软雅黑" w:hAnsi="微软雅黑" w:cs="Arial"/>
          <w:sz w:val="21"/>
          <w:szCs w:val="21"/>
          <w:highlight w:val="none"/>
          <w:u w:val="single"/>
        </w:rPr>
        <w:t> </w:t>
      </w:r>
      <w:r>
        <w:rPr>
          <w:rFonts w:hint="eastAsia" w:ascii="微软雅黑" w:hAnsi="微软雅黑" w:cs="Arial"/>
          <w:sz w:val="21"/>
          <w:szCs w:val="21"/>
          <w:highlight w:val="none"/>
          <w:u w:val="single"/>
          <w:lang w:val="en-US" w:eastAsia="zh-CN"/>
        </w:rPr>
        <w:t>09</w:t>
      </w:r>
      <w:r>
        <w:rPr>
          <w:rFonts w:hint="eastAsia" w:ascii="微软雅黑" w:hAnsi="微软雅黑" w:cs="Arial"/>
          <w:sz w:val="21"/>
          <w:szCs w:val="21"/>
          <w:highlight w:val="none"/>
          <w:u w:val="single"/>
        </w:rPr>
        <w:t>:</w:t>
      </w:r>
      <w:r>
        <w:rPr>
          <w:rFonts w:hint="eastAsia" w:ascii="微软雅黑" w:hAnsi="微软雅黑" w:cs="Arial"/>
          <w:sz w:val="21"/>
          <w:szCs w:val="21"/>
          <w:highlight w:val="none"/>
          <w:u w:val="single"/>
          <w:lang w:val="en-US" w:eastAsia="zh-CN"/>
        </w:rPr>
        <w:t>30</w:t>
      </w:r>
      <w:r>
        <w:rPr>
          <w:rFonts w:hint="eastAsia" w:ascii="微软雅黑" w:hAnsi="微软雅黑" w:cs="Arial"/>
          <w:sz w:val="21"/>
          <w:szCs w:val="21"/>
          <w:highlight w:val="none"/>
        </w:rPr>
        <w:t>（</w:t>
      </w:r>
      <w:r>
        <w:rPr>
          <w:rFonts w:ascii="微软雅黑" w:hAnsi="微软雅黑" w:cs="Arial"/>
          <w:sz w:val="21"/>
          <w:szCs w:val="21"/>
          <w:highlight w:val="none"/>
        </w:rPr>
        <w:t>北京时间）</w:t>
      </w:r>
    </w:p>
    <w:p>
      <w:pPr>
        <w:pStyle w:val="46"/>
        <w:spacing w:before="0" w:beforeAutospacing="0" w:after="0" w:afterAutospacing="0" w:line="500" w:lineRule="exact"/>
        <w:ind w:firstLine="420"/>
        <w:rPr>
          <w:rStyle w:val="114"/>
          <w:rFonts w:ascii="微软雅黑" w:hAnsi="微软雅黑"/>
          <w:sz w:val="21"/>
          <w:szCs w:val="21"/>
          <w:highlight w:val="none"/>
        </w:rPr>
      </w:pPr>
      <w:r>
        <w:rPr>
          <w:rFonts w:ascii="微软雅黑" w:hAnsi="微软雅黑" w:cs="Arial"/>
          <w:sz w:val="21"/>
          <w:szCs w:val="21"/>
          <w:highlight w:val="none"/>
        </w:rPr>
        <w:t>投标地点（网址）：</w:t>
      </w:r>
      <w:r>
        <w:rPr>
          <w:rStyle w:val="114"/>
          <w:rFonts w:hint="eastAsia" w:ascii="微软雅黑" w:hAnsi="微软雅黑" w:cs="Arial"/>
          <w:sz w:val="21"/>
          <w:szCs w:val="21"/>
          <w:highlight w:val="none"/>
          <w:u w:val="single"/>
        </w:rPr>
        <w:t>“政采云”平台电子投标</w:t>
      </w:r>
      <w:r>
        <w:rPr>
          <w:rFonts w:hint="eastAsia" w:ascii="微软雅黑" w:hAnsi="微软雅黑" w:cs="Arial"/>
          <w:sz w:val="21"/>
          <w:szCs w:val="21"/>
          <w:highlight w:val="none"/>
          <w:u w:val="single"/>
        </w:rPr>
        <w:t> </w:t>
      </w:r>
      <w:r>
        <w:rPr>
          <w:rStyle w:val="114"/>
          <w:rFonts w:ascii="微软雅黑" w:hAnsi="微软雅黑"/>
          <w:sz w:val="21"/>
          <w:szCs w:val="21"/>
          <w:highlight w:val="none"/>
        </w:rPr>
        <w:t> </w:t>
      </w:r>
    </w:p>
    <w:p>
      <w:pPr>
        <w:pStyle w:val="46"/>
        <w:spacing w:before="0" w:beforeAutospacing="0" w:after="0" w:afterAutospacing="0" w:line="500" w:lineRule="exact"/>
        <w:ind w:firstLine="420"/>
        <w:rPr>
          <w:rFonts w:hint="default" w:ascii="微软雅黑" w:hAnsi="微软雅黑" w:eastAsia="微软雅黑" w:cs="Arial"/>
          <w:sz w:val="21"/>
          <w:szCs w:val="21"/>
          <w:highlight w:val="none"/>
          <w:lang w:val="en-US" w:eastAsia="zh-CN"/>
        </w:rPr>
      </w:pPr>
      <w:r>
        <w:rPr>
          <w:rFonts w:ascii="微软雅黑" w:hAnsi="微软雅黑" w:cs="Arial"/>
          <w:sz w:val="21"/>
          <w:szCs w:val="21"/>
          <w:highlight w:val="none"/>
        </w:rPr>
        <w:t>开标时间：</w:t>
      </w:r>
      <w:r>
        <w:rPr>
          <w:rStyle w:val="114"/>
          <w:rFonts w:ascii="微软雅黑" w:hAnsi="微软雅黑" w:cs="Arial"/>
          <w:sz w:val="21"/>
          <w:szCs w:val="21"/>
          <w:highlight w:val="none"/>
          <w:u w:val="single"/>
        </w:rPr>
        <w:t>202</w:t>
      </w:r>
      <w:r>
        <w:rPr>
          <w:rStyle w:val="114"/>
          <w:rFonts w:hint="eastAsia" w:ascii="微软雅黑" w:hAnsi="微软雅黑" w:cs="Arial"/>
          <w:sz w:val="21"/>
          <w:szCs w:val="21"/>
          <w:highlight w:val="none"/>
          <w:u w:val="single"/>
        </w:rPr>
        <w:t>2</w:t>
      </w:r>
      <w:r>
        <w:rPr>
          <w:rStyle w:val="114"/>
          <w:rFonts w:ascii="微软雅黑" w:hAnsi="微软雅黑" w:cs="Arial"/>
          <w:sz w:val="21"/>
          <w:szCs w:val="21"/>
          <w:highlight w:val="none"/>
          <w:u w:val="single"/>
        </w:rPr>
        <w:t>年</w:t>
      </w:r>
      <w:r>
        <w:rPr>
          <w:rStyle w:val="114"/>
          <w:rFonts w:hint="eastAsia" w:ascii="微软雅黑" w:hAnsi="微软雅黑" w:cs="Arial"/>
          <w:sz w:val="21"/>
          <w:szCs w:val="21"/>
          <w:highlight w:val="none"/>
          <w:u w:val="single"/>
          <w:lang w:val="en-US" w:eastAsia="zh-CN"/>
        </w:rPr>
        <w:t>12</w:t>
      </w:r>
      <w:r>
        <w:rPr>
          <w:rStyle w:val="114"/>
          <w:rFonts w:ascii="微软雅黑" w:hAnsi="微软雅黑" w:cs="Arial"/>
          <w:sz w:val="21"/>
          <w:szCs w:val="21"/>
          <w:highlight w:val="none"/>
          <w:u w:val="single"/>
        </w:rPr>
        <w:t>月</w:t>
      </w:r>
      <w:r>
        <w:rPr>
          <w:rStyle w:val="114"/>
          <w:rFonts w:hint="eastAsia" w:ascii="微软雅黑" w:hAnsi="微软雅黑" w:cs="Arial"/>
          <w:sz w:val="21"/>
          <w:szCs w:val="21"/>
          <w:highlight w:val="none"/>
          <w:u w:val="single"/>
          <w:lang w:val="en-US" w:eastAsia="zh-CN"/>
        </w:rPr>
        <w:t>29</w:t>
      </w:r>
      <w:r>
        <w:rPr>
          <w:rStyle w:val="114"/>
          <w:rFonts w:ascii="微软雅黑" w:hAnsi="微软雅黑" w:cs="Arial"/>
          <w:sz w:val="21"/>
          <w:szCs w:val="21"/>
          <w:highlight w:val="none"/>
          <w:u w:val="single"/>
        </w:rPr>
        <w:t>日</w:t>
      </w:r>
      <w:r>
        <w:rPr>
          <w:rFonts w:ascii="微软雅黑" w:hAnsi="微软雅黑" w:cs="Arial"/>
          <w:sz w:val="21"/>
          <w:szCs w:val="21"/>
          <w:highlight w:val="none"/>
          <w:u w:val="single"/>
        </w:rPr>
        <w:t> </w:t>
      </w:r>
      <w:r>
        <w:rPr>
          <w:rFonts w:hint="eastAsia" w:ascii="微软雅黑" w:hAnsi="微软雅黑" w:cs="Arial"/>
          <w:sz w:val="21"/>
          <w:szCs w:val="21"/>
          <w:highlight w:val="none"/>
          <w:u w:val="single"/>
          <w:lang w:val="en-US" w:eastAsia="zh-CN"/>
        </w:rPr>
        <w:t>09</w:t>
      </w:r>
      <w:r>
        <w:rPr>
          <w:rFonts w:hint="eastAsia" w:ascii="微软雅黑" w:hAnsi="微软雅黑" w:cs="Arial"/>
          <w:sz w:val="21"/>
          <w:szCs w:val="21"/>
          <w:highlight w:val="none"/>
          <w:u w:val="single"/>
        </w:rPr>
        <w:t>:</w:t>
      </w:r>
      <w:r>
        <w:rPr>
          <w:rFonts w:hint="eastAsia" w:ascii="微软雅黑" w:hAnsi="微软雅黑" w:cs="Arial"/>
          <w:sz w:val="21"/>
          <w:szCs w:val="21"/>
          <w:highlight w:val="none"/>
          <w:u w:val="single"/>
          <w:lang w:val="en-US" w:eastAsia="zh-CN"/>
        </w:rPr>
        <w:t>30</w:t>
      </w:r>
    </w:p>
    <w:p>
      <w:pPr>
        <w:pStyle w:val="46"/>
        <w:spacing w:before="0" w:beforeAutospacing="0" w:after="0" w:afterAutospacing="0" w:line="500" w:lineRule="exact"/>
        <w:ind w:firstLine="420"/>
        <w:rPr>
          <w:rStyle w:val="114"/>
          <w:rFonts w:hint="eastAsia" w:ascii="微软雅黑" w:hAnsi="微软雅黑" w:cs="Arial"/>
          <w:sz w:val="21"/>
          <w:szCs w:val="21"/>
          <w:highlight w:val="none"/>
          <w:u w:val="single"/>
        </w:rPr>
      </w:pPr>
      <w:r>
        <w:rPr>
          <w:rFonts w:ascii="微软雅黑" w:hAnsi="微软雅黑" w:cs="Arial"/>
          <w:sz w:val="21"/>
          <w:szCs w:val="21"/>
          <w:highlight w:val="none"/>
        </w:rPr>
        <w:t>开标地点（网址）：</w:t>
      </w:r>
      <w:r>
        <w:rPr>
          <w:rStyle w:val="114"/>
          <w:rFonts w:hint="eastAsia" w:ascii="微软雅黑" w:hAnsi="微软雅黑" w:cs="Arial"/>
          <w:sz w:val="21"/>
          <w:szCs w:val="21"/>
          <w:highlight w:val="none"/>
          <w:u w:val="single"/>
        </w:rPr>
        <w:t>嘉兴市由拳路南湖大道口华隆广场1号楼1306室（线下）</w:t>
      </w:r>
    </w:p>
    <w:p>
      <w:pPr>
        <w:pStyle w:val="6"/>
        <w:numPr>
          <w:ilvl w:val="0"/>
          <w:numId w:val="4"/>
        </w:numPr>
        <w:spacing w:line="500" w:lineRule="exact"/>
        <w:ind w:firstLineChars="0"/>
        <w:rPr>
          <w:rFonts w:ascii="微软雅黑" w:hAnsi="微软雅黑"/>
          <w:szCs w:val="21"/>
          <w:highlight w:val="none"/>
        </w:rPr>
      </w:pPr>
      <w:r>
        <w:rPr>
          <w:rFonts w:ascii="微软雅黑" w:hAnsi="微软雅黑"/>
          <w:szCs w:val="21"/>
          <w:highlight w:val="none"/>
        </w:rPr>
        <w:t>公告期限</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自本公告发布之日起5个工作日。</w:t>
      </w:r>
    </w:p>
    <w:p>
      <w:pPr>
        <w:pStyle w:val="6"/>
        <w:numPr>
          <w:ilvl w:val="0"/>
          <w:numId w:val="4"/>
        </w:numPr>
        <w:spacing w:line="500" w:lineRule="exact"/>
        <w:ind w:firstLineChars="0"/>
        <w:rPr>
          <w:rFonts w:ascii="微软雅黑" w:hAnsi="微软雅黑"/>
          <w:szCs w:val="21"/>
          <w:highlight w:val="none"/>
        </w:rPr>
      </w:pPr>
      <w:r>
        <w:rPr>
          <w:rFonts w:ascii="微软雅黑" w:hAnsi="微软雅黑"/>
          <w:szCs w:val="21"/>
          <w:highlight w:val="none"/>
        </w:rPr>
        <w:t>其他补充事宜</w:t>
      </w:r>
    </w:p>
    <w:p>
      <w:pPr>
        <w:numPr>
          <w:ilvl w:val="0"/>
          <w:numId w:val="6"/>
        </w:numPr>
        <w:spacing w:line="500" w:lineRule="exact"/>
        <w:ind w:left="0" w:firstLine="420"/>
        <w:rPr>
          <w:rFonts w:ascii="微软雅黑" w:hAnsi="微软雅黑" w:cs="Arial"/>
          <w:szCs w:val="21"/>
          <w:highlight w:val="none"/>
        </w:rPr>
      </w:pPr>
      <w:r>
        <w:rPr>
          <w:rFonts w:hint="eastAsia" w:ascii="微软雅黑" w:hAnsi="微软雅黑"/>
          <w:szCs w:val="21"/>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numPr>
          <w:ilvl w:val="0"/>
          <w:numId w:val="6"/>
        </w:numPr>
        <w:spacing w:line="500" w:lineRule="exact"/>
        <w:ind w:left="0" w:firstLine="420"/>
        <w:rPr>
          <w:rFonts w:ascii="微软雅黑" w:hAnsi="微软雅黑"/>
          <w:szCs w:val="21"/>
          <w:highlight w:val="none"/>
        </w:rPr>
      </w:pPr>
      <w:r>
        <w:rPr>
          <w:rFonts w:hint="eastAsia" w:ascii="微软雅黑" w:hAnsi="微软雅黑"/>
          <w:szCs w:val="21"/>
          <w:highlight w:val="none"/>
        </w:rPr>
        <w:t>本采购项目，中标单位与采购人签订的政府采购合同适用于嘉兴市政府采购贷款政策，简称“政采贷”，具体内容可参阅政府采购贷款流程：</w:t>
      </w:r>
      <w:r>
        <w:rPr>
          <w:highlight w:val="none"/>
        </w:rPr>
        <w:fldChar w:fldCharType="begin"/>
      </w:r>
      <w:r>
        <w:rPr>
          <w:highlight w:val="none"/>
        </w:rPr>
        <w:instrText xml:space="preserve"> HYPERLINK "http://www.jxzbtb.cn/zxfw/005012/20181016/7e541bf4-ad29-4286-ace8-d12c1b2c54fc.html%E3%80%82" </w:instrText>
      </w:r>
      <w:r>
        <w:rPr>
          <w:highlight w:val="none"/>
        </w:rPr>
        <w:fldChar w:fldCharType="separate"/>
      </w:r>
      <w:r>
        <w:rPr>
          <w:rStyle w:val="64"/>
          <w:rFonts w:hint="eastAsia" w:ascii="微软雅黑" w:hAnsi="微软雅黑" w:cs="Arial"/>
          <w:color w:val="auto"/>
          <w:szCs w:val="21"/>
          <w:highlight w:val="none"/>
        </w:rPr>
        <w:t>http://jxszwsjb.jiaxing.gov.cn/zxfw/005012/20181016/7e541bf4-ad29-4286-ace8-d12c1b2c54fc.html</w:t>
      </w:r>
      <w:r>
        <w:rPr>
          <w:rStyle w:val="64"/>
          <w:rFonts w:hint="eastAsia" w:ascii="微软雅黑" w:hAnsi="微软雅黑" w:cs="Arial"/>
          <w:color w:val="auto"/>
          <w:szCs w:val="21"/>
          <w:highlight w:val="none"/>
        </w:rPr>
        <w:fldChar w:fldCharType="end"/>
      </w:r>
    </w:p>
    <w:p>
      <w:pPr>
        <w:numPr>
          <w:ilvl w:val="0"/>
          <w:numId w:val="6"/>
        </w:numPr>
        <w:spacing w:line="500" w:lineRule="exact"/>
        <w:ind w:left="0" w:firstLine="420"/>
        <w:rPr>
          <w:rFonts w:ascii="微软雅黑" w:hAnsi="微软雅黑" w:cs="Arial"/>
          <w:szCs w:val="21"/>
          <w:highlight w:val="none"/>
        </w:rPr>
      </w:pPr>
      <w:r>
        <w:rPr>
          <w:rFonts w:hint="eastAsia" w:ascii="微软雅黑" w:hAnsi="微软雅黑"/>
          <w:szCs w:val="21"/>
          <w:highlight w:val="none"/>
        </w:rPr>
        <w:t>投标说明：</w:t>
      </w:r>
    </w:p>
    <w:p>
      <w:pPr>
        <w:numPr>
          <w:ilvl w:val="1"/>
          <w:numId w:val="6"/>
        </w:numPr>
        <w:spacing w:line="500" w:lineRule="exact"/>
        <w:ind w:left="0" w:firstLine="420"/>
        <w:rPr>
          <w:rFonts w:ascii="微软雅黑" w:hAnsi="微软雅黑" w:cs="Arial"/>
          <w:szCs w:val="21"/>
          <w:highlight w:val="none"/>
        </w:rPr>
      </w:pPr>
      <w:r>
        <w:rPr>
          <w:rFonts w:hint="eastAsia" w:ascii="微软雅黑" w:hAnsi="微软雅黑" w:cs="Arial"/>
          <w:szCs w:val="21"/>
          <w:highlight w:val="none"/>
        </w:rPr>
        <w:t>本项目按照《浙江省财政厅关于印发浙江省政府采购项电子交易管理暂行办法的通知》实行电子交易。</w:t>
      </w:r>
    </w:p>
    <w:p>
      <w:pPr>
        <w:numPr>
          <w:ilvl w:val="1"/>
          <w:numId w:val="6"/>
        </w:numPr>
        <w:spacing w:line="500" w:lineRule="exact"/>
        <w:ind w:left="0" w:firstLine="420"/>
        <w:rPr>
          <w:rFonts w:ascii="微软雅黑" w:hAnsi="微软雅黑" w:cs="Arial"/>
          <w:szCs w:val="21"/>
          <w:highlight w:val="none"/>
        </w:rPr>
      </w:pPr>
      <w:r>
        <w:rPr>
          <w:rFonts w:hint="eastAsia" w:ascii="微软雅黑" w:hAnsi="微软雅黑" w:cs="Arial"/>
          <w:szCs w:val="21"/>
          <w:highlight w:val="none"/>
        </w:rPr>
        <w:t>供应商注册</w:t>
      </w:r>
    </w:p>
    <w:p>
      <w:pPr>
        <w:numPr>
          <w:ilvl w:val="2"/>
          <w:numId w:val="6"/>
        </w:numPr>
        <w:spacing w:line="500" w:lineRule="exact"/>
        <w:ind w:left="0" w:firstLine="420"/>
        <w:rPr>
          <w:rFonts w:ascii="微软雅黑" w:hAnsi="微软雅黑" w:cs="Arial"/>
          <w:szCs w:val="21"/>
          <w:highlight w:val="none"/>
        </w:rPr>
      </w:pPr>
      <w:r>
        <w:rPr>
          <w:rFonts w:hint="eastAsia" w:ascii="微软雅黑" w:hAnsi="微软雅黑" w:cs="Arial"/>
          <w:szCs w:val="21"/>
          <w:highlight w:val="none"/>
        </w:rPr>
        <w:t>注册网址：</w:t>
      </w:r>
    </w:p>
    <w:p>
      <w:pPr>
        <w:pStyle w:val="46"/>
        <w:spacing w:before="0" w:beforeAutospacing="0" w:after="0" w:afterAutospacing="0" w:line="500" w:lineRule="exact"/>
        <w:ind w:firstLine="420"/>
        <w:rPr>
          <w:rFonts w:ascii="微软雅黑" w:hAnsi="微软雅黑" w:cs="Arial"/>
          <w:sz w:val="21"/>
          <w:szCs w:val="21"/>
          <w:highlight w:val="none"/>
        </w:rPr>
      </w:pPr>
      <w:r>
        <w:rPr>
          <w:rFonts w:hint="eastAsia" w:ascii="微软雅黑" w:hAnsi="微软雅黑" w:cs="Arial"/>
          <w:sz w:val="21"/>
          <w:szCs w:val="21"/>
          <w:highlight w:val="none"/>
        </w:rPr>
        <w:t>浙江政府采购网：</w:t>
      </w:r>
      <w:r>
        <w:rPr>
          <w:highlight w:val="none"/>
        </w:rPr>
        <w:fldChar w:fldCharType="begin"/>
      </w:r>
      <w:r>
        <w:rPr>
          <w:highlight w:val="none"/>
        </w:rPr>
        <w:instrText xml:space="preserve"> HYPERLINK "https://middle.zcygov.cn/v-settle-front/enter/account?settleCategory=1&amp;entranceType=1" </w:instrText>
      </w:r>
      <w:r>
        <w:rPr>
          <w:highlight w:val="none"/>
        </w:rPr>
        <w:fldChar w:fldCharType="separate"/>
      </w:r>
      <w:r>
        <w:rPr>
          <w:rStyle w:val="64"/>
          <w:rFonts w:hint="eastAsia" w:ascii="微软雅黑" w:hAnsi="微软雅黑" w:cs="Arial"/>
          <w:color w:val="auto"/>
          <w:sz w:val="21"/>
          <w:szCs w:val="21"/>
          <w:highlight w:val="none"/>
        </w:rPr>
        <w:t>https://middle.zcygov.cn/v-settle-front/enter/account?settleCategory=1&amp;entranceType=1</w:t>
      </w:r>
      <w:r>
        <w:rPr>
          <w:rStyle w:val="64"/>
          <w:rFonts w:hint="eastAsia" w:ascii="微软雅黑" w:hAnsi="微软雅黑" w:cs="Arial"/>
          <w:color w:val="auto"/>
          <w:sz w:val="21"/>
          <w:szCs w:val="21"/>
          <w:highlight w:val="none"/>
        </w:rPr>
        <w:fldChar w:fldCharType="end"/>
      </w:r>
    </w:p>
    <w:p>
      <w:pPr>
        <w:numPr>
          <w:ilvl w:val="2"/>
          <w:numId w:val="6"/>
        </w:numPr>
        <w:spacing w:line="500" w:lineRule="exact"/>
        <w:ind w:left="0" w:firstLine="420"/>
        <w:rPr>
          <w:rFonts w:ascii="微软雅黑" w:hAnsi="微软雅黑" w:cs="Arial"/>
          <w:szCs w:val="21"/>
          <w:highlight w:val="none"/>
        </w:rPr>
      </w:pPr>
      <w:r>
        <w:rPr>
          <w:rFonts w:hint="eastAsia" w:ascii="微软雅黑" w:hAnsi="微软雅黑" w:cs="Arial"/>
          <w:szCs w:val="21"/>
          <w:highlight w:val="none"/>
        </w:rPr>
        <w:t>供应商按照《浙江省政府采购供应商注册和诚信管理暂行办法》要求执行。</w:t>
      </w:r>
    </w:p>
    <w:p>
      <w:pPr>
        <w:numPr>
          <w:ilvl w:val="0"/>
          <w:numId w:val="6"/>
        </w:numPr>
        <w:spacing w:line="500" w:lineRule="exact"/>
        <w:ind w:left="0" w:firstLine="420"/>
        <w:rPr>
          <w:rFonts w:ascii="微软雅黑" w:hAnsi="微软雅黑" w:cs="Arial"/>
          <w:szCs w:val="21"/>
          <w:highlight w:val="none"/>
        </w:rPr>
      </w:pPr>
      <w:r>
        <w:rPr>
          <w:rFonts w:hint="eastAsia" w:ascii="微软雅黑" w:hAnsi="微软雅黑"/>
          <w:szCs w:val="21"/>
          <w:highlight w:val="none"/>
        </w:rPr>
        <w:t>投标文件制作注意事项</w:t>
      </w:r>
    </w:p>
    <w:p>
      <w:pPr>
        <w:numPr>
          <w:ilvl w:val="1"/>
          <w:numId w:val="6"/>
        </w:numPr>
        <w:spacing w:line="500" w:lineRule="exact"/>
        <w:ind w:left="0" w:firstLine="420"/>
        <w:rPr>
          <w:rFonts w:ascii="微软雅黑" w:hAnsi="微软雅黑" w:cs="Arial"/>
          <w:szCs w:val="21"/>
          <w:highlight w:val="none"/>
          <w:u w:val="single"/>
        </w:rPr>
      </w:pPr>
      <w:r>
        <w:rPr>
          <w:rFonts w:hint="eastAsia" w:ascii="微软雅黑" w:hAnsi="微软雅黑" w:cs="Arial"/>
          <w:szCs w:val="21"/>
          <w:highlight w:val="none"/>
        </w:rPr>
        <w:t>供应商将政采云电子交易客户端下载、安装完成后，可通过账号密码或CA登录客户端进行投标文件制作。</w:t>
      </w:r>
    </w:p>
    <w:p>
      <w:pPr>
        <w:numPr>
          <w:ilvl w:val="1"/>
          <w:numId w:val="6"/>
        </w:numPr>
        <w:spacing w:line="500" w:lineRule="exact"/>
        <w:ind w:left="0" w:firstLine="420"/>
        <w:rPr>
          <w:rFonts w:ascii="微软雅黑" w:hAnsi="微软雅黑" w:cs="Arial"/>
          <w:szCs w:val="21"/>
          <w:highlight w:val="none"/>
          <w:u w:val="single"/>
        </w:rPr>
      </w:pPr>
      <w:r>
        <w:rPr>
          <w:rFonts w:hint="eastAsia" w:ascii="微软雅黑" w:hAnsi="微软雅黑" w:cs="Arial"/>
          <w:szCs w:val="21"/>
          <w:highlight w:val="none"/>
        </w:rPr>
        <w:t>　　注：供应商先要申领CA，拿到CA后需要在政采云平台进行绑定，CA相关操作可参考《CA申领操作指南》和《CA管理操作指南》。完成CA数字证书办理在资料齐全的情况下预计7个工作日左右，建议供应商获取招标文件后立即办理。</w:t>
      </w:r>
    </w:p>
    <w:p>
      <w:pPr>
        <w:numPr>
          <w:ilvl w:val="1"/>
          <w:numId w:val="6"/>
        </w:numPr>
        <w:spacing w:line="500" w:lineRule="exact"/>
        <w:ind w:left="0" w:firstLine="420"/>
        <w:rPr>
          <w:rFonts w:ascii="微软雅黑" w:hAnsi="微软雅黑" w:cs="Arial"/>
          <w:szCs w:val="21"/>
          <w:highlight w:val="none"/>
          <w:u w:val="single"/>
        </w:rPr>
      </w:pPr>
      <w:r>
        <w:rPr>
          <w:rFonts w:hint="eastAsia" w:ascii="微软雅黑" w:hAnsi="微软雅黑" w:cs="Arial"/>
          <w:szCs w:val="21"/>
          <w:highlight w:val="none"/>
        </w:rPr>
        <w:t>电子交易操作指南：</w:t>
      </w:r>
      <w:r>
        <w:rPr>
          <w:rFonts w:hint="eastAsia" w:ascii="微软雅黑" w:hAnsi="微软雅黑" w:cs="Arial"/>
          <w:szCs w:val="21"/>
          <w:highlight w:val="none"/>
          <w:u w:val="single"/>
        </w:rPr>
        <w:t>https://service.zcygov.cn/#/knowledges/PGP8bW4ByNnJ3A2CyXG_/xg8jI3MBiyELHE-ou3ei?keyword=%E7%94%B5%E5%AD%90%E4%BA%A4%E6%98%93</w:t>
      </w:r>
    </w:p>
    <w:p>
      <w:pPr>
        <w:pStyle w:val="46"/>
        <w:spacing w:before="0" w:beforeAutospacing="0" w:after="0" w:afterAutospacing="0" w:line="500" w:lineRule="exact"/>
        <w:ind w:firstLine="420"/>
        <w:rPr>
          <w:rFonts w:ascii="微软雅黑" w:hAnsi="微软雅黑" w:cs="Arial"/>
          <w:sz w:val="21"/>
          <w:szCs w:val="21"/>
          <w:highlight w:val="none"/>
        </w:rPr>
      </w:pPr>
      <w:r>
        <w:rPr>
          <w:rFonts w:hint="eastAsia" w:ascii="微软雅黑" w:hAnsi="微软雅黑" w:cs="Arial"/>
          <w:sz w:val="21"/>
          <w:szCs w:val="21"/>
          <w:highlight w:val="none"/>
        </w:rPr>
        <w:t>如何申请/申领办理CA</w:t>
      </w:r>
    </w:p>
    <w:p>
      <w:pPr>
        <w:pStyle w:val="46"/>
        <w:spacing w:before="0" w:beforeAutospacing="0" w:after="0" w:afterAutospacing="0" w:line="500" w:lineRule="exact"/>
        <w:ind w:firstLine="420"/>
        <w:rPr>
          <w:rFonts w:ascii="微软雅黑" w:hAnsi="微软雅黑" w:cs="Arial"/>
          <w:sz w:val="21"/>
          <w:szCs w:val="21"/>
          <w:highlight w:val="none"/>
          <w:u w:val="single"/>
        </w:rPr>
      </w:pPr>
      <w:r>
        <w:rPr>
          <w:rFonts w:hint="eastAsia" w:ascii="微软雅黑" w:hAnsi="微软雅黑" w:cs="Arial"/>
          <w:sz w:val="21"/>
          <w:szCs w:val="21"/>
          <w:highlight w:val="none"/>
          <w:u w:val="single"/>
        </w:rPr>
        <w:t>https://service.zcygov.cn/#/knowledges/Pmw7VHIByNnJ3A2CbAN_/PXKYt3MByNnJ3A2CyAMX?keyword=CA</w:t>
      </w:r>
    </w:p>
    <w:p>
      <w:pPr>
        <w:pStyle w:val="46"/>
        <w:spacing w:before="0" w:beforeAutospacing="0" w:after="0" w:afterAutospacing="0" w:line="500" w:lineRule="exact"/>
        <w:ind w:firstLine="420"/>
        <w:rPr>
          <w:rFonts w:ascii="微软雅黑" w:hAnsi="微软雅黑" w:cs="Arial"/>
          <w:sz w:val="21"/>
          <w:szCs w:val="21"/>
          <w:highlight w:val="none"/>
          <w:u w:val="single"/>
        </w:rPr>
      </w:pPr>
      <w:r>
        <w:rPr>
          <w:rFonts w:hint="eastAsia" w:ascii="微软雅黑" w:hAnsi="微软雅黑" w:cs="Arial"/>
          <w:sz w:val="21"/>
          <w:szCs w:val="21"/>
          <w:highlight w:val="none"/>
        </w:rPr>
        <w:t>注：ＣＡ证书遗失补办、延期、解锁、质保等业务可以在联连客户端上进行操作；使用政采云投标客户端时，建议使用WIN7及以上操作系统。</w:t>
      </w:r>
    </w:p>
    <w:p>
      <w:pPr>
        <w:numPr>
          <w:ilvl w:val="0"/>
          <w:numId w:val="6"/>
        </w:numPr>
        <w:spacing w:line="500" w:lineRule="exact"/>
        <w:ind w:left="0" w:firstLine="420"/>
        <w:rPr>
          <w:rFonts w:ascii="微软雅黑" w:hAnsi="微软雅黑"/>
          <w:szCs w:val="21"/>
          <w:highlight w:val="none"/>
        </w:rPr>
      </w:pPr>
      <w:r>
        <w:rPr>
          <w:rFonts w:hint="eastAsia" w:ascii="微软雅黑" w:hAnsi="微软雅黑"/>
          <w:szCs w:val="21"/>
          <w:highlight w:val="none"/>
        </w:rPr>
        <w:t>政采云咨询电话：400-881-7190；</w:t>
      </w:r>
    </w:p>
    <w:p>
      <w:pPr>
        <w:spacing w:line="500" w:lineRule="exact"/>
        <w:ind w:firstLine="420"/>
        <w:rPr>
          <w:rFonts w:ascii="微软雅黑" w:hAnsi="微软雅黑"/>
          <w:szCs w:val="21"/>
          <w:highlight w:val="none"/>
        </w:rPr>
      </w:pPr>
      <w:r>
        <w:rPr>
          <w:rFonts w:ascii="微软雅黑" w:hAnsi="微软雅黑"/>
          <w:szCs w:val="21"/>
          <w:highlight w:val="none"/>
        </w:rPr>
        <w:t>政采云平台服务中心：</w:t>
      </w:r>
      <w:r>
        <w:rPr>
          <w:highlight w:val="none"/>
        </w:rPr>
        <w:fldChar w:fldCharType="begin"/>
      </w:r>
      <w:r>
        <w:rPr>
          <w:highlight w:val="none"/>
        </w:rPr>
        <w:instrText xml:space="preserve"> HYPERLINK "https://service.zcygov.cn/" \l "/" \t "_blank" </w:instrText>
      </w:r>
      <w:r>
        <w:rPr>
          <w:highlight w:val="none"/>
        </w:rPr>
        <w:fldChar w:fldCharType="separate"/>
      </w:r>
      <w:r>
        <w:rPr>
          <w:rStyle w:val="64"/>
          <w:rFonts w:ascii="微软雅黑" w:hAnsi="微软雅黑" w:cs="Arial"/>
          <w:color w:val="auto"/>
          <w:szCs w:val="21"/>
          <w:highlight w:val="none"/>
        </w:rPr>
        <w:t>https://service.zcygov.cn/#/</w:t>
      </w:r>
      <w:r>
        <w:rPr>
          <w:rStyle w:val="64"/>
          <w:rFonts w:ascii="微软雅黑" w:hAnsi="微软雅黑" w:cs="Arial"/>
          <w:color w:val="auto"/>
          <w:szCs w:val="21"/>
          <w:highlight w:val="none"/>
        </w:rPr>
        <w:fldChar w:fldCharType="end"/>
      </w:r>
    </w:p>
    <w:p>
      <w:pPr>
        <w:numPr>
          <w:ilvl w:val="0"/>
          <w:numId w:val="6"/>
        </w:numPr>
        <w:spacing w:line="500" w:lineRule="exact"/>
        <w:ind w:left="0" w:firstLine="420"/>
        <w:rPr>
          <w:rFonts w:ascii="微软雅黑" w:hAnsi="微软雅黑"/>
          <w:szCs w:val="21"/>
          <w:highlight w:val="none"/>
        </w:rPr>
      </w:pPr>
      <w:r>
        <w:rPr>
          <w:rFonts w:hint="eastAsia" w:ascii="微软雅黑" w:hAnsi="微软雅黑"/>
          <w:szCs w:val="21"/>
          <w:highlight w:val="none"/>
        </w:rPr>
        <w:t>汇信（ＣＡ）客服电话：400-888-4636</w:t>
      </w:r>
    </w:p>
    <w:p>
      <w:pPr>
        <w:numPr>
          <w:ilvl w:val="0"/>
          <w:numId w:val="6"/>
        </w:numPr>
        <w:spacing w:line="500" w:lineRule="exact"/>
        <w:ind w:left="0" w:firstLine="420"/>
        <w:rPr>
          <w:rFonts w:ascii="微软雅黑" w:hAnsi="微软雅黑" w:cs="Arial"/>
          <w:szCs w:val="21"/>
          <w:highlight w:val="none"/>
        </w:rPr>
      </w:pPr>
      <w:r>
        <w:rPr>
          <w:rFonts w:hint="eastAsia" w:ascii="微软雅黑" w:hAnsi="微软雅黑"/>
          <w:szCs w:val="21"/>
          <w:highlight w:val="none"/>
        </w:rPr>
        <w:t>投标文件提交注意事项：</w:t>
      </w:r>
    </w:p>
    <w:p>
      <w:pPr>
        <w:numPr>
          <w:ilvl w:val="1"/>
          <w:numId w:val="6"/>
        </w:numPr>
        <w:spacing w:line="500" w:lineRule="exact"/>
        <w:ind w:left="0" w:firstLine="420"/>
        <w:rPr>
          <w:rFonts w:ascii="微软雅黑" w:hAnsi="微软雅黑" w:cs="Arial"/>
          <w:szCs w:val="21"/>
          <w:highlight w:val="none"/>
        </w:rPr>
      </w:pPr>
      <w:r>
        <w:rPr>
          <w:rFonts w:ascii="微软雅黑" w:hAnsi="微软雅黑" w:cs="Arial"/>
          <w:szCs w:val="21"/>
          <w:highlight w:val="none"/>
        </w:rPr>
        <w:t xml:space="preserve">供应商进行电子投标应安装客户端软件，并按照招标文件和电子交易平台的要求编制并加密投标文件。供应商未按规定加密的投标文件，代理机构应当拒收。 </w:t>
      </w:r>
    </w:p>
    <w:p>
      <w:pPr>
        <w:numPr>
          <w:ilvl w:val="1"/>
          <w:numId w:val="6"/>
        </w:numPr>
        <w:spacing w:line="500" w:lineRule="exact"/>
        <w:ind w:left="0" w:firstLine="420"/>
        <w:rPr>
          <w:rFonts w:ascii="微软雅黑" w:hAnsi="微软雅黑" w:cs="Arial"/>
          <w:szCs w:val="21"/>
          <w:highlight w:val="none"/>
        </w:rPr>
      </w:pPr>
      <w:r>
        <w:rPr>
          <w:rFonts w:ascii="微软雅黑" w:hAnsi="微软雅黑" w:cs="Arial"/>
          <w:szCs w:val="21"/>
          <w:highlight w:val="none"/>
        </w:rPr>
        <w:t xml:space="preserve">供应商应当在投标截止时间前完成投标文件的传输提交，并可以补充、修改或者撤回投标文件。补充或者修改投标文件的，应当先行撤回原文件，补充、修改后重新传输提交。投标截止时间前未完成传输的，视为撤回投标文件。投标截止时间后提交的投标文件，视为无效。 </w:t>
      </w:r>
    </w:p>
    <w:p>
      <w:pPr>
        <w:numPr>
          <w:ilvl w:val="1"/>
          <w:numId w:val="6"/>
        </w:numPr>
        <w:spacing w:line="500" w:lineRule="exact"/>
        <w:ind w:left="0" w:firstLine="420"/>
        <w:rPr>
          <w:rFonts w:ascii="微软雅黑" w:hAnsi="微软雅黑" w:cs="Arial"/>
          <w:szCs w:val="21"/>
          <w:highlight w:val="none"/>
        </w:rPr>
      </w:pPr>
      <w:r>
        <w:rPr>
          <w:rFonts w:ascii="微软雅黑" w:hAnsi="微软雅黑" w:cs="Arial"/>
          <w:szCs w:val="21"/>
          <w:highlight w:val="none"/>
        </w:rPr>
        <w:t>为确保采购项目顺利实施，避免因解密失败导致投标供应商投标无效，供应商在电子交易平台传输提交投标文件后，将政采云平台上最后生成的具备电子签章的备份电子标文件1份下载至U盘，可以在投标截止时间前邮寄送达至（</w:t>
      </w:r>
      <w:r>
        <w:rPr>
          <w:rFonts w:hint="eastAsia" w:ascii="微软雅黑" w:hAnsi="微软雅黑" w:cs="Arial"/>
          <w:szCs w:val="21"/>
          <w:highlight w:val="none"/>
        </w:rPr>
        <w:t>嘉兴市由拳路南湖大道口华隆广场1号楼1306室（浙江中际工程项目管理有限公司嘉兴分公司）</w:t>
      </w:r>
      <w:r>
        <w:rPr>
          <w:rFonts w:ascii="微软雅黑" w:hAnsi="微软雅黑" w:cs="Arial"/>
          <w:szCs w:val="21"/>
          <w:highlight w:val="none"/>
        </w:rPr>
        <w:t>，</w:t>
      </w:r>
      <w:r>
        <w:rPr>
          <w:rFonts w:hint="eastAsia" w:ascii="微软雅黑" w:hAnsi="微软雅黑" w:cs="Arial"/>
          <w:szCs w:val="21"/>
          <w:highlight w:val="none"/>
        </w:rPr>
        <w:t>马专圆13511352944</w:t>
      </w:r>
      <w:r>
        <w:rPr>
          <w:rFonts w:ascii="微软雅黑" w:hAnsi="微软雅黑" w:cs="Arial"/>
          <w:szCs w:val="21"/>
          <w:highlight w:val="none"/>
        </w:rPr>
        <w:t>），以签收时间为准。快递寄出同时，项目被授权代表须以邮件方式将快递单号、项目名称、公司名称、被授权代表姓名及联系方式等内容（邮件格式为：项目编号+快递单号+公司名称+被授权代表姓名及联系方式）发送至代理机构联系人邮箱（</w:t>
      </w:r>
      <w:r>
        <w:rPr>
          <w:rFonts w:hint="eastAsia" w:ascii="微软雅黑" w:hAnsi="微软雅黑" w:cs="Arial"/>
          <w:szCs w:val="21"/>
          <w:highlight w:val="none"/>
        </w:rPr>
        <w:t>37475903@qq.com</w:t>
      </w:r>
      <w:r>
        <w:rPr>
          <w:rFonts w:ascii="微软雅黑" w:hAnsi="微软雅黑" w:cs="Arial"/>
          <w:szCs w:val="21"/>
          <w:highlight w:val="none"/>
        </w:rPr>
        <w:t>），以便代理机构查收快递。如供应商选择快递费到付，将被拒收。 </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“备份投标文件”是指与“电子加密投标文件”同时生成的数据电文形式的电子文件（备份标书），其他方式编制的备份投标文件视为无效备份投标文件。</w:t>
      </w:r>
    </w:p>
    <w:p>
      <w:pPr>
        <w:numPr>
          <w:ilvl w:val="1"/>
          <w:numId w:val="6"/>
        </w:numPr>
        <w:spacing w:line="500" w:lineRule="exact"/>
        <w:ind w:left="0" w:firstLine="420"/>
        <w:rPr>
          <w:rFonts w:ascii="微软雅黑" w:hAnsi="微软雅黑" w:cs="Arial"/>
          <w:szCs w:val="21"/>
          <w:highlight w:val="none"/>
        </w:rPr>
      </w:pPr>
      <w:r>
        <w:rPr>
          <w:rFonts w:ascii="微软雅黑" w:hAnsi="微软雅黑" w:cs="Arial"/>
          <w:szCs w:val="21"/>
          <w:highlight w:val="none"/>
        </w:rPr>
        <w:t>备份电子标文件制作为非强制性，但如遇因</w:t>
      </w:r>
      <w:r>
        <w:rPr>
          <w:rFonts w:hint="eastAsia" w:ascii="微软雅黑" w:hAnsi="微软雅黑" w:cs="Arial"/>
          <w:szCs w:val="21"/>
          <w:highlight w:val="none"/>
          <w:lang w:val="en-US" w:eastAsia="zh-CN"/>
        </w:rPr>
        <w:t>供应商</w:t>
      </w:r>
      <w:r>
        <w:rPr>
          <w:rFonts w:ascii="微软雅黑" w:hAnsi="微软雅黑" w:cs="Arial"/>
          <w:szCs w:val="21"/>
          <w:highlight w:val="none"/>
        </w:rPr>
        <w:t>电子投标文件解密失败等情况造成无效标，后果由供应商自负。　</w:t>
      </w:r>
    </w:p>
    <w:p>
      <w:pPr>
        <w:numPr>
          <w:ilvl w:val="0"/>
          <w:numId w:val="6"/>
        </w:numPr>
        <w:spacing w:line="500" w:lineRule="exact"/>
        <w:ind w:left="0" w:firstLine="420"/>
        <w:rPr>
          <w:rFonts w:ascii="微软雅黑" w:hAnsi="微软雅黑"/>
          <w:szCs w:val="21"/>
          <w:highlight w:val="none"/>
        </w:rPr>
      </w:pPr>
      <w:r>
        <w:rPr>
          <w:rFonts w:hint="eastAsia" w:ascii="微软雅黑" w:hAnsi="微软雅黑"/>
          <w:szCs w:val="21"/>
          <w:highlight w:val="none"/>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numPr>
          <w:ilvl w:val="0"/>
          <w:numId w:val="6"/>
        </w:numPr>
        <w:spacing w:line="500" w:lineRule="exact"/>
        <w:ind w:left="0" w:firstLine="420"/>
        <w:rPr>
          <w:rFonts w:ascii="微软雅黑" w:hAnsi="微软雅黑"/>
          <w:szCs w:val="21"/>
          <w:highlight w:val="none"/>
        </w:rPr>
      </w:pPr>
      <w:r>
        <w:rPr>
          <w:rFonts w:hint="eastAsia" w:ascii="微软雅黑" w:hAnsi="微软雅黑"/>
          <w:szCs w:val="21"/>
          <w:highlight w:val="none"/>
        </w:rPr>
        <w:t xml:space="preserve">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6"/>
        <w:numPr>
          <w:ilvl w:val="0"/>
          <w:numId w:val="4"/>
        </w:numPr>
        <w:spacing w:line="500" w:lineRule="exact"/>
        <w:ind w:firstLineChars="0"/>
        <w:rPr>
          <w:rFonts w:ascii="微软雅黑" w:hAnsi="微软雅黑"/>
          <w:szCs w:val="21"/>
          <w:highlight w:val="none"/>
        </w:rPr>
      </w:pPr>
      <w:r>
        <w:rPr>
          <w:rFonts w:ascii="微软雅黑" w:hAnsi="微软雅黑"/>
          <w:szCs w:val="21"/>
          <w:highlight w:val="none"/>
        </w:rPr>
        <w:t>对本次招标提出询问、质疑、投诉，请按以下方式联系。　　　　　　　　　　　　</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 1</w:t>
      </w:r>
      <w:r>
        <w:rPr>
          <w:rFonts w:hint="eastAsia" w:ascii="微软雅黑" w:hAnsi="微软雅黑" w:cs="Arial"/>
          <w:sz w:val="21"/>
          <w:szCs w:val="21"/>
          <w:highlight w:val="none"/>
        </w:rPr>
        <w:t>、</w:t>
      </w:r>
      <w:r>
        <w:rPr>
          <w:rFonts w:ascii="微软雅黑" w:hAnsi="微软雅黑" w:cs="Arial"/>
          <w:sz w:val="21"/>
          <w:szCs w:val="21"/>
          <w:highlight w:val="none"/>
        </w:rPr>
        <w:t>采购人信息</w:t>
      </w:r>
    </w:p>
    <w:p>
      <w:pPr>
        <w:pStyle w:val="46"/>
        <w:spacing w:before="0" w:beforeAutospacing="0" w:after="0" w:afterAutospacing="0" w:line="500" w:lineRule="exact"/>
        <w:ind w:firstLine="420"/>
        <w:rPr>
          <w:rFonts w:hint="eastAsia" w:ascii="微软雅黑" w:hAnsi="微软雅黑" w:eastAsia="微软雅黑" w:cs="Arial"/>
          <w:sz w:val="21"/>
          <w:szCs w:val="21"/>
          <w:highlight w:val="none"/>
          <w:lang w:eastAsia="zh-CN"/>
        </w:rPr>
      </w:pPr>
      <w:r>
        <w:rPr>
          <w:rFonts w:ascii="微软雅黑" w:hAnsi="微软雅黑" w:cs="Arial"/>
          <w:sz w:val="21"/>
          <w:szCs w:val="21"/>
          <w:highlight w:val="none"/>
        </w:rPr>
        <w:t>名    称：</w:t>
      </w:r>
      <w:r>
        <w:rPr>
          <w:rStyle w:val="114"/>
          <w:rFonts w:hint="eastAsia" w:ascii="微软雅黑" w:hAnsi="微软雅黑" w:cs="Arial"/>
          <w:sz w:val="21"/>
          <w:szCs w:val="21"/>
          <w:highlight w:val="none"/>
          <w:u w:val="single"/>
          <w:lang w:eastAsia="zh-CN"/>
        </w:rPr>
        <w:t>嘉兴市南湖区公路与运输管理服务中心</w:t>
      </w:r>
    </w:p>
    <w:p>
      <w:pPr>
        <w:pStyle w:val="46"/>
        <w:spacing w:before="0" w:beforeAutospacing="0" w:after="0" w:afterAutospacing="0" w:line="500" w:lineRule="exact"/>
        <w:ind w:firstLine="420"/>
        <w:rPr>
          <w:rStyle w:val="114"/>
          <w:rFonts w:hint="eastAsia" w:ascii="微软雅黑" w:hAnsi="微软雅黑" w:eastAsia="宋体" w:cs="Arial"/>
          <w:sz w:val="21"/>
          <w:szCs w:val="21"/>
          <w:highlight w:val="none"/>
          <w:u w:val="single"/>
          <w:lang w:eastAsia="zh-CN"/>
        </w:rPr>
      </w:pPr>
      <w:r>
        <w:rPr>
          <w:rFonts w:ascii="微软雅黑" w:hAnsi="微软雅黑" w:cs="Arial"/>
          <w:sz w:val="21"/>
          <w:szCs w:val="21"/>
          <w:highlight w:val="none"/>
        </w:rPr>
        <w:t>地    址：</w:t>
      </w:r>
      <w:r>
        <w:rPr>
          <w:rFonts w:ascii="微软雅黑" w:hAnsi="微软雅黑" w:cs="Arial"/>
          <w:sz w:val="21"/>
          <w:szCs w:val="21"/>
          <w:highlight w:val="none"/>
          <w:u w:val="single"/>
        </w:rPr>
        <w:t xml:space="preserve"> 　　</w:t>
      </w:r>
      <w:r>
        <w:rPr>
          <w:rStyle w:val="114"/>
          <w:rFonts w:hint="eastAsia" w:ascii="微软雅黑" w:hAnsi="微软雅黑" w:cs="Arial"/>
          <w:sz w:val="21"/>
          <w:szCs w:val="21"/>
          <w:highlight w:val="none"/>
          <w:u w:val="single"/>
        </w:rPr>
        <w:t>　</w:t>
      </w:r>
      <w:r>
        <w:rPr>
          <w:rStyle w:val="114"/>
          <w:rFonts w:hint="eastAsia" w:ascii="微软雅黑" w:hAnsi="微软雅黑" w:eastAsia="宋体" w:cs="Arial"/>
          <w:sz w:val="21"/>
          <w:szCs w:val="21"/>
          <w:highlight w:val="none"/>
          <w:u w:val="single"/>
          <w:lang w:val="en-US" w:eastAsia="zh-CN"/>
        </w:rPr>
        <w:t>嘉兴市南湖区双溪路 1019 号</w:t>
      </w:r>
      <w:r>
        <w:rPr>
          <w:rStyle w:val="114"/>
          <w:rFonts w:hint="eastAsia" w:ascii="微软雅黑" w:hAnsi="微软雅黑" w:eastAsia="宋体" w:cs="Arial"/>
          <w:sz w:val="21"/>
          <w:szCs w:val="21"/>
          <w:highlight w:val="none"/>
          <w:u w:val="single"/>
          <w:lang w:eastAsia="zh-CN"/>
        </w:rPr>
        <w:t>　　</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传    真：</w:t>
      </w:r>
      <w:r>
        <w:rPr>
          <w:rFonts w:ascii="微软雅黑" w:hAnsi="微软雅黑" w:cs="Arial"/>
          <w:sz w:val="21"/>
          <w:szCs w:val="21"/>
          <w:highlight w:val="none"/>
          <w:u w:val="single"/>
        </w:rPr>
        <w:t>  　　</w:t>
      </w:r>
      <w:r>
        <w:rPr>
          <w:rFonts w:hint="eastAsia" w:ascii="微软雅黑" w:hAnsi="微软雅黑" w:cs="Arial"/>
          <w:sz w:val="21"/>
          <w:szCs w:val="21"/>
          <w:highlight w:val="none"/>
          <w:u w:val="single"/>
        </w:rPr>
        <w:t xml:space="preserve">0573- </w:t>
      </w:r>
      <w:r>
        <w:rPr>
          <w:rFonts w:hint="eastAsia" w:ascii="微软雅黑" w:hAnsi="微软雅黑" w:cs="Arial"/>
          <w:sz w:val="21"/>
          <w:szCs w:val="21"/>
          <w:highlight w:val="none"/>
          <w:u w:val="single"/>
          <w:lang w:val="en-US" w:eastAsia="zh-CN"/>
        </w:rPr>
        <w:t>82191413</w:t>
      </w:r>
      <w:r>
        <w:rPr>
          <w:rFonts w:ascii="微软雅黑" w:hAnsi="微软雅黑" w:cs="Arial"/>
          <w:sz w:val="21"/>
          <w:szCs w:val="21"/>
          <w:highlight w:val="none"/>
          <w:u w:val="single"/>
        </w:rPr>
        <w:t xml:space="preserve"> 　　</w:t>
      </w:r>
    </w:p>
    <w:p>
      <w:pPr>
        <w:pStyle w:val="46"/>
        <w:spacing w:before="0" w:beforeAutospacing="0" w:after="0" w:afterAutospacing="0" w:line="500" w:lineRule="exact"/>
        <w:ind w:firstLine="420"/>
        <w:rPr>
          <w:rFonts w:hint="eastAsia" w:asciiTheme="minorEastAsia" w:hAnsiTheme="minorEastAsia" w:eastAsiaTheme="minorEastAsia"/>
          <w:color w:val="000000" w:themeColor="text1"/>
          <w:szCs w:val="21"/>
          <w:highlight w:val="none"/>
        </w:rPr>
      </w:pPr>
      <w:r>
        <w:rPr>
          <w:rFonts w:ascii="微软雅黑" w:hAnsi="微软雅黑" w:cs="Arial"/>
          <w:sz w:val="21"/>
          <w:szCs w:val="21"/>
          <w:highlight w:val="none"/>
        </w:rPr>
        <w:t>项目联系人（询问）：</w:t>
      </w:r>
      <w:r>
        <w:rPr>
          <w:rFonts w:hint="eastAsia" w:ascii="微软雅黑" w:hAnsi="微软雅黑"/>
          <w:sz w:val="21"/>
          <w:szCs w:val="21"/>
          <w:highlight w:val="none"/>
          <w:u w:val="single"/>
          <w:shd w:val="clear" w:color="auto" w:fill="FFFFFF"/>
          <w:lang w:val="en-US" w:eastAsia="zh-CN"/>
        </w:rPr>
        <w:t xml:space="preserve">  </w:t>
      </w:r>
      <w:r>
        <w:rPr>
          <w:rFonts w:hint="eastAsia" w:asciiTheme="minorEastAsia" w:hAnsiTheme="minorEastAsia" w:eastAsiaTheme="minorEastAsia"/>
          <w:color w:val="000000" w:themeColor="text1"/>
          <w:szCs w:val="21"/>
          <w:highlight w:val="none"/>
          <w:u w:val="single"/>
        </w:rPr>
        <w:t xml:space="preserve">高先生  </w:t>
      </w:r>
    </w:p>
    <w:p>
      <w:pPr>
        <w:pStyle w:val="46"/>
        <w:spacing w:before="0" w:beforeAutospacing="0" w:after="0" w:afterAutospacing="0" w:line="500" w:lineRule="exact"/>
        <w:ind w:firstLine="420"/>
        <w:rPr>
          <w:rFonts w:hint="default" w:ascii="微软雅黑" w:hAnsi="微软雅黑" w:eastAsia="微软雅黑"/>
          <w:sz w:val="21"/>
          <w:szCs w:val="21"/>
          <w:highlight w:val="none"/>
          <w:u w:val="single"/>
          <w:shd w:val="clear" w:color="auto" w:fill="FFFFFF"/>
          <w:lang w:val="en-US" w:eastAsia="zh-CN"/>
        </w:rPr>
      </w:pPr>
      <w:r>
        <w:rPr>
          <w:rFonts w:ascii="微软雅黑" w:hAnsi="微软雅黑" w:cs="Arial"/>
          <w:sz w:val="21"/>
          <w:szCs w:val="21"/>
          <w:highlight w:val="none"/>
        </w:rPr>
        <w:t>项目联系方式（询问）：</w:t>
      </w:r>
      <w:r>
        <w:rPr>
          <w:rFonts w:hint="eastAsia" w:ascii="微软雅黑" w:hAnsi="微软雅黑" w:cs="Arial"/>
          <w:sz w:val="21"/>
          <w:szCs w:val="21"/>
          <w:highlight w:val="none"/>
          <w:lang w:val="en-US" w:eastAsia="zh-CN"/>
        </w:rPr>
        <w:t xml:space="preserve">  </w:t>
      </w:r>
      <w:r>
        <w:rPr>
          <w:rFonts w:ascii="微软雅黑" w:hAnsi="微软雅黑" w:cs="Arial"/>
          <w:sz w:val="21"/>
          <w:szCs w:val="21"/>
          <w:highlight w:val="none"/>
          <w:u w:val="single"/>
        </w:rPr>
        <w:t>　</w:t>
      </w:r>
      <w:r>
        <w:rPr>
          <w:rFonts w:hint="eastAsia" w:ascii="微软雅黑" w:hAnsi="微软雅黑" w:cs="Arial"/>
          <w:sz w:val="21"/>
          <w:szCs w:val="21"/>
          <w:highlight w:val="none"/>
          <w:u w:val="single"/>
        </w:rPr>
        <w:t>0573</w:t>
      </w:r>
      <w:r>
        <w:rPr>
          <w:rFonts w:hint="eastAsia" w:ascii="微软雅黑" w:hAnsi="微软雅黑" w:cs="Arial"/>
          <w:sz w:val="21"/>
          <w:szCs w:val="21"/>
          <w:highlight w:val="none"/>
          <w:u w:val="single"/>
          <w:lang w:val="en-US" w:eastAsia="zh-CN"/>
        </w:rPr>
        <w:t>-</w:t>
      </w:r>
      <w:r>
        <w:rPr>
          <w:rFonts w:hint="eastAsia" w:ascii="微软雅黑" w:hAnsi="微软雅黑" w:cs="Arial"/>
          <w:sz w:val="21"/>
          <w:szCs w:val="21"/>
          <w:highlight w:val="none"/>
          <w:u w:val="single"/>
        </w:rPr>
        <w:t>82193200</w:t>
      </w:r>
      <w:r>
        <w:rPr>
          <w:rFonts w:hint="eastAsia" w:ascii="微软雅黑" w:hAnsi="微软雅黑" w:cs="Arial"/>
          <w:sz w:val="21"/>
          <w:szCs w:val="21"/>
          <w:highlight w:val="none"/>
          <w:u w:val="single"/>
          <w:lang w:val="en-US" w:eastAsia="zh-CN"/>
        </w:rPr>
        <w:t xml:space="preserve">     </w:t>
      </w:r>
      <w:r>
        <w:rPr>
          <w:rFonts w:hint="eastAsia" w:ascii="微软雅黑" w:hAnsi="微软雅黑" w:cs="Arial"/>
          <w:sz w:val="21"/>
          <w:szCs w:val="21"/>
          <w:highlight w:val="none"/>
          <w:lang w:val="en-US" w:eastAsia="zh-CN"/>
        </w:rPr>
        <w:t xml:space="preserve"> </w:t>
      </w:r>
    </w:p>
    <w:p>
      <w:pPr>
        <w:pStyle w:val="46"/>
        <w:spacing w:before="0" w:beforeAutospacing="0" w:after="0" w:afterAutospacing="0" w:line="500" w:lineRule="exact"/>
        <w:ind w:firstLine="420"/>
        <w:rPr>
          <w:rFonts w:hint="eastAsia" w:ascii="微软雅黑" w:hAnsi="微软雅黑" w:eastAsia="微软雅黑" w:cs="Arial"/>
          <w:sz w:val="21"/>
          <w:szCs w:val="21"/>
          <w:highlight w:val="none"/>
          <w:u w:val="single"/>
          <w:lang w:eastAsia="zh-CN"/>
        </w:rPr>
      </w:pPr>
      <w:r>
        <w:rPr>
          <w:rFonts w:ascii="微软雅黑" w:hAnsi="微软雅黑" w:cs="Arial"/>
          <w:sz w:val="21"/>
          <w:szCs w:val="21"/>
          <w:highlight w:val="none"/>
        </w:rPr>
        <w:t>质疑联系人：</w:t>
      </w:r>
      <w:r>
        <w:rPr>
          <w:rFonts w:ascii="微软雅黑" w:hAnsi="微软雅黑" w:cs="Arial"/>
          <w:sz w:val="21"/>
          <w:szCs w:val="21"/>
          <w:highlight w:val="none"/>
          <w:u w:val="single"/>
        </w:rPr>
        <w:t>  　</w:t>
      </w:r>
      <w:r>
        <w:rPr>
          <w:rFonts w:hint="eastAsia" w:ascii="微软雅黑" w:hAnsi="微软雅黑" w:cs="Arial"/>
          <w:sz w:val="21"/>
          <w:szCs w:val="21"/>
          <w:highlight w:val="none"/>
          <w:u w:val="single"/>
          <w:lang w:val="en-US" w:eastAsia="zh-CN"/>
        </w:rPr>
        <w:t>徐女士</w:t>
      </w:r>
      <w:r>
        <w:rPr>
          <w:rFonts w:ascii="微软雅黑" w:hAnsi="微软雅黑" w:cs="Arial"/>
          <w:sz w:val="21"/>
          <w:szCs w:val="21"/>
          <w:highlight w:val="none"/>
          <w:u w:val="single"/>
        </w:rPr>
        <w:t xml:space="preserve"> 　　</w:t>
      </w:r>
    </w:p>
    <w:p>
      <w:pPr>
        <w:pStyle w:val="46"/>
        <w:spacing w:before="0" w:beforeAutospacing="0" w:after="0" w:afterAutospacing="0" w:line="500" w:lineRule="exact"/>
        <w:ind w:firstLine="420"/>
        <w:rPr>
          <w:rFonts w:hint="default" w:ascii="微软雅黑" w:hAnsi="微软雅黑" w:eastAsia="微软雅黑" w:cs="Arial"/>
          <w:sz w:val="21"/>
          <w:szCs w:val="21"/>
          <w:highlight w:val="yellow"/>
          <w:lang w:val="en-US" w:eastAsia="zh-CN"/>
        </w:rPr>
      </w:pPr>
      <w:r>
        <w:rPr>
          <w:rFonts w:ascii="微软雅黑" w:hAnsi="微软雅黑" w:cs="Arial"/>
          <w:sz w:val="21"/>
          <w:szCs w:val="21"/>
          <w:highlight w:val="none"/>
        </w:rPr>
        <w:t>质疑联系方式：</w:t>
      </w:r>
      <w:r>
        <w:rPr>
          <w:rFonts w:hint="eastAsia" w:ascii="微软雅黑" w:hAnsi="微软雅黑" w:cs="Times New Roman"/>
          <w:sz w:val="21"/>
          <w:szCs w:val="21"/>
          <w:highlight w:val="none"/>
          <w:u w:val="single"/>
          <w:shd w:val="clear" w:color="auto" w:fill="FFFFFF"/>
        </w:rPr>
        <w:t xml:space="preserve"> 0573-</w:t>
      </w:r>
      <w:r>
        <w:rPr>
          <w:rFonts w:hint="eastAsia" w:ascii="微软雅黑" w:hAnsi="微软雅黑" w:cs="Times New Roman"/>
          <w:sz w:val="21"/>
          <w:szCs w:val="21"/>
          <w:highlight w:val="none"/>
          <w:u w:val="single"/>
          <w:shd w:val="clear" w:color="auto" w:fill="FFFFFF"/>
          <w:lang w:val="en-US" w:eastAsia="zh-CN"/>
        </w:rPr>
        <w:t xml:space="preserve">82193055  </w:t>
      </w:r>
      <w:r>
        <w:rPr>
          <w:rFonts w:hint="eastAsia" w:ascii="微软雅黑" w:hAnsi="微软雅黑"/>
          <w:sz w:val="21"/>
          <w:szCs w:val="21"/>
          <w:highlight w:val="none"/>
          <w:u w:val="single"/>
          <w:shd w:val="clear" w:color="auto" w:fill="FFFFFF"/>
          <w:lang w:val="en-US" w:eastAsia="zh-CN"/>
        </w:rPr>
        <w:t xml:space="preserve">  </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 2</w:t>
      </w:r>
      <w:r>
        <w:rPr>
          <w:rFonts w:hint="eastAsia" w:ascii="微软雅黑" w:hAnsi="微软雅黑" w:cs="Arial"/>
          <w:sz w:val="21"/>
          <w:szCs w:val="21"/>
          <w:highlight w:val="none"/>
        </w:rPr>
        <w:t>、</w:t>
      </w:r>
      <w:r>
        <w:rPr>
          <w:rFonts w:ascii="微软雅黑" w:hAnsi="微软雅黑" w:cs="Arial"/>
          <w:sz w:val="21"/>
          <w:szCs w:val="21"/>
          <w:highlight w:val="none"/>
        </w:rPr>
        <w:t>采购代理机构信息</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名    称： </w:t>
      </w:r>
      <w:r>
        <w:rPr>
          <w:rStyle w:val="114"/>
          <w:rFonts w:hint="eastAsia" w:ascii="微软雅黑" w:hAnsi="微软雅黑" w:cs="Arial"/>
          <w:sz w:val="21"/>
          <w:szCs w:val="21"/>
          <w:highlight w:val="none"/>
          <w:u w:val="single"/>
        </w:rPr>
        <w:t>浙江中际工程项目管理有限公司</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地    址： </w:t>
      </w:r>
      <w:r>
        <w:rPr>
          <w:rStyle w:val="114"/>
          <w:rFonts w:hint="eastAsia" w:ascii="微软雅黑" w:hAnsi="微软雅黑" w:cs="Arial"/>
          <w:sz w:val="21"/>
          <w:szCs w:val="21"/>
          <w:highlight w:val="none"/>
          <w:u w:val="single"/>
        </w:rPr>
        <w:t>嘉兴市由拳路南湖大道口华隆广场1号楼1306室</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传    真：</w:t>
      </w:r>
      <w:r>
        <w:rPr>
          <w:rFonts w:ascii="微软雅黑" w:hAnsi="微软雅黑" w:cs="Arial"/>
          <w:sz w:val="21"/>
          <w:szCs w:val="21"/>
          <w:highlight w:val="none"/>
          <w:u w:val="single"/>
        </w:rPr>
        <w:t> </w:t>
      </w:r>
      <w:r>
        <w:rPr>
          <w:rStyle w:val="114"/>
          <w:rFonts w:hint="eastAsia" w:ascii="微软雅黑" w:hAnsi="微软雅黑" w:cs="Arial"/>
          <w:sz w:val="21"/>
          <w:szCs w:val="21"/>
          <w:highlight w:val="none"/>
          <w:u w:val="single"/>
        </w:rPr>
        <w:t>0573-82861011</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项目联系人（询问）：</w:t>
      </w:r>
      <w:r>
        <w:rPr>
          <w:rStyle w:val="114"/>
          <w:rFonts w:hint="eastAsia" w:ascii="微软雅黑" w:hAnsi="微软雅黑" w:cs="Arial"/>
          <w:sz w:val="21"/>
          <w:szCs w:val="21"/>
          <w:highlight w:val="none"/>
          <w:u w:val="single"/>
        </w:rPr>
        <w:t>马专圆</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项目联系方式（询问）：</w:t>
      </w:r>
      <w:r>
        <w:rPr>
          <w:rFonts w:ascii="微软雅黑" w:hAnsi="微软雅黑" w:cs="Arial"/>
          <w:sz w:val="21"/>
          <w:szCs w:val="21"/>
          <w:highlight w:val="none"/>
          <w:u w:val="single"/>
        </w:rPr>
        <w:t> </w:t>
      </w:r>
      <w:r>
        <w:rPr>
          <w:rStyle w:val="114"/>
          <w:rFonts w:hint="eastAsia" w:ascii="微软雅黑" w:hAnsi="微软雅黑" w:cs="Arial"/>
          <w:sz w:val="21"/>
          <w:szCs w:val="21"/>
          <w:highlight w:val="none"/>
          <w:u w:val="single"/>
        </w:rPr>
        <w:t>0573-82861011</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质疑联系人：</w:t>
      </w:r>
      <w:r>
        <w:rPr>
          <w:rFonts w:ascii="微软雅黑" w:hAnsi="微软雅黑" w:cs="Arial"/>
          <w:sz w:val="21"/>
          <w:szCs w:val="21"/>
          <w:highlight w:val="none"/>
          <w:u w:val="single"/>
        </w:rPr>
        <w:t> </w:t>
      </w:r>
      <w:r>
        <w:rPr>
          <w:rStyle w:val="114"/>
          <w:rFonts w:hint="eastAsia" w:ascii="微软雅黑" w:hAnsi="微软雅黑" w:cs="Arial"/>
          <w:sz w:val="21"/>
          <w:szCs w:val="21"/>
          <w:highlight w:val="none"/>
          <w:u w:val="single"/>
          <w:lang w:val="en-US" w:eastAsia="zh-CN"/>
        </w:rPr>
        <w:t>庞佳玥</w:t>
      </w:r>
      <w:r>
        <w:rPr>
          <w:rFonts w:ascii="微软雅黑" w:hAnsi="微软雅黑" w:cs="Arial"/>
          <w:sz w:val="21"/>
          <w:szCs w:val="21"/>
          <w:highlight w:val="none"/>
          <w:u w:val="single"/>
        </w:rPr>
        <w:t> </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质疑联系方式： </w:t>
      </w:r>
      <w:r>
        <w:rPr>
          <w:rFonts w:ascii="微软雅黑" w:hAnsi="微软雅黑" w:cs="Arial"/>
          <w:sz w:val="21"/>
          <w:szCs w:val="21"/>
          <w:highlight w:val="none"/>
          <w:u w:val="single"/>
        </w:rPr>
        <w:t> </w:t>
      </w:r>
      <w:r>
        <w:rPr>
          <w:rStyle w:val="114"/>
          <w:rFonts w:hint="eastAsia" w:ascii="微软雅黑" w:hAnsi="微软雅黑" w:cs="Arial"/>
          <w:sz w:val="21"/>
          <w:szCs w:val="21"/>
          <w:highlight w:val="none"/>
          <w:u w:val="single"/>
        </w:rPr>
        <w:t>0573-82862011</w:t>
      </w:r>
      <w:r>
        <w:rPr>
          <w:rStyle w:val="114"/>
          <w:rFonts w:ascii="微软雅黑" w:hAnsi="微软雅黑" w:cs="Arial"/>
          <w:sz w:val="21"/>
          <w:szCs w:val="21"/>
          <w:highlight w:val="none"/>
          <w:u w:val="single"/>
        </w:rPr>
        <w:t xml:space="preserve">  </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3</w:t>
      </w:r>
      <w:r>
        <w:rPr>
          <w:rFonts w:hint="eastAsia" w:ascii="微软雅黑" w:hAnsi="微软雅黑" w:cs="Arial"/>
          <w:sz w:val="21"/>
          <w:szCs w:val="21"/>
          <w:highlight w:val="none"/>
        </w:rPr>
        <w:t>、</w:t>
      </w:r>
      <w:r>
        <w:rPr>
          <w:rFonts w:ascii="微软雅黑" w:hAnsi="微软雅黑" w:cs="Arial"/>
          <w:sz w:val="21"/>
          <w:szCs w:val="21"/>
          <w:highlight w:val="none"/>
        </w:rPr>
        <w:t>同级政府采购监督管理部门</w:t>
      </w:r>
    </w:p>
    <w:p>
      <w:pPr>
        <w:pStyle w:val="46"/>
        <w:spacing w:before="0" w:beforeAutospacing="0" w:after="0" w:afterAutospacing="0" w:line="500" w:lineRule="exact"/>
        <w:ind w:firstLine="420"/>
        <w:rPr>
          <w:rStyle w:val="114"/>
          <w:rFonts w:hint="eastAsia" w:ascii="微软雅黑" w:hAnsi="微软雅黑" w:eastAsia="微软雅黑"/>
          <w:sz w:val="21"/>
          <w:szCs w:val="21"/>
          <w:highlight w:val="none"/>
          <w:u w:val="single"/>
          <w:lang w:eastAsia="zh-CN"/>
        </w:rPr>
      </w:pPr>
      <w:r>
        <w:rPr>
          <w:rFonts w:ascii="微软雅黑" w:hAnsi="微软雅黑" w:cs="Arial"/>
          <w:sz w:val="21"/>
          <w:szCs w:val="21"/>
          <w:highlight w:val="none"/>
        </w:rPr>
        <w:t>名    称： </w:t>
      </w:r>
      <w:r>
        <w:rPr>
          <w:rStyle w:val="114"/>
          <w:rFonts w:hint="eastAsia" w:ascii="微软雅黑" w:hAnsi="微软雅黑"/>
          <w:sz w:val="21"/>
          <w:szCs w:val="21"/>
          <w:highlight w:val="none"/>
          <w:u w:val="single"/>
          <w:lang w:eastAsia="zh-CN"/>
        </w:rPr>
        <w:t>嘉兴市南湖区财政局</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地    址： 嘉兴市凌公塘路1260号南湖区行政中心</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传    真： </w:t>
      </w:r>
      <w:r>
        <w:rPr>
          <w:rFonts w:hint="eastAsia" w:ascii="微软雅黑" w:hAnsi="微软雅黑" w:cs="Arial"/>
          <w:sz w:val="21"/>
          <w:szCs w:val="21"/>
          <w:highlight w:val="none"/>
        </w:rPr>
        <w:t>/</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联系人 ：</w:t>
      </w:r>
      <w:r>
        <w:rPr>
          <w:rFonts w:hint="eastAsia" w:ascii="微软雅黑" w:hAnsi="微软雅黑" w:cs="Arial"/>
          <w:sz w:val="21"/>
          <w:szCs w:val="21"/>
          <w:highlight w:val="none"/>
          <w:lang w:val="en-US" w:eastAsia="zh-CN"/>
        </w:rPr>
        <w:t>乔</w:t>
      </w:r>
      <w:r>
        <w:rPr>
          <w:rFonts w:hint="eastAsia" w:ascii="微软雅黑" w:hAnsi="微软雅黑" w:cs="Arial"/>
          <w:sz w:val="21"/>
          <w:szCs w:val="21"/>
          <w:highlight w:val="none"/>
        </w:rPr>
        <w:t xml:space="preserve">先生  </w:t>
      </w:r>
    </w:p>
    <w:p>
      <w:pPr>
        <w:pStyle w:val="46"/>
        <w:spacing w:before="0" w:beforeAutospacing="0" w:after="0" w:afterAutospacing="0" w:line="500" w:lineRule="exact"/>
        <w:ind w:firstLine="420"/>
        <w:rPr>
          <w:rFonts w:ascii="微软雅黑" w:hAnsi="微软雅黑" w:cs="Arial"/>
          <w:sz w:val="21"/>
          <w:szCs w:val="21"/>
          <w:highlight w:val="none"/>
        </w:rPr>
      </w:pPr>
      <w:r>
        <w:rPr>
          <w:rFonts w:ascii="微软雅黑" w:hAnsi="微软雅黑" w:cs="Arial"/>
          <w:sz w:val="21"/>
          <w:szCs w:val="21"/>
          <w:highlight w:val="none"/>
        </w:rPr>
        <w:t>监督投诉电话：0573-82838543</w:t>
      </w:r>
    </w:p>
    <w:p>
      <w:pPr>
        <w:pStyle w:val="46"/>
        <w:keepNext w:val="0"/>
        <w:keepLines w:val="0"/>
        <w:widowControl/>
        <w:suppressLineNumbers w:val="0"/>
        <w:spacing w:before="450" w:beforeAutospacing="0" w:after="450" w:afterAutospacing="0" w:line="300" w:lineRule="atLeast"/>
        <w:ind w:left="450" w:right="450"/>
        <w:rPr>
          <w:highlight w:val="none"/>
        </w:rPr>
      </w:pPr>
    </w:p>
    <w:p>
      <w:pPr>
        <w:pStyle w:val="5"/>
        <w:numPr>
          <w:ilvl w:val="0"/>
          <w:numId w:val="7"/>
        </w:numPr>
        <w:rPr>
          <w:rStyle w:val="157"/>
          <w:b/>
          <w:bCs/>
          <w:highlight w:val="none"/>
        </w:rPr>
      </w:pPr>
      <w:r>
        <w:rPr>
          <w:rFonts w:ascii="微软雅黑" w:hAnsi="微软雅黑"/>
          <w:highlight w:val="none"/>
        </w:rPr>
        <w:br w:type="page"/>
      </w:r>
      <w:bookmarkStart w:id="10" w:name="_Toc5875"/>
      <w:r>
        <w:rPr>
          <w:rStyle w:val="157"/>
          <w:rFonts w:hint="eastAsia"/>
          <w:b/>
          <w:bCs/>
          <w:highlight w:val="none"/>
        </w:rPr>
        <w:t>招标项目要求</w:t>
      </w:r>
      <w:bookmarkEnd w:id="8"/>
      <w:bookmarkEnd w:id="10"/>
    </w:p>
    <w:p>
      <w:pPr>
        <w:wordWrap w:val="0"/>
        <w:adjustRightInd w:val="0"/>
        <w:snapToGrid w:val="0"/>
        <w:spacing w:line="360" w:lineRule="auto"/>
        <w:ind w:firstLine="368" w:firstLineChars="175"/>
        <w:rPr>
          <w:rFonts w:hint="eastAsia" w:asciiTheme="minorEastAsia" w:hAnsiTheme="minorEastAsia" w:eastAsiaTheme="minorEastAsia"/>
          <w:b/>
          <w:bCs/>
          <w:i w:val="0"/>
          <w:iCs w:val="0"/>
          <w:color w:val="000000" w:themeColor="text1"/>
          <w:szCs w:val="21"/>
        </w:rPr>
      </w:pPr>
      <w:bookmarkStart w:id="11" w:name="_Toc54272048"/>
      <w:bookmarkStart w:id="12" w:name="_Toc19683"/>
      <w:bookmarkStart w:id="13" w:name="_Toc493511542"/>
      <w:r>
        <w:rPr>
          <w:rFonts w:hint="eastAsia" w:asciiTheme="minorEastAsia" w:hAnsiTheme="minorEastAsia" w:eastAsiaTheme="minorEastAsia"/>
          <w:b/>
          <w:bCs/>
          <w:i w:val="0"/>
          <w:iCs w:val="0"/>
          <w:color w:val="000000" w:themeColor="text1"/>
          <w:szCs w:val="21"/>
        </w:rPr>
        <w:t>（一）项目背景</w:t>
      </w:r>
      <w:bookmarkEnd w:id="11"/>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目前，全省公路总里程12.31万公里，其中农村公路里程约10.9万公里，占全省公路总里程的88%。全省农村公路桥梁39117座，隧道797道，管养机构从业人员0.66万人，占比18.8%，农村公路点多、线长、面广、人少。</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全省农村公路的管养责任主体是县级人民政府，由县级人民政府实际建立农村公路管理体制，落实县、乡（镇）、建制村农村公路养护工作机构和人员，完善养护管理资金财政预算保障机制。县级交通运输主管部门及其公路管理机构建立农村公路养护工作机制，执行和落实各项养护管理任务，指导乡道、村道的养护管理工作。县级以上地方交通运输主管部门及其公路管理机构应当加强农村公路养护管理的监督管理和技术指导，完善对下级交通运输主管部门的目标考核机制。</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2022年5月10日，浙江省交通运输厅《关于公布农村公路管理养护体制 改革省级试点单位的通知》（浙交发函〔2022〕48 号）为深入贯彻落实习近平总书记关于“四好农村路”重要指示 精神，进一步推动我省高质量建设“四好农村路”，加快推进交通数字化改革，打造“四好农村路 2.0 版”，充分发挥农村公路在高 质量发展建设共同富裕示范区中的作用，根据《浙江省人民政府 办公厅关于深化农村公路管理养护体制改革实施意见》（浙政办 发〔2020〕61 号）要求，确定南湖区作为路长制、数字 化改革、美丽农村公路试点地区。</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2022年6月13日，省交通运输厅办公室关于印发《2022 年交通数字化改革基层与社会试点项目清单》的通知（浙交办〔2022〕40 号）要求，根据交通数字化改革基层与社会试点工作部署，各地交通运输管理部门围绕省厅“1+7+N”跑道谋划了一批试点项目。经省交通运输厅同意，确定南湖区作为“2022 年交通数字化改革基层与社会试点项目”。</w:t>
      </w:r>
    </w:p>
    <w:p>
      <w:pPr>
        <w:spacing w:line="360" w:lineRule="auto"/>
        <w:ind w:firstLine="480" w:firstLineChars="200"/>
        <w:rPr>
          <w:rFonts w:ascii="宋体" w:hAnsi="宋体" w:eastAsia="宋体" w:cs="宋体"/>
          <w:sz w:val="24"/>
        </w:rPr>
      </w:pPr>
    </w:p>
    <w:p>
      <w:pPr>
        <w:wordWrap w:val="0"/>
        <w:adjustRightInd w:val="0"/>
        <w:snapToGrid w:val="0"/>
        <w:spacing w:line="360" w:lineRule="auto"/>
        <w:ind w:firstLine="368" w:firstLineChars="175"/>
        <w:rPr>
          <w:rFonts w:hint="eastAsia" w:asciiTheme="minorEastAsia" w:hAnsiTheme="minorEastAsia" w:eastAsiaTheme="minorEastAsia"/>
          <w:b/>
          <w:bCs/>
          <w:i w:val="0"/>
          <w:iCs w:val="0"/>
          <w:color w:val="000000" w:themeColor="text1"/>
          <w:szCs w:val="21"/>
        </w:rPr>
      </w:pPr>
      <w:bookmarkStart w:id="14" w:name="_Toc54272049"/>
      <w:r>
        <w:rPr>
          <w:rFonts w:hint="eastAsia" w:asciiTheme="minorEastAsia" w:hAnsiTheme="minorEastAsia" w:eastAsiaTheme="minorEastAsia"/>
          <w:b/>
          <w:bCs/>
          <w:i w:val="0"/>
          <w:iCs w:val="0"/>
          <w:color w:val="000000" w:themeColor="text1"/>
          <w:szCs w:val="21"/>
        </w:rPr>
        <w:t>（二）建设目标</w:t>
      </w:r>
      <w:bookmarkEnd w:id="14"/>
      <w:r>
        <w:rPr>
          <w:rFonts w:hint="eastAsia" w:asciiTheme="minorEastAsia" w:hAnsiTheme="minorEastAsia" w:eastAsiaTheme="minorEastAsia"/>
          <w:b/>
          <w:bCs/>
          <w:i w:val="0"/>
          <w:iCs w:val="0"/>
          <w:color w:val="000000" w:themeColor="text1"/>
          <w:szCs w:val="21"/>
        </w:rPr>
        <w:t>和内容</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根据省交通运输厅办公室关于印发《2022 年交通数字化改革基层与社会试点项目清单》的通知要求，南湖区承担农村公路项目管理“农村公路示范创建”中的“建设“四好农村路”示范市、县、乡动态管理模块、创建申报和考核模块”，并结合南湖区自身管理需求，将南湖区现有的业务数据向省级平台共享。</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根据《浙江省人民政府关于高水平建设“四好农村路”的实施意见》（浙政发〔2018〕24号）及有关评价办法，推进“四好农村路”示范县、示范乡镇的创建和动态监管工作，搭建示范创建申报、已命名复核及动态督查复核等工作数字化、信息化工作平台，为高水平建设“四好农村路”提供技术支撑和保障，实现示范创建等工作的数字化、规范化和便利化。主要实现以下目标：</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1．总体框架集成平台及业务中台。</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系统能够接入到省级浙路智富（数字农村路）平台。</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应能够支持业务模块的新建/删除、菜单权限配置、接口授权等，方便对业务模块进行远程管理；新建和调整应用后需要管理员进行审核，审核通过后将更换应用相应配置。</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集成平台应支持统一Token，用户访问及业务模块之间的数据调用，均应经过Token校验，避免重定向攻击，确保信息安全。</w:t>
      </w:r>
    </w:p>
    <w:p>
      <w:pPr>
        <w:widowControl/>
        <w:jc w:val="left"/>
        <w:rPr>
          <w:rFonts w:hint="eastAsia" w:cs="Times New Roman" w:asciiTheme="minorEastAsia" w:hAnsiTheme="minorEastAsia" w:eastAsiaTheme="minorEastAsia"/>
          <w:color w:val="000000" w:themeColor="text1"/>
          <w:szCs w:val="21"/>
        </w:rPr>
      </w:pPr>
      <w:r>
        <w:rPr>
          <w:rFonts w:hint="eastAsia" w:cs="Times New Roman" w:asciiTheme="minorEastAsia" w:hAnsiTheme="minorEastAsia" w:eastAsiaTheme="minorEastAsia"/>
          <w:color w:val="000000" w:themeColor="text1"/>
          <w:szCs w:val="21"/>
        </w:rPr>
        <w:t>集成平台应支持统一的用户、角色管理，可实现用户多模块统一授权，一次登录，多模块使用，提高用户使用的流畅度。</w:t>
      </w:r>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rPr>
        <w:t>业务中台。应支持统一工作台，可方便路由至系统内业务模块、驾驶舱，多个业务模块的消息、通知</w:t>
      </w:r>
      <w:r>
        <w:rPr>
          <w:rFonts w:hint="eastAsia" w:cs="Times New Roman" w:asciiTheme="minorEastAsia" w:hAnsiTheme="minorEastAsia" w:eastAsiaTheme="minorEastAsia"/>
          <w:color w:val="000000" w:themeColor="text1"/>
          <w:szCs w:val="21"/>
          <w:highlight w:val="none"/>
        </w:rPr>
        <w:t>、待办、督查督办等信息类型可统一发布到工作台上，用户可直观有效的查阅并快捷跳转到对应业务模块来办理相关信息。能够接入到省级浙路智富（数字农村路）统一工作台。</w:t>
      </w:r>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2．数字路产管理。以年报数据为基础，汇聚全市的公路、桥梁、隧道、渡口、桥梁等基础设施，并以电子地图为依托，实现全区农村公路数据的信息化与现代化管理。</w:t>
      </w:r>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3．建设数字农村路示范创建应用平台。</w:t>
      </w:r>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(1)建立浙江省示范县、示范乡镇评价指标体系并数字化，为示范县、示范乡镇申报、复核提供评价依据。</w:t>
      </w:r>
    </w:p>
    <w:p>
      <w:pPr>
        <w:widowControl/>
        <w:jc w:val="left"/>
        <w:rPr>
          <w:rFonts w:hint="eastAsia" w:cs="Times New Roman" w:asciiTheme="minorEastAsia" w:hAnsiTheme="minorEastAsia" w:eastAsiaTheme="minorEastAsia"/>
          <w:b/>
          <w:bCs/>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(2)搭建示范县、示范乡镇的新创建申报信息化平台，支持数据填报、审核等全业务流</w:t>
      </w:r>
      <w:r>
        <w:rPr>
          <w:rFonts w:hint="eastAsia" w:cs="Times New Roman" w:asciiTheme="minorEastAsia" w:hAnsiTheme="minorEastAsia" w:eastAsiaTheme="minorEastAsia"/>
          <w:b/>
          <w:bCs/>
          <w:color w:val="000000" w:themeColor="text1"/>
          <w:szCs w:val="21"/>
          <w:highlight w:val="none"/>
        </w:rPr>
        <w:t>程。</w:t>
      </w:r>
    </w:p>
    <w:p>
      <w:pPr>
        <w:widowControl/>
        <w:jc w:val="left"/>
        <w:rPr>
          <w:rFonts w:hint="eastAsia" w:cs="Times New Roman" w:asciiTheme="minorEastAsia" w:hAnsiTheme="minorEastAsia" w:eastAsiaTheme="minorEastAsia"/>
          <w:b/>
          <w:bCs/>
          <w:color w:val="000000" w:themeColor="text1"/>
          <w:szCs w:val="21"/>
          <w:highlight w:val="none"/>
        </w:rPr>
      </w:pPr>
      <w:r>
        <w:rPr>
          <w:rFonts w:hint="eastAsia" w:cs="Times New Roman" w:asciiTheme="minorEastAsia" w:hAnsiTheme="minorEastAsia" w:eastAsiaTheme="minorEastAsia"/>
          <w:b/>
          <w:bCs/>
          <w:color w:val="000000" w:themeColor="text1"/>
          <w:szCs w:val="21"/>
          <w:highlight w:val="none"/>
        </w:rPr>
        <w:t>(3)搭建示范县、示范乡镇定期复核、动态督查复核信息化平台，支持数据填报、审核等全业务流程。</w:t>
      </w:r>
    </w:p>
    <w:p>
      <w:pPr>
        <w:widowControl/>
        <w:jc w:val="left"/>
        <w:rPr>
          <w:rFonts w:hint="eastAsia" w:cs="Times New Roman" w:asciiTheme="minorEastAsia" w:hAnsiTheme="minorEastAsia" w:eastAsiaTheme="minorEastAsia"/>
          <w:b/>
          <w:bCs/>
          <w:color w:val="000000" w:themeColor="text1"/>
          <w:szCs w:val="21"/>
          <w:highlight w:val="none"/>
        </w:rPr>
      </w:pPr>
      <w:r>
        <w:rPr>
          <w:rFonts w:hint="eastAsia" w:cs="Times New Roman" w:asciiTheme="minorEastAsia" w:hAnsiTheme="minorEastAsia" w:eastAsiaTheme="minorEastAsia"/>
          <w:b/>
          <w:bCs/>
          <w:color w:val="000000" w:themeColor="text1"/>
          <w:szCs w:val="21"/>
          <w:highlight w:val="none"/>
        </w:rPr>
        <w:t>(4)构建数据管理体系，按层级进行数据的汇总、查询和统计分析，服务“四好农村路”示范县、示范乡镇建设管理和监管需求。</w:t>
      </w:r>
    </w:p>
    <w:p>
      <w:pPr>
        <w:widowControl/>
        <w:jc w:val="left"/>
        <w:rPr>
          <w:rFonts w:hint="eastAsia" w:cs="Times New Roman" w:asciiTheme="minorEastAsia" w:hAnsiTheme="minorEastAsia" w:eastAsiaTheme="minorEastAsia"/>
          <w:b/>
          <w:bCs/>
          <w:color w:val="000000" w:themeColor="text1"/>
          <w:szCs w:val="21"/>
          <w:highlight w:val="none"/>
          <w:lang w:eastAsia="zh-CN"/>
        </w:rPr>
      </w:pPr>
      <w:bookmarkStart w:id="15" w:name="_Toc54272051"/>
      <w:r>
        <w:rPr>
          <w:rFonts w:hint="eastAsia" w:cs="Times New Roman" w:asciiTheme="minorEastAsia" w:hAnsiTheme="minorEastAsia" w:eastAsiaTheme="minorEastAsia"/>
          <w:b/>
          <w:bCs/>
          <w:color w:val="000000" w:themeColor="text1"/>
          <w:szCs w:val="21"/>
          <w:highlight w:val="none"/>
          <w:lang w:val="en-US" w:eastAsia="zh-CN"/>
        </w:rPr>
        <w:t>（5）</w:t>
      </w:r>
      <w:r>
        <w:rPr>
          <w:rFonts w:hint="eastAsia" w:cs="Times New Roman" w:asciiTheme="minorEastAsia" w:hAnsiTheme="minorEastAsia" w:eastAsiaTheme="minorEastAsia"/>
          <w:b/>
          <w:bCs/>
          <w:color w:val="000000" w:themeColor="text1"/>
          <w:szCs w:val="21"/>
          <w:highlight w:val="none"/>
        </w:rPr>
        <w:t>系统平台后需接入到省交通厅“浙路智富”系统平台</w:t>
      </w:r>
      <w:r>
        <w:rPr>
          <w:rFonts w:hint="eastAsia" w:cs="Times New Roman" w:asciiTheme="minorEastAsia" w:hAnsiTheme="minorEastAsia" w:eastAsiaTheme="minorEastAsia"/>
          <w:b/>
          <w:bCs/>
          <w:color w:val="000000" w:themeColor="text1"/>
          <w:szCs w:val="21"/>
          <w:highlight w:val="none"/>
          <w:lang w:eastAsia="zh-CN"/>
        </w:rPr>
        <w:t>，</w:t>
      </w:r>
      <w:r>
        <w:rPr>
          <w:rFonts w:hint="eastAsia" w:cs="Times New Roman" w:asciiTheme="minorEastAsia" w:hAnsiTheme="minorEastAsia" w:eastAsiaTheme="minorEastAsia"/>
          <w:b/>
          <w:bCs/>
          <w:color w:val="000000" w:themeColor="text1"/>
          <w:szCs w:val="21"/>
          <w:highlight w:val="none"/>
        </w:rPr>
        <w:t>接入费</w:t>
      </w:r>
      <w:r>
        <w:rPr>
          <w:rFonts w:hint="eastAsia" w:cs="Times New Roman" w:asciiTheme="minorEastAsia" w:hAnsiTheme="minorEastAsia" w:eastAsiaTheme="minorEastAsia"/>
          <w:b/>
          <w:bCs/>
          <w:color w:val="000000" w:themeColor="text1"/>
          <w:szCs w:val="21"/>
          <w:highlight w:val="none"/>
          <w:lang w:val="en-US" w:eastAsia="zh-CN"/>
        </w:rPr>
        <w:t>投标单位自行考虑，费用包括在总价内</w:t>
      </w:r>
      <w:r>
        <w:rPr>
          <w:rFonts w:hint="eastAsia" w:cs="Times New Roman" w:asciiTheme="minorEastAsia" w:hAnsiTheme="minorEastAsia" w:eastAsiaTheme="minorEastAsia"/>
          <w:b/>
          <w:bCs/>
          <w:color w:val="000000" w:themeColor="text1"/>
          <w:szCs w:val="21"/>
          <w:highlight w:val="none"/>
          <w:lang w:eastAsia="zh-CN"/>
        </w:rPr>
        <w:t>。</w:t>
      </w:r>
    </w:p>
    <w:p>
      <w:pPr>
        <w:pStyle w:val="50"/>
        <w:rPr>
          <w:rFonts w:hint="eastAsia"/>
          <w:lang w:eastAsia="zh-CN"/>
        </w:rPr>
      </w:pPr>
    </w:p>
    <w:tbl>
      <w:tblPr>
        <w:tblStyle w:val="51"/>
        <w:tblW w:w="835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9"/>
        <w:gridCol w:w="1560"/>
        <w:gridCol w:w="5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1560" w:type="dxa"/>
            <w:shd w:val="clear" w:color="auto" w:fill="auto"/>
            <w:vAlign w:val="center"/>
          </w:tcPr>
          <w:p>
            <w:pPr>
              <w:widowControl/>
              <w:ind w:left="0" w:leftChars="0" w:firstLine="0" w:firstLineChars="0"/>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总体框架及平台（业务中台）</w:t>
            </w:r>
          </w:p>
        </w:tc>
        <w:tc>
          <w:tcPr>
            <w:tcW w:w="5759" w:type="dxa"/>
            <w:shd w:val="clear" w:color="auto" w:fill="auto"/>
            <w:vAlign w:val="center"/>
          </w:tcPr>
          <w:p>
            <w:pPr>
              <w:widowControl/>
              <w:jc w:val="left"/>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基础框架、地图服务功能、浙政钉功能、组织机构管理、用户管理、权限管理、菜单管理、区域管理、字典管理、系统配置、日志管理、监控管理</w:t>
            </w:r>
            <w:r>
              <w:rPr>
                <w:rFonts w:hint="eastAsia" w:ascii="宋体" w:hAnsi="宋体" w:eastAsia="宋体" w:cs="宋体"/>
                <w:color w:val="000000"/>
                <w:kern w:val="0"/>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1560"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驾驶舱</w:t>
            </w:r>
          </w:p>
        </w:tc>
        <w:tc>
          <w:tcPr>
            <w:tcW w:w="5759"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支持电子地图、地图标注、图层控制、数据列表和数据图表展示等。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1560" w:type="dxa"/>
            <w:vMerge w:val="restart"/>
            <w:shd w:val="clear" w:color="auto" w:fill="auto"/>
            <w:vAlign w:val="center"/>
          </w:tcPr>
          <w:p>
            <w:pPr>
              <w:widowControl/>
              <w:ind w:left="0" w:leftChars="0" w:firstLine="0" w:firstLineChars="0"/>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数字路产管理</w:t>
            </w:r>
          </w:p>
        </w:tc>
        <w:tc>
          <w:tcPr>
            <w:tcW w:w="5759" w:type="dxa"/>
            <w:shd w:val="clear" w:color="auto" w:fill="auto"/>
            <w:vAlign w:val="center"/>
          </w:tcPr>
          <w:p>
            <w:pPr>
              <w:widowControl/>
              <w:jc w:val="left"/>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路产数据管理。路线管理、路段管理、桥梁管理、隧道管理、边坡管理、沿线设施管理</w:t>
            </w:r>
            <w:r>
              <w:rPr>
                <w:rFonts w:hint="eastAsia" w:ascii="宋体" w:hAnsi="宋体" w:eastAsia="宋体" w:cs="宋体"/>
                <w:color w:val="000000"/>
                <w:kern w:val="0"/>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4</w:t>
            </w:r>
          </w:p>
        </w:tc>
        <w:tc>
          <w:tcPr>
            <w:tcW w:w="1560" w:type="dxa"/>
            <w:vMerge w:val="continue"/>
            <w:vAlign w:val="center"/>
          </w:tcPr>
          <w:p>
            <w:pPr>
              <w:widowControl/>
              <w:jc w:val="left"/>
              <w:rPr>
                <w:rFonts w:hint="eastAsia" w:ascii="宋体" w:hAnsi="宋体" w:eastAsia="宋体" w:cs="宋体"/>
                <w:color w:val="000000"/>
                <w:kern w:val="0"/>
                <w:sz w:val="20"/>
                <w:szCs w:val="20"/>
              </w:rPr>
            </w:pPr>
          </w:p>
        </w:tc>
        <w:tc>
          <w:tcPr>
            <w:tcW w:w="5759" w:type="dxa"/>
            <w:shd w:val="clear" w:color="auto" w:fill="auto"/>
            <w:vAlign w:val="center"/>
          </w:tcPr>
          <w:p>
            <w:pPr>
              <w:widowControl/>
              <w:jc w:val="left"/>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技术状况评定数据管理。PCI数据管理、RQI数据管理、PQI数据管理、SCI数据管理、BCI数据管理、TCI数据管理、MQI数据管理</w:t>
            </w:r>
            <w:r>
              <w:rPr>
                <w:rFonts w:hint="eastAsia" w:ascii="宋体" w:hAnsi="宋体" w:eastAsia="宋体" w:cs="宋体"/>
                <w:color w:val="000000"/>
                <w:kern w:val="0"/>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5</w:t>
            </w:r>
          </w:p>
        </w:tc>
        <w:tc>
          <w:tcPr>
            <w:tcW w:w="1560" w:type="dxa"/>
            <w:vMerge w:val="restart"/>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示范在线</w:t>
            </w:r>
          </w:p>
        </w:tc>
        <w:tc>
          <w:tcPr>
            <w:tcW w:w="5759"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事务发布管理。示范创建、周期复核、督查复核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6</w:t>
            </w:r>
          </w:p>
        </w:tc>
        <w:tc>
          <w:tcPr>
            <w:tcW w:w="1560" w:type="dxa"/>
            <w:vMerge w:val="continue"/>
            <w:vAlign w:val="center"/>
          </w:tcPr>
          <w:p>
            <w:pPr>
              <w:widowControl/>
              <w:jc w:val="left"/>
              <w:rPr>
                <w:rFonts w:hint="eastAsia" w:ascii="宋体" w:hAnsi="宋体" w:eastAsia="宋体" w:cs="宋体"/>
                <w:color w:val="000000"/>
                <w:kern w:val="0"/>
                <w:sz w:val="20"/>
                <w:szCs w:val="20"/>
              </w:rPr>
            </w:pPr>
          </w:p>
        </w:tc>
        <w:tc>
          <w:tcPr>
            <w:tcW w:w="5759"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事务处理。数据填报、审核、评分、归档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7</w:t>
            </w:r>
          </w:p>
        </w:tc>
        <w:tc>
          <w:tcPr>
            <w:tcW w:w="1560" w:type="dxa"/>
            <w:vMerge w:val="continue"/>
            <w:vAlign w:val="center"/>
          </w:tcPr>
          <w:p>
            <w:pPr>
              <w:widowControl/>
              <w:jc w:val="left"/>
              <w:rPr>
                <w:rFonts w:hint="eastAsia" w:ascii="宋体" w:hAnsi="宋体" w:eastAsia="宋体" w:cs="宋体"/>
                <w:color w:val="000000"/>
                <w:kern w:val="0"/>
                <w:sz w:val="20"/>
                <w:szCs w:val="20"/>
              </w:rPr>
            </w:pPr>
          </w:p>
        </w:tc>
        <w:tc>
          <w:tcPr>
            <w:tcW w:w="5759"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数据汇总。填报数据、示范创建、待复核、督查记录。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8</w:t>
            </w:r>
          </w:p>
        </w:tc>
        <w:tc>
          <w:tcPr>
            <w:tcW w:w="1560" w:type="dxa"/>
            <w:vMerge w:val="restart"/>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数据治理</w:t>
            </w:r>
          </w:p>
        </w:tc>
        <w:tc>
          <w:tcPr>
            <w:tcW w:w="5759"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路线、路段信息整理、初始化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9</w:t>
            </w:r>
          </w:p>
        </w:tc>
        <w:tc>
          <w:tcPr>
            <w:tcW w:w="1560" w:type="dxa"/>
            <w:vMerge w:val="continue"/>
            <w:vAlign w:val="center"/>
          </w:tcPr>
          <w:p>
            <w:pPr>
              <w:widowControl/>
              <w:jc w:val="left"/>
              <w:rPr>
                <w:rFonts w:ascii="宋体" w:hAnsi="宋体" w:eastAsia="宋体" w:cs="宋体"/>
                <w:color w:val="000000"/>
                <w:kern w:val="0"/>
                <w:sz w:val="20"/>
                <w:szCs w:val="20"/>
              </w:rPr>
            </w:pPr>
          </w:p>
        </w:tc>
        <w:tc>
          <w:tcPr>
            <w:tcW w:w="5759"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公路网数据整理、初始化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10</w:t>
            </w:r>
          </w:p>
        </w:tc>
        <w:tc>
          <w:tcPr>
            <w:tcW w:w="1560" w:type="dxa"/>
            <w:vMerge w:val="continue"/>
            <w:vAlign w:val="center"/>
          </w:tcPr>
          <w:p>
            <w:pPr>
              <w:widowControl/>
              <w:jc w:val="left"/>
              <w:rPr>
                <w:rFonts w:ascii="宋体" w:hAnsi="宋体" w:eastAsia="宋体" w:cs="宋体"/>
                <w:color w:val="000000"/>
                <w:kern w:val="0"/>
                <w:sz w:val="20"/>
                <w:szCs w:val="20"/>
              </w:rPr>
            </w:pPr>
          </w:p>
        </w:tc>
        <w:tc>
          <w:tcPr>
            <w:tcW w:w="5759"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桥梁数据整理、初始化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11</w:t>
            </w:r>
          </w:p>
        </w:tc>
        <w:tc>
          <w:tcPr>
            <w:tcW w:w="1560" w:type="dxa"/>
            <w:vMerge w:val="continue"/>
            <w:vAlign w:val="center"/>
          </w:tcPr>
          <w:p>
            <w:pPr>
              <w:widowControl/>
              <w:jc w:val="left"/>
              <w:rPr>
                <w:rFonts w:ascii="宋体" w:hAnsi="宋体" w:eastAsia="宋体" w:cs="宋体"/>
                <w:color w:val="000000"/>
                <w:kern w:val="0"/>
                <w:sz w:val="20"/>
                <w:szCs w:val="20"/>
              </w:rPr>
            </w:pPr>
          </w:p>
        </w:tc>
        <w:tc>
          <w:tcPr>
            <w:tcW w:w="5759"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历史检测评定数据整理、初始化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1039" w:type="dxa"/>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12</w:t>
            </w:r>
          </w:p>
        </w:tc>
        <w:tc>
          <w:tcPr>
            <w:tcW w:w="1560" w:type="dxa"/>
            <w:vMerge w:val="continue"/>
            <w:vAlign w:val="center"/>
          </w:tcPr>
          <w:p>
            <w:pPr>
              <w:widowControl/>
              <w:jc w:val="left"/>
              <w:rPr>
                <w:rFonts w:ascii="宋体" w:hAnsi="宋体" w:eastAsia="宋体" w:cs="宋体"/>
                <w:color w:val="000000"/>
                <w:kern w:val="0"/>
                <w:sz w:val="20"/>
                <w:szCs w:val="20"/>
              </w:rPr>
            </w:pPr>
          </w:p>
        </w:tc>
        <w:tc>
          <w:tcPr>
            <w:tcW w:w="5759" w:type="dxa"/>
            <w:shd w:val="clear" w:color="auto" w:fill="auto"/>
            <w:vAlign w:val="center"/>
          </w:tcPr>
          <w:p>
            <w:pPr>
              <w:widowControl/>
              <w:jc w:val="left"/>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示范在线数据整理、初始化</w:t>
            </w:r>
          </w:p>
        </w:tc>
      </w:tr>
    </w:tbl>
    <w:p>
      <w:pPr>
        <w:pStyle w:val="50"/>
        <w:rPr>
          <w:rFonts w:hint="eastAsia"/>
          <w:lang w:val="en-US" w:eastAsia="zh-CN"/>
        </w:rPr>
      </w:pPr>
    </w:p>
    <w:p>
      <w:pPr>
        <w:wordWrap w:val="0"/>
        <w:adjustRightInd w:val="0"/>
        <w:snapToGrid w:val="0"/>
        <w:spacing w:line="360" w:lineRule="auto"/>
        <w:ind w:firstLine="368" w:firstLineChars="175"/>
        <w:rPr>
          <w:rFonts w:hint="eastAsia" w:asciiTheme="minorEastAsia" w:hAnsiTheme="minorEastAsia" w:eastAsiaTheme="minorEastAsia"/>
          <w:b/>
          <w:bCs/>
          <w:i w:val="0"/>
          <w:iCs w:val="0"/>
          <w:color w:val="000000" w:themeColor="text1"/>
          <w:szCs w:val="21"/>
        </w:rPr>
      </w:pPr>
      <w:r>
        <w:rPr>
          <w:rFonts w:hint="eastAsia" w:asciiTheme="minorEastAsia" w:hAnsiTheme="minorEastAsia" w:eastAsiaTheme="minorEastAsia"/>
          <w:b/>
          <w:bCs/>
          <w:i w:val="0"/>
          <w:iCs w:val="0"/>
          <w:color w:val="000000" w:themeColor="text1"/>
          <w:szCs w:val="21"/>
        </w:rPr>
        <w:t>（三）售后服务要求</w:t>
      </w:r>
      <w:bookmarkEnd w:id="15"/>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1.提供1年的免费质保服务（验收合格投入运行之日起算），质保服务期间，中标服务商需保证系统能够正常稳定地运行。对于发现的软件自身功能问题，中标服务商需提供支持、及时给予圆满解决；在远程维护无法解决问题的情况下，需派遣技术人员上门解决。</w:t>
      </w:r>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2.产品出现故障后，中标服务商需在1小时内响应，对于紧急情况当日解决问题；非紧急情况当日给出解决方案，3-</w:t>
      </w:r>
      <w:r>
        <w:rPr>
          <w:rFonts w:hint="eastAsia" w:cs="Times New Roman" w:asciiTheme="minorEastAsia" w:hAnsiTheme="minorEastAsia" w:eastAsiaTheme="minorEastAsia"/>
          <w:color w:val="000000" w:themeColor="text1"/>
          <w:szCs w:val="21"/>
          <w:highlight w:val="none"/>
          <w:lang w:val="en-US" w:eastAsia="zh-CN"/>
        </w:rPr>
        <w:t>5</w:t>
      </w:r>
      <w:r>
        <w:rPr>
          <w:rFonts w:hint="eastAsia" w:cs="Times New Roman" w:asciiTheme="minorEastAsia" w:hAnsiTheme="minorEastAsia" w:eastAsiaTheme="minorEastAsia"/>
          <w:color w:val="000000" w:themeColor="text1"/>
          <w:szCs w:val="21"/>
          <w:highlight w:val="none"/>
        </w:rPr>
        <w:t>天解决；主要功能的修改在</w:t>
      </w:r>
      <w:r>
        <w:rPr>
          <w:rFonts w:hint="eastAsia" w:cs="Times New Roman" w:asciiTheme="minorEastAsia" w:hAnsiTheme="minorEastAsia" w:eastAsiaTheme="minorEastAsia"/>
          <w:color w:val="000000" w:themeColor="text1"/>
          <w:szCs w:val="21"/>
          <w:highlight w:val="none"/>
          <w:lang w:val="en-US" w:eastAsia="zh-CN"/>
        </w:rPr>
        <w:t>1</w:t>
      </w:r>
      <w:r>
        <w:rPr>
          <w:rFonts w:hint="eastAsia" w:cs="Times New Roman" w:asciiTheme="minorEastAsia" w:hAnsiTheme="minorEastAsia" w:eastAsiaTheme="minorEastAsia"/>
          <w:color w:val="000000" w:themeColor="text1"/>
          <w:szCs w:val="21"/>
          <w:highlight w:val="none"/>
        </w:rPr>
        <w:t>周内完成。</w:t>
      </w:r>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3.免费</w:t>
      </w:r>
      <w:r>
        <w:rPr>
          <w:rFonts w:hint="eastAsia" w:cs="Times New Roman" w:asciiTheme="minorEastAsia" w:hAnsiTheme="minorEastAsia" w:eastAsiaTheme="minorEastAsia"/>
          <w:color w:val="000000" w:themeColor="text1"/>
          <w:szCs w:val="21"/>
          <w:highlight w:val="none"/>
          <w:lang w:val="en-US" w:eastAsia="zh-CN"/>
        </w:rPr>
        <w:t>质保</w:t>
      </w:r>
      <w:r>
        <w:rPr>
          <w:rFonts w:hint="eastAsia" w:cs="Times New Roman" w:asciiTheme="minorEastAsia" w:hAnsiTheme="minorEastAsia" w:eastAsiaTheme="minorEastAsia"/>
          <w:color w:val="000000" w:themeColor="text1"/>
          <w:szCs w:val="21"/>
          <w:highlight w:val="none"/>
        </w:rPr>
        <w:t>期内，中标服务商需按照合同规定的时间及时派遣技术人员上门提供现场的项目实施服务。</w:t>
      </w:r>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4.在项目实施过程中及售后服务期内，中标服务商需指定专人负责与采购人保持长期的联系与服务。</w:t>
      </w:r>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5.在项目上线运行后，将为用户提供用户操作手册等相关文档，提供系统管理密码。</w:t>
      </w:r>
    </w:p>
    <w:p>
      <w:pPr>
        <w:widowControl/>
        <w:jc w:val="left"/>
        <w:rPr>
          <w:rFonts w:hint="eastAsia" w:cs="Times New Roman" w:asciiTheme="minorEastAsia" w:hAnsiTheme="minorEastAsia" w:eastAsiaTheme="minorEastAsia"/>
          <w:color w:val="000000" w:themeColor="text1"/>
          <w:szCs w:val="21"/>
          <w:highlight w:val="none"/>
        </w:rPr>
      </w:pPr>
      <w:r>
        <w:rPr>
          <w:rFonts w:hint="eastAsia" w:cs="Times New Roman" w:asciiTheme="minorEastAsia" w:hAnsiTheme="minorEastAsia" w:eastAsiaTheme="minorEastAsia"/>
          <w:color w:val="000000" w:themeColor="text1"/>
          <w:szCs w:val="21"/>
          <w:highlight w:val="none"/>
        </w:rPr>
        <w:t>6.中标服务商需依据采购人的实际情况，制定切实可行的完整培训计划，以保证所建设的系统能够正常、安全、平稳地运行。要求通过培训使采购人的相关人员掌握系统的使用、维护和管理方法，达到能独立进行系统管理、故障处理、日常测试和维护等工作的目的。</w:t>
      </w:r>
    </w:p>
    <w:p>
      <w:pPr>
        <w:wordWrap w:val="0"/>
        <w:adjustRightInd w:val="0"/>
        <w:snapToGrid w:val="0"/>
        <w:spacing w:line="360" w:lineRule="auto"/>
        <w:ind w:firstLine="368" w:firstLineChars="175"/>
        <w:rPr>
          <w:rFonts w:hint="eastAsia" w:asciiTheme="minorEastAsia" w:hAnsiTheme="minorEastAsia" w:eastAsiaTheme="minorEastAsia"/>
          <w:b/>
          <w:bCs/>
          <w:i w:val="0"/>
          <w:iCs w:val="0"/>
          <w:color w:val="000000" w:themeColor="text1"/>
          <w:szCs w:val="21"/>
          <w:highlight w:val="none"/>
          <w:lang w:eastAsia="zh-CN"/>
        </w:rPr>
      </w:pPr>
      <w:r>
        <w:rPr>
          <w:rFonts w:hint="eastAsia" w:asciiTheme="minorEastAsia" w:hAnsiTheme="minorEastAsia" w:eastAsiaTheme="minorEastAsia"/>
          <w:b/>
          <w:bCs/>
          <w:i w:val="0"/>
          <w:iCs w:val="0"/>
          <w:color w:val="000000" w:themeColor="text1"/>
          <w:szCs w:val="21"/>
          <w:highlight w:val="none"/>
        </w:rPr>
        <w:t>（</w:t>
      </w:r>
      <w:r>
        <w:rPr>
          <w:rFonts w:hint="eastAsia" w:asciiTheme="minorEastAsia" w:hAnsiTheme="minorEastAsia" w:eastAsiaTheme="minorEastAsia"/>
          <w:b/>
          <w:bCs/>
          <w:i w:val="0"/>
          <w:iCs w:val="0"/>
          <w:color w:val="000000" w:themeColor="text1"/>
          <w:szCs w:val="21"/>
          <w:highlight w:val="none"/>
          <w:lang w:val="en-US" w:eastAsia="zh-CN"/>
        </w:rPr>
        <w:t>四</w:t>
      </w:r>
      <w:r>
        <w:rPr>
          <w:rFonts w:hint="eastAsia" w:asciiTheme="minorEastAsia" w:hAnsiTheme="minorEastAsia" w:eastAsiaTheme="minorEastAsia"/>
          <w:b/>
          <w:bCs/>
          <w:i w:val="0"/>
          <w:iCs w:val="0"/>
          <w:color w:val="000000" w:themeColor="text1"/>
          <w:szCs w:val="21"/>
          <w:highlight w:val="none"/>
        </w:rPr>
        <w:t>）服务期限：4个月</w:t>
      </w:r>
      <w:r>
        <w:rPr>
          <w:rFonts w:hint="eastAsia" w:asciiTheme="minorEastAsia" w:hAnsiTheme="minorEastAsia" w:eastAsiaTheme="minorEastAsia"/>
          <w:b/>
          <w:bCs/>
          <w:i w:val="0"/>
          <w:iCs w:val="0"/>
          <w:color w:val="000000" w:themeColor="text1"/>
          <w:szCs w:val="21"/>
          <w:highlight w:val="none"/>
          <w:lang w:eastAsia="zh-CN"/>
        </w:rPr>
        <w:t>（</w:t>
      </w:r>
      <w:r>
        <w:rPr>
          <w:rFonts w:hint="eastAsia" w:asciiTheme="minorEastAsia" w:hAnsiTheme="minorEastAsia" w:eastAsiaTheme="minorEastAsia"/>
          <w:b/>
          <w:bCs/>
          <w:i w:val="0"/>
          <w:iCs w:val="0"/>
          <w:color w:val="000000" w:themeColor="text1"/>
          <w:szCs w:val="21"/>
          <w:highlight w:val="none"/>
          <w:lang w:val="en-US" w:eastAsia="zh-CN"/>
        </w:rPr>
        <w:t>自合同签订之日起至项目交付验收</w:t>
      </w:r>
      <w:r>
        <w:rPr>
          <w:rFonts w:hint="eastAsia" w:asciiTheme="minorEastAsia" w:hAnsiTheme="minorEastAsia" w:eastAsiaTheme="minorEastAsia"/>
          <w:b/>
          <w:bCs/>
          <w:i w:val="0"/>
          <w:iCs w:val="0"/>
          <w:color w:val="000000" w:themeColor="text1"/>
          <w:szCs w:val="21"/>
          <w:highlight w:val="none"/>
          <w:lang w:eastAsia="zh-CN"/>
        </w:rPr>
        <w:t>）</w:t>
      </w:r>
    </w:p>
    <w:p>
      <w:pPr>
        <w:pStyle w:val="6"/>
        <w:rPr>
          <w:rFonts w:hint="eastAsia"/>
        </w:rPr>
      </w:pPr>
    </w:p>
    <w:p>
      <w:pPr>
        <w:numPr>
          <w:ilvl w:val="0"/>
          <w:numId w:val="8"/>
        </w:numPr>
        <w:wordWrap w:val="0"/>
        <w:adjustRightInd w:val="0"/>
        <w:snapToGrid w:val="0"/>
        <w:spacing w:line="360" w:lineRule="auto"/>
        <w:ind w:firstLine="368" w:firstLineChars="175"/>
        <w:rPr>
          <w:rFonts w:hint="eastAsia" w:asciiTheme="minorEastAsia" w:hAnsiTheme="minorEastAsia" w:eastAsiaTheme="minorEastAsia"/>
          <w:b/>
          <w:bCs/>
          <w:i w:val="0"/>
          <w:iCs w:val="0"/>
          <w:color w:val="000000" w:themeColor="text1"/>
          <w:szCs w:val="21"/>
        </w:rPr>
      </w:pPr>
      <w:r>
        <w:rPr>
          <w:rFonts w:hint="eastAsia" w:asciiTheme="minorEastAsia" w:hAnsiTheme="minorEastAsia" w:eastAsiaTheme="minorEastAsia"/>
          <w:b/>
          <w:bCs/>
          <w:i w:val="0"/>
          <w:iCs w:val="0"/>
          <w:color w:val="000000" w:themeColor="text1"/>
          <w:szCs w:val="21"/>
        </w:rPr>
        <w:t>付款方式</w:t>
      </w:r>
    </w:p>
    <w:p>
      <w:pPr>
        <w:widowControl/>
        <w:jc w:val="left"/>
        <w:rPr>
          <w:rFonts w:asciiTheme="majorEastAsia" w:hAnsiTheme="majorEastAsia" w:eastAsiaTheme="majorEastAsia"/>
          <w:b/>
          <w:color w:val="000000" w:themeColor="text1"/>
          <w:sz w:val="28"/>
          <w:szCs w:val="28"/>
        </w:rPr>
      </w:pPr>
      <w:r>
        <w:rPr>
          <w:rFonts w:hint="eastAsia" w:cs="Times New Roman" w:asciiTheme="minorEastAsia" w:hAnsiTheme="minorEastAsia" w:eastAsiaTheme="minorEastAsia"/>
          <w:color w:val="000000" w:themeColor="text1"/>
          <w:szCs w:val="21"/>
        </w:rPr>
        <w:t>项目合同签订后5个工作日内支付项目合同金额</w:t>
      </w:r>
      <w:r>
        <w:rPr>
          <w:rFonts w:hint="eastAsia" w:cs="Times New Roman" w:asciiTheme="minorEastAsia" w:hAnsiTheme="minorEastAsia" w:eastAsiaTheme="minorEastAsia"/>
          <w:color w:val="000000" w:themeColor="text1"/>
          <w:szCs w:val="21"/>
          <w:lang w:val="en-US" w:eastAsia="zh-CN"/>
        </w:rPr>
        <w:t>40</w:t>
      </w:r>
      <w:r>
        <w:rPr>
          <w:rFonts w:hint="eastAsia" w:cs="Times New Roman" w:asciiTheme="minorEastAsia" w:hAnsiTheme="minorEastAsia" w:eastAsiaTheme="minorEastAsia"/>
          <w:color w:val="000000" w:themeColor="text1"/>
          <w:szCs w:val="21"/>
        </w:rPr>
        <w:t>%的费用</w:t>
      </w:r>
      <w:r>
        <w:rPr>
          <w:rFonts w:hint="eastAsia" w:cs="Times New Roman" w:asciiTheme="minorEastAsia" w:hAnsiTheme="minorEastAsia" w:eastAsiaTheme="minorEastAsia"/>
          <w:color w:val="000000" w:themeColor="text1"/>
          <w:szCs w:val="21"/>
          <w:lang w:eastAsia="zh-CN"/>
        </w:rPr>
        <w:t>；</w:t>
      </w:r>
      <w:r>
        <w:rPr>
          <w:rFonts w:hint="eastAsia" w:cs="Times New Roman" w:asciiTheme="minorEastAsia" w:hAnsiTheme="minorEastAsia" w:eastAsiaTheme="minorEastAsia"/>
          <w:color w:val="000000" w:themeColor="text1"/>
          <w:szCs w:val="21"/>
        </w:rPr>
        <w:t>经验收合格后支付剩余合同金额</w:t>
      </w:r>
      <w:r>
        <w:rPr>
          <w:rFonts w:hint="eastAsia" w:cs="Times New Roman" w:asciiTheme="minorEastAsia" w:hAnsiTheme="minorEastAsia" w:eastAsiaTheme="minorEastAsia"/>
          <w:color w:val="000000" w:themeColor="text1"/>
          <w:szCs w:val="21"/>
          <w:lang w:val="en-US" w:eastAsia="zh-CN"/>
        </w:rPr>
        <w:t>6</w:t>
      </w:r>
      <w:r>
        <w:rPr>
          <w:rFonts w:hint="eastAsia" w:cs="Times New Roman" w:asciiTheme="minorEastAsia" w:hAnsiTheme="minorEastAsia" w:eastAsiaTheme="minorEastAsia"/>
          <w:color w:val="000000" w:themeColor="text1"/>
          <w:szCs w:val="21"/>
        </w:rPr>
        <w:t>0%的费用。</w:t>
      </w:r>
      <w:r>
        <w:rPr>
          <w:highlight w:val="none"/>
        </w:rPr>
        <w:br w:type="page"/>
      </w:r>
    </w:p>
    <w:p>
      <w:pPr>
        <w:ind w:firstLine="420"/>
        <w:rPr>
          <w:highlight w:val="none"/>
        </w:rPr>
      </w:pPr>
    </w:p>
    <w:p>
      <w:pPr>
        <w:pStyle w:val="5"/>
        <w:numPr>
          <w:ilvl w:val="0"/>
          <w:numId w:val="0"/>
        </w:numPr>
        <w:rPr>
          <w:rStyle w:val="157"/>
          <w:b/>
          <w:bCs/>
          <w:highlight w:val="none"/>
        </w:rPr>
      </w:pPr>
      <w:r>
        <w:rPr>
          <w:rStyle w:val="157"/>
          <w:rFonts w:hint="eastAsia"/>
          <w:b/>
          <w:bCs/>
          <w:highlight w:val="none"/>
        </w:rPr>
        <w:t>投标人须知</w:t>
      </w:r>
      <w:bookmarkEnd w:id="9"/>
      <w:bookmarkEnd w:id="12"/>
      <w:bookmarkEnd w:id="13"/>
    </w:p>
    <w:p>
      <w:pPr>
        <w:pStyle w:val="6"/>
        <w:ind w:firstLine="420"/>
        <w:jc w:val="center"/>
        <w:rPr>
          <w:highlight w:val="none"/>
        </w:rPr>
      </w:pPr>
      <w:bookmarkStart w:id="16" w:name="_Toc493511543"/>
      <w:bookmarkStart w:id="17" w:name="_Toc177870535"/>
      <w:r>
        <w:rPr>
          <w:rFonts w:hint="eastAsia"/>
          <w:highlight w:val="none"/>
        </w:rPr>
        <w:t>电子交易注意事项</w:t>
      </w:r>
    </w:p>
    <w:p>
      <w:pPr>
        <w:spacing w:line="560" w:lineRule="exact"/>
        <w:ind w:firstLine="210" w:firstLineChars="100"/>
        <w:rPr>
          <w:rFonts w:ascii="微软雅黑" w:hAnsi="微软雅黑" w:cs="宋体"/>
          <w:szCs w:val="21"/>
          <w:highlight w:val="none"/>
          <w:shd w:val="clear" w:color="auto" w:fill="FFFFFF"/>
        </w:rPr>
      </w:pPr>
      <w:r>
        <w:rPr>
          <w:rFonts w:hint="eastAsia" w:ascii="微软雅黑" w:hAnsi="微软雅黑" w:cs="宋体"/>
          <w:szCs w:val="21"/>
          <w:highlight w:val="none"/>
          <w:shd w:val="clear" w:color="auto" w:fill="FFFFFF"/>
        </w:rPr>
        <w:t>　政府采购项目电子交易活动适用《浙江省政府采购项目电子交易管理暂行办法》，现将相关注意事项告知如下：</w:t>
      </w:r>
    </w:p>
    <w:p>
      <w:pPr>
        <w:spacing w:line="560" w:lineRule="exact"/>
        <w:ind w:firstLine="210" w:firstLineChars="100"/>
        <w:rPr>
          <w:rFonts w:ascii="微软雅黑" w:hAnsi="微软雅黑" w:cs="宋体"/>
          <w:szCs w:val="21"/>
          <w:highlight w:val="none"/>
        </w:rPr>
      </w:pPr>
      <w:r>
        <w:rPr>
          <w:rFonts w:hint="eastAsia" w:ascii="微软雅黑" w:hAnsi="微软雅黑" w:cs="宋体"/>
          <w:szCs w:val="21"/>
          <w:highlight w:val="none"/>
        </w:rPr>
        <w:t>　1、代理机构按照招标文件规定的时间通过电子交易平台组织开标、开启投标文件，所有供应商均应当准时在线参加，直至评审结束。</w:t>
      </w:r>
    </w:p>
    <w:p>
      <w:pPr>
        <w:pStyle w:val="46"/>
        <w:spacing w:before="0" w:beforeAutospacing="0" w:after="0" w:afterAutospacing="0" w:line="560" w:lineRule="exact"/>
        <w:ind w:firstLine="210" w:firstLineChars="100"/>
        <w:rPr>
          <w:rFonts w:ascii="微软雅黑" w:hAnsi="微软雅黑"/>
          <w:kern w:val="2"/>
          <w:sz w:val="21"/>
          <w:szCs w:val="21"/>
          <w:highlight w:val="none"/>
        </w:rPr>
      </w:pPr>
      <w:r>
        <w:rPr>
          <w:rFonts w:hint="eastAsia" w:ascii="微软雅黑" w:hAnsi="微软雅黑"/>
          <w:kern w:val="2"/>
          <w:sz w:val="21"/>
          <w:szCs w:val="21"/>
          <w:highlight w:val="none"/>
        </w:rPr>
        <w:t>　2、投标文件未按时解密，供应商如提供备份投标文件的，以符合要求的备份投标文件作为依据，否则视为投标文件撤回。投标文件已按时解密的，备份投标文件自动失效。</w:t>
      </w:r>
    </w:p>
    <w:p>
      <w:pPr>
        <w:pStyle w:val="46"/>
        <w:spacing w:before="0" w:beforeAutospacing="0" w:after="0" w:afterAutospacing="0" w:line="560" w:lineRule="exact"/>
        <w:ind w:firstLine="210" w:firstLineChars="100"/>
        <w:rPr>
          <w:rFonts w:ascii="微软雅黑" w:hAnsi="微软雅黑"/>
          <w:kern w:val="2"/>
          <w:sz w:val="21"/>
          <w:szCs w:val="21"/>
          <w:highlight w:val="none"/>
        </w:rPr>
      </w:pPr>
      <w:r>
        <w:rPr>
          <w:rFonts w:hint="eastAsia" w:ascii="微软雅黑" w:hAnsi="微软雅黑"/>
          <w:kern w:val="2"/>
          <w:sz w:val="21"/>
          <w:szCs w:val="21"/>
          <w:highlight w:val="none"/>
        </w:rPr>
        <w:t>　3、采购过程中出现以下情形，导致电子交易平台无法正常运行，或者无法保证电子交易的公平、公正和安全时，代理机构可中止电子交易活动：</w:t>
      </w:r>
    </w:p>
    <w:p>
      <w:pPr>
        <w:pStyle w:val="46"/>
        <w:spacing w:before="0" w:beforeAutospacing="0" w:after="0" w:afterAutospacing="0" w:line="560" w:lineRule="exact"/>
        <w:ind w:firstLine="420"/>
        <w:rPr>
          <w:rFonts w:ascii="微软雅黑" w:hAnsi="微软雅黑"/>
          <w:kern w:val="2"/>
          <w:sz w:val="21"/>
          <w:szCs w:val="21"/>
          <w:highlight w:val="none"/>
        </w:rPr>
      </w:pPr>
      <w:r>
        <w:rPr>
          <w:rFonts w:hint="eastAsia" w:ascii="微软雅黑" w:hAnsi="微软雅黑"/>
          <w:kern w:val="2"/>
          <w:sz w:val="21"/>
          <w:szCs w:val="21"/>
          <w:highlight w:val="none"/>
        </w:rPr>
        <w:t>（一）电子交易平台发生故障而无法登录访问的； </w:t>
      </w:r>
    </w:p>
    <w:p>
      <w:pPr>
        <w:pStyle w:val="46"/>
        <w:spacing w:before="0" w:beforeAutospacing="0" w:after="0" w:afterAutospacing="0" w:line="560" w:lineRule="exact"/>
        <w:ind w:firstLine="420"/>
        <w:rPr>
          <w:rFonts w:ascii="微软雅黑" w:hAnsi="微软雅黑"/>
          <w:kern w:val="2"/>
          <w:sz w:val="21"/>
          <w:szCs w:val="21"/>
          <w:highlight w:val="none"/>
        </w:rPr>
      </w:pPr>
      <w:r>
        <w:rPr>
          <w:rFonts w:hint="eastAsia" w:ascii="微软雅黑" w:hAnsi="微软雅黑"/>
          <w:kern w:val="2"/>
          <w:sz w:val="21"/>
          <w:szCs w:val="21"/>
          <w:highlight w:val="none"/>
        </w:rPr>
        <w:t>（二）电子交易平台应用或数据库出现错误，不能进行正常操作的；</w:t>
      </w:r>
    </w:p>
    <w:p>
      <w:pPr>
        <w:pStyle w:val="46"/>
        <w:spacing w:before="0" w:beforeAutospacing="0" w:after="0" w:afterAutospacing="0" w:line="560" w:lineRule="exact"/>
        <w:ind w:firstLine="420"/>
        <w:rPr>
          <w:rFonts w:ascii="微软雅黑" w:hAnsi="微软雅黑"/>
          <w:kern w:val="2"/>
          <w:sz w:val="21"/>
          <w:szCs w:val="21"/>
          <w:highlight w:val="none"/>
        </w:rPr>
      </w:pPr>
      <w:r>
        <w:rPr>
          <w:rFonts w:hint="eastAsia" w:ascii="微软雅黑" w:hAnsi="微软雅黑"/>
          <w:kern w:val="2"/>
          <w:sz w:val="21"/>
          <w:szCs w:val="21"/>
          <w:highlight w:val="none"/>
        </w:rPr>
        <w:t>（三）电子交易平台发现严重安全漏洞，有潜在泄密危险的；</w:t>
      </w:r>
    </w:p>
    <w:p>
      <w:pPr>
        <w:pStyle w:val="46"/>
        <w:spacing w:before="0" w:beforeAutospacing="0" w:after="0" w:afterAutospacing="0" w:line="560" w:lineRule="exact"/>
        <w:ind w:firstLine="420"/>
        <w:rPr>
          <w:rFonts w:ascii="微软雅黑" w:hAnsi="微软雅黑"/>
          <w:kern w:val="2"/>
          <w:sz w:val="21"/>
          <w:szCs w:val="21"/>
          <w:highlight w:val="none"/>
        </w:rPr>
      </w:pPr>
      <w:r>
        <w:rPr>
          <w:rFonts w:hint="eastAsia" w:ascii="微软雅黑" w:hAnsi="微软雅黑"/>
          <w:kern w:val="2"/>
          <w:sz w:val="21"/>
          <w:szCs w:val="21"/>
          <w:highlight w:val="none"/>
        </w:rPr>
        <w:t>（四）病毒发作导致不能进行正常操作的； </w:t>
      </w:r>
    </w:p>
    <w:p>
      <w:pPr>
        <w:pStyle w:val="46"/>
        <w:spacing w:before="0" w:beforeAutospacing="0" w:after="0" w:afterAutospacing="0" w:line="560" w:lineRule="exact"/>
        <w:ind w:firstLine="420"/>
        <w:rPr>
          <w:rFonts w:ascii="微软雅黑" w:hAnsi="微软雅黑"/>
          <w:kern w:val="2"/>
          <w:sz w:val="21"/>
          <w:szCs w:val="21"/>
          <w:highlight w:val="none"/>
        </w:rPr>
      </w:pPr>
      <w:r>
        <w:rPr>
          <w:rFonts w:hint="eastAsia" w:ascii="微软雅黑" w:hAnsi="微软雅黑"/>
          <w:kern w:val="2"/>
          <w:sz w:val="21"/>
          <w:szCs w:val="21"/>
          <w:highlight w:val="none"/>
        </w:rPr>
        <w:t>（五）其他无法保证电子交易的公平、公正和安全的情况。</w:t>
      </w:r>
    </w:p>
    <w:p>
      <w:pPr>
        <w:pStyle w:val="46"/>
        <w:spacing w:before="0" w:beforeAutospacing="0" w:after="0" w:afterAutospacing="0" w:line="560" w:lineRule="exact"/>
        <w:ind w:firstLine="420"/>
        <w:rPr>
          <w:rFonts w:ascii="微软雅黑" w:hAnsi="微软雅黑"/>
          <w:kern w:val="2"/>
          <w:sz w:val="21"/>
          <w:szCs w:val="21"/>
          <w:highlight w:val="none"/>
        </w:rPr>
      </w:pPr>
      <w:r>
        <w:rPr>
          <w:rFonts w:hint="eastAsia" w:ascii="微软雅黑" w:hAnsi="微软雅黑"/>
          <w:kern w:val="2"/>
          <w:sz w:val="21"/>
          <w:szCs w:val="21"/>
          <w:highlight w:val="none"/>
        </w:rPr>
        <w:t>出现前款规定情形，不影响采购公平、公正性的，代理机构可以待上述情形消除后继续组织电子交易活动，也可以决定某些环节以纸质形式进行；影响或可能影响采购公平、公正性的，应当重新采购。</w:t>
      </w:r>
    </w:p>
    <w:p>
      <w:pPr>
        <w:pStyle w:val="46"/>
        <w:spacing w:before="0" w:beforeAutospacing="0" w:after="0" w:afterAutospacing="0" w:line="560" w:lineRule="exact"/>
        <w:ind w:firstLine="420"/>
        <w:rPr>
          <w:rFonts w:ascii="微软雅黑" w:hAnsi="微软雅黑"/>
          <w:sz w:val="21"/>
          <w:szCs w:val="21"/>
          <w:highlight w:val="none"/>
          <w:shd w:val="clear" w:color="auto" w:fill="FFFFFF"/>
        </w:rPr>
      </w:pPr>
      <w:r>
        <w:rPr>
          <w:rFonts w:hint="eastAsia" w:ascii="微软雅黑" w:hAnsi="微软雅黑"/>
          <w:sz w:val="21"/>
          <w:szCs w:val="21"/>
          <w:highlight w:val="none"/>
          <w:shd w:val="clear" w:color="auto" w:fill="FFFFFF"/>
        </w:rPr>
        <w:t>4、评审中需要供应商对投标文件作出澄清、说明或者补正的，评审小组和供应商应当通过电子交易平台交换数据电文。供应商需在半小时内提交澄清说明或补正，供应商已经明确表示澄清说明或补正完毕的除外。</w:t>
      </w:r>
    </w:p>
    <w:p>
      <w:pPr>
        <w:rPr>
          <w:rFonts w:hint="eastAsia" w:ascii="微软雅黑" w:hAnsi="微软雅黑"/>
          <w:b/>
          <w:szCs w:val="21"/>
          <w:highlight w:val="none"/>
        </w:rPr>
      </w:pPr>
      <w:r>
        <w:rPr>
          <w:rFonts w:hint="eastAsia" w:ascii="微软雅黑" w:hAnsi="微软雅黑"/>
          <w:b/>
          <w:szCs w:val="21"/>
          <w:highlight w:val="none"/>
        </w:rPr>
        <w:br w:type="page"/>
      </w:r>
    </w:p>
    <w:p>
      <w:pPr>
        <w:ind w:left="238" w:firstLine="420"/>
        <w:jc w:val="center"/>
        <w:outlineLvl w:val="1"/>
        <w:rPr>
          <w:rFonts w:ascii="微软雅黑" w:hAnsi="微软雅黑"/>
          <w:b/>
          <w:szCs w:val="21"/>
          <w:highlight w:val="none"/>
        </w:rPr>
      </w:pPr>
      <w:r>
        <w:rPr>
          <w:rFonts w:hint="eastAsia" w:ascii="微软雅黑" w:hAnsi="微软雅黑"/>
          <w:b/>
          <w:szCs w:val="21"/>
          <w:highlight w:val="none"/>
        </w:rPr>
        <w:t>前附表</w:t>
      </w:r>
      <w:bookmarkEnd w:id="16"/>
      <w:bookmarkEnd w:id="17"/>
    </w:p>
    <w:tbl>
      <w:tblPr>
        <w:tblStyle w:val="51"/>
        <w:tblW w:w="928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36"/>
        <w:gridCol w:w="865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8"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序号</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420"/>
              <w:rPr>
                <w:rFonts w:ascii="微软雅黑" w:hAnsi="微软雅黑" w:cs="微软雅黑"/>
                <w:szCs w:val="21"/>
                <w:highlight w:val="none"/>
              </w:rPr>
            </w:pPr>
            <w:r>
              <w:rPr>
                <w:rFonts w:hint="eastAsia" w:ascii="微软雅黑" w:hAnsi="微软雅黑" w:cs="微软雅黑"/>
                <w:szCs w:val="21"/>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7"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1</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left="1050" w:hanging="1050" w:hangingChars="500"/>
              <w:rPr>
                <w:rFonts w:hint="eastAsia" w:ascii="微软雅黑" w:hAnsi="微软雅黑" w:eastAsia="微软雅黑" w:cs="微软雅黑"/>
                <w:szCs w:val="21"/>
                <w:highlight w:val="none"/>
                <w:lang w:eastAsia="zh-CN"/>
              </w:rPr>
            </w:pPr>
            <w:r>
              <w:rPr>
                <w:rFonts w:hint="eastAsia" w:ascii="微软雅黑" w:hAnsi="微软雅黑" w:cs="微软雅黑"/>
                <w:szCs w:val="21"/>
                <w:highlight w:val="none"/>
              </w:rPr>
              <w:t>项目名称：</w:t>
            </w:r>
            <w:r>
              <w:rPr>
                <w:rFonts w:hint="eastAsia" w:ascii="微软雅黑" w:hAnsi="微软雅黑" w:cs="微软雅黑"/>
                <w:b/>
                <w:bCs/>
                <w:szCs w:val="21"/>
                <w:highlight w:val="none"/>
                <w:lang w:eastAsia="zh-CN"/>
              </w:rPr>
              <w:t>数字农村路 2.0 版示范创建应用项目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2</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hint="eastAsia" w:ascii="微软雅黑" w:hAnsi="微软雅黑" w:eastAsia="微软雅黑" w:cs="微软雅黑"/>
                <w:szCs w:val="21"/>
                <w:highlight w:val="none"/>
                <w:lang w:eastAsia="zh-CN"/>
              </w:rPr>
            </w:pPr>
            <w:r>
              <w:rPr>
                <w:rFonts w:hint="eastAsia" w:ascii="微软雅黑" w:hAnsi="微软雅黑" w:cs="微软雅黑"/>
                <w:szCs w:val="21"/>
                <w:highlight w:val="none"/>
              </w:rPr>
              <w:t>招标编号：</w:t>
            </w:r>
            <w:r>
              <w:rPr>
                <w:rFonts w:hint="eastAsia" w:ascii="微软雅黑" w:hAnsi="微软雅黑" w:cs="微软雅黑"/>
                <w:szCs w:val="21"/>
                <w:highlight w:val="none"/>
                <w:lang w:eastAsia="zh-CN"/>
              </w:rPr>
              <w:t>中际-ZJZJGC（2022）嘉33号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3"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3</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投标报价及费用：1、本项目投标应以人民币报价；2、不论投标结果如何，投标人均应自行承担所有与投标有关的全部费用。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4</w:t>
            </w:r>
          </w:p>
        </w:tc>
        <w:tc>
          <w:tcPr>
            <w:tcW w:w="8652" w:type="dxa"/>
            <w:tcBorders>
              <w:top w:val="single" w:color="auto" w:sz="4" w:space="0"/>
              <w:left w:val="single" w:color="auto" w:sz="4" w:space="0"/>
              <w:bottom w:val="single" w:color="auto" w:sz="4" w:space="0"/>
              <w:right w:val="single" w:color="auto" w:sz="4" w:space="0"/>
            </w:tcBorders>
            <w:vAlign w:val="center"/>
          </w:tcPr>
          <w:p>
            <w:pPr>
              <w:pStyle w:val="73"/>
              <w:spacing w:line="500" w:lineRule="exact"/>
              <w:ind w:firstLine="0" w:firstLineChars="0"/>
              <w:rPr>
                <w:rFonts w:ascii="微软雅黑" w:hAnsi="微软雅黑" w:cs="微软雅黑"/>
                <w:sz w:val="21"/>
                <w:szCs w:val="21"/>
                <w:highlight w:val="none"/>
              </w:rPr>
            </w:pPr>
            <w:r>
              <w:rPr>
                <w:rFonts w:hint="eastAsia" w:ascii="微软雅黑" w:hAnsi="微软雅黑" w:cs="微软雅黑"/>
                <w:sz w:val="21"/>
                <w:szCs w:val="21"/>
                <w:highlight w:val="none"/>
              </w:rPr>
              <w:t>预算金额： 人民币</w:t>
            </w:r>
            <w:r>
              <w:rPr>
                <w:rFonts w:hint="eastAsia" w:ascii="微软雅黑" w:hAnsi="微软雅黑" w:cs="微软雅黑"/>
                <w:sz w:val="21"/>
                <w:szCs w:val="21"/>
                <w:highlight w:val="none"/>
                <w:lang w:eastAsia="zh-CN"/>
              </w:rPr>
              <w:t>880000.00</w:t>
            </w:r>
            <w:r>
              <w:rPr>
                <w:rFonts w:hint="eastAsia" w:ascii="微软雅黑" w:hAnsi="微软雅黑" w:cs="微软雅黑"/>
                <w:sz w:val="21"/>
                <w:szCs w:val="21"/>
                <w:highlight w:val="none"/>
              </w:rPr>
              <w:t>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5</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投标保证金：无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6</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现场踏勘：自行踏勘（费用自理）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b/>
                <w:bCs/>
                <w:szCs w:val="21"/>
                <w:highlight w:val="none"/>
              </w:rPr>
            </w:pPr>
            <w:r>
              <w:rPr>
                <w:rFonts w:hint="eastAsia" w:ascii="微软雅黑" w:hAnsi="微软雅黑" w:cs="微软雅黑"/>
                <w:b/>
                <w:bCs/>
                <w:szCs w:val="21"/>
                <w:highlight w:val="none"/>
              </w:rPr>
              <w:t>7</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b/>
                <w:bCs/>
                <w:szCs w:val="21"/>
                <w:highlight w:val="none"/>
              </w:rPr>
            </w:pPr>
            <w:r>
              <w:rPr>
                <w:rFonts w:hint="eastAsia" w:ascii="微软雅黑" w:hAnsi="微软雅黑" w:cs="微软雅黑"/>
                <w:b/>
                <w:bCs/>
                <w:szCs w:val="21"/>
                <w:highlight w:val="none"/>
              </w:rPr>
              <w:t>演示：</w:t>
            </w:r>
            <w:r>
              <w:rPr>
                <w:rFonts w:hint="eastAsia" w:ascii="微软雅黑" w:hAnsi="微软雅黑" w:eastAsia="微软雅黑"/>
                <w:b/>
                <w:bCs/>
                <w:color w:val="000000"/>
                <w:kern w:val="2"/>
                <w:szCs w:val="21"/>
              </w:rPr>
              <w:t>视频演示（时间5-8分钟），提供U盘。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8</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 xml:space="preserve">答疑与澄清：按（本章节 二、招标文件  </w:t>
            </w:r>
            <w:r>
              <w:rPr>
                <w:rFonts w:hint="eastAsia" w:ascii="微软雅黑" w:hAnsi="微软雅黑" w:cs="微软雅黑"/>
                <w:b/>
                <w:szCs w:val="21"/>
                <w:highlight w:val="none"/>
              </w:rPr>
              <w:t>（三）招标文件的澄清与修改）执行。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9</w:t>
            </w:r>
          </w:p>
        </w:tc>
        <w:tc>
          <w:tcPr>
            <w:tcW w:w="865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500" w:lineRule="exact"/>
              <w:ind w:firstLine="0" w:firstLineChars="0"/>
              <w:textAlignment w:val="bottom"/>
              <w:rPr>
                <w:rFonts w:ascii="微软雅黑" w:hAnsi="微软雅黑" w:cs="微软雅黑"/>
                <w:szCs w:val="21"/>
                <w:highlight w:val="none"/>
              </w:rPr>
            </w:pPr>
            <w:r>
              <w:rPr>
                <w:rFonts w:hint="eastAsia" w:ascii="微软雅黑" w:hAnsi="微软雅黑" w:cs="微软雅黑"/>
                <w:szCs w:val="21"/>
                <w:highlight w:val="none"/>
              </w:rPr>
              <w:t>投标文件组成：</w:t>
            </w:r>
            <w:r>
              <w:rPr>
                <w:rFonts w:hint="eastAsia" w:ascii="微软雅黑" w:hAnsi="微软雅黑" w:cs="微软雅黑"/>
                <w:bCs/>
                <w:szCs w:val="21"/>
                <w:highlight w:val="none"/>
              </w:rPr>
              <w:t>完整的《投标文件》由</w:t>
            </w:r>
            <w:r>
              <w:rPr>
                <w:rFonts w:hint="eastAsia" w:ascii="微软雅黑" w:hAnsi="微软雅黑" w:cs="微软雅黑"/>
                <w:b/>
                <w:szCs w:val="21"/>
                <w:highlight w:val="none"/>
              </w:rPr>
              <w:t>资格响应文件、商务技术文件、报价文件三</w:t>
            </w:r>
            <w:r>
              <w:rPr>
                <w:rFonts w:hint="eastAsia" w:ascii="微软雅黑" w:hAnsi="微软雅黑" w:cs="微软雅黑"/>
                <w:b/>
                <w:szCs w:val="21"/>
                <w:highlight w:val="none"/>
                <w:lang w:eastAsia="zh-CN"/>
              </w:rPr>
              <w:t>部分</w:t>
            </w:r>
            <w:r>
              <w:rPr>
                <w:rFonts w:hint="eastAsia" w:ascii="微软雅黑" w:hAnsi="微软雅黑" w:cs="微软雅黑"/>
                <w:b/>
                <w:szCs w:val="21"/>
                <w:highlight w:val="none"/>
              </w:rPr>
              <w:t>组成</w:t>
            </w:r>
            <w:r>
              <w:rPr>
                <w:rFonts w:hint="eastAsia" w:ascii="微软雅黑" w:hAnsi="微软雅黑" w:cs="微软雅黑"/>
                <w:bCs/>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10</w:t>
            </w:r>
          </w:p>
        </w:tc>
        <w:tc>
          <w:tcPr>
            <w:tcW w:w="8652"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投标文件的编制：供应商应先安装“政采云电子交易客户端”，并按照本招标文件和“政府采购云平台”的要求，通过“政采云电子交易客户端”编制并加密投标文件。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11</w:t>
            </w:r>
          </w:p>
        </w:tc>
        <w:tc>
          <w:tcPr>
            <w:tcW w:w="8652"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投标文件的签章：电子签章。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12</w:t>
            </w:r>
          </w:p>
        </w:tc>
        <w:tc>
          <w:tcPr>
            <w:tcW w:w="8652"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0"/>
              <w:rPr>
                <w:rFonts w:ascii="微软雅黑" w:hAnsi="微软雅黑" w:cs="微软雅黑"/>
                <w:bCs/>
                <w:szCs w:val="21"/>
                <w:highlight w:val="none"/>
              </w:rPr>
            </w:pPr>
            <w:r>
              <w:rPr>
                <w:rFonts w:hint="eastAsia" w:ascii="微软雅黑" w:hAnsi="微软雅黑" w:cs="微软雅黑"/>
                <w:szCs w:val="21"/>
                <w:highlight w:val="none"/>
              </w:rPr>
              <w:t>投标文件的形式：</w:t>
            </w:r>
            <w:r>
              <w:rPr>
                <w:rFonts w:hint="eastAsia" w:ascii="微软雅黑" w:hAnsi="微软雅黑" w:cs="微软雅黑"/>
                <w:bCs/>
                <w:szCs w:val="21"/>
                <w:highlight w:val="none"/>
              </w:rPr>
              <w:t>☑电子投标文件（包括“电子加密投标文件”和“备份投标文件”，在投标文件编制完成后同时生成）；</w:t>
            </w:r>
          </w:p>
          <w:p>
            <w:pPr>
              <w:spacing w:line="500" w:lineRule="exact"/>
              <w:ind w:firstLine="420"/>
              <w:rPr>
                <w:rFonts w:ascii="微软雅黑" w:hAnsi="微软雅黑" w:cs="微软雅黑"/>
                <w:bCs/>
                <w:szCs w:val="21"/>
                <w:highlight w:val="none"/>
              </w:rPr>
            </w:pPr>
            <w:r>
              <w:rPr>
                <w:rFonts w:hint="eastAsia" w:ascii="微软雅黑" w:hAnsi="微软雅黑" w:cs="微软雅黑"/>
                <w:bCs/>
                <w:szCs w:val="21"/>
                <w:highlight w:val="none"/>
              </w:rPr>
              <w:t>（1）“电子加密投标文件”是指通过“政采云电子交易客户端”完成投标文件编制后生成并加密的数据电文形式的投标文件。</w:t>
            </w:r>
          </w:p>
          <w:p>
            <w:pPr>
              <w:spacing w:line="500" w:lineRule="exact"/>
              <w:ind w:firstLine="420"/>
              <w:rPr>
                <w:rFonts w:ascii="微软雅黑" w:hAnsi="微软雅黑" w:cs="微软雅黑"/>
                <w:szCs w:val="21"/>
                <w:highlight w:val="none"/>
              </w:rPr>
            </w:pPr>
            <w:r>
              <w:rPr>
                <w:rFonts w:hint="eastAsia" w:ascii="微软雅黑" w:hAnsi="微软雅黑" w:cs="微软雅黑"/>
                <w:bCs/>
                <w:szCs w:val="21"/>
                <w:highlight w:val="none"/>
              </w:rPr>
              <w:t>（2）“备份投标文件”是指与“电子加密投标文件”同时生成的数据电文形式的电子文件（备份标书），其他方式编制的备份投标文件视为无效备份投标文件。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13</w:t>
            </w:r>
          </w:p>
        </w:tc>
        <w:tc>
          <w:tcPr>
            <w:tcW w:w="8652"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0"/>
              <w:rPr>
                <w:rFonts w:ascii="微软雅黑" w:hAnsi="微软雅黑" w:cs="微软雅黑"/>
                <w:szCs w:val="21"/>
                <w:highlight w:val="none"/>
              </w:rPr>
            </w:pPr>
            <w:r>
              <w:rPr>
                <w:rFonts w:hint="eastAsia" w:ascii="微软雅黑" w:hAnsi="微软雅黑" w:cs="微软雅黑"/>
                <w:szCs w:val="21"/>
                <w:highlight w:val="none"/>
              </w:rPr>
              <w:t>投标文件份数：</w:t>
            </w:r>
            <w:r>
              <w:rPr>
                <w:rFonts w:hint="eastAsia" w:ascii="微软雅黑" w:hAnsi="微软雅黑" w:cs="微软雅黑"/>
                <w:bCs/>
                <w:szCs w:val="21"/>
                <w:highlight w:val="none"/>
              </w:rPr>
              <w:t>（1）“电子加密投标文件”：在线上传递交、一份。（2）“备份投标文件”：密封包装后（邮寄形式）投标截止时间前递交、一份（邮寄地址：嘉兴市由拳路南湖大道口华隆广场1号楼1306室（浙江中际工程项目管理有限公司嘉兴分公司）（马专圆  电话：13511352944）。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14</w:t>
            </w:r>
          </w:p>
        </w:tc>
        <w:tc>
          <w:tcPr>
            <w:tcW w:w="8652"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0"/>
              <w:rPr>
                <w:rFonts w:ascii="微软雅黑" w:hAnsi="微软雅黑" w:cs="微软雅黑"/>
                <w:szCs w:val="21"/>
                <w:highlight w:val="none"/>
              </w:rPr>
            </w:pPr>
            <w:r>
              <w:rPr>
                <w:rFonts w:hint="eastAsia" w:ascii="微软雅黑" w:hAnsi="微软雅黑" w:cs="微软雅黑"/>
                <w:szCs w:val="21"/>
                <w:highlight w:val="none"/>
              </w:rPr>
              <w:t>投标文件的上传和递交：</w:t>
            </w:r>
          </w:p>
          <w:p>
            <w:pPr>
              <w:spacing w:line="500" w:lineRule="exact"/>
              <w:ind w:firstLine="420"/>
              <w:rPr>
                <w:rFonts w:ascii="微软雅黑" w:hAnsi="微软雅黑" w:cs="微软雅黑"/>
                <w:bCs/>
                <w:szCs w:val="21"/>
                <w:highlight w:val="none"/>
              </w:rPr>
            </w:pPr>
            <w:r>
              <w:rPr>
                <w:rFonts w:hint="eastAsia" w:ascii="微软雅黑" w:hAnsi="微软雅黑" w:cs="微软雅黑"/>
                <w:bCs/>
                <w:szCs w:val="21"/>
                <w:highlight w:val="none"/>
              </w:rPr>
              <w:t>（1）“电子加密投标文件”的上传、递交：</w:t>
            </w:r>
          </w:p>
          <w:p>
            <w:pPr>
              <w:spacing w:line="500" w:lineRule="exact"/>
              <w:ind w:firstLine="420"/>
              <w:rPr>
                <w:rFonts w:ascii="微软雅黑" w:hAnsi="微软雅黑" w:cs="微软雅黑"/>
                <w:bCs/>
                <w:szCs w:val="21"/>
                <w:highlight w:val="none"/>
              </w:rPr>
            </w:pPr>
            <w:r>
              <w:rPr>
                <w:rFonts w:hint="eastAsia" w:ascii="微软雅黑" w:hAnsi="微软雅黑" w:cs="微软雅黑"/>
                <w:bCs/>
                <w:szCs w:val="21"/>
                <w:highlight w:val="none"/>
              </w:rPr>
              <w:t>a.投标供应商应在投标截止时间前将“电子加密投标文件”成功上传递交至“政府采购云平台”，否则投标无效。</w:t>
            </w:r>
          </w:p>
          <w:p>
            <w:pPr>
              <w:spacing w:line="500" w:lineRule="exact"/>
              <w:ind w:firstLine="420"/>
              <w:rPr>
                <w:rFonts w:ascii="微软雅黑" w:hAnsi="微软雅黑" w:cs="微软雅黑"/>
                <w:bCs/>
                <w:szCs w:val="21"/>
                <w:highlight w:val="none"/>
              </w:rPr>
            </w:pPr>
            <w:r>
              <w:rPr>
                <w:rFonts w:hint="eastAsia" w:ascii="微软雅黑" w:hAnsi="微软雅黑" w:cs="微软雅黑"/>
                <w:bCs/>
                <w:szCs w:val="21"/>
                <w:highlight w:val="none"/>
              </w:rPr>
              <w:t>b.“电子加密投标文件”成功上传递交后，供应商可自行打印投标文件接收回执。</w:t>
            </w:r>
          </w:p>
          <w:p>
            <w:pPr>
              <w:spacing w:line="500" w:lineRule="exact"/>
              <w:ind w:firstLine="420"/>
              <w:rPr>
                <w:rFonts w:ascii="微软雅黑" w:hAnsi="微软雅黑" w:cs="微软雅黑"/>
                <w:bCs/>
                <w:szCs w:val="21"/>
                <w:highlight w:val="none"/>
              </w:rPr>
            </w:pPr>
            <w:r>
              <w:rPr>
                <w:rFonts w:hint="eastAsia" w:ascii="微软雅黑" w:hAnsi="微软雅黑" w:cs="微软雅黑"/>
                <w:bCs/>
                <w:szCs w:val="21"/>
                <w:highlight w:val="none"/>
              </w:rPr>
              <w:t>（2）“备份投标文件”的密封包装、递交：</w:t>
            </w:r>
          </w:p>
          <w:p>
            <w:pPr>
              <w:spacing w:line="500" w:lineRule="exact"/>
              <w:ind w:firstLine="420"/>
              <w:rPr>
                <w:rFonts w:ascii="微软雅黑" w:hAnsi="微软雅黑" w:cs="微软雅黑"/>
                <w:bCs/>
                <w:szCs w:val="21"/>
                <w:highlight w:val="none"/>
              </w:rPr>
            </w:pPr>
            <w:r>
              <w:rPr>
                <w:rFonts w:hint="eastAsia" w:ascii="微软雅黑" w:hAnsi="微软雅黑" w:cs="微软雅黑"/>
                <w:bCs/>
                <w:szCs w:val="21"/>
                <w:highlight w:val="none"/>
              </w:rPr>
              <w:t>a.投标供应商在“政府采购云平台”完成“电子加密投标文件”的上传递交后，还可以（邮寄形式）在投标截止时间前递交以介质（U盘）存储的 “备份投标文件”（一份）；</w:t>
            </w:r>
          </w:p>
          <w:p>
            <w:pPr>
              <w:spacing w:line="500" w:lineRule="exact"/>
              <w:ind w:firstLine="420"/>
              <w:rPr>
                <w:rFonts w:ascii="微软雅黑" w:hAnsi="微软雅黑" w:cs="微软雅黑"/>
                <w:b/>
                <w:bCs/>
                <w:szCs w:val="21"/>
                <w:highlight w:val="none"/>
              </w:rPr>
            </w:pPr>
            <w:r>
              <w:rPr>
                <w:rFonts w:hint="eastAsia" w:ascii="微软雅黑" w:hAnsi="微软雅黑" w:cs="微软雅黑"/>
                <w:b/>
                <w:bCs/>
                <w:szCs w:val="21"/>
                <w:highlight w:val="none"/>
              </w:rPr>
              <w:t>b.“备份投标文件”应当密封包装，并在包装上标注投标项目名称、投标单位名称并加盖公章。没有密封包装或者逾期邮寄送达至上述邮寄地点的“备份投标文件”将不予接收；</w:t>
            </w:r>
          </w:p>
          <w:p>
            <w:pPr>
              <w:spacing w:line="500" w:lineRule="exact"/>
              <w:ind w:firstLine="420"/>
              <w:rPr>
                <w:rFonts w:ascii="微软雅黑" w:hAnsi="微软雅黑" w:cs="微软雅黑"/>
                <w:szCs w:val="21"/>
                <w:highlight w:val="none"/>
              </w:rPr>
            </w:pPr>
            <w:r>
              <w:rPr>
                <w:rFonts w:hint="eastAsia" w:ascii="微软雅黑" w:hAnsi="微软雅黑" w:cs="微软雅黑"/>
                <w:bCs/>
                <w:szCs w:val="21"/>
                <w:highlight w:val="none"/>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jc w:val="both"/>
              <w:rPr>
                <w:rFonts w:ascii="微软雅黑" w:hAnsi="微软雅黑" w:cs="微软雅黑"/>
                <w:szCs w:val="21"/>
                <w:highlight w:val="none"/>
              </w:rPr>
            </w:pPr>
            <w:r>
              <w:rPr>
                <w:rFonts w:hint="eastAsia" w:ascii="微软雅黑" w:hAnsi="微软雅黑" w:cs="微软雅黑"/>
                <w:szCs w:val="21"/>
                <w:highlight w:val="none"/>
              </w:rPr>
              <w:t>15</w:t>
            </w:r>
          </w:p>
        </w:tc>
        <w:tc>
          <w:tcPr>
            <w:tcW w:w="8652"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电子加密投标文件的解密和异常情况处理：</w:t>
            </w:r>
          </w:p>
          <w:p>
            <w:pPr>
              <w:spacing w:line="500" w:lineRule="exact"/>
              <w:ind w:firstLine="420"/>
              <w:rPr>
                <w:rFonts w:ascii="微软雅黑" w:hAnsi="微软雅黑" w:cs="微软雅黑"/>
                <w:szCs w:val="21"/>
                <w:highlight w:val="none"/>
              </w:rPr>
            </w:pPr>
            <w:r>
              <w:rPr>
                <w:rFonts w:hint="eastAsia" w:ascii="微软雅黑" w:hAnsi="微软雅黑" w:cs="微软雅黑"/>
                <w:szCs w:val="21"/>
                <w:highlight w:val="none"/>
              </w:rPr>
              <w:t>（1）开标后，采购组织机构将向各投标供应商发出“电子加密投标文件”的解密通知，各投标供应商代表应当在接到解密通知后30分钟内自行完成“电子加密投标文件”的在线解密。</w:t>
            </w:r>
          </w:p>
          <w:p>
            <w:pPr>
              <w:spacing w:line="500" w:lineRule="exact"/>
              <w:ind w:firstLine="420"/>
              <w:rPr>
                <w:rFonts w:ascii="微软雅黑" w:hAnsi="微软雅黑" w:cs="微软雅黑"/>
                <w:szCs w:val="21"/>
                <w:highlight w:val="none"/>
              </w:rPr>
            </w:pPr>
            <w:r>
              <w:rPr>
                <w:rFonts w:hint="eastAsia" w:ascii="微软雅黑" w:hAnsi="微软雅黑" w:cs="微软雅黑"/>
                <w:szCs w:val="21"/>
                <w:highlight w:val="none"/>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pacing w:line="500" w:lineRule="exact"/>
              <w:ind w:firstLine="420"/>
              <w:rPr>
                <w:rFonts w:ascii="微软雅黑" w:hAnsi="微软雅黑" w:cs="微软雅黑"/>
                <w:szCs w:val="21"/>
                <w:highlight w:val="none"/>
              </w:rPr>
            </w:pPr>
            <w:r>
              <w:rPr>
                <w:rFonts w:hint="eastAsia" w:ascii="微软雅黑" w:hAnsi="微软雅黑" w:cs="微软雅黑"/>
                <w:szCs w:val="21"/>
                <w:highlight w:val="none"/>
              </w:rPr>
              <w:t>（3）投标截止时间前，投标供应商仅递交了“备份投标文件”而未将电子加密投标文件上传至“政府采购云平台”的，投标无效。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both"/>
              <w:rPr>
                <w:rFonts w:ascii="微软雅黑" w:hAnsi="微软雅黑" w:cs="微软雅黑"/>
                <w:szCs w:val="21"/>
                <w:highlight w:val="none"/>
              </w:rPr>
            </w:pPr>
            <w:r>
              <w:rPr>
                <w:rFonts w:hint="eastAsia" w:ascii="微软雅黑" w:hAnsi="微软雅黑" w:cs="微软雅黑"/>
                <w:szCs w:val="21"/>
                <w:highlight w:val="none"/>
              </w:rPr>
              <w:t>16</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hint="default" w:ascii="微软雅黑" w:hAnsi="微软雅黑" w:eastAsia="微软雅黑" w:cs="Arial"/>
                <w:szCs w:val="21"/>
                <w:highlight w:val="none"/>
                <w:u w:val="single"/>
                <w:lang w:val="en-US" w:eastAsia="zh-CN"/>
              </w:rPr>
            </w:pPr>
            <w:r>
              <w:rPr>
                <w:rFonts w:hint="eastAsia" w:ascii="微软雅黑" w:hAnsi="微软雅黑" w:cs="微软雅黑"/>
                <w:szCs w:val="21"/>
                <w:highlight w:val="none"/>
              </w:rPr>
              <w:t>投标截止时间及地点：</w:t>
            </w:r>
            <w:r>
              <w:rPr>
                <w:rStyle w:val="114"/>
                <w:rFonts w:ascii="微软雅黑" w:hAnsi="微软雅黑" w:cs="Arial"/>
                <w:sz w:val="21"/>
                <w:szCs w:val="21"/>
                <w:highlight w:val="none"/>
                <w:u w:val="single"/>
              </w:rPr>
              <w:t>202</w:t>
            </w:r>
            <w:r>
              <w:rPr>
                <w:rStyle w:val="114"/>
                <w:rFonts w:hint="eastAsia" w:ascii="微软雅黑" w:hAnsi="微软雅黑" w:cs="Arial"/>
                <w:sz w:val="21"/>
                <w:szCs w:val="21"/>
                <w:highlight w:val="none"/>
                <w:u w:val="single"/>
              </w:rPr>
              <w:t>2</w:t>
            </w:r>
            <w:r>
              <w:rPr>
                <w:rStyle w:val="114"/>
                <w:rFonts w:ascii="微软雅黑" w:hAnsi="微软雅黑" w:cs="Arial"/>
                <w:sz w:val="21"/>
                <w:szCs w:val="21"/>
                <w:highlight w:val="none"/>
                <w:u w:val="single"/>
              </w:rPr>
              <w:t>年</w:t>
            </w:r>
            <w:r>
              <w:rPr>
                <w:rStyle w:val="114"/>
                <w:rFonts w:hint="eastAsia" w:ascii="微软雅黑" w:hAnsi="微软雅黑" w:cs="Arial"/>
                <w:sz w:val="21"/>
                <w:szCs w:val="21"/>
                <w:highlight w:val="none"/>
                <w:u w:val="single"/>
                <w:lang w:val="en-US" w:eastAsia="zh-CN"/>
              </w:rPr>
              <w:t>12</w:t>
            </w:r>
            <w:r>
              <w:rPr>
                <w:rStyle w:val="114"/>
                <w:rFonts w:ascii="微软雅黑" w:hAnsi="微软雅黑" w:cs="Arial"/>
                <w:sz w:val="21"/>
                <w:szCs w:val="21"/>
                <w:highlight w:val="none"/>
                <w:u w:val="single"/>
              </w:rPr>
              <w:t>月</w:t>
            </w:r>
            <w:r>
              <w:rPr>
                <w:rStyle w:val="114"/>
                <w:rFonts w:hint="eastAsia" w:ascii="微软雅黑" w:hAnsi="微软雅黑" w:cs="Arial"/>
                <w:sz w:val="21"/>
                <w:szCs w:val="21"/>
                <w:highlight w:val="none"/>
                <w:u w:val="single"/>
                <w:lang w:val="en-US" w:eastAsia="zh-CN"/>
              </w:rPr>
              <w:t>29</w:t>
            </w:r>
            <w:r>
              <w:rPr>
                <w:rStyle w:val="114"/>
                <w:rFonts w:ascii="微软雅黑" w:hAnsi="微软雅黑" w:cs="Arial"/>
                <w:sz w:val="21"/>
                <w:szCs w:val="21"/>
                <w:highlight w:val="none"/>
                <w:u w:val="single"/>
              </w:rPr>
              <w:t>日</w:t>
            </w:r>
            <w:r>
              <w:rPr>
                <w:rStyle w:val="114"/>
                <w:rFonts w:hint="eastAsia" w:ascii="微软雅黑" w:hAnsi="微软雅黑" w:cs="Arial"/>
                <w:szCs w:val="21"/>
                <w:highlight w:val="none"/>
                <w:u w:val="single"/>
              </w:rPr>
              <w:t>09:30</w:t>
            </w:r>
          </w:p>
          <w:p>
            <w:pPr>
              <w:snapToGrid w:val="0"/>
              <w:spacing w:line="500" w:lineRule="exact"/>
              <w:ind w:firstLine="2205" w:firstLineChars="1050"/>
              <w:rPr>
                <w:rFonts w:ascii="微软雅黑" w:hAnsi="微软雅黑" w:cs="微软雅黑"/>
                <w:szCs w:val="21"/>
                <w:highlight w:val="none"/>
              </w:rPr>
            </w:pPr>
            <w:r>
              <w:rPr>
                <w:rStyle w:val="114"/>
                <w:rFonts w:hint="eastAsia" w:ascii="微软雅黑" w:hAnsi="微软雅黑" w:cs="Arial"/>
                <w:szCs w:val="21"/>
                <w:highlight w:val="none"/>
                <w:u w:val="single"/>
              </w:rPr>
              <w:t>政采云”平台电子投标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both"/>
              <w:rPr>
                <w:rFonts w:ascii="微软雅黑" w:hAnsi="微软雅黑" w:cs="微软雅黑"/>
                <w:szCs w:val="21"/>
                <w:highlight w:val="none"/>
              </w:rPr>
            </w:pPr>
            <w:r>
              <w:rPr>
                <w:rFonts w:hint="eastAsia" w:ascii="微软雅黑" w:hAnsi="微软雅黑" w:cs="微软雅黑"/>
                <w:szCs w:val="21"/>
                <w:highlight w:val="none"/>
              </w:rPr>
              <w:t>17</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hint="default" w:ascii="微软雅黑" w:hAnsi="微软雅黑" w:eastAsia="微软雅黑" w:cs="Arial"/>
                <w:szCs w:val="21"/>
                <w:highlight w:val="none"/>
                <w:u w:val="single"/>
                <w:lang w:val="en-US" w:eastAsia="zh-CN"/>
              </w:rPr>
            </w:pPr>
            <w:r>
              <w:rPr>
                <w:rFonts w:hint="eastAsia" w:ascii="微软雅黑" w:hAnsi="微软雅黑" w:cs="微软雅黑"/>
                <w:szCs w:val="21"/>
                <w:highlight w:val="none"/>
              </w:rPr>
              <w:t>开标时间及地点：</w:t>
            </w:r>
            <w:r>
              <w:rPr>
                <w:rStyle w:val="114"/>
                <w:rFonts w:ascii="微软雅黑" w:hAnsi="微软雅黑" w:cs="Arial"/>
                <w:sz w:val="21"/>
                <w:szCs w:val="21"/>
                <w:highlight w:val="none"/>
                <w:u w:val="single"/>
              </w:rPr>
              <w:t>202</w:t>
            </w:r>
            <w:r>
              <w:rPr>
                <w:rStyle w:val="114"/>
                <w:rFonts w:hint="eastAsia" w:ascii="微软雅黑" w:hAnsi="微软雅黑" w:cs="Arial"/>
                <w:sz w:val="21"/>
                <w:szCs w:val="21"/>
                <w:highlight w:val="none"/>
                <w:u w:val="single"/>
              </w:rPr>
              <w:t>2</w:t>
            </w:r>
            <w:r>
              <w:rPr>
                <w:rStyle w:val="114"/>
                <w:rFonts w:ascii="微软雅黑" w:hAnsi="微软雅黑" w:cs="Arial"/>
                <w:sz w:val="21"/>
                <w:szCs w:val="21"/>
                <w:highlight w:val="none"/>
                <w:u w:val="single"/>
              </w:rPr>
              <w:t>年</w:t>
            </w:r>
            <w:r>
              <w:rPr>
                <w:rStyle w:val="114"/>
                <w:rFonts w:hint="eastAsia" w:ascii="微软雅黑" w:hAnsi="微软雅黑" w:cs="Arial"/>
                <w:sz w:val="21"/>
                <w:szCs w:val="21"/>
                <w:highlight w:val="none"/>
                <w:u w:val="single"/>
                <w:lang w:val="en-US" w:eastAsia="zh-CN"/>
              </w:rPr>
              <w:t>12</w:t>
            </w:r>
            <w:r>
              <w:rPr>
                <w:rStyle w:val="114"/>
                <w:rFonts w:ascii="微软雅黑" w:hAnsi="微软雅黑" w:cs="Arial"/>
                <w:sz w:val="21"/>
                <w:szCs w:val="21"/>
                <w:highlight w:val="none"/>
                <w:u w:val="single"/>
              </w:rPr>
              <w:t>月</w:t>
            </w:r>
            <w:r>
              <w:rPr>
                <w:rStyle w:val="114"/>
                <w:rFonts w:hint="eastAsia" w:ascii="微软雅黑" w:hAnsi="微软雅黑" w:cs="Arial"/>
                <w:sz w:val="21"/>
                <w:szCs w:val="21"/>
                <w:highlight w:val="none"/>
                <w:u w:val="single"/>
                <w:lang w:val="en-US" w:eastAsia="zh-CN"/>
              </w:rPr>
              <w:t>29</w:t>
            </w:r>
            <w:r>
              <w:rPr>
                <w:rStyle w:val="114"/>
                <w:rFonts w:ascii="微软雅黑" w:hAnsi="微软雅黑" w:cs="Arial"/>
                <w:sz w:val="21"/>
                <w:szCs w:val="21"/>
                <w:highlight w:val="none"/>
                <w:u w:val="single"/>
              </w:rPr>
              <w:t>日</w:t>
            </w:r>
            <w:r>
              <w:rPr>
                <w:rStyle w:val="114"/>
                <w:rFonts w:hint="eastAsia" w:ascii="微软雅黑" w:hAnsi="微软雅黑" w:cs="Arial"/>
                <w:szCs w:val="21"/>
                <w:highlight w:val="none"/>
                <w:u w:val="single"/>
              </w:rPr>
              <w:t>09:30</w:t>
            </w:r>
          </w:p>
          <w:p>
            <w:pPr>
              <w:snapToGrid w:val="0"/>
              <w:spacing w:line="500" w:lineRule="exact"/>
              <w:ind w:firstLine="1738" w:firstLineChars="828"/>
              <w:rPr>
                <w:rFonts w:hint="eastAsia" w:ascii="微软雅黑" w:hAnsi="微软雅黑" w:eastAsia="微软雅黑"/>
                <w:szCs w:val="21"/>
                <w:highlight w:val="none"/>
                <w:lang w:eastAsia="zh-CN"/>
              </w:rPr>
            </w:pPr>
            <w:r>
              <w:rPr>
                <w:rStyle w:val="114"/>
                <w:rFonts w:hint="eastAsia" w:ascii="微软雅黑" w:hAnsi="微软雅黑" w:eastAsia="宋体" w:cs="Arial"/>
                <w:szCs w:val="21"/>
                <w:highlight w:val="none"/>
                <w:u w:val="single"/>
                <w:lang w:eastAsia="zh-CN"/>
              </w:rPr>
              <w:t>嘉兴市由拳路南湖大道口华隆广场1号楼1306室，供应</w:t>
            </w:r>
            <w:r>
              <w:rPr>
                <w:rStyle w:val="114"/>
                <w:rFonts w:hint="eastAsia" w:ascii="微软雅黑" w:hAnsi="微软雅黑" w:cs="Arial"/>
                <w:szCs w:val="21"/>
                <w:highlight w:val="none"/>
                <w:u w:val="single"/>
                <w:lang w:eastAsia="zh-CN"/>
              </w:rPr>
              <w:t>商无需到开标现场，但须准时在线参加，直至评审结束。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18</w:t>
            </w:r>
          </w:p>
        </w:tc>
        <w:tc>
          <w:tcPr>
            <w:tcW w:w="865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500" w:lineRule="exact"/>
              <w:ind w:firstLine="0" w:firstLineChars="0"/>
              <w:textAlignment w:val="bottom"/>
              <w:rPr>
                <w:rFonts w:ascii="微软雅黑" w:hAnsi="微软雅黑" w:cs="微软雅黑"/>
                <w:b/>
                <w:szCs w:val="21"/>
                <w:highlight w:val="none"/>
              </w:rPr>
            </w:pPr>
            <w:r>
              <w:rPr>
                <w:rFonts w:hint="eastAsia" w:ascii="微软雅黑" w:hAnsi="微软雅黑" w:cs="微软雅黑"/>
                <w:szCs w:val="21"/>
                <w:highlight w:val="none"/>
              </w:rPr>
              <w:t>投标费用：</w:t>
            </w:r>
            <w:r>
              <w:rPr>
                <w:rFonts w:hint="eastAsia" w:ascii="微软雅黑" w:hAnsi="微软雅黑"/>
                <w:szCs w:val="21"/>
                <w:highlight w:val="none"/>
              </w:rPr>
              <w:t>中标单位支付招标代理服务费（收费标准详见招标文件）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19</w:t>
            </w:r>
          </w:p>
        </w:tc>
        <w:tc>
          <w:tcPr>
            <w:tcW w:w="865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500" w:lineRule="exact"/>
              <w:ind w:firstLine="0" w:firstLineChars="0"/>
              <w:textAlignment w:val="bottom"/>
              <w:rPr>
                <w:rFonts w:ascii="微软雅黑" w:hAnsi="微软雅黑" w:cs="微软雅黑"/>
                <w:szCs w:val="21"/>
                <w:highlight w:val="none"/>
              </w:rPr>
            </w:pPr>
            <w:r>
              <w:rPr>
                <w:rFonts w:hint="eastAsia" w:ascii="微软雅黑" w:hAnsi="微软雅黑" w:cs="微软雅黑"/>
                <w:szCs w:val="21"/>
                <w:highlight w:val="none"/>
              </w:rPr>
              <w:t>签订合同时间：</w:t>
            </w:r>
            <w:r>
              <w:rPr>
                <w:rFonts w:hint="eastAsia" w:ascii="微软雅黑" w:hAnsi="微软雅黑"/>
                <w:szCs w:val="21"/>
                <w:highlight w:val="none"/>
              </w:rPr>
              <w:t>中标公示发出之日起30日内</w:t>
            </w:r>
            <w:r>
              <w:rPr>
                <w:rFonts w:hint="eastAsia" w:ascii="微软雅黑" w:hAnsi="微软雅黑" w:cs="微软雅黑"/>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20</w:t>
            </w:r>
          </w:p>
        </w:tc>
        <w:tc>
          <w:tcPr>
            <w:tcW w:w="865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500" w:lineRule="exact"/>
              <w:ind w:firstLine="0" w:firstLineChars="0"/>
              <w:textAlignment w:val="bottom"/>
              <w:rPr>
                <w:rFonts w:hint="eastAsia" w:ascii="微软雅黑" w:hAnsi="微软雅黑" w:eastAsia="微软雅黑" w:cs="微软雅黑"/>
                <w:szCs w:val="21"/>
                <w:highlight w:val="none"/>
                <w:lang w:eastAsia="zh-CN"/>
              </w:rPr>
            </w:pPr>
            <w:r>
              <w:rPr>
                <w:rFonts w:hint="eastAsia" w:ascii="微软雅黑" w:hAnsi="微软雅黑"/>
                <w:szCs w:val="21"/>
                <w:highlight w:val="none"/>
              </w:rPr>
              <w:t>履约保证金的收取及退还：</w:t>
            </w:r>
            <w:r>
              <w:rPr>
                <w:rFonts w:hint="eastAsia" w:ascii="微软雅黑" w:hAnsi="微软雅黑"/>
                <w:szCs w:val="21"/>
                <w:highlight w:val="none"/>
                <w:lang w:eastAsia="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21</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投标文件有效期：</w:t>
            </w:r>
            <w:r>
              <w:rPr>
                <w:rFonts w:hint="eastAsia" w:ascii="微软雅黑" w:hAnsi="微软雅黑" w:cs="微软雅黑"/>
                <w:szCs w:val="21"/>
                <w:highlight w:val="none"/>
                <w:lang w:val="en-US" w:eastAsia="zh-CN"/>
              </w:rPr>
              <w:t>9</w:t>
            </w:r>
            <w:r>
              <w:rPr>
                <w:rFonts w:hint="eastAsia" w:ascii="微软雅黑" w:hAnsi="微软雅黑" w:cs="微软雅黑"/>
                <w:szCs w:val="21"/>
                <w:highlight w:val="none"/>
                <w:u w:val="single"/>
              </w:rPr>
              <w:t>0</w:t>
            </w:r>
            <w:r>
              <w:rPr>
                <w:rFonts w:hint="eastAsia" w:ascii="微软雅黑" w:hAnsi="微软雅黑" w:cs="微软雅黑"/>
                <w:szCs w:val="21"/>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22</w:t>
            </w:r>
          </w:p>
        </w:tc>
        <w:tc>
          <w:tcPr>
            <w:tcW w:w="8652"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网上注册：</w:t>
            </w:r>
          </w:p>
          <w:p>
            <w:pPr>
              <w:spacing w:line="500" w:lineRule="exact"/>
              <w:ind w:firstLine="0" w:firstLineChars="0"/>
              <w:rPr>
                <w:rFonts w:ascii="微软雅黑" w:hAnsi="微软雅黑" w:cs="微软雅黑"/>
                <w:szCs w:val="21"/>
                <w:highlight w:val="none"/>
              </w:rPr>
            </w:pPr>
            <w:r>
              <w:rPr>
                <w:rFonts w:hint="eastAsia" w:ascii="微软雅黑" w:hAnsi="微软雅黑" w:cs="微软雅黑"/>
                <w:kern w:val="0"/>
                <w:szCs w:val="21"/>
                <w:highlight w:val="none"/>
              </w:rPr>
              <w:t>本项目不接受现场报名，须注册后进行网上报名。在浙江政府采购网进行供应商注册后完成报名；（详情请见第一章公告报名及招标文件的获取）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hint="default" w:ascii="微软雅黑" w:hAnsi="微软雅黑" w:eastAsia="微软雅黑" w:cs="微软雅黑"/>
                <w:szCs w:val="21"/>
                <w:highlight w:val="none"/>
                <w:lang w:val="en-US" w:eastAsia="zh-CN"/>
              </w:rPr>
            </w:pPr>
            <w:r>
              <w:rPr>
                <w:rFonts w:hint="eastAsia" w:ascii="微软雅黑" w:hAnsi="微软雅黑" w:cs="微软雅黑"/>
                <w:szCs w:val="21"/>
                <w:highlight w:val="none"/>
                <w:lang w:val="en-US" w:eastAsia="zh-CN"/>
              </w:rPr>
              <w:t>23</w:t>
            </w:r>
          </w:p>
        </w:tc>
        <w:tc>
          <w:tcPr>
            <w:tcW w:w="8652" w:type="dxa"/>
            <w:tcBorders>
              <w:top w:val="single" w:color="auto" w:sz="4" w:space="0"/>
              <w:left w:val="single" w:color="auto" w:sz="4" w:space="0"/>
              <w:bottom w:val="single" w:color="auto" w:sz="4" w:space="0"/>
              <w:right w:val="single" w:color="auto" w:sz="4" w:space="0"/>
            </w:tcBorders>
            <w:vAlign w:val="center"/>
          </w:tcPr>
          <w:p>
            <w:pPr>
              <w:spacing w:line="500" w:lineRule="exact"/>
              <w:ind w:firstLine="0" w:firstLineChars="0"/>
              <w:rPr>
                <w:rFonts w:hint="eastAsia"/>
                <w:highlight w:val="none"/>
              </w:rPr>
            </w:pPr>
            <w:r>
              <w:rPr>
                <w:rFonts w:hint="eastAsia"/>
                <w:highlight w:val="none"/>
              </w:rPr>
              <w:t>一、说明</w:t>
            </w:r>
          </w:p>
          <w:p>
            <w:pPr>
              <w:spacing w:line="500" w:lineRule="exact"/>
              <w:ind w:firstLine="0" w:firstLineChars="0"/>
              <w:rPr>
                <w:rFonts w:hint="eastAsia"/>
                <w:highlight w:val="none"/>
              </w:rPr>
            </w:pPr>
            <w:r>
              <w:rPr>
                <w:rFonts w:hint="eastAsia"/>
                <w:highlight w:val="none"/>
              </w:rPr>
              <w:t>中小企业</w:t>
            </w:r>
          </w:p>
          <w:p>
            <w:pPr>
              <w:spacing w:line="500" w:lineRule="exact"/>
              <w:ind w:firstLine="0" w:firstLineChars="0"/>
              <w:rPr>
                <w:rFonts w:hint="eastAsia"/>
                <w:highlight w:val="none"/>
              </w:rPr>
            </w:pPr>
            <w:r>
              <w:rPr>
                <w:rFonts w:hint="eastAsia"/>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500" w:lineRule="exact"/>
              <w:ind w:firstLine="0" w:firstLineChars="0"/>
              <w:rPr>
                <w:rFonts w:hint="eastAsia"/>
                <w:highlight w:val="none"/>
              </w:rPr>
            </w:pPr>
            <w:r>
              <w:rPr>
                <w:rFonts w:hint="eastAsia"/>
                <w:highlight w:val="none"/>
              </w:rPr>
              <w:t>符合中小企业划分标准的个体工商户，在政府采购活动中视同中小企业。</w:t>
            </w:r>
          </w:p>
          <w:p>
            <w:pPr>
              <w:spacing w:line="500" w:lineRule="exact"/>
              <w:ind w:firstLine="0" w:firstLineChars="0"/>
              <w:rPr>
                <w:rFonts w:hint="eastAsia"/>
                <w:highlight w:val="none"/>
              </w:rPr>
            </w:pPr>
            <w:r>
              <w:rPr>
                <w:rFonts w:hint="eastAsia"/>
                <w:highlight w:val="none"/>
              </w:rPr>
              <w:t>在政府采购活动中，供应商提供的货物、工程或者服务符合下列情形的，享受本办法规定的中小企业扶持政策：</w:t>
            </w:r>
          </w:p>
          <w:p>
            <w:pPr>
              <w:spacing w:line="500" w:lineRule="exact"/>
              <w:ind w:firstLine="0" w:firstLineChars="0"/>
              <w:rPr>
                <w:rFonts w:hint="eastAsia"/>
                <w:highlight w:val="none"/>
              </w:rPr>
            </w:pPr>
            <w:r>
              <w:rPr>
                <w:rFonts w:hint="eastAsia"/>
                <w:highlight w:val="none"/>
              </w:rPr>
              <w:t>(一)在货物采购项目中，货物由中小企业制造，即货物由中小企业生产且使用该中小企业商号或者注册商标；</w:t>
            </w:r>
          </w:p>
          <w:p>
            <w:pPr>
              <w:spacing w:line="500" w:lineRule="exact"/>
              <w:ind w:firstLine="0" w:firstLineChars="0"/>
              <w:rPr>
                <w:rFonts w:hint="eastAsia"/>
                <w:highlight w:val="none"/>
              </w:rPr>
            </w:pPr>
            <w:r>
              <w:rPr>
                <w:rFonts w:hint="eastAsia"/>
                <w:highlight w:val="none"/>
              </w:rPr>
              <w:t>(二)在工程采购项目中，工程由中小企业承建，即工程施工单位为中小企业；</w:t>
            </w:r>
          </w:p>
          <w:p>
            <w:pPr>
              <w:spacing w:line="500" w:lineRule="exact"/>
              <w:ind w:firstLine="0" w:firstLineChars="0"/>
              <w:rPr>
                <w:rFonts w:hint="eastAsia"/>
                <w:highlight w:val="none"/>
              </w:rPr>
            </w:pPr>
            <w:r>
              <w:rPr>
                <w:rFonts w:hint="eastAsia"/>
                <w:highlight w:val="none"/>
              </w:rPr>
              <w:t>(三)在服务采购项目中，服务由中小企业承接，即提供服务的人员为中小企业依照《中华人民共和国劳动民法典》订立劳动合同的从业人员。</w:t>
            </w:r>
          </w:p>
          <w:p>
            <w:pPr>
              <w:spacing w:line="500" w:lineRule="exact"/>
              <w:ind w:firstLine="0" w:firstLineChars="0"/>
              <w:rPr>
                <w:rFonts w:hint="eastAsia"/>
                <w:highlight w:val="none"/>
              </w:rPr>
            </w:pPr>
            <w:r>
              <w:rPr>
                <w:rFonts w:hint="eastAsia"/>
                <w:highlight w:val="none"/>
              </w:rPr>
              <w:t>在货物采购项目中，供应商提供的货物既有中小企业制造货物，也有大型企业制造货物的，不享受本办法规定的中小企业扶持政策。</w:t>
            </w:r>
          </w:p>
          <w:p>
            <w:pPr>
              <w:spacing w:line="500" w:lineRule="exact"/>
              <w:ind w:firstLine="0" w:firstLineChars="0"/>
              <w:rPr>
                <w:rFonts w:hint="eastAsia"/>
                <w:highlight w:val="none"/>
              </w:rPr>
            </w:pPr>
            <w:r>
              <w:rPr>
                <w:rFonts w:hint="eastAsia"/>
                <w:highlight w:val="none"/>
              </w:rPr>
              <w:t>以联合体形式参加政府采购活动，联合体各方均为中小企业的，联合体视同中小企业。其中，联合体各方均为小微企业的，联合体视同小微企业。</w:t>
            </w:r>
          </w:p>
          <w:p>
            <w:pPr>
              <w:spacing w:line="500" w:lineRule="exact"/>
              <w:ind w:firstLine="0" w:firstLineChars="0"/>
              <w:rPr>
                <w:rFonts w:hint="eastAsia"/>
                <w:highlight w:val="none"/>
              </w:rPr>
            </w:pPr>
            <w:r>
              <w:rPr>
                <w:rFonts w:hint="eastAsia"/>
                <w:highlight w:val="none"/>
              </w:rPr>
              <w:t>残疾人福利性单位</w:t>
            </w:r>
          </w:p>
          <w:p>
            <w:pPr>
              <w:spacing w:line="500" w:lineRule="exact"/>
              <w:ind w:firstLine="0" w:firstLineChars="0"/>
              <w:rPr>
                <w:rFonts w:hint="eastAsia"/>
                <w:highlight w:val="none"/>
              </w:rPr>
            </w:pPr>
            <w:r>
              <w:rPr>
                <w:rFonts w:hint="eastAsia"/>
                <w:highlight w:val="none"/>
              </w:rPr>
              <w:t>符合《关于促进残疾人就业政府采购政策的通知》（财库〔2017〕141号）规定的条件并提供提供《残疾人福利性单位声明函》的残疾人福利性单位视同小型、微型企业，享受预留份额、评审中价格扣除等政府采购促进中小企业发展的政府采购政策。</w:t>
            </w:r>
          </w:p>
          <w:p>
            <w:pPr>
              <w:spacing w:line="500" w:lineRule="exact"/>
              <w:ind w:firstLine="0" w:firstLineChars="0"/>
              <w:rPr>
                <w:rFonts w:hint="eastAsia"/>
                <w:highlight w:val="none"/>
              </w:rPr>
            </w:pPr>
            <w:r>
              <w:rPr>
                <w:rFonts w:hint="eastAsia"/>
                <w:highlight w:val="none"/>
              </w:rPr>
              <w:t>监狱企业</w:t>
            </w:r>
          </w:p>
          <w:p>
            <w:pPr>
              <w:spacing w:line="500" w:lineRule="exact"/>
              <w:ind w:firstLine="0" w:firstLineChars="0"/>
              <w:rPr>
                <w:rFonts w:hint="eastAsia" w:ascii="微软雅黑" w:hAnsi="微软雅黑" w:cs="微软雅黑"/>
                <w:kern w:val="0"/>
                <w:szCs w:val="21"/>
                <w:highlight w:val="none"/>
              </w:rPr>
            </w:pPr>
            <w:r>
              <w:rPr>
                <w:rFonts w:hint="eastAsia"/>
                <w:highlight w:val="none"/>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hint="eastAsia" w:ascii="微软雅黑" w:hAnsi="微软雅黑" w:eastAsia="微软雅黑" w:cs="微软雅黑"/>
                <w:szCs w:val="21"/>
                <w:highlight w:val="none"/>
                <w:lang w:eastAsia="zh-CN"/>
              </w:rPr>
            </w:pPr>
            <w:r>
              <w:rPr>
                <w:rFonts w:hint="eastAsia" w:ascii="微软雅黑" w:hAnsi="微软雅黑" w:cs="微软雅黑"/>
                <w:szCs w:val="21"/>
                <w:highlight w:val="none"/>
              </w:rPr>
              <w:t>2</w:t>
            </w:r>
            <w:r>
              <w:rPr>
                <w:rFonts w:hint="eastAsia" w:ascii="微软雅黑" w:hAnsi="微软雅黑" w:cs="微软雅黑"/>
                <w:szCs w:val="21"/>
                <w:highlight w:val="none"/>
                <w:lang w:val="en-US" w:eastAsia="zh-CN"/>
              </w:rPr>
              <w:t>4</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rPr>
                <w:rFonts w:ascii="微软雅黑" w:hAnsi="微软雅黑" w:cs="微软雅黑"/>
                <w:szCs w:val="21"/>
                <w:highlight w:val="none"/>
              </w:rPr>
            </w:pPr>
            <w:r>
              <w:rPr>
                <w:rFonts w:hint="eastAsia" w:ascii="微软雅黑" w:hAnsi="微软雅黑" w:cs="微软雅黑"/>
                <w:szCs w:val="21"/>
                <w:highlight w:val="none"/>
              </w:rPr>
              <w:t>解释：本招标文件的解释权属于招标采购单位</w:t>
            </w:r>
            <w:r>
              <w:rPr>
                <w:rFonts w:hint="eastAsia" w:ascii="微软雅黑" w:hAnsi="微软雅黑" w:cs="微软雅黑"/>
                <w:szCs w:val="21"/>
                <w:highlight w:val="none"/>
                <w:lang w:eastAsia="zh-CN"/>
              </w:rPr>
              <w:t>、</w:t>
            </w:r>
            <w:r>
              <w:rPr>
                <w:rFonts w:hint="eastAsia" w:ascii="微软雅黑" w:hAnsi="微软雅黑" w:cs="微软雅黑"/>
                <w:szCs w:val="21"/>
                <w:highlight w:val="none"/>
              </w:rPr>
              <w:t>代理机构。</w:t>
            </w:r>
          </w:p>
        </w:tc>
      </w:tr>
    </w:tbl>
    <w:p>
      <w:pPr>
        <w:pStyle w:val="6"/>
        <w:spacing w:line="500" w:lineRule="exact"/>
        <w:ind w:firstLine="420"/>
        <w:rPr>
          <w:rFonts w:ascii="微软雅黑" w:hAnsi="微软雅黑"/>
          <w:szCs w:val="21"/>
          <w:highlight w:val="none"/>
        </w:rPr>
      </w:pPr>
      <w:bookmarkStart w:id="18" w:name="_Toc177870536"/>
      <w:bookmarkStart w:id="19" w:name="_Toc493511580"/>
      <w:r>
        <w:rPr>
          <w:rFonts w:hint="eastAsia" w:ascii="微软雅黑" w:hAnsi="微软雅黑"/>
          <w:szCs w:val="21"/>
          <w:highlight w:val="none"/>
        </w:rPr>
        <w:t>一、总  则</w:t>
      </w:r>
      <w:bookmarkEnd w:id="18"/>
      <w:bookmarkEnd w:id="19"/>
    </w:p>
    <w:p>
      <w:pPr>
        <w:pStyle w:val="7"/>
        <w:spacing w:line="500" w:lineRule="exact"/>
        <w:ind w:firstLine="420"/>
        <w:rPr>
          <w:rFonts w:ascii="微软雅黑" w:hAnsi="微软雅黑"/>
          <w:szCs w:val="21"/>
          <w:highlight w:val="none"/>
        </w:rPr>
      </w:pPr>
      <w:bookmarkStart w:id="20" w:name="_Toc493511581"/>
      <w:bookmarkStart w:id="21" w:name="_Toc177824872"/>
      <w:bookmarkStart w:id="22" w:name="_Toc177825120"/>
      <w:bookmarkStart w:id="23" w:name="_Toc427915759"/>
      <w:bookmarkStart w:id="24" w:name="_Toc177824939"/>
      <w:bookmarkStart w:id="25" w:name="_Toc177870537"/>
      <w:r>
        <w:rPr>
          <w:rFonts w:hint="eastAsia" w:ascii="微软雅黑" w:hAnsi="微软雅黑"/>
          <w:szCs w:val="21"/>
          <w:highlight w:val="none"/>
        </w:rPr>
        <w:t>1、 适用范围</w:t>
      </w:r>
      <w:bookmarkEnd w:id="20"/>
      <w:bookmarkEnd w:id="21"/>
      <w:bookmarkEnd w:id="22"/>
      <w:bookmarkEnd w:id="23"/>
      <w:bookmarkEnd w:id="24"/>
      <w:bookmarkEnd w:id="25"/>
    </w:p>
    <w:p>
      <w:pPr>
        <w:pStyle w:val="21"/>
        <w:snapToGrid w:val="0"/>
        <w:spacing w:line="500" w:lineRule="exact"/>
        <w:ind w:firstLine="420"/>
        <w:rPr>
          <w:rFonts w:ascii="微软雅黑" w:hAnsi="微软雅黑"/>
          <w:spacing w:val="0"/>
          <w:sz w:val="21"/>
          <w:szCs w:val="21"/>
          <w:highlight w:val="none"/>
        </w:rPr>
      </w:pPr>
      <w:bookmarkStart w:id="26" w:name="_Toc493511582"/>
      <w:r>
        <w:rPr>
          <w:rFonts w:hint="eastAsia" w:ascii="微软雅黑" w:hAnsi="微软雅黑"/>
          <w:spacing w:val="0"/>
          <w:sz w:val="21"/>
          <w:szCs w:val="21"/>
          <w:highlight w:val="none"/>
        </w:rPr>
        <w:t>1.1、本招标文件适用于本次所述项目的招标。</w:t>
      </w:r>
      <w:bookmarkEnd w:id="26"/>
      <w:bookmarkStart w:id="27" w:name="_Toc177870538"/>
      <w:bookmarkStart w:id="28" w:name="_Toc177825121"/>
      <w:bookmarkStart w:id="29" w:name="_Toc427915760"/>
      <w:bookmarkStart w:id="30" w:name="_Toc177824940"/>
      <w:bookmarkStart w:id="31" w:name="_Toc177824873"/>
    </w:p>
    <w:p>
      <w:pPr>
        <w:pStyle w:val="7"/>
        <w:spacing w:line="500" w:lineRule="exact"/>
        <w:ind w:firstLine="420"/>
        <w:rPr>
          <w:rFonts w:ascii="微软雅黑" w:hAnsi="微软雅黑"/>
          <w:szCs w:val="21"/>
          <w:highlight w:val="none"/>
        </w:rPr>
      </w:pPr>
      <w:bookmarkStart w:id="32" w:name="_Toc493511583"/>
      <w:r>
        <w:rPr>
          <w:rFonts w:hint="eastAsia" w:ascii="微软雅黑" w:hAnsi="微软雅黑"/>
          <w:szCs w:val="21"/>
          <w:highlight w:val="none"/>
        </w:rPr>
        <w:t>2、定义</w:t>
      </w:r>
      <w:bookmarkEnd w:id="27"/>
      <w:bookmarkEnd w:id="28"/>
      <w:bookmarkEnd w:id="29"/>
      <w:bookmarkEnd w:id="30"/>
      <w:bookmarkEnd w:id="31"/>
      <w:bookmarkEnd w:id="32"/>
    </w:p>
    <w:p>
      <w:pPr>
        <w:pStyle w:val="21"/>
        <w:snapToGrid w:val="0"/>
        <w:spacing w:line="500" w:lineRule="exact"/>
        <w:ind w:firstLine="420"/>
        <w:rPr>
          <w:rFonts w:ascii="微软雅黑" w:hAnsi="微软雅黑"/>
          <w:spacing w:val="0"/>
          <w:sz w:val="21"/>
          <w:szCs w:val="21"/>
          <w:highlight w:val="none"/>
        </w:rPr>
      </w:pPr>
      <w:bookmarkStart w:id="33" w:name="_Toc493511584"/>
      <w:r>
        <w:rPr>
          <w:rFonts w:hint="eastAsia" w:ascii="微软雅黑" w:hAnsi="微软雅黑"/>
          <w:spacing w:val="0"/>
          <w:sz w:val="21"/>
          <w:szCs w:val="21"/>
          <w:highlight w:val="none"/>
        </w:rPr>
        <w:t>2.1、“招标人”系指组织本次招标的代理机构或采购人。</w:t>
      </w:r>
      <w:bookmarkEnd w:id="33"/>
    </w:p>
    <w:p>
      <w:pPr>
        <w:pStyle w:val="21"/>
        <w:snapToGrid w:val="0"/>
        <w:spacing w:line="500" w:lineRule="exact"/>
        <w:ind w:firstLine="420"/>
        <w:rPr>
          <w:rFonts w:ascii="微软雅黑" w:hAnsi="微软雅黑"/>
          <w:spacing w:val="0"/>
          <w:sz w:val="21"/>
          <w:szCs w:val="21"/>
          <w:highlight w:val="none"/>
        </w:rPr>
      </w:pPr>
      <w:bookmarkStart w:id="34" w:name="_Toc493511585"/>
      <w:r>
        <w:rPr>
          <w:rFonts w:hint="eastAsia" w:ascii="微软雅黑" w:hAnsi="微软雅黑"/>
          <w:spacing w:val="0"/>
          <w:sz w:val="21"/>
          <w:szCs w:val="21"/>
          <w:highlight w:val="none"/>
        </w:rPr>
        <w:t>2.2、“投标人”系指向招标方提交投标文件的供应商。</w:t>
      </w:r>
      <w:bookmarkEnd w:id="34"/>
    </w:p>
    <w:p>
      <w:pPr>
        <w:pStyle w:val="21"/>
        <w:snapToGrid w:val="0"/>
        <w:spacing w:line="500" w:lineRule="exact"/>
        <w:ind w:firstLine="420"/>
        <w:rPr>
          <w:rFonts w:ascii="微软雅黑" w:hAnsi="微软雅黑"/>
          <w:spacing w:val="0"/>
          <w:sz w:val="21"/>
          <w:szCs w:val="21"/>
          <w:highlight w:val="none"/>
        </w:rPr>
      </w:pPr>
      <w:bookmarkStart w:id="35" w:name="_Toc493511586"/>
      <w:r>
        <w:rPr>
          <w:rFonts w:hint="eastAsia" w:ascii="微软雅黑" w:hAnsi="微软雅黑"/>
          <w:spacing w:val="0"/>
          <w:sz w:val="21"/>
          <w:szCs w:val="21"/>
          <w:highlight w:val="none"/>
        </w:rPr>
        <w:t>2.3、“产品”系指供方按招标文件规定，须向采购人提供的一切设备、保险、税金、备品备件、工具、手册及其它有关技术资料和材料。</w:t>
      </w:r>
      <w:bookmarkEnd w:id="35"/>
    </w:p>
    <w:p>
      <w:pPr>
        <w:pStyle w:val="21"/>
        <w:snapToGrid w:val="0"/>
        <w:spacing w:line="500" w:lineRule="exact"/>
        <w:ind w:firstLine="420"/>
        <w:rPr>
          <w:rFonts w:ascii="微软雅黑" w:hAnsi="微软雅黑"/>
          <w:spacing w:val="0"/>
          <w:sz w:val="21"/>
          <w:szCs w:val="21"/>
          <w:highlight w:val="none"/>
        </w:rPr>
      </w:pPr>
      <w:bookmarkStart w:id="36" w:name="_Toc493511587"/>
      <w:r>
        <w:rPr>
          <w:rFonts w:hint="eastAsia" w:ascii="微软雅黑" w:hAnsi="微软雅黑"/>
          <w:spacing w:val="0"/>
          <w:sz w:val="21"/>
          <w:szCs w:val="21"/>
          <w:highlight w:val="none"/>
        </w:rPr>
        <w:t>2.4、“服务”系指招标文件规定投标人须承担的安装、调试、技术协助、校准、培训、技术指导以及其他类似的义务。</w:t>
      </w:r>
      <w:bookmarkEnd w:id="36"/>
    </w:p>
    <w:p>
      <w:pPr>
        <w:pStyle w:val="21"/>
        <w:snapToGrid w:val="0"/>
        <w:spacing w:line="500" w:lineRule="exact"/>
        <w:ind w:firstLine="420"/>
        <w:rPr>
          <w:rFonts w:ascii="微软雅黑" w:hAnsi="微软雅黑"/>
          <w:spacing w:val="0"/>
          <w:sz w:val="21"/>
          <w:szCs w:val="21"/>
          <w:highlight w:val="none"/>
        </w:rPr>
      </w:pPr>
      <w:bookmarkStart w:id="37" w:name="_Toc493511588"/>
      <w:r>
        <w:rPr>
          <w:rFonts w:hint="eastAsia" w:ascii="微软雅黑" w:hAnsi="微软雅黑"/>
          <w:spacing w:val="0"/>
          <w:sz w:val="21"/>
          <w:szCs w:val="21"/>
          <w:highlight w:val="none"/>
        </w:rPr>
        <w:t>2.5、“项目”系指投标人按招标文件规定向采购人提供的产品和服务。</w:t>
      </w:r>
      <w:bookmarkEnd w:id="37"/>
    </w:p>
    <w:p>
      <w:pPr>
        <w:pStyle w:val="21"/>
        <w:snapToGrid w:val="0"/>
        <w:spacing w:line="500" w:lineRule="exact"/>
        <w:ind w:firstLine="420"/>
        <w:rPr>
          <w:rFonts w:ascii="微软雅黑" w:hAnsi="微软雅黑"/>
          <w:spacing w:val="0"/>
          <w:sz w:val="21"/>
          <w:szCs w:val="21"/>
          <w:highlight w:val="none"/>
        </w:rPr>
      </w:pPr>
      <w:bookmarkStart w:id="38" w:name="_Toc493511589"/>
      <w:r>
        <w:rPr>
          <w:rFonts w:hint="eastAsia" w:ascii="微软雅黑" w:hAnsi="微软雅黑"/>
          <w:spacing w:val="0"/>
          <w:sz w:val="21"/>
          <w:szCs w:val="21"/>
          <w:highlight w:val="none"/>
        </w:rPr>
        <w:t>2.6、“书面形式”包括信函、传真、电报、电子文档等。</w:t>
      </w:r>
      <w:bookmarkEnd w:id="38"/>
    </w:p>
    <w:p>
      <w:pPr>
        <w:pStyle w:val="21"/>
        <w:snapToGrid w:val="0"/>
        <w:spacing w:line="500" w:lineRule="exact"/>
        <w:ind w:firstLine="420"/>
        <w:rPr>
          <w:rFonts w:ascii="微软雅黑" w:hAnsi="微软雅黑"/>
          <w:spacing w:val="0"/>
          <w:sz w:val="21"/>
          <w:szCs w:val="21"/>
          <w:highlight w:val="none"/>
        </w:rPr>
      </w:pPr>
      <w:bookmarkStart w:id="39" w:name="_Toc493511590"/>
      <w:r>
        <w:rPr>
          <w:rFonts w:hint="eastAsia" w:ascii="微软雅黑" w:hAnsi="微软雅黑"/>
          <w:spacing w:val="0"/>
          <w:sz w:val="21"/>
          <w:szCs w:val="21"/>
          <w:highlight w:val="none"/>
        </w:rPr>
        <w:t>2.7、“▲”系指实质性要求条款。</w:t>
      </w:r>
      <w:bookmarkEnd w:id="39"/>
      <w:bookmarkStart w:id="40" w:name="_Toc427915761"/>
      <w:bookmarkStart w:id="41" w:name="_Toc177870539"/>
    </w:p>
    <w:p>
      <w:pPr>
        <w:pStyle w:val="7"/>
        <w:spacing w:line="500" w:lineRule="exact"/>
        <w:ind w:firstLine="420"/>
        <w:rPr>
          <w:rFonts w:ascii="微软雅黑" w:hAnsi="微软雅黑"/>
          <w:szCs w:val="21"/>
          <w:highlight w:val="none"/>
        </w:rPr>
      </w:pPr>
      <w:bookmarkStart w:id="42" w:name="_Toc493511591"/>
      <w:r>
        <w:rPr>
          <w:rFonts w:hint="eastAsia" w:ascii="微软雅黑" w:hAnsi="微软雅黑"/>
          <w:szCs w:val="21"/>
          <w:highlight w:val="none"/>
        </w:rPr>
        <w:t>3、招标方式</w:t>
      </w:r>
      <w:bookmarkEnd w:id="40"/>
      <w:bookmarkEnd w:id="41"/>
      <w:bookmarkEnd w:id="42"/>
    </w:p>
    <w:p>
      <w:pPr>
        <w:pStyle w:val="21"/>
        <w:snapToGrid w:val="0"/>
        <w:spacing w:line="500" w:lineRule="exact"/>
        <w:ind w:firstLine="420"/>
        <w:rPr>
          <w:rFonts w:ascii="微软雅黑" w:hAnsi="微软雅黑"/>
          <w:spacing w:val="0"/>
          <w:sz w:val="21"/>
          <w:szCs w:val="21"/>
          <w:highlight w:val="none"/>
        </w:rPr>
      </w:pPr>
      <w:bookmarkStart w:id="43" w:name="_Toc493511592"/>
      <w:r>
        <w:rPr>
          <w:rFonts w:hint="eastAsia" w:ascii="微软雅黑" w:hAnsi="微软雅黑"/>
          <w:spacing w:val="0"/>
          <w:sz w:val="21"/>
          <w:szCs w:val="21"/>
          <w:highlight w:val="none"/>
        </w:rPr>
        <w:t>3.1、本次招标采用公开招标方式进行。</w:t>
      </w:r>
      <w:bookmarkEnd w:id="43"/>
    </w:p>
    <w:p>
      <w:pPr>
        <w:pStyle w:val="21"/>
        <w:snapToGrid w:val="0"/>
        <w:spacing w:line="500" w:lineRule="exact"/>
        <w:ind w:firstLine="420"/>
        <w:rPr>
          <w:rFonts w:ascii="微软雅黑" w:hAnsi="微软雅黑"/>
          <w:spacing w:val="0"/>
          <w:sz w:val="21"/>
          <w:szCs w:val="21"/>
          <w:highlight w:val="none"/>
        </w:rPr>
      </w:pPr>
      <w:bookmarkStart w:id="44" w:name="_Toc493511593"/>
      <w:r>
        <w:rPr>
          <w:rFonts w:hint="eastAsia" w:ascii="微软雅黑" w:hAnsi="微软雅黑"/>
          <w:spacing w:val="0"/>
          <w:sz w:val="21"/>
          <w:szCs w:val="21"/>
          <w:highlight w:val="none"/>
        </w:rPr>
        <w:t>3.2、本次招标设定上限价为项目预算金额。</w:t>
      </w:r>
      <w:bookmarkEnd w:id="44"/>
      <w:bookmarkStart w:id="45" w:name="_Toc177870540"/>
      <w:bookmarkStart w:id="46" w:name="_Toc177824941"/>
      <w:bookmarkStart w:id="47" w:name="_Toc427915762"/>
      <w:bookmarkStart w:id="48" w:name="_Toc177825122"/>
      <w:bookmarkStart w:id="49" w:name="_Toc177824874"/>
    </w:p>
    <w:p>
      <w:pPr>
        <w:pStyle w:val="7"/>
        <w:spacing w:line="500" w:lineRule="exact"/>
        <w:ind w:firstLine="420"/>
        <w:rPr>
          <w:rFonts w:ascii="微软雅黑" w:hAnsi="微软雅黑"/>
          <w:szCs w:val="21"/>
          <w:highlight w:val="none"/>
        </w:rPr>
      </w:pPr>
      <w:bookmarkStart w:id="50" w:name="_Toc493511594"/>
      <w:r>
        <w:rPr>
          <w:rFonts w:hint="eastAsia" w:ascii="微软雅黑" w:hAnsi="微软雅黑"/>
          <w:szCs w:val="21"/>
          <w:highlight w:val="none"/>
        </w:rPr>
        <w:t>4、投标委托</w:t>
      </w:r>
      <w:bookmarkEnd w:id="45"/>
      <w:bookmarkEnd w:id="46"/>
      <w:bookmarkEnd w:id="47"/>
      <w:bookmarkEnd w:id="48"/>
      <w:bookmarkEnd w:id="49"/>
      <w:bookmarkEnd w:id="50"/>
    </w:p>
    <w:p>
      <w:pPr>
        <w:pStyle w:val="21"/>
        <w:snapToGrid w:val="0"/>
        <w:spacing w:line="500" w:lineRule="exact"/>
        <w:ind w:firstLine="420"/>
        <w:rPr>
          <w:rFonts w:ascii="微软雅黑" w:hAnsi="微软雅黑"/>
          <w:spacing w:val="0"/>
          <w:sz w:val="21"/>
          <w:szCs w:val="21"/>
          <w:highlight w:val="none"/>
        </w:rPr>
      </w:pPr>
      <w:bookmarkStart w:id="51" w:name="_Toc493511595"/>
      <w:r>
        <w:rPr>
          <w:rFonts w:hint="eastAsia" w:ascii="微软雅黑" w:hAnsi="微软雅黑"/>
          <w:spacing w:val="0"/>
          <w:sz w:val="21"/>
          <w:szCs w:val="21"/>
          <w:highlight w:val="none"/>
        </w:rPr>
        <w:t>投标人代表须携带居民身份证。如投标人代表不是法定代表人，须有法定代表人出具的授权委托书。（正本用原件，副本可用复印件，格式见第六部分）。</w:t>
      </w:r>
      <w:bookmarkEnd w:id="51"/>
      <w:bookmarkStart w:id="52" w:name="_Toc177870541"/>
      <w:bookmarkStart w:id="53" w:name="_Toc177825123"/>
      <w:bookmarkStart w:id="54" w:name="_Toc177824875"/>
      <w:bookmarkStart w:id="55" w:name="_Toc177824942"/>
      <w:bookmarkStart w:id="56" w:name="_Toc427915763"/>
    </w:p>
    <w:p>
      <w:pPr>
        <w:pStyle w:val="7"/>
        <w:spacing w:line="500" w:lineRule="exact"/>
        <w:ind w:firstLine="420"/>
        <w:rPr>
          <w:rFonts w:ascii="微软雅黑" w:hAnsi="微软雅黑"/>
          <w:szCs w:val="21"/>
          <w:highlight w:val="none"/>
        </w:rPr>
      </w:pPr>
      <w:bookmarkStart w:id="57" w:name="_Toc493511596"/>
      <w:r>
        <w:rPr>
          <w:rFonts w:hint="eastAsia" w:ascii="微软雅黑" w:hAnsi="微软雅黑"/>
          <w:szCs w:val="21"/>
          <w:highlight w:val="none"/>
        </w:rPr>
        <w:t>5、投标费用</w:t>
      </w:r>
      <w:bookmarkEnd w:id="52"/>
      <w:bookmarkEnd w:id="53"/>
      <w:bookmarkEnd w:id="54"/>
      <w:bookmarkEnd w:id="55"/>
      <w:bookmarkEnd w:id="56"/>
      <w:bookmarkEnd w:id="57"/>
    </w:p>
    <w:p>
      <w:pPr>
        <w:pStyle w:val="21"/>
        <w:snapToGrid w:val="0"/>
        <w:spacing w:line="500" w:lineRule="exact"/>
        <w:ind w:firstLine="420"/>
        <w:rPr>
          <w:rFonts w:ascii="微软雅黑" w:hAnsi="微软雅黑"/>
          <w:spacing w:val="0"/>
          <w:sz w:val="21"/>
          <w:szCs w:val="21"/>
          <w:highlight w:val="none"/>
        </w:rPr>
      </w:pPr>
      <w:bookmarkStart w:id="58" w:name="_Toc493511597"/>
      <w:r>
        <w:rPr>
          <w:rFonts w:hint="eastAsia" w:ascii="微软雅黑" w:hAnsi="微软雅黑"/>
          <w:spacing w:val="0"/>
          <w:sz w:val="21"/>
          <w:szCs w:val="21"/>
          <w:highlight w:val="none"/>
        </w:rPr>
        <w:t>不论投标结果如何，投标人均应自行承担所有与投标有关的全部费用。</w:t>
      </w:r>
      <w:bookmarkEnd w:id="58"/>
    </w:p>
    <w:p>
      <w:pPr>
        <w:pStyle w:val="7"/>
        <w:spacing w:line="500" w:lineRule="exact"/>
        <w:ind w:firstLine="420"/>
        <w:rPr>
          <w:rFonts w:ascii="微软雅黑" w:hAnsi="微软雅黑"/>
          <w:szCs w:val="21"/>
          <w:highlight w:val="none"/>
        </w:rPr>
      </w:pPr>
      <w:bookmarkStart w:id="59" w:name="_Toc493511598"/>
      <w:r>
        <w:rPr>
          <w:rFonts w:hint="eastAsia" w:ascii="微软雅黑" w:hAnsi="微软雅黑"/>
          <w:szCs w:val="21"/>
          <w:highlight w:val="none"/>
        </w:rPr>
        <w:t>6、联合体投标</w:t>
      </w:r>
      <w:bookmarkEnd w:id="59"/>
    </w:p>
    <w:p>
      <w:pPr>
        <w:pStyle w:val="21"/>
        <w:snapToGrid w:val="0"/>
        <w:spacing w:line="500" w:lineRule="exact"/>
        <w:ind w:firstLine="420"/>
        <w:rPr>
          <w:rFonts w:ascii="微软雅黑" w:hAnsi="微软雅黑"/>
          <w:color w:val="auto"/>
          <w:spacing w:val="0"/>
          <w:sz w:val="21"/>
          <w:szCs w:val="21"/>
          <w:highlight w:val="none"/>
        </w:rPr>
      </w:pPr>
      <w:bookmarkStart w:id="60" w:name="_Toc493511599"/>
      <w:r>
        <w:rPr>
          <w:rFonts w:hint="eastAsia" w:ascii="微软雅黑" w:hAnsi="微软雅黑"/>
          <w:color w:val="auto"/>
          <w:spacing w:val="0"/>
          <w:sz w:val="21"/>
          <w:szCs w:val="21"/>
          <w:highlight w:val="none"/>
        </w:rPr>
        <w:t>本项目</w:t>
      </w:r>
      <w:r>
        <w:rPr>
          <w:rFonts w:hint="eastAsia" w:ascii="微软雅黑" w:hAnsi="微软雅黑"/>
          <w:color w:val="auto"/>
          <w:spacing w:val="0"/>
          <w:sz w:val="21"/>
          <w:szCs w:val="21"/>
          <w:highlight w:val="none"/>
          <w:lang w:val="en-US" w:eastAsia="zh-CN"/>
        </w:rPr>
        <w:t>不</w:t>
      </w:r>
      <w:r>
        <w:rPr>
          <w:rFonts w:hint="eastAsia" w:ascii="微软雅黑" w:hAnsi="微软雅黑"/>
          <w:color w:val="auto"/>
          <w:spacing w:val="0"/>
          <w:sz w:val="21"/>
          <w:szCs w:val="21"/>
          <w:highlight w:val="none"/>
        </w:rPr>
        <w:t>接受联合体投标。</w:t>
      </w:r>
      <w:bookmarkEnd w:id="60"/>
      <w:bookmarkStart w:id="61" w:name="_Toc177870544"/>
    </w:p>
    <w:p>
      <w:pPr>
        <w:pStyle w:val="7"/>
        <w:spacing w:line="500" w:lineRule="exact"/>
        <w:ind w:firstLine="420"/>
        <w:rPr>
          <w:rFonts w:ascii="微软雅黑" w:hAnsi="微软雅黑"/>
          <w:szCs w:val="21"/>
          <w:highlight w:val="none"/>
        </w:rPr>
      </w:pPr>
      <w:r>
        <w:rPr>
          <w:rFonts w:hint="eastAsia" w:ascii="微软雅黑" w:hAnsi="微软雅黑"/>
          <w:szCs w:val="21"/>
          <w:highlight w:val="none"/>
        </w:rPr>
        <w:t>7、转包与分包</w:t>
      </w:r>
    </w:p>
    <w:p>
      <w:pPr>
        <w:pStyle w:val="21"/>
        <w:snapToGrid w:val="0"/>
        <w:spacing w:line="500" w:lineRule="exact"/>
        <w:ind w:firstLine="420"/>
        <w:rPr>
          <w:rFonts w:ascii="微软雅黑" w:hAnsi="微软雅黑"/>
          <w:spacing w:val="0"/>
          <w:sz w:val="21"/>
          <w:szCs w:val="21"/>
          <w:highlight w:val="none"/>
        </w:rPr>
      </w:pPr>
      <w:r>
        <w:rPr>
          <w:rFonts w:hint="eastAsia" w:ascii="微软雅黑" w:hAnsi="微软雅黑"/>
          <w:spacing w:val="0"/>
          <w:sz w:val="21"/>
          <w:szCs w:val="21"/>
          <w:highlight w:val="none"/>
        </w:rPr>
        <w:t>7.1、本项目不允许转包；</w:t>
      </w:r>
    </w:p>
    <w:p>
      <w:pPr>
        <w:pStyle w:val="21"/>
        <w:snapToGrid w:val="0"/>
        <w:spacing w:line="500" w:lineRule="exact"/>
        <w:ind w:firstLine="420"/>
        <w:rPr>
          <w:rFonts w:ascii="微软雅黑" w:hAnsi="微软雅黑"/>
          <w:spacing w:val="0"/>
          <w:sz w:val="21"/>
          <w:szCs w:val="21"/>
          <w:highlight w:val="none"/>
        </w:rPr>
      </w:pPr>
      <w:r>
        <w:rPr>
          <w:rFonts w:hint="eastAsia" w:ascii="微软雅黑" w:hAnsi="微软雅黑"/>
          <w:spacing w:val="0"/>
          <w:sz w:val="21"/>
          <w:szCs w:val="21"/>
          <w:highlight w:val="none"/>
        </w:rPr>
        <w:t>7.2、本项目不允许分包。</w:t>
      </w:r>
      <w:bookmarkStart w:id="62" w:name="_Toc177870542"/>
      <w:bookmarkStart w:id="63" w:name="_Toc430786267"/>
    </w:p>
    <w:p>
      <w:pPr>
        <w:pStyle w:val="7"/>
        <w:spacing w:line="500" w:lineRule="exact"/>
        <w:ind w:firstLine="420"/>
        <w:rPr>
          <w:rFonts w:ascii="微软雅黑" w:hAnsi="微软雅黑"/>
          <w:szCs w:val="21"/>
          <w:highlight w:val="none"/>
        </w:rPr>
      </w:pPr>
      <w:r>
        <w:rPr>
          <w:rFonts w:hint="eastAsia" w:ascii="微软雅黑" w:hAnsi="微软雅黑"/>
          <w:szCs w:val="21"/>
          <w:highlight w:val="none"/>
        </w:rPr>
        <w:t>8、特别说明：</w:t>
      </w:r>
      <w:bookmarkEnd w:id="62"/>
      <w:bookmarkEnd w:id="63"/>
    </w:p>
    <w:p>
      <w:pPr>
        <w:pStyle w:val="21"/>
        <w:snapToGrid w:val="0"/>
        <w:spacing w:line="500" w:lineRule="exact"/>
        <w:ind w:firstLine="420"/>
        <w:rPr>
          <w:rFonts w:ascii="微软雅黑" w:hAnsi="微软雅黑"/>
          <w:spacing w:val="0"/>
          <w:sz w:val="21"/>
          <w:szCs w:val="21"/>
          <w:highlight w:val="none"/>
        </w:rPr>
      </w:pPr>
      <w:bookmarkStart w:id="64" w:name="_Toc495603533"/>
      <w:bookmarkStart w:id="65" w:name="_Toc177870543"/>
      <w:bookmarkStart w:id="66" w:name="_Toc430786268"/>
      <w:r>
        <w:rPr>
          <w:rFonts w:hint="eastAsia" w:ascii="微软雅黑" w:hAnsi="微软雅黑"/>
          <w:spacing w:val="0"/>
          <w:sz w:val="21"/>
          <w:szCs w:val="21"/>
          <w:highlight w:val="none"/>
        </w:rPr>
        <w:t>8.1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pStyle w:val="21"/>
        <w:snapToGrid w:val="0"/>
        <w:spacing w:line="500" w:lineRule="exact"/>
        <w:ind w:firstLine="420"/>
        <w:rPr>
          <w:rFonts w:ascii="微软雅黑" w:hAnsi="微软雅黑"/>
          <w:spacing w:val="0"/>
          <w:sz w:val="21"/>
          <w:szCs w:val="21"/>
          <w:highlight w:val="none"/>
        </w:rPr>
      </w:pPr>
      <w:r>
        <w:rPr>
          <w:rFonts w:hint="eastAsia" w:ascii="微软雅黑" w:hAnsi="微软雅黑"/>
          <w:spacing w:val="0"/>
          <w:sz w:val="21"/>
          <w:szCs w:val="21"/>
          <w:highlight w:val="none"/>
        </w:rPr>
        <w:t>8.2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21"/>
        <w:snapToGrid w:val="0"/>
        <w:spacing w:line="500" w:lineRule="exact"/>
        <w:ind w:firstLine="420"/>
        <w:rPr>
          <w:rFonts w:ascii="微软雅黑" w:hAnsi="微软雅黑"/>
          <w:spacing w:val="0"/>
          <w:sz w:val="21"/>
          <w:szCs w:val="21"/>
          <w:highlight w:val="none"/>
        </w:rPr>
      </w:pPr>
      <w:r>
        <w:rPr>
          <w:rFonts w:hint="eastAsia" w:ascii="微软雅黑" w:hAnsi="微软雅黑"/>
          <w:spacing w:val="0"/>
          <w:sz w:val="21"/>
          <w:szCs w:val="21"/>
          <w:highlight w:val="none"/>
        </w:rPr>
        <w:t>8.3、非单一产品采购项目，采购人应当根据采购项目技术构成、产品价格比重等合理确定核心产品，并在招标文件中载明。多家投标人提供的核心产品品牌相同的，按前两款规定处理。</w:t>
      </w:r>
    </w:p>
    <w:p>
      <w:pPr>
        <w:pStyle w:val="7"/>
        <w:spacing w:line="500" w:lineRule="exact"/>
        <w:ind w:firstLine="420"/>
        <w:rPr>
          <w:rFonts w:ascii="微软雅黑" w:hAnsi="微软雅黑"/>
          <w:szCs w:val="21"/>
          <w:highlight w:val="none"/>
        </w:rPr>
      </w:pPr>
      <w:r>
        <w:rPr>
          <w:rFonts w:hint="eastAsia" w:ascii="微软雅黑" w:hAnsi="微软雅黑"/>
          <w:szCs w:val="21"/>
          <w:highlight w:val="none"/>
        </w:rPr>
        <w:t>9.质疑</w:t>
      </w:r>
      <w:bookmarkEnd w:id="64"/>
      <w:bookmarkEnd w:id="65"/>
      <w:bookmarkEnd w:id="66"/>
    </w:p>
    <w:p>
      <w:pPr>
        <w:pStyle w:val="27"/>
        <w:spacing w:line="500" w:lineRule="exact"/>
        <w:ind w:firstLine="412" w:firstLineChars="196"/>
        <w:outlineLvl w:val="1"/>
        <w:rPr>
          <w:rFonts w:ascii="微软雅黑" w:hAnsi="微软雅黑"/>
          <w:b/>
          <w:szCs w:val="21"/>
          <w:highlight w:val="none"/>
        </w:rPr>
      </w:pPr>
      <w:bookmarkStart w:id="67" w:name="_Toc495603534"/>
      <w:r>
        <w:rPr>
          <w:rFonts w:hint="eastAsia" w:ascii="微软雅黑" w:hAnsi="微软雅黑"/>
          <w:b/>
          <w:szCs w:val="21"/>
          <w:highlight w:val="none"/>
        </w:rPr>
        <w:t>9.</w:t>
      </w:r>
      <w:r>
        <w:rPr>
          <w:rFonts w:ascii="微软雅黑" w:hAnsi="微软雅黑"/>
          <w:b/>
          <w:szCs w:val="21"/>
          <w:highlight w:val="none"/>
        </w:rPr>
        <w:t>1</w:t>
      </w:r>
      <w:r>
        <w:rPr>
          <w:rFonts w:hint="eastAsia" w:ascii="微软雅黑" w:hAnsi="微软雅黑"/>
          <w:b/>
          <w:szCs w:val="21"/>
          <w:highlight w:val="none"/>
        </w:rPr>
        <w:t>.</w:t>
      </w:r>
      <w:r>
        <w:rPr>
          <w:rFonts w:ascii="微软雅黑" w:hAnsi="微软雅黑"/>
          <w:b/>
          <w:szCs w:val="21"/>
          <w:highlight w:val="none"/>
        </w:rPr>
        <w:t>投标人认为招标文件、招标过程</w:t>
      </w:r>
      <w:r>
        <w:rPr>
          <w:rFonts w:hint="eastAsia" w:ascii="微软雅黑" w:hAnsi="微软雅黑"/>
          <w:b/>
          <w:szCs w:val="21"/>
          <w:highlight w:val="none"/>
        </w:rPr>
        <w:t>或</w:t>
      </w:r>
      <w:r>
        <w:rPr>
          <w:rFonts w:ascii="微软雅黑" w:hAnsi="微软雅黑"/>
          <w:b/>
          <w:szCs w:val="21"/>
          <w:highlight w:val="none"/>
        </w:rPr>
        <w:t>中标结果使自己的合法权益受到损害的，应当在知道或者应知其权益受到损害之日起七个工作日内，以书面形式向采购人、</w:t>
      </w:r>
      <w:r>
        <w:rPr>
          <w:rFonts w:hint="eastAsia" w:ascii="微软雅黑" w:hAnsi="微软雅黑"/>
          <w:b/>
          <w:szCs w:val="21"/>
          <w:highlight w:val="none"/>
        </w:rPr>
        <w:t>代理机构</w:t>
      </w:r>
      <w:r>
        <w:rPr>
          <w:rFonts w:ascii="微软雅黑" w:hAnsi="微软雅黑"/>
          <w:b/>
          <w:szCs w:val="21"/>
          <w:highlight w:val="none"/>
        </w:rPr>
        <w:t>提出质疑。投标人对招标采购单位的质疑答复不满意或者招标采购单位未在规定时间内作出答复的，可以在答复期满后十五个工作日内向同级采购监管部门投诉。</w:t>
      </w:r>
      <w:bookmarkEnd w:id="67"/>
      <w:bookmarkStart w:id="68" w:name="_Toc495603535"/>
    </w:p>
    <w:p>
      <w:pPr>
        <w:pStyle w:val="27"/>
        <w:spacing w:line="500" w:lineRule="exact"/>
        <w:ind w:firstLine="412" w:firstLineChars="196"/>
        <w:outlineLvl w:val="1"/>
        <w:rPr>
          <w:rFonts w:ascii="微软雅黑" w:hAnsi="微软雅黑"/>
          <w:b/>
          <w:szCs w:val="21"/>
          <w:highlight w:val="none"/>
        </w:rPr>
      </w:pPr>
      <w:r>
        <w:rPr>
          <w:rFonts w:hint="eastAsia" w:ascii="微软雅黑" w:hAnsi="微软雅黑"/>
          <w:b/>
          <w:szCs w:val="21"/>
          <w:highlight w:val="none"/>
        </w:rPr>
        <w:t>9.</w:t>
      </w:r>
      <w:r>
        <w:rPr>
          <w:rFonts w:ascii="微软雅黑" w:hAnsi="微软雅黑"/>
          <w:b/>
          <w:szCs w:val="21"/>
          <w:highlight w:val="none"/>
        </w:rPr>
        <w:t>2</w:t>
      </w:r>
      <w:r>
        <w:rPr>
          <w:rFonts w:hint="eastAsia" w:ascii="微软雅黑" w:hAnsi="微软雅黑"/>
          <w:b/>
          <w:szCs w:val="21"/>
          <w:highlight w:val="none"/>
        </w:rPr>
        <w:t>.</w:t>
      </w:r>
      <w:r>
        <w:rPr>
          <w:rFonts w:ascii="微软雅黑" w:hAnsi="微软雅黑"/>
          <w:b/>
          <w:szCs w:val="21"/>
          <w:highlight w:val="none"/>
        </w:rPr>
        <w:t>质疑、投诉应当采用书面形式，质疑书、投诉书均应明确阐述招标文件、招标过程</w:t>
      </w:r>
      <w:r>
        <w:rPr>
          <w:rFonts w:hint="eastAsia" w:ascii="微软雅黑" w:hAnsi="微软雅黑"/>
          <w:b/>
          <w:szCs w:val="21"/>
          <w:highlight w:val="none"/>
        </w:rPr>
        <w:t>或</w:t>
      </w:r>
      <w:r>
        <w:rPr>
          <w:rFonts w:ascii="微软雅黑" w:hAnsi="微软雅黑"/>
          <w:b/>
          <w:szCs w:val="21"/>
          <w:highlight w:val="none"/>
        </w:rPr>
        <w:t>中标结果中使自己合法权益受到损害的实质性内容，提供相关事实、依据和证据及其来源或线索，便于有关单位调查、答复和处理</w:t>
      </w:r>
      <w:r>
        <w:rPr>
          <w:rFonts w:hint="eastAsia" w:ascii="微软雅黑" w:hAnsi="微软雅黑"/>
          <w:b/>
          <w:szCs w:val="21"/>
          <w:highlight w:val="none"/>
        </w:rPr>
        <w:t>。</w:t>
      </w:r>
      <w:bookmarkEnd w:id="68"/>
    </w:p>
    <w:p>
      <w:pPr>
        <w:pStyle w:val="6"/>
        <w:spacing w:line="500" w:lineRule="exact"/>
        <w:ind w:firstLine="420"/>
        <w:rPr>
          <w:rFonts w:ascii="微软雅黑" w:hAnsi="微软雅黑"/>
          <w:szCs w:val="21"/>
          <w:highlight w:val="none"/>
        </w:rPr>
      </w:pPr>
      <w:bookmarkStart w:id="69" w:name="_Toc493511613"/>
      <w:r>
        <w:rPr>
          <w:rFonts w:hint="eastAsia" w:ascii="微软雅黑" w:hAnsi="微软雅黑"/>
          <w:szCs w:val="21"/>
          <w:highlight w:val="none"/>
        </w:rPr>
        <w:t>二 、招标文件</w:t>
      </w:r>
      <w:bookmarkEnd w:id="61"/>
      <w:bookmarkEnd w:id="69"/>
    </w:p>
    <w:p>
      <w:pPr>
        <w:pStyle w:val="7"/>
        <w:spacing w:line="500" w:lineRule="exact"/>
        <w:ind w:firstLine="420"/>
        <w:rPr>
          <w:rFonts w:ascii="微软雅黑" w:hAnsi="微软雅黑"/>
          <w:szCs w:val="21"/>
          <w:highlight w:val="none"/>
        </w:rPr>
      </w:pPr>
      <w:bookmarkStart w:id="70" w:name="_Toc493511614"/>
      <w:r>
        <w:rPr>
          <w:rFonts w:hint="eastAsia" w:ascii="微软雅黑" w:hAnsi="微软雅黑"/>
          <w:szCs w:val="21"/>
          <w:highlight w:val="none"/>
        </w:rPr>
        <w:t>1、招标文件的构成</w:t>
      </w:r>
      <w:bookmarkEnd w:id="70"/>
    </w:p>
    <w:p>
      <w:pPr>
        <w:pStyle w:val="21"/>
        <w:snapToGrid w:val="0"/>
        <w:spacing w:line="500" w:lineRule="exact"/>
        <w:ind w:firstLine="420"/>
        <w:rPr>
          <w:rFonts w:ascii="微软雅黑" w:hAnsi="微软雅黑"/>
          <w:spacing w:val="0"/>
          <w:sz w:val="21"/>
          <w:szCs w:val="21"/>
          <w:highlight w:val="none"/>
        </w:rPr>
      </w:pPr>
      <w:bookmarkStart w:id="71" w:name="_Toc493511615"/>
      <w:r>
        <w:rPr>
          <w:rFonts w:hint="eastAsia" w:ascii="微软雅黑" w:hAnsi="微软雅黑"/>
          <w:spacing w:val="0"/>
          <w:sz w:val="21"/>
          <w:szCs w:val="21"/>
          <w:highlight w:val="none"/>
        </w:rPr>
        <w:t>1.1、公开招标采购公告</w:t>
      </w:r>
      <w:bookmarkEnd w:id="71"/>
    </w:p>
    <w:p>
      <w:pPr>
        <w:pStyle w:val="21"/>
        <w:snapToGrid w:val="0"/>
        <w:spacing w:line="500" w:lineRule="exact"/>
        <w:ind w:firstLine="420"/>
        <w:rPr>
          <w:rFonts w:ascii="微软雅黑" w:hAnsi="微软雅黑"/>
          <w:spacing w:val="0"/>
          <w:sz w:val="21"/>
          <w:szCs w:val="21"/>
          <w:highlight w:val="none"/>
        </w:rPr>
      </w:pPr>
      <w:bookmarkStart w:id="72" w:name="_Toc493511616"/>
      <w:r>
        <w:rPr>
          <w:rFonts w:hint="eastAsia" w:ascii="微软雅黑" w:hAnsi="微软雅黑"/>
          <w:spacing w:val="0"/>
          <w:sz w:val="21"/>
          <w:szCs w:val="21"/>
          <w:highlight w:val="none"/>
        </w:rPr>
        <w:t>1.2、招标项目要求</w:t>
      </w:r>
      <w:bookmarkEnd w:id="72"/>
    </w:p>
    <w:p>
      <w:pPr>
        <w:pStyle w:val="21"/>
        <w:snapToGrid w:val="0"/>
        <w:spacing w:line="500" w:lineRule="exact"/>
        <w:ind w:firstLine="420"/>
        <w:rPr>
          <w:rFonts w:ascii="微软雅黑" w:hAnsi="微软雅黑"/>
          <w:spacing w:val="0"/>
          <w:sz w:val="21"/>
          <w:szCs w:val="21"/>
          <w:highlight w:val="none"/>
        </w:rPr>
      </w:pPr>
      <w:bookmarkStart w:id="73" w:name="_Toc493511617"/>
      <w:r>
        <w:rPr>
          <w:rFonts w:hint="eastAsia" w:ascii="微软雅黑" w:hAnsi="微软雅黑"/>
          <w:spacing w:val="0"/>
          <w:sz w:val="21"/>
          <w:szCs w:val="21"/>
          <w:highlight w:val="none"/>
        </w:rPr>
        <w:t>1.3、投标人须知</w:t>
      </w:r>
      <w:bookmarkEnd w:id="73"/>
    </w:p>
    <w:p>
      <w:pPr>
        <w:pStyle w:val="21"/>
        <w:snapToGrid w:val="0"/>
        <w:spacing w:line="500" w:lineRule="exact"/>
        <w:ind w:firstLine="420"/>
        <w:rPr>
          <w:rFonts w:ascii="微软雅黑" w:hAnsi="微软雅黑"/>
          <w:spacing w:val="0"/>
          <w:sz w:val="21"/>
          <w:szCs w:val="21"/>
          <w:highlight w:val="none"/>
        </w:rPr>
      </w:pPr>
      <w:bookmarkStart w:id="74" w:name="_Toc493511618"/>
      <w:r>
        <w:rPr>
          <w:rFonts w:hint="eastAsia" w:ascii="微软雅黑" w:hAnsi="微软雅黑"/>
          <w:spacing w:val="0"/>
          <w:sz w:val="21"/>
          <w:szCs w:val="21"/>
          <w:highlight w:val="none"/>
        </w:rPr>
        <w:t>1.4、评标办法</w:t>
      </w:r>
      <w:bookmarkEnd w:id="74"/>
    </w:p>
    <w:p>
      <w:pPr>
        <w:pStyle w:val="21"/>
        <w:snapToGrid w:val="0"/>
        <w:spacing w:line="500" w:lineRule="exact"/>
        <w:ind w:firstLine="420"/>
        <w:rPr>
          <w:rFonts w:ascii="微软雅黑" w:hAnsi="微软雅黑"/>
          <w:spacing w:val="0"/>
          <w:sz w:val="21"/>
          <w:szCs w:val="21"/>
          <w:highlight w:val="none"/>
        </w:rPr>
      </w:pPr>
      <w:bookmarkStart w:id="75" w:name="_Toc493511619"/>
      <w:r>
        <w:rPr>
          <w:rFonts w:hint="eastAsia" w:ascii="微软雅黑" w:hAnsi="微软雅黑"/>
          <w:spacing w:val="0"/>
          <w:sz w:val="21"/>
          <w:szCs w:val="21"/>
          <w:highlight w:val="none"/>
        </w:rPr>
        <w:t>1.5、政府采购合同</w:t>
      </w:r>
      <w:bookmarkEnd w:id="75"/>
    </w:p>
    <w:p>
      <w:pPr>
        <w:pStyle w:val="21"/>
        <w:snapToGrid w:val="0"/>
        <w:spacing w:line="500" w:lineRule="exact"/>
        <w:ind w:firstLine="420"/>
        <w:rPr>
          <w:rFonts w:ascii="微软雅黑" w:hAnsi="微软雅黑"/>
          <w:spacing w:val="0"/>
          <w:sz w:val="21"/>
          <w:szCs w:val="21"/>
          <w:highlight w:val="none"/>
        </w:rPr>
      </w:pPr>
      <w:bookmarkStart w:id="76" w:name="_Toc493511620"/>
      <w:r>
        <w:rPr>
          <w:rFonts w:hint="eastAsia" w:ascii="微软雅黑" w:hAnsi="微软雅黑"/>
          <w:spacing w:val="0"/>
          <w:sz w:val="21"/>
          <w:szCs w:val="21"/>
          <w:highlight w:val="none"/>
        </w:rPr>
        <w:t>1.6、投标文件相关文件格式</w:t>
      </w:r>
      <w:bookmarkEnd w:id="76"/>
      <w:bookmarkStart w:id="77" w:name="_Toc482363722"/>
    </w:p>
    <w:p>
      <w:pPr>
        <w:pStyle w:val="21"/>
        <w:snapToGrid w:val="0"/>
        <w:spacing w:line="500" w:lineRule="exact"/>
        <w:ind w:firstLine="420"/>
        <w:rPr>
          <w:rFonts w:ascii="微软雅黑" w:hAnsi="微软雅黑"/>
          <w:spacing w:val="0"/>
          <w:sz w:val="21"/>
          <w:szCs w:val="21"/>
          <w:highlight w:val="none"/>
        </w:rPr>
      </w:pPr>
      <w:bookmarkStart w:id="78" w:name="_Toc493511621"/>
      <w:r>
        <w:rPr>
          <w:rFonts w:hint="eastAsia" w:ascii="微软雅黑" w:hAnsi="微软雅黑"/>
          <w:spacing w:val="0"/>
          <w:sz w:val="21"/>
          <w:szCs w:val="21"/>
          <w:highlight w:val="none"/>
        </w:rPr>
        <w:t>1.7、本项目招标文件的澄清、答复、修改、补充的内容（所有内容将以电子文档形式上传于浙江政府采购网网站（</w:t>
      </w:r>
      <w:r>
        <w:rPr>
          <w:rFonts w:ascii="微软雅黑" w:hAnsi="微软雅黑"/>
          <w:spacing w:val="0"/>
          <w:sz w:val="21"/>
          <w:szCs w:val="21"/>
          <w:highlight w:val="none"/>
        </w:rPr>
        <w:t>https://zfcg.czt.zj.gov.cn/</w:t>
      </w:r>
      <w:r>
        <w:rPr>
          <w:rFonts w:hint="eastAsia" w:ascii="微软雅黑" w:hAnsi="微软雅黑"/>
          <w:spacing w:val="0"/>
          <w:sz w:val="21"/>
          <w:szCs w:val="21"/>
          <w:highlight w:val="none"/>
        </w:rPr>
        <w:t>）。澄清、答复、修改、补充的内容均作为招标文件的组成部分，具有约束作用。投标人必须自行下载。）</w:t>
      </w:r>
      <w:bookmarkEnd w:id="77"/>
      <w:bookmarkEnd w:id="78"/>
    </w:p>
    <w:p>
      <w:pPr>
        <w:pStyle w:val="7"/>
        <w:spacing w:line="500" w:lineRule="exact"/>
        <w:ind w:firstLine="420"/>
        <w:rPr>
          <w:rFonts w:ascii="微软雅黑" w:hAnsi="微软雅黑"/>
          <w:szCs w:val="21"/>
          <w:highlight w:val="none"/>
        </w:rPr>
      </w:pPr>
      <w:bookmarkStart w:id="79" w:name="_Toc493511622"/>
      <w:r>
        <w:rPr>
          <w:rFonts w:hint="eastAsia" w:ascii="微软雅黑" w:hAnsi="微软雅黑"/>
          <w:szCs w:val="21"/>
          <w:highlight w:val="none"/>
        </w:rPr>
        <w:t>2、存在的风险</w:t>
      </w:r>
      <w:bookmarkEnd w:id="79"/>
    </w:p>
    <w:p>
      <w:pPr>
        <w:spacing w:line="500" w:lineRule="exact"/>
        <w:ind w:firstLine="420"/>
        <w:rPr>
          <w:rFonts w:ascii="微软雅黑" w:hAnsi="微软雅黑"/>
          <w:szCs w:val="21"/>
          <w:highlight w:val="none"/>
        </w:rPr>
      </w:pPr>
      <w:bookmarkStart w:id="80" w:name="_Toc493511623"/>
      <w:r>
        <w:rPr>
          <w:rFonts w:hint="eastAsia" w:ascii="微软雅黑" w:hAnsi="微软雅黑"/>
          <w:szCs w:val="21"/>
          <w:highlight w:val="none"/>
        </w:rPr>
        <w:t>投标人没有按照招标文件要求提供全部资料，或者投标人没有对招标文件在各方面作出实质性响应是投标人的风险，并可能导致其投标无效。</w:t>
      </w:r>
      <w:bookmarkEnd w:id="80"/>
    </w:p>
    <w:p>
      <w:pPr>
        <w:pStyle w:val="7"/>
        <w:spacing w:line="500" w:lineRule="exact"/>
        <w:ind w:firstLine="420"/>
        <w:rPr>
          <w:rFonts w:ascii="微软雅黑" w:hAnsi="微软雅黑"/>
          <w:szCs w:val="21"/>
          <w:highlight w:val="none"/>
        </w:rPr>
      </w:pPr>
      <w:bookmarkStart w:id="81" w:name="_Toc493511624"/>
      <w:r>
        <w:rPr>
          <w:rFonts w:hint="eastAsia" w:ascii="微软雅黑" w:hAnsi="微软雅黑"/>
          <w:szCs w:val="21"/>
          <w:highlight w:val="none"/>
        </w:rPr>
        <w:t>3、招标文件的澄清与修改</w:t>
      </w:r>
      <w:bookmarkEnd w:id="81"/>
    </w:p>
    <w:p>
      <w:pPr>
        <w:snapToGrid w:val="0"/>
        <w:spacing w:line="500" w:lineRule="exact"/>
        <w:ind w:firstLine="420"/>
        <w:outlineLvl w:val="1"/>
        <w:rPr>
          <w:rFonts w:ascii="微软雅黑" w:hAnsi="微软雅黑"/>
          <w:szCs w:val="21"/>
          <w:highlight w:val="none"/>
        </w:rPr>
      </w:pPr>
      <w:bookmarkStart w:id="82" w:name="_Toc493511625"/>
      <w:r>
        <w:rPr>
          <w:rFonts w:hint="eastAsia" w:ascii="微软雅黑" w:hAnsi="微软雅黑"/>
          <w:szCs w:val="21"/>
          <w:highlight w:val="none"/>
        </w:rPr>
        <w:t>3.1、投标人应认真阅读本招标文件，发现其中有误或有要求不合理的，投标人必须在知道或者应当知道之日起七个工作日内以书面形式要求采购代理机构澄清，否则，由此产生的后果由投标人负责。</w:t>
      </w:r>
      <w:bookmarkEnd w:id="82"/>
    </w:p>
    <w:p>
      <w:pPr>
        <w:snapToGrid w:val="0"/>
        <w:spacing w:line="500" w:lineRule="exact"/>
        <w:ind w:firstLine="420"/>
        <w:outlineLvl w:val="1"/>
        <w:rPr>
          <w:rFonts w:ascii="微软雅黑" w:hAnsi="微软雅黑"/>
          <w:szCs w:val="21"/>
          <w:highlight w:val="none"/>
        </w:rPr>
      </w:pPr>
      <w:bookmarkStart w:id="83" w:name="_Toc493511626"/>
      <w:r>
        <w:rPr>
          <w:rFonts w:hint="eastAsia" w:ascii="微软雅黑" w:hAnsi="微软雅黑"/>
          <w:szCs w:val="21"/>
          <w:highlight w:val="none"/>
        </w:rPr>
        <w:t>3.2、采购代理机构必须以书面形式答复所有购买招标文件的投标人（答复中不包含问题的来源）要求澄清的问题，同时认定其他澄清方式为无效。</w:t>
      </w:r>
      <w:bookmarkEnd w:id="83"/>
    </w:p>
    <w:p>
      <w:pPr>
        <w:snapToGrid w:val="0"/>
        <w:spacing w:line="500" w:lineRule="exact"/>
        <w:ind w:firstLine="420"/>
        <w:outlineLvl w:val="1"/>
        <w:rPr>
          <w:rFonts w:ascii="微软雅黑" w:hAnsi="微软雅黑"/>
          <w:szCs w:val="21"/>
          <w:highlight w:val="none"/>
        </w:rPr>
      </w:pPr>
      <w:bookmarkStart w:id="84" w:name="_Toc493511627"/>
      <w:r>
        <w:rPr>
          <w:rFonts w:hint="eastAsia" w:ascii="微软雅黑" w:hAnsi="微软雅黑"/>
          <w:szCs w:val="21"/>
          <w:highlight w:val="none"/>
        </w:rPr>
        <w:t>3.3、采购代理机构对已发出的招标文件进行必要澄清或者修改的，应当在招标文件要求提交投标文件截止时间十五日前，在财政部门指定的政府采购信息发布媒体上发布更正公告，并以书面形式通知所有招标文件收受人。该澄清或者修改的内容为招标文件的组成部分。</w:t>
      </w:r>
      <w:bookmarkEnd w:id="84"/>
    </w:p>
    <w:p>
      <w:pPr>
        <w:snapToGrid w:val="0"/>
        <w:spacing w:line="500" w:lineRule="exact"/>
        <w:ind w:firstLine="420"/>
        <w:outlineLvl w:val="1"/>
        <w:rPr>
          <w:rFonts w:ascii="微软雅黑" w:hAnsi="微软雅黑"/>
          <w:szCs w:val="21"/>
          <w:highlight w:val="none"/>
        </w:rPr>
      </w:pPr>
      <w:bookmarkStart w:id="85" w:name="_Toc493511628"/>
      <w:r>
        <w:rPr>
          <w:rFonts w:hint="eastAsia" w:ascii="微软雅黑" w:hAnsi="微软雅黑"/>
          <w:szCs w:val="21"/>
          <w:highlight w:val="none"/>
        </w:rPr>
        <w:t>3.4、采购代理机构和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w:t>
      </w:r>
      <w:bookmarkEnd w:id="85"/>
    </w:p>
    <w:p>
      <w:pPr>
        <w:snapToGrid w:val="0"/>
        <w:spacing w:line="500" w:lineRule="exact"/>
        <w:ind w:firstLine="420"/>
        <w:outlineLvl w:val="1"/>
        <w:rPr>
          <w:rFonts w:ascii="微软雅黑" w:hAnsi="微软雅黑"/>
          <w:szCs w:val="21"/>
          <w:highlight w:val="none"/>
        </w:rPr>
      </w:pPr>
      <w:bookmarkStart w:id="86" w:name="_Toc493511629"/>
      <w:r>
        <w:rPr>
          <w:rFonts w:hint="eastAsia" w:ascii="微软雅黑" w:hAnsi="微软雅黑"/>
          <w:szCs w:val="21"/>
          <w:highlight w:val="none"/>
        </w:rPr>
        <w:t>3.5、招标文件的澄清或者修改都应该通过本代理机构以法定形式发布，采购人非通过本机构，不得擅自澄清或者修改招标文件。</w:t>
      </w:r>
      <w:bookmarkEnd w:id="86"/>
    </w:p>
    <w:p>
      <w:pPr>
        <w:pStyle w:val="6"/>
        <w:spacing w:line="500" w:lineRule="exact"/>
        <w:ind w:firstLine="420"/>
        <w:rPr>
          <w:rFonts w:ascii="微软雅黑" w:hAnsi="微软雅黑"/>
          <w:szCs w:val="21"/>
          <w:highlight w:val="none"/>
        </w:rPr>
      </w:pPr>
      <w:bookmarkStart w:id="87" w:name="_Toc493511630"/>
      <w:bookmarkStart w:id="88" w:name="_Toc177870545"/>
      <w:r>
        <w:rPr>
          <w:rFonts w:hint="eastAsia" w:ascii="微软雅黑" w:hAnsi="微软雅黑"/>
          <w:szCs w:val="21"/>
          <w:highlight w:val="none"/>
        </w:rPr>
        <w:t>三、 投标文件的编制</w:t>
      </w:r>
      <w:bookmarkEnd w:id="87"/>
      <w:bookmarkEnd w:id="88"/>
    </w:p>
    <w:p>
      <w:pPr>
        <w:spacing w:line="500" w:lineRule="exact"/>
        <w:ind w:firstLine="420"/>
        <w:rPr>
          <w:rFonts w:ascii="微软雅黑" w:hAnsi="微软雅黑"/>
          <w:szCs w:val="21"/>
          <w:highlight w:val="none"/>
        </w:rPr>
      </w:pPr>
      <w:bookmarkStart w:id="89" w:name="_Toc33535356"/>
      <w:bookmarkStart w:id="90" w:name="_Toc493511643"/>
      <w:bookmarkStart w:id="91" w:name="_Toc177870547"/>
      <w:bookmarkStart w:id="92" w:name="_Toc177824944"/>
      <w:bookmarkStart w:id="93" w:name="_Toc177825125"/>
      <w:bookmarkStart w:id="94" w:name="_Toc177824877"/>
      <w:r>
        <w:rPr>
          <w:rFonts w:hint="eastAsia" w:ascii="微软雅黑" w:hAnsi="微软雅黑"/>
          <w:szCs w:val="21"/>
          <w:highlight w:val="none"/>
        </w:rPr>
        <w:t>本项目所涉投标文件格式请详见第六章，未给出的格式请自拟。资信商务及技术文件中不得出现报价，否则投标文件将被视为无效。</w:t>
      </w:r>
      <w:bookmarkEnd w:id="89"/>
    </w:p>
    <w:p>
      <w:pPr>
        <w:pStyle w:val="27"/>
        <w:snapToGrid w:val="0"/>
        <w:spacing w:line="500" w:lineRule="exact"/>
        <w:ind w:firstLine="412" w:firstLineChars="196"/>
        <w:outlineLvl w:val="1"/>
        <w:rPr>
          <w:rFonts w:ascii="微软雅黑" w:hAnsi="微软雅黑" w:cs="宋体"/>
          <w:b/>
          <w:szCs w:val="21"/>
          <w:highlight w:val="none"/>
        </w:rPr>
      </w:pPr>
      <w:bookmarkStart w:id="95" w:name="_Toc33535357"/>
      <w:r>
        <w:rPr>
          <w:rFonts w:hint="eastAsia" w:ascii="微软雅黑" w:hAnsi="微软雅黑" w:cs="宋体"/>
          <w:b/>
          <w:szCs w:val="21"/>
          <w:highlight w:val="none"/>
        </w:rPr>
        <w:t>总体要求：</w:t>
      </w:r>
      <w:bookmarkEnd w:id="95"/>
    </w:p>
    <w:p>
      <w:pPr>
        <w:spacing w:line="500" w:lineRule="exact"/>
        <w:ind w:firstLine="420"/>
        <w:rPr>
          <w:rFonts w:ascii="微软雅黑" w:hAnsi="微软雅黑"/>
          <w:szCs w:val="21"/>
          <w:highlight w:val="none"/>
        </w:rPr>
      </w:pPr>
      <w:r>
        <w:rPr>
          <w:rFonts w:hint="eastAsia" w:ascii="微软雅黑" w:hAnsi="微软雅黑"/>
          <w:szCs w:val="21"/>
          <w:highlight w:val="none"/>
        </w:rPr>
        <w:t>1、供应商</w:t>
      </w:r>
      <w:r>
        <w:rPr>
          <w:rFonts w:ascii="微软雅黑" w:hAnsi="微软雅黑"/>
          <w:szCs w:val="21"/>
          <w:highlight w:val="none"/>
        </w:rPr>
        <w:t xml:space="preserve">应仔细阅读招标文件的所有内容，按本文件的要求提供投标文件，并保证所提供的全部资料的真实性，以使其投标文件对招标文件作出实质性响应，否则，投标文件可能视为无效投标文件。 </w:t>
      </w:r>
    </w:p>
    <w:p>
      <w:pPr>
        <w:spacing w:line="500" w:lineRule="exact"/>
        <w:ind w:firstLine="420"/>
        <w:rPr>
          <w:rFonts w:ascii="微软雅黑" w:hAnsi="微软雅黑"/>
          <w:szCs w:val="21"/>
          <w:highlight w:val="none"/>
        </w:rPr>
      </w:pPr>
      <w:r>
        <w:rPr>
          <w:rFonts w:hint="eastAsia" w:ascii="微软雅黑" w:hAnsi="微软雅黑"/>
          <w:szCs w:val="21"/>
          <w:highlight w:val="none"/>
        </w:rPr>
        <w:t>2、投标文件及供应商与采购有关的来往通知，函件和文件均应使用中文。</w:t>
      </w:r>
    </w:p>
    <w:p>
      <w:pPr>
        <w:spacing w:line="500" w:lineRule="exact"/>
        <w:ind w:firstLine="420"/>
        <w:rPr>
          <w:rFonts w:ascii="微软雅黑" w:hAnsi="微软雅黑"/>
          <w:szCs w:val="21"/>
          <w:highlight w:val="none"/>
        </w:rPr>
      </w:pPr>
      <w:r>
        <w:rPr>
          <w:rFonts w:hint="eastAsia" w:ascii="微软雅黑" w:hAnsi="微软雅黑"/>
          <w:szCs w:val="21"/>
          <w:highlight w:val="none"/>
        </w:rPr>
        <w:t>3、供应商应按本文件中提供的文件格式、内容和要求制作投标文件。</w:t>
      </w:r>
    </w:p>
    <w:p>
      <w:pPr>
        <w:spacing w:line="500" w:lineRule="exact"/>
        <w:ind w:firstLine="420"/>
        <w:rPr>
          <w:rFonts w:ascii="微软雅黑" w:hAnsi="微软雅黑" w:cs="宋体"/>
          <w:bCs/>
          <w:szCs w:val="21"/>
          <w:highlight w:val="none"/>
        </w:rPr>
      </w:pPr>
      <w:r>
        <w:rPr>
          <w:rFonts w:hint="eastAsia" w:ascii="微软雅黑" w:hAnsi="微软雅黑"/>
          <w:b/>
          <w:szCs w:val="21"/>
          <w:highlight w:val="none"/>
        </w:rPr>
        <w:t>4、投标文件的效力：投标文件的启用，按先后顺位分别为电子投标文件、电子</w:t>
      </w:r>
      <w:r>
        <w:rPr>
          <w:rFonts w:hint="eastAsia" w:ascii="微软雅黑" w:hAnsi="微软雅黑" w:cs="宋体"/>
          <w:bCs/>
          <w:szCs w:val="21"/>
          <w:highlight w:val="none"/>
        </w:rPr>
        <w:t>备份投标文件</w:t>
      </w:r>
      <w:r>
        <w:rPr>
          <w:rFonts w:hint="eastAsia" w:ascii="微软雅黑" w:hAnsi="微软雅黑"/>
          <w:b/>
          <w:szCs w:val="21"/>
          <w:highlight w:val="none"/>
        </w:rPr>
        <w:t>。</w:t>
      </w:r>
      <w:r>
        <w:rPr>
          <w:rFonts w:hint="eastAsia" w:ascii="微软雅黑" w:hAnsi="微软雅黑" w:cs="宋体"/>
          <w:bCs/>
          <w:szCs w:val="21"/>
          <w:highlight w:val="none"/>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pStyle w:val="6"/>
        <w:spacing w:line="500" w:lineRule="exact"/>
        <w:ind w:firstLine="420"/>
        <w:rPr>
          <w:rFonts w:ascii="微软雅黑" w:hAnsi="微软雅黑"/>
          <w:szCs w:val="21"/>
          <w:highlight w:val="none"/>
        </w:rPr>
      </w:pPr>
      <w:bookmarkStart w:id="96" w:name="_Toc33535358"/>
      <w:bookmarkStart w:id="97" w:name="_Toc406402944"/>
      <w:bookmarkStart w:id="98" w:name="_Toc14695"/>
      <w:bookmarkStart w:id="99" w:name="_Toc20691"/>
      <w:bookmarkStart w:id="100" w:name="_Toc406402988"/>
      <w:r>
        <w:rPr>
          <w:rFonts w:hint="eastAsia" w:ascii="微软雅黑" w:hAnsi="微软雅黑"/>
          <w:szCs w:val="21"/>
          <w:highlight w:val="none"/>
        </w:rPr>
        <w:t>（一）投标文件的组成</w:t>
      </w:r>
      <w:bookmarkEnd w:id="96"/>
      <w:bookmarkEnd w:id="97"/>
      <w:bookmarkEnd w:id="98"/>
      <w:bookmarkEnd w:id="99"/>
      <w:bookmarkEnd w:id="100"/>
    </w:p>
    <w:p>
      <w:pPr>
        <w:snapToGrid w:val="0"/>
        <w:spacing w:line="500" w:lineRule="exact"/>
        <w:ind w:firstLine="420"/>
        <w:rPr>
          <w:rFonts w:ascii="微软雅黑" w:hAnsi="微软雅黑"/>
          <w:b/>
          <w:szCs w:val="21"/>
          <w:highlight w:val="none"/>
        </w:rPr>
      </w:pPr>
      <w:r>
        <w:rPr>
          <w:rFonts w:hint="eastAsia" w:ascii="微软雅黑" w:hAnsi="微软雅黑"/>
          <w:b/>
          <w:szCs w:val="21"/>
          <w:highlight w:val="none"/>
        </w:rPr>
        <w:t>包括电子投标文件和电子</w:t>
      </w:r>
      <w:r>
        <w:rPr>
          <w:rFonts w:hint="eastAsia" w:ascii="微软雅黑" w:hAnsi="微软雅黑" w:cs="宋体"/>
          <w:bCs/>
          <w:szCs w:val="21"/>
          <w:highlight w:val="none"/>
        </w:rPr>
        <w:t>备份投标文件（选送）</w:t>
      </w:r>
      <w:r>
        <w:rPr>
          <w:rFonts w:hint="eastAsia" w:ascii="微软雅黑" w:hAnsi="微软雅黑"/>
          <w:b/>
          <w:szCs w:val="21"/>
          <w:highlight w:val="none"/>
        </w:rPr>
        <w:t>，均由资格响应文件、商务技术文件及投标报价文件三</w:t>
      </w:r>
      <w:r>
        <w:rPr>
          <w:rFonts w:hint="eastAsia" w:ascii="微软雅黑" w:hAnsi="微软雅黑"/>
          <w:b/>
          <w:szCs w:val="21"/>
          <w:highlight w:val="none"/>
          <w:lang w:eastAsia="zh-CN"/>
        </w:rPr>
        <w:t>部分</w:t>
      </w:r>
      <w:r>
        <w:rPr>
          <w:rFonts w:hint="eastAsia" w:ascii="微软雅黑" w:hAnsi="微软雅黑"/>
          <w:b/>
          <w:szCs w:val="21"/>
          <w:highlight w:val="none"/>
        </w:rPr>
        <w:t>组成。其中电子投标文件中所须加盖公章部分均采用CA签章。</w:t>
      </w:r>
    </w:p>
    <w:p>
      <w:pPr>
        <w:pStyle w:val="7"/>
        <w:numPr>
          <w:ilvl w:val="0"/>
          <w:numId w:val="9"/>
        </w:numPr>
        <w:spacing w:line="500" w:lineRule="exact"/>
        <w:ind w:left="0" w:firstLine="420"/>
        <w:rPr>
          <w:rFonts w:ascii="微软雅黑" w:hAnsi="微软雅黑"/>
          <w:b/>
          <w:bCs w:val="0"/>
          <w:szCs w:val="21"/>
          <w:highlight w:val="none"/>
        </w:rPr>
      </w:pPr>
      <w:r>
        <w:rPr>
          <w:rFonts w:hint="eastAsia" w:ascii="微软雅黑" w:hAnsi="微软雅黑"/>
          <w:b/>
          <w:bCs w:val="0"/>
          <w:szCs w:val="21"/>
          <w:highlight w:val="none"/>
        </w:rPr>
        <w:t>资格响应文件：</w:t>
      </w:r>
    </w:p>
    <w:p>
      <w:pPr>
        <w:numPr>
          <w:ilvl w:val="1"/>
          <w:numId w:val="9"/>
        </w:numPr>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具有独立承担民事责任的能力（供应商营业执照副本复印件）；</w:t>
      </w:r>
    </w:p>
    <w:p>
      <w:pPr>
        <w:numPr>
          <w:ilvl w:val="1"/>
          <w:numId w:val="9"/>
        </w:numPr>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具有良好的商业信誉和健全的财务会计制度【供应商最近一年中任意一个月的财务报表或上年度财务报告（截止本项目投标截止日前2个月内新注册的单位为则不需提供）】；</w:t>
      </w:r>
    </w:p>
    <w:p>
      <w:pPr>
        <w:numPr>
          <w:ilvl w:val="1"/>
          <w:numId w:val="9"/>
        </w:numPr>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具有履行合同所必需的设备和专业技术能力的承诺函（格式见附件）；</w:t>
      </w:r>
    </w:p>
    <w:p>
      <w:pPr>
        <w:numPr>
          <w:ilvl w:val="1"/>
          <w:numId w:val="9"/>
        </w:numPr>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有依法缴纳税收和社会保障资金的良好记录【（供应商最近一年中任意一个月的完税证明或纳税证明或银行缴税付款凭证等）（截止本项目投标截止日前2个月内新注册的单位为则不需提供）】；</w:t>
      </w:r>
    </w:p>
    <w:p>
      <w:pPr>
        <w:numPr>
          <w:ilvl w:val="1"/>
          <w:numId w:val="9"/>
        </w:numPr>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参加政府采购活动前三年，在经营活动中没有重大违法记录（承诺函（格式见附件））；</w:t>
      </w:r>
    </w:p>
    <w:p>
      <w:pPr>
        <w:numPr>
          <w:ilvl w:val="1"/>
          <w:numId w:val="9"/>
        </w:numPr>
        <w:tabs>
          <w:tab w:val="left" w:pos="142"/>
        </w:tabs>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提供自招标公告发布之日起至投标截止日内任意时间的“信用中国”网站（</w:t>
      </w:r>
      <w:r>
        <w:rPr>
          <w:rFonts w:ascii="微软雅黑" w:hAnsi="微软雅黑"/>
          <w:szCs w:val="21"/>
          <w:highlight w:val="none"/>
        </w:rPr>
        <w:t>https://www.creditchina.gov.cn/</w:t>
      </w:r>
      <w:r>
        <w:rPr>
          <w:rFonts w:hint="eastAsia" w:ascii="微软雅黑" w:hAnsi="微软雅黑"/>
          <w:szCs w:val="21"/>
          <w:highlight w:val="none"/>
        </w:rPr>
        <w:t>）（未被信用中国网站</w:t>
      </w:r>
      <w:r>
        <w:rPr>
          <w:highlight w:val="none"/>
        </w:rPr>
        <w:fldChar w:fldCharType="begin"/>
      </w:r>
      <w:r>
        <w:rPr>
          <w:highlight w:val="none"/>
        </w:rPr>
        <w:instrText xml:space="preserve"> HYPERLINK \t "_blank" </w:instrText>
      </w:r>
      <w:r>
        <w:rPr>
          <w:highlight w:val="none"/>
        </w:rPr>
        <w:fldChar w:fldCharType="separate"/>
      </w:r>
      <w:r>
        <w:rPr>
          <w:rStyle w:val="64"/>
          <w:rFonts w:hint="eastAsia" w:ascii="微软雅黑" w:hAnsi="微软雅黑"/>
          <w:color w:val="auto"/>
          <w:szCs w:val="21"/>
          <w:highlight w:val="none"/>
          <w:shd w:val="pct10" w:color="auto" w:fill="FFFFFF"/>
        </w:rPr>
        <w:t>列入失信被执行人、重大税收违法案件当事人名单</w:t>
      </w:r>
      <w:r>
        <w:rPr>
          <w:rStyle w:val="64"/>
          <w:rFonts w:hint="eastAsia" w:ascii="微软雅黑" w:hAnsi="微软雅黑"/>
          <w:color w:val="auto"/>
          <w:szCs w:val="21"/>
          <w:highlight w:val="none"/>
          <w:shd w:val="pct10" w:color="auto" w:fill="FFFFFF"/>
        </w:rPr>
        <w:fldChar w:fldCharType="end"/>
      </w:r>
      <w:r>
        <w:rPr>
          <w:rFonts w:ascii="微软雅黑" w:hAnsi="微软雅黑"/>
          <w:szCs w:val="21"/>
          <w:highlight w:val="none"/>
        </w:rPr>
        <w:t>的</w:t>
      </w:r>
      <w:r>
        <w:rPr>
          <w:rFonts w:hint="eastAsia" w:ascii="微软雅黑" w:hAnsi="微软雅黑"/>
          <w:szCs w:val="21"/>
          <w:highlight w:val="none"/>
        </w:rPr>
        <w:t>查询网页截图</w:t>
      </w:r>
      <w:r>
        <w:rPr>
          <w:rFonts w:ascii="微软雅黑" w:hAnsi="微软雅黑"/>
          <w:szCs w:val="21"/>
          <w:highlight w:val="none"/>
        </w:rPr>
        <w:t>）</w:t>
      </w:r>
      <w:r>
        <w:rPr>
          <w:rFonts w:hint="eastAsia" w:ascii="微软雅黑" w:hAnsi="微软雅黑"/>
          <w:szCs w:val="21"/>
          <w:highlight w:val="none"/>
        </w:rPr>
        <w:t>、中国政府采购网（</w:t>
      </w:r>
      <w:r>
        <w:rPr>
          <w:rFonts w:ascii="微软雅黑" w:hAnsi="微软雅黑"/>
          <w:szCs w:val="21"/>
          <w:highlight w:val="none"/>
        </w:rPr>
        <w:t>http://www.ccgp.gov.cn/</w:t>
      </w:r>
      <w:r>
        <w:rPr>
          <w:rFonts w:hint="eastAsia" w:ascii="微软雅黑" w:hAnsi="微软雅黑"/>
          <w:szCs w:val="21"/>
          <w:highlight w:val="none"/>
        </w:rPr>
        <w:t>）（未被中国政府采购网</w:t>
      </w:r>
      <w:r>
        <w:rPr>
          <w:highlight w:val="none"/>
        </w:rPr>
        <w:fldChar w:fldCharType="begin"/>
      </w:r>
      <w:r>
        <w:rPr>
          <w:highlight w:val="none"/>
        </w:rPr>
        <w:instrText xml:space="preserve"> HYPERLINK \t "_blank" </w:instrText>
      </w:r>
      <w:r>
        <w:rPr>
          <w:highlight w:val="none"/>
        </w:rPr>
        <w:fldChar w:fldCharType="separate"/>
      </w:r>
      <w:r>
        <w:rPr>
          <w:rStyle w:val="64"/>
          <w:rFonts w:hint="eastAsia" w:ascii="微软雅黑" w:hAnsi="微软雅黑"/>
          <w:color w:val="auto"/>
          <w:szCs w:val="21"/>
          <w:highlight w:val="none"/>
          <w:shd w:val="pct10" w:color="auto" w:fill="FFFFFF"/>
        </w:rPr>
        <w:t>列入政府采购严重违法失信行为记录名单</w:t>
      </w:r>
      <w:r>
        <w:rPr>
          <w:rStyle w:val="64"/>
          <w:rFonts w:hint="eastAsia" w:ascii="微软雅黑" w:hAnsi="微软雅黑"/>
          <w:color w:val="auto"/>
          <w:szCs w:val="21"/>
          <w:highlight w:val="none"/>
          <w:shd w:val="pct10" w:color="auto" w:fill="FFFFFF"/>
        </w:rPr>
        <w:fldChar w:fldCharType="end"/>
      </w:r>
      <w:r>
        <w:rPr>
          <w:rFonts w:ascii="微软雅黑" w:hAnsi="微软雅黑"/>
          <w:szCs w:val="21"/>
          <w:highlight w:val="none"/>
        </w:rPr>
        <w:t>的</w:t>
      </w:r>
      <w:r>
        <w:rPr>
          <w:rFonts w:hint="eastAsia" w:ascii="微软雅黑" w:hAnsi="微软雅黑"/>
          <w:szCs w:val="21"/>
          <w:highlight w:val="none"/>
        </w:rPr>
        <w:t>查询网页截图）（以开标当日采购单位或由采购单位委托的评标委员会核实的查询结果为准）；</w:t>
      </w:r>
    </w:p>
    <w:p>
      <w:pPr>
        <w:numPr>
          <w:ilvl w:val="1"/>
          <w:numId w:val="9"/>
        </w:numPr>
        <w:spacing w:line="500" w:lineRule="exact"/>
        <w:ind w:left="-210" w:leftChars="0" w:firstLine="420" w:firstLineChars="0"/>
        <w:rPr>
          <w:highlight w:val="none"/>
        </w:rPr>
      </w:pPr>
      <w:r>
        <w:rPr>
          <w:rFonts w:ascii="微软雅黑" w:hAnsi="微软雅黑"/>
          <w:szCs w:val="21"/>
          <w:highlight w:val="none"/>
        </w:rPr>
        <w:t>法定代表人授权委托书</w:t>
      </w:r>
      <w:r>
        <w:rPr>
          <w:rFonts w:hint="eastAsia" w:ascii="微软雅黑" w:hAnsi="微软雅黑"/>
          <w:szCs w:val="21"/>
          <w:highlight w:val="none"/>
        </w:rPr>
        <w:t>；</w:t>
      </w:r>
    </w:p>
    <w:p>
      <w:pPr>
        <w:numPr>
          <w:ilvl w:val="1"/>
          <w:numId w:val="9"/>
        </w:numPr>
        <w:spacing w:line="500" w:lineRule="exact"/>
        <w:ind w:left="-210" w:leftChars="0" w:firstLine="420" w:firstLineChars="0"/>
        <w:rPr>
          <w:rFonts w:ascii="微软雅黑" w:hAnsi="微软雅黑"/>
          <w:szCs w:val="21"/>
          <w:highlight w:val="none"/>
        </w:rPr>
      </w:pPr>
      <w:r>
        <w:rPr>
          <w:rFonts w:ascii="微软雅黑" w:hAnsi="微软雅黑"/>
          <w:szCs w:val="21"/>
          <w:highlight w:val="none"/>
        </w:rPr>
        <w:t>投标人特定资格要求（证明材料）</w:t>
      </w:r>
      <w:r>
        <w:rPr>
          <w:rFonts w:hint="eastAsia" w:ascii="微软雅黑" w:hAnsi="微软雅黑"/>
          <w:szCs w:val="21"/>
          <w:highlight w:val="none"/>
        </w:rPr>
        <w:t>；</w:t>
      </w:r>
    </w:p>
    <w:p>
      <w:pPr>
        <w:numPr>
          <w:ilvl w:val="1"/>
          <w:numId w:val="9"/>
        </w:numPr>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中小企业声明函、残疾人福利性单位声明函及其他符合政策性条件的承诺函或证明材料</w:t>
      </w:r>
      <w:r>
        <w:rPr>
          <w:rFonts w:ascii="微软雅黑" w:hAnsi="微软雅黑"/>
          <w:szCs w:val="21"/>
          <w:highlight w:val="none"/>
        </w:rPr>
        <w:t>。</w:t>
      </w:r>
    </w:p>
    <w:p>
      <w:pPr>
        <w:pStyle w:val="7"/>
        <w:numPr>
          <w:ilvl w:val="0"/>
          <w:numId w:val="9"/>
        </w:numPr>
        <w:spacing w:line="500" w:lineRule="exact"/>
        <w:ind w:left="0" w:firstLine="420"/>
        <w:rPr>
          <w:rFonts w:ascii="微软雅黑" w:hAnsi="微软雅黑"/>
          <w:b/>
          <w:bCs w:val="0"/>
          <w:szCs w:val="21"/>
          <w:highlight w:val="none"/>
        </w:rPr>
      </w:pPr>
      <w:r>
        <w:rPr>
          <w:rFonts w:hint="eastAsia" w:ascii="微软雅黑" w:hAnsi="微软雅黑"/>
          <w:b/>
          <w:bCs w:val="0"/>
          <w:szCs w:val="21"/>
          <w:highlight w:val="none"/>
        </w:rPr>
        <w:t>商务技术文件</w:t>
      </w:r>
    </w:p>
    <w:p>
      <w:pPr>
        <w:pStyle w:val="107"/>
        <w:numPr>
          <w:ilvl w:val="0"/>
          <w:numId w:val="10"/>
        </w:numPr>
        <w:spacing w:line="500" w:lineRule="exact"/>
        <w:ind w:left="136" w:leftChars="0" w:firstLine="284" w:firstLineChars="0"/>
        <w:rPr>
          <w:rFonts w:ascii="微软雅黑" w:hAnsi="微软雅黑"/>
          <w:szCs w:val="21"/>
          <w:highlight w:val="none"/>
        </w:rPr>
      </w:pPr>
      <w:r>
        <w:rPr>
          <w:rFonts w:ascii="微软雅黑" w:hAnsi="微软雅黑"/>
          <w:szCs w:val="21"/>
          <w:highlight w:val="none"/>
        </w:rPr>
        <w:t>法定代表人</w:t>
      </w:r>
      <w:r>
        <w:rPr>
          <w:rFonts w:hint="eastAsia" w:ascii="微软雅黑" w:hAnsi="微软雅黑"/>
          <w:szCs w:val="21"/>
          <w:highlight w:val="none"/>
        </w:rPr>
        <w:t>资格证明文件；</w:t>
      </w:r>
    </w:p>
    <w:p>
      <w:pPr>
        <w:pStyle w:val="107"/>
        <w:numPr>
          <w:ilvl w:val="0"/>
          <w:numId w:val="10"/>
        </w:numPr>
        <w:spacing w:line="500" w:lineRule="exact"/>
        <w:ind w:left="136" w:leftChars="0" w:firstLine="284" w:firstLineChars="0"/>
        <w:rPr>
          <w:rFonts w:ascii="微软雅黑" w:hAnsi="微软雅黑"/>
          <w:szCs w:val="21"/>
          <w:highlight w:val="none"/>
        </w:rPr>
      </w:pPr>
      <w:r>
        <w:rPr>
          <w:rFonts w:ascii="微软雅黑" w:hAnsi="微软雅黑"/>
          <w:szCs w:val="21"/>
          <w:highlight w:val="none"/>
        </w:rPr>
        <w:t>法定代表人授权委托书</w:t>
      </w:r>
      <w:r>
        <w:rPr>
          <w:rFonts w:hint="eastAsia" w:ascii="微软雅黑" w:hAnsi="微软雅黑"/>
          <w:szCs w:val="21"/>
          <w:highlight w:val="none"/>
        </w:rPr>
        <w:t>；</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类似案例成功的业绩（合同复印件）；</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与本项目实施相关的供应商各类资质证书、认证证书、许可证等（如信誉荣誉等提供复印件）；</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供应商情况介绍；</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商务响应表；</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对项目有较为详尽的需求分析、总体方案，并结合项目实际情况进行说明，方案合理，层次分明；</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针对本项目服务的保证措施；</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针对本项目的项目进度安排；</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技术偏离表；</w:t>
      </w:r>
    </w:p>
    <w:p>
      <w:pPr>
        <w:pStyle w:val="107"/>
        <w:numPr>
          <w:ilvl w:val="0"/>
          <w:numId w:val="10"/>
        </w:numPr>
        <w:spacing w:line="500" w:lineRule="exact"/>
        <w:ind w:left="136" w:leftChars="0" w:firstLine="284" w:firstLineChars="0"/>
        <w:rPr>
          <w:rFonts w:ascii="微软雅黑" w:hAnsi="微软雅黑"/>
          <w:szCs w:val="21"/>
          <w:highlight w:val="none"/>
        </w:rPr>
      </w:pPr>
      <w:r>
        <w:rPr>
          <w:rFonts w:ascii="微软雅黑" w:hAnsi="微软雅黑"/>
          <w:szCs w:val="21"/>
          <w:highlight w:val="none"/>
        </w:rPr>
        <w:t>保证</w:t>
      </w:r>
      <w:r>
        <w:rPr>
          <w:rFonts w:hint="eastAsia" w:ascii="微软雅黑" w:hAnsi="微软雅黑"/>
          <w:szCs w:val="21"/>
          <w:highlight w:val="none"/>
        </w:rPr>
        <w:t>本项目有效实施的</w:t>
      </w:r>
      <w:r>
        <w:rPr>
          <w:rFonts w:ascii="微软雅黑" w:hAnsi="微软雅黑"/>
          <w:szCs w:val="21"/>
          <w:highlight w:val="none"/>
        </w:rPr>
        <w:t>组织</w:t>
      </w:r>
      <w:r>
        <w:rPr>
          <w:rFonts w:hint="eastAsia" w:ascii="微软雅黑" w:hAnsi="微软雅黑"/>
          <w:szCs w:val="21"/>
          <w:highlight w:val="none"/>
        </w:rPr>
        <w:t>结构</w:t>
      </w:r>
      <w:r>
        <w:rPr>
          <w:rFonts w:ascii="微软雅黑" w:hAnsi="微软雅黑"/>
          <w:szCs w:val="21"/>
          <w:highlight w:val="none"/>
        </w:rPr>
        <w:t>及人力资源安排</w:t>
      </w:r>
      <w:r>
        <w:rPr>
          <w:rFonts w:hint="eastAsia" w:ascii="微软雅黑" w:hAnsi="微软雅黑"/>
          <w:szCs w:val="21"/>
          <w:highlight w:val="none"/>
        </w:rPr>
        <w:t>；</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供应商对本项目的合理化建议和改进措施；</w:t>
      </w:r>
    </w:p>
    <w:p>
      <w:pPr>
        <w:pStyle w:val="107"/>
        <w:numPr>
          <w:ilvl w:val="0"/>
          <w:numId w:val="10"/>
        </w:numPr>
        <w:spacing w:line="500" w:lineRule="exact"/>
        <w:ind w:left="136" w:leftChars="0" w:firstLine="284" w:firstLineChars="0"/>
        <w:rPr>
          <w:rFonts w:ascii="微软雅黑" w:hAnsi="微软雅黑"/>
          <w:szCs w:val="21"/>
          <w:highlight w:val="none"/>
        </w:rPr>
      </w:pPr>
      <w:r>
        <w:rPr>
          <w:rFonts w:ascii="微软雅黑" w:hAnsi="微软雅黑"/>
          <w:szCs w:val="21"/>
          <w:highlight w:val="none"/>
        </w:rPr>
        <w:t>投标人需要说明的其他文件和说明（格式</w:t>
      </w:r>
      <w:r>
        <w:rPr>
          <w:rFonts w:hint="eastAsia" w:ascii="微软雅黑" w:hAnsi="微软雅黑"/>
          <w:szCs w:val="21"/>
          <w:highlight w:val="none"/>
        </w:rPr>
        <w:t>自拟</w:t>
      </w:r>
      <w:r>
        <w:rPr>
          <w:rFonts w:ascii="微软雅黑" w:hAnsi="微软雅黑"/>
          <w:szCs w:val="21"/>
          <w:highlight w:val="none"/>
        </w:rPr>
        <w:t>）</w:t>
      </w:r>
      <w:r>
        <w:rPr>
          <w:rFonts w:hint="eastAsia" w:ascii="微软雅黑" w:hAnsi="微软雅黑"/>
          <w:szCs w:val="21"/>
          <w:highlight w:val="none"/>
        </w:rPr>
        <w:t>；</w:t>
      </w:r>
    </w:p>
    <w:p>
      <w:pPr>
        <w:pStyle w:val="107"/>
        <w:numPr>
          <w:ilvl w:val="0"/>
          <w:numId w:val="10"/>
        </w:numPr>
        <w:spacing w:line="500" w:lineRule="exact"/>
        <w:ind w:left="136" w:leftChars="0" w:firstLine="284" w:firstLineChars="0"/>
        <w:rPr>
          <w:rFonts w:ascii="微软雅黑" w:hAnsi="微软雅黑"/>
          <w:szCs w:val="21"/>
          <w:highlight w:val="none"/>
        </w:rPr>
      </w:pPr>
      <w:r>
        <w:rPr>
          <w:rFonts w:hint="eastAsia" w:ascii="微软雅黑" w:hAnsi="微软雅黑"/>
          <w:szCs w:val="21"/>
          <w:highlight w:val="none"/>
        </w:rPr>
        <w:t>未尽事宜请各供应商按评分细则制作。</w:t>
      </w:r>
    </w:p>
    <w:p>
      <w:pPr>
        <w:pStyle w:val="7"/>
        <w:numPr>
          <w:ilvl w:val="0"/>
          <w:numId w:val="9"/>
        </w:numPr>
        <w:spacing w:line="500" w:lineRule="exact"/>
        <w:ind w:left="0" w:firstLine="420"/>
        <w:rPr>
          <w:rFonts w:ascii="微软雅黑" w:hAnsi="微软雅黑"/>
          <w:b/>
          <w:bCs w:val="0"/>
          <w:szCs w:val="21"/>
          <w:highlight w:val="none"/>
        </w:rPr>
      </w:pPr>
      <w:r>
        <w:rPr>
          <w:rFonts w:hint="eastAsia" w:ascii="微软雅黑" w:hAnsi="微软雅黑"/>
          <w:b/>
          <w:bCs w:val="0"/>
          <w:szCs w:val="21"/>
          <w:highlight w:val="none"/>
        </w:rPr>
        <w:t>投标报价文件：</w:t>
      </w:r>
    </w:p>
    <w:p>
      <w:pPr>
        <w:numPr>
          <w:ilvl w:val="1"/>
          <w:numId w:val="9"/>
        </w:numPr>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 xml:space="preserve">投标函； </w:t>
      </w:r>
    </w:p>
    <w:p>
      <w:pPr>
        <w:numPr>
          <w:ilvl w:val="1"/>
          <w:numId w:val="9"/>
        </w:numPr>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开标一览表；</w:t>
      </w:r>
    </w:p>
    <w:p>
      <w:pPr>
        <w:numPr>
          <w:ilvl w:val="1"/>
          <w:numId w:val="9"/>
        </w:numPr>
        <w:spacing w:line="500" w:lineRule="exact"/>
        <w:ind w:left="-210" w:leftChars="0" w:firstLine="420" w:firstLineChars="0"/>
        <w:rPr>
          <w:rFonts w:ascii="微软雅黑" w:hAnsi="微软雅黑"/>
          <w:szCs w:val="21"/>
          <w:highlight w:val="none"/>
        </w:rPr>
      </w:pPr>
      <w:r>
        <w:rPr>
          <w:rFonts w:hint="eastAsia" w:ascii="微软雅黑" w:hAnsi="微软雅黑"/>
          <w:szCs w:val="21"/>
          <w:highlight w:val="none"/>
        </w:rPr>
        <w:t>供应商针对报价需要说明的其他文件和说明。</w:t>
      </w:r>
    </w:p>
    <w:bookmarkEnd w:id="90"/>
    <w:p>
      <w:pPr>
        <w:spacing w:line="500" w:lineRule="exact"/>
        <w:ind w:firstLine="420"/>
        <w:rPr>
          <w:rFonts w:ascii="微软雅黑" w:hAnsi="微软雅黑"/>
          <w:szCs w:val="21"/>
          <w:highlight w:val="none"/>
        </w:rPr>
      </w:pPr>
      <w:bookmarkStart w:id="101" w:name="_Toc493511656"/>
      <w:r>
        <w:rPr>
          <w:rFonts w:hint="eastAsia" w:ascii="微软雅黑" w:hAnsi="微软雅黑"/>
          <w:szCs w:val="21"/>
          <w:highlight w:val="none"/>
        </w:rPr>
        <w:t>▲</w:t>
      </w:r>
      <w:r>
        <w:rPr>
          <w:rFonts w:ascii="微软雅黑" w:hAnsi="微软雅黑"/>
          <w:szCs w:val="21"/>
          <w:highlight w:val="none"/>
        </w:rPr>
        <w:t>注：法定代表人授权委托书、投标声明书、投标函、开标一览表必须由法定代表人</w:t>
      </w:r>
      <w:r>
        <w:rPr>
          <w:rFonts w:hint="eastAsia" w:ascii="微软雅黑" w:hAnsi="微软雅黑"/>
          <w:szCs w:val="21"/>
          <w:highlight w:val="none"/>
        </w:rPr>
        <w:t>或负责人或授权代表</w:t>
      </w:r>
      <w:r>
        <w:rPr>
          <w:rFonts w:ascii="微软雅黑" w:hAnsi="微软雅黑"/>
          <w:szCs w:val="21"/>
          <w:highlight w:val="none"/>
        </w:rPr>
        <w:t>签名并加盖单位公章。</w:t>
      </w:r>
      <w:bookmarkEnd w:id="101"/>
    </w:p>
    <w:bookmarkEnd w:id="91"/>
    <w:bookmarkEnd w:id="92"/>
    <w:bookmarkEnd w:id="93"/>
    <w:bookmarkEnd w:id="94"/>
    <w:p>
      <w:pPr>
        <w:pStyle w:val="6"/>
        <w:spacing w:line="500" w:lineRule="exact"/>
        <w:ind w:firstLine="420"/>
        <w:rPr>
          <w:rFonts w:ascii="微软雅黑" w:hAnsi="微软雅黑"/>
          <w:szCs w:val="21"/>
          <w:highlight w:val="none"/>
        </w:rPr>
      </w:pPr>
      <w:bookmarkStart w:id="102" w:name="_Toc33535360"/>
      <w:bookmarkStart w:id="103" w:name="_Toc385854146"/>
      <w:bookmarkStart w:id="104" w:name="_Toc402963084"/>
      <w:bookmarkStart w:id="105" w:name="_Toc406402990"/>
      <w:bookmarkStart w:id="106" w:name="_Toc402963117"/>
      <w:bookmarkStart w:id="107" w:name="_Toc385854100"/>
      <w:bookmarkStart w:id="108" w:name="_Toc406402946"/>
      <w:bookmarkStart w:id="109" w:name="_Toc21503"/>
      <w:bookmarkStart w:id="110" w:name="_Toc23059"/>
      <w:bookmarkStart w:id="111" w:name="_Toc493511751"/>
      <w:r>
        <w:rPr>
          <w:rFonts w:hint="eastAsia" w:ascii="微软雅黑" w:hAnsi="微软雅黑"/>
          <w:szCs w:val="21"/>
          <w:highlight w:val="none"/>
        </w:rPr>
        <w:t>（二）投标文件的语言及计量</w:t>
      </w:r>
      <w:bookmarkEnd w:id="102"/>
      <w:bookmarkEnd w:id="103"/>
      <w:bookmarkEnd w:id="104"/>
      <w:bookmarkEnd w:id="105"/>
      <w:bookmarkEnd w:id="106"/>
      <w:bookmarkEnd w:id="107"/>
      <w:bookmarkEnd w:id="108"/>
      <w:bookmarkEnd w:id="109"/>
      <w:bookmarkEnd w:id="110"/>
    </w:p>
    <w:p>
      <w:pPr>
        <w:snapToGrid w:val="0"/>
        <w:spacing w:line="500" w:lineRule="exact"/>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w:t>
      </w:r>
      <w:r>
        <w:rPr>
          <w:rFonts w:ascii="微软雅黑" w:hAnsi="微软雅黑"/>
          <w:szCs w:val="21"/>
          <w:highlight w:val="none"/>
        </w:rPr>
        <w:t>投标文件以及投标方与招标方就有关投标事宜的所有来往函电，均应以中文汉语书写。除签名、盖章、专用名称等特殊情形外，以中文汉语以外的文字表述的投标文件视同未提供。</w:t>
      </w:r>
    </w:p>
    <w:p>
      <w:pPr>
        <w:snapToGrid w:val="0"/>
        <w:spacing w:line="500" w:lineRule="exact"/>
        <w:ind w:firstLine="420"/>
        <w:rPr>
          <w:rFonts w:ascii="微软雅黑" w:hAnsi="微软雅黑"/>
          <w:szCs w:val="21"/>
          <w:highlight w:val="none"/>
        </w:rPr>
      </w:pPr>
      <w:r>
        <w:rPr>
          <w:rFonts w:ascii="微软雅黑" w:hAnsi="微软雅黑"/>
          <w:szCs w:val="21"/>
          <w:highlight w:val="none"/>
        </w:rPr>
        <w:t>2</w:t>
      </w:r>
      <w:r>
        <w:rPr>
          <w:rFonts w:hint="eastAsia" w:ascii="微软雅黑" w:hAnsi="微软雅黑"/>
          <w:szCs w:val="21"/>
          <w:highlight w:val="none"/>
        </w:rPr>
        <w:t>、</w:t>
      </w:r>
      <w:r>
        <w:rPr>
          <w:rFonts w:ascii="微软雅黑" w:hAnsi="微软雅黑"/>
          <w:szCs w:val="21"/>
          <w:highlight w:val="none"/>
        </w:rPr>
        <w:t>投标计量单位，招标文件已有明确规定的，使用招标文件规定的计量单位；招标文件没有规定的，应采用中华人民共和国法定计量单位（货币单位：人民币元），否则视同未响应。</w:t>
      </w:r>
    </w:p>
    <w:p>
      <w:pPr>
        <w:pStyle w:val="6"/>
        <w:spacing w:line="500" w:lineRule="exact"/>
        <w:ind w:firstLine="420"/>
        <w:rPr>
          <w:rFonts w:ascii="微软雅黑" w:hAnsi="微软雅黑"/>
          <w:szCs w:val="21"/>
          <w:highlight w:val="none"/>
        </w:rPr>
      </w:pPr>
      <w:bookmarkStart w:id="112" w:name="_Toc385854101"/>
      <w:bookmarkStart w:id="113" w:name="_Toc406402947"/>
      <w:bookmarkStart w:id="114" w:name="_Toc33535361"/>
      <w:bookmarkStart w:id="115" w:name="_Toc406402991"/>
      <w:bookmarkStart w:id="116" w:name="_Toc1380"/>
      <w:bookmarkStart w:id="117" w:name="_Toc402963118"/>
      <w:bookmarkStart w:id="118" w:name="_Toc20950"/>
      <w:bookmarkStart w:id="119" w:name="_Toc385854147"/>
      <w:bookmarkStart w:id="120" w:name="_Toc402963085"/>
      <w:r>
        <w:rPr>
          <w:rFonts w:hint="eastAsia" w:ascii="微软雅黑" w:hAnsi="微软雅黑"/>
          <w:szCs w:val="21"/>
          <w:highlight w:val="none"/>
        </w:rPr>
        <w:t>（三）投标报价</w:t>
      </w:r>
      <w:bookmarkEnd w:id="112"/>
      <w:bookmarkEnd w:id="113"/>
      <w:bookmarkEnd w:id="114"/>
      <w:bookmarkEnd w:id="115"/>
      <w:bookmarkEnd w:id="116"/>
      <w:bookmarkEnd w:id="117"/>
      <w:bookmarkEnd w:id="118"/>
      <w:bookmarkEnd w:id="119"/>
      <w:bookmarkEnd w:id="120"/>
    </w:p>
    <w:p>
      <w:pPr>
        <w:pStyle w:val="27"/>
        <w:snapToGrid w:val="0"/>
        <w:spacing w:line="500" w:lineRule="exact"/>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w:t>
      </w:r>
      <w:r>
        <w:rPr>
          <w:rFonts w:ascii="微软雅黑" w:hAnsi="微软雅黑"/>
          <w:szCs w:val="21"/>
          <w:highlight w:val="none"/>
        </w:rPr>
        <w:t>投标报价应按招标文件中相关附表格式填写。</w:t>
      </w:r>
    </w:p>
    <w:p>
      <w:pPr>
        <w:pStyle w:val="27"/>
        <w:snapToGrid w:val="0"/>
        <w:spacing w:line="500" w:lineRule="exact"/>
        <w:ind w:firstLine="420"/>
        <w:rPr>
          <w:rFonts w:ascii="微软雅黑" w:hAnsi="微软雅黑"/>
          <w:szCs w:val="21"/>
          <w:highlight w:val="none"/>
        </w:rPr>
      </w:pPr>
      <w:r>
        <w:rPr>
          <w:rFonts w:hint="eastAsia" w:ascii="微软雅黑" w:hAnsi="微软雅黑"/>
          <w:szCs w:val="21"/>
          <w:highlight w:val="none"/>
        </w:rPr>
        <w:t>2、报价应包括提供保安服务所需的一切人员工资、奖金、各种加班费、夜餐费、各种社会保险（基本养老保险、基本医疗保险、工伤保险、失业保险）、食宿与交通、高温补偿费、设备及工具、器材、消耗材料、服装、安全、仓储、运输、维修、管理费用、税费、利润等完成合同所需的一切本身和不可或缺的所有工作开支、政策性文件规定及合同包含的所有风险、责任等各项全部费用并承担一切风险责任。</w:t>
      </w:r>
    </w:p>
    <w:p>
      <w:pPr>
        <w:pStyle w:val="27"/>
        <w:snapToGrid w:val="0"/>
        <w:spacing w:line="500" w:lineRule="exact"/>
        <w:ind w:firstLine="420"/>
        <w:rPr>
          <w:rFonts w:ascii="微软雅黑" w:hAnsi="微软雅黑"/>
          <w:szCs w:val="21"/>
          <w:highlight w:val="none"/>
        </w:rPr>
      </w:pPr>
      <w:r>
        <w:rPr>
          <w:rFonts w:ascii="微软雅黑" w:hAnsi="微软雅黑"/>
          <w:szCs w:val="21"/>
          <w:highlight w:val="none"/>
        </w:rPr>
        <w:t>3</w:t>
      </w:r>
      <w:r>
        <w:rPr>
          <w:rFonts w:hint="eastAsia" w:ascii="微软雅黑" w:hAnsi="微软雅黑"/>
          <w:szCs w:val="21"/>
          <w:highlight w:val="none"/>
        </w:rPr>
        <w:t>、</w:t>
      </w:r>
      <w:r>
        <w:rPr>
          <w:rFonts w:ascii="微软雅黑" w:hAnsi="微软雅黑"/>
          <w:szCs w:val="21"/>
          <w:highlight w:val="none"/>
        </w:rPr>
        <w:t>投标文件只允许有一个报价，有选择的</w:t>
      </w:r>
      <w:r>
        <w:rPr>
          <w:rFonts w:hint="eastAsia" w:ascii="微软雅黑" w:hAnsi="微软雅黑"/>
          <w:szCs w:val="21"/>
          <w:highlight w:val="none"/>
        </w:rPr>
        <w:t>或有条件的</w:t>
      </w:r>
      <w:r>
        <w:rPr>
          <w:rFonts w:ascii="微软雅黑" w:hAnsi="微软雅黑"/>
          <w:szCs w:val="21"/>
          <w:highlight w:val="none"/>
        </w:rPr>
        <w:t>报价将不予接受。</w:t>
      </w:r>
    </w:p>
    <w:p>
      <w:pPr>
        <w:pStyle w:val="6"/>
        <w:spacing w:line="500" w:lineRule="exact"/>
        <w:ind w:firstLine="420"/>
        <w:rPr>
          <w:rFonts w:ascii="微软雅黑" w:hAnsi="微软雅黑"/>
          <w:szCs w:val="21"/>
          <w:highlight w:val="none"/>
        </w:rPr>
      </w:pPr>
      <w:r>
        <w:rPr>
          <w:rFonts w:hint="eastAsia" w:ascii="微软雅黑" w:hAnsi="微软雅黑"/>
          <w:szCs w:val="21"/>
          <w:highlight w:val="none"/>
        </w:rPr>
        <w:t>（四）投标文件的有效期</w:t>
      </w:r>
    </w:p>
    <w:p>
      <w:pPr>
        <w:spacing w:line="500" w:lineRule="exact"/>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w:t>
      </w:r>
      <w:r>
        <w:rPr>
          <w:rFonts w:ascii="微软雅黑" w:hAnsi="微软雅黑"/>
          <w:szCs w:val="21"/>
          <w:highlight w:val="none"/>
        </w:rPr>
        <w:t>自投标截止日起</w:t>
      </w:r>
      <w:r>
        <w:rPr>
          <w:rFonts w:hint="eastAsia" w:ascii="微软雅黑" w:hAnsi="微软雅黑"/>
          <w:szCs w:val="21"/>
          <w:highlight w:val="none"/>
          <w:lang w:val="en-US" w:eastAsia="zh-CN"/>
        </w:rPr>
        <w:t>9</w:t>
      </w:r>
      <w:r>
        <w:rPr>
          <w:rFonts w:hint="eastAsia" w:ascii="微软雅黑" w:hAnsi="微软雅黑"/>
          <w:szCs w:val="21"/>
          <w:highlight w:val="none"/>
        </w:rPr>
        <w:t>0</w:t>
      </w:r>
      <w:r>
        <w:rPr>
          <w:rFonts w:ascii="微软雅黑" w:hAnsi="微软雅黑"/>
          <w:szCs w:val="21"/>
          <w:highlight w:val="none"/>
        </w:rPr>
        <w:t>天投标</w:t>
      </w:r>
      <w:r>
        <w:rPr>
          <w:rFonts w:hint="eastAsia" w:ascii="微软雅黑" w:hAnsi="微软雅黑"/>
          <w:szCs w:val="21"/>
          <w:highlight w:val="none"/>
        </w:rPr>
        <w:t>文件</w:t>
      </w:r>
      <w:r>
        <w:rPr>
          <w:rFonts w:ascii="微软雅黑" w:hAnsi="微软雅黑"/>
          <w:szCs w:val="21"/>
          <w:highlight w:val="none"/>
        </w:rPr>
        <w:t>应保持有效。有效期</w:t>
      </w:r>
      <w:r>
        <w:rPr>
          <w:rFonts w:hint="eastAsia" w:ascii="微软雅黑" w:hAnsi="微软雅黑"/>
          <w:szCs w:val="21"/>
          <w:highlight w:val="none"/>
        </w:rPr>
        <w:t>不足</w:t>
      </w:r>
      <w:r>
        <w:rPr>
          <w:rFonts w:ascii="微软雅黑" w:hAnsi="微软雅黑"/>
          <w:szCs w:val="21"/>
          <w:highlight w:val="none"/>
        </w:rPr>
        <w:t>的投标</w:t>
      </w:r>
      <w:r>
        <w:rPr>
          <w:rFonts w:hint="eastAsia" w:ascii="微软雅黑" w:hAnsi="微软雅黑"/>
          <w:szCs w:val="21"/>
          <w:highlight w:val="none"/>
        </w:rPr>
        <w:t>文件</w:t>
      </w:r>
      <w:r>
        <w:rPr>
          <w:rFonts w:ascii="微软雅黑" w:hAnsi="微软雅黑"/>
          <w:szCs w:val="21"/>
          <w:highlight w:val="none"/>
        </w:rPr>
        <w:t>将被拒绝。</w:t>
      </w:r>
    </w:p>
    <w:p>
      <w:pPr>
        <w:spacing w:line="500" w:lineRule="exact"/>
        <w:ind w:firstLine="420"/>
        <w:rPr>
          <w:rFonts w:ascii="微软雅黑" w:hAnsi="微软雅黑"/>
          <w:szCs w:val="21"/>
          <w:highlight w:val="none"/>
        </w:rPr>
      </w:pPr>
      <w:r>
        <w:rPr>
          <w:rFonts w:ascii="微软雅黑" w:hAnsi="微软雅黑"/>
          <w:szCs w:val="21"/>
          <w:highlight w:val="none"/>
        </w:rPr>
        <w:t>2</w:t>
      </w:r>
      <w:r>
        <w:rPr>
          <w:rFonts w:hint="eastAsia" w:ascii="微软雅黑" w:hAnsi="微软雅黑"/>
          <w:szCs w:val="21"/>
          <w:highlight w:val="none"/>
        </w:rPr>
        <w:t>、</w:t>
      </w:r>
      <w:r>
        <w:rPr>
          <w:rFonts w:ascii="微软雅黑" w:hAnsi="微软雅黑"/>
          <w:szCs w:val="21"/>
          <w:highlight w:val="none"/>
        </w:rPr>
        <w:t>在特殊情况下，</w:t>
      </w:r>
      <w:r>
        <w:rPr>
          <w:rFonts w:hint="eastAsia" w:ascii="微软雅黑" w:hAnsi="微软雅黑"/>
          <w:szCs w:val="21"/>
          <w:highlight w:val="none"/>
        </w:rPr>
        <w:t>采购人</w:t>
      </w:r>
      <w:r>
        <w:rPr>
          <w:rFonts w:ascii="微软雅黑" w:hAnsi="微软雅黑"/>
          <w:szCs w:val="21"/>
          <w:highlight w:val="none"/>
        </w:rPr>
        <w:t>可与供应商协商延长投标书的有效期，这种要求和答复均以书面形式进行。</w:t>
      </w:r>
    </w:p>
    <w:p>
      <w:pPr>
        <w:spacing w:line="500" w:lineRule="exact"/>
        <w:ind w:firstLine="420"/>
        <w:rPr>
          <w:rFonts w:ascii="微软雅黑" w:hAnsi="微软雅黑"/>
          <w:szCs w:val="21"/>
          <w:highlight w:val="none"/>
        </w:rPr>
      </w:pPr>
      <w:bookmarkStart w:id="121" w:name="_Toc30697"/>
      <w:bookmarkStart w:id="122" w:name="_Toc406402992"/>
      <w:bookmarkStart w:id="123" w:name="_Toc385854148"/>
      <w:bookmarkStart w:id="124" w:name="_Toc21413"/>
      <w:bookmarkStart w:id="125" w:name="_Toc33535362"/>
      <w:bookmarkStart w:id="126" w:name="_Toc402963086"/>
      <w:bookmarkStart w:id="127" w:name="_Toc385854102"/>
      <w:bookmarkStart w:id="128" w:name="_Toc406402948"/>
      <w:bookmarkStart w:id="129" w:name="_Toc402963119"/>
      <w:r>
        <w:rPr>
          <w:rFonts w:ascii="微软雅黑" w:hAnsi="微软雅黑"/>
          <w:szCs w:val="21"/>
          <w:highlight w:val="none"/>
        </w:rPr>
        <w:t>3</w:t>
      </w:r>
      <w:r>
        <w:rPr>
          <w:rFonts w:hint="eastAsia" w:ascii="微软雅黑" w:hAnsi="微软雅黑"/>
          <w:szCs w:val="21"/>
          <w:highlight w:val="none"/>
        </w:rPr>
        <w:t>、</w:t>
      </w:r>
      <w:r>
        <w:rPr>
          <w:rFonts w:ascii="微软雅黑" w:hAnsi="微软雅黑"/>
          <w:szCs w:val="21"/>
          <w:highlight w:val="none"/>
        </w:rPr>
        <w:t>供应商可拒绝接受延期要求。同意延长有效期的供应商不能修改投标文件。</w:t>
      </w:r>
      <w:bookmarkEnd w:id="121"/>
      <w:bookmarkEnd w:id="122"/>
      <w:bookmarkEnd w:id="123"/>
      <w:bookmarkEnd w:id="124"/>
      <w:bookmarkEnd w:id="125"/>
      <w:bookmarkEnd w:id="126"/>
      <w:bookmarkEnd w:id="127"/>
      <w:bookmarkEnd w:id="128"/>
      <w:bookmarkEnd w:id="129"/>
    </w:p>
    <w:p>
      <w:pPr>
        <w:spacing w:line="500" w:lineRule="exact"/>
        <w:ind w:firstLine="420"/>
        <w:rPr>
          <w:rFonts w:ascii="微软雅黑" w:hAnsi="微软雅黑"/>
          <w:szCs w:val="21"/>
          <w:highlight w:val="none"/>
        </w:rPr>
      </w:pPr>
      <w:bookmarkStart w:id="130" w:name="_Toc18438"/>
      <w:bookmarkStart w:id="131" w:name="_Toc19854"/>
      <w:bookmarkStart w:id="132" w:name="_Toc406402949"/>
      <w:bookmarkStart w:id="133" w:name="_Toc385854103"/>
      <w:bookmarkStart w:id="134" w:name="_Toc33535363"/>
      <w:bookmarkStart w:id="135" w:name="_Toc402963087"/>
      <w:bookmarkStart w:id="136" w:name="_Toc385854149"/>
      <w:bookmarkStart w:id="137" w:name="_Toc402963120"/>
      <w:bookmarkStart w:id="138" w:name="_Toc406402993"/>
      <w:r>
        <w:rPr>
          <w:rFonts w:ascii="微软雅黑" w:hAnsi="微软雅黑"/>
          <w:szCs w:val="21"/>
          <w:highlight w:val="none"/>
        </w:rPr>
        <w:t>4</w:t>
      </w:r>
      <w:r>
        <w:rPr>
          <w:rFonts w:hint="eastAsia" w:ascii="微软雅黑" w:hAnsi="微软雅黑"/>
          <w:szCs w:val="21"/>
          <w:highlight w:val="none"/>
        </w:rPr>
        <w:t>、</w:t>
      </w:r>
      <w:r>
        <w:rPr>
          <w:rFonts w:ascii="微软雅黑" w:hAnsi="微软雅黑"/>
          <w:szCs w:val="21"/>
          <w:highlight w:val="none"/>
        </w:rPr>
        <w:t>中标人的投标文件自开标之日起至合同履行完毕止均应保持有效。</w:t>
      </w:r>
      <w:bookmarkEnd w:id="130"/>
      <w:bookmarkEnd w:id="131"/>
      <w:bookmarkEnd w:id="132"/>
      <w:bookmarkEnd w:id="133"/>
      <w:bookmarkEnd w:id="134"/>
      <w:bookmarkEnd w:id="135"/>
      <w:bookmarkEnd w:id="136"/>
      <w:bookmarkEnd w:id="137"/>
      <w:bookmarkEnd w:id="138"/>
    </w:p>
    <w:p>
      <w:pPr>
        <w:pStyle w:val="6"/>
        <w:spacing w:line="500" w:lineRule="exact"/>
        <w:ind w:firstLine="420"/>
        <w:rPr>
          <w:rFonts w:ascii="微软雅黑" w:hAnsi="微软雅黑"/>
          <w:szCs w:val="21"/>
          <w:highlight w:val="none"/>
        </w:rPr>
      </w:pPr>
      <w:bookmarkStart w:id="139" w:name="_Toc25907"/>
      <w:bookmarkStart w:id="140" w:name="_Toc402963122"/>
      <w:bookmarkStart w:id="141" w:name="_Toc31272"/>
      <w:bookmarkStart w:id="142" w:name="_Toc385854151"/>
      <w:bookmarkStart w:id="143" w:name="_Toc33535364"/>
      <w:bookmarkStart w:id="144" w:name="_Toc402963089"/>
      <w:bookmarkStart w:id="145" w:name="_Toc385854105"/>
      <w:bookmarkStart w:id="146" w:name="_Toc406402995"/>
      <w:bookmarkStart w:id="147" w:name="_Toc406402951"/>
      <w:r>
        <w:rPr>
          <w:rFonts w:hint="eastAsia" w:ascii="微软雅黑" w:hAnsi="微软雅黑"/>
          <w:szCs w:val="21"/>
          <w:highlight w:val="none"/>
        </w:rPr>
        <w:t>（五）投标文件的签署和份数</w:t>
      </w:r>
      <w:bookmarkEnd w:id="139"/>
      <w:bookmarkEnd w:id="140"/>
      <w:bookmarkEnd w:id="141"/>
      <w:bookmarkEnd w:id="142"/>
      <w:bookmarkEnd w:id="143"/>
      <w:bookmarkEnd w:id="144"/>
      <w:bookmarkEnd w:id="145"/>
      <w:bookmarkEnd w:id="146"/>
      <w:bookmarkEnd w:id="147"/>
    </w:p>
    <w:p>
      <w:pPr>
        <w:spacing w:line="500" w:lineRule="exact"/>
        <w:ind w:firstLine="420"/>
        <w:rPr>
          <w:rFonts w:ascii="微软雅黑" w:hAnsi="微软雅黑"/>
          <w:b/>
          <w:bCs/>
          <w:szCs w:val="21"/>
          <w:highlight w:val="none"/>
        </w:rPr>
      </w:pPr>
      <w:bookmarkStart w:id="148" w:name="_Toc17398"/>
      <w:bookmarkStart w:id="149" w:name="_Toc28641"/>
      <w:r>
        <w:rPr>
          <w:rFonts w:hint="eastAsia" w:ascii="微软雅黑" w:hAnsi="微软雅黑"/>
          <w:b/>
          <w:bCs/>
          <w:szCs w:val="21"/>
          <w:highlight w:val="none"/>
        </w:rPr>
        <w:t>投标文件的形式：☑电子投标文件（包括“电子加密投标文件”和“备份投标文件”，在投标文件编制完成后同时生成）；</w:t>
      </w:r>
      <w:bookmarkEnd w:id="148"/>
      <w:bookmarkEnd w:id="149"/>
    </w:p>
    <w:p>
      <w:pPr>
        <w:spacing w:line="500" w:lineRule="exact"/>
        <w:ind w:firstLine="420"/>
        <w:rPr>
          <w:rFonts w:ascii="微软雅黑" w:hAnsi="微软雅黑"/>
          <w:b/>
          <w:bCs/>
          <w:szCs w:val="21"/>
          <w:highlight w:val="none"/>
        </w:rPr>
      </w:pPr>
      <w:bookmarkStart w:id="150" w:name="_Toc31882"/>
      <w:bookmarkStart w:id="151" w:name="_Toc10314"/>
      <w:r>
        <w:rPr>
          <w:rFonts w:hint="eastAsia" w:ascii="微软雅黑" w:hAnsi="微软雅黑"/>
          <w:b/>
          <w:bCs/>
          <w:szCs w:val="21"/>
          <w:highlight w:val="none"/>
        </w:rPr>
        <w:t>（1）“电子加密投标文件”是指通过“政采云电子交易客户端”完成投标文件编制后生成并加密的数据电文形式的投标文件。</w:t>
      </w:r>
      <w:bookmarkEnd w:id="150"/>
      <w:bookmarkEnd w:id="151"/>
    </w:p>
    <w:p>
      <w:pPr>
        <w:spacing w:line="500" w:lineRule="exact"/>
        <w:ind w:firstLine="420"/>
        <w:rPr>
          <w:rFonts w:ascii="微软雅黑" w:hAnsi="微软雅黑"/>
          <w:b/>
          <w:bCs/>
          <w:szCs w:val="21"/>
          <w:highlight w:val="none"/>
        </w:rPr>
      </w:pPr>
      <w:bookmarkStart w:id="152" w:name="_Toc25699"/>
      <w:bookmarkStart w:id="153" w:name="_Toc5763"/>
      <w:r>
        <w:rPr>
          <w:rFonts w:hint="eastAsia" w:ascii="微软雅黑" w:hAnsi="微软雅黑"/>
          <w:b/>
          <w:bCs/>
          <w:szCs w:val="21"/>
          <w:highlight w:val="none"/>
        </w:rPr>
        <w:t>（2）“备份投标文件”是指与“电子加密投标文件”同时生成的数据电文形式的电子文件（备份标书），其他方式编制的备份投标文件视为无效备份投标文件。</w:t>
      </w:r>
      <w:bookmarkEnd w:id="152"/>
      <w:bookmarkEnd w:id="153"/>
    </w:p>
    <w:p>
      <w:pPr>
        <w:spacing w:line="500" w:lineRule="exact"/>
        <w:ind w:firstLine="420"/>
        <w:rPr>
          <w:rFonts w:ascii="微软雅黑" w:hAnsi="微软雅黑"/>
          <w:b/>
          <w:bCs/>
          <w:szCs w:val="21"/>
          <w:highlight w:val="none"/>
        </w:rPr>
      </w:pPr>
      <w:bookmarkStart w:id="154" w:name="_Toc29702"/>
      <w:bookmarkStart w:id="155" w:name="_Toc11368"/>
      <w:r>
        <w:rPr>
          <w:rFonts w:hint="eastAsia" w:ascii="微软雅黑" w:hAnsi="微软雅黑"/>
          <w:b/>
          <w:bCs/>
          <w:szCs w:val="21"/>
          <w:highlight w:val="none"/>
        </w:rPr>
        <w:t>（六）</w:t>
      </w:r>
      <w:bookmarkStart w:id="156" w:name="_Toc33535368"/>
      <w:r>
        <w:rPr>
          <w:rFonts w:hint="eastAsia" w:ascii="微软雅黑" w:hAnsi="微软雅黑"/>
          <w:b/>
          <w:bCs/>
          <w:szCs w:val="21"/>
          <w:highlight w:val="none"/>
        </w:rPr>
        <w:t>投标文件的上传和递交：</w:t>
      </w:r>
      <w:bookmarkEnd w:id="154"/>
      <w:bookmarkEnd w:id="155"/>
    </w:p>
    <w:p>
      <w:pPr>
        <w:spacing w:line="500" w:lineRule="exact"/>
        <w:ind w:firstLine="420"/>
        <w:rPr>
          <w:rFonts w:ascii="微软雅黑" w:hAnsi="微软雅黑"/>
          <w:b/>
          <w:bCs/>
          <w:szCs w:val="21"/>
          <w:highlight w:val="none"/>
        </w:rPr>
      </w:pPr>
      <w:bookmarkStart w:id="157" w:name="_Toc15300"/>
      <w:bookmarkStart w:id="158" w:name="_Toc5177"/>
      <w:r>
        <w:rPr>
          <w:rFonts w:hint="eastAsia" w:ascii="微软雅黑" w:hAnsi="微软雅黑"/>
          <w:b/>
          <w:bCs/>
          <w:szCs w:val="21"/>
          <w:highlight w:val="none"/>
        </w:rPr>
        <w:t>（1）“电子加密投标文件”的上传、递交：</w:t>
      </w:r>
      <w:bookmarkEnd w:id="157"/>
      <w:bookmarkEnd w:id="158"/>
    </w:p>
    <w:p>
      <w:pPr>
        <w:spacing w:line="500" w:lineRule="exact"/>
        <w:ind w:firstLine="420"/>
        <w:rPr>
          <w:rFonts w:ascii="微软雅黑" w:hAnsi="微软雅黑"/>
          <w:b/>
          <w:bCs/>
          <w:szCs w:val="21"/>
          <w:highlight w:val="none"/>
        </w:rPr>
      </w:pPr>
      <w:bookmarkStart w:id="159" w:name="_Toc31046"/>
      <w:bookmarkStart w:id="160" w:name="_Toc8569"/>
      <w:r>
        <w:rPr>
          <w:rFonts w:ascii="微软雅黑" w:hAnsi="微软雅黑"/>
          <w:b/>
          <w:bCs/>
          <w:szCs w:val="21"/>
          <w:highlight w:val="none"/>
        </w:rPr>
        <w:t>A</w:t>
      </w:r>
      <w:r>
        <w:rPr>
          <w:rFonts w:hint="eastAsia" w:ascii="微软雅黑" w:hAnsi="微软雅黑"/>
          <w:b/>
          <w:bCs/>
          <w:szCs w:val="21"/>
          <w:highlight w:val="none"/>
        </w:rPr>
        <w:t>、投标供应商应在投标截止时间前将“电子加密投标文件”成功上传递交至“政府采购云平台”，否则投标无效。</w:t>
      </w:r>
      <w:bookmarkEnd w:id="159"/>
      <w:bookmarkEnd w:id="160"/>
    </w:p>
    <w:p>
      <w:pPr>
        <w:spacing w:line="500" w:lineRule="exact"/>
        <w:ind w:firstLine="420"/>
        <w:rPr>
          <w:rFonts w:ascii="微软雅黑" w:hAnsi="微软雅黑"/>
          <w:b/>
          <w:bCs/>
          <w:szCs w:val="21"/>
          <w:highlight w:val="none"/>
        </w:rPr>
      </w:pPr>
      <w:bookmarkStart w:id="161" w:name="_Toc10253"/>
      <w:bookmarkStart w:id="162" w:name="_Toc22650"/>
      <w:r>
        <w:rPr>
          <w:rFonts w:ascii="微软雅黑" w:hAnsi="微软雅黑"/>
          <w:b/>
          <w:bCs/>
          <w:szCs w:val="21"/>
          <w:highlight w:val="none"/>
        </w:rPr>
        <w:t>B</w:t>
      </w:r>
      <w:r>
        <w:rPr>
          <w:rFonts w:hint="eastAsia" w:ascii="微软雅黑" w:hAnsi="微软雅黑"/>
          <w:b/>
          <w:bCs/>
          <w:szCs w:val="21"/>
          <w:highlight w:val="none"/>
        </w:rPr>
        <w:t>、“电子加密投标文件”成功上传递交后，供应商可自行打印投标文件接收回执。</w:t>
      </w:r>
      <w:bookmarkEnd w:id="161"/>
      <w:bookmarkEnd w:id="162"/>
    </w:p>
    <w:p>
      <w:pPr>
        <w:spacing w:line="500" w:lineRule="exact"/>
        <w:ind w:firstLine="420"/>
        <w:rPr>
          <w:rFonts w:ascii="微软雅黑" w:hAnsi="微软雅黑"/>
          <w:b/>
          <w:bCs/>
          <w:szCs w:val="21"/>
          <w:highlight w:val="none"/>
        </w:rPr>
      </w:pPr>
      <w:bookmarkStart w:id="163" w:name="_Toc12771"/>
      <w:bookmarkStart w:id="164" w:name="_Toc21513"/>
      <w:r>
        <w:rPr>
          <w:rFonts w:hint="eastAsia" w:ascii="微软雅黑" w:hAnsi="微软雅黑"/>
          <w:b/>
          <w:bCs/>
          <w:szCs w:val="21"/>
          <w:highlight w:val="none"/>
        </w:rPr>
        <w:t>（2）“备份投标文件”的密封包装、递交：</w:t>
      </w:r>
      <w:bookmarkEnd w:id="163"/>
      <w:bookmarkEnd w:id="164"/>
    </w:p>
    <w:p>
      <w:pPr>
        <w:spacing w:line="500" w:lineRule="exact"/>
        <w:ind w:firstLine="420"/>
        <w:rPr>
          <w:rFonts w:ascii="微软雅黑" w:hAnsi="微软雅黑"/>
          <w:b/>
          <w:bCs/>
          <w:szCs w:val="21"/>
          <w:highlight w:val="none"/>
        </w:rPr>
      </w:pPr>
      <w:bookmarkStart w:id="165" w:name="_Toc17936"/>
      <w:bookmarkStart w:id="166" w:name="_Toc28895"/>
      <w:r>
        <w:rPr>
          <w:rFonts w:ascii="微软雅黑" w:hAnsi="微软雅黑"/>
          <w:b/>
          <w:bCs/>
          <w:szCs w:val="21"/>
          <w:highlight w:val="none"/>
        </w:rPr>
        <w:t>A</w:t>
      </w:r>
      <w:r>
        <w:rPr>
          <w:rFonts w:hint="eastAsia" w:ascii="微软雅黑" w:hAnsi="微软雅黑"/>
          <w:b/>
          <w:bCs/>
          <w:szCs w:val="21"/>
          <w:highlight w:val="none"/>
        </w:rPr>
        <w:t>、投标供应商在“政府采购云平台”完成“电子加密投标文件”的上传递交后，还可以（邮寄形式）在投标截止时间前递交以介质（U盘）存储的 “备份投标文件”（一份）；</w:t>
      </w:r>
      <w:bookmarkEnd w:id="165"/>
      <w:bookmarkEnd w:id="166"/>
    </w:p>
    <w:p>
      <w:pPr>
        <w:spacing w:line="500" w:lineRule="exact"/>
        <w:ind w:firstLine="420"/>
        <w:rPr>
          <w:rFonts w:ascii="微软雅黑" w:hAnsi="微软雅黑"/>
          <w:b/>
          <w:bCs/>
          <w:szCs w:val="21"/>
          <w:highlight w:val="none"/>
        </w:rPr>
      </w:pPr>
      <w:bookmarkStart w:id="167" w:name="_Toc22526"/>
      <w:bookmarkStart w:id="168" w:name="_Toc22575"/>
      <w:r>
        <w:rPr>
          <w:rFonts w:ascii="微软雅黑" w:hAnsi="微软雅黑"/>
          <w:b/>
          <w:bCs/>
          <w:szCs w:val="21"/>
          <w:highlight w:val="none"/>
        </w:rPr>
        <w:t>B</w:t>
      </w:r>
      <w:r>
        <w:rPr>
          <w:rFonts w:hint="eastAsia" w:ascii="微软雅黑" w:hAnsi="微软雅黑"/>
          <w:b/>
          <w:bCs/>
          <w:szCs w:val="21"/>
          <w:highlight w:val="none"/>
        </w:rPr>
        <w:t>、“备份投标文件”应当密封包装，并在包装上标注投标项目名称、投标单位名称并加盖公章。没有密封包装或者逾期邮寄送达至邮寄接收地点的“备份投标文件”将不予接收；</w:t>
      </w:r>
      <w:bookmarkEnd w:id="167"/>
      <w:bookmarkEnd w:id="168"/>
    </w:p>
    <w:p>
      <w:pPr>
        <w:spacing w:line="500" w:lineRule="exact"/>
        <w:ind w:firstLine="420"/>
        <w:rPr>
          <w:rFonts w:ascii="微软雅黑" w:hAnsi="微软雅黑"/>
          <w:b/>
          <w:bCs/>
          <w:szCs w:val="21"/>
          <w:highlight w:val="none"/>
        </w:rPr>
      </w:pPr>
      <w:bookmarkStart w:id="169" w:name="_Toc26558"/>
      <w:bookmarkStart w:id="170" w:name="_Toc18491"/>
      <w:r>
        <w:rPr>
          <w:rFonts w:ascii="微软雅黑" w:hAnsi="微软雅黑"/>
          <w:b/>
          <w:bCs/>
          <w:szCs w:val="21"/>
          <w:highlight w:val="none"/>
        </w:rPr>
        <w:t>C</w:t>
      </w:r>
      <w:r>
        <w:rPr>
          <w:rFonts w:hint="eastAsia" w:ascii="微软雅黑" w:hAnsi="微软雅黑"/>
          <w:b/>
          <w:bCs/>
          <w:szCs w:val="21"/>
          <w:highlight w:val="none"/>
        </w:rPr>
        <w:t>、通过“政府采购云平台”成功上传递交的“电子加密投标文件”已按时解密的，“备份投标文件”自动失效。投标截止时间前，投标供应商仅递交了“备份投标文件”而未将“电子加密投标文件”成功上传至“政府采购云平台”的，投标无效。</w:t>
      </w:r>
      <w:bookmarkEnd w:id="169"/>
      <w:bookmarkEnd w:id="170"/>
    </w:p>
    <w:p>
      <w:pPr>
        <w:pStyle w:val="6"/>
        <w:spacing w:line="500" w:lineRule="exact"/>
        <w:ind w:firstLine="420"/>
        <w:rPr>
          <w:rFonts w:ascii="微软雅黑" w:hAnsi="微软雅黑"/>
          <w:szCs w:val="21"/>
          <w:highlight w:val="none"/>
        </w:rPr>
      </w:pPr>
      <w:bookmarkStart w:id="171" w:name="_Toc10192"/>
      <w:bookmarkStart w:id="172" w:name="_Toc5394"/>
      <w:r>
        <w:rPr>
          <w:rFonts w:hint="eastAsia" w:ascii="微软雅黑" w:hAnsi="微软雅黑"/>
          <w:szCs w:val="21"/>
          <w:highlight w:val="none"/>
        </w:rPr>
        <w:t>（七）投标无效的情形</w:t>
      </w:r>
      <w:bookmarkEnd w:id="156"/>
      <w:bookmarkEnd w:id="171"/>
      <w:bookmarkEnd w:id="172"/>
    </w:p>
    <w:p>
      <w:pPr>
        <w:spacing w:line="500" w:lineRule="exact"/>
        <w:ind w:firstLine="420"/>
        <w:rPr>
          <w:rFonts w:ascii="微软雅黑" w:hAnsi="微软雅黑"/>
          <w:szCs w:val="21"/>
          <w:highlight w:val="none"/>
        </w:rPr>
      </w:pPr>
      <w:bookmarkStart w:id="173" w:name="_Toc12237"/>
      <w:bookmarkStart w:id="174" w:name="_Toc21715"/>
      <w:r>
        <w:rPr>
          <w:rFonts w:hint="eastAsia" w:ascii="微软雅黑" w:hAnsi="微软雅黑"/>
          <w:szCs w:val="21"/>
          <w:highlight w:val="none"/>
        </w:rPr>
        <w:t>根据《政府采购货物和服务招标投标管理办法》有下列情形之一的，视为供应商串通投标，其投标无效：</w:t>
      </w:r>
      <w:bookmarkEnd w:id="173"/>
      <w:bookmarkEnd w:id="174"/>
    </w:p>
    <w:p>
      <w:pPr>
        <w:spacing w:line="500" w:lineRule="exact"/>
        <w:ind w:firstLine="420"/>
        <w:rPr>
          <w:rFonts w:ascii="微软雅黑" w:hAnsi="微软雅黑"/>
          <w:szCs w:val="21"/>
          <w:highlight w:val="none"/>
        </w:rPr>
      </w:pPr>
      <w:bookmarkStart w:id="175" w:name="_Toc3625"/>
      <w:bookmarkStart w:id="176" w:name="_Toc6580"/>
      <w:r>
        <w:rPr>
          <w:rFonts w:hint="eastAsia" w:ascii="微软雅黑" w:hAnsi="微软雅黑"/>
          <w:szCs w:val="21"/>
          <w:highlight w:val="none"/>
        </w:rPr>
        <w:t>(一)不同供应商的投标文件由同一单位或者个人编制;</w:t>
      </w:r>
      <w:bookmarkEnd w:id="175"/>
      <w:bookmarkEnd w:id="176"/>
    </w:p>
    <w:p>
      <w:pPr>
        <w:spacing w:line="500" w:lineRule="exact"/>
        <w:ind w:firstLine="420"/>
        <w:rPr>
          <w:rFonts w:ascii="微软雅黑" w:hAnsi="微软雅黑"/>
          <w:szCs w:val="21"/>
          <w:highlight w:val="none"/>
        </w:rPr>
      </w:pPr>
      <w:r>
        <w:rPr>
          <w:rFonts w:hint="eastAsia" w:ascii="微软雅黑" w:hAnsi="微软雅黑"/>
          <w:szCs w:val="21"/>
          <w:highlight w:val="none"/>
        </w:rPr>
        <w:t>(二)不同供应商委托同一单位或者个人办理投标事宜;</w:t>
      </w:r>
    </w:p>
    <w:p>
      <w:pPr>
        <w:spacing w:line="500" w:lineRule="exact"/>
        <w:ind w:firstLine="420"/>
        <w:rPr>
          <w:rFonts w:ascii="微软雅黑" w:hAnsi="微软雅黑"/>
          <w:szCs w:val="21"/>
          <w:highlight w:val="none"/>
        </w:rPr>
      </w:pPr>
      <w:r>
        <w:rPr>
          <w:rFonts w:hint="eastAsia" w:ascii="微软雅黑" w:hAnsi="微软雅黑"/>
          <w:szCs w:val="21"/>
          <w:highlight w:val="none"/>
        </w:rPr>
        <w:t>(三)不同供应商的投标文件载明的项目管理成员或者联系人员为同一人;</w:t>
      </w:r>
    </w:p>
    <w:p>
      <w:pPr>
        <w:spacing w:line="500" w:lineRule="exact"/>
        <w:ind w:firstLine="420"/>
        <w:rPr>
          <w:rFonts w:ascii="微软雅黑" w:hAnsi="微软雅黑"/>
          <w:szCs w:val="21"/>
          <w:highlight w:val="none"/>
        </w:rPr>
      </w:pPr>
      <w:r>
        <w:rPr>
          <w:rFonts w:hint="eastAsia" w:ascii="微软雅黑" w:hAnsi="微软雅黑"/>
          <w:szCs w:val="21"/>
          <w:highlight w:val="none"/>
        </w:rPr>
        <w:t>(四)不同供应商的投标文件异常一致或者投标报价呈规律性差异;</w:t>
      </w:r>
    </w:p>
    <w:p>
      <w:pPr>
        <w:spacing w:line="500" w:lineRule="exact"/>
        <w:ind w:firstLine="420"/>
        <w:rPr>
          <w:rFonts w:ascii="微软雅黑" w:hAnsi="微软雅黑"/>
          <w:szCs w:val="21"/>
          <w:highlight w:val="none"/>
        </w:rPr>
      </w:pPr>
      <w:r>
        <w:rPr>
          <w:rFonts w:hint="eastAsia" w:ascii="微软雅黑" w:hAnsi="微软雅黑"/>
          <w:szCs w:val="21"/>
          <w:highlight w:val="none"/>
        </w:rPr>
        <w:t>(五)不同供应商的投标文件相互混装;</w:t>
      </w:r>
    </w:p>
    <w:p>
      <w:pPr>
        <w:spacing w:line="500" w:lineRule="exact"/>
        <w:ind w:firstLine="420"/>
        <w:rPr>
          <w:rFonts w:ascii="微软雅黑" w:hAnsi="微软雅黑"/>
          <w:szCs w:val="21"/>
          <w:highlight w:val="none"/>
        </w:rPr>
      </w:pPr>
      <w:r>
        <w:rPr>
          <w:rFonts w:hint="eastAsia" w:ascii="微软雅黑" w:hAnsi="微软雅黑"/>
          <w:szCs w:val="21"/>
          <w:highlight w:val="none"/>
        </w:rPr>
        <w:t>实质上没有响应招标文件要求的投标将被视为无效投标。</w:t>
      </w:r>
    </w:p>
    <w:p>
      <w:pPr>
        <w:snapToGrid w:val="0"/>
        <w:spacing w:line="500" w:lineRule="exact"/>
        <w:ind w:firstLine="412" w:firstLineChars="196"/>
        <w:rPr>
          <w:rFonts w:ascii="微软雅黑" w:hAnsi="微软雅黑"/>
          <w:b/>
          <w:bCs/>
          <w:szCs w:val="21"/>
          <w:highlight w:val="none"/>
        </w:rPr>
      </w:pPr>
      <w:r>
        <w:rPr>
          <w:rFonts w:hint="eastAsia" w:ascii="微软雅黑" w:hAnsi="微软雅黑"/>
          <w:b/>
          <w:bCs/>
          <w:szCs w:val="21"/>
          <w:highlight w:val="none"/>
        </w:rPr>
        <w:t>1、</w:t>
      </w:r>
      <w:r>
        <w:rPr>
          <w:rFonts w:ascii="微软雅黑" w:hAnsi="微软雅黑"/>
          <w:b/>
          <w:bCs/>
          <w:szCs w:val="21"/>
          <w:highlight w:val="none"/>
        </w:rPr>
        <w:t>电子投标文件解密失败的，且未在规定时间内提交备份投标文件的</w:t>
      </w:r>
      <w:r>
        <w:rPr>
          <w:rFonts w:hint="eastAsia" w:ascii="微软雅黑" w:hAnsi="微软雅黑"/>
          <w:b/>
          <w:bCs/>
          <w:szCs w:val="21"/>
          <w:highlight w:val="none"/>
        </w:rPr>
        <w:t>。</w:t>
      </w:r>
    </w:p>
    <w:p>
      <w:pPr>
        <w:snapToGrid w:val="0"/>
        <w:spacing w:line="500" w:lineRule="exact"/>
        <w:ind w:firstLine="412" w:firstLineChars="196"/>
        <w:rPr>
          <w:rFonts w:ascii="微软雅黑" w:hAnsi="微软雅黑"/>
          <w:b/>
          <w:bCs/>
          <w:szCs w:val="21"/>
          <w:highlight w:val="none"/>
        </w:rPr>
      </w:pPr>
      <w:r>
        <w:rPr>
          <w:rFonts w:ascii="微软雅黑" w:hAnsi="微软雅黑"/>
          <w:b/>
          <w:bCs/>
          <w:szCs w:val="21"/>
          <w:highlight w:val="none"/>
        </w:rPr>
        <w:t>2</w:t>
      </w:r>
      <w:r>
        <w:rPr>
          <w:rFonts w:hint="eastAsia" w:ascii="微软雅黑" w:hAnsi="微软雅黑"/>
          <w:b/>
          <w:bCs/>
          <w:szCs w:val="21"/>
          <w:highlight w:val="none"/>
        </w:rPr>
        <w:t>、没有通过资格审查的，</w:t>
      </w:r>
      <w:r>
        <w:rPr>
          <w:rFonts w:ascii="微软雅黑" w:hAnsi="微软雅黑"/>
          <w:b/>
          <w:bCs/>
          <w:szCs w:val="21"/>
          <w:highlight w:val="none"/>
        </w:rPr>
        <w:t>投标文件将被视为无效。</w:t>
      </w:r>
    </w:p>
    <w:p>
      <w:pPr>
        <w:snapToGrid w:val="0"/>
        <w:spacing w:line="500" w:lineRule="exact"/>
        <w:ind w:firstLine="412" w:firstLineChars="196"/>
        <w:rPr>
          <w:rFonts w:ascii="微软雅黑" w:hAnsi="微软雅黑"/>
          <w:b/>
          <w:bCs/>
          <w:szCs w:val="21"/>
          <w:highlight w:val="none"/>
        </w:rPr>
      </w:pPr>
      <w:r>
        <w:rPr>
          <w:rFonts w:ascii="微软雅黑" w:hAnsi="微软雅黑"/>
          <w:b/>
          <w:bCs/>
          <w:szCs w:val="21"/>
          <w:highlight w:val="none"/>
        </w:rPr>
        <w:t>3</w:t>
      </w:r>
      <w:r>
        <w:rPr>
          <w:rFonts w:hint="eastAsia" w:ascii="微软雅黑" w:hAnsi="微软雅黑"/>
          <w:b/>
          <w:bCs/>
          <w:szCs w:val="21"/>
          <w:highlight w:val="none"/>
        </w:rPr>
        <w:t>、</w:t>
      </w:r>
      <w:r>
        <w:rPr>
          <w:rFonts w:ascii="微软雅黑" w:hAnsi="微软雅黑"/>
          <w:b/>
          <w:bCs/>
          <w:szCs w:val="21"/>
          <w:highlight w:val="none"/>
        </w:rPr>
        <w:t>在符合性审查和商务评审时，如发现下列情形之一的，投标文件将被视为无效：</w:t>
      </w:r>
    </w:p>
    <w:p>
      <w:pPr>
        <w:snapToGrid w:val="0"/>
        <w:spacing w:line="500" w:lineRule="exact"/>
        <w:ind w:firstLine="411" w:firstLineChars="196"/>
        <w:rPr>
          <w:rFonts w:ascii="微软雅黑" w:hAnsi="微软雅黑"/>
          <w:szCs w:val="21"/>
          <w:highlight w:val="none"/>
        </w:rPr>
      </w:pPr>
      <w:r>
        <w:rPr>
          <w:rFonts w:hint="eastAsia" w:ascii="微软雅黑" w:hAnsi="微软雅黑"/>
          <w:bCs/>
          <w:szCs w:val="21"/>
          <w:highlight w:val="none"/>
        </w:rPr>
        <w:t>（1）</w:t>
      </w:r>
      <w:r>
        <w:rPr>
          <w:rFonts w:ascii="微软雅黑" w:hAnsi="微软雅黑"/>
          <w:szCs w:val="21"/>
          <w:highlight w:val="none"/>
        </w:rPr>
        <w:t>电子投标文件未按规定要求提供电子签章的</w:t>
      </w:r>
      <w:r>
        <w:rPr>
          <w:rFonts w:hint="eastAsia" w:ascii="微软雅黑" w:hAnsi="微软雅黑"/>
          <w:szCs w:val="21"/>
          <w:highlight w:val="none"/>
        </w:rPr>
        <w:t>；</w:t>
      </w:r>
    </w:p>
    <w:p>
      <w:pPr>
        <w:snapToGrid w:val="0"/>
        <w:spacing w:line="500" w:lineRule="exact"/>
        <w:ind w:firstLine="411" w:firstLineChars="196"/>
        <w:rPr>
          <w:rFonts w:ascii="微软雅黑" w:hAnsi="微软雅黑"/>
          <w:szCs w:val="21"/>
          <w:highlight w:val="none"/>
        </w:rPr>
      </w:pPr>
      <w:r>
        <w:rPr>
          <w:rFonts w:hint="eastAsia" w:ascii="微软雅黑" w:hAnsi="微软雅黑"/>
          <w:szCs w:val="21"/>
          <w:highlight w:val="none"/>
        </w:rPr>
        <w:t>（2</w:t>
      </w:r>
      <w:r>
        <w:rPr>
          <w:rFonts w:ascii="微软雅黑" w:hAnsi="微软雅黑"/>
          <w:szCs w:val="21"/>
          <w:highlight w:val="none"/>
        </w:rPr>
        <w:t>）</w:t>
      </w:r>
      <w:r>
        <w:rPr>
          <w:rFonts w:hint="eastAsia" w:ascii="微软雅黑" w:hAnsi="微软雅黑"/>
          <w:szCs w:val="21"/>
          <w:highlight w:val="none"/>
        </w:rPr>
        <w:t>在资信商务技术文件中出现报价的；</w:t>
      </w:r>
    </w:p>
    <w:p>
      <w:pPr>
        <w:snapToGrid w:val="0"/>
        <w:spacing w:line="500" w:lineRule="exact"/>
        <w:ind w:firstLine="411" w:firstLineChars="196"/>
        <w:rPr>
          <w:rFonts w:ascii="微软雅黑" w:hAnsi="微软雅黑"/>
          <w:szCs w:val="21"/>
          <w:highlight w:val="none"/>
        </w:rPr>
      </w:pPr>
      <w:r>
        <w:rPr>
          <w:rFonts w:hint="eastAsia" w:ascii="微软雅黑" w:hAnsi="微软雅黑"/>
          <w:szCs w:val="21"/>
          <w:highlight w:val="none"/>
        </w:rPr>
        <w:t>（3</w:t>
      </w:r>
      <w:r>
        <w:rPr>
          <w:rFonts w:ascii="微软雅黑" w:hAnsi="微软雅黑"/>
          <w:szCs w:val="21"/>
          <w:highlight w:val="none"/>
        </w:rPr>
        <w:t>）资格证明文件不全的，或者不符合招标文件标明的资格要求的</w:t>
      </w:r>
      <w:r>
        <w:rPr>
          <w:rFonts w:hint="eastAsia" w:ascii="微软雅黑" w:hAnsi="微软雅黑"/>
          <w:szCs w:val="21"/>
          <w:highlight w:val="none"/>
        </w:rPr>
        <w:t>；</w:t>
      </w:r>
    </w:p>
    <w:p>
      <w:pPr>
        <w:snapToGrid w:val="0"/>
        <w:spacing w:line="500" w:lineRule="exact"/>
        <w:ind w:firstLine="411" w:firstLineChars="196"/>
        <w:rPr>
          <w:rFonts w:ascii="微软雅黑" w:hAnsi="微软雅黑"/>
          <w:bCs/>
          <w:kern w:val="0"/>
          <w:szCs w:val="21"/>
          <w:highlight w:val="none"/>
        </w:rPr>
      </w:pPr>
      <w:r>
        <w:rPr>
          <w:rFonts w:hint="eastAsia" w:ascii="微软雅黑" w:hAnsi="微软雅黑"/>
          <w:szCs w:val="21"/>
          <w:highlight w:val="none"/>
        </w:rPr>
        <w:t>（4</w:t>
      </w:r>
      <w:r>
        <w:rPr>
          <w:rFonts w:ascii="微软雅黑" w:hAnsi="微软雅黑"/>
          <w:szCs w:val="21"/>
          <w:highlight w:val="none"/>
        </w:rPr>
        <w:t>）投标文件无法定代表人签字</w:t>
      </w:r>
      <w:r>
        <w:rPr>
          <w:rFonts w:hint="eastAsia" w:ascii="微软雅黑" w:hAnsi="微软雅黑"/>
          <w:szCs w:val="21"/>
          <w:highlight w:val="none"/>
        </w:rPr>
        <w:t>（或盖章）</w:t>
      </w:r>
      <w:r>
        <w:rPr>
          <w:rFonts w:ascii="微软雅黑" w:hAnsi="微软雅黑"/>
          <w:szCs w:val="21"/>
          <w:highlight w:val="none"/>
        </w:rPr>
        <w:t>,或未</w:t>
      </w:r>
      <w:r>
        <w:rPr>
          <w:rFonts w:hint="eastAsia" w:ascii="微软雅黑" w:hAnsi="微软雅黑"/>
          <w:bCs/>
          <w:kern w:val="0"/>
          <w:szCs w:val="21"/>
          <w:highlight w:val="none"/>
        </w:rPr>
        <w:t>提供法定代表人授权委托书、投标声明书或者填写项目不齐全的；</w:t>
      </w:r>
    </w:p>
    <w:p>
      <w:pPr>
        <w:snapToGrid w:val="0"/>
        <w:spacing w:line="500" w:lineRule="exact"/>
        <w:ind w:firstLine="411" w:firstLineChars="196"/>
        <w:rPr>
          <w:rFonts w:ascii="微软雅黑" w:hAnsi="微软雅黑"/>
          <w:szCs w:val="21"/>
          <w:highlight w:val="none"/>
        </w:rPr>
      </w:pPr>
      <w:r>
        <w:rPr>
          <w:rFonts w:ascii="微软雅黑" w:hAnsi="微软雅黑"/>
          <w:szCs w:val="21"/>
          <w:highlight w:val="none"/>
        </w:rPr>
        <w:t>（</w:t>
      </w:r>
      <w:r>
        <w:rPr>
          <w:rFonts w:hint="eastAsia" w:ascii="微软雅黑" w:hAnsi="微软雅黑"/>
          <w:snapToGrid w:val="0"/>
          <w:szCs w:val="21"/>
          <w:highlight w:val="none"/>
        </w:rPr>
        <w:t>5</w:t>
      </w:r>
      <w:r>
        <w:rPr>
          <w:rFonts w:ascii="微软雅黑" w:hAnsi="微软雅黑"/>
          <w:snapToGrid w:val="0"/>
          <w:szCs w:val="21"/>
          <w:highlight w:val="none"/>
        </w:rPr>
        <w:t>）</w:t>
      </w:r>
      <w:r>
        <w:rPr>
          <w:rFonts w:ascii="微软雅黑" w:hAnsi="微软雅黑"/>
          <w:szCs w:val="21"/>
          <w:highlight w:val="none"/>
        </w:rPr>
        <w:t>投标文件格式不规范、项目不齐全或者内容虚假的；</w:t>
      </w:r>
    </w:p>
    <w:p>
      <w:pPr>
        <w:snapToGrid w:val="0"/>
        <w:spacing w:line="500" w:lineRule="exact"/>
        <w:ind w:firstLine="411" w:firstLineChars="196"/>
        <w:rPr>
          <w:rFonts w:ascii="微软雅黑" w:hAnsi="微软雅黑"/>
          <w:szCs w:val="21"/>
          <w:highlight w:val="none"/>
        </w:rPr>
      </w:pPr>
      <w:r>
        <w:rPr>
          <w:rFonts w:ascii="微软雅黑" w:hAnsi="微软雅黑"/>
          <w:szCs w:val="21"/>
          <w:highlight w:val="none"/>
        </w:rPr>
        <w:t>（</w:t>
      </w:r>
      <w:r>
        <w:rPr>
          <w:rFonts w:hint="eastAsia" w:ascii="微软雅黑" w:hAnsi="微软雅黑"/>
          <w:szCs w:val="21"/>
          <w:highlight w:val="none"/>
        </w:rPr>
        <w:t>6</w:t>
      </w:r>
      <w:r>
        <w:rPr>
          <w:rFonts w:ascii="微软雅黑" w:hAnsi="微软雅黑"/>
          <w:szCs w:val="21"/>
          <w:highlight w:val="none"/>
        </w:rPr>
        <w:t>）投标文件的实质性内容未使用中文表述、意思表述不明确、前后矛盾或者使用计量单位不符合招标文件要求的（经评标委员会认定</w:t>
      </w:r>
      <w:r>
        <w:rPr>
          <w:rFonts w:hint="eastAsia" w:ascii="微软雅黑" w:hAnsi="微软雅黑"/>
          <w:szCs w:val="21"/>
          <w:highlight w:val="none"/>
        </w:rPr>
        <w:t>并</w:t>
      </w:r>
      <w:r>
        <w:rPr>
          <w:rFonts w:ascii="微软雅黑" w:hAnsi="微软雅黑"/>
          <w:szCs w:val="21"/>
          <w:highlight w:val="none"/>
        </w:rPr>
        <w:t>允许其当场更正的笔误除外）</w:t>
      </w:r>
      <w:r>
        <w:rPr>
          <w:rFonts w:hint="eastAsia" w:ascii="微软雅黑" w:hAnsi="微软雅黑"/>
          <w:szCs w:val="21"/>
          <w:highlight w:val="none"/>
        </w:rPr>
        <w:t>；</w:t>
      </w:r>
    </w:p>
    <w:p>
      <w:pPr>
        <w:snapToGrid w:val="0"/>
        <w:spacing w:line="500" w:lineRule="exact"/>
        <w:ind w:firstLine="411" w:firstLineChars="196"/>
        <w:rPr>
          <w:rFonts w:ascii="微软雅黑" w:hAnsi="微软雅黑"/>
          <w:snapToGrid w:val="0"/>
          <w:szCs w:val="21"/>
          <w:highlight w:val="none"/>
        </w:rPr>
      </w:pPr>
      <w:r>
        <w:rPr>
          <w:rFonts w:ascii="微软雅黑" w:hAnsi="微软雅黑"/>
          <w:szCs w:val="21"/>
          <w:highlight w:val="none"/>
        </w:rPr>
        <w:t>（</w:t>
      </w:r>
      <w:r>
        <w:rPr>
          <w:rFonts w:hint="eastAsia" w:ascii="微软雅黑" w:hAnsi="微软雅黑"/>
          <w:snapToGrid w:val="0"/>
          <w:szCs w:val="21"/>
          <w:highlight w:val="none"/>
        </w:rPr>
        <w:t>7</w:t>
      </w:r>
      <w:r>
        <w:rPr>
          <w:rFonts w:ascii="微软雅黑" w:hAnsi="微软雅黑"/>
          <w:snapToGrid w:val="0"/>
          <w:szCs w:val="21"/>
          <w:highlight w:val="none"/>
        </w:rPr>
        <w:t>）投标有效期、交货时间、质保期等商务条款不能满足招标文件要求的；</w:t>
      </w:r>
    </w:p>
    <w:p>
      <w:pPr>
        <w:snapToGrid w:val="0"/>
        <w:spacing w:line="500" w:lineRule="exact"/>
        <w:ind w:firstLine="411" w:firstLineChars="196"/>
        <w:rPr>
          <w:rFonts w:ascii="微软雅黑" w:hAnsi="微软雅黑"/>
          <w:szCs w:val="21"/>
          <w:highlight w:val="none"/>
        </w:rPr>
      </w:pPr>
      <w:r>
        <w:rPr>
          <w:rFonts w:ascii="微软雅黑" w:hAnsi="微软雅黑"/>
          <w:szCs w:val="21"/>
          <w:highlight w:val="none"/>
        </w:rPr>
        <w:t>（</w:t>
      </w:r>
      <w:r>
        <w:rPr>
          <w:rFonts w:hint="eastAsia" w:ascii="微软雅黑" w:hAnsi="微软雅黑"/>
          <w:szCs w:val="21"/>
          <w:highlight w:val="none"/>
        </w:rPr>
        <w:t>8</w:t>
      </w:r>
      <w:r>
        <w:rPr>
          <w:rFonts w:ascii="微软雅黑" w:hAnsi="微软雅黑"/>
          <w:szCs w:val="21"/>
          <w:highlight w:val="none"/>
        </w:rPr>
        <w:t>）</w:t>
      </w:r>
      <w:r>
        <w:rPr>
          <w:rFonts w:hint="eastAsia" w:ascii="微软雅黑" w:hAnsi="微软雅黑"/>
          <w:szCs w:val="21"/>
          <w:highlight w:val="none"/>
        </w:rPr>
        <w:t>未实质性</w:t>
      </w:r>
      <w:r>
        <w:rPr>
          <w:rFonts w:ascii="微软雅黑" w:hAnsi="微软雅黑"/>
          <w:szCs w:val="21"/>
          <w:highlight w:val="none"/>
        </w:rPr>
        <w:t>响应招标文件要求或者投标文件有招标方不能接受的附加条件的</w:t>
      </w:r>
      <w:r>
        <w:rPr>
          <w:rFonts w:hint="eastAsia" w:ascii="微软雅黑" w:hAnsi="微软雅黑"/>
          <w:szCs w:val="21"/>
          <w:highlight w:val="none"/>
        </w:rPr>
        <w:t>；</w:t>
      </w:r>
    </w:p>
    <w:p>
      <w:pPr>
        <w:snapToGrid w:val="0"/>
        <w:spacing w:line="500" w:lineRule="exact"/>
        <w:ind w:firstLine="411" w:firstLineChars="196"/>
        <w:rPr>
          <w:rFonts w:ascii="微软雅黑" w:hAnsi="微软雅黑"/>
          <w:szCs w:val="21"/>
          <w:highlight w:val="none"/>
        </w:rPr>
      </w:pPr>
      <w:r>
        <w:rPr>
          <w:rFonts w:hint="eastAsia" w:ascii="微软雅黑" w:hAnsi="微软雅黑"/>
          <w:szCs w:val="21"/>
          <w:highlight w:val="none"/>
        </w:rPr>
        <w:t>（9）不符合本招标文件中的实质性要求条款。</w:t>
      </w:r>
    </w:p>
    <w:p>
      <w:pPr>
        <w:snapToGrid w:val="0"/>
        <w:spacing w:line="500" w:lineRule="exact"/>
        <w:ind w:firstLine="412" w:firstLineChars="196"/>
        <w:rPr>
          <w:rFonts w:ascii="微软雅黑" w:hAnsi="微软雅黑"/>
          <w:b/>
          <w:bCs/>
          <w:szCs w:val="21"/>
          <w:highlight w:val="none"/>
        </w:rPr>
      </w:pPr>
      <w:r>
        <w:rPr>
          <w:rFonts w:hint="eastAsia" w:ascii="微软雅黑" w:hAnsi="微软雅黑"/>
          <w:b/>
          <w:bCs/>
          <w:szCs w:val="21"/>
          <w:highlight w:val="none"/>
          <w:lang w:val="en-US" w:eastAsia="zh-CN"/>
        </w:rPr>
        <w:t>4</w:t>
      </w:r>
      <w:r>
        <w:rPr>
          <w:rFonts w:hint="eastAsia" w:ascii="微软雅黑" w:hAnsi="微软雅黑"/>
          <w:b/>
          <w:bCs/>
          <w:szCs w:val="21"/>
          <w:highlight w:val="none"/>
        </w:rPr>
        <w:t>、</w:t>
      </w:r>
      <w:r>
        <w:rPr>
          <w:rFonts w:ascii="微软雅黑" w:hAnsi="微软雅黑"/>
          <w:b/>
          <w:bCs/>
          <w:szCs w:val="21"/>
          <w:highlight w:val="none"/>
        </w:rPr>
        <w:t>在技术评审时，如发现下列情形之一的，投标文件将被视为无效：</w:t>
      </w:r>
    </w:p>
    <w:p>
      <w:pPr>
        <w:snapToGrid w:val="0"/>
        <w:spacing w:line="500" w:lineRule="exact"/>
        <w:ind w:firstLine="411" w:firstLineChars="196"/>
        <w:rPr>
          <w:rFonts w:ascii="微软雅黑" w:hAnsi="微软雅黑"/>
          <w:szCs w:val="21"/>
          <w:highlight w:val="none"/>
        </w:rPr>
      </w:pPr>
      <w:r>
        <w:rPr>
          <w:rFonts w:ascii="微软雅黑" w:hAnsi="微软雅黑"/>
          <w:szCs w:val="21"/>
          <w:highlight w:val="none"/>
        </w:rPr>
        <w:t>（1）未提供或未如实提供投标货物的技术参数，或者投标文件标明的响应或偏离与事实不符或虚假投标的；</w:t>
      </w:r>
    </w:p>
    <w:p>
      <w:pPr>
        <w:snapToGrid w:val="0"/>
        <w:spacing w:line="500" w:lineRule="exact"/>
        <w:ind w:firstLine="411" w:firstLineChars="196"/>
        <w:rPr>
          <w:rFonts w:ascii="微软雅黑" w:hAnsi="微软雅黑"/>
          <w:szCs w:val="21"/>
          <w:highlight w:val="none"/>
        </w:rPr>
      </w:pPr>
      <w:r>
        <w:rPr>
          <w:rFonts w:ascii="微软雅黑" w:hAnsi="微软雅黑"/>
          <w:szCs w:val="21"/>
          <w:highlight w:val="none"/>
        </w:rPr>
        <w:t>（2）</w:t>
      </w:r>
      <w:r>
        <w:rPr>
          <w:rFonts w:ascii="微软雅黑" w:hAnsi="微软雅黑"/>
          <w:snapToGrid w:val="0"/>
          <w:szCs w:val="21"/>
          <w:highlight w:val="none"/>
        </w:rPr>
        <w:t>明显不符合招标文件</w:t>
      </w:r>
      <w:r>
        <w:rPr>
          <w:rFonts w:hint="eastAsia" w:ascii="微软雅黑" w:hAnsi="微软雅黑"/>
          <w:snapToGrid w:val="0"/>
          <w:szCs w:val="21"/>
          <w:highlight w:val="none"/>
        </w:rPr>
        <w:t>要求</w:t>
      </w:r>
      <w:r>
        <w:rPr>
          <w:rFonts w:ascii="微软雅黑" w:hAnsi="微软雅黑"/>
          <w:snapToGrid w:val="0"/>
          <w:szCs w:val="21"/>
          <w:highlight w:val="none"/>
        </w:rPr>
        <w:t>的规格型号、质量标准，或者</w:t>
      </w:r>
      <w:r>
        <w:rPr>
          <w:rFonts w:hint="eastAsia" w:ascii="微软雅黑" w:hAnsi="微软雅黑"/>
          <w:snapToGrid w:val="0"/>
          <w:szCs w:val="21"/>
          <w:highlight w:val="none"/>
        </w:rPr>
        <w:t>与</w:t>
      </w:r>
      <w:r>
        <w:rPr>
          <w:rFonts w:ascii="微软雅黑" w:hAnsi="微软雅黑"/>
          <w:szCs w:val="21"/>
          <w:highlight w:val="none"/>
        </w:rPr>
        <w:t>招标文件中标“▲”的技术指标、主要功能项目发生实质性偏离的；</w:t>
      </w:r>
    </w:p>
    <w:p>
      <w:pPr>
        <w:pStyle w:val="21"/>
        <w:snapToGrid w:val="0"/>
        <w:spacing w:line="500" w:lineRule="exact"/>
        <w:ind w:firstLine="395" w:firstLineChars="196"/>
        <w:rPr>
          <w:rFonts w:ascii="微软雅黑" w:hAnsi="微软雅黑"/>
          <w:sz w:val="21"/>
          <w:szCs w:val="21"/>
          <w:highlight w:val="none"/>
        </w:rPr>
      </w:pPr>
      <w:r>
        <w:rPr>
          <w:rFonts w:ascii="微软雅黑" w:hAnsi="微软雅黑"/>
          <w:snapToGrid w:val="0"/>
          <w:sz w:val="21"/>
          <w:szCs w:val="21"/>
          <w:highlight w:val="none"/>
        </w:rPr>
        <w:t>（</w:t>
      </w:r>
      <w:r>
        <w:rPr>
          <w:rFonts w:hint="eastAsia" w:ascii="微软雅黑" w:hAnsi="微软雅黑"/>
          <w:snapToGrid w:val="0"/>
          <w:sz w:val="21"/>
          <w:szCs w:val="21"/>
          <w:highlight w:val="none"/>
        </w:rPr>
        <w:t>3</w:t>
      </w:r>
      <w:r>
        <w:rPr>
          <w:rFonts w:ascii="微软雅黑" w:hAnsi="微软雅黑"/>
          <w:snapToGrid w:val="0"/>
          <w:sz w:val="21"/>
          <w:szCs w:val="21"/>
          <w:highlight w:val="none"/>
        </w:rPr>
        <w:t>）</w:t>
      </w:r>
      <w:r>
        <w:rPr>
          <w:rFonts w:ascii="微软雅黑" w:hAnsi="微软雅黑"/>
          <w:sz w:val="21"/>
          <w:szCs w:val="21"/>
          <w:highlight w:val="none"/>
        </w:rPr>
        <w:t>投标技术方案不明确，存在一个或一个以上备选（替代）投标方案的；</w:t>
      </w:r>
    </w:p>
    <w:p>
      <w:pPr>
        <w:pStyle w:val="21"/>
        <w:snapToGrid w:val="0"/>
        <w:spacing w:line="500" w:lineRule="exact"/>
        <w:ind w:firstLine="396" w:firstLineChars="196"/>
        <w:rPr>
          <w:rFonts w:ascii="微软雅黑" w:hAnsi="微软雅黑"/>
          <w:b/>
          <w:bCs/>
          <w:sz w:val="21"/>
          <w:szCs w:val="21"/>
          <w:highlight w:val="none"/>
        </w:rPr>
      </w:pPr>
      <w:r>
        <w:rPr>
          <w:rFonts w:hint="eastAsia" w:ascii="微软雅黑" w:hAnsi="微软雅黑"/>
          <w:b/>
          <w:bCs/>
          <w:sz w:val="21"/>
          <w:szCs w:val="21"/>
          <w:highlight w:val="none"/>
          <w:lang w:val="en-US" w:eastAsia="zh-CN"/>
        </w:rPr>
        <w:t>5</w:t>
      </w:r>
      <w:r>
        <w:rPr>
          <w:rFonts w:hint="eastAsia" w:ascii="微软雅黑" w:hAnsi="微软雅黑"/>
          <w:b/>
          <w:bCs/>
          <w:sz w:val="21"/>
          <w:szCs w:val="21"/>
          <w:highlight w:val="none"/>
        </w:rPr>
        <w:t>、</w:t>
      </w:r>
      <w:r>
        <w:rPr>
          <w:rFonts w:ascii="微软雅黑" w:hAnsi="微软雅黑"/>
          <w:b/>
          <w:bCs/>
          <w:sz w:val="21"/>
          <w:szCs w:val="21"/>
          <w:highlight w:val="none"/>
        </w:rPr>
        <w:t>在报价评审时，如发现下列情形之一的，投标文件将被视为无效：</w:t>
      </w:r>
    </w:p>
    <w:p>
      <w:pPr>
        <w:pStyle w:val="21"/>
        <w:snapToGrid w:val="0"/>
        <w:spacing w:line="500" w:lineRule="exact"/>
        <w:ind w:firstLine="395" w:firstLineChars="196"/>
        <w:rPr>
          <w:rFonts w:ascii="微软雅黑" w:hAnsi="微软雅黑"/>
          <w:sz w:val="21"/>
          <w:szCs w:val="21"/>
          <w:highlight w:val="none"/>
        </w:rPr>
      </w:pPr>
      <w:r>
        <w:rPr>
          <w:rFonts w:ascii="微软雅黑" w:hAnsi="微软雅黑"/>
          <w:sz w:val="21"/>
          <w:szCs w:val="21"/>
          <w:highlight w:val="none"/>
        </w:rPr>
        <w:t>（1）未采用人民币报价或者未按照招标文件标明的币种报价的；</w:t>
      </w:r>
    </w:p>
    <w:p>
      <w:pPr>
        <w:pStyle w:val="21"/>
        <w:snapToGrid w:val="0"/>
        <w:spacing w:line="500" w:lineRule="exact"/>
        <w:ind w:firstLine="395" w:firstLineChars="196"/>
        <w:rPr>
          <w:rFonts w:ascii="微软雅黑" w:hAnsi="微软雅黑"/>
          <w:sz w:val="21"/>
          <w:szCs w:val="21"/>
          <w:highlight w:val="none"/>
        </w:rPr>
      </w:pPr>
      <w:r>
        <w:rPr>
          <w:rFonts w:ascii="微软雅黑" w:hAnsi="微软雅黑"/>
          <w:sz w:val="21"/>
          <w:szCs w:val="21"/>
          <w:highlight w:val="none"/>
        </w:rPr>
        <w:t>（2）报价超出最高限价</w:t>
      </w:r>
      <w:r>
        <w:rPr>
          <w:rFonts w:hint="eastAsia" w:ascii="微软雅黑" w:hAnsi="微软雅黑"/>
          <w:sz w:val="21"/>
          <w:szCs w:val="21"/>
          <w:highlight w:val="none"/>
        </w:rPr>
        <w:t>；</w:t>
      </w:r>
    </w:p>
    <w:p>
      <w:pPr>
        <w:pStyle w:val="21"/>
        <w:snapToGrid w:val="0"/>
        <w:spacing w:line="500" w:lineRule="exact"/>
        <w:ind w:firstLine="395" w:firstLineChars="196"/>
        <w:rPr>
          <w:rFonts w:ascii="微软雅黑" w:hAnsi="微软雅黑"/>
          <w:sz w:val="21"/>
          <w:szCs w:val="21"/>
          <w:highlight w:val="none"/>
        </w:rPr>
      </w:pPr>
      <w:r>
        <w:rPr>
          <w:rFonts w:hint="eastAsia" w:ascii="微软雅黑" w:hAnsi="微软雅黑"/>
          <w:sz w:val="21"/>
          <w:szCs w:val="21"/>
          <w:highlight w:val="none"/>
        </w:rPr>
        <w:t xml:space="preserve">（3）投标报价具有选择性，或者开标价格与投标文件承诺的优惠（折扣）价格不一致的。                                                                                            </w:t>
      </w:r>
    </w:p>
    <w:p>
      <w:pPr>
        <w:pStyle w:val="21"/>
        <w:snapToGrid w:val="0"/>
        <w:spacing w:line="500" w:lineRule="exact"/>
        <w:ind w:firstLine="396" w:firstLineChars="196"/>
        <w:rPr>
          <w:rFonts w:ascii="微软雅黑" w:hAnsi="微软雅黑"/>
          <w:b/>
          <w:snapToGrid w:val="0"/>
          <w:sz w:val="21"/>
          <w:szCs w:val="21"/>
          <w:highlight w:val="none"/>
        </w:rPr>
      </w:pPr>
      <w:r>
        <w:rPr>
          <w:rFonts w:hint="eastAsia" w:ascii="微软雅黑" w:hAnsi="微软雅黑"/>
          <w:b/>
          <w:sz w:val="21"/>
          <w:szCs w:val="21"/>
          <w:highlight w:val="none"/>
          <w:lang w:val="en-US" w:eastAsia="zh-CN"/>
        </w:rPr>
        <w:t>6</w:t>
      </w:r>
      <w:r>
        <w:rPr>
          <w:rFonts w:hint="eastAsia" w:ascii="微软雅黑" w:hAnsi="微软雅黑"/>
          <w:b/>
          <w:sz w:val="21"/>
          <w:szCs w:val="21"/>
          <w:highlight w:val="none"/>
        </w:rPr>
        <w:t>、</w:t>
      </w:r>
      <w:r>
        <w:rPr>
          <w:rFonts w:ascii="微软雅黑" w:hAnsi="微软雅黑"/>
          <w:b/>
          <w:sz w:val="21"/>
          <w:szCs w:val="21"/>
          <w:highlight w:val="none"/>
        </w:rPr>
        <w:t>被拒绝的投标文件为无效。</w:t>
      </w:r>
    </w:p>
    <w:p>
      <w:pPr>
        <w:pStyle w:val="6"/>
        <w:spacing w:line="500" w:lineRule="exact"/>
        <w:ind w:firstLine="420"/>
        <w:rPr>
          <w:rFonts w:ascii="微软雅黑" w:hAnsi="微软雅黑"/>
          <w:szCs w:val="21"/>
          <w:highlight w:val="none"/>
        </w:rPr>
      </w:pPr>
      <w:bookmarkStart w:id="177" w:name="_Toc33535369"/>
      <w:r>
        <w:rPr>
          <w:rFonts w:hint="eastAsia" w:ascii="微软雅黑" w:hAnsi="微软雅黑"/>
          <w:szCs w:val="21"/>
          <w:highlight w:val="none"/>
        </w:rPr>
        <w:t>四、开标</w:t>
      </w:r>
      <w:bookmarkEnd w:id="177"/>
    </w:p>
    <w:p>
      <w:pPr>
        <w:spacing w:line="500" w:lineRule="exact"/>
        <w:ind w:firstLine="420"/>
        <w:rPr>
          <w:rFonts w:ascii="微软雅黑" w:hAnsi="微软雅黑"/>
          <w:b/>
          <w:bCs/>
          <w:szCs w:val="21"/>
          <w:highlight w:val="none"/>
        </w:rPr>
      </w:pPr>
      <w:r>
        <w:rPr>
          <w:rFonts w:hint="eastAsia" w:ascii="微软雅黑" w:hAnsi="微软雅黑"/>
          <w:b/>
          <w:bCs/>
          <w:szCs w:val="21"/>
          <w:highlight w:val="none"/>
        </w:rPr>
        <w:t>（一）开标准备</w:t>
      </w:r>
    </w:p>
    <w:p>
      <w:pPr>
        <w:pStyle w:val="27"/>
        <w:snapToGrid w:val="0"/>
        <w:spacing w:line="500" w:lineRule="exact"/>
        <w:ind w:firstLine="411" w:firstLineChars="196"/>
        <w:rPr>
          <w:rFonts w:ascii="微软雅黑" w:hAnsi="微软雅黑"/>
          <w:bCs/>
          <w:szCs w:val="21"/>
          <w:highlight w:val="none"/>
        </w:rPr>
      </w:pPr>
      <w:r>
        <w:rPr>
          <w:rFonts w:hint="eastAsia" w:ascii="微软雅黑" w:hAnsi="微软雅黑"/>
          <w:bCs/>
          <w:szCs w:val="21"/>
          <w:highlight w:val="none"/>
        </w:rPr>
        <w:t>1、开标的准备工作由采购组织机构负责落实；</w:t>
      </w:r>
    </w:p>
    <w:p>
      <w:pPr>
        <w:pStyle w:val="27"/>
        <w:snapToGrid w:val="0"/>
        <w:spacing w:line="500" w:lineRule="exact"/>
        <w:ind w:firstLine="411" w:firstLineChars="196"/>
        <w:rPr>
          <w:rFonts w:ascii="微软雅黑" w:hAnsi="微软雅黑"/>
          <w:bCs/>
          <w:szCs w:val="21"/>
          <w:highlight w:val="none"/>
        </w:rPr>
      </w:pPr>
      <w:r>
        <w:rPr>
          <w:rFonts w:hint="eastAsia" w:ascii="微软雅黑" w:hAnsi="微软雅黑"/>
          <w:bCs/>
          <w:szCs w:val="21"/>
          <w:highlight w:val="none"/>
        </w:rPr>
        <w:t>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pPr>
        <w:pStyle w:val="27"/>
        <w:snapToGrid w:val="0"/>
        <w:spacing w:line="500" w:lineRule="exact"/>
        <w:ind w:firstLine="412" w:firstLineChars="196"/>
        <w:rPr>
          <w:rFonts w:ascii="微软雅黑" w:hAnsi="微软雅黑"/>
          <w:b/>
          <w:szCs w:val="21"/>
          <w:highlight w:val="none"/>
        </w:rPr>
      </w:pPr>
      <w:r>
        <w:rPr>
          <w:rFonts w:hint="eastAsia" w:ascii="微软雅黑" w:hAnsi="微软雅黑"/>
          <w:b/>
          <w:szCs w:val="21"/>
          <w:highlight w:val="none"/>
        </w:rPr>
        <w:t>（二） 采购人或者采购代理机构职责</w:t>
      </w:r>
    </w:p>
    <w:p>
      <w:pPr>
        <w:pStyle w:val="27"/>
        <w:snapToGrid w:val="0"/>
        <w:spacing w:line="500" w:lineRule="exact"/>
        <w:ind w:firstLine="411" w:firstLineChars="196"/>
        <w:rPr>
          <w:rFonts w:ascii="微软雅黑" w:hAnsi="微软雅黑"/>
          <w:bCs/>
          <w:szCs w:val="21"/>
          <w:highlight w:val="none"/>
        </w:rPr>
      </w:pPr>
      <w:r>
        <w:rPr>
          <w:rFonts w:hint="eastAsia" w:ascii="微软雅黑" w:hAnsi="微软雅黑"/>
          <w:bCs/>
          <w:szCs w:val="21"/>
          <w:highlight w:val="none"/>
        </w:rPr>
        <w:t>采购人或者采购代理机构负责组织评标工作，并履行下列职责：</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1、核对评审专家身份和采购人代表授权函，对评审专家在政府采购活动中的职责履行情况予以记录，并及时将有关违法违规行为向财政部门报告;</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2、宣布评标纪律;</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3、公布供应商名单，告知评审专家应当回避的情形;</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4、组织评标委员会推选评标组长，采购人代表不得担任组长;</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5、在评标期间采取必要的通讯管理措施，保证评标活动不受外界干扰;</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6、根据评标委员会的要求介绍政府采购相关政策法规、招标文件;</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7、维护评标秩序，监督评标委员会依照招标文件规定的评标程序、方法和标准进行独立评审，及时制止和纠正采购人代表、评审专家的倾向性言论或者违法违规行为;</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8、核对评标结果，根据《政府采购货物和服务招标投标管理办法》，如有第六十四条规定情形的，要求评标委员会复核或者书面说明理由，评标委员会拒绝的，应予记录并向本级财政部门报告;</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9、评审工作完成后，按照规定向评审专家支付劳务报酬和异地评审差旅费，不得向评审专家以外的其他人员支付评审劳务报酬;</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10、处理与评标有关的其他事项。</w:t>
      </w:r>
    </w:p>
    <w:p>
      <w:pPr>
        <w:pStyle w:val="27"/>
        <w:snapToGrid w:val="0"/>
        <w:spacing w:line="500" w:lineRule="exact"/>
        <w:ind w:firstLine="420"/>
        <w:rPr>
          <w:rFonts w:ascii="微软雅黑" w:hAnsi="微软雅黑" w:cs="宋体"/>
          <w:b/>
          <w:szCs w:val="21"/>
          <w:highlight w:val="none"/>
          <w:shd w:val="pct10" w:color="auto" w:fill="FFFFFF"/>
        </w:rPr>
      </w:pPr>
      <w:r>
        <w:rPr>
          <w:rFonts w:ascii="微软雅黑" w:hAnsi="微软雅黑"/>
          <w:b/>
          <w:szCs w:val="21"/>
          <w:highlight w:val="none"/>
          <w:shd w:val="pct10" w:color="auto" w:fill="FFFFFF"/>
        </w:rPr>
        <w:t>（</w:t>
      </w:r>
      <w:r>
        <w:rPr>
          <w:rFonts w:hint="eastAsia" w:ascii="微软雅黑" w:hAnsi="微软雅黑"/>
          <w:b/>
          <w:szCs w:val="21"/>
          <w:highlight w:val="none"/>
          <w:shd w:val="pct10" w:color="auto" w:fill="FFFFFF"/>
        </w:rPr>
        <w:t>三</w:t>
      </w:r>
      <w:r>
        <w:rPr>
          <w:rFonts w:ascii="微软雅黑" w:hAnsi="微软雅黑"/>
          <w:b/>
          <w:szCs w:val="21"/>
          <w:highlight w:val="none"/>
          <w:shd w:val="pct10" w:color="auto" w:fill="FFFFFF"/>
        </w:rPr>
        <w:t>）</w:t>
      </w:r>
      <w:r>
        <w:rPr>
          <w:rFonts w:hint="eastAsia" w:ascii="微软雅黑" w:hAnsi="微软雅黑" w:cs="宋体"/>
          <w:b/>
          <w:szCs w:val="21"/>
          <w:highlight w:val="none"/>
          <w:shd w:val="pct10" w:color="auto" w:fill="FFFFFF"/>
        </w:rPr>
        <w:t>开标流程（两阶段）</w:t>
      </w:r>
    </w:p>
    <w:p>
      <w:pPr>
        <w:pStyle w:val="21"/>
        <w:snapToGrid w:val="0"/>
        <w:spacing w:line="500" w:lineRule="exact"/>
        <w:ind w:firstLine="396" w:firstLineChars="196"/>
        <w:rPr>
          <w:rFonts w:ascii="微软雅黑" w:hAnsi="微软雅黑"/>
          <w:b/>
          <w:sz w:val="21"/>
          <w:szCs w:val="21"/>
          <w:highlight w:val="none"/>
        </w:rPr>
      </w:pPr>
      <w:r>
        <w:rPr>
          <w:rFonts w:hint="eastAsia" w:ascii="微软雅黑" w:hAnsi="微软雅黑"/>
          <w:b/>
          <w:sz w:val="21"/>
          <w:szCs w:val="21"/>
          <w:highlight w:val="none"/>
        </w:rPr>
        <w:t>1、开标第一阶段</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spacing w:line="500" w:lineRule="exact"/>
        <w:ind w:firstLine="371" w:firstLineChars="177"/>
        <w:rPr>
          <w:rFonts w:ascii="微软雅黑" w:hAnsi="微软雅黑" w:cs="宋体"/>
          <w:b/>
          <w:kern w:val="0"/>
          <w:szCs w:val="21"/>
          <w:highlight w:val="none"/>
          <w:shd w:val="pct10" w:color="auto" w:fill="FFFFFF"/>
        </w:rPr>
      </w:pPr>
      <w:r>
        <w:rPr>
          <w:rFonts w:hint="eastAsia" w:ascii="微软雅黑" w:hAnsi="微软雅黑" w:cs="宋体"/>
          <w:kern w:val="0"/>
          <w:szCs w:val="21"/>
          <w:highlight w:val="none"/>
          <w:shd w:val="pct10" w:color="auto" w:fill="FFFFFF"/>
        </w:rPr>
        <w:t>（2）投标文件解密，解密成功后，各供应商将政府采购活动现场确认声明书传给代理公司；</w:t>
      </w:r>
      <w:r>
        <w:rPr>
          <w:rFonts w:hint="eastAsia" w:ascii="微软雅黑" w:hAnsi="微软雅黑" w:cs="宋体"/>
          <w:b/>
          <w:kern w:val="0"/>
          <w:szCs w:val="21"/>
          <w:highlight w:val="none"/>
          <w:shd w:val="pct10" w:color="auto" w:fill="FFFFFF"/>
        </w:rPr>
        <w:t>（请各投标单位在投标截止时间前注册完成钉钉联系方式）</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（3）开启投标文件，进入资格审查；</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（4）开启资格审查通过的投标供应商的商务技术文件进入符合性审查、商务技术评审；</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（5）第一阶段开标结束。</w:t>
      </w:r>
    </w:p>
    <w:p>
      <w:pPr>
        <w:spacing w:line="500" w:lineRule="exact"/>
        <w:ind w:firstLine="372" w:firstLineChars="177"/>
        <w:rPr>
          <w:rFonts w:ascii="微软雅黑" w:hAnsi="微软雅黑" w:cs="宋体"/>
          <w:b/>
          <w:kern w:val="0"/>
          <w:szCs w:val="21"/>
          <w:highlight w:val="none"/>
          <w:shd w:val="pct10" w:color="auto" w:fill="FFFFFF"/>
        </w:rPr>
      </w:pPr>
      <w:r>
        <w:rPr>
          <w:rFonts w:hint="eastAsia" w:ascii="微软雅黑" w:hAnsi="微软雅黑" w:cs="宋体"/>
          <w:b/>
          <w:kern w:val="0"/>
          <w:szCs w:val="21"/>
          <w:highlight w:val="none"/>
          <w:shd w:val="pct10" w:color="auto" w:fill="FFFFFF"/>
        </w:rPr>
        <w:t>备注：开标大会的第一阶段结束后，采购人或采购代理机构将对依法对投标供应商的资格进行审查，资格审查结束后进入符合性审查和商务技术的评审工作，具体见本章节“投标供应商资格审查”相关规定。</w:t>
      </w:r>
    </w:p>
    <w:p>
      <w:pPr>
        <w:spacing w:line="500" w:lineRule="exact"/>
        <w:ind w:firstLine="372" w:firstLineChars="177"/>
        <w:rPr>
          <w:rFonts w:ascii="微软雅黑" w:hAnsi="微软雅黑" w:cs="宋体"/>
          <w:b/>
          <w:kern w:val="0"/>
          <w:szCs w:val="21"/>
          <w:highlight w:val="none"/>
          <w:shd w:val="pct10" w:color="auto" w:fill="FFFFFF"/>
        </w:rPr>
      </w:pPr>
      <w:r>
        <w:rPr>
          <w:rFonts w:hint="eastAsia" w:ascii="微软雅黑" w:hAnsi="微软雅黑" w:cs="宋体"/>
          <w:b/>
          <w:kern w:val="0"/>
          <w:szCs w:val="21"/>
          <w:highlight w:val="none"/>
          <w:shd w:val="pct10" w:color="auto" w:fill="FFFFFF"/>
        </w:rPr>
        <w:t>2、开标大会第二阶段</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1）符合性审查、商务技术评审结束后，举行开标大会第二阶段会议。首先通过政采云方式公布符合性审查、商务技术评审无效供应商名称及理由；公布经商务技术评审后有效投标供应商的名单，同时公布其商务技术部分得分情况。</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2）开启符合性审查、商务技术评审有效投标供应商的《报价文件》，通过政采云方式公布开标一览表有关内容，同时当场制作开标记录表，供应商可在政采云中确认（不予确认的应说明理由，否则视为无异议）。唱标结束后，由评标委员会对报价的合理性、准确性等进行审查核实。</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（3）评审结束后，通过政采云方式公布中标（成交）候选供应商名单，及采购人最终确定中标或成交供应商名单的时间和公告方式等。</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特别说明：如遇“政府采购云平台”电子化开标或评审程序调整的，按调整后程序执行。</w:t>
      </w:r>
    </w:p>
    <w:p>
      <w:pPr>
        <w:spacing w:line="500" w:lineRule="exact"/>
        <w:ind w:firstLine="372" w:firstLineChars="177"/>
        <w:rPr>
          <w:rFonts w:ascii="微软雅黑" w:hAnsi="微软雅黑" w:cs="宋体"/>
          <w:b/>
          <w:kern w:val="0"/>
          <w:szCs w:val="21"/>
          <w:highlight w:val="none"/>
          <w:shd w:val="pct10" w:color="auto" w:fill="FFFFFF"/>
        </w:rPr>
      </w:pPr>
      <w:bookmarkStart w:id="178" w:name="_Toc33194393"/>
      <w:bookmarkStart w:id="179" w:name="_Toc24550037"/>
      <w:r>
        <w:rPr>
          <w:rFonts w:hint="eastAsia" w:ascii="微软雅黑" w:hAnsi="微软雅黑" w:cs="宋体"/>
          <w:b/>
          <w:kern w:val="0"/>
          <w:szCs w:val="21"/>
          <w:highlight w:val="none"/>
          <w:shd w:val="pct10" w:color="auto" w:fill="FFFFFF"/>
        </w:rPr>
        <w:t>（四）投标供应商资格审查</w:t>
      </w:r>
      <w:bookmarkEnd w:id="178"/>
      <w:bookmarkEnd w:id="179"/>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1、开标大会第一阶段结束后，采购人或采购代理机构首先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2、投标供应商提交的资格证明材料无法证明其符合招标文件规定的“投标供应商资格要求”的，采购人或采购代理机构将对其作资格审查不通过处理（无效投标），并不再将其投标提交评标委员会进行后续评审。</w:t>
      </w:r>
    </w:p>
    <w:p>
      <w:pPr>
        <w:spacing w:line="500" w:lineRule="exact"/>
        <w:ind w:firstLine="371" w:firstLineChars="177"/>
        <w:rPr>
          <w:rFonts w:ascii="微软雅黑" w:hAnsi="微软雅黑" w:cs="宋体"/>
          <w:kern w:val="0"/>
          <w:szCs w:val="21"/>
          <w:highlight w:val="none"/>
          <w:shd w:val="pct10" w:color="auto" w:fill="FFFFFF"/>
        </w:rPr>
      </w:pPr>
      <w:r>
        <w:rPr>
          <w:rFonts w:hint="eastAsia" w:ascii="微软雅黑" w:hAnsi="微软雅黑" w:cs="宋体"/>
          <w:kern w:val="0"/>
          <w:szCs w:val="21"/>
          <w:highlight w:val="none"/>
          <w:shd w:val="pct10" w:color="auto" w:fill="FFFFFF"/>
        </w:rPr>
        <w:t>3、单位负责人为同一人或者存在直接控股、管理关系的不同供应商参加同一合同项下的政府采购活动的，相关投标供应商均作资格无效处理。</w:t>
      </w:r>
    </w:p>
    <w:p>
      <w:pPr>
        <w:pStyle w:val="6"/>
        <w:spacing w:line="500" w:lineRule="exact"/>
        <w:ind w:firstLine="420"/>
        <w:rPr>
          <w:rFonts w:ascii="微软雅黑" w:hAnsi="微软雅黑"/>
          <w:szCs w:val="21"/>
          <w:highlight w:val="none"/>
        </w:rPr>
      </w:pPr>
      <w:bookmarkStart w:id="180" w:name="_Toc33535370"/>
      <w:r>
        <w:rPr>
          <w:rFonts w:hint="eastAsia" w:ascii="微软雅黑" w:hAnsi="微软雅黑"/>
          <w:szCs w:val="21"/>
          <w:highlight w:val="none"/>
        </w:rPr>
        <w:t>五、评标</w:t>
      </w:r>
      <w:bookmarkEnd w:id="180"/>
    </w:p>
    <w:p>
      <w:pPr>
        <w:pStyle w:val="27"/>
        <w:snapToGrid w:val="0"/>
        <w:spacing w:line="500" w:lineRule="exact"/>
        <w:ind w:left="689" w:leftChars="228" w:hanging="210" w:hangingChars="100"/>
        <w:rPr>
          <w:rFonts w:ascii="微软雅黑" w:hAnsi="微软雅黑"/>
          <w:b/>
          <w:szCs w:val="21"/>
          <w:highlight w:val="none"/>
        </w:rPr>
      </w:pPr>
      <w:r>
        <w:rPr>
          <w:rFonts w:ascii="微软雅黑" w:hAnsi="微软雅黑"/>
          <w:b/>
          <w:szCs w:val="21"/>
          <w:highlight w:val="none"/>
        </w:rPr>
        <w:t>（一）组建评标委员会</w:t>
      </w:r>
    </w:p>
    <w:p>
      <w:pPr>
        <w:pStyle w:val="27"/>
        <w:snapToGrid w:val="0"/>
        <w:spacing w:line="500" w:lineRule="exact"/>
        <w:ind w:firstLine="420"/>
        <w:rPr>
          <w:rFonts w:ascii="微软雅黑" w:hAnsi="微软雅黑"/>
          <w:szCs w:val="21"/>
          <w:highlight w:val="none"/>
        </w:rPr>
      </w:pPr>
      <w:r>
        <w:rPr>
          <w:rFonts w:hint="eastAsia" w:ascii="微软雅黑" w:hAnsi="微软雅黑" w:cs="宋体"/>
          <w:kern w:val="0"/>
          <w:szCs w:val="21"/>
          <w:highlight w:val="none"/>
        </w:rPr>
        <w:t>评标委员会由采购人代表和评审专家组成，</w:t>
      </w:r>
      <w:r>
        <w:rPr>
          <w:rFonts w:ascii="微软雅黑" w:hAnsi="微软雅黑"/>
          <w:szCs w:val="21"/>
          <w:highlight w:val="none"/>
        </w:rPr>
        <w:t>政府采购评审专家</w:t>
      </w:r>
      <w:r>
        <w:rPr>
          <w:rFonts w:hint="eastAsia" w:ascii="微软雅黑" w:hAnsi="微软雅黑"/>
          <w:szCs w:val="21"/>
          <w:highlight w:val="none"/>
          <w:u w:val="single"/>
          <w:lang w:val="en-US" w:eastAsia="zh-CN"/>
        </w:rPr>
        <w:t>5</w:t>
      </w:r>
      <w:r>
        <w:rPr>
          <w:rFonts w:ascii="微软雅黑" w:hAnsi="微软雅黑"/>
          <w:szCs w:val="21"/>
          <w:highlight w:val="none"/>
        </w:rPr>
        <w:t>人和采购人代表</w:t>
      </w:r>
      <w:r>
        <w:rPr>
          <w:rFonts w:hint="eastAsia" w:ascii="微软雅黑" w:hAnsi="微软雅黑"/>
          <w:szCs w:val="21"/>
          <w:highlight w:val="none"/>
          <w:u w:val="single"/>
          <w:lang w:val="en-US" w:eastAsia="zh-CN"/>
        </w:rPr>
        <w:t>0</w:t>
      </w:r>
      <w:r>
        <w:rPr>
          <w:rFonts w:ascii="微软雅黑" w:hAnsi="微软雅黑"/>
          <w:szCs w:val="21"/>
          <w:highlight w:val="none"/>
        </w:rPr>
        <w:t>人,共</w:t>
      </w:r>
      <w:r>
        <w:rPr>
          <w:rFonts w:hint="eastAsia" w:ascii="微软雅黑" w:hAnsi="微软雅黑"/>
          <w:szCs w:val="21"/>
          <w:highlight w:val="none"/>
          <w:u w:val="single"/>
          <w:lang w:val="en-US" w:eastAsia="zh-CN"/>
        </w:rPr>
        <w:t>5</w:t>
      </w:r>
      <w:r>
        <w:rPr>
          <w:rFonts w:ascii="微软雅黑" w:hAnsi="微软雅黑"/>
          <w:szCs w:val="21"/>
          <w:highlight w:val="none"/>
        </w:rPr>
        <w:t>人组成。</w:t>
      </w:r>
    </w:p>
    <w:p>
      <w:pPr>
        <w:widowControl/>
        <w:shd w:val="clear" w:color="auto" w:fill="FFFFFF"/>
        <w:spacing w:line="50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评标委员会负责具体评标事务，并独立履行下列职责：</w:t>
      </w:r>
    </w:p>
    <w:p>
      <w:pPr>
        <w:widowControl/>
        <w:shd w:val="clear" w:color="auto" w:fill="FFFFFF"/>
        <w:spacing w:line="50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1、审查、评价投标文件是否符合招标文件的商务、技术等实质性要求;</w:t>
      </w:r>
    </w:p>
    <w:p>
      <w:pPr>
        <w:widowControl/>
        <w:shd w:val="clear" w:color="auto" w:fill="FFFFFF"/>
        <w:spacing w:line="50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2、要求供应商对投标文件有关事项作出澄清或者说明;</w:t>
      </w:r>
    </w:p>
    <w:p>
      <w:pPr>
        <w:widowControl/>
        <w:shd w:val="clear" w:color="auto" w:fill="FFFFFF"/>
        <w:spacing w:line="50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3、对投标文件进行比较和评价;</w:t>
      </w:r>
    </w:p>
    <w:p>
      <w:pPr>
        <w:widowControl/>
        <w:shd w:val="clear" w:color="auto" w:fill="FFFFFF"/>
        <w:spacing w:line="50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4、确定中标候选人名单，以及根据采购人委托直接确定中标人;</w:t>
      </w:r>
    </w:p>
    <w:p>
      <w:pPr>
        <w:widowControl/>
        <w:shd w:val="clear" w:color="auto" w:fill="FFFFFF"/>
        <w:spacing w:line="50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5、向采购人、采购代理机构或者有关部门报告评标中发现的违法行为。</w:t>
      </w:r>
    </w:p>
    <w:p>
      <w:pPr>
        <w:widowControl/>
        <w:shd w:val="clear" w:color="auto" w:fill="FFFFFF"/>
        <w:spacing w:line="500" w:lineRule="exact"/>
        <w:ind w:firstLine="420"/>
        <w:rPr>
          <w:rFonts w:ascii="微软雅黑" w:hAnsi="微软雅黑" w:cs="宋体"/>
          <w:b/>
          <w:kern w:val="0"/>
          <w:szCs w:val="21"/>
          <w:highlight w:val="none"/>
        </w:rPr>
      </w:pPr>
      <w:r>
        <w:rPr>
          <w:rFonts w:hint="eastAsia" w:ascii="微软雅黑" w:hAnsi="微软雅黑" w:cs="宋体"/>
          <w:b/>
          <w:kern w:val="0"/>
          <w:szCs w:val="21"/>
          <w:highlight w:val="none"/>
        </w:rPr>
        <w:t>除采购人代表、评标现场组织人员外，采购人的其他工作人员以及与评标工作无关的人员不得进入评标现场。</w:t>
      </w:r>
    </w:p>
    <w:p>
      <w:pPr>
        <w:pStyle w:val="27"/>
        <w:snapToGrid w:val="0"/>
        <w:spacing w:line="500" w:lineRule="exact"/>
        <w:ind w:left="689" w:leftChars="228" w:hanging="210" w:hangingChars="100"/>
        <w:rPr>
          <w:rFonts w:ascii="微软雅黑" w:hAnsi="微软雅黑"/>
          <w:b/>
          <w:szCs w:val="21"/>
          <w:highlight w:val="none"/>
        </w:rPr>
      </w:pPr>
      <w:r>
        <w:rPr>
          <w:rFonts w:ascii="微软雅黑" w:hAnsi="微软雅黑"/>
          <w:b/>
          <w:szCs w:val="21"/>
          <w:highlight w:val="none"/>
        </w:rPr>
        <w:t>（二）评标的方式</w:t>
      </w:r>
    </w:p>
    <w:p>
      <w:pPr>
        <w:pStyle w:val="27"/>
        <w:snapToGrid w:val="0"/>
        <w:spacing w:line="500" w:lineRule="exact"/>
        <w:ind w:left="689" w:leftChars="228" w:hanging="210" w:hangingChars="100"/>
        <w:rPr>
          <w:rFonts w:ascii="微软雅黑" w:hAnsi="微软雅黑"/>
          <w:szCs w:val="21"/>
          <w:highlight w:val="none"/>
        </w:rPr>
      </w:pPr>
      <w:r>
        <w:rPr>
          <w:rFonts w:ascii="微软雅黑" w:hAnsi="微软雅黑"/>
          <w:szCs w:val="21"/>
          <w:highlight w:val="none"/>
        </w:rPr>
        <w:t>本项目采用不公开方式评标，评标的依据为招标文件和投标文件。</w:t>
      </w:r>
    </w:p>
    <w:p>
      <w:pPr>
        <w:pStyle w:val="27"/>
        <w:snapToGrid w:val="0"/>
        <w:spacing w:line="500" w:lineRule="exact"/>
        <w:ind w:left="689" w:leftChars="228" w:hanging="210" w:hangingChars="100"/>
        <w:rPr>
          <w:rFonts w:ascii="微软雅黑" w:hAnsi="微软雅黑"/>
          <w:b/>
          <w:bCs/>
          <w:szCs w:val="21"/>
          <w:highlight w:val="none"/>
        </w:rPr>
      </w:pPr>
      <w:r>
        <w:rPr>
          <w:rFonts w:ascii="微软雅黑" w:hAnsi="微软雅黑"/>
          <w:b/>
          <w:szCs w:val="21"/>
          <w:highlight w:val="none"/>
        </w:rPr>
        <w:t>（三）</w:t>
      </w:r>
      <w:r>
        <w:rPr>
          <w:rFonts w:ascii="微软雅黑" w:hAnsi="微软雅黑"/>
          <w:b/>
          <w:bCs/>
          <w:szCs w:val="21"/>
          <w:highlight w:val="none"/>
        </w:rPr>
        <w:t>评标程序</w:t>
      </w:r>
    </w:p>
    <w:p>
      <w:pPr>
        <w:pStyle w:val="27"/>
        <w:snapToGrid w:val="0"/>
        <w:spacing w:line="500" w:lineRule="exact"/>
        <w:ind w:firstLine="420"/>
        <w:rPr>
          <w:rFonts w:ascii="微软雅黑" w:hAnsi="微软雅黑"/>
          <w:bCs/>
          <w:szCs w:val="21"/>
          <w:highlight w:val="none"/>
        </w:rPr>
      </w:pPr>
      <w:r>
        <w:rPr>
          <w:rFonts w:hint="eastAsia" w:ascii="微软雅黑" w:hAnsi="微软雅黑"/>
          <w:bCs/>
          <w:szCs w:val="21"/>
          <w:highlight w:val="none"/>
        </w:rPr>
        <w:t>采购人可以在评标前说明项目背景和采购需求，说明内容不得含有歧视性、倾向性意见，不得超出招标文件所述范围。说明应当提交书面材料，并随采购文件一并存档。</w:t>
      </w:r>
    </w:p>
    <w:p>
      <w:pPr>
        <w:snapToGrid w:val="0"/>
        <w:spacing w:line="500" w:lineRule="exact"/>
        <w:ind w:firstLine="412" w:firstLineChars="196"/>
        <w:rPr>
          <w:rFonts w:ascii="微软雅黑" w:hAnsi="微软雅黑"/>
          <w:b/>
          <w:bCs/>
          <w:szCs w:val="21"/>
          <w:highlight w:val="none"/>
        </w:rPr>
      </w:pPr>
      <w:r>
        <w:rPr>
          <w:rFonts w:ascii="微软雅黑" w:hAnsi="微软雅黑"/>
          <w:b/>
          <w:bCs/>
          <w:szCs w:val="21"/>
          <w:highlight w:val="none"/>
        </w:rPr>
        <w:t>1</w:t>
      </w:r>
      <w:r>
        <w:rPr>
          <w:rFonts w:hint="eastAsia" w:ascii="微软雅黑" w:hAnsi="微软雅黑"/>
          <w:b/>
          <w:bCs/>
          <w:szCs w:val="21"/>
          <w:highlight w:val="none"/>
        </w:rPr>
        <w:t>、</w:t>
      </w:r>
      <w:r>
        <w:rPr>
          <w:rFonts w:ascii="微软雅黑" w:hAnsi="微软雅黑"/>
          <w:b/>
          <w:bCs/>
          <w:szCs w:val="21"/>
          <w:highlight w:val="none"/>
        </w:rPr>
        <w:t>形式审查</w:t>
      </w:r>
    </w:p>
    <w:p>
      <w:pPr>
        <w:snapToGrid w:val="0"/>
        <w:spacing w:line="500" w:lineRule="exact"/>
        <w:ind w:firstLine="420"/>
        <w:rPr>
          <w:rFonts w:ascii="微软雅黑" w:hAnsi="微软雅黑"/>
          <w:bCs/>
          <w:szCs w:val="21"/>
          <w:highlight w:val="none"/>
        </w:rPr>
      </w:pPr>
      <w:r>
        <w:rPr>
          <w:rFonts w:ascii="微软雅黑" w:hAnsi="微软雅黑"/>
          <w:bCs/>
          <w:szCs w:val="21"/>
          <w:highlight w:val="none"/>
        </w:rPr>
        <w:t>形式审查</w:t>
      </w:r>
      <w:r>
        <w:rPr>
          <w:rFonts w:hint="eastAsia" w:ascii="微软雅黑" w:hAnsi="微软雅黑"/>
          <w:bCs/>
          <w:szCs w:val="21"/>
          <w:highlight w:val="none"/>
        </w:rPr>
        <w:t>包括资格审查（除符合性审查以外的关于供应商资格条件等内容）和符合性审查，即对供应商的资格</w:t>
      </w:r>
      <w:r>
        <w:rPr>
          <w:rFonts w:ascii="微软雅黑" w:hAnsi="微软雅黑"/>
          <w:bCs/>
          <w:szCs w:val="21"/>
          <w:highlight w:val="none"/>
        </w:rPr>
        <w:t>和投标文件的完整性、合法性等进行审查。</w:t>
      </w:r>
      <w:r>
        <w:rPr>
          <w:rFonts w:hint="eastAsia" w:ascii="微软雅黑" w:hAnsi="微软雅黑"/>
          <w:bCs/>
          <w:szCs w:val="21"/>
          <w:highlight w:val="none"/>
        </w:rPr>
        <w:t>投标文件形式审查未通过的供应商，其投标文件将不再评审。</w:t>
      </w:r>
    </w:p>
    <w:p>
      <w:pPr>
        <w:snapToGrid w:val="0"/>
        <w:spacing w:line="500" w:lineRule="exact"/>
        <w:ind w:firstLine="412" w:firstLineChars="196"/>
        <w:rPr>
          <w:rFonts w:ascii="微软雅黑" w:hAnsi="微软雅黑"/>
          <w:b/>
          <w:bCs/>
          <w:szCs w:val="21"/>
          <w:highlight w:val="none"/>
        </w:rPr>
      </w:pPr>
      <w:r>
        <w:rPr>
          <w:rFonts w:ascii="微软雅黑" w:hAnsi="微软雅黑"/>
          <w:b/>
          <w:bCs/>
          <w:szCs w:val="21"/>
          <w:highlight w:val="none"/>
        </w:rPr>
        <w:t>2</w:t>
      </w:r>
      <w:r>
        <w:rPr>
          <w:rFonts w:hint="eastAsia" w:ascii="微软雅黑" w:hAnsi="微软雅黑"/>
          <w:b/>
          <w:bCs/>
          <w:szCs w:val="21"/>
          <w:highlight w:val="none"/>
        </w:rPr>
        <w:t>、</w:t>
      </w:r>
      <w:r>
        <w:rPr>
          <w:rFonts w:ascii="微软雅黑" w:hAnsi="微软雅黑"/>
          <w:b/>
          <w:bCs/>
          <w:szCs w:val="21"/>
          <w:highlight w:val="none"/>
        </w:rPr>
        <w:t>实质审查与比较</w:t>
      </w:r>
    </w:p>
    <w:p>
      <w:pPr>
        <w:snapToGrid w:val="0"/>
        <w:spacing w:line="500" w:lineRule="exact"/>
        <w:ind w:firstLine="420"/>
        <w:rPr>
          <w:rFonts w:ascii="微软雅黑" w:hAnsi="微软雅黑"/>
          <w:szCs w:val="21"/>
          <w:highlight w:val="none"/>
        </w:rPr>
      </w:pPr>
      <w:r>
        <w:rPr>
          <w:rFonts w:hint="eastAsia" w:ascii="微软雅黑" w:hAnsi="微软雅黑"/>
          <w:szCs w:val="21"/>
          <w:highlight w:val="none"/>
        </w:rPr>
        <w:t>（</w:t>
      </w:r>
      <w:r>
        <w:rPr>
          <w:rFonts w:ascii="微软雅黑" w:hAnsi="微软雅黑"/>
          <w:szCs w:val="21"/>
          <w:highlight w:val="none"/>
        </w:rPr>
        <w:t>1）评标委员会审查投标文件的实质性内容是否符合招标文件的实质性要求。</w:t>
      </w:r>
    </w:p>
    <w:p>
      <w:pPr>
        <w:snapToGrid w:val="0"/>
        <w:spacing w:line="500" w:lineRule="exact"/>
        <w:ind w:firstLine="420"/>
        <w:rPr>
          <w:rFonts w:ascii="微软雅黑" w:hAnsi="微软雅黑"/>
          <w:szCs w:val="21"/>
          <w:highlight w:val="none"/>
        </w:rPr>
      </w:pPr>
      <w:r>
        <w:rPr>
          <w:rFonts w:hint="eastAsia" w:ascii="微软雅黑" w:hAnsi="微软雅黑"/>
          <w:szCs w:val="21"/>
          <w:highlight w:val="none"/>
        </w:rPr>
        <w:t>（</w:t>
      </w:r>
      <w:r>
        <w:rPr>
          <w:rFonts w:ascii="微软雅黑" w:hAnsi="微软雅黑"/>
          <w:szCs w:val="21"/>
          <w:highlight w:val="none"/>
        </w:rPr>
        <w:t>2）评标委员会将根据供应商的投标文件进行审查、核对,如有疑问,将对供应商进行询标,供应商要向评标委员会澄清有关问题,并最终以书面形式进行答复。</w:t>
      </w:r>
    </w:p>
    <w:p>
      <w:pPr>
        <w:snapToGrid w:val="0"/>
        <w:spacing w:line="500" w:lineRule="exact"/>
        <w:ind w:firstLine="420"/>
        <w:rPr>
          <w:rFonts w:ascii="微软雅黑" w:hAnsi="微软雅黑"/>
          <w:szCs w:val="21"/>
          <w:highlight w:val="none"/>
        </w:rPr>
      </w:pPr>
      <w:r>
        <w:rPr>
          <w:rFonts w:ascii="微软雅黑" w:hAnsi="微软雅黑"/>
          <w:szCs w:val="21"/>
          <w:highlight w:val="none"/>
        </w:rPr>
        <w:t>询标</w:t>
      </w:r>
      <w:r>
        <w:rPr>
          <w:rFonts w:hint="eastAsia" w:ascii="微软雅黑" w:hAnsi="微软雅黑"/>
          <w:szCs w:val="21"/>
          <w:highlight w:val="none"/>
        </w:rPr>
        <w:t>时，供应商代表未到场或者拒绝澄清或者澄清的内容改变了投标文件的实质性内容的，评标委员会有权对该投标文件作出不利于供应商的评判。</w:t>
      </w:r>
    </w:p>
    <w:p>
      <w:pPr>
        <w:snapToGrid w:val="0"/>
        <w:spacing w:line="500" w:lineRule="exact"/>
        <w:ind w:firstLine="420"/>
        <w:rPr>
          <w:rFonts w:ascii="微软雅黑" w:hAnsi="微软雅黑"/>
          <w:szCs w:val="21"/>
          <w:highlight w:val="none"/>
        </w:rPr>
      </w:pPr>
      <w:r>
        <w:rPr>
          <w:rFonts w:hint="eastAsia" w:ascii="微软雅黑" w:hAnsi="微软雅黑"/>
          <w:szCs w:val="21"/>
          <w:highlight w:val="none"/>
        </w:rPr>
        <w:t>（</w:t>
      </w:r>
      <w:r>
        <w:rPr>
          <w:rFonts w:ascii="微软雅黑" w:hAnsi="微软雅黑"/>
          <w:szCs w:val="21"/>
          <w:highlight w:val="none"/>
        </w:rPr>
        <w:t>3）各供应商的</w:t>
      </w:r>
      <w:r>
        <w:rPr>
          <w:rFonts w:hint="eastAsia" w:ascii="微软雅黑" w:hAnsi="微软雅黑"/>
          <w:szCs w:val="21"/>
          <w:highlight w:val="none"/>
        </w:rPr>
        <w:t>资信商务及技术分按照评标委员会成员的独立评分结果汇后的算术平均分计算</w:t>
      </w:r>
      <w:r>
        <w:rPr>
          <w:rFonts w:ascii="微软雅黑" w:hAnsi="微软雅黑"/>
          <w:szCs w:val="21"/>
          <w:highlight w:val="none"/>
        </w:rPr>
        <w:t>。</w:t>
      </w:r>
    </w:p>
    <w:p>
      <w:pPr>
        <w:snapToGrid w:val="0"/>
        <w:spacing w:line="500" w:lineRule="exact"/>
        <w:ind w:firstLine="420"/>
        <w:rPr>
          <w:rFonts w:ascii="微软雅黑" w:hAnsi="微软雅黑"/>
          <w:szCs w:val="21"/>
          <w:highlight w:val="none"/>
        </w:rPr>
      </w:pPr>
      <w:r>
        <w:rPr>
          <w:rFonts w:hint="eastAsia" w:ascii="微软雅黑" w:hAnsi="微软雅黑"/>
          <w:szCs w:val="21"/>
          <w:highlight w:val="none"/>
        </w:rPr>
        <w:t>（</w:t>
      </w:r>
      <w:r>
        <w:rPr>
          <w:rFonts w:ascii="微软雅黑" w:hAnsi="微软雅黑"/>
          <w:szCs w:val="21"/>
          <w:highlight w:val="none"/>
        </w:rPr>
        <w:t>4）</w:t>
      </w:r>
      <w:r>
        <w:rPr>
          <w:rFonts w:hint="eastAsia" w:ascii="微软雅黑" w:hAnsi="微软雅黑"/>
          <w:szCs w:val="21"/>
          <w:highlight w:val="none"/>
        </w:rPr>
        <w:t>采购代理机构工作人员协助</w:t>
      </w:r>
      <w:r>
        <w:rPr>
          <w:rFonts w:ascii="微软雅黑" w:hAnsi="微软雅黑"/>
          <w:szCs w:val="21"/>
          <w:highlight w:val="none"/>
        </w:rPr>
        <w:t>评标委员会根据</w:t>
      </w:r>
      <w:r>
        <w:rPr>
          <w:rFonts w:hint="eastAsia" w:ascii="微软雅黑" w:hAnsi="微软雅黑"/>
          <w:szCs w:val="21"/>
          <w:highlight w:val="none"/>
        </w:rPr>
        <w:t>本项目的评分标准操作政府采购业务系统，由系统</w:t>
      </w:r>
      <w:r>
        <w:rPr>
          <w:rFonts w:ascii="微软雅黑" w:hAnsi="微软雅黑"/>
          <w:szCs w:val="21"/>
          <w:highlight w:val="none"/>
        </w:rPr>
        <w:t>计算各供应商的商务报价得分</w:t>
      </w:r>
      <w:r>
        <w:rPr>
          <w:rFonts w:hint="eastAsia" w:ascii="微软雅黑" w:hAnsi="微软雅黑"/>
          <w:szCs w:val="21"/>
          <w:highlight w:val="none"/>
        </w:rPr>
        <w:t>。</w:t>
      </w:r>
    </w:p>
    <w:p>
      <w:pPr>
        <w:snapToGrid w:val="0"/>
        <w:spacing w:line="500" w:lineRule="exact"/>
        <w:ind w:firstLine="420"/>
        <w:rPr>
          <w:rFonts w:ascii="微软雅黑" w:hAnsi="微软雅黑"/>
          <w:szCs w:val="21"/>
          <w:highlight w:val="none"/>
        </w:rPr>
      </w:pPr>
      <w:r>
        <w:rPr>
          <w:rFonts w:hint="eastAsia" w:ascii="微软雅黑" w:hAnsi="微软雅黑"/>
          <w:szCs w:val="21"/>
          <w:highlight w:val="none"/>
        </w:rPr>
        <w:t>（</w:t>
      </w:r>
      <w:r>
        <w:rPr>
          <w:rFonts w:ascii="微软雅黑" w:hAnsi="微软雅黑"/>
          <w:szCs w:val="21"/>
          <w:highlight w:val="none"/>
        </w:rPr>
        <w:t>5）评标委员会完成评标后,评委对各部分得分汇总,</w:t>
      </w:r>
      <w:r>
        <w:rPr>
          <w:rFonts w:hint="eastAsia" w:ascii="微软雅黑" w:hAnsi="微软雅黑"/>
          <w:szCs w:val="21"/>
          <w:highlight w:val="none"/>
        </w:rPr>
        <w:t>计算</w:t>
      </w:r>
      <w:r>
        <w:rPr>
          <w:rFonts w:ascii="微软雅黑" w:hAnsi="微软雅黑"/>
          <w:szCs w:val="21"/>
          <w:highlight w:val="none"/>
        </w:rPr>
        <w:t>出本项目</w:t>
      </w:r>
      <w:r>
        <w:rPr>
          <w:rFonts w:hint="eastAsia" w:ascii="微软雅黑" w:hAnsi="微软雅黑"/>
          <w:szCs w:val="21"/>
          <w:highlight w:val="none"/>
        </w:rPr>
        <w:t>最终得分、性价比、评标价等</w:t>
      </w:r>
      <w:r>
        <w:rPr>
          <w:rFonts w:ascii="微软雅黑" w:hAnsi="微软雅黑"/>
          <w:szCs w:val="21"/>
          <w:highlight w:val="none"/>
        </w:rPr>
        <w:t>。评标委员会按评标原则推荐中标候选人同时起草评标报告。</w:t>
      </w:r>
    </w:p>
    <w:p>
      <w:pPr>
        <w:snapToGrid w:val="0"/>
        <w:spacing w:line="500" w:lineRule="exact"/>
        <w:ind w:firstLine="420"/>
        <w:rPr>
          <w:rFonts w:ascii="微软雅黑" w:hAnsi="微软雅黑"/>
          <w:b/>
          <w:szCs w:val="21"/>
          <w:highlight w:val="none"/>
        </w:rPr>
      </w:pPr>
      <w:r>
        <w:rPr>
          <w:rFonts w:hint="eastAsia" w:ascii="微软雅黑" w:hAnsi="微软雅黑"/>
          <w:b/>
          <w:szCs w:val="21"/>
          <w:highlight w:val="none"/>
        </w:rPr>
        <w:t>（四）澄清问题的形式</w:t>
      </w:r>
    </w:p>
    <w:p>
      <w:pPr>
        <w:snapToGrid w:val="0"/>
        <w:spacing w:line="500" w:lineRule="exact"/>
        <w:ind w:firstLine="420"/>
        <w:rPr>
          <w:rFonts w:ascii="微软雅黑" w:hAnsi="微软雅黑" w:cs="宋体"/>
          <w:kern w:val="0"/>
          <w:szCs w:val="21"/>
          <w:highlight w:val="none"/>
        </w:rPr>
      </w:pPr>
      <w:r>
        <w:rPr>
          <w:rFonts w:hint="eastAsia" w:ascii="微软雅黑" w:hAnsi="微软雅黑"/>
          <w:szCs w:val="21"/>
          <w:highlight w:val="none"/>
        </w:rPr>
        <w:t>（1</w:t>
      </w:r>
      <w:r>
        <w:rPr>
          <w:rFonts w:ascii="微软雅黑" w:hAnsi="微软雅黑"/>
          <w:szCs w:val="21"/>
          <w:highlight w:val="none"/>
        </w:rPr>
        <w:t>）</w:t>
      </w:r>
      <w:r>
        <w:rPr>
          <w:rFonts w:hint="eastAsia" w:ascii="微软雅黑" w:hAnsi="微软雅黑" w:cs="宋体"/>
          <w:kern w:val="0"/>
          <w:szCs w:val="21"/>
          <w:highlight w:val="none"/>
        </w:rPr>
        <w:t>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pPr>
        <w:snapToGrid w:val="0"/>
        <w:spacing w:line="500" w:lineRule="exact"/>
        <w:ind w:firstLine="420"/>
        <w:rPr>
          <w:rFonts w:ascii="微软雅黑" w:hAnsi="微软雅黑" w:cs="宋体"/>
          <w:kern w:val="0"/>
          <w:szCs w:val="21"/>
          <w:highlight w:val="none"/>
        </w:rPr>
      </w:pPr>
      <w:r>
        <w:rPr>
          <w:rFonts w:hint="eastAsia" w:ascii="微软雅黑" w:hAnsi="微软雅黑"/>
          <w:szCs w:val="21"/>
          <w:highlight w:val="none"/>
        </w:rPr>
        <w:t>（2</w:t>
      </w:r>
      <w:r>
        <w:rPr>
          <w:rFonts w:ascii="微软雅黑" w:hAnsi="微软雅黑"/>
          <w:szCs w:val="21"/>
          <w:highlight w:val="none"/>
        </w:rPr>
        <w:t>）</w:t>
      </w:r>
      <w:r>
        <w:rPr>
          <w:rFonts w:hint="eastAsia" w:ascii="微软雅黑" w:hAnsi="微软雅黑" w:cs="宋体"/>
          <w:kern w:val="0"/>
          <w:szCs w:val="21"/>
          <w:highlight w:val="none"/>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pPr>
        <w:pStyle w:val="27"/>
        <w:snapToGrid w:val="0"/>
        <w:spacing w:line="500" w:lineRule="exact"/>
        <w:ind w:left="689" w:leftChars="228" w:hanging="210" w:hangingChars="100"/>
        <w:rPr>
          <w:rFonts w:ascii="微软雅黑" w:hAnsi="微软雅黑"/>
          <w:b/>
          <w:szCs w:val="21"/>
          <w:highlight w:val="none"/>
        </w:rPr>
      </w:pPr>
      <w:r>
        <w:rPr>
          <w:rFonts w:ascii="微软雅黑" w:hAnsi="微软雅黑"/>
          <w:b/>
          <w:szCs w:val="21"/>
          <w:highlight w:val="none"/>
        </w:rPr>
        <w:t>（五）错误修正</w:t>
      </w:r>
    </w:p>
    <w:p>
      <w:pPr>
        <w:pStyle w:val="27"/>
        <w:snapToGrid w:val="0"/>
        <w:spacing w:line="500" w:lineRule="exact"/>
        <w:ind w:left="689" w:leftChars="228" w:hanging="210" w:hangingChars="100"/>
        <w:rPr>
          <w:rFonts w:ascii="微软雅黑" w:hAnsi="微软雅黑"/>
          <w:szCs w:val="21"/>
          <w:highlight w:val="none"/>
        </w:rPr>
      </w:pPr>
      <w:r>
        <w:rPr>
          <w:rFonts w:ascii="微软雅黑" w:hAnsi="微软雅黑"/>
          <w:szCs w:val="21"/>
          <w:highlight w:val="none"/>
        </w:rPr>
        <w:t>投标文件如果出现计算或表达上的错误，修正错误的原则如下：</w:t>
      </w:r>
    </w:p>
    <w:p>
      <w:pPr>
        <w:pStyle w:val="27"/>
        <w:snapToGrid w:val="0"/>
        <w:spacing w:line="500" w:lineRule="exact"/>
        <w:ind w:firstLine="420"/>
        <w:rPr>
          <w:rFonts w:ascii="微软雅黑" w:hAnsi="微软雅黑"/>
          <w:szCs w:val="21"/>
          <w:highlight w:val="none"/>
        </w:rPr>
      </w:pPr>
      <w:r>
        <w:rPr>
          <w:rFonts w:hint="eastAsia" w:ascii="微软雅黑" w:hAnsi="微软雅黑"/>
          <w:szCs w:val="21"/>
          <w:highlight w:val="none"/>
        </w:rPr>
        <w:t>1、</w:t>
      </w:r>
      <w:r>
        <w:rPr>
          <w:rFonts w:ascii="微软雅黑" w:hAnsi="微软雅黑"/>
          <w:szCs w:val="21"/>
          <w:highlight w:val="none"/>
        </w:rPr>
        <w:t>投标文件的大写金额和小写金额不一致的，以大写金额为准；</w:t>
      </w:r>
    </w:p>
    <w:p>
      <w:pPr>
        <w:pStyle w:val="27"/>
        <w:snapToGrid w:val="0"/>
        <w:spacing w:line="500" w:lineRule="exact"/>
        <w:ind w:firstLine="420"/>
        <w:rPr>
          <w:rFonts w:ascii="微软雅黑" w:hAnsi="微软雅黑"/>
          <w:szCs w:val="21"/>
          <w:highlight w:val="none"/>
        </w:rPr>
      </w:pPr>
      <w:r>
        <w:rPr>
          <w:rFonts w:hint="eastAsia" w:ascii="微软雅黑" w:hAnsi="微软雅黑"/>
          <w:szCs w:val="21"/>
          <w:highlight w:val="none"/>
        </w:rPr>
        <w:t>2、</w:t>
      </w:r>
      <w:r>
        <w:rPr>
          <w:rFonts w:ascii="微软雅黑" w:hAnsi="微软雅黑"/>
          <w:szCs w:val="21"/>
          <w:highlight w:val="none"/>
        </w:rPr>
        <w:t>总价金额与按单价汇总金额不一致的，以单价金额计算结果为准；</w:t>
      </w:r>
    </w:p>
    <w:p>
      <w:pPr>
        <w:pStyle w:val="27"/>
        <w:snapToGrid w:val="0"/>
        <w:spacing w:line="500" w:lineRule="exact"/>
        <w:ind w:firstLine="420"/>
        <w:rPr>
          <w:rFonts w:ascii="微软雅黑" w:hAnsi="微软雅黑"/>
          <w:szCs w:val="21"/>
          <w:highlight w:val="none"/>
        </w:rPr>
      </w:pPr>
      <w:r>
        <w:rPr>
          <w:rFonts w:hint="eastAsia" w:ascii="微软雅黑" w:hAnsi="微软雅黑"/>
          <w:szCs w:val="21"/>
          <w:highlight w:val="none"/>
        </w:rPr>
        <w:t>3、</w:t>
      </w:r>
      <w:r>
        <w:rPr>
          <w:rFonts w:ascii="微软雅黑" w:hAnsi="微软雅黑"/>
          <w:szCs w:val="21"/>
          <w:highlight w:val="none"/>
        </w:rPr>
        <w:t>对不同文字文本投标文件的解释发生异议的，以中文文本为准。</w:t>
      </w:r>
    </w:p>
    <w:p>
      <w:pPr>
        <w:pStyle w:val="27"/>
        <w:tabs>
          <w:tab w:val="left" w:pos="630"/>
        </w:tabs>
        <w:snapToGrid w:val="0"/>
        <w:spacing w:line="500" w:lineRule="exact"/>
        <w:ind w:firstLine="412" w:firstLineChars="196"/>
        <w:rPr>
          <w:rFonts w:ascii="微软雅黑" w:hAnsi="微软雅黑"/>
          <w:b/>
          <w:szCs w:val="21"/>
          <w:highlight w:val="none"/>
        </w:rPr>
      </w:pPr>
      <w:r>
        <w:rPr>
          <w:rFonts w:ascii="微软雅黑" w:hAnsi="微软雅黑"/>
          <w:b/>
          <w:szCs w:val="21"/>
          <w:highlight w:val="none"/>
        </w:rPr>
        <w:t>（六）评标原则和评标办法</w:t>
      </w:r>
    </w:p>
    <w:p>
      <w:pPr>
        <w:pStyle w:val="27"/>
        <w:snapToGrid w:val="0"/>
        <w:spacing w:line="500" w:lineRule="exact"/>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w:t>
      </w:r>
      <w:r>
        <w:rPr>
          <w:rFonts w:ascii="微软雅黑" w:hAnsi="微软雅黑"/>
          <w:szCs w:val="21"/>
          <w:highlight w:val="none"/>
        </w:rPr>
        <w:t>评标原则。评标委员会必须公平、公正、客观，不带任何倾向性和启发性；不得向外界透露任何与评标有关的内容；任何单位和个人不得干扰、影响评标的正常进行；评标委员会及有关工作人员不得私下与供应商接触。</w:t>
      </w:r>
    </w:p>
    <w:p>
      <w:pPr>
        <w:pStyle w:val="27"/>
        <w:snapToGrid w:val="0"/>
        <w:spacing w:line="500" w:lineRule="exact"/>
        <w:ind w:firstLine="420"/>
        <w:rPr>
          <w:rFonts w:ascii="微软雅黑" w:hAnsi="微软雅黑"/>
          <w:szCs w:val="21"/>
          <w:highlight w:val="none"/>
        </w:rPr>
      </w:pPr>
      <w:r>
        <w:rPr>
          <w:rFonts w:ascii="微软雅黑" w:hAnsi="微软雅黑"/>
          <w:szCs w:val="21"/>
          <w:highlight w:val="none"/>
        </w:rPr>
        <w:t>2</w:t>
      </w:r>
      <w:r>
        <w:rPr>
          <w:rFonts w:hint="eastAsia" w:ascii="微软雅黑" w:hAnsi="微软雅黑"/>
          <w:szCs w:val="21"/>
          <w:highlight w:val="none"/>
        </w:rPr>
        <w:t>、</w:t>
      </w:r>
      <w:r>
        <w:rPr>
          <w:rFonts w:ascii="微软雅黑" w:hAnsi="微软雅黑"/>
          <w:szCs w:val="21"/>
          <w:highlight w:val="none"/>
        </w:rPr>
        <w:t>评标办法。本项目评标办法是</w:t>
      </w:r>
      <w:r>
        <w:rPr>
          <w:rFonts w:hint="eastAsia" w:ascii="微软雅黑" w:hAnsi="微软雅黑"/>
          <w:szCs w:val="21"/>
          <w:highlight w:val="none"/>
        </w:rPr>
        <w:t>综合评标法</w:t>
      </w:r>
      <w:r>
        <w:rPr>
          <w:rFonts w:ascii="微软雅黑" w:hAnsi="微软雅黑"/>
          <w:szCs w:val="21"/>
          <w:highlight w:val="none"/>
        </w:rPr>
        <w:t xml:space="preserve"> ，具体评标内容及评分标准等详见《第四章：评标办法及评分标准》。</w:t>
      </w:r>
    </w:p>
    <w:p>
      <w:pPr>
        <w:pStyle w:val="27"/>
        <w:snapToGrid w:val="0"/>
        <w:spacing w:line="500" w:lineRule="exact"/>
        <w:ind w:firstLine="412" w:firstLineChars="196"/>
        <w:rPr>
          <w:rFonts w:ascii="微软雅黑" w:hAnsi="微软雅黑"/>
          <w:b/>
          <w:szCs w:val="21"/>
          <w:highlight w:val="none"/>
        </w:rPr>
      </w:pPr>
      <w:r>
        <w:rPr>
          <w:rFonts w:ascii="微软雅黑" w:hAnsi="微软雅黑"/>
          <w:b/>
          <w:szCs w:val="21"/>
          <w:highlight w:val="none"/>
        </w:rPr>
        <w:t>（七）评标过程的监控</w:t>
      </w:r>
    </w:p>
    <w:p>
      <w:pPr>
        <w:pStyle w:val="27"/>
        <w:snapToGrid w:val="0"/>
        <w:spacing w:line="500" w:lineRule="exact"/>
        <w:ind w:firstLine="420"/>
        <w:rPr>
          <w:rFonts w:ascii="微软雅黑" w:hAnsi="微软雅黑"/>
          <w:szCs w:val="21"/>
          <w:highlight w:val="none"/>
        </w:rPr>
      </w:pPr>
      <w:r>
        <w:rPr>
          <w:rFonts w:ascii="微软雅黑" w:hAnsi="微软雅黑"/>
          <w:szCs w:val="21"/>
          <w:highlight w:val="none"/>
        </w:rPr>
        <w:t>本项目评标过程实行全程录音、录像监控</w:t>
      </w:r>
      <w:r>
        <w:rPr>
          <w:rFonts w:hint="eastAsia" w:ascii="微软雅黑" w:hAnsi="微软雅黑"/>
          <w:szCs w:val="21"/>
          <w:highlight w:val="none"/>
        </w:rPr>
        <w:t>。</w:t>
      </w:r>
      <w:r>
        <w:rPr>
          <w:rFonts w:ascii="微软雅黑" w:hAnsi="微软雅黑"/>
          <w:szCs w:val="21"/>
          <w:highlight w:val="none"/>
        </w:rPr>
        <w:t>供应商在评标过程中所进行的</w:t>
      </w:r>
      <w:r>
        <w:rPr>
          <w:rFonts w:hint="eastAsia" w:ascii="微软雅黑" w:hAnsi="微软雅黑"/>
          <w:szCs w:val="21"/>
          <w:highlight w:val="none"/>
        </w:rPr>
        <w:t>试</w:t>
      </w:r>
      <w:r>
        <w:rPr>
          <w:rFonts w:ascii="微软雅黑" w:hAnsi="微软雅黑"/>
          <w:szCs w:val="21"/>
          <w:highlight w:val="none"/>
        </w:rPr>
        <w:t>图影响评标结果的不公正活动，可能导致其投标被拒绝。</w:t>
      </w:r>
    </w:p>
    <w:p>
      <w:pPr>
        <w:pStyle w:val="6"/>
        <w:spacing w:line="500" w:lineRule="exact"/>
        <w:ind w:firstLine="420"/>
        <w:rPr>
          <w:rFonts w:ascii="微软雅黑" w:hAnsi="微软雅黑"/>
          <w:szCs w:val="21"/>
          <w:highlight w:val="none"/>
        </w:rPr>
      </w:pPr>
      <w:bookmarkStart w:id="181" w:name="_Toc33535371"/>
      <w:r>
        <w:rPr>
          <w:rFonts w:hint="eastAsia" w:ascii="微软雅黑" w:hAnsi="微软雅黑"/>
          <w:szCs w:val="21"/>
          <w:highlight w:val="none"/>
        </w:rPr>
        <w:t>六、定标</w:t>
      </w:r>
      <w:bookmarkEnd w:id="181"/>
    </w:p>
    <w:p>
      <w:pPr>
        <w:pStyle w:val="27"/>
        <w:snapToGrid w:val="0"/>
        <w:spacing w:line="500" w:lineRule="exact"/>
        <w:ind w:firstLine="412" w:firstLineChars="196"/>
        <w:rPr>
          <w:rFonts w:ascii="微软雅黑" w:hAnsi="微软雅黑"/>
          <w:b/>
          <w:bCs/>
          <w:szCs w:val="21"/>
          <w:highlight w:val="none"/>
        </w:rPr>
      </w:pPr>
      <w:r>
        <w:rPr>
          <w:rFonts w:hint="eastAsia" w:ascii="微软雅黑" w:hAnsi="微软雅黑"/>
          <w:b/>
          <w:bCs/>
          <w:szCs w:val="21"/>
          <w:highlight w:val="none"/>
        </w:rPr>
        <w:t>（一）确定中标人。</w:t>
      </w:r>
    </w:p>
    <w:p>
      <w:pPr>
        <w:snapToGrid w:val="0"/>
        <w:spacing w:line="500" w:lineRule="exact"/>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、采购代理机构</w:t>
      </w:r>
      <w:r>
        <w:rPr>
          <w:rFonts w:ascii="微软雅黑" w:hAnsi="微软雅黑"/>
          <w:szCs w:val="21"/>
          <w:highlight w:val="none"/>
        </w:rPr>
        <w:t>在评标结束后2个工作日内将评标报告交采购人确认，同时在发布招标公告的网站上对评标结果进行</w:t>
      </w:r>
      <w:r>
        <w:rPr>
          <w:rFonts w:hint="eastAsia" w:ascii="微软雅黑" w:hAnsi="微软雅黑"/>
          <w:szCs w:val="21"/>
          <w:highlight w:val="none"/>
        </w:rPr>
        <w:t>公告</w:t>
      </w:r>
      <w:r>
        <w:rPr>
          <w:rFonts w:ascii="微软雅黑" w:hAnsi="微软雅黑"/>
          <w:szCs w:val="21"/>
          <w:highlight w:val="none"/>
        </w:rPr>
        <w:t>。</w:t>
      </w:r>
    </w:p>
    <w:p>
      <w:pPr>
        <w:snapToGrid w:val="0"/>
        <w:spacing w:line="500" w:lineRule="exact"/>
        <w:ind w:firstLine="420"/>
        <w:rPr>
          <w:rFonts w:ascii="微软雅黑" w:hAnsi="微软雅黑"/>
          <w:szCs w:val="21"/>
          <w:highlight w:val="none"/>
        </w:rPr>
      </w:pPr>
      <w:r>
        <w:rPr>
          <w:rFonts w:ascii="微软雅黑" w:hAnsi="微软雅黑"/>
          <w:szCs w:val="21"/>
          <w:highlight w:val="none"/>
        </w:rPr>
        <w:t>2</w:t>
      </w:r>
      <w:r>
        <w:rPr>
          <w:rFonts w:hint="eastAsia" w:ascii="微软雅黑" w:hAnsi="微软雅黑"/>
          <w:szCs w:val="21"/>
          <w:highlight w:val="none"/>
        </w:rPr>
        <w:t>、</w:t>
      </w:r>
      <w:r>
        <w:rPr>
          <w:rFonts w:ascii="微软雅黑" w:hAnsi="微软雅黑"/>
          <w:szCs w:val="21"/>
          <w:highlight w:val="none"/>
        </w:rPr>
        <w:t>供应商对评标结果无异议的，采购人应在收到评标报告后5个工作日内对评标结果进行确认。如有供应商对评标结果提出质疑的，采购人可在质疑处理完毕后确定中标人。</w:t>
      </w:r>
    </w:p>
    <w:p>
      <w:pPr>
        <w:snapToGrid w:val="0"/>
        <w:spacing w:line="500" w:lineRule="exact"/>
        <w:ind w:firstLine="420"/>
        <w:rPr>
          <w:rFonts w:ascii="微软雅黑" w:hAnsi="微软雅黑"/>
          <w:szCs w:val="21"/>
          <w:highlight w:val="none"/>
        </w:rPr>
      </w:pPr>
      <w:r>
        <w:rPr>
          <w:rFonts w:hint="eastAsia" w:ascii="微软雅黑" w:hAnsi="微软雅黑"/>
          <w:szCs w:val="21"/>
          <w:highlight w:val="none"/>
        </w:rPr>
        <w:t>3. 在公告中标结果的同时，采购代理机构向中标人发出中标通知书。</w:t>
      </w:r>
    </w:p>
    <w:p>
      <w:pPr>
        <w:pStyle w:val="6"/>
        <w:spacing w:line="500" w:lineRule="exact"/>
        <w:ind w:firstLine="420"/>
        <w:rPr>
          <w:rFonts w:ascii="微软雅黑" w:hAnsi="微软雅黑"/>
          <w:szCs w:val="21"/>
          <w:highlight w:val="none"/>
        </w:rPr>
      </w:pPr>
      <w:bookmarkStart w:id="182" w:name="_Toc33535372"/>
      <w:r>
        <w:rPr>
          <w:rFonts w:hint="eastAsia" w:ascii="微软雅黑" w:hAnsi="微软雅黑"/>
          <w:szCs w:val="21"/>
          <w:highlight w:val="none"/>
        </w:rPr>
        <w:t>七、合同授予</w:t>
      </w:r>
      <w:bookmarkEnd w:id="182"/>
    </w:p>
    <w:p>
      <w:pPr>
        <w:spacing w:line="500" w:lineRule="exact"/>
        <w:ind w:firstLine="420"/>
        <w:rPr>
          <w:rFonts w:ascii="微软雅黑" w:hAnsi="微软雅黑"/>
          <w:szCs w:val="21"/>
          <w:highlight w:val="none"/>
        </w:rPr>
      </w:pPr>
      <w:r>
        <w:rPr>
          <w:rFonts w:hint="eastAsia" w:ascii="微软雅黑" w:hAnsi="微软雅黑"/>
          <w:szCs w:val="21"/>
          <w:highlight w:val="none"/>
        </w:rPr>
        <w:t>（一）签订合同</w:t>
      </w:r>
    </w:p>
    <w:p>
      <w:pPr>
        <w:spacing w:line="500" w:lineRule="exact"/>
        <w:ind w:firstLine="420"/>
        <w:rPr>
          <w:rFonts w:ascii="微软雅黑" w:hAnsi="微软雅黑"/>
          <w:szCs w:val="21"/>
          <w:highlight w:val="none"/>
        </w:rPr>
      </w:pPr>
      <w:r>
        <w:rPr>
          <w:rFonts w:hint="eastAsia" w:ascii="微软雅黑" w:hAnsi="微软雅黑"/>
          <w:szCs w:val="21"/>
          <w:highlight w:val="none"/>
        </w:rPr>
        <w:t>采购人与</w:t>
      </w:r>
      <w:r>
        <w:rPr>
          <w:rFonts w:ascii="微软雅黑" w:hAnsi="微软雅黑"/>
          <w:szCs w:val="21"/>
          <w:highlight w:val="none"/>
        </w:rPr>
        <w:t>中标人应</w:t>
      </w:r>
      <w:r>
        <w:rPr>
          <w:rFonts w:hint="eastAsia" w:ascii="微软雅黑" w:hAnsi="微软雅黑"/>
          <w:szCs w:val="21"/>
          <w:highlight w:val="none"/>
        </w:rPr>
        <w:t>当在中标公示发出之日起30日内签订政府采购合同。同时，采购机构对合同内容进行审查，如发现与采购结果和投标承诺内容不一致的，将予以纠正。</w:t>
      </w:r>
    </w:p>
    <w:p>
      <w:pPr>
        <w:spacing w:line="500" w:lineRule="exact"/>
        <w:ind w:firstLine="420"/>
        <w:rPr>
          <w:rFonts w:ascii="微软雅黑" w:hAnsi="微软雅黑"/>
          <w:szCs w:val="21"/>
          <w:highlight w:val="none"/>
        </w:rPr>
      </w:pPr>
      <w:r>
        <w:rPr>
          <w:rFonts w:ascii="微软雅黑" w:hAnsi="微软雅黑"/>
          <w:szCs w:val="21"/>
          <w:highlight w:val="none"/>
        </w:rPr>
        <w:t>中标人拖延、拒签合同的,将被取消中标资格</w:t>
      </w:r>
      <w:r>
        <w:rPr>
          <w:rFonts w:hint="eastAsia" w:ascii="微软雅黑" w:hAnsi="微软雅黑"/>
          <w:szCs w:val="21"/>
          <w:highlight w:val="none"/>
        </w:rPr>
        <w:t>，并报监督管理部门</w:t>
      </w:r>
      <w:r>
        <w:rPr>
          <w:rFonts w:ascii="微软雅黑" w:hAnsi="微软雅黑"/>
          <w:szCs w:val="21"/>
          <w:highlight w:val="none"/>
        </w:rPr>
        <w:t>。</w:t>
      </w:r>
    </w:p>
    <w:p>
      <w:pPr>
        <w:spacing w:line="500" w:lineRule="exact"/>
        <w:ind w:firstLine="420"/>
        <w:rPr>
          <w:rFonts w:ascii="微软雅黑" w:hAnsi="微软雅黑"/>
          <w:szCs w:val="21"/>
          <w:highlight w:val="none"/>
        </w:rPr>
      </w:pPr>
      <w:r>
        <w:rPr>
          <w:rFonts w:ascii="微软雅黑" w:hAnsi="微软雅黑"/>
          <w:szCs w:val="21"/>
          <w:highlight w:val="none"/>
        </w:rPr>
        <w:t>（二）履约保证金：按前附表执行。</w:t>
      </w:r>
    </w:p>
    <w:bookmarkEnd w:id="111"/>
    <w:p>
      <w:pPr>
        <w:rPr>
          <w:rFonts w:ascii="宋体" w:hAnsi="宋体"/>
          <w:highlight w:val="none"/>
        </w:rPr>
      </w:pPr>
      <w:r>
        <w:rPr>
          <w:rFonts w:ascii="宋体" w:hAnsi="宋体"/>
          <w:highlight w:val="none"/>
        </w:rPr>
        <w:br w:type="page"/>
      </w:r>
    </w:p>
    <w:p>
      <w:pPr>
        <w:pStyle w:val="73"/>
        <w:ind w:firstLine="480"/>
        <w:rPr>
          <w:rFonts w:ascii="宋体" w:hAnsi="宋体"/>
          <w:highlight w:val="none"/>
        </w:rPr>
      </w:pPr>
    </w:p>
    <w:p>
      <w:pPr>
        <w:pStyle w:val="5"/>
        <w:numPr>
          <w:ilvl w:val="0"/>
          <w:numId w:val="7"/>
        </w:numPr>
        <w:rPr>
          <w:rStyle w:val="157"/>
          <w:b/>
          <w:bCs/>
          <w:highlight w:val="none"/>
        </w:rPr>
      </w:pPr>
      <w:bookmarkStart w:id="183" w:name="_Toc493511776"/>
      <w:bookmarkStart w:id="184" w:name="_Toc25435"/>
      <w:bookmarkStart w:id="185" w:name="_Toc177870559"/>
      <w:bookmarkStart w:id="186" w:name="_Toc170792807"/>
      <w:bookmarkStart w:id="187" w:name="_Toc493511826"/>
      <w:bookmarkStart w:id="188" w:name="_Toc416422800"/>
      <w:bookmarkStart w:id="189" w:name="_Toc417992896"/>
      <w:bookmarkStart w:id="190" w:name="_Toc170792802"/>
      <w:r>
        <w:rPr>
          <w:rStyle w:val="157"/>
          <w:rFonts w:hint="eastAsia"/>
          <w:b/>
          <w:bCs/>
          <w:highlight w:val="none"/>
        </w:rPr>
        <w:t>评标办法及评分标准</w:t>
      </w:r>
      <w:bookmarkEnd w:id="183"/>
      <w:bookmarkEnd w:id="184"/>
    </w:p>
    <w:bookmarkEnd w:id="185"/>
    <w:bookmarkEnd w:id="186"/>
    <w:p>
      <w:pPr>
        <w:spacing w:line="360" w:lineRule="auto"/>
        <w:ind w:firstLine="420"/>
        <w:rPr>
          <w:rFonts w:ascii="微软雅黑" w:hAnsi="微软雅黑"/>
          <w:szCs w:val="21"/>
          <w:highlight w:val="none"/>
        </w:rPr>
      </w:pPr>
      <w:bookmarkStart w:id="191" w:name="_Toc24358"/>
      <w:r>
        <w:rPr>
          <w:rFonts w:ascii="微软雅黑" w:hAnsi="微软雅黑"/>
          <w:szCs w:val="21"/>
          <w:highlight w:val="none"/>
        </w:rPr>
        <w:t>为公正、公平、科学地选择中标人，根据《中华人民共和国政府采购法》等有关法律法规的规定，并结合本项目的实际，制定本办法。</w:t>
      </w:r>
    </w:p>
    <w:p>
      <w:pPr>
        <w:spacing w:line="360" w:lineRule="auto"/>
        <w:ind w:firstLine="420" w:firstLineChars="200"/>
        <w:jc w:val="left"/>
        <w:rPr>
          <w:rFonts w:ascii="微软雅黑" w:hAnsi="微软雅黑"/>
          <w:szCs w:val="21"/>
          <w:highlight w:val="none"/>
        </w:rPr>
      </w:pPr>
      <w:r>
        <w:rPr>
          <w:rFonts w:ascii="微软雅黑" w:hAnsi="微软雅黑"/>
          <w:b/>
          <w:szCs w:val="21"/>
          <w:highlight w:val="none"/>
        </w:rPr>
        <w:t>一 、总则</w:t>
      </w:r>
    </w:p>
    <w:p>
      <w:pPr>
        <w:spacing w:line="360" w:lineRule="auto"/>
        <w:ind w:firstLine="420" w:firstLineChars="200"/>
        <w:rPr>
          <w:rFonts w:ascii="微软雅黑" w:hAnsi="微软雅黑"/>
          <w:szCs w:val="21"/>
          <w:highlight w:val="none"/>
        </w:rPr>
      </w:pPr>
      <w:r>
        <w:rPr>
          <w:rFonts w:ascii="微软雅黑" w:hAnsi="微软雅黑"/>
          <w:szCs w:val="21"/>
          <w:highlight w:val="none"/>
        </w:rPr>
        <w:t>本次评标采用综合评分法，总分为100分。合格供应商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人。排名第一的供应商为中标候选人，排名第二的供应商为候补中标候选人，其他供应商中标候选资格依此类推。中标人拒绝与采购人签订合同的，采购人可以按照评审报告推荐的中标候选人名单顺序，确定下一候选人为中标人，也可以重新开展政府采购活动。评分过程中采用四舍五入法，并保留小数2位。</w:t>
      </w:r>
    </w:p>
    <w:p>
      <w:pPr>
        <w:spacing w:line="360" w:lineRule="auto"/>
        <w:ind w:firstLine="420" w:firstLineChars="200"/>
        <w:rPr>
          <w:rFonts w:ascii="微软雅黑" w:hAnsi="微软雅黑"/>
          <w:b/>
          <w:szCs w:val="21"/>
          <w:highlight w:val="none"/>
        </w:rPr>
      </w:pPr>
      <w:r>
        <w:rPr>
          <w:rFonts w:ascii="微软雅黑" w:hAnsi="微软雅黑"/>
          <w:b/>
          <w:szCs w:val="21"/>
          <w:highlight w:val="none"/>
        </w:rPr>
        <w:t>投标人评标综合得分=价格分+技术分+资信商务及其他分</w:t>
      </w:r>
    </w:p>
    <w:p>
      <w:pPr>
        <w:spacing w:line="360" w:lineRule="auto"/>
        <w:ind w:firstLine="420" w:firstLineChars="200"/>
        <w:rPr>
          <w:rFonts w:ascii="微软雅黑" w:hAnsi="微软雅黑"/>
          <w:b/>
          <w:szCs w:val="21"/>
          <w:highlight w:val="none"/>
        </w:rPr>
      </w:pPr>
      <w:r>
        <w:rPr>
          <w:rFonts w:ascii="微软雅黑" w:hAnsi="微软雅黑"/>
          <w:b/>
          <w:szCs w:val="21"/>
          <w:highlight w:val="none"/>
        </w:rPr>
        <w:t>二 、评标内容及标准</w:t>
      </w:r>
    </w:p>
    <w:p>
      <w:pPr>
        <w:pStyle w:val="21"/>
        <w:spacing w:line="360" w:lineRule="auto"/>
        <w:ind w:firstLine="404" w:firstLineChars="200"/>
        <w:rPr>
          <w:rFonts w:ascii="微软雅黑" w:hAnsi="微软雅黑"/>
          <w:b/>
          <w:bCs/>
          <w:sz w:val="21"/>
          <w:szCs w:val="21"/>
          <w:highlight w:val="none"/>
        </w:rPr>
      </w:pPr>
      <w:r>
        <w:rPr>
          <w:rFonts w:ascii="微软雅黑" w:hAnsi="微软雅黑"/>
          <w:b/>
          <w:sz w:val="21"/>
          <w:szCs w:val="21"/>
          <w:highlight w:val="none"/>
        </w:rPr>
        <w:t>（一）</w:t>
      </w:r>
      <w:r>
        <w:rPr>
          <w:rFonts w:ascii="微软雅黑" w:hAnsi="微软雅黑"/>
          <w:b/>
          <w:bCs/>
          <w:sz w:val="21"/>
          <w:szCs w:val="21"/>
          <w:highlight w:val="none"/>
        </w:rPr>
        <w:t>价格分（0-</w:t>
      </w:r>
      <w:r>
        <w:rPr>
          <w:rFonts w:hint="eastAsia" w:ascii="微软雅黑" w:hAnsi="微软雅黑"/>
          <w:b/>
          <w:bCs/>
          <w:sz w:val="21"/>
          <w:szCs w:val="21"/>
          <w:highlight w:val="none"/>
          <w:lang w:val="en-US" w:eastAsia="zh-CN"/>
        </w:rPr>
        <w:t>1</w:t>
      </w:r>
      <w:r>
        <w:rPr>
          <w:rFonts w:ascii="微软雅黑" w:hAnsi="微软雅黑"/>
          <w:b/>
          <w:bCs/>
          <w:sz w:val="21"/>
          <w:szCs w:val="21"/>
          <w:highlight w:val="none"/>
        </w:rPr>
        <w:t>0分）</w:t>
      </w:r>
    </w:p>
    <w:p>
      <w:pPr>
        <w:pStyle w:val="21"/>
        <w:spacing w:line="360" w:lineRule="auto"/>
        <w:ind w:firstLine="404" w:firstLineChars="200"/>
        <w:rPr>
          <w:rFonts w:ascii="微软雅黑" w:hAnsi="微软雅黑"/>
          <w:bCs/>
          <w:sz w:val="21"/>
          <w:szCs w:val="21"/>
          <w:highlight w:val="none"/>
        </w:rPr>
      </w:pPr>
      <w:r>
        <w:rPr>
          <w:rFonts w:ascii="微软雅黑" w:hAnsi="微软雅黑"/>
          <w:bCs/>
          <w:sz w:val="21"/>
          <w:szCs w:val="21"/>
          <w:highlight w:val="none"/>
        </w:rPr>
        <w:t>1.价格分采用低价优先法计算，即满足招标文件要求且投标价格最低的投标报价为评标基准价，其他供应商的价格分按照下列公式计算：</w:t>
      </w:r>
    </w:p>
    <w:p>
      <w:pPr>
        <w:spacing w:line="360" w:lineRule="auto"/>
        <w:ind w:firstLine="420" w:firstLineChars="200"/>
        <w:rPr>
          <w:rFonts w:ascii="微软雅黑" w:hAnsi="微软雅黑"/>
          <w:szCs w:val="21"/>
          <w:highlight w:val="none"/>
        </w:rPr>
      </w:pPr>
      <w:r>
        <w:rPr>
          <w:rFonts w:ascii="微软雅黑" w:hAnsi="微软雅黑"/>
          <w:szCs w:val="21"/>
          <w:highlight w:val="none"/>
        </w:rPr>
        <w:t>价格分=（评标基准价/投标报价）×</w:t>
      </w:r>
      <w:r>
        <w:rPr>
          <w:rFonts w:hint="eastAsia" w:ascii="微软雅黑" w:hAnsi="微软雅黑"/>
          <w:szCs w:val="21"/>
          <w:highlight w:val="none"/>
          <w:lang w:val="en-US" w:eastAsia="zh-CN"/>
        </w:rPr>
        <w:t>1</w:t>
      </w:r>
      <w:r>
        <w:rPr>
          <w:rFonts w:ascii="微软雅黑" w:hAnsi="微软雅黑"/>
          <w:szCs w:val="21"/>
          <w:highlight w:val="none"/>
        </w:rPr>
        <w:t>0%×100</w:t>
      </w:r>
    </w:p>
    <w:p>
      <w:pPr>
        <w:widowControl/>
        <w:autoSpaceDE w:val="0"/>
        <w:autoSpaceDN w:val="0"/>
        <w:adjustRightInd w:val="0"/>
        <w:spacing w:line="440" w:lineRule="exact"/>
        <w:ind w:left="0" w:leftChars="0" w:firstLine="0" w:firstLineChars="0"/>
        <w:jc w:val="both"/>
        <w:textAlignment w:val="center"/>
        <w:rPr>
          <w:rFonts w:hint="eastAsia" w:ascii="宋体" w:hAnsi="宋体" w:cs="宋体"/>
          <w:b/>
          <w:bCs/>
          <w:spacing w:val="11"/>
          <w:sz w:val="24"/>
        </w:rPr>
      </w:pPr>
      <w:r>
        <w:rPr>
          <w:rFonts w:hint="eastAsia" w:ascii="宋体" w:hAnsi="宋体" w:cs="宋体"/>
          <w:b/>
          <w:bCs/>
          <w:spacing w:val="11"/>
          <w:sz w:val="24"/>
          <w:lang w:eastAsia="zh-CN"/>
        </w:rPr>
        <w:t>（二）</w:t>
      </w:r>
      <w:r>
        <w:rPr>
          <w:rFonts w:hint="eastAsia" w:ascii="宋体" w:hAnsi="宋体" w:cs="宋体"/>
          <w:b/>
          <w:bCs/>
          <w:spacing w:val="11"/>
          <w:sz w:val="24"/>
        </w:rPr>
        <w:t>技术分+资信商务及其他分</w:t>
      </w:r>
    </w:p>
    <w:tbl>
      <w:tblPr>
        <w:tblStyle w:val="51"/>
        <w:tblW w:w="92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810"/>
        <w:gridCol w:w="7006"/>
        <w:gridCol w:w="80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ind w:left="0" w:leftChars="0" w:firstLine="0" w:firstLineChars="0"/>
              <w:jc w:val="both"/>
              <w:textAlignment w:val="center"/>
              <w:rPr>
                <w:rFonts w:hint="eastAsia" w:ascii="宋体" w:hAnsi="宋体" w:eastAsia="微软雅黑" w:cs="宋体"/>
                <w:b/>
                <w:bCs/>
                <w:spacing w:val="11"/>
                <w:sz w:val="21"/>
                <w:szCs w:val="21"/>
                <w:lang w:val="en-US" w:eastAsia="zh-CN"/>
              </w:rPr>
            </w:pPr>
            <w:r>
              <w:rPr>
                <w:rFonts w:hint="eastAsia" w:ascii="宋体" w:hAnsi="宋体" w:cs="宋体"/>
                <w:b/>
                <w:bCs/>
                <w:spacing w:val="11"/>
                <w:sz w:val="21"/>
                <w:szCs w:val="21"/>
              </w:rPr>
              <w:br w:type="page"/>
            </w:r>
            <w:r>
              <w:rPr>
                <w:rFonts w:hint="eastAsia" w:ascii="宋体" w:hAnsi="宋体" w:cs="宋体"/>
                <w:b/>
                <w:bCs/>
                <w:spacing w:val="11"/>
                <w:sz w:val="21"/>
                <w:szCs w:val="21"/>
                <w:lang w:val="en-US" w:eastAsia="zh-CN"/>
              </w:rPr>
              <w:t>序号</w:t>
            </w:r>
          </w:p>
        </w:tc>
        <w:tc>
          <w:tcPr>
            <w:tcW w:w="810"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ind w:left="0" w:leftChars="0" w:firstLine="0" w:firstLineChars="0"/>
              <w:jc w:val="both"/>
              <w:textAlignment w:val="center"/>
              <w:rPr>
                <w:rFonts w:hint="eastAsia" w:ascii="宋体" w:hAnsi="宋体" w:cs="宋体"/>
                <w:b/>
                <w:bCs/>
                <w:spacing w:val="11"/>
                <w:sz w:val="21"/>
                <w:szCs w:val="21"/>
              </w:rPr>
            </w:pPr>
            <w:r>
              <w:rPr>
                <w:rFonts w:hint="eastAsia" w:ascii="宋体" w:hAnsi="宋体" w:cs="宋体"/>
                <w:b/>
                <w:bCs/>
                <w:spacing w:val="11"/>
                <w:sz w:val="21"/>
                <w:szCs w:val="21"/>
              </w:rPr>
              <w:t>评审</w:t>
            </w:r>
          </w:p>
          <w:p>
            <w:pPr>
              <w:widowControl/>
              <w:autoSpaceDE w:val="0"/>
              <w:autoSpaceDN w:val="0"/>
              <w:adjustRightInd w:val="0"/>
              <w:spacing w:line="240" w:lineRule="auto"/>
              <w:ind w:left="0" w:leftChars="0" w:firstLine="0" w:firstLineChars="0"/>
              <w:jc w:val="both"/>
              <w:textAlignment w:val="center"/>
              <w:rPr>
                <w:rFonts w:hint="eastAsia" w:ascii="宋体" w:hAnsi="宋体" w:cs="宋体"/>
                <w:b/>
                <w:bCs/>
                <w:spacing w:val="11"/>
                <w:sz w:val="21"/>
                <w:szCs w:val="21"/>
              </w:rPr>
            </w:pPr>
            <w:r>
              <w:rPr>
                <w:rFonts w:hint="eastAsia" w:ascii="宋体" w:hAnsi="宋体" w:cs="宋体"/>
                <w:b/>
                <w:bCs/>
                <w:spacing w:val="11"/>
                <w:sz w:val="21"/>
                <w:szCs w:val="21"/>
              </w:rPr>
              <w:t>内容</w:t>
            </w:r>
          </w:p>
        </w:tc>
        <w:tc>
          <w:tcPr>
            <w:tcW w:w="7006"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jc w:val="center"/>
              <w:textAlignment w:val="center"/>
              <w:rPr>
                <w:rFonts w:hint="eastAsia" w:ascii="宋体" w:hAnsi="宋体" w:cs="宋体"/>
                <w:b/>
                <w:bCs/>
                <w:spacing w:val="11"/>
                <w:sz w:val="21"/>
                <w:szCs w:val="21"/>
              </w:rPr>
            </w:pPr>
            <w:r>
              <w:rPr>
                <w:rFonts w:hint="eastAsia" w:ascii="宋体" w:hAnsi="宋体" w:cs="宋体"/>
                <w:b/>
                <w:bCs/>
                <w:spacing w:val="11"/>
                <w:sz w:val="21"/>
                <w:szCs w:val="21"/>
              </w:rPr>
              <w:t>评分标准</w:t>
            </w:r>
          </w:p>
        </w:tc>
        <w:tc>
          <w:tcPr>
            <w:tcW w:w="805"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ind w:left="0" w:leftChars="0" w:firstLine="0" w:firstLineChars="0"/>
              <w:jc w:val="both"/>
              <w:textAlignment w:val="center"/>
              <w:rPr>
                <w:rFonts w:hint="eastAsia" w:ascii="宋体" w:hAnsi="宋体" w:cs="宋体"/>
                <w:b/>
                <w:bCs/>
                <w:spacing w:val="11"/>
                <w:sz w:val="21"/>
                <w:szCs w:val="21"/>
              </w:rPr>
            </w:pPr>
            <w:r>
              <w:rPr>
                <w:rFonts w:hint="eastAsia" w:ascii="宋体" w:hAnsi="宋体" w:cs="宋体"/>
                <w:b/>
                <w:bCs/>
                <w:spacing w:val="11"/>
                <w:sz w:val="21"/>
                <w:szCs w:val="21"/>
              </w:rPr>
              <w:t>分值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8" w:hRule="atLeast"/>
          <w:jc w:val="center"/>
        </w:trPr>
        <w:tc>
          <w:tcPr>
            <w:tcW w:w="8452" w:type="dxa"/>
            <w:gridSpan w:val="3"/>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jc w:val="center"/>
              <w:textAlignment w:val="center"/>
              <w:rPr>
                <w:rFonts w:ascii="宋体" w:hAnsi="宋体" w:cs="宋体"/>
                <w:sz w:val="21"/>
                <w:szCs w:val="21"/>
              </w:rPr>
            </w:pPr>
            <w:r>
              <w:rPr>
                <w:rFonts w:hint="eastAsia" w:ascii="宋体" w:hAnsi="宋体" w:cs="宋体"/>
                <w:b/>
                <w:bCs/>
                <w:spacing w:val="11"/>
                <w:sz w:val="21"/>
                <w:szCs w:val="21"/>
              </w:rPr>
              <w:t>一、商务资信及其他部分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ascii="宋体" w:hAnsi="宋体"/>
                <w:b/>
                <w:sz w:val="21"/>
                <w:szCs w:val="21"/>
              </w:rPr>
            </w:pPr>
            <w:r>
              <w:rPr>
                <w:rFonts w:hint="eastAsia" w:ascii="宋体"/>
                <w:b/>
                <w:sz w:val="21"/>
                <w:szCs w:val="21"/>
                <w:lang w:val="en-US" w:eastAsia="zh-CN"/>
              </w:rPr>
              <w:t>12</w:t>
            </w:r>
            <w:r>
              <w:rPr>
                <w:rFonts w:hint="eastAsia" w:ascii="宋体" w:hAnsi="宋体"/>
                <w:b/>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87"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240" w:lineRule="auto"/>
              <w:ind w:left="0" w:leftChars="0" w:firstLine="0" w:firstLineChars="0"/>
              <w:contextualSpacing/>
              <w:jc w:val="both"/>
              <w:rPr>
                <w:rFonts w:ascii="宋体" w:hAnsi="宋体"/>
                <w:sz w:val="21"/>
                <w:szCs w:val="21"/>
                <w:highlight w:val="none"/>
              </w:rPr>
            </w:pPr>
            <w:r>
              <w:rPr>
                <w:rFonts w:ascii="宋体" w:hAnsi="宋体"/>
                <w:sz w:val="21"/>
                <w:szCs w:val="21"/>
                <w:highlight w:val="none"/>
              </w:rPr>
              <w:t>1</w:t>
            </w:r>
          </w:p>
        </w:tc>
        <w:tc>
          <w:tcPr>
            <w:tcW w:w="810" w:type="dxa"/>
            <w:tcBorders>
              <w:top w:val="single" w:color="auto" w:sz="4" w:space="0"/>
              <w:left w:val="single" w:color="auto" w:sz="4" w:space="0"/>
              <w:bottom w:val="single" w:color="auto" w:sz="4" w:space="0"/>
              <w:right w:val="single" w:color="auto" w:sz="4" w:space="0"/>
            </w:tcBorders>
            <w:vAlign w:val="center"/>
          </w:tcPr>
          <w:p>
            <w:pPr>
              <w:tabs>
                <w:tab w:val="left" w:pos="1080"/>
              </w:tabs>
              <w:spacing w:line="240" w:lineRule="auto"/>
              <w:ind w:left="0" w:leftChars="0" w:firstLine="0" w:firstLineChars="0"/>
              <w:contextualSpacing/>
              <w:jc w:val="both"/>
              <w:rPr>
                <w:rFonts w:ascii="宋体" w:hAnsi="宋体"/>
                <w:sz w:val="21"/>
                <w:szCs w:val="21"/>
                <w:highlight w:val="none"/>
              </w:rPr>
            </w:pPr>
            <w:r>
              <w:rPr>
                <w:rFonts w:hint="eastAsia" w:ascii="宋体" w:hAnsi="宋体" w:cs="宋体"/>
                <w:sz w:val="21"/>
                <w:szCs w:val="21"/>
                <w:highlight w:val="none"/>
              </w:rPr>
              <w:t>企业综合实力</w:t>
            </w:r>
          </w:p>
        </w:tc>
        <w:tc>
          <w:tcPr>
            <w:tcW w:w="7006"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autoSpaceDE w:val="0"/>
              <w:autoSpaceDN w:val="0"/>
              <w:adjustRightInd w:val="0"/>
              <w:spacing w:line="240" w:lineRule="auto"/>
              <w:ind w:firstLine="0" w:firstLineChars="0"/>
              <w:textAlignment w:val="center"/>
              <w:rPr>
                <w:rFonts w:ascii="宋体" w:hAnsi="宋体" w:cs="宋体"/>
                <w:szCs w:val="21"/>
                <w:highlight w:val="none"/>
              </w:rPr>
            </w:pPr>
            <w:r>
              <w:rPr>
                <w:rFonts w:hint="eastAsia" w:ascii="宋体" w:hAnsi="宋体" w:cs="宋体"/>
                <w:szCs w:val="21"/>
                <w:highlight w:val="none"/>
              </w:rPr>
              <w:t>投标人具备有效的质量管理体系认证证书的得1分；</w:t>
            </w:r>
          </w:p>
          <w:p>
            <w:pPr>
              <w:widowControl/>
              <w:numPr>
                <w:ilvl w:val="0"/>
                <w:numId w:val="11"/>
              </w:numPr>
              <w:autoSpaceDE w:val="0"/>
              <w:autoSpaceDN w:val="0"/>
              <w:adjustRightInd w:val="0"/>
              <w:spacing w:line="240" w:lineRule="auto"/>
              <w:ind w:firstLine="0" w:firstLineChars="0"/>
              <w:textAlignment w:val="center"/>
              <w:rPr>
                <w:rFonts w:ascii="宋体" w:hAnsi="宋体" w:cs="宋体"/>
                <w:szCs w:val="21"/>
                <w:highlight w:val="none"/>
              </w:rPr>
            </w:pPr>
            <w:r>
              <w:rPr>
                <w:rFonts w:hint="eastAsia" w:ascii="宋体" w:hAnsi="宋体" w:cs="宋体"/>
                <w:szCs w:val="21"/>
                <w:highlight w:val="none"/>
              </w:rPr>
              <w:t>投标人具备有效的环境管理体系认证证书的得1分；</w:t>
            </w:r>
          </w:p>
          <w:p>
            <w:pPr>
              <w:widowControl/>
              <w:numPr>
                <w:ilvl w:val="0"/>
                <w:numId w:val="11"/>
              </w:numPr>
              <w:autoSpaceDE w:val="0"/>
              <w:autoSpaceDN w:val="0"/>
              <w:adjustRightInd w:val="0"/>
              <w:spacing w:line="240" w:lineRule="auto"/>
              <w:ind w:firstLine="0" w:firstLineChars="0"/>
              <w:textAlignment w:val="center"/>
              <w:rPr>
                <w:rFonts w:ascii="宋体" w:hAnsi="宋体" w:cs="宋体"/>
                <w:szCs w:val="21"/>
                <w:highlight w:val="none"/>
              </w:rPr>
            </w:pPr>
            <w:r>
              <w:rPr>
                <w:rFonts w:hint="eastAsia" w:ascii="宋体" w:hAnsi="宋体" w:cs="宋体"/>
                <w:szCs w:val="21"/>
                <w:highlight w:val="none"/>
              </w:rPr>
              <w:t>投标人具备有效的职业健康安全管理体系认证证书的得1分；</w:t>
            </w:r>
          </w:p>
          <w:p>
            <w:pPr>
              <w:widowControl/>
              <w:numPr>
                <w:ilvl w:val="0"/>
                <w:numId w:val="11"/>
              </w:numPr>
              <w:autoSpaceDE w:val="0"/>
              <w:autoSpaceDN w:val="0"/>
              <w:adjustRightInd w:val="0"/>
              <w:spacing w:line="240" w:lineRule="auto"/>
              <w:ind w:firstLine="0" w:firstLineChars="0"/>
              <w:textAlignment w:val="center"/>
              <w:rPr>
                <w:rFonts w:ascii="宋体" w:hAnsi="宋体" w:cs="宋体"/>
                <w:szCs w:val="21"/>
                <w:highlight w:val="none"/>
              </w:rPr>
            </w:pPr>
            <w:r>
              <w:rPr>
                <w:rFonts w:hint="eastAsia" w:ascii="宋体" w:hAnsi="宋体" w:cs="宋体"/>
                <w:szCs w:val="21"/>
                <w:highlight w:val="none"/>
              </w:rPr>
              <w:t>投标人具备有效的信息安全管理体系认证证书的得1分；</w:t>
            </w:r>
          </w:p>
          <w:p>
            <w:pPr>
              <w:widowControl/>
              <w:numPr>
                <w:ilvl w:val="0"/>
                <w:numId w:val="11"/>
              </w:numPr>
              <w:autoSpaceDE w:val="0"/>
              <w:autoSpaceDN w:val="0"/>
              <w:adjustRightInd w:val="0"/>
              <w:spacing w:line="240" w:lineRule="auto"/>
              <w:ind w:firstLine="0" w:firstLineChars="0"/>
              <w:textAlignment w:val="center"/>
              <w:rPr>
                <w:rFonts w:ascii="宋体" w:hAnsi="宋体" w:cs="宋体"/>
                <w:szCs w:val="21"/>
                <w:highlight w:val="none"/>
              </w:rPr>
            </w:pPr>
            <w:r>
              <w:rPr>
                <w:rFonts w:hint="eastAsia" w:ascii="宋体" w:hAnsi="宋体" w:cs="宋体"/>
                <w:szCs w:val="21"/>
                <w:highlight w:val="none"/>
              </w:rPr>
              <w:t>投标人具备有效的信息技术服务管理体系认证证书的得1分。</w:t>
            </w:r>
          </w:p>
          <w:p>
            <w:pPr>
              <w:spacing w:line="240" w:lineRule="auto"/>
              <w:ind w:left="0" w:leftChars="0" w:firstLine="0" w:firstLineChars="0"/>
              <w:contextualSpacing/>
              <w:rPr>
                <w:rFonts w:ascii="宋体" w:hAnsi="宋体"/>
                <w:sz w:val="21"/>
                <w:szCs w:val="21"/>
                <w:highlight w:val="none"/>
              </w:rPr>
            </w:pPr>
            <w:r>
              <w:rPr>
                <w:rFonts w:hint="eastAsia" w:ascii="宋体" w:hAnsi="宋体" w:cs="宋体"/>
                <w:b/>
                <w:sz w:val="21"/>
                <w:szCs w:val="21"/>
                <w:highlight w:val="none"/>
              </w:rPr>
              <w:t>注：提供有效</w:t>
            </w:r>
            <w:r>
              <w:rPr>
                <w:rFonts w:hint="eastAsia" w:ascii="宋体" w:hAnsi="宋体" w:cs="宋体"/>
                <w:b/>
                <w:sz w:val="21"/>
                <w:szCs w:val="21"/>
                <w:highlight w:val="none"/>
                <w:lang w:val="en-US" w:eastAsia="zh-CN"/>
              </w:rPr>
              <w:t>期内的有效</w:t>
            </w:r>
            <w:r>
              <w:rPr>
                <w:rFonts w:hint="eastAsia" w:ascii="宋体" w:hAnsi="宋体" w:cs="宋体"/>
                <w:b/>
                <w:sz w:val="21"/>
                <w:szCs w:val="21"/>
                <w:highlight w:val="none"/>
              </w:rPr>
              <w:t>证书扫描件</w:t>
            </w:r>
            <w:r>
              <w:rPr>
                <w:rFonts w:hint="eastAsia" w:ascii="宋体" w:hAnsi="宋体" w:cs="宋体"/>
                <w:b/>
                <w:sz w:val="21"/>
                <w:szCs w:val="21"/>
                <w:highlight w:val="none"/>
                <w:lang w:val="en-US" w:eastAsia="zh-CN"/>
              </w:rPr>
              <w:t>或复印件</w:t>
            </w:r>
            <w:r>
              <w:rPr>
                <w:rFonts w:hint="eastAsia" w:ascii="宋体" w:hAnsi="宋体" w:cs="宋体"/>
                <w:b/>
                <w:bCs/>
                <w:spacing w:val="18"/>
                <w:sz w:val="23"/>
                <w:szCs w:val="23"/>
                <w:highlight w:val="none"/>
              </w:rPr>
              <w:t>并加盖供应商公章</w:t>
            </w:r>
            <w:r>
              <w:rPr>
                <w:rFonts w:hint="eastAsia" w:ascii="宋体" w:hAnsi="宋体" w:cs="宋体"/>
                <w:b/>
                <w:sz w:val="21"/>
                <w:szCs w:val="21"/>
                <w:highlight w:val="none"/>
              </w:rPr>
              <w:t>，不提供不得分。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31" w:rightChars="-15" w:firstLine="0" w:firstLineChars="0"/>
              <w:contextualSpacing/>
              <w:rPr>
                <w:rFonts w:ascii="宋体" w:hAnsi="宋体"/>
                <w:sz w:val="21"/>
                <w:szCs w:val="21"/>
              </w:rPr>
            </w:pPr>
            <w:r>
              <w:rPr>
                <w:rFonts w:hint="eastAsia" w:ascii="宋体"/>
                <w:sz w:val="21"/>
                <w:szCs w:val="21"/>
                <w:lang w:val="en-US" w:eastAsia="zh-CN"/>
              </w:rPr>
              <w:t>0-5</w:t>
            </w:r>
            <w:r>
              <w:rPr>
                <w:rFonts w:hint="eastAsia"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33"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widowControl/>
              <w:spacing w:line="240" w:lineRule="auto"/>
              <w:ind w:left="0" w:leftChars="0" w:firstLine="0" w:firstLineChars="0"/>
              <w:contextualSpacing/>
              <w:jc w:val="both"/>
              <w:rPr>
                <w:rFonts w:ascii="宋体" w:hAnsi="宋体"/>
                <w:sz w:val="21"/>
                <w:szCs w:val="21"/>
                <w:highlight w:val="none"/>
              </w:rPr>
            </w:pPr>
            <w:r>
              <w:rPr>
                <w:rFonts w:ascii="宋体" w:hAnsi="宋体"/>
                <w:sz w:val="21"/>
                <w:szCs w:val="21"/>
                <w:highlight w:val="none"/>
              </w:rPr>
              <w:t>2</w:t>
            </w:r>
          </w:p>
        </w:tc>
        <w:tc>
          <w:tcPr>
            <w:tcW w:w="81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left="0" w:leftChars="0" w:firstLine="0" w:firstLineChars="0"/>
              <w:jc w:val="both"/>
              <w:rPr>
                <w:rFonts w:ascii="宋体" w:hAnsi="宋体" w:cs="宋体"/>
                <w:sz w:val="21"/>
                <w:szCs w:val="21"/>
                <w:highlight w:val="none"/>
              </w:rPr>
            </w:pPr>
            <w:r>
              <w:rPr>
                <w:rFonts w:hint="eastAsia" w:ascii="宋体" w:hAnsi="宋体" w:cs="宋体"/>
                <w:sz w:val="21"/>
                <w:szCs w:val="21"/>
                <w:highlight w:val="none"/>
              </w:rPr>
              <w:t>企业业绩</w:t>
            </w:r>
          </w:p>
        </w:tc>
        <w:tc>
          <w:tcPr>
            <w:tcW w:w="7006"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ind w:left="0" w:leftChars="0" w:firstLine="230" w:firstLineChars="100"/>
              <w:jc w:val="left"/>
              <w:textAlignment w:val="center"/>
              <w:rPr>
                <w:rFonts w:ascii="宋体" w:hAnsi="宋体" w:cs="宋体"/>
                <w:sz w:val="21"/>
                <w:szCs w:val="21"/>
                <w:highlight w:val="none"/>
              </w:rPr>
            </w:pPr>
            <w:r>
              <w:rPr>
                <w:rFonts w:hint="eastAsia" w:ascii="宋体" w:hAnsi="宋体" w:cs="宋体"/>
                <w:sz w:val="23"/>
                <w:szCs w:val="23"/>
                <w:highlight w:val="none"/>
              </w:rPr>
              <w:t>投标人每提供1个</w:t>
            </w:r>
            <w:r>
              <w:rPr>
                <w:rFonts w:hint="eastAsia" w:ascii="宋体" w:hAnsi="宋体" w:cs="宋体"/>
                <w:sz w:val="21"/>
                <w:szCs w:val="21"/>
                <w:highlight w:val="none"/>
              </w:rPr>
              <w:t>公路数字化、农村公路综合管理、数字农村路等</w:t>
            </w:r>
            <w:r>
              <w:rPr>
                <w:rFonts w:hint="eastAsia" w:ascii="宋体" w:hAnsi="宋体" w:cs="宋体"/>
                <w:sz w:val="23"/>
                <w:szCs w:val="23"/>
                <w:highlight w:val="none"/>
              </w:rPr>
              <w:t>类似</w:t>
            </w:r>
            <w:r>
              <w:rPr>
                <w:rFonts w:hint="eastAsia" w:ascii="宋体" w:hAnsi="宋体" w:cs="宋体"/>
                <w:sz w:val="21"/>
                <w:szCs w:val="21"/>
                <w:highlight w:val="none"/>
              </w:rPr>
              <w:t>项目</w:t>
            </w:r>
            <w:r>
              <w:rPr>
                <w:rFonts w:hint="eastAsia" w:ascii="宋体" w:hAnsi="宋体" w:cs="宋体"/>
                <w:sz w:val="23"/>
                <w:szCs w:val="23"/>
                <w:highlight w:val="none"/>
              </w:rPr>
              <w:t>业绩</w:t>
            </w:r>
            <w:r>
              <w:rPr>
                <w:rFonts w:hint="eastAsia" w:ascii="宋体" w:hAnsi="宋体" w:cs="宋体"/>
                <w:sz w:val="21"/>
                <w:szCs w:val="21"/>
                <w:highlight w:val="none"/>
              </w:rPr>
              <w:t>的得</w:t>
            </w:r>
            <w:r>
              <w:rPr>
                <w:rFonts w:hint="eastAsia" w:ascii="宋体" w:hAnsi="宋体" w:cs="宋体"/>
                <w:sz w:val="21"/>
                <w:szCs w:val="21"/>
                <w:highlight w:val="none"/>
                <w:lang w:val="en-US" w:eastAsia="zh-CN"/>
              </w:rPr>
              <w:t>0.5</w:t>
            </w:r>
            <w:r>
              <w:rPr>
                <w:rFonts w:hint="eastAsia" w:ascii="宋体" w:hAnsi="宋体" w:cs="宋体"/>
                <w:sz w:val="21"/>
                <w:szCs w:val="21"/>
                <w:highlight w:val="none"/>
              </w:rPr>
              <w:t>分，本项最多得</w:t>
            </w:r>
            <w:r>
              <w:rPr>
                <w:rFonts w:hint="eastAsia" w:ascii="宋体" w:hAnsi="宋体" w:cs="宋体"/>
                <w:sz w:val="21"/>
                <w:szCs w:val="21"/>
                <w:highlight w:val="none"/>
                <w:lang w:val="en-US" w:eastAsia="zh-CN"/>
              </w:rPr>
              <w:t>1</w:t>
            </w:r>
            <w:r>
              <w:rPr>
                <w:rFonts w:hint="eastAsia" w:ascii="宋体" w:hAnsi="宋体" w:cs="宋体"/>
                <w:sz w:val="21"/>
                <w:szCs w:val="21"/>
                <w:highlight w:val="none"/>
              </w:rPr>
              <w:t>分。</w:t>
            </w:r>
          </w:p>
          <w:p>
            <w:pPr>
              <w:widowControl/>
              <w:autoSpaceDE w:val="0"/>
              <w:autoSpaceDN w:val="0"/>
              <w:adjustRightInd w:val="0"/>
              <w:spacing w:line="240" w:lineRule="auto"/>
              <w:ind w:left="0" w:leftChars="0" w:firstLine="0" w:firstLineChars="0"/>
              <w:jc w:val="left"/>
              <w:textAlignment w:val="center"/>
              <w:rPr>
                <w:rFonts w:ascii="宋体" w:hAnsi="宋体" w:cs="宋体"/>
                <w:b/>
                <w:sz w:val="21"/>
                <w:szCs w:val="21"/>
                <w:highlight w:val="none"/>
              </w:rPr>
            </w:pPr>
            <w:r>
              <w:rPr>
                <w:rFonts w:hint="eastAsia" w:ascii="宋体" w:hAnsi="宋体" w:cs="宋体"/>
                <w:b/>
                <w:sz w:val="21"/>
                <w:szCs w:val="21"/>
                <w:highlight w:val="none"/>
              </w:rPr>
              <w:t>注：提供合同扫描件，不提供不得分。供应商提供的业绩证明材料如发现弄虚作假，将予以无效标处理并保留对该供应商追究相关法律责任。</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firstLine="0" w:firstLineChars="0"/>
              <w:contextualSpacing/>
              <w:rPr>
                <w:rFonts w:ascii="宋体" w:hAnsi="宋体"/>
                <w:sz w:val="21"/>
                <w:szCs w:val="21"/>
              </w:rPr>
            </w:pPr>
            <w:r>
              <w:rPr>
                <w:rFonts w:hint="eastAsia" w:ascii="宋体"/>
                <w:sz w:val="21"/>
                <w:szCs w:val="21"/>
                <w:lang w:val="en-US" w:eastAsia="zh-CN"/>
              </w:rPr>
              <w:t>0-1</w:t>
            </w:r>
            <w:r>
              <w:rPr>
                <w:rFonts w:hint="eastAsia"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67"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widowControl/>
              <w:spacing w:line="240" w:lineRule="auto"/>
              <w:ind w:left="0" w:leftChars="0" w:firstLine="0" w:firstLineChars="0"/>
              <w:contextualSpacing/>
              <w:jc w:val="both"/>
              <w:rPr>
                <w:rFonts w:ascii="宋体" w:hAnsi="宋体"/>
                <w:sz w:val="21"/>
                <w:szCs w:val="21"/>
                <w:highlight w:val="none"/>
              </w:rPr>
            </w:pPr>
            <w:r>
              <w:rPr>
                <w:rFonts w:hint="eastAsia" w:ascii="宋体" w:hAnsi="宋体"/>
                <w:sz w:val="21"/>
                <w:szCs w:val="21"/>
                <w:highlight w:val="none"/>
              </w:rPr>
              <w:t>3</w:t>
            </w:r>
          </w:p>
        </w:tc>
        <w:tc>
          <w:tcPr>
            <w:tcW w:w="810"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ind w:left="0" w:leftChars="0" w:firstLine="0" w:firstLineChars="0"/>
              <w:jc w:val="left"/>
              <w:textAlignment w:val="center"/>
              <w:rPr>
                <w:rFonts w:ascii="宋体" w:hAnsi="宋体" w:cs="宋体"/>
                <w:sz w:val="21"/>
                <w:szCs w:val="21"/>
                <w:highlight w:val="none"/>
              </w:rPr>
            </w:pPr>
            <w:r>
              <w:rPr>
                <w:rFonts w:ascii="宋体" w:hAnsi="宋体" w:cs="宋体"/>
                <w:sz w:val="21"/>
                <w:szCs w:val="21"/>
                <w:highlight w:val="none"/>
              </w:rPr>
              <w:t>项目负责人</w:t>
            </w:r>
          </w:p>
        </w:tc>
        <w:tc>
          <w:tcPr>
            <w:tcW w:w="7006" w:type="dxa"/>
            <w:tcBorders>
              <w:top w:val="single" w:color="auto" w:sz="4" w:space="0"/>
              <w:left w:val="single" w:color="auto" w:sz="4" w:space="0"/>
              <w:bottom w:val="single" w:color="auto" w:sz="4" w:space="0"/>
              <w:right w:val="single" w:color="auto" w:sz="4" w:space="0"/>
            </w:tcBorders>
            <w:vAlign w:val="center"/>
          </w:tcPr>
          <w:p>
            <w:pPr>
              <w:widowControl/>
              <w:numPr>
                <w:ilvl w:val="0"/>
                <w:numId w:val="0"/>
              </w:numPr>
              <w:autoSpaceDE w:val="0"/>
              <w:autoSpaceDN w:val="0"/>
              <w:adjustRightInd w:val="0"/>
              <w:spacing w:line="240" w:lineRule="auto"/>
              <w:ind w:leftChars="0"/>
              <w:jc w:val="left"/>
              <w:textAlignment w:val="center"/>
              <w:rPr>
                <w:rFonts w:hint="eastAsia" w:ascii="宋体" w:hAnsi="宋体" w:cs="宋体"/>
                <w:sz w:val="21"/>
                <w:szCs w:val="21"/>
                <w:highlight w:val="none"/>
              </w:rPr>
            </w:pPr>
            <w:r>
              <w:rPr>
                <w:rFonts w:hint="eastAsia" w:ascii="宋体" w:hAnsi="宋体" w:cs="宋体"/>
                <w:sz w:val="21"/>
                <w:szCs w:val="21"/>
                <w:highlight w:val="none"/>
                <w:lang w:val="en-US" w:eastAsia="zh-CN"/>
              </w:rPr>
              <w:t>1、</w:t>
            </w:r>
            <w:r>
              <w:rPr>
                <w:rFonts w:hint="eastAsia" w:ascii="宋体" w:hAnsi="宋体" w:cs="宋体"/>
                <w:sz w:val="21"/>
                <w:szCs w:val="21"/>
                <w:highlight w:val="none"/>
              </w:rPr>
              <w:t>具有电子、电气、通信、自动化、计算机、软件、交通工程、</w:t>
            </w:r>
            <w:r>
              <w:rPr>
                <w:rFonts w:hint="eastAsia" w:ascii="宋体" w:hAnsi="宋体" w:cs="宋体"/>
                <w:szCs w:val="21"/>
                <w:highlight w:val="none"/>
              </w:rPr>
              <w:t>土木工程、</w:t>
            </w:r>
            <w:r>
              <w:rPr>
                <w:rFonts w:hint="eastAsia" w:ascii="宋体" w:hAnsi="宋体" w:cs="宋体"/>
                <w:sz w:val="21"/>
                <w:szCs w:val="21"/>
                <w:highlight w:val="none"/>
              </w:rPr>
              <w:t>桥梁工程、岩土工程或信息系统等相关专业本科学历的得1分，相关专业硕士及以上学位的得2分，本项最多得2分；</w:t>
            </w:r>
          </w:p>
          <w:p>
            <w:pPr>
              <w:widowControl/>
              <w:numPr>
                <w:ilvl w:val="0"/>
                <w:numId w:val="0"/>
              </w:numPr>
              <w:autoSpaceDE w:val="0"/>
              <w:autoSpaceDN w:val="0"/>
              <w:adjustRightInd w:val="0"/>
              <w:spacing w:line="240" w:lineRule="auto"/>
              <w:ind w:leftChars="0"/>
              <w:jc w:val="left"/>
              <w:textAlignment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w:t>
            </w:r>
            <w:r>
              <w:rPr>
                <w:rFonts w:hint="eastAsia" w:ascii="宋体" w:hAnsi="宋体" w:cs="宋体"/>
                <w:sz w:val="21"/>
                <w:szCs w:val="21"/>
                <w:highlight w:val="none"/>
              </w:rPr>
              <w:t>具有电子、电气、通信、自动化、计算机、软件、交通工程、</w:t>
            </w:r>
            <w:r>
              <w:rPr>
                <w:rFonts w:hint="eastAsia" w:ascii="宋体" w:hAnsi="宋体" w:cs="宋体"/>
                <w:szCs w:val="21"/>
                <w:highlight w:val="none"/>
              </w:rPr>
              <w:t>土木工程、</w:t>
            </w:r>
            <w:r>
              <w:rPr>
                <w:rFonts w:hint="eastAsia" w:ascii="宋体" w:hAnsi="宋体" w:cs="宋体"/>
                <w:sz w:val="21"/>
                <w:szCs w:val="21"/>
                <w:highlight w:val="none"/>
              </w:rPr>
              <w:t>桥梁工程、岩土工程或信息系统等相关专业中级技术职称得1分，相关专业高</w:t>
            </w:r>
            <w:r>
              <w:rPr>
                <w:rFonts w:hint="eastAsia" w:ascii="宋体" w:hAnsi="宋体" w:cs="宋体"/>
                <w:sz w:val="21"/>
                <w:szCs w:val="21"/>
                <w:highlight w:val="none"/>
                <w:lang w:val="en-US" w:eastAsia="zh-CN"/>
              </w:rPr>
              <w:t>级及以上技术职称的得2分；本项最多得2分。</w:t>
            </w:r>
          </w:p>
          <w:p>
            <w:pPr>
              <w:widowControl/>
              <w:numPr>
                <w:ilvl w:val="0"/>
                <w:numId w:val="0"/>
              </w:numPr>
              <w:autoSpaceDE w:val="0"/>
              <w:autoSpaceDN w:val="0"/>
              <w:adjustRightInd w:val="0"/>
              <w:spacing w:line="240" w:lineRule="auto"/>
              <w:ind w:leftChars="0"/>
              <w:jc w:val="left"/>
              <w:textAlignment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3、具有人力资源和社会保障部颁发的计算机技术与软件专业技术资格（系统集成、信息系统或软件相关专业）中级及以上证书的得2分，没有的不得分，本项最多得2分。</w:t>
            </w:r>
          </w:p>
          <w:p>
            <w:pPr>
              <w:widowControl/>
              <w:autoSpaceDE w:val="0"/>
              <w:autoSpaceDN w:val="0"/>
              <w:adjustRightInd w:val="0"/>
              <w:spacing w:line="240" w:lineRule="auto"/>
              <w:ind w:left="0" w:leftChars="0" w:firstLine="0" w:firstLineChars="0"/>
              <w:jc w:val="left"/>
              <w:textAlignment w:val="center"/>
              <w:rPr>
                <w:rFonts w:ascii="宋体" w:hAnsi="宋体" w:cs="宋体"/>
                <w:sz w:val="21"/>
                <w:szCs w:val="21"/>
                <w:highlight w:val="none"/>
              </w:rPr>
            </w:pPr>
            <w:r>
              <w:rPr>
                <w:rFonts w:hint="eastAsia" w:ascii="宋体" w:hAnsi="宋体" w:cs="宋体"/>
                <w:b/>
                <w:sz w:val="21"/>
                <w:szCs w:val="21"/>
                <w:highlight w:val="none"/>
              </w:rPr>
              <w:t>注：提供相关证书扫描件及近三个月在供应商单位参加社会保险的证明，并提供有效的查询方式。</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firstLine="0" w:firstLineChars="0"/>
              <w:contextualSpacing/>
              <w:rPr>
                <w:rFonts w:hint="default" w:ascii="宋体" w:hAnsi="宋体" w:eastAsia="仿宋_GB2312"/>
                <w:sz w:val="21"/>
                <w:szCs w:val="21"/>
                <w:lang w:val="en-US" w:eastAsia="zh-CN"/>
              </w:rPr>
            </w:pPr>
            <w:r>
              <w:rPr>
                <w:rFonts w:hint="eastAsia" w:ascii="宋体"/>
                <w:sz w:val="21"/>
                <w:szCs w:val="21"/>
                <w:lang w:val="en-US" w:eastAsia="zh-CN"/>
              </w:rPr>
              <w:t>0-6分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6" w:hRule="atLeast"/>
          <w:jc w:val="center"/>
        </w:trPr>
        <w:tc>
          <w:tcPr>
            <w:tcW w:w="8452" w:type="dxa"/>
            <w:gridSpan w:val="3"/>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contextualSpacing/>
              <w:jc w:val="center"/>
              <w:rPr>
                <w:rFonts w:ascii="宋体" w:hAnsi="宋体"/>
                <w:b/>
                <w:bCs/>
                <w:sz w:val="21"/>
                <w:szCs w:val="21"/>
              </w:rPr>
            </w:pPr>
            <w:r>
              <w:rPr>
                <w:rFonts w:ascii="宋体" w:hAnsi="宋体" w:cs="宋体"/>
                <w:b/>
                <w:bCs/>
                <w:spacing w:val="11"/>
                <w:sz w:val="21"/>
                <w:szCs w:val="21"/>
              </w:rPr>
              <w:t>二</w:t>
            </w:r>
            <w:r>
              <w:rPr>
                <w:rFonts w:hint="eastAsia" w:ascii="宋体" w:hAnsi="宋体" w:cs="宋体"/>
                <w:b/>
                <w:bCs/>
                <w:spacing w:val="11"/>
                <w:sz w:val="21"/>
                <w:szCs w:val="21"/>
              </w:rPr>
              <w:t>、技术部分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136" w:rightChars="-65" w:firstLine="0" w:firstLineChars="0"/>
              <w:contextualSpacing/>
              <w:jc w:val="both"/>
              <w:rPr>
                <w:rFonts w:ascii="宋体" w:hAnsi="宋体"/>
                <w:b/>
                <w:sz w:val="21"/>
                <w:szCs w:val="21"/>
              </w:rPr>
            </w:pPr>
            <w:r>
              <w:rPr>
                <w:rFonts w:hint="eastAsia" w:ascii="宋体"/>
                <w:b/>
                <w:color w:val="FF0000"/>
                <w:sz w:val="21"/>
                <w:szCs w:val="21"/>
                <w:lang w:val="en-US" w:eastAsia="zh-CN"/>
              </w:rPr>
              <w:t>78</w:t>
            </w:r>
            <w:r>
              <w:rPr>
                <w:rFonts w:hint="eastAsia" w:ascii="宋体" w:hAnsi="宋体"/>
                <w:b/>
                <w:color w:val="FF0000"/>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63" w:hRule="atLeast"/>
          <w:jc w:val="center"/>
        </w:trPr>
        <w:tc>
          <w:tcPr>
            <w:tcW w:w="636" w:type="dxa"/>
            <w:vMerge w:val="restart"/>
            <w:tcBorders>
              <w:top w:val="single" w:color="auto" w:sz="4" w:space="0"/>
              <w:left w:val="single" w:color="auto" w:sz="4" w:space="0"/>
              <w:right w:val="single" w:color="auto" w:sz="4" w:space="0"/>
            </w:tcBorders>
            <w:vAlign w:val="center"/>
          </w:tcPr>
          <w:p>
            <w:pPr>
              <w:spacing w:line="240" w:lineRule="auto"/>
              <w:ind w:left="0" w:leftChars="0" w:firstLine="0" w:firstLineChars="0"/>
              <w:contextualSpacing/>
              <w:jc w:val="both"/>
              <w:rPr>
                <w:rFonts w:hint="eastAsia" w:ascii="宋体" w:hAnsi="宋体" w:eastAsia="微软雅黑"/>
                <w:sz w:val="21"/>
                <w:szCs w:val="21"/>
                <w:lang w:eastAsia="zh-CN"/>
              </w:rPr>
            </w:pPr>
            <w:r>
              <w:rPr>
                <w:rFonts w:hint="eastAsia" w:ascii="宋体" w:hAnsi="宋体"/>
                <w:sz w:val="21"/>
                <w:szCs w:val="21"/>
                <w:lang w:val="en-US" w:eastAsia="zh-CN"/>
              </w:rPr>
              <w:t>4</w:t>
            </w:r>
          </w:p>
        </w:tc>
        <w:tc>
          <w:tcPr>
            <w:tcW w:w="810" w:type="dxa"/>
            <w:vMerge w:val="restart"/>
            <w:tcBorders>
              <w:top w:val="single" w:color="auto" w:sz="4" w:space="0"/>
              <w:left w:val="single" w:color="auto" w:sz="4" w:space="0"/>
              <w:right w:val="single" w:color="auto" w:sz="4" w:space="0"/>
            </w:tcBorders>
            <w:vAlign w:val="center"/>
          </w:tcPr>
          <w:p>
            <w:pPr>
              <w:autoSpaceDE w:val="0"/>
              <w:autoSpaceDN w:val="0"/>
              <w:adjustRightInd w:val="0"/>
              <w:spacing w:line="240" w:lineRule="auto"/>
              <w:ind w:left="0" w:leftChars="0" w:firstLine="0" w:firstLineChars="0"/>
              <w:jc w:val="both"/>
              <w:rPr>
                <w:rFonts w:ascii="宋体" w:hAnsi="宋体" w:cs="宋体"/>
                <w:sz w:val="21"/>
                <w:szCs w:val="21"/>
              </w:rPr>
            </w:pPr>
            <w:r>
              <w:rPr>
                <w:rFonts w:hint="eastAsia" w:ascii="宋体" w:hAnsi="宋体" w:cs="宋体"/>
                <w:sz w:val="21"/>
                <w:szCs w:val="21"/>
              </w:rPr>
              <w:t>项目总体方案</w:t>
            </w:r>
          </w:p>
        </w:tc>
        <w:tc>
          <w:tcPr>
            <w:tcW w:w="7006" w:type="dxa"/>
            <w:tcBorders>
              <w:top w:val="single" w:color="auto" w:sz="4" w:space="0"/>
              <w:left w:val="single" w:color="auto" w:sz="4" w:space="0"/>
              <w:bottom w:val="single" w:color="auto" w:sz="4" w:space="0"/>
              <w:right w:val="single" w:color="auto" w:sz="4" w:space="0"/>
            </w:tcBorders>
            <w:vAlign w:val="top"/>
          </w:tcPr>
          <w:p>
            <w:pPr>
              <w:spacing w:line="240" w:lineRule="auto"/>
              <w:ind w:left="0" w:leftChars="0" w:firstLine="210" w:firstLineChars="100"/>
              <w:contextualSpacing/>
              <w:rPr>
                <w:rFonts w:ascii="宋体" w:hAnsi="宋体" w:cs="宋体"/>
                <w:sz w:val="21"/>
                <w:szCs w:val="21"/>
              </w:rPr>
            </w:pPr>
            <w:r>
              <w:rPr>
                <w:rFonts w:hint="eastAsia" w:ascii="宋体" w:hAnsi="宋体" w:cs="宋体"/>
                <w:sz w:val="21"/>
                <w:szCs w:val="21"/>
              </w:rPr>
              <w:t>1、项目理解：根据供应商对项目现状分析、需求分析和重点难点分析进行评审，熟悉该项目建设现状，对采购人需求、项目重点、难点的把握准确到位，提供合理并切实可行的建设方案，现状分析到位，需求分析详细、项目重点难点把握准确，建设方案合理可行，能够充分满足省市农村公路数字化改革总体要求和工作部署要求的得</w:t>
            </w:r>
            <w:r>
              <w:rPr>
                <w:rFonts w:ascii="宋体" w:hAnsi="宋体" w:cs="宋体"/>
                <w:szCs w:val="21"/>
              </w:rPr>
              <w:t>7</w:t>
            </w:r>
            <w:r>
              <w:rPr>
                <w:rFonts w:hint="eastAsia" w:ascii="宋体" w:hAnsi="宋体" w:cs="宋体"/>
                <w:szCs w:val="21"/>
              </w:rPr>
              <w:t>-</w:t>
            </w:r>
            <w:r>
              <w:rPr>
                <w:rFonts w:ascii="宋体" w:hAnsi="宋体" w:cs="宋体"/>
                <w:szCs w:val="21"/>
              </w:rPr>
              <w:t>10</w:t>
            </w:r>
            <w:r>
              <w:rPr>
                <w:rFonts w:hint="eastAsia" w:ascii="宋体" w:hAnsi="宋体" w:cs="宋体"/>
                <w:szCs w:val="21"/>
              </w:rPr>
              <w:t>分；对项目需求把握理解</w:t>
            </w:r>
            <w:r>
              <w:rPr>
                <w:rFonts w:hint="eastAsia" w:ascii="宋体" w:hAnsi="宋体" w:cs="宋体"/>
                <w:szCs w:val="21"/>
                <w:lang w:val="en-US" w:eastAsia="zh-CN"/>
              </w:rPr>
              <w:t>及</w:t>
            </w:r>
            <w:r>
              <w:rPr>
                <w:rFonts w:hint="eastAsia" w:ascii="宋体" w:hAnsi="宋体" w:cs="宋体"/>
                <w:szCs w:val="21"/>
              </w:rPr>
              <w:t>建设方案一般的得</w:t>
            </w:r>
            <w:r>
              <w:rPr>
                <w:rFonts w:ascii="宋体" w:hAnsi="宋体" w:cs="宋体"/>
                <w:szCs w:val="21"/>
              </w:rPr>
              <w:t>5</w:t>
            </w:r>
            <w:r>
              <w:rPr>
                <w:rFonts w:hint="eastAsia" w:ascii="宋体" w:hAnsi="宋体" w:cs="宋体"/>
                <w:szCs w:val="21"/>
              </w:rPr>
              <w:t>-</w:t>
            </w:r>
            <w:r>
              <w:rPr>
                <w:rFonts w:ascii="宋体" w:hAnsi="宋体" w:cs="宋体"/>
                <w:szCs w:val="21"/>
              </w:rPr>
              <w:t>7</w:t>
            </w:r>
            <w:r>
              <w:rPr>
                <w:rFonts w:hint="eastAsia" w:ascii="宋体" w:hAnsi="宋体" w:cs="宋体"/>
                <w:szCs w:val="21"/>
              </w:rPr>
              <w:t>分；对项目需求把握理解</w:t>
            </w:r>
            <w:r>
              <w:rPr>
                <w:rFonts w:hint="eastAsia" w:ascii="宋体" w:hAnsi="宋体" w:cs="宋体"/>
                <w:szCs w:val="21"/>
                <w:lang w:val="en-US" w:eastAsia="zh-CN"/>
              </w:rPr>
              <w:t>及建设</w:t>
            </w:r>
            <w:r>
              <w:rPr>
                <w:rFonts w:hint="eastAsia" w:ascii="宋体" w:hAnsi="宋体" w:cs="宋体"/>
                <w:szCs w:val="21"/>
              </w:rPr>
              <w:t>方案有缺失的得</w:t>
            </w:r>
            <w:r>
              <w:rPr>
                <w:rFonts w:ascii="宋体" w:hAnsi="宋体" w:cs="宋体"/>
                <w:szCs w:val="21"/>
              </w:rPr>
              <w:t>3</w:t>
            </w:r>
            <w:r>
              <w:rPr>
                <w:rFonts w:hint="eastAsia" w:ascii="宋体" w:hAnsi="宋体" w:cs="宋体"/>
                <w:szCs w:val="21"/>
              </w:rPr>
              <w:t>-</w:t>
            </w:r>
            <w:r>
              <w:rPr>
                <w:rFonts w:ascii="宋体" w:hAnsi="宋体" w:cs="宋体"/>
                <w:szCs w:val="21"/>
              </w:rPr>
              <w:t>5</w:t>
            </w:r>
            <w:r>
              <w:rPr>
                <w:rFonts w:hint="eastAsia" w:ascii="宋体" w:hAnsi="宋体" w:cs="宋体"/>
                <w:szCs w:val="21"/>
              </w:rPr>
              <w:t>分；不提供的不得分。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hint="default" w:ascii="宋体" w:hAnsi="宋体" w:eastAsia="仿宋_GB2312"/>
                <w:sz w:val="21"/>
                <w:szCs w:val="21"/>
                <w:lang w:val="en-US" w:eastAsia="zh-CN"/>
              </w:rPr>
            </w:pPr>
            <w:r>
              <w:rPr>
                <w:rFonts w:hint="eastAsia" w:ascii="宋体"/>
                <w:sz w:val="21"/>
                <w:szCs w:val="21"/>
                <w:lang w:val="en-US" w:eastAsia="zh-CN"/>
              </w:rPr>
              <w:t>0-10分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2" w:hRule="atLeast"/>
          <w:jc w:val="center"/>
        </w:trPr>
        <w:tc>
          <w:tcPr>
            <w:tcW w:w="636" w:type="dxa"/>
            <w:vMerge w:val="continue"/>
            <w:tcBorders>
              <w:left w:val="single" w:color="auto" w:sz="4" w:space="0"/>
              <w:right w:val="single" w:color="auto" w:sz="4" w:space="0"/>
            </w:tcBorders>
            <w:vAlign w:val="center"/>
          </w:tcPr>
          <w:p>
            <w:pPr>
              <w:spacing w:line="240" w:lineRule="auto"/>
              <w:ind w:left="0" w:leftChars="0" w:firstLine="0" w:firstLineChars="0"/>
              <w:contextualSpacing/>
              <w:jc w:val="both"/>
              <w:rPr>
                <w:rFonts w:hint="eastAsia" w:ascii="宋体" w:hAnsi="宋体"/>
                <w:sz w:val="21"/>
                <w:szCs w:val="21"/>
                <w:lang w:val="en-US" w:eastAsia="zh-CN"/>
              </w:rPr>
            </w:pPr>
          </w:p>
        </w:tc>
        <w:tc>
          <w:tcPr>
            <w:tcW w:w="810" w:type="dxa"/>
            <w:vMerge w:val="continue"/>
            <w:tcBorders>
              <w:left w:val="single" w:color="auto" w:sz="4" w:space="0"/>
              <w:right w:val="single" w:color="auto" w:sz="4" w:space="0"/>
            </w:tcBorders>
            <w:vAlign w:val="center"/>
          </w:tcPr>
          <w:p>
            <w:pPr>
              <w:autoSpaceDE w:val="0"/>
              <w:autoSpaceDN w:val="0"/>
              <w:adjustRightInd w:val="0"/>
              <w:spacing w:line="240" w:lineRule="auto"/>
              <w:ind w:left="0" w:leftChars="0" w:firstLine="0" w:firstLineChars="0"/>
              <w:jc w:val="both"/>
              <w:rPr>
                <w:rFonts w:hint="eastAsia" w:ascii="宋体" w:hAnsi="宋体" w:cs="宋体"/>
                <w:sz w:val="21"/>
                <w:szCs w:val="21"/>
              </w:rPr>
            </w:pPr>
          </w:p>
        </w:tc>
        <w:tc>
          <w:tcPr>
            <w:tcW w:w="7006" w:type="dxa"/>
            <w:tcBorders>
              <w:top w:val="single" w:color="auto" w:sz="4" w:space="0"/>
              <w:left w:val="single" w:color="auto" w:sz="4" w:space="0"/>
              <w:bottom w:val="single" w:color="auto" w:sz="4" w:space="0"/>
              <w:right w:val="single" w:color="auto" w:sz="4" w:space="0"/>
            </w:tcBorders>
            <w:vAlign w:val="top"/>
          </w:tcPr>
          <w:p>
            <w:pPr>
              <w:spacing w:line="240" w:lineRule="auto"/>
              <w:ind w:left="0" w:leftChars="0" w:firstLine="210" w:firstLineChars="100"/>
              <w:contextualSpacing/>
              <w:rPr>
                <w:rFonts w:hint="default" w:ascii="宋体" w:hAnsi="宋体" w:eastAsia="微软雅黑" w:cs="宋体"/>
                <w:sz w:val="21"/>
                <w:szCs w:val="21"/>
                <w:lang w:val="en-US" w:eastAsia="zh-CN"/>
              </w:rPr>
            </w:pPr>
            <w:r>
              <w:rPr>
                <w:rFonts w:hint="eastAsia" w:ascii="宋体" w:hAnsi="宋体" w:cs="宋体"/>
                <w:sz w:val="21"/>
                <w:szCs w:val="21"/>
              </w:rPr>
              <w:t>2、架构设计：根据供应商提供的项目总体设计方案，系统业务流程、总体架构设计思路、应用功能模块和实现的技术路线。方案科学合理、内容完备、系统架构充分考虑和省交通厅“浙路智富”系统集成贯通的得</w:t>
            </w:r>
            <w:r>
              <w:rPr>
                <w:rFonts w:ascii="宋体" w:hAnsi="宋体" w:cs="宋体"/>
                <w:szCs w:val="21"/>
              </w:rPr>
              <w:t>7</w:t>
            </w:r>
            <w:r>
              <w:rPr>
                <w:rFonts w:hint="eastAsia" w:ascii="宋体" w:hAnsi="宋体" w:cs="宋体"/>
                <w:szCs w:val="21"/>
              </w:rPr>
              <w:t>-</w:t>
            </w:r>
            <w:r>
              <w:rPr>
                <w:rFonts w:ascii="宋体" w:hAnsi="宋体" w:cs="宋体"/>
                <w:szCs w:val="21"/>
              </w:rPr>
              <w:t>10</w:t>
            </w:r>
            <w:r>
              <w:rPr>
                <w:rFonts w:hint="eastAsia" w:ascii="宋体" w:hAnsi="宋体" w:cs="宋体"/>
                <w:szCs w:val="21"/>
              </w:rPr>
              <w:t>分；对项目需求把握理解</w:t>
            </w:r>
            <w:r>
              <w:rPr>
                <w:rFonts w:hint="eastAsia" w:ascii="宋体" w:hAnsi="宋体" w:cs="宋体"/>
                <w:szCs w:val="21"/>
                <w:lang w:val="en-US" w:eastAsia="zh-CN"/>
              </w:rPr>
              <w:t>及</w:t>
            </w:r>
            <w:r>
              <w:rPr>
                <w:rFonts w:hint="eastAsia" w:ascii="宋体" w:hAnsi="宋体" w:cs="宋体"/>
                <w:szCs w:val="21"/>
              </w:rPr>
              <w:t>建设方案一般的得</w:t>
            </w:r>
            <w:r>
              <w:rPr>
                <w:rFonts w:ascii="宋体" w:hAnsi="宋体" w:cs="宋体"/>
                <w:szCs w:val="21"/>
              </w:rPr>
              <w:t>5</w:t>
            </w:r>
            <w:r>
              <w:rPr>
                <w:rFonts w:hint="eastAsia" w:ascii="宋体" w:hAnsi="宋体" w:cs="宋体"/>
                <w:szCs w:val="21"/>
              </w:rPr>
              <w:t>-</w:t>
            </w:r>
            <w:r>
              <w:rPr>
                <w:rFonts w:ascii="宋体" w:hAnsi="宋体" w:cs="宋体"/>
                <w:szCs w:val="21"/>
              </w:rPr>
              <w:t>7</w:t>
            </w:r>
            <w:r>
              <w:rPr>
                <w:rFonts w:hint="eastAsia" w:ascii="宋体" w:hAnsi="宋体" w:cs="宋体"/>
                <w:szCs w:val="21"/>
              </w:rPr>
              <w:t>分；对项目需求把握理解、建设方案有缺失的得</w:t>
            </w:r>
            <w:r>
              <w:rPr>
                <w:rFonts w:ascii="宋体" w:hAnsi="宋体" w:cs="宋体"/>
                <w:szCs w:val="21"/>
              </w:rPr>
              <w:t>3</w:t>
            </w:r>
            <w:r>
              <w:rPr>
                <w:rFonts w:hint="eastAsia" w:ascii="宋体" w:hAnsi="宋体" w:cs="宋体"/>
                <w:szCs w:val="21"/>
              </w:rPr>
              <w:t>-</w:t>
            </w:r>
            <w:r>
              <w:rPr>
                <w:rFonts w:ascii="宋体" w:hAnsi="宋体" w:cs="宋体"/>
                <w:szCs w:val="21"/>
              </w:rPr>
              <w:t>5</w:t>
            </w:r>
            <w:r>
              <w:rPr>
                <w:rFonts w:hint="eastAsia" w:ascii="宋体" w:hAnsi="宋体" w:cs="宋体"/>
                <w:szCs w:val="21"/>
              </w:rPr>
              <w:t>分；不提供的不得分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hint="eastAsia" w:ascii="宋体" w:hAnsi="宋体"/>
                <w:sz w:val="21"/>
                <w:szCs w:val="21"/>
              </w:rPr>
            </w:pPr>
            <w:r>
              <w:rPr>
                <w:rFonts w:hint="eastAsia" w:ascii="宋体" w:hAnsi="宋体" w:cs="宋体"/>
                <w:sz w:val="21"/>
                <w:szCs w:val="21"/>
                <w:lang w:val="en-US" w:eastAsia="zh-CN"/>
              </w:rPr>
              <w:t>0-</w:t>
            </w:r>
            <w:r>
              <w:rPr>
                <w:rFonts w:hint="eastAsia" w:ascii="宋体"/>
                <w:sz w:val="21"/>
                <w:szCs w:val="21"/>
                <w:lang w:val="en-US" w:eastAsia="zh-CN"/>
              </w:rPr>
              <w:t>10分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2" w:hRule="atLeast"/>
          <w:jc w:val="center"/>
        </w:trPr>
        <w:tc>
          <w:tcPr>
            <w:tcW w:w="636" w:type="dxa"/>
            <w:vMerge w:val="continue"/>
            <w:tcBorders>
              <w:left w:val="single" w:color="auto" w:sz="4" w:space="0"/>
              <w:bottom w:val="single" w:color="auto" w:sz="4" w:space="0"/>
              <w:right w:val="single" w:color="auto" w:sz="4" w:space="0"/>
            </w:tcBorders>
            <w:vAlign w:val="center"/>
          </w:tcPr>
          <w:p>
            <w:pPr>
              <w:spacing w:line="240" w:lineRule="auto"/>
              <w:ind w:left="0" w:leftChars="0" w:firstLine="0" w:firstLineChars="0"/>
              <w:contextualSpacing/>
              <w:jc w:val="both"/>
              <w:rPr>
                <w:rFonts w:hint="eastAsia" w:ascii="宋体" w:hAnsi="宋体"/>
                <w:sz w:val="21"/>
                <w:szCs w:val="21"/>
                <w:lang w:val="en-US" w:eastAsia="zh-CN"/>
              </w:rPr>
            </w:pPr>
          </w:p>
        </w:tc>
        <w:tc>
          <w:tcPr>
            <w:tcW w:w="810" w:type="dxa"/>
            <w:vMerge w:val="continue"/>
            <w:tcBorders>
              <w:left w:val="single" w:color="auto" w:sz="4" w:space="0"/>
              <w:bottom w:val="single" w:color="auto" w:sz="4" w:space="0"/>
              <w:right w:val="single" w:color="auto" w:sz="4" w:space="0"/>
            </w:tcBorders>
            <w:vAlign w:val="center"/>
          </w:tcPr>
          <w:p>
            <w:pPr>
              <w:autoSpaceDE w:val="0"/>
              <w:autoSpaceDN w:val="0"/>
              <w:adjustRightInd w:val="0"/>
              <w:spacing w:line="240" w:lineRule="auto"/>
              <w:ind w:left="0" w:leftChars="0" w:firstLine="0" w:firstLineChars="0"/>
              <w:jc w:val="both"/>
              <w:rPr>
                <w:rFonts w:hint="eastAsia" w:ascii="宋体" w:hAnsi="宋体" w:cs="宋体"/>
                <w:sz w:val="21"/>
                <w:szCs w:val="21"/>
              </w:rPr>
            </w:pPr>
          </w:p>
        </w:tc>
        <w:tc>
          <w:tcPr>
            <w:tcW w:w="7006" w:type="dxa"/>
            <w:tcBorders>
              <w:top w:val="single" w:color="auto" w:sz="4" w:space="0"/>
              <w:left w:val="single" w:color="auto" w:sz="4" w:space="0"/>
              <w:bottom w:val="single" w:color="auto" w:sz="4" w:space="0"/>
              <w:right w:val="single" w:color="auto" w:sz="4" w:space="0"/>
            </w:tcBorders>
            <w:vAlign w:val="top"/>
          </w:tcPr>
          <w:p>
            <w:pPr>
              <w:spacing w:line="240" w:lineRule="auto"/>
              <w:ind w:left="0" w:leftChars="0" w:firstLine="210" w:firstLineChars="100"/>
              <w:contextualSpacing/>
              <w:rPr>
                <w:rFonts w:hint="eastAsia" w:ascii="宋体" w:hAnsi="宋体" w:cs="宋体"/>
                <w:sz w:val="21"/>
                <w:szCs w:val="21"/>
              </w:rPr>
            </w:pPr>
            <w:r>
              <w:rPr>
                <w:rFonts w:hint="eastAsia" w:ascii="宋体" w:hAnsi="宋体" w:cs="宋体"/>
                <w:sz w:val="21"/>
                <w:szCs w:val="21"/>
              </w:rPr>
              <w:t>3、对接方案：根据供应商针对本项目与省交通厅“浙路智富”系统集成用户认证、权限体系、消息待办和督察督办体系，贯通业务数据的解决方案，方案完善、具备可操作性的得</w:t>
            </w:r>
            <w:r>
              <w:rPr>
                <w:rFonts w:ascii="宋体" w:hAnsi="宋体" w:cs="宋体"/>
                <w:szCs w:val="21"/>
              </w:rPr>
              <w:t>7</w:t>
            </w:r>
            <w:r>
              <w:rPr>
                <w:rFonts w:hint="eastAsia" w:ascii="宋体" w:hAnsi="宋体" w:cs="宋体"/>
                <w:szCs w:val="21"/>
              </w:rPr>
              <w:t>-</w:t>
            </w:r>
            <w:r>
              <w:rPr>
                <w:rFonts w:ascii="宋体" w:hAnsi="宋体" w:cs="宋体"/>
                <w:szCs w:val="21"/>
              </w:rPr>
              <w:t>10</w:t>
            </w:r>
            <w:r>
              <w:rPr>
                <w:rFonts w:hint="eastAsia" w:ascii="宋体" w:hAnsi="宋体" w:cs="宋体"/>
                <w:szCs w:val="21"/>
              </w:rPr>
              <w:t>分；对项目需求把握理解</w:t>
            </w:r>
            <w:r>
              <w:rPr>
                <w:rFonts w:hint="eastAsia" w:ascii="宋体" w:hAnsi="宋体" w:cs="宋体"/>
                <w:szCs w:val="21"/>
                <w:lang w:val="en-US" w:eastAsia="zh-CN"/>
              </w:rPr>
              <w:t>及</w:t>
            </w:r>
            <w:r>
              <w:rPr>
                <w:rFonts w:hint="eastAsia" w:ascii="宋体" w:hAnsi="宋体" w:cs="宋体"/>
                <w:szCs w:val="21"/>
              </w:rPr>
              <w:t>建设方案一般的得</w:t>
            </w:r>
            <w:r>
              <w:rPr>
                <w:rFonts w:ascii="宋体" w:hAnsi="宋体" w:cs="宋体"/>
                <w:szCs w:val="21"/>
              </w:rPr>
              <w:t>5</w:t>
            </w:r>
            <w:r>
              <w:rPr>
                <w:rFonts w:hint="eastAsia" w:ascii="宋体" w:hAnsi="宋体" w:cs="宋体"/>
                <w:szCs w:val="21"/>
              </w:rPr>
              <w:t>-</w:t>
            </w:r>
            <w:r>
              <w:rPr>
                <w:rFonts w:ascii="宋体" w:hAnsi="宋体" w:cs="宋体"/>
                <w:szCs w:val="21"/>
              </w:rPr>
              <w:t>7</w:t>
            </w:r>
            <w:r>
              <w:rPr>
                <w:rFonts w:hint="eastAsia" w:ascii="宋体" w:hAnsi="宋体" w:cs="宋体"/>
                <w:szCs w:val="21"/>
              </w:rPr>
              <w:t>分；对项目需求把握理解</w:t>
            </w:r>
            <w:r>
              <w:rPr>
                <w:rFonts w:hint="eastAsia" w:ascii="宋体" w:hAnsi="宋体" w:cs="宋体"/>
                <w:szCs w:val="21"/>
                <w:lang w:val="en-US" w:eastAsia="zh-CN"/>
              </w:rPr>
              <w:t>及</w:t>
            </w:r>
            <w:r>
              <w:rPr>
                <w:rFonts w:hint="eastAsia" w:ascii="宋体" w:hAnsi="宋体" w:cs="宋体"/>
                <w:szCs w:val="21"/>
              </w:rPr>
              <w:t>建设方案有缺失的得</w:t>
            </w:r>
            <w:r>
              <w:rPr>
                <w:rFonts w:ascii="宋体" w:hAnsi="宋体" w:cs="宋体"/>
                <w:szCs w:val="21"/>
              </w:rPr>
              <w:t>3</w:t>
            </w:r>
            <w:r>
              <w:rPr>
                <w:rFonts w:hint="eastAsia" w:ascii="宋体" w:hAnsi="宋体" w:cs="宋体"/>
                <w:szCs w:val="21"/>
              </w:rPr>
              <w:t>-</w:t>
            </w:r>
            <w:r>
              <w:rPr>
                <w:rFonts w:ascii="宋体" w:hAnsi="宋体" w:cs="宋体"/>
                <w:szCs w:val="21"/>
              </w:rPr>
              <w:t>5</w:t>
            </w:r>
            <w:r>
              <w:rPr>
                <w:rFonts w:hint="eastAsia" w:ascii="宋体" w:hAnsi="宋体" w:cs="宋体"/>
                <w:szCs w:val="21"/>
              </w:rPr>
              <w:t>分；不提供的不得分。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hint="eastAsia" w:ascii="宋体" w:hAnsi="宋体"/>
                <w:sz w:val="21"/>
                <w:szCs w:val="21"/>
              </w:rPr>
            </w:pPr>
            <w:r>
              <w:rPr>
                <w:rFonts w:hint="eastAsia" w:ascii="宋体"/>
                <w:sz w:val="21"/>
                <w:szCs w:val="21"/>
                <w:lang w:val="en-US" w:eastAsia="zh-CN"/>
              </w:rPr>
              <w:t>0-10分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10"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240" w:lineRule="auto"/>
              <w:ind w:left="0" w:leftChars="0" w:firstLine="0" w:firstLineChars="0"/>
              <w:contextualSpacing/>
              <w:jc w:val="both"/>
              <w:rPr>
                <w:rFonts w:hint="eastAsia" w:ascii="宋体" w:hAnsi="宋体" w:eastAsia="微软雅黑"/>
                <w:sz w:val="21"/>
                <w:szCs w:val="21"/>
                <w:lang w:val="en-US" w:eastAsia="zh-CN"/>
              </w:rPr>
            </w:pPr>
            <w:r>
              <w:rPr>
                <w:rFonts w:hint="eastAsia" w:ascii="宋体" w:hAnsi="宋体"/>
                <w:sz w:val="21"/>
                <w:szCs w:val="21"/>
                <w:lang w:val="en-US" w:eastAsia="zh-CN"/>
              </w:rPr>
              <w:t>5</w:t>
            </w:r>
          </w:p>
        </w:tc>
        <w:tc>
          <w:tcPr>
            <w:tcW w:w="81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left="0" w:leftChars="0" w:firstLine="0" w:firstLineChars="0"/>
              <w:jc w:val="both"/>
              <w:rPr>
                <w:rFonts w:ascii="宋体" w:hAnsi="宋体" w:cs="宋体"/>
                <w:sz w:val="21"/>
                <w:szCs w:val="21"/>
              </w:rPr>
            </w:pPr>
            <w:r>
              <w:rPr>
                <w:rFonts w:hint="eastAsia" w:ascii="宋体" w:hAnsi="宋体" w:cs="宋体"/>
                <w:sz w:val="21"/>
                <w:szCs w:val="21"/>
              </w:rPr>
              <w:t>实施方案</w:t>
            </w:r>
          </w:p>
        </w:tc>
        <w:tc>
          <w:tcPr>
            <w:tcW w:w="7006"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ind w:left="0" w:leftChars="0" w:firstLine="210" w:firstLineChars="100"/>
              <w:jc w:val="left"/>
              <w:textAlignment w:val="center"/>
              <w:rPr>
                <w:rFonts w:ascii="宋体" w:hAnsi="宋体" w:cs="宋体"/>
                <w:sz w:val="21"/>
                <w:szCs w:val="21"/>
              </w:rPr>
            </w:pPr>
            <w:r>
              <w:rPr>
                <w:rFonts w:hint="eastAsia" w:ascii="宋体" w:hAnsi="宋体" w:cs="宋体"/>
                <w:sz w:val="21"/>
                <w:szCs w:val="21"/>
              </w:rPr>
              <w:t>根据供应商提供的项目实施方案，具有项目组织管理、进度管理、项目质量保障措施、项目验收方案等内容完整，可操作性强。方案完整、科学合理且符合项目实际需求的得</w:t>
            </w:r>
            <w:r>
              <w:rPr>
                <w:rFonts w:hint="eastAsia" w:ascii="宋体" w:hAnsi="宋体" w:cs="宋体"/>
                <w:sz w:val="21"/>
                <w:szCs w:val="21"/>
                <w:lang w:val="en-US" w:eastAsia="zh-CN"/>
              </w:rPr>
              <w:t>7-10</w:t>
            </w:r>
            <w:r>
              <w:rPr>
                <w:rFonts w:hint="eastAsia" w:ascii="宋体" w:hAnsi="宋体" w:cs="宋体"/>
                <w:sz w:val="21"/>
                <w:szCs w:val="21"/>
              </w:rPr>
              <w:t>分；方案一般的得</w:t>
            </w:r>
            <w:r>
              <w:rPr>
                <w:rFonts w:hint="eastAsia" w:ascii="宋体" w:hAnsi="宋体" w:cs="宋体"/>
                <w:sz w:val="21"/>
                <w:szCs w:val="21"/>
                <w:lang w:val="en-US" w:eastAsia="zh-CN"/>
              </w:rPr>
              <w:t>5-7</w:t>
            </w:r>
            <w:r>
              <w:rPr>
                <w:rFonts w:hint="eastAsia" w:ascii="宋体" w:hAnsi="宋体" w:cs="宋体"/>
                <w:sz w:val="21"/>
                <w:szCs w:val="21"/>
              </w:rPr>
              <w:t>分；方案有缺失的得</w:t>
            </w:r>
            <w:r>
              <w:rPr>
                <w:rFonts w:hint="eastAsia" w:ascii="宋体" w:hAnsi="宋体" w:cs="宋体"/>
                <w:sz w:val="21"/>
                <w:szCs w:val="21"/>
                <w:lang w:val="en-US" w:eastAsia="zh-CN"/>
              </w:rPr>
              <w:t>3-5</w:t>
            </w:r>
            <w:r>
              <w:rPr>
                <w:rFonts w:hint="eastAsia" w:ascii="宋体" w:hAnsi="宋体" w:cs="宋体"/>
                <w:sz w:val="21"/>
                <w:szCs w:val="21"/>
              </w:rPr>
              <w:t>分；不提供不得分。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ascii="宋体" w:hAnsi="宋体"/>
                <w:sz w:val="21"/>
                <w:szCs w:val="21"/>
              </w:rPr>
            </w:pPr>
            <w:r>
              <w:rPr>
                <w:rFonts w:hint="eastAsia" w:ascii="宋体"/>
                <w:sz w:val="21"/>
                <w:szCs w:val="21"/>
                <w:lang w:val="en-US" w:eastAsia="zh-CN"/>
              </w:rPr>
              <w:t>0-7</w:t>
            </w:r>
            <w:r>
              <w:rPr>
                <w:rFonts w:hint="eastAsia"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2"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240" w:lineRule="auto"/>
              <w:ind w:left="0" w:leftChars="0" w:firstLine="0" w:firstLineChars="0"/>
              <w:contextualSpacing/>
              <w:jc w:val="both"/>
              <w:rPr>
                <w:rFonts w:hint="eastAsia" w:ascii="宋体" w:hAnsi="宋体" w:eastAsia="微软雅黑"/>
                <w:sz w:val="21"/>
                <w:szCs w:val="21"/>
                <w:lang w:val="en-US" w:eastAsia="zh-CN"/>
              </w:rPr>
            </w:pPr>
            <w:r>
              <w:rPr>
                <w:rFonts w:hint="eastAsia" w:ascii="宋体" w:hAnsi="宋体"/>
                <w:sz w:val="21"/>
                <w:szCs w:val="21"/>
                <w:lang w:val="en-US" w:eastAsia="zh-CN"/>
              </w:rPr>
              <w:t>6</w:t>
            </w:r>
          </w:p>
        </w:tc>
        <w:tc>
          <w:tcPr>
            <w:tcW w:w="81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left="0" w:leftChars="0" w:firstLine="0" w:firstLineChars="0"/>
              <w:jc w:val="both"/>
              <w:rPr>
                <w:rFonts w:ascii="宋体" w:hAnsi="宋体" w:cs="宋体"/>
                <w:sz w:val="21"/>
                <w:szCs w:val="21"/>
              </w:rPr>
            </w:pPr>
            <w:r>
              <w:rPr>
                <w:rFonts w:hint="eastAsia" w:ascii="宋体" w:hAnsi="宋体" w:cs="宋体"/>
                <w:sz w:val="21"/>
                <w:szCs w:val="21"/>
              </w:rPr>
              <w:t>技术响应</w:t>
            </w:r>
          </w:p>
        </w:tc>
        <w:tc>
          <w:tcPr>
            <w:tcW w:w="7006" w:type="dxa"/>
            <w:tcBorders>
              <w:top w:val="single" w:color="auto" w:sz="4" w:space="0"/>
              <w:left w:val="single" w:color="auto" w:sz="4" w:space="0"/>
              <w:bottom w:val="single" w:color="auto" w:sz="4" w:space="0"/>
              <w:right w:val="single" w:color="auto" w:sz="4" w:space="0"/>
            </w:tcBorders>
          </w:tcPr>
          <w:p>
            <w:pPr>
              <w:spacing w:line="240" w:lineRule="auto"/>
              <w:ind w:left="0" w:leftChars="0" w:firstLine="210" w:firstLineChars="100"/>
              <w:contextualSpacing/>
              <w:rPr>
                <w:rFonts w:ascii="宋体" w:hAnsi="宋体" w:cs="宋体"/>
                <w:sz w:val="21"/>
                <w:szCs w:val="21"/>
              </w:rPr>
            </w:pPr>
            <w:r>
              <w:rPr>
                <w:rFonts w:hint="eastAsia" w:ascii="宋体" w:hAnsi="宋体" w:cs="宋体"/>
                <w:sz w:val="21"/>
                <w:szCs w:val="21"/>
              </w:rPr>
              <w:t>根据对项目需求的理解，要求供应商提供详细的功能设计（具体对应招标需求）：</w:t>
            </w:r>
          </w:p>
          <w:p>
            <w:pPr>
              <w:spacing w:line="240" w:lineRule="auto"/>
              <w:ind w:left="0" w:leftChars="0" w:firstLine="210" w:firstLineChars="100"/>
              <w:contextualSpacing/>
              <w:rPr>
                <w:rFonts w:ascii="宋体" w:hAnsi="宋体" w:cs="宋体"/>
                <w:sz w:val="21"/>
                <w:szCs w:val="21"/>
              </w:rPr>
            </w:pPr>
            <w:r>
              <w:rPr>
                <w:rFonts w:hint="eastAsia" w:ascii="宋体" w:hAnsi="宋体" w:cs="宋体"/>
                <w:sz w:val="21"/>
                <w:szCs w:val="21"/>
              </w:rPr>
              <w:t>全部响应</w:t>
            </w:r>
            <w:r>
              <w:rPr>
                <w:rFonts w:hint="eastAsia" w:ascii="宋体" w:hAnsi="宋体" w:cs="宋体"/>
                <w:sz w:val="21"/>
                <w:szCs w:val="21"/>
                <w:lang w:val="en-US" w:eastAsia="zh-CN"/>
              </w:rPr>
              <w:t>采购</w:t>
            </w:r>
            <w:r>
              <w:rPr>
                <w:rFonts w:hint="eastAsia" w:ascii="宋体" w:hAnsi="宋体" w:cs="宋体"/>
                <w:sz w:val="21"/>
                <w:szCs w:val="21"/>
              </w:rPr>
              <w:t>文件功</w:t>
            </w:r>
            <w:r>
              <w:rPr>
                <w:rFonts w:hint="eastAsia" w:ascii="宋体" w:hAnsi="宋体" w:cs="宋体"/>
                <w:sz w:val="21"/>
                <w:szCs w:val="21"/>
                <w:highlight w:val="none"/>
              </w:rPr>
              <w:t>能模块设计要求并提供详细方案（包括功能原型或功能界面）的得</w:t>
            </w:r>
            <w:r>
              <w:rPr>
                <w:rFonts w:hint="eastAsia" w:ascii="宋体" w:hAnsi="宋体" w:cs="宋体"/>
                <w:sz w:val="21"/>
                <w:szCs w:val="21"/>
                <w:highlight w:val="none"/>
                <w:lang w:val="en-US" w:eastAsia="zh-CN"/>
              </w:rPr>
              <w:t>10</w:t>
            </w:r>
            <w:r>
              <w:rPr>
                <w:rFonts w:hint="eastAsia" w:ascii="宋体" w:hAnsi="宋体" w:cs="宋体"/>
                <w:sz w:val="21"/>
                <w:szCs w:val="21"/>
                <w:highlight w:val="none"/>
              </w:rPr>
              <w:t>分；</w:t>
            </w:r>
            <w:r>
              <w:rPr>
                <w:rFonts w:hint="eastAsia" w:ascii="宋体" w:hAnsi="宋体" w:cs="宋体"/>
                <w:sz w:val="21"/>
                <w:szCs w:val="21"/>
                <w:highlight w:val="none"/>
                <w:lang w:val="en-US" w:eastAsia="zh-CN"/>
              </w:rPr>
              <w:t>优于采购文件</w:t>
            </w:r>
            <w:r>
              <w:rPr>
                <w:rFonts w:hint="eastAsia" w:ascii="宋体" w:hAnsi="宋体" w:cs="宋体"/>
                <w:sz w:val="21"/>
                <w:szCs w:val="21"/>
                <w:highlight w:val="none"/>
              </w:rPr>
              <w:t>功能模块设计要求，</w:t>
            </w:r>
            <w:r>
              <w:rPr>
                <w:rFonts w:hint="eastAsia" w:ascii="宋体" w:hAnsi="宋体" w:cs="宋体"/>
                <w:sz w:val="21"/>
                <w:szCs w:val="21"/>
                <w:highlight w:val="none"/>
                <w:lang w:val="en-US" w:eastAsia="zh-CN"/>
              </w:rPr>
              <w:t>具有</w:t>
            </w:r>
            <w:r>
              <w:rPr>
                <w:rFonts w:hint="eastAsia" w:ascii="宋体" w:hAnsi="宋体" w:cs="宋体"/>
                <w:sz w:val="21"/>
                <w:szCs w:val="21"/>
                <w:highlight w:val="none"/>
              </w:rPr>
              <w:t>针对性地给予逐项</w:t>
            </w:r>
            <w:r>
              <w:rPr>
                <w:rFonts w:hint="eastAsia" w:ascii="宋体" w:hAnsi="宋体" w:cs="宋体"/>
                <w:sz w:val="21"/>
                <w:szCs w:val="21"/>
                <w:highlight w:val="none"/>
                <w:lang w:val="en-US" w:eastAsia="zh-CN"/>
              </w:rPr>
              <w:t>加分</w:t>
            </w:r>
            <w:r>
              <w:rPr>
                <w:rFonts w:hint="eastAsia" w:ascii="宋体" w:hAnsi="宋体" w:cs="宋体"/>
                <w:sz w:val="21"/>
                <w:szCs w:val="21"/>
                <w:highlight w:val="none"/>
              </w:rPr>
              <w:t>，每一项</w:t>
            </w:r>
            <w:r>
              <w:rPr>
                <w:rFonts w:hint="eastAsia" w:ascii="宋体" w:hAnsi="宋体" w:cs="宋体"/>
                <w:sz w:val="21"/>
                <w:szCs w:val="21"/>
                <w:highlight w:val="none"/>
                <w:lang w:val="en-US" w:eastAsia="zh-CN"/>
              </w:rPr>
              <w:t>加1</w:t>
            </w:r>
            <w:r>
              <w:rPr>
                <w:rFonts w:hint="eastAsia" w:ascii="宋体" w:hAnsi="宋体" w:cs="宋体"/>
                <w:sz w:val="21"/>
                <w:szCs w:val="21"/>
                <w:highlight w:val="none"/>
              </w:rPr>
              <w:t>分，</w:t>
            </w:r>
            <w:r>
              <w:rPr>
                <w:rFonts w:hint="eastAsia" w:ascii="宋体" w:hAnsi="宋体" w:cs="宋体"/>
                <w:sz w:val="21"/>
                <w:szCs w:val="21"/>
                <w:highlight w:val="none"/>
                <w:lang w:val="en-US" w:eastAsia="zh-CN"/>
              </w:rPr>
              <w:t>最多加2分</w:t>
            </w:r>
            <w:r>
              <w:rPr>
                <w:rFonts w:hint="eastAsia" w:ascii="宋体" w:hAnsi="宋体" w:cs="宋体"/>
                <w:sz w:val="21"/>
                <w:szCs w:val="21"/>
                <w:highlight w:val="none"/>
              </w:rPr>
              <w:t>。</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ascii="宋体" w:hAnsi="宋体"/>
                <w:sz w:val="21"/>
                <w:szCs w:val="21"/>
              </w:rPr>
            </w:pPr>
            <w:r>
              <w:rPr>
                <w:rFonts w:hint="eastAsia" w:ascii="宋体"/>
                <w:sz w:val="21"/>
                <w:szCs w:val="21"/>
                <w:lang w:val="en-US" w:eastAsia="zh-CN"/>
              </w:rPr>
              <w:t>0-12</w:t>
            </w:r>
            <w:r>
              <w:rPr>
                <w:rFonts w:hint="eastAsia"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0"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240" w:lineRule="auto"/>
              <w:ind w:left="0" w:leftChars="0" w:firstLine="0" w:firstLineChars="0"/>
              <w:contextualSpacing/>
              <w:jc w:val="both"/>
              <w:rPr>
                <w:rFonts w:hint="eastAsia" w:ascii="宋体" w:hAnsi="宋体" w:eastAsia="微软雅黑"/>
                <w:sz w:val="21"/>
                <w:szCs w:val="21"/>
                <w:lang w:val="en-US" w:eastAsia="zh-CN"/>
              </w:rPr>
            </w:pPr>
            <w:r>
              <w:rPr>
                <w:rFonts w:hint="eastAsia" w:ascii="宋体" w:hAnsi="宋体"/>
                <w:sz w:val="21"/>
                <w:szCs w:val="21"/>
                <w:lang w:val="en-US" w:eastAsia="zh-CN"/>
              </w:rPr>
              <w:t>7</w:t>
            </w:r>
          </w:p>
        </w:tc>
        <w:tc>
          <w:tcPr>
            <w:tcW w:w="810" w:type="dxa"/>
            <w:tcBorders>
              <w:top w:val="single" w:color="auto" w:sz="4" w:space="0"/>
              <w:left w:val="single" w:color="auto" w:sz="4" w:space="0"/>
              <w:bottom w:val="single" w:color="auto" w:sz="4" w:space="0"/>
              <w:right w:val="single" w:color="auto" w:sz="4" w:space="0"/>
            </w:tcBorders>
            <w:vAlign w:val="center"/>
          </w:tcPr>
          <w:p>
            <w:pPr>
              <w:tabs>
                <w:tab w:val="left" w:pos="1080"/>
              </w:tabs>
              <w:spacing w:line="240" w:lineRule="auto"/>
              <w:ind w:left="0" w:leftChars="0" w:firstLine="0" w:firstLineChars="0"/>
              <w:contextualSpacing/>
              <w:jc w:val="both"/>
              <w:rPr>
                <w:rFonts w:hint="eastAsia" w:ascii="宋体" w:hAnsi="宋体" w:cs="宋体"/>
                <w:sz w:val="21"/>
                <w:szCs w:val="21"/>
              </w:rPr>
            </w:pPr>
            <w:r>
              <w:rPr>
                <w:rFonts w:hint="eastAsia" w:ascii="宋体" w:hAnsi="宋体" w:cs="宋体"/>
                <w:sz w:val="21"/>
                <w:szCs w:val="21"/>
              </w:rPr>
              <w:t>人员保障</w:t>
            </w:r>
          </w:p>
        </w:tc>
        <w:tc>
          <w:tcPr>
            <w:tcW w:w="7006"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ind w:left="0" w:leftChars="0" w:firstLine="210" w:firstLineChars="100"/>
              <w:jc w:val="left"/>
              <w:textAlignment w:val="center"/>
              <w:rPr>
                <w:rFonts w:hint="eastAsia" w:ascii="宋体" w:hAnsi="宋体" w:cs="宋体"/>
                <w:sz w:val="21"/>
                <w:szCs w:val="21"/>
              </w:rPr>
            </w:pPr>
            <w:r>
              <w:rPr>
                <w:rFonts w:hint="eastAsia" w:ascii="宋体" w:hAnsi="宋体" w:cs="宋体"/>
                <w:sz w:val="21"/>
                <w:szCs w:val="21"/>
              </w:rPr>
              <w:t>根据供应商对本单位组织实施项目的组织机构设置，人员配备责任分工明确，制度健全的得</w:t>
            </w:r>
            <w:r>
              <w:rPr>
                <w:rFonts w:hint="eastAsia" w:ascii="宋体" w:hAnsi="宋体" w:cs="宋体"/>
                <w:sz w:val="21"/>
                <w:szCs w:val="21"/>
                <w:lang w:val="en-US" w:eastAsia="zh-CN"/>
              </w:rPr>
              <w:t>3-5</w:t>
            </w:r>
            <w:r>
              <w:rPr>
                <w:rFonts w:hint="eastAsia" w:ascii="宋体" w:hAnsi="宋体" w:cs="宋体"/>
                <w:sz w:val="21"/>
                <w:szCs w:val="21"/>
              </w:rPr>
              <w:t>分、责任分工不明确的</w:t>
            </w:r>
            <w:r>
              <w:rPr>
                <w:rFonts w:hint="eastAsia" w:ascii="宋体" w:hAnsi="宋体" w:cs="宋体"/>
                <w:sz w:val="21"/>
                <w:szCs w:val="21"/>
                <w:lang w:val="en-US" w:eastAsia="zh-CN"/>
              </w:rPr>
              <w:t>1-3</w:t>
            </w:r>
            <w:r>
              <w:rPr>
                <w:rFonts w:hint="eastAsia" w:ascii="宋体" w:hAnsi="宋体" w:cs="宋体"/>
                <w:sz w:val="21"/>
                <w:szCs w:val="21"/>
              </w:rPr>
              <w:t>分，无人员责任分工的不得分。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hint="eastAsia" w:ascii="宋体" w:hAnsi="宋体" w:eastAsia="仿宋_GB2312"/>
                <w:sz w:val="21"/>
                <w:szCs w:val="21"/>
                <w:lang w:val="en-US" w:eastAsia="zh-CN"/>
              </w:rPr>
            </w:pPr>
            <w:r>
              <w:rPr>
                <w:rFonts w:hint="eastAsia" w:ascii="宋体"/>
                <w:sz w:val="21"/>
                <w:szCs w:val="21"/>
                <w:lang w:val="en-US" w:eastAsia="zh-CN"/>
              </w:rPr>
              <w:t>0-5</w:t>
            </w:r>
            <w:r>
              <w:rPr>
                <w:rFonts w:hint="eastAsia" w:ascii="宋体" w:hAnsi="宋体" w:cs="宋体"/>
                <w:bCs/>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26"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240" w:lineRule="auto"/>
              <w:ind w:left="0" w:leftChars="0" w:firstLine="0" w:firstLineChars="0"/>
              <w:contextualSpacing/>
              <w:jc w:val="both"/>
              <w:rPr>
                <w:rFonts w:hint="eastAsia" w:ascii="宋体" w:hAnsi="宋体" w:eastAsia="微软雅黑" w:cs="宋体"/>
                <w:sz w:val="21"/>
                <w:szCs w:val="21"/>
                <w:lang w:val="en-US" w:eastAsia="zh-CN"/>
              </w:rPr>
            </w:pPr>
            <w:r>
              <w:rPr>
                <w:rFonts w:hint="eastAsia" w:ascii="宋体" w:hAnsi="宋体" w:cs="宋体"/>
                <w:sz w:val="21"/>
                <w:szCs w:val="21"/>
                <w:lang w:val="en-US" w:eastAsia="zh-CN"/>
              </w:rPr>
              <w:t>8</w:t>
            </w:r>
          </w:p>
        </w:tc>
        <w:tc>
          <w:tcPr>
            <w:tcW w:w="810" w:type="dxa"/>
            <w:tcBorders>
              <w:top w:val="single" w:color="auto" w:sz="4" w:space="0"/>
              <w:left w:val="single" w:color="auto" w:sz="4" w:space="0"/>
              <w:bottom w:val="single" w:color="auto" w:sz="4" w:space="0"/>
              <w:right w:val="single" w:color="auto" w:sz="4" w:space="0"/>
            </w:tcBorders>
            <w:vAlign w:val="center"/>
          </w:tcPr>
          <w:p>
            <w:pPr>
              <w:tabs>
                <w:tab w:val="left" w:pos="1080"/>
              </w:tabs>
              <w:spacing w:line="240" w:lineRule="auto"/>
              <w:ind w:left="0" w:leftChars="0" w:firstLine="0" w:firstLineChars="0"/>
              <w:contextualSpacing/>
              <w:jc w:val="both"/>
              <w:rPr>
                <w:rFonts w:ascii="宋体" w:hAnsi="宋体" w:cs="宋体"/>
                <w:bCs/>
                <w:sz w:val="21"/>
                <w:szCs w:val="21"/>
              </w:rPr>
            </w:pPr>
            <w:r>
              <w:rPr>
                <w:rFonts w:hint="eastAsia" w:ascii="宋体" w:hAnsi="宋体" w:cs="宋体"/>
                <w:bCs/>
                <w:sz w:val="21"/>
                <w:szCs w:val="21"/>
              </w:rPr>
              <w:t>服务承诺</w:t>
            </w:r>
          </w:p>
        </w:tc>
        <w:tc>
          <w:tcPr>
            <w:tcW w:w="7006"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240" w:lineRule="auto"/>
              <w:ind w:left="0" w:leftChars="0" w:firstLine="210" w:firstLineChars="100"/>
              <w:jc w:val="left"/>
              <w:textAlignment w:val="center"/>
              <w:rPr>
                <w:rFonts w:ascii="宋体" w:hAnsi="宋体" w:cs="宋体"/>
                <w:bCs/>
                <w:sz w:val="21"/>
                <w:szCs w:val="21"/>
              </w:rPr>
            </w:pPr>
            <w:r>
              <w:rPr>
                <w:rFonts w:hint="eastAsia" w:ascii="宋体" w:cs="宋体"/>
                <w:bCs/>
                <w:sz w:val="21"/>
                <w:szCs w:val="21"/>
              </w:rPr>
              <w:t>根据供应商提供服务承诺、保密承诺和是否有针对本项目的特色增值服务等内容进行综合评分：服务方案完善可行性强的得</w:t>
            </w:r>
            <w:r>
              <w:rPr>
                <w:rFonts w:hint="eastAsia" w:ascii="宋体" w:cs="宋体"/>
                <w:bCs/>
                <w:sz w:val="21"/>
                <w:szCs w:val="21"/>
                <w:lang w:val="en-US" w:eastAsia="zh-CN"/>
              </w:rPr>
              <w:t>3-</w:t>
            </w:r>
            <w:r>
              <w:rPr>
                <w:rFonts w:ascii="宋体" w:cs="宋体"/>
                <w:bCs/>
                <w:sz w:val="21"/>
                <w:szCs w:val="21"/>
              </w:rPr>
              <w:t>5</w:t>
            </w:r>
            <w:r>
              <w:rPr>
                <w:rFonts w:hint="eastAsia" w:ascii="宋体" w:cs="宋体"/>
                <w:bCs/>
                <w:sz w:val="21"/>
                <w:szCs w:val="21"/>
              </w:rPr>
              <w:t>分</w:t>
            </w:r>
            <w:r>
              <w:rPr>
                <w:rFonts w:hint="eastAsia" w:ascii="宋体" w:cs="宋体"/>
                <w:bCs/>
                <w:sz w:val="21"/>
                <w:szCs w:val="21"/>
                <w:lang w:eastAsia="zh-CN"/>
              </w:rPr>
              <w:t>，</w:t>
            </w:r>
            <w:r>
              <w:rPr>
                <w:rFonts w:hint="eastAsia" w:ascii="宋体" w:cs="宋体"/>
                <w:bCs/>
                <w:sz w:val="21"/>
                <w:szCs w:val="21"/>
              </w:rPr>
              <w:t>方案可行性一般的得</w:t>
            </w:r>
            <w:r>
              <w:rPr>
                <w:rFonts w:hint="eastAsia" w:ascii="宋体" w:cs="宋体"/>
                <w:bCs/>
                <w:sz w:val="21"/>
                <w:szCs w:val="21"/>
                <w:lang w:val="en-US" w:eastAsia="zh-CN"/>
              </w:rPr>
              <w:t>1-</w:t>
            </w:r>
            <w:r>
              <w:rPr>
                <w:rFonts w:ascii="宋体" w:cs="宋体"/>
                <w:bCs/>
                <w:sz w:val="21"/>
                <w:szCs w:val="21"/>
              </w:rPr>
              <w:t>3</w:t>
            </w:r>
            <w:r>
              <w:rPr>
                <w:rFonts w:hint="eastAsia" w:ascii="宋体" w:cs="宋体"/>
                <w:bCs/>
                <w:sz w:val="21"/>
                <w:szCs w:val="21"/>
              </w:rPr>
              <w:t>分；不提供的不得分。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ascii="宋体" w:hAnsi="宋体"/>
                <w:sz w:val="21"/>
                <w:szCs w:val="21"/>
              </w:rPr>
            </w:pPr>
            <w:r>
              <w:rPr>
                <w:rFonts w:hint="eastAsia" w:ascii="宋体" w:cs="宋体"/>
                <w:bCs/>
                <w:sz w:val="21"/>
                <w:szCs w:val="21"/>
                <w:lang w:val="en-US" w:eastAsia="zh-CN"/>
              </w:rPr>
              <w:t>0-</w:t>
            </w:r>
            <w:r>
              <w:rPr>
                <w:rFonts w:ascii="宋体" w:hAnsi="宋体" w:cs="宋体"/>
                <w:bCs/>
                <w:sz w:val="21"/>
                <w:szCs w:val="21"/>
              </w:rPr>
              <w:t>5</w:t>
            </w:r>
            <w:r>
              <w:rPr>
                <w:rFonts w:hint="eastAsia" w:ascii="宋体" w:hAnsi="宋体" w:cs="宋体"/>
                <w:bCs/>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0" w:hRule="atLeast"/>
          <w:jc w:val="center"/>
        </w:trPr>
        <w:tc>
          <w:tcPr>
            <w:tcW w:w="636" w:type="dxa"/>
            <w:tcBorders>
              <w:top w:val="single" w:color="auto" w:sz="4" w:space="0"/>
              <w:left w:val="single" w:color="auto" w:sz="4" w:space="0"/>
              <w:bottom w:val="single" w:color="auto" w:sz="4" w:space="0"/>
              <w:right w:val="single" w:color="auto" w:sz="4" w:space="0"/>
            </w:tcBorders>
            <w:vAlign w:val="center"/>
          </w:tcPr>
          <w:p>
            <w:pPr>
              <w:spacing w:line="240" w:lineRule="auto"/>
              <w:ind w:left="0" w:leftChars="0" w:firstLine="0" w:firstLineChars="0"/>
              <w:contextualSpacing/>
              <w:jc w:val="both"/>
              <w:rPr>
                <w:rFonts w:hint="default" w:ascii="宋体" w:hAnsi="宋体" w:eastAsia="微软雅黑" w:cs="宋体"/>
                <w:sz w:val="21"/>
                <w:szCs w:val="21"/>
                <w:lang w:val="en-US" w:eastAsia="zh-CN"/>
              </w:rPr>
            </w:pPr>
            <w:r>
              <w:rPr>
                <w:rFonts w:hint="eastAsia" w:ascii="宋体" w:hAnsi="宋体" w:cs="宋体"/>
                <w:sz w:val="21"/>
                <w:szCs w:val="21"/>
                <w:lang w:val="en-US" w:eastAsia="zh-CN"/>
              </w:rPr>
              <w:t>9</w:t>
            </w:r>
          </w:p>
        </w:tc>
        <w:tc>
          <w:tcPr>
            <w:tcW w:w="810" w:type="dxa"/>
            <w:tcBorders>
              <w:top w:val="single" w:color="auto" w:sz="4" w:space="0"/>
              <w:left w:val="single" w:color="auto" w:sz="4" w:space="0"/>
              <w:bottom w:val="single" w:color="auto" w:sz="4" w:space="0"/>
              <w:right w:val="single" w:color="auto" w:sz="4" w:space="0"/>
            </w:tcBorders>
            <w:vAlign w:val="center"/>
          </w:tcPr>
          <w:p>
            <w:pPr>
              <w:tabs>
                <w:tab w:val="left" w:pos="1080"/>
              </w:tabs>
              <w:spacing w:line="240" w:lineRule="auto"/>
              <w:ind w:left="0" w:leftChars="0" w:firstLine="0" w:firstLineChars="0"/>
              <w:contextualSpacing/>
              <w:jc w:val="both"/>
              <w:rPr>
                <w:rFonts w:ascii="宋体" w:hAnsi="宋体" w:cs="宋体"/>
                <w:bCs/>
                <w:sz w:val="21"/>
                <w:szCs w:val="21"/>
              </w:rPr>
            </w:pPr>
            <w:r>
              <w:rPr>
                <w:rFonts w:hint="eastAsia" w:ascii="宋体" w:hAnsi="宋体" w:cs="宋体"/>
                <w:bCs/>
                <w:sz w:val="21"/>
                <w:szCs w:val="21"/>
              </w:rPr>
              <w:t>培训计划</w:t>
            </w:r>
          </w:p>
        </w:tc>
        <w:tc>
          <w:tcPr>
            <w:tcW w:w="7006" w:type="dxa"/>
            <w:tcBorders>
              <w:top w:val="single" w:color="auto" w:sz="4" w:space="0"/>
              <w:left w:val="single" w:color="auto" w:sz="4" w:space="0"/>
              <w:bottom w:val="single" w:color="auto" w:sz="4" w:space="0"/>
              <w:right w:val="single" w:color="auto" w:sz="4" w:space="0"/>
            </w:tcBorders>
            <w:vAlign w:val="center"/>
          </w:tcPr>
          <w:p>
            <w:pPr>
              <w:spacing w:line="240" w:lineRule="auto"/>
              <w:ind w:left="0" w:leftChars="0" w:firstLine="210" w:firstLineChars="100"/>
              <w:rPr>
                <w:rFonts w:ascii="宋体" w:hAnsi="宋体" w:cs="宋体"/>
                <w:bCs/>
                <w:sz w:val="21"/>
                <w:szCs w:val="21"/>
              </w:rPr>
            </w:pPr>
            <w:r>
              <w:rPr>
                <w:rFonts w:hint="eastAsia" w:ascii="宋体" w:hAnsi="宋体" w:cs="宋体"/>
                <w:color w:val="000000"/>
                <w:sz w:val="21"/>
                <w:szCs w:val="21"/>
              </w:rPr>
              <w:t>供应商提供的培训计划较详细、全面、可行，能够对项目的使用对象提供全面的培训的得</w:t>
            </w:r>
            <w:r>
              <w:rPr>
                <w:rFonts w:hint="eastAsia" w:ascii="宋体" w:hAnsi="宋体" w:cs="宋体"/>
                <w:color w:val="000000"/>
                <w:sz w:val="21"/>
                <w:szCs w:val="21"/>
                <w:lang w:val="en-US" w:eastAsia="zh-CN"/>
              </w:rPr>
              <w:t>3-4</w:t>
            </w:r>
            <w:r>
              <w:rPr>
                <w:rFonts w:hint="eastAsia" w:ascii="宋体" w:hAnsi="宋体" w:cs="宋体"/>
                <w:color w:val="000000"/>
                <w:sz w:val="21"/>
                <w:szCs w:val="21"/>
              </w:rPr>
              <w:t>分；培训计划及措施较粗略，可行性较差的得</w:t>
            </w:r>
            <w:r>
              <w:rPr>
                <w:rFonts w:hint="eastAsia" w:ascii="宋体" w:hAnsi="宋体" w:cs="宋体"/>
                <w:color w:val="000000"/>
                <w:sz w:val="21"/>
                <w:szCs w:val="21"/>
                <w:lang w:val="en-US" w:eastAsia="zh-CN"/>
              </w:rPr>
              <w:t>1-3</w:t>
            </w:r>
            <w:r>
              <w:rPr>
                <w:rFonts w:hint="eastAsia" w:ascii="宋体" w:hAnsi="宋体" w:cs="宋体"/>
                <w:color w:val="000000"/>
                <w:sz w:val="21"/>
                <w:szCs w:val="21"/>
              </w:rPr>
              <w:t>分。不提供不得分。</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ascii="宋体" w:hAnsi="宋体"/>
                <w:sz w:val="21"/>
                <w:szCs w:val="21"/>
              </w:rPr>
            </w:pPr>
            <w:r>
              <w:rPr>
                <w:rFonts w:hint="eastAsia" w:ascii="宋体"/>
                <w:sz w:val="21"/>
                <w:szCs w:val="21"/>
                <w:lang w:val="en-US" w:eastAsia="zh-CN"/>
              </w:rPr>
              <w:t>0-4</w:t>
            </w:r>
            <w:r>
              <w:rPr>
                <w:rFonts w:hint="eastAsia"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28" w:hRule="atLeast"/>
          <w:jc w:val="center"/>
        </w:trPr>
        <w:tc>
          <w:tcPr>
            <w:tcW w:w="636" w:type="dxa"/>
            <w:tcBorders>
              <w:top w:val="single" w:color="auto" w:sz="4" w:space="0"/>
              <w:left w:val="single" w:color="auto" w:sz="4" w:space="0"/>
              <w:right w:val="single" w:color="auto" w:sz="4" w:space="0"/>
            </w:tcBorders>
            <w:vAlign w:val="center"/>
          </w:tcPr>
          <w:p>
            <w:pPr>
              <w:spacing w:line="240" w:lineRule="auto"/>
              <w:ind w:left="0" w:leftChars="0" w:firstLine="0" w:firstLineChars="0"/>
              <w:contextualSpacing/>
              <w:jc w:val="both"/>
              <w:rPr>
                <w:rFonts w:hint="default" w:ascii="宋体" w:hAnsi="宋体" w:eastAsia="微软雅黑" w:cs="宋体"/>
                <w:b w:val="0"/>
                <w:bCs w:val="0"/>
                <w:sz w:val="21"/>
                <w:szCs w:val="21"/>
                <w:highlight w:val="none"/>
                <w:lang w:val="en-US" w:eastAsia="zh-CN"/>
              </w:rPr>
            </w:pPr>
            <w:r>
              <w:rPr>
                <w:rFonts w:hint="eastAsia" w:ascii="宋体" w:hAnsi="宋体" w:cs="宋体"/>
                <w:b w:val="0"/>
                <w:bCs w:val="0"/>
                <w:sz w:val="21"/>
                <w:szCs w:val="21"/>
                <w:highlight w:val="none"/>
                <w:lang w:val="en-US" w:eastAsia="zh-CN"/>
              </w:rPr>
              <w:t>10</w:t>
            </w:r>
          </w:p>
        </w:tc>
        <w:tc>
          <w:tcPr>
            <w:tcW w:w="810" w:type="dxa"/>
            <w:tcBorders>
              <w:top w:val="single" w:color="auto" w:sz="4" w:space="0"/>
              <w:left w:val="single" w:color="auto" w:sz="4" w:space="0"/>
              <w:right w:val="single" w:color="auto" w:sz="4" w:space="0"/>
            </w:tcBorders>
            <w:vAlign w:val="center"/>
          </w:tcPr>
          <w:p>
            <w:pPr>
              <w:autoSpaceDE w:val="0"/>
              <w:autoSpaceDN w:val="0"/>
              <w:adjustRightInd w:val="0"/>
              <w:spacing w:line="240" w:lineRule="auto"/>
              <w:ind w:left="0" w:leftChars="0" w:firstLine="0" w:firstLineChars="0"/>
              <w:jc w:val="both"/>
              <w:rPr>
                <w:rFonts w:ascii="宋体" w:hAnsi="宋体" w:cs="宋体"/>
                <w:b w:val="0"/>
                <w:bCs w:val="0"/>
                <w:sz w:val="21"/>
                <w:szCs w:val="21"/>
                <w:highlight w:val="none"/>
              </w:rPr>
            </w:pPr>
            <w:r>
              <w:rPr>
                <w:rFonts w:hint="eastAsia" w:ascii="宋体" w:hAnsi="宋体" w:cs="宋体"/>
                <w:b w:val="0"/>
                <w:bCs w:val="0"/>
                <w:sz w:val="21"/>
                <w:szCs w:val="21"/>
                <w:highlight w:val="none"/>
              </w:rPr>
              <w:t>系统演示</w:t>
            </w:r>
          </w:p>
        </w:tc>
        <w:tc>
          <w:tcPr>
            <w:tcW w:w="7006" w:type="dxa"/>
            <w:tcBorders>
              <w:top w:val="single" w:color="auto" w:sz="4" w:space="0"/>
              <w:left w:val="single" w:color="auto" w:sz="4" w:space="0"/>
              <w:right w:val="single" w:color="auto" w:sz="4" w:space="0"/>
            </w:tcBorders>
            <w:vAlign w:val="center"/>
          </w:tcPr>
          <w:p>
            <w:pPr>
              <w:widowControl/>
              <w:autoSpaceDE w:val="0"/>
              <w:autoSpaceDN w:val="0"/>
              <w:adjustRightInd w:val="0"/>
              <w:spacing w:line="240" w:lineRule="auto"/>
              <w:ind w:firstLine="0" w:firstLineChars="0"/>
              <w:textAlignment w:val="center"/>
              <w:rPr>
                <w:rFonts w:ascii="宋体" w:hAnsi="宋体" w:cs="宋体"/>
                <w:b w:val="0"/>
                <w:bCs w:val="0"/>
                <w:szCs w:val="21"/>
                <w:highlight w:val="none"/>
              </w:rPr>
            </w:pPr>
            <w:r>
              <w:rPr>
                <w:rFonts w:hint="eastAsia" w:ascii="宋体" w:hAnsi="宋体" w:cs="宋体"/>
                <w:b w:val="0"/>
                <w:bCs w:val="0"/>
                <w:szCs w:val="21"/>
                <w:highlight w:val="none"/>
              </w:rPr>
              <w:t>应用系统演示评价（共1</w:t>
            </w:r>
            <w:r>
              <w:rPr>
                <w:rFonts w:ascii="宋体" w:hAnsi="宋体" w:cs="宋体"/>
                <w:b w:val="0"/>
                <w:bCs w:val="0"/>
                <w:szCs w:val="21"/>
                <w:highlight w:val="none"/>
              </w:rPr>
              <w:t>5</w:t>
            </w:r>
            <w:r>
              <w:rPr>
                <w:rFonts w:hint="eastAsia" w:ascii="宋体" w:hAnsi="宋体" w:cs="宋体"/>
                <w:b w:val="0"/>
                <w:bCs w:val="0"/>
                <w:szCs w:val="21"/>
                <w:highlight w:val="none"/>
              </w:rPr>
              <w:t>分）</w:t>
            </w:r>
            <w:r>
              <w:rPr>
                <w:rFonts w:hint="eastAsia" w:ascii="宋体" w:hAnsi="宋体" w:cs="宋体"/>
                <w:b w:val="0"/>
                <w:bCs w:val="0"/>
                <w:szCs w:val="21"/>
                <w:highlight w:val="none"/>
                <w:lang w:eastAsia="zh-CN"/>
              </w:rPr>
              <w:t>，</w:t>
            </w:r>
            <w:r>
              <w:rPr>
                <w:rFonts w:hint="eastAsia" w:ascii="微软雅黑" w:hAnsi="微软雅黑" w:eastAsia="微软雅黑"/>
                <w:b/>
                <w:bCs/>
                <w:color w:val="000000"/>
                <w:kern w:val="2"/>
                <w:szCs w:val="21"/>
              </w:rPr>
              <w:t>视频演示（时间5-8分钟），提供U盘。</w:t>
            </w:r>
          </w:p>
          <w:p>
            <w:pPr>
              <w:widowControl/>
              <w:autoSpaceDE w:val="0"/>
              <w:autoSpaceDN w:val="0"/>
              <w:adjustRightInd w:val="0"/>
              <w:spacing w:line="240" w:lineRule="auto"/>
              <w:ind w:firstLine="0" w:firstLineChars="0"/>
              <w:textAlignment w:val="center"/>
              <w:rPr>
                <w:rFonts w:ascii="宋体" w:hAnsi="宋体" w:cs="宋体"/>
                <w:b w:val="0"/>
                <w:bCs w:val="0"/>
                <w:szCs w:val="21"/>
                <w:highlight w:val="none"/>
              </w:rPr>
            </w:pPr>
            <w:r>
              <w:rPr>
                <w:rFonts w:hint="eastAsia" w:ascii="宋体" w:hAnsi="宋体" w:cs="宋体"/>
                <w:b w:val="0"/>
                <w:bCs w:val="0"/>
                <w:szCs w:val="21"/>
                <w:highlight w:val="none"/>
              </w:rPr>
              <w:t>（1）演示“示范在线”菜单权限、数据权限、角色权限等进行配置操作。（1-3分</w:t>
            </w:r>
            <w:r>
              <w:rPr>
                <w:rFonts w:hint="eastAsia" w:ascii="宋体" w:hAnsi="宋体" w:cs="宋体"/>
                <w:b w:val="0"/>
                <w:bCs w:val="0"/>
                <w:szCs w:val="21"/>
                <w:highlight w:val="none"/>
                <w:lang w:eastAsia="zh-CN"/>
              </w:rPr>
              <w:t>，</w:t>
            </w:r>
            <w:r>
              <w:rPr>
                <w:rFonts w:hint="eastAsia" w:ascii="宋体" w:hAnsi="宋体" w:cs="宋体"/>
                <w:b w:val="0"/>
                <w:bCs w:val="0"/>
                <w:color w:val="000000"/>
                <w:sz w:val="21"/>
                <w:szCs w:val="21"/>
                <w:highlight w:val="none"/>
              </w:rPr>
              <w:t>不提供不得分。</w:t>
            </w:r>
            <w:r>
              <w:rPr>
                <w:rFonts w:hint="eastAsia" w:ascii="宋体" w:hAnsi="宋体" w:cs="宋体"/>
                <w:b w:val="0"/>
                <w:bCs w:val="0"/>
                <w:szCs w:val="21"/>
                <w:highlight w:val="none"/>
              </w:rPr>
              <w:t>）</w:t>
            </w:r>
          </w:p>
          <w:p>
            <w:pPr>
              <w:widowControl/>
              <w:autoSpaceDE w:val="0"/>
              <w:autoSpaceDN w:val="0"/>
              <w:adjustRightInd w:val="0"/>
              <w:spacing w:line="240" w:lineRule="auto"/>
              <w:ind w:firstLine="0" w:firstLineChars="0"/>
              <w:textAlignment w:val="center"/>
              <w:rPr>
                <w:rFonts w:ascii="宋体" w:hAnsi="宋体" w:cs="宋体"/>
                <w:b w:val="0"/>
                <w:bCs w:val="0"/>
                <w:szCs w:val="21"/>
                <w:highlight w:val="none"/>
              </w:rPr>
            </w:pPr>
            <w:r>
              <w:rPr>
                <w:rFonts w:hint="eastAsia" w:ascii="宋体" w:hAnsi="宋体" w:cs="宋体"/>
                <w:b w:val="0"/>
                <w:bCs w:val="0"/>
                <w:szCs w:val="21"/>
                <w:highlight w:val="none"/>
              </w:rPr>
              <w:t>（2）演示数据看板功能：数据看板需要包含示范县分布地图、各地区示范县创建汇总统计等，支持查看省内各市的示范县分布情况，直观呈现示范县的创建情况和分布情况。（1-3分</w:t>
            </w:r>
            <w:r>
              <w:rPr>
                <w:rFonts w:hint="eastAsia" w:ascii="宋体" w:hAnsi="宋体" w:cs="宋体"/>
                <w:b w:val="0"/>
                <w:bCs w:val="0"/>
                <w:szCs w:val="21"/>
                <w:highlight w:val="none"/>
                <w:lang w:eastAsia="zh-CN"/>
              </w:rPr>
              <w:t>，</w:t>
            </w:r>
            <w:r>
              <w:rPr>
                <w:rFonts w:hint="eastAsia" w:ascii="宋体" w:hAnsi="宋体" w:cs="宋体"/>
                <w:b w:val="0"/>
                <w:bCs w:val="0"/>
                <w:color w:val="000000"/>
                <w:sz w:val="21"/>
                <w:szCs w:val="21"/>
                <w:highlight w:val="none"/>
              </w:rPr>
              <w:t>不提供不得分。</w:t>
            </w:r>
            <w:r>
              <w:rPr>
                <w:rFonts w:hint="eastAsia" w:ascii="宋体" w:hAnsi="宋体" w:cs="宋体"/>
                <w:b w:val="0"/>
                <w:bCs w:val="0"/>
                <w:szCs w:val="21"/>
                <w:highlight w:val="none"/>
              </w:rPr>
              <w:t>）</w:t>
            </w:r>
          </w:p>
          <w:p>
            <w:pPr>
              <w:widowControl/>
              <w:autoSpaceDE w:val="0"/>
              <w:autoSpaceDN w:val="0"/>
              <w:adjustRightInd w:val="0"/>
              <w:spacing w:line="240" w:lineRule="auto"/>
              <w:ind w:firstLine="0" w:firstLineChars="0"/>
              <w:textAlignment w:val="center"/>
              <w:rPr>
                <w:rFonts w:ascii="宋体" w:hAnsi="宋体" w:cs="宋体"/>
                <w:b w:val="0"/>
                <w:bCs w:val="0"/>
                <w:szCs w:val="21"/>
                <w:highlight w:val="none"/>
              </w:rPr>
            </w:pPr>
            <w:r>
              <w:rPr>
                <w:rFonts w:hint="eastAsia" w:ascii="宋体" w:hAnsi="宋体" w:cs="宋体"/>
                <w:b w:val="0"/>
                <w:bCs w:val="0"/>
                <w:szCs w:val="21"/>
                <w:highlight w:val="none"/>
              </w:rPr>
              <w:t>（3）演示示范县申请和审批流程：由省级管理员发布示范县申请填报任务，可以设置填报部门、年份、时间范围等信息，区县填报员在对应填报任务中，填写基本信息和上传申报材料进行上报，完成上报后由上级单位审核员查看填报数据，并进行审核。（1-3分</w:t>
            </w:r>
            <w:r>
              <w:rPr>
                <w:rFonts w:hint="eastAsia" w:ascii="宋体" w:hAnsi="宋体" w:cs="宋体"/>
                <w:b w:val="0"/>
                <w:bCs w:val="0"/>
                <w:szCs w:val="21"/>
                <w:highlight w:val="none"/>
                <w:lang w:eastAsia="zh-CN"/>
              </w:rPr>
              <w:t>，</w:t>
            </w:r>
            <w:r>
              <w:rPr>
                <w:rFonts w:hint="eastAsia" w:ascii="宋体" w:hAnsi="宋体" w:cs="宋体"/>
                <w:b w:val="0"/>
                <w:bCs w:val="0"/>
                <w:color w:val="000000"/>
                <w:sz w:val="21"/>
                <w:szCs w:val="21"/>
                <w:highlight w:val="none"/>
              </w:rPr>
              <w:t>不提供不得分。</w:t>
            </w:r>
            <w:r>
              <w:rPr>
                <w:rFonts w:hint="eastAsia" w:ascii="宋体" w:hAnsi="宋体" w:cs="宋体"/>
                <w:b w:val="0"/>
                <w:bCs w:val="0"/>
                <w:szCs w:val="21"/>
                <w:highlight w:val="none"/>
              </w:rPr>
              <w:t>）</w:t>
            </w:r>
          </w:p>
          <w:p>
            <w:pPr>
              <w:widowControl/>
              <w:autoSpaceDE w:val="0"/>
              <w:autoSpaceDN w:val="0"/>
              <w:adjustRightInd w:val="0"/>
              <w:spacing w:line="240" w:lineRule="auto"/>
              <w:ind w:firstLine="0" w:firstLineChars="0"/>
              <w:textAlignment w:val="center"/>
              <w:rPr>
                <w:rFonts w:ascii="宋体" w:hAnsi="宋体" w:cs="宋体"/>
                <w:b w:val="0"/>
                <w:bCs w:val="0"/>
                <w:szCs w:val="21"/>
                <w:highlight w:val="none"/>
              </w:rPr>
            </w:pPr>
            <w:r>
              <w:rPr>
                <w:rFonts w:hint="eastAsia" w:ascii="宋体" w:hAnsi="宋体" w:cs="宋体"/>
                <w:b w:val="0"/>
                <w:bCs w:val="0"/>
                <w:szCs w:val="21"/>
                <w:highlight w:val="none"/>
              </w:rPr>
              <w:t>（4）演示专家评分流程：评分专家角色用户在待办事务列表中可以对照核查表，逐项在评分栏录入该指标对应的分数，完成录入后可以在数据汇总中查看。（1-3分</w:t>
            </w:r>
            <w:r>
              <w:rPr>
                <w:rFonts w:hint="eastAsia" w:ascii="宋体" w:hAnsi="宋体" w:cs="宋体"/>
                <w:b w:val="0"/>
                <w:bCs w:val="0"/>
                <w:szCs w:val="21"/>
                <w:highlight w:val="none"/>
                <w:lang w:eastAsia="zh-CN"/>
              </w:rPr>
              <w:t>，</w:t>
            </w:r>
            <w:r>
              <w:rPr>
                <w:rFonts w:hint="eastAsia" w:ascii="宋体" w:hAnsi="宋体" w:cs="宋体"/>
                <w:b w:val="0"/>
                <w:bCs w:val="0"/>
                <w:color w:val="000000"/>
                <w:sz w:val="21"/>
                <w:szCs w:val="21"/>
                <w:highlight w:val="none"/>
              </w:rPr>
              <w:t>不提供不得分。</w:t>
            </w:r>
            <w:r>
              <w:rPr>
                <w:rFonts w:hint="eastAsia" w:ascii="宋体" w:hAnsi="宋体" w:cs="宋体"/>
                <w:b w:val="0"/>
                <w:bCs w:val="0"/>
                <w:szCs w:val="21"/>
                <w:highlight w:val="none"/>
              </w:rPr>
              <w:t>）</w:t>
            </w:r>
          </w:p>
          <w:p>
            <w:pPr>
              <w:widowControl/>
              <w:autoSpaceDE w:val="0"/>
              <w:autoSpaceDN w:val="0"/>
              <w:adjustRightInd w:val="0"/>
              <w:spacing w:line="240" w:lineRule="auto"/>
              <w:ind w:left="0" w:leftChars="0" w:firstLine="0" w:firstLineChars="0"/>
              <w:jc w:val="left"/>
              <w:textAlignment w:val="center"/>
              <w:rPr>
                <w:rFonts w:ascii="宋体" w:hAnsi="宋体" w:cs="宋体"/>
                <w:b w:val="0"/>
                <w:bCs w:val="0"/>
                <w:sz w:val="21"/>
                <w:szCs w:val="21"/>
                <w:highlight w:val="none"/>
              </w:rPr>
            </w:pPr>
            <w:r>
              <w:rPr>
                <w:rFonts w:hint="eastAsia" w:ascii="宋体" w:hAnsi="宋体" w:cs="宋体"/>
                <w:b w:val="0"/>
                <w:bCs w:val="0"/>
                <w:szCs w:val="21"/>
                <w:highlight w:val="none"/>
              </w:rPr>
              <w:t>（5）演示数据汇总功能：可根据填报年度、申报类型查看申报示范县相关数据，包括申请表、核查表、评分表、流程图等信息；可以查看和新增已命名的示范县和最美农村路对应基本信息。（1-3分</w:t>
            </w:r>
            <w:r>
              <w:rPr>
                <w:rFonts w:hint="eastAsia" w:ascii="宋体" w:hAnsi="宋体" w:cs="宋体"/>
                <w:b w:val="0"/>
                <w:bCs w:val="0"/>
                <w:szCs w:val="21"/>
                <w:highlight w:val="none"/>
                <w:lang w:eastAsia="zh-CN"/>
              </w:rPr>
              <w:t>，</w:t>
            </w:r>
            <w:r>
              <w:rPr>
                <w:rFonts w:hint="eastAsia" w:ascii="宋体" w:hAnsi="宋体" w:cs="宋体"/>
                <w:b w:val="0"/>
                <w:bCs w:val="0"/>
                <w:color w:val="000000"/>
                <w:sz w:val="21"/>
                <w:szCs w:val="21"/>
                <w:highlight w:val="none"/>
              </w:rPr>
              <w:t>不提供不得分。</w:t>
            </w:r>
            <w:r>
              <w:rPr>
                <w:rFonts w:hint="eastAsia" w:ascii="宋体" w:hAnsi="宋体" w:cs="宋体"/>
                <w:b w:val="0"/>
                <w:bCs w:val="0"/>
                <w:szCs w:val="21"/>
                <w:highlight w:val="none"/>
              </w:rPr>
              <w:t>）</w:t>
            </w:r>
          </w:p>
        </w:tc>
        <w:tc>
          <w:tcPr>
            <w:tcW w:w="805" w:type="dxa"/>
            <w:tcBorders>
              <w:top w:val="single" w:color="auto" w:sz="4" w:space="0"/>
              <w:left w:val="single" w:color="auto" w:sz="4" w:space="0"/>
              <w:bottom w:val="single" w:color="auto" w:sz="4" w:space="0"/>
              <w:right w:val="single" w:color="auto" w:sz="4" w:space="0"/>
            </w:tcBorders>
            <w:vAlign w:val="center"/>
          </w:tcPr>
          <w:p>
            <w:pPr>
              <w:pStyle w:val="41"/>
              <w:spacing w:after="0" w:line="240" w:lineRule="auto"/>
              <w:ind w:left="0" w:leftChars="0" w:right="-29" w:rightChars="-14" w:firstLine="0" w:firstLineChars="0"/>
              <w:contextualSpacing/>
              <w:rPr>
                <w:rFonts w:ascii="宋体" w:hAnsi="宋体"/>
                <w:sz w:val="21"/>
                <w:szCs w:val="21"/>
                <w:highlight w:val="none"/>
              </w:rPr>
            </w:pPr>
            <w:r>
              <w:rPr>
                <w:rFonts w:hint="eastAsia" w:ascii="宋体"/>
                <w:sz w:val="21"/>
                <w:szCs w:val="21"/>
                <w:highlight w:val="none"/>
                <w:lang w:val="en-US" w:eastAsia="zh-CN"/>
              </w:rPr>
              <w:t>0-</w:t>
            </w:r>
            <w:r>
              <w:rPr>
                <w:rFonts w:hint="eastAsia" w:ascii="宋体" w:hAnsi="宋体"/>
                <w:sz w:val="21"/>
                <w:szCs w:val="21"/>
                <w:highlight w:val="none"/>
              </w:rPr>
              <w:t>15分</w:t>
            </w:r>
          </w:p>
        </w:tc>
      </w:tr>
    </w:tbl>
    <w:p>
      <w:pPr>
        <w:spacing w:line="360" w:lineRule="auto"/>
        <w:ind w:firstLine="480" w:firstLineChars="200"/>
        <w:rPr>
          <w:sz w:val="24"/>
          <w:szCs w:val="24"/>
        </w:rPr>
      </w:pPr>
    </w:p>
    <w:p>
      <w:pPr>
        <w:rPr>
          <w:rFonts w:ascii="微软雅黑" w:hAnsi="微软雅黑"/>
          <w:b/>
          <w:szCs w:val="21"/>
          <w:highlight w:val="none"/>
        </w:rPr>
      </w:pPr>
    </w:p>
    <w:p>
      <w:pPr>
        <w:rPr>
          <w:rFonts w:ascii="微软雅黑" w:hAnsi="微软雅黑"/>
          <w:b/>
          <w:szCs w:val="21"/>
          <w:highlight w:val="none"/>
        </w:rPr>
      </w:pPr>
      <w:r>
        <w:rPr>
          <w:rFonts w:ascii="微软雅黑" w:hAnsi="微软雅黑"/>
          <w:b/>
          <w:szCs w:val="21"/>
          <w:highlight w:val="none"/>
        </w:rPr>
        <w:br w:type="page"/>
      </w:r>
    </w:p>
    <w:p>
      <w:pPr>
        <w:pStyle w:val="21"/>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ascii="微软雅黑" w:hAnsi="微软雅黑"/>
          <w:b/>
          <w:szCs w:val="21"/>
          <w:highlight w:val="none"/>
        </w:rPr>
      </w:pPr>
    </w:p>
    <w:p>
      <w:pPr>
        <w:pStyle w:val="5"/>
        <w:numPr>
          <w:ilvl w:val="0"/>
          <w:numId w:val="7"/>
        </w:numPr>
        <w:rPr>
          <w:rStyle w:val="157"/>
          <w:b/>
          <w:bCs/>
          <w:highlight w:val="none"/>
        </w:rPr>
      </w:pPr>
      <w:r>
        <w:rPr>
          <w:rStyle w:val="157"/>
          <w:rFonts w:hint="eastAsia"/>
          <w:b/>
          <w:bCs/>
          <w:highlight w:val="none"/>
        </w:rPr>
        <w:t>政府采购合同</w:t>
      </w:r>
      <w:bookmarkEnd w:id="187"/>
      <w:bookmarkEnd w:id="188"/>
      <w:bookmarkEnd w:id="189"/>
      <w:bookmarkEnd w:id="191"/>
    </w:p>
    <w:p>
      <w:pPr>
        <w:spacing w:line="500" w:lineRule="exact"/>
        <w:ind w:firstLine="420"/>
        <w:jc w:val="center"/>
        <w:rPr>
          <w:rFonts w:ascii="微软雅黑" w:hAnsi="微软雅黑"/>
          <w:b/>
          <w:bCs/>
          <w:szCs w:val="21"/>
          <w:highlight w:val="none"/>
        </w:rPr>
      </w:pPr>
      <w:bookmarkStart w:id="192" w:name="_Toc12558"/>
      <w:bookmarkStart w:id="193" w:name="_Toc493511827"/>
      <w:bookmarkStart w:id="194" w:name="_Toc427915780"/>
      <w:bookmarkStart w:id="195" w:name="_Toc21781"/>
      <w:bookmarkStart w:id="196" w:name="_Toc416422466"/>
      <w:bookmarkStart w:id="197" w:name="_Toc416422801"/>
      <w:bookmarkStart w:id="198" w:name="_Toc417992897"/>
      <w:r>
        <w:rPr>
          <w:rFonts w:hint="eastAsia" w:ascii="微软雅黑" w:hAnsi="微软雅黑"/>
          <w:b/>
          <w:bCs/>
          <w:szCs w:val="21"/>
          <w:highlight w:val="none"/>
        </w:rPr>
        <w:t>政府采购合同</w:t>
      </w:r>
      <w:bookmarkEnd w:id="192"/>
      <w:bookmarkEnd w:id="193"/>
      <w:bookmarkEnd w:id="194"/>
      <w:bookmarkEnd w:id="195"/>
      <w:bookmarkEnd w:id="196"/>
      <w:bookmarkEnd w:id="197"/>
      <w:bookmarkEnd w:id="198"/>
    </w:p>
    <w:p>
      <w:pPr>
        <w:pStyle w:val="6"/>
        <w:spacing w:line="500" w:lineRule="exact"/>
        <w:ind w:firstLine="420"/>
        <w:jc w:val="center"/>
        <w:rPr>
          <w:rFonts w:hint="eastAsia" w:ascii="微软雅黑" w:hAnsi="微软雅黑" w:eastAsia="微软雅黑"/>
          <w:szCs w:val="21"/>
          <w:highlight w:val="none"/>
          <w:lang w:eastAsia="zh-CN"/>
        </w:rPr>
      </w:pPr>
      <w:r>
        <w:rPr>
          <w:rFonts w:hint="eastAsia" w:ascii="微软雅黑" w:hAnsi="微软雅黑"/>
          <w:szCs w:val="21"/>
          <w:highlight w:val="none"/>
        </w:rPr>
        <w:t>一、通用必备条款</w:t>
      </w:r>
      <w:r>
        <w:rPr>
          <w:rFonts w:hint="eastAsia" w:ascii="微软雅黑" w:hAnsi="微软雅黑"/>
          <w:szCs w:val="21"/>
          <w:highlight w:val="none"/>
          <w:lang w:eastAsia="zh-CN"/>
        </w:rPr>
        <w:t>部分</w:t>
      </w:r>
    </w:p>
    <w:p>
      <w:pPr>
        <w:pStyle w:val="27"/>
        <w:snapToGrid w:val="0"/>
        <w:spacing w:line="560" w:lineRule="exact"/>
        <w:ind w:firstLine="420"/>
        <w:rPr>
          <w:rFonts w:ascii="微软雅黑" w:hAnsi="微软雅黑"/>
          <w:bCs/>
          <w:szCs w:val="21"/>
          <w:highlight w:val="none"/>
        </w:rPr>
      </w:pPr>
      <w:r>
        <w:rPr>
          <w:rFonts w:hint="eastAsia" w:ascii="微软雅黑" w:hAnsi="微软雅黑"/>
          <w:b/>
          <w:szCs w:val="21"/>
          <w:highlight w:val="none"/>
        </w:rPr>
        <w:t>合同</w:t>
      </w:r>
      <w:r>
        <w:rPr>
          <w:rFonts w:ascii="微软雅黑" w:hAnsi="微软雅黑"/>
          <w:b/>
          <w:szCs w:val="21"/>
          <w:highlight w:val="none"/>
        </w:rPr>
        <w:t>编号：</w:t>
      </w:r>
    </w:p>
    <w:p>
      <w:pPr>
        <w:pStyle w:val="27"/>
        <w:snapToGrid w:val="0"/>
        <w:spacing w:line="560" w:lineRule="exact"/>
        <w:ind w:firstLine="420"/>
        <w:rPr>
          <w:rFonts w:ascii="微软雅黑" w:hAnsi="微软雅黑"/>
          <w:bCs/>
          <w:szCs w:val="21"/>
          <w:highlight w:val="none"/>
        </w:rPr>
      </w:pPr>
      <w:r>
        <w:rPr>
          <w:rFonts w:hint="eastAsia" w:ascii="微软雅黑" w:hAnsi="微软雅黑"/>
          <w:b/>
          <w:szCs w:val="21"/>
          <w:highlight w:val="none"/>
        </w:rPr>
        <w:t>政府采购计划（预算）确认号：南财采确[2022]4854号</w:t>
      </w:r>
    </w:p>
    <w:p>
      <w:pPr>
        <w:pStyle w:val="27"/>
        <w:snapToGrid w:val="0"/>
        <w:spacing w:line="560" w:lineRule="exact"/>
        <w:ind w:firstLine="420"/>
        <w:rPr>
          <w:rFonts w:ascii="微软雅黑" w:hAnsi="微软雅黑"/>
          <w:szCs w:val="21"/>
          <w:highlight w:val="none"/>
        </w:rPr>
      </w:pPr>
      <w:r>
        <w:rPr>
          <w:rFonts w:hint="eastAsia" w:ascii="微软雅黑" w:hAnsi="微软雅黑"/>
          <w:b/>
          <w:szCs w:val="21"/>
          <w:highlight w:val="none"/>
        </w:rPr>
        <w:t>预算金额</w:t>
      </w:r>
      <w:r>
        <w:rPr>
          <w:rFonts w:hint="eastAsia" w:ascii="微软雅黑" w:hAnsi="微软雅黑"/>
          <w:szCs w:val="21"/>
          <w:highlight w:val="none"/>
        </w:rPr>
        <w:t xml:space="preserve">：  </w:t>
      </w:r>
    </w:p>
    <w:p>
      <w:pPr>
        <w:snapToGrid w:val="0"/>
        <w:spacing w:line="560" w:lineRule="exact"/>
        <w:ind w:firstLine="420"/>
        <w:rPr>
          <w:rFonts w:ascii="微软雅黑" w:hAnsi="微软雅黑"/>
          <w:szCs w:val="21"/>
          <w:highlight w:val="none"/>
        </w:rPr>
      </w:pPr>
      <w:r>
        <w:rPr>
          <w:rFonts w:hint="eastAsia" w:ascii="微软雅黑" w:hAnsi="微软雅黑"/>
          <w:b/>
          <w:szCs w:val="21"/>
          <w:highlight w:val="none"/>
        </w:rPr>
        <w:t>采购人（以下称甲方）：</w:t>
      </w:r>
    </w:p>
    <w:p>
      <w:pPr>
        <w:pStyle w:val="27"/>
        <w:snapToGrid w:val="0"/>
        <w:spacing w:line="560" w:lineRule="exact"/>
        <w:ind w:firstLine="420"/>
        <w:rPr>
          <w:rFonts w:ascii="微软雅黑" w:hAnsi="微软雅黑"/>
          <w:b/>
          <w:szCs w:val="21"/>
          <w:highlight w:val="none"/>
        </w:rPr>
      </w:pPr>
      <w:r>
        <w:rPr>
          <w:rFonts w:hint="eastAsia" w:ascii="微软雅黑" w:hAnsi="微软雅黑"/>
          <w:b/>
          <w:szCs w:val="21"/>
          <w:highlight w:val="none"/>
        </w:rPr>
        <w:t>供应商（以下称乙方）：</w:t>
      </w:r>
    </w:p>
    <w:p>
      <w:pPr>
        <w:pStyle w:val="27"/>
        <w:snapToGrid w:val="0"/>
        <w:spacing w:line="560" w:lineRule="exact"/>
        <w:ind w:firstLine="420"/>
        <w:rPr>
          <w:rFonts w:ascii="微软雅黑" w:hAnsi="微软雅黑"/>
          <w:szCs w:val="21"/>
          <w:highlight w:val="none"/>
        </w:rPr>
      </w:pPr>
      <w:r>
        <w:rPr>
          <w:rFonts w:hint="eastAsia" w:ascii="微软雅黑" w:hAnsi="微软雅黑"/>
          <w:b/>
          <w:szCs w:val="21"/>
          <w:highlight w:val="none"/>
        </w:rPr>
        <w:t>采购代理机构：</w:t>
      </w:r>
    </w:p>
    <w:p>
      <w:pPr>
        <w:pStyle w:val="27"/>
        <w:snapToGrid w:val="0"/>
        <w:spacing w:line="560" w:lineRule="exact"/>
        <w:ind w:firstLine="420"/>
        <w:rPr>
          <w:rFonts w:ascii="微软雅黑" w:hAnsi="微软雅黑"/>
          <w:szCs w:val="21"/>
          <w:highlight w:val="none"/>
        </w:rPr>
      </w:pPr>
      <w:r>
        <w:rPr>
          <w:rFonts w:hint="eastAsia" w:ascii="微软雅黑" w:hAnsi="微软雅黑"/>
          <w:b/>
          <w:szCs w:val="21"/>
          <w:highlight w:val="none"/>
        </w:rPr>
        <w:t>采购方式：</w:t>
      </w:r>
      <w:r>
        <w:rPr>
          <w:rFonts w:hint="eastAsia" w:ascii="微软雅黑" w:hAnsi="微软雅黑"/>
          <w:szCs w:val="21"/>
          <w:highlight w:val="none"/>
        </w:rPr>
        <w:t>公开招标</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根据《中华人民共和国政府采购法》、《中华人民共和国民法典》等法律法规的规定，甲、乙双方按照</w:t>
      </w:r>
      <w:r>
        <w:rPr>
          <w:rFonts w:hint="eastAsia" w:ascii="微软雅黑" w:hAnsi="微软雅黑" w:cs="Tahoma"/>
          <w:bCs/>
          <w:kern w:val="36"/>
          <w:szCs w:val="21"/>
          <w:highlight w:val="none"/>
        </w:rPr>
        <w:t>项目</w:t>
      </w:r>
      <w:r>
        <w:rPr>
          <w:rFonts w:hint="eastAsia" w:ascii="微软雅黑" w:hAnsi="微软雅黑"/>
          <w:szCs w:val="21"/>
          <w:highlight w:val="none"/>
        </w:rPr>
        <w:t>采购结果签订本合同。</w:t>
      </w:r>
    </w:p>
    <w:p>
      <w:pPr>
        <w:shd w:val="clear" w:color="auto" w:fill="FFFFFF"/>
        <w:tabs>
          <w:tab w:val="left" w:pos="916"/>
          <w:tab w:val="left" w:pos="1832"/>
          <w:tab w:val="left" w:pos="2748"/>
        </w:tabs>
        <w:spacing w:line="560" w:lineRule="exact"/>
        <w:ind w:firstLine="420"/>
        <w:rPr>
          <w:rFonts w:ascii="微软雅黑" w:hAnsi="微软雅黑"/>
          <w:b/>
          <w:szCs w:val="21"/>
          <w:highlight w:val="none"/>
        </w:rPr>
      </w:pPr>
      <w:r>
        <w:rPr>
          <w:rFonts w:hint="eastAsia" w:ascii="微软雅黑" w:hAnsi="微软雅黑"/>
          <w:b/>
          <w:szCs w:val="21"/>
          <w:highlight w:val="none"/>
        </w:rPr>
        <w:t>第一条 合同组成</w:t>
      </w:r>
      <w:r>
        <w:rPr>
          <w:rFonts w:ascii="微软雅黑" w:hAnsi="微软雅黑"/>
          <w:b/>
          <w:szCs w:val="21"/>
          <w:highlight w:val="none"/>
        </w:rPr>
        <w:tab/>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本次政府采购活动的相关文件为本合同的组成部分，这些文件包括但不限于：</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1、本合同文本；</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2、采购文件与采购响应文件；</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3、中标或成交通知书；</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组成本合同的所有文件必须为书面形式。政府采购合同备案时，须提供以上1、3两项，合同如有变更的，须提供变更协议。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b/>
          <w:szCs w:val="21"/>
          <w:highlight w:val="none"/>
        </w:rPr>
      </w:pPr>
      <w:r>
        <w:rPr>
          <w:rFonts w:hint="eastAsia" w:ascii="微软雅黑" w:hAnsi="微软雅黑"/>
          <w:b/>
          <w:szCs w:val="21"/>
          <w:highlight w:val="none"/>
        </w:rPr>
        <w:t>第二条 合同标的与相关属性</w:t>
      </w:r>
    </w:p>
    <w:p>
      <w:pPr>
        <w:snapToGrid w:val="0"/>
        <w:spacing w:line="560" w:lineRule="exact"/>
        <w:ind w:firstLine="525" w:firstLineChars="250"/>
        <w:rPr>
          <w:rFonts w:ascii="微软雅黑" w:hAnsi="微软雅黑"/>
          <w:szCs w:val="21"/>
          <w:highlight w:val="none"/>
        </w:rPr>
      </w:pPr>
      <w:r>
        <w:rPr>
          <w:rFonts w:hint="eastAsia" w:ascii="微软雅黑" w:hAnsi="微软雅黑"/>
          <w:szCs w:val="21"/>
          <w:highlight w:val="none"/>
        </w:rPr>
        <w:t>1、本次采购的是</w:t>
      </w:r>
      <w:r>
        <w:rPr>
          <w:rFonts w:hint="eastAsia" w:ascii="微软雅黑" w:hAnsi="微软雅黑" w:cs="Tahoma"/>
          <w:bCs/>
          <w:kern w:val="36"/>
          <w:szCs w:val="21"/>
          <w:highlight w:val="none"/>
        </w:rPr>
        <w:t>项目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2、乙方是否属于中小微企业：□是□否</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3、本合同项下产品属于（可多选）：□环保产品；□节能产品；□进口产品</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b/>
          <w:szCs w:val="21"/>
          <w:highlight w:val="none"/>
        </w:rPr>
      </w:pPr>
      <w:r>
        <w:rPr>
          <w:rFonts w:hint="eastAsia" w:ascii="微软雅黑" w:hAnsi="微软雅黑"/>
          <w:b/>
          <w:szCs w:val="21"/>
          <w:highlight w:val="none"/>
        </w:rPr>
        <w:t>第三条 合同价款</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1、本合同项下总价款为（大写）</w:t>
      </w:r>
      <w:r>
        <w:rPr>
          <w:rFonts w:hint="eastAsia" w:ascii="微软雅黑" w:hAnsi="微软雅黑"/>
          <w:szCs w:val="21"/>
          <w:highlight w:val="none"/>
          <w:u w:val="single"/>
        </w:rPr>
        <w:t xml:space="preserve">        </w:t>
      </w:r>
      <w:r>
        <w:rPr>
          <w:rFonts w:hint="eastAsia" w:ascii="微软雅黑" w:hAnsi="微软雅黑"/>
          <w:szCs w:val="21"/>
          <w:highlight w:val="none"/>
        </w:rPr>
        <w:t xml:space="preserve"> 人民币，分项价款见“价格清单”（如有）”。</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2、本合同总价款含所有税费(包括货款、标准附件、备品备件、专用工具、包装、运输、装卸、保险、税金、货到就位以及安装、调试、培训、保修等一切税金和费用。)</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3、本合同付款方式为以下第</w:t>
      </w:r>
      <w:r>
        <w:rPr>
          <w:rFonts w:hint="eastAsia" w:ascii="微软雅黑" w:hAnsi="微软雅黑"/>
          <w:szCs w:val="21"/>
          <w:highlight w:val="none"/>
          <w:u w:val="single"/>
        </w:rPr>
        <w:t xml:space="preserve">        </w:t>
      </w:r>
      <w:r>
        <w:rPr>
          <w:rFonts w:hint="eastAsia" w:ascii="微软雅黑" w:hAnsi="微软雅黑"/>
          <w:szCs w:val="21"/>
          <w:highlight w:val="none"/>
        </w:rPr>
        <w:t>项：</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 xml:space="preserve">（1）本合同项下的采购资金系甲方自行支付，付款程序为 </w:t>
      </w:r>
      <w:r>
        <w:rPr>
          <w:rFonts w:hint="eastAsia" w:ascii="微软雅黑" w:hAnsi="微软雅黑"/>
          <w:szCs w:val="21"/>
          <w:highlight w:val="none"/>
          <w:u w:val="single"/>
        </w:rPr>
        <w:t xml:space="preserve">        </w:t>
      </w:r>
      <w:r>
        <w:rPr>
          <w:rFonts w:hint="eastAsia" w:ascii="微软雅黑" w:hAnsi="微软雅黑"/>
          <w:szCs w:val="21"/>
          <w:highlight w:val="none"/>
        </w:rPr>
        <w:t>；</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（2）本合同项下的采购资金须财政直接支付，付款程序为</w:t>
      </w:r>
      <w:r>
        <w:rPr>
          <w:rFonts w:hint="eastAsia" w:ascii="微软雅黑" w:hAnsi="微软雅黑"/>
          <w:szCs w:val="21"/>
          <w:highlight w:val="none"/>
          <w:u w:val="single"/>
        </w:rPr>
        <w:t xml:space="preserve">        </w:t>
      </w:r>
      <w:r>
        <w:rPr>
          <w:rFonts w:hint="eastAsia" w:ascii="微软雅黑" w:hAnsi="微软雅黑"/>
          <w:szCs w:val="21"/>
          <w:highlight w:val="none"/>
        </w:rPr>
        <w:t>；</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（3）其他方式：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4、本合同项下的采购资金付款进度按招投标文件规定，未规定时按以下第            项支付：</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 xml:space="preserve">（1）一次性付款：乙方合同履行达到 </w:t>
      </w:r>
      <w:r>
        <w:rPr>
          <w:rFonts w:hint="eastAsia" w:ascii="微软雅黑" w:hAnsi="微软雅黑"/>
          <w:szCs w:val="21"/>
          <w:highlight w:val="none"/>
          <w:u w:val="single"/>
        </w:rPr>
        <w:t xml:space="preserve">        </w:t>
      </w:r>
      <w:r>
        <w:rPr>
          <w:rFonts w:hint="eastAsia" w:ascii="微软雅黑" w:hAnsi="微软雅黑"/>
          <w:szCs w:val="21"/>
          <w:highlight w:val="none"/>
        </w:rPr>
        <w:t>（条件）时，一次性付款；</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（2）分期付款</w:t>
      </w:r>
      <w:r>
        <w:rPr>
          <w:rFonts w:hint="eastAsia" w:ascii="微软雅黑" w:hAnsi="微软雅黑"/>
          <w:szCs w:val="21"/>
          <w:highlight w:val="none"/>
          <w:lang w:eastAsia="zh-CN"/>
        </w:rPr>
        <w:t>：</w:t>
      </w:r>
      <w:r>
        <w:rPr>
          <w:rFonts w:ascii="微软雅黑" w:hAnsi="微软雅黑"/>
          <w:szCs w:val="21"/>
          <w:highlight w:val="none"/>
          <w:u w:val="single"/>
        </w:rPr>
        <w:t>项目合同签订后5日内支付项目合同金额</w:t>
      </w:r>
      <w:r>
        <w:rPr>
          <w:rFonts w:hint="eastAsia" w:ascii="微软雅黑" w:hAnsi="微软雅黑"/>
          <w:szCs w:val="21"/>
          <w:highlight w:val="none"/>
          <w:u w:val="single"/>
          <w:lang w:val="en-US" w:eastAsia="zh-CN"/>
        </w:rPr>
        <w:t>4</w:t>
      </w:r>
      <w:r>
        <w:rPr>
          <w:rFonts w:ascii="微软雅黑" w:hAnsi="微软雅黑"/>
          <w:szCs w:val="21"/>
          <w:highlight w:val="none"/>
          <w:u w:val="single"/>
        </w:rPr>
        <w:t>0%的费用；</w:t>
      </w:r>
      <w:r>
        <w:rPr>
          <w:rFonts w:hint="eastAsia" w:ascii="微软雅黑" w:hAnsi="微软雅黑"/>
          <w:szCs w:val="21"/>
          <w:highlight w:val="none"/>
          <w:u w:val="single"/>
        </w:rPr>
        <w:t>经验收合格</w:t>
      </w:r>
      <w:r>
        <w:rPr>
          <w:rFonts w:ascii="微软雅黑" w:hAnsi="微软雅黑"/>
          <w:szCs w:val="21"/>
          <w:highlight w:val="none"/>
          <w:u w:val="single"/>
        </w:rPr>
        <w:t>后支付剩余合同金额</w:t>
      </w:r>
      <w:r>
        <w:rPr>
          <w:rFonts w:hint="eastAsia" w:ascii="微软雅黑" w:hAnsi="微软雅黑"/>
          <w:szCs w:val="21"/>
          <w:highlight w:val="none"/>
          <w:u w:val="single"/>
          <w:lang w:val="en-US" w:eastAsia="zh-CN"/>
        </w:rPr>
        <w:t>6</w:t>
      </w:r>
      <w:r>
        <w:rPr>
          <w:rFonts w:ascii="微软雅黑" w:hAnsi="微软雅黑"/>
          <w:szCs w:val="21"/>
          <w:highlight w:val="none"/>
          <w:u w:val="single"/>
        </w:rPr>
        <w:t>0%的费用。</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若收取了履约保证金，则不应重复设置尾款支付条件。</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b/>
          <w:szCs w:val="21"/>
          <w:highlight w:val="none"/>
        </w:rPr>
      </w:pPr>
      <w:r>
        <w:rPr>
          <w:rFonts w:hint="eastAsia" w:ascii="微软雅黑" w:hAnsi="微软雅黑"/>
          <w:b/>
          <w:szCs w:val="21"/>
          <w:highlight w:val="none"/>
        </w:rPr>
        <w:t>第四条 履约保证金</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按以下第</w:t>
      </w:r>
      <w:r>
        <w:rPr>
          <w:rFonts w:hint="eastAsia" w:ascii="微软雅黑" w:hAnsi="微软雅黑"/>
          <w:szCs w:val="21"/>
          <w:highlight w:val="none"/>
          <w:u w:val="single"/>
        </w:rPr>
        <w:t xml:space="preserve">    </w:t>
      </w:r>
      <w:r>
        <w:rPr>
          <w:rFonts w:hint="eastAsia" w:ascii="微软雅黑" w:hAnsi="微软雅黑"/>
          <w:szCs w:val="21"/>
          <w:highlight w:val="none"/>
          <w:u w:val="single"/>
          <w:lang w:val="en-US" w:eastAsia="zh-CN"/>
        </w:rPr>
        <w:t>2</w:t>
      </w:r>
      <w:r>
        <w:rPr>
          <w:rFonts w:hint="eastAsia" w:ascii="微软雅黑" w:hAnsi="微软雅黑"/>
          <w:szCs w:val="21"/>
          <w:highlight w:val="none"/>
          <w:u w:val="single"/>
        </w:rPr>
        <w:t xml:space="preserve">    </w:t>
      </w:r>
      <w:r>
        <w:rPr>
          <w:rFonts w:hint="eastAsia" w:ascii="微软雅黑" w:hAnsi="微软雅黑"/>
          <w:szCs w:val="21"/>
          <w:highlight w:val="none"/>
        </w:rPr>
        <w:t>项处理：</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1、本项目设置履约保证金，乙方应于</w:t>
      </w:r>
      <w:r>
        <w:rPr>
          <w:rFonts w:hint="eastAsia" w:ascii="微软雅黑" w:hAnsi="微软雅黑"/>
          <w:szCs w:val="21"/>
          <w:highlight w:val="none"/>
          <w:u w:val="single"/>
        </w:rPr>
        <w:t xml:space="preserve">      </w:t>
      </w:r>
      <w:r>
        <w:rPr>
          <w:rFonts w:hint="eastAsia" w:ascii="微软雅黑" w:hAnsi="微软雅黑"/>
          <w:szCs w:val="21"/>
          <w:highlight w:val="none"/>
          <w:u w:val="single"/>
          <w:lang w:val="en-US" w:eastAsia="zh-CN"/>
        </w:rPr>
        <w:t xml:space="preserve">       </w:t>
      </w:r>
      <w:r>
        <w:rPr>
          <w:rFonts w:hint="eastAsia" w:ascii="微软雅黑" w:hAnsi="微软雅黑"/>
          <w:szCs w:val="21"/>
          <w:highlight w:val="none"/>
          <w:u w:val="single"/>
        </w:rPr>
        <w:t xml:space="preserve">  </w:t>
      </w:r>
      <w:r>
        <w:rPr>
          <w:rFonts w:hint="eastAsia" w:ascii="微软雅黑" w:hAnsi="微软雅黑"/>
          <w:szCs w:val="21"/>
          <w:highlight w:val="none"/>
        </w:rPr>
        <w:t xml:space="preserve">（时间）向甲方提交履约保证金  </w:t>
      </w:r>
      <w:r>
        <w:rPr>
          <w:rFonts w:hint="eastAsia" w:ascii="微软雅黑" w:hAnsi="微软雅黑"/>
          <w:szCs w:val="21"/>
          <w:highlight w:val="none"/>
          <w:u w:val="single"/>
        </w:rPr>
        <w:t xml:space="preserve">     </w:t>
      </w:r>
      <w:r>
        <w:rPr>
          <w:rFonts w:hint="eastAsia" w:ascii="微软雅黑" w:hAnsi="微软雅黑"/>
          <w:szCs w:val="21"/>
          <w:highlight w:val="none"/>
          <w:u w:val="single"/>
          <w:lang w:val="en-US" w:eastAsia="zh-CN"/>
        </w:rPr>
        <w:t xml:space="preserve">  </w:t>
      </w:r>
      <w:r>
        <w:rPr>
          <w:rFonts w:hint="eastAsia" w:ascii="微软雅黑" w:hAnsi="微软雅黑"/>
          <w:szCs w:val="21"/>
          <w:highlight w:val="none"/>
          <w:u w:val="single"/>
        </w:rPr>
        <w:t xml:space="preserve">   </w:t>
      </w:r>
      <w:r>
        <w:rPr>
          <w:rFonts w:hint="eastAsia" w:ascii="微软雅黑" w:hAnsi="微软雅黑"/>
          <w:szCs w:val="21"/>
          <w:highlight w:val="none"/>
          <w:lang w:val="en-US" w:eastAsia="zh-CN"/>
        </w:rPr>
        <w:t xml:space="preserve"> </w:t>
      </w:r>
      <w:r>
        <w:rPr>
          <w:rFonts w:hint="eastAsia" w:ascii="微软雅黑" w:hAnsi="微软雅黑"/>
          <w:szCs w:val="21"/>
          <w:highlight w:val="none"/>
        </w:rPr>
        <w:t>元（不得高于本合同金额的2.5%）。履约保证金在</w:t>
      </w:r>
      <w:r>
        <w:rPr>
          <w:rFonts w:hint="eastAsia" w:ascii="微软雅黑" w:hAnsi="微软雅黑"/>
          <w:szCs w:val="21"/>
          <w:highlight w:val="none"/>
          <w:u w:val="single"/>
        </w:rPr>
        <w:t xml:space="preserve">        </w:t>
      </w:r>
      <w:r>
        <w:rPr>
          <w:rFonts w:hint="eastAsia" w:ascii="微软雅黑" w:hAnsi="微软雅黑"/>
          <w:szCs w:val="21"/>
          <w:highlight w:val="none"/>
        </w:rPr>
        <w:t>（时间）退还乙方。</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2、本项目不设置履约保证金</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b/>
          <w:szCs w:val="21"/>
          <w:highlight w:val="none"/>
        </w:rPr>
      </w:pPr>
      <w:r>
        <w:rPr>
          <w:rFonts w:hint="eastAsia" w:ascii="微软雅黑" w:hAnsi="微软雅黑"/>
          <w:b/>
          <w:szCs w:val="21"/>
          <w:highlight w:val="none"/>
        </w:rPr>
        <w:t>第五条 合同的变更和终止</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除《政府采购法》第49条、第50条第二款规定的情形外，本合同一经签订，甲乙双方不得擅自终止合同或对合同实质性条款进行变更。确有特殊情况的，须经同级财政部门备案同意。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b/>
          <w:szCs w:val="21"/>
          <w:highlight w:val="none"/>
        </w:rPr>
      </w:pPr>
      <w:r>
        <w:rPr>
          <w:rFonts w:hint="eastAsia" w:ascii="微软雅黑" w:hAnsi="微软雅黑"/>
          <w:b/>
          <w:szCs w:val="21"/>
          <w:highlight w:val="none"/>
        </w:rPr>
        <w:t>第六条 合同的转让与分包</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hint="eastAsia" w:ascii="微软雅黑" w:hAnsi="微软雅黑"/>
          <w:szCs w:val="21"/>
          <w:highlight w:val="none"/>
        </w:rPr>
      </w:pPr>
      <w:r>
        <w:rPr>
          <w:rFonts w:hint="eastAsia" w:ascii="微软雅黑" w:hAnsi="微软雅黑"/>
          <w:szCs w:val="21"/>
          <w:highlight w:val="none"/>
        </w:rPr>
        <w:t>1、本项目不允许转包；</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hint="eastAsia" w:ascii="微软雅黑" w:hAnsi="微软雅黑"/>
          <w:szCs w:val="21"/>
          <w:highlight w:val="none"/>
        </w:rPr>
      </w:pPr>
      <w:r>
        <w:rPr>
          <w:rFonts w:hint="eastAsia" w:ascii="微软雅黑" w:hAnsi="微软雅黑"/>
          <w:szCs w:val="21"/>
          <w:highlight w:val="none"/>
        </w:rPr>
        <w:t>2、本项目不允许分包。</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b/>
          <w:szCs w:val="21"/>
          <w:highlight w:val="none"/>
        </w:rPr>
      </w:pPr>
      <w:r>
        <w:rPr>
          <w:rFonts w:hint="eastAsia" w:ascii="微软雅黑" w:hAnsi="微软雅黑"/>
          <w:b/>
          <w:szCs w:val="21"/>
          <w:highlight w:val="none"/>
        </w:rPr>
        <w:t>第七条 争议的解决</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 xml:space="preserve">1、因履行本合同引起的或与本合同有关的争议，甲、乙双方应首先通过友好协商解决，如果协商不能解决争议，则采取以下第 </w:t>
      </w:r>
      <w:r>
        <w:rPr>
          <w:rFonts w:hint="eastAsia" w:ascii="微软雅黑" w:hAnsi="微软雅黑"/>
          <w:szCs w:val="21"/>
          <w:highlight w:val="none"/>
          <w:u w:val="single"/>
        </w:rPr>
        <w:t xml:space="preserve">        </w:t>
      </w:r>
      <w:r>
        <w:rPr>
          <w:rFonts w:hint="eastAsia" w:ascii="微软雅黑" w:hAnsi="微软雅黑"/>
          <w:szCs w:val="21"/>
          <w:highlight w:val="none"/>
        </w:rPr>
        <w:t>种方式解决争议：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（1）向甲方所在地有管辖权的人民法院提起诉讼；</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（2）向</w:t>
      </w:r>
      <w:r>
        <w:rPr>
          <w:rFonts w:hint="eastAsia" w:ascii="微软雅黑" w:hAnsi="微软雅黑"/>
          <w:szCs w:val="21"/>
          <w:highlight w:val="none"/>
          <w:u w:val="single"/>
        </w:rPr>
        <w:t xml:space="preserve">        </w:t>
      </w:r>
      <w:r>
        <w:rPr>
          <w:rFonts w:hint="eastAsia" w:ascii="微软雅黑" w:hAnsi="微软雅黑"/>
          <w:szCs w:val="21"/>
          <w:highlight w:val="none"/>
        </w:rPr>
        <w:t xml:space="preserve"> 仲裁委员申请仲裁。</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b/>
          <w:szCs w:val="21"/>
          <w:highlight w:val="none"/>
        </w:rPr>
      </w:pPr>
      <w:r>
        <w:rPr>
          <w:rFonts w:hint="eastAsia" w:ascii="微软雅黑" w:hAnsi="微软雅黑"/>
          <w:b/>
          <w:szCs w:val="21"/>
          <w:highlight w:val="none"/>
        </w:rPr>
        <w:t>第八条 合同备案及其他</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ind w:firstLine="525" w:firstLineChars="250"/>
        <w:rPr>
          <w:rFonts w:ascii="微软雅黑" w:hAnsi="微软雅黑"/>
          <w:szCs w:val="21"/>
          <w:highlight w:val="none"/>
        </w:rPr>
      </w:pPr>
      <w:r>
        <w:rPr>
          <w:rFonts w:hint="eastAsia" w:ascii="微软雅黑" w:hAnsi="微软雅黑"/>
          <w:szCs w:val="21"/>
          <w:highlight w:val="none"/>
        </w:rPr>
        <w:t>本合同一式五份，甲乙双方各执二份，一份送招标代理机构存档。</w:t>
      </w:r>
    </w:p>
    <w:p>
      <w:pPr>
        <w:pStyle w:val="6"/>
        <w:spacing w:line="560" w:lineRule="exact"/>
        <w:ind w:firstLine="420"/>
        <w:jc w:val="center"/>
        <w:rPr>
          <w:rFonts w:hint="eastAsia" w:ascii="微软雅黑" w:hAnsi="微软雅黑" w:eastAsia="微软雅黑"/>
          <w:szCs w:val="21"/>
          <w:highlight w:val="none"/>
          <w:lang w:eastAsia="zh-CN"/>
        </w:rPr>
      </w:pPr>
      <w:r>
        <w:rPr>
          <w:rFonts w:hint="eastAsia" w:ascii="微软雅黑" w:hAnsi="微软雅黑"/>
          <w:szCs w:val="21"/>
          <w:highlight w:val="none"/>
        </w:rPr>
        <w:t>二、特殊专用条款</w:t>
      </w:r>
      <w:r>
        <w:rPr>
          <w:rFonts w:hint="eastAsia" w:ascii="微软雅黑" w:hAnsi="微软雅黑"/>
          <w:szCs w:val="21"/>
          <w:highlight w:val="none"/>
          <w:lang w:eastAsia="zh-CN"/>
        </w:rPr>
        <w:t>部分</w:t>
      </w:r>
    </w:p>
    <w:p>
      <w:pPr>
        <w:pStyle w:val="27"/>
        <w:snapToGrid w:val="0"/>
        <w:spacing w:line="560" w:lineRule="exact"/>
        <w:ind w:firstLine="412" w:firstLineChars="196"/>
        <w:rPr>
          <w:rFonts w:ascii="微软雅黑" w:hAnsi="微软雅黑"/>
          <w:b/>
          <w:szCs w:val="21"/>
          <w:highlight w:val="none"/>
        </w:rPr>
      </w:pPr>
      <w:r>
        <w:rPr>
          <w:rFonts w:hint="eastAsia" w:ascii="微软雅黑" w:hAnsi="微软雅黑"/>
          <w:b/>
          <w:szCs w:val="21"/>
          <w:highlight w:val="none"/>
        </w:rPr>
        <w:t>第一条服务内容</w:t>
      </w:r>
    </w:p>
    <w:p>
      <w:pPr>
        <w:autoSpaceDE w:val="0"/>
        <w:autoSpaceDN w:val="0"/>
        <w:adjustRightInd w:val="0"/>
        <w:spacing w:line="560" w:lineRule="exact"/>
        <w:ind w:firstLine="420"/>
        <w:rPr>
          <w:rFonts w:ascii="微软雅黑" w:hAnsi="微软雅黑"/>
          <w:b/>
          <w:kern w:val="36"/>
          <w:szCs w:val="21"/>
          <w:highlight w:val="none"/>
        </w:rPr>
      </w:pPr>
      <w:r>
        <w:rPr>
          <w:rFonts w:ascii="微软雅黑" w:hAnsi="微软雅黑"/>
          <w:b/>
          <w:kern w:val="36"/>
          <w:szCs w:val="21"/>
          <w:highlight w:val="none"/>
        </w:rPr>
        <w:t>……</w:t>
      </w:r>
    </w:p>
    <w:p>
      <w:pPr>
        <w:pStyle w:val="27"/>
        <w:snapToGrid w:val="0"/>
        <w:spacing w:line="560" w:lineRule="exact"/>
        <w:ind w:firstLine="412" w:firstLineChars="196"/>
        <w:rPr>
          <w:rFonts w:ascii="微软雅黑" w:hAnsi="微软雅黑"/>
          <w:b/>
          <w:szCs w:val="21"/>
          <w:highlight w:val="none"/>
        </w:rPr>
      </w:pPr>
      <w:r>
        <w:rPr>
          <w:rFonts w:hint="eastAsia" w:ascii="微软雅黑" w:hAnsi="微软雅黑"/>
          <w:b/>
          <w:szCs w:val="21"/>
          <w:highlight w:val="none"/>
        </w:rPr>
        <w:t>第二条</w:t>
      </w:r>
      <w:r>
        <w:rPr>
          <w:rFonts w:ascii="微软雅黑" w:hAnsi="微软雅黑"/>
          <w:b/>
          <w:szCs w:val="21"/>
          <w:highlight w:val="none"/>
        </w:rPr>
        <w:t>合同履行时间、履行方式及履行地点</w:t>
      </w:r>
    </w:p>
    <w:p>
      <w:pPr>
        <w:pStyle w:val="27"/>
        <w:snapToGrid w:val="0"/>
        <w:spacing w:line="560" w:lineRule="exact"/>
        <w:ind w:firstLine="411" w:firstLineChars="196"/>
        <w:rPr>
          <w:rFonts w:ascii="微软雅黑" w:hAnsi="微软雅黑"/>
          <w:bCs/>
          <w:szCs w:val="21"/>
          <w:highlight w:val="none"/>
        </w:rPr>
      </w:pPr>
      <w:r>
        <w:rPr>
          <w:rFonts w:ascii="微软雅黑" w:hAnsi="微软雅黑"/>
          <w:bCs/>
          <w:szCs w:val="21"/>
          <w:highlight w:val="none"/>
        </w:rPr>
        <w:t>1</w:t>
      </w:r>
      <w:r>
        <w:rPr>
          <w:rFonts w:hint="eastAsia" w:ascii="微软雅黑" w:hAnsi="微软雅黑"/>
          <w:bCs/>
          <w:szCs w:val="21"/>
          <w:highlight w:val="none"/>
        </w:rPr>
        <w:t>、</w:t>
      </w:r>
      <w:r>
        <w:rPr>
          <w:rFonts w:ascii="微软雅黑" w:hAnsi="微软雅黑"/>
          <w:szCs w:val="21"/>
          <w:highlight w:val="none"/>
        </w:rPr>
        <w:t>履行时间</w:t>
      </w:r>
      <w:r>
        <w:rPr>
          <w:rFonts w:ascii="微软雅黑" w:hAnsi="微软雅黑"/>
          <w:bCs/>
          <w:szCs w:val="21"/>
          <w:highlight w:val="none"/>
        </w:rPr>
        <w:t>：</w:t>
      </w:r>
    </w:p>
    <w:p>
      <w:pPr>
        <w:pStyle w:val="27"/>
        <w:snapToGrid w:val="0"/>
        <w:spacing w:line="560" w:lineRule="exact"/>
        <w:ind w:firstLine="411" w:firstLineChars="196"/>
        <w:rPr>
          <w:rFonts w:ascii="微软雅黑" w:hAnsi="微软雅黑"/>
          <w:bCs/>
          <w:szCs w:val="21"/>
          <w:highlight w:val="none"/>
        </w:rPr>
      </w:pPr>
      <w:r>
        <w:rPr>
          <w:rFonts w:ascii="微软雅黑" w:hAnsi="微软雅黑"/>
          <w:bCs/>
          <w:szCs w:val="21"/>
          <w:highlight w:val="none"/>
        </w:rPr>
        <w:t>2</w:t>
      </w:r>
      <w:r>
        <w:rPr>
          <w:rFonts w:hint="eastAsia" w:ascii="微软雅黑" w:hAnsi="微软雅黑"/>
          <w:bCs/>
          <w:szCs w:val="21"/>
          <w:highlight w:val="none"/>
        </w:rPr>
        <w:t>、</w:t>
      </w:r>
      <w:r>
        <w:rPr>
          <w:rFonts w:ascii="微软雅黑" w:hAnsi="微软雅黑"/>
          <w:szCs w:val="21"/>
          <w:highlight w:val="none"/>
        </w:rPr>
        <w:t>履行方式</w:t>
      </w:r>
      <w:r>
        <w:rPr>
          <w:rFonts w:ascii="微软雅黑" w:hAnsi="微软雅黑"/>
          <w:bCs/>
          <w:szCs w:val="21"/>
          <w:highlight w:val="none"/>
        </w:rPr>
        <w:t>：</w:t>
      </w:r>
    </w:p>
    <w:p>
      <w:pPr>
        <w:pStyle w:val="27"/>
        <w:snapToGrid w:val="0"/>
        <w:spacing w:line="560" w:lineRule="exact"/>
        <w:ind w:firstLine="420"/>
        <w:rPr>
          <w:rFonts w:ascii="微软雅黑" w:hAnsi="微软雅黑"/>
          <w:bCs/>
          <w:szCs w:val="21"/>
          <w:highlight w:val="none"/>
        </w:rPr>
      </w:pPr>
      <w:r>
        <w:rPr>
          <w:rFonts w:ascii="微软雅黑" w:hAnsi="微软雅黑"/>
          <w:bCs/>
          <w:szCs w:val="21"/>
          <w:highlight w:val="none"/>
        </w:rPr>
        <w:t>3</w:t>
      </w:r>
      <w:r>
        <w:rPr>
          <w:rFonts w:hint="eastAsia" w:ascii="微软雅黑" w:hAnsi="微软雅黑"/>
          <w:bCs/>
          <w:szCs w:val="21"/>
          <w:highlight w:val="none"/>
        </w:rPr>
        <w:t>、</w:t>
      </w:r>
      <w:r>
        <w:rPr>
          <w:rFonts w:ascii="微软雅黑" w:hAnsi="微软雅黑"/>
          <w:szCs w:val="21"/>
          <w:highlight w:val="none"/>
        </w:rPr>
        <w:t>履行地点</w:t>
      </w:r>
      <w:r>
        <w:rPr>
          <w:rFonts w:ascii="微软雅黑" w:hAnsi="微软雅黑"/>
          <w:bCs/>
          <w:szCs w:val="21"/>
          <w:highlight w:val="none"/>
        </w:rPr>
        <w:t>：</w:t>
      </w:r>
    </w:p>
    <w:p>
      <w:pPr>
        <w:pStyle w:val="27"/>
        <w:snapToGrid w:val="0"/>
        <w:spacing w:line="560" w:lineRule="exact"/>
        <w:ind w:firstLine="420"/>
        <w:rPr>
          <w:rFonts w:ascii="微软雅黑" w:hAnsi="微软雅黑"/>
          <w:b/>
          <w:szCs w:val="21"/>
          <w:highlight w:val="none"/>
        </w:rPr>
      </w:pPr>
      <w:r>
        <w:rPr>
          <w:rFonts w:hint="eastAsia" w:ascii="微软雅黑" w:hAnsi="微软雅黑"/>
          <w:b/>
          <w:szCs w:val="21"/>
          <w:highlight w:val="none"/>
        </w:rPr>
        <w:t>第</w:t>
      </w:r>
      <w:r>
        <w:rPr>
          <w:rFonts w:ascii="微软雅黑" w:hAnsi="微软雅黑"/>
          <w:b/>
          <w:szCs w:val="21"/>
          <w:highlight w:val="none"/>
        </w:rPr>
        <w:t>三</w:t>
      </w:r>
      <w:r>
        <w:rPr>
          <w:rFonts w:hint="eastAsia" w:ascii="微软雅黑" w:hAnsi="微软雅黑"/>
          <w:b/>
          <w:szCs w:val="21"/>
          <w:highlight w:val="none"/>
        </w:rPr>
        <w:t>条</w:t>
      </w:r>
      <w:r>
        <w:rPr>
          <w:rFonts w:ascii="微软雅黑" w:hAnsi="微软雅黑"/>
          <w:b/>
          <w:szCs w:val="21"/>
          <w:highlight w:val="none"/>
        </w:rPr>
        <w:t>技术资料</w:t>
      </w:r>
    </w:p>
    <w:p>
      <w:pPr>
        <w:pStyle w:val="27"/>
        <w:snapToGrid w:val="0"/>
        <w:spacing w:line="560" w:lineRule="exact"/>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w:t>
      </w:r>
      <w:r>
        <w:rPr>
          <w:rFonts w:ascii="微软雅黑" w:hAnsi="微软雅黑"/>
          <w:szCs w:val="21"/>
          <w:highlight w:val="none"/>
        </w:rPr>
        <w:t>乙方应按招标文件规定的时间向甲方提供有关技术资料。</w:t>
      </w:r>
    </w:p>
    <w:p>
      <w:pPr>
        <w:pStyle w:val="27"/>
        <w:snapToGrid w:val="0"/>
        <w:spacing w:line="560" w:lineRule="exact"/>
        <w:ind w:firstLine="420"/>
        <w:rPr>
          <w:rFonts w:ascii="微软雅黑" w:hAnsi="微软雅黑"/>
          <w:szCs w:val="21"/>
          <w:highlight w:val="none"/>
        </w:rPr>
      </w:pPr>
      <w:r>
        <w:rPr>
          <w:rFonts w:ascii="微软雅黑" w:hAnsi="微软雅黑"/>
          <w:szCs w:val="21"/>
          <w:highlight w:val="none"/>
        </w:rPr>
        <w:t>2</w:t>
      </w:r>
      <w:r>
        <w:rPr>
          <w:rFonts w:hint="eastAsia" w:ascii="微软雅黑" w:hAnsi="微软雅黑"/>
          <w:szCs w:val="21"/>
          <w:highlight w:val="none"/>
        </w:rPr>
        <w:t>、</w:t>
      </w:r>
      <w:r>
        <w:rPr>
          <w:rFonts w:ascii="微软雅黑" w:hAnsi="微软雅黑"/>
          <w:szCs w:val="21"/>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7"/>
        <w:snapToGrid w:val="0"/>
        <w:spacing w:line="560" w:lineRule="exact"/>
        <w:ind w:firstLine="420"/>
        <w:rPr>
          <w:rFonts w:ascii="微软雅黑" w:hAnsi="微软雅黑"/>
          <w:b/>
          <w:szCs w:val="21"/>
          <w:highlight w:val="none"/>
        </w:rPr>
      </w:pPr>
      <w:r>
        <w:rPr>
          <w:rFonts w:hint="eastAsia" w:ascii="微软雅黑" w:hAnsi="微软雅黑"/>
          <w:b/>
          <w:szCs w:val="21"/>
          <w:highlight w:val="none"/>
        </w:rPr>
        <w:t>第</w:t>
      </w:r>
      <w:r>
        <w:rPr>
          <w:rFonts w:ascii="微软雅黑" w:hAnsi="微软雅黑"/>
          <w:b/>
          <w:szCs w:val="21"/>
          <w:highlight w:val="none"/>
        </w:rPr>
        <w:t>四</w:t>
      </w:r>
      <w:r>
        <w:rPr>
          <w:rFonts w:hint="eastAsia" w:ascii="微软雅黑" w:hAnsi="微软雅黑"/>
          <w:b/>
          <w:szCs w:val="21"/>
          <w:highlight w:val="none"/>
        </w:rPr>
        <w:t>条</w:t>
      </w:r>
      <w:r>
        <w:rPr>
          <w:rFonts w:ascii="微软雅黑" w:hAnsi="微软雅黑"/>
          <w:b/>
          <w:szCs w:val="21"/>
          <w:highlight w:val="none"/>
        </w:rPr>
        <w:t>知识产权</w:t>
      </w:r>
    </w:p>
    <w:p>
      <w:pPr>
        <w:pStyle w:val="27"/>
        <w:snapToGrid w:val="0"/>
        <w:spacing w:line="560" w:lineRule="exact"/>
        <w:ind w:firstLine="420"/>
        <w:rPr>
          <w:rFonts w:ascii="微软雅黑" w:hAnsi="微软雅黑"/>
          <w:b/>
          <w:bCs/>
          <w:szCs w:val="21"/>
          <w:highlight w:val="none"/>
        </w:rPr>
      </w:pPr>
      <w:r>
        <w:rPr>
          <w:rFonts w:ascii="微软雅黑" w:hAnsi="微软雅黑"/>
          <w:szCs w:val="21"/>
          <w:highlight w:val="none"/>
        </w:rPr>
        <w:t>乙方应保证提供服务过程中不会侵犯任何第三方的</w:t>
      </w:r>
      <w:r>
        <w:rPr>
          <w:rFonts w:ascii="微软雅黑" w:hAnsi="微软雅黑"/>
          <w:b/>
          <w:szCs w:val="21"/>
          <w:highlight w:val="none"/>
        </w:rPr>
        <w:t>知识产权</w:t>
      </w:r>
      <w:r>
        <w:rPr>
          <w:rFonts w:ascii="微软雅黑" w:hAnsi="微软雅黑"/>
          <w:b/>
          <w:bCs/>
          <w:szCs w:val="21"/>
          <w:highlight w:val="none"/>
        </w:rPr>
        <w:t>。</w:t>
      </w:r>
    </w:p>
    <w:p>
      <w:pPr>
        <w:pStyle w:val="27"/>
        <w:snapToGrid w:val="0"/>
        <w:spacing w:line="560" w:lineRule="exact"/>
        <w:ind w:firstLine="420"/>
        <w:rPr>
          <w:rFonts w:ascii="微软雅黑" w:hAnsi="微软雅黑"/>
          <w:b/>
          <w:szCs w:val="21"/>
          <w:highlight w:val="none"/>
        </w:rPr>
      </w:pPr>
      <w:r>
        <w:rPr>
          <w:rFonts w:hint="eastAsia" w:ascii="微软雅黑" w:hAnsi="微软雅黑"/>
          <w:b/>
          <w:szCs w:val="21"/>
          <w:highlight w:val="none"/>
        </w:rPr>
        <w:t>第五条</w:t>
      </w:r>
      <w:r>
        <w:rPr>
          <w:rFonts w:ascii="微软雅黑" w:hAnsi="微软雅黑"/>
          <w:b/>
          <w:szCs w:val="21"/>
          <w:highlight w:val="none"/>
        </w:rPr>
        <w:t>履约保证金</w:t>
      </w:r>
    </w:p>
    <w:p>
      <w:pPr>
        <w:snapToGrid w:val="0"/>
        <w:spacing w:line="560" w:lineRule="exact"/>
        <w:ind w:firstLine="411" w:firstLineChars="196"/>
        <w:rPr>
          <w:rFonts w:hint="eastAsia" w:ascii="微软雅黑" w:hAnsi="微软雅黑"/>
          <w:szCs w:val="21"/>
          <w:highlight w:val="none"/>
        </w:rPr>
      </w:pPr>
      <w:r>
        <w:rPr>
          <w:rFonts w:hint="eastAsia" w:ascii="微软雅黑" w:hAnsi="微软雅黑"/>
          <w:szCs w:val="21"/>
          <w:highlight w:val="none"/>
        </w:rPr>
        <w:t>本项目不设置履约保证金</w:t>
      </w:r>
    </w:p>
    <w:p>
      <w:pPr>
        <w:snapToGrid w:val="0"/>
        <w:spacing w:line="560" w:lineRule="exact"/>
        <w:ind w:firstLine="412" w:firstLineChars="196"/>
        <w:rPr>
          <w:rFonts w:ascii="微软雅黑" w:hAnsi="微软雅黑"/>
          <w:b/>
          <w:szCs w:val="21"/>
          <w:highlight w:val="none"/>
        </w:rPr>
      </w:pPr>
      <w:r>
        <w:rPr>
          <w:rFonts w:hint="eastAsia" w:ascii="微软雅黑" w:hAnsi="微软雅黑"/>
          <w:b/>
          <w:szCs w:val="21"/>
          <w:highlight w:val="none"/>
        </w:rPr>
        <w:t>第六条 税费</w:t>
      </w:r>
    </w:p>
    <w:p>
      <w:pPr>
        <w:snapToGrid w:val="0"/>
        <w:spacing w:line="560" w:lineRule="exact"/>
        <w:ind w:firstLine="411" w:firstLineChars="196"/>
        <w:rPr>
          <w:rFonts w:ascii="微软雅黑" w:hAnsi="微软雅黑"/>
          <w:szCs w:val="21"/>
          <w:highlight w:val="none"/>
        </w:rPr>
      </w:pPr>
      <w:r>
        <w:rPr>
          <w:rFonts w:hint="eastAsia" w:ascii="微软雅黑" w:hAnsi="微软雅黑"/>
          <w:szCs w:val="21"/>
          <w:highlight w:val="none"/>
        </w:rPr>
        <w:t>本合同执行中相关的一切税费均由</w:t>
      </w:r>
      <w:r>
        <w:rPr>
          <w:rFonts w:ascii="微软雅黑" w:hAnsi="微软雅黑"/>
          <w:szCs w:val="21"/>
          <w:highlight w:val="none"/>
        </w:rPr>
        <w:t>乙</w:t>
      </w:r>
      <w:r>
        <w:rPr>
          <w:rFonts w:hint="eastAsia" w:ascii="微软雅黑" w:hAnsi="微软雅黑"/>
          <w:szCs w:val="21"/>
          <w:highlight w:val="none"/>
        </w:rPr>
        <w:t>方负担。</w:t>
      </w:r>
    </w:p>
    <w:p>
      <w:pPr>
        <w:pStyle w:val="27"/>
        <w:snapToGrid w:val="0"/>
        <w:spacing w:line="560" w:lineRule="exact"/>
        <w:ind w:firstLine="412" w:firstLineChars="196"/>
        <w:rPr>
          <w:rFonts w:ascii="微软雅黑" w:hAnsi="微软雅黑"/>
          <w:b/>
          <w:szCs w:val="21"/>
          <w:highlight w:val="none"/>
        </w:rPr>
      </w:pPr>
      <w:r>
        <w:rPr>
          <w:rFonts w:hint="eastAsia" w:ascii="微软雅黑" w:hAnsi="微软雅黑"/>
          <w:b/>
          <w:szCs w:val="21"/>
          <w:highlight w:val="none"/>
        </w:rPr>
        <w:t>第七条</w:t>
      </w:r>
      <w:r>
        <w:rPr>
          <w:rFonts w:ascii="微软雅黑" w:hAnsi="微软雅黑"/>
          <w:b/>
          <w:szCs w:val="21"/>
          <w:highlight w:val="none"/>
        </w:rPr>
        <w:t>违约责任</w:t>
      </w:r>
    </w:p>
    <w:p>
      <w:pPr>
        <w:pStyle w:val="27"/>
        <w:snapToGrid w:val="0"/>
        <w:spacing w:line="560" w:lineRule="exact"/>
        <w:ind w:firstLine="412" w:firstLineChars="196"/>
        <w:rPr>
          <w:rFonts w:ascii="微软雅黑" w:hAnsi="微软雅黑"/>
          <w:b/>
          <w:szCs w:val="21"/>
          <w:highlight w:val="none"/>
        </w:rPr>
      </w:pPr>
      <w:r>
        <w:rPr>
          <w:rFonts w:hint="eastAsia" w:ascii="微软雅黑" w:hAnsi="微软雅黑"/>
          <w:b/>
          <w:szCs w:val="21"/>
          <w:highlight w:val="none"/>
        </w:rPr>
        <w:t>......</w:t>
      </w:r>
    </w:p>
    <w:p>
      <w:pPr>
        <w:pStyle w:val="27"/>
        <w:snapToGrid w:val="0"/>
        <w:spacing w:line="560" w:lineRule="exact"/>
        <w:ind w:firstLine="412" w:firstLineChars="196"/>
        <w:rPr>
          <w:rFonts w:ascii="微软雅黑" w:hAnsi="微软雅黑"/>
          <w:b/>
          <w:szCs w:val="21"/>
          <w:highlight w:val="none"/>
        </w:rPr>
      </w:pPr>
      <w:r>
        <w:rPr>
          <w:rFonts w:hint="eastAsia" w:ascii="微软雅黑" w:hAnsi="微软雅黑"/>
          <w:b/>
          <w:szCs w:val="21"/>
          <w:highlight w:val="none"/>
        </w:rPr>
        <w:t>第八条</w:t>
      </w:r>
      <w:r>
        <w:rPr>
          <w:rFonts w:ascii="微软雅黑" w:hAnsi="微软雅黑"/>
          <w:b/>
          <w:szCs w:val="21"/>
          <w:highlight w:val="none"/>
        </w:rPr>
        <w:t>不可抗力事件处理</w:t>
      </w:r>
    </w:p>
    <w:p>
      <w:pPr>
        <w:pStyle w:val="27"/>
        <w:snapToGrid w:val="0"/>
        <w:spacing w:line="560" w:lineRule="exact"/>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w:t>
      </w:r>
      <w:r>
        <w:rPr>
          <w:rFonts w:ascii="微软雅黑" w:hAnsi="微软雅黑"/>
          <w:szCs w:val="21"/>
          <w:highlight w:val="none"/>
        </w:rPr>
        <w:t>在合同有效期内，任何一方因不可抗力事件导致不能履行合同，则合同履行期可延长，其延长期与不可抗力影响期相同。</w:t>
      </w:r>
    </w:p>
    <w:p>
      <w:pPr>
        <w:pStyle w:val="27"/>
        <w:snapToGrid w:val="0"/>
        <w:spacing w:line="560" w:lineRule="exact"/>
        <w:ind w:firstLine="420"/>
        <w:rPr>
          <w:rFonts w:ascii="微软雅黑" w:hAnsi="微软雅黑"/>
          <w:szCs w:val="21"/>
          <w:highlight w:val="none"/>
        </w:rPr>
      </w:pPr>
      <w:r>
        <w:rPr>
          <w:rFonts w:ascii="微软雅黑" w:hAnsi="微软雅黑"/>
          <w:szCs w:val="21"/>
          <w:highlight w:val="none"/>
        </w:rPr>
        <w:t>2</w:t>
      </w:r>
      <w:r>
        <w:rPr>
          <w:rFonts w:hint="eastAsia" w:ascii="微软雅黑" w:hAnsi="微软雅黑"/>
          <w:szCs w:val="21"/>
          <w:highlight w:val="none"/>
        </w:rPr>
        <w:t>、不</w:t>
      </w:r>
      <w:r>
        <w:rPr>
          <w:rFonts w:ascii="微软雅黑" w:hAnsi="微软雅黑"/>
          <w:szCs w:val="21"/>
          <w:highlight w:val="none"/>
        </w:rPr>
        <w:t>可抗力事件发生后，应立即通知对方，并寄送有关权威机构出具的证明。</w:t>
      </w:r>
    </w:p>
    <w:p>
      <w:pPr>
        <w:pStyle w:val="27"/>
        <w:snapToGrid w:val="0"/>
        <w:spacing w:line="560" w:lineRule="exact"/>
        <w:ind w:firstLine="420"/>
        <w:rPr>
          <w:rFonts w:ascii="微软雅黑" w:hAnsi="微软雅黑"/>
          <w:szCs w:val="21"/>
          <w:highlight w:val="none"/>
        </w:rPr>
      </w:pPr>
      <w:r>
        <w:rPr>
          <w:rFonts w:ascii="微软雅黑" w:hAnsi="微软雅黑"/>
          <w:szCs w:val="21"/>
          <w:highlight w:val="none"/>
        </w:rPr>
        <w:t>3</w:t>
      </w:r>
      <w:r>
        <w:rPr>
          <w:rFonts w:hint="eastAsia" w:ascii="微软雅黑" w:hAnsi="微软雅黑"/>
          <w:szCs w:val="21"/>
          <w:highlight w:val="none"/>
        </w:rPr>
        <w:t>、</w:t>
      </w:r>
      <w:r>
        <w:rPr>
          <w:rFonts w:ascii="微软雅黑" w:hAnsi="微软雅黑"/>
          <w:szCs w:val="21"/>
          <w:highlight w:val="none"/>
        </w:rPr>
        <w:t>不可抗力事件延续120天以上，双方应通过友好协商，确定是否继续履行合同。</w:t>
      </w:r>
    </w:p>
    <w:p>
      <w:pPr>
        <w:pStyle w:val="27"/>
        <w:snapToGrid w:val="0"/>
        <w:spacing w:line="560" w:lineRule="exact"/>
        <w:ind w:firstLine="420"/>
        <w:rPr>
          <w:rFonts w:ascii="微软雅黑" w:hAnsi="微软雅黑"/>
          <w:b/>
          <w:szCs w:val="21"/>
          <w:highlight w:val="none"/>
        </w:rPr>
      </w:pPr>
      <w:r>
        <w:rPr>
          <w:rFonts w:hint="eastAsia" w:ascii="微软雅黑" w:hAnsi="微软雅黑"/>
          <w:b/>
          <w:szCs w:val="21"/>
          <w:highlight w:val="none"/>
        </w:rPr>
        <w:t>第九条</w:t>
      </w:r>
      <w:r>
        <w:rPr>
          <w:rFonts w:ascii="微软雅黑" w:hAnsi="微软雅黑"/>
          <w:b/>
          <w:szCs w:val="21"/>
          <w:highlight w:val="none"/>
        </w:rPr>
        <w:t>诉讼</w:t>
      </w:r>
    </w:p>
    <w:p>
      <w:pPr>
        <w:pStyle w:val="27"/>
        <w:snapToGrid w:val="0"/>
        <w:spacing w:line="560" w:lineRule="exact"/>
        <w:ind w:firstLine="420"/>
        <w:rPr>
          <w:rFonts w:ascii="微软雅黑" w:hAnsi="微软雅黑"/>
          <w:szCs w:val="21"/>
          <w:highlight w:val="none"/>
        </w:rPr>
      </w:pPr>
      <w:r>
        <w:rPr>
          <w:rFonts w:ascii="微软雅黑" w:hAnsi="微软雅黑"/>
          <w:szCs w:val="21"/>
          <w:highlight w:val="none"/>
        </w:rPr>
        <w:t>双方在执行合同中所发生的一切争议，应通过协商解决。如协商不成，可向</w:t>
      </w:r>
      <w:r>
        <w:rPr>
          <w:rFonts w:hint="eastAsia" w:ascii="微软雅黑" w:hAnsi="微软雅黑"/>
          <w:szCs w:val="21"/>
          <w:highlight w:val="none"/>
        </w:rPr>
        <w:t>甲方所在</w:t>
      </w:r>
      <w:r>
        <w:rPr>
          <w:rFonts w:ascii="微软雅黑" w:hAnsi="微软雅黑"/>
          <w:szCs w:val="21"/>
          <w:highlight w:val="none"/>
        </w:rPr>
        <w:t>地法院起诉。</w:t>
      </w:r>
    </w:p>
    <w:p>
      <w:pPr>
        <w:pStyle w:val="27"/>
        <w:snapToGrid w:val="0"/>
        <w:spacing w:line="560" w:lineRule="exact"/>
        <w:ind w:firstLine="420"/>
        <w:rPr>
          <w:rFonts w:ascii="微软雅黑" w:hAnsi="微软雅黑"/>
          <w:b/>
          <w:szCs w:val="21"/>
          <w:highlight w:val="none"/>
        </w:rPr>
      </w:pPr>
      <w:r>
        <w:rPr>
          <w:rFonts w:hint="eastAsia" w:ascii="微软雅黑" w:hAnsi="微软雅黑"/>
          <w:b/>
          <w:szCs w:val="21"/>
          <w:highlight w:val="none"/>
        </w:rPr>
        <w:t>第十条</w:t>
      </w:r>
      <w:r>
        <w:rPr>
          <w:rFonts w:ascii="微软雅黑" w:hAnsi="微软雅黑"/>
          <w:b/>
          <w:szCs w:val="21"/>
          <w:highlight w:val="none"/>
        </w:rPr>
        <w:t>合同生效及其它</w:t>
      </w:r>
    </w:p>
    <w:p>
      <w:pPr>
        <w:autoSpaceDE w:val="0"/>
        <w:autoSpaceDN w:val="0"/>
        <w:adjustRightInd w:val="0"/>
        <w:spacing w:line="560" w:lineRule="exact"/>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w:t>
      </w:r>
      <w:r>
        <w:rPr>
          <w:rFonts w:ascii="微软雅黑" w:hAnsi="微软雅黑"/>
          <w:szCs w:val="21"/>
          <w:highlight w:val="none"/>
        </w:rPr>
        <w:t>合同经双方法定代表人或授权委托代理人签字并加盖单位公章后生效。</w:t>
      </w:r>
    </w:p>
    <w:p>
      <w:pPr>
        <w:autoSpaceDE w:val="0"/>
        <w:autoSpaceDN w:val="0"/>
        <w:adjustRightInd w:val="0"/>
        <w:spacing w:line="560" w:lineRule="exact"/>
        <w:ind w:firstLine="420"/>
        <w:rPr>
          <w:rFonts w:ascii="微软雅黑" w:hAnsi="微软雅黑"/>
          <w:szCs w:val="21"/>
          <w:highlight w:val="none"/>
        </w:rPr>
      </w:pPr>
      <w:r>
        <w:rPr>
          <w:rFonts w:hint="eastAsia" w:ascii="微软雅黑" w:hAnsi="微软雅黑"/>
          <w:szCs w:val="21"/>
          <w:highlight w:val="none"/>
        </w:rPr>
        <w:t>2、</w:t>
      </w:r>
      <w:r>
        <w:rPr>
          <w:rFonts w:ascii="微软雅黑" w:hAnsi="微软雅黑"/>
          <w:szCs w:val="21"/>
          <w:highlight w:val="none"/>
        </w:rPr>
        <w:t>本合同未尽事宜，遵照《</w:t>
      </w:r>
      <w:r>
        <w:rPr>
          <w:rFonts w:ascii="微软雅黑" w:hAnsi="微软雅黑"/>
          <w:kern w:val="0"/>
          <w:szCs w:val="21"/>
          <w:highlight w:val="none"/>
        </w:rPr>
        <w:t>中华人民共和国</w:t>
      </w:r>
      <w:r>
        <w:rPr>
          <w:rFonts w:hint="eastAsia" w:ascii="微软雅黑" w:hAnsi="微软雅黑"/>
          <w:szCs w:val="21"/>
          <w:highlight w:val="none"/>
        </w:rPr>
        <w:t>民法典</w:t>
      </w:r>
      <w:r>
        <w:rPr>
          <w:rFonts w:ascii="微软雅黑" w:hAnsi="微软雅黑"/>
          <w:szCs w:val="21"/>
          <w:highlight w:val="none"/>
        </w:rPr>
        <w:t>》有关条文执行。</w:t>
      </w:r>
    </w:p>
    <w:p>
      <w:pPr>
        <w:pStyle w:val="27"/>
        <w:snapToGrid w:val="0"/>
        <w:spacing w:line="560" w:lineRule="exact"/>
        <w:ind w:left="420" w:hanging="420" w:hangingChars="200"/>
        <w:rPr>
          <w:rFonts w:ascii="微软雅黑" w:hAnsi="微软雅黑"/>
          <w:szCs w:val="21"/>
          <w:highlight w:val="none"/>
        </w:rPr>
      </w:pPr>
    </w:p>
    <w:p>
      <w:pPr>
        <w:spacing w:line="420" w:lineRule="exact"/>
        <w:ind w:firstLine="420" w:firstLineChars="200"/>
        <w:rPr>
          <w:color w:val="000000"/>
          <w:sz w:val="21"/>
          <w:szCs w:val="21"/>
        </w:rPr>
      </w:pPr>
      <w:r>
        <w:rPr>
          <w:rFonts w:ascii="Times New Roman" w:hAnsi="宋体" w:cs="Times New Roman"/>
          <w:color w:val="000000"/>
          <w:sz w:val="21"/>
          <w:szCs w:val="21"/>
        </w:rPr>
        <w:t>甲方：</w:t>
      </w:r>
      <w:r>
        <w:rPr>
          <w:color w:val="000000"/>
          <w:sz w:val="21"/>
          <w:szCs w:val="21"/>
          <w:u w:val="single"/>
        </w:rPr>
        <w:t xml:space="preserve">      </w:t>
      </w:r>
      <w:r>
        <w:rPr>
          <w:color w:val="000000"/>
          <w:sz w:val="21"/>
          <w:szCs w:val="21"/>
        </w:rPr>
        <w:t xml:space="preserve"> </w:t>
      </w:r>
      <w:r>
        <w:rPr>
          <w:rFonts w:ascii="Times New Roman" w:hAnsi="宋体" w:cs="Times New Roman"/>
          <w:color w:val="000000"/>
          <w:sz w:val="21"/>
          <w:szCs w:val="21"/>
        </w:rPr>
        <w:t xml:space="preserve">             </w:t>
      </w:r>
      <w:r>
        <w:rPr>
          <w:rFonts w:hint="eastAsia" w:ascii="Times New Roman" w:hAnsi="宋体" w:cs="Times New Roman"/>
          <w:color w:val="000000"/>
          <w:sz w:val="21"/>
          <w:szCs w:val="21"/>
          <w:lang w:val="en-US" w:eastAsia="zh-CN"/>
        </w:rPr>
        <w:t xml:space="preserve">  </w:t>
      </w:r>
      <w:r>
        <w:rPr>
          <w:rFonts w:ascii="Times New Roman" w:hAnsi="宋体" w:cs="Times New Roman"/>
          <w:color w:val="000000"/>
          <w:sz w:val="21"/>
          <w:szCs w:val="21"/>
        </w:rPr>
        <w:t>乙方：</w:t>
      </w:r>
      <w:r>
        <w:rPr>
          <w:rFonts w:hAnsi="宋体"/>
          <w:color w:val="000000"/>
          <w:sz w:val="21"/>
          <w:szCs w:val="21"/>
        </w:rPr>
        <w:t>：</w:t>
      </w:r>
      <w:r>
        <w:rPr>
          <w:color w:val="000000"/>
          <w:sz w:val="21"/>
          <w:szCs w:val="21"/>
          <w:u w:val="single"/>
        </w:rPr>
        <w:t xml:space="preserve">  </w:t>
      </w:r>
      <w:r>
        <w:rPr>
          <w:rFonts w:hint="eastAsia"/>
          <w:color w:val="000000"/>
          <w:sz w:val="21"/>
          <w:szCs w:val="21"/>
          <w:u w:val="single"/>
          <w:lang w:val="en-US" w:eastAsia="zh-CN"/>
        </w:rPr>
        <w:t xml:space="preserve">    </w:t>
      </w:r>
      <w:r>
        <w:rPr>
          <w:color w:val="000000"/>
          <w:sz w:val="21"/>
          <w:szCs w:val="21"/>
          <w:u w:val="single"/>
        </w:rPr>
        <w:t xml:space="preserve">    </w:t>
      </w:r>
      <w:r>
        <w:rPr>
          <w:color w:val="000000"/>
          <w:sz w:val="21"/>
          <w:szCs w:val="21"/>
        </w:rPr>
        <w:t xml:space="preserve"> </w:t>
      </w:r>
    </w:p>
    <w:p>
      <w:pPr>
        <w:spacing w:line="420" w:lineRule="exact"/>
        <w:ind w:firstLine="420" w:firstLineChars="200"/>
        <w:rPr>
          <w:color w:val="000000"/>
          <w:sz w:val="21"/>
          <w:szCs w:val="21"/>
        </w:rPr>
      </w:pPr>
      <w:r>
        <w:rPr>
          <w:rFonts w:hAnsi="宋体"/>
          <w:color w:val="000000"/>
          <w:sz w:val="21"/>
          <w:szCs w:val="21"/>
        </w:rPr>
        <w:t>法定代表人或其委托代理人：</w:t>
      </w:r>
      <w:r>
        <w:rPr>
          <w:color w:val="000000"/>
          <w:sz w:val="21"/>
          <w:szCs w:val="21"/>
        </w:rPr>
        <w:t xml:space="preserve">                </w:t>
      </w:r>
      <w:r>
        <w:rPr>
          <w:rFonts w:hAnsi="宋体"/>
          <w:color w:val="000000"/>
          <w:sz w:val="21"/>
          <w:szCs w:val="21"/>
        </w:rPr>
        <w:t>法定代表人或其委托代理人：</w:t>
      </w:r>
    </w:p>
    <w:p>
      <w:pPr>
        <w:spacing w:line="420" w:lineRule="exact"/>
        <w:ind w:firstLine="1155" w:firstLineChars="550"/>
        <w:rPr>
          <w:color w:val="000000"/>
          <w:sz w:val="21"/>
          <w:szCs w:val="21"/>
        </w:rPr>
      </w:pPr>
      <w:r>
        <w:rPr>
          <w:rFonts w:hAnsi="宋体"/>
          <w:color w:val="000000"/>
          <w:sz w:val="21"/>
          <w:szCs w:val="21"/>
        </w:rPr>
        <w:t>（签字）</w:t>
      </w:r>
      <w:r>
        <w:rPr>
          <w:color w:val="000000"/>
          <w:sz w:val="21"/>
          <w:szCs w:val="21"/>
        </w:rPr>
        <w:t xml:space="preserve">                                 </w:t>
      </w:r>
      <w:r>
        <w:rPr>
          <w:rFonts w:hAnsi="宋体"/>
          <w:color w:val="000000"/>
          <w:sz w:val="21"/>
          <w:szCs w:val="21"/>
        </w:rPr>
        <w:t>（签字）</w:t>
      </w:r>
    </w:p>
    <w:p>
      <w:pPr>
        <w:tabs>
          <w:tab w:val="left" w:pos="4410"/>
        </w:tabs>
        <w:spacing w:line="420" w:lineRule="exact"/>
        <w:ind w:firstLine="420" w:firstLineChars="200"/>
        <w:rPr>
          <w:color w:val="000000"/>
          <w:sz w:val="21"/>
          <w:szCs w:val="21"/>
        </w:rPr>
      </w:pPr>
      <w:r>
        <w:rPr>
          <w:rFonts w:hAnsi="宋体"/>
          <w:color w:val="000000"/>
          <w:sz w:val="21"/>
          <w:szCs w:val="21"/>
        </w:rPr>
        <w:t>组织机构代码：</w:t>
      </w:r>
      <w:r>
        <w:rPr>
          <w:color w:val="000000"/>
          <w:sz w:val="21"/>
          <w:szCs w:val="21"/>
          <w:u w:val="single"/>
        </w:rPr>
        <w:t xml:space="preserve">        </w:t>
      </w:r>
      <w:r>
        <w:rPr>
          <w:color w:val="000000"/>
          <w:sz w:val="21"/>
          <w:szCs w:val="21"/>
        </w:rPr>
        <w:t xml:space="preserve">              </w:t>
      </w:r>
      <w:r>
        <w:rPr>
          <w:rFonts w:hAnsi="宋体"/>
          <w:color w:val="000000"/>
          <w:sz w:val="21"/>
          <w:szCs w:val="21"/>
        </w:rPr>
        <w:t>组织机构代码：</w:t>
      </w:r>
      <w:r>
        <w:rPr>
          <w:color w:val="000000"/>
          <w:sz w:val="21"/>
          <w:szCs w:val="21"/>
          <w:u w:val="single"/>
        </w:rPr>
        <w:t xml:space="preserve">            </w:t>
      </w:r>
      <w:r>
        <w:rPr>
          <w:color w:val="000000"/>
          <w:sz w:val="21"/>
          <w:szCs w:val="21"/>
        </w:rPr>
        <w:t xml:space="preserve"> </w:t>
      </w:r>
    </w:p>
    <w:p>
      <w:pPr>
        <w:spacing w:line="420" w:lineRule="exact"/>
        <w:ind w:firstLine="420" w:firstLineChars="200"/>
        <w:rPr>
          <w:color w:val="000000"/>
          <w:sz w:val="21"/>
          <w:szCs w:val="21"/>
        </w:rPr>
      </w:pPr>
      <w:r>
        <w:rPr>
          <w:rFonts w:hAnsi="宋体"/>
          <w:color w:val="000000"/>
          <w:sz w:val="21"/>
          <w:szCs w:val="21"/>
        </w:rPr>
        <w:t>地</w:t>
      </w:r>
      <w:r>
        <w:rPr>
          <w:color w:val="000000"/>
          <w:sz w:val="21"/>
          <w:szCs w:val="21"/>
        </w:rPr>
        <w:t xml:space="preserve">  </w:t>
      </w:r>
      <w:r>
        <w:rPr>
          <w:rFonts w:hAnsi="宋体"/>
          <w:color w:val="000000"/>
          <w:sz w:val="21"/>
          <w:szCs w:val="21"/>
        </w:rPr>
        <w:t>址：</w:t>
      </w:r>
      <w:r>
        <w:rPr>
          <w:color w:val="000000"/>
          <w:sz w:val="21"/>
          <w:szCs w:val="21"/>
          <w:u w:val="single"/>
        </w:rPr>
        <w:t xml:space="preserve">      </w:t>
      </w:r>
      <w:r>
        <w:rPr>
          <w:color w:val="000000"/>
          <w:sz w:val="21"/>
          <w:szCs w:val="21"/>
        </w:rPr>
        <w:t xml:space="preserve">              </w:t>
      </w:r>
      <w:r>
        <w:rPr>
          <w:rFonts w:hAnsi="宋体"/>
          <w:color w:val="000000"/>
          <w:sz w:val="21"/>
          <w:szCs w:val="21"/>
        </w:rPr>
        <w:t>地</w:t>
      </w:r>
      <w:r>
        <w:rPr>
          <w:color w:val="000000"/>
          <w:sz w:val="21"/>
          <w:szCs w:val="21"/>
        </w:rPr>
        <w:t xml:space="preserve">  </w:t>
      </w:r>
      <w:r>
        <w:rPr>
          <w:rFonts w:hAnsi="宋体"/>
          <w:color w:val="000000"/>
          <w:sz w:val="21"/>
          <w:szCs w:val="21"/>
        </w:rPr>
        <w:t>址：</w:t>
      </w:r>
      <w:r>
        <w:rPr>
          <w:color w:val="000000"/>
          <w:sz w:val="21"/>
          <w:szCs w:val="21"/>
          <w:u w:val="single"/>
        </w:rPr>
        <w:t xml:space="preserve">        </w:t>
      </w:r>
    </w:p>
    <w:p>
      <w:pPr>
        <w:spacing w:line="420" w:lineRule="exact"/>
        <w:ind w:firstLine="420" w:firstLineChars="200"/>
        <w:rPr>
          <w:color w:val="000000"/>
          <w:sz w:val="21"/>
          <w:szCs w:val="21"/>
        </w:rPr>
      </w:pPr>
      <w:r>
        <w:rPr>
          <w:rFonts w:hAnsi="宋体"/>
          <w:color w:val="000000"/>
          <w:sz w:val="21"/>
          <w:szCs w:val="21"/>
        </w:rPr>
        <w:t>电</w:t>
      </w:r>
      <w:r>
        <w:rPr>
          <w:color w:val="000000"/>
          <w:sz w:val="21"/>
          <w:szCs w:val="21"/>
        </w:rPr>
        <w:t xml:space="preserve">  </w:t>
      </w:r>
      <w:r>
        <w:rPr>
          <w:rFonts w:hAnsi="宋体"/>
          <w:color w:val="000000"/>
          <w:sz w:val="21"/>
          <w:szCs w:val="21"/>
        </w:rPr>
        <w:t>话：</w:t>
      </w:r>
      <w:r>
        <w:rPr>
          <w:color w:val="000000"/>
          <w:sz w:val="21"/>
          <w:szCs w:val="21"/>
          <w:u w:val="single"/>
        </w:rPr>
        <w:t xml:space="preserve">    </w:t>
      </w:r>
      <w:r>
        <w:rPr>
          <w:color w:val="000000"/>
          <w:sz w:val="21"/>
          <w:szCs w:val="21"/>
        </w:rPr>
        <w:t xml:space="preserve">              </w:t>
      </w:r>
      <w:r>
        <w:rPr>
          <w:rFonts w:hAnsi="宋体"/>
          <w:color w:val="000000"/>
          <w:sz w:val="21"/>
          <w:szCs w:val="21"/>
        </w:rPr>
        <w:t>电</w:t>
      </w:r>
      <w:r>
        <w:rPr>
          <w:color w:val="000000"/>
          <w:sz w:val="21"/>
          <w:szCs w:val="21"/>
        </w:rPr>
        <w:t xml:space="preserve">  </w:t>
      </w:r>
      <w:r>
        <w:rPr>
          <w:rFonts w:hAnsi="宋体"/>
          <w:color w:val="000000"/>
          <w:sz w:val="21"/>
          <w:szCs w:val="21"/>
        </w:rPr>
        <w:t>话：</w:t>
      </w:r>
      <w:r>
        <w:rPr>
          <w:color w:val="000000"/>
          <w:sz w:val="21"/>
          <w:szCs w:val="21"/>
          <w:u w:val="single"/>
        </w:rPr>
        <w:t xml:space="preserve">      </w:t>
      </w:r>
    </w:p>
    <w:p>
      <w:pPr>
        <w:spacing w:line="420" w:lineRule="exact"/>
        <w:ind w:firstLine="420" w:firstLineChars="200"/>
        <w:rPr>
          <w:color w:val="000000"/>
          <w:sz w:val="21"/>
          <w:szCs w:val="21"/>
        </w:rPr>
      </w:pPr>
      <w:r>
        <w:rPr>
          <w:rFonts w:hAnsi="宋体"/>
          <w:color w:val="000000"/>
          <w:sz w:val="21"/>
          <w:szCs w:val="21"/>
        </w:rPr>
        <w:t>开户银行：</w:t>
      </w:r>
      <w:r>
        <w:rPr>
          <w:color w:val="000000"/>
          <w:sz w:val="21"/>
          <w:szCs w:val="21"/>
          <w:u w:val="single"/>
        </w:rPr>
        <w:t xml:space="preserve">    </w:t>
      </w:r>
      <w:r>
        <w:rPr>
          <w:color w:val="000000"/>
          <w:sz w:val="21"/>
          <w:szCs w:val="21"/>
        </w:rPr>
        <w:t xml:space="preserve">              </w:t>
      </w:r>
      <w:r>
        <w:rPr>
          <w:rFonts w:hAnsi="宋体"/>
          <w:color w:val="000000"/>
          <w:sz w:val="21"/>
          <w:szCs w:val="21"/>
        </w:rPr>
        <w:t>开户银行：</w:t>
      </w:r>
      <w:r>
        <w:rPr>
          <w:color w:val="000000"/>
          <w:sz w:val="21"/>
          <w:szCs w:val="21"/>
          <w:u w:val="single"/>
        </w:rPr>
        <w:t xml:space="preserve">    </w:t>
      </w:r>
    </w:p>
    <w:p>
      <w:pPr>
        <w:spacing w:line="420" w:lineRule="exact"/>
        <w:ind w:firstLine="420" w:firstLineChars="200"/>
        <w:rPr>
          <w:color w:val="000000"/>
          <w:szCs w:val="21"/>
          <w:u w:val="single"/>
        </w:rPr>
      </w:pPr>
      <w:r>
        <w:rPr>
          <w:rFonts w:hAnsi="宋体"/>
          <w:color w:val="000000"/>
          <w:sz w:val="21"/>
          <w:szCs w:val="21"/>
        </w:rPr>
        <w:t>账</w:t>
      </w:r>
      <w:r>
        <w:rPr>
          <w:color w:val="000000"/>
          <w:sz w:val="21"/>
          <w:szCs w:val="21"/>
        </w:rPr>
        <w:t xml:space="preserve">  </w:t>
      </w:r>
      <w:r>
        <w:rPr>
          <w:rFonts w:hAnsi="宋体"/>
          <w:color w:val="000000"/>
          <w:sz w:val="21"/>
          <w:szCs w:val="21"/>
        </w:rPr>
        <w:t>号：</w:t>
      </w:r>
      <w:r>
        <w:rPr>
          <w:color w:val="000000"/>
          <w:sz w:val="21"/>
          <w:szCs w:val="21"/>
          <w:u w:val="single"/>
        </w:rPr>
        <w:t xml:space="preserve">        </w:t>
      </w:r>
      <w:r>
        <w:rPr>
          <w:color w:val="000000"/>
          <w:sz w:val="21"/>
          <w:szCs w:val="21"/>
        </w:rPr>
        <w:t xml:space="preserve">              </w:t>
      </w:r>
      <w:r>
        <w:rPr>
          <w:rFonts w:hAnsi="宋体"/>
          <w:color w:val="000000"/>
          <w:sz w:val="21"/>
          <w:szCs w:val="21"/>
        </w:rPr>
        <w:t>账</w:t>
      </w:r>
      <w:r>
        <w:rPr>
          <w:color w:val="000000"/>
          <w:sz w:val="21"/>
          <w:szCs w:val="21"/>
        </w:rPr>
        <w:t xml:space="preserve">  </w:t>
      </w:r>
      <w:r>
        <w:rPr>
          <w:rFonts w:hAnsi="宋体"/>
          <w:color w:val="000000"/>
          <w:sz w:val="21"/>
          <w:szCs w:val="21"/>
        </w:rPr>
        <w:t>号：</w:t>
      </w:r>
      <w:r>
        <w:rPr>
          <w:color w:val="000000"/>
          <w:szCs w:val="21"/>
          <w:u w:val="single"/>
        </w:rPr>
        <w:t xml:space="preserve">  </w:t>
      </w:r>
    </w:p>
    <w:p>
      <w:pPr>
        <w:pStyle w:val="48"/>
        <w:spacing w:before="0" w:after="0" w:line="560" w:lineRule="exact"/>
        <w:ind w:firstLine="640"/>
        <w:outlineLvl w:val="9"/>
        <w:rPr>
          <w:rFonts w:ascii="微软雅黑" w:hAnsi="微软雅黑"/>
          <w:highlight w:val="none"/>
        </w:rPr>
      </w:pPr>
      <w:r>
        <w:rPr>
          <w:rFonts w:ascii="微软雅黑" w:hAnsi="微软雅黑"/>
          <w:highlight w:val="none"/>
        </w:rPr>
        <w:br w:type="page"/>
      </w:r>
      <w:bookmarkEnd w:id="190"/>
      <w:bookmarkStart w:id="199" w:name="_Toc493511828"/>
    </w:p>
    <w:p>
      <w:pPr>
        <w:pStyle w:val="5"/>
        <w:numPr>
          <w:ilvl w:val="0"/>
          <w:numId w:val="7"/>
        </w:numPr>
        <w:rPr>
          <w:rStyle w:val="157"/>
          <w:b/>
          <w:bCs/>
          <w:highlight w:val="none"/>
        </w:rPr>
      </w:pPr>
      <w:bookmarkStart w:id="200" w:name="_Toc25864"/>
      <w:r>
        <w:rPr>
          <w:rStyle w:val="157"/>
          <w:rFonts w:hint="eastAsia"/>
          <w:b/>
          <w:bCs/>
          <w:highlight w:val="none"/>
        </w:rPr>
        <w:t>投标文件相关格式</w:t>
      </w:r>
      <w:bookmarkEnd w:id="199"/>
      <w:bookmarkEnd w:id="200"/>
      <w:bookmarkStart w:id="201" w:name="_Toc430786287"/>
    </w:p>
    <w:p>
      <w:pPr>
        <w:ind w:firstLine="420"/>
        <w:jc w:val="center"/>
        <w:rPr>
          <w:highlight w:val="none"/>
        </w:rPr>
      </w:pPr>
    </w:p>
    <w:p>
      <w:pPr>
        <w:ind w:firstLine="420"/>
        <w:jc w:val="center"/>
        <w:rPr>
          <w:highlight w:val="none"/>
        </w:rPr>
      </w:pPr>
    </w:p>
    <w:p>
      <w:pPr>
        <w:ind w:firstLine="420"/>
        <w:jc w:val="center"/>
        <w:rPr>
          <w:highlight w:val="none"/>
        </w:rPr>
      </w:pPr>
    </w:p>
    <w:p>
      <w:pPr>
        <w:ind w:firstLine="420"/>
        <w:jc w:val="center"/>
        <w:rPr>
          <w:rFonts w:hint="eastAsia" w:ascii="微软雅黑" w:hAnsi="微软雅黑" w:eastAsia="微软雅黑"/>
          <w:highlight w:val="none"/>
          <w:lang w:eastAsia="zh-CN"/>
        </w:rPr>
      </w:pPr>
      <w:r>
        <w:rPr>
          <w:rFonts w:hint="eastAsia" w:ascii="微软雅黑" w:hAnsi="微软雅黑"/>
          <w:highlight w:val="none"/>
          <w:lang w:eastAsia="zh-CN"/>
        </w:rPr>
        <w:t>数字农村路 2.0 版示范创建应用项目</w:t>
      </w:r>
    </w:p>
    <w:p>
      <w:pPr>
        <w:ind w:firstLine="420"/>
        <w:jc w:val="center"/>
        <w:rPr>
          <w:rFonts w:ascii="微软雅黑" w:hAnsi="微软雅黑"/>
          <w:highlight w:val="none"/>
        </w:rPr>
      </w:pPr>
      <w:r>
        <w:rPr>
          <w:rFonts w:hint="eastAsia" w:ascii="微软雅黑" w:hAnsi="微软雅黑"/>
          <w:highlight w:val="none"/>
        </w:rPr>
        <w:t>资格响应文件/商务技术文件/报价文件</w:t>
      </w:r>
    </w:p>
    <w:p>
      <w:pPr>
        <w:ind w:firstLine="420"/>
        <w:jc w:val="center"/>
        <w:rPr>
          <w:rFonts w:hint="eastAsia" w:ascii="微软雅黑" w:hAnsi="微软雅黑" w:eastAsia="微软雅黑"/>
          <w:highlight w:val="none"/>
          <w:lang w:eastAsia="zh-CN"/>
        </w:rPr>
      </w:pPr>
      <w:r>
        <w:rPr>
          <w:rFonts w:hint="eastAsia" w:ascii="微软雅黑" w:hAnsi="微软雅黑"/>
          <w:highlight w:val="none"/>
        </w:rPr>
        <w:t>项目编号：</w:t>
      </w:r>
      <w:r>
        <w:rPr>
          <w:rFonts w:hint="eastAsia" w:ascii="微软雅黑" w:hAnsi="微软雅黑"/>
          <w:szCs w:val="21"/>
          <w:highlight w:val="none"/>
          <w:lang w:eastAsia="zh-CN"/>
        </w:rPr>
        <w:t>中际-ZJZJGC（2022）嘉33号</w:t>
      </w:r>
    </w:p>
    <w:p>
      <w:pPr>
        <w:ind w:firstLine="420"/>
        <w:rPr>
          <w:highlight w:val="none"/>
        </w:rPr>
      </w:pPr>
    </w:p>
    <w:p>
      <w:pPr>
        <w:ind w:firstLine="420"/>
        <w:rPr>
          <w:highlight w:val="none"/>
        </w:rPr>
      </w:pPr>
    </w:p>
    <w:p>
      <w:pPr>
        <w:ind w:firstLine="420"/>
        <w:jc w:val="center"/>
        <w:rPr>
          <w:highlight w:val="none"/>
        </w:rPr>
      </w:pPr>
      <w:r>
        <w:rPr>
          <w:rFonts w:hint="eastAsia"/>
          <w:highlight w:val="none"/>
        </w:rPr>
        <w:t>投</w:t>
      </w:r>
    </w:p>
    <w:p>
      <w:pPr>
        <w:ind w:firstLine="420"/>
        <w:jc w:val="center"/>
        <w:rPr>
          <w:highlight w:val="none"/>
        </w:rPr>
      </w:pPr>
      <w:r>
        <w:rPr>
          <w:rFonts w:hint="eastAsia"/>
          <w:highlight w:val="none"/>
        </w:rPr>
        <w:t>标</w:t>
      </w:r>
    </w:p>
    <w:p>
      <w:pPr>
        <w:ind w:firstLine="420"/>
        <w:jc w:val="center"/>
        <w:rPr>
          <w:highlight w:val="none"/>
        </w:rPr>
      </w:pPr>
      <w:r>
        <w:rPr>
          <w:rFonts w:hint="eastAsia"/>
          <w:highlight w:val="none"/>
        </w:rPr>
        <w:t>文</w:t>
      </w:r>
    </w:p>
    <w:p>
      <w:pPr>
        <w:ind w:firstLine="420"/>
        <w:jc w:val="center"/>
        <w:rPr>
          <w:highlight w:val="none"/>
        </w:rPr>
      </w:pPr>
      <w:r>
        <w:rPr>
          <w:rFonts w:hint="eastAsia"/>
          <w:highlight w:val="none"/>
        </w:rPr>
        <w:t>件</w:t>
      </w:r>
    </w:p>
    <w:p>
      <w:pPr>
        <w:ind w:firstLine="420"/>
        <w:rPr>
          <w:highlight w:val="none"/>
        </w:rPr>
      </w:pPr>
    </w:p>
    <w:p>
      <w:pPr>
        <w:ind w:firstLine="420"/>
        <w:rPr>
          <w:highlight w:val="none"/>
        </w:rPr>
      </w:pPr>
    </w:p>
    <w:p>
      <w:pPr>
        <w:ind w:firstLine="420"/>
        <w:jc w:val="center"/>
        <w:rPr>
          <w:highlight w:val="none"/>
        </w:rPr>
      </w:pPr>
      <w:r>
        <w:rPr>
          <w:rFonts w:hint="eastAsia"/>
          <w:highlight w:val="none"/>
        </w:rPr>
        <w:t>投标人全称：（加盖单位公章）</w:t>
      </w:r>
    </w:p>
    <w:p>
      <w:pPr>
        <w:ind w:firstLine="420"/>
        <w:rPr>
          <w:highlight w:val="none"/>
        </w:rPr>
      </w:pPr>
    </w:p>
    <w:p>
      <w:pPr>
        <w:ind w:firstLine="420"/>
        <w:jc w:val="center"/>
        <w:rPr>
          <w:rStyle w:val="159"/>
          <w:b/>
          <w:bCs w:val="0"/>
          <w:highlight w:val="none"/>
        </w:rPr>
      </w:pPr>
      <w:r>
        <w:rPr>
          <w:rFonts w:hint="eastAsia"/>
          <w:highlight w:val="none"/>
        </w:rPr>
        <w:t>年月日</w:t>
      </w:r>
      <w:bookmarkEnd w:id="201"/>
      <w:r>
        <w:rPr>
          <w:rFonts w:hint="eastAsia"/>
          <w:highlight w:val="none"/>
        </w:rPr>
        <w:br w:type="page"/>
      </w:r>
      <w:r>
        <w:rPr>
          <w:rStyle w:val="159"/>
          <w:rFonts w:hint="eastAsia"/>
          <w:b/>
          <w:bCs w:val="0"/>
          <w:highlight w:val="none"/>
        </w:rPr>
        <w:t>政府</w:t>
      </w:r>
      <w:r>
        <w:rPr>
          <w:rStyle w:val="159"/>
          <w:b/>
          <w:bCs w:val="0"/>
          <w:highlight w:val="none"/>
        </w:rPr>
        <w:t>采购活动现场确认声明书</w:t>
      </w:r>
    </w:p>
    <w:p>
      <w:pPr>
        <w:pStyle w:val="133"/>
        <w:snapToGrid w:val="0"/>
        <w:spacing w:line="400" w:lineRule="exact"/>
        <w:jc w:val="center"/>
        <w:rPr>
          <w:rFonts w:ascii="微软雅黑" w:hAnsi="微软雅黑" w:eastAsia="微软雅黑" w:cs="宋体"/>
          <w:b/>
          <w:sz w:val="24"/>
          <w:szCs w:val="24"/>
          <w:highlight w:val="none"/>
        </w:rPr>
      </w:pPr>
      <w:r>
        <w:rPr>
          <w:rFonts w:ascii="微软雅黑" w:hAnsi="微软雅黑" w:eastAsia="微软雅黑" w:cs="宋体"/>
          <w:b/>
          <w:sz w:val="24"/>
          <w:szCs w:val="24"/>
          <w:highlight w:val="none"/>
        </w:rPr>
        <w:t>（要求</w:t>
      </w:r>
      <w:r>
        <w:rPr>
          <w:rFonts w:hint="eastAsia" w:ascii="微软雅黑" w:hAnsi="微软雅黑" w:eastAsia="微软雅黑" w:cs="宋体"/>
          <w:b/>
          <w:sz w:val="24"/>
          <w:szCs w:val="24"/>
          <w:highlight w:val="none"/>
        </w:rPr>
        <w:t>在电子投标文件解密后（半小时内），将以下表格填写完成后，在通过钉钉（或邮箱37475903@qq.com</w:t>
      </w:r>
      <w:r>
        <w:rPr>
          <w:rFonts w:ascii="微软雅黑" w:hAnsi="微软雅黑" w:eastAsia="微软雅黑" w:cs="宋体"/>
          <w:b/>
          <w:sz w:val="24"/>
          <w:szCs w:val="24"/>
          <w:highlight w:val="none"/>
        </w:rPr>
        <w:t>）</w:t>
      </w:r>
      <w:r>
        <w:rPr>
          <w:rFonts w:hint="eastAsia" w:ascii="微软雅黑" w:hAnsi="微软雅黑" w:eastAsia="微软雅黑" w:cs="宋体"/>
          <w:b/>
          <w:sz w:val="24"/>
          <w:szCs w:val="24"/>
          <w:highlight w:val="none"/>
        </w:rPr>
        <w:t>将照片传给代理公司</w:t>
      </w:r>
      <w:r>
        <w:rPr>
          <w:rFonts w:ascii="微软雅黑" w:hAnsi="微软雅黑" w:eastAsia="微软雅黑" w:cs="宋体"/>
          <w:b/>
          <w:sz w:val="24"/>
          <w:szCs w:val="24"/>
          <w:highlight w:val="none"/>
        </w:rPr>
        <w:t>，不要封存于投标文件里）</w:t>
      </w:r>
    </w:p>
    <w:p>
      <w:pPr>
        <w:pStyle w:val="133"/>
        <w:snapToGrid w:val="0"/>
        <w:spacing w:line="400" w:lineRule="exact"/>
        <w:ind w:firstLine="420"/>
        <w:rPr>
          <w:rFonts w:ascii="微软雅黑" w:hAnsi="微软雅黑" w:eastAsia="微软雅黑"/>
          <w:kern w:val="0"/>
          <w:sz w:val="21"/>
          <w:szCs w:val="21"/>
          <w:highlight w:val="none"/>
        </w:rPr>
      </w:pPr>
    </w:p>
    <w:p>
      <w:pPr>
        <w:ind w:firstLine="420"/>
        <w:rPr>
          <w:highlight w:val="none"/>
          <w:u w:val="single"/>
        </w:rPr>
      </w:pPr>
      <w:bookmarkStart w:id="202" w:name="_Toc5851"/>
      <w:bookmarkStart w:id="203" w:name="_Toc4855"/>
      <w:r>
        <w:rPr>
          <w:rFonts w:hint="eastAsia"/>
          <w:highlight w:val="none"/>
          <w:u w:val="single"/>
          <w:lang w:eastAsia="zh-CN"/>
        </w:rPr>
        <w:t>嘉兴市南湖区公路与运输管理服务中心</w:t>
      </w:r>
      <w:r>
        <w:rPr>
          <w:highlight w:val="none"/>
          <w:u w:val="single"/>
        </w:rPr>
        <w:t>：</w:t>
      </w:r>
      <w:bookmarkEnd w:id="202"/>
      <w:bookmarkEnd w:id="203"/>
    </w:p>
    <w:p>
      <w:pPr>
        <w:pStyle w:val="133"/>
        <w:snapToGrid w:val="0"/>
        <w:spacing w:line="400" w:lineRule="exact"/>
        <w:ind w:firstLine="444"/>
        <w:rPr>
          <w:rFonts w:ascii="微软雅黑" w:hAnsi="微软雅黑" w:eastAsia="微软雅黑"/>
          <w:spacing w:val="6"/>
          <w:sz w:val="21"/>
          <w:szCs w:val="21"/>
          <w:highlight w:val="none"/>
        </w:rPr>
      </w:pPr>
      <w:r>
        <w:rPr>
          <w:rFonts w:ascii="微软雅黑" w:hAnsi="微软雅黑" w:eastAsia="微软雅黑"/>
          <w:spacing w:val="6"/>
          <w:sz w:val="21"/>
          <w:szCs w:val="21"/>
          <w:highlight w:val="none"/>
        </w:rPr>
        <w:t>本人经由</w:t>
      </w:r>
      <w:r>
        <w:rPr>
          <w:rFonts w:ascii="微软雅黑" w:hAnsi="微软雅黑" w:eastAsia="微软雅黑"/>
          <w:spacing w:val="6"/>
          <w:sz w:val="21"/>
          <w:szCs w:val="21"/>
          <w:highlight w:val="none"/>
          <w:u w:val="single"/>
        </w:rPr>
        <w:t xml:space="preserve">                  （单位）</w:t>
      </w:r>
      <w:r>
        <w:rPr>
          <w:rFonts w:ascii="微软雅黑" w:hAnsi="微软雅黑" w:eastAsia="微软雅黑"/>
          <w:spacing w:val="6"/>
          <w:sz w:val="21"/>
          <w:szCs w:val="21"/>
          <w:highlight w:val="none"/>
        </w:rPr>
        <w:t>负责人</w:t>
      </w:r>
      <w:r>
        <w:rPr>
          <w:rFonts w:ascii="微软雅黑" w:hAnsi="微软雅黑" w:eastAsia="微软雅黑"/>
          <w:spacing w:val="6"/>
          <w:sz w:val="21"/>
          <w:szCs w:val="21"/>
          <w:highlight w:val="none"/>
          <w:u w:val="single"/>
        </w:rPr>
        <w:t xml:space="preserve">        （姓名）</w:t>
      </w:r>
      <w:r>
        <w:rPr>
          <w:rFonts w:ascii="微软雅黑" w:hAnsi="微软雅黑" w:eastAsia="微软雅黑"/>
          <w:spacing w:val="6"/>
          <w:sz w:val="21"/>
          <w:szCs w:val="21"/>
          <w:highlight w:val="none"/>
        </w:rPr>
        <w:t>合法授权参加</w:t>
      </w:r>
      <w:r>
        <w:rPr>
          <w:rFonts w:hint="eastAsia" w:ascii="微软雅黑" w:hAnsi="微软雅黑" w:eastAsia="微软雅黑"/>
          <w:spacing w:val="6"/>
          <w:sz w:val="21"/>
          <w:szCs w:val="21"/>
          <w:highlight w:val="none"/>
          <w:u w:val="single"/>
          <w:lang w:eastAsia="zh-CN"/>
        </w:rPr>
        <w:t>数字农村路 2.0 版示范创建应用项目</w:t>
      </w:r>
      <w:r>
        <w:rPr>
          <w:rFonts w:ascii="微软雅黑" w:hAnsi="微软雅黑" w:eastAsia="微软雅黑"/>
          <w:spacing w:val="6"/>
          <w:sz w:val="21"/>
          <w:szCs w:val="21"/>
          <w:highlight w:val="none"/>
        </w:rPr>
        <w:t>（编号：</w:t>
      </w:r>
      <w:r>
        <w:rPr>
          <w:rFonts w:hint="eastAsia" w:ascii="微软雅黑" w:hAnsi="微软雅黑" w:eastAsia="微软雅黑"/>
          <w:spacing w:val="6"/>
          <w:sz w:val="21"/>
          <w:szCs w:val="21"/>
          <w:highlight w:val="none"/>
          <w:u w:val="single"/>
          <w:lang w:eastAsia="zh-CN"/>
        </w:rPr>
        <w:t>中际-ZJZJGC（2022）嘉33号</w:t>
      </w:r>
      <w:r>
        <w:rPr>
          <w:rFonts w:ascii="微软雅黑" w:hAnsi="微软雅黑" w:eastAsia="微软雅黑"/>
          <w:spacing w:val="6"/>
          <w:sz w:val="21"/>
          <w:szCs w:val="21"/>
          <w:highlight w:val="none"/>
        </w:rPr>
        <w:t xml:space="preserve">）政府采购活动，经与本单位法人代表（负责人）联系确认，现就有关公平竞争事项郑重声明如下： </w:t>
      </w:r>
    </w:p>
    <w:p>
      <w:pPr>
        <w:pStyle w:val="123"/>
        <w:widowControl/>
        <w:numPr>
          <w:ilvl w:val="0"/>
          <w:numId w:val="12"/>
        </w:numPr>
        <w:snapToGrid w:val="0"/>
        <w:spacing w:line="400" w:lineRule="exact"/>
        <w:ind w:firstLine="396" w:firstLineChars="189"/>
        <w:rPr>
          <w:rFonts w:hint="default" w:ascii="微软雅黑" w:hAnsi="微软雅黑" w:eastAsia="微软雅黑"/>
          <w:kern w:val="0"/>
          <w:szCs w:val="21"/>
          <w:highlight w:val="none"/>
        </w:rPr>
      </w:pPr>
      <w:r>
        <w:rPr>
          <w:rFonts w:ascii="微软雅黑" w:hAnsi="微软雅黑" w:eastAsia="微软雅黑"/>
          <w:kern w:val="0"/>
          <w:szCs w:val="21"/>
          <w:highlight w:val="none"/>
        </w:rPr>
        <w:t xml:space="preserve">本单位与采购人之间 </w:t>
      </w:r>
      <w:r>
        <w:rPr>
          <w:rFonts w:ascii="微软雅黑" w:hAnsi="微软雅黑" w:eastAsia="微软雅黑" w:cs="宋体"/>
          <w:kern w:val="0"/>
          <w:szCs w:val="21"/>
          <w:highlight w:val="none"/>
        </w:rPr>
        <w:t>□</w:t>
      </w:r>
      <w:r>
        <w:rPr>
          <w:rFonts w:ascii="微软雅黑" w:hAnsi="微软雅黑" w:eastAsia="微软雅黑"/>
          <w:kern w:val="0"/>
          <w:szCs w:val="21"/>
          <w:highlight w:val="none"/>
        </w:rPr>
        <w:t xml:space="preserve">不存在利害关系 </w:t>
      </w:r>
      <w:r>
        <w:rPr>
          <w:rFonts w:ascii="微软雅黑" w:hAnsi="微软雅黑" w:eastAsia="微软雅黑" w:cs="宋体"/>
          <w:kern w:val="0"/>
          <w:szCs w:val="21"/>
          <w:highlight w:val="none"/>
        </w:rPr>
        <w:t>□</w:t>
      </w:r>
      <w:r>
        <w:rPr>
          <w:rFonts w:ascii="微软雅黑" w:hAnsi="微软雅黑" w:eastAsia="微软雅黑"/>
          <w:kern w:val="0"/>
          <w:szCs w:val="21"/>
          <w:highlight w:val="none"/>
        </w:rPr>
        <w:t>存在下列利害关系：</w:t>
      </w:r>
    </w:p>
    <w:p>
      <w:pPr>
        <w:pStyle w:val="123"/>
        <w:widowControl/>
        <w:snapToGrid w:val="0"/>
        <w:spacing w:line="400" w:lineRule="exact"/>
        <w:rPr>
          <w:rFonts w:hint="default" w:ascii="微软雅黑" w:hAnsi="微软雅黑" w:eastAsia="微软雅黑"/>
          <w:kern w:val="0"/>
          <w:szCs w:val="21"/>
          <w:highlight w:val="none"/>
        </w:rPr>
      </w:pPr>
      <w:r>
        <w:rPr>
          <w:rFonts w:ascii="微软雅黑" w:hAnsi="微软雅黑" w:eastAsia="微软雅黑"/>
          <w:kern w:val="0"/>
          <w:szCs w:val="21"/>
          <w:highlight w:val="none"/>
        </w:rPr>
        <w:t xml:space="preserve">  A.投资关系    B.行政隶属关系    C.业务指导关系</w:t>
      </w:r>
    </w:p>
    <w:p>
      <w:pPr>
        <w:pStyle w:val="123"/>
        <w:widowControl/>
        <w:snapToGrid w:val="0"/>
        <w:spacing w:line="400" w:lineRule="exact"/>
        <w:rPr>
          <w:rFonts w:hint="default" w:ascii="微软雅黑" w:hAnsi="微软雅黑" w:eastAsia="微软雅黑"/>
          <w:kern w:val="0"/>
          <w:szCs w:val="21"/>
          <w:highlight w:val="none"/>
        </w:rPr>
      </w:pPr>
      <w:r>
        <w:rPr>
          <w:rFonts w:ascii="微软雅黑" w:hAnsi="微软雅黑" w:eastAsia="微软雅黑"/>
          <w:kern w:val="0"/>
          <w:szCs w:val="21"/>
          <w:highlight w:val="none"/>
        </w:rPr>
        <w:t xml:space="preserve">  D.其他可能</w:t>
      </w:r>
      <w:r>
        <w:rPr>
          <w:rFonts w:ascii="微软雅黑" w:hAnsi="微软雅黑" w:eastAsia="微软雅黑"/>
          <w:szCs w:val="21"/>
          <w:highlight w:val="none"/>
        </w:rPr>
        <w:t>影响采购公正的</w:t>
      </w:r>
      <w:r>
        <w:rPr>
          <w:rFonts w:ascii="微软雅黑" w:hAnsi="微软雅黑" w:eastAsia="微软雅黑"/>
          <w:kern w:val="0"/>
          <w:szCs w:val="21"/>
          <w:highlight w:val="none"/>
        </w:rPr>
        <w:t>利害关系</w:t>
      </w:r>
      <w:r>
        <w:rPr>
          <w:rFonts w:ascii="微软雅黑" w:hAnsi="微软雅黑" w:eastAsia="微软雅黑"/>
          <w:kern w:val="0"/>
          <w:szCs w:val="21"/>
          <w:highlight w:val="none"/>
          <w:u w:val="single"/>
        </w:rPr>
        <w:t xml:space="preserve">（如有，请如实说明）                 </w:t>
      </w:r>
      <w:r>
        <w:rPr>
          <w:rFonts w:ascii="微软雅黑" w:hAnsi="微软雅黑" w:eastAsia="微软雅黑"/>
          <w:kern w:val="0"/>
          <w:szCs w:val="21"/>
          <w:highlight w:val="none"/>
        </w:rPr>
        <w:t>。</w:t>
      </w:r>
    </w:p>
    <w:p>
      <w:pPr>
        <w:pStyle w:val="123"/>
        <w:widowControl/>
        <w:snapToGrid w:val="0"/>
        <w:spacing w:line="400" w:lineRule="exact"/>
        <w:rPr>
          <w:rFonts w:hint="default" w:ascii="微软雅黑" w:hAnsi="微软雅黑" w:eastAsia="微软雅黑"/>
          <w:kern w:val="0"/>
          <w:szCs w:val="21"/>
          <w:highlight w:val="none"/>
        </w:rPr>
      </w:pPr>
      <w:r>
        <w:rPr>
          <w:rFonts w:ascii="微软雅黑" w:hAnsi="微软雅黑" w:eastAsia="微软雅黑"/>
          <w:spacing w:val="6"/>
          <w:szCs w:val="21"/>
          <w:highlight w:val="none"/>
        </w:rPr>
        <w:t xml:space="preserve">  二、</w:t>
      </w:r>
      <w:r>
        <w:rPr>
          <w:rFonts w:ascii="微软雅黑" w:hAnsi="微软雅黑" w:eastAsia="微软雅黑"/>
          <w:kern w:val="0"/>
          <w:szCs w:val="21"/>
          <w:highlight w:val="none"/>
        </w:rPr>
        <w:t xml:space="preserve">现已清楚知道参加本项目采购活动的其他所有供应商名称，本单位 </w:t>
      </w:r>
      <w:r>
        <w:rPr>
          <w:rFonts w:ascii="微软雅黑" w:hAnsi="微软雅黑" w:eastAsia="微软雅黑" w:cs="宋体"/>
          <w:kern w:val="0"/>
          <w:szCs w:val="21"/>
          <w:highlight w:val="none"/>
        </w:rPr>
        <w:t>□与其他所有供应商之间均</w:t>
      </w:r>
      <w:r>
        <w:rPr>
          <w:rFonts w:ascii="微软雅黑" w:hAnsi="微软雅黑" w:eastAsia="微软雅黑"/>
          <w:kern w:val="0"/>
          <w:szCs w:val="21"/>
          <w:highlight w:val="none"/>
        </w:rPr>
        <w:t xml:space="preserve">不存在利害关系 </w:t>
      </w:r>
      <w:r>
        <w:rPr>
          <w:rFonts w:ascii="微软雅黑" w:hAnsi="微软雅黑" w:eastAsia="微软雅黑" w:cs="宋体"/>
          <w:kern w:val="0"/>
          <w:szCs w:val="21"/>
          <w:highlight w:val="none"/>
        </w:rPr>
        <w:t>□与</w:t>
      </w:r>
      <w:r>
        <w:rPr>
          <w:rFonts w:ascii="微软雅黑" w:hAnsi="微软雅黑" w:eastAsia="微软雅黑" w:cs="宋体"/>
          <w:kern w:val="0"/>
          <w:szCs w:val="21"/>
          <w:highlight w:val="none"/>
          <w:u w:val="single"/>
        </w:rPr>
        <w:t xml:space="preserve">           （供应商名称）</w:t>
      </w:r>
      <w:r>
        <w:rPr>
          <w:rFonts w:ascii="微软雅黑" w:hAnsi="微软雅黑" w:eastAsia="微软雅黑" w:cs="宋体"/>
          <w:kern w:val="0"/>
          <w:szCs w:val="21"/>
          <w:highlight w:val="none"/>
        </w:rPr>
        <w:t>之间</w:t>
      </w:r>
      <w:r>
        <w:rPr>
          <w:rFonts w:ascii="微软雅黑" w:hAnsi="微软雅黑" w:eastAsia="微软雅黑"/>
          <w:kern w:val="0"/>
          <w:szCs w:val="21"/>
          <w:highlight w:val="none"/>
        </w:rPr>
        <w:t>存在下列利害关系：</w:t>
      </w:r>
    </w:p>
    <w:p>
      <w:pPr>
        <w:pStyle w:val="133"/>
        <w:snapToGrid w:val="0"/>
        <w:spacing w:line="400" w:lineRule="exact"/>
        <w:ind w:firstLine="420"/>
        <w:rPr>
          <w:rFonts w:ascii="微软雅黑" w:hAnsi="微软雅黑" w:eastAsia="微软雅黑"/>
          <w:kern w:val="0"/>
          <w:sz w:val="21"/>
          <w:szCs w:val="21"/>
          <w:highlight w:val="none"/>
        </w:rPr>
      </w:pPr>
      <w:r>
        <w:rPr>
          <w:rFonts w:ascii="微软雅黑" w:hAnsi="微软雅黑" w:eastAsia="微软雅黑"/>
          <w:kern w:val="0"/>
          <w:sz w:val="21"/>
          <w:szCs w:val="21"/>
          <w:highlight w:val="none"/>
        </w:rPr>
        <w:t xml:space="preserve">  A.法定代表人或负责人或实际控制人是同一人</w:t>
      </w:r>
    </w:p>
    <w:p>
      <w:pPr>
        <w:pStyle w:val="133"/>
        <w:snapToGrid w:val="0"/>
        <w:spacing w:line="400" w:lineRule="exact"/>
        <w:ind w:firstLine="420"/>
        <w:rPr>
          <w:rFonts w:ascii="微软雅黑" w:hAnsi="微软雅黑" w:eastAsia="微软雅黑"/>
          <w:spacing w:val="6"/>
          <w:sz w:val="21"/>
          <w:szCs w:val="21"/>
          <w:highlight w:val="none"/>
        </w:rPr>
      </w:pPr>
      <w:r>
        <w:rPr>
          <w:rFonts w:ascii="微软雅黑" w:hAnsi="微软雅黑" w:eastAsia="微软雅黑"/>
          <w:kern w:val="0"/>
          <w:sz w:val="21"/>
          <w:szCs w:val="21"/>
          <w:highlight w:val="none"/>
        </w:rPr>
        <w:t xml:space="preserve">  B.法定代表人或负责人或实际控制人是夫妻关系</w:t>
      </w:r>
    </w:p>
    <w:p>
      <w:pPr>
        <w:pStyle w:val="133"/>
        <w:snapToGrid w:val="0"/>
        <w:spacing w:line="400" w:lineRule="exact"/>
        <w:ind w:firstLine="420"/>
        <w:rPr>
          <w:rFonts w:ascii="微软雅黑" w:hAnsi="微软雅黑" w:eastAsia="微软雅黑"/>
          <w:spacing w:val="6"/>
          <w:sz w:val="21"/>
          <w:szCs w:val="21"/>
          <w:highlight w:val="none"/>
        </w:rPr>
      </w:pPr>
      <w:r>
        <w:rPr>
          <w:rFonts w:ascii="微软雅黑" w:hAnsi="微软雅黑" w:eastAsia="微软雅黑"/>
          <w:kern w:val="0"/>
          <w:sz w:val="21"/>
          <w:szCs w:val="21"/>
          <w:highlight w:val="none"/>
        </w:rPr>
        <w:t xml:space="preserve">  C.法定代表人或负责人或实际控制人是直系血亲关系</w:t>
      </w:r>
    </w:p>
    <w:p>
      <w:pPr>
        <w:pStyle w:val="133"/>
        <w:snapToGrid w:val="0"/>
        <w:spacing w:line="400" w:lineRule="exact"/>
        <w:ind w:firstLine="420"/>
        <w:rPr>
          <w:rFonts w:ascii="微软雅黑" w:hAnsi="微软雅黑" w:eastAsia="微软雅黑"/>
          <w:spacing w:val="6"/>
          <w:sz w:val="21"/>
          <w:szCs w:val="21"/>
          <w:highlight w:val="none"/>
        </w:rPr>
      </w:pPr>
      <w:r>
        <w:rPr>
          <w:rFonts w:ascii="微软雅黑" w:hAnsi="微软雅黑" w:eastAsia="微软雅黑"/>
          <w:kern w:val="0"/>
          <w:sz w:val="21"/>
          <w:szCs w:val="21"/>
          <w:highlight w:val="none"/>
        </w:rPr>
        <w:t xml:space="preserve">  D.法定代表人或负责人或实际控制人存在三代以内旁系血亲关系</w:t>
      </w:r>
    </w:p>
    <w:p>
      <w:pPr>
        <w:pStyle w:val="133"/>
        <w:snapToGrid w:val="0"/>
        <w:spacing w:line="400" w:lineRule="exact"/>
        <w:ind w:firstLine="420"/>
        <w:rPr>
          <w:rFonts w:ascii="微软雅黑" w:hAnsi="微软雅黑" w:eastAsia="微软雅黑"/>
          <w:kern w:val="0"/>
          <w:sz w:val="21"/>
          <w:szCs w:val="21"/>
          <w:highlight w:val="none"/>
        </w:rPr>
      </w:pPr>
      <w:r>
        <w:rPr>
          <w:rFonts w:ascii="微软雅黑" w:hAnsi="微软雅黑" w:eastAsia="微软雅黑"/>
          <w:kern w:val="0"/>
          <w:sz w:val="21"/>
          <w:szCs w:val="21"/>
          <w:highlight w:val="none"/>
        </w:rPr>
        <w:t xml:space="preserve">  E.法定代表人或负责人或实际控制人存在近姻亲关系</w:t>
      </w:r>
    </w:p>
    <w:p>
      <w:pPr>
        <w:pStyle w:val="133"/>
        <w:snapToGrid w:val="0"/>
        <w:spacing w:line="400" w:lineRule="exact"/>
        <w:ind w:firstLine="420"/>
        <w:rPr>
          <w:rFonts w:ascii="微软雅黑" w:hAnsi="微软雅黑" w:eastAsia="微软雅黑"/>
          <w:kern w:val="0"/>
          <w:sz w:val="21"/>
          <w:szCs w:val="21"/>
          <w:highlight w:val="none"/>
        </w:rPr>
      </w:pPr>
      <w:r>
        <w:rPr>
          <w:rFonts w:ascii="微软雅黑" w:hAnsi="微软雅黑" w:eastAsia="微软雅黑"/>
          <w:kern w:val="0"/>
          <w:sz w:val="21"/>
          <w:szCs w:val="21"/>
          <w:highlight w:val="none"/>
        </w:rPr>
        <w:t xml:space="preserve">  F.法定代表人或负责人或实际控制人存在股份控制或实际控制关系</w:t>
      </w:r>
    </w:p>
    <w:p>
      <w:pPr>
        <w:pStyle w:val="133"/>
        <w:snapToGrid w:val="0"/>
        <w:spacing w:line="400" w:lineRule="exact"/>
        <w:ind w:firstLine="420"/>
        <w:rPr>
          <w:rFonts w:ascii="微软雅黑" w:hAnsi="微软雅黑" w:eastAsia="微软雅黑"/>
          <w:kern w:val="0"/>
          <w:sz w:val="21"/>
          <w:szCs w:val="21"/>
          <w:highlight w:val="none"/>
        </w:rPr>
      </w:pPr>
      <w:r>
        <w:rPr>
          <w:rFonts w:ascii="微软雅黑" w:hAnsi="微软雅黑" w:eastAsia="微软雅黑"/>
          <w:kern w:val="0"/>
          <w:sz w:val="21"/>
          <w:szCs w:val="21"/>
          <w:highlight w:val="none"/>
        </w:rPr>
        <w:t xml:space="preserve">  G.存在共同直接或间接投资设立子公司、联营企业和合营企业情况</w:t>
      </w:r>
    </w:p>
    <w:p>
      <w:pPr>
        <w:pStyle w:val="133"/>
        <w:snapToGrid w:val="0"/>
        <w:spacing w:line="400" w:lineRule="exact"/>
        <w:ind w:firstLine="420"/>
        <w:rPr>
          <w:rFonts w:ascii="微软雅黑" w:hAnsi="微软雅黑" w:eastAsia="微软雅黑"/>
          <w:sz w:val="21"/>
          <w:szCs w:val="21"/>
          <w:highlight w:val="none"/>
        </w:rPr>
      </w:pPr>
      <w:r>
        <w:rPr>
          <w:rFonts w:ascii="微软雅黑" w:hAnsi="微软雅黑" w:eastAsia="微软雅黑"/>
          <w:kern w:val="0"/>
          <w:sz w:val="21"/>
          <w:szCs w:val="21"/>
          <w:highlight w:val="none"/>
        </w:rPr>
        <w:t xml:space="preserve">  H.存在分级代理或代销关系、同一生产制造商关系、</w:t>
      </w:r>
      <w:r>
        <w:rPr>
          <w:rFonts w:ascii="微软雅黑" w:hAnsi="微软雅黑" w:eastAsia="微软雅黑"/>
          <w:sz w:val="21"/>
          <w:szCs w:val="21"/>
          <w:highlight w:val="none"/>
        </w:rPr>
        <w:t>管理关系、重要业务（占主营业务收入50%以上）或重要财务往来关系（如融资）等其他实质性控制关系</w:t>
      </w:r>
      <w:bookmarkStart w:id="204" w:name="_Toc30604"/>
      <w:bookmarkStart w:id="205" w:name="_Toc8126"/>
    </w:p>
    <w:p>
      <w:pPr>
        <w:pStyle w:val="133"/>
        <w:snapToGrid w:val="0"/>
        <w:spacing w:line="400" w:lineRule="exact"/>
        <w:ind w:firstLine="630" w:firstLineChars="300"/>
        <w:rPr>
          <w:rFonts w:ascii="微软雅黑" w:hAnsi="微软雅黑" w:eastAsia="微软雅黑"/>
          <w:kern w:val="0"/>
          <w:sz w:val="21"/>
          <w:szCs w:val="21"/>
          <w:highlight w:val="none"/>
        </w:rPr>
      </w:pPr>
      <w:r>
        <w:rPr>
          <w:rFonts w:hint="eastAsia" w:ascii="微软雅黑" w:hAnsi="微软雅黑" w:eastAsia="微软雅黑"/>
          <w:kern w:val="0"/>
          <w:sz w:val="21"/>
          <w:szCs w:val="21"/>
          <w:highlight w:val="none"/>
        </w:rPr>
        <w:t>I.其他利害关系情况。</w:t>
      </w:r>
      <w:bookmarkEnd w:id="204"/>
      <w:bookmarkEnd w:id="205"/>
    </w:p>
    <w:p>
      <w:pPr>
        <w:pStyle w:val="123"/>
        <w:widowControl/>
        <w:numPr>
          <w:ilvl w:val="0"/>
          <w:numId w:val="13"/>
        </w:numPr>
        <w:snapToGrid w:val="0"/>
        <w:spacing w:line="400" w:lineRule="exact"/>
        <w:ind w:firstLine="396" w:firstLineChars="189"/>
        <w:rPr>
          <w:rFonts w:hint="default" w:ascii="微软雅黑" w:hAnsi="微软雅黑" w:eastAsia="微软雅黑"/>
          <w:kern w:val="0"/>
          <w:szCs w:val="21"/>
          <w:highlight w:val="none"/>
        </w:rPr>
      </w:pPr>
      <w:r>
        <w:rPr>
          <w:rFonts w:ascii="微软雅黑" w:hAnsi="微软雅黑" w:eastAsia="微软雅黑"/>
          <w:szCs w:val="21"/>
          <w:highlight w:val="none"/>
        </w:rPr>
        <w:t>现已清楚知道并</w:t>
      </w:r>
      <w:r>
        <w:rPr>
          <w:rFonts w:ascii="微软雅黑" w:hAnsi="微软雅黑" w:eastAsia="微软雅黑"/>
          <w:kern w:val="0"/>
          <w:szCs w:val="21"/>
          <w:highlight w:val="none"/>
        </w:rPr>
        <w:t>严格遵守政府采购法律法规和现场纪律。</w:t>
      </w:r>
    </w:p>
    <w:p>
      <w:pPr>
        <w:pStyle w:val="123"/>
        <w:widowControl/>
        <w:numPr>
          <w:ilvl w:val="0"/>
          <w:numId w:val="13"/>
        </w:numPr>
        <w:snapToGrid w:val="0"/>
        <w:spacing w:line="400" w:lineRule="exact"/>
        <w:ind w:firstLine="396" w:firstLineChars="189"/>
        <w:rPr>
          <w:rFonts w:hint="default" w:ascii="微软雅黑" w:hAnsi="微软雅黑" w:eastAsia="微软雅黑"/>
          <w:kern w:val="0"/>
          <w:szCs w:val="21"/>
          <w:highlight w:val="none"/>
        </w:rPr>
      </w:pPr>
      <w:r>
        <w:rPr>
          <w:rFonts w:ascii="微软雅黑" w:hAnsi="微软雅黑" w:eastAsia="微软雅黑"/>
          <w:kern w:val="0"/>
          <w:szCs w:val="21"/>
          <w:highlight w:val="none"/>
        </w:rPr>
        <w:t>我发现供应商之间存在或可能存在上述第二条第项利害关系。</w:t>
      </w:r>
    </w:p>
    <w:p>
      <w:pPr>
        <w:pStyle w:val="133"/>
        <w:snapToGrid w:val="0"/>
        <w:spacing w:line="400" w:lineRule="exact"/>
        <w:ind w:firstLine="420"/>
        <w:rPr>
          <w:rFonts w:ascii="微软雅黑" w:hAnsi="微软雅黑" w:eastAsia="微软雅黑"/>
          <w:sz w:val="21"/>
          <w:szCs w:val="21"/>
          <w:highlight w:val="none"/>
        </w:rPr>
      </w:pPr>
    </w:p>
    <w:p>
      <w:pPr>
        <w:pStyle w:val="133"/>
        <w:snapToGrid w:val="0"/>
        <w:spacing w:line="400" w:lineRule="exact"/>
        <w:ind w:firstLine="420"/>
        <w:rPr>
          <w:rFonts w:ascii="微软雅黑" w:hAnsi="微软雅黑" w:eastAsia="微软雅黑"/>
          <w:sz w:val="21"/>
          <w:szCs w:val="21"/>
          <w:highlight w:val="none"/>
        </w:rPr>
      </w:pPr>
    </w:p>
    <w:p>
      <w:pPr>
        <w:pStyle w:val="133"/>
        <w:snapToGrid w:val="0"/>
        <w:spacing w:line="400" w:lineRule="exact"/>
        <w:ind w:firstLine="420"/>
        <w:rPr>
          <w:rFonts w:ascii="微软雅黑" w:hAnsi="微软雅黑" w:eastAsia="微软雅黑"/>
          <w:sz w:val="21"/>
          <w:szCs w:val="21"/>
          <w:highlight w:val="none"/>
        </w:rPr>
      </w:pPr>
      <w:r>
        <w:rPr>
          <w:rFonts w:ascii="微软雅黑" w:hAnsi="微软雅黑" w:eastAsia="微软雅黑"/>
          <w:sz w:val="21"/>
          <w:szCs w:val="21"/>
          <w:highlight w:val="none"/>
        </w:rPr>
        <w:t xml:space="preserve"> 供应商代表签名：</w:t>
      </w:r>
    </w:p>
    <w:p>
      <w:pPr>
        <w:snapToGrid w:val="0"/>
        <w:ind w:firstLine="630" w:firstLineChars="300"/>
        <w:rPr>
          <w:rFonts w:ascii="微软雅黑" w:hAnsi="微软雅黑"/>
          <w:b/>
          <w:szCs w:val="21"/>
          <w:highlight w:val="none"/>
        </w:rPr>
      </w:pPr>
      <w:r>
        <w:rPr>
          <w:rFonts w:ascii="微软雅黑" w:hAnsi="微软雅黑"/>
          <w:szCs w:val="21"/>
          <w:highlight w:val="none"/>
        </w:rPr>
        <w:t xml:space="preserve"> 年  月  日</w:t>
      </w:r>
    </w:p>
    <w:p>
      <w:pPr>
        <w:snapToGrid w:val="0"/>
        <w:ind w:firstLine="420"/>
        <w:rPr>
          <w:rFonts w:ascii="微软雅黑" w:hAnsi="微软雅黑"/>
          <w:b/>
          <w:szCs w:val="21"/>
          <w:highlight w:val="none"/>
        </w:rPr>
      </w:pPr>
      <w:r>
        <w:rPr>
          <w:rFonts w:hint="eastAsia" w:ascii="微软雅黑" w:hAnsi="微软雅黑"/>
          <w:b/>
          <w:szCs w:val="21"/>
          <w:highlight w:val="none"/>
        </w:rPr>
        <w:br w:type="page"/>
      </w:r>
      <w:r>
        <w:rPr>
          <w:rFonts w:hint="eastAsia" w:ascii="微软雅黑" w:hAnsi="微软雅黑"/>
          <w:b/>
          <w:szCs w:val="21"/>
          <w:highlight w:val="none"/>
        </w:rPr>
        <w:t>投标声明书格式：</w:t>
      </w:r>
    </w:p>
    <w:p>
      <w:pPr>
        <w:ind w:firstLine="420"/>
        <w:jc w:val="center"/>
        <w:rPr>
          <w:highlight w:val="none"/>
        </w:rPr>
      </w:pPr>
      <w:bookmarkStart w:id="206" w:name="_Toc6432"/>
      <w:bookmarkStart w:id="207" w:name="_Toc24941"/>
      <w:r>
        <w:rPr>
          <w:rFonts w:hint="eastAsia"/>
          <w:highlight w:val="none"/>
        </w:rPr>
        <w:t>投标声明书</w:t>
      </w:r>
      <w:bookmarkEnd w:id="206"/>
      <w:bookmarkEnd w:id="207"/>
    </w:p>
    <w:p>
      <w:pPr>
        <w:snapToGrid w:val="0"/>
        <w:ind w:firstLine="420"/>
        <w:rPr>
          <w:rFonts w:ascii="微软雅黑" w:hAnsi="微软雅黑"/>
          <w:szCs w:val="21"/>
          <w:highlight w:val="none"/>
        </w:rPr>
      </w:pPr>
      <w:r>
        <w:rPr>
          <w:rFonts w:hint="eastAsia" w:ascii="微软雅黑" w:hAnsi="微软雅黑"/>
          <w:szCs w:val="21"/>
          <w:highlight w:val="none"/>
        </w:rPr>
        <w:t>致：</w:t>
      </w:r>
      <w:r>
        <w:rPr>
          <w:rFonts w:hint="eastAsia" w:ascii="微软雅黑" w:hAnsi="微软雅黑"/>
          <w:szCs w:val="21"/>
          <w:highlight w:val="none"/>
          <w:u w:val="single"/>
          <w:lang w:eastAsia="zh-CN"/>
        </w:rPr>
        <w:t>嘉兴市南湖区公路与运输管理服务中心</w:t>
      </w:r>
      <w:r>
        <w:rPr>
          <w:rFonts w:hint="eastAsia" w:ascii="微软雅黑" w:hAnsi="微软雅黑"/>
          <w:szCs w:val="21"/>
          <w:highlight w:val="none"/>
        </w:rPr>
        <w:t>（招标采购单位名称）：</w:t>
      </w:r>
    </w:p>
    <w:p>
      <w:pPr>
        <w:snapToGrid w:val="0"/>
        <w:ind w:firstLine="630" w:firstLineChars="300"/>
        <w:rPr>
          <w:rFonts w:ascii="微软雅黑" w:hAnsi="微软雅黑"/>
          <w:szCs w:val="21"/>
          <w:highlight w:val="none"/>
        </w:rPr>
      </w:pPr>
      <w:r>
        <w:rPr>
          <w:rFonts w:hint="eastAsia" w:ascii="微软雅黑" w:hAnsi="微软雅黑"/>
          <w:szCs w:val="21"/>
          <w:highlight w:val="none"/>
        </w:rPr>
        <w:t>（投标人名称）系中华人民共和国合法企业，经营地址。</w:t>
      </w:r>
    </w:p>
    <w:p>
      <w:pPr>
        <w:snapToGrid w:val="0"/>
        <w:ind w:firstLine="420"/>
        <w:rPr>
          <w:rFonts w:ascii="微软雅黑" w:hAnsi="微软雅黑"/>
          <w:szCs w:val="21"/>
          <w:highlight w:val="none"/>
        </w:rPr>
      </w:pPr>
      <w:r>
        <w:rPr>
          <w:rFonts w:hint="eastAsia" w:ascii="微软雅黑" w:hAnsi="微软雅黑"/>
          <w:szCs w:val="21"/>
          <w:highlight w:val="none"/>
        </w:rPr>
        <w:t>我（姓名）系（投标人名称）的法定代表人，我方愿意参加贵方组织的项目的投标，为便于贵方公正、择优地确定中标人及其投标产品和服务，我方就本次投标有关事项郑重声明如下：</w:t>
      </w:r>
    </w:p>
    <w:p>
      <w:pPr>
        <w:snapToGrid w:val="0"/>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w:t>
      </w:r>
      <w:r>
        <w:rPr>
          <w:rFonts w:ascii="微软雅黑" w:hAnsi="微软雅黑"/>
          <w:szCs w:val="21"/>
          <w:highlight w:val="none"/>
        </w:rPr>
        <w:t>我方向贵方提交的所有投标文件、资料都是准确的和真实的</w:t>
      </w:r>
      <w:r>
        <w:rPr>
          <w:rFonts w:hint="eastAsia" w:ascii="微软雅黑" w:hAnsi="微软雅黑"/>
          <w:szCs w:val="21"/>
          <w:highlight w:val="none"/>
        </w:rPr>
        <w:t>。</w:t>
      </w:r>
    </w:p>
    <w:p>
      <w:pPr>
        <w:snapToGrid w:val="0"/>
        <w:ind w:firstLine="420"/>
        <w:rPr>
          <w:rFonts w:ascii="微软雅黑" w:hAnsi="微软雅黑"/>
          <w:szCs w:val="21"/>
          <w:highlight w:val="none"/>
        </w:rPr>
      </w:pPr>
      <w:r>
        <w:rPr>
          <w:rFonts w:ascii="微软雅黑" w:hAnsi="微软雅黑"/>
          <w:szCs w:val="21"/>
          <w:highlight w:val="none"/>
        </w:rPr>
        <w:t>2</w:t>
      </w:r>
      <w:r>
        <w:rPr>
          <w:rFonts w:hint="eastAsia" w:ascii="微软雅黑" w:hAnsi="微软雅黑"/>
          <w:szCs w:val="21"/>
          <w:highlight w:val="none"/>
        </w:rPr>
        <w:t>、</w:t>
      </w:r>
      <w:r>
        <w:rPr>
          <w:rFonts w:ascii="微软雅黑" w:hAnsi="微软雅黑"/>
          <w:szCs w:val="21"/>
          <w:highlight w:val="none"/>
        </w:rPr>
        <w:t>我方不是采购人的附属机构；在获知本项目采购信息后，与采购人聘请的为此项目提供咨询服务的公司及其附属机构没有任何联系。</w:t>
      </w:r>
    </w:p>
    <w:p>
      <w:pPr>
        <w:snapToGrid w:val="0"/>
        <w:rPr>
          <w:rFonts w:ascii="微软雅黑" w:hAnsi="微软雅黑"/>
          <w:szCs w:val="21"/>
          <w:highlight w:val="none"/>
        </w:rPr>
      </w:pPr>
      <w:r>
        <w:rPr>
          <w:rFonts w:ascii="微软雅黑" w:hAnsi="微软雅黑"/>
          <w:spacing w:val="15"/>
          <w:kern w:val="0"/>
          <w:szCs w:val="21"/>
          <w:highlight w:val="none"/>
        </w:rPr>
        <w:t>3</w:t>
      </w:r>
      <w:r>
        <w:rPr>
          <w:rFonts w:hint="eastAsia" w:ascii="微软雅黑" w:hAnsi="微软雅黑"/>
          <w:spacing w:val="15"/>
          <w:kern w:val="0"/>
          <w:szCs w:val="21"/>
          <w:highlight w:val="none"/>
        </w:rPr>
        <w:t>、</w:t>
      </w:r>
      <w:r>
        <w:rPr>
          <w:rFonts w:ascii="微软雅黑" w:hAnsi="微软雅黑"/>
          <w:spacing w:val="15"/>
          <w:kern w:val="0"/>
          <w:szCs w:val="21"/>
          <w:highlight w:val="none"/>
        </w:rPr>
        <w:t>我方此次向贵方提供的</w:t>
      </w:r>
      <w:r>
        <w:rPr>
          <w:rFonts w:hint="eastAsia" w:ascii="微软雅黑" w:hAnsi="微软雅黑"/>
          <w:spacing w:val="15"/>
          <w:kern w:val="0"/>
          <w:szCs w:val="21"/>
          <w:highlight w:val="none"/>
        </w:rPr>
        <w:t>服务内容为</w:t>
      </w:r>
      <w:r>
        <w:rPr>
          <w:rFonts w:hint="eastAsia" w:ascii="微软雅黑" w:hAnsi="微软雅黑"/>
          <w:szCs w:val="21"/>
          <w:highlight w:val="none"/>
        </w:rPr>
        <w:t>。</w:t>
      </w:r>
    </w:p>
    <w:p>
      <w:pPr>
        <w:snapToGrid w:val="0"/>
        <w:ind w:firstLine="420"/>
        <w:rPr>
          <w:rFonts w:ascii="微软雅黑" w:hAnsi="微软雅黑"/>
          <w:szCs w:val="21"/>
          <w:highlight w:val="none"/>
        </w:rPr>
      </w:pPr>
      <w:r>
        <w:rPr>
          <w:rFonts w:ascii="微软雅黑" w:hAnsi="微软雅黑"/>
          <w:szCs w:val="21"/>
          <w:highlight w:val="none"/>
        </w:rPr>
        <w:t>4</w:t>
      </w:r>
      <w:r>
        <w:rPr>
          <w:rFonts w:hint="eastAsia" w:ascii="微软雅黑" w:hAnsi="微软雅黑"/>
          <w:szCs w:val="21"/>
          <w:highlight w:val="none"/>
        </w:rPr>
        <w:t>、</w:t>
      </w:r>
      <w:r>
        <w:rPr>
          <w:rFonts w:ascii="微软雅黑" w:hAnsi="微软雅黑"/>
          <w:szCs w:val="21"/>
          <w:highlight w:val="none"/>
        </w:rPr>
        <w:t>我方诚意提请贵方关注：</w:t>
      </w:r>
      <w:r>
        <w:rPr>
          <w:rFonts w:hint="eastAsia" w:ascii="微软雅黑" w:hAnsi="微软雅黑"/>
          <w:szCs w:val="21"/>
          <w:highlight w:val="none"/>
        </w:rPr>
        <w:t>近期</w:t>
      </w:r>
      <w:r>
        <w:rPr>
          <w:rFonts w:ascii="微软雅黑" w:hAnsi="微软雅黑"/>
          <w:szCs w:val="21"/>
          <w:highlight w:val="none"/>
        </w:rPr>
        <w:t>有关</w:t>
      </w:r>
      <w:r>
        <w:rPr>
          <w:rFonts w:hint="eastAsia" w:ascii="微软雅黑" w:hAnsi="微软雅黑"/>
          <w:szCs w:val="21"/>
          <w:highlight w:val="none"/>
        </w:rPr>
        <w:t>项目的售后服务等方面的重大决策和事项有：</w:t>
      </w:r>
    </w:p>
    <w:p>
      <w:pPr>
        <w:snapToGrid w:val="0"/>
        <w:ind w:firstLine="420"/>
        <w:rPr>
          <w:rFonts w:ascii="微软雅黑" w:hAnsi="微软雅黑"/>
          <w:szCs w:val="21"/>
          <w:highlight w:val="none"/>
        </w:rPr>
      </w:pPr>
      <w:r>
        <w:rPr>
          <w:rFonts w:hint="eastAsia" w:ascii="微软雅黑" w:hAnsi="微软雅黑"/>
          <w:szCs w:val="21"/>
          <w:highlight w:val="none"/>
          <w:u w:val="single"/>
        </w:rPr>
        <w:t>　　　　　　　　　　　　　　　　　　　　　　　　　　</w:t>
      </w:r>
    </w:p>
    <w:p>
      <w:pPr>
        <w:snapToGrid w:val="0"/>
        <w:ind w:firstLine="420"/>
        <w:rPr>
          <w:rFonts w:ascii="微软雅黑" w:hAnsi="微软雅黑"/>
          <w:szCs w:val="21"/>
          <w:highlight w:val="none"/>
        </w:rPr>
      </w:pPr>
      <w:r>
        <w:rPr>
          <w:rFonts w:ascii="微软雅黑" w:hAnsi="微软雅黑"/>
          <w:szCs w:val="21"/>
          <w:highlight w:val="none"/>
        </w:rPr>
        <w:t>5</w:t>
      </w:r>
      <w:r>
        <w:rPr>
          <w:rFonts w:hint="eastAsia" w:ascii="微软雅黑" w:hAnsi="微软雅黑"/>
          <w:szCs w:val="21"/>
          <w:highlight w:val="none"/>
        </w:rPr>
        <w:t>、我方及由本人担任法定代表人的其他机构</w:t>
      </w:r>
      <w:r>
        <w:rPr>
          <w:rFonts w:ascii="微软雅黑" w:hAnsi="微软雅黑"/>
          <w:szCs w:val="21"/>
          <w:highlight w:val="none"/>
        </w:rPr>
        <w:t>最近三年内被</w:t>
      </w:r>
      <w:r>
        <w:rPr>
          <w:rFonts w:hint="eastAsia" w:ascii="微软雅黑" w:hAnsi="微软雅黑"/>
          <w:szCs w:val="21"/>
          <w:highlight w:val="none"/>
        </w:rPr>
        <w:t>通报或者被处罚的</w:t>
      </w:r>
      <w:r>
        <w:rPr>
          <w:rFonts w:ascii="微软雅黑" w:hAnsi="微软雅黑"/>
          <w:szCs w:val="21"/>
          <w:highlight w:val="none"/>
        </w:rPr>
        <w:t>违法行为有：</w:t>
      </w:r>
    </w:p>
    <w:p>
      <w:pPr>
        <w:snapToGrid w:val="0"/>
        <w:ind w:firstLine="420"/>
        <w:rPr>
          <w:rFonts w:ascii="微软雅黑" w:hAnsi="微软雅黑"/>
          <w:szCs w:val="21"/>
          <w:highlight w:val="none"/>
          <w:u w:val="single"/>
        </w:rPr>
      </w:pPr>
      <w:r>
        <w:rPr>
          <w:rFonts w:hint="eastAsia" w:ascii="微软雅黑" w:hAnsi="微软雅黑"/>
          <w:szCs w:val="21"/>
          <w:highlight w:val="none"/>
          <w:u w:val="single"/>
        </w:rPr>
        <w:t>　　　　　　　　　　　　　　　　　　　　　　　　　　　</w:t>
      </w:r>
    </w:p>
    <w:p>
      <w:pPr>
        <w:snapToGrid w:val="0"/>
        <w:ind w:firstLine="420"/>
        <w:rPr>
          <w:rFonts w:ascii="微软雅黑" w:hAnsi="微软雅黑"/>
          <w:szCs w:val="21"/>
          <w:highlight w:val="none"/>
        </w:rPr>
      </w:pPr>
      <w:r>
        <w:rPr>
          <w:rFonts w:hint="eastAsia" w:ascii="微软雅黑" w:hAnsi="微软雅黑"/>
          <w:szCs w:val="21"/>
          <w:highlight w:val="none"/>
        </w:rPr>
        <w:t>6、以上事项如有虚假或隐瞒，我方愿意承担一切后果，并不再寻求任何旨在减轻或免除法律责任的辩解。</w:t>
      </w:r>
    </w:p>
    <w:p>
      <w:pPr>
        <w:snapToGrid w:val="0"/>
        <w:ind w:firstLine="420"/>
        <w:rPr>
          <w:rFonts w:ascii="微软雅黑" w:hAnsi="微软雅黑"/>
          <w:szCs w:val="21"/>
          <w:highlight w:val="none"/>
        </w:rPr>
      </w:pPr>
    </w:p>
    <w:p>
      <w:pPr>
        <w:snapToGrid w:val="0"/>
        <w:ind w:firstLine="0" w:firstLineChars="0"/>
        <w:rPr>
          <w:rFonts w:ascii="微软雅黑" w:hAnsi="微软雅黑"/>
          <w:szCs w:val="21"/>
          <w:highlight w:val="none"/>
          <w:u w:val="single"/>
        </w:rPr>
      </w:pPr>
      <w:r>
        <w:rPr>
          <w:rFonts w:hint="eastAsia" w:ascii="微软雅黑" w:hAnsi="微软雅黑"/>
          <w:szCs w:val="21"/>
          <w:highlight w:val="none"/>
        </w:rPr>
        <w:t>法定代表人签字（或盖章）：</w:t>
      </w:r>
    </w:p>
    <w:p>
      <w:pPr>
        <w:snapToGrid w:val="0"/>
        <w:ind w:firstLine="0" w:firstLineChars="0"/>
        <w:rPr>
          <w:rFonts w:ascii="微软雅黑" w:hAnsi="微软雅黑"/>
          <w:szCs w:val="21"/>
          <w:highlight w:val="none"/>
        </w:rPr>
      </w:pPr>
      <w:r>
        <w:rPr>
          <w:rFonts w:hint="eastAsia" w:ascii="微软雅黑" w:hAnsi="微软雅黑"/>
          <w:szCs w:val="21"/>
          <w:highlight w:val="none"/>
        </w:rPr>
        <w:t>投标人公章：</w:t>
      </w:r>
    </w:p>
    <w:p>
      <w:pPr>
        <w:snapToGrid w:val="0"/>
        <w:ind w:firstLine="0" w:firstLineChars="0"/>
        <w:rPr>
          <w:rFonts w:ascii="微软雅黑" w:hAnsi="微软雅黑"/>
          <w:szCs w:val="21"/>
          <w:highlight w:val="none"/>
        </w:rPr>
      </w:pPr>
      <w:r>
        <w:rPr>
          <w:rFonts w:hint="eastAsia" w:ascii="微软雅黑" w:hAnsi="微软雅黑"/>
          <w:szCs w:val="21"/>
          <w:highlight w:val="none"/>
        </w:rPr>
        <w:t>日期：</w:t>
      </w:r>
      <w:r>
        <w:rPr>
          <w:rFonts w:ascii="微软雅黑" w:hAnsi="微软雅黑"/>
          <w:szCs w:val="21"/>
          <w:highlight w:val="none"/>
        </w:rPr>
        <w:t xml:space="preserve">   年    月    日</w:t>
      </w:r>
    </w:p>
    <w:p>
      <w:pPr>
        <w:snapToGrid w:val="0"/>
        <w:ind w:firstLine="420"/>
        <w:rPr>
          <w:rFonts w:ascii="微软雅黑" w:hAnsi="微软雅黑"/>
          <w:b/>
          <w:szCs w:val="21"/>
          <w:highlight w:val="none"/>
        </w:rPr>
      </w:pPr>
      <w:r>
        <w:rPr>
          <w:rFonts w:hint="eastAsia" w:ascii="微软雅黑" w:hAnsi="微软雅黑"/>
          <w:b/>
          <w:szCs w:val="21"/>
          <w:highlight w:val="none"/>
        </w:rPr>
        <w:br w:type="page"/>
      </w:r>
      <w:r>
        <w:rPr>
          <w:rFonts w:hint="eastAsia" w:ascii="微软雅黑" w:hAnsi="微软雅黑"/>
          <w:b/>
          <w:szCs w:val="21"/>
          <w:highlight w:val="none"/>
        </w:rPr>
        <w:t>法定代表人授权委托书格式：</w:t>
      </w:r>
    </w:p>
    <w:p>
      <w:pPr>
        <w:snapToGrid w:val="0"/>
        <w:ind w:firstLine="420"/>
        <w:jc w:val="center"/>
        <w:rPr>
          <w:rFonts w:ascii="微软雅黑" w:hAnsi="微软雅黑"/>
          <w:b/>
          <w:szCs w:val="21"/>
          <w:highlight w:val="none"/>
        </w:rPr>
      </w:pPr>
      <w:r>
        <w:rPr>
          <w:rFonts w:hint="eastAsia" w:ascii="微软雅黑" w:hAnsi="微软雅黑"/>
          <w:b/>
          <w:szCs w:val="21"/>
          <w:highlight w:val="none"/>
        </w:rPr>
        <w:t>法定代表人授权委托书</w:t>
      </w:r>
    </w:p>
    <w:p>
      <w:pPr>
        <w:snapToGrid w:val="0"/>
        <w:ind w:firstLine="420"/>
        <w:rPr>
          <w:rFonts w:ascii="微软雅黑" w:hAnsi="微软雅黑"/>
          <w:bCs/>
          <w:szCs w:val="21"/>
          <w:highlight w:val="none"/>
        </w:rPr>
      </w:pPr>
    </w:p>
    <w:p>
      <w:pPr>
        <w:snapToGrid w:val="0"/>
        <w:ind w:firstLine="420"/>
        <w:rPr>
          <w:rFonts w:ascii="微软雅黑" w:hAnsi="微软雅黑"/>
          <w:b/>
          <w:bCs/>
          <w:szCs w:val="21"/>
          <w:highlight w:val="none"/>
        </w:rPr>
      </w:pPr>
      <w:r>
        <w:rPr>
          <w:rFonts w:hint="eastAsia" w:ascii="微软雅黑" w:hAnsi="微软雅黑"/>
          <w:bCs/>
          <w:szCs w:val="21"/>
          <w:highlight w:val="none"/>
        </w:rPr>
        <w:t>致：</w:t>
      </w:r>
      <w:r>
        <w:rPr>
          <w:rFonts w:hint="eastAsia" w:ascii="微软雅黑" w:hAnsi="微软雅黑"/>
          <w:szCs w:val="21"/>
          <w:highlight w:val="none"/>
          <w:u w:val="single"/>
          <w:lang w:eastAsia="zh-CN"/>
        </w:rPr>
        <w:t>嘉兴市南湖区公路与运输管理服务中心</w:t>
      </w:r>
      <w:r>
        <w:rPr>
          <w:rFonts w:hint="eastAsia" w:ascii="微软雅黑" w:hAnsi="微软雅黑"/>
          <w:szCs w:val="21"/>
          <w:highlight w:val="none"/>
        </w:rPr>
        <w:t>（招标采购单位名称）：</w:t>
      </w:r>
    </w:p>
    <w:p>
      <w:pPr>
        <w:shd w:val="clear" w:color="auto" w:fill="FFFFFF"/>
        <w:snapToGrid w:val="0"/>
        <w:spacing w:line="480" w:lineRule="auto"/>
        <w:ind w:firstLine="420"/>
        <w:rPr>
          <w:rFonts w:ascii="微软雅黑" w:hAnsi="微软雅黑" w:cs="宋体"/>
          <w:szCs w:val="21"/>
          <w:highlight w:val="none"/>
        </w:rPr>
      </w:pPr>
      <w:r>
        <w:rPr>
          <w:rFonts w:hint="eastAsia" w:ascii="微软雅黑" w:hAnsi="微软雅黑" w:cs="宋体"/>
          <w:kern w:val="0"/>
          <w:szCs w:val="21"/>
          <w:highlight w:val="none"/>
          <w:lang w:val="zh-CN"/>
        </w:rPr>
        <w:t xml:space="preserve"> 兹委派我公司先生/女士(其在本公司的职务是：，联系电话：手机：传真：)，代表我公司全权处理</w:t>
      </w:r>
      <w:r>
        <w:rPr>
          <w:rFonts w:hint="eastAsia" w:ascii="微软雅黑" w:hAnsi="微软雅黑"/>
          <w:b/>
          <w:bCs/>
          <w:szCs w:val="18"/>
          <w:highlight w:val="none"/>
          <w:lang w:eastAsia="zh-CN"/>
        </w:rPr>
        <w:t>数字农村路 2.0 版示范创建应用项目</w:t>
      </w:r>
      <w:r>
        <w:rPr>
          <w:rFonts w:hint="eastAsia" w:ascii="微软雅黑" w:hAnsi="微软雅黑" w:cs="宋体"/>
          <w:szCs w:val="21"/>
          <w:highlight w:val="none"/>
        </w:rPr>
        <w:t>(编号：</w:t>
      </w:r>
      <w:r>
        <w:rPr>
          <w:rFonts w:hint="eastAsia" w:ascii="微软雅黑" w:hAnsi="微软雅黑" w:cs="宋体"/>
          <w:szCs w:val="21"/>
          <w:highlight w:val="none"/>
          <w:lang w:eastAsia="zh-CN"/>
        </w:rPr>
        <w:t>中际-ZJZJGC（2022）嘉33号</w:t>
      </w:r>
      <w:r>
        <w:rPr>
          <w:rFonts w:hint="eastAsia" w:ascii="微软雅黑" w:hAnsi="微软雅黑" w:cs="宋体"/>
          <w:szCs w:val="21"/>
          <w:highlight w:val="none"/>
        </w:rPr>
        <w:t>)政府采购投标的一切事项</w:t>
      </w:r>
      <w:r>
        <w:rPr>
          <w:rFonts w:hint="eastAsia" w:ascii="微软雅黑" w:hAnsi="微软雅黑" w:cs="宋体"/>
          <w:kern w:val="0"/>
          <w:szCs w:val="21"/>
          <w:highlight w:val="none"/>
          <w:lang w:val="zh-CN"/>
        </w:rPr>
        <w:t>。</w:t>
      </w:r>
    </w:p>
    <w:p>
      <w:pPr>
        <w:shd w:val="clear" w:color="auto" w:fill="FFFFFF"/>
        <w:snapToGrid w:val="0"/>
        <w:spacing w:line="480" w:lineRule="auto"/>
        <w:ind w:firstLine="420"/>
        <w:rPr>
          <w:rFonts w:ascii="微软雅黑" w:hAnsi="微软雅黑" w:cs="宋体"/>
          <w:kern w:val="0"/>
          <w:szCs w:val="21"/>
          <w:highlight w:val="none"/>
        </w:rPr>
      </w:pPr>
      <w:r>
        <w:rPr>
          <w:rFonts w:hint="eastAsia" w:ascii="微软雅黑" w:hAnsi="微软雅黑" w:cs="宋体"/>
          <w:kern w:val="0"/>
          <w:szCs w:val="21"/>
          <w:highlight w:val="none"/>
          <w:lang w:val="zh-CN"/>
        </w:rPr>
        <w:t xml:space="preserve">    特此告知。</w:t>
      </w:r>
    </w:p>
    <w:p>
      <w:pPr>
        <w:shd w:val="clear" w:color="auto" w:fill="FFFFFF"/>
        <w:snapToGrid w:val="0"/>
        <w:spacing w:line="600" w:lineRule="exact"/>
        <w:rPr>
          <w:rFonts w:ascii="微软雅黑" w:hAnsi="微软雅黑" w:cs="宋体"/>
          <w:kern w:val="0"/>
          <w:sz w:val="24"/>
          <w:highlight w:val="none"/>
        </w:rPr>
      </w:pPr>
    </w:p>
    <w:p>
      <w:pPr>
        <w:shd w:val="clear" w:color="auto" w:fill="FFFFFF"/>
        <w:snapToGrid w:val="0"/>
        <w:spacing w:line="600" w:lineRule="exact"/>
        <w:rPr>
          <w:rFonts w:ascii="微软雅黑" w:hAnsi="微软雅黑" w:cs="宋体"/>
          <w:kern w:val="0"/>
          <w:sz w:val="24"/>
          <w:highlight w:val="none"/>
          <w:lang w:val="zh-CN"/>
        </w:rPr>
      </w:pPr>
    </w:p>
    <w:p>
      <w:pPr>
        <w:snapToGrid w:val="0"/>
        <w:ind w:firstLine="420"/>
        <w:rPr>
          <w:rFonts w:ascii="微软雅黑" w:hAnsi="微软雅黑"/>
          <w:szCs w:val="21"/>
          <w:highlight w:val="none"/>
        </w:rPr>
      </w:pPr>
    </w:p>
    <w:p>
      <w:pPr>
        <w:snapToGrid w:val="0"/>
        <w:ind w:firstLine="420"/>
        <w:rPr>
          <w:rFonts w:ascii="微软雅黑" w:hAnsi="微软雅黑"/>
          <w:szCs w:val="21"/>
          <w:highlight w:val="none"/>
          <w:u w:val="single"/>
        </w:rPr>
      </w:pPr>
      <w:r>
        <w:rPr>
          <w:rFonts w:hint="eastAsia" w:ascii="微软雅黑" w:hAnsi="微软雅黑"/>
          <w:szCs w:val="21"/>
          <w:highlight w:val="none"/>
        </w:rPr>
        <w:t>被授权人签名：法定代表人签名：</w:t>
      </w:r>
    </w:p>
    <w:p>
      <w:pPr>
        <w:snapToGrid w:val="0"/>
        <w:ind w:firstLine="420"/>
        <w:rPr>
          <w:rFonts w:ascii="微软雅黑" w:hAnsi="微软雅黑"/>
          <w:szCs w:val="21"/>
          <w:highlight w:val="none"/>
        </w:rPr>
      </w:pPr>
      <w:r>
        <w:rPr>
          <w:rFonts w:hint="eastAsia" w:ascii="微软雅黑" w:hAnsi="微软雅黑"/>
          <w:szCs w:val="21"/>
          <w:highlight w:val="none"/>
        </w:rPr>
        <w:t>职务：职务：</w:t>
      </w:r>
    </w:p>
    <w:p>
      <w:pPr>
        <w:snapToGrid w:val="0"/>
        <w:ind w:firstLine="420"/>
        <w:rPr>
          <w:rFonts w:ascii="微软雅黑" w:hAnsi="微软雅黑"/>
          <w:szCs w:val="21"/>
          <w:highlight w:val="none"/>
        </w:rPr>
      </w:pPr>
      <w:r>
        <w:rPr>
          <w:rFonts w:hint="eastAsia" w:ascii="微软雅黑" w:hAnsi="微软雅黑"/>
          <w:szCs w:val="21"/>
          <w:highlight w:val="none"/>
        </w:rPr>
        <w:t>被授权人身份证号码：</w:t>
      </w:r>
    </w:p>
    <w:p>
      <w:pPr>
        <w:snapToGrid w:val="0"/>
        <w:ind w:firstLine="4830" w:firstLineChars="2300"/>
        <w:rPr>
          <w:rFonts w:ascii="微软雅黑" w:hAnsi="微软雅黑"/>
          <w:szCs w:val="21"/>
          <w:highlight w:val="none"/>
        </w:rPr>
      </w:pPr>
    </w:p>
    <w:p>
      <w:pPr>
        <w:snapToGrid w:val="0"/>
        <w:ind w:firstLine="424" w:firstLineChars="202"/>
        <w:rPr>
          <w:rFonts w:ascii="微软雅黑" w:hAnsi="微软雅黑"/>
          <w:szCs w:val="21"/>
          <w:highlight w:val="none"/>
        </w:rPr>
      </w:pPr>
      <w:r>
        <w:rPr>
          <w:rFonts w:hint="eastAsia" w:ascii="微软雅黑" w:hAnsi="微软雅黑"/>
          <w:szCs w:val="21"/>
          <w:highlight w:val="none"/>
        </w:rPr>
        <w:t>投标人公章：</w:t>
      </w:r>
      <w:bookmarkStart w:id="208" w:name="_Toc29852"/>
      <w:bookmarkStart w:id="209" w:name="_Toc11017"/>
    </w:p>
    <w:p>
      <w:pPr>
        <w:snapToGrid w:val="0"/>
        <w:ind w:firstLine="424" w:firstLineChars="202"/>
        <w:rPr>
          <w:rFonts w:ascii="微软雅黑" w:hAnsi="微软雅黑"/>
          <w:szCs w:val="21"/>
          <w:highlight w:val="none"/>
        </w:rPr>
      </w:pPr>
      <w:r>
        <w:rPr>
          <w:rFonts w:hint="eastAsia"/>
          <w:highlight w:val="none"/>
        </w:rPr>
        <w:t>日期：年月日</w:t>
      </w:r>
      <w:bookmarkEnd w:id="208"/>
      <w:bookmarkEnd w:id="209"/>
    </w:p>
    <w:p>
      <w:pPr>
        <w:snapToGrid w:val="0"/>
        <w:ind w:firstLine="3150" w:firstLineChars="1500"/>
        <w:rPr>
          <w:rFonts w:ascii="微软雅黑" w:hAnsi="微软雅黑"/>
          <w:szCs w:val="21"/>
          <w:highlight w:val="none"/>
        </w:rPr>
      </w:pPr>
    </w:p>
    <w:p>
      <w:pPr>
        <w:pStyle w:val="27"/>
        <w:snapToGrid w:val="0"/>
        <w:ind w:firstLine="420"/>
        <w:rPr>
          <w:rFonts w:ascii="微软雅黑" w:hAnsi="微软雅黑"/>
          <w:szCs w:val="21"/>
          <w:highlight w:val="none"/>
        </w:rPr>
      </w:pPr>
    </w:p>
    <w:p>
      <w:pPr>
        <w:snapToGrid w:val="0"/>
        <w:ind w:leftChars="-50" w:hanging="105" w:hangingChars="50"/>
        <w:rPr>
          <w:rFonts w:ascii="微软雅黑" w:hAnsi="微软雅黑"/>
          <w:szCs w:val="21"/>
          <w:highlight w:val="none"/>
        </w:rPr>
      </w:pPr>
      <w:r>
        <w:rPr>
          <w:rFonts w:ascii="微软雅黑" w:hAnsi="微软雅黑"/>
          <w:szCs w:val="21"/>
          <w:highlight w:val="none"/>
        </w:rPr>
        <w:br w:type="page"/>
      </w:r>
    </w:p>
    <w:p>
      <w:pPr>
        <w:snapToGrid w:val="0"/>
        <w:ind w:leftChars="-50" w:hanging="105" w:hangingChars="50"/>
        <w:rPr>
          <w:rFonts w:ascii="微软雅黑" w:hAnsi="微软雅黑"/>
          <w:b/>
          <w:szCs w:val="21"/>
          <w:highlight w:val="none"/>
        </w:rPr>
      </w:pPr>
      <w:r>
        <w:rPr>
          <w:rFonts w:hint="eastAsia" w:ascii="微软雅黑" w:hAnsi="微软雅黑"/>
          <w:b/>
          <w:szCs w:val="21"/>
          <w:highlight w:val="none"/>
        </w:rPr>
        <w:t>具有履行合同所必需的设备和专业技术能力承诺函：</w:t>
      </w:r>
    </w:p>
    <w:p>
      <w:pPr>
        <w:ind w:firstLine="420"/>
        <w:jc w:val="center"/>
        <w:rPr>
          <w:b/>
          <w:szCs w:val="21"/>
          <w:highlight w:val="none"/>
        </w:rPr>
      </w:pPr>
    </w:p>
    <w:p>
      <w:pPr>
        <w:ind w:firstLine="420"/>
        <w:jc w:val="center"/>
        <w:rPr>
          <w:rFonts w:ascii="微软雅黑" w:hAnsi="微软雅黑"/>
          <w:b/>
          <w:szCs w:val="21"/>
          <w:highlight w:val="none"/>
        </w:rPr>
      </w:pPr>
      <w:r>
        <w:rPr>
          <w:rFonts w:hint="eastAsia" w:ascii="微软雅黑" w:hAnsi="微软雅黑"/>
          <w:b/>
          <w:szCs w:val="21"/>
          <w:highlight w:val="none"/>
        </w:rPr>
        <w:t>具有履行合同所必需的设备和专业技术能力承诺函</w:t>
      </w:r>
    </w:p>
    <w:p>
      <w:pPr>
        <w:ind w:firstLine="420"/>
        <w:jc w:val="center"/>
        <w:rPr>
          <w:rFonts w:ascii="微软雅黑" w:hAnsi="微软雅黑"/>
          <w:b/>
          <w:szCs w:val="21"/>
          <w:highlight w:val="none"/>
        </w:rPr>
      </w:pPr>
    </w:p>
    <w:p>
      <w:pPr>
        <w:ind w:firstLine="444"/>
        <w:rPr>
          <w:rFonts w:ascii="微软雅黑" w:hAnsi="微软雅黑"/>
          <w:szCs w:val="21"/>
          <w:highlight w:val="none"/>
        </w:rPr>
      </w:pPr>
      <w:r>
        <w:rPr>
          <w:rFonts w:hint="eastAsia" w:ascii="微软雅黑" w:hAnsi="微软雅黑"/>
          <w:b/>
          <w:bCs/>
          <w:spacing w:val="6"/>
          <w:szCs w:val="21"/>
          <w:highlight w:val="none"/>
          <w:u w:val="single"/>
          <w:lang w:eastAsia="zh-CN"/>
        </w:rPr>
        <w:t>嘉兴市南湖区公路与运输管理服务中心</w:t>
      </w:r>
      <w:r>
        <w:rPr>
          <w:rFonts w:hint="eastAsia" w:ascii="微软雅黑" w:hAnsi="微软雅黑"/>
          <w:szCs w:val="21"/>
          <w:highlight w:val="none"/>
        </w:rPr>
        <w:t>：</w:t>
      </w:r>
    </w:p>
    <w:p>
      <w:pPr>
        <w:snapToGrid w:val="0"/>
        <w:ind w:firstLine="420"/>
        <w:rPr>
          <w:rFonts w:ascii="微软雅黑" w:hAnsi="微软雅黑"/>
          <w:szCs w:val="21"/>
          <w:highlight w:val="none"/>
          <w:shd w:val="clear" w:color="auto" w:fill="FFFFFF"/>
        </w:rPr>
      </w:pPr>
    </w:p>
    <w:p>
      <w:pPr>
        <w:snapToGrid w:val="0"/>
        <w:ind w:firstLine="42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本公司（公司名称）参加</w:t>
      </w:r>
      <w:r>
        <w:rPr>
          <w:rFonts w:hint="eastAsia" w:ascii="微软雅黑" w:hAnsi="微软雅黑"/>
          <w:b/>
          <w:bCs/>
          <w:szCs w:val="21"/>
          <w:highlight w:val="none"/>
          <w:u w:val="single"/>
          <w:shd w:val="clear" w:color="auto" w:fill="FFFFFF"/>
          <w:lang w:eastAsia="zh-CN"/>
        </w:rPr>
        <w:t>数字农村路 2.0 版示范创建应用项目</w:t>
      </w:r>
      <w:r>
        <w:rPr>
          <w:rFonts w:hint="eastAsia" w:ascii="微软雅黑" w:hAnsi="微软雅黑"/>
          <w:szCs w:val="21"/>
          <w:highlight w:val="none"/>
          <w:shd w:val="clear" w:color="auto" w:fill="FFFFFF"/>
        </w:rPr>
        <w:t>投标活动，现承诺如下：</w:t>
      </w:r>
    </w:p>
    <w:p>
      <w:pPr>
        <w:pStyle w:val="71"/>
        <w:ind w:firstLine="400"/>
        <w:rPr>
          <w:highlight w:val="none"/>
        </w:rPr>
      </w:pPr>
    </w:p>
    <w:p>
      <w:pPr>
        <w:snapToGrid w:val="0"/>
        <w:ind w:firstLine="42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我公司具有履行合同所需的设备和专业技术能力；</w:t>
      </w:r>
    </w:p>
    <w:p>
      <w:pPr>
        <w:pStyle w:val="71"/>
        <w:ind w:firstLine="400"/>
        <w:rPr>
          <w:highlight w:val="none"/>
        </w:rPr>
      </w:pPr>
    </w:p>
    <w:p>
      <w:pPr>
        <w:pStyle w:val="71"/>
        <w:ind w:firstLine="400"/>
        <w:rPr>
          <w:highlight w:val="none"/>
        </w:rPr>
      </w:pPr>
    </w:p>
    <w:p>
      <w:pPr>
        <w:snapToGrid w:val="0"/>
        <w:ind w:firstLine="42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如违反以上承诺，本公司愿承担一切法律责任。</w:t>
      </w:r>
    </w:p>
    <w:p>
      <w:pPr>
        <w:pStyle w:val="71"/>
        <w:ind w:firstLine="400"/>
        <w:rPr>
          <w:highlight w:val="none"/>
        </w:rPr>
      </w:pPr>
    </w:p>
    <w:p>
      <w:pPr>
        <w:pStyle w:val="71"/>
        <w:ind w:firstLine="400"/>
        <w:rPr>
          <w:highlight w:val="none"/>
        </w:rPr>
      </w:pPr>
    </w:p>
    <w:p>
      <w:pPr>
        <w:pStyle w:val="71"/>
        <w:ind w:firstLine="400"/>
        <w:rPr>
          <w:highlight w:val="none"/>
        </w:rPr>
      </w:pPr>
    </w:p>
    <w:p>
      <w:pPr>
        <w:snapToGrid w:val="0"/>
        <w:ind w:firstLine="42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投标人名称：（盖章）</w:t>
      </w:r>
    </w:p>
    <w:p>
      <w:pPr>
        <w:pStyle w:val="71"/>
        <w:ind w:firstLine="400"/>
        <w:rPr>
          <w:highlight w:val="none"/>
        </w:rPr>
      </w:pPr>
    </w:p>
    <w:p>
      <w:pPr>
        <w:snapToGrid w:val="0"/>
        <w:ind w:firstLine="42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法定代表人或授权代表（签字）：</w:t>
      </w:r>
    </w:p>
    <w:p>
      <w:pPr>
        <w:pStyle w:val="71"/>
        <w:ind w:firstLine="400"/>
        <w:rPr>
          <w:highlight w:val="none"/>
        </w:rPr>
      </w:pPr>
    </w:p>
    <w:p>
      <w:pPr>
        <w:snapToGrid w:val="0"/>
        <w:ind w:firstLine="420"/>
        <w:rPr>
          <w:szCs w:val="21"/>
          <w:highlight w:val="none"/>
          <w:u w:val="single"/>
        </w:rPr>
      </w:pPr>
      <w:r>
        <w:rPr>
          <w:rFonts w:hint="eastAsia" w:ascii="微软雅黑" w:hAnsi="微软雅黑"/>
          <w:szCs w:val="21"/>
          <w:highlight w:val="none"/>
          <w:shd w:val="clear" w:color="auto" w:fill="FFFFFF"/>
        </w:rPr>
        <w:t>投标日期： 年 月 日</w:t>
      </w:r>
    </w:p>
    <w:p>
      <w:pPr>
        <w:snapToGrid w:val="0"/>
        <w:ind w:leftChars="-50" w:hanging="105" w:hangingChars="50"/>
        <w:rPr>
          <w:rFonts w:ascii="微软雅黑" w:hAnsi="微软雅黑"/>
          <w:b/>
          <w:szCs w:val="21"/>
          <w:highlight w:val="none"/>
        </w:rPr>
      </w:pPr>
    </w:p>
    <w:p>
      <w:pPr>
        <w:snapToGrid w:val="0"/>
        <w:ind w:leftChars="-50" w:hanging="105" w:hangingChars="50"/>
        <w:rPr>
          <w:rFonts w:ascii="微软雅黑" w:hAnsi="微软雅黑"/>
          <w:b/>
          <w:szCs w:val="21"/>
          <w:highlight w:val="none"/>
        </w:rPr>
      </w:pPr>
      <w:r>
        <w:rPr>
          <w:rFonts w:hint="eastAsia" w:ascii="微软雅黑" w:hAnsi="微软雅黑"/>
          <w:b/>
          <w:szCs w:val="21"/>
          <w:highlight w:val="none"/>
        </w:rPr>
        <w:br w:type="page"/>
      </w:r>
      <w:r>
        <w:rPr>
          <w:rFonts w:hint="eastAsia" w:ascii="微软雅黑" w:hAnsi="微软雅黑"/>
          <w:b/>
          <w:szCs w:val="21"/>
          <w:highlight w:val="none"/>
        </w:rPr>
        <w:t>参加政府采购活动前三年，在经营活动中没有重大违法记录（承诺函）</w:t>
      </w:r>
    </w:p>
    <w:p>
      <w:pPr>
        <w:ind w:firstLine="420"/>
        <w:rPr>
          <w:rFonts w:ascii="微软雅黑" w:hAnsi="微软雅黑"/>
          <w:szCs w:val="21"/>
          <w:highlight w:val="none"/>
          <w:u w:val="single"/>
        </w:rPr>
      </w:pPr>
    </w:p>
    <w:p>
      <w:pPr>
        <w:ind w:firstLine="420"/>
        <w:rPr>
          <w:rFonts w:ascii="微软雅黑" w:hAnsi="微软雅黑"/>
          <w:szCs w:val="21"/>
          <w:highlight w:val="none"/>
        </w:rPr>
      </w:pPr>
      <w:r>
        <w:rPr>
          <w:rFonts w:hint="eastAsia" w:ascii="微软雅黑" w:hAnsi="微软雅黑"/>
          <w:b/>
          <w:bCs/>
          <w:szCs w:val="21"/>
          <w:highlight w:val="none"/>
          <w:u w:val="single"/>
          <w:shd w:val="clear" w:color="auto" w:fill="FFFFFF"/>
          <w:lang w:eastAsia="zh-CN"/>
        </w:rPr>
        <w:t>嘉兴市南湖区公路与运输管理服务中心</w:t>
      </w:r>
      <w:r>
        <w:rPr>
          <w:rFonts w:hint="eastAsia" w:ascii="微软雅黑" w:hAnsi="微软雅黑"/>
          <w:szCs w:val="21"/>
          <w:highlight w:val="none"/>
        </w:rPr>
        <w:t>：</w:t>
      </w:r>
    </w:p>
    <w:p>
      <w:pPr>
        <w:ind w:firstLine="420"/>
        <w:rPr>
          <w:rFonts w:ascii="微软雅黑" w:hAnsi="微软雅黑"/>
          <w:szCs w:val="21"/>
          <w:highlight w:val="none"/>
        </w:rPr>
      </w:pPr>
    </w:p>
    <w:p>
      <w:pPr>
        <w:ind w:firstLine="420"/>
        <w:rPr>
          <w:rFonts w:ascii="微软雅黑" w:hAnsi="微软雅黑"/>
          <w:szCs w:val="21"/>
          <w:highlight w:val="none"/>
        </w:rPr>
      </w:pPr>
      <w:r>
        <w:rPr>
          <w:rFonts w:hint="eastAsia" w:ascii="微软雅黑" w:hAnsi="微软雅黑"/>
          <w:szCs w:val="21"/>
          <w:highlight w:val="none"/>
        </w:rPr>
        <w:t>我公司声明截止投标时间近三年以来，在经营活动中没有重大违法记录；也没有因违反《浙江省政府采购投标人注册及诚信管理暂行办法》被列入“黑名单”，正在处罚有效期。</w:t>
      </w:r>
    </w:p>
    <w:p>
      <w:pPr>
        <w:ind w:firstLine="420"/>
        <w:rPr>
          <w:rFonts w:ascii="微软雅黑" w:hAnsi="微软雅黑"/>
          <w:szCs w:val="21"/>
          <w:highlight w:val="none"/>
        </w:rPr>
      </w:pPr>
      <w:r>
        <w:rPr>
          <w:rFonts w:hint="eastAsia" w:ascii="微软雅黑" w:hAnsi="微软雅黑"/>
          <w:szCs w:val="21"/>
          <w:highlight w:val="none"/>
        </w:rPr>
        <w:t>特此承诺。</w:t>
      </w:r>
    </w:p>
    <w:p>
      <w:pPr>
        <w:ind w:firstLine="420"/>
        <w:rPr>
          <w:rFonts w:ascii="微软雅黑" w:hAnsi="微软雅黑"/>
          <w:szCs w:val="21"/>
          <w:highlight w:val="none"/>
        </w:rPr>
      </w:pPr>
    </w:p>
    <w:p>
      <w:pPr>
        <w:ind w:firstLine="420"/>
        <w:rPr>
          <w:rFonts w:ascii="微软雅黑" w:hAnsi="微软雅黑"/>
          <w:szCs w:val="21"/>
          <w:highlight w:val="none"/>
        </w:rPr>
      </w:pPr>
    </w:p>
    <w:p>
      <w:pPr>
        <w:snapToGrid w:val="0"/>
        <w:ind w:firstLine="0" w:firstLineChars="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投标人名称：（盖章）</w:t>
      </w:r>
    </w:p>
    <w:p>
      <w:pPr>
        <w:pStyle w:val="71"/>
        <w:ind w:firstLine="400"/>
        <w:rPr>
          <w:highlight w:val="none"/>
        </w:rPr>
      </w:pPr>
    </w:p>
    <w:p>
      <w:pPr>
        <w:snapToGrid w:val="0"/>
        <w:ind w:firstLine="0" w:firstLineChars="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法定代表人或授权代表（签字）：</w:t>
      </w:r>
    </w:p>
    <w:p>
      <w:pPr>
        <w:pStyle w:val="71"/>
        <w:ind w:firstLine="400"/>
        <w:rPr>
          <w:highlight w:val="none"/>
        </w:rPr>
      </w:pPr>
    </w:p>
    <w:p>
      <w:pPr>
        <w:snapToGrid w:val="0"/>
        <w:ind w:firstLine="0" w:firstLineChars="0"/>
        <w:rPr>
          <w:szCs w:val="21"/>
          <w:highlight w:val="none"/>
          <w:u w:val="single"/>
        </w:rPr>
      </w:pPr>
      <w:r>
        <w:rPr>
          <w:rFonts w:hint="eastAsia" w:ascii="微软雅黑" w:hAnsi="微软雅黑"/>
          <w:szCs w:val="21"/>
          <w:highlight w:val="none"/>
          <w:shd w:val="clear" w:color="auto" w:fill="FFFFFF"/>
        </w:rPr>
        <w:t>投标日期： 年 月 日</w:t>
      </w:r>
    </w:p>
    <w:p>
      <w:pPr>
        <w:snapToGrid w:val="0"/>
        <w:ind w:firstLine="420"/>
        <w:rPr>
          <w:rFonts w:ascii="微软雅黑" w:hAnsi="微软雅黑"/>
          <w:szCs w:val="21"/>
          <w:highlight w:val="none"/>
        </w:rPr>
        <w:sectPr>
          <w:headerReference r:id="rId7" w:type="first"/>
          <w:headerReference r:id="rId5" w:type="default"/>
          <w:footerReference r:id="rId8" w:type="default"/>
          <w:headerReference r:id="rId6" w:type="even"/>
          <w:pgSz w:w="11906" w:h="16838"/>
          <w:pgMar w:top="1474" w:right="1797" w:bottom="1247" w:left="1797" w:header="851" w:footer="851" w:gutter="0"/>
          <w:cols w:space="720" w:num="1"/>
          <w:docGrid w:linePitch="312" w:charSpace="0"/>
        </w:sectPr>
      </w:pPr>
    </w:p>
    <w:p>
      <w:pPr>
        <w:snapToGrid w:val="0"/>
        <w:spacing w:line="500" w:lineRule="exact"/>
        <w:ind w:firstLine="0" w:firstLineChars="0"/>
        <w:rPr>
          <w:rFonts w:ascii="微软雅黑" w:hAnsi="微软雅黑"/>
          <w:szCs w:val="21"/>
          <w:highlight w:val="none"/>
        </w:rPr>
      </w:pPr>
      <w:r>
        <w:rPr>
          <w:rFonts w:hint="eastAsia" w:ascii="微软雅黑" w:hAnsi="微软雅黑"/>
          <w:szCs w:val="21"/>
          <w:highlight w:val="none"/>
        </w:rPr>
        <w:t>投标人的类似成功案例的业绩证明文件：</w:t>
      </w:r>
    </w:p>
    <w:p>
      <w:pPr>
        <w:pStyle w:val="38"/>
        <w:snapToGrid w:val="0"/>
        <w:spacing w:line="500" w:lineRule="exact"/>
        <w:ind w:left="0" w:firstLine="0" w:firstLineChars="0"/>
        <w:rPr>
          <w:rFonts w:ascii="微软雅黑" w:hAnsi="微软雅黑"/>
          <w:szCs w:val="21"/>
          <w:highlight w:val="none"/>
        </w:rPr>
      </w:pPr>
      <w:r>
        <w:rPr>
          <w:rFonts w:ascii="微软雅黑" w:hAnsi="微软雅黑"/>
          <w:szCs w:val="21"/>
          <w:highlight w:val="none"/>
        </w:rPr>
        <w:t>投标人同类项目实施情况一览表格式：（投标人同类项目合同复印件）</w:t>
      </w:r>
    </w:p>
    <w:tbl>
      <w:tblPr>
        <w:tblStyle w:val="51"/>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440"/>
        <w:gridCol w:w="1517"/>
        <w:gridCol w:w="311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5" w:hRule="atLeast"/>
        </w:trPr>
        <w:tc>
          <w:tcPr>
            <w:tcW w:w="2628"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szCs w:val="21"/>
                <w:highlight w:val="none"/>
              </w:rPr>
            </w:pPr>
            <w:r>
              <w:rPr>
                <w:rFonts w:hint="eastAsia" w:ascii="微软雅黑" w:hAnsi="微软雅黑"/>
                <w:szCs w:val="21"/>
                <w:highlight w:val="none"/>
              </w:rPr>
              <w:t>采购单位名称</w:t>
            </w:r>
          </w:p>
        </w:tc>
        <w:tc>
          <w:tcPr>
            <w:tcW w:w="3420"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szCs w:val="21"/>
                <w:highlight w:val="none"/>
              </w:rPr>
            </w:pPr>
            <w:r>
              <w:rPr>
                <w:rFonts w:hint="eastAsia" w:ascii="微软雅黑" w:hAnsi="微软雅黑"/>
                <w:szCs w:val="21"/>
                <w:highlight w:val="none"/>
              </w:rPr>
              <w:t>设备或项目名称</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szCs w:val="21"/>
                <w:highlight w:val="none"/>
              </w:rPr>
            </w:pPr>
            <w:r>
              <w:rPr>
                <w:rFonts w:hint="eastAsia" w:ascii="微软雅黑" w:hAnsi="微软雅黑"/>
                <w:szCs w:val="21"/>
                <w:highlight w:val="none"/>
              </w:rPr>
              <w:t>采购数量</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szCs w:val="21"/>
                <w:highlight w:val="none"/>
              </w:rPr>
            </w:pPr>
            <w:r>
              <w:rPr>
                <w:rFonts w:hint="eastAsia" w:ascii="微软雅黑" w:hAnsi="微软雅黑"/>
                <w:szCs w:val="21"/>
                <w:highlight w:val="none"/>
              </w:rPr>
              <w:t>单价</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szCs w:val="21"/>
                <w:highlight w:val="none"/>
              </w:rPr>
            </w:pPr>
            <w:r>
              <w:rPr>
                <w:rFonts w:hint="eastAsia" w:ascii="微软雅黑" w:hAnsi="微软雅黑"/>
                <w:szCs w:val="21"/>
                <w:highlight w:val="none"/>
              </w:rPr>
              <w:t>合同金额</w:t>
            </w:r>
          </w:p>
          <w:p>
            <w:pPr>
              <w:snapToGrid w:val="0"/>
              <w:spacing w:line="500" w:lineRule="exact"/>
              <w:ind w:firstLine="0" w:firstLineChars="0"/>
              <w:jc w:val="center"/>
              <w:rPr>
                <w:rFonts w:ascii="微软雅黑" w:hAnsi="微软雅黑"/>
                <w:szCs w:val="21"/>
                <w:highlight w:val="none"/>
              </w:rPr>
            </w:pPr>
            <w:r>
              <w:rPr>
                <w:rFonts w:hint="eastAsia" w:ascii="微软雅黑" w:hAnsi="微软雅黑"/>
                <w:szCs w:val="21"/>
                <w:highlight w:val="none"/>
              </w:rPr>
              <w:t>（万元）</w:t>
            </w:r>
          </w:p>
        </w:tc>
        <w:tc>
          <w:tcPr>
            <w:tcW w:w="1517" w:type="dxa"/>
            <w:tcBorders>
              <w:top w:val="single" w:color="auto" w:sz="4" w:space="0"/>
              <w:left w:val="single" w:color="auto" w:sz="4" w:space="0"/>
              <w:right w:val="single" w:color="auto" w:sz="4" w:space="0"/>
            </w:tcBorders>
            <w:vAlign w:val="center"/>
          </w:tcPr>
          <w:p>
            <w:pPr>
              <w:snapToGrid w:val="0"/>
              <w:spacing w:line="500" w:lineRule="exact"/>
              <w:ind w:firstLine="0" w:firstLineChars="0"/>
              <w:jc w:val="center"/>
              <w:rPr>
                <w:rFonts w:ascii="微软雅黑" w:hAnsi="微软雅黑"/>
                <w:szCs w:val="21"/>
                <w:highlight w:val="none"/>
              </w:rPr>
            </w:pPr>
            <w:r>
              <w:rPr>
                <w:rFonts w:hint="eastAsia" w:ascii="微软雅黑" w:hAnsi="微软雅黑"/>
                <w:szCs w:val="21"/>
                <w:highlight w:val="none"/>
              </w:rPr>
              <w:t>附件页码</w:t>
            </w:r>
          </w:p>
          <w:p>
            <w:pPr>
              <w:snapToGrid w:val="0"/>
              <w:spacing w:line="500" w:lineRule="exact"/>
              <w:ind w:firstLine="0" w:firstLineChars="0"/>
              <w:jc w:val="center"/>
              <w:rPr>
                <w:rFonts w:ascii="微软雅黑" w:hAnsi="微软雅黑"/>
                <w:szCs w:val="21"/>
                <w:highlight w:val="none"/>
              </w:rPr>
            </w:pPr>
          </w:p>
        </w:tc>
        <w:tc>
          <w:tcPr>
            <w:tcW w:w="3118"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ind w:firstLine="0" w:firstLineChars="0"/>
              <w:jc w:val="center"/>
              <w:rPr>
                <w:rFonts w:ascii="微软雅黑" w:hAnsi="微软雅黑"/>
                <w:szCs w:val="21"/>
                <w:highlight w:val="none"/>
              </w:rPr>
            </w:pPr>
            <w:r>
              <w:rPr>
                <w:rFonts w:hint="eastAsia" w:ascii="微软雅黑" w:hAnsi="微软雅黑"/>
                <w:szCs w:val="21"/>
                <w:highlight w:val="none"/>
              </w:rPr>
              <w:t>采购单位联系人及</w:t>
            </w:r>
          </w:p>
          <w:p>
            <w:pPr>
              <w:snapToGrid w:val="0"/>
              <w:spacing w:line="500" w:lineRule="exact"/>
              <w:ind w:firstLine="0" w:firstLineChars="0"/>
              <w:jc w:val="center"/>
              <w:rPr>
                <w:rFonts w:ascii="微软雅黑" w:hAnsi="微软雅黑"/>
                <w:szCs w:val="21"/>
                <w:highlight w:val="none"/>
              </w:rPr>
            </w:pPr>
            <w:r>
              <w:rPr>
                <w:rFonts w:hint="eastAsia" w:ascii="微软雅黑" w:hAnsi="微软雅黑"/>
                <w:szCs w:val="21"/>
                <w:highlight w:val="none"/>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1"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jc w:val="center"/>
              <w:rPr>
                <w:rFonts w:ascii="微软雅黑" w:hAnsi="微软雅黑"/>
                <w:szCs w:val="21"/>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jc w:val="center"/>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jc w:val="center"/>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jc w:val="center"/>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jc w:val="center"/>
              <w:rPr>
                <w:rFonts w:ascii="微软雅黑" w:hAnsi="微软雅黑"/>
                <w:szCs w:val="21"/>
                <w:highlight w:val="none"/>
              </w:rPr>
            </w:pPr>
          </w:p>
        </w:tc>
        <w:tc>
          <w:tcPr>
            <w:tcW w:w="1517"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jc w:val="center"/>
              <w:rPr>
                <w:rFonts w:ascii="微软雅黑" w:hAnsi="微软雅黑"/>
                <w:szCs w:val="21"/>
                <w:highlight w:val="none"/>
              </w:rPr>
            </w:pPr>
          </w:p>
        </w:tc>
        <w:tc>
          <w:tcPr>
            <w:tcW w:w="311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517"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311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517"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311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517"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311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1517"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c>
          <w:tcPr>
            <w:tcW w:w="3118" w:type="dxa"/>
            <w:tcBorders>
              <w:top w:val="single" w:color="auto" w:sz="4" w:space="0"/>
              <w:left w:val="single" w:color="auto" w:sz="4" w:space="0"/>
              <w:bottom w:val="single" w:color="auto" w:sz="4" w:space="0"/>
              <w:right w:val="single" w:color="auto" w:sz="4" w:space="0"/>
            </w:tcBorders>
          </w:tcPr>
          <w:p>
            <w:pPr>
              <w:snapToGrid w:val="0"/>
              <w:spacing w:line="500" w:lineRule="exact"/>
              <w:ind w:firstLine="0" w:firstLineChars="0"/>
              <w:rPr>
                <w:rFonts w:ascii="微软雅黑" w:hAnsi="微软雅黑"/>
                <w:szCs w:val="21"/>
                <w:highlight w:val="none"/>
              </w:rPr>
            </w:pPr>
          </w:p>
        </w:tc>
      </w:tr>
    </w:tbl>
    <w:p>
      <w:pPr>
        <w:pStyle w:val="16"/>
        <w:snapToGrid w:val="0"/>
        <w:spacing w:before="0" w:after="0" w:line="500" w:lineRule="exact"/>
        <w:ind w:firstLine="0" w:firstLineChars="0"/>
        <w:rPr>
          <w:rFonts w:ascii="微软雅黑" w:hAnsi="微软雅黑" w:eastAsia="微软雅黑"/>
          <w:sz w:val="21"/>
          <w:szCs w:val="21"/>
          <w:highlight w:val="none"/>
        </w:rPr>
      </w:pPr>
    </w:p>
    <w:p>
      <w:pPr>
        <w:pStyle w:val="27"/>
        <w:spacing w:line="500" w:lineRule="exact"/>
        <w:ind w:firstLine="0" w:firstLineChars="0"/>
        <w:rPr>
          <w:rFonts w:ascii="微软雅黑" w:hAnsi="微软雅黑"/>
          <w:szCs w:val="21"/>
          <w:highlight w:val="none"/>
        </w:rPr>
      </w:pPr>
      <w:r>
        <w:rPr>
          <w:rFonts w:hint="eastAsia" w:ascii="微软雅黑" w:hAnsi="微软雅黑"/>
          <w:szCs w:val="21"/>
          <w:highlight w:val="none"/>
        </w:rPr>
        <w:t xml:space="preserve">法定代表人或其委托代理人签名（或盖章）：                </w:t>
      </w:r>
    </w:p>
    <w:p>
      <w:pPr>
        <w:pStyle w:val="27"/>
        <w:spacing w:line="500" w:lineRule="exact"/>
        <w:ind w:firstLine="0" w:firstLineChars="0"/>
        <w:rPr>
          <w:rFonts w:ascii="微软雅黑" w:hAnsi="微软雅黑"/>
          <w:szCs w:val="21"/>
          <w:highlight w:val="none"/>
        </w:rPr>
      </w:pPr>
      <w:r>
        <w:rPr>
          <w:rFonts w:hint="eastAsia" w:ascii="微软雅黑" w:hAnsi="微软雅黑"/>
          <w:szCs w:val="21"/>
          <w:highlight w:val="none"/>
        </w:rPr>
        <w:t>投标人：（单位公章）</w:t>
      </w:r>
    </w:p>
    <w:p>
      <w:pPr>
        <w:pStyle w:val="27"/>
        <w:spacing w:line="500" w:lineRule="exact"/>
        <w:ind w:firstLine="0" w:firstLineChars="0"/>
        <w:rPr>
          <w:rFonts w:ascii="微软雅黑" w:hAnsi="微软雅黑"/>
          <w:szCs w:val="21"/>
          <w:highlight w:val="none"/>
        </w:rPr>
      </w:pPr>
      <w:r>
        <w:rPr>
          <w:rFonts w:hint="eastAsia" w:ascii="微软雅黑" w:hAnsi="微软雅黑"/>
          <w:szCs w:val="21"/>
          <w:highlight w:val="none"/>
        </w:rPr>
        <w:t>日期：年月  日</w:t>
      </w:r>
    </w:p>
    <w:p>
      <w:pPr>
        <w:snapToGrid w:val="0"/>
        <w:ind w:firstLine="420"/>
        <w:rPr>
          <w:rFonts w:ascii="微软雅黑" w:hAnsi="微软雅黑"/>
          <w:szCs w:val="21"/>
          <w:highlight w:val="none"/>
        </w:rPr>
      </w:pPr>
    </w:p>
    <w:p>
      <w:pPr>
        <w:snapToGrid w:val="0"/>
        <w:ind w:firstLine="420"/>
        <w:rPr>
          <w:rFonts w:ascii="微软雅黑" w:hAnsi="微软雅黑"/>
          <w:szCs w:val="21"/>
          <w:highlight w:val="none"/>
        </w:rPr>
        <w:sectPr>
          <w:pgSz w:w="16838" w:h="11906" w:orient="landscape"/>
          <w:pgMar w:top="1797" w:right="1474" w:bottom="1797" w:left="1247" w:header="851" w:footer="851" w:gutter="0"/>
          <w:cols w:space="720" w:num="1"/>
          <w:docGrid w:linePitch="312" w:charSpace="0"/>
        </w:sectPr>
      </w:pPr>
    </w:p>
    <w:p>
      <w:pPr>
        <w:snapToGrid w:val="0"/>
        <w:spacing w:line="600" w:lineRule="exact"/>
        <w:ind w:firstLine="420"/>
        <w:rPr>
          <w:rFonts w:ascii="微软雅黑" w:hAnsi="微软雅黑"/>
          <w:b/>
          <w:szCs w:val="21"/>
          <w:highlight w:val="none"/>
        </w:rPr>
      </w:pPr>
      <w:r>
        <w:rPr>
          <w:rFonts w:hint="eastAsia" w:ascii="微软雅黑" w:hAnsi="微软雅黑"/>
          <w:b/>
          <w:bCs/>
          <w:szCs w:val="21"/>
          <w:highlight w:val="none"/>
        </w:rPr>
        <w:t>技术规范偏离</w:t>
      </w:r>
      <w:r>
        <w:rPr>
          <w:rFonts w:hint="eastAsia" w:ascii="微软雅黑" w:hAnsi="微软雅黑"/>
          <w:b/>
          <w:szCs w:val="21"/>
          <w:highlight w:val="none"/>
        </w:rPr>
        <w:t>表格式：</w:t>
      </w:r>
    </w:p>
    <w:tbl>
      <w:tblPr>
        <w:tblStyle w:val="51"/>
        <w:tblW w:w="87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415"/>
        <w:gridCol w:w="2835"/>
        <w:gridCol w:w="2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735" w:type="dxa"/>
            <w:vAlign w:val="center"/>
          </w:tcPr>
          <w:p>
            <w:pPr>
              <w:tabs>
                <w:tab w:val="left" w:pos="0"/>
              </w:tabs>
              <w:spacing w:line="600" w:lineRule="exact"/>
              <w:ind w:firstLine="0" w:firstLineChars="0"/>
              <w:jc w:val="both"/>
              <w:rPr>
                <w:rFonts w:ascii="微软雅黑" w:hAnsi="微软雅黑"/>
                <w:szCs w:val="21"/>
                <w:highlight w:val="none"/>
              </w:rPr>
            </w:pPr>
            <w:r>
              <w:rPr>
                <w:rFonts w:hint="eastAsia" w:ascii="微软雅黑" w:hAnsi="微软雅黑"/>
                <w:szCs w:val="21"/>
                <w:highlight w:val="none"/>
              </w:rPr>
              <w:t>序号</w:t>
            </w:r>
          </w:p>
        </w:tc>
        <w:tc>
          <w:tcPr>
            <w:tcW w:w="2415" w:type="dxa"/>
            <w:vAlign w:val="center"/>
          </w:tcPr>
          <w:p>
            <w:pPr>
              <w:tabs>
                <w:tab w:val="left" w:pos="0"/>
              </w:tabs>
              <w:spacing w:line="600" w:lineRule="exact"/>
              <w:ind w:firstLine="0" w:firstLineChars="0"/>
              <w:jc w:val="both"/>
              <w:rPr>
                <w:rFonts w:ascii="微软雅黑" w:hAnsi="微软雅黑"/>
                <w:szCs w:val="21"/>
                <w:highlight w:val="none"/>
              </w:rPr>
            </w:pPr>
            <w:r>
              <w:rPr>
                <w:rFonts w:hint="eastAsia" w:ascii="微软雅黑" w:hAnsi="微软雅黑"/>
                <w:szCs w:val="21"/>
                <w:highlight w:val="none"/>
              </w:rPr>
              <w:t>招标文件要求</w:t>
            </w:r>
          </w:p>
        </w:tc>
        <w:tc>
          <w:tcPr>
            <w:tcW w:w="2835" w:type="dxa"/>
            <w:vAlign w:val="center"/>
          </w:tcPr>
          <w:p>
            <w:pPr>
              <w:tabs>
                <w:tab w:val="left" w:pos="0"/>
              </w:tabs>
              <w:spacing w:line="600" w:lineRule="exact"/>
              <w:ind w:firstLine="0" w:firstLineChars="0"/>
              <w:jc w:val="both"/>
              <w:rPr>
                <w:rFonts w:ascii="微软雅黑" w:hAnsi="微软雅黑"/>
                <w:szCs w:val="21"/>
                <w:highlight w:val="none"/>
              </w:rPr>
            </w:pPr>
            <w:r>
              <w:rPr>
                <w:rFonts w:hint="eastAsia" w:ascii="微软雅黑" w:hAnsi="微软雅黑"/>
                <w:szCs w:val="21"/>
                <w:highlight w:val="none"/>
              </w:rPr>
              <w:t>投标文件情况</w:t>
            </w:r>
          </w:p>
        </w:tc>
        <w:tc>
          <w:tcPr>
            <w:tcW w:w="2794" w:type="dxa"/>
            <w:vAlign w:val="center"/>
          </w:tcPr>
          <w:p>
            <w:pPr>
              <w:tabs>
                <w:tab w:val="left" w:pos="0"/>
              </w:tabs>
              <w:spacing w:line="600" w:lineRule="exact"/>
              <w:ind w:firstLine="0" w:firstLineChars="0"/>
              <w:jc w:val="both"/>
              <w:rPr>
                <w:rFonts w:ascii="微软雅黑" w:hAnsi="微软雅黑"/>
                <w:szCs w:val="21"/>
                <w:highlight w:val="none"/>
              </w:rPr>
            </w:pPr>
            <w:r>
              <w:rPr>
                <w:rFonts w:hint="eastAsia" w:ascii="微软雅黑" w:hAnsi="微软雅黑"/>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735" w:type="dxa"/>
            <w:vAlign w:val="center"/>
          </w:tcPr>
          <w:p>
            <w:pPr>
              <w:spacing w:line="600" w:lineRule="exact"/>
              <w:ind w:firstLine="0" w:firstLineChars="0"/>
              <w:jc w:val="center"/>
              <w:rPr>
                <w:rFonts w:ascii="微软雅黑" w:hAnsi="微软雅黑"/>
                <w:szCs w:val="21"/>
                <w:highlight w:val="none"/>
              </w:rPr>
            </w:pPr>
          </w:p>
        </w:tc>
        <w:tc>
          <w:tcPr>
            <w:tcW w:w="2415" w:type="dxa"/>
            <w:vAlign w:val="center"/>
          </w:tcPr>
          <w:p>
            <w:pPr>
              <w:spacing w:line="600" w:lineRule="exact"/>
              <w:ind w:firstLine="0" w:firstLineChars="0"/>
              <w:jc w:val="center"/>
              <w:rPr>
                <w:rFonts w:ascii="微软雅黑" w:hAnsi="微软雅黑"/>
                <w:szCs w:val="21"/>
                <w:highlight w:val="none"/>
              </w:rPr>
            </w:pPr>
          </w:p>
        </w:tc>
        <w:tc>
          <w:tcPr>
            <w:tcW w:w="2835" w:type="dxa"/>
            <w:vAlign w:val="center"/>
          </w:tcPr>
          <w:p>
            <w:pPr>
              <w:spacing w:line="600" w:lineRule="exact"/>
              <w:ind w:firstLine="0" w:firstLineChars="0"/>
              <w:jc w:val="center"/>
              <w:rPr>
                <w:rFonts w:ascii="微软雅黑" w:hAnsi="微软雅黑"/>
                <w:szCs w:val="21"/>
                <w:highlight w:val="none"/>
              </w:rPr>
            </w:pPr>
          </w:p>
        </w:tc>
        <w:tc>
          <w:tcPr>
            <w:tcW w:w="2794" w:type="dxa"/>
            <w:vAlign w:val="center"/>
          </w:tcPr>
          <w:p>
            <w:pPr>
              <w:spacing w:line="600" w:lineRule="exact"/>
              <w:ind w:firstLine="0" w:firstLineChars="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735" w:type="dxa"/>
            <w:vAlign w:val="center"/>
          </w:tcPr>
          <w:p>
            <w:pPr>
              <w:spacing w:line="600" w:lineRule="exact"/>
              <w:ind w:firstLine="0" w:firstLineChars="0"/>
              <w:jc w:val="center"/>
              <w:rPr>
                <w:rFonts w:ascii="微软雅黑" w:hAnsi="微软雅黑"/>
                <w:szCs w:val="21"/>
                <w:highlight w:val="none"/>
              </w:rPr>
            </w:pPr>
          </w:p>
        </w:tc>
        <w:tc>
          <w:tcPr>
            <w:tcW w:w="2415" w:type="dxa"/>
            <w:vAlign w:val="center"/>
          </w:tcPr>
          <w:p>
            <w:pPr>
              <w:spacing w:line="600" w:lineRule="exact"/>
              <w:ind w:firstLine="0" w:firstLineChars="0"/>
              <w:jc w:val="center"/>
              <w:rPr>
                <w:rFonts w:ascii="微软雅黑" w:hAnsi="微软雅黑"/>
                <w:szCs w:val="21"/>
                <w:highlight w:val="none"/>
              </w:rPr>
            </w:pPr>
          </w:p>
        </w:tc>
        <w:tc>
          <w:tcPr>
            <w:tcW w:w="2835" w:type="dxa"/>
            <w:vAlign w:val="center"/>
          </w:tcPr>
          <w:p>
            <w:pPr>
              <w:spacing w:line="600" w:lineRule="exact"/>
              <w:ind w:firstLine="0" w:firstLineChars="0"/>
              <w:jc w:val="center"/>
              <w:rPr>
                <w:rFonts w:ascii="微软雅黑" w:hAnsi="微软雅黑"/>
                <w:szCs w:val="21"/>
                <w:highlight w:val="none"/>
              </w:rPr>
            </w:pPr>
          </w:p>
        </w:tc>
        <w:tc>
          <w:tcPr>
            <w:tcW w:w="2794" w:type="dxa"/>
            <w:vAlign w:val="center"/>
          </w:tcPr>
          <w:p>
            <w:pPr>
              <w:spacing w:line="600" w:lineRule="exact"/>
              <w:ind w:firstLine="0" w:firstLineChars="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735" w:type="dxa"/>
            <w:vAlign w:val="center"/>
          </w:tcPr>
          <w:p>
            <w:pPr>
              <w:spacing w:line="600" w:lineRule="exact"/>
              <w:ind w:firstLine="0" w:firstLineChars="0"/>
              <w:jc w:val="center"/>
              <w:rPr>
                <w:rFonts w:ascii="微软雅黑" w:hAnsi="微软雅黑"/>
                <w:szCs w:val="21"/>
                <w:highlight w:val="none"/>
              </w:rPr>
            </w:pPr>
          </w:p>
        </w:tc>
        <w:tc>
          <w:tcPr>
            <w:tcW w:w="2415" w:type="dxa"/>
            <w:vAlign w:val="center"/>
          </w:tcPr>
          <w:p>
            <w:pPr>
              <w:spacing w:line="600" w:lineRule="exact"/>
              <w:ind w:firstLine="0" w:firstLineChars="0"/>
              <w:jc w:val="center"/>
              <w:rPr>
                <w:rFonts w:ascii="微软雅黑" w:hAnsi="微软雅黑"/>
                <w:szCs w:val="21"/>
                <w:highlight w:val="none"/>
              </w:rPr>
            </w:pPr>
          </w:p>
        </w:tc>
        <w:tc>
          <w:tcPr>
            <w:tcW w:w="2835" w:type="dxa"/>
            <w:vAlign w:val="center"/>
          </w:tcPr>
          <w:p>
            <w:pPr>
              <w:spacing w:line="600" w:lineRule="exact"/>
              <w:ind w:firstLine="0" w:firstLineChars="0"/>
              <w:jc w:val="center"/>
              <w:rPr>
                <w:rFonts w:ascii="微软雅黑" w:hAnsi="微软雅黑"/>
                <w:szCs w:val="21"/>
                <w:highlight w:val="none"/>
              </w:rPr>
            </w:pPr>
          </w:p>
        </w:tc>
        <w:tc>
          <w:tcPr>
            <w:tcW w:w="2794" w:type="dxa"/>
            <w:vAlign w:val="center"/>
          </w:tcPr>
          <w:p>
            <w:pPr>
              <w:spacing w:line="600" w:lineRule="exact"/>
              <w:ind w:firstLine="0" w:firstLineChars="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735" w:type="dxa"/>
            <w:vAlign w:val="center"/>
          </w:tcPr>
          <w:p>
            <w:pPr>
              <w:spacing w:line="600" w:lineRule="exact"/>
              <w:ind w:firstLine="0" w:firstLineChars="0"/>
              <w:jc w:val="center"/>
              <w:rPr>
                <w:rFonts w:ascii="微软雅黑" w:hAnsi="微软雅黑"/>
                <w:szCs w:val="21"/>
                <w:highlight w:val="none"/>
              </w:rPr>
            </w:pPr>
            <w:r>
              <w:rPr>
                <w:rFonts w:ascii="微软雅黑" w:hAnsi="微软雅黑"/>
                <w:szCs w:val="21"/>
                <w:highlight w:val="none"/>
              </w:rPr>
              <w:t>…</w:t>
            </w:r>
            <w:r>
              <w:rPr>
                <w:rFonts w:hint="eastAsia" w:ascii="微软雅黑" w:hAnsi="微软雅黑"/>
                <w:szCs w:val="21"/>
                <w:highlight w:val="none"/>
              </w:rPr>
              <w:t>..</w:t>
            </w:r>
          </w:p>
        </w:tc>
        <w:tc>
          <w:tcPr>
            <w:tcW w:w="2415" w:type="dxa"/>
            <w:vAlign w:val="center"/>
          </w:tcPr>
          <w:p>
            <w:pPr>
              <w:spacing w:line="600" w:lineRule="exact"/>
              <w:ind w:firstLine="0" w:firstLineChars="0"/>
              <w:jc w:val="center"/>
              <w:rPr>
                <w:rFonts w:ascii="微软雅黑" w:hAnsi="微软雅黑"/>
                <w:szCs w:val="21"/>
                <w:highlight w:val="none"/>
              </w:rPr>
            </w:pPr>
          </w:p>
        </w:tc>
        <w:tc>
          <w:tcPr>
            <w:tcW w:w="2835" w:type="dxa"/>
            <w:vAlign w:val="center"/>
          </w:tcPr>
          <w:p>
            <w:pPr>
              <w:spacing w:line="600" w:lineRule="exact"/>
              <w:ind w:firstLine="0" w:firstLineChars="0"/>
              <w:jc w:val="center"/>
              <w:rPr>
                <w:rFonts w:ascii="微软雅黑" w:hAnsi="微软雅黑"/>
                <w:szCs w:val="21"/>
                <w:highlight w:val="none"/>
              </w:rPr>
            </w:pPr>
          </w:p>
        </w:tc>
        <w:tc>
          <w:tcPr>
            <w:tcW w:w="2794" w:type="dxa"/>
            <w:vAlign w:val="center"/>
          </w:tcPr>
          <w:p>
            <w:pPr>
              <w:spacing w:line="600" w:lineRule="exact"/>
              <w:ind w:firstLine="0" w:firstLineChars="0"/>
              <w:jc w:val="center"/>
              <w:rPr>
                <w:rFonts w:ascii="微软雅黑" w:hAnsi="微软雅黑"/>
                <w:szCs w:val="21"/>
                <w:highlight w:val="none"/>
              </w:rPr>
            </w:pPr>
          </w:p>
        </w:tc>
      </w:tr>
    </w:tbl>
    <w:p>
      <w:pPr>
        <w:pStyle w:val="27"/>
        <w:spacing w:line="600" w:lineRule="exact"/>
        <w:ind w:firstLine="420"/>
        <w:rPr>
          <w:rFonts w:ascii="微软雅黑" w:hAnsi="微软雅黑"/>
          <w:szCs w:val="21"/>
          <w:highlight w:val="none"/>
        </w:rPr>
      </w:pPr>
      <w:r>
        <w:rPr>
          <w:rFonts w:hint="eastAsia" w:ascii="微软雅黑" w:hAnsi="微软雅黑"/>
          <w:szCs w:val="21"/>
          <w:highlight w:val="none"/>
        </w:rPr>
        <w:t>注：“偏离”系指“正偏离”、“负偏离”或“无偏离”。</w:t>
      </w:r>
    </w:p>
    <w:p>
      <w:pPr>
        <w:pStyle w:val="27"/>
        <w:spacing w:line="600" w:lineRule="exact"/>
        <w:ind w:firstLine="420"/>
        <w:rPr>
          <w:rFonts w:ascii="微软雅黑" w:hAnsi="微软雅黑"/>
          <w:szCs w:val="21"/>
          <w:highlight w:val="none"/>
        </w:rPr>
      </w:pPr>
    </w:p>
    <w:p>
      <w:pPr>
        <w:pStyle w:val="27"/>
        <w:spacing w:line="600" w:lineRule="exact"/>
        <w:ind w:firstLine="420"/>
        <w:rPr>
          <w:rFonts w:ascii="微软雅黑" w:hAnsi="微软雅黑"/>
          <w:szCs w:val="21"/>
          <w:highlight w:val="none"/>
        </w:rPr>
      </w:pPr>
      <w:r>
        <w:rPr>
          <w:rFonts w:hint="eastAsia" w:ascii="微软雅黑" w:hAnsi="微软雅黑"/>
          <w:szCs w:val="21"/>
          <w:highlight w:val="none"/>
        </w:rPr>
        <w:t xml:space="preserve">法定代表人或其委托代理人签名（或盖章）：                </w:t>
      </w:r>
    </w:p>
    <w:p>
      <w:pPr>
        <w:pStyle w:val="27"/>
        <w:spacing w:line="600" w:lineRule="exact"/>
        <w:ind w:firstLine="420"/>
        <w:rPr>
          <w:rFonts w:ascii="微软雅黑" w:hAnsi="微软雅黑"/>
          <w:szCs w:val="21"/>
          <w:highlight w:val="none"/>
        </w:rPr>
      </w:pPr>
      <w:r>
        <w:rPr>
          <w:rFonts w:hint="eastAsia" w:ascii="微软雅黑" w:hAnsi="微软雅黑"/>
          <w:szCs w:val="21"/>
          <w:highlight w:val="none"/>
        </w:rPr>
        <w:t>投标人：（单位公章）</w:t>
      </w:r>
    </w:p>
    <w:p>
      <w:pPr>
        <w:pStyle w:val="27"/>
        <w:spacing w:line="600" w:lineRule="exact"/>
        <w:ind w:firstLine="420"/>
        <w:rPr>
          <w:rFonts w:ascii="微软雅黑" w:hAnsi="微软雅黑"/>
          <w:szCs w:val="21"/>
          <w:highlight w:val="none"/>
        </w:rPr>
      </w:pPr>
      <w:r>
        <w:rPr>
          <w:rFonts w:hint="eastAsia" w:ascii="微软雅黑" w:hAnsi="微软雅黑"/>
          <w:szCs w:val="21"/>
          <w:highlight w:val="none"/>
        </w:rPr>
        <w:t>日期：年月  日</w:t>
      </w:r>
    </w:p>
    <w:p>
      <w:pPr>
        <w:snapToGrid w:val="0"/>
        <w:ind w:firstLine="420"/>
        <w:rPr>
          <w:rFonts w:ascii="微软雅黑" w:hAnsi="微软雅黑"/>
          <w:szCs w:val="21"/>
          <w:highlight w:val="none"/>
        </w:rPr>
      </w:pPr>
    </w:p>
    <w:p>
      <w:pPr>
        <w:pStyle w:val="3"/>
        <w:ind w:firstLine="420"/>
        <w:rPr>
          <w:highlight w:val="none"/>
        </w:rPr>
      </w:pPr>
    </w:p>
    <w:p>
      <w:pPr>
        <w:pStyle w:val="3"/>
        <w:ind w:firstLine="420"/>
        <w:rPr>
          <w:highlight w:val="none"/>
        </w:rPr>
      </w:pPr>
    </w:p>
    <w:p>
      <w:pPr>
        <w:pStyle w:val="3"/>
        <w:ind w:firstLine="420"/>
        <w:rPr>
          <w:highlight w:val="none"/>
        </w:rPr>
      </w:pPr>
    </w:p>
    <w:p>
      <w:pPr>
        <w:pStyle w:val="3"/>
        <w:ind w:firstLine="420"/>
        <w:rPr>
          <w:highlight w:val="none"/>
        </w:rPr>
      </w:pPr>
    </w:p>
    <w:p>
      <w:pPr>
        <w:pStyle w:val="3"/>
        <w:ind w:firstLine="420"/>
        <w:rPr>
          <w:highlight w:val="none"/>
        </w:rPr>
      </w:pPr>
    </w:p>
    <w:p>
      <w:pPr>
        <w:pStyle w:val="3"/>
        <w:ind w:firstLine="420"/>
        <w:rPr>
          <w:highlight w:val="none"/>
        </w:rPr>
      </w:pPr>
    </w:p>
    <w:p>
      <w:pPr>
        <w:pStyle w:val="3"/>
        <w:ind w:firstLine="420"/>
        <w:rPr>
          <w:highlight w:val="none"/>
        </w:rPr>
      </w:pPr>
    </w:p>
    <w:p>
      <w:pPr>
        <w:pStyle w:val="3"/>
        <w:ind w:firstLine="420"/>
        <w:rPr>
          <w:highlight w:val="none"/>
        </w:rPr>
      </w:pPr>
    </w:p>
    <w:p>
      <w:pPr>
        <w:snapToGrid w:val="0"/>
        <w:ind w:firstLine="420"/>
        <w:rPr>
          <w:rFonts w:ascii="微软雅黑" w:hAnsi="微软雅黑"/>
          <w:b/>
          <w:szCs w:val="21"/>
          <w:highlight w:val="none"/>
        </w:rPr>
        <w:sectPr>
          <w:pgSz w:w="11906" w:h="16838"/>
          <w:pgMar w:top="1474" w:right="1797" w:bottom="1247" w:left="1797" w:header="851" w:footer="992" w:gutter="0"/>
          <w:cols w:space="720" w:num="1"/>
          <w:docGrid w:linePitch="312" w:charSpace="0"/>
        </w:sectPr>
      </w:pPr>
    </w:p>
    <w:p>
      <w:pPr>
        <w:snapToGrid w:val="0"/>
        <w:ind w:firstLine="420"/>
        <w:rPr>
          <w:rFonts w:ascii="微软雅黑" w:hAnsi="微软雅黑"/>
          <w:b/>
          <w:szCs w:val="21"/>
          <w:highlight w:val="none"/>
        </w:rPr>
      </w:pPr>
      <w:r>
        <w:rPr>
          <w:rFonts w:hint="eastAsia" w:ascii="微软雅黑" w:hAnsi="微软雅黑"/>
          <w:b/>
          <w:szCs w:val="21"/>
          <w:highlight w:val="none"/>
        </w:rPr>
        <w:t>商务响应表格式：</w:t>
      </w:r>
    </w:p>
    <w:tbl>
      <w:tblPr>
        <w:tblStyle w:val="51"/>
        <w:tblW w:w="8291"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2"/>
        <w:gridCol w:w="3221"/>
        <w:gridCol w:w="1653"/>
        <w:gridCol w:w="264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772"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hint="eastAsia" w:ascii="微软雅黑" w:hAnsi="微软雅黑"/>
                <w:szCs w:val="21"/>
                <w:highlight w:val="none"/>
              </w:rPr>
              <w:t>项目</w:t>
            </w:r>
          </w:p>
        </w:tc>
        <w:tc>
          <w:tcPr>
            <w:tcW w:w="3221"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hint="eastAsia" w:ascii="微软雅黑" w:hAnsi="微软雅黑"/>
                <w:szCs w:val="21"/>
                <w:highlight w:val="none"/>
              </w:rPr>
              <w:t>招标文件要求</w:t>
            </w:r>
          </w:p>
        </w:tc>
        <w:tc>
          <w:tcPr>
            <w:tcW w:w="1653"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hint="eastAsia" w:ascii="微软雅黑" w:hAnsi="微软雅黑"/>
                <w:szCs w:val="21"/>
                <w:highlight w:val="none"/>
              </w:rPr>
              <w:t>是否响应</w:t>
            </w:r>
          </w:p>
        </w:tc>
        <w:tc>
          <w:tcPr>
            <w:tcW w:w="2645"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hint="eastAsia" w:ascii="微软雅黑" w:hAnsi="微软雅黑"/>
                <w:szCs w:val="21"/>
                <w:highlight w:val="none"/>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772"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hint="eastAsia" w:ascii="微软雅黑" w:hAnsi="微软雅黑"/>
                <w:szCs w:val="21"/>
                <w:highlight w:val="none"/>
              </w:rPr>
              <w:t>1</w:t>
            </w:r>
          </w:p>
        </w:tc>
        <w:tc>
          <w:tcPr>
            <w:tcW w:w="3221"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ascii="微软雅黑" w:hAnsi="微软雅黑"/>
                <w:szCs w:val="21"/>
                <w:highlight w:val="none"/>
              </w:rPr>
              <w:t>服务期限</w:t>
            </w:r>
          </w:p>
        </w:tc>
        <w:tc>
          <w:tcPr>
            <w:tcW w:w="1653"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p>
        </w:tc>
        <w:tc>
          <w:tcPr>
            <w:tcW w:w="2645"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9" w:hRule="atLeast"/>
        </w:trPr>
        <w:tc>
          <w:tcPr>
            <w:tcW w:w="772"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hint="eastAsia" w:ascii="微软雅黑" w:hAnsi="微软雅黑"/>
                <w:szCs w:val="21"/>
                <w:highlight w:val="none"/>
              </w:rPr>
              <w:t>2</w:t>
            </w:r>
          </w:p>
        </w:tc>
        <w:tc>
          <w:tcPr>
            <w:tcW w:w="3221"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ascii="微软雅黑" w:hAnsi="微软雅黑"/>
                <w:szCs w:val="21"/>
                <w:highlight w:val="none"/>
              </w:rPr>
              <w:t>付款方式</w:t>
            </w:r>
          </w:p>
        </w:tc>
        <w:tc>
          <w:tcPr>
            <w:tcW w:w="1653"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p>
        </w:tc>
        <w:tc>
          <w:tcPr>
            <w:tcW w:w="2645"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9" w:hRule="atLeast"/>
        </w:trPr>
        <w:tc>
          <w:tcPr>
            <w:tcW w:w="772"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hint="eastAsia" w:ascii="微软雅黑" w:hAnsi="微软雅黑"/>
                <w:szCs w:val="21"/>
                <w:highlight w:val="none"/>
              </w:rPr>
              <w:t>3</w:t>
            </w:r>
          </w:p>
        </w:tc>
        <w:tc>
          <w:tcPr>
            <w:tcW w:w="3221"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r>
              <w:rPr>
                <w:rFonts w:ascii="微软雅黑" w:hAnsi="微软雅黑"/>
                <w:szCs w:val="21"/>
                <w:highlight w:val="none"/>
              </w:rPr>
              <w:t>考核</w:t>
            </w:r>
          </w:p>
        </w:tc>
        <w:tc>
          <w:tcPr>
            <w:tcW w:w="1653"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p>
        </w:tc>
        <w:tc>
          <w:tcPr>
            <w:tcW w:w="2645" w:type="dxa"/>
            <w:tcBorders>
              <w:top w:val="single" w:color="auto" w:sz="4" w:space="0"/>
              <w:left w:val="single" w:color="auto" w:sz="4" w:space="0"/>
              <w:bottom w:val="single" w:color="auto" w:sz="4" w:space="0"/>
              <w:right w:val="single" w:color="auto" w:sz="4" w:space="0"/>
            </w:tcBorders>
          </w:tcPr>
          <w:p>
            <w:pPr>
              <w:snapToGrid w:val="0"/>
              <w:spacing w:line="600" w:lineRule="exact"/>
              <w:ind w:firstLine="0" w:firstLineChars="0"/>
              <w:rPr>
                <w:rFonts w:ascii="微软雅黑" w:hAnsi="微软雅黑"/>
                <w:szCs w:val="21"/>
                <w:highlight w:val="none"/>
              </w:rPr>
            </w:pPr>
          </w:p>
        </w:tc>
      </w:tr>
    </w:tbl>
    <w:p>
      <w:pPr>
        <w:pStyle w:val="27"/>
        <w:spacing w:line="600" w:lineRule="exact"/>
        <w:ind w:firstLine="420"/>
        <w:rPr>
          <w:rFonts w:ascii="微软雅黑" w:hAnsi="微软雅黑"/>
          <w:szCs w:val="21"/>
          <w:highlight w:val="none"/>
        </w:rPr>
      </w:pPr>
      <w:r>
        <w:rPr>
          <w:rFonts w:hint="eastAsia" w:ascii="微软雅黑" w:hAnsi="微软雅黑"/>
          <w:szCs w:val="21"/>
          <w:highlight w:val="none"/>
        </w:rPr>
        <w:t>注：本表不允许负偏离；</w:t>
      </w:r>
    </w:p>
    <w:p>
      <w:pPr>
        <w:pStyle w:val="27"/>
        <w:spacing w:line="600" w:lineRule="exact"/>
        <w:ind w:firstLine="420"/>
        <w:rPr>
          <w:rFonts w:ascii="微软雅黑" w:hAnsi="微软雅黑"/>
          <w:szCs w:val="21"/>
          <w:highlight w:val="none"/>
        </w:rPr>
      </w:pPr>
    </w:p>
    <w:p>
      <w:pPr>
        <w:pStyle w:val="27"/>
        <w:spacing w:line="600" w:lineRule="exact"/>
        <w:ind w:firstLine="420"/>
        <w:rPr>
          <w:rFonts w:ascii="微软雅黑" w:hAnsi="微软雅黑"/>
          <w:szCs w:val="21"/>
          <w:highlight w:val="none"/>
        </w:rPr>
      </w:pPr>
    </w:p>
    <w:p>
      <w:pPr>
        <w:pStyle w:val="27"/>
        <w:spacing w:line="600" w:lineRule="exact"/>
        <w:ind w:firstLine="420"/>
        <w:rPr>
          <w:rFonts w:ascii="微软雅黑" w:hAnsi="微软雅黑"/>
          <w:szCs w:val="21"/>
          <w:highlight w:val="none"/>
        </w:rPr>
      </w:pPr>
      <w:r>
        <w:rPr>
          <w:rFonts w:hint="eastAsia" w:ascii="微软雅黑" w:hAnsi="微软雅黑"/>
          <w:szCs w:val="21"/>
          <w:highlight w:val="none"/>
        </w:rPr>
        <w:t xml:space="preserve">法定代表人或其委托代理人签名（或盖章）：                </w:t>
      </w:r>
    </w:p>
    <w:p>
      <w:pPr>
        <w:pStyle w:val="27"/>
        <w:spacing w:line="600" w:lineRule="exact"/>
        <w:ind w:firstLine="420"/>
        <w:rPr>
          <w:rFonts w:ascii="微软雅黑" w:hAnsi="微软雅黑"/>
          <w:szCs w:val="21"/>
          <w:highlight w:val="none"/>
        </w:rPr>
      </w:pPr>
      <w:r>
        <w:rPr>
          <w:rFonts w:hint="eastAsia" w:ascii="微软雅黑" w:hAnsi="微软雅黑"/>
          <w:szCs w:val="21"/>
          <w:highlight w:val="none"/>
        </w:rPr>
        <w:t>投标人：（单位公章）</w:t>
      </w:r>
    </w:p>
    <w:p>
      <w:pPr>
        <w:pStyle w:val="27"/>
        <w:spacing w:line="600" w:lineRule="exact"/>
        <w:ind w:firstLine="420"/>
        <w:rPr>
          <w:rFonts w:ascii="微软雅黑" w:hAnsi="微软雅黑"/>
          <w:szCs w:val="21"/>
          <w:highlight w:val="none"/>
        </w:rPr>
      </w:pPr>
      <w:r>
        <w:rPr>
          <w:rFonts w:hint="eastAsia" w:ascii="微软雅黑" w:hAnsi="微软雅黑"/>
          <w:szCs w:val="21"/>
          <w:highlight w:val="none"/>
        </w:rPr>
        <w:t>日期：年月  日</w:t>
      </w:r>
    </w:p>
    <w:p>
      <w:pPr>
        <w:snapToGrid w:val="0"/>
        <w:ind w:firstLine="420"/>
        <w:rPr>
          <w:rFonts w:ascii="微软雅黑" w:hAnsi="微软雅黑"/>
          <w:b/>
          <w:szCs w:val="21"/>
          <w:highlight w:val="none"/>
        </w:rPr>
      </w:pPr>
      <w:r>
        <w:rPr>
          <w:rFonts w:hint="eastAsia" w:ascii="微软雅黑" w:hAnsi="微软雅黑"/>
          <w:szCs w:val="21"/>
          <w:highlight w:val="none"/>
        </w:rPr>
        <w:br w:type="page"/>
      </w:r>
      <w:r>
        <w:rPr>
          <w:rFonts w:hint="eastAsia" w:ascii="微软雅黑" w:hAnsi="微软雅黑"/>
          <w:b/>
          <w:szCs w:val="21"/>
          <w:highlight w:val="none"/>
        </w:rPr>
        <w:t>项目实施人员一览表格式：</w:t>
      </w:r>
    </w:p>
    <w:p>
      <w:pPr>
        <w:snapToGrid w:val="0"/>
        <w:ind w:firstLine="420"/>
        <w:jc w:val="center"/>
        <w:rPr>
          <w:rFonts w:ascii="微软雅黑" w:hAnsi="微软雅黑"/>
          <w:b/>
          <w:szCs w:val="21"/>
          <w:highlight w:val="none"/>
        </w:rPr>
      </w:pPr>
      <w:r>
        <w:rPr>
          <w:rFonts w:hint="eastAsia" w:ascii="微软雅黑" w:hAnsi="微软雅黑"/>
          <w:b/>
          <w:szCs w:val="21"/>
          <w:highlight w:val="none"/>
        </w:rPr>
        <w:t>项目实施人员（主要从业人员及其技术资格）一览表</w:t>
      </w:r>
    </w:p>
    <w:p>
      <w:pPr>
        <w:snapToGrid w:val="0"/>
        <w:ind w:firstLine="420"/>
        <w:rPr>
          <w:rFonts w:ascii="微软雅黑" w:hAnsi="微软雅黑"/>
          <w:szCs w:val="21"/>
          <w:highlight w:val="none"/>
        </w:rPr>
      </w:pPr>
      <w:r>
        <w:rPr>
          <w:rFonts w:hint="eastAsia" w:ascii="微软雅黑" w:hAnsi="微软雅黑"/>
          <w:szCs w:val="21"/>
          <w:highlight w:val="none"/>
        </w:rPr>
        <w:t>标项：</w:t>
      </w:r>
    </w:p>
    <w:tbl>
      <w:tblPr>
        <w:tblStyle w:val="51"/>
        <w:tblW w:w="0" w:type="auto"/>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98"/>
        <w:gridCol w:w="1098"/>
        <w:gridCol w:w="1819"/>
        <w:gridCol w:w="1378"/>
        <w:gridCol w:w="1772"/>
        <w:gridCol w:w="216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6" w:hRule="atLeast"/>
        </w:trPr>
        <w:tc>
          <w:tcPr>
            <w:tcW w:w="1098" w:type="dxa"/>
            <w:tcBorders>
              <w:top w:val="single" w:color="auto" w:sz="4" w:space="0"/>
              <w:left w:val="single" w:color="auto" w:sz="4" w:space="0"/>
              <w:bottom w:val="single" w:color="auto" w:sz="4" w:space="0"/>
              <w:right w:val="single" w:color="auto" w:sz="4" w:space="0"/>
            </w:tcBorders>
            <w:vAlign w:val="bottom"/>
          </w:tcPr>
          <w:p>
            <w:pPr>
              <w:snapToGrid w:val="0"/>
              <w:ind w:firstLine="420"/>
              <w:rPr>
                <w:rFonts w:ascii="微软雅黑" w:hAnsi="微软雅黑"/>
                <w:szCs w:val="21"/>
                <w:highlight w:val="none"/>
              </w:rPr>
            </w:pPr>
            <w:r>
              <w:rPr>
                <w:rFonts w:hint="eastAsia" w:ascii="微软雅黑" w:hAnsi="微软雅黑"/>
                <w:szCs w:val="21"/>
                <w:highlight w:val="none"/>
              </w:rPr>
              <w:t>姓名</w:t>
            </w:r>
          </w:p>
        </w:tc>
        <w:tc>
          <w:tcPr>
            <w:tcW w:w="1098" w:type="dxa"/>
            <w:tcBorders>
              <w:top w:val="single" w:color="auto" w:sz="4" w:space="0"/>
              <w:left w:val="single" w:color="auto" w:sz="4" w:space="0"/>
              <w:bottom w:val="single" w:color="auto" w:sz="4" w:space="0"/>
              <w:right w:val="single" w:color="auto" w:sz="4" w:space="0"/>
            </w:tcBorders>
            <w:vAlign w:val="bottom"/>
          </w:tcPr>
          <w:p>
            <w:pPr>
              <w:snapToGrid w:val="0"/>
              <w:ind w:firstLine="420"/>
              <w:rPr>
                <w:rFonts w:ascii="微软雅黑" w:hAnsi="微软雅黑"/>
                <w:szCs w:val="21"/>
                <w:highlight w:val="none"/>
              </w:rPr>
            </w:pPr>
            <w:r>
              <w:rPr>
                <w:rFonts w:hint="eastAsia" w:ascii="微软雅黑" w:hAnsi="微软雅黑"/>
                <w:szCs w:val="21"/>
                <w:highlight w:val="none"/>
              </w:rPr>
              <w:t>职务</w:t>
            </w:r>
          </w:p>
        </w:tc>
        <w:tc>
          <w:tcPr>
            <w:tcW w:w="1819" w:type="dxa"/>
            <w:tcBorders>
              <w:top w:val="single" w:color="auto" w:sz="4" w:space="0"/>
              <w:left w:val="single" w:color="auto" w:sz="4" w:space="0"/>
              <w:bottom w:val="single" w:color="auto" w:sz="4" w:space="0"/>
              <w:right w:val="single" w:color="auto" w:sz="4" w:space="0"/>
            </w:tcBorders>
            <w:vAlign w:val="bottom"/>
          </w:tcPr>
          <w:p>
            <w:pPr>
              <w:snapToGrid w:val="0"/>
              <w:ind w:firstLine="0" w:firstLineChars="0"/>
              <w:rPr>
                <w:rFonts w:ascii="微软雅黑" w:hAnsi="微软雅黑"/>
                <w:szCs w:val="21"/>
                <w:highlight w:val="none"/>
              </w:rPr>
            </w:pPr>
            <w:r>
              <w:rPr>
                <w:rFonts w:hint="eastAsia" w:ascii="微软雅黑" w:hAnsi="微软雅黑"/>
                <w:szCs w:val="21"/>
                <w:highlight w:val="none"/>
              </w:rPr>
              <w:t>专业技术资格</w:t>
            </w:r>
          </w:p>
        </w:tc>
        <w:tc>
          <w:tcPr>
            <w:tcW w:w="1378" w:type="dxa"/>
            <w:tcBorders>
              <w:top w:val="single" w:color="auto" w:sz="4" w:space="0"/>
              <w:left w:val="single" w:color="auto" w:sz="4" w:space="0"/>
              <w:bottom w:val="single" w:color="auto" w:sz="4" w:space="0"/>
              <w:right w:val="single" w:color="auto" w:sz="4" w:space="0"/>
            </w:tcBorders>
            <w:vAlign w:val="bottom"/>
          </w:tcPr>
          <w:p>
            <w:pPr>
              <w:snapToGrid w:val="0"/>
              <w:ind w:firstLine="0" w:firstLineChars="0"/>
              <w:rPr>
                <w:rFonts w:ascii="微软雅黑" w:hAnsi="微软雅黑"/>
                <w:szCs w:val="21"/>
                <w:highlight w:val="none"/>
              </w:rPr>
            </w:pPr>
            <w:r>
              <w:rPr>
                <w:rFonts w:hint="eastAsia" w:ascii="微软雅黑" w:hAnsi="微软雅黑"/>
                <w:szCs w:val="21"/>
                <w:highlight w:val="none"/>
              </w:rPr>
              <w:t>证书编号</w:t>
            </w:r>
          </w:p>
        </w:tc>
        <w:tc>
          <w:tcPr>
            <w:tcW w:w="1772" w:type="dxa"/>
            <w:tcBorders>
              <w:top w:val="single" w:color="auto" w:sz="4" w:space="0"/>
              <w:left w:val="single" w:color="auto" w:sz="4" w:space="0"/>
              <w:bottom w:val="single" w:color="auto" w:sz="4" w:space="0"/>
              <w:right w:val="single" w:color="auto" w:sz="4" w:space="0"/>
            </w:tcBorders>
            <w:vAlign w:val="bottom"/>
          </w:tcPr>
          <w:p>
            <w:pPr>
              <w:snapToGrid w:val="0"/>
              <w:ind w:firstLine="0" w:firstLineChars="0"/>
              <w:rPr>
                <w:rFonts w:ascii="微软雅黑" w:hAnsi="微软雅黑"/>
                <w:bCs/>
                <w:szCs w:val="21"/>
                <w:highlight w:val="none"/>
              </w:rPr>
            </w:pPr>
            <w:r>
              <w:rPr>
                <w:rFonts w:hint="eastAsia" w:ascii="微软雅黑" w:hAnsi="微软雅黑"/>
                <w:bCs/>
                <w:szCs w:val="21"/>
                <w:highlight w:val="none"/>
              </w:rPr>
              <w:t>参加本单位工作时间</w:t>
            </w:r>
          </w:p>
        </w:tc>
        <w:tc>
          <w:tcPr>
            <w:tcW w:w="2166" w:type="dxa"/>
            <w:tcBorders>
              <w:top w:val="single" w:color="auto" w:sz="4" w:space="0"/>
              <w:left w:val="single" w:color="auto" w:sz="4" w:space="0"/>
              <w:bottom w:val="single" w:color="auto" w:sz="4" w:space="0"/>
              <w:right w:val="single" w:color="auto" w:sz="4" w:space="0"/>
            </w:tcBorders>
            <w:vAlign w:val="bottom"/>
          </w:tcPr>
          <w:p>
            <w:pPr>
              <w:snapToGrid w:val="0"/>
              <w:ind w:firstLine="420"/>
              <w:rPr>
                <w:rFonts w:ascii="微软雅黑" w:hAnsi="微软雅黑"/>
                <w:bCs/>
                <w:szCs w:val="21"/>
                <w:highlight w:val="none"/>
              </w:rPr>
            </w:pPr>
            <w:r>
              <w:rPr>
                <w:rFonts w:hint="eastAsia" w:ascii="微软雅黑" w:hAnsi="微软雅黑"/>
                <w:bCs/>
                <w:szCs w:val="21"/>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819"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37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772"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2166"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819"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37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772"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2166"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819" w:type="dxa"/>
            <w:tcBorders>
              <w:top w:val="single" w:color="auto" w:sz="4" w:space="0"/>
              <w:left w:val="single" w:color="auto" w:sz="4" w:space="0"/>
              <w:bottom w:val="single" w:color="auto" w:sz="4" w:space="0"/>
              <w:right w:val="single" w:color="auto" w:sz="4" w:space="0"/>
            </w:tcBorders>
          </w:tcPr>
          <w:p>
            <w:pPr>
              <w:pStyle w:val="29"/>
              <w:snapToGrid w:val="0"/>
              <w:ind w:left="5250" w:firstLine="640"/>
              <w:rPr>
                <w:rFonts w:ascii="微软雅黑" w:hAnsi="微软雅黑" w:eastAsia="微软雅黑"/>
                <w:szCs w:val="21"/>
                <w:highlight w:val="none"/>
              </w:rPr>
            </w:pPr>
          </w:p>
        </w:tc>
        <w:tc>
          <w:tcPr>
            <w:tcW w:w="137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772"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2166"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819"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37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772"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2166"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819"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37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772"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2166"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819"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37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772"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2166"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819"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37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772"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2166"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819"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37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772"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2166"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09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819"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378"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1772"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c>
          <w:tcPr>
            <w:tcW w:w="2166" w:type="dxa"/>
            <w:tcBorders>
              <w:top w:val="single" w:color="auto" w:sz="4" w:space="0"/>
              <w:left w:val="single" w:color="auto" w:sz="4" w:space="0"/>
              <w:bottom w:val="single" w:color="auto" w:sz="4" w:space="0"/>
              <w:right w:val="single" w:color="auto" w:sz="4" w:space="0"/>
            </w:tcBorders>
          </w:tcPr>
          <w:p>
            <w:pPr>
              <w:snapToGrid w:val="0"/>
              <w:ind w:firstLine="420"/>
              <w:rPr>
                <w:rFonts w:ascii="微软雅黑" w:hAnsi="微软雅黑"/>
                <w:szCs w:val="21"/>
                <w:highlight w:val="none"/>
              </w:rPr>
            </w:pPr>
          </w:p>
        </w:tc>
      </w:tr>
    </w:tbl>
    <w:p>
      <w:pPr>
        <w:snapToGrid w:val="0"/>
        <w:ind w:firstLine="420"/>
        <w:rPr>
          <w:rFonts w:ascii="微软雅黑" w:hAnsi="微软雅黑"/>
          <w:szCs w:val="21"/>
          <w:highlight w:val="none"/>
        </w:rPr>
      </w:pPr>
      <w:r>
        <w:rPr>
          <w:rFonts w:hint="eastAsia" w:ascii="微软雅黑" w:hAnsi="微软雅黑"/>
          <w:szCs w:val="21"/>
          <w:highlight w:val="none"/>
        </w:rPr>
        <w:t>注：在填写时，如本表格不适合投标单位的实际情况，可根据本表格式自行划表填写。</w:t>
      </w:r>
    </w:p>
    <w:p>
      <w:pPr>
        <w:pStyle w:val="27"/>
        <w:ind w:firstLine="420"/>
        <w:rPr>
          <w:rFonts w:ascii="微软雅黑" w:hAnsi="微软雅黑"/>
          <w:szCs w:val="21"/>
          <w:highlight w:val="none"/>
        </w:rPr>
      </w:pPr>
      <w:r>
        <w:rPr>
          <w:rFonts w:hint="eastAsia" w:ascii="微软雅黑" w:hAnsi="微软雅黑"/>
          <w:szCs w:val="21"/>
          <w:highlight w:val="none"/>
        </w:rPr>
        <w:t xml:space="preserve">法定代表人或其委托代理人签名（或盖章）：                </w:t>
      </w:r>
    </w:p>
    <w:p>
      <w:pPr>
        <w:pStyle w:val="27"/>
        <w:ind w:firstLine="420"/>
        <w:rPr>
          <w:rFonts w:ascii="微软雅黑" w:hAnsi="微软雅黑"/>
          <w:szCs w:val="21"/>
          <w:highlight w:val="none"/>
        </w:rPr>
      </w:pPr>
      <w:r>
        <w:rPr>
          <w:rFonts w:hint="eastAsia" w:ascii="微软雅黑" w:hAnsi="微软雅黑"/>
          <w:szCs w:val="21"/>
          <w:highlight w:val="none"/>
        </w:rPr>
        <w:t>投标人：（单位公章）</w:t>
      </w:r>
    </w:p>
    <w:p>
      <w:pPr>
        <w:pStyle w:val="27"/>
        <w:ind w:firstLine="420"/>
        <w:rPr>
          <w:rFonts w:ascii="微软雅黑" w:hAnsi="微软雅黑"/>
          <w:szCs w:val="21"/>
          <w:highlight w:val="none"/>
        </w:rPr>
      </w:pPr>
    </w:p>
    <w:p>
      <w:pPr>
        <w:pStyle w:val="27"/>
        <w:ind w:firstLine="420"/>
        <w:rPr>
          <w:rFonts w:ascii="微软雅黑" w:hAnsi="微软雅黑"/>
          <w:szCs w:val="21"/>
          <w:highlight w:val="none"/>
        </w:rPr>
      </w:pPr>
      <w:r>
        <w:rPr>
          <w:rFonts w:hint="eastAsia" w:ascii="微软雅黑" w:hAnsi="微软雅黑"/>
          <w:szCs w:val="21"/>
          <w:highlight w:val="none"/>
        </w:rPr>
        <w:t>日期：年月  日</w:t>
      </w:r>
    </w:p>
    <w:p>
      <w:pPr>
        <w:snapToGrid w:val="0"/>
        <w:ind w:firstLine="420"/>
        <w:rPr>
          <w:rFonts w:ascii="微软雅黑" w:hAnsi="微软雅黑" w:cs="微软雅黑"/>
          <w:szCs w:val="21"/>
          <w:highlight w:val="none"/>
        </w:rPr>
      </w:pPr>
      <w:r>
        <w:rPr>
          <w:rFonts w:hint="eastAsia" w:ascii="微软雅黑" w:hAnsi="微软雅黑"/>
          <w:szCs w:val="21"/>
          <w:highlight w:val="none"/>
        </w:rPr>
        <w:br w:type="page"/>
      </w:r>
    </w:p>
    <w:p>
      <w:pPr>
        <w:pStyle w:val="27"/>
        <w:snapToGrid w:val="0"/>
        <w:ind w:left="5250" w:firstLine="420"/>
        <w:rPr>
          <w:rFonts w:ascii="微软雅黑" w:hAnsi="微软雅黑"/>
          <w:b/>
          <w:szCs w:val="21"/>
          <w:highlight w:val="none"/>
        </w:rPr>
      </w:pPr>
    </w:p>
    <w:p>
      <w:pPr>
        <w:snapToGrid w:val="0"/>
        <w:ind w:firstLine="420"/>
        <w:rPr>
          <w:rFonts w:ascii="微软雅黑" w:hAnsi="微软雅黑"/>
          <w:b/>
          <w:szCs w:val="21"/>
          <w:highlight w:val="none"/>
        </w:rPr>
      </w:pPr>
      <w:r>
        <w:rPr>
          <w:rFonts w:hint="eastAsia" w:ascii="微软雅黑" w:hAnsi="微软雅黑"/>
          <w:b/>
          <w:szCs w:val="21"/>
          <w:highlight w:val="none"/>
        </w:rPr>
        <w:t>投标函格式：</w:t>
      </w:r>
    </w:p>
    <w:p>
      <w:pPr>
        <w:snapToGrid w:val="0"/>
        <w:ind w:firstLine="420"/>
        <w:jc w:val="center"/>
        <w:rPr>
          <w:rFonts w:ascii="微软雅黑" w:hAnsi="微软雅黑"/>
          <w:b/>
          <w:szCs w:val="21"/>
          <w:highlight w:val="none"/>
        </w:rPr>
      </w:pPr>
      <w:r>
        <w:rPr>
          <w:rFonts w:hint="eastAsia" w:ascii="微软雅黑" w:hAnsi="微软雅黑"/>
          <w:b/>
          <w:szCs w:val="21"/>
          <w:highlight w:val="none"/>
        </w:rPr>
        <w:t>投标函</w:t>
      </w:r>
    </w:p>
    <w:p>
      <w:pPr>
        <w:snapToGrid w:val="0"/>
        <w:ind w:firstLine="420"/>
        <w:rPr>
          <w:rFonts w:ascii="微软雅黑" w:hAnsi="微软雅黑"/>
          <w:szCs w:val="21"/>
          <w:highlight w:val="none"/>
        </w:rPr>
      </w:pPr>
      <w:r>
        <w:rPr>
          <w:rFonts w:hint="eastAsia" w:ascii="微软雅黑" w:hAnsi="微软雅黑"/>
          <w:szCs w:val="21"/>
          <w:highlight w:val="none"/>
        </w:rPr>
        <w:t>致：</w:t>
      </w:r>
      <w:r>
        <w:rPr>
          <w:rFonts w:hint="eastAsia" w:ascii="微软雅黑" w:hAnsi="微软雅黑"/>
          <w:szCs w:val="21"/>
          <w:highlight w:val="none"/>
          <w:u w:val="single"/>
          <w:lang w:eastAsia="zh-CN"/>
        </w:rPr>
        <w:t>嘉兴市南湖区公路与运输管理服务中心</w:t>
      </w:r>
      <w:r>
        <w:rPr>
          <w:rFonts w:hint="eastAsia" w:ascii="微软雅黑" w:hAnsi="微软雅黑"/>
          <w:szCs w:val="21"/>
          <w:highlight w:val="none"/>
        </w:rPr>
        <w:t>：</w:t>
      </w:r>
    </w:p>
    <w:p>
      <w:pPr>
        <w:snapToGrid w:val="0"/>
        <w:ind w:firstLine="420"/>
        <w:rPr>
          <w:rFonts w:ascii="微软雅黑" w:hAnsi="微软雅黑"/>
          <w:szCs w:val="21"/>
          <w:highlight w:val="none"/>
        </w:rPr>
      </w:pPr>
      <w:r>
        <w:rPr>
          <w:rFonts w:hint="eastAsia" w:ascii="微软雅黑" w:hAnsi="微软雅黑"/>
          <w:szCs w:val="21"/>
          <w:highlight w:val="none"/>
        </w:rPr>
        <w:t>根据贵方为项目的招标公告</w:t>
      </w:r>
      <w:r>
        <w:rPr>
          <w:rFonts w:ascii="微软雅黑" w:hAnsi="微软雅黑"/>
          <w:szCs w:val="21"/>
          <w:highlight w:val="none"/>
        </w:rPr>
        <w:t>/</w:t>
      </w:r>
      <w:r>
        <w:rPr>
          <w:rFonts w:hint="eastAsia" w:ascii="微软雅黑" w:hAnsi="微软雅黑"/>
          <w:szCs w:val="21"/>
          <w:highlight w:val="none"/>
        </w:rPr>
        <w:t>投标邀请书</w:t>
      </w:r>
    </w:p>
    <w:p>
      <w:pPr>
        <w:snapToGrid w:val="0"/>
        <w:ind w:firstLine="420"/>
        <w:rPr>
          <w:rFonts w:ascii="微软雅黑" w:hAnsi="微软雅黑"/>
          <w:szCs w:val="21"/>
          <w:highlight w:val="none"/>
        </w:rPr>
      </w:pPr>
      <w:r>
        <w:rPr>
          <w:rFonts w:hint="eastAsia" w:ascii="微软雅黑" w:hAnsi="微软雅黑"/>
          <w:szCs w:val="21"/>
          <w:highlight w:val="none"/>
        </w:rPr>
        <w:t>（项目编号：），签字代表（全名）经正式授权并代表投标人（投标人名称）提交资信商务文件、技术文件及投标报价文件电子投标各一份。</w:t>
      </w:r>
    </w:p>
    <w:p>
      <w:pPr>
        <w:snapToGrid w:val="0"/>
        <w:ind w:firstLine="420"/>
        <w:rPr>
          <w:rFonts w:ascii="微软雅黑" w:hAnsi="微软雅黑"/>
          <w:szCs w:val="21"/>
          <w:highlight w:val="none"/>
        </w:rPr>
      </w:pPr>
      <w:r>
        <w:rPr>
          <w:rFonts w:hint="eastAsia" w:ascii="微软雅黑" w:hAnsi="微软雅黑"/>
          <w:szCs w:val="21"/>
          <w:highlight w:val="none"/>
        </w:rPr>
        <w:t>据此函，签字代表宣布同意如下：</w:t>
      </w:r>
    </w:p>
    <w:p>
      <w:pPr>
        <w:snapToGrid w:val="0"/>
        <w:ind w:firstLine="420"/>
        <w:rPr>
          <w:rFonts w:ascii="微软雅黑" w:hAnsi="微软雅黑"/>
          <w:szCs w:val="21"/>
          <w:highlight w:val="none"/>
        </w:rPr>
      </w:pPr>
      <w:r>
        <w:rPr>
          <w:rFonts w:ascii="微软雅黑" w:hAnsi="微软雅黑"/>
          <w:szCs w:val="21"/>
          <w:highlight w:val="none"/>
        </w:rPr>
        <w:t>1</w:t>
      </w:r>
      <w:r>
        <w:rPr>
          <w:rFonts w:hint="eastAsia" w:ascii="微软雅黑" w:hAnsi="微软雅黑"/>
          <w:szCs w:val="21"/>
          <w:highlight w:val="none"/>
        </w:rPr>
        <w:t>、投标人已详细审查全部“招标文件”，包括修改文件（如有的话）以及全部参考资料和有关附件，已经了解我方对于招标文件、采购过程、采购结果有依法进行询问、质疑、投诉的权利及相关渠道和要求。</w:t>
      </w:r>
    </w:p>
    <w:p>
      <w:pPr>
        <w:snapToGrid w:val="0"/>
        <w:ind w:firstLine="420"/>
        <w:rPr>
          <w:rFonts w:ascii="微软雅黑" w:hAnsi="微软雅黑"/>
          <w:szCs w:val="21"/>
          <w:highlight w:val="none"/>
        </w:rPr>
      </w:pPr>
      <w:r>
        <w:rPr>
          <w:rFonts w:ascii="微软雅黑" w:hAnsi="微软雅黑"/>
          <w:szCs w:val="21"/>
          <w:highlight w:val="none"/>
        </w:rPr>
        <w:t>2</w:t>
      </w:r>
      <w:r>
        <w:rPr>
          <w:rFonts w:hint="eastAsia" w:ascii="微软雅黑" w:hAnsi="微软雅黑"/>
          <w:szCs w:val="21"/>
          <w:highlight w:val="none"/>
        </w:rPr>
        <w:t>、投标人在投标之前已经与贵方进行了充分的沟通，完全理解并接受招标文件的各项规定和要求，对招标文件的合理性、合法性不再有异议。</w:t>
      </w:r>
    </w:p>
    <w:p>
      <w:pPr>
        <w:snapToGrid w:val="0"/>
        <w:ind w:firstLine="420"/>
        <w:rPr>
          <w:rFonts w:ascii="微软雅黑" w:hAnsi="微软雅黑"/>
          <w:szCs w:val="21"/>
          <w:highlight w:val="none"/>
        </w:rPr>
      </w:pPr>
      <w:r>
        <w:rPr>
          <w:rFonts w:ascii="微软雅黑" w:hAnsi="微软雅黑"/>
          <w:szCs w:val="21"/>
          <w:highlight w:val="none"/>
        </w:rPr>
        <w:t>3</w:t>
      </w:r>
      <w:r>
        <w:rPr>
          <w:rFonts w:hint="eastAsia" w:ascii="微软雅黑" w:hAnsi="微软雅黑"/>
          <w:szCs w:val="21"/>
          <w:highlight w:val="none"/>
        </w:rPr>
        <w:t>、本投标有效期自开标日起</w:t>
      </w:r>
      <w:r>
        <w:rPr>
          <w:rFonts w:ascii="微软雅黑" w:hAnsi="微软雅黑"/>
          <w:szCs w:val="21"/>
          <w:highlight w:val="none"/>
        </w:rPr>
        <w:t xml:space="preserve"> ______</w:t>
      </w:r>
      <w:r>
        <w:rPr>
          <w:rFonts w:hint="eastAsia" w:ascii="微软雅黑" w:hAnsi="微软雅黑"/>
          <w:szCs w:val="21"/>
          <w:highlight w:val="none"/>
        </w:rPr>
        <w:t>个日。</w:t>
      </w:r>
    </w:p>
    <w:p>
      <w:pPr>
        <w:snapToGrid w:val="0"/>
        <w:ind w:firstLine="420"/>
        <w:rPr>
          <w:rFonts w:ascii="微软雅黑" w:hAnsi="微软雅黑"/>
          <w:szCs w:val="21"/>
          <w:highlight w:val="none"/>
        </w:rPr>
      </w:pPr>
      <w:r>
        <w:rPr>
          <w:rFonts w:ascii="微软雅黑" w:hAnsi="微软雅黑"/>
          <w:szCs w:val="21"/>
          <w:highlight w:val="none"/>
        </w:rPr>
        <w:t>4</w:t>
      </w:r>
      <w:r>
        <w:rPr>
          <w:rFonts w:hint="eastAsia" w:ascii="微软雅黑" w:hAnsi="微软雅黑"/>
          <w:szCs w:val="21"/>
          <w:highlight w:val="none"/>
        </w:rPr>
        <w:t>、如中标，本投标文件至本项目合同履行完毕止均保持有效，本投标人将按“招标文件”及政府采购法律、法规的规定履行合同责任和义务。</w:t>
      </w:r>
    </w:p>
    <w:p>
      <w:pPr>
        <w:snapToGrid w:val="0"/>
        <w:ind w:firstLine="420"/>
        <w:rPr>
          <w:rFonts w:ascii="微软雅黑" w:hAnsi="微软雅黑"/>
          <w:szCs w:val="21"/>
          <w:highlight w:val="none"/>
        </w:rPr>
      </w:pPr>
      <w:r>
        <w:rPr>
          <w:rFonts w:ascii="微软雅黑" w:hAnsi="微软雅黑"/>
          <w:szCs w:val="21"/>
          <w:highlight w:val="none"/>
        </w:rPr>
        <w:t>5</w:t>
      </w:r>
      <w:r>
        <w:rPr>
          <w:rFonts w:hint="eastAsia" w:ascii="微软雅黑" w:hAnsi="微软雅黑"/>
          <w:szCs w:val="21"/>
          <w:highlight w:val="none"/>
        </w:rPr>
        <w:t>、投标人同意按照贵方要求提供与投标有关的一切数据或资料。</w:t>
      </w:r>
    </w:p>
    <w:p>
      <w:pPr>
        <w:snapToGrid w:val="0"/>
        <w:ind w:firstLine="420"/>
        <w:rPr>
          <w:rFonts w:ascii="微软雅黑" w:hAnsi="微软雅黑"/>
          <w:szCs w:val="21"/>
          <w:highlight w:val="none"/>
        </w:rPr>
      </w:pPr>
      <w:r>
        <w:rPr>
          <w:rFonts w:ascii="微软雅黑" w:hAnsi="微软雅黑"/>
          <w:szCs w:val="21"/>
          <w:highlight w:val="none"/>
        </w:rPr>
        <w:t>6</w:t>
      </w:r>
      <w:r>
        <w:rPr>
          <w:rFonts w:hint="eastAsia" w:ascii="微软雅黑" w:hAnsi="微软雅黑"/>
          <w:szCs w:val="21"/>
          <w:highlight w:val="none"/>
        </w:rPr>
        <w:t>、与本投标有关的一切正式往来信函请寄：</w:t>
      </w:r>
    </w:p>
    <w:p>
      <w:pPr>
        <w:snapToGrid w:val="0"/>
        <w:ind w:firstLine="420"/>
        <w:rPr>
          <w:rFonts w:ascii="微软雅黑" w:hAnsi="微软雅黑"/>
          <w:szCs w:val="21"/>
          <w:highlight w:val="none"/>
        </w:rPr>
      </w:pPr>
    </w:p>
    <w:p>
      <w:pPr>
        <w:snapToGrid w:val="0"/>
        <w:ind w:firstLine="420"/>
        <w:rPr>
          <w:rFonts w:ascii="微软雅黑" w:hAnsi="微软雅黑"/>
          <w:szCs w:val="21"/>
          <w:highlight w:val="none"/>
        </w:rPr>
      </w:pPr>
      <w:r>
        <w:rPr>
          <w:rFonts w:hint="eastAsia" w:ascii="微软雅黑" w:hAnsi="微软雅黑"/>
          <w:szCs w:val="21"/>
          <w:highlight w:val="none"/>
        </w:rPr>
        <w:t>地址： 邮编：电话：</w:t>
      </w:r>
    </w:p>
    <w:p>
      <w:pPr>
        <w:snapToGrid w:val="0"/>
        <w:ind w:firstLine="420"/>
        <w:rPr>
          <w:rFonts w:ascii="微软雅黑" w:hAnsi="微软雅黑"/>
          <w:szCs w:val="21"/>
          <w:highlight w:val="none"/>
        </w:rPr>
      </w:pPr>
      <w:r>
        <w:rPr>
          <w:rFonts w:hint="eastAsia" w:ascii="微软雅黑" w:hAnsi="微软雅黑"/>
          <w:szCs w:val="21"/>
          <w:highlight w:val="none"/>
        </w:rPr>
        <w:t>传真：投标人代表姓名职务：</w:t>
      </w:r>
      <w:r>
        <w:rPr>
          <w:rFonts w:ascii="微软雅黑" w:hAnsi="微软雅黑"/>
          <w:szCs w:val="21"/>
          <w:highlight w:val="none"/>
        </w:rPr>
        <w:t>_____________</w:t>
      </w:r>
    </w:p>
    <w:p>
      <w:pPr>
        <w:snapToGrid w:val="0"/>
        <w:ind w:firstLine="420"/>
        <w:rPr>
          <w:rFonts w:ascii="微软雅黑" w:hAnsi="微软雅黑"/>
          <w:szCs w:val="21"/>
          <w:highlight w:val="none"/>
        </w:rPr>
      </w:pPr>
      <w:r>
        <w:rPr>
          <w:rFonts w:hint="eastAsia" w:ascii="微软雅黑" w:hAnsi="微软雅黑"/>
          <w:szCs w:val="21"/>
          <w:highlight w:val="none"/>
        </w:rPr>
        <w:t>投标人名称</w:t>
      </w:r>
      <w:r>
        <w:rPr>
          <w:rFonts w:ascii="微软雅黑" w:hAnsi="微软雅黑"/>
          <w:szCs w:val="21"/>
          <w:highlight w:val="none"/>
        </w:rPr>
        <w:t>(</w:t>
      </w:r>
      <w:r>
        <w:rPr>
          <w:rFonts w:hint="eastAsia" w:ascii="微软雅黑" w:hAnsi="微软雅黑"/>
          <w:szCs w:val="21"/>
          <w:highlight w:val="none"/>
        </w:rPr>
        <w:t>公章</w:t>
      </w:r>
      <w:r>
        <w:rPr>
          <w:rFonts w:ascii="微软雅黑" w:hAnsi="微软雅黑"/>
          <w:szCs w:val="21"/>
          <w:highlight w:val="none"/>
        </w:rPr>
        <w:t>):</w:t>
      </w:r>
    </w:p>
    <w:p>
      <w:pPr>
        <w:snapToGrid w:val="0"/>
        <w:ind w:firstLine="420"/>
        <w:rPr>
          <w:rFonts w:ascii="微软雅黑" w:hAnsi="微软雅黑"/>
          <w:szCs w:val="21"/>
          <w:highlight w:val="none"/>
        </w:rPr>
      </w:pPr>
      <w:r>
        <w:rPr>
          <w:rFonts w:hint="eastAsia" w:ascii="微软雅黑" w:hAnsi="微软雅黑"/>
          <w:szCs w:val="21"/>
          <w:highlight w:val="none"/>
        </w:rPr>
        <w:t>开户银行：银行帐号：</w:t>
      </w:r>
    </w:p>
    <w:p>
      <w:pPr>
        <w:ind w:firstLine="420"/>
        <w:rPr>
          <w:highlight w:val="none"/>
        </w:rPr>
      </w:pPr>
      <w:bookmarkStart w:id="210" w:name="_Toc10894"/>
      <w:bookmarkStart w:id="211" w:name="_Toc9104"/>
      <w:r>
        <w:rPr>
          <w:rFonts w:hint="eastAsia"/>
          <w:highlight w:val="none"/>
        </w:rPr>
        <w:t>授权代表签字</w:t>
      </w:r>
      <w:r>
        <w:rPr>
          <w:highlight w:val="none"/>
        </w:rPr>
        <w:t>:</w:t>
      </w:r>
      <w:r>
        <w:rPr>
          <w:rFonts w:hint="eastAsia"/>
          <w:highlight w:val="none"/>
        </w:rPr>
        <w:t>日期</w:t>
      </w:r>
      <w:r>
        <w:rPr>
          <w:highlight w:val="none"/>
        </w:rPr>
        <w:t>:_____</w:t>
      </w:r>
      <w:r>
        <w:rPr>
          <w:rFonts w:hint="eastAsia"/>
          <w:highlight w:val="none"/>
        </w:rPr>
        <w:t>年</w:t>
      </w:r>
      <w:r>
        <w:rPr>
          <w:highlight w:val="none"/>
        </w:rPr>
        <w:t>___</w:t>
      </w:r>
      <w:r>
        <w:rPr>
          <w:rFonts w:hint="eastAsia"/>
          <w:highlight w:val="none"/>
        </w:rPr>
        <w:t>月</w:t>
      </w:r>
      <w:r>
        <w:rPr>
          <w:highlight w:val="none"/>
        </w:rPr>
        <w:t>___</w:t>
      </w:r>
      <w:r>
        <w:rPr>
          <w:rFonts w:hint="eastAsia"/>
          <w:highlight w:val="none"/>
        </w:rPr>
        <w:t>日</w:t>
      </w:r>
      <w:bookmarkEnd w:id="210"/>
      <w:bookmarkEnd w:id="211"/>
    </w:p>
    <w:p>
      <w:pPr>
        <w:snapToGrid w:val="0"/>
        <w:ind w:firstLine="420"/>
        <w:rPr>
          <w:rFonts w:ascii="微软雅黑" w:hAnsi="微软雅黑"/>
          <w:b/>
          <w:szCs w:val="21"/>
          <w:highlight w:val="none"/>
        </w:rPr>
      </w:pPr>
      <w:r>
        <w:rPr>
          <w:rFonts w:hint="eastAsia" w:ascii="微软雅黑" w:hAnsi="微软雅黑"/>
          <w:b/>
          <w:szCs w:val="21"/>
          <w:highlight w:val="none"/>
        </w:rPr>
        <w:br w:type="page"/>
      </w:r>
    </w:p>
    <w:p>
      <w:pPr>
        <w:snapToGrid w:val="0"/>
        <w:ind w:firstLine="420"/>
        <w:rPr>
          <w:rFonts w:ascii="微软雅黑" w:hAnsi="微软雅黑"/>
          <w:szCs w:val="21"/>
          <w:highlight w:val="none"/>
        </w:rPr>
      </w:pPr>
      <w:r>
        <w:rPr>
          <w:rFonts w:hint="eastAsia" w:ascii="微软雅黑" w:hAnsi="微软雅黑"/>
          <w:szCs w:val="21"/>
          <w:highlight w:val="none"/>
        </w:rPr>
        <w:t>开标一览表</w:t>
      </w:r>
    </w:p>
    <w:p>
      <w:pPr>
        <w:ind w:firstLine="420"/>
        <w:jc w:val="center"/>
        <w:rPr>
          <w:rFonts w:ascii="微软雅黑" w:hAnsi="微软雅黑"/>
          <w:szCs w:val="21"/>
          <w:highlight w:val="none"/>
        </w:rPr>
      </w:pPr>
      <w:bookmarkStart w:id="212" w:name="_Toc21605"/>
      <w:bookmarkStart w:id="213" w:name="_Toc30181"/>
      <w:r>
        <w:rPr>
          <w:rFonts w:hint="eastAsia" w:ascii="微软雅黑" w:hAnsi="微软雅黑"/>
          <w:szCs w:val="21"/>
          <w:highlight w:val="none"/>
        </w:rPr>
        <w:t>开标一览表</w:t>
      </w:r>
      <w:bookmarkEnd w:id="212"/>
      <w:bookmarkEnd w:id="213"/>
    </w:p>
    <w:p>
      <w:pPr>
        <w:snapToGrid w:val="0"/>
        <w:ind w:firstLine="420"/>
        <w:jc w:val="center"/>
        <w:rPr>
          <w:rFonts w:ascii="微软雅黑" w:hAnsi="微软雅黑"/>
          <w:szCs w:val="21"/>
          <w:highlight w:val="none"/>
        </w:rPr>
      </w:pPr>
    </w:p>
    <w:p>
      <w:pPr>
        <w:snapToGrid w:val="0"/>
        <w:ind w:firstLine="420"/>
        <w:rPr>
          <w:rFonts w:ascii="微软雅黑" w:hAnsi="微软雅黑"/>
          <w:szCs w:val="21"/>
          <w:highlight w:val="none"/>
        </w:rPr>
      </w:pPr>
      <w:r>
        <w:rPr>
          <w:rFonts w:hint="eastAsia" w:ascii="微软雅黑" w:hAnsi="微软雅黑"/>
          <w:szCs w:val="21"/>
          <w:highlight w:val="none"/>
        </w:rPr>
        <w:t>招标编号： 投标人名称：</w:t>
      </w:r>
    </w:p>
    <w:tbl>
      <w:tblPr>
        <w:tblStyle w:val="51"/>
        <w:tblW w:w="925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872"/>
        <w:gridCol w:w="1166"/>
        <w:gridCol w:w="1018"/>
        <w:gridCol w:w="220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872"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none"/>
              </w:rPr>
            </w:pPr>
            <w:r>
              <w:rPr>
                <w:rFonts w:hint="eastAsia" w:ascii="微软雅黑" w:hAnsi="微软雅黑"/>
                <w:szCs w:val="21"/>
                <w:highlight w:val="none"/>
              </w:rPr>
              <w:t>名称</w:t>
            </w:r>
          </w:p>
        </w:tc>
        <w:tc>
          <w:tcPr>
            <w:tcW w:w="1166"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微软雅黑" w:hAnsi="微软雅黑"/>
                <w:szCs w:val="21"/>
                <w:highlight w:val="none"/>
              </w:rPr>
            </w:pPr>
            <w:r>
              <w:rPr>
                <w:rFonts w:hint="eastAsia" w:ascii="微软雅黑" w:hAnsi="微软雅黑"/>
                <w:szCs w:val="21"/>
                <w:highlight w:val="none"/>
              </w:rPr>
              <w:t>数量</w:t>
            </w:r>
          </w:p>
        </w:tc>
        <w:tc>
          <w:tcPr>
            <w:tcW w:w="1018"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微软雅黑" w:hAnsi="微软雅黑"/>
                <w:szCs w:val="21"/>
                <w:highlight w:val="none"/>
              </w:rPr>
            </w:pPr>
            <w:r>
              <w:rPr>
                <w:rFonts w:hint="eastAsia" w:ascii="微软雅黑" w:hAnsi="微软雅黑"/>
                <w:szCs w:val="21"/>
                <w:highlight w:val="none"/>
              </w:rPr>
              <w:t>单位</w:t>
            </w:r>
          </w:p>
        </w:tc>
        <w:tc>
          <w:tcPr>
            <w:tcW w:w="2203"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微软雅黑" w:hAnsi="微软雅黑"/>
                <w:szCs w:val="21"/>
                <w:highlight w:val="none"/>
              </w:rPr>
            </w:pPr>
            <w:r>
              <w:rPr>
                <w:rFonts w:hint="eastAsia" w:ascii="微软雅黑" w:hAnsi="微软雅黑"/>
                <w:szCs w:val="21"/>
                <w:highlight w:val="none"/>
              </w:rPr>
              <w:t>投标报价（元）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0" w:hRule="atLeast"/>
        </w:trPr>
        <w:tc>
          <w:tcPr>
            <w:tcW w:w="4872" w:type="dxa"/>
            <w:tcBorders>
              <w:top w:val="single" w:color="auto" w:sz="4" w:space="0"/>
              <w:left w:val="single" w:color="auto" w:sz="4" w:space="0"/>
              <w:bottom w:val="single" w:color="auto" w:sz="4" w:space="0"/>
              <w:right w:val="single" w:color="auto" w:sz="4" w:space="0"/>
            </w:tcBorders>
            <w:vAlign w:val="center"/>
          </w:tcPr>
          <w:p>
            <w:pPr>
              <w:spacing w:line="276" w:lineRule="auto"/>
              <w:ind w:firstLine="0" w:firstLineChars="0"/>
              <w:jc w:val="center"/>
              <w:rPr>
                <w:rFonts w:hint="eastAsia" w:ascii="微软雅黑" w:hAnsi="微软雅黑" w:eastAsia="微软雅黑"/>
                <w:szCs w:val="21"/>
                <w:highlight w:val="none"/>
                <w:lang w:eastAsia="zh-CN"/>
              </w:rPr>
            </w:pPr>
            <w:r>
              <w:rPr>
                <w:rFonts w:hint="eastAsia" w:ascii="微软雅黑" w:hAnsi="微软雅黑" w:cs="微软雅黑"/>
                <w:szCs w:val="21"/>
                <w:highlight w:val="none"/>
                <w:lang w:eastAsia="zh-CN"/>
              </w:rPr>
              <w:t>数字农村路 2.0 版示范创建应用项目</w:t>
            </w:r>
          </w:p>
        </w:tc>
        <w:tc>
          <w:tcPr>
            <w:tcW w:w="1166"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eastAsia="微软雅黑"/>
                <w:szCs w:val="21"/>
                <w:highlight w:val="none"/>
                <w:lang w:eastAsia="zh-CN"/>
              </w:rPr>
            </w:pPr>
            <w:r>
              <w:rPr>
                <w:rFonts w:hint="eastAsia" w:ascii="微软雅黑" w:hAnsi="微软雅黑"/>
                <w:szCs w:val="21"/>
                <w:highlight w:val="none"/>
                <w:lang w:val="en-US" w:eastAsia="zh-CN"/>
              </w:rPr>
              <w:t>1</w:t>
            </w:r>
          </w:p>
        </w:tc>
        <w:tc>
          <w:tcPr>
            <w:tcW w:w="1018"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eastAsia="微软雅黑"/>
                <w:szCs w:val="21"/>
                <w:highlight w:val="none"/>
                <w:lang w:eastAsia="zh-CN"/>
              </w:rPr>
            </w:pPr>
            <w:r>
              <w:rPr>
                <w:rFonts w:hint="eastAsia" w:ascii="微软雅黑" w:hAnsi="微软雅黑"/>
                <w:szCs w:val="21"/>
                <w:highlight w:val="none"/>
                <w:lang w:eastAsia="zh-CN"/>
              </w:rPr>
              <w:t>项</w:t>
            </w:r>
          </w:p>
        </w:tc>
        <w:tc>
          <w:tcPr>
            <w:tcW w:w="2203"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none"/>
              </w:rPr>
            </w:pPr>
          </w:p>
        </w:tc>
      </w:tr>
    </w:tbl>
    <w:p>
      <w:pPr>
        <w:snapToGrid w:val="0"/>
        <w:ind w:firstLine="420"/>
        <w:rPr>
          <w:rFonts w:ascii="微软雅黑" w:hAnsi="微软雅黑"/>
          <w:szCs w:val="21"/>
          <w:highlight w:val="none"/>
        </w:rPr>
      </w:pPr>
    </w:p>
    <w:p>
      <w:pPr>
        <w:snapToGrid w:val="0"/>
        <w:ind w:firstLine="420"/>
        <w:rPr>
          <w:rFonts w:ascii="微软雅黑" w:hAnsi="微软雅黑"/>
          <w:szCs w:val="21"/>
          <w:highlight w:val="none"/>
        </w:rPr>
      </w:pPr>
      <w:r>
        <w:rPr>
          <w:rFonts w:hint="eastAsia" w:ascii="微软雅黑" w:hAnsi="微软雅黑"/>
          <w:szCs w:val="21"/>
          <w:highlight w:val="none"/>
        </w:rPr>
        <w:t>注</w:t>
      </w:r>
      <w:r>
        <w:rPr>
          <w:rFonts w:ascii="微软雅黑" w:hAnsi="微软雅黑"/>
          <w:szCs w:val="21"/>
          <w:highlight w:val="none"/>
        </w:rPr>
        <w:t>: 1</w:t>
      </w:r>
      <w:r>
        <w:rPr>
          <w:rFonts w:hint="eastAsia" w:ascii="微软雅黑" w:hAnsi="微软雅黑"/>
          <w:szCs w:val="21"/>
          <w:highlight w:val="none"/>
        </w:rPr>
        <w:t>、报价一经涂改，应在涂改处加盖单位公章或者由法定代表人或授权委托人签字或盖章，否则其投标作无效标处理。</w:t>
      </w:r>
    </w:p>
    <w:p>
      <w:pPr>
        <w:pStyle w:val="27"/>
        <w:snapToGrid w:val="0"/>
        <w:ind w:firstLine="420"/>
        <w:rPr>
          <w:rFonts w:ascii="微软雅黑" w:hAnsi="微软雅黑"/>
          <w:szCs w:val="21"/>
          <w:highlight w:val="none"/>
        </w:rPr>
      </w:pPr>
      <w:r>
        <w:rPr>
          <w:rFonts w:ascii="微软雅黑" w:hAnsi="微软雅黑"/>
          <w:szCs w:val="21"/>
          <w:highlight w:val="none"/>
        </w:rPr>
        <w:t>▲</w:t>
      </w:r>
      <w:r>
        <w:rPr>
          <w:rFonts w:hint="eastAsia" w:ascii="微软雅黑" w:hAnsi="微软雅黑"/>
          <w:szCs w:val="21"/>
          <w:highlight w:val="none"/>
        </w:rPr>
        <w:t>2</w:t>
      </w:r>
      <w:r>
        <w:rPr>
          <w:rFonts w:ascii="微软雅黑" w:hAnsi="微软雅黑"/>
          <w:szCs w:val="21"/>
          <w:highlight w:val="none"/>
        </w:rPr>
        <w:t>、以上报价不得超过上限价，任何超过上限价的报价均导致投标被否决。</w:t>
      </w:r>
    </w:p>
    <w:p>
      <w:pPr>
        <w:snapToGrid w:val="0"/>
        <w:ind w:firstLine="420"/>
        <w:rPr>
          <w:rFonts w:ascii="微软雅黑" w:hAnsi="微软雅黑"/>
          <w:szCs w:val="21"/>
          <w:highlight w:val="none"/>
        </w:rPr>
      </w:pPr>
    </w:p>
    <w:p>
      <w:pPr>
        <w:snapToGrid w:val="0"/>
        <w:ind w:left="-46" w:leftChars="-22" w:right="-817" w:rightChars="-389" w:firstLine="105" w:firstLineChars="50"/>
        <w:rPr>
          <w:rFonts w:ascii="微软雅黑" w:hAnsi="微软雅黑"/>
          <w:szCs w:val="21"/>
          <w:highlight w:val="none"/>
        </w:rPr>
      </w:pPr>
      <w:r>
        <w:rPr>
          <w:rFonts w:hint="eastAsia" w:ascii="微软雅黑" w:hAnsi="微软雅黑"/>
          <w:szCs w:val="21"/>
          <w:highlight w:val="none"/>
        </w:rPr>
        <w:t>法定代表人或授权代表（签字或盖章）：</w:t>
      </w:r>
    </w:p>
    <w:p>
      <w:pPr>
        <w:ind w:firstLine="420"/>
        <w:rPr>
          <w:rFonts w:ascii="微软雅黑" w:hAnsi="微软雅黑"/>
          <w:szCs w:val="21"/>
          <w:highlight w:val="none"/>
        </w:rPr>
      </w:pPr>
      <w:r>
        <w:rPr>
          <w:rFonts w:hint="eastAsia" w:ascii="微软雅黑" w:hAnsi="微软雅黑"/>
          <w:szCs w:val="21"/>
          <w:highlight w:val="none"/>
        </w:rPr>
        <w:t>投标人名称（盖章）：</w:t>
      </w:r>
    </w:p>
    <w:p>
      <w:pPr>
        <w:ind w:firstLine="420"/>
        <w:rPr>
          <w:rFonts w:ascii="微软雅黑" w:hAnsi="微软雅黑"/>
          <w:szCs w:val="21"/>
          <w:highlight w:val="none"/>
        </w:rPr>
      </w:pPr>
      <w:r>
        <w:rPr>
          <w:rFonts w:hint="eastAsia" w:ascii="微软雅黑" w:hAnsi="微软雅黑"/>
          <w:szCs w:val="21"/>
          <w:highlight w:val="none"/>
        </w:rPr>
        <w:t>日期：年月日</w:t>
      </w:r>
    </w:p>
    <w:p>
      <w:pPr>
        <w:pStyle w:val="27"/>
        <w:snapToGrid w:val="0"/>
        <w:ind w:firstLine="420"/>
        <w:rPr>
          <w:rFonts w:ascii="微软雅黑" w:hAnsi="微软雅黑"/>
          <w:b/>
          <w:szCs w:val="21"/>
          <w:highlight w:val="none"/>
        </w:rPr>
      </w:pPr>
    </w:p>
    <w:p>
      <w:pPr>
        <w:rPr>
          <w:rFonts w:ascii="微软雅黑" w:hAnsi="微软雅黑"/>
          <w:b/>
          <w:szCs w:val="21"/>
          <w:highlight w:val="none"/>
        </w:rPr>
      </w:pPr>
      <w:r>
        <w:rPr>
          <w:rFonts w:ascii="微软雅黑" w:hAnsi="微软雅黑"/>
          <w:b/>
          <w:szCs w:val="21"/>
          <w:highlight w:val="none"/>
        </w:rPr>
        <w:br w:type="page"/>
      </w:r>
    </w:p>
    <w:p>
      <w:pPr>
        <w:snapToGrid w:val="0"/>
        <w:ind w:firstLine="420"/>
        <w:rPr>
          <w:rFonts w:hint="default" w:ascii="微软雅黑" w:hAnsi="微软雅黑"/>
          <w:szCs w:val="21"/>
          <w:highlight w:val="none"/>
          <w:lang w:val="en-US" w:eastAsia="zh-CN"/>
        </w:rPr>
      </w:pPr>
      <w:r>
        <w:rPr>
          <w:rFonts w:hint="eastAsia" w:ascii="微软雅黑" w:hAnsi="微软雅黑"/>
          <w:szCs w:val="21"/>
          <w:highlight w:val="none"/>
          <w:lang w:val="en-US" w:eastAsia="zh-CN"/>
        </w:rPr>
        <w:t>报价明细表</w:t>
      </w:r>
    </w:p>
    <w:p>
      <w:pPr>
        <w:pStyle w:val="27"/>
        <w:snapToGrid w:val="0"/>
        <w:ind w:firstLine="420"/>
        <w:jc w:val="center"/>
        <w:rPr>
          <w:rFonts w:hint="default" w:ascii="微软雅黑" w:hAnsi="微软雅黑" w:eastAsia="微软雅黑"/>
          <w:b/>
          <w:szCs w:val="21"/>
          <w:highlight w:val="none"/>
          <w:lang w:val="en-US" w:eastAsia="zh-CN"/>
        </w:rPr>
      </w:pPr>
      <w:r>
        <w:rPr>
          <w:rFonts w:hint="eastAsia" w:ascii="微软雅黑" w:hAnsi="微软雅黑"/>
          <w:b/>
          <w:szCs w:val="21"/>
          <w:highlight w:val="none"/>
          <w:lang w:val="en-US" w:eastAsia="zh-CN"/>
        </w:rPr>
        <w:t>报价明细表</w:t>
      </w:r>
    </w:p>
    <w:tbl>
      <w:tblPr>
        <w:tblStyle w:val="51"/>
        <w:tblW w:w="85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504"/>
        <w:gridCol w:w="1077"/>
        <w:gridCol w:w="941"/>
        <w:gridCol w:w="20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4504"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none"/>
              </w:rPr>
            </w:pPr>
            <w:r>
              <w:rPr>
                <w:rFonts w:hint="eastAsia" w:ascii="微软雅黑" w:hAnsi="微软雅黑"/>
                <w:szCs w:val="21"/>
                <w:highlight w:val="none"/>
              </w:rPr>
              <w:t>名称</w:t>
            </w: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微软雅黑" w:hAnsi="微软雅黑"/>
                <w:szCs w:val="21"/>
                <w:highlight w:val="none"/>
              </w:rPr>
            </w:pPr>
            <w:r>
              <w:rPr>
                <w:rFonts w:hint="eastAsia" w:ascii="微软雅黑" w:hAnsi="微软雅黑"/>
                <w:szCs w:val="21"/>
                <w:highlight w:val="none"/>
              </w:rPr>
              <w:t>数量</w:t>
            </w: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微软雅黑" w:hAnsi="微软雅黑"/>
                <w:szCs w:val="21"/>
                <w:highlight w:val="none"/>
              </w:rPr>
            </w:pPr>
            <w:r>
              <w:rPr>
                <w:rFonts w:hint="eastAsia" w:ascii="微软雅黑" w:hAnsi="微软雅黑"/>
                <w:szCs w:val="21"/>
                <w:highlight w:val="none"/>
              </w:rPr>
              <w:t>单位</w:t>
            </w: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微软雅黑" w:hAnsi="微软雅黑"/>
                <w:szCs w:val="21"/>
                <w:highlight w:val="none"/>
              </w:rPr>
            </w:pPr>
            <w:r>
              <w:rPr>
                <w:rFonts w:hint="eastAsia" w:ascii="微软雅黑" w:hAnsi="微软雅黑"/>
                <w:szCs w:val="21"/>
                <w:highlight w:val="none"/>
              </w:rPr>
              <w:t>投标报价（元）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4504" w:type="dxa"/>
            <w:tcBorders>
              <w:top w:val="single" w:color="auto" w:sz="4" w:space="0"/>
              <w:left w:val="single" w:color="auto" w:sz="4" w:space="0"/>
              <w:bottom w:val="single" w:color="auto" w:sz="4" w:space="0"/>
              <w:right w:val="single" w:color="auto" w:sz="4" w:space="0"/>
            </w:tcBorders>
            <w:vAlign w:val="center"/>
          </w:tcPr>
          <w:p>
            <w:pPr>
              <w:widowControl/>
              <w:ind w:firstLine="400" w:firstLineChars="200"/>
              <w:jc w:val="left"/>
              <w:rPr>
                <w:rFonts w:hint="eastAsia" w:ascii="微软雅黑" w:hAnsi="微软雅黑" w:eastAsia="微软雅黑"/>
                <w:szCs w:val="21"/>
                <w:highlight w:val="none"/>
                <w:lang w:eastAsia="zh-CN"/>
              </w:rPr>
            </w:pPr>
            <w:r>
              <w:rPr>
                <w:rFonts w:hint="eastAsia" w:ascii="宋体" w:hAnsi="宋体" w:eastAsia="宋体" w:cs="宋体"/>
                <w:color w:val="000000"/>
                <w:kern w:val="0"/>
                <w:sz w:val="20"/>
                <w:szCs w:val="20"/>
                <w:highlight w:val="none"/>
              </w:rPr>
              <w:t>总体框架及平台（业务中台）</w:t>
            </w: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default" w:ascii="微软雅黑" w:hAnsi="微软雅黑" w:eastAsia="微软雅黑"/>
                <w:szCs w:val="21"/>
                <w:highlight w:val="none"/>
                <w:lang w:val="en-US" w:eastAsia="zh-CN"/>
              </w:rPr>
            </w:pPr>
            <w:r>
              <w:rPr>
                <w:rFonts w:hint="eastAsia" w:ascii="微软雅黑" w:hAnsi="微软雅黑"/>
                <w:szCs w:val="21"/>
                <w:highlight w:val="none"/>
                <w:lang w:val="en-US" w:eastAsia="zh-CN"/>
              </w:rPr>
              <w:t>1</w:t>
            </w: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default" w:ascii="微软雅黑" w:hAnsi="微软雅黑" w:eastAsia="微软雅黑"/>
                <w:szCs w:val="21"/>
                <w:highlight w:val="none"/>
                <w:lang w:val="en-US" w:eastAsia="zh-CN"/>
              </w:rPr>
            </w:pPr>
            <w:r>
              <w:rPr>
                <w:rFonts w:hint="eastAsia" w:ascii="微软雅黑" w:hAnsi="微软雅黑"/>
                <w:szCs w:val="21"/>
                <w:highlight w:val="none"/>
                <w:lang w:val="en-US" w:eastAsia="zh-CN"/>
              </w:rPr>
              <w:t>项</w:t>
            </w: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4504" w:type="dxa"/>
            <w:tcBorders>
              <w:top w:val="single" w:color="auto" w:sz="4" w:space="0"/>
              <w:left w:val="single" w:color="auto" w:sz="4" w:space="0"/>
              <w:bottom w:val="single" w:color="auto" w:sz="4" w:space="0"/>
              <w:right w:val="single" w:color="auto" w:sz="4" w:space="0"/>
            </w:tcBorders>
            <w:vAlign w:val="center"/>
          </w:tcPr>
          <w:p>
            <w:pPr>
              <w:widowControl/>
              <w:ind w:firstLine="400" w:firstLineChars="200"/>
              <w:jc w:val="left"/>
              <w:rPr>
                <w:rFonts w:hint="eastAsia"/>
                <w:highlight w:val="none"/>
                <w:lang w:eastAsia="zh-CN"/>
              </w:rPr>
            </w:pPr>
            <w:r>
              <w:rPr>
                <w:rFonts w:hint="eastAsia" w:ascii="宋体" w:hAnsi="宋体" w:eastAsia="宋体" w:cs="宋体"/>
                <w:color w:val="000000"/>
                <w:kern w:val="0"/>
                <w:sz w:val="20"/>
                <w:szCs w:val="20"/>
                <w:highlight w:val="none"/>
              </w:rPr>
              <w:t>驾驶舱</w:t>
            </w: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default" w:ascii="微软雅黑" w:hAnsi="微软雅黑"/>
                <w:szCs w:val="21"/>
                <w:highlight w:val="none"/>
                <w:lang w:val="en-US" w:eastAsia="zh-CN"/>
              </w:rPr>
            </w:pPr>
            <w:r>
              <w:rPr>
                <w:rFonts w:hint="eastAsia" w:ascii="微软雅黑" w:hAnsi="微软雅黑"/>
                <w:szCs w:val="21"/>
                <w:highlight w:val="none"/>
                <w:lang w:val="en-US" w:eastAsia="zh-CN"/>
              </w:rPr>
              <w:t>1</w:t>
            </w: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none"/>
                <w:lang w:eastAsia="zh-CN"/>
              </w:rPr>
            </w:pPr>
            <w:r>
              <w:rPr>
                <w:rFonts w:hint="eastAsia" w:ascii="微软雅黑" w:hAnsi="微软雅黑"/>
                <w:szCs w:val="21"/>
                <w:highlight w:val="none"/>
                <w:lang w:val="en-US" w:eastAsia="zh-CN"/>
              </w:rPr>
              <w:t>项</w:t>
            </w: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4504" w:type="dxa"/>
            <w:tcBorders>
              <w:top w:val="single" w:color="auto" w:sz="4" w:space="0"/>
              <w:left w:val="single" w:color="auto" w:sz="4" w:space="0"/>
              <w:bottom w:val="single" w:color="auto" w:sz="4" w:space="0"/>
              <w:right w:val="single" w:color="auto" w:sz="4" w:space="0"/>
            </w:tcBorders>
            <w:vAlign w:val="center"/>
          </w:tcPr>
          <w:p>
            <w:pPr>
              <w:widowControl/>
              <w:ind w:firstLine="400" w:firstLineChars="200"/>
              <w:jc w:val="left"/>
              <w:rPr>
                <w:rFonts w:hint="eastAsia"/>
                <w:highlight w:val="none"/>
                <w:lang w:eastAsia="zh-CN"/>
              </w:rPr>
            </w:pPr>
            <w:r>
              <w:rPr>
                <w:rFonts w:hint="eastAsia" w:ascii="宋体" w:hAnsi="宋体" w:eastAsia="宋体" w:cs="宋体"/>
                <w:color w:val="000000"/>
                <w:kern w:val="0"/>
                <w:sz w:val="20"/>
                <w:szCs w:val="20"/>
                <w:highlight w:val="none"/>
              </w:rPr>
              <w:t>数字路产管理</w:t>
            </w: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none"/>
                <w:lang w:val="en-US" w:eastAsia="zh-CN"/>
              </w:rPr>
            </w:pPr>
            <w:r>
              <w:rPr>
                <w:rFonts w:hint="eastAsia" w:ascii="微软雅黑" w:hAnsi="微软雅黑"/>
                <w:szCs w:val="21"/>
                <w:highlight w:val="none"/>
                <w:lang w:val="en-US" w:eastAsia="zh-CN"/>
              </w:rPr>
              <w:t>1</w:t>
            </w: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none"/>
                <w:lang w:eastAsia="zh-CN"/>
              </w:rPr>
            </w:pPr>
            <w:r>
              <w:rPr>
                <w:rFonts w:hint="eastAsia" w:ascii="微软雅黑" w:hAnsi="微软雅黑"/>
                <w:szCs w:val="21"/>
                <w:highlight w:val="none"/>
                <w:lang w:val="en-US" w:eastAsia="zh-CN"/>
              </w:rPr>
              <w:t>项</w:t>
            </w: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4504" w:type="dxa"/>
            <w:tcBorders>
              <w:top w:val="single" w:color="auto" w:sz="4" w:space="0"/>
              <w:left w:val="single" w:color="auto" w:sz="4" w:space="0"/>
              <w:bottom w:val="single" w:color="auto" w:sz="4" w:space="0"/>
              <w:right w:val="single" w:color="auto" w:sz="4" w:space="0"/>
            </w:tcBorders>
            <w:vAlign w:val="center"/>
          </w:tcPr>
          <w:p>
            <w:pPr>
              <w:widowControl/>
              <w:ind w:firstLine="400" w:firstLineChars="200"/>
              <w:jc w:val="left"/>
              <w:rPr>
                <w:rFonts w:hint="eastAsia"/>
                <w:highlight w:val="none"/>
                <w:lang w:eastAsia="zh-CN"/>
              </w:rPr>
            </w:pPr>
            <w:r>
              <w:rPr>
                <w:rFonts w:hint="eastAsia" w:ascii="宋体" w:hAnsi="宋体" w:eastAsia="宋体" w:cs="宋体"/>
                <w:color w:val="000000"/>
                <w:kern w:val="0"/>
                <w:sz w:val="20"/>
                <w:szCs w:val="20"/>
                <w:highlight w:val="none"/>
              </w:rPr>
              <w:t>示范在线</w:t>
            </w: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none"/>
                <w:lang w:val="en-US" w:eastAsia="zh-CN"/>
              </w:rPr>
            </w:pPr>
            <w:r>
              <w:rPr>
                <w:rFonts w:hint="eastAsia" w:ascii="微软雅黑" w:hAnsi="微软雅黑"/>
                <w:szCs w:val="21"/>
                <w:highlight w:val="none"/>
                <w:lang w:val="en-US" w:eastAsia="zh-CN"/>
              </w:rPr>
              <w:t>1</w:t>
            </w: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none"/>
                <w:lang w:eastAsia="zh-CN"/>
              </w:rPr>
            </w:pPr>
            <w:r>
              <w:rPr>
                <w:rFonts w:hint="eastAsia" w:ascii="微软雅黑" w:hAnsi="微软雅黑"/>
                <w:szCs w:val="21"/>
                <w:highlight w:val="none"/>
                <w:lang w:val="en-US" w:eastAsia="zh-CN"/>
              </w:rPr>
              <w:t>项</w:t>
            </w: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599" w:hRule="atLeast"/>
        </w:trPr>
        <w:tc>
          <w:tcPr>
            <w:tcW w:w="4504" w:type="dxa"/>
            <w:tcBorders>
              <w:top w:val="single" w:color="auto" w:sz="4" w:space="0"/>
              <w:left w:val="single" w:color="auto" w:sz="4" w:space="0"/>
              <w:bottom w:val="single" w:color="auto" w:sz="4" w:space="0"/>
              <w:right w:val="single" w:color="auto" w:sz="4" w:space="0"/>
            </w:tcBorders>
            <w:vAlign w:val="center"/>
          </w:tcPr>
          <w:p>
            <w:pPr>
              <w:widowControl/>
              <w:ind w:firstLine="400" w:firstLineChars="200"/>
              <w:jc w:val="left"/>
              <w:rPr>
                <w:rFonts w:hint="eastAsia"/>
                <w:highlight w:val="none"/>
                <w:lang w:eastAsia="zh-CN"/>
              </w:rPr>
            </w:pPr>
            <w:r>
              <w:rPr>
                <w:rFonts w:hint="eastAsia" w:ascii="宋体" w:hAnsi="宋体" w:eastAsia="宋体" w:cs="宋体"/>
                <w:color w:val="000000"/>
                <w:kern w:val="0"/>
                <w:sz w:val="20"/>
                <w:szCs w:val="20"/>
                <w:highlight w:val="none"/>
              </w:rPr>
              <w:t>数</w:t>
            </w:r>
            <w:r>
              <w:rPr>
                <w:rFonts w:hint="eastAsia" w:ascii="仿宋_GB2312" w:hAnsi="仿宋_GB2312" w:eastAsia="仿宋_GB2312" w:cs="宋体"/>
                <w:color w:val="000000"/>
                <w:kern w:val="0"/>
                <w:sz w:val="20"/>
                <w:szCs w:val="20"/>
                <w:highlight w:val="none"/>
              </w:rPr>
              <w:t>据治理</w:t>
            </w: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none"/>
                <w:lang w:val="en-US" w:eastAsia="zh-CN"/>
              </w:rPr>
            </w:pPr>
            <w:r>
              <w:rPr>
                <w:rFonts w:hint="eastAsia" w:ascii="微软雅黑" w:hAnsi="微软雅黑"/>
                <w:szCs w:val="21"/>
                <w:highlight w:val="none"/>
                <w:lang w:val="en-US" w:eastAsia="zh-CN"/>
              </w:rPr>
              <w:t>1</w:t>
            </w: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none"/>
                <w:lang w:eastAsia="zh-CN"/>
              </w:rPr>
            </w:pPr>
            <w:r>
              <w:rPr>
                <w:rFonts w:hint="eastAsia" w:ascii="微软雅黑" w:hAnsi="微软雅黑"/>
                <w:szCs w:val="21"/>
                <w:highlight w:val="none"/>
                <w:lang w:val="en-US" w:eastAsia="zh-CN"/>
              </w:rPr>
              <w:t>项</w:t>
            </w: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4504" w:type="dxa"/>
            <w:tcBorders>
              <w:top w:val="single" w:color="auto" w:sz="4" w:space="0"/>
              <w:left w:val="single" w:color="auto" w:sz="4" w:space="0"/>
              <w:bottom w:val="single" w:color="auto" w:sz="4" w:space="0"/>
              <w:right w:val="single" w:color="auto" w:sz="4" w:space="0"/>
            </w:tcBorders>
            <w:vAlign w:val="center"/>
          </w:tcPr>
          <w:p>
            <w:pPr>
              <w:widowControl/>
              <w:ind w:firstLine="400" w:firstLineChars="200"/>
              <w:jc w:val="left"/>
              <w:rPr>
                <w:rFonts w:hint="eastAsia" w:ascii="宋体" w:hAnsi="宋体" w:eastAsia="宋体" w:cs="宋体"/>
                <w:color w:val="000000"/>
                <w:kern w:val="0"/>
                <w:sz w:val="20"/>
                <w:szCs w:val="20"/>
                <w:highlight w:val="none"/>
                <w:lang w:val="en-US" w:eastAsia="zh-CN"/>
              </w:rPr>
            </w:pPr>
            <w:r>
              <w:rPr>
                <w:rFonts w:hint="eastAsia" w:ascii="宋体" w:hAnsi="宋体" w:eastAsia="宋体" w:cs="宋体"/>
                <w:color w:val="000000"/>
                <w:kern w:val="0"/>
                <w:sz w:val="20"/>
                <w:szCs w:val="20"/>
                <w:highlight w:val="none"/>
                <w:lang w:val="en-US" w:eastAsia="zh-CN"/>
              </w:rPr>
              <w:t>……</w:t>
            </w: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none"/>
                <w:lang w:val="en-US" w:eastAsia="zh-CN"/>
              </w:rPr>
            </w:pP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none"/>
                <w:lang w:eastAsia="zh-CN"/>
              </w:rPr>
            </w:pP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4504" w:type="dxa"/>
            <w:tcBorders>
              <w:top w:val="single" w:color="auto" w:sz="4" w:space="0"/>
              <w:left w:val="single" w:color="auto" w:sz="4" w:space="0"/>
              <w:bottom w:val="single" w:color="auto" w:sz="4" w:space="0"/>
              <w:right w:val="single" w:color="auto" w:sz="4" w:space="0"/>
            </w:tcBorders>
            <w:vAlign w:val="center"/>
          </w:tcPr>
          <w:p>
            <w:pPr>
              <w:widowControl/>
              <w:ind w:firstLine="400" w:firstLineChars="200"/>
              <w:jc w:val="left"/>
              <w:rPr>
                <w:rFonts w:hint="eastAsia" w:ascii="宋体" w:hAnsi="宋体" w:eastAsia="宋体" w:cs="宋体"/>
                <w:color w:val="000000"/>
                <w:kern w:val="0"/>
                <w:sz w:val="20"/>
                <w:szCs w:val="20"/>
                <w:lang w:val="en-US" w:eastAsia="zh-CN"/>
              </w:rPr>
            </w:pP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cyan"/>
                <w:lang w:val="en-US" w:eastAsia="zh-CN"/>
              </w:rPr>
            </w:pP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cyan"/>
                <w:lang w:eastAsia="zh-CN"/>
              </w:rPr>
            </w:pP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cy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4504" w:type="dxa"/>
            <w:tcBorders>
              <w:top w:val="single" w:color="auto" w:sz="4" w:space="0"/>
              <w:left w:val="single" w:color="auto" w:sz="4" w:space="0"/>
              <w:bottom w:val="single" w:color="auto" w:sz="4" w:space="0"/>
              <w:right w:val="single" w:color="auto" w:sz="4" w:space="0"/>
            </w:tcBorders>
            <w:vAlign w:val="center"/>
          </w:tcPr>
          <w:p>
            <w:pPr>
              <w:widowControl/>
              <w:ind w:firstLine="400" w:firstLineChars="200"/>
              <w:jc w:val="left"/>
              <w:rPr>
                <w:rFonts w:hint="eastAsia" w:ascii="宋体" w:hAnsi="宋体" w:eastAsia="宋体" w:cs="宋体"/>
                <w:color w:val="000000"/>
                <w:kern w:val="0"/>
                <w:sz w:val="20"/>
                <w:szCs w:val="20"/>
                <w:lang w:val="en-US" w:eastAsia="zh-CN"/>
              </w:rPr>
            </w:pP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cyan"/>
                <w:lang w:val="en-US" w:eastAsia="zh-CN"/>
              </w:rPr>
            </w:pP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cyan"/>
                <w:lang w:eastAsia="zh-CN"/>
              </w:rPr>
            </w:pP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cy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9" w:hRule="atLeast"/>
        </w:trPr>
        <w:tc>
          <w:tcPr>
            <w:tcW w:w="4504" w:type="dxa"/>
            <w:tcBorders>
              <w:top w:val="single" w:color="auto" w:sz="4" w:space="0"/>
              <w:left w:val="single" w:color="auto" w:sz="4" w:space="0"/>
              <w:bottom w:val="single" w:color="auto" w:sz="4" w:space="0"/>
              <w:right w:val="single" w:color="auto" w:sz="4" w:space="0"/>
            </w:tcBorders>
            <w:vAlign w:val="center"/>
          </w:tcPr>
          <w:p>
            <w:pPr>
              <w:widowControl/>
              <w:ind w:firstLine="400" w:firstLineChars="200"/>
              <w:jc w:val="left"/>
              <w:rPr>
                <w:rFonts w:hint="eastAsia" w:ascii="宋体" w:hAnsi="宋体" w:eastAsia="宋体" w:cs="宋体"/>
                <w:color w:val="000000"/>
                <w:kern w:val="0"/>
                <w:sz w:val="20"/>
                <w:szCs w:val="20"/>
                <w:lang w:val="en-US" w:eastAsia="zh-CN"/>
              </w:rPr>
            </w:pPr>
          </w:p>
        </w:tc>
        <w:tc>
          <w:tcPr>
            <w:tcW w:w="1077"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cyan"/>
                <w:lang w:val="en-US" w:eastAsia="zh-CN"/>
              </w:rPr>
            </w:pPr>
          </w:p>
        </w:tc>
        <w:tc>
          <w:tcPr>
            <w:tcW w:w="94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微软雅黑" w:hAnsi="微软雅黑"/>
                <w:szCs w:val="21"/>
                <w:highlight w:val="cyan"/>
                <w:lang w:eastAsia="zh-CN"/>
              </w:rPr>
            </w:pPr>
          </w:p>
        </w:tc>
        <w:tc>
          <w:tcPr>
            <w:tcW w:w="2036" w:type="dxa"/>
            <w:tcBorders>
              <w:top w:val="single" w:color="auto" w:sz="4" w:space="0"/>
              <w:left w:val="single" w:color="auto" w:sz="4" w:space="0"/>
              <w:bottom w:val="single" w:color="auto" w:sz="4" w:space="0"/>
              <w:right w:val="single" w:color="auto" w:sz="4" w:space="0"/>
            </w:tcBorders>
            <w:vAlign w:val="center"/>
          </w:tcPr>
          <w:p>
            <w:pPr>
              <w:snapToGrid w:val="0"/>
              <w:ind w:firstLine="420"/>
              <w:jc w:val="center"/>
              <w:rPr>
                <w:rFonts w:ascii="微软雅黑" w:hAnsi="微软雅黑"/>
                <w:szCs w:val="21"/>
                <w:highlight w:val="cyan"/>
              </w:rPr>
            </w:pPr>
          </w:p>
        </w:tc>
      </w:tr>
    </w:tbl>
    <w:p>
      <w:pPr>
        <w:snapToGrid w:val="0"/>
        <w:ind w:left="-46" w:leftChars="-22" w:right="-817" w:rightChars="-389" w:firstLine="105" w:firstLineChars="50"/>
        <w:rPr>
          <w:rFonts w:ascii="微软雅黑" w:hAnsi="微软雅黑"/>
          <w:szCs w:val="21"/>
          <w:highlight w:val="none"/>
        </w:rPr>
      </w:pPr>
      <w:r>
        <w:rPr>
          <w:rFonts w:hint="eastAsia" w:ascii="微软雅黑" w:hAnsi="微软雅黑"/>
          <w:szCs w:val="21"/>
          <w:highlight w:val="none"/>
        </w:rPr>
        <w:t>法定代表人或授权代表（签字或盖章）：</w:t>
      </w:r>
    </w:p>
    <w:p>
      <w:pPr>
        <w:ind w:firstLine="420"/>
        <w:rPr>
          <w:rFonts w:ascii="微软雅黑" w:hAnsi="微软雅黑"/>
          <w:szCs w:val="21"/>
          <w:highlight w:val="none"/>
        </w:rPr>
      </w:pPr>
      <w:r>
        <w:rPr>
          <w:rFonts w:hint="eastAsia" w:ascii="微软雅黑" w:hAnsi="微软雅黑"/>
          <w:szCs w:val="21"/>
          <w:highlight w:val="none"/>
        </w:rPr>
        <w:t>投标人名称（盖章）：</w:t>
      </w:r>
    </w:p>
    <w:p>
      <w:pPr>
        <w:ind w:firstLine="420"/>
        <w:rPr>
          <w:rFonts w:ascii="微软雅黑" w:hAnsi="微软雅黑"/>
          <w:szCs w:val="21"/>
          <w:highlight w:val="none"/>
        </w:rPr>
      </w:pPr>
      <w:r>
        <w:rPr>
          <w:rFonts w:hint="eastAsia" w:ascii="微软雅黑" w:hAnsi="微软雅黑"/>
          <w:szCs w:val="21"/>
          <w:highlight w:val="none"/>
        </w:rPr>
        <w:t>日期：年月日</w:t>
      </w:r>
    </w:p>
    <w:p>
      <w:pPr>
        <w:snapToGrid w:val="0"/>
        <w:ind w:firstLine="420"/>
        <w:jc w:val="center"/>
        <w:rPr>
          <w:rFonts w:ascii="微软雅黑" w:hAnsi="微软雅黑"/>
          <w:b/>
          <w:szCs w:val="21"/>
          <w:highlight w:val="none"/>
        </w:rPr>
      </w:pPr>
      <w:r>
        <w:rPr>
          <w:rFonts w:hint="eastAsia" w:ascii="微软雅黑" w:hAnsi="微软雅黑"/>
          <w:b/>
          <w:szCs w:val="21"/>
          <w:highlight w:val="none"/>
        </w:rPr>
        <w:br w:type="page"/>
      </w:r>
      <w:r>
        <w:rPr>
          <w:rFonts w:hint="eastAsia" w:ascii="微软雅黑" w:hAnsi="微软雅黑"/>
          <w:b/>
          <w:szCs w:val="21"/>
          <w:highlight w:val="none"/>
        </w:rPr>
        <w:t>中小企业声明函</w:t>
      </w:r>
    </w:p>
    <w:p>
      <w:pPr>
        <w:snapToGrid w:val="0"/>
        <w:spacing w:before="50" w:after="50"/>
        <w:ind w:firstLine="420"/>
        <w:jc w:val="center"/>
        <w:rPr>
          <w:rFonts w:ascii="微软雅黑" w:hAnsi="微软雅黑"/>
          <w:b/>
          <w:szCs w:val="21"/>
          <w:highlight w:val="none"/>
        </w:rPr>
      </w:pPr>
      <w:r>
        <w:rPr>
          <w:rFonts w:hint="eastAsia" w:ascii="微软雅黑" w:hAnsi="微软雅黑"/>
          <w:b/>
          <w:szCs w:val="21"/>
          <w:highlight w:val="none"/>
        </w:rPr>
        <w:t>中小企业声明函（工程、服务）</w:t>
      </w:r>
    </w:p>
    <w:p>
      <w:pPr>
        <w:pStyle w:val="136"/>
        <w:spacing w:line="360" w:lineRule="auto"/>
        <w:ind w:right="157" w:firstLine="875" w:firstLineChars="417"/>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本公司（联合体）郑重声明，根据《政府采购促进中小企业发展管理办法》（财库﹝2020﹞46 号）的规定，本公司（联合体）参加</w:t>
      </w:r>
      <w:r>
        <w:rPr>
          <w:rFonts w:ascii="微软雅黑" w:hAnsi="微软雅黑" w:eastAsia="微软雅黑"/>
          <w:color w:val="auto"/>
          <w:sz w:val="21"/>
          <w:szCs w:val="21"/>
          <w:highlight w:val="none"/>
          <w:u w:val="single"/>
        </w:rPr>
        <w:t>（单位名称）</w:t>
      </w:r>
      <w:r>
        <w:rPr>
          <w:rFonts w:ascii="微软雅黑" w:hAnsi="微软雅黑" w:eastAsia="微软雅黑"/>
          <w:color w:val="auto"/>
          <w:sz w:val="21"/>
          <w:szCs w:val="21"/>
          <w:highlight w:val="none"/>
        </w:rPr>
        <w:t>的</w:t>
      </w:r>
      <w:r>
        <w:rPr>
          <w:rFonts w:ascii="微软雅黑" w:hAnsi="微软雅黑" w:eastAsia="微软雅黑"/>
          <w:color w:val="auto"/>
          <w:sz w:val="21"/>
          <w:szCs w:val="21"/>
          <w:highlight w:val="none"/>
          <w:u w:val="single"/>
        </w:rPr>
        <w:t>（项目名称）</w:t>
      </w:r>
      <w:r>
        <w:rPr>
          <w:rFonts w:ascii="微软雅黑" w:hAnsi="微软雅黑" w:eastAsia="微软雅黑"/>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pStyle w:val="136"/>
        <w:spacing w:line="360" w:lineRule="auto"/>
        <w:ind w:right="157" w:firstLine="875" w:firstLineChars="417"/>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 xml:space="preserve">1. </w:t>
      </w:r>
      <w:r>
        <w:rPr>
          <w:rFonts w:ascii="微软雅黑" w:hAnsi="微软雅黑" w:eastAsia="微软雅黑"/>
          <w:color w:val="auto"/>
          <w:sz w:val="21"/>
          <w:szCs w:val="21"/>
          <w:highlight w:val="none"/>
          <w:u w:val="single"/>
        </w:rPr>
        <w:t>（标的名称）</w:t>
      </w:r>
      <w:r>
        <w:rPr>
          <w:rFonts w:ascii="微软雅黑" w:hAnsi="微软雅黑" w:eastAsia="微软雅黑"/>
          <w:color w:val="auto"/>
          <w:sz w:val="21"/>
          <w:szCs w:val="21"/>
          <w:highlight w:val="none"/>
        </w:rPr>
        <w:t>，属于</w:t>
      </w:r>
      <w:r>
        <w:rPr>
          <w:rFonts w:ascii="微软雅黑" w:hAnsi="微软雅黑" w:eastAsia="微软雅黑"/>
          <w:color w:val="auto"/>
          <w:sz w:val="21"/>
          <w:szCs w:val="21"/>
          <w:highlight w:val="none"/>
          <w:u w:val="single"/>
        </w:rPr>
        <w:t>（采购文件中明确的所属行业）</w:t>
      </w:r>
      <w:r>
        <w:rPr>
          <w:rFonts w:ascii="微软雅黑" w:hAnsi="微软雅黑" w:eastAsia="微软雅黑"/>
          <w:color w:val="auto"/>
          <w:sz w:val="21"/>
          <w:szCs w:val="21"/>
          <w:highlight w:val="none"/>
        </w:rPr>
        <w:t>；承建（承接）企业为</w:t>
      </w:r>
      <w:r>
        <w:rPr>
          <w:rFonts w:ascii="微软雅黑" w:hAnsi="微软雅黑" w:eastAsia="微软雅黑"/>
          <w:color w:val="auto"/>
          <w:sz w:val="21"/>
          <w:szCs w:val="21"/>
          <w:highlight w:val="none"/>
          <w:u w:val="single"/>
        </w:rPr>
        <w:t>（企业名称）</w:t>
      </w:r>
      <w:r>
        <w:rPr>
          <w:rFonts w:ascii="微软雅黑" w:hAnsi="微软雅黑" w:eastAsia="微软雅黑"/>
          <w:color w:val="auto"/>
          <w:sz w:val="21"/>
          <w:szCs w:val="21"/>
          <w:highlight w:val="none"/>
        </w:rPr>
        <w:t>，从业人员人，营业收入为万元，资产总额为万元，属于（中型企业、小型企业、微型企业）；</w:t>
      </w:r>
    </w:p>
    <w:p>
      <w:pPr>
        <w:pStyle w:val="136"/>
        <w:spacing w:line="360" w:lineRule="auto"/>
        <w:ind w:right="157" w:firstLine="875" w:firstLineChars="417"/>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 xml:space="preserve">2. </w:t>
      </w:r>
      <w:r>
        <w:rPr>
          <w:rFonts w:ascii="微软雅黑" w:hAnsi="微软雅黑" w:eastAsia="微软雅黑"/>
          <w:color w:val="auto"/>
          <w:sz w:val="21"/>
          <w:szCs w:val="21"/>
          <w:highlight w:val="none"/>
          <w:u w:val="single"/>
        </w:rPr>
        <w:t>（标的名称）</w:t>
      </w:r>
      <w:r>
        <w:rPr>
          <w:rFonts w:ascii="微软雅黑" w:hAnsi="微软雅黑" w:eastAsia="微软雅黑"/>
          <w:color w:val="auto"/>
          <w:sz w:val="21"/>
          <w:szCs w:val="21"/>
          <w:highlight w:val="none"/>
        </w:rPr>
        <w:t>，属于</w:t>
      </w:r>
      <w:r>
        <w:rPr>
          <w:rFonts w:ascii="微软雅黑" w:hAnsi="微软雅黑" w:eastAsia="微软雅黑"/>
          <w:color w:val="auto"/>
          <w:sz w:val="21"/>
          <w:szCs w:val="21"/>
          <w:highlight w:val="none"/>
          <w:u w:val="single"/>
        </w:rPr>
        <w:t>（采购文件中明确的所属行业）</w:t>
      </w:r>
      <w:r>
        <w:rPr>
          <w:rFonts w:ascii="微软雅黑" w:hAnsi="微软雅黑" w:eastAsia="微软雅黑"/>
          <w:color w:val="auto"/>
          <w:sz w:val="21"/>
          <w:szCs w:val="21"/>
          <w:highlight w:val="none"/>
        </w:rPr>
        <w:t>；承建（承接）企业为</w:t>
      </w:r>
      <w:r>
        <w:rPr>
          <w:rFonts w:ascii="微软雅黑" w:hAnsi="微软雅黑" w:eastAsia="微软雅黑"/>
          <w:color w:val="auto"/>
          <w:sz w:val="21"/>
          <w:szCs w:val="21"/>
          <w:highlight w:val="none"/>
          <w:u w:val="single"/>
        </w:rPr>
        <w:t>（企业名称）</w:t>
      </w:r>
      <w:r>
        <w:rPr>
          <w:rFonts w:ascii="微软雅黑" w:hAnsi="微软雅黑" w:eastAsia="微软雅黑"/>
          <w:color w:val="auto"/>
          <w:sz w:val="21"/>
          <w:szCs w:val="21"/>
          <w:highlight w:val="none"/>
        </w:rPr>
        <w:t>，从业人员人，营业收入为万元，资产总额为万元，属于</w:t>
      </w:r>
      <w:r>
        <w:rPr>
          <w:rFonts w:ascii="微软雅黑" w:hAnsi="微软雅黑" w:eastAsia="微软雅黑"/>
          <w:color w:val="auto"/>
          <w:sz w:val="21"/>
          <w:szCs w:val="21"/>
          <w:highlight w:val="none"/>
          <w:u w:val="single"/>
        </w:rPr>
        <w:t>（中型企业、小型企业、微型企业）</w:t>
      </w:r>
      <w:r>
        <w:rPr>
          <w:rFonts w:ascii="微软雅黑" w:hAnsi="微软雅黑" w:eastAsia="微软雅黑"/>
          <w:color w:val="auto"/>
          <w:sz w:val="21"/>
          <w:szCs w:val="21"/>
          <w:highlight w:val="none"/>
        </w:rPr>
        <w:t>；</w:t>
      </w:r>
    </w:p>
    <w:p>
      <w:pPr>
        <w:pStyle w:val="136"/>
        <w:spacing w:line="360" w:lineRule="auto"/>
        <w:ind w:right="157" w:firstLine="875" w:firstLineChars="417"/>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w:t>
      </w:r>
    </w:p>
    <w:p>
      <w:pPr>
        <w:pStyle w:val="136"/>
        <w:spacing w:line="360" w:lineRule="auto"/>
        <w:ind w:right="157" w:firstLine="642"/>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以上企业，不属于大企业的分支机构，不存在控股股东为大企业的情形，也不存在与大企业的负责人为同一人的情形。</w:t>
      </w:r>
    </w:p>
    <w:p>
      <w:pPr>
        <w:pStyle w:val="136"/>
        <w:spacing w:line="360" w:lineRule="auto"/>
        <w:ind w:right="157" w:firstLine="642"/>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本企业对上述声明内容的真实性负责。如有虚假，将依法承担相应责任。</w:t>
      </w:r>
    </w:p>
    <w:p>
      <w:pPr>
        <w:pStyle w:val="4"/>
        <w:rPr>
          <w:rFonts w:hint="default" w:ascii="微软雅黑" w:hAnsi="微软雅黑" w:eastAsia="微软雅黑"/>
          <w:color w:val="auto"/>
          <w:sz w:val="21"/>
          <w:szCs w:val="21"/>
          <w:highlight w:val="none"/>
        </w:rPr>
      </w:pPr>
    </w:p>
    <w:p>
      <w:pPr>
        <w:pStyle w:val="4"/>
        <w:rPr>
          <w:rFonts w:hint="default" w:ascii="微软雅黑" w:hAnsi="微软雅黑" w:eastAsia="微软雅黑"/>
          <w:color w:val="auto"/>
          <w:sz w:val="21"/>
          <w:szCs w:val="21"/>
          <w:highlight w:val="none"/>
        </w:rPr>
      </w:pPr>
    </w:p>
    <w:p>
      <w:pPr>
        <w:pStyle w:val="136"/>
        <w:spacing w:line="360" w:lineRule="auto"/>
        <w:ind w:right="157" w:firstLine="642"/>
        <w:rPr>
          <w:rFonts w:hint="default" w:ascii="微软雅黑" w:hAnsi="微软雅黑" w:eastAsia="微软雅黑"/>
          <w:color w:val="auto"/>
          <w:spacing w:val="20"/>
          <w:sz w:val="21"/>
          <w:szCs w:val="21"/>
          <w:highlight w:val="none"/>
          <w:u w:val="single"/>
        </w:rPr>
      </w:pPr>
      <w:r>
        <w:rPr>
          <w:rFonts w:ascii="微软雅黑" w:hAnsi="微软雅黑" w:eastAsia="微软雅黑"/>
          <w:color w:val="auto"/>
          <w:spacing w:val="20"/>
          <w:sz w:val="21"/>
          <w:szCs w:val="21"/>
          <w:highlight w:val="none"/>
        </w:rPr>
        <w:t>供应商名称：</w:t>
      </w:r>
      <w:r>
        <w:rPr>
          <w:rFonts w:ascii="微软雅黑" w:hAnsi="微软雅黑" w:eastAsia="微软雅黑"/>
          <w:color w:val="auto"/>
          <w:spacing w:val="20"/>
          <w:sz w:val="21"/>
          <w:szCs w:val="21"/>
          <w:highlight w:val="none"/>
          <w:u w:val="single"/>
        </w:rPr>
        <w:t>（盖章）</w:t>
      </w:r>
      <w:r>
        <w:rPr>
          <w:rFonts w:ascii="微软雅黑" w:hAnsi="微软雅黑" w:eastAsia="微软雅黑"/>
          <w:color w:val="auto"/>
          <w:spacing w:val="20"/>
          <w:sz w:val="21"/>
          <w:szCs w:val="21"/>
          <w:highlight w:val="none"/>
        </w:rPr>
        <w:t>日期：</w:t>
      </w:r>
    </w:p>
    <w:p>
      <w:pPr>
        <w:pStyle w:val="4"/>
        <w:ind w:firstLine="420"/>
        <w:rPr>
          <w:rFonts w:hint="default" w:ascii="微软雅黑" w:hAnsi="微软雅黑" w:eastAsia="微软雅黑"/>
          <w:color w:val="auto"/>
          <w:sz w:val="21"/>
          <w:szCs w:val="21"/>
          <w:highlight w:val="none"/>
        </w:rPr>
      </w:pPr>
    </w:p>
    <w:p>
      <w:pPr>
        <w:pStyle w:val="39"/>
        <w:ind w:firstLine="420"/>
        <w:rPr>
          <w:rFonts w:ascii="微软雅黑" w:hAnsi="微软雅黑"/>
          <w:sz w:val="21"/>
          <w:szCs w:val="21"/>
          <w:highlight w:val="none"/>
        </w:rPr>
      </w:pPr>
      <w:r>
        <w:rPr>
          <w:rFonts w:ascii="微软雅黑" w:hAnsi="微软雅黑"/>
          <w:sz w:val="21"/>
          <w:szCs w:val="21"/>
          <w:highlight w:val="none"/>
        </w:rPr>
        <w:t>从业人员、营业收入、资产总额填报上一年度数据，无上一年度数据的新成立企业可不填报。</w:t>
      </w:r>
    </w:p>
    <w:p>
      <w:pPr>
        <w:snapToGrid w:val="0"/>
        <w:spacing w:before="50" w:after="50"/>
        <w:ind w:firstLine="420"/>
        <w:jc w:val="center"/>
        <w:rPr>
          <w:rFonts w:ascii="微软雅黑" w:hAnsi="微软雅黑"/>
          <w:szCs w:val="21"/>
          <w:highlight w:val="none"/>
        </w:rPr>
      </w:pPr>
    </w:p>
    <w:p>
      <w:pPr>
        <w:pStyle w:val="71"/>
        <w:ind w:firstLine="400"/>
        <w:rPr>
          <w:highlight w:val="none"/>
        </w:rPr>
      </w:pPr>
    </w:p>
    <w:p>
      <w:pPr>
        <w:pStyle w:val="3"/>
        <w:ind w:firstLine="420"/>
        <w:rPr>
          <w:highlight w:val="none"/>
        </w:rPr>
      </w:pPr>
    </w:p>
    <w:p>
      <w:pPr>
        <w:pStyle w:val="2"/>
        <w:ind w:firstLine="480"/>
        <w:rPr>
          <w:highlight w:val="none"/>
        </w:rPr>
      </w:pPr>
    </w:p>
    <w:p>
      <w:pPr>
        <w:pStyle w:val="27"/>
        <w:snapToGrid w:val="0"/>
        <w:ind w:firstLine="420"/>
        <w:rPr>
          <w:rFonts w:ascii="微软雅黑" w:hAnsi="微软雅黑"/>
          <w:b/>
          <w:szCs w:val="21"/>
          <w:highlight w:val="none"/>
        </w:rPr>
      </w:pPr>
      <w:r>
        <w:rPr>
          <w:rFonts w:hint="eastAsia" w:ascii="微软雅黑" w:hAnsi="微软雅黑"/>
          <w:b/>
          <w:szCs w:val="21"/>
          <w:highlight w:val="none"/>
        </w:rPr>
        <w:t>残疾人福利性单位声明函</w:t>
      </w:r>
    </w:p>
    <w:p>
      <w:pPr>
        <w:widowControl/>
        <w:ind w:firstLine="420"/>
        <w:rPr>
          <w:rFonts w:ascii="微软雅黑" w:hAnsi="微软雅黑"/>
          <w:b/>
          <w:szCs w:val="21"/>
          <w:highlight w:val="none"/>
        </w:rPr>
      </w:pPr>
    </w:p>
    <w:p>
      <w:pPr>
        <w:widowControl/>
        <w:ind w:firstLine="420"/>
        <w:jc w:val="center"/>
        <w:rPr>
          <w:rFonts w:ascii="微软雅黑" w:hAnsi="微软雅黑"/>
          <w:b/>
          <w:szCs w:val="21"/>
          <w:highlight w:val="none"/>
        </w:rPr>
      </w:pPr>
      <w:r>
        <w:rPr>
          <w:rFonts w:hint="eastAsia" w:ascii="微软雅黑" w:hAnsi="微软雅黑"/>
          <w:b/>
          <w:szCs w:val="21"/>
          <w:highlight w:val="none"/>
        </w:rPr>
        <w:t>残疾人福利性单位声明函</w:t>
      </w:r>
    </w:p>
    <w:p>
      <w:pPr>
        <w:widowControl/>
        <w:ind w:firstLine="420"/>
        <w:rPr>
          <w:rFonts w:ascii="微软雅黑" w:hAnsi="微软雅黑"/>
          <w:szCs w:val="21"/>
          <w:highlight w:val="none"/>
        </w:rPr>
      </w:pPr>
      <w:r>
        <w:rPr>
          <w:rFonts w:hint="eastAsia" w:ascii="微软雅黑" w:hAnsi="微软雅黑"/>
          <w:szCs w:val="21"/>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idowControl/>
        <w:ind w:firstLine="420"/>
        <w:rPr>
          <w:rFonts w:ascii="微软雅黑" w:hAnsi="微软雅黑"/>
          <w:szCs w:val="21"/>
          <w:highlight w:val="none"/>
        </w:rPr>
      </w:pPr>
      <w:r>
        <w:rPr>
          <w:rFonts w:hint="eastAsia" w:ascii="微软雅黑" w:hAnsi="微软雅黑"/>
          <w:szCs w:val="21"/>
          <w:highlight w:val="none"/>
        </w:rPr>
        <w:t xml:space="preserve">  本单位对上述声明的真实性负责。如有虚假，将依法承担相应责任。</w:t>
      </w:r>
    </w:p>
    <w:p>
      <w:pPr>
        <w:widowControl/>
        <w:ind w:firstLine="420"/>
        <w:rPr>
          <w:rFonts w:ascii="微软雅黑" w:hAnsi="微软雅黑"/>
          <w:szCs w:val="21"/>
          <w:highlight w:val="none"/>
        </w:rPr>
      </w:pPr>
      <w:r>
        <w:rPr>
          <w:rFonts w:hint="eastAsia" w:ascii="微软雅黑" w:hAnsi="微软雅黑"/>
          <w:szCs w:val="21"/>
          <w:highlight w:val="none"/>
        </w:rPr>
        <w:t xml:space="preserve">          投标人（盖章）：</w:t>
      </w:r>
    </w:p>
    <w:p>
      <w:pPr>
        <w:widowControl/>
        <w:ind w:firstLine="420"/>
        <w:rPr>
          <w:rFonts w:ascii="微软雅黑" w:hAnsi="微软雅黑"/>
          <w:szCs w:val="21"/>
          <w:highlight w:val="none"/>
        </w:rPr>
      </w:pPr>
      <w:r>
        <w:rPr>
          <w:rFonts w:hint="eastAsia" w:ascii="微软雅黑" w:hAnsi="微软雅黑"/>
          <w:szCs w:val="21"/>
          <w:highlight w:val="none"/>
        </w:rPr>
        <w:t xml:space="preserve">                  日 期：</w:t>
      </w:r>
    </w:p>
    <w:p>
      <w:pPr>
        <w:pStyle w:val="3"/>
        <w:ind w:firstLine="420"/>
        <w:rPr>
          <w:highlight w:val="none"/>
        </w:rPr>
      </w:pPr>
    </w:p>
    <w:p>
      <w:pPr>
        <w:pStyle w:val="3"/>
        <w:ind w:firstLine="420"/>
        <w:rPr>
          <w:highlight w:val="none"/>
        </w:rPr>
      </w:pPr>
    </w:p>
    <w:p>
      <w:pPr>
        <w:pStyle w:val="2"/>
        <w:ind w:firstLine="480"/>
        <w:rPr>
          <w:highlight w:val="none"/>
        </w:rPr>
      </w:pPr>
    </w:p>
    <w:p>
      <w:pPr>
        <w:pStyle w:val="2"/>
        <w:ind w:firstLine="480"/>
        <w:rPr>
          <w:highlight w:val="none"/>
        </w:rPr>
      </w:pPr>
    </w:p>
    <w:p>
      <w:pPr>
        <w:pStyle w:val="2"/>
        <w:ind w:firstLine="480"/>
        <w:rPr>
          <w:highlight w:val="none"/>
        </w:rPr>
      </w:pPr>
    </w:p>
    <w:p>
      <w:pPr>
        <w:pStyle w:val="2"/>
        <w:ind w:firstLine="480"/>
        <w:rPr>
          <w:highlight w:val="none"/>
        </w:rPr>
      </w:pPr>
    </w:p>
    <w:p>
      <w:pPr>
        <w:pStyle w:val="3"/>
        <w:ind w:firstLine="420"/>
        <w:rPr>
          <w:highlight w:val="none"/>
        </w:rPr>
      </w:pPr>
    </w:p>
    <w:p>
      <w:pPr>
        <w:pStyle w:val="2"/>
        <w:ind w:firstLine="480"/>
        <w:rPr>
          <w:highlight w:val="none"/>
        </w:rPr>
      </w:pPr>
    </w:p>
    <w:p>
      <w:pPr>
        <w:widowControl/>
        <w:spacing w:line="240" w:lineRule="auto"/>
        <w:ind w:firstLine="0" w:firstLineChars="0"/>
        <w:rPr>
          <w:highlight w:val="none"/>
        </w:rPr>
      </w:pPr>
      <w:r>
        <w:rPr>
          <w:highlight w:val="none"/>
        </w:rPr>
        <w:br w:type="page"/>
      </w:r>
    </w:p>
    <w:p>
      <w:pPr>
        <w:ind w:firstLine="420"/>
        <w:rPr>
          <w:highlight w:val="none"/>
        </w:rPr>
      </w:pPr>
      <w:r>
        <w:rPr>
          <w:rFonts w:hint="eastAsia"/>
          <w:highlight w:val="none"/>
        </w:rPr>
        <w:t>监狱企业证明文件</w:t>
      </w:r>
    </w:p>
    <w:p>
      <w:pPr>
        <w:ind w:firstLine="420"/>
        <w:jc w:val="center"/>
        <w:rPr>
          <w:rFonts w:ascii="微软雅黑" w:hAnsi="微软雅黑"/>
          <w:b/>
          <w:szCs w:val="21"/>
          <w:highlight w:val="none"/>
        </w:rPr>
      </w:pPr>
      <w:r>
        <w:rPr>
          <w:rFonts w:hint="eastAsia" w:ascii="微软雅黑" w:hAnsi="微软雅黑"/>
          <w:b/>
          <w:szCs w:val="21"/>
          <w:highlight w:val="none"/>
        </w:rPr>
        <w:t>监狱企业证明文件</w:t>
      </w:r>
    </w:p>
    <w:tbl>
      <w:tblPr>
        <w:tblStyle w:val="51"/>
        <w:tblW w:w="8820"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8820"/>
      </w:tblGrid>
      <w:tr>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6516" w:hRule="atLeast"/>
        </w:trPr>
        <w:tc>
          <w:tcPr>
            <w:tcW w:w="8820" w:type="dxa"/>
            <w:vAlign w:val="center"/>
          </w:tcPr>
          <w:p>
            <w:pPr>
              <w:ind w:firstLine="420"/>
              <w:jc w:val="center"/>
              <w:rPr>
                <w:rFonts w:ascii="微软雅黑" w:hAnsi="微软雅黑"/>
                <w:b/>
                <w:szCs w:val="21"/>
                <w:highlight w:val="none"/>
              </w:rPr>
            </w:pPr>
            <w:r>
              <w:rPr>
                <w:rFonts w:hint="eastAsia" w:ascii="微软雅黑" w:hAnsi="微软雅黑"/>
                <w:b/>
                <w:szCs w:val="21"/>
                <w:highlight w:val="none"/>
              </w:rPr>
              <w:t>相关部门出具的监狱企业证明文件</w:t>
            </w:r>
          </w:p>
          <w:p>
            <w:pPr>
              <w:ind w:firstLine="420"/>
              <w:jc w:val="center"/>
              <w:rPr>
                <w:rFonts w:ascii="微软雅黑" w:hAnsi="微软雅黑" w:cs="Arial"/>
                <w:b/>
                <w:i/>
                <w:kern w:val="0"/>
                <w:szCs w:val="21"/>
                <w:highlight w:val="none"/>
              </w:rPr>
            </w:pPr>
            <w:r>
              <w:rPr>
                <w:rFonts w:hint="eastAsia" w:ascii="微软雅黑" w:hAnsi="微软雅黑"/>
                <w:szCs w:val="21"/>
                <w:highlight w:val="none"/>
              </w:rPr>
              <w:t>（如是，提供</w:t>
            </w:r>
            <w:r>
              <w:rPr>
                <w:rFonts w:hint="eastAsia" w:ascii="微软雅黑" w:hAnsi="微软雅黑" w:cs="Arial"/>
                <w:kern w:val="0"/>
                <w:szCs w:val="21"/>
                <w:highlight w:val="none"/>
              </w:rPr>
              <w:t>复印件加盖投标供应商公章）</w:t>
            </w:r>
          </w:p>
        </w:tc>
      </w:tr>
    </w:tbl>
    <w:p>
      <w:pPr>
        <w:ind w:firstLine="420"/>
        <w:rPr>
          <w:rFonts w:ascii="微软雅黑" w:hAnsi="微软雅黑" w:cs="Arial"/>
          <w:i/>
          <w:szCs w:val="21"/>
          <w:highlight w:val="none"/>
        </w:rPr>
      </w:pPr>
    </w:p>
    <w:p>
      <w:pPr>
        <w:snapToGrid w:val="0"/>
        <w:ind w:firstLine="0" w:firstLineChars="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投标人名称：（盖章）</w:t>
      </w:r>
    </w:p>
    <w:p>
      <w:pPr>
        <w:snapToGrid w:val="0"/>
        <w:ind w:firstLine="0" w:firstLineChars="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法定代表人或授权代表（签字）：</w:t>
      </w:r>
    </w:p>
    <w:p>
      <w:pPr>
        <w:snapToGrid w:val="0"/>
        <w:ind w:firstLine="0" w:firstLineChars="0"/>
        <w:rPr>
          <w:rFonts w:ascii="微软雅黑" w:hAnsi="微软雅黑"/>
          <w:szCs w:val="21"/>
          <w:highlight w:val="none"/>
          <w:u w:val="single"/>
        </w:rPr>
      </w:pPr>
      <w:r>
        <w:rPr>
          <w:rFonts w:hint="eastAsia" w:ascii="微软雅黑" w:hAnsi="微软雅黑"/>
          <w:szCs w:val="21"/>
          <w:highlight w:val="none"/>
          <w:shd w:val="clear" w:color="auto" w:fill="FFFFFF"/>
        </w:rPr>
        <w:t>投标日期： 年 月 日</w:t>
      </w:r>
    </w:p>
    <w:p>
      <w:pPr>
        <w:rPr>
          <w:rFonts w:ascii="微软雅黑" w:hAnsi="微软雅黑" w:eastAsia="微软雅黑"/>
          <w:szCs w:val="21"/>
          <w:highlight w:val="none"/>
        </w:rPr>
      </w:pPr>
      <w:r>
        <w:rPr>
          <w:rFonts w:ascii="微软雅黑" w:hAnsi="微软雅黑" w:eastAsia="微软雅黑"/>
          <w:szCs w:val="21"/>
          <w:highlight w:val="none"/>
        </w:rPr>
        <w:br w:type="page"/>
      </w:r>
    </w:p>
    <w:p>
      <w:pPr>
        <w:ind w:firstLine="420"/>
        <w:jc w:val="center"/>
        <w:rPr>
          <w:rFonts w:hint="eastAsia"/>
          <w:highlight w:val="none"/>
        </w:rPr>
      </w:pPr>
    </w:p>
    <w:p>
      <w:pPr>
        <w:ind w:firstLine="420"/>
        <w:jc w:val="center"/>
        <w:rPr>
          <w:rFonts w:hint="eastAsia"/>
          <w:highlight w:val="none"/>
        </w:rPr>
      </w:pPr>
    </w:p>
    <w:p>
      <w:pPr>
        <w:shd w:val="clear" w:color="auto" w:fill="FFFFFF"/>
        <w:spacing w:line="400" w:lineRule="atLeast"/>
        <w:ind w:firstLine="420"/>
        <w:rPr>
          <w:rFonts w:ascii="微软雅黑" w:hAnsi="微软雅黑" w:cs="宋体"/>
          <w:b/>
          <w:szCs w:val="21"/>
        </w:rPr>
      </w:pPr>
      <w:r>
        <w:rPr>
          <w:rFonts w:hint="eastAsia" w:ascii="微软雅黑" w:hAnsi="微软雅黑" w:cs="宋体"/>
          <w:b/>
          <w:szCs w:val="21"/>
        </w:rPr>
        <w:t>附</w:t>
      </w:r>
      <w:r>
        <w:rPr>
          <w:rFonts w:ascii="微软雅黑" w:hAnsi="微软雅黑" w:cs="宋体"/>
          <w:b/>
          <w:szCs w:val="21"/>
        </w:rPr>
        <w:t>件：</w:t>
      </w:r>
    </w:p>
    <w:p>
      <w:pPr>
        <w:shd w:val="clear" w:color="auto" w:fill="FFFFFF"/>
        <w:spacing w:line="400" w:lineRule="atLeast"/>
        <w:ind w:firstLine="420"/>
        <w:jc w:val="center"/>
        <w:rPr>
          <w:rFonts w:ascii="微软雅黑" w:hAnsi="微软雅黑" w:cs="宋体"/>
          <w:b/>
          <w:szCs w:val="21"/>
        </w:rPr>
      </w:pPr>
    </w:p>
    <w:p>
      <w:pPr>
        <w:shd w:val="clear" w:color="auto" w:fill="FFFFFF"/>
        <w:spacing w:line="400" w:lineRule="atLeast"/>
        <w:ind w:firstLine="420"/>
        <w:jc w:val="center"/>
        <w:rPr>
          <w:rFonts w:ascii="微软雅黑" w:hAnsi="微软雅黑" w:cs="宋体"/>
          <w:bCs/>
          <w:szCs w:val="21"/>
        </w:rPr>
      </w:pPr>
      <w:r>
        <w:rPr>
          <w:rFonts w:hint="eastAsia" w:ascii="微软雅黑" w:hAnsi="微软雅黑" w:cs="宋体"/>
          <w:b/>
          <w:szCs w:val="21"/>
        </w:rPr>
        <w:t>国家统计局关于印发统计上大中小微型企业划分办法的通知</w:t>
      </w:r>
    </w:p>
    <w:p>
      <w:pPr>
        <w:shd w:val="clear" w:color="auto" w:fill="FFFFFF"/>
        <w:spacing w:line="400" w:lineRule="atLeast"/>
        <w:ind w:firstLine="420"/>
        <w:jc w:val="center"/>
        <w:rPr>
          <w:rFonts w:ascii="微软雅黑" w:hAnsi="微软雅黑" w:cs="宋体"/>
          <w:bCs/>
          <w:szCs w:val="21"/>
        </w:rPr>
      </w:pPr>
      <w:r>
        <w:rPr>
          <w:rFonts w:hint="eastAsia" w:ascii="微软雅黑" w:hAnsi="微软雅黑" w:cs="宋体"/>
          <w:szCs w:val="21"/>
        </w:rPr>
        <w:t>国统字〔</w:t>
      </w:r>
      <w:r>
        <w:rPr>
          <w:rFonts w:ascii="微软雅黑" w:hAnsi="微软雅黑"/>
          <w:szCs w:val="21"/>
        </w:rPr>
        <w:t>2011</w:t>
      </w:r>
      <w:r>
        <w:rPr>
          <w:rFonts w:hint="eastAsia" w:ascii="微软雅黑" w:hAnsi="微软雅黑" w:cs="宋体"/>
          <w:szCs w:val="21"/>
        </w:rPr>
        <w:t>〕</w:t>
      </w:r>
      <w:r>
        <w:rPr>
          <w:rFonts w:ascii="微软雅黑" w:hAnsi="微软雅黑"/>
          <w:szCs w:val="21"/>
        </w:rPr>
        <w:t>75</w:t>
      </w:r>
      <w:r>
        <w:rPr>
          <w:rFonts w:hint="eastAsia" w:ascii="微软雅黑" w:hAnsi="微软雅黑" w:cs="宋体"/>
          <w:szCs w:val="21"/>
        </w:rPr>
        <w:t>号</w:t>
      </w:r>
    </w:p>
    <w:p>
      <w:pPr>
        <w:shd w:val="clear" w:color="auto" w:fill="FFFFFF"/>
        <w:spacing w:line="400" w:lineRule="atLeast"/>
        <w:ind w:firstLine="420"/>
        <w:rPr>
          <w:rFonts w:ascii="微软雅黑" w:hAnsi="微软雅黑" w:cs="宋体"/>
          <w:bCs/>
          <w:szCs w:val="21"/>
        </w:rPr>
      </w:pPr>
      <w:r>
        <w:rPr>
          <w:rFonts w:ascii="微软雅黑" w:hAnsi="微软雅黑"/>
          <w:szCs w:val="21"/>
        </w:rPr>
        <w:t> </w:t>
      </w:r>
    </w:p>
    <w:p>
      <w:pPr>
        <w:shd w:val="clear" w:color="auto" w:fill="FFFFFF"/>
        <w:spacing w:line="400" w:lineRule="atLeast"/>
        <w:ind w:firstLine="420"/>
        <w:rPr>
          <w:rFonts w:ascii="微软雅黑" w:hAnsi="微软雅黑" w:cs="宋体"/>
          <w:bCs/>
          <w:szCs w:val="21"/>
        </w:rPr>
      </w:pPr>
      <w:r>
        <w:rPr>
          <w:rFonts w:hint="eastAsia" w:ascii="微软雅黑" w:hAnsi="微软雅黑" w:cs="宋体"/>
          <w:szCs w:val="21"/>
        </w:rPr>
        <w:t>各省、自治区、直辖市统计局，新疆生产建设兵团统计局，国家统计局各调查总队，国务院有关部门：</w:t>
      </w:r>
    </w:p>
    <w:p>
      <w:pPr>
        <w:shd w:val="clear" w:color="auto" w:fill="FFFFFF"/>
        <w:spacing w:line="400" w:lineRule="atLeast"/>
        <w:ind w:firstLine="420"/>
        <w:rPr>
          <w:rFonts w:ascii="微软雅黑" w:hAnsi="微软雅黑" w:cs="宋体"/>
          <w:bCs/>
          <w:szCs w:val="21"/>
        </w:rPr>
      </w:pPr>
      <w:r>
        <w:rPr>
          <w:rFonts w:ascii="微软雅黑" w:hAnsi="微软雅黑"/>
          <w:szCs w:val="21"/>
        </w:rPr>
        <w:t> </w:t>
      </w:r>
    </w:p>
    <w:p>
      <w:pPr>
        <w:shd w:val="clear" w:color="auto" w:fill="FFFFFF"/>
        <w:spacing w:line="400" w:lineRule="atLeast"/>
        <w:ind w:firstLine="420"/>
        <w:rPr>
          <w:rFonts w:ascii="微软雅黑" w:hAnsi="微软雅黑" w:cs="宋体"/>
          <w:bCs/>
          <w:szCs w:val="21"/>
        </w:rPr>
      </w:pPr>
      <w:r>
        <w:rPr>
          <w:rFonts w:hint="eastAsia" w:ascii="微软雅黑" w:hAnsi="微软雅黑" w:cs="宋体"/>
          <w:szCs w:val="21"/>
        </w:rPr>
        <w:t>　　为贯彻落实工业和信息化部、国家统计局、国家发展改革委、财政部《关于印发中小企业划型标准规定的通知》（工信部联企业〔</w:t>
      </w:r>
      <w:r>
        <w:rPr>
          <w:rFonts w:ascii="微软雅黑" w:hAnsi="微软雅黑"/>
          <w:szCs w:val="21"/>
        </w:rPr>
        <w:t>2011</w:t>
      </w:r>
      <w:r>
        <w:rPr>
          <w:rFonts w:hint="eastAsia" w:ascii="微软雅黑" w:hAnsi="微软雅黑" w:cs="宋体"/>
          <w:szCs w:val="21"/>
        </w:rPr>
        <w:t>〕</w:t>
      </w:r>
      <w:r>
        <w:rPr>
          <w:rFonts w:ascii="微软雅黑" w:hAnsi="微软雅黑"/>
          <w:szCs w:val="21"/>
        </w:rPr>
        <w:t>300</w:t>
      </w:r>
      <w:r>
        <w:rPr>
          <w:rFonts w:hint="eastAsia" w:ascii="微软雅黑" w:hAnsi="微软雅黑" w:cs="宋体"/>
          <w:szCs w:val="21"/>
        </w:rPr>
        <w:t>号），结合统计工作的实际情况，我们制定了《统计上大中小微型企业划分办法》。现印发给你们，请遵照执行。</w:t>
      </w:r>
    </w:p>
    <w:p>
      <w:pPr>
        <w:shd w:val="clear" w:color="auto" w:fill="FFFFFF"/>
        <w:spacing w:line="400" w:lineRule="atLeast"/>
        <w:ind w:firstLine="420"/>
        <w:rPr>
          <w:rFonts w:ascii="微软雅黑" w:hAnsi="微软雅黑" w:cs="宋体"/>
          <w:bCs/>
          <w:szCs w:val="21"/>
        </w:rPr>
      </w:pPr>
      <w:r>
        <w:rPr>
          <w:rFonts w:ascii="微软雅黑" w:hAnsi="微软雅黑"/>
          <w:szCs w:val="21"/>
        </w:rPr>
        <w:t> </w:t>
      </w:r>
    </w:p>
    <w:p>
      <w:pPr>
        <w:shd w:val="clear" w:color="auto" w:fill="FFFFFF"/>
        <w:spacing w:line="400" w:lineRule="atLeast"/>
        <w:ind w:firstLine="420"/>
        <w:jc w:val="right"/>
        <w:rPr>
          <w:rFonts w:ascii="微软雅黑" w:hAnsi="微软雅黑" w:cs="宋体"/>
          <w:bCs/>
          <w:szCs w:val="21"/>
        </w:rPr>
      </w:pPr>
      <w:r>
        <w:rPr>
          <w:rFonts w:hint="eastAsia" w:ascii="微软雅黑" w:hAnsi="微软雅黑" w:cs="宋体"/>
          <w:szCs w:val="21"/>
        </w:rPr>
        <w:t>　　国家统计局</w:t>
      </w:r>
      <w:r>
        <w:rPr>
          <w:rFonts w:ascii="微软雅黑" w:hAnsi="微软雅黑"/>
          <w:szCs w:val="21"/>
        </w:rPr>
        <w:t> </w:t>
      </w:r>
    </w:p>
    <w:p>
      <w:pPr>
        <w:shd w:val="clear" w:color="auto" w:fill="FFFFFF"/>
        <w:spacing w:line="400" w:lineRule="atLeast"/>
        <w:ind w:firstLine="420"/>
        <w:jc w:val="right"/>
        <w:rPr>
          <w:rFonts w:ascii="微软雅黑" w:hAnsi="微软雅黑" w:cs="宋体"/>
          <w:bCs/>
          <w:szCs w:val="21"/>
        </w:rPr>
      </w:pPr>
      <w:r>
        <w:rPr>
          <w:rFonts w:hint="eastAsia" w:ascii="微软雅黑" w:hAnsi="微软雅黑" w:cs="宋体"/>
          <w:szCs w:val="21"/>
        </w:rPr>
        <w:t>　　二〇一一年九月二日</w:t>
      </w:r>
    </w:p>
    <w:p>
      <w:pPr>
        <w:shd w:val="clear" w:color="auto" w:fill="FFFFFF"/>
        <w:spacing w:line="400" w:lineRule="atLeast"/>
        <w:ind w:firstLine="420"/>
        <w:rPr>
          <w:rFonts w:ascii="微软雅黑" w:hAnsi="微软雅黑" w:cs="宋体"/>
          <w:bCs/>
          <w:szCs w:val="21"/>
        </w:rPr>
      </w:pPr>
      <w:r>
        <w:rPr>
          <w:rFonts w:ascii="微软雅黑" w:hAnsi="微软雅黑"/>
          <w:szCs w:val="21"/>
        </w:rPr>
        <w:t> </w:t>
      </w:r>
    </w:p>
    <w:p>
      <w:pPr>
        <w:shd w:val="clear" w:color="auto" w:fill="FFFFFF"/>
        <w:spacing w:line="400" w:lineRule="atLeast"/>
        <w:ind w:firstLine="420"/>
        <w:jc w:val="center"/>
        <w:rPr>
          <w:rFonts w:ascii="微软雅黑" w:hAnsi="微软雅黑" w:cs="宋体"/>
          <w:bCs/>
          <w:szCs w:val="21"/>
        </w:rPr>
      </w:pPr>
      <w:r>
        <w:rPr>
          <w:rFonts w:hint="eastAsia" w:ascii="微软雅黑" w:hAnsi="微软雅黑" w:cs="宋体"/>
          <w:b/>
          <w:szCs w:val="21"/>
        </w:rPr>
        <w:t>统计上大中小微型企业划分办法</w:t>
      </w:r>
    </w:p>
    <w:p>
      <w:pPr>
        <w:shd w:val="clear" w:color="auto" w:fill="FFFFFF"/>
        <w:spacing w:line="400" w:lineRule="atLeast"/>
        <w:ind w:firstLine="420"/>
        <w:rPr>
          <w:rFonts w:ascii="微软雅黑" w:hAnsi="微软雅黑" w:cs="宋体"/>
          <w:bCs/>
          <w:szCs w:val="21"/>
        </w:rPr>
      </w:pPr>
      <w:r>
        <w:rPr>
          <w:rFonts w:hint="eastAsia" w:ascii="微软雅黑" w:hAnsi="微软雅黑" w:cs="宋体"/>
          <w:szCs w:val="21"/>
        </w:rPr>
        <w:t> </w:t>
      </w:r>
    </w:p>
    <w:p>
      <w:pPr>
        <w:shd w:val="clear" w:color="auto" w:fill="FFFFFF"/>
        <w:spacing w:line="400" w:lineRule="atLeast"/>
        <w:ind w:firstLine="420"/>
        <w:rPr>
          <w:rFonts w:ascii="微软雅黑" w:hAnsi="微软雅黑" w:cs="宋体"/>
          <w:bCs/>
          <w:szCs w:val="21"/>
        </w:rPr>
      </w:pPr>
      <w:r>
        <w:rPr>
          <w:rFonts w:hint="eastAsia" w:ascii="微软雅黑" w:hAnsi="微软雅黑" w:cs="宋体"/>
          <w:szCs w:val="21"/>
        </w:rPr>
        <w:t>一、根据工业和信息化部、国家统计局、国家发展改革委、财政部《关于印发中小企业划型标准规定的通知》（工信部联企业〔</w:t>
      </w:r>
      <w:r>
        <w:rPr>
          <w:rFonts w:ascii="微软雅黑" w:hAnsi="微软雅黑"/>
          <w:szCs w:val="21"/>
        </w:rPr>
        <w:t>2011</w:t>
      </w:r>
      <w:r>
        <w:rPr>
          <w:rFonts w:hint="eastAsia" w:ascii="微软雅黑" w:hAnsi="微软雅黑" w:cs="宋体"/>
          <w:szCs w:val="21"/>
        </w:rPr>
        <w:t>〕</w:t>
      </w:r>
      <w:r>
        <w:rPr>
          <w:rFonts w:ascii="微软雅黑" w:hAnsi="微软雅黑"/>
          <w:szCs w:val="21"/>
        </w:rPr>
        <w:t>300</w:t>
      </w:r>
      <w:r>
        <w:rPr>
          <w:rFonts w:hint="eastAsia" w:ascii="微软雅黑" w:hAnsi="微软雅黑" w:cs="宋体"/>
          <w:szCs w:val="21"/>
        </w:rPr>
        <w:t>号），结合统计工作的实际情况，特制定本办法。</w:t>
      </w:r>
    </w:p>
    <w:p>
      <w:pPr>
        <w:shd w:val="clear" w:color="auto" w:fill="FFFFFF"/>
        <w:spacing w:line="400" w:lineRule="atLeast"/>
        <w:ind w:firstLine="420"/>
        <w:rPr>
          <w:rFonts w:ascii="微软雅黑" w:hAnsi="微软雅黑" w:cs="宋体"/>
          <w:bCs/>
          <w:szCs w:val="21"/>
        </w:rPr>
      </w:pPr>
      <w:r>
        <w:rPr>
          <w:rFonts w:ascii="微软雅黑" w:hAnsi="微软雅黑"/>
          <w:szCs w:val="21"/>
        </w:rPr>
        <w:t> </w:t>
      </w:r>
    </w:p>
    <w:p>
      <w:pPr>
        <w:shd w:val="clear" w:color="auto" w:fill="FFFFFF"/>
        <w:spacing w:line="400" w:lineRule="atLeast"/>
        <w:ind w:firstLine="420"/>
        <w:rPr>
          <w:rFonts w:ascii="微软雅黑" w:hAnsi="微软雅黑" w:cs="宋体"/>
          <w:bCs/>
          <w:szCs w:val="21"/>
        </w:rPr>
      </w:pPr>
      <w:r>
        <w:rPr>
          <w:rFonts w:hint="eastAsia" w:ascii="微软雅黑" w:hAnsi="微软雅黑" w:cs="宋体"/>
          <w:szCs w:val="21"/>
        </w:rPr>
        <w:t>二、本办法适用对象为在中华人民共和国境内依法设立的各种组织形式的法人企业或单位。个体工商户参照本办法进行划分。</w:t>
      </w:r>
    </w:p>
    <w:p>
      <w:pPr>
        <w:shd w:val="clear" w:color="auto" w:fill="FFFFFF"/>
        <w:spacing w:line="400" w:lineRule="atLeast"/>
        <w:ind w:firstLine="420"/>
        <w:rPr>
          <w:rFonts w:ascii="微软雅黑" w:hAnsi="微软雅黑" w:cs="宋体"/>
          <w:bCs/>
          <w:szCs w:val="21"/>
        </w:rPr>
      </w:pPr>
      <w:r>
        <w:rPr>
          <w:rFonts w:ascii="微软雅黑" w:hAnsi="微软雅黑"/>
          <w:szCs w:val="21"/>
        </w:rPr>
        <w:t> </w:t>
      </w:r>
      <w:r>
        <w:rPr>
          <w:rFonts w:hint="eastAsia" w:ascii="微软雅黑" w:hAnsi="微软雅黑" w:cs="宋体"/>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微软雅黑" w:hAnsi="微软雅黑"/>
          <w:szCs w:val="21"/>
        </w:rPr>
        <w:t>15</w:t>
      </w:r>
      <w:r>
        <w:rPr>
          <w:rFonts w:hint="eastAsia" w:ascii="微软雅黑" w:hAnsi="微软雅黑" w:cs="宋体"/>
          <w:szCs w:val="21"/>
        </w:rPr>
        <w:t>个行业门类以及社会工作行业大类。</w:t>
      </w:r>
    </w:p>
    <w:p>
      <w:pPr>
        <w:shd w:val="clear" w:color="auto" w:fill="FFFFFF"/>
        <w:spacing w:line="400" w:lineRule="atLeast"/>
        <w:ind w:firstLine="420"/>
        <w:rPr>
          <w:rFonts w:ascii="微软雅黑" w:hAnsi="微软雅黑" w:cs="宋体"/>
          <w:bCs/>
          <w:szCs w:val="21"/>
        </w:rPr>
      </w:pPr>
      <w:r>
        <w:rPr>
          <w:rFonts w:hint="eastAsia" w:ascii="微软雅黑" w:hAnsi="微软雅黑" w:cs="宋体"/>
          <w:szCs w:val="21"/>
        </w:rPr>
        <w:t>四、本办法按照行业门类、大类、中类和组合类别，依据从业人员、营业收入、资产总额等指标或替代指标，将我国的企业划分为大型、中型、小型、微型等四种类型。具体划分标准见附表。</w:t>
      </w:r>
    </w:p>
    <w:p>
      <w:pPr>
        <w:shd w:val="clear" w:color="auto" w:fill="FFFFFF"/>
        <w:spacing w:line="400" w:lineRule="atLeast"/>
        <w:ind w:firstLine="420"/>
        <w:rPr>
          <w:rFonts w:ascii="微软雅黑" w:hAnsi="微软雅黑" w:cs="宋体"/>
          <w:bCs/>
          <w:szCs w:val="21"/>
        </w:rPr>
      </w:pPr>
      <w:r>
        <w:rPr>
          <w:rFonts w:ascii="微软雅黑" w:hAnsi="微软雅黑"/>
          <w:szCs w:val="21"/>
        </w:rPr>
        <w:t> </w:t>
      </w:r>
      <w:r>
        <w:rPr>
          <w:rFonts w:hint="eastAsia" w:ascii="微软雅黑" w:hAnsi="微软雅黑" w:cs="宋体"/>
          <w:szCs w:val="21"/>
        </w:rPr>
        <w:t>五、企业划分由政府综合统计部门根据统计年报每年确定一次，定报统计原则上不进行调整。</w:t>
      </w:r>
    </w:p>
    <w:p>
      <w:pPr>
        <w:shd w:val="clear" w:color="auto" w:fill="FFFFFF"/>
        <w:spacing w:line="400" w:lineRule="atLeast"/>
        <w:ind w:firstLine="420"/>
        <w:rPr>
          <w:rFonts w:ascii="微软雅黑" w:hAnsi="微软雅黑" w:cs="宋体"/>
          <w:bCs/>
          <w:szCs w:val="21"/>
        </w:rPr>
      </w:pPr>
      <w:r>
        <w:rPr>
          <w:rFonts w:hint="eastAsia" w:ascii="微软雅黑" w:hAnsi="微软雅黑" w:cs="宋体"/>
          <w:szCs w:val="21"/>
        </w:rPr>
        <w:t>六、本办法自印发之日起执行，国家统计局</w:t>
      </w:r>
      <w:r>
        <w:rPr>
          <w:rFonts w:ascii="微软雅黑" w:hAnsi="微软雅黑"/>
          <w:szCs w:val="21"/>
        </w:rPr>
        <w:t>2003</w:t>
      </w:r>
      <w:r>
        <w:rPr>
          <w:rFonts w:hint="eastAsia" w:ascii="微软雅黑" w:hAnsi="微软雅黑" w:cs="宋体"/>
          <w:szCs w:val="21"/>
        </w:rPr>
        <w:t>年印发的《统计上大中小型企业划分办法（暂行）》（国统字〔</w:t>
      </w:r>
      <w:r>
        <w:rPr>
          <w:rFonts w:ascii="微软雅黑" w:hAnsi="微软雅黑"/>
          <w:szCs w:val="21"/>
        </w:rPr>
        <w:t>2003</w:t>
      </w:r>
      <w:r>
        <w:rPr>
          <w:rFonts w:hint="eastAsia" w:ascii="微软雅黑" w:hAnsi="微软雅黑" w:cs="宋体"/>
          <w:szCs w:val="21"/>
        </w:rPr>
        <w:t>〕</w:t>
      </w:r>
      <w:r>
        <w:rPr>
          <w:rFonts w:ascii="微软雅黑" w:hAnsi="微软雅黑"/>
          <w:szCs w:val="21"/>
        </w:rPr>
        <w:t>17</w:t>
      </w:r>
      <w:r>
        <w:rPr>
          <w:rFonts w:hint="eastAsia" w:ascii="微软雅黑" w:hAnsi="微软雅黑" w:cs="宋体"/>
          <w:szCs w:val="21"/>
        </w:rPr>
        <w:t>号）同时废止。</w:t>
      </w:r>
    </w:p>
    <w:p>
      <w:pPr>
        <w:shd w:val="clear" w:color="auto" w:fill="FFFFFF"/>
        <w:spacing w:line="400" w:lineRule="atLeast"/>
        <w:ind w:firstLine="482"/>
        <w:rPr>
          <w:rFonts w:ascii="微软雅黑" w:hAnsi="微软雅黑" w:cs="宋体"/>
          <w:bCs/>
          <w:szCs w:val="21"/>
        </w:rPr>
      </w:pPr>
      <w:r>
        <w:rPr>
          <w:rFonts w:eastAsia="宋体"/>
          <w:b/>
          <w:sz w:val="24"/>
        </w:rPr>
        <w:t> </w:t>
      </w:r>
      <w:r>
        <w:rPr>
          <w:rFonts w:hint="eastAsia" w:ascii="微软雅黑" w:hAnsi="微软雅黑" w:cs="宋体"/>
          <w:szCs w:val="21"/>
        </w:rPr>
        <w:t>　　附表：</w:t>
      </w:r>
    </w:p>
    <w:p>
      <w:pPr>
        <w:shd w:val="clear" w:color="auto" w:fill="FFFFFF"/>
        <w:spacing w:line="400" w:lineRule="atLeast"/>
        <w:ind w:firstLine="420"/>
        <w:rPr>
          <w:rFonts w:ascii="微软雅黑" w:hAnsi="微软雅黑" w:cs="宋体"/>
          <w:bCs/>
          <w:szCs w:val="21"/>
        </w:rPr>
      </w:pPr>
      <w:r>
        <w:rPr>
          <w:rFonts w:ascii="微软雅黑" w:hAnsi="微软雅黑"/>
          <w:szCs w:val="21"/>
        </w:rPr>
        <w:t> </w:t>
      </w:r>
      <w:r>
        <w:rPr>
          <w:rFonts w:hint="eastAsia" w:ascii="微软雅黑" w:hAnsi="微软雅黑" w:cs="宋体"/>
          <w:b/>
          <w:szCs w:val="21"/>
        </w:rPr>
        <w:t>统计上大中小微型企业划分标准</w:t>
      </w:r>
    </w:p>
    <w:tbl>
      <w:tblPr>
        <w:tblStyle w:val="5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560"/>
        <w:gridCol w:w="1281"/>
        <w:gridCol w:w="758"/>
        <w:gridCol w:w="993"/>
        <w:gridCol w:w="1491"/>
        <w:gridCol w:w="1315"/>
        <w:gridCol w:w="9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560" w:type="dxa"/>
            <w:shd w:val="clear" w:color="auto" w:fill="auto"/>
            <w:tcMar>
              <w:top w:w="0" w:type="dxa"/>
              <w:left w:w="108" w:type="dxa"/>
              <w:bottom w:w="0" w:type="dxa"/>
              <w:right w:w="108" w:type="dxa"/>
            </w:tcMar>
            <w:vAlign w:val="center"/>
          </w:tcPr>
          <w:p>
            <w:pPr>
              <w:spacing w:line="240" w:lineRule="atLeast"/>
              <w:ind w:firstLine="0" w:firstLineChars="0"/>
              <w:jc w:val="center"/>
              <w:rPr>
                <w:rFonts w:ascii="宋体" w:hAnsi="宋体" w:eastAsia="宋体" w:cs="宋体"/>
                <w:bCs/>
                <w:sz w:val="24"/>
              </w:rPr>
            </w:pPr>
            <w:r>
              <w:rPr>
                <w:rFonts w:eastAsia="宋体"/>
                <w:sz w:val="24"/>
              </w:rPr>
              <w:t> </w:t>
            </w:r>
            <w:r>
              <w:rPr>
                <w:rFonts w:hint="eastAsia" w:ascii="宋体" w:hAnsi="宋体" w:eastAsia="宋体" w:cs="宋体"/>
                <w:b/>
                <w:sz w:val="18"/>
                <w:szCs w:val="18"/>
              </w:rPr>
              <w:t>行业名称</w:t>
            </w:r>
          </w:p>
        </w:tc>
        <w:tc>
          <w:tcPr>
            <w:tcW w:w="1281" w:type="dxa"/>
            <w:shd w:val="clear" w:color="auto" w:fill="auto"/>
            <w:tcMar>
              <w:top w:w="0" w:type="dxa"/>
              <w:left w:w="108" w:type="dxa"/>
              <w:bottom w:w="0" w:type="dxa"/>
              <w:right w:w="108" w:type="dxa"/>
            </w:tcMar>
            <w:vAlign w:val="center"/>
          </w:tcPr>
          <w:p>
            <w:pPr>
              <w:spacing w:line="240" w:lineRule="auto"/>
              <w:ind w:firstLine="0" w:firstLineChars="0"/>
              <w:jc w:val="center"/>
              <w:rPr>
                <w:rFonts w:ascii="宋体" w:hAnsi="宋体" w:eastAsia="宋体" w:cs="宋体"/>
                <w:bCs/>
                <w:sz w:val="24"/>
              </w:rPr>
            </w:pPr>
            <w:r>
              <w:rPr>
                <w:rFonts w:hint="eastAsia" w:ascii="宋体" w:hAnsi="宋体" w:eastAsia="宋体" w:cs="宋体"/>
                <w:b/>
                <w:sz w:val="18"/>
                <w:szCs w:val="18"/>
              </w:rPr>
              <w:t>指标名称</w:t>
            </w:r>
          </w:p>
        </w:tc>
        <w:tc>
          <w:tcPr>
            <w:tcW w:w="758" w:type="dxa"/>
            <w:shd w:val="clear" w:color="auto" w:fill="auto"/>
            <w:tcMar>
              <w:top w:w="0" w:type="dxa"/>
              <w:left w:w="108" w:type="dxa"/>
              <w:bottom w:w="0" w:type="dxa"/>
              <w:right w:w="108" w:type="dxa"/>
            </w:tcMar>
            <w:vAlign w:val="center"/>
          </w:tcPr>
          <w:p>
            <w:pPr>
              <w:spacing w:line="240" w:lineRule="auto"/>
              <w:ind w:firstLine="0" w:firstLineChars="0"/>
              <w:jc w:val="center"/>
              <w:rPr>
                <w:rFonts w:ascii="宋体" w:hAnsi="宋体" w:eastAsia="宋体" w:cs="宋体"/>
                <w:b/>
                <w:sz w:val="18"/>
                <w:szCs w:val="18"/>
              </w:rPr>
            </w:pPr>
            <w:r>
              <w:rPr>
                <w:rFonts w:hint="eastAsia" w:ascii="宋体" w:hAnsi="宋体" w:eastAsia="宋体" w:cs="宋体"/>
                <w:b/>
                <w:sz w:val="18"/>
                <w:szCs w:val="18"/>
              </w:rPr>
              <w:t>计量</w:t>
            </w:r>
          </w:p>
          <w:p>
            <w:pPr>
              <w:spacing w:line="240" w:lineRule="auto"/>
              <w:ind w:firstLine="0" w:firstLineChars="0"/>
              <w:jc w:val="center"/>
              <w:rPr>
                <w:rFonts w:ascii="宋体" w:hAnsi="宋体" w:eastAsia="宋体" w:cs="宋体"/>
                <w:bCs/>
                <w:sz w:val="24"/>
              </w:rPr>
            </w:pPr>
            <w:r>
              <w:rPr>
                <w:rFonts w:hint="eastAsia" w:ascii="宋体" w:hAnsi="宋体" w:eastAsia="宋体" w:cs="宋体"/>
                <w:b/>
                <w:sz w:val="18"/>
                <w:szCs w:val="18"/>
              </w:rPr>
              <w:t>单位</w:t>
            </w:r>
          </w:p>
        </w:tc>
        <w:tc>
          <w:tcPr>
            <w:tcW w:w="993" w:type="dxa"/>
            <w:shd w:val="clear" w:color="auto" w:fill="auto"/>
            <w:tcMar>
              <w:top w:w="0" w:type="dxa"/>
              <w:left w:w="108" w:type="dxa"/>
              <w:bottom w:w="0" w:type="dxa"/>
              <w:right w:w="108" w:type="dxa"/>
            </w:tcMar>
            <w:vAlign w:val="center"/>
          </w:tcPr>
          <w:p>
            <w:pPr>
              <w:spacing w:line="240" w:lineRule="auto"/>
              <w:ind w:firstLine="0" w:firstLineChars="0"/>
              <w:jc w:val="center"/>
              <w:rPr>
                <w:rFonts w:ascii="宋体" w:hAnsi="宋体" w:eastAsia="宋体" w:cs="宋体"/>
                <w:bCs/>
                <w:sz w:val="24"/>
              </w:rPr>
            </w:pPr>
            <w:r>
              <w:rPr>
                <w:rFonts w:hint="eastAsia" w:ascii="宋体" w:hAnsi="宋体" w:eastAsia="宋体" w:cs="宋体"/>
                <w:b/>
                <w:sz w:val="18"/>
                <w:szCs w:val="18"/>
              </w:rPr>
              <w:t>大型</w:t>
            </w:r>
          </w:p>
        </w:tc>
        <w:tc>
          <w:tcPr>
            <w:tcW w:w="1491" w:type="dxa"/>
            <w:shd w:val="clear" w:color="auto" w:fill="auto"/>
            <w:tcMar>
              <w:top w:w="0" w:type="dxa"/>
              <w:left w:w="108" w:type="dxa"/>
              <w:bottom w:w="0" w:type="dxa"/>
              <w:right w:w="108" w:type="dxa"/>
            </w:tcMar>
            <w:vAlign w:val="center"/>
          </w:tcPr>
          <w:p>
            <w:pPr>
              <w:spacing w:line="240" w:lineRule="auto"/>
              <w:ind w:firstLine="0" w:firstLineChars="0"/>
              <w:jc w:val="center"/>
              <w:rPr>
                <w:rFonts w:ascii="宋体" w:hAnsi="宋体" w:eastAsia="宋体" w:cs="宋体"/>
                <w:bCs/>
                <w:sz w:val="24"/>
              </w:rPr>
            </w:pPr>
            <w:r>
              <w:rPr>
                <w:rFonts w:hint="eastAsia" w:ascii="宋体" w:hAnsi="宋体" w:eastAsia="宋体" w:cs="宋体"/>
                <w:b/>
                <w:sz w:val="18"/>
                <w:szCs w:val="18"/>
              </w:rPr>
              <w:t>中型</w:t>
            </w:r>
          </w:p>
        </w:tc>
        <w:tc>
          <w:tcPr>
            <w:tcW w:w="1315" w:type="dxa"/>
            <w:shd w:val="clear" w:color="auto" w:fill="auto"/>
            <w:tcMar>
              <w:top w:w="0" w:type="dxa"/>
              <w:left w:w="108" w:type="dxa"/>
              <w:bottom w:w="0" w:type="dxa"/>
              <w:right w:w="108" w:type="dxa"/>
            </w:tcMar>
            <w:vAlign w:val="center"/>
          </w:tcPr>
          <w:p>
            <w:pPr>
              <w:spacing w:line="240" w:lineRule="auto"/>
              <w:ind w:firstLine="0" w:firstLineChars="0"/>
              <w:jc w:val="center"/>
              <w:rPr>
                <w:rFonts w:ascii="宋体" w:hAnsi="宋体" w:eastAsia="宋体" w:cs="宋体"/>
                <w:bCs/>
                <w:sz w:val="24"/>
              </w:rPr>
            </w:pPr>
            <w:r>
              <w:rPr>
                <w:rFonts w:hint="eastAsia" w:ascii="宋体" w:hAnsi="宋体" w:eastAsia="宋体" w:cs="宋体"/>
                <w:b/>
                <w:sz w:val="18"/>
                <w:szCs w:val="18"/>
              </w:rPr>
              <w:t>小型</w:t>
            </w:r>
          </w:p>
        </w:tc>
        <w:tc>
          <w:tcPr>
            <w:tcW w:w="908" w:type="dxa"/>
            <w:shd w:val="clear" w:color="auto" w:fill="auto"/>
            <w:tcMar>
              <w:top w:w="0" w:type="dxa"/>
              <w:left w:w="108" w:type="dxa"/>
              <w:bottom w:w="0" w:type="dxa"/>
              <w:right w:w="108" w:type="dxa"/>
            </w:tcMar>
            <w:vAlign w:val="center"/>
          </w:tcPr>
          <w:p>
            <w:pPr>
              <w:spacing w:line="240" w:lineRule="auto"/>
              <w:ind w:firstLine="0" w:firstLineChars="0"/>
              <w:jc w:val="center"/>
              <w:rPr>
                <w:rFonts w:ascii="宋体" w:hAnsi="宋体" w:eastAsia="宋体" w:cs="宋体"/>
                <w:bCs/>
                <w:sz w:val="24"/>
              </w:rPr>
            </w:pPr>
            <w:r>
              <w:rPr>
                <w:rFonts w:hint="eastAsia" w:ascii="宋体" w:hAnsi="宋体" w:eastAsia="宋体" w:cs="宋体"/>
                <w:b/>
                <w:sz w:val="18"/>
                <w:szCs w:val="18"/>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农、林、牧、渔业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Y≥20000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500≤Y＜20000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50≤Y＜500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工业 *</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300≤X＜1000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20≤X＜300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Y≥40000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2000≤Y＜40000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300≤Y＜2000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建筑业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Y≥80000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6000≤Y＜80000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300≤Y＜6000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资产总额(Z)</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Z≥80000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5000≤Z＜80000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300≤Z＜5000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批发业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X≥200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20≤X＜200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5≤X＜20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Y≥40000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5000≤Y＜40000</w:t>
            </w:r>
          </w:p>
        </w:tc>
        <w:tc>
          <w:tcPr>
            <w:tcW w:w="1315" w:type="dxa"/>
            <w:shd w:val="clear" w:color="auto" w:fill="auto"/>
            <w:tcMar>
              <w:top w:w="0" w:type="dxa"/>
              <w:left w:w="108" w:type="dxa"/>
              <w:bottom w:w="0" w:type="dxa"/>
              <w:right w:w="108" w:type="dxa"/>
            </w:tcMar>
            <w:vAlign w:val="center"/>
          </w:tcPr>
          <w:p>
            <w:pPr>
              <w:spacing w:line="240" w:lineRule="auto"/>
              <w:ind w:left="-1" w:firstLine="0" w:firstLineChars="0"/>
              <w:rPr>
                <w:rFonts w:ascii="宋体" w:hAnsi="宋体" w:eastAsia="宋体" w:cs="宋体"/>
                <w:bCs/>
                <w:sz w:val="24"/>
              </w:rPr>
            </w:pPr>
            <w:r>
              <w:rPr>
                <w:rFonts w:hint="eastAsia" w:ascii="宋体" w:hAnsi="宋体" w:eastAsia="宋体" w:cs="宋体"/>
                <w:sz w:val="18"/>
                <w:szCs w:val="18"/>
              </w:rPr>
              <w:t>1000≤Y＜5000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零售业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X≥300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50≤X＜300</w:t>
            </w:r>
          </w:p>
        </w:tc>
        <w:tc>
          <w:tcPr>
            <w:tcW w:w="1315" w:type="dxa"/>
            <w:shd w:val="clear" w:color="auto" w:fill="auto"/>
            <w:tcMar>
              <w:top w:w="0" w:type="dxa"/>
              <w:left w:w="108" w:type="dxa"/>
              <w:bottom w:w="0" w:type="dxa"/>
              <w:right w:w="108" w:type="dxa"/>
            </w:tcMar>
            <w:vAlign w:val="center"/>
          </w:tcPr>
          <w:p>
            <w:pPr>
              <w:spacing w:line="240" w:lineRule="auto"/>
              <w:ind w:left="-1" w:firstLine="0" w:firstLineChars="0"/>
              <w:rPr>
                <w:rFonts w:ascii="宋体" w:hAnsi="宋体" w:eastAsia="宋体" w:cs="宋体"/>
                <w:bCs/>
                <w:sz w:val="24"/>
              </w:rPr>
            </w:pPr>
            <w:r>
              <w:rPr>
                <w:rFonts w:hint="eastAsia" w:ascii="宋体" w:hAnsi="宋体" w:eastAsia="宋体" w:cs="宋体"/>
                <w:sz w:val="18"/>
                <w:szCs w:val="18"/>
              </w:rPr>
              <w:t>10≤X＜50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Y≥20000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500≤Y＜20000</w:t>
            </w:r>
          </w:p>
        </w:tc>
        <w:tc>
          <w:tcPr>
            <w:tcW w:w="1315" w:type="dxa"/>
            <w:shd w:val="clear" w:color="auto" w:fill="auto"/>
            <w:tcMar>
              <w:top w:w="0" w:type="dxa"/>
              <w:left w:w="108" w:type="dxa"/>
              <w:bottom w:w="0" w:type="dxa"/>
              <w:right w:w="108" w:type="dxa"/>
            </w:tcMar>
            <w:vAlign w:val="center"/>
          </w:tcPr>
          <w:p>
            <w:pPr>
              <w:spacing w:line="240" w:lineRule="auto"/>
              <w:ind w:left="-1" w:firstLine="0" w:firstLineChars="0"/>
              <w:rPr>
                <w:rFonts w:ascii="宋体" w:hAnsi="宋体" w:eastAsia="宋体" w:cs="宋体"/>
                <w:bCs/>
                <w:sz w:val="24"/>
              </w:rPr>
            </w:pPr>
            <w:r>
              <w:rPr>
                <w:rFonts w:hint="eastAsia" w:ascii="宋体" w:hAnsi="宋体" w:eastAsia="宋体" w:cs="宋体"/>
                <w:sz w:val="18"/>
                <w:szCs w:val="18"/>
              </w:rPr>
              <w:t>100≤Y＜500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交通运输业 *</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300≤X＜1000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20≤X＜300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Y≥30000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3000≤Y＜30000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200≤Y＜3000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仓储业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X≥200</w:t>
            </w:r>
          </w:p>
        </w:tc>
        <w:tc>
          <w:tcPr>
            <w:tcW w:w="1491" w:type="dxa"/>
            <w:shd w:val="clear" w:color="auto" w:fill="auto"/>
            <w:tcMar>
              <w:top w:w="0" w:type="dxa"/>
              <w:left w:w="108" w:type="dxa"/>
              <w:bottom w:w="0" w:type="dxa"/>
              <w:right w:w="108" w:type="dxa"/>
            </w:tcMar>
            <w:vAlign w:val="center"/>
          </w:tcPr>
          <w:p>
            <w:pPr>
              <w:spacing w:line="240" w:lineRule="auto"/>
              <w:ind w:left="1" w:firstLine="0" w:firstLineChars="0"/>
              <w:rPr>
                <w:rFonts w:ascii="宋体" w:hAnsi="宋体" w:eastAsia="宋体" w:cs="宋体"/>
                <w:bCs/>
                <w:sz w:val="24"/>
              </w:rPr>
            </w:pPr>
            <w:r>
              <w:rPr>
                <w:rFonts w:hint="eastAsia" w:ascii="宋体" w:hAnsi="宋体" w:eastAsia="宋体" w:cs="宋体"/>
                <w:sz w:val="18"/>
                <w:szCs w:val="18"/>
              </w:rPr>
              <w:t>100≤X＜200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20≤X＜100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Y≥30000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1000≤Y＜30000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100≤Y＜1000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邮政业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300≤X＜1000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20≤X＜300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Y≥30000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2000≤Y＜30000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100≤Y＜2000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住宿业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X≥300</w:t>
            </w:r>
          </w:p>
        </w:tc>
        <w:tc>
          <w:tcPr>
            <w:tcW w:w="1491" w:type="dxa"/>
            <w:shd w:val="clear" w:color="auto" w:fill="auto"/>
            <w:tcMar>
              <w:top w:w="0" w:type="dxa"/>
              <w:left w:w="108" w:type="dxa"/>
              <w:bottom w:w="0" w:type="dxa"/>
              <w:right w:w="108" w:type="dxa"/>
            </w:tcMar>
            <w:vAlign w:val="center"/>
          </w:tcPr>
          <w:p>
            <w:pPr>
              <w:spacing w:line="240" w:lineRule="auto"/>
              <w:ind w:left="1" w:firstLine="0" w:firstLineChars="0"/>
              <w:rPr>
                <w:rFonts w:ascii="宋体" w:hAnsi="宋体" w:eastAsia="宋体" w:cs="宋体"/>
                <w:bCs/>
                <w:sz w:val="24"/>
              </w:rPr>
            </w:pPr>
            <w:r>
              <w:rPr>
                <w:rFonts w:hint="eastAsia" w:ascii="宋体" w:hAnsi="宋体" w:eastAsia="宋体" w:cs="宋体"/>
                <w:sz w:val="18"/>
                <w:szCs w:val="18"/>
              </w:rPr>
              <w:t>100≤X＜300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10≤X＜100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2000≤Y＜10000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100≤Y＜2000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餐饮业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X≥300</w:t>
            </w:r>
          </w:p>
        </w:tc>
        <w:tc>
          <w:tcPr>
            <w:tcW w:w="1491" w:type="dxa"/>
            <w:shd w:val="clear" w:color="auto" w:fill="auto"/>
            <w:tcMar>
              <w:top w:w="0" w:type="dxa"/>
              <w:left w:w="108" w:type="dxa"/>
              <w:bottom w:w="0" w:type="dxa"/>
              <w:right w:w="108" w:type="dxa"/>
            </w:tcMar>
            <w:vAlign w:val="center"/>
          </w:tcPr>
          <w:p>
            <w:pPr>
              <w:spacing w:line="240" w:lineRule="auto"/>
              <w:ind w:left="1" w:firstLine="0" w:firstLineChars="0"/>
              <w:rPr>
                <w:rFonts w:ascii="宋体" w:hAnsi="宋体" w:eastAsia="宋体" w:cs="宋体"/>
                <w:bCs/>
                <w:sz w:val="24"/>
              </w:rPr>
            </w:pPr>
            <w:r>
              <w:rPr>
                <w:rFonts w:hint="eastAsia" w:ascii="宋体" w:hAnsi="宋体" w:eastAsia="宋体" w:cs="宋体"/>
                <w:sz w:val="18"/>
                <w:szCs w:val="18"/>
              </w:rPr>
              <w:t>100≤X＜300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10≤X＜100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2000≤Y＜10000</w:t>
            </w:r>
          </w:p>
        </w:tc>
        <w:tc>
          <w:tcPr>
            <w:tcW w:w="1315" w:type="dxa"/>
            <w:shd w:val="clear" w:color="auto" w:fill="auto"/>
            <w:tcMar>
              <w:top w:w="0" w:type="dxa"/>
              <w:left w:w="108" w:type="dxa"/>
              <w:bottom w:w="0" w:type="dxa"/>
              <w:right w:w="108" w:type="dxa"/>
            </w:tcMar>
            <w:vAlign w:val="center"/>
          </w:tcPr>
          <w:p>
            <w:pPr>
              <w:spacing w:line="240" w:lineRule="auto"/>
              <w:ind w:firstLine="360"/>
              <w:jc w:val="center"/>
              <w:rPr>
                <w:rFonts w:ascii="宋体" w:hAnsi="宋体" w:eastAsia="宋体" w:cs="宋体"/>
                <w:bCs/>
                <w:sz w:val="24"/>
              </w:rPr>
            </w:pPr>
            <w:r>
              <w:rPr>
                <w:rFonts w:hint="eastAsia" w:ascii="宋体" w:hAnsi="宋体" w:eastAsia="宋体" w:cs="宋体"/>
                <w:sz w:val="18"/>
                <w:szCs w:val="18"/>
              </w:rPr>
              <w:t> 100≤Y＜2000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信息传输业 *</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X≥2000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100≤X＜2000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10≤X＜100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1000≤Y＜100000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100≤Y＜1000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pacing w:val="-12"/>
                <w:sz w:val="18"/>
                <w:szCs w:val="18"/>
              </w:rPr>
              <w:t>软件和信息技术服</w:t>
            </w:r>
            <w:r>
              <w:rPr>
                <w:rFonts w:hint="eastAsia" w:ascii="宋体" w:hAnsi="宋体" w:eastAsia="宋体" w:cs="宋体"/>
                <w:sz w:val="18"/>
                <w:szCs w:val="18"/>
              </w:rPr>
              <w:t>务业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360"/>
              <w:jc w:val="center"/>
              <w:rPr>
                <w:rFonts w:ascii="宋体" w:hAnsi="宋体" w:eastAsia="宋体" w:cs="宋体"/>
                <w:bCs/>
                <w:sz w:val="24"/>
              </w:rPr>
            </w:pPr>
            <w:r>
              <w:rPr>
                <w:rFonts w:hint="eastAsia" w:ascii="宋体" w:hAnsi="宋体" w:eastAsia="宋体" w:cs="宋体"/>
                <w:sz w:val="18"/>
                <w:szCs w:val="18"/>
              </w:rPr>
              <w:t>X≥300</w:t>
            </w:r>
          </w:p>
        </w:tc>
        <w:tc>
          <w:tcPr>
            <w:tcW w:w="1491" w:type="dxa"/>
            <w:shd w:val="clear" w:color="auto" w:fill="auto"/>
            <w:tcMar>
              <w:top w:w="0" w:type="dxa"/>
              <w:left w:w="108" w:type="dxa"/>
              <w:bottom w:w="0" w:type="dxa"/>
              <w:right w:w="108" w:type="dxa"/>
            </w:tcMar>
            <w:vAlign w:val="center"/>
          </w:tcPr>
          <w:p>
            <w:pPr>
              <w:spacing w:line="240" w:lineRule="auto"/>
              <w:ind w:left="1" w:firstLine="360"/>
              <w:jc w:val="center"/>
              <w:rPr>
                <w:rFonts w:ascii="宋体" w:hAnsi="宋体" w:eastAsia="宋体" w:cs="宋体"/>
                <w:bCs/>
                <w:sz w:val="24"/>
              </w:rPr>
            </w:pPr>
            <w:r>
              <w:rPr>
                <w:rFonts w:hint="eastAsia" w:ascii="宋体" w:hAnsi="宋体" w:eastAsia="宋体" w:cs="宋体"/>
                <w:sz w:val="18"/>
                <w:szCs w:val="18"/>
              </w:rPr>
              <w:t>100≤X＜300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10≤X＜100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360"/>
              <w:jc w:val="center"/>
              <w:rPr>
                <w:rFonts w:ascii="宋体" w:hAnsi="宋体" w:eastAsia="宋体" w:cs="宋体"/>
                <w:bCs/>
                <w:sz w:val="24"/>
              </w:rPr>
            </w:pPr>
            <w:r>
              <w:rPr>
                <w:rFonts w:hint="eastAsia" w:ascii="宋体" w:hAnsi="宋体" w:eastAsia="宋体" w:cs="宋体"/>
                <w:sz w:val="18"/>
                <w:szCs w:val="18"/>
              </w:rPr>
              <w:t>Y≥10000</w:t>
            </w:r>
          </w:p>
        </w:tc>
        <w:tc>
          <w:tcPr>
            <w:tcW w:w="1491" w:type="dxa"/>
            <w:shd w:val="clear" w:color="auto" w:fill="auto"/>
            <w:tcMar>
              <w:top w:w="0" w:type="dxa"/>
              <w:left w:w="108" w:type="dxa"/>
              <w:bottom w:w="0" w:type="dxa"/>
              <w:right w:w="108" w:type="dxa"/>
            </w:tcMar>
            <w:vAlign w:val="center"/>
          </w:tcPr>
          <w:p>
            <w:pPr>
              <w:spacing w:line="240" w:lineRule="auto"/>
              <w:ind w:firstLine="360"/>
              <w:jc w:val="center"/>
              <w:rPr>
                <w:rFonts w:ascii="宋体" w:hAnsi="宋体" w:eastAsia="宋体" w:cs="宋体"/>
                <w:bCs/>
                <w:sz w:val="24"/>
              </w:rPr>
            </w:pPr>
            <w:r>
              <w:rPr>
                <w:rFonts w:hint="eastAsia" w:ascii="宋体" w:hAnsi="宋体" w:eastAsia="宋体" w:cs="宋体"/>
                <w:sz w:val="18"/>
                <w:szCs w:val="18"/>
              </w:rPr>
              <w:t>1000≤Y＜10000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50≤Y＜1000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房地产开发经营</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Y≥200000</w:t>
            </w:r>
          </w:p>
        </w:tc>
        <w:tc>
          <w:tcPr>
            <w:tcW w:w="1491" w:type="dxa"/>
            <w:shd w:val="clear" w:color="auto" w:fill="auto"/>
            <w:tcMar>
              <w:top w:w="0" w:type="dxa"/>
              <w:left w:w="108" w:type="dxa"/>
              <w:bottom w:w="0" w:type="dxa"/>
              <w:right w:w="108" w:type="dxa"/>
            </w:tcMar>
            <w:vAlign w:val="center"/>
          </w:tcPr>
          <w:p>
            <w:pPr>
              <w:spacing w:line="240" w:lineRule="auto"/>
              <w:ind w:firstLine="360"/>
              <w:jc w:val="center"/>
              <w:rPr>
                <w:rFonts w:ascii="宋体" w:hAnsi="宋体" w:eastAsia="宋体" w:cs="宋体"/>
                <w:bCs/>
                <w:sz w:val="24"/>
              </w:rPr>
            </w:pPr>
            <w:r>
              <w:rPr>
                <w:rFonts w:hint="eastAsia" w:ascii="宋体" w:hAnsi="宋体" w:eastAsia="宋体" w:cs="宋体"/>
                <w:sz w:val="18"/>
                <w:szCs w:val="18"/>
              </w:rPr>
              <w:t> 1000≤Y＜200000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100≤Y＜1000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资产总额(Z)</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Z≥10000</w:t>
            </w:r>
          </w:p>
        </w:tc>
        <w:tc>
          <w:tcPr>
            <w:tcW w:w="1491" w:type="dxa"/>
            <w:shd w:val="clear" w:color="auto" w:fill="auto"/>
            <w:tcMar>
              <w:top w:w="0" w:type="dxa"/>
              <w:left w:w="108" w:type="dxa"/>
              <w:bottom w:w="0" w:type="dxa"/>
              <w:right w:w="108" w:type="dxa"/>
            </w:tcMar>
            <w:vAlign w:val="center"/>
          </w:tcPr>
          <w:p>
            <w:pPr>
              <w:spacing w:line="240" w:lineRule="auto"/>
              <w:ind w:firstLine="360"/>
              <w:jc w:val="center"/>
              <w:rPr>
                <w:rFonts w:ascii="宋体" w:hAnsi="宋体" w:eastAsia="宋体" w:cs="宋体"/>
                <w:bCs/>
                <w:sz w:val="24"/>
              </w:rPr>
            </w:pPr>
            <w:r>
              <w:rPr>
                <w:rFonts w:hint="eastAsia" w:ascii="宋体" w:hAnsi="宋体" w:eastAsia="宋体" w:cs="宋体"/>
                <w:sz w:val="18"/>
                <w:szCs w:val="18"/>
              </w:rPr>
              <w:t>5000≤Z＜10000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2000≤Z＜5000  </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物业管理</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300≤X＜1000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100≤X＜300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营业收入(Y)</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Y≥5000</w:t>
            </w:r>
          </w:p>
        </w:tc>
        <w:tc>
          <w:tcPr>
            <w:tcW w:w="1491" w:type="dxa"/>
            <w:shd w:val="clear" w:color="auto" w:fill="auto"/>
            <w:tcMar>
              <w:top w:w="0" w:type="dxa"/>
              <w:left w:w="108" w:type="dxa"/>
              <w:bottom w:w="0" w:type="dxa"/>
              <w:right w:w="108" w:type="dxa"/>
            </w:tcMar>
            <w:vAlign w:val="center"/>
          </w:tcPr>
          <w:p>
            <w:pPr>
              <w:spacing w:line="240" w:lineRule="auto"/>
              <w:ind w:left="1" w:firstLine="0" w:firstLineChars="0"/>
              <w:rPr>
                <w:rFonts w:ascii="宋体" w:hAnsi="宋体" w:eastAsia="宋体" w:cs="宋体"/>
                <w:bCs/>
                <w:sz w:val="24"/>
              </w:rPr>
            </w:pPr>
            <w:r>
              <w:rPr>
                <w:rFonts w:hint="eastAsia" w:ascii="宋体" w:hAnsi="宋体" w:eastAsia="宋体" w:cs="宋体"/>
                <w:sz w:val="18"/>
                <w:szCs w:val="18"/>
              </w:rPr>
              <w:t>1000≤Y＜5000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500≤Y＜1000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租赁和商务服务业</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X≥300</w:t>
            </w:r>
          </w:p>
        </w:tc>
        <w:tc>
          <w:tcPr>
            <w:tcW w:w="1491" w:type="dxa"/>
            <w:shd w:val="clear" w:color="auto" w:fill="auto"/>
            <w:tcMar>
              <w:top w:w="0" w:type="dxa"/>
              <w:left w:w="108" w:type="dxa"/>
              <w:bottom w:w="0" w:type="dxa"/>
              <w:right w:w="108" w:type="dxa"/>
            </w:tcMar>
            <w:vAlign w:val="center"/>
          </w:tcPr>
          <w:p>
            <w:pPr>
              <w:spacing w:line="240" w:lineRule="auto"/>
              <w:ind w:left="1" w:firstLine="0" w:firstLineChars="0"/>
              <w:rPr>
                <w:rFonts w:ascii="宋体" w:hAnsi="宋体" w:eastAsia="宋体" w:cs="宋体"/>
                <w:bCs/>
                <w:sz w:val="24"/>
              </w:rPr>
            </w:pPr>
            <w:r>
              <w:rPr>
                <w:rFonts w:hint="eastAsia" w:ascii="宋体" w:hAnsi="宋体" w:eastAsia="宋体" w:cs="宋体"/>
                <w:sz w:val="18"/>
                <w:szCs w:val="18"/>
              </w:rPr>
              <w:t>100≤X＜300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10≤X＜100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pPr>
              <w:spacing w:line="240" w:lineRule="auto"/>
              <w:rPr>
                <w:rFonts w:ascii="宋体" w:hAnsi="宋体" w:eastAsia="宋体" w:cs="宋体"/>
                <w:bCs/>
                <w:sz w:val="24"/>
              </w:rPr>
            </w:pPr>
          </w:p>
        </w:tc>
        <w:tc>
          <w:tcPr>
            <w:tcW w:w="1281"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资产总额(Z)</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万元</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Z≥120000</w:t>
            </w:r>
          </w:p>
        </w:tc>
        <w:tc>
          <w:tcPr>
            <w:tcW w:w="149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8000≤Z＜120000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100≤Z＜8000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pPr>
              <w:spacing w:line="240" w:lineRule="atLeast"/>
              <w:ind w:firstLine="0" w:firstLineChars="0"/>
              <w:rPr>
                <w:rFonts w:ascii="宋体" w:hAnsi="宋体" w:eastAsia="宋体" w:cs="宋体"/>
                <w:bCs/>
                <w:sz w:val="24"/>
              </w:rPr>
            </w:pPr>
            <w:r>
              <w:rPr>
                <w:rFonts w:hint="eastAsia" w:ascii="宋体" w:hAnsi="宋体" w:eastAsia="宋体" w:cs="宋体"/>
                <w:sz w:val="18"/>
                <w:szCs w:val="18"/>
              </w:rPr>
              <w:t>其他未列明行业 *</w:t>
            </w:r>
          </w:p>
        </w:tc>
        <w:tc>
          <w:tcPr>
            <w:tcW w:w="1281"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从业人员(X)</w:t>
            </w:r>
          </w:p>
        </w:tc>
        <w:tc>
          <w:tcPr>
            <w:tcW w:w="75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人</w:t>
            </w:r>
          </w:p>
        </w:tc>
        <w:tc>
          <w:tcPr>
            <w:tcW w:w="993"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X≥300</w:t>
            </w:r>
          </w:p>
        </w:tc>
        <w:tc>
          <w:tcPr>
            <w:tcW w:w="1491" w:type="dxa"/>
            <w:shd w:val="clear" w:color="auto" w:fill="auto"/>
            <w:tcMar>
              <w:top w:w="0" w:type="dxa"/>
              <w:left w:w="108" w:type="dxa"/>
              <w:bottom w:w="0" w:type="dxa"/>
              <w:right w:w="108" w:type="dxa"/>
            </w:tcMar>
            <w:vAlign w:val="center"/>
          </w:tcPr>
          <w:p>
            <w:pPr>
              <w:spacing w:line="240" w:lineRule="auto"/>
              <w:ind w:left="1" w:firstLine="0" w:firstLineChars="0"/>
              <w:rPr>
                <w:rFonts w:ascii="宋体" w:hAnsi="宋体" w:eastAsia="宋体" w:cs="宋体"/>
                <w:bCs/>
                <w:sz w:val="24"/>
              </w:rPr>
            </w:pPr>
            <w:r>
              <w:rPr>
                <w:rFonts w:hint="eastAsia" w:ascii="宋体" w:hAnsi="宋体" w:eastAsia="宋体" w:cs="宋体"/>
                <w:sz w:val="18"/>
                <w:szCs w:val="18"/>
              </w:rPr>
              <w:t>100≤X＜300</w:t>
            </w:r>
          </w:p>
        </w:tc>
        <w:tc>
          <w:tcPr>
            <w:tcW w:w="1315"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10≤X＜100</w:t>
            </w:r>
          </w:p>
        </w:tc>
        <w:tc>
          <w:tcPr>
            <w:tcW w:w="908" w:type="dxa"/>
            <w:shd w:val="clear" w:color="auto" w:fill="auto"/>
            <w:tcMar>
              <w:top w:w="0" w:type="dxa"/>
              <w:left w:w="108" w:type="dxa"/>
              <w:bottom w:w="0" w:type="dxa"/>
              <w:right w:w="108" w:type="dxa"/>
            </w:tcMar>
            <w:vAlign w:val="center"/>
          </w:tcPr>
          <w:p>
            <w:pPr>
              <w:spacing w:line="240" w:lineRule="auto"/>
              <w:ind w:firstLine="0" w:firstLineChars="0"/>
              <w:rPr>
                <w:rFonts w:ascii="宋体" w:hAnsi="宋体" w:eastAsia="宋体" w:cs="宋体"/>
                <w:bCs/>
                <w:sz w:val="24"/>
              </w:rPr>
            </w:pPr>
            <w:r>
              <w:rPr>
                <w:rFonts w:hint="eastAsia" w:ascii="宋体" w:hAnsi="宋体" w:eastAsia="宋体" w:cs="宋体"/>
                <w:sz w:val="18"/>
                <w:szCs w:val="18"/>
              </w:rPr>
              <w:t>X＜10</w:t>
            </w:r>
          </w:p>
        </w:tc>
      </w:tr>
    </w:tbl>
    <w:p>
      <w:pPr>
        <w:shd w:val="clear" w:color="auto" w:fill="FFFFFF"/>
        <w:spacing w:line="400" w:lineRule="exact"/>
        <w:ind w:firstLine="0" w:firstLineChars="0"/>
        <w:rPr>
          <w:rFonts w:ascii="微软雅黑" w:hAnsi="微软雅黑" w:cs="宋体"/>
          <w:bCs/>
          <w:szCs w:val="21"/>
        </w:rPr>
      </w:pPr>
      <w:r>
        <w:rPr>
          <w:rFonts w:hint="eastAsia" w:ascii="宋体" w:hAnsi="宋体" w:eastAsia="宋体" w:cs="宋体"/>
          <w:sz w:val="18"/>
          <w:szCs w:val="18"/>
        </w:rPr>
        <w:t> </w:t>
      </w:r>
      <w:r>
        <w:rPr>
          <w:rFonts w:hint="eastAsia" w:ascii="宋体" w:hAnsi="宋体" w:eastAsia="宋体" w:cs="宋体"/>
          <w:spacing w:val="8"/>
          <w:sz w:val="24"/>
        </w:rPr>
        <w:t>　</w:t>
      </w:r>
      <w:r>
        <w:rPr>
          <w:rFonts w:hint="eastAsia" w:ascii="微软雅黑" w:hAnsi="微软雅黑" w:cs="宋体"/>
          <w:spacing w:val="8"/>
          <w:szCs w:val="21"/>
        </w:rPr>
        <w:t>　说明：</w:t>
      </w:r>
    </w:p>
    <w:p>
      <w:pPr>
        <w:shd w:val="clear" w:color="auto" w:fill="FFFFFF"/>
        <w:spacing w:line="400" w:lineRule="exact"/>
        <w:ind w:firstLine="0" w:firstLineChars="0"/>
        <w:rPr>
          <w:rFonts w:ascii="微软雅黑" w:hAnsi="微软雅黑" w:cs="宋体"/>
          <w:bCs/>
          <w:szCs w:val="21"/>
        </w:rPr>
      </w:pPr>
      <w:r>
        <w:rPr>
          <w:rFonts w:ascii="微软雅黑" w:hAnsi="微软雅黑"/>
          <w:spacing w:val="8"/>
          <w:szCs w:val="21"/>
        </w:rPr>
        <w:t> </w:t>
      </w:r>
      <w:r>
        <w:rPr>
          <w:rFonts w:hint="eastAsia" w:ascii="微软雅黑" w:hAnsi="微软雅黑" w:cs="宋体"/>
          <w:spacing w:val="8"/>
          <w:szCs w:val="21"/>
        </w:rPr>
        <w:t>　　</w:t>
      </w:r>
      <w:r>
        <w:rPr>
          <w:rFonts w:ascii="微软雅黑" w:hAnsi="微软雅黑"/>
          <w:spacing w:val="8"/>
          <w:szCs w:val="21"/>
        </w:rPr>
        <w:t>1.</w:t>
      </w:r>
      <w:r>
        <w:rPr>
          <w:rFonts w:hint="eastAsia" w:ascii="微软雅黑" w:hAnsi="微软雅黑" w:cs="宋体"/>
          <w:spacing w:val="8"/>
          <w:szCs w:val="21"/>
        </w:rPr>
        <w:t>大型、中型和小型企业须同时满足所列指标的下限，否则下划一档；微型企业只须满足所列指标中的一项即可。</w:t>
      </w:r>
    </w:p>
    <w:p>
      <w:pPr>
        <w:shd w:val="clear" w:color="auto" w:fill="FFFFFF"/>
        <w:spacing w:line="400" w:lineRule="exact"/>
        <w:ind w:firstLine="0" w:firstLineChars="0"/>
        <w:rPr>
          <w:rFonts w:ascii="微软雅黑" w:hAnsi="微软雅黑" w:cs="宋体"/>
          <w:bCs/>
          <w:szCs w:val="21"/>
        </w:rPr>
      </w:pPr>
      <w:r>
        <w:rPr>
          <w:rFonts w:ascii="微软雅黑" w:hAnsi="微软雅黑"/>
          <w:spacing w:val="8"/>
          <w:szCs w:val="21"/>
        </w:rPr>
        <w:t> </w:t>
      </w:r>
      <w:r>
        <w:rPr>
          <w:rFonts w:hint="eastAsia" w:ascii="微软雅黑" w:hAnsi="微软雅黑" w:cs="宋体"/>
          <w:spacing w:val="8"/>
          <w:szCs w:val="21"/>
        </w:rPr>
        <w:t>　　</w:t>
      </w:r>
      <w:r>
        <w:rPr>
          <w:rFonts w:ascii="微软雅黑" w:hAnsi="微软雅黑"/>
          <w:spacing w:val="8"/>
          <w:szCs w:val="21"/>
        </w:rPr>
        <w:t>2.</w:t>
      </w:r>
      <w:r>
        <w:rPr>
          <w:rFonts w:hint="eastAsia" w:ascii="微软雅黑" w:hAnsi="微软雅黑" w:cs="宋体"/>
          <w:spacing w:val="8"/>
          <w:szCs w:val="21"/>
        </w:rPr>
        <w:t>附表中各行业的范围以《国民经济行业分类》（</w:t>
      </w:r>
      <w:r>
        <w:rPr>
          <w:rFonts w:ascii="微软雅黑" w:hAnsi="微软雅黑"/>
          <w:spacing w:val="8"/>
          <w:szCs w:val="21"/>
        </w:rPr>
        <w:t>GB/T4754-2011</w:t>
      </w:r>
      <w:r>
        <w:rPr>
          <w:rFonts w:hint="eastAsia" w:ascii="微软雅黑" w:hAnsi="微软雅黑" w:cs="宋体"/>
          <w:spacing w:val="8"/>
          <w:szCs w:val="21"/>
        </w:rPr>
        <w:t>）为准。带</w:t>
      </w:r>
      <w:r>
        <w:rPr>
          <w:rFonts w:ascii="微软雅黑" w:hAnsi="微软雅黑"/>
          <w:spacing w:val="8"/>
          <w:szCs w:val="21"/>
        </w:rPr>
        <w:t>*</w:t>
      </w:r>
      <w:r>
        <w:rPr>
          <w:rFonts w:hint="eastAsia" w:ascii="微软雅黑" w:hAnsi="微软雅黑" w:cs="宋体"/>
          <w:spacing w:val="8"/>
          <w:szCs w:val="21"/>
        </w:rPr>
        <w:t>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shd w:val="clear" w:color="auto" w:fill="FFFFFF"/>
        <w:spacing w:line="400" w:lineRule="exact"/>
        <w:ind w:firstLine="0" w:firstLineChars="0"/>
      </w:pPr>
      <w:r>
        <w:rPr>
          <w:rFonts w:ascii="微软雅黑" w:hAnsi="微软雅黑"/>
          <w:spacing w:val="8"/>
          <w:szCs w:val="21"/>
        </w:rPr>
        <w:t> </w:t>
      </w:r>
      <w:r>
        <w:rPr>
          <w:rFonts w:hint="eastAsia" w:ascii="微软雅黑" w:hAnsi="微软雅黑" w:cs="宋体"/>
          <w:spacing w:val="8"/>
          <w:szCs w:val="21"/>
        </w:rPr>
        <w:t>　　</w:t>
      </w:r>
      <w:r>
        <w:rPr>
          <w:rFonts w:ascii="微软雅黑" w:hAnsi="微软雅黑"/>
          <w:spacing w:val="8"/>
          <w:szCs w:val="21"/>
        </w:rPr>
        <w:t>3.</w:t>
      </w:r>
      <w:r>
        <w:rPr>
          <w:rFonts w:hint="eastAsia" w:ascii="微软雅黑" w:hAnsi="微软雅黑" w:cs="宋体"/>
          <w:spacing w:val="8"/>
          <w:szCs w:val="21"/>
        </w:rPr>
        <w:t>企业划分指标以现行统计制度为准。（</w:t>
      </w:r>
      <w:r>
        <w:rPr>
          <w:rFonts w:ascii="微软雅黑" w:hAnsi="微软雅黑"/>
          <w:spacing w:val="8"/>
          <w:szCs w:val="21"/>
        </w:rPr>
        <w:t>1</w:t>
      </w:r>
      <w:r>
        <w:rPr>
          <w:rFonts w:hint="eastAsia" w:ascii="微软雅黑" w:hAnsi="微软雅黑" w:cs="宋体"/>
          <w:spacing w:val="8"/>
          <w:szCs w:val="21"/>
        </w:rPr>
        <w:t>）从业人员，是指期末从业人员数，没有期末从业人员数的，采用全年平均人员数代替。（</w:t>
      </w:r>
      <w:r>
        <w:rPr>
          <w:rFonts w:ascii="微软雅黑" w:hAnsi="微软雅黑"/>
          <w:spacing w:val="8"/>
          <w:szCs w:val="21"/>
        </w:rPr>
        <w:t>2</w:t>
      </w:r>
      <w:r>
        <w:rPr>
          <w:rFonts w:hint="eastAsia" w:ascii="微软雅黑" w:hAnsi="微软雅黑" w:cs="宋体"/>
          <w:spacing w:val="8"/>
          <w:szCs w:val="21"/>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微软雅黑" w:hAnsi="微软雅黑"/>
          <w:spacing w:val="8"/>
          <w:szCs w:val="21"/>
        </w:rPr>
        <w:t>3</w:t>
      </w:r>
      <w:r>
        <w:rPr>
          <w:rFonts w:hint="eastAsia" w:ascii="微软雅黑" w:hAnsi="微软雅黑" w:cs="宋体"/>
          <w:spacing w:val="8"/>
          <w:szCs w:val="21"/>
        </w:rPr>
        <w:t>）资产总额，采用资产总计代替。</w:t>
      </w:r>
    </w:p>
    <w:p>
      <w:pPr>
        <w:pStyle w:val="27"/>
        <w:snapToGrid w:val="0"/>
        <w:ind w:firstLine="420"/>
        <w:rPr>
          <w:rFonts w:ascii="微软雅黑" w:hAnsi="微软雅黑"/>
          <w:szCs w:val="21"/>
          <w:highlight w:val="none"/>
        </w:rPr>
      </w:pPr>
    </w:p>
    <w:sectPr>
      <w:pgSz w:w="11906" w:h="16838"/>
      <w:pgMar w:top="1474" w:right="1797" w:bottom="1247" w:left="1797" w:header="851" w:footer="992"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方正粗黑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framePr w:wrap="around" w:vAnchor="text" w:hAnchor="margin" w:xAlign="center" w:y="1"/>
      <w:ind w:right="360" w:firstLine="360"/>
      <w:rPr>
        <w:rStyle w:val="57"/>
      </w:rPr>
    </w:pPr>
  </w:p>
  <w:p>
    <w:pPr>
      <w:spacing w:line="240" w:lineRule="auto"/>
      <w:ind w:firstLine="420"/>
      <w:rPr>
        <w:rFonts w:ascii="宋体" w:hAnsi="宋体"/>
      </w:rPr>
    </w:pPr>
    <w:r>
      <w:rPr>
        <w:rFonts w:ascii="宋体" w:hAnsi="宋体"/>
      </w:rPr>
      <w:drawing>
        <wp:anchor distT="0" distB="0" distL="114300" distR="114300" simplePos="0" relativeHeight="251664384" behindDoc="0" locked="0" layoutInCell="1" allowOverlap="1">
          <wp:simplePos x="0" y="0"/>
          <wp:positionH relativeFrom="column">
            <wp:posOffset>-79375</wp:posOffset>
          </wp:positionH>
          <wp:positionV relativeFrom="paragraph">
            <wp:posOffset>118110</wp:posOffset>
          </wp:positionV>
          <wp:extent cx="410845" cy="418465"/>
          <wp:effectExtent l="19050" t="0" r="8255" b="0"/>
          <wp:wrapSquare wrapText="bothSides"/>
          <wp:docPr id="3" name="图片 0" descr="中际徽标.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0" descr="中际徽标.jpg"/>
                  <pic:cNvPicPr>
                    <a:picLocks noChangeAspect="1"/>
                  </pic:cNvPicPr>
                </pic:nvPicPr>
                <pic:blipFill>
                  <a:blip r:embed="rId1"/>
                  <a:stretch>
                    <a:fillRect/>
                  </a:stretch>
                </pic:blipFill>
                <pic:spPr>
                  <a:xfrm>
                    <a:off x="0" y="0"/>
                    <a:ext cx="410845" cy="418465"/>
                  </a:xfrm>
                  <a:prstGeom prst="rect">
                    <a:avLst/>
                  </a:prstGeom>
                  <a:noFill/>
                  <a:ln w="9525">
                    <a:noFill/>
                  </a:ln>
                </pic:spPr>
              </pic:pic>
            </a:graphicData>
          </a:graphic>
        </wp:anchor>
      </w:drawing>
    </w:r>
    <w:r>
      <w:rPr>
        <w:rFonts w:ascii="宋体" w:hAnsi="宋体"/>
      </w:rPr>
      <w:pict>
        <v:shape id="_x0000_s3084" o:spid="_x0000_s3084" o:spt="32" type="#_x0000_t32" style="position:absolute;left:0pt;flip:y;margin-left:-0.7pt;margin-top:4.05pt;height:0.95pt;width:414.4pt;z-index:251665408;mso-width-relative:page;mso-height-relative:page;" filled="f" stroked="t" coordsize="21600,21600">
          <v:path arrowok="t"/>
          <v:fill on="f" focussize="0,0"/>
          <v:stroke weight="4.5pt" color="#2E74B5" linestyle="thickThin"/>
          <v:imagedata o:title=""/>
          <o:lock v:ext="edit"/>
        </v:shape>
      </w:pict>
    </w:r>
  </w:p>
  <w:p>
    <w:pPr>
      <w:pStyle w:val="33"/>
      <w:spacing w:line="240" w:lineRule="auto"/>
      <w:ind w:firstLine="900" w:firstLineChars="500"/>
      <w:rPr>
        <w:rFonts w:ascii="宋体" w:hAnsi="宋体"/>
        <w:color w:val="2F5496" w:themeColor="accent1" w:themeShade="BF"/>
      </w:rPr>
    </w:pPr>
    <w:r>
      <w:pict>
        <v:shape id="文本框 2050" o:spid="_x0000_s3085" o:spt="202" type="#_x0000_t202" style="position:absolute;left:0pt;margin-left:5.3pt;margin-top:14.5pt;height:10.35pt;width:405.05pt;mso-position-horizontal-relative:margin;mso-wrap-style:none;z-index:251659264;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40XDx9EAAAAEAQAADwAAAAAAAAABACAAAAAiAAAAZHJzL2Rv&#10;d25yZXYueG1sUEsBAhQAFAAAAAgAh07iQIQt1+zPAQAAnAMAAA4AAAAAAAAAAQAgAAAAIAEAAGRy&#10;cy9lMm9Eb2MueG1sUEsFBgAAAAAGAAYAWQEAAGEFAAAAAA==&#10;">
          <v:path/>
          <v:fill on="f" focussize="0,0"/>
          <v:stroke on="f" joinstyle="miter"/>
          <v:imagedata o:title=""/>
          <o:lock v:ext="edit"/>
          <v:textbox inset="0mm,0mm,0mm,0mm" style="mso-fit-shape-to-text:t;">
            <w:txbxContent>
              <w:p>
                <w:pPr>
                  <w:pStyle w:val="33"/>
                  <w:ind w:firstLine="7920" w:firstLineChars="4400"/>
                </w:pPr>
                <w:r>
                  <w:fldChar w:fldCharType="begin"/>
                </w:r>
                <w:r>
                  <w:instrText xml:space="preserve"> PAGE   \* MERGEFORMAT </w:instrText>
                </w:r>
                <w:r>
                  <w:fldChar w:fldCharType="separate"/>
                </w:r>
                <w:r>
                  <w:rPr>
                    <w:lang w:val="zh-CN"/>
                  </w:rPr>
                  <w:t>51</w:t>
                </w:r>
                <w:r>
                  <w:rPr>
                    <w:lang w:val="zh-CN"/>
                  </w:rPr>
                  <w:fldChar w:fldCharType="end"/>
                </w:r>
              </w:p>
            </w:txbxContent>
          </v:textbox>
        </v:shape>
      </w:pict>
    </w:r>
    <w:r>
      <w:rPr>
        <w:rFonts w:hint="eastAsia" w:ascii="宋体" w:hAnsi="宋体"/>
        <w:color w:val="2F5496" w:themeColor="accent1" w:themeShade="BF"/>
      </w:rPr>
      <w:t>浙江中际工程项目管理有限公司</w:t>
    </w:r>
  </w:p>
  <w:p>
    <w:pPr>
      <w:pStyle w:val="33"/>
      <w:ind w:firstLine="900" w:firstLineChars="500"/>
    </w:pPr>
    <w:r>
      <w:rPr>
        <w:rFonts w:hint="eastAsia" w:ascii="宋体" w:hAnsi="宋体"/>
        <w:color w:val="2F5496" w:themeColor="accent1" w:themeShade="BF"/>
      </w:rPr>
      <w:t xml:space="preserve">ZHEJIANG GEOKEY ENGINEERING PROJECT MANGEMENT CO. LTD.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Bdr>
        <w:bottom w:val="single" w:color="auto" w:sz="6" w:space="0"/>
      </w:pBdr>
      <w:spacing w:line="460" w:lineRule="exact"/>
      <w:ind w:firstLine="360"/>
      <w:jc w:val="right"/>
      <w:rPr>
        <w:rFonts w:ascii="微软雅黑" w:hAnsi="微软雅黑"/>
      </w:rPr>
    </w:pPr>
    <w:r>
      <w:rPr>
        <w:color w:val="2F5496" w:themeColor="accent1" w:themeShade="BF"/>
      </w:rPr>
      <w:pict>
        <v:shape id="直接连接符 4" o:spid="_x0000_s3076" o:spt="32" type="#_x0000_t32" style="position:absolute;left:0pt;margin-left:-1.7pt;margin-top:24.35pt;height:1pt;width:418.6pt;z-index:251663360;mso-width-relative:page;mso-height-relative:page;" filled="f" stroked="t" coordsize="21600,21600">
          <v:path arrowok="t"/>
          <v:fill on="f" focussize="0,0"/>
          <v:stroke weight="4.5pt" color="#2E74B5" linestyle="thinThick"/>
          <v:imagedata o:title=""/>
          <o:lock v:ext="edit"/>
        </v:shape>
      </w:pict>
    </w:r>
    <w:r>
      <w:rPr>
        <w:rFonts w:ascii="微软雅黑" w:hAnsi="微软雅黑"/>
      </w:rPr>
      <w:pict>
        <v:shape id="PowerPlusWaterMarkObject53472" o:spid="_x0000_s3077" o:spt="136" type="#_x0000_t136" style="position:absolute;left:0pt;height:50.1pt;width:537.15pt;mso-position-horizontal:center;mso-position-horizontal-relative:margin;mso-position-vertical:center;mso-position-vertical-relative:margin;rotation:-2949120f;z-index:-251654144;mso-width-relative:page;mso-height-relative:page;" fillcolor="#C0C0C0" filled="t" stroked="f" coordsize="21600,21600">
          <v:path/>
          <v:fill on="t" opacity="32768f" focussize="0,0"/>
          <v:stroke on="f"/>
          <v:imagedata o:title=""/>
          <o:lock v:ext="edit" aspectratio="t"/>
          <v:textpath on="t" fitshape="t" fitpath="t" trim="t" xscale="f" string="浙江中际工程项目管理有限公司" style="font-family:微软雅黑;font-size:36pt;v-text-align:center;"/>
        </v:shape>
      </w:pict>
    </w:r>
    <w:r>
      <w:rPr>
        <w:rFonts w:hint="eastAsia"/>
        <w:color w:val="2F5496" w:themeColor="accent1" w:themeShade="BF"/>
        <w:lang w:eastAsia="zh-CN"/>
      </w:rPr>
      <w:t>数字农村路 2.0 版示范创建应用</w:t>
    </w:r>
    <w:r>
      <w:rPr>
        <w:rFonts w:hint="eastAsia" w:ascii="Times New Roman" w:hAnsi="Times New Roman" w:cs="Times New Roman"/>
        <w:color w:val="2F5496" w:themeColor="accent1" w:themeShade="BF"/>
        <w:lang w:eastAsia="zh-CN"/>
      </w:rPr>
      <w:t>项目.招标文件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firstLine="360"/>
    </w:pPr>
    <w:r>
      <w:pict>
        <v:shape id="PowerPlusWaterMarkObject13360728" o:spid="_x0000_s3086" o:spt="136" type="#_x0000_t136" style="position:absolute;left:0pt;height:41.85pt;width:544.05pt;mso-position-horizontal:center;mso-position-horizontal-relative:margin;mso-position-vertical:center;mso-position-vertical-relative:margin;rotation:20643840f;z-index:-25165516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firstLine="360"/>
    </w:pPr>
    <w:r>
      <w:pict>
        <v:shape id="PowerPlusWaterMarkObject13360727" o:spid="_x0000_s3083" o:spt="136" type="#_x0000_t136" style="position:absolute;left:0pt;height:41.85pt;width:544.05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71E3D5"/>
    <w:multiLevelType w:val="multilevel"/>
    <w:tmpl w:val="8071E3D5"/>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
    <w:nsid w:val="911540D6"/>
    <w:multiLevelType w:val="multilevel"/>
    <w:tmpl w:val="911540D6"/>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2">
    <w:nsid w:val="98A5AD0D"/>
    <w:multiLevelType w:val="singleLevel"/>
    <w:tmpl w:val="98A5AD0D"/>
    <w:lvl w:ilvl="0" w:tentative="0">
      <w:start w:val="5"/>
      <w:numFmt w:val="chineseCounting"/>
      <w:suff w:val="nothing"/>
      <w:lvlText w:val="（%1）"/>
      <w:lvlJc w:val="left"/>
      <w:rPr>
        <w:rFonts w:hint="eastAsia"/>
      </w:rPr>
    </w:lvl>
  </w:abstractNum>
  <w:abstractNum w:abstractNumId="3">
    <w:nsid w:val="C23E660D"/>
    <w:multiLevelType w:val="multilevel"/>
    <w:tmpl w:val="C23E660D"/>
    <w:lvl w:ilvl="0" w:tentative="0">
      <w:start w:val="1"/>
      <w:numFmt w:val="decimal"/>
      <w:lvlText w:val="%1."/>
      <w:lvlJc w:val="left"/>
      <w:pPr>
        <w:ind w:left="425" w:hanging="425"/>
      </w:pPr>
      <w:rPr>
        <w:rFonts w:hint="default"/>
      </w:rPr>
    </w:lvl>
    <w:lvl w:ilvl="1" w:tentative="0">
      <w:start w:val="1"/>
      <w:numFmt w:val="decimal"/>
      <w:lvlText w:val="%1.%2."/>
      <w:lvlJc w:val="left"/>
      <w:pPr>
        <w:ind w:left="35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4">
    <w:nsid w:val="C9795252"/>
    <w:multiLevelType w:val="singleLevel"/>
    <w:tmpl w:val="C9795252"/>
    <w:lvl w:ilvl="0" w:tentative="0">
      <w:start w:val="1"/>
      <w:numFmt w:val="chineseCounting"/>
      <w:suff w:val="nothing"/>
      <w:lvlText w:val="%1、"/>
      <w:lvlJc w:val="left"/>
      <w:pPr>
        <w:ind w:left="0" w:firstLine="420"/>
      </w:pPr>
      <w:rPr>
        <w:rFonts w:hint="eastAsia"/>
      </w:rPr>
    </w:lvl>
  </w:abstractNum>
  <w:abstractNum w:abstractNumId="5">
    <w:nsid w:val="FFFFFF7E"/>
    <w:multiLevelType w:val="singleLevel"/>
    <w:tmpl w:val="FFFFFF7E"/>
    <w:lvl w:ilvl="0" w:tentative="0">
      <w:start w:val="1"/>
      <w:numFmt w:val="decimal"/>
      <w:pStyle w:val="22"/>
      <w:lvlText w:val="%1."/>
      <w:lvlJc w:val="left"/>
      <w:pPr>
        <w:tabs>
          <w:tab w:val="left" w:pos="1200"/>
        </w:tabs>
        <w:ind w:left="1200" w:hanging="360"/>
      </w:pPr>
    </w:lvl>
  </w:abstractNum>
  <w:abstractNum w:abstractNumId="6">
    <w:nsid w:val="4034AC53"/>
    <w:multiLevelType w:val="singleLevel"/>
    <w:tmpl w:val="4034AC53"/>
    <w:lvl w:ilvl="0" w:tentative="0">
      <w:start w:val="2"/>
      <w:numFmt w:val="chineseCounting"/>
      <w:suff w:val="space"/>
      <w:lvlText w:val="第%1章"/>
      <w:lvlJc w:val="left"/>
      <w:rPr>
        <w:rFonts w:hint="eastAsia"/>
      </w:rPr>
    </w:lvl>
  </w:abstractNum>
  <w:abstractNum w:abstractNumId="7">
    <w:nsid w:val="51FA1A31"/>
    <w:multiLevelType w:val="multilevel"/>
    <w:tmpl w:val="51FA1A31"/>
    <w:lvl w:ilvl="0" w:tentative="0">
      <w:start w:val="1"/>
      <w:numFmt w:val="japaneseCounting"/>
      <w:pStyle w:val="15"/>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54F403B5"/>
    <w:multiLevelType w:val="singleLevel"/>
    <w:tmpl w:val="54F403B5"/>
    <w:lvl w:ilvl="0" w:tentative="0">
      <w:start w:val="1"/>
      <w:numFmt w:val="chineseCounting"/>
      <w:suff w:val="nothing"/>
      <w:lvlText w:val="%1、"/>
      <w:lvlJc w:val="left"/>
    </w:lvl>
  </w:abstractNum>
  <w:abstractNum w:abstractNumId="9">
    <w:nsid w:val="557FD3DA"/>
    <w:multiLevelType w:val="singleLevel"/>
    <w:tmpl w:val="557FD3DA"/>
    <w:lvl w:ilvl="0" w:tentative="0">
      <w:start w:val="3"/>
      <w:numFmt w:val="chineseCounting"/>
      <w:suff w:val="nothing"/>
      <w:lvlText w:val="%1、"/>
      <w:lvlJc w:val="left"/>
    </w:lvl>
  </w:abstractNum>
  <w:abstractNum w:abstractNumId="10">
    <w:nsid w:val="6B1F614D"/>
    <w:multiLevelType w:val="singleLevel"/>
    <w:tmpl w:val="6B1F614D"/>
    <w:lvl w:ilvl="0" w:tentative="0">
      <w:start w:val="1"/>
      <w:numFmt w:val="decimal"/>
      <w:suff w:val="nothing"/>
      <w:lvlText w:val="%1、"/>
      <w:lvlJc w:val="left"/>
    </w:lvl>
  </w:abstractNum>
  <w:abstractNum w:abstractNumId="11">
    <w:nsid w:val="6C55AEE8"/>
    <w:multiLevelType w:val="singleLevel"/>
    <w:tmpl w:val="6C55AEE8"/>
    <w:lvl w:ilvl="0" w:tentative="0">
      <w:start w:val="1"/>
      <w:numFmt w:val="decimal"/>
      <w:suff w:val="nothing"/>
      <w:lvlText w:val="%1、"/>
      <w:lvlJc w:val="left"/>
    </w:lvl>
  </w:abstractNum>
  <w:abstractNum w:abstractNumId="12">
    <w:nsid w:val="79174BA8"/>
    <w:multiLevelType w:val="multilevel"/>
    <w:tmpl w:val="79174BA8"/>
    <w:lvl w:ilvl="0" w:tentative="0">
      <w:start w:val="1"/>
      <w:numFmt w:val="decimal"/>
      <w:lvlText w:val="2.%1."/>
      <w:lvlJc w:val="left"/>
      <w:pPr>
        <w:ind w:left="838" w:hanging="420"/>
      </w:pPr>
      <w:rPr>
        <w:rFonts w:hint="eastAsia"/>
      </w:rPr>
    </w:lvl>
    <w:lvl w:ilvl="1" w:tentative="0">
      <w:start w:val="1"/>
      <w:numFmt w:val="lowerLetter"/>
      <w:lvlText w:val="%2)"/>
      <w:lvlJc w:val="left"/>
      <w:pPr>
        <w:ind w:left="1258" w:hanging="420"/>
      </w:pPr>
    </w:lvl>
    <w:lvl w:ilvl="2" w:tentative="0">
      <w:start w:val="1"/>
      <w:numFmt w:val="lowerRoman"/>
      <w:lvlText w:val="%3."/>
      <w:lvlJc w:val="right"/>
      <w:pPr>
        <w:ind w:left="1678" w:hanging="420"/>
      </w:pPr>
    </w:lvl>
    <w:lvl w:ilvl="3" w:tentative="0">
      <w:start w:val="1"/>
      <w:numFmt w:val="decimal"/>
      <w:lvlText w:val="%4."/>
      <w:lvlJc w:val="left"/>
      <w:pPr>
        <w:ind w:left="2098" w:hanging="420"/>
      </w:pPr>
    </w:lvl>
    <w:lvl w:ilvl="4" w:tentative="0">
      <w:start w:val="1"/>
      <w:numFmt w:val="lowerLetter"/>
      <w:lvlText w:val="%5)"/>
      <w:lvlJc w:val="left"/>
      <w:pPr>
        <w:ind w:left="2518" w:hanging="420"/>
      </w:pPr>
    </w:lvl>
    <w:lvl w:ilvl="5" w:tentative="0">
      <w:start w:val="1"/>
      <w:numFmt w:val="lowerRoman"/>
      <w:lvlText w:val="%6."/>
      <w:lvlJc w:val="right"/>
      <w:pPr>
        <w:ind w:left="2938" w:hanging="420"/>
      </w:pPr>
    </w:lvl>
    <w:lvl w:ilvl="6" w:tentative="0">
      <w:start w:val="1"/>
      <w:numFmt w:val="decimal"/>
      <w:lvlText w:val="%7."/>
      <w:lvlJc w:val="left"/>
      <w:pPr>
        <w:ind w:left="3358" w:hanging="420"/>
      </w:pPr>
    </w:lvl>
    <w:lvl w:ilvl="7" w:tentative="0">
      <w:start w:val="1"/>
      <w:numFmt w:val="lowerLetter"/>
      <w:lvlText w:val="%8)"/>
      <w:lvlJc w:val="left"/>
      <w:pPr>
        <w:ind w:left="3778" w:hanging="420"/>
      </w:pPr>
    </w:lvl>
    <w:lvl w:ilvl="8" w:tentative="0">
      <w:start w:val="1"/>
      <w:numFmt w:val="lowerRoman"/>
      <w:lvlText w:val="%9."/>
      <w:lvlJc w:val="right"/>
      <w:pPr>
        <w:ind w:left="4198" w:hanging="420"/>
      </w:pPr>
    </w:lvl>
  </w:abstractNum>
  <w:num w:numId="1">
    <w:abstractNumId w:val="7"/>
  </w:num>
  <w:num w:numId="2">
    <w:abstractNumId w:val="5"/>
  </w:num>
  <w:num w:numId="3">
    <w:abstractNumId w:val="1"/>
  </w:num>
  <w:num w:numId="4">
    <w:abstractNumId w:val="4"/>
  </w:num>
  <w:num w:numId="5">
    <w:abstractNumId w:val="10"/>
  </w:num>
  <w:num w:numId="6">
    <w:abstractNumId w:val="0"/>
  </w:num>
  <w:num w:numId="7">
    <w:abstractNumId w:val="6"/>
  </w:num>
  <w:num w:numId="8">
    <w:abstractNumId w:val="2"/>
  </w:num>
  <w:num w:numId="9">
    <w:abstractNumId w:val="3"/>
  </w:num>
  <w:num w:numId="10">
    <w:abstractNumId w:val="12"/>
  </w:num>
  <w:num w:numId="11">
    <w:abstractNumId w:val="11"/>
  </w:num>
  <w:num w:numId="12">
    <w:abstractNumId w:val="8"/>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NotTrackMoves/>
  <w:documentProtection w:enforcement="0"/>
  <w:defaultTabStop w:val="21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
      <o:rules v:ext="edit">
        <o:r id="V:Rule1" type="connector" idref="#直接连接符 4"/>
        <o:r id="V:Rule2" type="connector" idref="#_x0000_s3084"/>
      </o:rules>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TQ2OTIwZThkYWVmZmNiZWM0MjNkMTIwNzIxZmUxN2QifQ=="/>
  </w:docVars>
  <w:rsids>
    <w:rsidRoot w:val="00C67595"/>
    <w:rsid w:val="00000868"/>
    <w:rsid w:val="00002FF3"/>
    <w:rsid w:val="00003C3C"/>
    <w:rsid w:val="000044F4"/>
    <w:rsid w:val="00005B6A"/>
    <w:rsid w:val="0000613F"/>
    <w:rsid w:val="00006676"/>
    <w:rsid w:val="00010B34"/>
    <w:rsid w:val="00010C43"/>
    <w:rsid w:val="00011214"/>
    <w:rsid w:val="000112E4"/>
    <w:rsid w:val="00011499"/>
    <w:rsid w:val="000119C5"/>
    <w:rsid w:val="00011B6C"/>
    <w:rsid w:val="00011EDD"/>
    <w:rsid w:val="00012EA4"/>
    <w:rsid w:val="00014435"/>
    <w:rsid w:val="00015C8C"/>
    <w:rsid w:val="00016F84"/>
    <w:rsid w:val="00017123"/>
    <w:rsid w:val="0001712E"/>
    <w:rsid w:val="0001791B"/>
    <w:rsid w:val="00020A3B"/>
    <w:rsid w:val="00023F05"/>
    <w:rsid w:val="000248E6"/>
    <w:rsid w:val="00024B81"/>
    <w:rsid w:val="00025EE2"/>
    <w:rsid w:val="0003103E"/>
    <w:rsid w:val="00031953"/>
    <w:rsid w:val="00033451"/>
    <w:rsid w:val="00034D4D"/>
    <w:rsid w:val="00037CD8"/>
    <w:rsid w:val="0004008C"/>
    <w:rsid w:val="000401D5"/>
    <w:rsid w:val="000417EE"/>
    <w:rsid w:val="00042977"/>
    <w:rsid w:val="00042AFD"/>
    <w:rsid w:val="00043120"/>
    <w:rsid w:val="00043142"/>
    <w:rsid w:val="000462B4"/>
    <w:rsid w:val="0004692F"/>
    <w:rsid w:val="0005070C"/>
    <w:rsid w:val="00050ADC"/>
    <w:rsid w:val="000518B8"/>
    <w:rsid w:val="00051FC1"/>
    <w:rsid w:val="00052F01"/>
    <w:rsid w:val="00054E1D"/>
    <w:rsid w:val="00055D20"/>
    <w:rsid w:val="00060047"/>
    <w:rsid w:val="00061917"/>
    <w:rsid w:val="000623FD"/>
    <w:rsid w:val="00062852"/>
    <w:rsid w:val="00063364"/>
    <w:rsid w:val="000636F8"/>
    <w:rsid w:val="00063F1A"/>
    <w:rsid w:val="00064222"/>
    <w:rsid w:val="00065016"/>
    <w:rsid w:val="00066093"/>
    <w:rsid w:val="000662AD"/>
    <w:rsid w:val="00066842"/>
    <w:rsid w:val="0007024A"/>
    <w:rsid w:val="00070975"/>
    <w:rsid w:val="000709B0"/>
    <w:rsid w:val="000718A7"/>
    <w:rsid w:val="00072638"/>
    <w:rsid w:val="0007340F"/>
    <w:rsid w:val="000736C9"/>
    <w:rsid w:val="00073C4C"/>
    <w:rsid w:val="00074B98"/>
    <w:rsid w:val="00074E55"/>
    <w:rsid w:val="00074FC4"/>
    <w:rsid w:val="00076500"/>
    <w:rsid w:val="0007718F"/>
    <w:rsid w:val="0007759B"/>
    <w:rsid w:val="0008113B"/>
    <w:rsid w:val="000856F4"/>
    <w:rsid w:val="00085D08"/>
    <w:rsid w:val="0008643D"/>
    <w:rsid w:val="00086AAA"/>
    <w:rsid w:val="000871CB"/>
    <w:rsid w:val="00087869"/>
    <w:rsid w:val="00087F2C"/>
    <w:rsid w:val="00090411"/>
    <w:rsid w:val="00091BB2"/>
    <w:rsid w:val="000928F0"/>
    <w:rsid w:val="00092DE6"/>
    <w:rsid w:val="00093B7D"/>
    <w:rsid w:val="00093EB5"/>
    <w:rsid w:val="000941A5"/>
    <w:rsid w:val="000945E3"/>
    <w:rsid w:val="000A0027"/>
    <w:rsid w:val="000A137F"/>
    <w:rsid w:val="000A24D3"/>
    <w:rsid w:val="000A4B2A"/>
    <w:rsid w:val="000A4FF5"/>
    <w:rsid w:val="000A50C0"/>
    <w:rsid w:val="000A5FDE"/>
    <w:rsid w:val="000A6697"/>
    <w:rsid w:val="000A69C1"/>
    <w:rsid w:val="000A7F08"/>
    <w:rsid w:val="000B2E80"/>
    <w:rsid w:val="000B4EDA"/>
    <w:rsid w:val="000B55B1"/>
    <w:rsid w:val="000B60F2"/>
    <w:rsid w:val="000C0619"/>
    <w:rsid w:val="000C1788"/>
    <w:rsid w:val="000C1952"/>
    <w:rsid w:val="000C3CB6"/>
    <w:rsid w:val="000C400E"/>
    <w:rsid w:val="000C4E12"/>
    <w:rsid w:val="000C51E1"/>
    <w:rsid w:val="000C52F4"/>
    <w:rsid w:val="000C6A53"/>
    <w:rsid w:val="000C743A"/>
    <w:rsid w:val="000D0A89"/>
    <w:rsid w:val="000D0CCE"/>
    <w:rsid w:val="000D1BEF"/>
    <w:rsid w:val="000D20F0"/>
    <w:rsid w:val="000D270C"/>
    <w:rsid w:val="000D3375"/>
    <w:rsid w:val="000D3BD8"/>
    <w:rsid w:val="000D3DBC"/>
    <w:rsid w:val="000D3E83"/>
    <w:rsid w:val="000D4E06"/>
    <w:rsid w:val="000D5879"/>
    <w:rsid w:val="000D5BF2"/>
    <w:rsid w:val="000E0758"/>
    <w:rsid w:val="000E1631"/>
    <w:rsid w:val="000E1EB6"/>
    <w:rsid w:val="000E2A99"/>
    <w:rsid w:val="000E43D9"/>
    <w:rsid w:val="000E4833"/>
    <w:rsid w:val="000E5BED"/>
    <w:rsid w:val="000E66F1"/>
    <w:rsid w:val="000E6EF0"/>
    <w:rsid w:val="000F00C6"/>
    <w:rsid w:val="000F200A"/>
    <w:rsid w:val="000F2A44"/>
    <w:rsid w:val="000F2E02"/>
    <w:rsid w:val="000F41DC"/>
    <w:rsid w:val="000F79F2"/>
    <w:rsid w:val="000F7AE1"/>
    <w:rsid w:val="001029B5"/>
    <w:rsid w:val="00104A23"/>
    <w:rsid w:val="00104E7B"/>
    <w:rsid w:val="001056B0"/>
    <w:rsid w:val="00106CA0"/>
    <w:rsid w:val="00111AC6"/>
    <w:rsid w:val="00111C03"/>
    <w:rsid w:val="00112556"/>
    <w:rsid w:val="00112C9C"/>
    <w:rsid w:val="001136F2"/>
    <w:rsid w:val="0011455A"/>
    <w:rsid w:val="00114F25"/>
    <w:rsid w:val="001156CC"/>
    <w:rsid w:val="00117042"/>
    <w:rsid w:val="00124174"/>
    <w:rsid w:val="00124E28"/>
    <w:rsid w:val="00124F3C"/>
    <w:rsid w:val="0012571C"/>
    <w:rsid w:val="00131164"/>
    <w:rsid w:val="0013190C"/>
    <w:rsid w:val="00131EB3"/>
    <w:rsid w:val="0013283F"/>
    <w:rsid w:val="0013300D"/>
    <w:rsid w:val="00134816"/>
    <w:rsid w:val="0013572E"/>
    <w:rsid w:val="00136E52"/>
    <w:rsid w:val="001411A8"/>
    <w:rsid w:val="00145999"/>
    <w:rsid w:val="00146849"/>
    <w:rsid w:val="00147E8D"/>
    <w:rsid w:val="00150C59"/>
    <w:rsid w:val="001512EB"/>
    <w:rsid w:val="00152CF7"/>
    <w:rsid w:val="00155885"/>
    <w:rsid w:val="0015610D"/>
    <w:rsid w:val="0015639E"/>
    <w:rsid w:val="00157136"/>
    <w:rsid w:val="001608DD"/>
    <w:rsid w:val="00160CB6"/>
    <w:rsid w:val="001632A7"/>
    <w:rsid w:val="001663C1"/>
    <w:rsid w:val="00171130"/>
    <w:rsid w:val="001714F0"/>
    <w:rsid w:val="00171705"/>
    <w:rsid w:val="00171B2C"/>
    <w:rsid w:val="0017424B"/>
    <w:rsid w:val="001749EA"/>
    <w:rsid w:val="00175FF0"/>
    <w:rsid w:val="00176AF1"/>
    <w:rsid w:val="00180135"/>
    <w:rsid w:val="001807AC"/>
    <w:rsid w:val="00180943"/>
    <w:rsid w:val="0018285A"/>
    <w:rsid w:val="00183E56"/>
    <w:rsid w:val="00184955"/>
    <w:rsid w:val="00185BE6"/>
    <w:rsid w:val="001862F8"/>
    <w:rsid w:val="00186C73"/>
    <w:rsid w:val="00187CA1"/>
    <w:rsid w:val="001902C8"/>
    <w:rsid w:val="00190A51"/>
    <w:rsid w:val="00191C4B"/>
    <w:rsid w:val="001942A1"/>
    <w:rsid w:val="001961BA"/>
    <w:rsid w:val="001963C7"/>
    <w:rsid w:val="00196E8A"/>
    <w:rsid w:val="001A3799"/>
    <w:rsid w:val="001A385B"/>
    <w:rsid w:val="001A45C5"/>
    <w:rsid w:val="001A5907"/>
    <w:rsid w:val="001A78E7"/>
    <w:rsid w:val="001B024B"/>
    <w:rsid w:val="001B1462"/>
    <w:rsid w:val="001B31E0"/>
    <w:rsid w:val="001B333B"/>
    <w:rsid w:val="001B4756"/>
    <w:rsid w:val="001B598A"/>
    <w:rsid w:val="001B6161"/>
    <w:rsid w:val="001C01C4"/>
    <w:rsid w:val="001C1EF5"/>
    <w:rsid w:val="001C2AE0"/>
    <w:rsid w:val="001C2C06"/>
    <w:rsid w:val="001C2E1A"/>
    <w:rsid w:val="001C2F33"/>
    <w:rsid w:val="001C585A"/>
    <w:rsid w:val="001C5F4C"/>
    <w:rsid w:val="001C6AA7"/>
    <w:rsid w:val="001D15FA"/>
    <w:rsid w:val="001D3D2D"/>
    <w:rsid w:val="001D60F8"/>
    <w:rsid w:val="001D6C3A"/>
    <w:rsid w:val="001E0DAD"/>
    <w:rsid w:val="001E0EB3"/>
    <w:rsid w:val="001E14EA"/>
    <w:rsid w:val="001E2F45"/>
    <w:rsid w:val="001E31F8"/>
    <w:rsid w:val="001E3FCE"/>
    <w:rsid w:val="001F02A5"/>
    <w:rsid w:val="001F2692"/>
    <w:rsid w:val="001F32E4"/>
    <w:rsid w:val="001F5A4E"/>
    <w:rsid w:val="001F6A15"/>
    <w:rsid w:val="001F7336"/>
    <w:rsid w:val="001F7997"/>
    <w:rsid w:val="002001BC"/>
    <w:rsid w:val="002004C0"/>
    <w:rsid w:val="00200E8E"/>
    <w:rsid w:val="002012BC"/>
    <w:rsid w:val="002033CF"/>
    <w:rsid w:val="00203D55"/>
    <w:rsid w:val="00204712"/>
    <w:rsid w:val="00205048"/>
    <w:rsid w:val="00206B06"/>
    <w:rsid w:val="00210F56"/>
    <w:rsid w:val="00211484"/>
    <w:rsid w:val="002116AA"/>
    <w:rsid w:val="00211B35"/>
    <w:rsid w:val="00211F5E"/>
    <w:rsid w:val="00212194"/>
    <w:rsid w:val="00214014"/>
    <w:rsid w:val="0021426B"/>
    <w:rsid w:val="00214F3B"/>
    <w:rsid w:val="00215167"/>
    <w:rsid w:val="00215261"/>
    <w:rsid w:val="0021582A"/>
    <w:rsid w:val="00216784"/>
    <w:rsid w:val="00216A4B"/>
    <w:rsid w:val="00216AF8"/>
    <w:rsid w:val="002172A3"/>
    <w:rsid w:val="00220675"/>
    <w:rsid w:val="002214C3"/>
    <w:rsid w:val="00221609"/>
    <w:rsid w:val="00221DE0"/>
    <w:rsid w:val="002237F5"/>
    <w:rsid w:val="00225B70"/>
    <w:rsid w:val="0022638E"/>
    <w:rsid w:val="002266AF"/>
    <w:rsid w:val="0022764B"/>
    <w:rsid w:val="002310E4"/>
    <w:rsid w:val="00231165"/>
    <w:rsid w:val="002321B2"/>
    <w:rsid w:val="00232EC1"/>
    <w:rsid w:val="002331D8"/>
    <w:rsid w:val="0023367C"/>
    <w:rsid w:val="0023556C"/>
    <w:rsid w:val="0023594C"/>
    <w:rsid w:val="0023766E"/>
    <w:rsid w:val="002402E9"/>
    <w:rsid w:val="00240907"/>
    <w:rsid w:val="002437FB"/>
    <w:rsid w:val="00245739"/>
    <w:rsid w:val="0024712C"/>
    <w:rsid w:val="00250561"/>
    <w:rsid w:val="00251DDD"/>
    <w:rsid w:val="00254D47"/>
    <w:rsid w:val="00255D0F"/>
    <w:rsid w:val="00257251"/>
    <w:rsid w:val="00260DF2"/>
    <w:rsid w:val="00261255"/>
    <w:rsid w:val="0026292E"/>
    <w:rsid w:val="00263176"/>
    <w:rsid w:val="00266055"/>
    <w:rsid w:val="00266D9C"/>
    <w:rsid w:val="0026746C"/>
    <w:rsid w:val="002705BE"/>
    <w:rsid w:val="00270CF7"/>
    <w:rsid w:val="00270F20"/>
    <w:rsid w:val="00271A16"/>
    <w:rsid w:val="00272EC3"/>
    <w:rsid w:val="00273015"/>
    <w:rsid w:val="0027337F"/>
    <w:rsid w:val="00274258"/>
    <w:rsid w:val="00274F22"/>
    <w:rsid w:val="002754FB"/>
    <w:rsid w:val="00276170"/>
    <w:rsid w:val="00276513"/>
    <w:rsid w:val="002800F9"/>
    <w:rsid w:val="00281184"/>
    <w:rsid w:val="00281E16"/>
    <w:rsid w:val="0028553D"/>
    <w:rsid w:val="0028590F"/>
    <w:rsid w:val="0028632D"/>
    <w:rsid w:val="002864B8"/>
    <w:rsid w:val="0029034A"/>
    <w:rsid w:val="00290975"/>
    <w:rsid w:val="00292EB5"/>
    <w:rsid w:val="0029485F"/>
    <w:rsid w:val="002A0E86"/>
    <w:rsid w:val="002A50EB"/>
    <w:rsid w:val="002A521B"/>
    <w:rsid w:val="002A5FDC"/>
    <w:rsid w:val="002A62CD"/>
    <w:rsid w:val="002A6348"/>
    <w:rsid w:val="002A673A"/>
    <w:rsid w:val="002B0D8A"/>
    <w:rsid w:val="002B463C"/>
    <w:rsid w:val="002B5C0A"/>
    <w:rsid w:val="002B73C5"/>
    <w:rsid w:val="002B7CC9"/>
    <w:rsid w:val="002C201B"/>
    <w:rsid w:val="002C2BFF"/>
    <w:rsid w:val="002C2C79"/>
    <w:rsid w:val="002C2D68"/>
    <w:rsid w:val="002C3195"/>
    <w:rsid w:val="002C3490"/>
    <w:rsid w:val="002C4048"/>
    <w:rsid w:val="002C4195"/>
    <w:rsid w:val="002C4CA1"/>
    <w:rsid w:val="002C5920"/>
    <w:rsid w:val="002C7739"/>
    <w:rsid w:val="002D0334"/>
    <w:rsid w:val="002D1096"/>
    <w:rsid w:val="002D30D0"/>
    <w:rsid w:val="002D3A29"/>
    <w:rsid w:val="002D3DE7"/>
    <w:rsid w:val="002D3F86"/>
    <w:rsid w:val="002D40B4"/>
    <w:rsid w:val="002D4599"/>
    <w:rsid w:val="002D62B8"/>
    <w:rsid w:val="002D6ED5"/>
    <w:rsid w:val="002D7E08"/>
    <w:rsid w:val="002E3DB0"/>
    <w:rsid w:val="002E4582"/>
    <w:rsid w:val="002E49D7"/>
    <w:rsid w:val="002E608E"/>
    <w:rsid w:val="002E6D2B"/>
    <w:rsid w:val="002E7AFC"/>
    <w:rsid w:val="002E7E1D"/>
    <w:rsid w:val="002F0A31"/>
    <w:rsid w:val="002F0B10"/>
    <w:rsid w:val="002F22D6"/>
    <w:rsid w:val="002F46AD"/>
    <w:rsid w:val="002F6D21"/>
    <w:rsid w:val="003023D9"/>
    <w:rsid w:val="003034C4"/>
    <w:rsid w:val="00303B30"/>
    <w:rsid w:val="003070E6"/>
    <w:rsid w:val="00311A5D"/>
    <w:rsid w:val="00312FB3"/>
    <w:rsid w:val="0031350D"/>
    <w:rsid w:val="003146C2"/>
    <w:rsid w:val="00314A13"/>
    <w:rsid w:val="00314F8A"/>
    <w:rsid w:val="003158C1"/>
    <w:rsid w:val="00315A4D"/>
    <w:rsid w:val="003163D4"/>
    <w:rsid w:val="00316CBA"/>
    <w:rsid w:val="00320024"/>
    <w:rsid w:val="00322380"/>
    <w:rsid w:val="0032517A"/>
    <w:rsid w:val="00326214"/>
    <w:rsid w:val="0032659B"/>
    <w:rsid w:val="00326C39"/>
    <w:rsid w:val="00326F34"/>
    <w:rsid w:val="00327B44"/>
    <w:rsid w:val="00330637"/>
    <w:rsid w:val="00331439"/>
    <w:rsid w:val="0033382F"/>
    <w:rsid w:val="0033557B"/>
    <w:rsid w:val="0033750D"/>
    <w:rsid w:val="003375B0"/>
    <w:rsid w:val="00340753"/>
    <w:rsid w:val="00340EF0"/>
    <w:rsid w:val="00341BA6"/>
    <w:rsid w:val="0034299D"/>
    <w:rsid w:val="003446A7"/>
    <w:rsid w:val="0034565D"/>
    <w:rsid w:val="003462B2"/>
    <w:rsid w:val="003471ED"/>
    <w:rsid w:val="003476F2"/>
    <w:rsid w:val="00350FAA"/>
    <w:rsid w:val="00351FA7"/>
    <w:rsid w:val="0035270E"/>
    <w:rsid w:val="00353D48"/>
    <w:rsid w:val="00353D4B"/>
    <w:rsid w:val="00357213"/>
    <w:rsid w:val="00360259"/>
    <w:rsid w:val="00360275"/>
    <w:rsid w:val="00361B16"/>
    <w:rsid w:val="00361F22"/>
    <w:rsid w:val="00362B9B"/>
    <w:rsid w:val="00364900"/>
    <w:rsid w:val="00367043"/>
    <w:rsid w:val="00367868"/>
    <w:rsid w:val="003705EE"/>
    <w:rsid w:val="003726C9"/>
    <w:rsid w:val="00374661"/>
    <w:rsid w:val="00374AFA"/>
    <w:rsid w:val="0037688E"/>
    <w:rsid w:val="00376CC4"/>
    <w:rsid w:val="00382685"/>
    <w:rsid w:val="00382D2E"/>
    <w:rsid w:val="003831B5"/>
    <w:rsid w:val="003833E2"/>
    <w:rsid w:val="00383CBF"/>
    <w:rsid w:val="00384211"/>
    <w:rsid w:val="003857B1"/>
    <w:rsid w:val="003859CB"/>
    <w:rsid w:val="0038631D"/>
    <w:rsid w:val="00391146"/>
    <w:rsid w:val="0039180D"/>
    <w:rsid w:val="00391E5A"/>
    <w:rsid w:val="00393A7B"/>
    <w:rsid w:val="00393B51"/>
    <w:rsid w:val="003940A9"/>
    <w:rsid w:val="003945FE"/>
    <w:rsid w:val="00394AE3"/>
    <w:rsid w:val="00395629"/>
    <w:rsid w:val="00397632"/>
    <w:rsid w:val="00397A22"/>
    <w:rsid w:val="003A35DE"/>
    <w:rsid w:val="003A368B"/>
    <w:rsid w:val="003A55E2"/>
    <w:rsid w:val="003A65FE"/>
    <w:rsid w:val="003A7D8E"/>
    <w:rsid w:val="003B0C2A"/>
    <w:rsid w:val="003B130E"/>
    <w:rsid w:val="003B296C"/>
    <w:rsid w:val="003C2E82"/>
    <w:rsid w:val="003C4C6A"/>
    <w:rsid w:val="003C542B"/>
    <w:rsid w:val="003C6088"/>
    <w:rsid w:val="003C6925"/>
    <w:rsid w:val="003C6F5B"/>
    <w:rsid w:val="003C704B"/>
    <w:rsid w:val="003C7C88"/>
    <w:rsid w:val="003D1D29"/>
    <w:rsid w:val="003D1E74"/>
    <w:rsid w:val="003D38BD"/>
    <w:rsid w:val="003D3F8F"/>
    <w:rsid w:val="003D44ED"/>
    <w:rsid w:val="003D7B96"/>
    <w:rsid w:val="003E25C9"/>
    <w:rsid w:val="003E3291"/>
    <w:rsid w:val="003E4A05"/>
    <w:rsid w:val="003E5218"/>
    <w:rsid w:val="003E62A6"/>
    <w:rsid w:val="003E6BD1"/>
    <w:rsid w:val="003F00F1"/>
    <w:rsid w:val="003F0752"/>
    <w:rsid w:val="003F08DD"/>
    <w:rsid w:val="003F095C"/>
    <w:rsid w:val="003F32EA"/>
    <w:rsid w:val="003F3578"/>
    <w:rsid w:val="003F361B"/>
    <w:rsid w:val="003F47CC"/>
    <w:rsid w:val="003F4E9D"/>
    <w:rsid w:val="00401095"/>
    <w:rsid w:val="00401627"/>
    <w:rsid w:val="00401A1A"/>
    <w:rsid w:val="00404445"/>
    <w:rsid w:val="00404C20"/>
    <w:rsid w:val="00405C98"/>
    <w:rsid w:val="004101FC"/>
    <w:rsid w:val="00410FAF"/>
    <w:rsid w:val="004114AA"/>
    <w:rsid w:val="0041237D"/>
    <w:rsid w:val="00412CD1"/>
    <w:rsid w:val="00412DD5"/>
    <w:rsid w:val="00413F4C"/>
    <w:rsid w:val="00415698"/>
    <w:rsid w:val="004156B5"/>
    <w:rsid w:val="00417BE9"/>
    <w:rsid w:val="00420F8D"/>
    <w:rsid w:val="004214B5"/>
    <w:rsid w:val="004222FB"/>
    <w:rsid w:val="004225B5"/>
    <w:rsid w:val="00423ECD"/>
    <w:rsid w:val="004250BA"/>
    <w:rsid w:val="004256E8"/>
    <w:rsid w:val="004267A0"/>
    <w:rsid w:val="00430924"/>
    <w:rsid w:val="004313B2"/>
    <w:rsid w:val="00431CF0"/>
    <w:rsid w:val="0043214E"/>
    <w:rsid w:val="00437762"/>
    <w:rsid w:val="004400E1"/>
    <w:rsid w:val="00440709"/>
    <w:rsid w:val="004409B0"/>
    <w:rsid w:val="004410F2"/>
    <w:rsid w:val="0044176C"/>
    <w:rsid w:val="004426D3"/>
    <w:rsid w:val="004432C4"/>
    <w:rsid w:val="00443E49"/>
    <w:rsid w:val="00444E81"/>
    <w:rsid w:val="004453B9"/>
    <w:rsid w:val="004461E1"/>
    <w:rsid w:val="004466ED"/>
    <w:rsid w:val="00446898"/>
    <w:rsid w:val="00451372"/>
    <w:rsid w:val="00451D14"/>
    <w:rsid w:val="00453177"/>
    <w:rsid w:val="0045398A"/>
    <w:rsid w:val="004548E3"/>
    <w:rsid w:val="00455FB6"/>
    <w:rsid w:val="00456AB9"/>
    <w:rsid w:val="00456ABD"/>
    <w:rsid w:val="00457046"/>
    <w:rsid w:val="00457A35"/>
    <w:rsid w:val="00461435"/>
    <w:rsid w:val="004658A1"/>
    <w:rsid w:val="0046601C"/>
    <w:rsid w:val="0047000B"/>
    <w:rsid w:val="00470411"/>
    <w:rsid w:val="00470989"/>
    <w:rsid w:val="00472A6B"/>
    <w:rsid w:val="004730CD"/>
    <w:rsid w:val="00474734"/>
    <w:rsid w:val="004753EA"/>
    <w:rsid w:val="00477067"/>
    <w:rsid w:val="0047764D"/>
    <w:rsid w:val="00482362"/>
    <w:rsid w:val="00483AF6"/>
    <w:rsid w:val="004845BA"/>
    <w:rsid w:val="004851B1"/>
    <w:rsid w:val="00487C38"/>
    <w:rsid w:val="00487EA8"/>
    <w:rsid w:val="00491467"/>
    <w:rsid w:val="00491686"/>
    <w:rsid w:val="00492C3D"/>
    <w:rsid w:val="004935F5"/>
    <w:rsid w:val="00493D52"/>
    <w:rsid w:val="004945C0"/>
    <w:rsid w:val="00495508"/>
    <w:rsid w:val="00496347"/>
    <w:rsid w:val="00497042"/>
    <w:rsid w:val="0049757D"/>
    <w:rsid w:val="004A193D"/>
    <w:rsid w:val="004A29C6"/>
    <w:rsid w:val="004A339A"/>
    <w:rsid w:val="004A33C5"/>
    <w:rsid w:val="004A3408"/>
    <w:rsid w:val="004A3427"/>
    <w:rsid w:val="004A35EC"/>
    <w:rsid w:val="004A63AD"/>
    <w:rsid w:val="004A6CD4"/>
    <w:rsid w:val="004A763F"/>
    <w:rsid w:val="004B1146"/>
    <w:rsid w:val="004B5BDD"/>
    <w:rsid w:val="004C024F"/>
    <w:rsid w:val="004C19B1"/>
    <w:rsid w:val="004C1A50"/>
    <w:rsid w:val="004C1B3D"/>
    <w:rsid w:val="004C3C1F"/>
    <w:rsid w:val="004C423E"/>
    <w:rsid w:val="004D07AC"/>
    <w:rsid w:val="004D3047"/>
    <w:rsid w:val="004D3105"/>
    <w:rsid w:val="004D4F09"/>
    <w:rsid w:val="004D5556"/>
    <w:rsid w:val="004D688A"/>
    <w:rsid w:val="004D7812"/>
    <w:rsid w:val="004D7E27"/>
    <w:rsid w:val="004E15CA"/>
    <w:rsid w:val="004E180E"/>
    <w:rsid w:val="004E3AAC"/>
    <w:rsid w:val="004E3F53"/>
    <w:rsid w:val="004E443A"/>
    <w:rsid w:val="004E44BE"/>
    <w:rsid w:val="004E49CF"/>
    <w:rsid w:val="004E7026"/>
    <w:rsid w:val="004E7946"/>
    <w:rsid w:val="004F054E"/>
    <w:rsid w:val="004F5EEB"/>
    <w:rsid w:val="004F6AAA"/>
    <w:rsid w:val="004F7EA8"/>
    <w:rsid w:val="00501FF8"/>
    <w:rsid w:val="00502E02"/>
    <w:rsid w:val="00504332"/>
    <w:rsid w:val="00504E3A"/>
    <w:rsid w:val="00507566"/>
    <w:rsid w:val="005101D0"/>
    <w:rsid w:val="0051205B"/>
    <w:rsid w:val="00512C76"/>
    <w:rsid w:val="00512DE6"/>
    <w:rsid w:val="00513791"/>
    <w:rsid w:val="00513EE1"/>
    <w:rsid w:val="0051455D"/>
    <w:rsid w:val="005167B7"/>
    <w:rsid w:val="00520BD0"/>
    <w:rsid w:val="00521558"/>
    <w:rsid w:val="00521FA8"/>
    <w:rsid w:val="00521FF6"/>
    <w:rsid w:val="005229E2"/>
    <w:rsid w:val="00523056"/>
    <w:rsid w:val="005232C5"/>
    <w:rsid w:val="0052346E"/>
    <w:rsid w:val="005235A4"/>
    <w:rsid w:val="0052684A"/>
    <w:rsid w:val="00526FB9"/>
    <w:rsid w:val="005309B4"/>
    <w:rsid w:val="005312BB"/>
    <w:rsid w:val="00531DB4"/>
    <w:rsid w:val="00532778"/>
    <w:rsid w:val="00532B2C"/>
    <w:rsid w:val="0053361C"/>
    <w:rsid w:val="00533812"/>
    <w:rsid w:val="005340B2"/>
    <w:rsid w:val="0053506B"/>
    <w:rsid w:val="00535AFE"/>
    <w:rsid w:val="00536684"/>
    <w:rsid w:val="00536B9E"/>
    <w:rsid w:val="00536FC0"/>
    <w:rsid w:val="00537646"/>
    <w:rsid w:val="005432E2"/>
    <w:rsid w:val="005450F7"/>
    <w:rsid w:val="00545D29"/>
    <w:rsid w:val="0054671E"/>
    <w:rsid w:val="0054707A"/>
    <w:rsid w:val="005471EA"/>
    <w:rsid w:val="005474F2"/>
    <w:rsid w:val="00551A9F"/>
    <w:rsid w:val="00551FAE"/>
    <w:rsid w:val="005520FF"/>
    <w:rsid w:val="0055338C"/>
    <w:rsid w:val="00553EF5"/>
    <w:rsid w:val="00555250"/>
    <w:rsid w:val="005577EC"/>
    <w:rsid w:val="005579A1"/>
    <w:rsid w:val="00560272"/>
    <w:rsid w:val="00562FE2"/>
    <w:rsid w:val="00563D15"/>
    <w:rsid w:val="00564533"/>
    <w:rsid w:val="00566FF8"/>
    <w:rsid w:val="0056771B"/>
    <w:rsid w:val="00567FD0"/>
    <w:rsid w:val="005719F3"/>
    <w:rsid w:val="00571C2F"/>
    <w:rsid w:val="00572072"/>
    <w:rsid w:val="00572649"/>
    <w:rsid w:val="00572C44"/>
    <w:rsid w:val="00576E0E"/>
    <w:rsid w:val="00577099"/>
    <w:rsid w:val="005774DA"/>
    <w:rsid w:val="00583887"/>
    <w:rsid w:val="00583E2C"/>
    <w:rsid w:val="005844A7"/>
    <w:rsid w:val="00584C25"/>
    <w:rsid w:val="0058575C"/>
    <w:rsid w:val="00585FD8"/>
    <w:rsid w:val="0058700F"/>
    <w:rsid w:val="00591922"/>
    <w:rsid w:val="00594791"/>
    <w:rsid w:val="005955B8"/>
    <w:rsid w:val="00596EB2"/>
    <w:rsid w:val="00597102"/>
    <w:rsid w:val="00597843"/>
    <w:rsid w:val="005979E9"/>
    <w:rsid w:val="00597A7A"/>
    <w:rsid w:val="005A102D"/>
    <w:rsid w:val="005A23B9"/>
    <w:rsid w:val="005A422B"/>
    <w:rsid w:val="005A4EA4"/>
    <w:rsid w:val="005A76B0"/>
    <w:rsid w:val="005B0DAB"/>
    <w:rsid w:val="005B26C5"/>
    <w:rsid w:val="005B432B"/>
    <w:rsid w:val="005B4A70"/>
    <w:rsid w:val="005B5A68"/>
    <w:rsid w:val="005B6616"/>
    <w:rsid w:val="005B67AE"/>
    <w:rsid w:val="005B7C00"/>
    <w:rsid w:val="005B7EB7"/>
    <w:rsid w:val="005B7F47"/>
    <w:rsid w:val="005C020F"/>
    <w:rsid w:val="005C0E52"/>
    <w:rsid w:val="005C1C87"/>
    <w:rsid w:val="005C25DD"/>
    <w:rsid w:val="005C34B9"/>
    <w:rsid w:val="005C3A36"/>
    <w:rsid w:val="005C4729"/>
    <w:rsid w:val="005C6DB7"/>
    <w:rsid w:val="005C75FA"/>
    <w:rsid w:val="005D0B4F"/>
    <w:rsid w:val="005D19DC"/>
    <w:rsid w:val="005D2A4D"/>
    <w:rsid w:val="005D3740"/>
    <w:rsid w:val="005D3A36"/>
    <w:rsid w:val="005D3D54"/>
    <w:rsid w:val="005D46E1"/>
    <w:rsid w:val="005D4DE6"/>
    <w:rsid w:val="005D5F44"/>
    <w:rsid w:val="005D6F33"/>
    <w:rsid w:val="005D799D"/>
    <w:rsid w:val="005E1036"/>
    <w:rsid w:val="005E250B"/>
    <w:rsid w:val="005E30E2"/>
    <w:rsid w:val="005E5615"/>
    <w:rsid w:val="005E60BB"/>
    <w:rsid w:val="005E7161"/>
    <w:rsid w:val="005F05EE"/>
    <w:rsid w:val="005F20C7"/>
    <w:rsid w:val="005F22D0"/>
    <w:rsid w:val="005F27D0"/>
    <w:rsid w:val="005F3F1A"/>
    <w:rsid w:val="005F51B4"/>
    <w:rsid w:val="005F5253"/>
    <w:rsid w:val="005F55D0"/>
    <w:rsid w:val="005F6215"/>
    <w:rsid w:val="005F6C9E"/>
    <w:rsid w:val="005F6CC1"/>
    <w:rsid w:val="005F6F6C"/>
    <w:rsid w:val="005F7B25"/>
    <w:rsid w:val="006003FA"/>
    <w:rsid w:val="00600451"/>
    <w:rsid w:val="006016E9"/>
    <w:rsid w:val="006018C4"/>
    <w:rsid w:val="0060344C"/>
    <w:rsid w:val="006034EC"/>
    <w:rsid w:val="0060465A"/>
    <w:rsid w:val="006061EE"/>
    <w:rsid w:val="00606717"/>
    <w:rsid w:val="0060733C"/>
    <w:rsid w:val="00610BBA"/>
    <w:rsid w:val="00612183"/>
    <w:rsid w:val="006122BB"/>
    <w:rsid w:val="0061389F"/>
    <w:rsid w:val="00613CE4"/>
    <w:rsid w:val="00617BF8"/>
    <w:rsid w:val="00617CB5"/>
    <w:rsid w:val="00617E39"/>
    <w:rsid w:val="006212FF"/>
    <w:rsid w:val="006216C7"/>
    <w:rsid w:val="00622315"/>
    <w:rsid w:val="006239D2"/>
    <w:rsid w:val="0062434B"/>
    <w:rsid w:val="0062447E"/>
    <w:rsid w:val="00625664"/>
    <w:rsid w:val="00626086"/>
    <w:rsid w:val="006264D7"/>
    <w:rsid w:val="00626FFC"/>
    <w:rsid w:val="00627091"/>
    <w:rsid w:val="00627BB3"/>
    <w:rsid w:val="006306BD"/>
    <w:rsid w:val="0063192E"/>
    <w:rsid w:val="0063463C"/>
    <w:rsid w:val="00634C16"/>
    <w:rsid w:val="00634CF6"/>
    <w:rsid w:val="006361F8"/>
    <w:rsid w:val="006365E5"/>
    <w:rsid w:val="00636968"/>
    <w:rsid w:val="00636BB2"/>
    <w:rsid w:val="00637470"/>
    <w:rsid w:val="006374F5"/>
    <w:rsid w:val="00640D1D"/>
    <w:rsid w:val="00642E63"/>
    <w:rsid w:val="00643083"/>
    <w:rsid w:val="0064538B"/>
    <w:rsid w:val="00647897"/>
    <w:rsid w:val="0065028A"/>
    <w:rsid w:val="00650D71"/>
    <w:rsid w:val="00652459"/>
    <w:rsid w:val="006526B4"/>
    <w:rsid w:val="00653D5E"/>
    <w:rsid w:val="0065790A"/>
    <w:rsid w:val="00660207"/>
    <w:rsid w:val="0066034E"/>
    <w:rsid w:val="00661A0B"/>
    <w:rsid w:val="00662379"/>
    <w:rsid w:val="006625F1"/>
    <w:rsid w:val="006626E8"/>
    <w:rsid w:val="00662D47"/>
    <w:rsid w:val="00663202"/>
    <w:rsid w:val="0066420F"/>
    <w:rsid w:val="006653E7"/>
    <w:rsid w:val="00665EA4"/>
    <w:rsid w:val="00666A09"/>
    <w:rsid w:val="00670985"/>
    <w:rsid w:val="00670FB1"/>
    <w:rsid w:val="00672FAE"/>
    <w:rsid w:val="0067304C"/>
    <w:rsid w:val="006731F3"/>
    <w:rsid w:val="0067332C"/>
    <w:rsid w:val="006733E5"/>
    <w:rsid w:val="00673758"/>
    <w:rsid w:val="006756B6"/>
    <w:rsid w:val="00676B76"/>
    <w:rsid w:val="006771BD"/>
    <w:rsid w:val="00680805"/>
    <w:rsid w:val="00680D84"/>
    <w:rsid w:val="00685F3B"/>
    <w:rsid w:val="006867FE"/>
    <w:rsid w:val="00686DEF"/>
    <w:rsid w:val="00687D03"/>
    <w:rsid w:val="0069003B"/>
    <w:rsid w:val="00694C0D"/>
    <w:rsid w:val="00695242"/>
    <w:rsid w:val="00696549"/>
    <w:rsid w:val="0069692F"/>
    <w:rsid w:val="00696E22"/>
    <w:rsid w:val="0069719C"/>
    <w:rsid w:val="006A0193"/>
    <w:rsid w:val="006A0516"/>
    <w:rsid w:val="006A09E2"/>
    <w:rsid w:val="006A297A"/>
    <w:rsid w:val="006A5034"/>
    <w:rsid w:val="006A506E"/>
    <w:rsid w:val="006B18DF"/>
    <w:rsid w:val="006B3051"/>
    <w:rsid w:val="006B429A"/>
    <w:rsid w:val="006B526A"/>
    <w:rsid w:val="006B721F"/>
    <w:rsid w:val="006C0ED1"/>
    <w:rsid w:val="006C119A"/>
    <w:rsid w:val="006C2D6E"/>
    <w:rsid w:val="006C2E01"/>
    <w:rsid w:val="006C3040"/>
    <w:rsid w:val="006C51AB"/>
    <w:rsid w:val="006C69B4"/>
    <w:rsid w:val="006C7114"/>
    <w:rsid w:val="006C7366"/>
    <w:rsid w:val="006C769A"/>
    <w:rsid w:val="006C7F22"/>
    <w:rsid w:val="006D0625"/>
    <w:rsid w:val="006D0E7E"/>
    <w:rsid w:val="006D1AB5"/>
    <w:rsid w:val="006D1C10"/>
    <w:rsid w:val="006D3EC2"/>
    <w:rsid w:val="006D41C9"/>
    <w:rsid w:val="006D48EB"/>
    <w:rsid w:val="006D4D8B"/>
    <w:rsid w:val="006D6571"/>
    <w:rsid w:val="006D7AA7"/>
    <w:rsid w:val="006E0134"/>
    <w:rsid w:val="006E0DFA"/>
    <w:rsid w:val="006E1C93"/>
    <w:rsid w:val="006E1D94"/>
    <w:rsid w:val="006E20B4"/>
    <w:rsid w:val="006E23C2"/>
    <w:rsid w:val="006E2473"/>
    <w:rsid w:val="006E3669"/>
    <w:rsid w:val="006E3C08"/>
    <w:rsid w:val="006E46D1"/>
    <w:rsid w:val="006E4C23"/>
    <w:rsid w:val="006E4E37"/>
    <w:rsid w:val="006E5545"/>
    <w:rsid w:val="006F1882"/>
    <w:rsid w:val="006F4BE4"/>
    <w:rsid w:val="006F5954"/>
    <w:rsid w:val="006F5957"/>
    <w:rsid w:val="00700127"/>
    <w:rsid w:val="007003DE"/>
    <w:rsid w:val="00702A38"/>
    <w:rsid w:val="007047D4"/>
    <w:rsid w:val="00704857"/>
    <w:rsid w:val="00704DB1"/>
    <w:rsid w:val="007104E1"/>
    <w:rsid w:val="00711632"/>
    <w:rsid w:val="007122C6"/>
    <w:rsid w:val="007132F7"/>
    <w:rsid w:val="00714040"/>
    <w:rsid w:val="00714D00"/>
    <w:rsid w:val="0071596C"/>
    <w:rsid w:val="00720330"/>
    <w:rsid w:val="00721233"/>
    <w:rsid w:val="0072126B"/>
    <w:rsid w:val="00721428"/>
    <w:rsid w:val="00721560"/>
    <w:rsid w:val="0072159D"/>
    <w:rsid w:val="007224ED"/>
    <w:rsid w:val="00723CCF"/>
    <w:rsid w:val="007267BA"/>
    <w:rsid w:val="00726FB9"/>
    <w:rsid w:val="00727D8A"/>
    <w:rsid w:val="00731A35"/>
    <w:rsid w:val="007325C3"/>
    <w:rsid w:val="0073287D"/>
    <w:rsid w:val="00732BBD"/>
    <w:rsid w:val="00733274"/>
    <w:rsid w:val="00734C56"/>
    <w:rsid w:val="00734F91"/>
    <w:rsid w:val="007354DB"/>
    <w:rsid w:val="007355FD"/>
    <w:rsid w:val="007365F1"/>
    <w:rsid w:val="00737E26"/>
    <w:rsid w:val="00740E34"/>
    <w:rsid w:val="00743F42"/>
    <w:rsid w:val="007444CB"/>
    <w:rsid w:val="0074472E"/>
    <w:rsid w:val="00746702"/>
    <w:rsid w:val="00747A6F"/>
    <w:rsid w:val="0075030B"/>
    <w:rsid w:val="0075085C"/>
    <w:rsid w:val="00753B59"/>
    <w:rsid w:val="007556A3"/>
    <w:rsid w:val="00755C10"/>
    <w:rsid w:val="00755EDC"/>
    <w:rsid w:val="0075681F"/>
    <w:rsid w:val="007602DE"/>
    <w:rsid w:val="00760AE5"/>
    <w:rsid w:val="00762450"/>
    <w:rsid w:val="0076277F"/>
    <w:rsid w:val="00762FD9"/>
    <w:rsid w:val="00764DD1"/>
    <w:rsid w:val="00765390"/>
    <w:rsid w:val="0076602C"/>
    <w:rsid w:val="007674A5"/>
    <w:rsid w:val="00771333"/>
    <w:rsid w:val="0077177C"/>
    <w:rsid w:val="007723D5"/>
    <w:rsid w:val="00773806"/>
    <w:rsid w:val="007776CA"/>
    <w:rsid w:val="00780177"/>
    <w:rsid w:val="0078038B"/>
    <w:rsid w:val="00780B79"/>
    <w:rsid w:val="00781AAB"/>
    <w:rsid w:val="00781C39"/>
    <w:rsid w:val="0078203B"/>
    <w:rsid w:val="00782FEF"/>
    <w:rsid w:val="00783049"/>
    <w:rsid w:val="00783A8A"/>
    <w:rsid w:val="0078417B"/>
    <w:rsid w:val="00786222"/>
    <w:rsid w:val="00786753"/>
    <w:rsid w:val="00787045"/>
    <w:rsid w:val="0079078D"/>
    <w:rsid w:val="00790F1A"/>
    <w:rsid w:val="007918EB"/>
    <w:rsid w:val="00792C96"/>
    <w:rsid w:val="00792D5E"/>
    <w:rsid w:val="0079454D"/>
    <w:rsid w:val="00794ABF"/>
    <w:rsid w:val="00796572"/>
    <w:rsid w:val="00797F4B"/>
    <w:rsid w:val="007A0048"/>
    <w:rsid w:val="007A1211"/>
    <w:rsid w:val="007A166C"/>
    <w:rsid w:val="007A29E6"/>
    <w:rsid w:val="007A2DF8"/>
    <w:rsid w:val="007A2FD5"/>
    <w:rsid w:val="007A68F9"/>
    <w:rsid w:val="007A7604"/>
    <w:rsid w:val="007B125D"/>
    <w:rsid w:val="007B158D"/>
    <w:rsid w:val="007B2033"/>
    <w:rsid w:val="007B2975"/>
    <w:rsid w:val="007B31F7"/>
    <w:rsid w:val="007B3253"/>
    <w:rsid w:val="007B33D2"/>
    <w:rsid w:val="007B3A1C"/>
    <w:rsid w:val="007B4DC3"/>
    <w:rsid w:val="007B6AE9"/>
    <w:rsid w:val="007B6DE8"/>
    <w:rsid w:val="007C17C6"/>
    <w:rsid w:val="007C3D13"/>
    <w:rsid w:val="007D04E8"/>
    <w:rsid w:val="007D119B"/>
    <w:rsid w:val="007D128A"/>
    <w:rsid w:val="007D17C7"/>
    <w:rsid w:val="007D196E"/>
    <w:rsid w:val="007D41A5"/>
    <w:rsid w:val="007D51DD"/>
    <w:rsid w:val="007D62CF"/>
    <w:rsid w:val="007D6377"/>
    <w:rsid w:val="007D7120"/>
    <w:rsid w:val="007D72DD"/>
    <w:rsid w:val="007D799A"/>
    <w:rsid w:val="007E130A"/>
    <w:rsid w:val="007E218A"/>
    <w:rsid w:val="007E59D4"/>
    <w:rsid w:val="007E6EAB"/>
    <w:rsid w:val="007E7296"/>
    <w:rsid w:val="007F12CD"/>
    <w:rsid w:val="007F1C24"/>
    <w:rsid w:val="007F3706"/>
    <w:rsid w:val="007F3C74"/>
    <w:rsid w:val="007F49DD"/>
    <w:rsid w:val="007F4A8B"/>
    <w:rsid w:val="007F707D"/>
    <w:rsid w:val="007F757C"/>
    <w:rsid w:val="007F75BA"/>
    <w:rsid w:val="007F7D48"/>
    <w:rsid w:val="00800414"/>
    <w:rsid w:val="00801661"/>
    <w:rsid w:val="0080173B"/>
    <w:rsid w:val="00803D5B"/>
    <w:rsid w:val="00805DB5"/>
    <w:rsid w:val="008062BD"/>
    <w:rsid w:val="00807935"/>
    <w:rsid w:val="00807F93"/>
    <w:rsid w:val="008108E2"/>
    <w:rsid w:val="00811089"/>
    <w:rsid w:val="00812DA6"/>
    <w:rsid w:val="00814674"/>
    <w:rsid w:val="00814678"/>
    <w:rsid w:val="0081505A"/>
    <w:rsid w:val="00815B82"/>
    <w:rsid w:val="00821D23"/>
    <w:rsid w:val="008233B0"/>
    <w:rsid w:val="00826B63"/>
    <w:rsid w:val="00826EDE"/>
    <w:rsid w:val="00826F90"/>
    <w:rsid w:val="008300BD"/>
    <w:rsid w:val="008326ED"/>
    <w:rsid w:val="00832A0B"/>
    <w:rsid w:val="00832E3A"/>
    <w:rsid w:val="0083477D"/>
    <w:rsid w:val="008400FE"/>
    <w:rsid w:val="008403BC"/>
    <w:rsid w:val="0084161D"/>
    <w:rsid w:val="00844133"/>
    <w:rsid w:val="008506A3"/>
    <w:rsid w:val="0085251A"/>
    <w:rsid w:val="00852726"/>
    <w:rsid w:val="008529C4"/>
    <w:rsid w:val="00852AD5"/>
    <w:rsid w:val="00852D3F"/>
    <w:rsid w:val="00853144"/>
    <w:rsid w:val="00854F0F"/>
    <w:rsid w:val="00861FE8"/>
    <w:rsid w:val="008632BE"/>
    <w:rsid w:val="00863C21"/>
    <w:rsid w:val="00863EA8"/>
    <w:rsid w:val="00863FF2"/>
    <w:rsid w:val="00864368"/>
    <w:rsid w:val="00865BD0"/>
    <w:rsid w:val="008660BF"/>
    <w:rsid w:val="0086763B"/>
    <w:rsid w:val="00867695"/>
    <w:rsid w:val="00867DB1"/>
    <w:rsid w:val="0087228F"/>
    <w:rsid w:val="0087768F"/>
    <w:rsid w:val="0088024B"/>
    <w:rsid w:val="008802C1"/>
    <w:rsid w:val="00882E0F"/>
    <w:rsid w:val="0088545C"/>
    <w:rsid w:val="00885B7C"/>
    <w:rsid w:val="00885F21"/>
    <w:rsid w:val="00886208"/>
    <w:rsid w:val="008874B0"/>
    <w:rsid w:val="008879CF"/>
    <w:rsid w:val="0089028E"/>
    <w:rsid w:val="00890374"/>
    <w:rsid w:val="00890A34"/>
    <w:rsid w:val="008911FC"/>
    <w:rsid w:val="00891708"/>
    <w:rsid w:val="00891AA7"/>
    <w:rsid w:val="00892213"/>
    <w:rsid w:val="008934C7"/>
    <w:rsid w:val="008935EF"/>
    <w:rsid w:val="008951D6"/>
    <w:rsid w:val="0089600B"/>
    <w:rsid w:val="008976B5"/>
    <w:rsid w:val="008A1501"/>
    <w:rsid w:val="008A36DD"/>
    <w:rsid w:val="008A3F5A"/>
    <w:rsid w:val="008A7414"/>
    <w:rsid w:val="008B0984"/>
    <w:rsid w:val="008B1F00"/>
    <w:rsid w:val="008B2239"/>
    <w:rsid w:val="008B333D"/>
    <w:rsid w:val="008B47ED"/>
    <w:rsid w:val="008B6399"/>
    <w:rsid w:val="008B6EDB"/>
    <w:rsid w:val="008C1F09"/>
    <w:rsid w:val="008C22CA"/>
    <w:rsid w:val="008C2E7B"/>
    <w:rsid w:val="008C3389"/>
    <w:rsid w:val="008C35F5"/>
    <w:rsid w:val="008C462C"/>
    <w:rsid w:val="008C4831"/>
    <w:rsid w:val="008D3C76"/>
    <w:rsid w:val="008D40FE"/>
    <w:rsid w:val="008D44A6"/>
    <w:rsid w:val="008D5502"/>
    <w:rsid w:val="008D5B86"/>
    <w:rsid w:val="008D6AE9"/>
    <w:rsid w:val="008D6C1D"/>
    <w:rsid w:val="008D792D"/>
    <w:rsid w:val="008E3C9E"/>
    <w:rsid w:val="008E41E4"/>
    <w:rsid w:val="008E440F"/>
    <w:rsid w:val="008E459D"/>
    <w:rsid w:val="008E7754"/>
    <w:rsid w:val="008F019A"/>
    <w:rsid w:val="008F2266"/>
    <w:rsid w:val="008F2B87"/>
    <w:rsid w:val="008F2D70"/>
    <w:rsid w:val="008F3F27"/>
    <w:rsid w:val="008F6541"/>
    <w:rsid w:val="008F669A"/>
    <w:rsid w:val="008F6AFA"/>
    <w:rsid w:val="008F7C92"/>
    <w:rsid w:val="008F7D1A"/>
    <w:rsid w:val="00902097"/>
    <w:rsid w:val="00903445"/>
    <w:rsid w:val="009035A2"/>
    <w:rsid w:val="00903CAD"/>
    <w:rsid w:val="009063E7"/>
    <w:rsid w:val="00907B36"/>
    <w:rsid w:val="00911D00"/>
    <w:rsid w:val="00911E6D"/>
    <w:rsid w:val="009148B5"/>
    <w:rsid w:val="00914E44"/>
    <w:rsid w:val="009172A2"/>
    <w:rsid w:val="00917F98"/>
    <w:rsid w:val="009232BB"/>
    <w:rsid w:val="00923DFD"/>
    <w:rsid w:val="00924527"/>
    <w:rsid w:val="00924CD1"/>
    <w:rsid w:val="0092562D"/>
    <w:rsid w:val="00925D50"/>
    <w:rsid w:val="00926352"/>
    <w:rsid w:val="00926BC7"/>
    <w:rsid w:val="009301C6"/>
    <w:rsid w:val="00931291"/>
    <w:rsid w:val="00931AE8"/>
    <w:rsid w:val="00933D0C"/>
    <w:rsid w:val="00934086"/>
    <w:rsid w:val="009356E6"/>
    <w:rsid w:val="0094096B"/>
    <w:rsid w:val="00942355"/>
    <w:rsid w:val="00942A32"/>
    <w:rsid w:val="00944743"/>
    <w:rsid w:val="00944E03"/>
    <w:rsid w:val="009455C7"/>
    <w:rsid w:val="00945A5A"/>
    <w:rsid w:val="00945D37"/>
    <w:rsid w:val="009476E6"/>
    <w:rsid w:val="0095401B"/>
    <w:rsid w:val="009546FA"/>
    <w:rsid w:val="00954CC7"/>
    <w:rsid w:val="009550FB"/>
    <w:rsid w:val="009601CF"/>
    <w:rsid w:val="00960E78"/>
    <w:rsid w:val="00960F09"/>
    <w:rsid w:val="00961025"/>
    <w:rsid w:val="009621A3"/>
    <w:rsid w:val="00963E8A"/>
    <w:rsid w:val="0096523F"/>
    <w:rsid w:val="0096577B"/>
    <w:rsid w:val="0096772B"/>
    <w:rsid w:val="009707D3"/>
    <w:rsid w:val="00971956"/>
    <w:rsid w:val="00971C84"/>
    <w:rsid w:val="009722EC"/>
    <w:rsid w:val="0097581E"/>
    <w:rsid w:val="00977B42"/>
    <w:rsid w:val="009805B6"/>
    <w:rsid w:val="009812FB"/>
    <w:rsid w:val="00982CA1"/>
    <w:rsid w:val="00983BD8"/>
    <w:rsid w:val="009851CF"/>
    <w:rsid w:val="0098529B"/>
    <w:rsid w:val="00987241"/>
    <w:rsid w:val="00987B72"/>
    <w:rsid w:val="00990ACE"/>
    <w:rsid w:val="00991C50"/>
    <w:rsid w:val="009953DA"/>
    <w:rsid w:val="009A01A1"/>
    <w:rsid w:val="009A05B4"/>
    <w:rsid w:val="009A1026"/>
    <w:rsid w:val="009A2194"/>
    <w:rsid w:val="009A26DA"/>
    <w:rsid w:val="009A3D54"/>
    <w:rsid w:val="009A5858"/>
    <w:rsid w:val="009A5B9F"/>
    <w:rsid w:val="009B07D5"/>
    <w:rsid w:val="009B1D19"/>
    <w:rsid w:val="009B2B19"/>
    <w:rsid w:val="009B53B5"/>
    <w:rsid w:val="009B5467"/>
    <w:rsid w:val="009B5A9A"/>
    <w:rsid w:val="009B65FF"/>
    <w:rsid w:val="009B7D88"/>
    <w:rsid w:val="009C1A76"/>
    <w:rsid w:val="009C2218"/>
    <w:rsid w:val="009C2CA9"/>
    <w:rsid w:val="009C2F65"/>
    <w:rsid w:val="009C317F"/>
    <w:rsid w:val="009C706E"/>
    <w:rsid w:val="009C76CB"/>
    <w:rsid w:val="009D0F9C"/>
    <w:rsid w:val="009D15FF"/>
    <w:rsid w:val="009D2C63"/>
    <w:rsid w:val="009D3830"/>
    <w:rsid w:val="009D3AEF"/>
    <w:rsid w:val="009D3E2F"/>
    <w:rsid w:val="009D3E90"/>
    <w:rsid w:val="009D454F"/>
    <w:rsid w:val="009D46D9"/>
    <w:rsid w:val="009D47FF"/>
    <w:rsid w:val="009E0A7A"/>
    <w:rsid w:val="009E1D49"/>
    <w:rsid w:val="009E24CB"/>
    <w:rsid w:val="009E2F66"/>
    <w:rsid w:val="009E4BB5"/>
    <w:rsid w:val="009E4E14"/>
    <w:rsid w:val="009E5DBE"/>
    <w:rsid w:val="009E6421"/>
    <w:rsid w:val="009E6815"/>
    <w:rsid w:val="009E7148"/>
    <w:rsid w:val="009E7514"/>
    <w:rsid w:val="009F19C3"/>
    <w:rsid w:val="009F4180"/>
    <w:rsid w:val="009F5B28"/>
    <w:rsid w:val="009F6DBF"/>
    <w:rsid w:val="009F757B"/>
    <w:rsid w:val="009F7948"/>
    <w:rsid w:val="00A022AC"/>
    <w:rsid w:val="00A0423C"/>
    <w:rsid w:val="00A067B2"/>
    <w:rsid w:val="00A0716B"/>
    <w:rsid w:val="00A0776D"/>
    <w:rsid w:val="00A07E6E"/>
    <w:rsid w:val="00A110CB"/>
    <w:rsid w:val="00A113E7"/>
    <w:rsid w:val="00A126F5"/>
    <w:rsid w:val="00A12D4C"/>
    <w:rsid w:val="00A1304B"/>
    <w:rsid w:val="00A135C1"/>
    <w:rsid w:val="00A139BE"/>
    <w:rsid w:val="00A140FC"/>
    <w:rsid w:val="00A14D57"/>
    <w:rsid w:val="00A17DAF"/>
    <w:rsid w:val="00A20D42"/>
    <w:rsid w:val="00A23CD6"/>
    <w:rsid w:val="00A24765"/>
    <w:rsid w:val="00A27898"/>
    <w:rsid w:val="00A34B44"/>
    <w:rsid w:val="00A35282"/>
    <w:rsid w:val="00A4137B"/>
    <w:rsid w:val="00A43093"/>
    <w:rsid w:val="00A43DC1"/>
    <w:rsid w:val="00A4595F"/>
    <w:rsid w:val="00A45B82"/>
    <w:rsid w:val="00A50701"/>
    <w:rsid w:val="00A50B67"/>
    <w:rsid w:val="00A50FD4"/>
    <w:rsid w:val="00A522E7"/>
    <w:rsid w:val="00A52889"/>
    <w:rsid w:val="00A53356"/>
    <w:rsid w:val="00A540FA"/>
    <w:rsid w:val="00A553B3"/>
    <w:rsid w:val="00A55CFE"/>
    <w:rsid w:val="00A560B4"/>
    <w:rsid w:val="00A5672A"/>
    <w:rsid w:val="00A60679"/>
    <w:rsid w:val="00A62591"/>
    <w:rsid w:val="00A6391F"/>
    <w:rsid w:val="00A67BF2"/>
    <w:rsid w:val="00A67DE3"/>
    <w:rsid w:val="00A700DC"/>
    <w:rsid w:val="00A70891"/>
    <w:rsid w:val="00A72211"/>
    <w:rsid w:val="00A73EE2"/>
    <w:rsid w:val="00A746A3"/>
    <w:rsid w:val="00A74B20"/>
    <w:rsid w:val="00A74D3D"/>
    <w:rsid w:val="00A74F9C"/>
    <w:rsid w:val="00A80F72"/>
    <w:rsid w:val="00A81798"/>
    <w:rsid w:val="00A83A12"/>
    <w:rsid w:val="00A83DE6"/>
    <w:rsid w:val="00A83F83"/>
    <w:rsid w:val="00A84669"/>
    <w:rsid w:val="00A850BE"/>
    <w:rsid w:val="00A856C5"/>
    <w:rsid w:val="00A863DD"/>
    <w:rsid w:val="00A90B18"/>
    <w:rsid w:val="00A91452"/>
    <w:rsid w:val="00A921F2"/>
    <w:rsid w:val="00A92C53"/>
    <w:rsid w:val="00A932B4"/>
    <w:rsid w:val="00A945C3"/>
    <w:rsid w:val="00A947D5"/>
    <w:rsid w:val="00A94866"/>
    <w:rsid w:val="00A94A8D"/>
    <w:rsid w:val="00A96260"/>
    <w:rsid w:val="00A96EE8"/>
    <w:rsid w:val="00A9720E"/>
    <w:rsid w:val="00A97676"/>
    <w:rsid w:val="00A97CA6"/>
    <w:rsid w:val="00AA37B0"/>
    <w:rsid w:val="00AA3F9B"/>
    <w:rsid w:val="00AA586A"/>
    <w:rsid w:val="00AA66B6"/>
    <w:rsid w:val="00AA7670"/>
    <w:rsid w:val="00AB0141"/>
    <w:rsid w:val="00AB46F3"/>
    <w:rsid w:val="00AB6555"/>
    <w:rsid w:val="00AC0D28"/>
    <w:rsid w:val="00AC1327"/>
    <w:rsid w:val="00AC1A60"/>
    <w:rsid w:val="00AC424A"/>
    <w:rsid w:val="00AC4702"/>
    <w:rsid w:val="00AC4D7F"/>
    <w:rsid w:val="00AC5810"/>
    <w:rsid w:val="00AC5C00"/>
    <w:rsid w:val="00AD210E"/>
    <w:rsid w:val="00AD2370"/>
    <w:rsid w:val="00AD4FDE"/>
    <w:rsid w:val="00AD694B"/>
    <w:rsid w:val="00AE2548"/>
    <w:rsid w:val="00AE3B00"/>
    <w:rsid w:val="00AE3BC8"/>
    <w:rsid w:val="00AE42D3"/>
    <w:rsid w:val="00AE5870"/>
    <w:rsid w:val="00AE627B"/>
    <w:rsid w:val="00AE6B42"/>
    <w:rsid w:val="00AE782E"/>
    <w:rsid w:val="00AE7BC9"/>
    <w:rsid w:val="00AF0CED"/>
    <w:rsid w:val="00AF31BD"/>
    <w:rsid w:val="00AF3C70"/>
    <w:rsid w:val="00AF6438"/>
    <w:rsid w:val="00AF79AE"/>
    <w:rsid w:val="00B0131C"/>
    <w:rsid w:val="00B01F1C"/>
    <w:rsid w:val="00B02D24"/>
    <w:rsid w:val="00B02EA7"/>
    <w:rsid w:val="00B031CB"/>
    <w:rsid w:val="00B058B5"/>
    <w:rsid w:val="00B06D2F"/>
    <w:rsid w:val="00B07171"/>
    <w:rsid w:val="00B07739"/>
    <w:rsid w:val="00B07C8A"/>
    <w:rsid w:val="00B10013"/>
    <w:rsid w:val="00B10E1E"/>
    <w:rsid w:val="00B11E3E"/>
    <w:rsid w:val="00B11F0D"/>
    <w:rsid w:val="00B1217E"/>
    <w:rsid w:val="00B12333"/>
    <w:rsid w:val="00B13A91"/>
    <w:rsid w:val="00B1419C"/>
    <w:rsid w:val="00B1687F"/>
    <w:rsid w:val="00B20276"/>
    <w:rsid w:val="00B20284"/>
    <w:rsid w:val="00B20963"/>
    <w:rsid w:val="00B21658"/>
    <w:rsid w:val="00B24110"/>
    <w:rsid w:val="00B2434A"/>
    <w:rsid w:val="00B24C1A"/>
    <w:rsid w:val="00B2508D"/>
    <w:rsid w:val="00B258C4"/>
    <w:rsid w:val="00B30AD4"/>
    <w:rsid w:val="00B30FF4"/>
    <w:rsid w:val="00B31AF4"/>
    <w:rsid w:val="00B31EC3"/>
    <w:rsid w:val="00B3233A"/>
    <w:rsid w:val="00B3265D"/>
    <w:rsid w:val="00B354FD"/>
    <w:rsid w:val="00B3578A"/>
    <w:rsid w:val="00B37252"/>
    <w:rsid w:val="00B400C5"/>
    <w:rsid w:val="00B41CCB"/>
    <w:rsid w:val="00B46B89"/>
    <w:rsid w:val="00B50697"/>
    <w:rsid w:val="00B51BFB"/>
    <w:rsid w:val="00B531F8"/>
    <w:rsid w:val="00B54B48"/>
    <w:rsid w:val="00B56E20"/>
    <w:rsid w:val="00B61D63"/>
    <w:rsid w:val="00B63CA4"/>
    <w:rsid w:val="00B64445"/>
    <w:rsid w:val="00B644CE"/>
    <w:rsid w:val="00B6478F"/>
    <w:rsid w:val="00B64E75"/>
    <w:rsid w:val="00B66126"/>
    <w:rsid w:val="00B705B5"/>
    <w:rsid w:val="00B70C75"/>
    <w:rsid w:val="00B717DC"/>
    <w:rsid w:val="00B720E3"/>
    <w:rsid w:val="00B727EA"/>
    <w:rsid w:val="00B72F9D"/>
    <w:rsid w:val="00B739A7"/>
    <w:rsid w:val="00B73E0B"/>
    <w:rsid w:val="00B762ED"/>
    <w:rsid w:val="00B77287"/>
    <w:rsid w:val="00B80C64"/>
    <w:rsid w:val="00B826D9"/>
    <w:rsid w:val="00B833F4"/>
    <w:rsid w:val="00B85EF8"/>
    <w:rsid w:val="00B8668D"/>
    <w:rsid w:val="00B86D63"/>
    <w:rsid w:val="00B877E8"/>
    <w:rsid w:val="00B902DB"/>
    <w:rsid w:val="00B90445"/>
    <w:rsid w:val="00B90CE7"/>
    <w:rsid w:val="00B91622"/>
    <w:rsid w:val="00B951D3"/>
    <w:rsid w:val="00B95A0E"/>
    <w:rsid w:val="00B95ED6"/>
    <w:rsid w:val="00B96215"/>
    <w:rsid w:val="00B96AD3"/>
    <w:rsid w:val="00B97F02"/>
    <w:rsid w:val="00BA22BB"/>
    <w:rsid w:val="00BA252C"/>
    <w:rsid w:val="00BA36F9"/>
    <w:rsid w:val="00BA45F4"/>
    <w:rsid w:val="00BA4DE2"/>
    <w:rsid w:val="00BB04E5"/>
    <w:rsid w:val="00BB146C"/>
    <w:rsid w:val="00BB27C8"/>
    <w:rsid w:val="00BB3868"/>
    <w:rsid w:val="00BB449E"/>
    <w:rsid w:val="00BB5138"/>
    <w:rsid w:val="00BB5419"/>
    <w:rsid w:val="00BB578C"/>
    <w:rsid w:val="00BB6398"/>
    <w:rsid w:val="00BB72E5"/>
    <w:rsid w:val="00BB77C6"/>
    <w:rsid w:val="00BC206C"/>
    <w:rsid w:val="00BC2C8E"/>
    <w:rsid w:val="00BC4506"/>
    <w:rsid w:val="00BC4F53"/>
    <w:rsid w:val="00BC6B41"/>
    <w:rsid w:val="00BC784D"/>
    <w:rsid w:val="00BD049D"/>
    <w:rsid w:val="00BD04F0"/>
    <w:rsid w:val="00BD11D3"/>
    <w:rsid w:val="00BD1AD3"/>
    <w:rsid w:val="00BD2170"/>
    <w:rsid w:val="00BD25B3"/>
    <w:rsid w:val="00BD3BC3"/>
    <w:rsid w:val="00BD5779"/>
    <w:rsid w:val="00BD6483"/>
    <w:rsid w:val="00BD7BDE"/>
    <w:rsid w:val="00BE217C"/>
    <w:rsid w:val="00BE405F"/>
    <w:rsid w:val="00BE4129"/>
    <w:rsid w:val="00BE44E8"/>
    <w:rsid w:val="00BE5F2B"/>
    <w:rsid w:val="00BE66CD"/>
    <w:rsid w:val="00BE76E2"/>
    <w:rsid w:val="00BE7E94"/>
    <w:rsid w:val="00BF2121"/>
    <w:rsid w:val="00BF3222"/>
    <w:rsid w:val="00BF4B23"/>
    <w:rsid w:val="00BF60AE"/>
    <w:rsid w:val="00BF6DA5"/>
    <w:rsid w:val="00BF6E09"/>
    <w:rsid w:val="00C03817"/>
    <w:rsid w:val="00C03ED8"/>
    <w:rsid w:val="00C07842"/>
    <w:rsid w:val="00C1212A"/>
    <w:rsid w:val="00C12356"/>
    <w:rsid w:val="00C1583D"/>
    <w:rsid w:val="00C15EC4"/>
    <w:rsid w:val="00C17027"/>
    <w:rsid w:val="00C1740C"/>
    <w:rsid w:val="00C17609"/>
    <w:rsid w:val="00C17F41"/>
    <w:rsid w:val="00C24074"/>
    <w:rsid w:val="00C25ADA"/>
    <w:rsid w:val="00C264AB"/>
    <w:rsid w:val="00C26995"/>
    <w:rsid w:val="00C26C5A"/>
    <w:rsid w:val="00C27678"/>
    <w:rsid w:val="00C30029"/>
    <w:rsid w:val="00C30504"/>
    <w:rsid w:val="00C31177"/>
    <w:rsid w:val="00C31346"/>
    <w:rsid w:val="00C32DDA"/>
    <w:rsid w:val="00C33896"/>
    <w:rsid w:val="00C34216"/>
    <w:rsid w:val="00C3460D"/>
    <w:rsid w:val="00C36950"/>
    <w:rsid w:val="00C4452D"/>
    <w:rsid w:val="00C47DC3"/>
    <w:rsid w:val="00C52765"/>
    <w:rsid w:val="00C5400C"/>
    <w:rsid w:val="00C54167"/>
    <w:rsid w:val="00C541FB"/>
    <w:rsid w:val="00C54B89"/>
    <w:rsid w:val="00C54EB8"/>
    <w:rsid w:val="00C576C5"/>
    <w:rsid w:val="00C57E71"/>
    <w:rsid w:val="00C60816"/>
    <w:rsid w:val="00C6113C"/>
    <w:rsid w:val="00C61B31"/>
    <w:rsid w:val="00C61F0D"/>
    <w:rsid w:val="00C6260C"/>
    <w:rsid w:val="00C65D18"/>
    <w:rsid w:val="00C67595"/>
    <w:rsid w:val="00C67DBB"/>
    <w:rsid w:val="00C7079A"/>
    <w:rsid w:val="00C720E4"/>
    <w:rsid w:val="00C77265"/>
    <w:rsid w:val="00C7745B"/>
    <w:rsid w:val="00C77E32"/>
    <w:rsid w:val="00C803CE"/>
    <w:rsid w:val="00C8084B"/>
    <w:rsid w:val="00C819F9"/>
    <w:rsid w:val="00C82BC8"/>
    <w:rsid w:val="00C85E77"/>
    <w:rsid w:val="00C86B5C"/>
    <w:rsid w:val="00C86E6D"/>
    <w:rsid w:val="00C876B1"/>
    <w:rsid w:val="00C8779E"/>
    <w:rsid w:val="00C911D4"/>
    <w:rsid w:val="00C91287"/>
    <w:rsid w:val="00C93521"/>
    <w:rsid w:val="00C93888"/>
    <w:rsid w:val="00C93BB4"/>
    <w:rsid w:val="00C94704"/>
    <w:rsid w:val="00C94D3F"/>
    <w:rsid w:val="00C96459"/>
    <w:rsid w:val="00C96E38"/>
    <w:rsid w:val="00C9731B"/>
    <w:rsid w:val="00C97C92"/>
    <w:rsid w:val="00CA0401"/>
    <w:rsid w:val="00CA0A89"/>
    <w:rsid w:val="00CA11F6"/>
    <w:rsid w:val="00CA1375"/>
    <w:rsid w:val="00CA179C"/>
    <w:rsid w:val="00CA1CD2"/>
    <w:rsid w:val="00CA37A8"/>
    <w:rsid w:val="00CA6B32"/>
    <w:rsid w:val="00CA7C4D"/>
    <w:rsid w:val="00CB2777"/>
    <w:rsid w:val="00CB2E1F"/>
    <w:rsid w:val="00CB478B"/>
    <w:rsid w:val="00CB5158"/>
    <w:rsid w:val="00CB728B"/>
    <w:rsid w:val="00CC027E"/>
    <w:rsid w:val="00CC1235"/>
    <w:rsid w:val="00CC26F5"/>
    <w:rsid w:val="00CC481B"/>
    <w:rsid w:val="00CC66B9"/>
    <w:rsid w:val="00CC6847"/>
    <w:rsid w:val="00CD088F"/>
    <w:rsid w:val="00CD186C"/>
    <w:rsid w:val="00CD1FC9"/>
    <w:rsid w:val="00CD1FD8"/>
    <w:rsid w:val="00CD2E19"/>
    <w:rsid w:val="00CD3B17"/>
    <w:rsid w:val="00CD3BC9"/>
    <w:rsid w:val="00CD3C59"/>
    <w:rsid w:val="00CD5D78"/>
    <w:rsid w:val="00CE0432"/>
    <w:rsid w:val="00CE11A9"/>
    <w:rsid w:val="00CE1739"/>
    <w:rsid w:val="00CE1907"/>
    <w:rsid w:val="00CE2836"/>
    <w:rsid w:val="00CE3A57"/>
    <w:rsid w:val="00CE4D13"/>
    <w:rsid w:val="00CE6A0A"/>
    <w:rsid w:val="00CE6F12"/>
    <w:rsid w:val="00CF0EA2"/>
    <w:rsid w:val="00CF28C2"/>
    <w:rsid w:val="00CF29E3"/>
    <w:rsid w:val="00CF34B8"/>
    <w:rsid w:val="00CF4957"/>
    <w:rsid w:val="00CF5875"/>
    <w:rsid w:val="00CF648C"/>
    <w:rsid w:val="00CF6FB5"/>
    <w:rsid w:val="00CF6FCE"/>
    <w:rsid w:val="00CF77E7"/>
    <w:rsid w:val="00D00227"/>
    <w:rsid w:val="00D00988"/>
    <w:rsid w:val="00D00B5D"/>
    <w:rsid w:val="00D01CC0"/>
    <w:rsid w:val="00D02DFC"/>
    <w:rsid w:val="00D02FFE"/>
    <w:rsid w:val="00D04651"/>
    <w:rsid w:val="00D047E5"/>
    <w:rsid w:val="00D073F3"/>
    <w:rsid w:val="00D077B7"/>
    <w:rsid w:val="00D07887"/>
    <w:rsid w:val="00D07B61"/>
    <w:rsid w:val="00D07D80"/>
    <w:rsid w:val="00D10178"/>
    <w:rsid w:val="00D10A35"/>
    <w:rsid w:val="00D1209F"/>
    <w:rsid w:val="00D12713"/>
    <w:rsid w:val="00D12EC1"/>
    <w:rsid w:val="00D138E6"/>
    <w:rsid w:val="00D16CFB"/>
    <w:rsid w:val="00D16DE6"/>
    <w:rsid w:val="00D16F88"/>
    <w:rsid w:val="00D208A6"/>
    <w:rsid w:val="00D213E6"/>
    <w:rsid w:val="00D213F4"/>
    <w:rsid w:val="00D21DAE"/>
    <w:rsid w:val="00D22F77"/>
    <w:rsid w:val="00D2356D"/>
    <w:rsid w:val="00D243A2"/>
    <w:rsid w:val="00D25DF2"/>
    <w:rsid w:val="00D26BAA"/>
    <w:rsid w:val="00D2720E"/>
    <w:rsid w:val="00D273D5"/>
    <w:rsid w:val="00D3309D"/>
    <w:rsid w:val="00D36496"/>
    <w:rsid w:val="00D370DD"/>
    <w:rsid w:val="00D40186"/>
    <w:rsid w:val="00D4282D"/>
    <w:rsid w:val="00D45A23"/>
    <w:rsid w:val="00D460AC"/>
    <w:rsid w:val="00D46D80"/>
    <w:rsid w:val="00D479A4"/>
    <w:rsid w:val="00D506E1"/>
    <w:rsid w:val="00D50CFD"/>
    <w:rsid w:val="00D528B5"/>
    <w:rsid w:val="00D52E95"/>
    <w:rsid w:val="00D534E2"/>
    <w:rsid w:val="00D56E13"/>
    <w:rsid w:val="00D607C2"/>
    <w:rsid w:val="00D61199"/>
    <w:rsid w:val="00D61F40"/>
    <w:rsid w:val="00D622EC"/>
    <w:rsid w:val="00D623AF"/>
    <w:rsid w:val="00D65953"/>
    <w:rsid w:val="00D65A78"/>
    <w:rsid w:val="00D70C8E"/>
    <w:rsid w:val="00D73633"/>
    <w:rsid w:val="00D73FDF"/>
    <w:rsid w:val="00D75813"/>
    <w:rsid w:val="00D76018"/>
    <w:rsid w:val="00D76083"/>
    <w:rsid w:val="00D7779A"/>
    <w:rsid w:val="00D8040E"/>
    <w:rsid w:val="00D83251"/>
    <w:rsid w:val="00D85744"/>
    <w:rsid w:val="00D863F8"/>
    <w:rsid w:val="00D90682"/>
    <w:rsid w:val="00D90FDA"/>
    <w:rsid w:val="00D91844"/>
    <w:rsid w:val="00D943A3"/>
    <w:rsid w:val="00D9614A"/>
    <w:rsid w:val="00D97408"/>
    <w:rsid w:val="00D9761B"/>
    <w:rsid w:val="00D9780E"/>
    <w:rsid w:val="00DA049C"/>
    <w:rsid w:val="00DA2F03"/>
    <w:rsid w:val="00DA4E28"/>
    <w:rsid w:val="00DA59B9"/>
    <w:rsid w:val="00DA657E"/>
    <w:rsid w:val="00DA68F6"/>
    <w:rsid w:val="00DA6F72"/>
    <w:rsid w:val="00DB03D9"/>
    <w:rsid w:val="00DB0ED2"/>
    <w:rsid w:val="00DB139A"/>
    <w:rsid w:val="00DB3587"/>
    <w:rsid w:val="00DB52EA"/>
    <w:rsid w:val="00DB5BAA"/>
    <w:rsid w:val="00DB7330"/>
    <w:rsid w:val="00DB7BD6"/>
    <w:rsid w:val="00DC01CF"/>
    <w:rsid w:val="00DC0304"/>
    <w:rsid w:val="00DC048F"/>
    <w:rsid w:val="00DC05AA"/>
    <w:rsid w:val="00DC05C9"/>
    <w:rsid w:val="00DC07E6"/>
    <w:rsid w:val="00DC2245"/>
    <w:rsid w:val="00DC3758"/>
    <w:rsid w:val="00DC5EF3"/>
    <w:rsid w:val="00DD1CB4"/>
    <w:rsid w:val="00DD1D88"/>
    <w:rsid w:val="00DD25AF"/>
    <w:rsid w:val="00DD4618"/>
    <w:rsid w:val="00DD63EA"/>
    <w:rsid w:val="00DD7942"/>
    <w:rsid w:val="00DD7C9A"/>
    <w:rsid w:val="00DE0F91"/>
    <w:rsid w:val="00DE1EB2"/>
    <w:rsid w:val="00DE260A"/>
    <w:rsid w:val="00DE3126"/>
    <w:rsid w:val="00DE3142"/>
    <w:rsid w:val="00DE3877"/>
    <w:rsid w:val="00DE4E50"/>
    <w:rsid w:val="00DE4F7E"/>
    <w:rsid w:val="00DE50B8"/>
    <w:rsid w:val="00DE51AF"/>
    <w:rsid w:val="00DE6415"/>
    <w:rsid w:val="00DE6453"/>
    <w:rsid w:val="00DE75CE"/>
    <w:rsid w:val="00DE7B75"/>
    <w:rsid w:val="00DE7D89"/>
    <w:rsid w:val="00DE7DFD"/>
    <w:rsid w:val="00DF02CF"/>
    <w:rsid w:val="00DF054C"/>
    <w:rsid w:val="00DF0696"/>
    <w:rsid w:val="00DF2554"/>
    <w:rsid w:val="00DF2587"/>
    <w:rsid w:val="00DF42F2"/>
    <w:rsid w:val="00DF51F1"/>
    <w:rsid w:val="00DF521F"/>
    <w:rsid w:val="00DF5223"/>
    <w:rsid w:val="00DF7250"/>
    <w:rsid w:val="00DF72A5"/>
    <w:rsid w:val="00DF7B48"/>
    <w:rsid w:val="00E00BCE"/>
    <w:rsid w:val="00E04341"/>
    <w:rsid w:val="00E04F98"/>
    <w:rsid w:val="00E05BBE"/>
    <w:rsid w:val="00E060D6"/>
    <w:rsid w:val="00E06342"/>
    <w:rsid w:val="00E0677E"/>
    <w:rsid w:val="00E07ED7"/>
    <w:rsid w:val="00E10C8D"/>
    <w:rsid w:val="00E1153C"/>
    <w:rsid w:val="00E11A31"/>
    <w:rsid w:val="00E13035"/>
    <w:rsid w:val="00E134B3"/>
    <w:rsid w:val="00E1363E"/>
    <w:rsid w:val="00E143C7"/>
    <w:rsid w:val="00E15FF2"/>
    <w:rsid w:val="00E1624F"/>
    <w:rsid w:val="00E20949"/>
    <w:rsid w:val="00E22095"/>
    <w:rsid w:val="00E25417"/>
    <w:rsid w:val="00E26493"/>
    <w:rsid w:val="00E26FF4"/>
    <w:rsid w:val="00E271C1"/>
    <w:rsid w:val="00E27C67"/>
    <w:rsid w:val="00E27CED"/>
    <w:rsid w:val="00E3064D"/>
    <w:rsid w:val="00E33458"/>
    <w:rsid w:val="00E33C03"/>
    <w:rsid w:val="00E346D4"/>
    <w:rsid w:val="00E34D99"/>
    <w:rsid w:val="00E352DF"/>
    <w:rsid w:val="00E36CA0"/>
    <w:rsid w:val="00E37057"/>
    <w:rsid w:val="00E40836"/>
    <w:rsid w:val="00E4115A"/>
    <w:rsid w:val="00E4185F"/>
    <w:rsid w:val="00E418A7"/>
    <w:rsid w:val="00E41E7D"/>
    <w:rsid w:val="00E425D3"/>
    <w:rsid w:val="00E4395B"/>
    <w:rsid w:val="00E45518"/>
    <w:rsid w:val="00E45D67"/>
    <w:rsid w:val="00E52070"/>
    <w:rsid w:val="00E52BA5"/>
    <w:rsid w:val="00E54C00"/>
    <w:rsid w:val="00E60023"/>
    <w:rsid w:val="00E600D6"/>
    <w:rsid w:val="00E605AE"/>
    <w:rsid w:val="00E61031"/>
    <w:rsid w:val="00E613A0"/>
    <w:rsid w:val="00E6235E"/>
    <w:rsid w:val="00E6236E"/>
    <w:rsid w:val="00E64383"/>
    <w:rsid w:val="00E674E5"/>
    <w:rsid w:val="00E675D0"/>
    <w:rsid w:val="00E677BE"/>
    <w:rsid w:val="00E702C4"/>
    <w:rsid w:val="00E71EFD"/>
    <w:rsid w:val="00E74412"/>
    <w:rsid w:val="00E74EEC"/>
    <w:rsid w:val="00E74FFA"/>
    <w:rsid w:val="00E76FA7"/>
    <w:rsid w:val="00E80C4B"/>
    <w:rsid w:val="00E81AB3"/>
    <w:rsid w:val="00E8455F"/>
    <w:rsid w:val="00E8721F"/>
    <w:rsid w:val="00E874B4"/>
    <w:rsid w:val="00E90F8A"/>
    <w:rsid w:val="00E9259D"/>
    <w:rsid w:val="00E93101"/>
    <w:rsid w:val="00E9313E"/>
    <w:rsid w:val="00E948A5"/>
    <w:rsid w:val="00E95E76"/>
    <w:rsid w:val="00E962F2"/>
    <w:rsid w:val="00EA0ED1"/>
    <w:rsid w:val="00EA279A"/>
    <w:rsid w:val="00EA2F8B"/>
    <w:rsid w:val="00EA57D0"/>
    <w:rsid w:val="00EA6445"/>
    <w:rsid w:val="00EA70CB"/>
    <w:rsid w:val="00EA7D98"/>
    <w:rsid w:val="00EB21D4"/>
    <w:rsid w:val="00EB2483"/>
    <w:rsid w:val="00EB476A"/>
    <w:rsid w:val="00EB5B14"/>
    <w:rsid w:val="00EB683C"/>
    <w:rsid w:val="00EB734F"/>
    <w:rsid w:val="00EB75C2"/>
    <w:rsid w:val="00EC02A2"/>
    <w:rsid w:val="00EC070C"/>
    <w:rsid w:val="00EC0C9D"/>
    <w:rsid w:val="00EC0E05"/>
    <w:rsid w:val="00EC23BF"/>
    <w:rsid w:val="00EC3280"/>
    <w:rsid w:val="00EC3E45"/>
    <w:rsid w:val="00EC4359"/>
    <w:rsid w:val="00EC50EF"/>
    <w:rsid w:val="00EC5273"/>
    <w:rsid w:val="00EC65FD"/>
    <w:rsid w:val="00EC7FDD"/>
    <w:rsid w:val="00ED1312"/>
    <w:rsid w:val="00ED3E13"/>
    <w:rsid w:val="00ED64EE"/>
    <w:rsid w:val="00EE01D0"/>
    <w:rsid w:val="00EE0E63"/>
    <w:rsid w:val="00EE47B1"/>
    <w:rsid w:val="00EE5274"/>
    <w:rsid w:val="00EE55CB"/>
    <w:rsid w:val="00EE6081"/>
    <w:rsid w:val="00EE6375"/>
    <w:rsid w:val="00EE6C5B"/>
    <w:rsid w:val="00EF05FD"/>
    <w:rsid w:val="00EF1219"/>
    <w:rsid w:val="00EF1B3B"/>
    <w:rsid w:val="00EF231F"/>
    <w:rsid w:val="00EF3B2E"/>
    <w:rsid w:val="00EF4657"/>
    <w:rsid w:val="00EF4C37"/>
    <w:rsid w:val="00EF5378"/>
    <w:rsid w:val="00EF54AC"/>
    <w:rsid w:val="00EF59F0"/>
    <w:rsid w:val="00F02489"/>
    <w:rsid w:val="00F045F2"/>
    <w:rsid w:val="00F05C68"/>
    <w:rsid w:val="00F075A8"/>
    <w:rsid w:val="00F10B41"/>
    <w:rsid w:val="00F113B5"/>
    <w:rsid w:val="00F1154F"/>
    <w:rsid w:val="00F12106"/>
    <w:rsid w:val="00F13231"/>
    <w:rsid w:val="00F149A4"/>
    <w:rsid w:val="00F15307"/>
    <w:rsid w:val="00F15AB4"/>
    <w:rsid w:val="00F15ED8"/>
    <w:rsid w:val="00F164E6"/>
    <w:rsid w:val="00F16DC2"/>
    <w:rsid w:val="00F17346"/>
    <w:rsid w:val="00F178C8"/>
    <w:rsid w:val="00F17B63"/>
    <w:rsid w:val="00F21756"/>
    <w:rsid w:val="00F21777"/>
    <w:rsid w:val="00F2296F"/>
    <w:rsid w:val="00F252E5"/>
    <w:rsid w:val="00F27049"/>
    <w:rsid w:val="00F30CF8"/>
    <w:rsid w:val="00F34292"/>
    <w:rsid w:val="00F362B5"/>
    <w:rsid w:val="00F36B80"/>
    <w:rsid w:val="00F405A9"/>
    <w:rsid w:val="00F41906"/>
    <w:rsid w:val="00F4375D"/>
    <w:rsid w:val="00F460F9"/>
    <w:rsid w:val="00F4723C"/>
    <w:rsid w:val="00F47F3F"/>
    <w:rsid w:val="00F520A9"/>
    <w:rsid w:val="00F52F66"/>
    <w:rsid w:val="00F534F3"/>
    <w:rsid w:val="00F53AA0"/>
    <w:rsid w:val="00F54B7A"/>
    <w:rsid w:val="00F54D98"/>
    <w:rsid w:val="00F5519F"/>
    <w:rsid w:val="00F57471"/>
    <w:rsid w:val="00F57672"/>
    <w:rsid w:val="00F608E2"/>
    <w:rsid w:val="00F61E95"/>
    <w:rsid w:val="00F63934"/>
    <w:rsid w:val="00F64F8E"/>
    <w:rsid w:val="00F7014A"/>
    <w:rsid w:val="00F715BA"/>
    <w:rsid w:val="00F72CAC"/>
    <w:rsid w:val="00F7304F"/>
    <w:rsid w:val="00F750A2"/>
    <w:rsid w:val="00F76B24"/>
    <w:rsid w:val="00F76B4C"/>
    <w:rsid w:val="00F7719C"/>
    <w:rsid w:val="00F773B6"/>
    <w:rsid w:val="00F7747B"/>
    <w:rsid w:val="00F777F3"/>
    <w:rsid w:val="00F80155"/>
    <w:rsid w:val="00F8118E"/>
    <w:rsid w:val="00F818FA"/>
    <w:rsid w:val="00F84C34"/>
    <w:rsid w:val="00F8609A"/>
    <w:rsid w:val="00F86B1B"/>
    <w:rsid w:val="00F8764E"/>
    <w:rsid w:val="00F87871"/>
    <w:rsid w:val="00F90A8F"/>
    <w:rsid w:val="00F923DE"/>
    <w:rsid w:val="00F938EE"/>
    <w:rsid w:val="00F9423F"/>
    <w:rsid w:val="00F95529"/>
    <w:rsid w:val="00F965F7"/>
    <w:rsid w:val="00F96CC1"/>
    <w:rsid w:val="00F977F7"/>
    <w:rsid w:val="00F97934"/>
    <w:rsid w:val="00FA108E"/>
    <w:rsid w:val="00FA2F73"/>
    <w:rsid w:val="00FA3EB0"/>
    <w:rsid w:val="00FA4A08"/>
    <w:rsid w:val="00FA4DB9"/>
    <w:rsid w:val="00FA60BF"/>
    <w:rsid w:val="00FA67E6"/>
    <w:rsid w:val="00FB13C0"/>
    <w:rsid w:val="00FB204D"/>
    <w:rsid w:val="00FB22A1"/>
    <w:rsid w:val="00FB2CE4"/>
    <w:rsid w:val="00FB3C74"/>
    <w:rsid w:val="00FB4486"/>
    <w:rsid w:val="00FB4BAB"/>
    <w:rsid w:val="00FB4C7F"/>
    <w:rsid w:val="00FB4DFC"/>
    <w:rsid w:val="00FB6F40"/>
    <w:rsid w:val="00FB6FB1"/>
    <w:rsid w:val="00FB7CD5"/>
    <w:rsid w:val="00FC057E"/>
    <w:rsid w:val="00FC09B6"/>
    <w:rsid w:val="00FC1ED9"/>
    <w:rsid w:val="00FC23EF"/>
    <w:rsid w:val="00FC692E"/>
    <w:rsid w:val="00FD0635"/>
    <w:rsid w:val="00FD326B"/>
    <w:rsid w:val="00FD5416"/>
    <w:rsid w:val="00FD5EDE"/>
    <w:rsid w:val="00FD6FA6"/>
    <w:rsid w:val="00FD7CE2"/>
    <w:rsid w:val="00FE0490"/>
    <w:rsid w:val="00FE14CB"/>
    <w:rsid w:val="00FE224B"/>
    <w:rsid w:val="00FE25D0"/>
    <w:rsid w:val="00FE3E11"/>
    <w:rsid w:val="00FE5245"/>
    <w:rsid w:val="00FE585E"/>
    <w:rsid w:val="00FE5A74"/>
    <w:rsid w:val="00FE6905"/>
    <w:rsid w:val="00FE7EE4"/>
    <w:rsid w:val="00FF0CE4"/>
    <w:rsid w:val="00FF1496"/>
    <w:rsid w:val="00FF32A1"/>
    <w:rsid w:val="00FF37E9"/>
    <w:rsid w:val="00FF3FA1"/>
    <w:rsid w:val="00FF5D23"/>
    <w:rsid w:val="00FF615D"/>
    <w:rsid w:val="00FF6511"/>
    <w:rsid w:val="00FF7475"/>
    <w:rsid w:val="00FF7D2B"/>
    <w:rsid w:val="01B11D31"/>
    <w:rsid w:val="01E71F68"/>
    <w:rsid w:val="03AF009C"/>
    <w:rsid w:val="050867DB"/>
    <w:rsid w:val="052C4180"/>
    <w:rsid w:val="06311428"/>
    <w:rsid w:val="09BC328F"/>
    <w:rsid w:val="09CD0DEC"/>
    <w:rsid w:val="0A9D5F75"/>
    <w:rsid w:val="0AA52F92"/>
    <w:rsid w:val="0D6D7E7A"/>
    <w:rsid w:val="0E8402F9"/>
    <w:rsid w:val="0F1F783B"/>
    <w:rsid w:val="0F396355"/>
    <w:rsid w:val="0F3E303A"/>
    <w:rsid w:val="0FF11AD6"/>
    <w:rsid w:val="11A67D57"/>
    <w:rsid w:val="129A3336"/>
    <w:rsid w:val="13C762A4"/>
    <w:rsid w:val="14770F16"/>
    <w:rsid w:val="148B0359"/>
    <w:rsid w:val="14F52FE5"/>
    <w:rsid w:val="14FE2D93"/>
    <w:rsid w:val="163B638A"/>
    <w:rsid w:val="17674D34"/>
    <w:rsid w:val="17D92379"/>
    <w:rsid w:val="17F333A1"/>
    <w:rsid w:val="180065DE"/>
    <w:rsid w:val="184B5A18"/>
    <w:rsid w:val="189B6524"/>
    <w:rsid w:val="18AC7DEF"/>
    <w:rsid w:val="18B31B6D"/>
    <w:rsid w:val="19C2772D"/>
    <w:rsid w:val="1AB02A53"/>
    <w:rsid w:val="1C3D7F62"/>
    <w:rsid w:val="1E643744"/>
    <w:rsid w:val="1EB77BDB"/>
    <w:rsid w:val="1FE1254C"/>
    <w:rsid w:val="1FFF19CA"/>
    <w:rsid w:val="200118CD"/>
    <w:rsid w:val="204D7120"/>
    <w:rsid w:val="21041B4F"/>
    <w:rsid w:val="22141A80"/>
    <w:rsid w:val="22774AEA"/>
    <w:rsid w:val="24085B1D"/>
    <w:rsid w:val="24F41E00"/>
    <w:rsid w:val="25284887"/>
    <w:rsid w:val="25526F88"/>
    <w:rsid w:val="27384E38"/>
    <w:rsid w:val="28564AA1"/>
    <w:rsid w:val="287A53A0"/>
    <w:rsid w:val="28932B31"/>
    <w:rsid w:val="28B27332"/>
    <w:rsid w:val="28D861AE"/>
    <w:rsid w:val="29FA4DB3"/>
    <w:rsid w:val="2B580267"/>
    <w:rsid w:val="2D124D22"/>
    <w:rsid w:val="2DE33F63"/>
    <w:rsid w:val="2DFA7F64"/>
    <w:rsid w:val="2EBE3270"/>
    <w:rsid w:val="3001185E"/>
    <w:rsid w:val="301B56BA"/>
    <w:rsid w:val="308F2696"/>
    <w:rsid w:val="309D61D2"/>
    <w:rsid w:val="3121636C"/>
    <w:rsid w:val="319B4223"/>
    <w:rsid w:val="319F2761"/>
    <w:rsid w:val="31CF708E"/>
    <w:rsid w:val="324E32ED"/>
    <w:rsid w:val="32681759"/>
    <w:rsid w:val="33351062"/>
    <w:rsid w:val="336809E1"/>
    <w:rsid w:val="369B7613"/>
    <w:rsid w:val="36E641B0"/>
    <w:rsid w:val="37340B1D"/>
    <w:rsid w:val="37EA2868"/>
    <w:rsid w:val="37F401F0"/>
    <w:rsid w:val="39C61DC1"/>
    <w:rsid w:val="39F17099"/>
    <w:rsid w:val="3ABF55C9"/>
    <w:rsid w:val="3B07350D"/>
    <w:rsid w:val="3B494567"/>
    <w:rsid w:val="3D346109"/>
    <w:rsid w:val="3D9E4EC8"/>
    <w:rsid w:val="3E2638C2"/>
    <w:rsid w:val="3EE17EBF"/>
    <w:rsid w:val="40B30B18"/>
    <w:rsid w:val="41383329"/>
    <w:rsid w:val="418D1537"/>
    <w:rsid w:val="42DD0C8B"/>
    <w:rsid w:val="434A2723"/>
    <w:rsid w:val="43D353AE"/>
    <w:rsid w:val="4460407D"/>
    <w:rsid w:val="45235D66"/>
    <w:rsid w:val="45347758"/>
    <w:rsid w:val="45DA34DF"/>
    <w:rsid w:val="475C6F0F"/>
    <w:rsid w:val="4763398F"/>
    <w:rsid w:val="479D11C6"/>
    <w:rsid w:val="47D82059"/>
    <w:rsid w:val="482E0744"/>
    <w:rsid w:val="48B4177A"/>
    <w:rsid w:val="4A081455"/>
    <w:rsid w:val="4A4C5208"/>
    <w:rsid w:val="4AC760EA"/>
    <w:rsid w:val="4B3B30DB"/>
    <w:rsid w:val="4B421DA5"/>
    <w:rsid w:val="4C2D3A30"/>
    <w:rsid w:val="4C9368E5"/>
    <w:rsid w:val="4CA1354D"/>
    <w:rsid w:val="4D3337E2"/>
    <w:rsid w:val="4D7B5AF8"/>
    <w:rsid w:val="4D810EB4"/>
    <w:rsid w:val="4DF014F5"/>
    <w:rsid w:val="4FA727D4"/>
    <w:rsid w:val="50425879"/>
    <w:rsid w:val="53654E1D"/>
    <w:rsid w:val="543F04EF"/>
    <w:rsid w:val="568E0160"/>
    <w:rsid w:val="57B27CEE"/>
    <w:rsid w:val="58F954C5"/>
    <w:rsid w:val="594B6385"/>
    <w:rsid w:val="596F3F43"/>
    <w:rsid w:val="5A6069F3"/>
    <w:rsid w:val="5AB60C23"/>
    <w:rsid w:val="5AD72EBD"/>
    <w:rsid w:val="5BA77043"/>
    <w:rsid w:val="5C2E5C4B"/>
    <w:rsid w:val="5D27015D"/>
    <w:rsid w:val="5E676CB1"/>
    <w:rsid w:val="5E7A5CD0"/>
    <w:rsid w:val="5EB80508"/>
    <w:rsid w:val="60ED2175"/>
    <w:rsid w:val="6131590F"/>
    <w:rsid w:val="61F53F91"/>
    <w:rsid w:val="622938A5"/>
    <w:rsid w:val="6269266B"/>
    <w:rsid w:val="62D20BD5"/>
    <w:rsid w:val="633F293A"/>
    <w:rsid w:val="638A6520"/>
    <w:rsid w:val="63C9592A"/>
    <w:rsid w:val="644C495D"/>
    <w:rsid w:val="6483317A"/>
    <w:rsid w:val="65085118"/>
    <w:rsid w:val="664647F4"/>
    <w:rsid w:val="679C434F"/>
    <w:rsid w:val="68C46AF0"/>
    <w:rsid w:val="6D4C7925"/>
    <w:rsid w:val="70650505"/>
    <w:rsid w:val="70651D96"/>
    <w:rsid w:val="720F54A7"/>
    <w:rsid w:val="72D95FA9"/>
    <w:rsid w:val="734E1F93"/>
    <w:rsid w:val="735E6A2E"/>
    <w:rsid w:val="738A21BE"/>
    <w:rsid w:val="73A83B33"/>
    <w:rsid w:val="74C268A7"/>
    <w:rsid w:val="77BA006F"/>
    <w:rsid w:val="78BF0401"/>
    <w:rsid w:val="78E258E1"/>
    <w:rsid w:val="78E424FF"/>
    <w:rsid w:val="7A3A5391"/>
    <w:rsid w:val="7AEF0BC9"/>
    <w:rsid w:val="7B7A34C4"/>
    <w:rsid w:val="7BE90D12"/>
    <w:rsid w:val="7CB47623"/>
    <w:rsid w:val="7D2A2F98"/>
    <w:rsid w:val="7D5B7A91"/>
    <w:rsid w:val="7DD51931"/>
    <w:rsid w:val="7DF266A5"/>
    <w:rsid w:val="7DFE7723"/>
    <w:rsid w:val="7E3C152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name="toc 3"/>
    <w:lsdException w:qFormat="1" w:unhideWhenUsed="0" w:uiPriority="0" w:name="toc 4"/>
    <w:lsdException w:qFormat="1" w:unhideWhenUsed="0" w:uiPriority="0" w:name="toc 5"/>
    <w:lsdException w:qFormat="1" w:uiPriority="39" w:name="toc 6"/>
    <w:lsdException w:uiPriority="39" w:name="toc 7"/>
    <w:lsdException w:qFormat="1" w:unhideWhenUsed="0" w:uiPriority="0" w:name="toc 8"/>
    <w:lsdException w:uiPriority="39"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qFormat="1" w:uiPriority="0" w:semiHidden="0" w:name="table of figures"/>
    <w:lsdException w:uiPriority="0" w:name="envelope address"/>
    <w:lsdException w:uiPriority="0" w:name="envelope return"/>
    <w:lsdException w:qFormat="1" w:uiPriority="99"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qFormat="1" w:unhideWhenUsed="0" w:uiPriority="0" w:name="endnote text"/>
    <w:lsdException w:uiPriority="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99"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iPriority="99"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99" w:semiHidden="0" w:name="Plain Text"/>
    <w:lsdException w:uiPriority="0" w:name="E-mail Signature"/>
    <w:lsdException w:qFormat="1" w:unhideWhenUsed="0" w:uiPriority="99"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qFormat="1" w:unhideWhenUsed="0" w:uiPriority="0" w:semiHidden="0" w:name="HTML Preformatted"/>
    <w:lsdException w:qFormat="1" w:uiPriority="0" w:name="HTML Sample"/>
    <w:lsdException w:qFormat="1" w:uiPriority="0" w:name="HTML Typewriter"/>
    <w:lsdException w:qFormat="1"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480" w:firstLineChars="200"/>
    </w:pPr>
    <w:rPr>
      <w:rFonts w:ascii="Times New Roman" w:hAnsi="Times New Roman" w:eastAsia="微软雅黑" w:cs="Times New Roman"/>
      <w:kern w:val="2"/>
      <w:sz w:val="21"/>
      <w:szCs w:val="24"/>
      <w:lang w:val="en-US" w:eastAsia="zh-CN" w:bidi="ar-SA"/>
    </w:rPr>
  </w:style>
  <w:style w:type="paragraph" w:styleId="5">
    <w:name w:val="heading 1"/>
    <w:basedOn w:val="1"/>
    <w:next w:val="1"/>
    <w:link w:val="157"/>
    <w:qFormat/>
    <w:uiPriority w:val="9"/>
    <w:pPr>
      <w:keepNext/>
      <w:keepLines/>
      <w:ind w:firstLine="0" w:firstLineChars="0"/>
      <w:jc w:val="center"/>
      <w:outlineLvl w:val="0"/>
    </w:pPr>
    <w:rPr>
      <w:b/>
      <w:bCs/>
      <w:kern w:val="44"/>
      <w:sz w:val="24"/>
      <w:szCs w:val="44"/>
    </w:rPr>
  </w:style>
  <w:style w:type="paragraph" w:styleId="6">
    <w:name w:val="heading 2"/>
    <w:basedOn w:val="1"/>
    <w:next w:val="1"/>
    <w:link w:val="158"/>
    <w:qFormat/>
    <w:uiPriority w:val="9"/>
    <w:pPr>
      <w:keepNext/>
      <w:adjustRightInd w:val="0"/>
      <w:snapToGrid w:val="0"/>
      <w:textAlignment w:val="baseline"/>
      <w:outlineLvl w:val="1"/>
    </w:pPr>
    <w:rPr>
      <w:rFonts w:ascii="仿宋_GB2312" w:hAnsi="仿宋_GB2312"/>
      <w:b/>
      <w:kern w:val="0"/>
      <w:szCs w:val="20"/>
    </w:rPr>
  </w:style>
  <w:style w:type="paragraph" w:styleId="7">
    <w:name w:val="heading 3"/>
    <w:basedOn w:val="1"/>
    <w:next w:val="8"/>
    <w:link w:val="159"/>
    <w:qFormat/>
    <w:uiPriority w:val="0"/>
    <w:pPr>
      <w:keepNext/>
      <w:keepLines/>
      <w:ind w:firstLine="602"/>
      <w:outlineLvl w:val="2"/>
    </w:pPr>
    <w:rPr>
      <w:rFonts w:ascii="仿宋_GB2312" w:hAnsi="仿宋_GB2312"/>
      <w:bCs/>
      <w:szCs w:val="20"/>
    </w:rPr>
  </w:style>
  <w:style w:type="paragraph" w:styleId="9">
    <w:name w:val="heading 4"/>
    <w:basedOn w:val="1"/>
    <w:next w:val="1"/>
    <w:link w:val="76"/>
    <w:qFormat/>
    <w:uiPriority w:val="0"/>
    <w:pPr>
      <w:keepNext/>
      <w:keepLines/>
      <w:outlineLvl w:val="3"/>
    </w:pPr>
    <w:rPr>
      <w:rFonts w:ascii="等线 Light" w:hAnsi="等线 Light"/>
      <w:b/>
      <w:bCs/>
      <w:szCs w:val="28"/>
    </w:rPr>
  </w:style>
  <w:style w:type="paragraph" w:styleId="10">
    <w:name w:val="heading 5"/>
    <w:basedOn w:val="1"/>
    <w:next w:val="1"/>
    <w:link w:val="152"/>
    <w:qFormat/>
    <w:uiPriority w:val="0"/>
    <w:pPr>
      <w:keepNext/>
      <w:keepLines/>
      <w:outlineLvl w:val="4"/>
    </w:pPr>
    <w:rPr>
      <w:b/>
      <w:bCs/>
      <w:szCs w:val="28"/>
    </w:rPr>
  </w:style>
  <w:style w:type="paragraph" w:styleId="11">
    <w:name w:val="heading 6"/>
    <w:basedOn w:val="1"/>
    <w:next w:val="1"/>
    <w:link w:val="153"/>
    <w:qFormat/>
    <w:uiPriority w:val="0"/>
    <w:pPr>
      <w:keepNext/>
      <w:keepLines/>
      <w:spacing w:before="240" w:after="64" w:line="320" w:lineRule="auto"/>
      <w:outlineLvl w:val="5"/>
    </w:pPr>
    <w:rPr>
      <w:rFonts w:ascii="Arial" w:hAnsi="Arial" w:eastAsia="黑体"/>
      <w:b/>
      <w:bCs/>
      <w:sz w:val="24"/>
      <w:szCs w:val="20"/>
    </w:rPr>
  </w:style>
  <w:style w:type="paragraph" w:styleId="12">
    <w:name w:val="heading 7"/>
    <w:basedOn w:val="1"/>
    <w:next w:val="1"/>
    <w:link w:val="154"/>
    <w:qFormat/>
    <w:uiPriority w:val="0"/>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13">
    <w:name w:val="heading 8"/>
    <w:basedOn w:val="1"/>
    <w:next w:val="1"/>
    <w:link w:val="155"/>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4">
    <w:name w:val="heading 9"/>
    <w:basedOn w:val="1"/>
    <w:next w:val="1"/>
    <w:link w:val="156"/>
    <w:qFormat/>
    <w:uiPriority w:val="0"/>
    <w:pPr>
      <w:keepNext/>
      <w:keepLines/>
      <w:adjustRightInd w:val="0"/>
      <w:spacing w:before="240" w:after="64" w:line="320" w:lineRule="atLeast"/>
      <w:textAlignment w:val="baseline"/>
      <w:outlineLvl w:val="8"/>
    </w:pPr>
    <w:rPr>
      <w:rFonts w:ascii="Arial" w:hAnsi="Arial" w:eastAsia="黑体"/>
      <w:kern w:val="0"/>
      <w:sz w:val="28"/>
      <w:szCs w:val="20"/>
    </w:rPr>
  </w:style>
  <w:style w:type="character" w:default="1" w:styleId="55">
    <w:name w:val="Default Paragraph Font"/>
    <w:semiHidden/>
    <w:unhideWhenUsed/>
    <w:qFormat/>
    <w:uiPriority w:val="1"/>
  </w:style>
  <w:style w:type="table" w:default="1" w:styleId="51">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222"/>
    <w:qFormat/>
    <w:uiPriority w:val="0"/>
    <w:pPr>
      <w:ind w:firstLine="200"/>
    </w:pPr>
    <w:rPr>
      <w:rFonts w:asciiTheme="minorHAnsi" w:hAnsiTheme="minorHAnsi" w:eastAsiaTheme="minorEastAsia" w:cstheme="minorBidi"/>
      <w:bCs/>
      <w:sz w:val="24"/>
    </w:rPr>
  </w:style>
  <w:style w:type="paragraph" w:styleId="3">
    <w:name w:val="Body Text"/>
    <w:basedOn w:val="1"/>
    <w:next w:val="4"/>
    <w:link w:val="74"/>
    <w:qFormat/>
    <w:uiPriority w:val="0"/>
    <w:pPr>
      <w:spacing w:after="120"/>
    </w:pPr>
  </w:style>
  <w:style w:type="paragraph" w:customStyle="1" w:styleId="4">
    <w:name w:val="Default"/>
    <w:unhideWhenUsed/>
    <w:qFormat/>
    <w:uiPriority w:val="0"/>
    <w:pPr>
      <w:widowControl w:val="0"/>
      <w:autoSpaceDE w:val="0"/>
      <w:autoSpaceDN w:val="0"/>
      <w:adjustRightInd w:val="0"/>
    </w:pPr>
    <w:rPr>
      <w:rFonts w:hint="eastAsia" w:ascii="仿宋" w:hAnsi="Times New Roman" w:eastAsia="仿宋" w:cs="Times New Roman"/>
      <w:color w:val="000000"/>
      <w:sz w:val="24"/>
      <w:lang w:val="en-US" w:eastAsia="zh-CN" w:bidi="ar-SA"/>
    </w:rPr>
  </w:style>
  <w:style w:type="paragraph" w:styleId="8">
    <w:name w:val="Normal Indent"/>
    <w:basedOn w:val="1"/>
    <w:next w:val="1"/>
    <w:link w:val="75"/>
    <w:qFormat/>
    <w:uiPriority w:val="0"/>
    <w:pPr>
      <w:ind w:firstLine="420"/>
    </w:pPr>
    <w:rPr>
      <w:szCs w:val="20"/>
    </w:rPr>
  </w:style>
  <w:style w:type="paragraph" w:styleId="15">
    <w:name w:val="List Number"/>
    <w:basedOn w:val="1"/>
    <w:qFormat/>
    <w:uiPriority w:val="0"/>
    <w:pPr>
      <w:widowControl/>
      <w:numPr>
        <w:ilvl w:val="0"/>
        <w:numId w:val="1"/>
      </w:numPr>
      <w:tabs>
        <w:tab w:val="left" w:pos="454"/>
      </w:tabs>
      <w:spacing w:afterLines="50"/>
      <w:ind w:left="454" w:hanging="284"/>
    </w:pPr>
    <w:rPr>
      <w:kern w:val="0"/>
      <w:sz w:val="24"/>
      <w:szCs w:val="20"/>
    </w:rPr>
  </w:style>
  <w:style w:type="paragraph" w:styleId="16">
    <w:name w:val="caption"/>
    <w:basedOn w:val="1"/>
    <w:next w:val="1"/>
    <w:qFormat/>
    <w:uiPriority w:val="0"/>
    <w:pPr>
      <w:spacing w:before="152" w:after="160"/>
    </w:pPr>
    <w:rPr>
      <w:rFonts w:ascii="Arial" w:hAnsi="Arial" w:eastAsia="黑体" w:cs="Arial"/>
      <w:sz w:val="20"/>
      <w:szCs w:val="20"/>
    </w:rPr>
  </w:style>
  <w:style w:type="paragraph" w:styleId="17">
    <w:name w:val="List Bullet"/>
    <w:basedOn w:val="1"/>
    <w:qFormat/>
    <w:uiPriority w:val="0"/>
    <w:pPr>
      <w:widowControl/>
      <w:tabs>
        <w:tab w:val="left" w:pos="900"/>
      </w:tabs>
      <w:spacing w:before="100" w:beforeAutospacing="1" w:afterLines="50" w:afterAutospacing="1"/>
      <w:ind w:left="900" w:hanging="420"/>
    </w:pPr>
    <w:rPr>
      <w:kern w:val="0"/>
      <w:szCs w:val="20"/>
    </w:rPr>
  </w:style>
  <w:style w:type="paragraph" w:styleId="18">
    <w:name w:val="Document Map"/>
    <w:basedOn w:val="1"/>
    <w:link w:val="224"/>
    <w:semiHidden/>
    <w:qFormat/>
    <w:uiPriority w:val="0"/>
    <w:pPr>
      <w:shd w:val="clear" w:color="auto" w:fill="000080"/>
    </w:pPr>
  </w:style>
  <w:style w:type="paragraph" w:styleId="19">
    <w:name w:val="annotation text"/>
    <w:basedOn w:val="1"/>
    <w:link w:val="78"/>
    <w:qFormat/>
    <w:uiPriority w:val="0"/>
  </w:style>
  <w:style w:type="paragraph" w:styleId="20">
    <w:name w:val="Body Text 3"/>
    <w:basedOn w:val="1"/>
    <w:link w:val="79"/>
    <w:qFormat/>
    <w:uiPriority w:val="0"/>
    <w:pPr>
      <w:spacing w:after="120"/>
    </w:pPr>
    <w:rPr>
      <w:sz w:val="16"/>
      <w:szCs w:val="16"/>
    </w:rPr>
  </w:style>
  <w:style w:type="paragraph" w:styleId="21">
    <w:name w:val="Body Text Indent"/>
    <w:basedOn w:val="1"/>
    <w:next w:val="8"/>
    <w:link w:val="80"/>
    <w:qFormat/>
    <w:uiPriority w:val="0"/>
    <w:pPr>
      <w:spacing w:line="200" w:lineRule="exact"/>
      <w:ind w:firstLine="301"/>
    </w:pPr>
    <w:rPr>
      <w:rFonts w:ascii="宋体" w:hAnsi="Courier New"/>
      <w:spacing w:val="-4"/>
      <w:sz w:val="18"/>
      <w:szCs w:val="20"/>
    </w:rPr>
  </w:style>
  <w:style w:type="paragraph" w:styleId="22">
    <w:name w:val="List Number 3"/>
    <w:basedOn w:val="1"/>
    <w:qFormat/>
    <w:uiPriority w:val="0"/>
    <w:pPr>
      <w:numPr>
        <w:ilvl w:val="0"/>
        <w:numId w:val="2"/>
      </w:numPr>
    </w:pPr>
  </w:style>
  <w:style w:type="paragraph" w:styleId="23">
    <w:name w:val="List 2"/>
    <w:basedOn w:val="1"/>
    <w:qFormat/>
    <w:uiPriority w:val="0"/>
    <w:pPr>
      <w:ind w:left="566" w:hanging="283"/>
      <w:contextualSpacing/>
    </w:pPr>
  </w:style>
  <w:style w:type="paragraph" w:styleId="24">
    <w:name w:val="List Bullet 2"/>
    <w:basedOn w:val="1"/>
    <w:qFormat/>
    <w:uiPriority w:val="0"/>
    <w:pPr>
      <w:tabs>
        <w:tab w:val="left" w:pos="360"/>
        <w:tab w:val="left" w:pos="1191"/>
      </w:tabs>
      <w:snapToGrid w:val="0"/>
      <w:ind w:left="482" w:hanging="482" w:hangingChars="200"/>
    </w:pPr>
    <w:rPr>
      <w:b/>
      <w:bCs/>
      <w:sz w:val="24"/>
      <w:szCs w:val="32"/>
    </w:rPr>
  </w:style>
  <w:style w:type="paragraph" w:styleId="25">
    <w:name w:val="toc 5"/>
    <w:basedOn w:val="1"/>
    <w:next w:val="1"/>
    <w:semiHidden/>
    <w:qFormat/>
    <w:uiPriority w:val="0"/>
    <w:pPr>
      <w:spacing w:afterLines="50"/>
      <w:ind w:left="840"/>
    </w:pPr>
    <w:rPr>
      <w:snapToGrid w:val="0"/>
      <w:kern w:val="0"/>
      <w:sz w:val="18"/>
      <w:szCs w:val="18"/>
    </w:rPr>
  </w:style>
  <w:style w:type="paragraph" w:styleId="26">
    <w:name w:val="toc 3"/>
    <w:basedOn w:val="1"/>
    <w:next w:val="1"/>
    <w:semiHidden/>
    <w:qFormat/>
    <w:uiPriority w:val="0"/>
    <w:pPr>
      <w:tabs>
        <w:tab w:val="right" w:leader="dot" w:pos="8296"/>
      </w:tabs>
    </w:pPr>
    <w:rPr>
      <w:b/>
      <w:bCs/>
      <w:iCs/>
    </w:rPr>
  </w:style>
  <w:style w:type="paragraph" w:styleId="27">
    <w:name w:val="Plain Text"/>
    <w:basedOn w:val="1"/>
    <w:link w:val="83"/>
    <w:qFormat/>
    <w:uiPriority w:val="99"/>
    <w:rPr>
      <w:rFonts w:ascii="宋体" w:hAnsi="Courier New"/>
      <w:szCs w:val="20"/>
    </w:rPr>
  </w:style>
  <w:style w:type="paragraph" w:styleId="28">
    <w:name w:val="toc 8"/>
    <w:basedOn w:val="1"/>
    <w:next w:val="1"/>
    <w:semiHidden/>
    <w:qFormat/>
    <w:uiPriority w:val="0"/>
    <w:pPr>
      <w:spacing w:afterLines="50"/>
      <w:ind w:left="1470"/>
    </w:pPr>
    <w:rPr>
      <w:snapToGrid w:val="0"/>
      <w:kern w:val="0"/>
      <w:sz w:val="18"/>
      <w:szCs w:val="18"/>
    </w:rPr>
  </w:style>
  <w:style w:type="paragraph" w:styleId="29">
    <w:name w:val="Date"/>
    <w:basedOn w:val="1"/>
    <w:next w:val="1"/>
    <w:link w:val="85"/>
    <w:qFormat/>
    <w:uiPriority w:val="0"/>
    <w:pPr>
      <w:ind w:left="2500" w:leftChars="2500"/>
    </w:pPr>
    <w:rPr>
      <w:rFonts w:eastAsia="楷体_GB2312"/>
      <w:sz w:val="32"/>
      <w:szCs w:val="20"/>
    </w:rPr>
  </w:style>
  <w:style w:type="paragraph" w:styleId="30">
    <w:name w:val="Body Text Indent 2"/>
    <w:basedOn w:val="1"/>
    <w:link w:val="86"/>
    <w:qFormat/>
    <w:uiPriority w:val="0"/>
    <w:pPr>
      <w:snapToGrid w:val="0"/>
      <w:ind w:firstLine="542" w:firstLineChars="225"/>
    </w:pPr>
    <w:rPr>
      <w:rFonts w:ascii="仿宋_GB2312" w:hAnsi="宋体"/>
      <w:b/>
      <w:bCs/>
      <w:color w:val="000000"/>
      <w:sz w:val="24"/>
    </w:rPr>
  </w:style>
  <w:style w:type="paragraph" w:styleId="31">
    <w:name w:val="endnote text"/>
    <w:basedOn w:val="1"/>
    <w:link w:val="190"/>
    <w:semiHidden/>
    <w:qFormat/>
    <w:uiPriority w:val="0"/>
    <w:pPr>
      <w:snapToGrid w:val="0"/>
      <w:spacing w:afterLines="50"/>
    </w:pPr>
    <w:rPr>
      <w:rFonts w:ascii="宋体"/>
      <w:snapToGrid w:val="0"/>
      <w:kern w:val="0"/>
      <w:szCs w:val="20"/>
    </w:rPr>
  </w:style>
  <w:style w:type="paragraph" w:styleId="32">
    <w:name w:val="Balloon Text"/>
    <w:basedOn w:val="1"/>
    <w:link w:val="87"/>
    <w:qFormat/>
    <w:uiPriority w:val="0"/>
    <w:rPr>
      <w:sz w:val="18"/>
      <w:szCs w:val="18"/>
    </w:rPr>
  </w:style>
  <w:style w:type="paragraph" w:styleId="33">
    <w:name w:val="footer"/>
    <w:basedOn w:val="1"/>
    <w:link w:val="88"/>
    <w:qFormat/>
    <w:uiPriority w:val="0"/>
    <w:pPr>
      <w:tabs>
        <w:tab w:val="center" w:pos="4153"/>
        <w:tab w:val="right" w:pos="8306"/>
      </w:tabs>
      <w:snapToGrid w:val="0"/>
    </w:pPr>
    <w:rPr>
      <w:sz w:val="18"/>
      <w:szCs w:val="18"/>
    </w:rPr>
  </w:style>
  <w:style w:type="paragraph" w:styleId="34">
    <w:name w:val="header"/>
    <w:basedOn w:val="1"/>
    <w:link w:val="89"/>
    <w:qFormat/>
    <w:uiPriority w:val="0"/>
    <w:pPr>
      <w:pBdr>
        <w:bottom w:val="single" w:color="auto" w:sz="6" w:space="1"/>
      </w:pBdr>
      <w:tabs>
        <w:tab w:val="center" w:pos="4153"/>
        <w:tab w:val="right" w:pos="8306"/>
      </w:tabs>
      <w:snapToGrid w:val="0"/>
      <w:jc w:val="center"/>
    </w:pPr>
    <w:rPr>
      <w:sz w:val="18"/>
      <w:szCs w:val="18"/>
    </w:rPr>
  </w:style>
  <w:style w:type="paragraph" w:styleId="35">
    <w:name w:val="toc 1"/>
    <w:basedOn w:val="1"/>
    <w:next w:val="1"/>
    <w:qFormat/>
    <w:uiPriority w:val="39"/>
    <w:pPr>
      <w:tabs>
        <w:tab w:val="right" w:leader="dot" w:pos="9060"/>
      </w:tabs>
      <w:spacing w:before="120" w:after="120" w:line="720" w:lineRule="auto"/>
    </w:pPr>
    <w:rPr>
      <w:rFonts w:ascii="仿宋_GB2312" w:eastAsia="仿宋_GB2312"/>
      <w:bCs/>
      <w:caps/>
      <w:color w:val="FF6600"/>
      <w:sz w:val="36"/>
      <w:szCs w:val="36"/>
    </w:rPr>
  </w:style>
  <w:style w:type="paragraph" w:styleId="36">
    <w:name w:val="toc 4"/>
    <w:basedOn w:val="1"/>
    <w:next w:val="1"/>
    <w:semiHidden/>
    <w:qFormat/>
    <w:uiPriority w:val="0"/>
    <w:pPr>
      <w:ind w:left="629"/>
    </w:pPr>
    <w:rPr>
      <w:snapToGrid w:val="0"/>
      <w:kern w:val="0"/>
      <w:szCs w:val="18"/>
    </w:rPr>
  </w:style>
  <w:style w:type="paragraph" w:styleId="37">
    <w:name w:val="Subtitle"/>
    <w:basedOn w:val="1"/>
    <w:next w:val="1"/>
    <w:link w:val="92"/>
    <w:qFormat/>
    <w:uiPriority w:val="0"/>
    <w:pPr>
      <w:spacing w:before="240" w:after="60" w:line="312" w:lineRule="auto"/>
      <w:jc w:val="center"/>
      <w:outlineLvl w:val="1"/>
    </w:pPr>
    <w:rPr>
      <w:rFonts w:ascii="Cambria" w:hAnsi="Cambria"/>
      <w:b/>
      <w:bCs/>
      <w:kern w:val="28"/>
      <w:sz w:val="32"/>
      <w:szCs w:val="32"/>
    </w:rPr>
  </w:style>
  <w:style w:type="paragraph" w:styleId="38">
    <w:name w:val="List"/>
    <w:basedOn w:val="1"/>
    <w:qFormat/>
    <w:uiPriority w:val="0"/>
    <w:pPr>
      <w:ind w:left="283" w:hanging="283"/>
      <w:contextualSpacing/>
    </w:pPr>
  </w:style>
  <w:style w:type="paragraph" w:styleId="39">
    <w:name w:val="footnote text"/>
    <w:basedOn w:val="1"/>
    <w:link w:val="93"/>
    <w:unhideWhenUsed/>
    <w:qFormat/>
    <w:uiPriority w:val="99"/>
    <w:pPr>
      <w:snapToGrid w:val="0"/>
    </w:pPr>
    <w:rPr>
      <w:rFonts w:ascii="Calibri" w:hAnsi="Calibri"/>
      <w:sz w:val="18"/>
    </w:rPr>
  </w:style>
  <w:style w:type="paragraph" w:styleId="40">
    <w:name w:val="toc 6"/>
    <w:basedOn w:val="1"/>
    <w:next w:val="1"/>
    <w:semiHidden/>
    <w:unhideWhenUsed/>
    <w:qFormat/>
    <w:uiPriority w:val="39"/>
    <w:pPr>
      <w:ind w:left="2100" w:leftChars="1000"/>
    </w:pPr>
  </w:style>
  <w:style w:type="paragraph" w:styleId="41">
    <w:name w:val="Body Text Indent 3"/>
    <w:basedOn w:val="1"/>
    <w:link w:val="95"/>
    <w:qFormat/>
    <w:uiPriority w:val="0"/>
    <w:pPr>
      <w:snapToGrid w:val="0"/>
    </w:pPr>
    <w:rPr>
      <w:rFonts w:ascii="仿宋_GB2312" w:hAnsi="宋体" w:eastAsia="仿宋_GB2312"/>
      <w:color w:val="000000"/>
      <w:sz w:val="24"/>
    </w:rPr>
  </w:style>
  <w:style w:type="paragraph" w:styleId="42">
    <w:name w:val="table of figures"/>
    <w:basedOn w:val="1"/>
    <w:next w:val="1"/>
    <w:unhideWhenUsed/>
    <w:qFormat/>
    <w:uiPriority w:val="0"/>
    <w:pPr>
      <w:ind w:left="200" w:leftChars="200" w:hanging="200" w:hangingChars="200"/>
    </w:pPr>
  </w:style>
  <w:style w:type="paragraph" w:styleId="43">
    <w:name w:val="toc 2"/>
    <w:basedOn w:val="1"/>
    <w:next w:val="1"/>
    <w:qFormat/>
    <w:uiPriority w:val="39"/>
    <w:pPr>
      <w:tabs>
        <w:tab w:val="right" w:leader="dot" w:pos="8296"/>
      </w:tabs>
      <w:ind w:left="210"/>
    </w:pPr>
    <w:rPr>
      <w:b/>
      <w:smallCaps/>
    </w:rPr>
  </w:style>
  <w:style w:type="paragraph" w:styleId="44">
    <w:name w:val="Body Text 2"/>
    <w:basedOn w:val="1"/>
    <w:link w:val="98"/>
    <w:qFormat/>
    <w:uiPriority w:val="0"/>
    <w:pPr>
      <w:widowControl/>
      <w:snapToGrid w:val="0"/>
      <w:spacing w:before="50" w:afterLines="50" w:line="400" w:lineRule="exact"/>
    </w:pPr>
    <w:rPr>
      <w:rFonts w:ascii="宋体" w:hAnsi="宋体"/>
      <w:color w:val="000000"/>
      <w:sz w:val="24"/>
    </w:rPr>
  </w:style>
  <w:style w:type="paragraph" w:styleId="45">
    <w:name w:val="HTML Preformatted"/>
    <w:basedOn w:val="1"/>
    <w:link w:val="21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46">
    <w:name w:val="Normal (Web)"/>
    <w:basedOn w:val="1"/>
    <w:link w:val="99"/>
    <w:qFormat/>
    <w:uiPriority w:val="99"/>
    <w:pPr>
      <w:widowControl/>
      <w:spacing w:before="100" w:beforeAutospacing="1" w:after="100" w:afterAutospacing="1"/>
    </w:pPr>
    <w:rPr>
      <w:rFonts w:ascii="宋体" w:hAnsi="宋体"/>
      <w:kern w:val="0"/>
      <w:sz w:val="24"/>
    </w:rPr>
  </w:style>
  <w:style w:type="paragraph" w:styleId="47">
    <w:name w:val="index 1"/>
    <w:basedOn w:val="1"/>
    <w:next w:val="1"/>
    <w:semiHidden/>
    <w:qFormat/>
    <w:uiPriority w:val="0"/>
    <w:rPr>
      <w:szCs w:val="20"/>
    </w:rPr>
  </w:style>
  <w:style w:type="paragraph" w:styleId="48">
    <w:name w:val="Title"/>
    <w:basedOn w:val="1"/>
    <w:next w:val="1"/>
    <w:link w:val="100"/>
    <w:qFormat/>
    <w:uiPriority w:val="0"/>
    <w:pPr>
      <w:spacing w:before="240" w:after="60"/>
      <w:jc w:val="center"/>
      <w:outlineLvl w:val="0"/>
    </w:pPr>
    <w:rPr>
      <w:rFonts w:ascii="Cambria" w:hAnsi="Cambria"/>
      <w:b/>
      <w:bCs/>
      <w:sz w:val="32"/>
      <w:szCs w:val="32"/>
    </w:rPr>
  </w:style>
  <w:style w:type="paragraph" w:styleId="49">
    <w:name w:val="annotation subject"/>
    <w:basedOn w:val="19"/>
    <w:next w:val="19"/>
    <w:link w:val="101"/>
    <w:qFormat/>
    <w:uiPriority w:val="0"/>
    <w:rPr>
      <w:b/>
      <w:bCs/>
    </w:rPr>
  </w:style>
  <w:style w:type="paragraph" w:styleId="50">
    <w:name w:val="Body Text First Indent 2"/>
    <w:basedOn w:val="21"/>
    <w:next w:val="8"/>
    <w:semiHidden/>
    <w:unhideWhenUsed/>
    <w:qFormat/>
    <w:uiPriority w:val="99"/>
    <w:pPr>
      <w:ind w:firstLine="420"/>
    </w:pPr>
  </w:style>
  <w:style w:type="table" w:styleId="52">
    <w:name w:val="Table Grid"/>
    <w:basedOn w:val="5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53">
    <w:name w:val="Table Grid 1"/>
    <w:basedOn w:val="51"/>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54">
    <w:name w:val="Table Grid 8"/>
    <w:basedOn w:val="51"/>
    <w:qFormat/>
    <w:uiPriority w:val="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6">
    <w:name w:val="Strong"/>
    <w:qFormat/>
    <w:uiPriority w:val="0"/>
    <w:rPr>
      <w:b/>
      <w:bCs/>
    </w:rPr>
  </w:style>
  <w:style w:type="character" w:styleId="57">
    <w:name w:val="page number"/>
    <w:qFormat/>
    <w:uiPriority w:val="0"/>
  </w:style>
  <w:style w:type="character" w:styleId="58">
    <w:name w:val="FollowedHyperlink"/>
    <w:basedOn w:val="55"/>
    <w:semiHidden/>
    <w:unhideWhenUsed/>
    <w:qFormat/>
    <w:uiPriority w:val="99"/>
    <w:rPr>
      <w:color w:val="954F72" w:themeColor="followedHyperlink"/>
      <w:u w:val="single"/>
    </w:rPr>
  </w:style>
  <w:style w:type="character" w:styleId="59">
    <w:name w:val="Emphasis"/>
    <w:basedOn w:val="55"/>
    <w:qFormat/>
    <w:uiPriority w:val="0"/>
  </w:style>
  <w:style w:type="character" w:styleId="60">
    <w:name w:val="HTML Definition"/>
    <w:basedOn w:val="55"/>
    <w:semiHidden/>
    <w:unhideWhenUsed/>
    <w:qFormat/>
    <w:uiPriority w:val="0"/>
  </w:style>
  <w:style w:type="character" w:styleId="61">
    <w:name w:val="HTML Typewriter"/>
    <w:basedOn w:val="55"/>
    <w:semiHidden/>
    <w:unhideWhenUsed/>
    <w:qFormat/>
    <w:uiPriority w:val="0"/>
    <w:rPr>
      <w:rFonts w:hint="default" w:ascii="monospace" w:hAnsi="monospace" w:eastAsia="monospace" w:cs="monospace"/>
      <w:sz w:val="20"/>
    </w:rPr>
  </w:style>
  <w:style w:type="character" w:styleId="62">
    <w:name w:val="HTML Acronym"/>
    <w:basedOn w:val="55"/>
    <w:semiHidden/>
    <w:unhideWhenUsed/>
    <w:qFormat/>
    <w:uiPriority w:val="0"/>
  </w:style>
  <w:style w:type="character" w:styleId="63">
    <w:name w:val="HTML Variable"/>
    <w:basedOn w:val="55"/>
    <w:semiHidden/>
    <w:unhideWhenUsed/>
    <w:qFormat/>
    <w:uiPriority w:val="0"/>
  </w:style>
  <w:style w:type="character" w:styleId="64">
    <w:name w:val="Hyperlink"/>
    <w:basedOn w:val="55"/>
    <w:qFormat/>
    <w:uiPriority w:val="99"/>
    <w:rPr>
      <w:color w:val="0088CC"/>
      <w:u w:val="none"/>
    </w:rPr>
  </w:style>
  <w:style w:type="character" w:styleId="65">
    <w:name w:val="HTML Code"/>
    <w:basedOn w:val="55"/>
    <w:semiHidden/>
    <w:unhideWhenUsed/>
    <w:qFormat/>
    <w:uiPriority w:val="0"/>
    <w:rPr>
      <w:rFonts w:hint="default" w:ascii="monospace" w:hAnsi="monospace" w:eastAsia="monospace" w:cs="monospace"/>
      <w:sz w:val="20"/>
    </w:rPr>
  </w:style>
  <w:style w:type="character" w:styleId="66">
    <w:name w:val="annotation reference"/>
    <w:qFormat/>
    <w:uiPriority w:val="0"/>
    <w:rPr>
      <w:sz w:val="21"/>
      <w:szCs w:val="21"/>
    </w:rPr>
  </w:style>
  <w:style w:type="character" w:styleId="67">
    <w:name w:val="HTML Cite"/>
    <w:basedOn w:val="55"/>
    <w:semiHidden/>
    <w:unhideWhenUsed/>
    <w:qFormat/>
    <w:uiPriority w:val="0"/>
  </w:style>
  <w:style w:type="character" w:styleId="68">
    <w:name w:val="footnote reference"/>
    <w:unhideWhenUsed/>
    <w:qFormat/>
    <w:uiPriority w:val="99"/>
    <w:rPr>
      <w:rFonts w:hint="default" w:ascii="Times New Roman"/>
      <w:sz w:val="24"/>
      <w:vertAlign w:val="superscript"/>
    </w:rPr>
  </w:style>
  <w:style w:type="character" w:styleId="69">
    <w:name w:val="HTML Keyboard"/>
    <w:basedOn w:val="55"/>
    <w:semiHidden/>
    <w:unhideWhenUsed/>
    <w:qFormat/>
    <w:uiPriority w:val="0"/>
    <w:rPr>
      <w:rFonts w:ascii="monospace" w:hAnsi="monospace" w:eastAsia="monospace" w:cs="monospace"/>
      <w:sz w:val="20"/>
    </w:rPr>
  </w:style>
  <w:style w:type="character" w:styleId="70">
    <w:name w:val="HTML Sample"/>
    <w:basedOn w:val="55"/>
    <w:semiHidden/>
    <w:unhideWhenUsed/>
    <w:qFormat/>
    <w:uiPriority w:val="0"/>
    <w:rPr>
      <w:rFonts w:hint="default" w:ascii="monospace" w:hAnsi="monospace" w:eastAsia="monospace" w:cs="monospace"/>
    </w:rPr>
  </w:style>
  <w:style w:type="paragraph" w:customStyle="1" w:styleId="71">
    <w:name w:val="表格文字"/>
    <w:basedOn w:val="72"/>
    <w:next w:val="3"/>
    <w:qFormat/>
    <w:uiPriority w:val="0"/>
  </w:style>
  <w:style w:type="paragraph" w:customStyle="1" w:styleId="72">
    <w:name w:val="表格文字（两侧对齐）"/>
    <w:basedOn w:val="1"/>
    <w:qFormat/>
    <w:uiPriority w:val="0"/>
    <w:pPr>
      <w:snapToGrid w:val="0"/>
    </w:pPr>
    <w:rPr>
      <w:rFonts w:eastAsia="宋体"/>
      <w:sz w:val="20"/>
    </w:rPr>
  </w:style>
  <w:style w:type="paragraph" w:customStyle="1" w:styleId="73">
    <w:name w:val="标准正文"/>
    <w:basedOn w:val="1"/>
    <w:qFormat/>
    <w:uiPriority w:val="0"/>
    <w:pPr>
      <w:ind w:firstLine="200"/>
    </w:pPr>
    <w:rPr>
      <w:sz w:val="24"/>
      <w:szCs w:val="20"/>
    </w:rPr>
  </w:style>
  <w:style w:type="character" w:customStyle="1" w:styleId="74">
    <w:name w:val="正文文本 Char"/>
    <w:link w:val="3"/>
    <w:qFormat/>
    <w:uiPriority w:val="0"/>
    <w:rPr>
      <w:kern w:val="2"/>
      <w:sz w:val="21"/>
      <w:szCs w:val="24"/>
    </w:rPr>
  </w:style>
  <w:style w:type="character" w:customStyle="1" w:styleId="75">
    <w:name w:val="正文缩进 Char"/>
    <w:link w:val="8"/>
    <w:qFormat/>
    <w:uiPriority w:val="0"/>
    <w:rPr>
      <w:kern w:val="2"/>
      <w:sz w:val="21"/>
    </w:rPr>
  </w:style>
  <w:style w:type="character" w:customStyle="1" w:styleId="76">
    <w:name w:val="标题 4 Char"/>
    <w:link w:val="9"/>
    <w:qFormat/>
    <w:uiPriority w:val="0"/>
    <w:rPr>
      <w:rFonts w:ascii="等线 Light" w:hAnsi="等线 Light" w:eastAsia="微软雅黑" w:cs="Times New Roman"/>
      <w:b/>
      <w:bCs/>
      <w:kern w:val="2"/>
      <w:sz w:val="21"/>
      <w:szCs w:val="28"/>
    </w:rPr>
  </w:style>
  <w:style w:type="paragraph" w:customStyle="1" w:styleId="77">
    <w:name w:val="目录 71"/>
    <w:basedOn w:val="1"/>
    <w:next w:val="1"/>
    <w:unhideWhenUsed/>
    <w:qFormat/>
    <w:uiPriority w:val="39"/>
    <w:pPr>
      <w:ind w:left="2520" w:leftChars="1200"/>
    </w:pPr>
    <w:rPr>
      <w:rFonts w:ascii="Calibri" w:hAnsi="Calibri"/>
      <w:szCs w:val="22"/>
    </w:rPr>
  </w:style>
  <w:style w:type="character" w:customStyle="1" w:styleId="78">
    <w:name w:val="批注文字 Char1"/>
    <w:link w:val="19"/>
    <w:qFormat/>
    <w:uiPriority w:val="0"/>
    <w:rPr>
      <w:kern w:val="2"/>
      <w:sz w:val="21"/>
      <w:szCs w:val="24"/>
    </w:rPr>
  </w:style>
  <w:style w:type="character" w:customStyle="1" w:styleId="79">
    <w:name w:val="正文文本 3 Char"/>
    <w:link w:val="20"/>
    <w:qFormat/>
    <w:uiPriority w:val="0"/>
    <w:rPr>
      <w:kern w:val="2"/>
      <w:sz w:val="16"/>
      <w:szCs w:val="16"/>
    </w:rPr>
  </w:style>
  <w:style w:type="character" w:customStyle="1" w:styleId="80">
    <w:name w:val="正文文本缩进 Char"/>
    <w:link w:val="21"/>
    <w:qFormat/>
    <w:uiPriority w:val="0"/>
    <w:rPr>
      <w:rFonts w:ascii="宋体" w:hAnsi="Courier New"/>
      <w:spacing w:val="-4"/>
      <w:kern w:val="2"/>
      <w:sz w:val="18"/>
    </w:rPr>
  </w:style>
  <w:style w:type="paragraph" w:customStyle="1" w:styleId="81">
    <w:name w:val="目录 51"/>
    <w:basedOn w:val="1"/>
    <w:next w:val="1"/>
    <w:unhideWhenUsed/>
    <w:qFormat/>
    <w:uiPriority w:val="39"/>
    <w:pPr>
      <w:ind w:left="1680" w:leftChars="800"/>
    </w:pPr>
    <w:rPr>
      <w:rFonts w:ascii="Calibri" w:hAnsi="Calibri"/>
      <w:szCs w:val="22"/>
    </w:rPr>
  </w:style>
  <w:style w:type="paragraph" w:customStyle="1" w:styleId="82">
    <w:name w:val="目录 31"/>
    <w:basedOn w:val="1"/>
    <w:next w:val="1"/>
    <w:qFormat/>
    <w:uiPriority w:val="39"/>
    <w:pPr>
      <w:ind w:left="840" w:leftChars="400"/>
    </w:pPr>
  </w:style>
  <w:style w:type="character" w:customStyle="1" w:styleId="83">
    <w:name w:val="纯文本 Char"/>
    <w:link w:val="27"/>
    <w:qFormat/>
    <w:uiPriority w:val="99"/>
    <w:rPr>
      <w:rFonts w:ascii="宋体" w:hAnsi="Courier New"/>
      <w:kern w:val="2"/>
      <w:sz w:val="21"/>
    </w:rPr>
  </w:style>
  <w:style w:type="paragraph" w:customStyle="1" w:styleId="84">
    <w:name w:val="目录 81"/>
    <w:basedOn w:val="1"/>
    <w:next w:val="1"/>
    <w:unhideWhenUsed/>
    <w:qFormat/>
    <w:uiPriority w:val="39"/>
    <w:pPr>
      <w:ind w:left="2940" w:leftChars="1400"/>
    </w:pPr>
    <w:rPr>
      <w:rFonts w:ascii="Calibri" w:hAnsi="Calibri"/>
      <w:szCs w:val="22"/>
    </w:rPr>
  </w:style>
  <w:style w:type="character" w:customStyle="1" w:styleId="85">
    <w:name w:val="日期 Char"/>
    <w:link w:val="29"/>
    <w:qFormat/>
    <w:uiPriority w:val="0"/>
    <w:rPr>
      <w:rFonts w:eastAsia="楷体_GB2312"/>
      <w:kern w:val="2"/>
      <w:sz w:val="32"/>
    </w:rPr>
  </w:style>
  <w:style w:type="character" w:customStyle="1" w:styleId="86">
    <w:name w:val="正文文本缩进 2 Char"/>
    <w:link w:val="30"/>
    <w:qFormat/>
    <w:uiPriority w:val="0"/>
    <w:rPr>
      <w:rFonts w:ascii="仿宋_GB2312" w:hAnsi="宋体" w:cs="Arial"/>
      <w:b/>
      <w:bCs/>
      <w:color w:val="000000"/>
      <w:kern w:val="2"/>
      <w:sz w:val="24"/>
      <w:szCs w:val="24"/>
    </w:rPr>
  </w:style>
  <w:style w:type="character" w:customStyle="1" w:styleId="87">
    <w:name w:val="批注框文本 Char"/>
    <w:link w:val="32"/>
    <w:qFormat/>
    <w:uiPriority w:val="0"/>
    <w:rPr>
      <w:kern w:val="2"/>
      <w:sz w:val="18"/>
      <w:szCs w:val="18"/>
    </w:rPr>
  </w:style>
  <w:style w:type="character" w:customStyle="1" w:styleId="88">
    <w:name w:val="页脚 Char"/>
    <w:link w:val="33"/>
    <w:qFormat/>
    <w:locked/>
    <w:uiPriority w:val="0"/>
    <w:rPr>
      <w:kern w:val="2"/>
      <w:sz w:val="18"/>
      <w:szCs w:val="18"/>
    </w:rPr>
  </w:style>
  <w:style w:type="character" w:customStyle="1" w:styleId="89">
    <w:name w:val="页眉 Char"/>
    <w:link w:val="34"/>
    <w:qFormat/>
    <w:uiPriority w:val="0"/>
    <w:rPr>
      <w:rFonts w:eastAsia="宋体"/>
      <w:kern w:val="2"/>
      <w:sz w:val="18"/>
      <w:szCs w:val="18"/>
      <w:lang w:val="en-US" w:eastAsia="zh-CN" w:bidi="ar-SA"/>
    </w:rPr>
  </w:style>
  <w:style w:type="paragraph" w:customStyle="1" w:styleId="90">
    <w:name w:val="目录 11"/>
    <w:basedOn w:val="1"/>
    <w:next w:val="1"/>
    <w:qFormat/>
    <w:uiPriority w:val="39"/>
  </w:style>
  <w:style w:type="paragraph" w:customStyle="1" w:styleId="91">
    <w:name w:val="目录 41"/>
    <w:basedOn w:val="1"/>
    <w:next w:val="1"/>
    <w:unhideWhenUsed/>
    <w:qFormat/>
    <w:uiPriority w:val="39"/>
    <w:pPr>
      <w:ind w:left="1260" w:leftChars="600"/>
    </w:pPr>
    <w:rPr>
      <w:rFonts w:ascii="Calibri" w:hAnsi="Calibri"/>
      <w:szCs w:val="22"/>
    </w:rPr>
  </w:style>
  <w:style w:type="character" w:customStyle="1" w:styleId="92">
    <w:name w:val="副标题 Char"/>
    <w:link w:val="37"/>
    <w:qFormat/>
    <w:uiPriority w:val="0"/>
    <w:rPr>
      <w:rFonts w:ascii="Cambria" w:hAnsi="Cambria"/>
      <w:b/>
      <w:bCs/>
      <w:kern w:val="28"/>
      <w:sz w:val="32"/>
      <w:szCs w:val="32"/>
    </w:rPr>
  </w:style>
  <w:style w:type="character" w:customStyle="1" w:styleId="93">
    <w:name w:val="脚注文本 Char"/>
    <w:link w:val="39"/>
    <w:qFormat/>
    <w:uiPriority w:val="99"/>
    <w:rPr>
      <w:rFonts w:ascii="Calibri" w:hAnsi="Calibri"/>
      <w:kern w:val="2"/>
      <w:sz w:val="18"/>
      <w:szCs w:val="24"/>
    </w:rPr>
  </w:style>
  <w:style w:type="paragraph" w:customStyle="1" w:styleId="94">
    <w:name w:val="目录 61"/>
    <w:basedOn w:val="1"/>
    <w:next w:val="1"/>
    <w:unhideWhenUsed/>
    <w:qFormat/>
    <w:uiPriority w:val="39"/>
    <w:pPr>
      <w:ind w:left="2100" w:leftChars="1000"/>
    </w:pPr>
    <w:rPr>
      <w:rFonts w:ascii="Calibri" w:hAnsi="Calibri"/>
      <w:szCs w:val="22"/>
    </w:rPr>
  </w:style>
  <w:style w:type="character" w:customStyle="1" w:styleId="95">
    <w:name w:val="正文文本缩进 3 Char"/>
    <w:link w:val="41"/>
    <w:qFormat/>
    <w:uiPriority w:val="0"/>
    <w:rPr>
      <w:rFonts w:ascii="仿宋_GB2312" w:hAnsi="宋体" w:eastAsia="仿宋_GB2312"/>
      <w:color w:val="000000"/>
      <w:kern w:val="2"/>
      <w:sz w:val="24"/>
      <w:szCs w:val="24"/>
    </w:rPr>
  </w:style>
  <w:style w:type="paragraph" w:customStyle="1" w:styleId="96">
    <w:name w:val="目录 21"/>
    <w:basedOn w:val="1"/>
    <w:next w:val="1"/>
    <w:qFormat/>
    <w:uiPriority w:val="39"/>
    <w:pPr>
      <w:ind w:left="420" w:leftChars="200"/>
    </w:pPr>
  </w:style>
  <w:style w:type="paragraph" w:customStyle="1" w:styleId="97">
    <w:name w:val="目录 91"/>
    <w:basedOn w:val="1"/>
    <w:next w:val="1"/>
    <w:unhideWhenUsed/>
    <w:qFormat/>
    <w:uiPriority w:val="39"/>
    <w:pPr>
      <w:ind w:left="3360" w:leftChars="1600"/>
    </w:pPr>
    <w:rPr>
      <w:rFonts w:ascii="Calibri" w:hAnsi="Calibri"/>
      <w:szCs w:val="22"/>
    </w:rPr>
  </w:style>
  <w:style w:type="character" w:customStyle="1" w:styleId="98">
    <w:name w:val="正文文本 2 Char"/>
    <w:link w:val="44"/>
    <w:qFormat/>
    <w:uiPriority w:val="0"/>
    <w:rPr>
      <w:rFonts w:ascii="宋体" w:hAnsi="宋体"/>
      <w:color w:val="000000"/>
      <w:kern w:val="2"/>
      <w:sz w:val="24"/>
      <w:szCs w:val="24"/>
    </w:rPr>
  </w:style>
  <w:style w:type="character" w:customStyle="1" w:styleId="99">
    <w:name w:val="普通(网站) Char"/>
    <w:link w:val="46"/>
    <w:qFormat/>
    <w:locked/>
    <w:uiPriority w:val="0"/>
    <w:rPr>
      <w:rFonts w:ascii="宋体" w:hAnsi="宋体" w:cs="宋体"/>
      <w:sz w:val="24"/>
      <w:szCs w:val="24"/>
    </w:rPr>
  </w:style>
  <w:style w:type="character" w:customStyle="1" w:styleId="100">
    <w:name w:val="标题 Char"/>
    <w:link w:val="48"/>
    <w:qFormat/>
    <w:uiPriority w:val="0"/>
    <w:rPr>
      <w:rFonts w:ascii="Cambria" w:hAnsi="Cambria"/>
      <w:b/>
      <w:bCs/>
      <w:kern w:val="2"/>
      <w:sz w:val="32"/>
      <w:szCs w:val="32"/>
    </w:rPr>
  </w:style>
  <w:style w:type="character" w:customStyle="1" w:styleId="101">
    <w:name w:val="批注主题 Char"/>
    <w:link w:val="49"/>
    <w:qFormat/>
    <w:uiPriority w:val="0"/>
    <w:rPr>
      <w:b/>
      <w:bCs/>
      <w:kern w:val="2"/>
      <w:sz w:val="21"/>
      <w:szCs w:val="24"/>
    </w:rPr>
  </w:style>
  <w:style w:type="paragraph" w:customStyle="1" w:styleId="102">
    <w:name w:val="正文首行缩进1"/>
    <w:basedOn w:val="3"/>
    <w:link w:val="103"/>
    <w:qFormat/>
    <w:uiPriority w:val="0"/>
    <w:pPr>
      <w:ind w:firstLine="420" w:firstLineChars="100"/>
    </w:pPr>
  </w:style>
  <w:style w:type="character" w:customStyle="1" w:styleId="103">
    <w:name w:val="正文首行缩进 Char"/>
    <w:link w:val="102"/>
    <w:qFormat/>
    <w:uiPriority w:val="0"/>
  </w:style>
  <w:style w:type="character" w:customStyle="1" w:styleId="104">
    <w:name w:val="已访问的超链接1"/>
    <w:qFormat/>
    <w:uiPriority w:val="0"/>
    <w:rPr>
      <w:color w:val="800080"/>
      <w:u w:val="single"/>
    </w:rPr>
  </w:style>
  <w:style w:type="character" w:customStyle="1" w:styleId="105">
    <w:name w:val="正文缩进 字符"/>
    <w:qFormat/>
    <w:uiPriority w:val="0"/>
    <w:rPr>
      <w:snapToGrid/>
      <w:kern w:val="0"/>
      <w:sz w:val="24"/>
    </w:rPr>
  </w:style>
  <w:style w:type="character" w:customStyle="1" w:styleId="106">
    <w:name w:val="列出段落 Char"/>
    <w:link w:val="107"/>
    <w:qFormat/>
    <w:uiPriority w:val="99"/>
    <w:rPr>
      <w:kern w:val="2"/>
      <w:sz w:val="21"/>
      <w:szCs w:val="22"/>
    </w:rPr>
  </w:style>
  <w:style w:type="paragraph" w:styleId="107">
    <w:name w:val="List Paragraph"/>
    <w:basedOn w:val="1"/>
    <w:link w:val="106"/>
    <w:qFormat/>
    <w:uiPriority w:val="99"/>
    <w:pPr>
      <w:ind w:firstLine="420"/>
    </w:pPr>
    <w:rPr>
      <w:szCs w:val="22"/>
    </w:rPr>
  </w:style>
  <w:style w:type="character" w:customStyle="1" w:styleId="108">
    <w:name w:val="列表段落 字符"/>
    <w:qFormat/>
    <w:uiPriority w:val="34"/>
    <w:rPr>
      <w:rFonts w:ascii="Times New Roman" w:hAnsi="Times New Roman" w:eastAsia="宋体" w:cs="Times New Roman"/>
      <w:szCs w:val="24"/>
    </w:rPr>
  </w:style>
  <w:style w:type="character" w:customStyle="1" w:styleId="109">
    <w:name w:val="页脚 字符"/>
    <w:qFormat/>
    <w:uiPriority w:val="99"/>
  </w:style>
  <w:style w:type="character" w:customStyle="1" w:styleId="110">
    <w:name w:val="页眉 Char1"/>
    <w:qFormat/>
    <w:uiPriority w:val="99"/>
    <w:rPr>
      <w:kern w:val="2"/>
      <w:sz w:val="18"/>
      <w:szCs w:val="18"/>
    </w:rPr>
  </w:style>
  <w:style w:type="character" w:customStyle="1" w:styleId="111">
    <w:name w:val="普通文字 Char Char2"/>
    <w:qFormat/>
    <w:uiPriority w:val="0"/>
    <w:rPr>
      <w:rFonts w:ascii="宋体" w:hAnsi="Courier New" w:eastAsia="宋体"/>
      <w:kern w:val="2"/>
      <w:sz w:val="24"/>
      <w:szCs w:val="24"/>
      <w:lang w:val="en-US" w:eastAsia="zh-CN" w:bidi="ar-SA"/>
    </w:rPr>
  </w:style>
  <w:style w:type="character" w:customStyle="1" w:styleId="112">
    <w:name w:val="批注文字 Char"/>
    <w:qFormat/>
    <w:uiPriority w:val="0"/>
    <w:rPr>
      <w:kern w:val="2"/>
      <w:sz w:val="21"/>
      <w:szCs w:val="24"/>
    </w:rPr>
  </w:style>
  <w:style w:type="character" w:customStyle="1" w:styleId="113">
    <w:name w:val="ca-92"/>
    <w:qFormat/>
    <w:uiPriority w:val="0"/>
  </w:style>
  <w:style w:type="character" w:customStyle="1" w:styleId="114">
    <w:name w:val="bookmark-item"/>
    <w:qFormat/>
    <w:uiPriority w:val="0"/>
  </w:style>
  <w:style w:type="character" w:customStyle="1" w:styleId="115">
    <w:name w:val="纯文本 Char3"/>
    <w:qFormat/>
    <w:uiPriority w:val="0"/>
    <w:rPr>
      <w:rFonts w:ascii="宋体" w:hAnsi="Courier New" w:eastAsia="宋体"/>
      <w:kern w:val="2"/>
      <w:sz w:val="24"/>
      <w:szCs w:val="24"/>
      <w:lang w:val="en-US" w:eastAsia="zh-CN" w:bidi="ar-SA"/>
    </w:rPr>
  </w:style>
  <w:style w:type="character" w:customStyle="1" w:styleId="116">
    <w:name w:val="sub"/>
    <w:qFormat/>
    <w:uiPriority w:val="0"/>
  </w:style>
  <w:style w:type="character" w:customStyle="1" w:styleId="117">
    <w:name w:val="纯文本 Char1"/>
    <w:qFormat/>
    <w:uiPriority w:val="0"/>
    <w:rPr>
      <w:rFonts w:ascii="宋体" w:hAnsi="Courier New" w:eastAsia="宋体" w:cs="Times New Roman"/>
      <w:sz w:val="24"/>
      <w:szCs w:val="24"/>
    </w:rPr>
  </w:style>
  <w:style w:type="paragraph" w:customStyle="1" w:styleId="118">
    <w:name w:val="_Style 2"/>
    <w:basedOn w:val="1"/>
    <w:qFormat/>
    <w:uiPriority w:val="0"/>
    <w:pPr>
      <w:adjustRightInd w:val="0"/>
      <w:snapToGrid w:val="0"/>
      <w:ind w:firstLine="420"/>
    </w:pPr>
    <w:rPr>
      <w:rFonts w:ascii="Calibri" w:hAnsi="Calibri"/>
      <w:sz w:val="24"/>
    </w:rPr>
  </w:style>
  <w:style w:type="paragraph" w:customStyle="1" w:styleId="119">
    <w:name w:val="Char Char9 Char Char"/>
    <w:basedOn w:val="1"/>
    <w:qFormat/>
    <w:uiPriority w:val="0"/>
    <w:pPr>
      <w:tabs>
        <w:tab w:val="left" w:pos="360"/>
      </w:tabs>
    </w:pPr>
  </w:style>
  <w:style w:type="paragraph" w:customStyle="1" w:styleId="120">
    <w:name w:val="样式 正文1 + 段前: 0.1 行"/>
    <w:basedOn w:val="1"/>
    <w:qFormat/>
    <w:uiPriority w:val="0"/>
    <w:pPr>
      <w:snapToGrid w:val="0"/>
      <w:spacing w:beforeLines="10" w:line="440" w:lineRule="atLeast"/>
      <w:ind w:firstLine="510"/>
    </w:pPr>
    <w:rPr>
      <w:sz w:val="24"/>
    </w:rPr>
  </w:style>
  <w:style w:type="paragraph" w:customStyle="1" w:styleId="121">
    <w:name w:val="列表段落1"/>
    <w:basedOn w:val="1"/>
    <w:qFormat/>
    <w:uiPriority w:val="0"/>
    <w:pPr>
      <w:ind w:firstLine="420"/>
    </w:pPr>
    <w:rPr>
      <w:szCs w:val="21"/>
    </w:rPr>
  </w:style>
  <w:style w:type="paragraph" w:customStyle="1" w:styleId="122">
    <w:name w:val="列出段落1"/>
    <w:basedOn w:val="1"/>
    <w:qFormat/>
    <w:uiPriority w:val="34"/>
    <w:pPr>
      <w:ind w:firstLine="420"/>
    </w:pPr>
    <w:rPr>
      <w:rFonts w:ascii="Calibri" w:hAnsi="Calibri"/>
      <w:szCs w:val="20"/>
    </w:rPr>
  </w:style>
  <w:style w:type="paragraph" w:customStyle="1" w:styleId="123">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24">
    <w:name w:val="纯文本1"/>
    <w:basedOn w:val="1"/>
    <w:qFormat/>
    <w:uiPriority w:val="0"/>
    <w:pPr>
      <w:adjustRightInd w:val="0"/>
      <w:textAlignment w:val="baseline"/>
    </w:pPr>
    <w:rPr>
      <w:rFonts w:ascii="宋体" w:hAnsi="Courier New" w:eastAsia="楷体_GB2312"/>
      <w:sz w:val="26"/>
      <w:szCs w:val="20"/>
    </w:rPr>
  </w:style>
  <w:style w:type="paragraph" w:customStyle="1" w:styleId="125">
    <w:name w:val="默认段落字体 Para Char Char Char Char Char Char Char Char Char1 Char Char Char Char"/>
    <w:basedOn w:val="1"/>
    <w:qFormat/>
    <w:uiPriority w:val="0"/>
    <w:rPr>
      <w:rFonts w:ascii="Tahoma" w:hAnsi="Tahoma"/>
      <w:sz w:val="24"/>
      <w:szCs w:val="20"/>
    </w:rPr>
  </w:style>
  <w:style w:type="paragraph" w:customStyle="1" w:styleId="126">
    <w:name w:val="表内文字"/>
    <w:basedOn w:val="1"/>
    <w:qFormat/>
    <w:uiPriority w:val="0"/>
    <w:pPr>
      <w:jc w:val="center"/>
    </w:pPr>
    <w:rPr>
      <w:rFonts w:ascii="仿宋_GB2312" w:eastAsia="仿宋_GB2312"/>
      <w:sz w:val="24"/>
    </w:rPr>
  </w:style>
  <w:style w:type="paragraph" w:customStyle="1" w:styleId="127">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28">
    <w:name w:val="1 Char Char Char Char"/>
    <w:basedOn w:val="1"/>
    <w:qFormat/>
    <w:uiPriority w:val="0"/>
    <w:rPr>
      <w:rFonts w:ascii="Tahoma" w:hAnsi="Tahoma"/>
      <w:sz w:val="24"/>
      <w:szCs w:val="20"/>
    </w:rPr>
  </w:style>
  <w:style w:type="paragraph" w:customStyle="1" w:styleId="129">
    <w:name w:val="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130">
    <w:name w:val="Char Char Char Char Char Char Char"/>
    <w:basedOn w:val="1"/>
    <w:qFormat/>
    <w:uiPriority w:val="0"/>
    <w:rPr>
      <w:szCs w:val="21"/>
    </w:rPr>
  </w:style>
  <w:style w:type="paragraph" w:customStyle="1" w:styleId="131">
    <w:name w:val="TOC 标题1"/>
    <w:basedOn w:val="5"/>
    <w:next w:val="1"/>
    <w:qFormat/>
    <w:uiPriority w:val="39"/>
    <w:pPr>
      <w:widowControl/>
      <w:spacing w:before="480" w:line="276" w:lineRule="auto"/>
      <w:jc w:val="left"/>
      <w:outlineLvl w:val="9"/>
    </w:pPr>
    <w:rPr>
      <w:rFonts w:ascii="Cambria" w:hAnsi="Cambria"/>
      <w:color w:val="365F91"/>
      <w:kern w:val="0"/>
      <w:sz w:val="28"/>
      <w:szCs w:val="28"/>
    </w:rPr>
  </w:style>
  <w:style w:type="paragraph" w:customStyle="1" w:styleId="132">
    <w:name w:val="正文段"/>
    <w:basedOn w:val="1"/>
    <w:qFormat/>
    <w:uiPriority w:val="0"/>
    <w:pPr>
      <w:widowControl/>
      <w:snapToGrid w:val="0"/>
      <w:spacing w:afterLines="50"/>
      <w:ind w:firstLine="200"/>
    </w:pPr>
    <w:rPr>
      <w:kern w:val="0"/>
      <w:sz w:val="24"/>
      <w:szCs w:val="20"/>
    </w:rPr>
  </w:style>
  <w:style w:type="paragraph" w:customStyle="1" w:styleId="133">
    <w:name w:val="纯文本2"/>
    <w:basedOn w:val="1"/>
    <w:qFormat/>
    <w:uiPriority w:val="0"/>
    <w:pPr>
      <w:adjustRightInd w:val="0"/>
      <w:textAlignment w:val="baseline"/>
    </w:pPr>
    <w:rPr>
      <w:rFonts w:ascii="宋体" w:hAnsi="Courier New" w:eastAsia="楷体_GB2312"/>
      <w:sz w:val="26"/>
      <w:szCs w:val="20"/>
    </w:rPr>
  </w:style>
  <w:style w:type="paragraph" w:customStyle="1" w:styleId="134">
    <w:name w:val="默认段落字体 Para Char Char Char Char"/>
    <w:basedOn w:val="1"/>
    <w:qFormat/>
    <w:uiPriority w:val="0"/>
    <w:rPr>
      <w:rFonts w:ascii="Arial" w:hAnsi="Arial" w:cs="Arial"/>
      <w:szCs w:val="21"/>
    </w:rPr>
  </w:style>
  <w:style w:type="paragraph" w:customStyle="1" w:styleId="135">
    <w:name w:val="_Style 54"/>
    <w:basedOn w:val="1"/>
    <w:qFormat/>
    <w:uiPriority w:val="0"/>
    <w:pPr>
      <w:adjustRightInd w:val="0"/>
      <w:snapToGrid w:val="0"/>
      <w:ind w:firstLine="420"/>
    </w:pPr>
    <w:rPr>
      <w:rFonts w:ascii="Calibri" w:hAnsi="Calibri"/>
      <w:sz w:val="24"/>
    </w:rPr>
  </w:style>
  <w:style w:type="paragraph" w:customStyle="1" w:styleId="136">
    <w:name w:val="CM11"/>
    <w:basedOn w:val="4"/>
    <w:next w:val="4"/>
    <w:unhideWhenUsed/>
    <w:qFormat/>
    <w:uiPriority w:val="99"/>
    <w:pPr>
      <w:spacing w:line="520" w:lineRule="atLeast"/>
    </w:pPr>
  </w:style>
  <w:style w:type="paragraph" w:customStyle="1" w:styleId="137">
    <w:name w:val="WPSOffice手动目录 1"/>
    <w:qFormat/>
    <w:uiPriority w:val="0"/>
    <w:rPr>
      <w:rFonts w:ascii="Times New Roman" w:hAnsi="Times New Roman" w:eastAsia="宋体" w:cs="Times New Roman"/>
      <w:lang w:val="en-US" w:eastAsia="zh-CN" w:bidi="ar-SA"/>
    </w:rPr>
  </w:style>
  <w:style w:type="paragraph" w:customStyle="1" w:styleId="138">
    <w:name w:val="p16"/>
    <w:basedOn w:val="1"/>
    <w:qFormat/>
    <w:uiPriority w:val="0"/>
    <w:pPr>
      <w:widowControl/>
    </w:pPr>
    <w:rPr>
      <w:rFonts w:ascii="宋体" w:hAnsi="宋体" w:cs="宋体"/>
      <w:kern w:val="0"/>
      <w:sz w:val="27"/>
      <w:szCs w:val="27"/>
    </w:rPr>
  </w:style>
  <w:style w:type="paragraph" w:customStyle="1" w:styleId="139">
    <w:name w:val="CM13"/>
    <w:basedOn w:val="4"/>
    <w:next w:val="4"/>
    <w:unhideWhenUsed/>
    <w:qFormat/>
    <w:uiPriority w:val="99"/>
    <w:pPr>
      <w:spacing w:line="520" w:lineRule="atLeast"/>
    </w:pPr>
  </w:style>
  <w:style w:type="paragraph" w:customStyle="1" w:styleId="140">
    <w:name w:val="CM19"/>
    <w:basedOn w:val="4"/>
    <w:next w:val="4"/>
    <w:unhideWhenUsed/>
    <w:qFormat/>
    <w:uiPriority w:val="99"/>
  </w:style>
  <w:style w:type="character" w:customStyle="1" w:styleId="141">
    <w:name w:val="font01"/>
    <w:qFormat/>
    <w:uiPriority w:val="0"/>
    <w:rPr>
      <w:rFonts w:hint="eastAsia" w:ascii="宋体" w:hAnsi="宋体" w:eastAsia="宋体" w:cs="宋体"/>
      <w:color w:val="000000"/>
      <w:sz w:val="21"/>
      <w:szCs w:val="21"/>
      <w:u w:val="none"/>
      <w:vertAlign w:val="superscript"/>
    </w:rPr>
  </w:style>
  <w:style w:type="character" w:customStyle="1" w:styleId="142">
    <w:name w:val="font11"/>
    <w:qFormat/>
    <w:uiPriority w:val="0"/>
    <w:rPr>
      <w:rFonts w:hint="eastAsia" w:ascii="宋体" w:hAnsi="宋体" w:eastAsia="宋体" w:cs="宋体"/>
      <w:color w:val="000000"/>
      <w:sz w:val="21"/>
      <w:szCs w:val="21"/>
      <w:u w:val="none"/>
    </w:rPr>
  </w:style>
  <w:style w:type="paragraph" w:customStyle="1" w:styleId="143">
    <w:name w:val="--规划正文"/>
    <w:basedOn w:val="1"/>
    <w:qFormat/>
    <w:uiPriority w:val="0"/>
    <w:pPr>
      <w:widowControl/>
      <w:suppressAutoHyphens/>
      <w:ind w:firstLine="200"/>
    </w:pPr>
    <w:rPr>
      <w:kern w:val="1"/>
      <w:szCs w:val="20"/>
      <w:lang w:eastAsia="ar-SA"/>
    </w:rPr>
  </w:style>
  <w:style w:type="character" w:customStyle="1" w:styleId="144">
    <w:name w:val="正文首行缩进 2 Char"/>
    <w:link w:val="145"/>
    <w:qFormat/>
    <w:uiPriority w:val="0"/>
    <w:rPr>
      <w:rFonts w:ascii="宋体" w:hAnsi="Courier New"/>
      <w:spacing w:val="-4"/>
      <w:kern w:val="2"/>
      <w:sz w:val="24"/>
    </w:rPr>
  </w:style>
  <w:style w:type="paragraph" w:customStyle="1" w:styleId="145">
    <w:name w:val="正文首行缩进 21"/>
    <w:basedOn w:val="21"/>
    <w:link w:val="144"/>
    <w:unhideWhenUsed/>
    <w:qFormat/>
    <w:uiPriority w:val="0"/>
    <w:pPr>
      <w:spacing w:after="120" w:line="360" w:lineRule="auto"/>
      <w:ind w:left="420" w:leftChars="200" w:firstLine="420"/>
    </w:pPr>
    <w:rPr>
      <w:sz w:val="24"/>
    </w:rPr>
  </w:style>
  <w:style w:type="character" w:customStyle="1" w:styleId="146">
    <w:name w:val="正文首行缩进 2 Char1"/>
    <w:qFormat/>
    <w:uiPriority w:val="0"/>
    <w:rPr>
      <w:rFonts w:ascii="宋体" w:hAnsi="Courier New"/>
      <w:spacing w:val="-4"/>
      <w:kern w:val="2"/>
      <w:sz w:val="21"/>
      <w:szCs w:val="24"/>
    </w:rPr>
  </w:style>
  <w:style w:type="paragraph" w:customStyle="1" w:styleId="147">
    <w:name w:val="正文sl"/>
    <w:basedOn w:val="1"/>
    <w:qFormat/>
    <w:uiPriority w:val="0"/>
    <w:pPr>
      <w:ind w:firstLine="600"/>
    </w:pPr>
    <w:rPr>
      <w:rFonts w:ascii="仿宋_GB2312" w:eastAsia="仿宋_GB2312" w:cs="宋体"/>
      <w:sz w:val="30"/>
      <w:szCs w:val="20"/>
    </w:rPr>
  </w:style>
  <w:style w:type="paragraph" w:customStyle="1" w:styleId="148">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fontstyle01"/>
    <w:qFormat/>
    <w:uiPriority w:val="0"/>
    <w:rPr>
      <w:rFonts w:hint="eastAsia" w:ascii="宋体" w:hAnsi="宋体" w:eastAsia="宋体" w:cs="宋体"/>
      <w:color w:val="000000"/>
      <w:sz w:val="24"/>
      <w:szCs w:val="24"/>
    </w:rPr>
  </w:style>
  <w:style w:type="character" w:customStyle="1" w:styleId="150">
    <w:name w:val="inline-comment-marker"/>
    <w:basedOn w:val="55"/>
    <w:qFormat/>
    <w:uiPriority w:val="0"/>
  </w:style>
  <w:style w:type="paragraph" w:customStyle="1" w:styleId="151">
    <w:name w:val="列表段落11"/>
    <w:basedOn w:val="1"/>
    <w:qFormat/>
    <w:uiPriority w:val="34"/>
    <w:pPr>
      <w:widowControl/>
      <w:ind w:firstLine="420"/>
    </w:pPr>
    <w:rPr>
      <w:rFonts w:ascii="宋体" w:hAnsi="宋体" w:cs="宋体"/>
      <w:kern w:val="0"/>
      <w:sz w:val="24"/>
    </w:rPr>
  </w:style>
  <w:style w:type="character" w:customStyle="1" w:styleId="152">
    <w:name w:val="标题 5 Char"/>
    <w:basedOn w:val="55"/>
    <w:link w:val="10"/>
    <w:qFormat/>
    <w:uiPriority w:val="0"/>
    <w:rPr>
      <w:rFonts w:eastAsia="微软雅黑"/>
      <w:b/>
      <w:bCs/>
      <w:kern w:val="2"/>
      <w:sz w:val="21"/>
      <w:szCs w:val="28"/>
    </w:rPr>
  </w:style>
  <w:style w:type="character" w:customStyle="1" w:styleId="153">
    <w:name w:val="标题 6 Char"/>
    <w:basedOn w:val="55"/>
    <w:link w:val="11"/>
    <w:qFormat/>
    <w:uiPriority w:val="0"/>
    <w:rPr>
      <w:rFonts w:ascii="Arial" w:hAnsi="Arial" w:eastAsia="黑体"/>
      <w:b/>
      <w:bCs/>
      <w:kern w:val="2"/>
      <w:sz w:val="24"/>
    </w:rPr>
  </w:style>
  <w:style w:type="character" w:customStyle="1" w:styleId="154">
    <w:name w:val="标题 7 Char"/>
    <w:basedOn w:val="55"/>
    <w:link w:val="12"/>
    <w:qFormat/>
    <w:uiPriority w:val="0"/>
    <w:rPr>
      <w:rFonts w:ascii="宋体" w:eastAsia="仿宋_GB2312"/>
      <w:b/>
      <w:sz w:val="24"/>
    </w:rPr>
  </w:style>
  <w:style w:type="character" w:customStyle="1" w:styleId="155">
    <w:name w:val="标题 8 Char"/>
    <w:basedOn w:val="55"/>
    <w:link w:val="13"/>
    <w:qFormat/>
    <w:uiPriority w:val="0"/>
    <w:rPr>
      <w:rFonts w:ascii="Arial" w:hAnsi="Arial" w:eastAsia="黑体"/>
      <w:sz w:val="24"/>
    </w:rPr>
  </w:style>
  <w:style w:type="character" w:customStyle="1" w:styleId="156">
    <w:name w:val="标题 9 Char"/>
    <w:basedOn w:val="55"/>
    <w:link w:val="14"/>
    <w:qFormat/>
    <w:uiPriority w:val="0"/>
    <w:rPr>
      <w:rFonts w:ascii="Arial" w:hAnsi="Arial" w:eastAsia="黑体"/>
      <w:sz w:val="28"/>
    </w:rPr>
  </w:style>
  <w:style w:type="character" w:customStyle="1" w:styleId="157">
    <w:name w:val="标题 1 Char"/>
    <w:basedOn w:val="55"/>
    <w:link w:val="5"/>
    <w:qFormat/>
    <w:uiPriority w:val="9"/>
    <w:rPr>
      <w:rFonts w:eastAsia="微软雅黑"/>
      <w:b/>
      <w:bCs/>
      <w:kern w:val="44"/>
      <w:sz w:val="24"/>
      <w:szCs w:val="44"/>
    </w:rPr>
  </w:style>
  <w:style w:type="character" w:customStyle="1" w:styleId="158">
    <w:name w:val="标题 2 Char"/>
    <w:basedOn w:val="55"/>
    <w:link w:val="6"/>
    <w:qFormat/>
    <w:uiPriority w:val="9"/>
    <w:rPr>
      <w:rFonts w:ascii="仿宋_GB2312" w:hAnsi="仿宋_GB2312" w:eastAsia="微软雅黑"/>
      <w:b/>
      <w:sz w:val="21"/>
    </w:rPr>
  </w:style>
  <w:style w:type="character" w:customStyle="1" w:styleId="159">
    <w:name w:val="标题 3 Char"/>
    <w:basedOn w:val="55"/>
    <w:link w:val="7"/>
    <w:qFormat/>
    <w:uiPriority w:val="0"/>
    <w:rPr>
      <w:rFonts w:ascii="仿宋_GB2312" w:hAnsi="仿宋_GB2312" w:eastAsia="微软雅黑"/>
      <w:bCs/>
      <w:kern w:val="2"/>
      <w:sz w:val="21"/>
    </w:rPr>
  </w:style>
  <w:style w:type="character" w:customStyle="1" w:styleId="160">
    <w:name w:val="unnamed11"/>
    <w:qFormat/>
    <w:uiPriority w:val="0"/>
    <w:rPr>
      <w:sz w:val="20"/>
      <w:szCs w:val="20"/>
    </w:rPr>
  </w:style>
  <w:style w:type="character" w:customStyle="1" w:styleId="161">
    <w:name w:val="标题 1 Char Char"/>
    <w:qFormat/>
    <w:uiPriority w:val="0"/>
    <w:rPr>
      <w:rFonts w:eastAsia="宋体"/>
      <w:b/>
      <w:spacing w:val="-2"/>
      <w:sz w:val="24"/>
      <w:lang w:val="en-US" w:eastAsia="zh-CN" w:bidi="ar-SA"/>
    </w:rPr>
  </w:style>
  <w:style w:type="character" w:customStyle="1" w:styleId="162">
    <w:name w:val="line1"/>
    <w:qFormat/>
    <w:uiPriority w:val="0"/>
    <w:rPr>
      <w:u w:val="none"/>
    </w:rPr>
  </w:style>
  <w:style w:type="character" w:customStyle="1" w:styleId="163">
    <w:name w:val="point_normal1"/>
    <w:qFormat/>
    <w:uiPriority w:val="0"/>
    <w:rPr>
      <w:rFonts w:hint="default" w:ascii="Arial" w:hAnsi="Arial" w:cs="Arial"/>
      <w:sz w:val="18"/>
      <w:szCs w:val="18"/>
    </w:rPr>
  </w:style>
  <w:style w:type="character" w:customStyle="1" w:styleId="164">
    <w:name w:val="样式 小四"/>
    <w:qFormat/>
    <w:uiPriority w:val="0"/>
    <w:rPr>
      <w:sz w:val="21"/>
    </w:rPr>
  </w:style>
  <w:style w:type="character" w:customStyle="1" w:styleId="165">
    <w:name w:val="para"/>
    <w:basedOn w:val="55"/>
    <w:qFormat/>
    <w:uiPriority w:val="0"/>
  </w:style>
  <w:style w:type="character" w:customStyle="1" w:styleId="166">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167">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168">
    <w:name w:val="A C"/>
    <w:qFormat/>
    <w:uiPriority w:val="0"/>
    <w:rPr>
      <w:rFonts w:ascii="仿宋_GB2312"/>
      <w:bCs/>
      <w:iCs/>
      <w:sz w:val="24"/>
    </w:rPr>
  </w:style>
  <w:style w:type="character" w:customStyle="1" w:styleId="169">
    <w:name w:val="huide001"/>
    <w:qFormat/>
    <w:uiPriority w:val="0"/>
    <w:rPr>
      <w:rFonts w:hint="default" w:ascii="Arial" w:hAnsi="Arial" w:cs="Arial"/>
      <w:color w:val="666666"/>
      <w:sz w:val="18"/>
      <w:szCs w:val="18"/>
    </w:rPr>
  </w:style>
  <w:style w:type="character" w:customStyle="1" w:styleId="170">
    <w:name w:val="tw4winMark"/>
    <w:qFormat/>
    <w:uiPriority w:val="0"/>
    <w:rPr>
      <w:rFonts w:ascii="Courier New" w:hAnsi="Courier New"/>
      <w:vanish/>
      <w:color w:val="800080"/>
      <w:vertAlign w:val="subscript"/>
    </w:rPr>
  </w:style>
  <w:style w:type="character" w:customStyle="1" w:styleId="171">
    <w:name w:val="tw4winError"/>
    <w:qFormat/>
    <w:uiPriority w:val="0"/>
    <w:rPr>
      <w:rFonts w:ascii="Courier New" w:hAnsi="Courier New"/>
      <w:color w:val="00FF00"/>
      <w:sz w:val="40"/>
    </w:rPr>
  </w:style>
  <w:style w:type="character" w:customStyle="1" w:styleId="172">
    <w:name w:val="tw4winTerm"/>
    <w:qFormat/>
    <w:uiPriority w:val="0"/>
    <w:rPr>
      <w:color w:val="0000FF"/>
    </w:rPr>
  </w:style>
  <w:style w:type="character" w:customStyle="1" w:styleId="173">
    <w:name w:val="tw4winPopup"/>
    <w:qFormat/>
    <w:uiPriority w:val="0"/>
    <w:rPr>
      <w:rFonts w:ascii="Courier New" w:hAnsi="Courier New"/>
      <w:color w:val="008000"/>
    </w:rPr>
  </w:style>
  <w:style w:type="character" w:customStyle="1" w:styleId="174">
    <w:name w:val="tw4winJump"/>
    <w:qFormat/>
    <w:uiPriority w:val="0"/>
    <w:rPr>
      <w:rFonts w:ascii="Courier New" w:hAnsi="Courier New"/>
      <w:color w:val="008080"/>
    </w:rPr>
  </w:style>
  <w:style w:type="character" w:customStyle="1" w:styleId="175">
    <w:name w:val="tw4winExternal"/>
    <w:qFormat/>
    <w:uiPriority w:val="0"/>
    <w:rPr>
      <w:rFonts w:ascii="Courier New" w:hAnsi="Courier New"/>
      <w:color w:val="808080"/>
    </w:rPr>
  </w:style>
  <w:style w:type="character" w:customStyle="1" w:styleId="176">
    <w:name w:val="tw4winInternal"/>
    <w:qFormat/>
    <w:uiPriority w:val="0"/>
    <w:rPr>
      <w:rFonts w:ascii="Courier New" w:hAnsi="Courier New"/>
      <w:color w:val="FF0000"/>
    </w:rPr>
  </w:style>
  <w:style w:type="paragraph" w:customStyle="1" w:styleId="177">
    <w:name w:val="样式 样式 标题 4 + 段后: 0.5 行1"/>
    <w:basedOn w:val="178"/>
    <w:next w:val="31"/>
    <w:qFormat/>
    <w:uiPriority w:val="0"/>
    <w:pPr>
      <w:spacing w:after="120"/>
    </w:pPr>
  </w:style>
  <w:style w:type="paragraph" w:customStyle="1" w:styleId="178">
    <w:name w:val="样式 标题 4 + 段后: 0.5 行"/>
    <w:basedOn w:val="9"/>
    <w:qFormat/>
    <w:uiPriority w:val="0"/>
    <w:pPr>
      <w:keepLines w:val="0"/>
      <w:spacing w:before="120" w:afterLines="50" w:line="240" w:lineRule="auto"/>
    </w:pPr>
    <w:rPr>
      <w:rFonts w:ascii="宋体" w:hAnsi="Times New Roman" w:eastAsia="宋体" w:cs="宋体"/>
      <w:snapToGrid w:val="0"/>
      <w:kern w:val="0"/>
      <w:szCs w:val="20"/>
    </w:rPr>
  </w:style>
  <w:style w:type="paragraph" w:customStyle="1" w:styleId="179">
    <w:name w:val="Bullet1"/>
    <w:basedOn w:val="1"/>
    <w:qFormat/>
    <w:uiPriority w:val="0"/>
    <w:pPr>
      <w:spacing w:afterLines="50"/>
      <w:ind w:left="720" w:hanging="432"/>
    </w:pPr>
    <w:rPr>
      <w:rFonts w:ascii="宋体"/>
      <w:snapToGrid w:val="0"/>
      <w:kern w:val="0"/>
      <w:szCs w:val="20"/>
    </w:rPr>
  </w:style>
  <w:style w:type="paragraph" w:customStyle="1" w:styleId="180">
    <w:name w:val="font5"/>
    <w:basedOn w:val="1"/>
    <w:qFormat/>
    <w:uiPriority w:val="0"/>
    <w:pPr>
      <w:widowControl/>
      <w:spacing w:before="100" w:beforeAutospacing="1" w:after="100" w:afterAutospacing="1"/>
    </w:pPr>
    <w:rPr>
      <w:rFonts w:hint="eastAsia" w:ascii="宋体" w:hAnsi="宋体"/>
      <w:kern w:val="0"/>
      <w:sz w:val="18"/>
      <w:szCs w:val="18"/>
    </w:rPr>
  </w:style>
  <w:style w:type="paragraph" w:customStyle="1" w:styleId="181">
    <w:name w:val="标准标题1"/>
    <w:basedOn w:val="5"/>
    <w:qFormat/>
    <w:uiPriority w:val="0"/>
    <w:pPr>
      <w:pageBreakBefore/>
      <w:tabs>
        <w:tab w:val="left" w:pos="360"/>
        <w:tab w:val="left" w:pos="1080"/>
      </w:tabs>
      <w:ind w:left="425" w:hanging="425"/>
    </w:pPr>
    <w:rPr>
      <w:rFonts w:eastAsia="仿宋_GB2312"/>
      <w:sz w:val="32"/>
    </w:rPr>
  </w:style>
  <w:style w:type="character" w:customStyle="1" w:styleId="182">
    <w:name w:val="脚注文本 Char1"/>
    <w:basedOn w:val="55"/>
    <w:semiHidden/>
    <w:qFormat/>
    <w:uiPriority w:val="99"/>
    <w:rPr>
      <w:rFonts w:ascii="Times New Roman" w:hAnsi="Times New Roman" w:eastAsia="宋体" w:cs="Times New Roman"/>
      <w:sz w:val="18"/>
      <w:szCs w:val="18"/>
    </w:rPr>
  </w:style>
  <w:style w:type="paragraph" w:customStyle="1" w:styleId="183">
    <w:name w:val="样式 标题 2Chapter X.X. Statementh22Header 2l2Level 2 Headhea..."/>
    <w:basedOn w:val="6"/>
    <w:qFormat/>
    <w:uiPriority w:val="0"/>
    <w:pPr>
      <w:tabs>
        <w:tab w:val="left" w:pos="720"/>
      </w:tabs>
      <w:adjustRightInd/>
      <w:snapToGrid/>
      <w:spacing w:afterLines="50" w:line="240" w:lineRule="auto"/>
      <w:textAlignment w:val="auto"/>
    </w:pPr>
    <w:rPr>
      <w:rFonts w:ascii="宋体" w:eastAsia="宋体" w:cs="宋体"/>
      <w:bCs/>
      <w:snapToGrid w:val="0"/>
      <w:sz w:val="24"/>
      <w:szCs w:val="24"/>
    </w:rPr>
  </w:style>
  <w:style w:type="paragraph" w:customStyle="1" w:styleId="184">
    <w:name w:val="此正文"/>
    <w:basedOn w:val="1"/>
    <w:qFormat/>
    <w:uiPriority w:val="0"/>
    <w:pPr>
      <w:ind w:firstLine="200"/>
    </w:pPr>
    <w:rPr>
      <w:sz w:val="24"/>
      <w:szCs w:val="20"/>
    </w:rPr>
  </w:style>
  <w:style w:type="paragraph" w:customStyle="1" w:styleId="185">
    <w:name w:val="样式 标题 3Chapter X.X.X"/>
    <w:basedOn w:val="186"/>
    <w:qFormat/>
    <w:uiPriority w:val="0"/>
    <w:pPr>
      <w:tabs>
        <w:tab w:val="left" w:pos="709"/>
      </w:tabs>
      <w:spacing w:after="120"/>
    </w:pPr>
  </w:style>
  <w:style w:type="paragraph" w:customStyle="1" w:styleId="186">
    <w:name w:val="标题 3Chapter X.X.X. + 段后: 0.5 行 + 段后: 0.5 行 + 段后: 0.5 行1"/>
    <w:basedOn w:val="187"/>
    <w:qFormat/>
    <w:uiPriority w:val="0"/>
    <w:pPr>
      <w:tabs>
        <w:tab w:val="left" w:pos="709"/>
      </w:tabs>
    </w:pPr>
  </w:style>
  <w:style w:type="paragraph" w:customStyle="1" w:styleId="187">
    <w:name w:val="样式 样式 标题 3Chapter X.X.X. + 段后: 0.5 行 + 段后: 0.5 行"/>
    <w:basedOn w:val="188"/>
    <w:qFormat/>
    <w:uiPriority w:val="0"/>
    <w:pPr>
      <w:tabs>
        <w:tab w:val="left" w:pos="709"/>
      </w:tabs>
    </w:pPr>
  </w:style>
  <w:style w:type="paragraph" w:customStyle="1" w:styleId="188">
    <w:name w:val="样式 标题 3Chapter X.X.X. + 段后: 0.5 行"/>
    <w:basedOn w:val="7"/>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character" w:customStyle="1" w:styleId="189">
    <w:name w:val="正文文本 Char1"/>
    <w:basedOn w:val="55"/>
    <w:semiHidden/>
    <w:qFormat/>
    <w:uiPriority w:val="99"/>
    <w:rPr>
      <w:rFonts w:ascii="Times New Roman" w:hAnsi="Times New Roman" w:eastAsia="宋体" w:cs="Times New Roman"/>
      <w:szCs w:val="20"/>
    </w:rPr>
  </w:style>
  <w:style w:type="character" w:customStyle="1" w:styleId="190">
    <w:name w:val="尾注文本 Char"/>
    <w:basedOn w:val="55"/>
    <w:link w:val="31"/>
    <w:semiHidden/>
    <w:qFormat/>
    <w:uiPriority w:val="0"/>
    <w:rPr>
      <w:rFonts w:ascii="宋体"/>
      <w:snapToGrid w:val="0"/>
      <w:sz w:val="21"/>
    </w:rPr>
  </w:style>
  <w:style w:type="paragraph" w:customStyle="1" w:styleId="191">
    <w:name w:val="样式 标题 2"/>
    <w:basedOn w:val="6"/>
    <w:next w:val="192"/>
    <w:qFormat/>
    <w:uiPriority w:val="0"/>
    <w:pPr>
      <w:tabs>
        <w:tab w:val="left" w:pos="720"/>
      </w:tabs>
      <w:adjustRightInd/>
      <w:snapToGrid/>
      <w:spacing w:afterLines="50" w:line="240" w:lineRule="auto"/>
      <w:ind w:left="380" w:hanging="380"/>
      <w:textAlignment w:val="auto"/>
    </w:pPr>
    <w:rPr>
      <w:rFonts w:ascii="宋体" w:eastAsia="宋体" w:cs="宋体"/>
      <w:bCs/>
      <w:snapToGrid w:val="0"/>
      <w:sz w:val="28"/>
    </w:rPr>
  </w:style>
  <w:style w:type="paragraph" w:customStyle="1" w:styleId="192">
    <w:name w:val="最新标题3"/>
    <w:basedOn w:val="193"/>
    <w:next w:val="194"/>
    <w:qFormat/>
    <w:uiPriority w:val="0"/>
    <w:pPr>
      <w:tabs>
        <w:tab w:val="left" w:pos="709"/>
      </w:tabs>
      <w:spacing w:after="120"/>
    </w:pPr>
  </w:style>
  <w:style w:type="paragraph" w:customStyle="1" w:styleId="193">
    <w:name w:val="样式 标题 3"/>
    <w:basedOn w:val="7"/>
    <w:next w:val="194"/>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94">
    <w:name w:val="最新标题4"/>
    <w:basedOn w:val="195"/>
    <w:next w:val="1"/>
    <w:qFormat/>
    <w:uiPriority w:val="0"/>
    <w:pPr>
      <w:tabs>
        <w:tab w:val="left" w:pos="2100"/>
      </w:tabs>
      <w:spacing w:after="120"/>
      <w:ind w:left="0" w:firstLine="0"/>
    </w:pPr>
  </w:style>
  <w:style w:type="paragraph" w:customStyle="1" w:styleId="195">
    <w:name w:val="样式 标题 4"/>
    <w:basedOn w:val="196"/>
    <w:next w:val="197"/>
    <w:qFormat/>
    <w:uiPriority w:val="0"/>
    <w:pPr>
      <w:tabs>
        <w:tab w:val="left" w:pos="2100"/>
      </w:tabs>
      <w:spacing w:after="50"/>
      <w:ind w:left="2100" w:hanging="420"/>
    </w:pPr>
  </w:style>
  <w:style w:type="paragraph" w:customStyle="1" w:styleId="196">
    <w:name w:val="样式 标题 4Chapter X.X.X.X. + 段后: 0.5 行1"/>
    <w:basedOn w:val="178"/>
    <w:qFormat/>
    <w:uiPriority w:val="0"/>
    <w:pPr>
      <w:spacing w:after="120"/>
    </w:pPr>
  </w:style>
  <w:style w:type="paragraph" w:customStyle="1" w:styleId="197">
    <w:name w:val="样式 正文"/>
    <w:basedOn w:val="1"/>
    <w:next w:val="1"/>
    <w:qFormat/>
    <w:uiPriority w:val="0"/>
    <w:pPr>
      <w:spacing w:afterLines="50"/>
    </w:pPr>
    <w:rPr>
      <w:rFonts w:ascii="宋体" w:cs="宋体"/>
      <w:snapToGrid w:val="0"/>
      <w:kern w:val="0"/>
      <w:szCs w:val="20"/>
    </w:rPr>
  </w:style>
  <w:style w:type="paragraph" w:customStyle="1" w:styleId="198">
    <w:name w:val="样式 标题 2Chapter X.X. Statementh22Header 2l2Level 2 Headhea...1"/>
    <w:basedOn w:val="7"/>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99">
    <w:name w:val="表格标题"/>
    <w:basedOn w:val="200"/>
    <w:qFormat/>
    <w:uiPriority w:val="0"/>
    <w:pPr>
      <w:jc w:val="center"/>
    </w:pPr>
    <w:rPr>
      <w:b/>
      <w:bCs/>
      <w:i/>
      <w:iCs/>
    </w:rPr>
  </w:style>
  <w:style w:type="paragraph" w:customStyle="1" w:styleId="200">
    <w:name w:val="表格内容"/>
    <w:basedOn w:val="3"/>
    <w:qFormat/>
    <w:uiPriority w:val="0"/>
    <w:pPr>
      <w:suppressLineNumbers/>
      <w:suppressAutoHyphens/>
    </w:pPr>
    <w:rPr>
      <w:rFonts w:asciiTheme="minorHAnsi" w:hAnsiTheme="minorHAnsi" w:eastAsiaTheme="minorEastAsia" w:cstheme="minorBidi"/>
      <w:kern w:val="1"/>
      <w:lang w:eastAsia="ar-SA"/>
    </w:rPr>
  </w:style>
  <w:style w:type="paragraph" w:customStyle="1" w:styleId="201">
    <w:name w:val="标准标题3"/>
    <w:basedOn w:val="7"/>
    <w:qFormat/>
    <w:uiPriority w:val="0"/>
    <w:pPr>
      <w:tabs>
        <w:tab w:val="left" w:pos="709"/>
        <w:tab w:val="left" w:pos="1050"/>
      </w:tabs>
      <w:spacing w:line="240" w:lineRule="auto"/>
      <w:ind w:left="-258" w:leftChars="-258" w:firstLine="0" w:firstLineChars="0"/>
    </w:pPr>
    <w:rPr>
      <w:rFonts w:ascii="Times New Roman"/>
      <w:sz w:val="28"/>
      <w:szCs w:val="32"/>
    </w:rPr>
  </w:style>
  <w:style w:type="paragraph" w:customStyle="1" w:styleId="202">
    <w:name w:val="paragraph1"/>
    <w:basedOn w:val="1"/>
    <w:qFormat/>
    <w:uiPriority w:val="0"/>
    <w:pPr>
      <w:spacing w:afterLines="30"/>
      <w:ind w:firstLine="420"/>
    </w:pPr>
    <w:rPr>
      <w:rFonts w:eastAsia="楷体_GB2312"/>
      <w:sz w:val="24"/>
      <w:szCs w:val="20"/>
    </w:rPr>
  </w:style>
  <w:style w:type="paragraph" w:customStyle="1" w:styleId="203">
    <w:name w:val="Char Char Char Char1 Char Char"/>
    <w:basedOn w:val="1"/>
    <w:qFormat/>
    <w:uiPriority w:val="0"/>
    <w:pPr>
      <w:widowControl/>
      <w:spacing w:after="160" w:line="240" w:lineRule="exact"/>
    </w:pPr>
    <w:rPr>
      <w:rFonts w:ascii="Verdana" w:hAnsi="Verdana"/>
      <w:kern w:val="0"/>
      <w:sz w:val="20"/>
      <w:szCs w:val="20"/>
      <w:lang w:eastAsia="en-US"/>
    </w:rPr>
  </w:style>
  <w:style w:type="paragraph" w:customStyle="1" w:styleId="204">
    <w:name w:val="最新标题2"/>
    <w:basedOn w:val="191"/>
    <w:next w:val="192"/>
    <w:qFormat/>
    <w:uiPriority w:val="0"/>
  </w:style>
  <w:style w:type="paragraph" w:customStyle="1" w:styleId="205">
    <w:name w:val="Paragraph2"/>
    <w:basedOn w:val="1"/>
    <w:qFormat/>
    <w:uiPriority w:val="0"/>
    <w:pPr>
      <w:spacing w:before="80" w:afterLines="50"/>
      <w:ind w:left="720"/>
    </w:pPr>
    <w:rPr>
      <w:rFonts w:ascii="宋体"/>
      <w:snapToGrid w:val="0"/>
      <w:color w:val="000000"/>
      <w:kern w:val="0"/>
      <w:szCs w:val="20"/>
      <w:lang w:val="en-AU"/>
    </w:rPr>
  </w:style>
  <w:style w:type="paragraph" w:customStyle="1" w:styleId="206">
    <w:name w:val="样式 样式 正文文本缩进 + 仿宋_GB2312 小四 首行缩进:  0 厘米 行距: 1.5 倍行距 + (中文) 仿宋_GB..."/>
    <w:basedOn w:val="207"/>
    <w:qFormat/>
    <w:uiPriority w:val="0"/>
    <w:pPr>
      <w:ind w:firstLine="480"/>
    </w:pPr>
  </w:style>
  <w:style w:type="paragraph" w:customStyle="1" w:styleId="207">
    <w:name w:val="样式 正文文本缩进 + 仿宋_GB2312 小四 首行缩进:  0 厘米 行距: 1.5 倍行距"/>
    <w:basedOn w:val="21"/>
    <w:qFormat/>
    <w:uiPriority w:val="0"/>
    <w:pPr>
      <w:spacing w:line="360" w:lineRule="auto"/>
      <w:ind w:firstLine="0"/>
    </w:pPr>
    <w:rPr>
      <w:rFonts w:ascii="仿宋_GB2312" w:hAnsi="Times New Roman" w:eastAsia="新宋体"/>
      <w:spacing w:val="0"/>
      <w:sz w:val="24"/>
    </w:rPr>
  </w:style>
  <w:style w:type="paragraph" w:customStyle="1" w:styleId="208">
    <w:name w:val="样式 标题 1 + 段后: 0.5 行"/>
    <w:basedOn w:val="5"/>
    <w:qFormat/>
    <w:uiPriority w:val="0"/>
    <w:pPr>
      <w:keepLines w:val="0"/>
      <w:tabs>
        <w:tab w:val="left" w:pos="360"/>
      </w:tabs>
      <w:spacing w:before="120" w:afterLines="50" w:line="240" w:lineRule="auto"/>
      <w:jc w:val="left"/>
    </w:pPr>
    <w:rPr>
      <w:rFonts w:ascii="宋体" w:cs="宋体"/>
      <w:snapToGrid w:val="0"/>
      <w:kern w:val="0"/>
      <w:sz w:val="28"/>
      <w:szCs w:val="20"/>
    </w:rPr>
  </w:style>
  <w:style w:type="paragraph" w:customStyle="1" w:styleId="209">
    <w:name w:val="Table - Text"/>
    <w:basedOn w:val="1"/>
    <w:qFormat/>
    <w:uiPriority w:val="0"/>
    <w:pPr>
      <w:widowControl/>
      <w:spacing w:before="60" w:afterLines="50"/>
    </w:pPr>
    <w:rPr>
      <w:kern w:val="0"/>
      <w:szCs w:val="20"/>
      <w:lang w:eastAsia="en-US"/>
    </w:rPr>
  </w:style>
  <w:style w:type="paragraph" w:customStyle="1" w:styleId="210">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211">
    <w:name w:val="沈标题四"/>
    <w:basedOn w:val="9"/>
    <w:next w:val="1"/>
    <w:qFormat/>
    <w:uiPriority w:val="0"/>
    <w:pPr>
      <w:keepNext w:val="0"/>
      <w:keepLines w:val="0"/>
      <w:spacing w:line="377" w:lineRule="auto"/>
    </w:pPr>
    <w:rPr>
      <w:rFonts w:ascii="Arial Narrow" w:hAnsi="Arial Narrow" w:eastAsia="方正姚体"/>
      <w:b w:val="0"/>
      <w:sz w:val="24"/>
      <w:szCs w:val="24"/>
    </w:rPr>
  </w:style>
  <w:style w:type="paragraph" w:customStyle="1" w:styleId="212">
    <w:name w:val="S4-L15"/>
    <w:basedOn w:val="1"/>
    <w:qFormat/>
    <w:uiPriority w:val="0"/>
    <w:pPr>
      <w:spacing w:after="120"/>
      <w:ind w:left="720" w:firstLine="392"/>
    </w:pPr>
    <w:rPr>
      <w:szCs w:val="21"/>
      <w:lang w:val="fr-FR"/>
    </w:rPr>
  </w:style>
  <w:style w:type="paragraph" w:customStyle="1" w:styleId="213">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214">
    <w:name w:val="样式 标题 4Chapter X.X.X. + 段后: 0.5 行1 + 段后: 0.5 行"/>
    <w:basedOn w:val="215"/>
    <w:qFormat/>
    <w:uiPriority w:val="0"/>
    <w:rPr>
      <w:szCs w:val="21"/>
    </w:rPr>
  </w:style>
  <w:style w:type="paragraph" w:customStyle="1" w:styleId="215">
    <w:name w:val="样式 标题 4Chapter X.X.X. + 段后: 0.5 行1"/>
    <w:basedOn w:val="9"/>
    <w:next w:val="9"/>
    <w:qFormat/>
    <w:uiPriority w:val="0"/>
    <w:pPr>
      <w:keepLines w:val="0"/>
      <w:spacing w:before="120" w:afterLines="50" w:line="240" w:lineRule="auto"/>
      <w:ind w:left="425" w:hanging="425"/>
    </w:pPr>
    <w:rPr>
      <w:rFonts w:ascii="宋体" w:hAnsi="Times New Roman" w:eastAsia="宋体" w:cs="宋体"/>
      <w:snapToGrid w:val="0"/>
      <w:kern w:val="0"/>
      <w:szCs w:val="20"/>
    </w:rPr>
  </w:style>
  <w:style w:type="paragraph" w:customStyle="1" w:styleId="216">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17">
    <w:name w:val="Table - Col. Head"/>
    <w:basedOn w:val="1"/>
    <w:qFormat/>
    <w:uiPriority w:val="0"/>
    <w:pPr>
      <w:keepNext/>
      <w:widowControl/>
      <w:spacing w:before="60" w:afterLines="50"/>
    </w:pPr>
    <w:rPr>
      <w:rFonts w:ascii="Arial" w:hAnsi="Arial"/>
      <w:b/>
      <w:kern w:val="0"/>
      <w:sz w:val="18"/>
      <w:szCs w:val="20"/>
      <w:lang w:eastAsia="en-US"/>
    </w:rPr>
  </w:style>
  <w:style w:type="paragraph" w:customStyle="1" w:styleId="218">
    <w:name w:val="Paragraph1"/>
    <w:basedOn w:val="1"/>
    <w:qFormat/>
    <w:uiPriority w:val="0"/>
    <w:pPr>
      <w:spacing w:before="80" w:afterLines="50"/>
    </w:pPr>
    <w:rPr>
      <w:rFonts w:ascii="宋体"/>
      <w:snapToGrid w:val="0"/>
      <w:kern w:val="0"/>
      <w:szCs w:val="20"/>
    </w:rPr>
  </w:style>
  <w:style w:type="character" w:customStyle="1" w:styleId="219">
    <w:name w:val="HTML 预设格式 Char"/>
    <w:basedOn w:val="55"/>
    <w:link w:val="45"/>
    <w:qFormat/>
    <w:uiPriority w:val="0"/>
    <w:rPr>
      <w:rFonts w:ascii="Arial" w:hAnsi="Arial" w:cs="Arial"/>
      <w:sz w:val="24"/>
      <w:szCs w:val="24"/>
    </w:rPr>
  </w:style>
  <w:style w:type="paragraph" w:customStyle="1" w:styleId="220">
    <w:name w:val="S4-L15-No"/>
    <w:basedOn w:val="212"/>
    <w:qFormat/>
    <w:uiPriority w:val="0"/>
    <w:pPr>
      <w:tabs>
        <w:tab w:val="left" w:pos="720"/>
      </w:tabs>
      <w:ind w:hanging="720"/>
    </w:pPr>
  </w:style>
  <w:style w:type="paragraph" w:customStyle="1" w:styleId="221">
    <w:name w:val="样式 样式 样式 标题 3Chapter X.X.X. + 段后: 0.5 行 + 段后: 0.5 行 + 段后: 0.5 行"/>
    <w:basedOn w:val="187"/>
    <w:qFormat/>
    <w:uiPriority w:val="0"/>
    <w:pPr>
      <w:spacing w:after="120"/>
    </w:pPr>
  </w:style>
  <w:style w:type="character" w:customStyle="1" w:styleId="222">
    <w:name w:val="正文首行缩进 Char1"/>
    <w:basedOn w:val="74"/>
    <w:link w:val="2"/>
    <w:semiHidden/>
    <w:qFormat/>
    <w:uiPriority w:val="0"/>
    <w:rPr>
      <w:kern w:val="2"/>
      <w:sz w:val="21"/>
      <w:szCs w:val="24"/>
    </w:rPr>
  </w:style>
  <w:style w:type="paragraph" w:customStyle="1" w:styleId="223">
    <w:name w:val="Paragraph3"/>
    <w:basedOn w:val="1"/>
    <w:qFormat/>
    <w:uiPriority w:val="0"/>
    <w:pPr>
      <w:spacing w:before="80" w:afterLines="50"/>
      <w:ind w:left="1530"/>
    </w:pPr>
    <w:rPr>
      <w:rFonts w:ascii="宋体"/>
      <w:snapToGrid w:val="0"/>
      <w:kern w:val="0"/>
      <w:szCs w:val="20"/>
    </w:rPr>
  </w:style>
  <w:style w:type="character" w:customStyle="1" w:styleId="224">
    <w:name w:val="文档结构图 Char"/>
    <w:basedOn w:val="55"/>
    <w:link w:val="18"/>
    <w:semiHidden/>
    <w:qFormat/>
    <w:uiPriority w:val="0"/>
    <w:rPr>
      <w:kern w:val="2"/>
      <w:sz w:val="21"/>
      <w:szCs w:val="24"/>
      <w:shd w:val="clear" w:color="auto" w:fill="000080"/>
    </w:rPr>
  </w:style>
  <w:style w:type="paragraph" w:customStyle="1" w:styleId="22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6">
    <w:name w:val="样式 标题 3Chapter X.X.X. + 五号 段后: 0.5 行"/>
    <w:basedOn w:val="7"/>
    <w:qFormat/>
    <w:uiPriority w:val="0"/>
    <w:pPr>
      <w:keepLines w:val="0"/>
      <w:tabs>
        <w:tab w:val="left" w:pos="709"/>
      </w:tabs>
      <w:spacing w:before="120" w:afterLines="50" w:line="240" w:lineRule="auto"/>
      <w:ind w:firstLine="0" w:firstLineChars="0"/>
    </w:pPr>
    <w:rPr>
      <w:rFonts w:ascii="宋体" w:eastAsia="宋体" w:cs="宋体"/>
      <w:snapToGrid w:val="0"/>
      <w:kern w:val="0"/>
    </w:rPr>
  </w:style>
  <w:style w:type="paragraph" w:customStyle="1" w:styleId="227">
    <w:name w:val="huide00"/>
    <w:basedOn w:val="1"/>
    <w:qFormat/>
    <w:uiPriority w:val="0"/>
    <w:pPr>
      <w:widowControl/>
      <w:spacing w:before="100" w:beforeAutospacing="1" w:after="100" w:afterAutospacing="1"/>
    </w:pPr>
    <w:rPr>
      <w:rFonts w:ascii="Arial" w:hAnsi="Arial" w:eastAsia="Arial Unicode MS" w:cs="Arial"/>
      <w:color w:val="666666"/>
      <w:kern w:val="0"/>
      <w:sz w:val="18"/>
      <w:szCs w:val="18"/>
    </w:rPr>
  </w:style>
  <w:style w:type="paragraph" w:customStyle="1" w:styleId="228">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229">
    <w:name w:val="S4-I-L15-U"/>
    <w:basedOn w:val="1"/>
    <w:qFormat/>
    <w:uiPriority w:val="0"/>
    <w:rPr>
      <w:b/>
      <w:i/>
      <w:sz w:val="24"/>
      <w:u w:val="single"/>
    </w:rPr>
  </w:style>
  <w:style w:type="paragraph" w:customStyle="1" w:styleId="230">
    <w:name w:val="InfoBlue"/>
    <w:basedOn w:val="1"/>
    <w:next w:val="3"/>
    <w:qFormat/>
    <w:uiPriority w:val="0"/>
    <w:pPr>
      <w:spacing w:afterLines="50"/>
      <w:ind w:left="720"/>
    </w:pPr>
    <w:rPr>
      <w:rFonts w:ascii="宋体"/>
      <w:i/>
      <w:snapToGrid w:val="0"/>
      <w:color w:val="0000FF"/>
      <w:kern w:val="0"/>
      <w:szCs w:val="20"/>
    </w:rPr>
  </w:style>
  <w:style w:type="paragraph" w:customStyle="1" w:styleId="231">
    <w:name w:val="标准标题2"/>
    <w:basedOn w:val="6"/>
    <w:qFormat/>
    <w:uiPriority w:val="0"/>
    <w:pPr>
      <w:keepLines/>
      <w:tabs>
        <w:tab w:val="left" w:pos="720"/>
      </w:tabs>
      <w:adjustRightInd/>
      <w:snapToGrid/>
      <w:spacing w:before="260" w:after="260"/>
      <w:jc w:val="both"/>
      <w:textAlignment w:val="auto"/>
    </w:pPr>
    <w:rPr>
      <w:rFonts w:ascii="Arial" w:hAnsi="Arial"/>
      <w:kern w:val="2"/>
      <w:sz w:val="28"/>
      <w:szCs w:val="32"/>
    </w:rPr>
  </w:style>
  <w:style w:type="paragraph" w:customStyle="1" w:styleId="232">
    <w:name w:val="样式 左侧:  1 厘米 段后: 0.5 行"/>
    <w:basedOn w:val="1"/>
    <w:qFormat/>
    <w:uiPriority w:val="0"/>
    <w:pPr>
      <w:spacing w:afterLines="50"/>
      <w:ind w:firstLine="425"/>
    </w:pPr>
    <w:rPr>
      <w:rFonts w:ascii="宋体" w:cs="宋体"/>
      <w:snapToGrid w:val="0"/>
      <w:kern w:val="0"/>
      <w:szCs w:val="20"/>
    </w:rPr>
  </w:style>
  <w:style w:type="paragraph" w:customStyle="1" w:styleId="233">
    <w:name w:val="Char Char Char Char Char Char"/>
    <w:basedOn w:val="1"/>
    <w:qFormat/>
    <w:uiPriority w:val="0"/>
    <w:pPr>
      <w:widowControl/>
      <w:spacing w:after="160" w:line="240" w:lineRule="exact"/>
    </w:pPr>
    <w:rPr>
      <w:rFonts w:ascii="Verdana" w:hAnsi="Verdana"/>
      <w:kern w:val="0"/>
      <w:sz w:val="20"/>
      <w:szCs w:val="20"/>
      <w:lang w:eastAsia="en-US"/>
    </w:rPr>
  </w:style>
  <w:style w:type="paragraph" w:customStyle="1" w:styleId="234">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35">
    <w:name w:val="样式 标题1"/>
    <w:basedOn w:val="208"/>
    <w:next w:val="204"/>
    <w:qFormat/>
    <w:uiPriority w:val="0"/>
    <w:pPr>
      <w:tabs>
        <w:tab w:val="left" w:pos="1140"/>
      </w:tabs>
      <w:spacing w:after="50"/>
      <w:ind w:left="1140" w:hanging="720"/>
    </w:pPr>
    <w:rPr>
      <w:bCs w:val="0"/>
      <w:sz w:val="32"/>
    </w:rPr>
  </w:style>
  <w:style w:type="paragraph" w:customStyle="1" w:styleId="236">
    <w:name w:val="Tabletext"/>
    <w:basedOn w:val="1"/>
    <w:qFormat/>
    <w:uiPriority w:val="0"/>
    <w:pPr>
      <w:keepLines/>
      <w:spacing w:afterLines="50"/>
    </w:pPr>
    <w:rPr>
      <w:rFonts w:ascii="宋体"/>
      <w:snapToGrid w:val="0"/>
      <w:kern w:val="0"/>
      <w:szCs w:val="20"/>
    </w:rPr>
  </w:style>
  <w:style w:type="paragraph" w:customStyle="1" w:styleId="237">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238">
    <w:name w:val="Bullet2"/>
    <w:basedOn w:val="1"/>
    <w:qFormat/>
    <w:uiPriority w:val="0"/>
    <w:pPr>
      <w:spacing w:afterLines="50"/>
      <w:ind w:left="1440" w:hanging="360"/>
    </w:pPr>
    <w:rPr>
      <w:rFonts w:ascii="宋体"/>
      <w:snapToGrid w:val="0"/>
      <w:color w:val="000080"/>
      <w:kern w:val="0"/>
      <w:szCs w:val="20"/>
    </w:rPr>
  </w:style>
  <w:style w:type="paragraph" w:customStyle="1" w:styleId="239">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240">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241">
    <w:name w:val="Bullet"/>
    <w:basedOn w:val="1"/>
    <w:qFormat/>
    <w:uiPriority w:val="0"/>
    <w:pPr>
      <w:widowControl/>
      <w:tabs>
        <w:tab w:val="left" w:pos="720"/>
        <w:tab w:val="left" w:pos="964"/>
      </w:tabs>
      <w:spacing w:before="120" w:afterLines="50"/>
      <w:ind w:left="720" w:right="360" w:hanging="482"/>
    </w:pPr>
    <w:rPr>
      <w:rFonts w:ascii="宋体"/>
      <w:snapToGrid w:val="0"/>
      <w:kern w:val="0"/>
      <w:szCs w:val="20"/>
    </w:rPr>
  </w:style>
  <w:style w:type="paragraph" w:customStyle="1" w:styleId="242">
    <w:name w:val="S4-L15-C"/>
    <w:basedOn w:val="1"/>
    <w:qFormat/>
    <w:uiPriority w:val="0"/>
    <w:pPr>
      <w:spacing w:after="120"/>
      <w:jc w:val="center"/>
    </w:pPr>
    <w:rPr>
      <w:szCs w:val="21"/>
    </w:rPr>
  </w:style>
  <w:style w:type="paragraph" w:customStyle="1" w:styleId="243">
    <w:name w:val="二级项目符号"/>
    <w:basedOn w:val="1"/>
    <w:qFormat/>
    <w:uiPriority w:val="0"/>
    <w:pPr>
      <w:widowControl/>
      <w:tabs>
        <w:tab w:val="left" w:pos="964"/>
      </w:tabs>
      <w:ind w:left="964" w:hanging="482"/>
    </w:pPr>
    <w:rPr>
      <w:kern w:val="0"/>
      <w:sz w:val="24"/>
      <w:szCs w:val="20"/>
    </w:rPr>
  </w:style>
  <w:style w:type="paragraph" w:customStyle="1" w:styleId="244">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character" w:customStyle="1" w:styleId="245">
    <w:name w:val="页脚 Char1"/>
    <w:basedOn w:val="55"/>
    <w:semiHidden/>
    <w:qFormat/>
    <w:uiPriority w:val="99"/>
    <w:rPr>
      <w:rFonts w:ascii="Times New Roman" w:hAnsi="Times New Roman" w:eastAsia="宋体" w:cs="Times New Roman"/>
      <w:sz w:val="18"/>
      <w:szCs w:val="18"/>
    </w:rPr>
  </w:style>
  <w:style w:type="paragraph" w:customStyle="1" w:styleId="246">
    <w:name w:val="样式 样式 标题 4 + 段后: 0.5 行 + 段后: 0.5 行"/>
    <w:basedOn w:val="178"/>
    <w:qFormat/>
    <w:uiPriority w:val="0"/>
  </w:style>
  <w:style w:type="paragraph" w:customStyle="1" w:styleId="247">
    <w:name w:val="Main Title"/>
    <w:basedOn w:val="1"/>
    <w:qFormat/>
    <w:uiPriority w:val="0"/>
    <w:pPr>
      <w:spacing w:before="480" w:afterLines="50"/>
      <w:jc w:val="center"/>
    </w:pPr>
    <w:rPr>
      <w:rFonts w:ascii="宋体"/>
      <w:b/>
      <w:snapToGrid w:val="0"/>
      <w:kern w:val="28"/>
      <w:sz w:val="32"/>
      <w:szCs w:val="20"/>
    </w:rPr>
  </w:style>
  <w:style w:type="paragraph" w:customStyle="1" w:styleId="248">
    <w:name w:val="样式 样式 正文文本缩进 + 仿宋_GB2312 小四 首行缩进:  0 厘米 行距: 1.5 倍行距 + (中文) 仿宋_GB... Char Char"/>
    <w:basedOn w:val="207"/>
    <w:qFormat/>
    <w:uiPriority w:val="0"/>
    <w:pPr>
      <w:ind w:firstLine="480"/>
    </w:pPr>
  </w:style>
  <w:style w:type="paragraph" w:customStyle="1" w:styleId="249">
    <w:name w:val="标题1"/>
    <w:basedOn w:val="27"/>
    <w:qFormat/>
    <w:uiPriority w:val="0"/>
    <w:rPr>
      <w:rFonts w:cstheme="minorBidi"/>
      <w:b/>
      <w:sz w:val="30"/>
      <w:szCs w:val="22"/>
    </w:rPr>
  </w:style>
  <w:style w:type="paragraph" w:customStyle="1" w:styleId="250">
    <w:name w:val="样式 三号 加粗 段后: 0.5 行"/>
    <w:basedOn w:val="1"/>
    <w:qFormat/>
    <w:uiPriority w:val="0"/>
    <w:pPr>
      <w:spacing w:afterLines="50"/>
    </w:pPr>
    <w:rPr>
      <w:rFonts w:ascii="宋体" w:cs="宋体"/>
      <w:b/>
      <w:bCs/>
      <w:snapToGrid w:val="0"/>
      <w:kern w:val="0"/>
      <w:sz w:val="32"/>
      <w:szCs w:val="20"/>
    </w:rPr>
  </w:style>
  <w:style w:type="paragraph" w:customStyle="1" w:styleId="251">
    <w:name w:val="标准有序列表（L1）"/>
    <w:basedOn w:val="8"/>
    <w:qFormat/>
    <w:uiPriority w:val="0"/>
    <w:pPr>
      <w:tabs>
        <w:tab w:val="left" w:pos="0"/>
      </w:tabs>
      <w:ind w:firstLine="0"/>
    </w:pPr>
    <w:rPr>
      <w:rFonts w:ascii="黑体" w:eastAsia="黑体" w:hAnsiTheme="minorHAnsi" w:cstheme="minorBidi"/>
      <w:color w:val="000000"/>
      <w:sz w:val="24"/>
      <w:szCs w:val="22"/>
    </w:rPr>
  </w:style>
  <w:style w:type="paragraph" w:customStyle="1" w:styleId="252">
    <w:name w:val="IBM 正文"/>
    <w:basedOn w:val="1"/>
    <w:qFormat/>
    <w:uiPriority w:val="0"/>
    <w:pPr>
      <w:spacing w:line="360" w:lineRule="atLeast"/>
    </w:pPr>
    <w:rPr>
      <w:sz w:val="24"/>
      <w:szCs w:val="20"/>
    </w:rPr>
  </w:style>
  <w:style w:type="paragraph" w:customStyle="1" w:styleId="253">
    <w:name w:val="text"/>
    <w:basedOn w:val="1"/>
    <w:qFormat/>
    <w:uiPriority w:val="0"/>
    <w:pPr>
      <w:adjustRightInd w:val="0"/>
      <w:spacing w:before="120"/>
      <w:ind w:firstLine="425"/>
      <w:textAlignment w:val="baseline"/>
    </w:pPr>
    <w:rPr>
      <w:rFonts w:ascii="宋体" w:hAnsi="Arial" w:cs="Arial"/>
      <w:bCs/>
      <w:kern w:val="0"/>
      <w:sz w:val="26"/>
      <w:szCs w:val="32"/>
    </w:rPr>
  </w:style>
  <w:style w:type="paragraph" w:customStyle="1" w:styleId="254">
    <w:name w:val="S4-I-U-L15-No-dot"/>
    <w:basedOn w:val="1"/>
    <w:qFormat/>
    <w:uiPriority w:val="0"/>
    <w:pPr>
      <w:tabs>
        <w:tab w:val="left" w:pos="1112"/>
      </w:tabs>
      <w:spacing w:after="120"/>
      <w:ind w:left="1112" w:hanging="420"/>
    </w:pPr>
    <w:rPr>
      <w:i/>
      <w:sz w:val="24"/>
      <w:u w:val="single"/>
    </w:rPr>
  </w:style>
  <w:style w:type="paragraph" w:customStyle="1" w:styleId="255">
    <w:name w:val="Paragraph4"/>
    <w:basedOn w:val="1"/>
    <w:qFormat/>
    <w:uiPriority w:val="0"/>
    <w:pPr>
      <w:spacing w:before="80" w:afterLines="50"/>
      <w:ind w:left="2250"/>
    </w:pPr>
    <w:rPr>
      <w:rFonts w:ascii="宋体"/>
      <w:snapToGrid w:val="0"/>
      <w:kern w:val="0"/>
      <w:szCs w:val="20"/>
    </w:rPr>
  </w:style>
  <w:style w:type="paragraph" w:customStyle="1" w:styleId="256">
    <w:name w:val="样式 标题 1 + 五号1 Char Char Char Char Char Char Char Char Char Char Char Char Char Char Char Char Char"/>
    <w:basedOn w:val="5"/>
    <w:qFormat/>
    <w:uiPriority w:val="0"/>
    <w:pPr>
      <w:tabs>
        <w:tab w:val="left" w:pos="360"/>
      </w:tabs>
      <w:spacing w:line="480" w:lineRule="auto"/>
    </w:pPr>
    <w:rPr>
      <w:sz w:val="21"/>
    </w:rPr>
  </w:style>
  <w:style w:type="paragraph" w:customStyle="1" w:styleId="257">
    <w:name w:val="样式 标题 3Chapter X.X.X. + 段后: 0.5 行1"/>
    <w:basedOn w:val="7"/>
    <w:next w:val="1"/>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258">
    <w:name w:val="Body"/>
    <w:basedOn w:val="1"/>
    <w:qFormat/>
    <w:uiPriority w:val="0"/>
    <w:pPr>
      <w:widowControl/>
      <w:spacing w:before="120" w:afterLines="50"/>
    </w:pPr>
    <w:rPr>
      <w:rFonts w:ascii="宋体"/>
      <w:snapToGrid w:val="0"/>
      <w:kern w:val="0"/>
      <w:szCs w:val="20"/>
    </w:rPr>
  </w:style>
  <w:style w:type="paragraph" w:customStyle="1" w:styleId="259">
    <w:name w:val="Proposals body"/>
    <w:basedOn w:val="1"/>
    <w:next w:val="1"/>
    <w:qFormat/>
    <w:uiPriority w:val="0"/>
    <w:pPr>
      <w:widowControl/>
    </w:pPr>
    <w:rPr>
      <w:rFonts w:ascii="宋体"/>
      <w:snapToGrid w:val="0"/>
      <w:color w:val="000000"/>
      <w:kern w:val="0"/>
      <w:sz w:val="24"/>
      <w:szCs w:val="20"/>
    </w:rPr>
  </w:style>
  <w:style w:type="paragraph" w:customStyle="1" w:styleId="260">
    <w:name w:val="章正文"/>
    <w:basedOn w:val="1"/>
    <w:qFormat/>
    <w:uiPriority w:val="0"/>
    <w:pPr>
      <w:spacing w:beforeLines="50" w:after="120" w:line="300" w:lineRule="auto"/>
    </w:pPr>
    <w:rPr>
      <w:rFonts w:ascii="Helvetica" w:hAnsi="Helvetica"/>
      <w:kern w:val="0"/>
      <w:sz w:val="24"/>
    </w:rPr>
  </w:style>
  <w:style w:type="paragraph" w:customStyle="1" w:styleId="261">
    <w:name w:val="样式 样式3 + 宋体 五号 Char Char Char"/>
    <w:basedOn w:val="1"/>
    <w:qFormat/>
    <w:uiPriority w:val="0"/>
    <w:pPr>
      <w:keepNext/>
      <w:keepLines/>
      <w:tabs>
        <w:tab w:val="left" w:pos="1050"/>
      </w:tabs>
      <w:ind w:left="1050" w:hanging="450"/>
      <w:outlineLvl w:val="7"/>
    </w:pPr>
    <w:rPr>
      <w:rFonts w:ascii="宋体" w:hAnsi="宋体"/>
      <w:b/>
      <w:bCs/>
    </w:rPr>
  </w:style>
  <w:style w:type="paragraph" w:customStyle="1" w:styleId="262">
    <w:name w:val="样式 标题 2 + 五号"/>
    <w:basedOn w:val="6"/>
    <w:qFormat/>
    <w:uiPriority w:val="0"/>
    <w:pPr>
      <w:keepLines/>
      <w:tabs>
        <w:tab w:val="left" w:pos="720"/>
      </w:tabs>
      <w:adjustRightInd/>
      <w:snapToGrid/>
      <w:spacing w:line="240" w:lineRule="auto"/>
      <w:jc w:val="both"/>
      <w:textAlignment w:val="auto"/>
    </w:pPr>
    <w:rPr>
      <w:rFonts w:ascii="宋体" w:hAnsi="宋体" w:eastAsia="宋体"/>
      <w:bCs/>
      <w:kern w:val="2"/>
      <w:szCs w:val="32"/>
    </w:rPr>
  </w:style>
  <w:style w:type="paragraph" w:customStyle="1" w:styleId="263">
    <w:name w:val="样式 标题 1 + 五号"/>
    <w:basedOn w:val="5"/>
    <w:qFormat/>
    <w:uiPriority w:val="0"/>
    <w:pPr>
      <w:tabs>
        <w:tab w:val="left" w:pos="360"/>
      </w:tabs>
      <w:spacing w:line="240" w:lineRule="auto"/>
    </w:pPr>
    <w:rPr>
      <w:sz w:val="32"/>
      <w:szCs w:val="32"/>
    </w:rPr>
  </w:style>
  <w:style w:type="paragraph" w:customStyle="1" w:styleId="264">
    <w:name w:val="文本框内文字"/>
    <w:basedOn w:val="1"/>
    <w:qFormat/>
    <w:uiPriority w:val="0"/>
    <w:pPr>
      <w:spacing w:line="0" w:lineRule="atLeast"/>
    </w:pPr>
    <w:rPr>
      <w:rFonts w:eastAsia="仿宋_GB2312"/>
      <w:sz w:val="22"/>
    </w:rPr>
  </w:style>
  <w:style w:type="paragraph" w:customStyle="1" w:styleId="265">
    <w:name w:val="P1"/>
    <w:basedOn w:val="1"/>
    <w:qFormat/>
    <w:uiPriority w:val="0"/>
    <w:pPr>
      <w:widowControl/>
      <w:spacing w:before="240" w:line="240" w:lineRule="atLeast"/>
    </w:pPr>
    <w:rPr>
      <w:b/>
      <w:kern w:val="0"/>
      <w:szCs w:val="21"/>
      <w:lang w:val="en-AU" w:eastAsia="en-US"/>
    </w:rPr>
  </w:style>
  <w:style w:type="paragraph" w:customStyle="1" w:styleId="266">
    <w:name w:val="最新标题1"/>
    <w:basedOn w:val="235"/>
    <w:next w:val="204"/>
    <w:qFormat/>
    <w:uiPriority w:val="0"/>
    <w:pPr>
      <w:spacing w:after="120"/>
    </w:pPr>
    <w:rPr>
      <w:bCs/>
    </w:rPr>
  </w:style>
  <w:style w:type="paragraph" w:customStyle="1" w:styleId="267">
    <w:name w:val="P2"/>
    <w:basedOn w:val="1"/>
    <w:qFormat/>
    <w:uiPriority w:val="0"/>
    <w:pPr>
      <w:widowControl/>
      <w:spacing w:before="240" w:line="240" w:lineRule="atLeast"/>
      <w:ind w:left="578"/>
    </w:pPr>
    <w:rPr>
      <w:b/>
      <w:kern w:val="0"/>
      <w:szCs w:val="21"/>
      <w:lang w:val="en-AU" w:eastAsia="en-US"/>
    </w:rPr>
  </w:style>
  <w:style w:type="paragraph" w:customStyle="1" w:styleId="268">
    <w:name w:val="Style-正文"/>
    <w:basedOn w:val="1"/>
    <w:qFormat/>
    <w:uiPriority w:val="0"/>
    <w:pPr>
      <w:ind w:firstLine="420"/>
    </w:pPr>
    <w:rPr>
      <w:rFonts w:ascii="宋体" w:hAnsi="宋体"/>
      <w:sz w:val="24"/>
    </w:rPr>
  </w:style>
  <w:style w:type="paragraph" w:customStyle="1" w:styleId="269">
    <w:name w:val="P3"/>
    <w:basedOn w:val="1"/>
    <w:qFormat/>
    <w:uiPriority w:val="0"/>
    <w:pPr>
      <w:widowControl/>
      <w:spacing w:before="240" w:line="240" w:lineRule="atLeast"/>
      <w:ind w:left="1152"/>
    </w:pPr>
    <w:rPr>
      <w:b/>
      <w:kern w:val="0"/>
      <w:szCs w:val="21"/>
      <w:lang w:val="en-AU" w:eastAsia="en-US"/>
    </w:rPr>
  </w:style>
  <w:style w:type="paragraph" w:customStyle="1" w:styleId="270">
    <w:name w:val="Plain Text1"/>
    <w:basedOn w:val="1"/>
    <w:qFormat/>
    <w:uiPriority w:val="0"/>
    <w:pPr>
      <w:autoSpaceDE w:val="0"/>
      <w:autoSpaceDN w:val="0"/>
      <w:adjustRightInd w:val="0"/>
    </w:pPr>
    <w:rPr>
      <w:rFonts w:hint="eastAsia" w:ascii="宋体" w:hAnsi="宋体"/>
      <w:sz w:val="24"/>
      <w:szCs w:val="20"/>
    </w:rPr>
  </w:style>
  <w:style w:type="paragraph" w:customStyle="1" w:styleId="271">
    <w:name w:val="样式　标题4"/>
    <w:basedOn w:val="215"/>
    <w:next w:val="1"/>
    <w:qFormat/>
    <w:uiPriority w:val="0"/>
  </w:style>
  <w:style w:type="paragraph" w:customStyle="1" w:styleId="272">
    <w:name w:val="Blockquote"/>
    <w:basedOn w:val="1"/>
    <w:qFormat/>
    <w:uiPriority w:val="0"/>
    <w:pPr>
      <w:widowControl/>
      <w:spacing w:before="100" w:afterLines="50"/>
      <w:ind w:left="360" w:right="360"/>
    </w:pPr>
    <w:rPr>
      <w:rFonts w:ascii="宋体"/>
      <w:snapToGrid w:val="0"/>
      <w:kern w:val="0"/>
      <w:sz w:val="24"/>
      <w:szCs w:val="20"/>
      <w:lang w:val="en-CA"/>
    </w:rPr>
  </w:style>
  <w:style w:type="paragraph" w:customStyle="1" w:styleId="273">
    <w:name w:val="样式 模板描述"/>
    <w:basedOn w:val="1"/>
    <w:next w:val="197"/>
    <w:qFormat/>
    <w:uiPriority w:val="0"/>
    <w:pPr>
      <w:spacing w:afterLines="50"/>
    </w:pPr>
    <w:rPr>
      <w:rFonts w:ascii="宋体" w:cs="宋体"/>
      <w:i/>
      <w:iCs/>
      <w:snapToGrid w:val="0"/>
      <w:color w:val="0000FF"/>
      <w:kern w:val="0"/>
      <w:szCs w:val="21"/>
    </w:rPr>
  </w:style>
  <w:style w:type="paragraph" w:customStyle="1" w:styleId="274">
    <w:name w:val="Char Char3 Char Char Char Char"/>
    <w:basedOn w:val="1"/>
    <w:qFormat/>
    <w:uiPriority w:val="0"/>
    <w:pPr>
      <w:widowControl/>
      <w:spacing w:after="160"/>
    </w:pPr>
    <w:rPr>
      <w:rFonts w:ascii="Verdana" w:hAnsi="Verdana"/>
      <w:kern w:val="0"/>
      <w:sz w:val="24"/>
      <w:szCs w:val="20"/>
      <w:lang w:eastAsia="en-US"/>
    </w:rPr>
  </w:style>
  <w:style w:type="paragraph" w:customStyle="1" w:styleId="275">
    <w:name w:val="样式2"/>
    <w:basedOn w:val="6"/>
    <w:qFormat/>
    <w:uiPriority w:val="0"/>
    <w:pPr>
      <w:keepLines/>
      <w:tabs>
        <w:tab w:val="left" w:pos="600"/>
        <w:tab w:val="left" w:pos="720"/>
      </w:tabs>
      <w:adjustRightInd/>
      <w:snapToGrid/>
      <w:spacing w:before="260" w:after="260" w:line="416" w:lineRule="auto"/>
      <w:ind w:left="600" w:hanging="600"/>
      <w:jc w:val="both"/>
      <w:textAlignment w:val="auto"/>
    </w:pPr>
    <w:rPr>
      <w:rFonts w:ascii="Arial" w:hAnsi="Arial" w:eastAsia="宋体"/>
      <w:bCs/>
      <w:kern w:val="2"/>
      <w:sz w:val="32"/>
      <w:szCs w:val="32"/>
    </w:rPr>
  </w:style>
  <w:style w:type="paragraph" w:customStyle="1" w:styleId="276">
    <w:name w:val="S4-B-L15"/>
    <w:basedOn w:val="1"/>
    <w:qFormat/>
    <w:uiPriority w:val="0"/>
    <w:rPr>
      <w:b/>
      <w:bCs/>
      <w:sz w:val="24"/>
    </w:rPr>
  </w:style>
  <w:style w:type="paragraph" w:customStyle="1" w:styleId="277">
    <w:name w:val="样式 标题 3(A-3)sect1.2.3h3H3level_3PIM 3Level 3 HeadHeading..."/>
    <w:basedOn w:val="7"/>
    <w:qFormat/>
    <w:uiPriority w:val="0"/>
    <w:pPr>
      <w:tabs>
        <w:tab w:val="left" w:pos="709"/>
      </w:tabs>
      <w:spacing w:line="416" w:lineRule="auto"/>
      <w:ind w:firstLine="0" w:firstLineChars="0"/>
    </w:pPr>
    <w:rPr>
      <w:rFonts w:ascii="Arial" w:hAnsi="Arial" w:eastAsia="宋体"/>
      <w:szCs w:val="32"/>
    </w:rPr>
  </w:style>
  <w:style w:type="paragraph" w:customStyle="1" w:styleId="278">
    <w:name w:val="Char Char2"/>
    <w:basedOn w:val="1"/>
    <w:qFormat/>
    <w:uiPriority w:val="0"/>
    <w:rPr>
      <w:rFonts w:ascii="仿宋_GB2312" w:eastAsia="仿宋_GB2312"/>
      <w:b/>
      <w:sz w:val="32"/>
      <w:szCs w:val="32"/>
    </w:rPr>
  </w:style>
  <w:style w:type="paragraph" w:customStyle="1" w:styleId="279">
    <w:name w:val="p0"/>
    <w:basedOn w:val="1"/>
    <w:qFormat/>
    <w:uiPriority w:val="0"/>
    <w:pPr>
      <w:widowControl/>
    </w:pPr>
    <w:rPr>
      <w:kern w:val="0"/>
      <w:szCs w:val="21"/>
    </w:rPr>
  </w:style>
  <w:style w:type="table" w:customStyle="1" w:styleId="280">
    <w:name w:val="网格表 4 - 着色 11"/>
    <w:basedOn w:val="51"/>
    <w:qFormat/>
    <w:uiPriority w:val="49"/>
    <w:tblPr>
      <w:tblBorders>
        <w:top w:val="single" w:color="95B3D7" w:sz="4" w:space="0"/>
        <w:left w:val="single" w:color="95B3D7" w:sz="4" w:space="0"/>
        <w:bottom w:val="single" w:color="95B3D7" w:sz="4" w:space="0"/>
        <w:right w:val="single" w:color="95B3D7" w:sz="4" w:space="0"/>
        <w:insideH w:val="single" w:color="95B3D7" w:sz="4" w:space="0"/>
        <w:insideV w:val="single" w:color="95B3D7" w:sz="4" w:space="0"/>
      </w:tblBorders>
      <w:tblCellMar>
        <w:top w:w="0" w:type="dxa"/>
        <w:left w:w="108" w:type="dxa"/>
        <w:bottom w:w="0" w:type="dxa"/>
        <w:right w:w="108" w:type="dxa"/>
      </w:tblCellMar>
    </w:tblPr>
    <w:tblStylePr w:type="firstRow">
      <w:rPr>
        <w:b/>
        <w:bCs/>
        <w:color w:val="FFFFFF"/>
      </w:rPr>
      <w:tcPr>
        <w:tcBorders>
          <w:top w:val="single" w:color="4F81BD" w:sz="4" w:space="0"/>
          <w:left w:val="single" w:color="4F81BD" w:sz="4" w:space="0"/>
          <w:bottom w:val="single" w:color="4F81BD" w:sz="4" w:space="0"/>
          <w:right w:val="single" w:color="4F81BD" w:sz="4" w:space="0"/>
          <w:insideH w:val="nil"/>
          <w:insideV w:val="nil"/>
        </w:tcBorders>
        <w:shd w:val="clear" w:color="auto" w:fill="4F81BD"/>
      </w:tcPr>
    </w:tblStylePr>
    <w:tblStylePr w:type="lastRow">
      <w:rPr>
        <w:b/>
        <w:bCs/>
      </w:rPr>
      <w:tcPr>
        <w:tcBorders>
          <w:top w:val="double" w:color="4F81BD" w:sz="4" w:space="0"/>
        </w:tcBorders>
      </w:tcPr>
    </w:tblStylePr>
    <w:tblStylePr w:type="firstCol">
      <w:rPr>
        <w:b/>
        <w:bCs/>
      </w:rPr>
    </w:tblStylePr>
    <w:tblStylePr w:type="lastCol">
      <w:rPr>
        <w:b/>
        <w:bCs/>
      </w:rPr>
    </w:tblStylePr>
    <w:tblStylePr w:type="band1Vert">
      <w:tcPr>
        <w:shd w:val="clear" w:color="auto" w:fill="DBE5F1"/>
      </w:tcPr>
    </w:tblStylePr>
    <w:tblStylePr w:type="band1Horz">
      <w:tcPr>
        <w:shd w:val="clear" w:color="auto" w:fill="DBE5F1"/>
      </w:tcPr>
    </w:tblStylePr>
  </w:style>
  <w:style w:type="character" w:customStyle="1" w:styleId="281">
    <w:name w:val="font21"/>
    <w:qFormat/>
    <w:uiPriority w:val="0"/>
    <w:rPr>
      <w:rFonts w:hint="eastAsia" w:ascii="宋体" w:hAnsi="宋体" w:eastAsia="宋体" w:cs="宋体"/>
      <w:color w:val="000000"/>
      <w:sz w:val="24"/>
      <w:szCs w:val="24"/>
      <w:u w:val="none"/>
    </w:rPr>
  </w:style>
  <w:style w:type="paragraph" w:customStyle="1" w:styleId="282">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283">
    <w:name w:val="List Paragraph1"/>
    <w:basedOn w:val="1"/>
    <w:qFormat/>
    <w:uiPriority w:val="99"/>
    <w:pPr>
      <w:spacing w:line="240" w:lineRule="auto"/>
      <w:ind w:firstLine="420"/>
      <w:jc w:val="both"/>
    </w:pPr>
    <w:rPr>
      <w:rFonts w:ascii="Calibri" w:hAnsi="Calibri" w:eastAsia="宋体" w:cs="宋体"/>
      <w:szCs w:val="21"/>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3076"/>
    <customShpInfo spid="_x0000_s3077"/>
    <customShpInfo spid="_x0000_s3086"/>
    <customShpInfo spid="_x0000_s3083"/>
    <customShpInfo spid="_x0000_s3084"/>
    <customShpInfo spid="_x0000_s3085"/>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864CE59-B1EC-4D33-B705-580F442DE231}">
  <ds:schemaRefs/>
</ds:datastoreItem>
</file>

<file path=docProps/app.xml><?xml version="1.0" encoding="utf-8"?>
<Properties xmlns="http://schemas.openxmlformats.org/officeDocument/2006/extended-properties" xmlns:vt="http://schemas.openxmlformats.org/officeDocument/2006/docPropsVTypes">
  <Template>Normal.dotm</Template>
  <Company>MicroWin10.com</Company>
  <Pages>56</Pages>
  <Words>26829</Words>
  <Characters>28806</Characters>
  <Lines>203</Lines>
  <Paragraphs>57</Paragraphs>
  <TotalTime>1</TotalTime>
  <ScaleCrop>false</ScaleCrop>
  <LinksUpToDate>false</LinksUpToDate>
  <CharactersWithSpaces>29813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2021-07-21T05:47:00Z</dcterms:created>
  <dc:creator>微软用户</dc:creator>
  <cp:lastModifiedBy>Mitsuha</cp:lastModifiedBy>
  <cp:lastPrinted>2022-03-07T02:04:00Z</cp:lastPrinted>
  <dcterms:modified xsi:type="dcterms:W3CDTF">2022-12-08T07:11:53Z</dcterms:modified>
  <dc:title>1</dc:title>
  <cp:revision>138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81AE5DB68F5E43C78450035134BE83D0</vt:lpwstr>
  </property>
  <property fmtid="{D5CDD505-2E9C-101B-9397-08002B2CF9AE}" pid="4" name="commondata">
    <vt:lpwstr>eyJoZGlkIjoiMmEyNDZkNzA2MmRlNGFiMmIwM2ZhODE1MTExZTY2MTEifQ==</vt:lpwstr>
  </property>
</Properties>
</file>