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480"/>
        <w:jc w:val="center"/>
        <w:rPr>
          <w:rFonts w:hint="default"/>
          <w:sz w:val="24"/>
        </w:rPr>
      </w:pPr>
    </w:p>
    <w:p>
      <w:pPr>
        <w:spacing w:before="120" w:beforeLines="50" w:line="360" w:lineRule="auto"/>
        <w:ind w:firstLine="1044"/>
        <w:jc w:val="center"/>
        <w:rPr>
          <w:rFonts w:hint="default"/>
          <w:b/>
          <w:sz w:val="52"/>
          <w:szCs w:val="52"/>
        </w:rPr>
      </w:pPr>
    </w:p>
    <w:p>
      <w:pPr>
        <w:spacing w:before="120" w:beforeLines="50" w:line="360" w:lineRule="auto"/>
        <w:ind w:firstLine="1044"/>
        <w:jc w:val="center"/>
        <w:rPr>
          <w:rFonts w:hint="default"/>
          <w:b/>
          <w:sz w:val="52"/>
          <w:szCs w:val="52"/>
        </w:rPr>
      </w:pPr>
      <w:r>
        <w:rPr>
          <w:b/>
          <w:sz w:val="52"/>
          <w:szCs w:val="52"/>
        </w:rPr>
        <w:t>浙江省中医院</w:t>
      </w:r>
    </w:p>
    <w:p>
      <w:pPr>
        <w:spacing w:before="120" w:beforeLines="50" w:line="360" w:lineRule="auto"/>
        <w:ind w:firstLine="1044"/>
        <w:jc w:val="center"/>
        <w:rPr>
          <w:rFonts w:hint="default"/>
          <w:b/>
          <w:sz w:val="52"/>
          <w:szCs w:val="52"/>
        </w:rPr>
      </w:pPr>
      <w:r>
        <w:rPr>
          <w:b/>
          <w:sz w:val="52"/>
          <w:szCs w:val="52"/>
        </w:rPr>
        <w:t>钱塘院区4号楼阶梯会议室家具采购项目</w:t>
      </w:r>
    </w:p>
    <w:p>
      <w:pPr>
        <w:spacing w:before="120" w:beforeLines="50" w:line="360" w:lineRule="auto"/>
        <w:ind w:firstLine="723"/>
        <w:jc w:val="center"/>
        <w:rPr>
          <w:rFonts w:hint="default"/>
          <w:b/>
          <w:sz w:val="36"/>
          <w:szCs w:val="36"/>
        </w:rPr>
      </w:pPr>
    </w:p>
    <w:p>
      <w:pPr>
        <w:pStyle w:val="39"/>
        <w:rPr>
          <w:color w:val="auto"/>
        </w:rPr>
      </w:pPr>
    </w:p>
    <w:p>
      <w:pPr>
        <w:pStyle w:val="39"/>
        <w:rPr>
          <w:color w:val="auto"/>
        </w:rPr>
      </w:pPr>
    </w:p>
    <w:p>
      <w:pPr>
        <w:spacing w:before="120" w:beforeLines="50" w:line="360" w:lineRule="auto"/>
        <w:ind w:firstLine="482"/>
        <w:jc w:val="center"/>
        <w:rPr>
          <w:rFonts w:hint="default"/>
          <w:b/>
          <w:szCs w:val="21"/>
        </w:rPr>
      </w:pPr>
    </w:p>
    <w:p>
      <w:pPr>
        <w:spacing w:before="120" w:beforeLines="50" w:line="360" w:lineRule="auto"/>
        <w:ind w:firstLine="1687"/>
        <w:jc w:val="center"/>
        <w:rPr>
          <w:rFonts w:hint="default"/>
          <w:b/>
          <w:sz w:val="72"/>
          <w:szCs w:val="72"/>
        </w:rPr>
      </w:pPr>
      <w:r>
        <w:rPr>
          <w:rFonts w:hint="default"/>
          <w:b/>
          <w:sz w:val="84"/>
          <w:szCs w:val="84"/>
        </w:rPr>
        <w:t>公开招标文件</w:t>
      </w:r>
    </w:p>
    <w:p>
      <w:pPr>
        <w:snapToGrid w:val="0"/>
        <w:spacing w:before="120" w:beforeLines="50" w:line="360" w:lineRule="auto"/>
        <w:ind w:firstLine="643"/>
        <w:jc w:val="center"/>
        <w:rPr>
          <w:rFonts w:hint="default"/>
          <w:sz w:val="32"/>
          <w:szCs w:val="32"/>
        </w:rPr>
      </w:pPr>
      <w:r>
        <w:rPr>
          <w:rFonts w:hint="default"/>
          <w:b/>
          <w:bCs/>
          <w:sz w:val="32"/>
          <w:szCs w:val="32"/>
        </w:rPr>
        <w:t>项目编号：</w:t>
      </w:r>
      <w:r>
        <w:rPr>
          <w:b/>
          <w:bCs/>
          <w:sz w:val="32"/>
          <w:szCs w:val="32"/>
        </w:rPr>
        <w:t>HSZB-2024-135</w:t>
      </w:r>
    </w:p>
    <w:p>
      <w:pPr>
        <w:pStyle w:val="7"/>
        <w:snapToGrid w:val="0"/>
        <w:spacing w:before="120" w:after="120" w:line="360" w:lineRule="auto"/>
        <w:ind w:firstLine="602"/>
        <w:rPr>
          <w:rFonts w:hint="default" w:ascii="Times New Roman" w:hAnsi="Times New Roman"/>
          <w:b/>
          <w:bCs/>
          <w:sz w:val="30"/>
          <w:szCs w:val="30"/>
        </w:rPr>
      </w:pPr>
    </w:p>
    <w:p>
      <w:pPr>
        <w:pStyle w:val="7"/>
        <w:snapToGrid w:val="0"/>
        <w:spacing w:before="120" w:after="120" w:line="360" w:lineRule="auto"/>
        <w:ind w:firstLine="602"/>
        <w:rPr>
          <w:rFonts w:hint="default" w:ascii="Times New Roman" w:hAnsi="Times New Roman"/>
          <w:b/>
          <w:bCs/>
          <w:sz w:val="30"/>
          <w:szCs w:val="30"/>
        </w:rPr>
      </w:pPr>
    </w:p>
    <w:p>
      <w:pPr>
        <w:pStyle w:val="7"/>
        <w:snapToGrid w:val="0"/>
        <w:spacing w:before="240" w:beforeLines="100" w:after="120" w:line="240" w:lineRule="auto"/>
        <w:ind w:firstLine="643"/>
        <w:rPr>
          <w:rFonts w:hint="default" w:ascii="Times New Roman" w:hAnsi="Times New Roman"/>
          <w:b/>
          <w:bCs/>
          <w:sz w:val="32"/>
          <w:szCs w:val="32"/>
        </w:rPr>
      </w:pPr>
    </w:p>
    <w:p>
      <w:pPr>
        <w:pStyle w:val="7"/>
        <w:snapToGrid w:val="0"/>
        <w:spacing w:before="240" w:beforeLines="100" w:after="120" w:line="240" w:lineRule="auto"/>
        <w:ind w:firstLine="643"/>
        <w:rPr>
          <w:rFonts w:hint="default" w:ascii="Times New Roman" w:hAnsi="Times New Roman"/>
          <w:b/>
          <w:bCs/>
          <w:sz w:val="32"/>
          <w:szCs w:val="32"/>
        </w:rPr>
      </w:pPr>
    </w:p>
    <w:p>
      <w:pPr>
        <w:pStyle w:val="7"/>
        <w:snapToGrid w:val="0"/>
        <w:spacing w:before="120" w:after="120" w:line="360" w:lineRule="auto"/>
        <w:ind w:left="3283" w:leftChars="760" w:hanging="1687" w:hangingChars="525"/>
        <w:rPr>
          <w:rFonts w:hint="default" w:ascii="Times New Roman" w:hAnsi="Times New Roman"/>
          <w:b/>
          <w:sz w:val="32"/>
          <w:szCs w:val="32"/>
        </w:rPr>
      </w:pPr>
      <w:r>
        <w:rPr>
          <w:rFonts w:hint="default" w:ascii="Times New Roman" w:hAnsi="Times New Roman"/>
          <w:b/>
          <w:sz w:val="32"/>
          <w:szCs w:val="32"/>
        </w:rPr>
        <w:t>采购单位：</w:t>
      </w:r>
      <w:r>
        <w:rPr>
          <w:rFonts w:ascii="Times New Roman" w:hAnsi="Times New Roman"/>
          <w:b/>
          <w:sz w:val="32"/>
          <w:szCs w:val="32"/>
        </w:rPr>
        <w:t>浙江省中医院</w:t>
      </w:r>
    </w:p>
    <w:p>
      <w:pPr>
        <w:pStyle w:val="7"/>
        <w:snapToGrid w:val="0"/>
        <w:spacing w:before="120" w:after="120" w:line="360" w:lineRule="auto"/>
        <w:ind w:firstLine="1536" w:firstLineChars="478"/>
        <w:rPr>
          <w:rFonts w:hint="default" w:ascii="Times New Roman" w:hAnsi="Times New Roman"/>
          <w:b/>
          <w:sz w:val="32"/>
          <w:szCs w:val="32"/>
        </w:rPr>
      </w:pPr>
      <w:r>
        <w:rPr>
          <w:rFonts w:hint="default" w:ascii="Times New Roman" w:hAnsi="Times New Roman"/>
          <w:b/>
          <w:sz w:val="32"/>
          <w:szCs w:val="32"/>
        </w:rPr>
        <w:t>代理机构：浙江豪圣建设项目管理有限公司</w:t>
      </w:r>
    </w:p>
    <w:p>
      <w:pPr>
        <w:snapToGrid w:val="0"/>
        <w:spacing w:before="120" w:beforeLines="50" w:after="50" w:line="360" w:lineRule="auto"/>
        <w:ind w:firstLine="613"/>
        <w:jc w:val="center"/>
        <w:rPr>
          <w:rFonts w:hint="default"/>
          <w:b/>
          <w:bCs/>
          <w:w w:val="95"/>
          <w:sz w:val="30"/>
          <w:szCs w:val="30"/>
        </w:rPr>
        <w:sectPr>
          <w:footerReference r:id="rId4" w:type="default"/>
          <w:footerReference r:id="rId5" w:type="even"/>
          <w:pgSz w:w="11906" w:h="16838"/>
          <w:pgMar w:top="1134" w:right="1247" w:bottom="1247" w:left="1304" w:header="794" w:footer="794" w:gutter="0"/>
          <w:cols w:space="720" w:num="1"/>
          <w:docGrid w:linePitch="312" w:charSpace="0"/>
        </w:sectPr>
      </w:pPr>
      <w:r>
        <w:rPr>
          <w:rFonts w:hint="default"/>
          <w:b/>
          <w:bCs/>
          <w:w w:val="95"/>
          <w:sz w:val="32"/>
          <w:szCs w:val="32"/>
        </w:rPr>
        <w:t>202</w:t>
      </w:r>
      <w:r>
        <w:rPr>
          <w:b/>
          <w:bCs/>
          <w:w w:val="95"/>
          <w:sz w:val="32"/>
          <w:szCs w:val="32"/>
        </w:rPr>
        <w:t>4</w:t>
      </w:r>
      <w:r>
        <w:rPr>
          <w:rFonts w:hint="default"/>
          <w:b/>
          <w:bCs/>
          <w:w w:val="95"/>
          <w:sz w:val="32"/>
          <w:szCs w:val="32"/>
        </w:rPr>
        <w:t>年</w:t>
      </w:r>
      <w:r>
        <w:rPr>
          <w:b/>
          <w:bCs/>
          <w:w w:val="95"/>
          <w:sz w:val="32"/>
          <w:szCs w:val="32"/>
        </w:rPr>
        <w:t>3</w:t>
      </w:r>
      <w:r>
        <w:rPr>
          <w:rFonts w:hint="default"/>
          <w:b/>
          <w:bCs/>
          <w:w w:val="95"/>
          <w:sz w:val="32"/>
          <w:szCs w:val="32"/>
        </w:rPr>
        <w:t>月</w:t>
      </w:r>
    </w:p>
    <w:p>
      <w:pPr>
        <w:pStyle w:val="7"/>
        <w:spacing w:before="120" w:after="120" w:line="360" w:lineRule="auto"/>
        <w:ind w:firstLine="720"/>
        <w:jc w:val="center"/>
        <w:rPr>
          <w:rFonts w:hint="default" w:ascii="Times New Roman" w:hAnsi="Times New Roman"/>
          <w:sz w:val="36"/>
          <w:szCs w:val="36"/>
        </w:rPr>
      </w:pPr>
    </w:p>
    <w:p>
      <w:pPr>
        <w:pStyle w:val="7"/>
        <w:spacing w:before="120" w:after="120" w:line="360" w:lineRule="auto"/>
        <w:ind w:firstLine="723"/>
        <w:jc w:val="center"/>
        <w:rPr>
          <w:rFonts w:hint="default" w:ascii="Times New Roman" w:hAnsi="Times New Roman"/>
          <w:b/>
          <w:sz w:val="36"/>
          <w:szCs w:val="36"/>
        </w:rPr>
      </w:pPr>
      <w:r>
        <w:rPr>
          <w:rFonts w:hint="default" w:ascii="Times New Roman" w:hAnsi="Times New Roman"/>
          <w:b/>
          <w:sz w:val="36"/>
          <w:szCs w:val="36"/>
        </w:rPr>
        <w:t>目录</w:t>
      </w:r>
    </w:p>
    <w:p>
      <w:pPr>
        <w:pStyle w:val="26"/>
        <w:tabs>
          <w:tab w:val="right" w:leader="dot" w:pos="9355"/>
        </w:tabs>
        <w:ind w:firstLine="560"/>
        <w:rPr>
          <w:rFonts w:hint="default"/>
        </w:rPr>
      </w:pPr>
      <w:r>
        <w:rPr>
          <w:rFonts w:hint="default"/>
          <w:sz w:val="28"/>
          <w:szCs w:val="28"/>
        </w:rPr>
        <w:fldChar w:fldCharType="begin"/>
      </w:r>
      <w:r>
        <w:rPr>
          <w:rFonts w:hint="default"/>
          <w:sz w:val="28"/>
          <w:szCs w:val="28"/>
        </w:rPr>
        <w:instrText xml:space="preserve">TOC \o "1-1" \h \u </w:instrText>
      </w:r>
      <w:r>
        <w:rPr>
          <w:rFonts w:hint="default"/>
          <w:sz w:val="28"/>
          <w:szCs w:val="28"/>
        </w:rPr>
        <w:fldChar w:fldCharType="separate"/>
      </w:r>
    </w:p>
    <w:p>
      <w:pPr>
        <w:pStyle w:val="26"/>
        <w:tabs>
          <w:tab w:val="right" w:leader="dot" w:pos="9355"/>
        </w:tabs>
        <w:spacing w:line="360" w:lineRule="auto"/>
        <w:ind w:firstLine="480"/>
        <w:rPr>
          <w:rFonts w:hint="default" w:ascii="宋体" w:hAnsi="宋体" w:cs="宋体"/>
          <w:sz w:val="28"/>
          <w:szCs w:val="28"/>
        </w:rPr>
      </w:pPr>
      <w:r>
        <w:fldChar w:fldCharType="begin"/>
      </w:r>
      <w:r>
        <w:instrText xml:space="preserve"> HYPERLINK \l "_Toc31642" </w:instrText>
      </w:r>
      <w:r>
        <w:fldChar w:fldCharType="separate"/>
      </w:r>
      <w:r>
        <w:rPr>
          <w:rFonts w:ascii="宋体" w:hAnsi="宋体" w:cs="宋体"/>
          <w:spacing w:val="-4"/>
          <w:sz w:val="28"/>
          <w:szCs w:val="28"/>
        </w:rPr>
        <w:t>第一章  招标公告</w:t>
      </w:r>
      <w:r>
        <w:rPr>
          <w:rFonts w:ascii="宋体" w:hAnsi="宋体" w:cs="宋体"/>
          <w:sz w:val="28"/>
          <w:szCs w:val="28"/>
        </w:rPr>
        <w:tab/>
      </w:r>
      <w:r>
        <w:rPr>
          <w:rFonts w:ascii="宋体" w:hAnsi="宋体" w:cs="宋体"/>
          <w:sz w:val="28"/>
          <w:szCs w:val="28"/>
        </w:rPr>
        <w:fldChar w:fldCharType="begin"/>
      </w:r>
      <w:r>
        <w:rPr>
          <w:rFonts w:ascii="宋体" w:hAnsi="宋体" w:cs="宋体"/>
          <w:sz w:val="28"/>
          <w:szCs w:val="28"/>
        </w:rPr>
        <w:instrText xml:space="preserve"> PAGEREF _Toc31642 \h </w:instrText>
      </w:r>
      <w:r>
        <w:rPr>
          <w:rFonts w:ascii="宋体" w:hAnsi="宋体" w:cs="宋体"/>
          <w:sz w:val="28"/>
          <w:szCs w:val="28"/>
        </w:rPr>
        <w:fldChar w:fldCharType="separate"/>
      </w:r>
      <w:r>
        <w:rPr>
          <w:rFonts w:ascii="宋体" w:hAnsi="宋体" w:cs="宋体"/>
          <w:sz w:val="28"/>
          <w:szCs w:val="28"/>
        </w:rPr>
        <w:t>3</w:t>
      </w:r>
      <w:r>
        <w:rPr>
          <w:rFonts w:ascii="宋体" w:hAnsi="宋体" w:cs="宋体"/>
          <w:sz w:val="28"/>
          <w:szCs w:val="28"/>
        </w:rPr>
        <w:fldChar w:fldCharType="end"/>
      </w:r>
      <w:r>
        <w:rPr>
          <w:rFonts w:ascii="宋体" w:hAnsi="宋体" w:cs="宋体"/>
          <w:sz w:val="28"/>
          <w:szCs w:val="28"/>
        </w:rPr>
        <w:fldChar w:fldCharType="end"/>
      </w:r>
    </w:p>
    <w:p>
      <w:pPr>
        <w:pStyle w:val="26"/>
        <w:tabs>
          <w:tab w:val="right" w:leader="dot" w:pos="9355"/>
        </w:tabs>
        <w:spacing w:line="360" w:lineRule="auto"/>
        <w:ind w:firstLine="480"/>
        <w:rPr>
          <w:rFonts w:hint="default" w:ascii="宋体" w:hAnsi="宋体" w:cs="宋体"/>
          <w:sz w:val="28"/>
          <w:szCs w:val="28"/>
        </w:rPr>
      </w:pPr>
      <w:r>
        <w:fldChar w:fldCharType="begin"/>
      </w:r>
      <w:r>
        <w:instrText xml:space="preserve"> HYPERLINK \l "_Toc18629" </w:instrText>
      </w:r>
      <w:r>
        <w:fldChar w:fldCharType="separate"/>
      </w:r>
      <w:r>
        <w:rPr>
          <w:rFonts w:ascii="宋体" w:hAnsi="宋体" w:cs="宋体"/>
          <w:sz w:val="28"/>
          <w:szCs w:val="28"/>
        </w:rPr>
        <w:t>第二章  投标人须知</w:t>
      </w:r>
      <w:r>
        <w:rPr>
          <w:rFonts w:ascii="宋体" w:hAnsi="宋体" w:cs="宋体"/>
          <w:sz w:val="28"/>
          <w:szCs w:val="28"/>
        </w:rPr>
        <w:tab/>
      </w:r>
      <w:r>
        <w:rPr>
          <w:rFonts w:ascii="宋体" w:hAnsi="宋体" w:cs="宋体"/>
          <w:sz w:val="28"/>
          <w:szCs w:val="28"/>
        </w:rPr>
        <w:fldChar w:fldCharType="begin"/>
      </w:r>
      <w:r>
        <w:rPr>
          <w:rFonts w:ascii="宋体" w:hAnsi="宋体" w:cs="宋体"/>
          <w:sz w:val="28"/>
          <w:szCs w:val="28"/>
        </w:rPr>
        <w:instrText xml:space="preserve"> PAGEREF _Toc18629 \h </w:instrText>
      </w:r>
      <w:r>
        <w:rPr>
          <w:rFonts w:ascii="宋体" w:hAnsi="宋体" w:cs="宋体"/>
          <w:sz w:val="28"/>
          <w:szCs w:val="28"/>
        </w:rPr>
        <w:fldChar w:fldCharType="separate"/>
      </w:r>
      <w:r>
        <w:rPr>
          <w:rFonts w:ascii="宋体" w:hAnsi="宋体" w:cs="宋体"/>
          <w:sz w:val="28"/>
          <w:szCs w:val="28"/>
        </w:rPr>
        <w:t>7</w:t>
      </w:r>
      <w:r>
        <w:rPr>
          <w:rFonts w:ascii="宋体" w:hAnsi="宋体" w:cs="宋体"/>
          <w:sz w:val="28"/>
          <w:szCs w:val="28"/>
        </w:rPr>
        <w:fldChar w:fldCharType="end"/>
      </w:r>
      <w:r>
        <w:rPr>
          <w:rFonts w:ascii="宋体" w:hAnsi="宋体" w:cs="宋体"/>
          <w:sz w:val="28"/>
          <w:szCs w:val="28"/>
        </w:rPr>
        <w:fldChar w:fldCharType="end"/>
      </w:r>
    </w:p>
    <w:p>
      <w:pPr>
        <w:pStyle w:val="26"/>
        <w:tabs>
          <w:tab w:val="right" w:leader="dot" w:pos="9355"/>
        </w:tabs>
        <w:spacing w:line="360" w:lineRule="auto"/>
        <w:ind w:firstLine="480"/>
        <w:rPr>
          <w:rFonts w:hint="default" w:ascii="宋体" w:hAnsi="宋体" w:cs="宋体"/>
          <w:sz w:val="28"/>
          <w:szCs w:val="28"/>
        </w:rPr>
      </w:pPr>
      <w:r>
        <w:fldChar w:fldCharType="begin"/>
      </w:r>
      <w:r>
        <w:instrText xml:space="preserve"> HYPERLINK \l "_Toc19314" </w:instrText>
      </w:r>
      <w:r>
        <w:fldChar w:fldCharType="separate"/>
      </w:r>
      <w:r>
        <w:rPr>
          <w:rFonts w:ascii="宋体" w:hAnsi="宋体" w:cs="宋体"/>
          <w:spacing w:val="-4"/>
          <w:sz w:val="28"/>
          <w:szCs w:val="28"/>
        </w:rPr>
        <w:t>第三章  评标办</w:t>
      </w:r>
      <w:bookmarkStart w:id="143" w:name="_GoBack"/>
      <w:bookmarkEnd w:id="143"/>
      <w:r>
        <w:rPr>
          <w:rFonts w:ascii="宋体" w:hAnsi="宋体" w:cs="宋体"/>
          <w:spacing w:val="-4"/>
          <w:sz w:val="28"/>
          <w:szCs w:val="28"/>
        </w:rPr>
        <w:t>法</w:t>
      </w:r>
      <w:r>
        <w:rPr>
          <w:rFonts w:ascii="宋体" w:hAnsi="宋体" w:cs="宋体"/>
          <w:sz w:val="28"/>
          <w:szCs w:val="28"/>
        </w:rPr>
        <w:tab/>
      </w:r>
      <w:r>
        <w:rPr>
          <w:rFonts w:ascii="宋体" w:hAnsi="宋体" w:cs="宋体"/>
          <w:sz w:val="28"/>
          <w:szCs w:val="28"/>
        </w:rPr>
        <w:fldChar w:fldCharType="begin"/>
      </w:r>
      <w:r>
        <w:rPr>
          <w:rFonts w:ascii="宋体" w:hAnsi="宋体" w:cs="宋体"/>
          <w:sz w:val="28"/>
          <w:szCs w:val="28"/>
        </w:rPr>
        <w:instrText xml:space="preserve"> PAGEREF _Toc19314 \h </w:instrText>
      </w:r>
      <w:r>
        <w:rPr>
          <w:rFonts w:ascii="宋体" w:hAnsi="宋体" w:cs="宋体"/>
          <w:sz w:val="28"/>
          <w:szCs w:val="28"/>
        </w:rPr>
        <w:fldChar w:fldCharType="separate"/>
      </w:r>
      <w:r>
        <w:rPr>
          <w:rFonts w:ascii="宋体" w:hAnsi="宋体" w:cs="宋体"/>
          <w:sz w:val="28"/>
          <w:szCs w:val="28"/>
        </w:rPr>
        <w:t>28</w:t>
      </w:r>
      <w:r>
        <w:rPr>
          <w:rFonts w:ascii="宋体" w:hAnsi="宋体" w:cs="宋体"/>
          <w:sz w:val="28"/>
          <w:szCs w:val="28"/>
        </w:rPr>
        <w:fldChar w:fldCharType="end"/>
      </w:r>
      <w:r>
        <w:rPr>
          <w:rFonts w:ascii="宋体" w:hAnsi="宋体" w:cs="宋体"/>
          <w:sz w:val="28"/>
          <w:szCs w:val="28"/>
        </w:rPr>
        <w:fldChar w:fldCharType="end"/>
      </w:r>
    </w:p>
    <w:p>
      <w:pPr>
        <w:pStyle w:val="26"/>
        <w:tabs>
          <w:tab w:val="right" w:leader="dot" w:pos="9355"/>
        </w:tabs>
        <w:spacing w:line="360" w:lineRule="auto"/>
        <w:ind w:firstLine="480"/>
        <w:rPr>
          <w:rFonts w:hint="default" w:ascii="宋体" w:hAnsi="宋体" w:cs="宋体"/>
          <w:sz w:val="28"/>
          <w:szCs w:val="28"/>
        </w:rPr>
      </w:pPr>
      <w:r>
        <w:fldChar w:fldCharType="begin"/>
      </w:r>
      <w:r>
        <w:instrText xml:space="preserve"> HYPERLINK \l "_Toc5663" </w:instrText>
      </w:r>
      <w:r>
        <w:fldChar w:fldCharType="separate"/>
      </w:r>
      <w:r>
        <w:rPr>
          <w:rFonts w:ascii="宋体" w:hAnsi="宋体" w:cs="宋体"/>
          <w:sz w:val="28"/>
          <w:szCs w:val="28"/>
        </w:rPr>
        <w:t>第四章  采购内容及需求</w:t>
      </w:r>
      <w:r>
        <w:rPr>
          <w:rFonts w:ascii="宋体" w:hAnsi="宋体" w:cs="宋体"/>
          <w:sz w:val="28"/>
          <w:szCs w:val="28"/>
        </w:rPr>
        <w:tab/>
      </w:r>
      <w:r>
        <w:rPr>
          <w:rFonts w:ascii="宋体" w:hAnsi="宋体" w:cs="宋体"/>
          <w:sz w:val="28"/>
          <w:szCs w:val="28"/>
        </w:rPr>
        <w:fldChar w:fldCharType="begin"/>
      </w:r>
      <w:r>
        <w:rPr>
          <w:rFonts w:ascii="宋体" w:hAnsi="宋体" w:cs="宋体"/>
          <w:sz w:val="28"/>
          <w:szCs w:val="28"/>
        </w:rPr>
        <w:instrText xml:space="preserve"> PAGEREF _Toc5663 \h </w:instrText>
      </w:r>
      <w:r>
        <w:rPr>
          <w:rFonts w:ascii="宋体" w:hAnsi="宋体" w:cs="宋体"/>
          <w:sz w:val="28"/>
          <w:szCs w:val="28"/>
        </w:rPr>
        <w:fldChar w:fldCharType="separate"/>
      </w:r>
      <w:r>
        <w:rPr>
          <w:rFonts w:ascii="宋体" w:hAnsi="宋体" w:cs="宋体"/>
          <w:sz w:val="28"/>
          <w:szCs w:val="28"/>
        </w:rPr>
        <w:t>32</w:t>
      </w:r>
      <w:r>
        <w:rPr>
          <w:rFonts w:ascii="宋体" w:hAnsi="宋体" w:cs="宋体"/>
          <w:sz w:val="28"/>
          <w:szCs w:val="28"/>
        </w:rPr>
        <w:fldChar w:fldCharType="end"/>
      </w:r>
      <w:r>
        <w:rPr>
          <w:rFonts w:ascii="宋体" w:hAnsi="宋体" w:cs="宋体"/>
          <w:sz w:val="28"/>
          <w:szCs w:val="28"/>
        </w:rPr>
        <w:fldChar w:fldCharType="end"/>
      </w:r>
    </w:p>
    <w:p>
      <w:pPr>
        <w:pStyle w:val="26"/>
        <w:tabs>
          <w:tab w:val="right" w:leader="dot" w:pos="9355"/>
        </w:tabs>
        <w:spacing w:line="360" w:lineRule="auto"/>
        <w:ind w:firstLine="480"/>
        <w:rPr>
          <w:rFonts w:hint="default" w:ascii="宋体" w:hAnsi="宋体" w:cs="宋体"/>
          <w:sz w:val="28"/>
          <w:szCs w:val="28"/>
        </w:rPr>
      </w:pPr>
      <w:r>
        <w:fldChar w:fldCharType="begin"/>
      </w:r>
      <w:r>
        <w:instrText xml:space="preserve"> HYPERLINK \l "_Toc15889" </w:instrText>
      </w:r>
      <w:r>
        <w:fldChar w:fldCharType="separate"/>
      </w:r>
      <w:r>
        <w:rPr>
          <w:rFonts w:ascii="宋体" w:hAnsi="宋体" w:cs="宋体"/>
          <w:sz w:val="28"/>
          <w:szCs w:val="28"/>
        </w:rPr>
        <w:t>第五章  合同主要条款</w:t>
      </w:r>
      <w:r>
        <w:rPr>
          <w:rFonts w:ascii="宋体" w:hAnsi="宋体" w:cs="宋体"/>
          <w:sz w:val="28"/>
          <w:szCs w:val="28"/>
        </w:rPr>
        <w:tab/>
      </w:r>
      <w:r>
        <w:rPr>
          <w:rFonts w:ascii="宋体" w:hAnsi="宋体" w:cs="宋体"/>
          <w:sz w:val="28"/>
          <w:szCs w:val="28"/>
        </w:rPr>
        <w:fldChar w:fldCharType="begin"/>
      </w:r>
      <w:r>
        <w:rPr>
          <w:rFonts w:ascii="宋体" w:hAnsi="宋体" w:cs="宋体"/>
          <w:sz w:val="28"/>
          <w:szCs w:val="28"/>
        </w:rPr>
        <w:instrText xml:space="preserve"> PAGEREF _Toc15889 \h </w:instrText>
      </w:r>
      <w:r>
        <w:rPr>
          <w:rFonts w:ascii="宋体" w:hAnsi="宋体" w:cs="宋体"/>
          <w:sz w:val="28"/>
          <w:szCs w:val="28"/>
        </w:rPr>
        <w:fldChar w:fldCharType="separate"/>
      </w:r>
      <w:r>
        <w:rPr>
          <w:rFonts w:ascii="宋体" w:hAnsi="宋体" w:cs="宋体"/>
          <w:sz w:val="28"/>
          <w:szCs w:val="28"/>
        </w:rPr>
        <w:t>38</w:t>
      </w:r>
      <w:r>
        <w:rPr>
          <w:rFonts w:ascii="宋体" w:hAnsi="宋体" w:cs="宋体"/>
          <w:sz w:val="28"/>
          <w:szCs w:val="28"/>
        </w:rPr>
        <w:fldChar w:fldCharType="end"/>
      </w:r>
      <w:r>
        <w:rPr>
          <w:rFonts w:ascii="宋体" w:hAnsi="宋体" w:cs="宋体"/>
          <w:sz w:val="28"/>
          <w:szCs w:val="28"/>
        </w:rPr>
        <w:fldChar w:fldCharType="end"/>
      </w:r>
    </w:p>
    <w:p>
      <w:pPr>
        <w:pStyle w:val="26"/>
        <w:tabs>
          <w:tab w:val="right" w:leader="dot" w:pos="9355"/>
        </w:tabs>
        <w:spacing w:line="360" w:lineRule="auto"/>
        <w:ind w:firstLine="480"/>
        <w:rPr>
          <w:rFonts w:hint="default" w:ascii="宋体" w:hAnsi="宋体" w:cs="宋体"/>
          <w:sz w:val="28"/>
          <w:szCs w:val="28"/>
        </w:rPr>
      </w:pPr>
      <w:r>
        <w:fldChar w:fldCharType="begin"/>
      </w:r>
      <w:r>
        <w:instrText xml:space="preserve"> HYPERLINK \l "_Toc2160" </w:instrText>
      </w:r>
      <w:r>
        <w:fldChar w:fldCharType="separate"/>
      </w:r>
      <w:r>
        <w:rPr>
          <w:rFonts w:ascii="宋体" w:hAnsi="宋体" w:cs="宋体"/>
          <w:sz w:val="28"/>
          <w:szCs w:val="28"/>
        </w:rPr>
        <w:t>第六章  投标文件格式</w:t>
      </w:r>
      <w:r>
        <w:rPr>
          <w:rFonts w:ascii="宋体" w:hAnsi="宋体" w:cs="宋体"/>
          <w:sz w:val="28"/>
          <w:szCs w:val="28"/>
        </w:rPr>
        <w:tab/>
      </w:r>
      <w:r>
        <w:rPr>
          <w:rFonts w:ascii="宋体" w:hAnsi="宋体" w:cs="宋体"/>
          <w:sz w:val="28"/>
          <w:szCs w:val="28"/>
        </w:rPr>
        <w:fldChar w:fldCharType="begin"/>
      </w:r>
      <w:r>
        <w:rPr>
          <w:rFonts w:ascii="宋体" w:hAnsi="宋体" w:cs="宋体"/>
          <w:sz w:val="28"/>
          <w:szCs w:val="28"/>
        </w:rPr>
        <w:instrText xml:space="preserve"> PAGEREF _Toc2160 \h </w:instrText>
      </w:r>
      <w:r>
        <w:rPr>
          <w:rFonts w:ascii="宋体" w:hAnsi="宋体" w:cs="宋体"/>
          <w:sz w:val="28"/>
          <w:szCs w:val="28"/>
        </w:rPr>
        <w:fldChar w:fldCharType="separate"/>
      </w:r>
      <w:r>
        <w:rPr>
          <w:rFonts w:ascii="宋体" w:hAnsi="宋体" w:cs="宋体"/>
          <w:sz w:val="28"/>
          <w:szCs w:val="28"/>
        </w:rPr>
        <w:t>42</w:t>
      </w:r>
      <w:r>
        <w:rPr>
          <w:rFonts w:ascii="宋体" w:hAnsi="宋体" w:cs="宋体"/>
          <w:sz w:val="28"/>
          <w:szCs w:val="28"/>
        </w:rPr>
        <w:fldChar w:fldCharType="end"/>
      </w:r>
      <w:r>
        <w:rPr>
          <w:rFonts w:ascii="宋体" w:hAnsi="宋体" w:cs="宋体"/>
          <w:sz w:val="28"/>
          <w:szCs w:val="28"/>
        </w:rPr>
        <w:fldChar w:fldCharType="end"/>
      </w:r>
    </w:p>
    <w:p>
      <w:pPr>
        <w:pStyle w:val="26"/>
        <w:tabs>
          <w:tab w:val="right" w:leader="dot" w:pos="9355"/>
        </w:tabs>
        <w:ind w:firstLine="480"/>
        <w:rPr>
          <w:rFonts w:hint="default"/>
        </w:rPr>
      </w:pPr>
    </w:p>
    <w:p>
      <w:pPr>
        <w:pStyle w:val="7"/>
        <w:spacing w:before="120" w:after="120" w:line="360" w:lineRule="auto"/>
        <w:ind w:firstLine="480"/>
        <w:jc w:val="center"/>
        <w:rPr>
          <w:rFonts w:hint="default" w:ascii="Times New Roman" w:hAnsi="Times New Roman"/>
          <w:sz w:val="28"/>
          <w:szCs w:val="28"/>
        </w:rPr>
      </w:pPr>
      <w:r>
        <w:rPr>
          <w:rFonts w:hint="default" w:ascii="Times New Roman" w:hAnsi="Times New Roman"/>
          <w:szCs w:val="28"/>
        </w:rPr>
        <w:fldChar w:fldCharType="end"/>
      </w:r>
    </w:p>
    <w:p>
      <w:pPr>
        <w:pStyle w:val="7"/>
        <w:snapToGrid w:val="0"/>
        <w:spacing w:before="120" w:after="120" w:line="360" w:lineRule="auto"/>
        <w:ind w:firstLine="480"/>
        <w:jc w:val="center"/>
        <w:rPr>
          <w:rFonts w:hint="default" w:ascii="Times New Roman" w:hAnsi="Times New Roman"/>
        </w:rPr>
        <w:sectPr>
          <w:headerReference r:id="rId6" w:type="default"/>
          <w:footerReference r:id="rId7" w:type="default"/>
          <w:pgSz w:w="11906" w:h="16838"/>
          <w:pgMar w:top="1134" w:right="1247" w:bottom="1247" w:left="1304" w:header="794" w:footer="794" w:gutter="0"/>
          <w:pgNumType w:start="1"/>
          <w:cols w:space="720" w:num="1"/>
          <w:docGrid w:linePitch="312" w:charSpace="0"/>
        </w:sectPr>
      </w:pPr>
    </w:p>
    <w:p>
      <w:pPr>
        <w:snapToGrid w:val="0"/>
        <w:spacing w:line="360" w:lineRule="auto"/>
        <w:ind w:left="238" w:firstLine="480"/>
        <w:jc w:val="center"/>
        <w:rPr>
          <w:rFonts w:hint="default"/>
          <w:sz w:val="24"/>
        </w:rPr>
      </w:pPr>
    </w:p>
    <w:p>
      <w:pPr>
        <w:pStyle w:val="7"/>
        <w:spacing w:before="120" w:after="120" w:line="360" w:lineRule="auto"/>
        <w:ind w:firstLine="723"/>
        <w:jc w:val="center"/>
        <w:outlineLvl w:val="0"/>
        <w:rPr>
          <w:rFonts w:hint="default" w:ascii="Times New Roman" w:hAnsi="Times New Roman" w:eastAsia="黑体"/>
          <w:b/>
          <w:sz w:val="36"/>
          <w:szCs w:val="36"/>
        </w:rPr>
      </w:pPr>
      <w:bookmarkStart w:id="0" w:name="_Toc21716"/>
      <w:bookmarkStart w:id="1" w:name="_Toc11256"/>
      <w:bookmarkStart w:id="2" w:name="_Toc9198"/>
      <w:bookmarkStart w:id="3" w:name="_Toc32703"/>
      <w:r>
        <w:rPr>
          <w:rFonts w:hint="default" w:ascii="Times New Roman" w:hAnsi="Times New Roman" w:eastAsia="黑体"/>
          <w:b/>
          <w:sz w:val="36"/>
          <w:szCs w:val="36"/>
        </w:rPr>
        <w:t>电子交易须知</w:t>
      </w:r>
      <w:bookmarkEnd w:id="0"/>
      <w:bookmarkEnd w:id="1"/>
      <w:bookmarkEnd w:id="2"/>
      <w:bookmarkEnd w:id="3"/>
    </w:p>
    <w:p>
      <w:pPr>
        <w:pStyle w:val="7"/>
        <w:spacing w:before="120" w:after="120" w:line="360" w:lineRule="auto"/>
        <w:ind w:firstLine="482"/>
        <w:jc w:val="center"/>
        <w:rPr>
          <w:rFonts w:hint="default" w:ascii="Times New Roman" w:hAnsi="Times New Roman" w:eastAsia="黑体"/>
          <w:b/>
        </w:rPr>
      </w:pPr>
    </w:p>
    <w:p>
      <w:pPr>
        <w:pStyle w:val="7"/>
        <w:spacing w:before="120" w:after="120" w:line="360" w:lineRule="auto"/>
        <w:ind w:firstLine="472" w:firstLineChars="196"/>
        <w:jc w:val="left"/>
        <w:rPr>
          <w:rFonts w:hint="default" w:ascii="Times New Roman" w:hAnsi="Times New Roman" w:eastAsia="黑体"/>
          <w:b/>
        </w:rPr>
      </w:pPr>
      <w:r>
        <w:rPr>
          <w:rFonts w:hint="default" w:ascii="Times New Roman" w:hAnsi="Times New Roman" w:eastAsia="黑体"/>
          <w:b/>
        </w:rPr>
        <w:t>1、本次采购采用电子交易方式，电子交易平台为“政府采购云平台（www.zcygov.cn）”。供应商参与本项目电子交易活动前，应通过浙江政府采购网“浙江政府采购供应商信息登记管理系统”进行信息登记，获得线上政府采购活动操作权限。编制电子投标文件前还需申领CA证书并绑定帐号，供应商应充分考虑完成登记、申领CA证书等所需的时间。</w:t>
      </w:r>
    </w:p>
    <w:p>
      <w:pPr>
        <w:pStyle w:val="7"/>
        <w:spacing w:before="120" w:after="120" w:line="360" w:lineRule="auto"/>
        <w:ind w:firstLine="472" w:firstLineChars="196"/>
        <w:jc w:val="left"/>
        <w:rPr>
          <w:rFonts w:hint="default" w:ascii="Times New Roman" w:hAnsi="Times New Roman" w:eastAsia="黑体"/>
          <w:b/>
        </w:rPr>
      </w:pPr>
      <w:r>
        <w:rPr>
          <w:rFonts w:hint="default" w:ascii="Times New Roman" w:hAnsi="Times New Roman" w:eastAsia="黑体"/>
          <w:b/>
        </w:rPr>
        <w:t>2、供应商编制电子响应文件应安装“电子交易客户端”软件，并按照本采购文件和电子交易平台的要求编制并加密响应文件。未按规定加密的响应文件，将被电子交易平台拒收。“电子交易客户端”请供应商自行前往“浙江政府采购网（zfcg.czt.zj.gov.cn）— 下载专区 — 电子交易客户端”版块获取。</w:t>
      </w:r>
    </w:p>
    <w:p>
      <w:pPr>
        <w:pStyle w:val="7"/>
        <w:spacing w:before="120" w:after="120" w:line="360" w:lineRule="auto"/>
        <w:ind w:firstLine="472" w:firstLineChars="196"/>
        <w:jc w:val="left"/>
        <w:rPr>
          <w:rFonts w:hint="default" w:ascii="Times New Roman" w:hAnsi="Times New Roman" w:eastAsia="黑体"/>
          <w:b/>
        </w:rPr>
      </w:pPr>
      <w:r>
        <w:rPr>
          <w:rFonts w:hint="default" w:ascii="Times New Roman" w:hAnsi="Times New Roman" w:eastAsia="黑体"/>
          <w:b/>
        </w:rPr>
        <w:t>3、供应商应当在递交响应文件截止时间前，将“电子交易客户端”生成的“电子加密响应文件”上传电子交易平台。</w:t>
      </w:r>
    </w:p>
    <w:p>
      <w:pPr>
        <w:pStyle w:val="7"/>
        <w:spacing w:before="120" w:after="120" w:line="360" w:lineRule="auto"/>
        <w:ind w:firstLine="472" w:firstLineChars="196"/>
        <w:jc w:val="left"/>
        <w:rPr>
          <w:rFonts w:hint="default" w:ascii="Times New Roman" w:hAnsi="Times New Roman" w:eastAsia="黑体"/>
          <w:b/>
        </w:rPr>
      </w:pPr>
      <w:r>
        <w:rPr>
          <w:rFonts w:hint="default" w:ascii="Times New Roman" w:hAnsi="Times New Roman" w:eastAsia="黑体"/>
          <w:b/>
        </w:rPr>
        <w:t>4、“电子备份响应文件”是指与“电子加密响应文件”同时生成的数据电文形式的响应文件。供应商在电子交易平台上传“电子加密响应文件”后，还可以邮寄或送达的方式在递交响应文件截止时间前提交以介质（U盘）存储的“电子备份响应文件”。“电子备份响应文件”应当密封包装并在包装上标注采购项目编号、项目名称、供应商名称等并加盖公章。</w:t>
      </w:r>
    </w:p>
    <w:p>
      <w:pPr>
        <w:pStyle w:val="7"/>
        <w:spacing w:before="120" w:after="120" w:line="360" w:lineRule="auto"/>
        <w:ind w:firstLine="472" w:firstLineChars="196"/>
        <w:jc w:val="left"/>
        <w:rPr>
          <w:rFonts w:hint="default" w:ascii="Times New Roman" w:hAnsi="Times New Roman" w:eastAsia="黑体"/>
          <w:b/>
        </w:rPr>
      </w:pPr>
      <w:r>
        <w:rPr>
          <w:rFonts w:hint="default" w:ascii="Times New Roman" w:hAnsi="Times New Roman" w:eastAsia="黑体"/>
          <w:b/>
        </w:rPr>
        <w:t>5、通过“政府采购云平台”递交的“电子加密响应文件”如无法按时解密，供应商提交了“电子备份响应文件”的，则由采购组织机构按“政府采购云平台”操作规范将“电子备份响应文件”上传至“政府采购云平台”，上传成功后，以“电子备份响应文件”参与评审，“电子加密响应文件”自动失效。供应商未按规定递交“电子备份响应文件”的，视为响应文件撤回。未上传“电子加密响应文件”，仅提交“电子备份响应文件”的，响应无效。</w:t>
      </w:r>
    </w:p>
    <w:p>
      <w:pPr>
        <w:pStyle w:val="7"/>
        <w:snapToGrid w:val="0"/>
        <w:spacing w:before="120" w:after="120" w:line="360" w:lineRule="auto"/>
        <w:ind w:firstLine="482"/>
        <w:jc w:val="left"/>
        <w:outlineLvl w:val="0"/>
        <w:rPr>
          <w:rFonts w:hint="default" w:ascii="Times New Roman" w:hAnsi="Times New Roman"/>
          <w:b/>
          <w:sz w:val="36"/>
          <w:szCs w:val="36"/>
        </w:rPr>
      </w:pPr>
      <w:bookmarkStart w:id="4" w:name="_Toc20790"/>
      <w:bookmarkStart w:id="5" w:name="_Toc17724"/>
      <w:bookmarkStart w:id="6" w:name="_Toc20707"/>
      <w:bookmarkStart w:id="7" w:name="_Toc9586"/>
      <w:bookmarkStart w:id="8" w:name="_Toc8609"/>
      <w:bookmarkStart w:id="9" w:name="_Toc30331"/>
      <w:r>
        <w:rPr>
          <w:rFonts w:hint="default" w:ascii="Times New Roman" w:hAnsi="Times New Roman" w:eastAsia="黑体"/>
          <w:b/>
        </w:rPr>
        <w:t>6、供应商在参加电子交易过程中，可登录电子交易平台“帮助文档”版面获取《电子交易管理操作指南》，或致电平台95763获取相关服务支持。</w:t>
      </w:r>
      <w:bookmarkEnd w:id="4"/>
      <w:bookmarkEnd w:id="5"/>
      <w:bookmarkEnd w:id="6"/>
      <w:bookmarkEnd w:id="7"/>
      <w:bookmarkEnd w:id="8"/>
      <w:bookmarkEnd w:id="9"/>
    </w:p>
    <w:p>
      <w:pPr>
        <w:pStyle w:val="7"/>
        <w:snapToGrid w:val="0"/>
        <w:spacing w:before="120" w:after="120" w:line="360" w:lineRule="auto"/>
        <w:ind w:firstLine="723"/>
        <w:jc w:val="center"/>
        <w:rPr>
          <w:rFonts w:hint="default" w:ascii="Times New Roman" w:hAnsi="Times New Roman"/>
          <w:b/>
          <w:sz w:val="36"/>
          <w:szCs w:val="36"/>
        </w:rPr>
      </w:pPr>
    </w:p>
    <w:p>
      <w:pPr>
        <w:pStyle w:val="7"/>
        <w:snapToGrid w:val="0"/>
        <w:spacing w:before="120" w:after="120" w:line="360" w:lineRule="auto"/>
        <w:ind w:firstLine="723"/>
        <w:jc w:val="center"/>
        <w:rPr>
          <w:rFonts w:hint="default" w:ascii="Times New Roman" w:hAnsi="Times New Roman"/>
          <w:b/>
          <w:sz w:val="36"/>
          <w:szCs w:val="36"/>
        </w:rPr>
      </w:pPr>
      <w:r>
        <w:rPr>
          <w:rFonts w:hint="default" w:ascii="Times New Roman" w:hAnsi="Times New Roman"/>
          <w:b/>
          <w:sz w:val="36"/>
          <w:szCs w:val="36"/>
        </w:rPr>
        <w:br w:type="page"/>
      </w:r>
    </w:p>
    <w:p>
      <w:pPr>
        <w:pStyle w:val="7"/>
        <w:snapToGrid w:val="0"/>
        <w:spacing w:before="120" w:after="120" w:line="360" w:lineRule="auto"/>
        <w:ind w:firstLine="627"/>
        <w:jc w:val="center"/>
        <w:outlineLvl w:val="0"/>
        <w:rPr>
          <w:rStyle w:val="142"/>
          <w:rFonts w:hint="default" w:ascii="Times New Roman" w:hAnsi="Times New Roman"/>
          <w:spacing w:val="-4"/>
          <w:sz w:val="32"/>
          <w:szCs w:val="32"/>
        </w:rPr>
      </w:pPr>
      <w:bookmarkStart w:id="10" w:name="_Toc31642"/>
      <w:r>
        <w:rPr>
          <w:rStyle w:val="142"/>
          <w:rFonts w:hint="default" w:ascii="Times New Roman" w:hAnsi="Times New Roman"/>
          <w:spacing w:val="-4"/>
          <w:sz w:val="32"/>
          <w:szCs w:val="32"/>
        </w:rPr>
        <w:t>第一章招标公告</w:t>
      </w:r>
      <w:bookmarkEnd w:id="10"/>
    </w:p>
    <w:p>
      <w:pPr>
        <w:pBdr>
          <w:top w:val="single" w:color="auto" w:sz="4" w:space="1"/>
          <w:left w:val="single" w:color="auto" w:sz="4" w:space="4"/>
          <w:bottom w:val="single" w:color="auto" w:sz="4" w:space="1"/>
          <w:right w:val="single" w:color="auto" w:sz="4" w:space="4"/>
        </w:pBdr>
        <w:spacing w:line="360" w:lineRule="auto"/>
        <w:ind w:firstLine="480" w:firstLineChars="200"/>
        <w:rPr>
          <w:rFonts w:hint="default"/>
          <w:sz w:val="24"/>
        </w:rPr>
      </w:pPr>
      <w:r>
        <w:rPr>
          <w:rFonts w:hint="default"/>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default"/>
          <w:sz w:val="24"/>
        </w:rPr>
      </w:pPr>
      <w:r>
        <w:rPr>
          <w:sz w:val="24"/>
          <w:u w:val="single"/>
        </w:rPr>
        <w:t>浙江省中医院钱塘院区4号楼阶梯会议室家具采购项目</w:t>
      </w:r>
      <w:r>
        <w:rPr>
          <w:rFonts w:hint="default"/>
          <w:sz w:val="24"/>
        </w:rPr>
        <w:t>的潜在投标人在</w:t>
      </w:r>
      <w:r>
        <w:rPr>
          <w:rFonts w:hint="default"/>
          <w:sz w:val="24"/>
          <w:u w:val="single"/>
        </w:rPr>
        <w:t>https://www.zcygov.cn</w:t>
      </w:r>
      <w:r>
        <w:rPr>
          <w:rFonts w:hint="default"/>
          <w:sz w:val="24"/>
        </w:rPr>
        <w:t>获取（下载）招标文件，并于</w:t>
      </w:r>
      <w:r>
        <w:rPr>
          <w:rFonts w:hint="eastAsia"/>
          <w:sz w:val="24"/>
          <w:lang w:eastAsia="zh-CN"/>
        </w:rPr>
        <w:t>2024年04月18日09:00</w:t>
      </w:r>
      <w:r>
        <w:rPr>
          <w:rFonts w:hint="default"/>
          <w:bCs/>
          <w:sz w:val="24"/>
        </w:rPr>
        <w:t>（北京时间）前提交（上传）投标文件</w:t>
      </w:r>
      <w:r>
        <w:rPr>
          <w:rFonts w:hint="default"/>
          <w:sz w:val="24"/>
        </w:rPr>
        <w:t>。</w:t>
      </w:r>
    </w:p>
    <w:p>
      <w:pPr>
        <w:pStyle w:val="16"/>
        <w:spacing w:line="360" w:lineRule="auto"/>
        <w:ind w:firstLine="480"/>
        <w:rPr>
          <w:rFonts w:hint="default" w:ascii="Times New Roman" w:hAnsi="Times New Roman"/>
          <w:spacing w:val="0"/>
          <w:sz w:val="24"/>
          <w:szCs w:val="22"/>
        </w:rPr>
      </w:pPr>
      <w:bookmarkStart w:id="11" w:name="_Toc35393621"/>
      <w:bookmarkStart w:id="12" w:name="_Toc28359002"/>
      <w:bookmarkStart w:id="13" w:name="_Toc35393790"/>
      <w:bookmarkStart w:id="14" w:name="_Toc28359079"/>
      <w:r>
        <w:rPr>
          <w:rFonts w:hint="default" w:ascii="Times New Roman" w:hAnsi="Times New Roman"/>
          <w:spacing w:val="0"/>
          <w:sz w:val="24"/>
          <w:szCs w:val="22"/>
        </w:rPr>
        <w:t>一、项目基本情况</w:t>
      </w:r>
      <w:bookmarkEnd w:id="11"/>
      <w:bookmarkEnd w:id="12"/>
      <w:bookmarkEnd w:id="13"/>
      <w:bookmarkEnd w:id="14"/>
    </w:p>
    <w:p>
      <w:pPr>
        <w:pStyle w:val="36"/>
        <w:spacing w:before="0" w:beforeAutospacing="0" w:after="0" w:afterAutospacing="0" w:line="360" w:lineRule="auto"/>
        <w:ind w:firstLine="480" w:firstLineChars="200"/>
        <w:rPr>
          <w:rFonts w:hint="default" w:ascii="Times New Roman" w:hAnsi="Times New Roman"/>
          <w:color w:val="auto"/>
          <w:kern w:val="2"/>
          <w:szCs w:val="22"/>
        </w:rPr>
      </w:pPr>
      <w:r>
        <w:rPr>
          <w:rFonts w:hint="default" w:ascii="Times New Roman" w:hAnsi="Times New Roman"/>
          <w:color w:val="auto"/>
          <w:kern w:val="2"/>
          <w:szCs w:val="22"/>
        </w:rPr>
        <w:t>项目编号：</w:t>
      </w:r>
      <w:r>
        <w:rPr>
          <w:rFonts w:ascii="Times New Roman" w:hAnsi="Times New Roman"/>
          <w:color w:val="auto"/>
          <w:kern w:val="2"/>
          <w:szCs w:val="22"/>
        </w:rPr>
        <w:t>HSZB-2024-135</w:t>
      </w:r>
    </w:p>
    <w:p>
      <w:pPr>
        <w:pStyle w:val="36"/>
        <w:spacing w:before="0" w:beforeAutospacing="0" w:after="0" w:afterAutospacing="0" w:line="360" w:lineRule="auto"/>
        <w:ind w:firstLine="480" w:firstLineChars="200"/>
        <w:rPr>
          <w:rFonts w:hint="default" w:ascii="Times New Roman" w:hAnsi="Times New Roman"/>
          <w:color w:val="auto"/>
          <w:kern w:val="2"/>
          <w:szCs w:val="22"/>
        </w:rPr>
      </w:pPr>
      <w:r>
        <w:rPr>
          <w:rFonts w:hint="default" w:ascii="Times New Roman" w:hAnsi="Times New Roman"/>
          <w:color w:val="auto"/>
          <w:kern w:val="2"/>
          <w:szCs w:val="22"/>
        </w:rPr>
        <w:t>项目名称：</w:t>
      </w:r>
      <w:r>
        <w:rPr>
          <w:rFonts w:ascii="Times New Roman" w:hAnsi="Times New Roman"/>
          <w:color w:val="auto"/>
          <w:kern w:val="2"/>
          <w:szCs w:val="22"/>
        </w:rPr>
        <w:t>浙江省中医院钱塘院区4号楼阶梯会议室家具采购项目</w:t>
      </w:r>
    </w:p>
    <w:p>
      <w:pPr>
        <w:pStyle w:val="36"/>
        <w:spacing w:before="0" w:beforeAutospacing="0" w:after="0" w:afterAutospacing="0" w:line="360" w:lineRule="auto"/>
        <w:ind w:firstLine="480" w:firstLineChars="200"/>
        <w:rPr>
          <w:rFonts w:hint="default" w:ascii="Times New Roman" w:hAnsi="Times New Roman"/>
          <w:color w:val="auto"/>
          <w:kern w:val="2"/>
          <w:szCs w:val="22"/>
        </w:rPr>
      </w:pPr>
      <w:r>
        <w:rPr>
          <w:rFonts w:hint="default" w:ascii="Times New Roman" w:hAnsi="Times New Roman"/>
          <w:color w:val="auto"/>
          <w:kern w:val="2"/>
          <w:szCs w:val="22"/>
        </w:rPr>
        <w:t>预算金额（元）：</w:t>
      </w:r>
      <w:r>
        <w:rPr>
          <w:rFonts w:ascii="Times New Roman" w:hAnsi="Times New Roman"/>
          <w:color w:val="auto"/>
          <w:kern w:val="2"/>
          <w:szCs w:val="22"/>
        </w:rPr>
        <w:t>990000</w:t>
      </w:r>
    </w:p>
    <w:p>
      <w:pPr>
        <w:pStyle w:val="36"/>
        <w:spacing w:before="0" w:beforeAutospacing="0" w:after="0" w:afterAutospacing="0" w:line="360" w:lineRule="auto"/>
        <w:ind w:firstLine="480" w:firstLineChars="200"/>
        <w:rPr>
          <w:rFonts w:hint="default" w:ascii="Times New Roman" w:hAnsi="Times New Roman"/>
          <w:color w:val="auto"/>
          <w:kern w:val="2"/>
          <w:szCs w:val="22"/>
        </w:rPr>
      </w:pPr>
      <w:r>
        <w:rPr>
          <w:rFonts w:hint="default" w:ascii="Times New Roman" w:hAnsi="Times New Roman"/>
          <w:color w:val="auto"/>
          <w:kern w:val="2"/>
          <w:szCs w:val="22"/>
        </w:rPr>
        <w:t>最高限价（元）：</w:t>
      </w:r>
      <w:r>
        <w:rPr>
          <w:rFonts w:ascii="Times New Roman" w:hAnsi="Times New Roman"/>
          <w:color w:val="auto"/>
          <w:kern w:val="2"/>
          <w:szCs w:val="22"/>
        </w:rPr>
        <w:t>990000</w:t>
      </w:r>
    </w:p>
    <w:p>
      <w:pPr>
        <w:pStyle w:val="36"/>
        <w:spacing w:before="0" w:beforeAutospacing="0" w:after="0" w:afterAutospacing="0" w:line="360" w:lineRule="auto"/>
        <w:ind w:firstLine="480" w:firstLineChars="200"/>
        <w:rPr>
          <w:rFonts w:hint="default" w:ascii="Times New Roman" w:hAnsi="Times New Roman"/>
          <w:color w:val="auto"/>
          <w:kern w:val="2"/>
          <w:szCs w:val="22"/>
        </w:rPr>
      </w:pPr>
      <w:r>
        <w:rPr>
          <w:rFonts w:hint="default" w:ascii="Times New Roman" w:hAnsi="Times New Roman"/>
          <w:color w:val="auto"/>
          <w:kern w:val="2"/>
          <w:szCs w:val="22"/>
        </w:rPr>
        <w:t>采购需求：</w:t>
      </w:r>
    </w:p>
    <w:p>
      <w:pPr>
        <w:pStyle w:val="36"/>
        <w:spacing w:before="0" w:beforeAutospacing="0" w:after="0" w:afterAutospacing="0" w:line="360" w:lineRule="auto"/>
        <w:ind w:firstLine="480" w:firstLineChars="200"/>
        <w:rPr>
          <w:rFonts w:hint="default" w:ascii="Times New Roman" w:hAnsi="Times New Roman"/>
          <w:color w:val="auto"/>
          <w:kern w:val="2"/>
          <w:szCs w:val="22"/>
        </w:rPr>
      </w:pPr>
      <w:r>
        <w:rPr>
          <w:rFonts w:hint="default" w:ascii="Times New Roman" w:hAnsi="Times New Roman"/>
          <w:color w:val="auto"/>
          <w:kern w:val="2"/>
          <w:szCs w:val="22"/>
        </w:rPr>
        <w:t>标项名称：</w:t>
      </w:r>
      <w:r>
        <w:rPr>
          <w:rFonts w:ascii="Times New Roman" w:hAnsi="Times New Roman"/>
          <w:color w:val="auto"/>
          <w:kern w:val="2"/>
          <w:szCs w:val="22"/>
        </w:rPr>
        <w:t>浙江省中医院钱塘院区4号楼阶梯会议室家具采购项目</w:t>
      </w:r>
    </w:p>
    <w:p>
      <w:pPr>
        <w:pStyle w:val="36"/>
        <w:spacing w:before="0" w:beforeAutospacing="0" w:after="0" w:afterAutospacing="0" w:line="360" w:lineRule="auto"/>
        <w:ind w:firstLine="480" w:firstLineChars="200"/>
        <w:rPr>
          <w:rFonts w:hint="default" w:ascii="Times New Roman" w:hAnsi="Times New Roman"/>
          <w:color w:val="auto"/>
          <w:kern w:val="2"/>
          <w:szCs w:val="22"/>
        </w:rPr>
      </w:pPr>
      <w:r>
        <w:rPr>
          <w:rFonts w:hint="default" w:ascii="Times New Roman" w:hAnsi="Times New Roman"/>
          <w:color w:val="auto"/>
          <w:kern w:val="2"/>
          <w:szCs w:val="22"/>
        </w:rPr>
        <w:t>数量：1</w:t>
      </w:r>
    </w:p>
    <w:p>
      <w:pPr>
        <w:pStyle w:val="36"/>
        <w:spacing w:before="0" w:beforeAutospacing="0" w:after="0" w:afterAutospacing="0" w:line="360" w:lineRule="auto"/>
        <w:ind w:firstLine="480" w:firstLineChars="200"/>
        <w:rPr>
          <w:rFonts w:hint="default" w:ascii="Times New Roman" w:hAnsi="Times New Roman"/>
          <w:color w:val="auto"/>
          <w:kern w:val="2"/>
          <w:szCs w:val="22"/>
        </w:rPr>
      </w:pPr>
      <w:r>
        <w:rPr>
          <w:rFonts w:hint="default" w:ascii="Times New Roman" w:hAnsi="Times New Roman"/>
          <w:color w:val="auto"/>
          <w:kern w:val="2"/>
          <w:szCs w:val="22"/>
        </w:rPr>
        <w:t>预算金额（元）：</w:t>
      </w:r>
      <w:r>
        <w:rPr>
          <w:rFonts w:ascii="Times New Roman" w:hAnsi="Times New Roman"/>
          <w:color w:val="auto"/>
          <w:kern w:val="2"/>
          <w:szCs w:val="22"/>
        </w:rPr>
        <w:t>990000</w:t>
      </w:r>
    </w:p>
    <w:p>
      <w:pPr>
        <w:pStyle w:val="36"/>
        <w:spacing w:before="0" w:beforeAutospacing="0" w:after="0" w:afterAutospacing="0" w:line="360" w:lineRule="auto"/>
        <w:ind w:firstLine="480" w:firstLineChars="200"/>
        <w:rPr>
          <w:rFonts w:hint="default" w:ascii="Times New Roman" w:hAnsi="Times New Roman"/>
          <w:color w:val="auto"/>
          <w:kern w:val="2"/>
          <w:szCs w:val="22"/>
        </w:rPr>
      </w:pPr>
      <w:r>
        <w:rPr>
          <w:rFonts w:hint="default" w:ascii="Times New Roman" w:hAnsi="Times New Roman"/>
          <w:color w:val="auto"/>
          <w:kern w:val="2"/>
          <w:szCs w:val="22"/>
        </w:rPr>
        <w:t>简要规格描述或项目基本概况介绍、用途：</w:t>
      </w:r>
      <w:r>
        <w:rPr>
          <w:rFonts w:ascii="Times New Roman" w:hAnsi="Times New Roman"/>
          <w:color w:val="auto"/>
          <w:kern w:val="2"/>
          <w:szCs w:val="22"/>
        </w:rPr>
        <w:t>浙江省中医院钱塘院区4号楼阶梯会议室家具采购项目。</w:t>
      </w:r>
      <w:r>
        <w:rPr>
          <w:rFonts w:hint="default" w:ascii="Times New Roman" w:hAnsi="Times New Roman"/>
          <w:color w:val="auto"/>
          <w:kern w:val="2"/>
          <w:szCs w:val="22"/>
        </w:rPr>
        <w:t>详见第四章采购内容及需求。</w:t>
      </w:r>
    </w:p>
    <w:p>
      <w:pPr>
        <w:pStyle w:val="36"/>
        <w:spacing w:before="0" w:beforeAutospacing="0" w:after="0" w:afterAutospacing="0" w:line="360" w:lineRule="auto"/>
        <w:ind w:firstLine="480" w:firstLineChars="200"/>
        <w:rPr>
          <w:rFonts w:hint="default" w:cs="宋体"/>
          <w:color w:val="auto"/>
          <w:szCs w:val="21"/>
        </w:rPr>
      </w:pPr>
      <w:r>
        <w:rPr>
          <w:rFonts w:hint="default" w:ascii="Times New Roman" w:hAnsi="Times New Roman"/>
          <w:color w:val="auto"/>
          <w:kern w:val="2"/>
          <w:szCs w:val="22"/>
        </w:rPr>
        <w:t>备注：</w:t>
      </w:r>
      <w:r>
        <w:rPr>
          <w:rFonts w:cs="宋体"/>
          <w:color w:val="auto"/>
          <w:szCs w:val="21"/>
        </w:rPr>
        <w:t>/</w:t>
      </w:r>
    </w:p>
    <w:p>
      <w:pPr>
        <w:pStyle w:val="36"/>
        <w:spacing w:before="0" w:beforeAutospacing="0" w:after="0" w:afterAutospacing="0" w:line="360" w:lineRule="auto"/>
        <w:ind w:firstLine="480" w:firstLineChars="200"/>
        <w:rPr>
          <w:rFonts w:hint="default" w:ascii="Times New Roman" w:hAnsi="Times New Roman"/>
          <w:color w:val="auto"/>
          <w:kern w:val="2"/>
          <w:szCs w:val="22"/>
        </w:rPr>
      </w:pPr>
      <w:r>
        <w:rPr>
          <w:rFonts w:hint="default" w:ascii="Times New Roman" w:hAnsi="Times New Roman"/>
          <w:color w:val="auto"/>
          <w:kern w:val="2"/>
          <w:szCs w:val="22"/>
        </w:rPr>
        <w:t>合同履约期限：</w:t>
      </w:r>
      <w:r>
        <w:rPr>
          <w:rFonts w:ascii="Times New Roman" w:hAnsi="Times New Roman"/>
          <w:color w:val="auto"/>
          <w:kern w:val="2"/>
          <w:szCs w:val="22"/>
        </w:rPr>
        <w:t>按</w:t>
      </w:r>
      <w:r>
        <w:rPr>
          <w:rFonts w:hint="default" w:ascii="Times New Roman" w:hAnsi="Times New Roman"/>
          <w:color w:val="auto"/>
          <w:kern w:val="2"/>
          <w:szCs w:val="22"/>
        </w:rPr>
        <w:t>采购人要求按需供货，接到采购人供货通知后40天内将货物送到采购人指定地点</w:t>
      </w:r>
      <w:r>
        <w:rPr>
          <w:rFonts w:ascii="Times New Roman" w:hAnsi="Times New Roman"/>
          <w:color w:val="auto"/>
          <w:kern w:val="2"/>
          <w:szCs w:val="22"/>
        </w:rPr>
        <w:t>并安装完成。</w:t>
      </w:r>
    </w:p>
    <w:p>
      <w:pPr>
        <w:pStyle w:val="36"/>
        <w:spacing w:before="0" w:beforeAutospacing="0" w:after="0" w:afterAutospacing="0" w:line="360" w:lineRule="auto"/>
        <w:ind w:firstLine="480" w:firstLineChars="200"/>
        <w:rPr>
          <w:rFonts w:hint="default" w:ascii="Times New Roman" w:hAnsi="Times New Roman"/>
          <w:color w:val="auto"/>
          <w:kern w:val="2"/>
          <w:szCs w:val="22"/>
        </w:rPr>
      </w:pPr>
      <w:r>
        <w:rPr>
          <w:rFonts w:hint="default" w:ascii="Times New Roman" w:hAnsi="Times New Roman"/>
          <w:color w:val="auto"/>
          <w:kern w:val="2"/>
          <w:szCs w:val="22"/>
        </w:rPr>
        <w:t>本项目（</w:t>
      </w:r>
      <w:r>
        <w:rPr>
          <w:rFonts w:ascii="Times New Roman" w:hAnsi="Times New Roman"/>
          <w:color w:val="auto"/>
          <w:kern w:val="2"/>
          <w:szCs w:val="22"/>
        </w:rPr>
        <w:t>是</w:t>
      </w:r>
      <w:r>
        <w:rPr>
          <w:rFonts w:hint="default" w:ascii="Times New Roman" w:hAnsi="Times New Roman"/>
          <w:color w:val="auto"/>
          <w:kern w:val="2"/>
          <w:szCs w:val="22"/>
        </w:rPr>
        <w:t>）接受联合体投标。</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二、申请人的资格要求：</w:t>
      </w:r>
    </w:p>
    <w:p>
      <w:pPr>
        <w:spacing w:line="360" w:lineRule="auto"/>
        <w:ind w:firstLine="480" w:firstLineChars="200"/>
        <w:rPr>
          <w:rFonts w:hint="default"/>
          <w:sz w:val="24"/>
        </w:rPr>
      </w:pPr>
      <w:r>
        <w:rPr>
          <w:rFonts w:hint="default"/>
          <w:sz w:val="24"/>
        </w:rPr>
        <w:t>1.满足《中华人民共和国政府采购法》第二十二条规定；未被“信用中国”（www.creditchina.gov.cn)、中国政府采购网（www.ccgp.gov.cn）列入失信被执行人、</w:t>
      </w:r>
      <w:r>
        <w:rPr>
          <w:sz w:val="24"/>
        </w:rPr>
        <w:t>重大税收违法失信主体</w:t>
      </w:r>
      <w:r>
        <w:rPr>
          <w:rFonts w:hint="default"/>
          <w:sz w:val="24"/>
        </w:rPr>
        <w:t>、政府采购严重违法失信行为记录名单。</w:t>
      </w:r>
    </w:p>
    <w:p>
      <w:pPr>
        <w:spacing w:line="360" w:lineRule="auto"/>
        <w:ind w:firstLine="480" w:firstLineChars="200"/>
        <w:rPr>
          <w:rFonts w:hint="default"/>
          <w:sz w:val="24"/>
        </w:rPr>
      </w:pPr>
      <w:r>
        <w:rPr>
          <w:rFonts w:hint="default"/>
          <w:sz w:val="24"/>
        </w:rPr>
        <w:t>2.落实政府采购政策需满足的资格要求：</w:t>
      </w:r>
      <w:r>
        <w:rPr>
          <w:sz w:val="24"/>
        </w:rPr>
        <w:t>无</w:t>
      </w:r>
      <w:r>
        <w:rPr>
          <w:rFonts w:ascii="宋体" w:hAnsi="宋体" w:cs="宋体"/>
          <w:sz w:val="24"/>
        </w:rPr>
        <w:t>。</w:t>
      </w:r>
    </w:p>
    <w:p>
      <w:pPr>
        <w:spacing w:line="360" w:lineRule="auto"/>
        <w:ind w:firstLine="480" w:firstLineChars="200"/>
        <w:rPr>
          <w:rFonts w:hint="default"/>
          <w:i/>
          <w:iCs/>
          <w:sz w:val="24"/>
          <w:szCs w:val="24"/>
          <w:u w:val="single"/>
        </w:rPr>
      </w:pPr>
      <w:r>
        <w:rPr>
          <w:rFonts w:hint="default"/>
          <w:sz w:val="24"/>
        </w:rPr>
        <w:t>3.本项目的特定资格要求：</w:t>
      </w:r>
      <w:r>
        <w:rPr>
          <w:rFonts w:ascii="宋体" w:hAnsi="宋体" w:cs="宋体"/>
          <w:sz w:val="24"/>
        </w:rPr>
        <w:t>无</w:t>
      </w:r>
      <w:r>
        <w:rPr>
          <w:rFonts w:hint="default"/>
          <w:b/>
          <w:sz w:val="24"/>
          <w:szCs w:val="24"/>
        </w:rPr>
        <w:t>。</w:t>
      </w:r>
    </w:p>
    <w:p>
      <w:pPr>
        <w:pStyle w:val="4"/>
        <w:spacing w:before="0" w:after="0" w:line="360" w:lineRule="auto"/>
        <w:ind w:firstLine="480"/>
        <w:rPr>
          <w:rFonts w:hint="default" w:ascii="Times New Roman" w:hAnsi="Times New Roman" w:eastAsia="宋体"/>
          <w:b w:val="0"/>
          <w:sz w:val="24"/>
          <w:szCs w:val="24"/>
        </w:rPr>
      </w:pPr>
      <w:bookmarkStart w:id="15" w:name="_Toc35393623"/>
      <w:bookmarkStart w:id="16" w:name="_Toc35393792"/>
      <w:r>
        <w:rPr>
          <w:rFonts w:hint="default" w:ascii="Times New Roman" w:hAnsi="Times New Roman" w:eastAsia="宋体"/>
          <w:b w:val="0"/>
          <w:sz w:val="24"/>
          <w:szCs w:val="24"/>
        </w:rPr>
        <w:t>三、获取（下载）招标文件</w:t>
      </w:r>
      <w:bookmarkEnd w:id="15"/>
      <w:bookmarkEnd w:id="16"/>
    </w:p>
    <w:p>
      <w:pPr>
        <w:spacing w:line="360" w:lineRule="auto"/>
        <w:ind w:firstLine="480"/>
        <w:rPr>
          <w:rFonts w:hint="default"/>
          <w:sz w:val="24"/>
        </w:rPr>
      </w:pPr>
      <w:r>
        <w:rPr>
          <w:rFonts w:hint="default"/>
          <w:sz w:val="24"/>
        </w:rPr>
        <w:t>1.时间：/至</w:t>
      </w:r>
      <w:r>
        <w:rPr>
          <w:sz w:val="24"/>
        </w:rPr>
        <w:t>2024年</w:t>
      </w:r>
      <w:r>
        <w:rPr>
          <w:rFonts w:hint="eastAsia"/>
          <w:sz w:val="24"/>
          <w:lang w:val="en-US" w:eastAsia="zh-CN"/>
        </w:rPr>
        <w:t>04</w:t>
      </w:r>
      <w:r>
        <w:rPr>
          <w:sz w:val="24"/>
        </w:rPr>
        <w:t>月</w:t>
      </w:r>
      <w:r>
        <w:rPr>
          <w:rFonts w:hint="eastAsia"/>
          <w:sz w:val="24"/>
          <w:lang w:val="en-US" w:eastAsia="zh-CN"/>
        </w:rPr>
        <w:t>18</w:t>
      </w:r>
      <w:r>
        <w:rPr>
          <w:sz w:val="24"/>
        </w:rPr>
        <w:t>日</w:t>
      </w:r>
      <w:r>
        <w:rPr>
          <w:rFonts w:hint="default"/>
          <w:sz w:val="24"/>
        </w:rPr>
        <w:t>，每天上午00:00至12:00，下午12:00至23:59（北京时间，线上获取法定节假日均可，线下获取文件法定节假日除外）。</w:t>
      </w:r>
    </w:p>
    <w:p>
      <w:pPr>
        <w:spacing w:line="360" w:lineRule="auto"/>
        <w:ind w:firstLine="480"/>
        <w:rPr>
          <w:rFonts w:hint="default"/>
          <w:sz w:val="24"/>
        </w:rPr>
      </w:pPr>
      <w:r>
        <w:rPr>
          <w:rFonts w:hint="default"/>
          <w:sz w:val="24"/>
        </w:rPr>
        <w:t>2.地点（网址）：https://www.zcygov.cn</w:t>
      </w:r>
    </w:p>
    <w:p>
      <w:pPr>
        <w:spacing w:line="360" w:lineRule="auto"/>
        <w:ind w:firstLine="480"/>
        <w:rPr>
          <w:rFonts w:hint="default"/>
          <w:sz w:val="24"/>
        </w:rPr>
      </w:pPr>
      <w:r>
        <w:rPr>
          <w:rFonts w:hint="default"/>
          <w:sz w:val="24"/>
        </w:rPr>
        <w:t>3.方式：（1）线上获取（登录政府采购云平台 → 项目采购 → 获取采购文件 → 申请，审核通过后可下载招标文件）。本次招标不提供纸质版招标文件。（2）供应商获取招标文件前应通过浙江政府采购网“浙江政府采购供应商信息登记管理系统”进行信息登记，获得线上政府采购活动操作权限。（3）招标公告所附招标文件仅供阅览使用，供应商只有在“政府采购云平台”完成招标文件申请并下载了招标文件后才被视为合法获取了招标文件，否则其投标将被拒绝。</w:t>
      </w:r>
    </w:p>
    <w:p>
      <w:pPr>
        <w:spacing w:line="360" w:lineRule="auto"/>
        <w:ind w:firstLine="480"/>
        <w:rPr>
          <w:rFonts w:hint="default"/>
          <w:sz w:val="24"/>
        </w:rPr>
      </w:pPr>
      <w:r>
        <w:rPr>
          <w:rFonts w:hint="default"/>
          <w:sz w:val="24"/>
        </w:rPr>
        <w:t>4.售价（元）：0</w:t>
      </w:r>
    </w:p>
    <w:p>
      <w:pPr>
        <w:pStyle w:val="4"/>
        <w:spacing w:before="0" w:after="0" w:line="360" w:lineRule="auto"/>
        <w:ind w:firstLine="480"/>
        <w:rPr>
          <w:rFonts w:hint="default" w:ascii="Times New Roman" w:hAnsi="Times New Roman" w:eastAsia="宋体"/>
          <w:b w:val="0"/>
          <w:sz w:val="24"/>
          <w:szCs w:val="24"/>
        </w:rPr>
      </w:pPr>
      <w:bookmarkStart w:id="17" w:name="_Toc28359082"/>
      <w:bookmarkStart w:id="18" w:name="_Toc28359005"/>
      <w:bookmarkStart w:id="19" w:name="_Toc35393793"/>
      <w:bookmarkStart w:id="20" w:name="_Toc35393624"/>
      <w:r>
        <w:rPr>
          <w:rFonts w:hint="default" w:ascii="Times New Roman" w:hAnsi="Times New Roman" w:eastAsia="宋体"/>
          <w:b w:val="0"/>
          <w:sz w:val="24"/>
          <w:szCs w:val="24"/>
        </w:rPr>
        <w:t>四、提交投标文件</w:t>
      </w:r>
      <w:bookmarkEnd w:id="17"/>
      <w:bookmarkEnd w:id="18"/>
      <w:r>
        <w:rPr>
          <w:rFonts w:hint="default" w:ascii="Times New Roman" w:hAnsi="Times New Roman" w:eastAsia="宋体"/>
          <w:b w:val="0"/>
          <w:sz w:val="24"/>
          <w:szCs w:val="24"/>
        </w:rPr>
        <w:t>截止时间、开标时间和地点</w:t>
      </w:r>
      <w:bookmarkEnd w:id="19"/>
      <w:bookmarkEnd w:id="20"/>
    </w:p>
    <w:p>
      <w:pPr>
        <w:spacing w:line="360" w:lineRule="auto"/>
        <w:ind w:firstLine="480" w:firstLineChars="200"/>
        <w:rPr>
          <w:rFonts w:hint="default"/>
          <w:bCs/>
          <w:sz w:val="24"/>
        </w:rPr>
      </w:pPr>
      <w:r>
        <w:rPr>
          <w:rFonts w:hint="default"/>
          <w:bCs/>
          <w:sz w:val="24"/>
        </w:rPr>
        <w:t>1.提交投标文件截止时间：</w:t>
      </w:r>
      <w:r>
        <w:rPr>
          <w:rFonts w:hint="eastAsia"/>
          <w:sz w:val="24"/>
          <w:lang w:eastAsia="zh-CN"/>
        </w:rPr>
        <w:t>2024年04月18日09:00</w:t>
      </w:r>
      <w:r>
        <w:rPr>
          <w:rFonts w:hint="default"/>
          <w:sz w:val="24"/>
        </w:rPr>
        <w:t>（北京时间）</w:t>
      </w:r>
    </w:p>
    <w:p>
      <w:pPr>
        <w:spacing w:line="360" w:lineRule="auto"/>
        <w:ind w:firstLine="480" w:firstLineChars="200"/>
        <w:rPr>
          <w:rFonts w:hint="default"/>
          <w:bCs/>
          <w:sz w:val="24"/>
        </w:rPr>
      </w:pPr>
      <w:r>
        <w:rPr>
          <w:rFonts w:hint="default"/>
          <w:bCs/>
          <w:sz w:val="24"/>
        </w:rPr>
        <w:t>2.投标地点（网址）：（1）“电子加密投标文件”：https://www.zcygov.cn在线投标；（2）“电子备份投标文件”：杭州市拱墅区大关路179号远洋国际中心A座17楼1706室。</w:t>
      </w:r>
    </w:p>
    <w:p>
      <w:pPr>
        <w:spacing w:line="360" w:lineRule="auto"/>
        <w:ind w:firstLine="480" w:firstLineChars="200"/>
        <w:rPr>
          <w:rFonts w:hint="default"/>
          <w:bCs/>
          <w:sz w:val="24"/>
        </w:rPr>
      </w:pPr>
      <w:r>
        <w:rPr>
          <w:rFonts w:hint="default"/>
          <w:bCs/>
          <w:sz w:val="24"/>
        </w:rPr>
        <w:t>3.开标时间：</w:t>
      </w:r>
      <w:r>
        <w:rPr>
          <w:rFonts w:hint="eastAsia"/>
          <w:sz w:val="24"/>
          <w:lang w:eastAsia="zh-CN"/>
        </w:rPr>
        <w:t>2024年04月18日09:00</w:t>
      </w:r>
      <w:r>
        <w:rPr>
          <w:rFonts w:hint="default"/>
          <w:sz w:val="24"/>
        </w:rPr>
        <w:t>（北京时间）</w:t>
      </w:r>
    </w:p>
    <w:p>
      <w:pPr>
        <w:spacing w:line="360" w:lineRule="auto"/>
        <w:ind w:firstLine="480" w:firstLineChars="200"/>
        <w:rPr>
          <w:rFonts w:hint="default"/>
          <w:bCs/>
          <w:sz w:val="24"/>
        </w:rPr>
      </w:pPr>
      <w:r>
        <w:rPr>
          <w:rFonts w:hint="default"/>
          <w:bCs/>
          <w:sz w:val="24"/>
        </w:rPr>
        <w:t>4.开标地点（网址）：https://www.zcygov.cn</w:t>
      </w:r>
    </w:p>
    <w:p>
      <w:pPr>
        <w:pStyle w:val="4"/>
        <w:spacing w:before="0" w:after="0" w:line="360" w:lineRule="auto"/>
        <w:ind w:firstLine="480"/>
        <w:rPr>
          <w:rFonts w:hint="default" w:ascii="Times New Roman" w:hAnsi="Times New Roman" w:eastAsia="宋体"/>
          <w:b w:val="0"/>
          <w:sz w:val="24"/>
          <w:szCs w:val="24"/>
        </w:rPr>
      </w:pPr>
      <w:bookmarkStart w:id="21" w:name="_Toc35393625"/>
      <w:bookmarkStart w:id="22" w:name="_Toc28359084"/>
      <w:bookmarkStart w:id="23" w:name="_Toc35393794"/>
      <w:bookmarkStart w:id="24" w:name="_Toc28359007"/>
      <w:r>
        <w:rPr>
          <w:rFonts w:hint="default" w:ascii="Times New Roman" w:hAnsi="Times New Roman" w:eastAsia="宋体"/>
          <w:b w:val="0"/>
          <w:sz w:val="24"/>
          <w:szCs w:val="24"/>
        </w:rPr>
        <w:t>五、公告期限</w:t>
      </w:r>
      <w:bookmarkEnd w:id="21"/>
      <w:bookmarkEnd w:id="22"/>
      <w:bookmarkEnd w:id="23"/>
      <w:bookmarkEnd w:id="24"/>
    </w:p>
    <w:p>
      <w:pPr>
        <w:spacing w:line="360" w:lineRule="auto"/>
        <w:ind w:firstLine="480" w:firstLineChars="200"/>
        <w:rPr>
          <w:rFonts w:hint="default"/>
          <w:kern w:val="0"/>
          <w:sz w:val="24"/>
        </w:rPr>
      </w:pPr>
      <w:r>
        <w:rPr>
          <w:rFonts w:hint="default"/>
          <w:kern w:val="0"/>
          <w:sz w:val="24"/>
        </w:rPr>
        <w:t>自本公告发布之日起5个工作日。</w:t>
      </w:r>
    </w:p>
    <w:p>
      <w:pPr>
        <w:pStyle w:val="4"/>
        <w:spacing w:before="0" w:after="0" w:line="360" w:lineRule="auto"/>
        <w:ind w:firstLine="480"/>
        <w:rPr>
          <w:rFonts w:hint="default" w:ascii="Times New Roman" w:hAnsi="Times New Roman" w:eastAsia="宋体"/>
          <w:b w:val="0"/>
          <w:sz w:val="24"/>
          <w:szCs w:val="24"/>
        </w:rPr>
      </w:pPr>
      <w:bookmarkStart w:id="25" w:name="_Toc35393795"/>
      <w:bookmarkStart w:id="26" w:name="_Toc35393626"/>
      <w:r>
        <w:rPr>
          <w:rFonts w:hint="default" w:ascii="Times New Roman" w:hAnsi="Times New Roman" w:eastAsia="宋体"/>
          <w:b w:val="0"/>
          <w:sz w:val="24"/>
          <w:szCs w:val="24"/>
        </w:rPr>
        <w:t>六、其他补充事宜</w:t>
      </w:r>
      <w:bookmarkEnd w:id="25"/>
      <w:bookmarkEnd w:id="26"/>
    </w:p>
    <w:p>
      <w:pPr>
        <w:spacing w:line="360" w:lineRule="auto"/>
        <w:ind w:firstLine="480" w:firstLineChars="200"/>
        <w:rPr>
          <w:rFonts w:hint="default"/>
          <w:kern w:val="0"/>
          <w:sz w:val="24"/>
        </w:rPr>
      </w:pPr>
      <w:r>
        <w:rPr>
          <w:rFonts w:hint="default"/>
          <w:kern w:val="0"/>
          <w:sz w:val="24"/>
        </w:rPr>
        <w:t> </w:t>
      </w:r>
      <w:r>
        <w:rPr>
          <w:kern w:val="0"/>
          <w:sz w:val="24"/>
        </w:rPr>
        <w:t>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kern w:val="0"/>
          <w:sz w:val="24"/>
        </w:rPr>
        <w:t>。</w:t>
      </w:r>
    </w:p>
    <w:p>
      <w:pPr>
        <w:spacing w:line="360" w:lineRule="auto"/>
        <w:ind w:firstLine="480" w:firstLineChars="200"/>
        <w:rPr>
          <w:rFonts w:hint="default"/>
          <w:kern w:val="0"/>
          <w:sz w:val="24"/>
        </w:rPr>
      </w:pPr>
      <w:r>
        <w:rPr>
          <w:kern w:val="0"/>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hint="default"/>
          <w:kern w:val="0"/>
          <w:sz w:val="24"/>
        </w:rPr>
      </w:pPr>
      <w:r>
        <w:rPr>
          <w:kern w:val="0"/>
          <w:sz w:val="24"/>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kern w:val="0"/>
          <w:sz w:val="24"/>
        </w:rPr>
        <w:br w:type="textWrapping"/>
      </w:r>
      <w:r>
        <w:rPr>
          <w:kern w:val="0"/>
          <w:sz w:val="24"/>
        </w:rPr>
        <w:t>    4.其他事项：（1）依据《政府采购质疑和投诉办法》第十条第二款规定，本项目要求投标人在法定质疑期内一次性提出针对同一采购程序环节的质疑。投标人在法定质疑期内多次提出针对同一采购程序环节的质疑的，采购人或采购代理机构只受理该投标人的第一次有效质疑。（2）单位负责人为同一人或者存在直接控股、管理关系的不同供应商，不得同时参加同一合同项下的投标。（3）为项目提供整体设计、规范编制或者项目管理、监理、检测等服务的供应商，不得再参加该采购项目的其他采购活动。（4）本项目不收取投标保证金。（5）招标文件公告期限与招标公告的公告期限一致。</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七、对本次招标提出询问、质疑、投诉，请按以下方式联系。</w:t>
      </w:r>
    </w:p>
    <w:p>
      <w:pPr>
        <w:pStyle w:val="16"/>
        <w:spacing w:line="360" w:lineRule="auto"/>
        <w:ind w:firstLine="464" w:firstLineChars="200"/>
        <w:rPr>
          <w:rFonts w:hint="default" w:ascii="Times New Roman" w:hAnsi="Times New Roman"/>
          <w:sz w:val="24"/>
        </w:rPr>
      </w:pPr>
      <w:r>
        <w:rPr>
          <w:rFonts w:hint="default" w:ascii="Times New Roman" w:hAnsi="Times New Roman"/>
          <w:sz w:val="24"/>
        </w:rPr>
        <w:t>1.采购人信息</w:t>
      </w:r>
    </w:p>
    <w:p>
      <w:pPr>
        <w:pStyle w:val="16"/>
        <w:spacing w:line="360" w:lineRule="auto"/>
        <w:ind w:firstLine="464" w:firstLineChars="200"/>
        <w:rPr>
          <w:rFonts w:hint="default" w:ascii="Times New Roman" w:hAnsi="Times New Roman"/>
          <w:sz w:val="24"/>
        </w:rPr>
      </w:pPr>
      <w:r>
        <w:rPr>
          <w:rFonts w:hint="default" w:ascii="Times New Roman" w:hAnsi="Times New Roman"/>
          <w:sz w:val="24"/>
        </w:rPr>
        <w:t>名称：</w:t>
      </w:r>
      <w:r>
        <w:rPr>
          <w:rFonts w:ascii="Times New Roman" w:hAnsi="Times New Roman"/>
          <w:sz w:val="24"/>
        </w:rPr>
        <w:t>浙江省中医院</w:t>
      </w:r>
    </w:p>
    <w:p>
      <w:pPr>
        <w:pStyle w:val="16"/>
        <w:spacing w:line="360" w:lineRule="auto"/>
        <w:ind w:firstLine="464" w:firstLineChars="200"/>
        <w:rPr>
          <w:rFonts w:hint="default" w:ascii="Times New Roman" w:hAnsi="Times New Roman"/>
          <w:sz w:val="24"/>
        </w:rPr>
      </w:pPr>
      <w:r>
        <w:rPr>
          <w:rFonts w:hint="default" w:ascii="Times New Roman" w:hAnsi="Times New Roman"/>
          <w:sz w:val="24"/>
        </w:rPr>
        <w:t>地址：</w:t>
      </w:r>
      <w:r>
        <w:rPr>
          <w:rFonts w:ascii="Times New Roman" w:hAnsi="Times New Roman"/>
          <w:kern w:val="0"/>
          <w:sz w:val="24"/>
        </w:rPr>
        <w:t>杭州市邮电路54号</w:t>
      </w:r>
    </w:p>
    <w:p>
      <w:pPr>
        <w:spacing w:line="360" w:lineRule="auto"/>
        <w:ind w:firstLine="480" w:firstLineChars="200"/>
        <w:rPr>
          <w:rFonts w:hint="default"/>
          <w:kern w:val="0"/>
          <w:sz w:val="24"/>
        </w:rPr>
      </w:pPr>
      <w:r>
        <w:rPr>
          <w:kern w:val="0"/>
          <w:sz w:val="24"/>
        </w:rPr>
        <w:t>项目联系人（询问）：张延峰</w:t>
      </w:r>
    </w:p>
    <w:p>
      <w:pPr>
        <w:spacing w:line="360" w:lineRule="auto"/>
        <w:ind w:firstLine="480" w:firstLineChars="200"/>
        <w:rPr>
          <w:rFonts w:hint="default"/>
          <w:kern w:val="0"/>
          <w:sz w:val="24"/>
        </w:rPr>
      </w:pPr>
      <w:r>
        <w:rPr>
          <w:kern w:val="0"/>
          <w:sz w:val="24"/>
        </w:rPr>
        <w:t>项目联系方式（询问）：0571-87070502</w:t>
      </w:r>
    </w:p>
    <w:p>
      <w:pPr>
        <w:pStyle w:val="16"/>
        <w:spacing w:line="360" w:lineRule="auto"/>
        <w:ind w:firstLine="464" w:firstLineChars="200"/>
        <w:rPr>
          <w:rFonts w:hint="default" w:ascii="Times New Roman" w:hAnsi="Times New Roman"/>
          <w:kern w:val="0"/>
          <w:sz w:val="24"/>
        </w:rPr>
      </w:pPr>
      <w:r>
        <w:rPr>
          <w:rFonts w:hint="default" w:ascii="Times New Roman" w:hAnsi="Times New Roman"/>
          <w:kern w:val="0"/>
          <w:sz w:val="24"/>
        </w:rPr>
        <w:t>质疑联系人：许文财</w:t>
      </w:r>
    </w:p>
    <w:p>
      <w:pPr>
        <w:pStyle w:val="16"/>
        <w:spacing w:line="360" w:lineRule="auto"/>
        <w:ind w:firstLine="464" w:firstLineChars="200"/>
        <w:rPr>
          <w:rFonts w:hint="default" w:ascii="Times New Roman" w:hAnsi="Times New Roman"/>
          <w:kern w:val="0"/>
          <w:sz w:val="24"/>
        </w:rPr>
      </w:pPr>
      <w:r>
        <w:rPr>
          <w:rFonts w:hint="default" w:ascii="Times New Roman" w:hAnsi="Times New Roman"/>
          <w:kern w:val="0"/>
          <w:sz w:val="24"/>
        </w:rPr>
        <w:t>质疑联系方式：0571-87070583</w:t>
      </w:r>
    </w:p>
    <w:p>
      <w:pPr>
        <w:pStyle w:val="16"/>
        <w:spacing w:line="360" w:lineRule="auto"/>
        <w:ind w:firstLine="464" w:firstLineChars="200"/>
        <w:rPr>
          <w:rFonts w:hint="default" w:ascii="Times New Roman" w:hAnsi="Times New Roman"/>
          <w:sz w:val="24"/>
        </w:rPr>
      </w:pPr>
      <w:r>
        <w:rPr>
          <w:rFonts w:hint="default" w:ascii="Times New Roman" w:hAnsi="Times New Roman"/>
          <w:sz w:val="24"/>
        </w:rPr>
        <w:t>2.采购代理机构信息</w:t>
      </w:r>
    </w:p>
    <w:p>
      <w:pPr>
        <w:pStyle w:val="16"/>
        <w:spacing w:line="360" w:lineRule="auto"/>
        <w:ind w:firstLine="464" w:firstLineChars="200"/>
        <w:rPr>
          <w:rFonts w:hint="default" w:ascii="Times New Roman" w:hAnsi="Times New Roman"/>
          <w:sz w:val="24"/>
        </w:rPr>
      </w:pPr>
      <w:r>
        <w:rPr>
          <w:rFonts w:hint="default" w:ascii="Times New Roman" w:hAnsi="Times New Roman"/>
          <w:sz w:val="24"/>
        </w:rPr>
        <w:t>名称：浙江豪圣建设项目管理有限公司</w:t>
      </w:r>
    </w:p>
    <w:p>
      <w:pPr>
        <w:pStyle w:val="16"/>
        <w:spacing w:line="360" w:lineRule="auto"/>
        <w:ind w:firstLine="464" w:firstLineChars="200"/>
        <w:rPr>
          <w:rFonts w:hint="default" w:ascii="Times New Roman" w:hAnsi="Times New Roman"/>
          <w:sz w:val="24"/>
        </w:rPr>
      </w:pPr>
      <w:r>
        <w:rPr>
          <w:rFonts w:hint="default" w:ascii="Times New Roman" w:hAnsi="Times New Roman"/>
          <w:sz w:val="24"/>
        </w:rPr>
        <w:t>地址：杭州市拱墅区大关路179号远洋国际中心A座17楼1706室</w:t>
      </w:r>
    </w:p>
    <w:p>
      <w:pPr>
        <w:pStyle w:val="16"/>
        <w:spacing w:line="360" w:lineRule="auto"/>
        <w:ind w:firstLine="464" w:firstLineChars="200"/>
        <w:rPr>
          <w:rFonts w:hint="default" w:ascii="Times New Roman" w:hAnsi="Times New Roman"/>
          <w:sz w:val="24"/>
        </w:rPr>
      </w:pPr>
      <w:r>
        <w:rPr>
          <w:rFonts w:hint="default" w:ascii="Times New Roman" w:hAnsi="Times New Roman"/>
          <w:sz w:val="24"/>
        </w:rPr>
        <w:t>传真：</w:t>
      </w:r>
      <w:r>
        <w:rPr>
          <w:rFonts w:ascii="Times New Roman" w:hAnsi="Times New Roman"/>
          <w:sz w:val="24"/>
        </w:rPr>
        <w:t>/</w:t>
      </w:r>
    </w:p>
    <w:p>
      <w:pPr>
        <w:pStyle w:val="16"/>
        <w:spacing w:line="360" w:lineRule="auto"/>
        <w:ind w:firstLine="464" w:firstLineChars="200"/>
        <w:rPr>
          <w:rFonts w:hint="default" w:ascii="Times New Roman" w:hAnsi="Times New Roman"/>
          <w:sz w:val="24"/>
        </w:rPr>
      </w:pPr>
      <w:r>
        <w:rPr>
          <w:rFonts w:hint="default" w:ascii="Times New Roman" w:hAnsi="Times New Roman"/>
          <w:sz w:val="24"/>
        </w:rPr>
        <w:t>项目联系人（询问）：</w:t>
      </w:r>
      <w:r>
        <w:rPr>
          <w:rFonts w:hint="eastAsia" w:ascii="Times New Roman" w:hAnsi="Times New Roman"/>
          <w:sz w:val="24"/>
          <w:lang w:val="en-US" w:eastAsia="zh-CN"/>
        </w:rPr>
        <w:t>刘德坤</w:t>
      </w:r>
      <w:r>
        <w:rPr>
          <w:rFonts w:hint="default" w:ascii="Times New Roman" w:hAnsi="Times New Roman"/>
          <w:sz w:val="24"/>
        </w:rPr>
        <w:t>、曹剑斌、陈敏娇</w:t>
      </w:r>
    </w:p>
    <w:p>
      <w:pPr>
        <w:pStyle w:val="16"/>
        <w:spacing w:line="360" w:lineRule="auto"/>
        <w:ind w:firstLine="464" w:firstLineChars="200"/>
        <w:rPr>
          <w:rFonts w:hint="default" w:ascii="Times New Roman" w:hAnsi="Times New Roman"/>
          <w:sz w:val="24"/>
        </w:rPr>
      </w:pPr>
      <w:r>
        <w:rPr>
          <w:rFonts w:hint="default" w:ascii="Times New Roman" w:hAnsi="Times New Roman"/>
          <w:sz w:val="24"/>
        </w:rPr>
        <w:t>项目联系方式（询问）：0571-56321030</w:t>
      </w:r>
    </w:p>
    <w:p>
      <w:pPr>
        <w:pStyle w:val="16"/>
        <w:spacing w:line="360" w:lineRule="auto"/>
        <w:ind w:firstLine="464" w:firstLineChars="200"/>
        <w:rPr>
          <w:rFonts w:hint="eastAsia" w:ascii="Times New Roman" w:hAnsi="Times New Roman" w:eastAsia="宋体"/>
          <w:sz w:val="24"/>
          <w:lang w:eastAsia="zh-CN"/>
        </w:rPr>
      </w:pPr>
      <w:r>
        <w:rPr>
          <w:rFonts w:hint="default" w:ascii="Times New Roman" w:hAnsi="Times New Roman"/>
          <w:sz w:val="24"/>
        </w:rPr>
        <w:t>质疑联系人：</w:t>
      </w:r>
      <w:r>
        <w:rPr>
          <w:rFonts w:hint="eastAsia" w:ascii="Times New Roman" w:hAnsi="Times New Roman"/>
          <w:sz w:val="24"/>
          <w:lang w:val="en-US" w:eastAsia="zh-CN"/>
        </w:rPr>
        <w:t>蒋雨馨</w:t>
      </w:r>
    </w:p>
    <w:p>
      <w:pPr>
        <w:pStyle w:val="16"/>
        <w:spacing w:line="360" w:lineRule="auto"/>
        <w:ind w:firstLine="464" w:firstLineChars="200"/>
        <w:rPr>
          <w:rFonts w:hint="default" w:ascii="Times New Roman" w:hAnsi="Times New Roman"/>
          <w:sz w:val="24"/>
        </w:rPr>
      </w:pPr>
      <w:r>
        <w:rPr>
          <w:rFonts w:hint="default" w:ascii="Times New Roman" w:hAnsi="Times New Roman"/>
          <w:sz w:val="24"/>
        </w:rPr>
        <w:t>质疑联系方式：0571-</w:t>
      </w:r>
      <w:r>
        <w:rPr>
          <w:rFonts w:ascii="Times New Roman" w:hAnsi="Times New Roman"/>
          <w:sz w:val="24"/>
        </w:rPr>
        <w:t>87981527</w:t>
      </w:r>
    </w:p>
    <w:p>
      <w:pPr>
        <w:pStyle w:val="16"/>
        <w:spacing w:line="360" w:lineRule="auto"/>
        <w:ind w:left="418" w:leftChars="199" w:firstLine="101" w:firstLineChars="0"/>
        <w:rPr>
          <w:rFonts w:hint="default" w:ascii="Times New Roman" w:hAnsi="Times New Roman"/>
          <w:sz w:val="24"/>
        </w:rPr>
      </w:pPr>
      <w:r>
        <w:rPr>
          <w:rFonts w:hint="default" w:ascii="Times New Roman" w:hAnsi="Times New Roman"/>
          <w:sz w:val="24"/>
        </w:rPr>
        <w:t>3.该项目由采购人处理采购争议。质疑环节，采购人委托采购代理机构处理的，可由采购代理机构答复。对质疑答复不满意的，向采购人内部设置的采购监督机构反映。</w:t>
      </w:r>
    </w:p>
    <w:p>
      <w:pPr>
        <w:pStyle w:val="16"/>
        <w:spacing w:line="360" w:lineRule="auto"/>
        <w:ind w:left="479" w:leftChars="228" w:firstLine="97" w:firstLineChars="42"/>
        <w:rPr>
          <w:rFonts w:hint="default" w:ascii="Times New Roman" w:hAnsi="Times New Roman"/>
          <w:sz w:val="24"/>
        </w:rPr>
      </w:pPr>
      <w:r>
        <w:rPr>
          <w:rFonts w:hint="default" w:ascii="Times New Roman" w:hAnsi="Times New Roman"/>
          <w:sz w:val="24"/>
        </w:rPr>
        <w:t>政策咨询：何一平、冯华，0571-87058424、87055741</w:t>
      </w:r>
      <w:r>
        <w:rPr>
          <w:rFonts w:ascii="Times New Roman" w:hAnsi="Times New Roman"/>
          <w:sz w:val="24"/>
        </w:rPr>
        <w:br w:type="textWrapping"/>
      </w:r>
      <w:r>
        <w:rPr>
          <w:rFonts w:ascii="Times New Roman" w:hAnsi="Times New Roman"/>
          <w:sz w:val="24"/>
        </w:rPr>
        <w:t>预算金额未达100万元的采购项目，由采购人处理采购争议。</w:t>
      </w:r>
    </w:p>
    <w:p>
      <w:pPr>
        <w:pStyle w:val="16"/>
        <w:spacing w:line="360" w:lineRule="auto"/>
        <w:ind w:firstLine="464" w:firstLineChars="200"/>
        <w:rPr>
          <w:rFonts w:hint="default" w:ascii="Times New Roman" w:hAnsi="Times New Roman"/>
          <w:sz w:val="24"/>
        </w:rPr>
      </w:pPr>
    </w:p>
    <w:p>
      <w:pPr>
        <w:pStyle w:val="16"/>
        <w:spacing w:line="360" w:lineRule="auto"/>
        <w:ind w:firstLine="464" w:firstLineChars="200"/>
        <w:rPr>
          <w:rFonts w:hint="default" w:ascii="Times New Roman" w:hAnsi="Times New Roman"/>
          <w:sz w:val="24"/>
        </w:rPr>
      </w:pPr>
      <w:r>
        <w:rPr>
          <w:rFonts w:ascii="Times New Roman" w:hAnsi="Times New Roman"/>
          <w:sz w:val="24"/>
        </w:rPr>
        <w:t>若对项目采购电子交易系统操作有疑问，可登录政采云（https://www.zcygov.cn/），点击右侧咨询小采，获取采小蜜智能服务管家帮助，或拨打政采云服务热线95763获取热线服务帮助。       </w:t>
      </w:r>
    </w:p>
    <w:p>
      <w:pPr>
        <w:pStyle w:val="16"/>
        <w:spacing w:line="360" w:lineRule="auto"/>
        <w:ind w:firstLine="464" w:firstLineChars="200"/>
        <w:jc w:val="left"/>
        <w:rPr>
          <w:rFonts w:hint="default" w:ascii="Times New Roman" w:hAnsi="Times New Roman"/>
          <w:sz w:val="24"/>
        </w:rPr>
      </w:pPr>
      <w:r>
        <w:rPr>
          <w:rFonts w:ascii="Times New Roman" w:hAnsi="Times New Roman"/>
          <w:sz w:val="24"/>
        </w:rPr>
        <w:t>CA问题联系电话（人工）：汇信CA 400-888-4636；天谷CA 400-087-8198。</w:t>
      </w:r>
    </w:p>
    <w:p>
      <w:pPr>
        <w:pStyle w:val="16"/>
        <w:spacing w:line="360" w:lineRule="auto"/>
        <w:ind w:firstLine="344" w:firstLineChars="200"/>
        <w:jc w:val="center"/>
        <w:rPr>
          <w:rFonts w:hint="default" w:ascii="Times New Roman" w:hAnsi="Times New Roman"/>
          <w:b/>
          <w:sz w:val="36"/>
          <w:szCs w:val="36"/>
        </w:rPr>
      </w:pPr>
      <w:r>
        <w:rPr>
          <w:rFonts w:hint="default" w:ascii="Times New Roman" w:hAnsi="Times New Roman"/>
        </w:rPr>
        <w:br w:type="page"/>
      </w:r>
      <w:bookmarkStart w:id="27" w:name="_Toc18629"/>
      <w:r>
        <w:rPr>
          <w:rStyle w:val="142"/>
          <w:rFonts w:hint="default"/>
          <w:sz w:val="32"/>
          <w:szCs w:val="32"/>
        </w:rPr>
        <w:t>第二章  投标人须知</w:t>
      </w:r>
      <w:bookmarkEnd w:id="27"/>
    </w:p>
    <w:p>
      <w:pPr>
        <w:snapToGrid w:val="0"/>
        <w:spacing w:before="120" w:beforeLines="50" w:after="120" w:afterLines="50" w:line="360" w:lineRule="auto"/>
        <w:ind w:firstLine="602"/>
        <w:jc w:val="center"/>
        <w:outlineLvl w:val="1"/>
        <w:rPr>
          <w:rFonts w:hint="default"/>
          <w:b/>
          <w:sz w:val="30"/>
          <w:szCs w:val="30"/>
        </w:rPr>
      </w:pPr>
      <w:r>
        <w:rPr>
          <w:rFonts w:hint="default"/>
          <w:b/>
          <w:sz w:val="30"/>
          <w:szCs w:val="30"/>
        </w:rPr>
        <w:t>前附表</w:t>
      </w:r>
    </w:p>
    <w:tbl>
      <w:tblPr>
        <w:tblStyle w:val="4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0"/>
        <w:gridCol w:w="1440"/>
        <w:gridCol w:w="714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7"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序号</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名称</w:t>
            </w:r>
          </w:p>
        </w:tc>
        <w:tc>
          <w:tcPr>
            <w:tcW w:w="7142"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8"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项目名称</w:t>
            </w:r>
          </w:p>
        </w:tc>
        <w:tc>
          <w:tcPr>
            <w:tcW w:w="7142" w:type="dxa"/>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浙江省中医院钱塘院区4号楼阶梯会议室家具采购项目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2</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采购内</w:t>
            </w:r>
          </w:p>
          <w:p>
            <w:pPr>
              <w:jc w:val="center"/>
              <w:rPr>
                <w:rFonts w:hint="default"/>
                <w:sz w:val="24"/>
                <w:szCs w:val="24"/>
              </w:rPr>
            </w:pPr>
            <w:r>
              <w:rPr>
                <w:rFonts w:hint="default"/>
                <w:sz w:val="24"/>
                <w:szCs w:val="24"/>
              </w:rPr>
              <w:t>容及数量</w:t>
            </w:r>
          </w:p>
        </w:tc>
        <w:tc>
          <w:tcPr>
            <w:tcW w:w="7142" w:type="dxa"/>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详见招标文件第四章采购内容及需求部分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3</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预算金额</w:t>
            </w:r>
          </w:p>
        </w:tc>
        <w:tc>
          <w:tcPr>
            <w:tcW w:w="7142" w:type="dxa"/>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4</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公告媒体</w:t>
            </w:r>
          </w:p>
        </w:tc>
        <w:tc>
          <w:tcPr>
            <w:tcW w:w="7142" w:type="dxa"/>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浙江政府采购网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5</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电子交</w:t>
            </w:r>
          </w:p>
          <w:p>
            <w:pPr>
              <w:jc w:val="center"/>
              <w:rPr>
                <w:rFonts w:hint="default"/>
                <w:sz w:val="24"/>
                <w:szCs w:val="24"/>
              </w:rPr>
            </w:pPr>
            <w:r>
              <w:rPr>
                <w:rFonts w:hint="default"/>
                <w:sz w:val="24"/>
                <w:szCs w:val="24"/>
              </w:rPr>
              <w:t>易平台</w:t>
            </w:r>
          </w:p>
        </w:tc>
        <w:tc>
          <w:tcPr>
            <w:tcW w:w="7142" w:type="dxa"/>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政府采购云平台（www.zcygov.cn）</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3"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6</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投标报价</w:t>
            </w:r>
          </w:p>
        </w:tc>
        <w:tc>
          <w:tcPr>
            <w:tcW w:w="7142" w:type="dxa"/>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1、本项目应以人民币报价；</w:t>
            </w:r>
          </w:p>
          <w:p>
            <w:pPr>
              <w:rPr>
                <w:rFonts w:hint="default"/>
                <w:sz w:val="24"/>
                <w:szCs w:val="24"/>
              </w:rPr>
            </w:pPr>
            <w:r>
              <w:rPr>
                <w:rFonts w:hint="default"/>
                <w:sz w:val="24"/>
                <w:szCs w:val="24"/>
              </w:rPr>
              <w:t>2、不论采购结果如何，投标人均应自行承担所有与采购有关的全部费用。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0"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7</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投标保证金</w:t>
            </w:r>
          </w:p>
        </w:tc>
        <w:tc>
          <w:tcPr>
            <w:tcW w:w="7142" w:type="dxa"/>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不收取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2"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8</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踏勘现场</w:t>
            </w:r>
          </w:p>
        </w:tc>
        <w:tc>
          <w:tcPr>
            <w:tcW w:w="7142" w:type="dxa"/>
            <w:tcBorders>
              <w:top w:val="single" w:color="auto" w:sz="4" w:space="0"/>
              <w:left w:val="single" w:color="auto" w:sz="4" w:space="0"/>
              <w:bottom w:val="single" w:color="auto" w:sz="4" w:space="0"/>
              <w:right w:val="single" w:color="auto" w:sz="4" w:space="0"/>
            </w:tcBorders>
            <w:vAlign w:val="center"/>
          </w:tcPr>
          <w:p>
            <w:pPr>
              <w:snapToGrid w:val="0"/>
              <w:rPr>
                <w:rFonts w:hint="default"/>
                <w:sz w:val="24"/>
                <w:szCs w:val="24"/>
              </w:rPr>
            </w:pPr>
            <w:r>
              <w:rPr>
                <w:rFonts w:hint="default"/>
                <w:sz w:val="24"/>
                <w:szCs w:val="24"/>
              </w:rPr>
              <w:sym w:font="Wingdings 2" w:char="00A3"/>
            </w:r>
            <w:r>
              <w:rPr>
                <w:rFonts w:hint="default"/>
                <w:sz w:val="24"/>
                <w:szCs w:val="24"/>
              </w:rPr>
              <w:t>组织（详细内容）</w:t>
            </w:r>
          </w:p>
          <w:p>
            <w:pPr>
              <w:snapToGrid w:val="0"/>
              <w:rPr>
                <w:rFonts w:hint="default"/>
                <w:sz w:val="24"/>
                <w:szCs w:val="24"/>
              </w:rPr>
            </w:pPr>
            <w:r>
              <w:rPr>
                <w:rFonts w:hint="default"/>
                <w:sz w:val="24"/>
                <w:szCs w:val="24"/>
              </w:rPr>
              <w:sym w:font="Wingdings 2" w:char="0052"/>
            </w:r>
            <w:r>
              <w:rPr>
                <w:rFonts w:hint="default"/>
                <w:sz w:val="24"/>
                <w:szCs w:val="24"/>
              </w:rPr>
              <w:t>不组织</w:t>
            </w:r>
            <w:r>
              <w:rPr>
                <w:sz w:val="24"/>
                <w:szCs w:val="24"/>
              </w:rPr>
              <w:t>，供应商</w:t>
            </w:r>
            <w:r>
              <w:rPr>
                <w:rFonts w:hint="default"/>
                <w:sz w:val="24"/>
                <w:szCs w:val="24"/>
              </w:rPr>
              <w:t>自行现场踏勘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9</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样品</w:t>
            </w:r>
          </w:p>
        </w:tc>
        <w:tc>
          <w:tcPr>
            <w:tcW w:w="7142" w:type="dxa"/>
            <w:tcBorders>
              <w:top w:val="single" w:color="auto" w:sz="4" w:space="0"/>
              <w:left w:val="single" w:color="auto" w:sz="4" w:space="0"/>
              <w:bottom w:val="single" w:color="auto" w:sz="4" w:space="0"/>
              <w:right w:val="single" w:color="auto" w:sz="4" w:space="0"/>
            </w:tcBorders>
            <w:vAlign w:val="center"/>
          </w:tcPr>
          <w:p>
            <w:pPr>
              <w:snapToGrid w:val="0"/>
              <w:rPr>
                <w:rFonts w:hint="default"/>
                <w:b/>
                <w:bCs/>
                <w:sz w:val="24"/>
                <w:szCs w:val="24"/>
              </w:rPr>
            </w:pPr>
            <w:r>
              <w:rPr>
                <w:rFonts w:hint="default"/>
                <w:b/>
                <w:bCs/>
                <w:sz w:val="24"/>
                <w:szCs w:val="24"/>
              </w:rPr>
              <w:sym w:font="Wingdings 2" w:char="0052"/>
            </w:r>
            <w:r>
              <w:rPr>
                <w:b/>
                <w:bCs/>
                <w:sz w:val="24"/>
                <w:szCs w:val="24"/>
              </w:rPr>
              <w:t>提供（详见 第四章 采购内容及需求）</w:t>
            </w:r>
          </w:p>
          <w:p>
            <w:pPr>
              <w:snapToGrid w:val="0"/>
              <w:rPr>
                <w:rFonts w:hint="default"/>
                <w:sz w:val="24"/>
                <w:szCs w:val="24"/>
              </w:rPr>
            </w:pPr>
            <w:r>
              <w:rPr>
                <w:rFonts w:hint="default"/>
                <w:sz w:val="24"/>
                <w:szCs w:val="24"/>
              </w:rPr>
              <w:sym w:font="Wingdings 2" w:char="00A3"/>
            </w:r>
            <w:r>
              <w:rPr>
                <w:rFonts w:hint="default"/>
                <w:sz w:val="24"/>
                <w:szCs w:val="24"/>
              </w:rPr>
              <w:t>不提供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10</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演示</w:t>
            </w:r>
          </w:p>
        </w:tc>
        <w:tc>
          <w:tcPr>
            <w:tcW w:w="7142" w:type="dxa"/>
            <w:tcBorders>
              <w:top w:val="single" w:color="auto" w:sz="4" w:space="0"/>
              <w:left w:val="single" w:color="auto" w:sz="4" w:space="0"/>
              <w:bottom w:val="single" w:color="auto" w:sz="4" w:space="0"/>
              <w:right w:val="single" w:color="auto" w:sz="4" w:space="0"/>
            </w:tcBorders>
            <w:vAlign w:val="center"/>
          </w:tcPr>
          <w:p>
            <w:pPr>
              <w:snapToGrid w:val="0"/>
              <w:rPr>
                <w:rFonts w:hint="default" w:ascii="宋体" w:hAnsi="宋体" w:cs="宋体"/>
                <w:sz w:val="24"/>
                <w:szCs w:val="24"/>
              </w:rPr>
            </w:pPr>
            <w:r>
              <w:rPr>
                <w:rFonts w:hint="default"/>
                <w:sz w:val="24"/>
                <w:szCs w:val="24"/>
              </w:rPr>
              <w:sym w:font="Wingdings 2" w:char="00A3"/>
            </w:r>
            <w:r>
              <w:rPr>
                <w:rFonts w:hint="default"/>
                <w:sz w:val="24"/>
                <w:szCs w:val="24"/>
              </w:rPr>
              <w:t>要求</w:t>
            </w:r>
            <w:r>
              <w:rPr>
                <w:sz w:val="24"/>
                <w:szCs w:val="24"/>
              </w:rPr>
              <w:t>（详细内容）</w:t>
            </w:r>
          </w:p>
          <w:p>
            <w:pPr>
              <w:snapToGrid w:val="0"/>
              <w:rPr>
                <w:rFonts w:hint="default"/>
                <w:sz w:val="24"/>
                <w:szCs w:val="24"/>
              </w:rPr>
            </w:pPr>
            <w:r>
              <w:rPr>
                <w:rFonts w:hint="default"/>
                <w:sz w:val="24"/>
                <w:szCs w:val="24"/>
              </w:rPr>
              <w:sym w:font="Wingdings 2" w:char="0052"/>
            </w:r>
            <w:r>
              <w:rPr>
                <w:rFonts w:hint="default"/>
                <w:sz w:val="24"/>
                <w:szCs w:val="24"/>
              </w:rPr>
              <w:t>不要求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11</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投标文</w:t>
            </w:r>
          </w:p>
          <w:p>
            <w:pPr>
              <w:jc w:val="center"/>
              <w:rPr>
                <w:rFonts w:hint="default"/>
                <w:sz w:val="24"/>
                <w:szCs w:val="24"/>
              </w:rPr>
            </w:pPr>
            <w:r>
              <w:rPr>
                <w:rFonts w:hint="default"/>
                <w:sz w:val="24"/>
                <w:szCs w:val="24"/>
              </w:rPr>
              <w:t>件组成</w:t>
            </w:r>
          </w:p>
        </w:tc>
        <w:tc>
          <w:tcPr>
            <w:tcW w:w="71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hint="default"/>
                <w:sz w:val="24"/>
                <w:szCs w:val="24"/>
              </w:rPr>
            </w:pPr>
            <w:r>
              <w:rPr>
                <w:rFonts w:hint="default"/>
                <w:sz w:val="24"/>
                <w:szCs w:val="24"/>
              </w:rPr>
              <w:t>投标文件由资格证明文件、商务技术文件、报价文件三部分组成。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12</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投标文件</w:t>
            </w:r>
          </w:p>
          <w:p>
            <w:pPr>
              <w:jc w:val="center"/>
              <w:rPr>
                <w:rFonts w:hint="default"/>
                <w:sz w:val="24"/>
                <w:szCs w:val="24"/>
              </w:rPr>
            </w:pPr>
            <w:r>
              <w:rPr>
                <w:rFonts w:hint="default"/>
                <w:sz w:val="24"/>
                <w:szCs w:val="24"/>
              </w:rPr>
              <w:t>的编制</w:t>
            </w:r>
          </w:p>
        </w:tc>
        <w:tc>
          <w:tcPr>
            <w:tcW w:w="714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left="361" w:hanging="361" w:hangingChars="150"/>
              <w:jc w:val="left"/>
              <w:rPr>
                <w:rFonts w:hint="default"/>
                <w:b/>
                <w:bCs/>
                <w:sz w:val="24"/>
                <w:szCs w:val="24"/>
              </w:rPr>
            </w:pPr>
            <w:r>
              <w:rPr>
                <w:rFonts w:hint="default"/>
                <w:b/>
                <w:bCs/>
                <w:sz w:val="24"/>
                <w:szCs w:val="24"/>
              </w:rPr>
              <w:t>1、“电子加密投标文件”：</w:t>
            </w:r>
          </w:p>
          <w:p>
            <w:pPr>
              <w:autoSpaceDE w:val="0"/>
              <w:autoSpaceDN w:val="0"/>
              <w:adjustRightInd w:val="0"/>
              <w:jc w:val="left"/>
              <w:rPr>
                <w:rFonts w:hint="default"/>
                <w:b/>
                <w:bCs/>
                <w:sz w:val="24"/>
                <w:szCs w:val="24"/>
              </w:rPr>
            </w:pPr>
            <w:r>
              <w:rPr>
                <w:rFonts w:hint="default"/>
                <w:b/>
                <w:bCs/>
                <w:sz w:val="24"/>
                <w:szCs w:val="24"/>
              </w:rPr>
              <w:t>（1）“电子加密投标文件”是指通过“政采云电子交易客户端”完成投标文件编制后生成并加密的数据电文形式的投标文件。</w:t>
            </w:r>
          </w:p>
          <w:p>
            <w:pPr>
              <w:rPr>
                <w:rFonts w:hint="default"/>
                <w:b/>
                <w:bCs/>
                <w:sz w:val="24"/>
                <w:szCs w:val="24"/>
              </w:rPr>
            </w:pPr>
            <w:r>
              <w:rPr>
                <w:rFonts w:hint="default"/>
                <w:b/>
                <w:bCs/>
                <w:sz w:val="24"/>
                <w:szCs w:val="24"/>
              </w:rPr>
              <w:t>（2）供应商应先安装“政采云电子交易客户端”，并按照本招标文件和“政府采购云平台”的要求，通过“政采云电子交易客户端”编制并加密投标文件。</w:t>
            </w:r>
          </w:p>
          <w:p>
            <w:pPr>
              <w:ind w:left="361" w:hanging="361" w:hangingChars="150"/>
              <w:rPr>
                <w:rFonts w:hint="default"/>
                <w:b/>
                <w:bCs/>
                <w:sz w:val="24"/>
                <w:szCs w:val="24"/>
              </w:rPr>
            </w:pPr>
            <w:r>
              <w:rPr>
                <w:rFonts w:hint="default"/>
                <w:b/>
                <w:bCs/>
                <w:sz w:val="24"/>
                <w:szCs w:val="24"/>
              </w:rPr>
              <w:t>2、“电子备份投标文件”：</w:t>
            </w:r>
          </w:p>
          <w:p>
            <w:pPr>
              <w:rPr>
                <w:rFonts w:hint="default"/>
                <w:b/>
                <w:bCs/>
                <w:sz w:val="24"/>
                <w:szCs w:val="24"/>
              </w:rPr>
            </w:pPr>
            <w:r>
              <w:rPr>
                <w:rFonts w:hint="default"/>
                <w:b/>
                <w:bCs/>
                <w:sz w:val="24"/>
                <w:szCs w:val="24"/>
              </w:rPr>
              <w:t>（1）“电子备份投标文件”是指与“电子加密投标文件”同时生成的数据电文形式的电子文件。</w:t>
            </w:r>
          </w:p>
          <w:p>
            <w:pPr>
              <w:ind w:left="361" w:hanging="361" w:hangingChars="150"/>
              <w:rPr>
                <w:rFonts w:hint="default"/>
                <w:b/>
                <w:bCs/>
                <w:sz w:val="24"/>
                <w:szCs w:val="24"/>
              </w:rPr>
            </w:pPr>
            <w:r>
              <w:rPr>
                <w:rFonts w:hint="default"/>
                <w:b/>
                <w:bCs/>
                <w:sz w:val="24"/>
                <w:szCs w:val="24"/>
              </w:rPr>
              <w:t>（2）供应商可自主选择是否编制“电子备份投标文件”。</w:t>
            </w:r>
          </w:p>
          <w:p>
            <w:pPr>
              <w:rPr>
                <w:rFonts w:hint="default"/>
                <w:sz w:val="24"/>
                <w:szCs w:val="24"/>
              </w:rPr>
            </w:pPr>
            <w:r>
              <w:rPr>
                <w:rFonts w:hint="default"/>
                <w:b/>
                <w:bCs/>
                <w:sz w:val="24"/>
                <w:szCs w:val="24"/>
              </w:rPr>
              <w:t>（3）其他方式编制的备份投标文件视为无效备份投标文件</w:t>
            </w:r>
            <w:r>
              <w:rPr>
                <w:rFonts w:hint="default"/>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1"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13</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投标文件</w:t>
            </w:r>
          </w:p>
          <w:p>
            <w:pPr>
              <w:jc w:val="center"/>
              <w:rPr>
                <w:rFonts w:hint="default"/>
                <w:sz w:val="24"/>
                <w:szCs w:val="24"/>
              </w:rPr>
            </w:pPr>
            <w:r>
              <w:rPr>
                <w:rFonts w:hint="default"/>
                <w:sz w:val="24"/>
                <w:szCs w:val="24"/>
              </w:rPr>
              <w:t>的签章</w:t>
            </w:r>
          </w:p>
        </w:tc>
        <w:tc>
          <w:tcPr>
            <w:tcW w:w="714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left"/>
              <w:rPr>
                <w:rFonts w:hint="default"/>
                <w:sz w:val="24"/>
                <w:szCs w:val="24"/>
              </w:rPr>
            </w:pPr>
            <w:r>
              <w:rPr>
                <w:rFonts w:hint="default"/>
                <w:sz w:val="24"/>
                <w:szCs w:val="24"/>
              </w:rPr>
              <w:t>采用电子签章。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3"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14</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投标文件</w:t>
            </w:r>
          </w:p>
          <w:p>
            <w:pPr>
              <w:jc w:val="center"/>
              <w:rPr>
                <w:rFonts w:hint="default"/>
                <w:sz w:val="24"/>
                <w:szCs w:val="24"/>
              </w:rPr>
            </w:pPr>
            <w:r>
              <w:rPr>
                <w:rFonts w:hint="default"/>
                <w:sz w:val="24"/>
                <w:szCs w:val="24"/>
              </w:rPr>
              <w:t>的包装、密封和递交</w:t>
            </w:r>
          </w:p>
        </w:tc>
        <w:tc>
          <w:tcPr>
            <w:tcW w:w="71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hint="default"/>
                <w:sz w:val="24"/>
                <w:szCs w:val="24"/>
              </w:rPr>
            </w:pPr>
            <w:r>
              <w:rPr>
                <w:rFonts w:hint="default"/>
                <w:sz w:val="24"/>
                <w:szCs w:val="24"/>
              </w:rPr>
              <w:t>1、“电子加密投标文件”的递交：在线上传递交。</w:t>
            </w:r>
          </w:p>
          <w:p>
            <w:pPr>
              <w:rPr>
                <w:rFonts w:hint="default"/>
                <w:b/>
                <w:bCs/>
                <w:sz w:val="24"/>
                <w:szCs w:val="24"/>
              </w:rPr>
            </w:pPr>
            <w:r>
              <w:rPr>
                <w:rFonts w:hint="default"/>
                <w:b/>
                <w:bCs/>
                <w:sz w:val="24"/>
                <w:szCs w:val="24"/>
              </w:rPr>
              <w:t>（1）供应商应在投标截止时间前将“电子加密投标文件”成功上传递交至“政府采购云平台”，否则投标无效。</w:t>
            </w:r>
          </w:p>
          <w:p>
            <w:pPr>
              <w:rPr>
                <w:rFonts w:hint="default"/>
                <w:sz w:val="24"/>
                <w:szCs w:val="24"/>
              </w:rPr>
            </w:pPr>
            <w:r>
              <w:rPr>
                <w:rFonts w:hint="default"/>
                <w:sz w:val="24"/>
                <w:szCs w:val="24"/>
              </w:rPr>
              <w:t>（2）“电子加密投标文件”成功上传递交后，供应商可自行打印投标文件接收回执。</w:t>
            </w:r>
          </w:p>
          <w:p>
            <w:pPr>
              <w:rPr>
                <w:rFonts w:hint="default"/>
                <w:sz w:val="24"/>
                <w:szCs w:val="24"/>
              </w:rPr>
            </w:pPr>
            <w:r>
              <w:rPr>
                <w:rFonts w:hint="default"/>
                <w:sz w:val="24"/>
                <w:szCs w:val="24"/>
              </w:rPr>
              <w:t>2、“电子备份投标文件”的密封、包装和递交：</w:t>
            </w:r>
          </w:p>
          <w:p>
            <w:pPr>
              <w:rPr>
                <w:rFonts w:hint="default"/>
                <w:sz w:val="24"/>
                <w:szCs w:val="24"/>
              </w:rPr>
            </w:pPr>
            <w:r>
              <w:rPr>
                <w:rFonts w:hint="default"/>
                <w:sz w:val="24"/>
                <w:szCs w:val="24"/>
              </w:rPr>
              <w:t>（1）供应商可自主选择是否递交“电子备份投标文件”。</w:t>
            </w:r>
          </w:p>
          <w:p>
            <w:pPr>
              <w:rPr>
                <w:rFonts w:hint="default"/>
                <w:sz w:val="24"/>
                <w:szCs w:val="24"/>
              </w:rPr>
            </w:pPr>
            <w:r>
              <w:rPr>
                <w:rFonts w:hint="default"/>
                <w:sz w:val="24"/>
                <w:szCs w:val="24"/>
              </w:rPr>
              <w:t>（2）“电子备份投标文件”存入U盘（一份）。</w:t>
            </w:r>
          </w:p>
          <w:p>
            <w:pPr>
              <w:rPr>
                <w:rFonts w:hint="default"/>
                <w:sz w:val="24"/>
                <w:szCs w:val="24"/>
              </w:rPr>
            </w:pPr>
            <w:r>
              <w:rPr>
                <w:rFonts w:hint="default"/>
                <w:sz w:val="24"/>
                <w:szCs w:val="24"/>
              </w:rPr>
              <w:t>（3）“电子备份投标文件” 应在投标截止时间前以邮寄或送达方式递交：邮寄或送达地址：杭州市拱墅区大关路179号远洋国际中心A座17楼170</w:t>
            </w:r>
            <w:r>
              <w:rPr>
                <w:sz w:val="24"/>
                <w:szCs w:val="24"/>
              </w:rPr>
              <w:t>5</w:t>
            </w:r>
            <w:r>
              <w:rPr>
                <w:rFonts w:hint="default"/>
                <w:sz w:val="24"/>
                <w:szCs w:val="24"/>
              </w:rPr>
              <w:t>室，收件人：</w:t>
            </w:r>
            <w:r>
              <w:rPr>
                <w:sz w:val="24"/>
                <w:szCs w:val="24"/>
              </w:rPr>
              <w:t>刘德坤</w:t>
            </w:r>
            <w:r>
              <w:rPr>
                <w:rFonts w:hint="default"/>
                <w:sz w:val="24"/>
                <w:szCs w:val="24"/>
              </w:rPr>
              <w:t>，0571-</w:t>
            </w:r>
            <w:r>
              <w:rPr>
                <w:sz w:val="24"/>
                <w:szCs w:val="24"/>
              </w:rPr>
              <w:t>56321030</w:t>
            </w:r>
            <w:r>
              <w:rPr>
                <w:rFonts w:hint="default"/>
                <w:sz w:val="24"/>
                <w:szCs w:val="24"/>
              </w:rPr>
              <w:t>。</w:t>
            </w:r>
          </w:p>
          <w:p>
            <w:pPr>
              <w:rPr>
                <w:rFonts w:hint="default"/>
                <w:sz w:val="24"/>
                <w:szCs w:val="24"/>
              </w:rPr>
            </w:pPr>
            <w:r>
              <w:rPr>
                <w:rFonts w:hint="default"/>
                <w:sz w:val="24"/>
                <w:szCs w:val="24"/>
              </w:rPr>
              <w:t>（4）“电子备份投标文件”应当密封包装，并在包装上标注投标项目编号、项目名称、投标单位名称等并加盖公章（详见第六章投标文件格式）。没有密封包装或者逾期送达至指定地点的“电子备份投标文件”将不予接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15</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投标截止</w:t>
            </w:r>
          </w:p>
          <w:p>
            <w:pPr>
              <w:jc w:val="center"/>
              <w:rPr>
                <w:rFonts w:hint="default"/>
                <w:sz w:val="24"/>
                <w:szCs w:val="24"/>
              </w:rPr>
            </w:pPr>
            <w:r>
              <w:rPr>
                <w:rFonts w:hint="default"/>
                <w:sz w:val="24"/>
                <w:szCs w:val="24"/>
              </w:rPr>
              <w:t>时间和地址</w:t>
            </w:r>
          </w:p>
        </w:tc>
        <w:tc>
          <w:tcPr>
            <w:tcW w:w="7142" w:type="dxa"/>
            <w:tcBorders>
              <w:top w:val="single" w:color="auto" w:sz="4" w:space="0"/>
              <w:left w:val="single" w:color="auto" w:sz="4" w:space="0"/>
              <w:bottom w:val="single" w:color="auto" w:sz="4" w:space="0"/>
              <w:right w:val="single" w:color="auto" w:sz="4" w:space="0"/>
            </w:tcBorders>
            <w:vAlign w:val="center"/>
          </w:tcPr>
          <w:p>
            <w:pPr>
              <w:snapToGrid w:val="0"/>
              <w:rPr>
                <w:rFonts w:hint="default"/>
                <w:sz w:val="24"/>
                <w:szCs w:val="24"/>
              </w:rPr>
            </w:pPr>
            <w:r>
              <w:rPr>
                <w:sz w:val="24"/>
                <w:szCs w:val="24"/>
              </w:rPr>
              <w:t>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16</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开标时</w:t>
            </w:r>
          </w:p>
          <w:p>
            <w:pPr>
              <w:jc w:val="center"/>
              <w:rPr>
                <w:rFonts w:hint="default"/>
                <w:sz w:val="24"/>
                <w:szCs w:val="24"/>
              </w:rPr>
            </w:pPr>
            <w:r>
              <w:rPr>
                <w:rFonts w:hint="default"/>
                <w:sz w:val="24"/>
                <w:szCs w:val="24"/>
              </w:rPr>
              <w:t>间和地址</w:t>
            </w:r>
          </w:p>
        </w:tc>
        <w:tc>
          <w:tcPr>
            <w:tcW w:w="7142" w:type="dxa"/>
            <w:tcBorders>
              <w:top w:val="single" w:color="auto" w:sz="4" w:space="0"/>
              <w:left w:val="single" w:color="auto" w:sz="4" w:space="0"/>
              <w:bottom w:val="single" w:color="auto" w:sz="4" w:space="0"/>
              <w:right w:val="single" w:color="auto" w:sz="4" w:space="0"/>
            </w:tcBorders>
            <w:vAlign w:val="center"/>
          </w:tcPr>
          <w:p>
            <w:pPr>
              <w:snapToGrid w:val="0"/>
              <w:rPr>
                <w:rFonts w:hint="default"/>
                <w:sz w:val="24"/>
                <w:szCs w:val="24"/>
              </w:rPr>
            </w:pPr>
            <w:r>
              <w:rPr>
                <w:sz w:val="24"/>
                <w:szCs w:val="24"/>
              </w:rPr>
              <w:t>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3"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17</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开标</w:t>
            </w:r>
          </w:p>
        </w:tc>
        <w:tc>
          <w:tcPr>
            <w:tcW w:w="7142" w:type="dxa"/>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1、采购组织机构（即代理机构）按照招标文件规定的时间通过电子交易平台组织开标，所有投标供应商均应当准时在线参加。</w:t>
            </w:r>
          </w:p>
          <w:p>
            <w:pPr>
              <w:rPr>
                <w:rFonts w:hint="default"/>
                <w:sz w:val="24"/>
                <w:szCs w:val="24"/>
              </w:rPr>
            </w:pPr>
            <w:r>
              <w:rPr>
                <w:rFonts w:hint="default"/>
                <w:sz w:val="24"/>
                <w:szCs w:val="24"/>
              </w:rPr>
              <w:t>2、开标时间后，采购组织机构将向各投标供应商发出“电子加密投标文件”的解密通知，各投标供应商代表应当在接到解密通知后</w:t>
            </w:r>
            <w:r>
              <w:rPr>
                <w:rFonts w:hint="default"/>
                <w:i/>
                <w:sz w:val="24"/>
                <w:szCs w:val="24"/>
                <w:u w:val="single"/>
              </w:rPr>
              <w:t>30</w:t>
            </w:r>
            <w:r>
              <w:rPr>
                <w:rFonts w:hint="default"/>
                <w:sz w:val="24"/>
                <w:szCs w:val="24"/>
              </w:rPr>
              <w:t>分钟内自行完成“电子加密投标文件”的在线解密。</w:t>
            </w:r>
          </w:p>
          <w:p>
            <w:pPr>
              <w:rPr>
                <w:rFonts w:hint="default"/>
                <w:sz w:val="24"/>
                <w:szCs w:val="24"/>
              </w:rPr>
            </w:pPr>
            <w:r>
              <w:rPr>
                <w:rFonts w:hint="default"/>
                <w:sz w:val="24"/>
                <w:szCs w:val="24"/>
              </w:rPr>
              <w:t>3、通过“政府采购云平台”上传递交的“电子加密投标文件”已按时解密的，“电子备份投标文件”自动失效。</w:t>
            </w:r>
          </w:p>
          <w:p>
            <w:pPr>
              <w:rPr>
                <w:rFonts w:hint="default"/>
                <w:sz w:val="24"/>
                <w:szCs w:val="24"/>
              </w:rPr>
            </w:pPr>
            <w:r>
              <w:rPr>
                <w:rFonts w:hint="default"/>
                <w:sz w:val="24"/>
                <w:szCs w:val="24"/>
              </w:rPr>
              <w:t>4、通过“政府采购云平台”上传递交的“电子加密投标文件”无法按时解密的，如投标供应商按规定递交“电子备份投标文件”的，则由采购组织机构按“政府采购云平台”操作规范将“电子备份投标文件”上传至“政府采购云平台”。上传成功后，以“电子备份投标文件”参与评标，“电子加密投标文件”自动失效。如投标供应商未按规定递交“电子备份投标文件”的，视为投标文件撤回。</w:t>
            </w:r>
          </w:p>
          <w:p>
            <w:pPr>
              <w:snapToGrid w:val="0"/>
              <w:rPr>
                <w:rFonts w:hint="default"/>
                <w:sz w:val="24"/>
                <w:szCs w:val="24"/>
              </w:rPr>
            </w:pPr>
            <w:r>
              <w:rPr>
                <w:rFonts w:hint="default"/>
                <w:sz w:val="24"/>
                <w:szCs w:val="24"/>
              </w:rPr>
              <w:t>5</w:t>
            </w:r>
            <w:r>
              <w:rPr>
                <w:rFonts w:hint="default"/>
                <w:b/>
                <w:bCs/>
                <w:sz w:val="24"/>
                <w:szCs w:val="24"/>
              </w:rPr>
              <w:t>、投标截止时间前，投标供应商仅递交了“电子备份投标文件”而未将“电子加密投标文件”上传至“政府采购云平台”的，投标无效。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5"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18</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评标办法</w:t>
            </w:r>
          </w:p>
        </w:tc>
        <w:tc>
          <w:tcPr>
            <w:tcW w:w="71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hint="default"/>
                <w:sz w:val="24"/>
                <w:szCs w:val="24"/>
              </w:rPr>
            </w:pPr>
            <w:r>
              <w:rPr>
                <w:rFonts w:hint="default"/>
                <w:sz w:val="24"/>
                <w:szCs w:val="24"/>
              </w:rPr>
              <w:t>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8"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19</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投标文件</w:t>
            </w:r>
          </w:p>
          <w:p>
            <w:pPr>
              <w:jc w:val="center"/>
              <w:rPr>
                <w:rFonts w:hint="default"/>
                <w:sz w:val="24"/>
                <w:szCs w:val="24"/>
              </w:rPr>
            </w:pPr>
            <w:r>
              <w:rPr>
                <w:rFonts w:hint="default"/>
                <w:sz w:val="24"/>
                <w:szCs w:val="24"/>
              </w:rPr>
              <w:t>有效期</w:t>
            </w:r>
          </w:p>
        </w:tc>
        <w:tc>
          <w:tcPr>
            <w:tcW w:w="71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hint="default"/>
                <w:sz w:val="24"/>
                <w:szCs w:val="24"/>
              </w:rPr>
            </w:pPr>
            <w:r>
              <w:rPr>
                <w:rFonts w:hint="default"/>
                <w:sz w:val="24"/>
                <w:szCs w:val="24"/>
              </w:rPr>
              <w:t>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3"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20</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采购进</w:t>
            </w:r>
          </w:p>
          <w:p>
            <w:pPr>
              <w:jc w:val="center"/>
              <w:rPr>
                <w:rFonts w:hint="default"/>
                <w:sz w:val="24"/>
                <w:szCs w:val="24"/>
              </w:rPr>
            </w:pPr>
            <w:r>
              <w:rPr>
                <w:rFonts w:hint="default"/>
                <w:sz w:val="24"/>
                <w:szCs w:val="24"/>
              </w:rPr>
              <w:t>口产品</w:t>
            </w:r>
          </w:p>
        </w:tc>
        <w:tc>
          <w:tcPr>
            <w:tcW w:w="7142" w:type="dxa"/>
            <w:tcBorders>
              <w:top w:val="single" w:color="auto" w:sz="4" w:space="0"/>
              <w:left w:val="single" w:color="auto" w:sz="4" w:space="0"/>
              <w:bottom w:val="single" w:color="auto" w:sz="4" w:space="0"/>
              <w:right w:val="single" w:color="auto" w:sz="4" w:space="0"/>
            </w:tcBorders>
            <w:vAlign w:val="center"/>
          </w:tcPr>
          <w:p>
            <w:pPr>
              <w:pStyle w:val="7"/>
              <w:adjustRightInd w:val="0"/>
              <w:snapToGrid w:val="0"/>
              <w:spacing w:beforeLines="0" w:afterLines="0" w:line="320" w:lineRule="exact"/>
              <w:jc w:val="left"/>
              <w:rPr>
                <w:rFonts w:hint="default" w:hAnsi="宋体" w:cs="宋体"/>
                <w:szCs w:val="24"/>
              </w:rPr>
            </w:pPr>
            <w:r>
              <w:rPr>
                <w:rFonts w:hAnsi="宋体" w:cs="宋体"/>
                <w:szCs w:val="24"/>
              </w:rPr>
              <w:sym w:font="Wingdings 2" w:char="0052"/>
            </w:r>
            <w:r>
              <w:rPr>
                <w:rFonts w:hAnsi="宋体" w:cs="宋体"/>
                <w:szCs w:val="24"/>
              </w:rPr>
              <w:t>本项目不允许采购进口产品</w:t>
            </w:r>
          </w:p>
          <w:p>
            <w:pPr>
              <w:pStyle w:val="7"/>
              <w:adjustRightInd w:val="0"/>
              <w:snapToGrid w:val="0"/>
              <w:spacing w:beforeLines="0" w:afterLines="0" w:line="240" w:lineRule="auto"/>
              <w:jc w:val="left"/>
              <w:rPr>
                <w:rFonts w:hint="default" w:ascii="Times New Roman" w:hAnsi="Times New Roman"/>
                <w:szCs w:val="24"/>
              </w:rPr>
            </w:pPr>
            <w:r>
              <w:rPr>
                <w:rFonts w:hAnsi="宋体" w:cs="宋体"/>
                <w:szCs w:val="24"/>
              </w:rPr>
              <w:sym w:font="Wingdings 2" w:char="00A3"/>
            </w:r>
            <w:r>
              <w:rPr>
                <w:rFonts w:hAnsi="宋体" w:cs="宋体"/>
                <w:szCs w:val="24"/>
              </w:rPr>
              <w:t>本项目允许采购进口产品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07"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21</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节能产品、环境标志产品</w:t>
            </w:r>
          </w:p>
        </w:tc>
        <w:tc>
          <w:tcPr>
            <w:tcW w:w="7142" w:type="dxa"/>
            <w:tcBorders>
              <w:top w:val="single" w:color="auto" w:sz="4" w:space="0"/>
              <w:left w:val="single" w:color="auto" w:sz="4" w:space="0"/>
              <w:bottom w:val="single" w:color="auto" w:sz="4" w:space="0"/>
              <w:right w:val="single" w:color="auto" w:sz="4" w:space="0"/>
            </w:tcBorders>
            <w:vAlign w:val="center"/>
          </w:tcPr>
          <w:p>
            <w:pPr>
              <w:pStyle w:val="7"/>
              <w:adjustRightInd w:val="0"/>
              <w:snapToGrid w:val="0"/>
              <w:spacing w:beforeLines="0" w:afterLines="0" w:line="240" w:lineRule="auto"/>
              <w:jc w:val="left"/>
              <w:rPr>
                <w:rFonts w:hint="default" w:ascii="Times New Roman" w:hAnsi="Times New Roman"/>
                <w:szCs w:val="24"/>
              </w:rPr>
            </w:pPr>
            <w:r>
              <w:rPr>
                <w:rFonts w:ascii="Times New Roman" w:hAnsi="Times New Roman"/>
                <w:szCs w:val="24"/>
              </w:rPr>
              <w:sym w:font="Wingdings 2" w:char="0052"/>
            </w:r>
            <w:r>
              <w:rPr>
                <w:rFonts w:ascii="Times New Roman" w:hAnsi="Times New Roman"/>
                <w:szCs w:val="24"/>
              </w:rPr>
              <w:t>适用</w:t>
            </w:r>
            <w:r>
              <w:rPr>
                <w:rFonts w:hAnsi="宋体" w:cs="宋体"/>
                <w:szCs w:val="24"/>
              </w:rPr>
              <w:sym w:font="Wingdings 2" w:char="00A3"/>
            </w:r>
            <w:r>
              <w:rPr>
                <w:rFonts w:hAnsi="宋体" w:cs="宋体"/>
                <w:szCs w:val="24"/>
              </w:rPr>
              <w:t>不适用</w:t>
            </w:r>
          </w:p>
          <w:p>
            <w:pPr>
              <w:pStyle w:val="7"/>
              <w:adjustRightInd w:val="0"/>
              <w:snapToGrid w:val="0"/>
              <w:spacing w:beforeLines="0" w:afterLines="0" w:line="240" w:lineRule="auto"/>
              <w:jc w:val="left"/>
              <w:rPr>
                <w:rFonts w:hint="default" w:ascii="Times New Roman" w:hAnsi="Times New Roman"/>
                <w:szCs w:val="24"/>
              </w:rPr>
            </w:pPr>
            <w:r>
              <w:rPr>
                <w:rFonts w:hint="default" w:ascii="Times New Roman" w:hAnsi="Times New Roman"/>
                <w:szCs w:val="24"/>
              </w:rPr>
              <w:t>（1）严格执行《财政部发展改革委生态环境部市场监管总局关于调整优化节能产品、环境标志产品政府采购执行机制的通知》（财库〔2019〕9号）。</w:t>
            </w:r>
          </w:p>
          <w:p>
            <w:pPr>
              <w:pStyle w:val="7"/>
              <w:adjustRightInd w:val="0"/>
              <w:snapToGrid w:val="0"/>
              <w:spacing w:beforeLines="0" w:afterLines="0" w:line="240" w:lineRule="auto"/>
              <w:jc w:val="left"/>
              <w:rPr>
                <w:rFonts w:hint="default" w:ascii="Times New Roman" w:hAnsi="Times New Roman"/>
                <w:szCs w:val="24"/>
              </w:rPr>
            </w:pPr>
            <w:r>
              <w:rPr>
                <w:rFonts w:hint="default" w:ascii="Times New Roman" w:hAnsi="Times New Roman"/>
                <w:szCs w:val="24"/>
              </w:rPr>
              <w:t>（2）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p>
          <w:p>
            <w:pPr>
              <w:pStyle w:val="7"/>
              <w:adjustRightInd w:val="0"/>
              <w:snapToGrid w:val="0"/>
              <w:spacing w:beforeLines="0" w:afterLines="0" w:line="240" w:lineRule="auto"/>
              <w:jc w:val="left"/>
              <w:rPr>
                <w:rFonts w:hint="default" w:ascii="Times New Roman" w:hAnsi="Times New Roman"/>
                <w:b/>
                <w:bCs/>
                <w:szCs w:val="24"/>
              </w:rPr>
            </w:pPr>
            <w:r>
              <w:rPr>
                <w:rFonts w:hint="default" w:ascii="Times New Roman" w:hAnsi="Times New Roman"/>
                <w:szCs w:val="24"/>
              </w:rPr>
              <w:t>▲</w:t>
            </w:r>
            <w:r>
              <w:rPr>
                <w:rFonts w:hint="default" w:ascii="Times New Roman" w:hAnsi="Times New Roman"/>
                <w:b/>
                <w:bCs/>
                <w:szCs w:val="24"/>
              </w:rPr>
              <w:t>（3）采购人拟采购的产品属于政府强制采购的节能产品品目清单范围的，供应商未按采购文件要求提供国家确定的认证机构出具的、处于有效期之内的节能产品认证证书，投标无效。</w:t>
            </w:r>
          </w:p>
          <w:p>
            <w:pPr>
              <w:pStyle w:val="7"/>
              <w:adjustRightInd w:val="0"/>
              <w:snapToGrid w:val="0"/>
              <w:spacing w:beforeLines="0" w:afterLines="0" w:line="240" w:lineRule="auto"/>
              <w:jc w:val="left"/>
              <w:rPr>
                <w:rFonts w:hint="default" w:ascii="Times New Roman" w:hAnsi="Times New Roman"/>
                <w:szCs w:val="24"/>
              </w:rPr>
            </w:pPr>
            <w:r>
              <w:rPr>
                <w:rFonts w:hint="default" w:ascii="Times New Roman" w:hAnsi="Times New Roman"/>
                <w:b/>
                <w:bCs/>
                <w:szCs w:val="24"/>
              </w:rPr>
              <w:t>属于政府优先采购产品类别的，须按照要求提供依据国家确定的认证机构出具的、处于有效期之内的节能产品或环境标志产品认证证书，否则不予认定。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22</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采购标的及所属行业</w:t>
            </w:r>
          </w:p>
        </w:tc>
        <w:tc>
          <w:tcPr>
            <w:tcW w:w="714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20" w:lineRule="exact"/>
              <w:textAlignment w:val="bottom"/>
              <w:rPr>
                <w:rFonts w:hint="default" w:ascii="宋体" w:hAnsi="宋体" w:cs="宋体"/>
                <w:sz w:val="24"/>
                <w:szCs w:val="24"/>
              </w:rPr>
            </w:pPr>
            <w:r>
              <w:rPr>
                <w:rFonts w:ascii="宋体" w:hAnsi="宋体" w:cs="宋体"/>
                <w:sz w:val="24"/>
                <w:szCs w:val="24"/>
              </w:rPr>
              <w:t>1.本次采购标的为</w:t>
            </w:r>
            <w:r>
              <w:rPr>
                <w:rFonts w:ascii="宋体" w:hAnsi="宋体" w:cs="宋体"/>
                <w:b/>
                <w:bCs/>
                <w:sz w:val="24"/>
                <w:szCs w:val="24"/>
                <w:u w:val="single"/>
              </w:rPr>
              <w:t>详见“第四章 采购内容及需求”“标的名称”</w:t>
            </w:r>
            <w:r>
              <w:rPr>
                <w:rFonts w:ascii="宋体" w:hAnsi="宋体" w:cs="宋体"/>
                <w:sz w:val="24"/>
                <w:szCs w:val="24"/>
              </w:rPr>
              <w:t>，对应的中小企业划分标准所属行业是：</w:t>
            </w:r>
            <w:r>
              <w:rPr>
                <w:rFonts w:ascii="宋体" w:hAnsi="宋体" w:cs="宋体"/>
                <w:sz w:val="24"/>
                <w:u w:val="single"/>
              </w:rPr>
              <w:t>工业</w:t>
            </w:r>
            <w:r>
              <w:rPr>
                <w:rFonts w:ascii="宋体" w:hAnsi="宋体" w:cs="宋体"/>
                <w:sz w:val="24"/>
                <w:szCs w:val="24"/>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pStyle w:val="7"/>
              <w:adjustRightInd w:val="0"/>
              <w:snapToGrid w:val="0"/>
              <w:spacing w:beforeLines="0" w:afterLines="0" w:line="320" w:lineRule="exact"/>
              <w:rPr>
                <w:rFonts w:hint="default" w:hAnsi="宋体" w:cs="宋体"/>
                <w:szCs w:val="24"/>
              </w:rPr>
            </w:pPr>
            <w:r>
              <w:rPr>
                <w:rFonts w:hAnsi="宋体" w:cs="宋体"/>
              </w:rPr>
              <w:t>2.采购标的对应的采购类型：</w:t>
            </w:r>
            <w:r>
              <w:rPr>
                <w:rFonts w:hAnsi="宋体" w:cs="宋体"/>
                <w:b/>
                <w:bCs/>
                <w:u w:val="single"/>
              </w:rPr>
              <w:t>货物类</w:t>
            </w:r>
            <w:r>
              <w:rPr>
                <w:rFonts w:hAnsi="宋体" w:cs="宋体"/>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23</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促进中小</w:t>
            </w:r>
          </w:p>
          <w:p>
            <w:pPr>
              <w:jc w:val="center"/>
              <w:rPr>
                <w:rFonts w:hint="default"/>
                <w:sz w:val="24"/>
                <w:szCs w:val="24"/>
              </w:rPr>
            </w:pPr>
            <w:r>
              <w:rPr>
                <w:rFonts w:hint="default"/>
                <w:sz w:val="24"/>
                <w:szCs w:val="24"/>
              </w:rPr>
              <w:t>企业发展</w:t>
            </w:r>
          </w:p>
        </w:tc>
        <w:tc>
          <w:tcPr>
            <w:tcW w:w="71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hint="default"/>
                <w:sz w:val="24"/>
                <w:szCs w:val="24"/>
              </w:rPr>
            </w:pPr>
            <w:r>
              <w:rPr>
                <w:rFonts w:hint="default"/>
                <w:sz w:val="24"/>
                <w:szCs w:val="24"/>
              </w:rPr>
              <w:t>1</w:t>
            </w:r>
            <w:r>
              <w:rPr>
                <w:sz w:val="24"/>
                <w:szCs w:val="24"/>
              </w:rPr>
              <w:t>.</w:t>
            </w:r>
            <w:r>
              <w:rPr>
                <w:rFonts w:ascii="宋体" w:hAnsi="宋体" w:cs="宋体"/>
                <w:sz w:val="24"/>
                <w:szCs w:val="24"/>
              </w:rPr>
              <w:t>本次采购为非专门面向中小企业预留采购份额的采购项目</w:t>
            </w:r>
            <w:r>
              <w:rPr>
                <w:rFonts w:hint="default"/>
                <w:sz w:val="24"/>
                <w:szCs w:val="24"/>
              </w:rPr>
              <w:t>。</w:t>
            </w:r>
          </w:p>
          <w:p>
            <w:pPr>
              <w:autoSpaceDE w:val="0"/>
              <w:autoSpaceDN w:val="0"/>
              <w:snapToGrid w:val="0"/>
              <w:textAlignment w:val="bottom"/>
              <w:rPr>
                <w:rFonts w:hint="default"/>
                <w:sz w:val="24"/>
                <w:szCs w:val="24"/>
              </w:rPr>
            </w:pPr>
            <w:r>
              <w:rPr>
                <w:rFonts w:hint="default"/>
                <w:sz w:val="24"/>
                <w:szCs w:val="24"/>
              </w:rPr>
              <w:t>2</w:t>
            </w:r>
            <w:r>
              <w:rPr>
                <w:sz w:val="24"/>
                <w:szCs w:val="24"/>
              </w:rPr>
              <w:t>.</w:t>
            </w:r>
            <w:r>
              <w:rPr>
                <w:rFonts w:hint="default"/>
                <w:sz w:val="24"/>
                <w:szCs w:val="24"/>
              </w:rPr>
              <w:t>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pPr>
              <w:autoSpaceDE w:val="0"/>
              <w:autoSpaceDN w:val="0"/>
              <w:snapToGrid w:val="0"/>
              <w:textAlignment w:val="bottom"/>
              <w:rPr>
                <w:rFonts w:hint="default"/>
                <w:sz w:val="24"/>
                <w:szCs w:val="24"/>
              </w:rPr>
            </w:pPr>
            <w:r>
              <w:rPr>
                <w:rFonts w:hint="default"/>
                <w:sz w:val="24"/>
                <w:szCs w:val="24"/>
              </w:rPr>
              <w:t>3</w:t>
            </w:r>
            <w:r>
              <w:rPr>
                <w:sz w:val="24"/>
                <w:szCs w:val="24"/>
              </w:rPr>
              <w:t>.</w:t>
            </w:r>
            <w:r>
              <w:rPr>
                <w:rFonts w:hint="default"/>
                <w:sz w:val="24"/>
                <w:szCs w:val="24"/>
              </w:rPr>
              <w:t>以联合体形式参加政府采购活动，联合体各方均为小微企业的，联合体视同小微企业。</w:t>
            </w:r>
          </w:p>
          <w:p>
            <w:pPr>
              <w:autoSpaceDE w:val="0"/>
              <w:autoSpaceDN w:val="0"/>
              <w:snapToGrid w:val="0"/>
              <w:textAlignment w:val="bottom"/>
              <w:rPr>
                <w:rFonts w:hint="default"/>
                <w:sz w:val="24"/>
                <w:szCs w:val="24"/>
              </w:rPr>
            </w:pPr>
            <w:r>
              <w:rPr>
                <w:sz w:val="24"/>
                <w:szCs w:val="24"/>
              </w:rPr>
              <w:t>4.</w:t>
            </w:r>
            <w:r>
              <w:rPr>
                <w:rFonts w:hint="default"/>
                <w:sz w:val="24"/>
                <w:szCs w:val="24"/>
              </w:rPr>
              <w:t>符合小微企业划分标准的个体工商户，视同小微企业。</w:t>
            </w:r>
          </w:p>
          <w:p>
            <w:pPr>
              <w:autoSpaceDE w:val="0"/>
              <w:autoSpaceDN w:val="0"/>
              <w:adjustRightInd w:val="0"/>
              <w:snapToGrid w:val="0"/>
              <w:spacing w:line="320" w:lineRule="exact"/>
              <w:textAlignment w:val="bottom"/>
              <w:rPr>
                <w:rFonts w:hint="default"/>
                <w:sz w:val="24"/>
                <w:szCs w:val="24"/>
              </w:rPr>
            </w:pPr>
            <w:r>
              <w:rPr>
                <w:sz w:val="24"/>
                <w:szCs w:val="24"/>
              </w:rPr>
              <w:t>5.参加本次采购活动的供应商提供的货物全部由小微企业制造的，其报价给予10%的扣除，用扣除后的价格参加评审。</w:t>
            </w:r>
          </w:p>
          <w:p>
            <w:pPr>
              <w:autoSpaceDE w:val="0"/>
              <w:autoSpaceDN w:val="0"/>
              <w:adjustRightInd w:val="0"/>
              <w:snapToGrid w:val="0"/>
              <w:spacing w:line="320" w:lineRule="exact"/>
              <w:textAlignment w:val="bottom"/>
              <w:rPr>
                <w:rFonts w:hint="default"/>
                <w:sz w:val="24"/>
                <w:szCs w:val="24"/>
              </w:rPr>
            </w:pPr>
            <w:r>
              <w:rPr>
                <w:sz w:val="24"/>
                <w:szCs w:val="24"/>
              </w:rPr>
              <w:t>6.本项目接受大中型企业与小微企业组成联合体。对于联合协议约定小微企业（所投产品制造商）的合同份额占到合同总金额30%以上的，其报价给予4%的扣除，用扣除后的价格参加评审。组成联合体的小微企业与联合体内其他企业之间存在直接控股、管理关系的，不享受价格扣除优惠政策。</w:t>
            </w:r>
          </w:p>
          <w:p>
            <w:pPr>
              <w:autoSpaceDE w:val="0"/>
              <w:autoSpaceDN w:val="0"/>
              <w:adjustRightInd w:val="0"/>
              <w:snapToGrid w:val="0"/>
              <w:spacing w:line="320" w:lineRule="exact"/>
              <w:textAlignment w:val="bottom"/>
              <w:rPr>
                <w:rFonts w:hint="default"/>
                <w:sz w:val="24"/>
                <w:szCs w:val="24"/>
              </w:rPr>
            </w:pPr>
            <w:r>
              <w:rPr>
                <w:sz w:val="24"/>
                <w:szCs w:val="24"/>
              </w:rPr>
              <w:t>7.本项目允许大中型企业向一家或者多家小微企业（所投产品制造商）分包。对于分包意向协议约定小微企业（所投产品制造商）的合同份额占到合同总金额30%以上的，其报价给予4%的扣除，用扣除后的价格参加评审。接受分包的小微企业与分包企业之间存在直接控股、管理关系的，不享受价格扣除优惠政策。</w:t>
            </w:r>
          </w:p>
          <w:p>
            <w:pPr>
              <w:autoSpaceDE w:val="0"/>
              <w:autoSpaceDN w:val="0"/>
              <w:adjustRightInd w:val="0"/>
              <w:snapToGrid w:val="0"/>
              <w:spacing w:line="320" w:lineRule="exact"/>
              <w:textAlignment w:val="bottom"/>
              <w:rPr>
                <w:rFonts w:hint="default" w:ascii="宋体" w:hAnsi="宋体" w:cs="宋体"/>
                <w:sz w:val="24"/>
                <w:szCs w:val="24"/>
              </w:rPr>
            </w:pPr>
            <w:r>
              <w:rPr>
                <w:sz w:val="24"/>
                <w:szCs w:val="24"/>
              </w:rPr>
              <w:t>8.提供的货物由小微企业制造的，供应商应当出具《中小企业声明函》</w:t>
            </w:r>
            <w:r>
              <w:rPr>
                <w:rFonts w:ascii="宋体" w:hAnsi="宋体" w:cs="宋体"/>
                <w:sz w:val="24"/>
                <w:szCs w:val="24"/>
              </w:rPr>
              <w:t>。</w:t>
            </w:r>
          </w:p>
          <w:p>
            <w:pPr>
              <w:autoSpaceDE w:val="0"/>
              <w:autoSpaceDN w:val="0"/>
              <w:adjustRightInd w:val="0"/>
              <w:snapToGrid w:val="0"/>
              <w:spacing w:line="320" w:lineRule="exact"/>
              <w:textAlignment w:val="bottom"/>
              <w:rPr>
                <w:rFonts w:hint="default" w:ascii="宋体" w:hAnsi="宋体" w:cs="宋体"/>
                <w:sz w:val="24"/>
                <w:szCs w:val="24"/>
              </w:rPr>
            </w:pPr>
            <w:r>
              <w:rPr>
                <w:rFonts w:ascii="宋体" w:hAnsi="宋体" w:cs="宋体"/>
                <w:sz w:val="24"/>
                <w:szCs w:val="24"/>
              </w:rPr>
              <w:t>9.残疾人福利性单位视同小微企业，享受小微企业同等的价格扣除。残疾人福利性单位参加政府采购活动时，应当提供《残疾人福利性单位声明函》。</w:t>
            </w:r>
          </w:p>
          <w:p>
            <w:pPr>
              <w:autoSpaceDE w:val="0"/>
              <w:autoSpaceDN w:val="0"/>
              <w:snapToGrid w:val="0"/>
              <w:textAlignment w:val="bottom"/>
              <w:rPr>
                <w:rFonts w:hint="default"/>
                <w:sz w:val="24"/>
                <w:szCs w:val="24"/>
              </w:rPr>
            </w:pPr>
            <w:r>
              <w:rPr>
                <w:rFonts w:ascii="宋体" w:hAnsi="宋体" w:cs="宋体"/>
                <w:sz w:val="24"/>
                <w:szCs w:val="24"/>
              </w:rPr>
              <w:t>10.监狱企业视同小微企业，享受小微企业同等的价格扣除。监狱企业参加政府采购活动时，应当出具省级以上监狱管理局、戒毒管理局（含新疆生产建设兵团）提供的属于监狱企业的证明文件。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23</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联合体</w:t>
            </w:r>
          </w:p>
        </w:tc>
        <w:tc>
          <w:tcPr>
            <w:tcW w:w="7142" w:type="dxa"/>
            <w:tcBorders>
              <w:top w:val="single" w:color="auto" w:sz="4" w:space="0"/>
              <w:left w:val="single" w:color="auto" w:sz="4" w:space="0"/>
              <w:bottom w:val="single" w:color="auto" w:sz="4" w:space="0"/>
              <w:right w:val="single" w:color="auto" w:sz="4" w:space="0"/>
            </w:tcBorders>
            <w:vAlign w:val="center"/>
          </w:tcPr>
          <w:p>
            <w:pPr>
              <w:rPr>
                <w:rFonts w:hint="default" w:ascii="宋体" w:hAnsi="宋体" w:cs="宋体"/>
                <w:b/>
                <w:bCs/>
                <w:sz w:val="24"/>
                <w:szCs w:val="24"/>
              </w:rPr>
            </w:pPr>
            <w:r>
              <w:rPr>
                <w:rFonts w:hint="default" w:ascii="Wingdings" w:hAnsi="Wingdings" w:cs="宋体"/>
                <w:b/>
                <w:bCs/>
                <w:kern w:val="0"/>
                <w:sz w:val="24"/>
                <w:szCs w:val="24"/>
              </w:rPr>
              <w:t>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6"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24</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转包</w:t>
            </w:r>
          </w:p>
        </w:tc>
        <w:tc>
          <w:tcPr>
            <w:tcW w:w="714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20" w:lineRule="exact"/>
              <w:textAlignment w:val="bottom"/>
              <w:rPr>
                <w:rFonts w:hint="default"/>
                <w:sz w:val="24"/>
                <w:szCs w:val="24"/>
              </w:rPr>
            </w:pPr>
            <w:r>
              <w:rPr>
                <w:rFonts w:ascii="宋体" w:hAnsi="宋体" w:cs="宋体"/>
                <w:sz w:val="24"/>
                <w:szCs w:val="24"/>
              </w:rPr>
              <w:t>本项目不允许转包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2"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25</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分包</w:t>
            </w:r>
          </w:p>
        </w:tc>
        <w:tc>
          <w:tcPr>
            <w:tcW w:w="7142" w:type="dxa"/>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ascii="宋体" w:hAnsi="宋体" w:cs="宋体"/>
                <w:kern w:val="0"/>
                <w:sz w:val="24"/>
              </w:rPr>
              <w:t>投标人根据招标文件载明的项目实际情况，拟在中标后将中标项目的部分非主体、非关键性工作进行分包的，应当在投标文件中载明。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5"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26</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代理服务费</w:t>
            </w:r>
          </w:p>
        </w:tc>
        <w:tc>
          <w:tcPr>
            <w:tcW w:w="7142"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default"/>
                <w:sz w:val="24"/>
                <w:szCs w:val="24"/>
              </w:rPr>
            </w:pPr>
            <w:r>
              <w:rPr>
                <w:rFonts w:hint="default"/>
                <w:sz w:val="24"/>
                <w:szCs w:val="24"/>
              </w:rPr>
              <w:t>本次代理服务费按国家发改委(原国家计委计价格2002)1980号文《招标代理服务收费管理暂行办法》规定收费标准的60%计取，代理服务费单个项目不足5000元，按5000元收取。由</w:t>
            </w:r>
            <w:r>
              <w:rPr>
                <w:sz w:val="24"/>
                <w:szCs w:val="24"/>
              </w:rPr>
              <w:t>中标人</w:t>
            </w:r>
            <w:r>
              <w:rPr>
                <w:rFonts w:hint="default"/>
                <w:sz w:val="24"/>
                <w:szCs w:val="24"/>
              </w:rPr>
              <w:t>在接到成交通知书时支付给代理机构。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6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27</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解释权</w:t>
            </w:r>
          </w:p>
        </w:tc>
        <w:tc>
          <w:tcPr>
            <w:tcW w:w="714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hint="default"/>
                <w:sz w:val="24"/>
                <w:szCs w:val="24"/>
              </w:rPr>
            </w:pPr>
            <w:r>
              <w:rPr>
                <w:rFonts w:hint="default"/>
                <w:sz w:val="24"/>
                <w:szCs w:val="24"/>
              </w:rPr>
              <w:t>本招标文件的解释权属于采购人和采购代理机构。</w:t>
            </w:r>
          </w:p>
        </w:tc>
      </w:tr>
    </w:tbl>
    <w:p>
      <w:pPr>
        <w:pStyle w:val="7"/>
        <w:adjustRightInd w:val="0"/>
        <w:snapToGrid w:val="0"/>
        <w:spacing w:beforeLines="0" w:afterLines="0" w:line="360" w:lineRule="auto"/>
        <w:ind w:firstLine="480"/>
        <w:rPr>
          <w:rFonts w:hint="default" w:ascii="Times New Roman" w:hAnsi="Times New Roman"/>
          <w:b/>
          <w:sz w:val="28"/>
          <w:szCs w:val="28"/>
        </w:rPr>
      </w:pPr>
      <w:r>
        <w:rPr>
          <w:rFonts w:hint="default" w:ascii="Times New Roman" w:hAnsi="Times New Roman"/>
        </w:rPr>
        <w:br w:type="page"/>
      </w:r>
      <w:r>
        <w:rPr>
          <w:rFonts w:hint="default" w:ascii="Times New Roman" w:hAnsi="Times New Roman"/>
          <w:b/>
          <w:sz w:val="28"/>
          <w:szCs w:val="28"/>
        </w:rPr>
        <w:t>一、总则</w:t>
      </w:r>
    </w:p>
    <w:p>
      <w:pPr>
        <w:adjustRightInd w:val="0"/>
        <w:snapToGrid w:val="0"/>
        <w:spacing w:line="360" w:lineRule="auto"/>
        <w:ind w:firstLine="354" w:firstLineChars="147"/>
        <w:jc w:val="left"/>
        <w:outlineLvl w:val="1"/>
        <w:rPr>
          <w:rFonts w:hint="default"/>
          <w:b/>
          <w:sz w:val="24"/>
        </w:rPr>
      </w:pPr>
      <w:r>
        <w:rPr>
          <w:rFonts w:hint="default"/>
          <w:b/>
          <w:sz w:val="24"/>
        </w:rPr>
        <w:t>（一）适用范围</w:t>
      </w:r>
    </w:p>
    <w:p>
      <w:pPr>
        <w:adjustRightInd w:val="0"/>
        <w:snapToGrid w:val="0"/>
        <w:spacing w:line="360" w:lineRule="auto"/>
        <w:ind w:firstLine="480" w:firstLineChars="200"/>
        <w:jc w:val="left"/>
        <w:rPr>
          <w:rFonts w:hint="default"/>
          <w:sz w:val="24"/>
        </w:rPr>
      </w:pPr>
      <w:r>
        <w:rPr>
          <w:rFonts w:hint="default"/>
          <w:sz w:val="24"/>
        </w:rPr>
        <w:t>本招标文件适用于本次采购项目的招标、投标、评标、定标、验收、合同履约、付款等行为（法律、法规另有规定的，从其规定）。</w:t>
      </w:r>
    </w:p>
    <w:p>
      <w:pPr>
        <w:adjustRightInd w:val="0"/>
        <w:snapToGrid w:val="0"/>
        <w:spacing w:line="360" w:lineRule="auto"/>
        <w:ind w:firstLine="354" w:firstLineChars="147"/>
        <w:jc w:val="left"/>
        <w:outlineLvl w:val="1"/>
        <w:rPr>
          <w:rFonts w:hint="default"/>
          <w:b/>
          <w:sz w:val="24"/>
        </w:rPr>
      </w:pPr>
      <w:r>
        <w:rPr>
          <w:rFonts w:hint="default"/>
          <w:b/>
          <w:sz w:val="24"/>
        </w:rPr>
        <w:t>（二）定义</w:t>
      </w:r>
    </w:p>
    <w:p>
      <w:pPr>
        <w:adjustRightInd w:val="0"/>
        <w:snapToGrid w:val="0"/>
        <w:spacing w:line="360" w:lineRule="auto"/>
        <w:ind w:firstLine="480" w:firstLineChars="200"/>
        <w:jc w:val="left"/>
        <w:rPr>
          <w:rFonts w:hint="default"/>
          <w:sz w:val="24"/>
        </w:rPr>
      </w:pPr>
      <w:r>
        <w:rPr>
          <w:rFonts w:hint="default"/>
          <w:sz w:val="24"/>
        </w:rPr>
        <w:t>1.招标采购单位：系指组织本次招标的代理机构和采购人。</w:t>
      </w:r>
    </w:p>
    <w:p>
      <w:pPr>
        <w:adjustRightInd w:val="0"/>
        <w:snapToGrid w:val="0"/>
        <w:spacing w:line="360" w:lineRule="auto"/>
        <w:ind w:firstLine="480" w:firstLineChars="200"/>
        <w:jc w:val="left"/>
        <w:rPr>
          <w:rFonts w:hint="default"/>
          <w:sz w:val="24"/>
        </w:rPr>
      </w:pPr>
      <w:r>
        <w:rPr>
          <w:rFonts w:hint="default"/>
          <w:sz w:val="24"/>
        </w:rPr>
        <w:t>2.投标人：系指向招标方提交投标文件的单位或个人，也称作供应商。</w:t>
      </w:r>
    </w:p>
    <w:p>
      <w:pPr>
        <w:adjustRightInd w:val="0"/>
        <w:snapToGrid w:val="0"/>
        <w:spacing w:line="360" w:lineRule="auto"/>
        <w:ind w:firstLine="480" w:firstLineChars="200"/>
        <w:jc w:val="left"/>
        <w:rPr>
          <w:rFonts w:hint="default"/>
          <w:sz w:val="24"/>
        </w:rPr>
      </w:pPr>
      <w:r>
        <w:rPr>
          <w:rFonts w:hint="default"/>
          <w:sz w:val="24"/>
        </w:rPr>
        <w:t>3.投标人代表：是指参加本项目投标活动的供应商法定代表人或法定代表人授权代表。</w:t>
      </w:r>
    </w:p>
    <w:p>
      <w:pPr>
        <w:adjustRightInd w:val="0"/>
        <w:snapToGrid w:val="0"/>
        <w:spacing w:line="360" w:lineRule="auto"/>
        <w:ind w:firstLine="480" w:firstLineChars="200"/>
        <w:jc w:val="left"/>
        <w:rPr>
          <w:rFonts w:hint="default"/>
          <w:sz w:val="24"/>
        </w:rPr>
      </w:pPr>
      <w:r>
        <w:rPr>
          <w:rFonts w:hint="default"/>
          <w:sz w:val="24"/>
        </w:rPr>
        <w:t>4.联合体：是指两个以上供应商组成联合体，以一个供应商的身份参加投标。</w:t>
      </w:r>
    </w:p>
    <w:p>
      <w:pPr>
        <w:adjustRightInd w:val="0"/>
        <w:snapToGrid w:val="0"/>
        <w:spacing w:line="360" w:lineRule="auto"/>
        <w:ind w:firstLine="480" w:firstLineChars="200"/>
        <w:jc w:val="left"/>
        <w:rPr>
          <w:rFonts w:hint="default"/>
          <w:sz w:val="24"/>
        </w:rPr>
      </w:pPr>
      <w:r>
        <w:rPr>
          <w:rFonts w:hint="default"/>
          <w:sz w:val="24"/>
        </w:rPr>
        <w:t>5.甲方：是指合同签订的一方，一般与采购人、</w:t>
      </w:r>
      <w:r>
        <w:rPr>
          <w:sz w:val="24"/>
        </w:rPr>
        <w:t>采购单位</w:t>
      </w:r>
      <w:r>
        <w:rPr>
          <w:rFonts w:hint="default"/>
          <w:sz w:val="24"/>
        </w:rPr>
        <w:t>、用户相同。</w:t>
      </w:r>
    </w:p>
    <w:p>
      <w:pPr>
        <w:adjustRightInd w:val="0"/>
        <w:snapToGrid w:val="0"/>
        <w:spacing w:line="360" w:lineRule="auto"/>
        <w:ind w:firstLine="480" w:firstLineChars="200"/>
        <w:jc w:val="left"/>
        <w:rPr>
          <w:rFonts w:hint="default"/>
          <w:sz w:val="24"/>
        </w:rPr>
      </w:pPr>
      <w:r>
        <w:rPr>
          <w:rFonts w:hint="default"/>
          <w:sz w:val="24"/>
        </w:rPr>
        <w:t>6.乙方：是指合同签订的另一方，与中标人相同。</w:t>
      </w:r>
    </w:p>
    <w:p>
      <w:pPr>
        <w:adjustRightInd w:val="0"/>
        <w:snapToGrid w:val="0"/>
        <w:spacing w:line="360" w:lineRule="auto"/>
        <w:ind w:firstLine="480" w:firstLineChars="200"/>
        <w:jc w:val="left"/>
        <w:rPr>
          <w:rFonts w:hint="default"/>
          <w:sz w:val="24"/>
        </w:rPr>
      </w:pPr>
      <w:r>
        <w:rPr>
          <w:rFonts w:hint="default"/>
          <w:sz w:val="24"/>
        </w:rPr>
        <w:t>7.“产品”系指供方按招标文件规定，须向采购人提供的一切设备、保险、税金、备品备件、工具、手册及其它有关技术资料和材料。</w:t>
      </w:r>
    </w:p>
    <w:p>
      <w:pPr>
        <w:adjustRightInd w:val="0"/>
        <w:snapToGrid w:val="0"/>
        <w:spacing w:line="360" w:lineRule="auto"/>
        <w:ind w:firstLine="480" w:firstLineChars="200"/>
        <w:jc w:val="left"/>
        <w:rPr>
          <w:rFonts w:hint="default"/>
          <w:sz w:val="24"/>
        </w:rPr>
      </w:pPr>
      <w:r>
        <w:rPr>
          <w:rFonts w:hint="default"/>
          <w:sz w:val="24"/>
        </w:rPr>
        <w:t>8.“服务”系指招标文件规定投标人须承担的</w:t>
      </w:r>
      <w:r>
        <w:rPr>
          <w:sz w:val="24"/>
        </w:rPr>
        <w:t>本项目相关</w:t>
      </w:r>
      <w:r>
        <w:rPr>
          <w:rFonts w:hint="default"/>
          <w:sz w:val="24"/>
        </w:rPr>
        <w:t>服务以及其他类似的义务。</w:t>
      </w:r>
    </w:p>
    <w:p>
      <w:pPr>
        <w:adjustRightInd w:val="0"/>
        <w:snapToGrid w:val="0"/>
        <w:spacing w:line="360" w:lineRule="auto"/>
        <w:ind w:firstLine="480" w:firstLineChars="200"/>
        <w:jc w:val="left"/>
        <w:rPr>
          <w:rFonts w:hint="default"/>
          <w:sz w:val="24"/>
        </w:rPr>
      </w:pPr>
      <w:r>
        <w:rPr>
          <w:rFonts w:hint="default"/>
          <w:sz w:val="24"/>
        </w:rPr>
        <w:t>9.“项目”系指投标人按招标文件规定向采购人提供的产品和服务。</w:t>
      </w:r>
    </w:p>
    <w:p>
      <w:pPr>
        <w:adjustRightInd w:val="0"/>
        <w:snapToGrid w:val="0"/>
        <w:spacing w:line="360" w:lineRule="auto"/>
        <w:ind w:firstLine="480" w:firstLineChars="200"/>
        <w:jc w:val="left"/>
        <w:rPr>
          <w:rFonts w:hint="default"/>
          <w:sz w:val="24"/>
        </w:rPr>
      </w:pPr>
      <w:r>
        <w:rPr>
          <w:rFonts w:hint="default"/>
          <w:sz w:val="24"/>
        </w:rPr>
        <w:t>10.“书面形式”包括信函、传真、电报等。</w:t>
      </w:r>
    </w:p>
    <w:p>
      <w:pPr>
        <w:snapToGrid w:val="0"/>
        <w:spacing w:line="360" w:lineRule="auto"/>
        <w:ind w:firstLine="480" w:firstLineChars="200"/>
        <w:rPr>
          <w:rFonts w:hint="default" w:ascii="宋体" w:hAnsi="宋体" w:cs="宋体"/>
          <w:sz w:val="24"/>
        </w:rPr>
      </w:pPr>
      <w:r>
        <w:rPr>
          <w:rFonts w:ascii="宋体" w:hAnsi="宋体" w:cs="宋体"/>
          <w:sz w:val="24"/>
        </w:rPr>
        <w:t>11.“电子签名”系指数据电文中以电子形式所含、所附用于识别签名人身份并表明签名人认可其中内容的数据；“公章”系指单位法定名称章。因特殊原因需要使用冠以法定名称的业务专用章的，投标时须提供《业务专用章使用说明函》。</w:t>
      </w:r>
    </w:p>
    <w:p>
      <w:pPr>
        <w:snapToGrid w:val="0"/>
        <w:spacing w:line="360" w:lineRule="auto"/>
        <w:ind w:firstLine="480" w:firstLineChars="200"/>
        <w:rPr>
          <w:rFonts w:hint="default" w:ascii="宋体" w:hAnsi="宋体" w:cs="宋体"/>
          <w:sz w:val="24"/>
        </w:rPr>
      </w:pPr>
      <w:r>
        <w:rPr>
          <w:rFonts w:ascii="宋体" w:hAnsi="宋体" w:cs="宋体"/>
          <w:sz w:val="24"/>
        </w:rPr>
        <w:t>12.“电子交易平台”系指本项目政府采购活动所依托的政府采购云平台（https://www.zcygov.cn/）。</w:t>
      </w:r>
    </w:p>
    <w:p>
      <w:pPr>
        <w:snapToGrid w:val="0"/>
        <w:spacing w:line="360" w:lineRule="auto"/>
        <w:ind w:firstLine="482" w:firstLineChars="200"/>
        <w:rPr>
          <w:rFonts w:hint="default" w:ascii="宋体" w:hAnsi="宋体" w:cs="宋体"/>
          <w:b/>
          <w:bCs/>
          <w:sz w:val="24"/>
          <w:szCs w:val="22"/>
        </w:rPr>
      </w:pPr>
      <w:r>
        <w:rPr>
          <w:rFonts w:ascii="宋体" w:hAnsi="宋体" w:cs="宋体"/>
          <w:b/>
          <w:bCs/>
          <w:sz w:val="24"/>
          <w:szCs w:val="22"/>
        </w:rPr>
        <w:t>13.“▲”系指实质性要求条款。“</w:t>
      </w:r>
      <w:r>
        <w:rPr>
          <w:rFonts w:ascii="宋体" w:hAnsi="宋体" w:cs="宋体"/>
          <w:sz w:val="24"/>
          <w:szCs w:val="24"/>
        </w:rPr>
        <w:sym w:font="Wingdings 2" w:char="0052"/>
      </w:r>
      <w:r>
        <w:rPr>
          <w:rFonts w:ascii="宋体" w:hAnsi="宋体" w:cs="宋体"/>
          <w:b/>
          <w:bCs/>
          <w:sz w:val="24"/>
          <w:szCs w:val="22"/>
        </w:rPr>
        <w:t>” 系指适用本项目的要求，“☐” 系指不适用本项目的要求。</w:t>
      </w:r>
    </w:p>
    <w:p>
      <w:pPr>
        <w:adjustRightInd w:val="0"/>
        <w:snapToGrid w:val="0"/>
        <w:spacing w:line="360" w:lineRule="auto"/>
        <w:ind w:firstLine="472" w:firstLineChars="196"/>
        <w:jc w:val="left"/>
        <w:outlineLvl w:val="1"/>
        <w:rPr>
          <w:rFonts w:hint="default"/>
          <w:b/>
          <w:sz w:val="24"/>
        </w:rPr>
      </w:pPr>
      <w:r>
        <w:rPr>
          <w:rFonts w:hint="default"/>
          <w:b/>
          <w:sz w:val="24"/>
        </w:rPr>
        <w:t>（三）招标方式</w:t>
      </w:r>
    </w:p>
    <w:p>
      <w:pPr>
        <w:adjustRightInd w:val="0"/>
        <w:snapToGrid w:val="0"/>
        <w:spacing w:line="360" w:lineRule="auto"/>
        <w:ind w:firstLine="480" w:firstLineChars="200"/>
        <w:jc w:val="left"/>
        <w:rPr>
          <w:rFonts w:hint="default"/>
          <w:sz w:val="24"/>
        </w:rPr>
      </w:pPr>
      <w:r>
        <w:rPr>
          <w:rFonts w:hint="default"/>
          <w:sz w:val="24"/>
        </w:rPr>
        <w:t>本次招标采用公开招标方式进行。</w:t>
      </w:r>
    </w:p>
    <w:p>
      <w:pPr>
        <w:adjustRightInd w:val="0"/>
        <w:snapToGrid w:val="0"/>
        <w:spacing w:line="360" w:lineRule="auto"/>
        <w:ind w:firstLine="472" w:firstLineChars="196"/>
        <w:jc w:val="left"/>
        <w:outlineLvl w:val="1"/>
        <w:rPr>
          <w:rFonts w:hint="default"/>
          <w:b/>
          <w:sz w:val="24"/>
        </w:rPr>
      </w:pPr>
      <w:r>
        <w:rPr>
          <w:rFonts w:hint="default"/>
          <w:b/>
          <w:sz w:val="24"/>
        </w:rPr>
        <w:t>（</w:t>
      </w:r>
      <w:r>
        <w:rPr>
          <w:b/>
          <w:sz w:val="24"/>
        </w:rPr>
        <w:t>四</w:t>
      </w:r>
      <w:r>
        <w:rPr>
          <w:rFonts w:hint="default"/>
          <w:b/>
          <w:sz w:val="24"/>
        </w:rPr>
        <w:t>）投标费用</w:t>
      </w:r>
    </w:p>
    <w:p>
      <w:pPr>
        <w:adjustRightInd w:val="0"/>
        <w:snapToGrid w:val="0"/>
        <w:spacing w:line="360" w:lineRule="auto"/>
        <w:ind w:firstLine="480" w:firstLineChars="200"/>
        <w:jc w:val="left"/>
        <w:rPr>
          <w:rFonts w:hint="default"/>
          <w:sz w:val="24"/>
        </w:rPr>
      </w:pPr>
      <w:r>
        <w:rPr>
          <w:rFonts w:hint="default"/>
          <w:sz w:val="24"/>
        </w:rPr>
        <w:t>不论投标结果如何，投标人均应自行承担所有与投标有关的全部费用。</w:t>
      </w:r>
    </w:p>
    <w:p>
      <w:pPr>
        <w:adjustRightInd w:val="0"/>
        <w:snapToGrid w:val="0"/>
        <w:spacing w:line="360" w:lineRule="auto"/>
        <w:ind w:firstLine="472" w:firstLineChars="196"/>
        <w:jc w:val="left"/>
        <w:rPr>
          <w:rFonts w:hint="default"/>
          <w:b/>
          <w:sz w:val="24"/>
        </w:rPr>
      </w:pPr>
      <w:r>
        <w:rPr>
          <w:rFonts w:hint="default"/>
          <w:b/>
          <w:sz w:val="24"/>
        </w:rPr>
        <w:t>（</w:t>
      </w:r>
      <w:r>
        <w:rPr>
          <w:b/>
          <w:sz w:val="24"/>
        </w:rPr>
        <w:t>五</w:t>
      </w:r>
      <w:r>
        <w:rPr>
          <w:rFonts w:hint="default"/>
          <w:b/>
          <w:sz w:val="24"/>
        </w:rPr>
        <w:t>）联合体投标</w:t>
      </w:r>
    </w:p>
    <w:p>
      <w:pPr>
        <w:adjustRightInd w:val="0"/>
        <w:snapToGrid w:val="0"/>
        <w:spacing w:line="360" w:lineRule="auto"/>
        <w:ind w:firstLine="480" w:firstLineChars="200"/>
        <w:jc w:val="left"/>
        <w:rPr>
          <w:rFonts w:hint="default"/>
          <w:b/>
          <w:bCs/>
          <w:sz w:val="24"/>
        </w:rPr>
      </w:pPr>
      <w:r>
        <w:rPr>
          <w:sz w:val="24"/>
        </w:rPr>
        <w:t>详见投标人须知前附表</w:t>
      </w:r>
    </w:p>
    <w:p>
      <w:pPr>
        <w:adjustRightInd w:val="0"/>
        <w:snapToGrid w:val="0"/>
        <w:spacing w:line="360" w:lineRule="auto"/>
        <w:ind w:firstLine="472" w:firstLineChars="196"/>
        <w:rPr>
          <w:rFonts w:hint="default"/>
          <w:b/>
          <w:kern w:val="0"/>
          <w:sz w:val="24"/>
        </w:rPr>
      </w:pPr>
      <w:r>
        <w:rPr>
          <w:rFonts w:hint="default"/>
          <w:b/>
          <w:sz w:val="24"/>
        </w:rPr>
        <w:t>（</w:t>
      </w:r>
      <w:r>
        <w:rPr>
          <w:b/>
          <w:sz w:val="24"/>
        </w:rPr>
        <w:t>六</w:t>
      </w:r>
      <w:r>
        <w:rPr>
          <w:rFonts w:hint="default"/>
          <w:b/>
          <w:sz w:val="24"/>
        </w:rPr>
        <w:t>）</w:t>
      </w:r>
      <w:r>
        <w:rPr>
          <w:rFonts w:hint="default"/>
          <w:b/>
          <w:kern w:val="0"/>
          <w:sz w:val="24"/>
        </w:rPr>
        <w:t>转包与分包</w:t>
      </w:r>
    </w:p>
    <w:p>
      <w:pPr>
        <w:adjustRightInd w:val="0"/>
        <w:snapToGrid w:val="0"/>
        <w:spacing w:line="360" w:lineRule="auto"/>
        <w:ind w:firstLine="470" w:firstLineChars="196"/>
        <w:jc w:val="left"/>
        <w:outlineLvl w:val="1"/>
        <w:rPr>
          <w:rFonts w:hint="default"/>
          <w:sz w:val="24"/>
        </w:rPr>
      </w:pPr>
      <w:r>
        <w:rPr>
          <w:sz w:val="24"/>
        </w:rPr>
        <w:t>详见投标人须知前附表</w:t>
      </w:r>
    </w:p>
    <w:p>
      <w:pPr>
        <w:adjustRightInd w:val="0"/>
        <w:snapToGrid w:val="0"/>
        <w:spacing w:line="360" w:lineRule="auto"/>
        <w:ind w:firstLine="472" w:firstLineChars="196"/>
        <w:outlineLvl w:val="1"/>
        <w:rPr>
          <w:rFonts w:hint="default" w:ascii="宋体" w:hAnsi="宋体" w:cs="宋体"/>
          <w:b/>
          <w:sz w:val="24"/>
        </w:rPr>
      </w:pPr>
      <w:r>
        <w:rPr>
          <w:rFonts w:ascii="宋体" w:hAnsi="宋体" w:cs="宋体"/>
          <w:b/>
          <w:sz w:val="24"/>
        </w:rPr>
        <w:t>（七）采购项目需要落实的政府采购政策</w:t>
      </w:r>
    </w:p>
    <w:p>
      <w:pPr>
        <w:adjustRightInd w:val="0"/>
        <w:snapToGrid w:val="0"/>
        <w:spacing w:line="360" w:lineRule="auto"/>
        <w:ind w:firstLine="480" w:firstLineChars="200"/>
        <w:rPr>
          <w:rFonts w:hint="default" w:ascii="宋体" w:hAnsi="宋体" w:cs="宋体"/>
          <w:sz w:val="24"/>
        </w:rPr>
      </w:pPr>
      <w:r>
        <w:rPr>
          <w:rFonts w:ascii="宋体" w:hAnsi="宋体" w:cs="宋体"/>
          <w:sz w:val="24"/>
        </w:rPr>
        <w:t>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ascii="宋体" w:hAnsi="宋体" w:cs="宋体"/>
          <w:kern w:val="0"/>
          <w:sz w:val="24"/>
        </w:rPr>
        <w:t>优先采购向我国企业转让技术、与我国企业签订消化吸收再创新方案的供应商的进口产品</w:t>
      </w:r>
      <w:r>
        <w:rPr>
          <w:rFonts w:ascii="宋体" w:hAnsi="宋体" w:cs="宋体"/>
          <w:sz w:val="24"/>
        </w:rPr>
        <w:t>。</w:t>
      </w:r>
    </w:p>
    <w:p>
      <w:pPr>
        <w:adjustRightInd w:val="0"/>
        <w:snapToGrid w:val="0"/>
        <w:spacing w:line="360" w:lineRule="auto"/>
        <w:ind w:firstLine="480" w:firstLineChars="200"/>
        <w:rPr>
          <w:rFonts w:hint="default" w:ascii="宋体" w:hAnsi="宋体" w:cs="宋体"/>
          <w:sz w:val="24"/>
        </w:rPr>
      </w:pPr>
      <w:r>
        <w:rPr>
          <w:rFonts w:ascii="宋体" w:hAnsi="宋体" w:cs="宋体"/>
          <w:sz w:val="24"/>
        </w:rPr>
        <w:t>2.支持绿色发展</w:t>
      </w:r>
    </w:p>
    <w:p>
      <w:pPr>
        <w:adjustRightInd w:val="0"/>
        <w:snapToGrid w:val="0"/>
        <w:spacing w:line="360" w:lineRule="auto"/>
        <w:ind w:firstLine="480" w:firstLineChars="200"/>
        <w:rPr>
          <w:rFonts w:hint="default" w:ascii="宋体" w:hAnsi="宋体" w:cs="宋体"/>
          <w:b/>
          <w:bCs/>
          <w:sz w:val="24"/>
        </w:rPr>
      </w:pPr>
      <w:r>
        <w:rPr>
          <w:rFonts w:ascii="宋体" w:hAnsi="宋体" w:cs="宋体"/>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ascii="宋体" w:hAnsi="宋体" w:cs="宋体"/>
          <w:b/>
          <w:bCs/>
          <w:sz w:val="24"/>
        </w:rPr>
        <w:t>▲采购人拟采购的产品属于政府强制采购的节能产品品目清单范围的，投标人相应的投标产品未获得国家确定的认证机构出具的、处于有效期之内的节能产品认证证书的，投标无效。</w:t>
      </w:r>
    </w:p>
    <w:p>
      <w:pPr>
        <w:adjustRightInd w:val="0"/>
        <w:snapToGrid w:val="0"/>
        <w:spacing w:line="360" w:lineRule="auto"/>
        <w:ind w:firstLine="482" w:firstLineChars="200"/>
        <w:rPr>
          <w:rFonts w:hint="default" w:ascii="宋体" w:hAnsi="宋体" w:cs="宋体"/>
          <w:b/>
          <w:bCs/>
          <w:sz w:val="24"/>
        </w:rPr>
      </w:pPr>
      <w:r>
        <w:rPr>
          <w:rFonts w:ascii="宋体" w:hAnsi="宋体" w:cs="宋体"/>
          <w:b/>
          <w:bCs/>
          <w:sz w:val="24"/>
        </w:rPr>
        <w:t>《节能产品政府采购品目清单》详见《关于印发节能产品政府采购品目清单的通知(财库[2019]19号)》(如遇调整，按最新清单执行)。</w:t>
      </w:r>
    </w:p>
    <w:tbl>
      <w:tblPr>
        <w:tblStyle w:val="41"/>
        <w:tblW w:w="9940" w:type="dxa"/>
        <w:jc w:val="center"/>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Layout w:type="fixed"/>
        <w:tblCellMar>
          <w:top w:w="0" w:type="dxa"/>
          <w:left w:w="108" w:type="dxa"/>
          <w:bottom w:w="0" w:type="dxa"/>
          <w:right w:w="108" w:type="dxa"/>
        </w:tblCellMar>
      </w:tblPr>
      <w:tblGrid>
        <w:gridCol w:w="690"/>
        <w:gridCol w:w="1933"/>
        <w:gridCol w:w="2334"/>
        <w:gridCol w:w="1682"/>
        <w:gridCol w:w="3301"/>
      </w:tblGrid>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tblHeader/>
          <w:jc w:val="center"/>
        </w:trPr>
        <w:tc>
          <w:tcPr>
            <w:tcW w:w="690" w:type="dxa"/>
            <w:shd w:val="clear" w:color="auto" w:fill="DAEEF3"/>
            <w:vAlign w:val="center"/>
          </w:tcPr>
          <w:p>
            <w:pPr>
              <w:jc w:val="center"/>
              <w:rPr>
                <w:rFonts w:hint="default" w:ascii="宋体" w:hAnsi="宋体"/>
                <w:b/>
                <w:w w:val="90"/>
                <w:szCs w:val="21"/>
              </w:rPr>
            </w:pPr>
            <w:r>
              <w:rPr>
                <w:rFonts w:ascii="宋体" w:hAnsi="宋体"/>
                <w:b/>
                <w:w w:val="90"/>
                <w:szCs w:val="21"/>
              </w:rPr>
              <w:t>品目序号</w:t>
            </w:r>
          </w:p>
        </w:tc>
        <w:tc>
          <w:tcPr>
            <w:tcW w:w="5949" w:type="dxa"/>
            <w:gridSpan w:val="3"/>
            <w:shd w:val="clear" w:color="auto" w:fill="DAEEF3"/>
            <w:vAlign w:val="center"/>
          </w:tcPr>
          <w:p>
            <w:pPr>
              <w:jc w:val="center"/>
              <w:rPr>
                <w:rFonts w:hint="default" w:ascii="宋体" w:hAnsi="宋体"/>
                <w:b/>
                <w:w w:val="90"/>
                <w:szCs w:val="21"/>
              </w:rPr>
            </w:pPr>
            <w:r>
              <w:rPr>
                <w:rFonts w:ascii="宋体" w:hAnsi="宋体"/>
                <w:b/>
                <w:w w:val="90"/>
                <w:szCs w:val="21"/>
              </w:rPr>
              <w:t>名称（</w:t>
            </w:r>
            <w:r>
              <w:rPr>
                <w:rFonts w:ascii="宋体" w:hAnsi="宋体"/>
                <w:b/>
                <w:w w:val="90"/>
                <w:szCs w:val="22"/>
              </w:rPr>
              <w:t>以“</w:t>
            </w:r>
            <w:r>
              <w:rPr>
                <w:rFonts w:ascii="宋体" w:hAnsi="宋体" w:cs="宋体"/>
                <w:b/>
                <w:w w:val="90"/>
                <w:szCs w:val="22"/>
              </w:rPr>
              <w:t>★</w:t>
            </w:r>
            <w:r>
              <w:rPr>
                <w:rFonts w:ascii="宋体" w:hAnsi="宋体" w:cs="Calibri"/>
                <w:b/>
                <w:w w:val="90"/>
                <w:szCs w:val="22"/>
              </w:rPr>
              <w:t>”</w:t>
            </w:r>
            <w:r>
              <w:rPr>
                <w:rFonts w:ascii="宋体" w:hAnsi="宋体"/>
                <w:b/>
                <w:w w:val="90"/>
                <w:szCs w:val="22"/>
              </w:rPr>
              <w:t>标注的为政府强制采购产品）</w:t>
            </w:r>
          </w:p>
        </w:tc>
        <w:tc>
          <w:tcPr>
            <w:tcW w:w="3301" w:type="dxa"/>
            <w:shd w:val="clear" w:color="auto" w:fill="DAEEF3"/>
            <w:vAlign w:val="center"/>
          </w:tcPr>
          <w:p>
            <w:pPr>
              <w:jc w:val="center"/>
              <w:rPr>
                <w:rFonts w:hint="default" w:ascii="宋体" w:hAnsi="宋体"/>
                <w:b/>
                <w:w w:val="90"/>
                <w:szCs w:val="21"/>
              </w:rPr>
            </w:pPr>
            <w:r>
              <w:rPr>
                <w:rFonts w:ascii="宋体" w:hAnsi="宋体"/>
                <w:b/>
                <w:w w:val="90"/>
                <w:szCs w:val="21"/>
              </w:rPr>
              <w:t>依据的标准</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vAlign w:val="center"/>
          </w:tcPr>
          <w:p>
            <w:pPr>
              <w:jc w:val="center"/>
              <w:rPr>
                <w:rFonts w:hint="default" w:ascii="宋体" w:hAnsi="宋体"/>
                <w:w w:val="90"/>
                <w:szCs w:val="21"/>
              </w:rPr>
            </w:pPr>
            <w:r>
              <w:rPr>
                <w:rFonts w:ascii="宋体" w:hAnsi="宋体"/>
                <w:w w:val="90"/>
                <w:szCs w:val="21"/>
              </w:rPr>
              <w:t>1</w:t>
            </w:r>
          </w:p>
        </w:tc>
        <w:tc>
          <w:tcPr>
            <w:tcW w:w="1933" w:type="dxa"/>
            <w:vMerge w:val="restart"/>
            <w:vAlign w:val="center"/>
          </w:tcPr>
          <w:p>
            <w:pPr>
              <w:jc w:val="center"/>
              <w:rPr>
                <w:rFonts w:hint="default" w:ascii="宋体" w:hAnsi="宋体"/>
                <w:w w:val="90"/>
                <w:szCs w:val="21"/>
              </w:rPr>
            </w:pPr>
            <w:r>
              <w:rPr>
                <w:rFonts w:ascii="宋体" w:hAnsi="宋体"/>
                <w:w w:val="90"/>
                <w:szCs w:val="21"/>
              </w:rPr>
              <w:t>A020101计算机设备</w:t>
            </w:r>
          </w:p>
        </w:tc>
        <w:tc>
          <w:tcPr>
            <w:tcW w:w="2334" w:type="dxa"/>
            <w:vAlign w:val="center"/>
          </w:tcPr>
          <w:p>
            <w:pPr>
              <w:jc w:val="left"/>
              <w:rPr>
                <w:rFonts w:hint="default" w:ascii="宋体" w:hAnsi="宋体"/>
                <w:b/>
                <w:w w:val="90"/>
                <w:szCs w:val="21"/>
              </w:rPr>
            </w:pPr>
            <w:r>
              <w:rPr>
                <w:rFonts w:ascii="宋体" w:hAnsi="宋体" w:cs="宋体"/>
                <w:w w:val="90"/>
                <w:szCs w:val="21"/>
              </w:rPr>
              <w:t>★</w:t>
            </w:r>
            <w:r>
              <w:rPr>
                <w:rFonts w:ascii="宋体" w:hAnsi="宋体" w:cs="Calibri"/>
                <w:b/>
                <w:w w:val="90"/>
                <w:szCs w:val="21"/>
              </w:rPr>
              <w:t>A02010104</w:t>
            </w:r>
            <w:r>
              <w:rPr>
                <w:rFonts w:ascii="宋体" w:hAnsi="宋体"/>
                <w:b/>
                <w:w w:val="90"/>
                <w:szCs w:val="21"/>
              </w:rPr>
              <w:t>台式计算机</w:t>
            </w: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《微型计算机能效限定值及能效等级》（GB 28380）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center"/>
              <w:rPr>
                <w:rFonts w:hint="default" w:ascii="宋体" w:hAnsi="宋体"/>
                <w:w w:val="90"/>
                <w:szCs w:val="21"/>
              </w:rPr>
            </w:pPr>
          </w:p>
        </w:tc>
        <w:tc>
          <w:tcPr>
            <w:tcW w:w="2334" w:type="dxa"/>
            <w:vAlign w:val="center"/>
          </w:tcPr>
          <w:p>
            <w:pPr>
              <w:jc w:val="left"/>
              <w:rPr>
                <w:rFonts w:hint="default" w:ascii="宋体" w:hAnsi="宋体"/>
                <w:b/>
                <w:w w:val="90"/>
                <w:szCs w:val="21"/>
              </w:rPr>
            </w:pPr>
            <w:r>
              <w:rPr>
                <w:rFonts w:ascii="宋体" w:hAnsi="宋体" w:cs="宋体"/>
                <w:w w:val="90"/>
                <w:szCs w:val="21"/>
              </w:rPr>
              <w:t>★</w:t>
            </w:r>
            <w:r>
              <w:rPr>
                <w:rFonts w:ascii="宋体" w:hAnsi="宋体" w:cs="Calibri"/>
                <w:b/>
                <w:w w:val="90"/>
                <w:szCs w:val="21"/>
              </w:rPr>
              <w:t>A02010105</w:t>
            </w:r>
            <w:r>
              <w:rPr>
                <w:rFonts w:ascii="宋体" w:hAnsi="宋体"/>
                <w:b/>
                <w:w w:val="90"/>
                <w:szCs w:val="21"/>
              </w:rPr>
              <w:t>便携式计算</w:t>
            </w: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《微型计算机能效限定值及能效等级》（GB 28380）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center"/>
              <w:rPr>
                <w:rFonts w:hint="default" w:ascii="宋体" w:hAnsi="宋体"/>
                <w:w w:val="90"/>
                <w:szCs w:val="21"/>
              </w:rPr>
            </w:pPr>
          </w:p>
        </w:tc>
        <w:tc>
          <w:tcPr>
            <w:tcW w:w="2334" w:type="dxa"/>
            <w:vAlign w:val="center"/>
          </w:tcPr>
          <w:p>
            <w:pPr>
              <w:jc w:val="left"/>
              <w:rPr>
                <w:rFonts w:hint="default" w:ascii="宋体" w:hAnsi="宋体"/>
                <w:b/>
                <w:w w:val="90"/>
                <w:szCs w:val="21"/>
              </w:rPr>
            </w:pPr>
            <w:r>
              <w:rPr>
                <w:rFonts w:ascii="宋体" w:hAnsi="宋体" w:cs="宋体"/>
                <w:w w:val="90"/>
                <w:szCs w:val="21"/>
              </w:rPr>
              <w:t>★</w:t>
            </w:r>
            <w:r>
              <w:rPr>
                <w:rFonts w:ascii="宋体" w:hAnsi="宋体" w:cs="Calibri"/>
                <w:b/>
                <w:w w:val="90"/>
                <w:szCs w:val="21"/>
              </w:rPr>
              <w:t>A02010107</w:t>
            </w:r>
            <w:r>
              <w:rPr>
                <w:rFonts w:ascii="宋体" w:hAnsi="宋体"/>
                <w:b/>
                <w:w w:val="90"/>
                <w:szCs w:val="21"/>
              </w:rPr>
              <w:t>平板式微型计算机</w:t>
            </w: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《微型计算机能效限定值及能效等级》（GB 28380）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vAlign w:val="center"/>
          </w:tcPr>
          <w:p>
            <w:pPr>
              <w:jc w:val="center"/>
              <w:rPr>
                <w:rFonts w:hint="default" w:ascii="宋体" w:hAnsi="宋体"/>
                <w:w w:val="90"/>
                <w:szCs w:val="21"/>
              </w:rPr>
            </w:pPr>
            <w:r>
              <w:rPr>
                <w:rFonts w:ascii="宋体" w:hAnsi="宋体"/>
                <w:w w:val="90"/>
                <w:szCs w:val="21"/>
              </w:rPr>
              <w:t>2</w:t>
            </w:r>
          </w:p>
        </w:tc>
        <w:tc>
          <w:tcPr>
            <w:tcW w:w="1933" w:type="dxa"/>
            <w:vMerge w:val="restart"/>
            <w:vAlign w:val="center"/>
          </w:tcPr>
          <w:p>
            <w:pPr>
              <w:jc w:val="center"/>
              <w:rPr>
                <w:rFonts w:hint="default" w:ascii="宋体" w:hAnsi="宋体"/>
                <w:w w:val="90"/>
                <w:szCs w:val="21"/>
              </w:rPr>
            </w:pPr>
            <w:r>
              <w:rPr>
                <w:rFonts w:ascii="宋体" w:hAnsi="宋体"/>
                <w:w w:val="90"/>
                <w:szCs w:val="21"/>
              </w:rPr>
              <w:t>A020106输入输出设备</w:t>
            </w:r>
          </w:p>
        </w:tc>
        <w:tc>
          <w:tcPr>
            <w:tcW w:w="2334" w:type="dxa"/>
            <w:vMerge w:val="restart"/>
            <w:vAlign w:val="center"/>
          </w:tcPr>
          <w:p>
            <w:pPr>
              <w:jc w:val="left"/>
              <w:rPr>
                <w:rFonts w:hint="default" w:ascii="宋体" w:hAnsi="宋体"/>
                <w:w w:val="90"/>
                <w:szCs w:val="21"/>
              </w:rPr>
            </w:pPr>
            <w:r>
              <w:rPr>
                <w:rFonts w:ascii="宋体" w:hAnsi="宋体"/>
                <w:w w:val="90"/>
                <w:szCs w:val="21"/>
              </w:rPr>
              <w:t>A02010601打印设备</w:t>
            </w:r>
          </w:p>
        </w:tc>
        <w:tc>
          <w:tcPr>
            <w:tcW w:w="1682" w:type="dxa"/>
            <w:vAlign w:val="center"/>
          </w:tcPr>
          <w:p>
            <w:pPr>
              <w:jc w:val="left"/>
              <w:rPr>
                <w:rFonts w:hint="default" w:ascii="宋体" w:hAnsi="宋体"/>
                <w:w w:val="90"/>
                <w:szCs w:val="21"/>
              </w:rPr>
            </w:pPr>
            <w:r>
              <w:rPr>
                <w:rFonts w:ascii="宋体" w:hAnsi="宋体" w:cs="宋体"/>
                <w:b/>
                <w:bCs/>
                <w:w w:val="90"/>
                <w:szCs w:val="21"/>
              </w:rPr>
              <w:t>A0201060101喷墨打印机</w:t>
            </w:r>
          </w:p>
        </w:tc>
        <w:tc>
          <w:tcPr>
            <w:tcW w:w="3301" w:type="dxa"/>
            <w:vAlign w:val="center"/>
          </w:tcPr>
          <w:p>
            <w:pPr>
              <w:jc w:val="left"/>
              <w:rPr>
                <w:rFonts w:hint="default" w:ascii="宋体" w:hAnsi="宋体"/>
                <w:w w:val="90"/>
                <w:szCs w:val="21"/>
              </w:rPr>
            </w:pPr>
            <w:r>
              <w:rPr>
                <w:rFonts w:ascii="宋体" w:hAnsi="宋体"/>
                <w:w w:val="90"/>
                <w:szCs w:val="21"/>
              </w:rPr>
              <w:t>《复印机、打印机和传真机能效限定值及能效等级》（GB 21521）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Merge w:val="continue"/>
            <w:vAlign w:val="center"/>
          </w:tcPr>
          <w:p>
            <w:pPr>
              <w:ind w:firstLine="431"/>
              <w:jc w:val="left"/>
              <w:rPr>
                <w:rFonts w:hint="default" w:ascii="宋体" w:hAnsi="宋体"/>
                <w:w w:val="90"/>
                <w:szCs w:val="21"/>
              </w:rPr>
            </w:pPr>
          </w:p>
        </w:tc>
        <w:tc>
          <w:tcPr>
            <w:tcW w:w="1682" w:type="dxa"/>
            <w:vAlign w:val="center"/>
          </w:tcPr>
          <w:p>
            <w:pPr>
              <w:jc w:val="left"/>
              <w:rPr>
                <w:rFonts w:hint="default" w:ascii="宋体" w:hAnsi="宋体"/>
                <w:b/>
                <w:w w:val="90"/>
                <w:szCs w:val="21"/>
              </w:rPr>
            </w:pPr>
            <w:r>
              <w:rPr>
                <w:rFonts w:ascii="宋体" w:hAnsi="宋体" w:cs="宋体"/>
                <w:w w:val="90"/>
                <w:szCs w:val="21"/>
              </w:rPr>
              <w:t>★</w:t>
            </w:r>
            <w:r>
              <w:rPr>
                <w:rFonts w:ascii="宋体" w:hAnsi="宋体"/>
                <w:b/>
                <w:w w:val="90"/>
                <w:szCs w:val="21"/>
              </w:rPr>
              <w:t>A0201060102激光打印机</w:t>
            </w:r>
          </w:p>
        </w:tc>
        <w:tc>
          <w:tcPr>
            <w:tcW w:w="3301" w:type="dxa"/>
            <w:vAlign w:val="center"/>
          </w:tcPr>
          <w:p>
            <w:pPr>
              <w:jc w:val="left"/>
              <w:rPr>
                <w:rFonts w:hint="default" w:ascii="宋体" w:hAnsi="宋体"/>
                <w:w w:val="90"/>
                <w:szCs w:val="21"/>
              </w:rPr>
            </w:pPr>
            <w:r>
              <w:rPr>
                <w:rFonts w:ascii="宋体" w:hAnsi="宋体"/>
                <w:w w:val="90"/>
                <w:szCs w:val="21"/>
              </w:rPr>
              <w:t>《复印机、打印机和传真机能效限定值及能效等级》（GB 21521）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Merge w:val="continue"/>
            <w:vAlign w:val="center"/>
          </w:tcPr>
          <w:p>
            <w:pPr>
              <w:ind w:firstLine="431"/>
              <w:jc w:val="left"/>
              <w:rPr>
                <w:rFonts w:hint="default" w:ascii="宋体" w:hAnsi="宋体"/>
                <w:w w:val="90"/>
                <w:szCs w:val="21"/>
              </w:rPr>
            </w:pPr>
          </w:p>
        </w:tc>
        <w:tc>
          <w:tcPr>
            <w:tcW w:w="1682" w:type="dxa"/>
            <w:vAlign w:val="center"/>
          </w:tcPr>
          <w:p>
            <w:pPr>
              <w:jc w:val="left"/>
              <w:rPr>
                <w:rFonts w:hint="default" w:ascii="宋体" w:hAnsi="宋体"/>
                <w:b/>
                <w:w w:val="90"/>
                <w:szCs w:val="21"/>
              </w:rPr>
            </w:pPr>
            <w:r>
              <w:rPr>
                <w:rFonts w:ascii="宋体" w:hAnsi="宋体" w:cs="宋体"/>
                <w:w w:val="90"/>
                <w:szCs w:val="21"/>
              </w:rPr>
              <w:t>★</w:t>
            </w:r>
            <w:r>
              <w:rPr>
                <w:rFonts w:ascii="宋体" w:hAnsi="宋体"/>
                <w:b/>
                <w:w w:val="90"/>
                <w:szCs w:val="21"/>
              </w:rPr>
              <w:t>A0201060104针式打印机</w:t>
            </w:r>
          </w:p>
        </w:tc>
        <w:tc>
          <w:tcPr>
            <w:tcW w:w="3301" w:type="dxa"/>
            <w:vAlign w:val="center"/>
          </w:tcPr>
          <w:p>
            <w:pPr>
              <w:jc w:val="left"/>
              <w:rPr>
                <w:rFonts w:hint="default" w:ascii="宋体" w:hAnsi="宋体"/>
                <w:w w:val="90"/>
                <w:szCs w:val="21"/>
              </w:rPr>
            </w:pPr>
            <w:r>
              <w:rPr>
                <w:rFonts w:ascii="宋体" w:hAnsi="宋体"/>
                <w:w w:val="90"/>
                <w:szCs w:val="21"/>
              </w:rPr>
              <w:t>《复印机、打印机和传真机能效限定值及能效等级》（GB 21521）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Align w:val="center"/>
          </w:tcPr>
          <w:p>
            <w:pPr>
              <w:jc w:val="left"/>
              <w:rPr>
                <w:rFonts w:hint="default" w:ascii="宋体" w:hAnsi="宋体"/>
                <w:w w:val="90"/>
                <w:szCs w:val="21"/>
              </w:rPr>
            </w:pPr>
            <w:r>
              <w:rPr>
                <w:rFonts w:ascii="宋体" w:hAnsi="宋体"/>
                <w:w w:val="90"/>
                <w:szCs w:val="21"/>
              </w:rPr>
              <w:t>A02010604显示设备</w:t>
            </w:r>
          </w:p>
        </w:tc>
        <w:tc>
          <w:tcPr>
            <w:tcW w:w="1682" w:type="dxa"/>
            <w:vAlign w:val="center"/>
          </w:tcPr>
          <w:p>
            <w:pPr>
              <w:jc w:val="left"/>
              <w:rPr>
                <w:rFonts w:hint="default" w:ascii="宋体" w:hAnsi="宋体"/>
                <w:b/>
                <w:w w:val="90"/>
                <w:szCs w:val="21"/>
              </w:rPr>
            </w:pPr>
            <w:r>
              <w:rPr>
                <w:rFonts w:ascii="宋体" w:hAnsi="宋体" w:cs="宋体"/>
                <w:w w:val="90"/>
                <w:szCs w:val="21"/>
              </w:rPr>
              <w:t>★</w:t>
            </w:r>
            <w:r>
              <w:rPr>
                <w:rFonts w:ascii="宋体" w:hAnsi="宋体"/>
                <w:b/>
                <w:w w:val="90"/>
                <w:szCs w:val="21"/>
              </w:rPr>
              <w:t>A0201060401液晶显示器</w:t>
            </w:r>
          </w:p>
        </w:tc>
        <w:tc>
          <w:tcPr>
            <w:tcW w:w="3301" w:type="dxa"/>
            <w:vAlign w:val="center"/>
          </w:tcPr>
          <w:p>
            <w:pPr>
              <w:jc w:val="left"/>
              <w:rPr>
                <w:rFonts w:hint="default" w:ascii="宋体" w:hAnsi="宋体"/>
                <w:w w:val="90"/>
                <w:szCs w:val="21"/>
              </w:rPr>
            </w:pPr>
            <w:r>
              <w:rPr>
                <w:rFonts w:ascii="宋体" w:hAnsi="宋体"/>
                <w:w w:val="90"/>
                <w:szCs w:val="21"/>
              </w:rPr>
              <w:t>《计算机显示器能效限定值及能效等级》（GB 21520）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Align w:val="center"/>
          </w:tcPr>
          <w:p>
            <w:pPr>
              <w:jc w:val="left"/>
              <w:rPr>
                <w:rFonts w:hint="default" w:ascii="宋体" w:hAnsi="宋体"/>
                <w:w w:val="90"/>
                <w:szCs w:val="21"/>
              </w:rPr>
            </w:pPr>
            <w:r>
              <w:rPr>
                <w:rFonts w:ascii="宋体" w:hAnsi="宋体"/>
                <w:w w:val="90"/>
                <w:szCs w:val="21"/>
              </w:rPr>
              <w:t>A02010609图形图像输入设备</w:t>
            </w:r>
          </w:p>
        </w:tc>
        <w:tc>
          <w:tcPr>
            <w:tcW w:w="1682" w:type="dxa"/>
            <w:vAlign w:val="center"/>
          </w:tcPr>
          <w:p>
            <w:pPr>
              <w:jc w:val="left"/>
              <w:rPr>
                <w:rFonts w:hint="default" w:ascii="宋体" w:hAnsi="宋体"/>
                <w:w w:val="90"/>
                <w:szCs w:val="21"/>
              </w:rPr>
            </w:pPr>
            <w:r>
              <w:rPr>
                <w:rFonts w:ascii="宋体" w:hAnsi="宋体"/>
                <w:w w:val="90"/>
                <w:szCs w:val="21"/>
              </w:rPr>
              <w:t>A0201060901扫描仪</w:t>
            </w:r>
          </w:p>
        </w:tc>
        <w:tc>
          <w:tcPr>
            <w:tcW w:w="3301" w:type="dxa"/>
            <w:vAlign w:val="center"/>
          </w:tcPr>
          <w:p>
            <w:pPr>
              <w:jc w:val="left"/>
              <w:rPr>
                <w:rFonts w:hint="default" w:ascii="宋体" w:hAnsi="宋体"/>
                <w:w w:val="90"/>
                <w:szCs w:val="21"/>
              </w:rPr>
            </w:pPr>
            <w:r>
              <w:rPr>
                <w:rFonts w:ascii="宋体" w:hAnsi="宋体"/>
                <w:w w:val="90"/>
                <w:szCs w:val="21"/>
              </w:rPr>
              <w:t>参照《复印机、打印机和传真机能效限定值及能效等级》（GB 21521中打印速度为 15 页/分的针式打印机相关要求</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pPr>
              <w:rPr>
                <w:rFonts w:hint="default" w:ascii="宋体" w:hAnsi="宋体"/>
                <w:w w:val="90"/>
                <w:szCs w:val="21"/>
              </w:rPr>
            </w:pPr>
            <w:r>
              <w:rPr>
                <w:rFonts w:ascii="宋体" w:hAnsi="宋体"/>
                <w:w w:val="90"/>
                <w:szCs w:val="21"/>
              </w:rPr>
              <w:t>3</w:t>
            </w:r>
          </w:p>
        </w:tc>
        <w:tc>
          <w:tcPr>
            <w:tcW w:w="1933" w:type="dxa"/>
            <w:vAlign w:val="center"/>
          </w:tcPr>
          <w:p>
            <w:pPr>
              <w:jc w:val="left"/>
              <w:rPr>
                <w:rFonts w:hint="default" w:ascii="宋体" w:hAnsi="宋体"/>
                <w:w w:val="90"/>
                <w:szCs w:val="21"/>
              </w:rPr>
            </w:pPr>
            <w:r>
              <w:rPr>
                <w:rFonts w:ascii="宋体" w:hAnsi="宋体"/>
                <w:w w:val="90"/>
                <w:szCs w:val="21"/>
              </w:rPr>
              <w:t>A020202投影仪</w:t>
            </w:r>
          </w:p>
        </w:tc>
        <w:tc>
          <w:tcPr>
            <w:tcW w:w="2334" w:type="dxa"/>
            <w:vAlign w:val="center"/>
          </w:tcPr>
          <w:p>
            <w:pPr>
              <w:ind w:firstLine="431"/>
              <w:jc w:val="left"/>
              <w:rPr>
                <w:rFonts w:hint="default" w:ascii="宋体" w:hAnsi="宋体"/>
                <w:w w:val="90"/>
                <w:szCs w:val="21"/>
              </w:rPr>
            </w:pP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《投影机能效限定值及能效等级（GB 32028）</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pPr>
              <w:rPr>
                <w:rFonts w:hint="default" w:ascii="宋体" w:hAnsi="宋体"/>
                <w:w w:val="90"/>
                <w:szCs w:val="21"/>
              </w:rPr>
            </w:pPr>
            <w:r>
              <w:rPr>
                <w:rFonts w:ascii="宋体" w:hAnsi="宋体"/>
                <w:w w:val="90"/>
                <w:szCs w:val="21"/>
              </w:rPr>
              <w:t>4</w:t>
            </w:r>
          </w:p>
        </w:tc>
        <w:tc>
          <w:tcPr>
            <w:tcW w:w="1933" w:type="dxa"/>
            <w:vAlign w:val="center"/>
          </w:tcPr>
          <w:p>
            <w:pPr>
              <w:jc w:val="left"/>
              <w:rPr>
                <w:rFonts w:hint="default" w:ascii="宋体" w:hAnsi="宋体"/>
                <w:w w:val="90"/>
                <w:szCs w:val="21"/>
              </w:rPr>
            </w:pPr>
            <w:r>
              <w:rPr>
                <w:rFonts w:ascii="宋体" w:hAnsi="宋体"/>
                <w:w w:val="90"/>
                <w:szCs w:val="21"/>
              </w:rPr>
              <w:t>A020204352多功能一体机</w:t>
            </w:r>
          </w:p>
        </w:tc>
        <w:tc>
          <w:tcPr>
            <w:tcW w:w="2334" w:type="dxa"/>
            <w:vAlign w:val="center"/>
          </w:tcPr>
          <w:p>
            <w:pPr>
              <w:ind w:firstLine="431"/>
              <w:jc w:val="left"/>
              <w:rPr>
                <w:rFonts w:hint="default" w:ascii="宋体" w:hAnsi="宋体"/>
                <w:w w:val="90"/>
                <w:szCs w:val="21"/>
              </w:rPr>
            </w:pP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《复印机、打印机和传真机能效限定值及能效等级》（GB 21521）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pPr>
              <w:rPr>
                <w:rFonts w:hint="default" w:ascii="宋体" w:hAnsi="宋体"/>
                <w:w w:val="90"/>
                <w:szCs w:val="21"/>
              </w:rPr>
            </w:pPr>
            <w:r>
              <w:rPr>
                <w:rFonts w:ascii="宋体" w:hAnsi="宋体"/>
                <w:w w:val="90"/>
                <w:szCs w:val="21"/>
              </w:rPr>
              <w:t>5</w:t>
            </w:r>
          </w:p>
        </w:tc>
        <w:tc>
          <w:tcPr>
            <w:tcW w:w="1933" w:type="dxa"/>
            <w:vAlign w:val="center"/>
          </w:tcPr>
          <w:p>
            <w:pPr>
              <w:jc w:val="left"/>
              <w:rPr>
                <w:rFonts w:hint="default" w:ascii="宋体" w:hAnsi="宋体"/>
                <w:w w:val="90"/>
                <w:szCs w:val="21"/>
              </w:rPr>
            </w:pPr>
            <w:r>
              <w:rPr>
                <w:rFonts w:ascii="宋体" w:hAnsi="宋体"/>
                <w:w w:val="90"/>
                <w:szCs w:val="21"/>
              </w:rPr>
              <w:t>A020519泵</w:t>
            </w:r>
          </w:p>
        </w:tc>
        <w:tc>
          <w:tcPr>
            <w:tcW w:w="2334" w:type="dxa"/>
            <w:vAlign w:val="center"/>
          </w:tcPr>
          <w:p>
            <w:pPr>
              <w:jc w:val="left"/>
              <w:rPr>
                <w:rFonts w:hint="default" w:ascii="宋体" w:hAnsi="宋体"/>
                <w:w w:val="90"/>
                <w:szCs w:val="21"/>
              </w:rPr>
            </w:pPr>
            <w:r>
              <w:rPr>
                <w:rFonts w:ascii="宋体" w:hAnsi="宋体"/>
                <w:w w:val="90"/>
                <w:szCs w:val="21"/>
              </w:rPr>
              <w:t>A02051901离心泵</w:t>
            </w: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《清水离心泵能效限定值及节能评价值》（GB 19762）</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vAlign w:val="center"/>
          </w:tcPr>
          <w:p>
            <w:pPr>
              <w:rPr>
                <w:rFonts w:hint="default" w:ascii="宋体" w:hAnsi="宋体"/>
                <w:w w:val="90"/>
                <w:szCs w:val="21"/>
              </w:rPr>
            </w:pPr>
            <w:r>
              <w:rPr>
                <w:rFonts w:ascii="宋体" w:hAnsi="宋体"/>
                <w:w w:val="90"/>
                <w:szCs w:val="21"/>
              </w:rPr>
              <w:t>6</w:t>
            </w:r>
          </w:p>
        </w:tc>
        <w:tc>
          <w:tcPr>
            <w:tcW w:w="1933" w:type="dxa"/>
            <w:vMerge w:val="restart"/>
            <w:vAlign w:val="center"/>
          </w:tcPr>
          <w:p>
            <w:pPr>
              <w:jc w:val="left"/>
              <w:rPr>
                <w:rFonts w:hint="default" w:ascii="宋体" w:hAnsi="宋体"/>
                <w:w w:val="90"/>
                <w:szCs w:val="21"/>
              </w:rPr>
            </w:pPr>
            <w:r>
              <w:rPr>
                <w:rFonts w:ascii="宋体" w:hAnsi="宋体"/>
                <w:w w:val="90"/>
                <w:szCs w:val="21"/>
              </w:rPr>
              <w:t>A020523制冷空调设备</w:t>
            </w:r>
          </w:p>
        </w:tc>
        <w:tc>
          <w:tcPr>
            <w:tcW w:w="2334" w:type="dxa"/>
            <w:vMerge w:val="restart"/>
            <w:vAlign w:val="center"/>
          </w:tcPr>
          <w:p>
            <w:pPr>
              <w:jc w:val="left"/>
              <w:rPr>
                <w:rFonts w:hint="default" w:ascii="宋体" w:hAnsi="宋体"/>
                <w:b/>
                <w:w w:val="90"/>
                <w:szCs w:val="21"/>
              </w:rPr>
            </w:pPr>
            <w:r>
              <w:rPr>
                <w:rFonts w:ascii="宋体" w:hAnsi="宋体" w:cs="宋体"/>
                <w:w w:val="90"/>
                <w:szCs w:val="21"/>
              </w:rPr>
              <w:t>★</w:t>
            </w:r>
            <w:r>
              <w:rPr>
                <w:rFonts w:ascii="宋体" w:hAnsi="宋体" w:cs="Calibri"/>
                <w:b/>
                <w:w w:val="90"/>
                <w:szCs w:val="21"/>
              </w:rPr>
              <w:t>A02052301</w:t>
            </w:r>
            <w:r>
              <w:rPr>
                <w:rFonts w:ascii="宋体" w:hAnsi="宋体"/>
                <w:b/>
                <w:w w:val="90"/>
                <w:szCs w:val="21"/>
              </w:rPr>
              <w:t>制冷压缩机</w:t>
            </w:r>
          </w:p>
        </w:tc>
        <w:tc>
          <w:tcPr>
            <w:tcW w:w="1682" w:type="dxa"/>
            <w:vAlign w:val="center"/>
          </w:tcPr>
          <w:p>
            <w:pPr>
              <w:jc w:val="left"/>
              <w:rPr>
                <w:rFonts w:hint="default" w:ascii="宋体" w:hAnsi="宋体"/>
                <w:b/>
                <w:w w:val="90"/>
                <w:szCs w:val="21"/>
              </w:rPr>
            </w:pPr>
            <w:r>
              <w:rPr>
                <w:rFonts w:ascii="宋体" w:hAnsi="宋体"/>
                <w:b/>
                <w:w w:val="90"/>
                <w:szCs w:val="21"/>
              </w:rPr>
              <w:t>冷水机组</w:t>
            </w:r>
          </w:p>
        </w:tc>
        <w:tc>
          <w:tcPr>
            <w:tcW w:w="3301" w:type="dxa"/>
            <w:vAlign w:val="center"/>
          </w:tcPr>
          <w:p>
            <w:pPr>
              <w:jc w:val="left"/>
              <w:rPr>
                <w:rFonts w:hint="default" w:ascii="宋体" w:hAnsi="宋体"/>
                <w:w w:val="90"/>
                <w:szCs w:val="21"/>
              </w:rPr>
            </w:pPr>
            <w:r>
              <w:rPr>
                <w:rFonts w:ascii="宋体" w:hAnsi="宋体"/>
                <w:w w:val="90"/>
                <w:szCs w:val="21"/>
              </w:rPr>
              <w:t>《冷水机组能效限定值及能效等级》（GB 19577），《低环境温度空气源热泵（冷水）机组能效限定值及能效等级》（GB 37480）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Merge w:val="continue"/>
            <w:vAlign w:val="center"/>
          </w:tcPr>
          <w:p>
            <w:pPr>
              <w:ind w:firstLine="437"/>
              <w:jc w:val="left"/>
              <w:rPr>
                <w:rFonts w:hint="default" w:ascii="宋体" w:hAnsi="宋体"/>
                <w:b/>
                <w:w w:val="90"/>
                <w:szCs w:val="21"/>
              </w:rPr>
            </w:pPr>
          </w:p>
        </w:tc>
        <w:tc>
          <w:tcPr>
            <w:tcW w:w="1682" w:type="dxa"/>
            <w:vAlign w:val="center"/>
          </w:tcPr>
          <w:p>
            <w:pPr>
              <w:jc w:val="left"/>
              <w:rPr>
                <w:rFonts w:hint="default" w:ascii="宋体" w:hAnsi="宋体"/>
                <w:b/>
                <w:w w:val="90"/>
                <w:szCs w:val="21"/>
              </w:rPr>
            </w:pPr>
            <w:r>
              <w:rPr>
                <w:rFonts w:ascii="宋体" w:hAnsi="宋体"/>
                <w:b/>
                <w:w w:val="90"/>
                <w:szCs w:val="21"/>
              </w:rPr>
              <w:t>水源热泵机组</w:t>
            </w:r>
          </w:p>
        </w:tc>
        <w:tc>
          <w:tcPr>
            <w:tcW w:w="3301" w:type="dxa"/>
            <w:vAlign w:val="center"/>
          </w:tcPr>
          <w:p>
            <w:pPr>
              <w:jc w:val="left"/>
              <w:rPr>
                <w:rFonts w:hint="default" w:ascii="宋体" w:hAnsi="宋体"/>
                <w:w w:val="90"/>
                <w:szCs w:val="21"/>
              </w:rPr>
            </w:pPr>
            <w:r>
              <w:rPr>
                <w:rFonts w:ascii="宋体" w:hAnsi="宋体"/>
                <w:w w:val="90"/>
                <w:szCs w:val="21"/>
              </w:rPr>
              <w:t>《水（地）源热泵机组能效限定值及能效等级》（GB 30721）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Merge w:val="continue"/>
            <w:vAlign w:val="center"/>
          </w:tcPr>
          <w:p>
            <w:pPr>
              <w:ind w:firstLine="437"/>
              <w:jc w:val="left"/>
              <w:rPr>
                <w:rFonts w:hint="default" w:ascii="宋体" w:hAnsi="宋体"/>
                <w:b/>
                <w:w w:val="90"/>
                <w:szCs w:val="21"/>
              </w:rPr>
            </w:pPr>
          </w:p>
        </w:tc>
        <w:tc>
          <w:tcPr>
            <w:tcW w:w="1682" w:type="dxa"/>
            <w:vAlign w:val="center"/>
          </w:tcPr>
          <w:p>
            <w:pPr>
              <w:jc w:val="left"/>
              <w:rPr>
                <w:rFonts w:hint="default" w:ascii="宋体" w:hAnsi="宋体"/>
                <w:b/>
                <w:w w:val="90"/>
                <w:szCs w:val="21"/>
              </w:rPr>
            </w:pPr>
            <w:r>
              <w:rPr>
                <w:rFonts w:ascii="宋体" w:hAnsi="宋体"/>
                <w:b/>
                <w:w w:val="90"/>
                <w:szCs w:val="21"/>
              </w:rPr>
              <w:t>溴化锂吸收式冷水机组</w:t>
            </w:r>
          </w:p>
        </w:tc>
        <w:tc>
          <w:tcPr>
            <w:tcW w:w="3301" w:type="dxa"/>
            <w:vAlign w:val="center"/>
          </w:tcPr>
          <w:p>
            <w:pPr>
              <w:jc w:val="left"/>
              <w:rPr>
                <w:rFonts w:hint="default" w:ascii="宋体" w:hAnsi="宋体"/>
                <w:w w:val="90"/>
                <w:szCs w:val="21"/>
              </w:rPr>
            </w:pPr>
            <w:r>
              <w:rPr>
                <w:rFonts w:ascii="宋体" w:hAnsi="宋体"/>
                <w:w w:val="90"/>
                <w:szCs w:val="21"/>
              </w:rPr>
              <w:t>《溴化锂吸收式冷水机组能效限定值及能效等级》（GB 29540）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Merge w:val="restart"/>
            <w:vAlign w:val="center"/>
          </w:tcPr>
          <w:p>
            <w:pPr>
              <w:jc w:val="left"/>
              <w:rPr>
                <w:rFonts w:hint="default" w:ascii="宋体" w:hAnsi="宋体"/>
                <w:b/>
                <w:w w:val="90"/>
                <w:szCs w:val="21"/>
              </w:rPr>
            </w:pPr>
            <w:r>
              <w:rPr>
                <w:rFonts w:ascii="宋体" w:hAnsi="宋体" w:cs="宋体"/>
                <w:w w:val="90"/>
                <w:szCs w:val="21"/>
              </w:rPr>
              <w:t>★</w:t>
            </w:r>
            <w:r>
              <w:rPr>
                <w:rFonts w:ascii="宋体" w:hAnsi="宋体" w:cs="Calibri"/>
                <w:b/>
                <w:w w:val="90"/>
                <w:szCs w:val="21"/>
              </w:rPr>
              <w:t>A02052305</w:t>
            </w:r>
            <w:r>
              <w:rPr>
                <w:rFonts w:ascii="宋体" w:hAnsi="宋体"/>
                <w:b/>
                <w:w w:val="90"/>
                <w:szCs w:val="21"/>
              </w:rPr>
              <w:t>空调机组</w:t>
            </w:r>
          </w:p>
        </w:tc>
        <w:tc>
          <w:tcPr>
            <w:tcW w:w="1682" w:type="dxa"/>
            <w:vAlign w:val="center"/>
          </w:tcPr>
          <w:p>
            <w:pPr>
              <w:jc w:val="left"/>
              <w:rPr>
                <w:rFonts w:hint="default" w:ascii="宋体" w:hAnsi="宋体"/>
                <w:b/>
                <w:w w:val="90"/>
                <w:szCs w:val="21"/>
              </w:rPr>
            </w:pPr>
            <w:r>
              <w:rPr>
                <w:rFonts w:ascii="宋体" w:hAnsi="宋体"/>
                <w:b/>
                <w:w w:val="90"/>
                <w:szCs w:val="21"/>
              </w:rPr>
              <w:t>多联式空调（热泵）机组(制冷量&gt;14000W)</w:t>
            </w:r>
          </w:p>
        </w:tc>
        <w:tc>
          <w:tcPr>
            <w:tcW w:w="3301" w:type="dxa"/>
            <w:vAlign w:val="center"/>
          </w:tcPr>
          <w:p>
            <w:pPr>
              <w:jc w:val="left"/>
              <w:rPr>
                <w:rFonts w:hint="default" w:ascii="宋体" w:hAnsi="宋体"/>
                <w:w w:val="90"/>
                <w:szCs w:val="21"/>
              </w:rPr>
            </w:pPr>
            <w:r>
              <w:rPr>
                <w:rFonts w:ascii="宋体" w:hAnsi="宋体"/>
                <w:w w:val="90"/>
                <w:szCs w:val="21"/>
              </w:rPr>
              <w:t>《多联式空调（热泵）机组能效限定值及能源效率等级》（GB 21454）</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Merge w:val="continue"/>
            <w:vAlign w:val="center"/>
          </w:tcPr>
          <w:p>
            <w:pPr>
              <w:ind w:firstLine="437"/>
              <w:jc w:val="left"/>
              <w:rPr>
                <w:rFonts w:hint="default" w:ascii="宋体" w:hAnsi="宋体"/>
                <w:b/>
                <w:w w:val="90"/>
                <w:szCs w:val="21"/>
              </w:rPr>
            </w:pPr>
          </w:p>
        </w:tc>
        <w:tc>
          <w:tcPr>
            <w:tcW w:w="1682" w:type="dxa"/>
            <w:vAlign w:val="center"/>
          </w:tcPr>
          <w:p>
            <w:pPr>
              <w:jc w:val="left"/>
              <w:rPr>
                <w:rFonts w:hint="default" w:ascii="宋体" w:hAnsi="宋体"/>
                <w:b/>
                <w:w w:val="90"/>
                <w:szCs w:val="21"/>
              </w:rPr>
            </w:pPr>
            <w:r>
              <w:rPr>
                <w:rFonts w:ascii="宋体" w:hAnsi="宋体"/>
                <w:b/>
                <w:w w:val="90"/>
                <w:szCs w:val="21"/>
              </w:rPr>
              <w:t>单元式空气调节机(制冷量&gt;14000W)</w:t>
            </w:r>
          </w:p>
        </w:tc>
        <w:tc>
          <w:tcPr>
            <w:tcW w:w="3301" w:type="dxa"/>
            <w:vAlign w:val="center"/>
          </w:tcPr>
          <w:p>
            <w:pPr>
              <w:ind w:firstLine="431"/>
              <w:jc w:val="left"/>
              <w:rPr>
                <w:rFonts w:hint="default" w:ascii="宋体" w:hAnsi="宋体"/>
                <w:w w:val="90"/>
                <w:szCs w:val="21"/>
              </w:rPr>
            </w:pPr>
            <w:r>
              <w:rPr>
                <w:rFonts w:ascii="宋体" w:hAnsi="宋体"/>
                <w:w w:val="90"/>
                <w:szCs w:val="21"/>
              </w:rPr>
              <w:t>《单元式空气调节机能效限定值及能效等级》（GB 19576）《风管送风式空调机组能效限定值及能效等级》（GB 37479）</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Align w:val="center"/>
          </w:tcPr>
          <w:p>
            <w:pPr>
              <w:jc w:val="left"/>
              <w:rPr>
                <w:rFonts w:hint="default" w:ascii="宋体" w:hAnsi="宋体"/>
                <w:b/>
                <w:w w:val="90"/>
                <w:szCs w:val="21"/>
              </w:rPr>
            </w:pPr>
            <w:r>
              <w:rPr>
                <w:rFonts w:ascii="宋体" w:hAnsi="宋体" w:cs="宋体"/>
                <w:w w:val="90"/>
                <w:szCs w:val="21"/>
              </w:rPr>
              <w:t>★</w:t>
            </w:r>
            <w:r>
              <w:rPr>
                <w:rFonts w:ascii="宋体" w:hAnsi="宋体" w:cs="Calibri"/>
                <w:b/>
                <w:w w:val="90"/>
                <w:szCs w:val="21"/>
              </w:rPr>
              <w:t>A02052309</w:t>
            </w:r>
            <w:r>
              <w:rPr>
                <w:rFonts w:ascii="宋体" w:hAnsi="宋体"/>
                <w:b/>
                <w:w w:val="90"/>
                <w:szCs w:val="21"/>
              </w:rPr>
              <w:t>专用制冷、空调设备</w:t>
            </w:r>
          </w:p>
        </w:tc>
        <w:tc>
          <w:tcPr>
            <w:tcW w:w="1682" w:type="dxa"/>
            <w:vAlign w:val="center"/>
          </w:tcPr>
          <w:p>
            <w:pPr>
              <w:jc w:val="left"/>
              <w:rPr>
                <w:rFonts w:hint="default" w:ascii="宋体" w:hAnsi="宋体"/>
                <w:b/>
                <w:w w:val="90"/>
                <w:szCs w:val="21"/>
              </w:rPr>
            </w:pPr>
            <w:r>
              <w:rPr>
                <w:rFonts w:ascii="宋体" w:hAnsi="宋体"/>
                <w:b/>
                <w:w w:val="90"/>
                <w:szCs w:val="21"/>
              </w:rPr>
              <w:t>机房空调</w:t>
            </w:r>
          </w:p>
        </w:tc>
        <w:tc>
          <w:tcPr>
            <w:tcW w:w="3301" w:type="dxa"/>
            <w:vAlign w:val="center"/>
          </w:tcPr>
          <w:p>
            <w:pPr>
              <w:jc w:val="left"/>
              <w:rPr>
                <w:rFonts w:hint="default" w:ascii="宋体" w:hAnsi="宋体"/>
                <w:w w:val="90"/>
                <w:szCs w:val="21"/>
              </w:rPr>
            </w:pPr>
            <w:r>
              <w:rPr>
                <w:rFonts w:ascii="宋体" w:hAnsi="宋体"/>
                <w:w w:val="90"/>
                <w:szCs w:val="21"/>
              </w:rPr>
              <w:t>《单元式空气调节机能效限定值及能效等级》（GB 19576）</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Align w:val="center"/>
          </w:tcPr>
          <w:p>
            <w:pPr>
              <w:jc w:val="left"/>
              <w:rPr>
                <w:rFonts w:hint="default" w:ascii="宋体" w:hAnsi="宋体"/>
                <w:w w:val="90"/>
                <w:szCs w:val="21"/>
              </w:rPr>
            </w:pPr>
            <w:r>
              <w:rPr>
                <w:rFonts w:ascii="宋体" w:hAnsi="宋体"/>
                <w:w w:val="90"/>
                <w:szCs w:val="21"/>
              </w:rPr>
              <w:t>A02052399其他制冷空调设备</w:t>
            </w:r>
          </w:p>
        </w:tc>
        <w:tc>
          <w:tcPr>
            <w:tcW w:w="1682" w:type="dxa"/>
            <w:vAlign w:val="center"/>
          </w:tcPr>
          <w:p>
            <w:pPr>
              <w:jc w:val="left"/>
              <w:rPr>
                <w:rFonts w:hint="default" w:ascii="宋体" w:hAnsi="宋体"/>
                <w:w w:val="90"/>
                <w:szCs w:val="21"/>
              </w:rPr>
            </w:pPr>
            <w:r>
              <w:rPr>
                <w:rFonts w:ascii="宋体" w:hAnsi="宋体"/>
                <w:w w:val="90"/>
                <w:szCs w:val="21"/>
              </w:rPr>
              <w:t>冷却塔</w:t>
            </w:r>
          </w:p>
        </w:tc>
        <w:tc>
          <w:tcPr>
            <w:tcW w:w="3301" w:type="dxa"/>
            <w:vAlign w:val="center"/>
          </w:tcPr>
          <w:p>
            <w:pPr>
              <w:jc w:val="left"/>
              <w:rPr>
                <w:rFonts w:hint="default" w:ascii="宋体" w:hAnsi="宋体"/>
                <w:w w:val="90"/>
                <w:szCs w:val="21"/>
              </w:rPr>
            </w:pPr>
            <w:r>
              <w:rPr>
                <w:rFonts w:ascii="宋体" w:hAnsi="宋体"/>
                <w:w w:val="90"/>
                <w:szCs w:val="21"/>
              </w:rPr>
              <w:t>《机械通风冷却塔 第 1 部分：中小型开式冷却塔》（GB/T 7190.1）</w:t>
            </w:r>
          </w:p>
          <w:p>
            <w:pPr>
              <w:jc w:val="left"/>
              <w:rPr>
                <w:rFonts w:hint="default" w:ascii="宋体" w:hAnsi="宋体"/>
                <w:w w:val="90"/>
                <w:szCs w:val="21"/>
              </w:rPr>
            </w:pPr>
            <w:r>
              <w:rPr>
                <w:rFonts w:ascii="宋体" w:hAnsi="宋体"/>
                <w:w w:val="90"/>
                <w:szCs w:val="21"/>
              </w:rPr>
              <w:t>《机械通风冷却塔 第 2 部分：大型开式冷却塔》（GB/T 7190.2）</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pPr>
              <w:rPr>
                <w:rFonts w:hint="default" w:ascii="宋体" w:hAnsi="宋体"/>
                <w:w w:val="90"/>
                <w:szCs w:val="21"/>
              </w:rPr>
            </w:pPr>
            <w:r>
              <w:rPr>
                <w:rFonts w:ascii="宋体" w:hAnsi="宋体"/>
                <w:w w:val="90"/>
                <w:szCs w:val="21"/>
              </w:rPr>
              <w:t>7</w:t>
            </w:r>
          </w:p>
        </w:tc>
        <w:tc>
          <w:tcPr>
            <w:tcW w:w="1933" w:type="dxa"/>
            <w:vAlign w:val="center"/>
          </w:tcPr>
          <w:p>
            <w:pPr>
              <w:jc w:val="left"/>
              <w:rPr>
                <w:rFonts w:hint="default" w:ascii="宋体" w:hAnsi="宋体"/>
                <w:w w:val="90"/>
                <w:szCs w:val="21"/>
              </w:rPr>
            </w:pPr>
            <w:r>
              <w:rPr>
                <w:rFonts w:ascii="宋体" w:hAnsi="宋体"/>
                <w:w w:val="90"/>
                <w:szCs w:val="21"/>
              </w:rPr>
              <w:t>A020601电机</w:t>
            </w:r>
          </w:p>
        </w:tc>
        <w:tc>
          <w:tcPr>
            <w:tcW w:w="2334" w:type="dxa"/>
            <w:vAlign w:val="center"/>
          </w:tcPr>
          <w:p>
            <w:pPr>
              <w:ind w:firstLine="431"/>
              <w:jc w:val="left"/>
              <w:rPr>
                <w:rFonts w:hint="default" w:ascii="宋体" w:hAnsi="宋体"/>
                <w:w w:val="90"/>
                <w:szCs w:val="21"/>
              </w:rPr>
            </w:pP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《中小型三相异步电动机能效限定值及能效等级》（GB 18613）</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pPr>
              <w:rPr>
                <w:rFonts w:hint="default" w:ascii="宋体" w:hAnsi="宋体"/>
                <w:w w:val="90"/>
                <w:szCs w:val="21"/>
              </w:rPr>
            </w:pPr>
            <w:r>
              <w:rPr>
                <w:rFonts w:ascii="宋体" w:hAnsi="宋体"/>
                <w:w w:val="90"/>
                <w:szCs w:val="21"/>
              </w:rPr>
              <w:t>8</w:t>
            </w:r>
          </w:p>
        </w:tc>
        <w:tc>
          <w:tcPr>
            <w:tcW w:w="1933" w:type="dxa"/>
            <w:vAlign w:val="center"/>
          </w:tcPr>
          <w:p>
            <w:pPr>
              <w:jc w:val="left"/>
              <w:rPr>
                <w:rFonts w:hint="default" w:ascii="宋体" w:hAnsi="宋体"/>
                <w:w w:val="90"/>
                <w:szCs w:val="21"/>
              </w:rPr>
            </w:pPr>
            <w:r>
              <w:rPr>
                <w:rFonts w:ascii="宋体" w:hAnsi="宋体"/>
                <w:w w:val="90"/>
                <w:szCs w:val="21"/>
              </w:rPr>
              <w:t>A020602变压器</w:t>
            </w:r>
          </w:p>
        </w:tc>
        <w:tc>
          <w:tcPr>
            <w:tcW w:w="2334" w:type="dxa"/>
            <w:vAlign w:val="center"/>
          </w:tcPr>
          <w:p>
            <w:pPr>
              <w:jc w:val="left"/>
              <w:rPr>
                <w:rFonts w:hint="default" w:ascii="宋体" w:hAnsi="宋体"/>
                <w:w w:val="90"/>
                <w:szCs w:val="21"/>
              </w:rPr>
            </w:pPr>
            <w:r>
              <w:rPr>
                <w:rFonts w:ascii="宋体" w:hAnsi="宋体"/>
                <w:w w:val="90"/>
                <w:szCs w:val="21"/>
              </w:rPr>
              <w:t>配电变压器</w:t>
            </w: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《三相配电变压器能效限定值及能效等级》（GB 20052）</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pPr>
              <w:rPr>
                <w:rFonts w:hint="default" w:ascii="宋体" w:hAnsi="宋体"/>
                <w:w w:val="90"/>
                <w:szCs w:val="21"/>
              </w:rPr>
            </w:pPr>
            <w:r>
              <w:rPr>
                <w:rFonts w:ascii="宋体" w:hAnsi="宋体"/>
                <w:w w:val="90"/>
                <w:szCs w:val="21"/>
              </w:rPr>
              <w:t>9</w:t>
            </w:r>
          </w:p>
        </w:tc>
        <w:tc>
          <w:tcPr>
            <w:tcW w:w="1933" w:type="dxa"/>
            <w:vAlign w:val="center"/>
          </w:tcPr>
          <w:p>
            <w:pPr>
              <w:jc w:val="left"/>
              <w:rPr>
                <w:rFonts w:hint="default" w:ascii="宋体" w:hAnsi="宋体"/>
                <w:b/>
                <w:w w:val="90"/>
                <w:szCs w:val="21"/>
              </w:rPr>
            </w:pPr>
            <w:r>
              <w:rPr>
                <w:rFonts w:ascii="宋体" w:hAnsi="宋体" w:cs="宋体"/>
                <w:w w:val="90"/>
                <w:szCs w:val="21"/>
              </w:rPr>
              <w:t>★</w:t>
            </w:r>
            <w:r>
              <w:rPr>
                <w:rFonts w:ascii="宋体" w:hAnsi="宋体" w:cs="Calibri"/>
                <w:b/>
                <w:w w:val="90"/>
                <w:szCs w:val="21"/>
              </w:rPr>
              <w:t>A020609</w:t>
            </w:r>
            <w:r>
              <w:rPr>
                <w:rFonts w:ascii="宋体" w:hAnsi="宋体"/>
                <w:b/>
                <w:w w:val="90"/>
                <w:szCs w:val="21"/>
              </w:rPr>
              <w:t>镇流器</w:t>
            </w:r>
          </w:p>
        </w:tc>
        <w:tc>
          <w:tcPr>
            <w:tcW w:w="2334" w:type="dxa"/>
            <w:vAlign w:val="center"/>
          </w:tcPr>
          <w:p>
            <w:pPr>
              <w:jc w:val="left"/>
              <w:rPr>
                <w:rFonts w:hint="default" w:ascii="宋体" w:hAnsi="宋体"/>
                <w:b/>
                <w:w w:val="90"/>
                <w:szCs w:val="21"/>
              </w:rPr>
            </w:pPr>
            <w:r>
              <w:rPr>
                <w:rFonts w:ascii="宋体" w:hAnsi="宋体"/>
                <w:b/>
                <w:w w:val="90"/>
                <w:szCs w:val="21"/>
              </w:rPr>
              <w:t>管型荧光灯镇流器</w:t>
            </w: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《管形荧光灯镇流器能效限定值及能效等级》（GB 17896）</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vAlign w:val="center"/>
          </w:tcPr>
          <w:p>
            <w:pPr>
              <w:rPr>
                <w:rFonts w:hint="default" w:ascii="宋体" w:hAnsi="宋体"/>
                <w:w w:val="90"/>
                <w:szCs w:val="21"/>
              </w:rPr>
            </w:pPr>
            <w:r>
              <w:rPr>
                <w:rFonts w:ascii="宋体" w:hAnsi="宋体"/>
                <w:w w:val="90"/>
                <w:szCs w:val="21"/>
              </w:rPr>
              <w:t>10</w:t>
            </w:r>
          </w:p>
        </w:tc>
        <w:tc>
          <w:tcPr>
            <w:tcW w:w="1933" w:type="dxa"/>
            <w:vMerge w:val="restart"/>
            <w:vAlign w:val="center"/>
          </w:tcPr>
          <w:p>
            <w:pPr>
              <w:jc w:val="left"/>
              <w:rPr>
                <w:rFonts w:hint="default" w:ascii="宋体" w:hAnsi="宋体"/>
                <w:w w:val="90"/>
                <w:szCs w:val="21"/>
              </w:rPr>
            </w:pPr>
            <w:r>
              <w:rPr>
                <w:rFonts w:ascii="宋体" w:hAnsi="宋体"/>
                <w:w w:val="90"/>
                <w:szCs w:val="21"/>
              </w:rPr>
              <w:t>A020618 生活用电器</w:t>
            </w:r>
          </w:p>
        </w:tc>
        <w:tc>
          <w:tcPr>
            <w:tcW w:w="2334" w:type="dxa"/>
            <w:vAlign w:val="center"/>
          </w:tcPr>
          <w:p>
            <w:pPr>
              <w:jc w:val="left"/>
              <w:rPr>
                <w:rFonts w:hint="default" w:ascii="宋体" w:hAnsi="宋体"/>
                <w:w w:val="90"/>
                <w:szCs w:val="21"/>
              </w:rPr>
            </w:pPr>
            <w:r>
              <w:rPr>
                <w:rFonts w:ascii="宋体" w:hAnsi="宋体"/>
                <w:w w:val="90"/>
                <w:szCs w:val="21"/>
              </w:rPr>
              <w:t>A0206180101电冰箱</w:t>
            </w: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《家用电冰箱耗电量限定值及能效等级》（GB</w:t>
            </w:r>
            <w:r>
              <w:rPr>
                <w:rFonts w:ascii="宋体" w:hAnsi="宋体"/>
                <w:w w:val="90"/>
                <w:szCs w:val="21"/>
              </w:rPr>
              <w:tab/>
            </w:r>
            <w:r>
              <w:rPr>
                <w:rFonts w:ascii="宋体" w:hAnsi="宋体"/>
                <w:w w:val="90"/>
                <w:szCs w:val="21"/>
              </w:rPr>
              <w:t>12021.2）</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Merge w:val="restart"/>
            <w:vAlign w:val="center"/>
          </w:tcPr>
          <w:p>
            <w:pPr>
              <w:jc w:val="left"/>
              <w:rPr>
                <w:rFonts w:hint="default" w:ascii="宋体" w:hAnsi="宋体"/>
                <w:b/>
                <w:w w:val="90"/>
                <w:szCs w:val="21"/>
              </w:rPr>
            </w:pPr>
            <w:r>
              <w:rPr>
                <w:rFonts w:ascii="宋体" w:hAnsi="宋体" w:cs="宋体"/>
                <w:w w:val="90"/>
                <w:szCs w:val="21"/>
              </w:rPr>
              <w:t>★</w:t>
            </w:r>
            <w:r>
              <w:rPr>
                <w:rFonts w:ascii="宋体" w:hAnsi="宋体" w:cs="Calibri"/>
                <w:b/>
                <w:w w:val="90"/>
                <w:szCs w:val="21"/>
              </w:rPr>
              <w:t>A0206180203</w:t>
            </w:r>
            <w:r>
              <w:rPr>
                <w:rFonts w:ascii="宋体" w:hAnsi="宋体"/>
                <w:b/>
                <w:w w:val="90"/>
                <w:szCs w:val="21"/>
              </w:rPr>
              <w:t>空调机</w:t>
            </w:r>
          </w:p>
        </w:tc>
        <w:tc>
          <w:tcPr>
            <w:tcW w:w="1682" w:type="dxa"/>
            <w:vAlign w:val="center"/>
          </w:tcPr>
          <w:p>
            <w:pPr>
              <w:jc w:val="left"/>
              <w:rPr>
                <w:rFonts w:hint="default" w:ascii="宋体" w:hAnsi="宋体"/>
                <w:b/>
                <w:w w:val="90"/>
                <w:szCs w:val="21"/>
              </w:rPr>
            </w:pPr>
            <w:r>
              <w:rPr>
                <w:rFonts w:ascii="宋体" w:hAnsi="宋体"/>
                <w:b/>
                <w:w w:val="90"/>
                <w:szCs w:val="21"/>
              </w:rPr>
              <w:t>房间空气调节器</w:t>
            </w:r>
          </w:p>
        </w:tc>
        <w:tc>
          <w:tcPr>
            <w:tcW w:w="3301" w:type="dxa"/>
            <w:vAlign w:val="center"/>
          </w:tcPr>
          <w:p>
            <w:pPr>
              <w:jc w:val="left"/>
              <w:rPr>
                <w:rFonts w:hint="default" w:ascii="宋体" w:hAnsi="宋体"/>
                <w:w w:val="90"/>
                <w:szCs w:val="21"/>
              </w:rPr>
            </w:pPr>
            <w:r>
              <w:rPr>
                <w:rFonts w:ascii="宋体" w:hAnsi="宋体"/>
                <w:w w:val="90"/>
                <w:szCs w:val="21"/>
              </w:rPr>
              <w:t>《转速可控型房间空气调节器能效限定值及能效等级》（GB 21455-2013），待2019年修订发布后，按《房间空气调节器能效限定值及能效等级》（GB21455-2019）实施。</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Merge w:val="continue"/>
            <w:vAlign w:val="center"/>
          </w:tcPr>
          <w:p>
            <w:pPr>
              <w:ind w:firstLine="437"/>
              <w:jc w:val="left"/>
              <w:rPr>
                <w:rFonts w:hint="default" w:ascii="宋体" w:hAnsi="宋体"/>
                <w:b/>
                <w:w w:val="90"/>
                <w:szCs w:val="21"/>
              </w:rPr>
            </w:pPr>
          </w:p>
        </w:tc>
        <w:tc>
          <w:tcPr>
            <w:tcW w:w="1682" w:type="dxa"/>
            <w:vAlign w:val="center"/>
          </w:tcPr>
          <w:p>
            <w:pPr>
              <w:jc w:val="left"/>
              <w:rPr>
                <w:rFonts w:hint="default" w:ascii="宋体" w:hAnsi="宋体"/>
                <w:b/>
                <w:w w:val="90"/>
                <w:szCs w:val="21"/>
              </w:rPr>
            </w:pPr>
            <w:r>
              <w:rPr>
                <w:rFonts w:ascii="宋体" w:hAnsi="宋体"/>
                <w:b/>
                <w:w w:val="90"/>
                <w:szCs w:val="21"/>
              </w:rPr>
              <w:t>多联式空调（热泵）机组（制冷量≤ 14000W）</w:t>
            </w:r>
          </w:p>
        </w:tc>
        <w:tc>
          <w:tcPr>
            <w:tcW w:w="3301" w:type="dxa"/>
            <w:vAlign w:val="center"/>
          </w:tcPr>
          <w:p>
            <w:pPr>
              <w:jc w:val="left"/>
              <w:rPr>
                <w:rFonts w:hint="default" w:ascii="宋体" w:hAnsi="宋体"/>
                <w:w w:val="90"/>
                <w:szCs w:val="21"/>
              </w:rPr>
            </w:pPr>
            <w:r>
              <w:rPr>
                <w:rFonts w:ascii="宋体" w:hAnsi="宋体"/>
                <w:w w:val="90"/>
                <w:szCs w:val="21"/>
              </w:rPr>
              <w:t>《多联式空调（热泵）机组能效限定值及能源效率等级》（GB 21454）</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Merge w:val="continue"/>
            <w:vAlign w:val="center"/>
          </w:tcPr>
          <w:p>
            <w:pPr>
              <w:ind w:firstLine="437"/>
              <w:jc w:val="left"/>
              <w:rPr>
                <w:rFonts w:hint="default" w:ascii="宋体" w:hAnsi="宋体"/>
                <w:b/>
                <w:w w:val="90"/>
                <w:szCs w:val="21"/>
              </w:rPr>
            </w:pPr>
          </w:p>
        </w:tc>
        <w:tc>
          <w:tcPr>
            <w:tcW w:w="1682" w:type="dxa"/>
            <w:vAlign w:val="center"/>
          </w:tcPr>
          <w:p>
            <w:pPr>
              <w:jc w:val="left"/>
              <w:rPr>
                <w:rFonts w:hint="default" w:ascii="宋体" w:hAnsi="宋体"/>
                <w:b/>
                <w:w w:val="90"/>
                <w:szCs w:val="21"/>
              </w:rPr>
            </w:pPr>
            <w:r>
              <w:rPr>
                <w:rFonts w:ascii="宋体" w:hAnsi="宋体"/>
                <w:b/>
                <w:w w:val="90"/>
                <w:szCs w:val="21"/>
              </w:rPr>
              <w:t>单元式空气调节机(制冷量≤14000W)</w:t>
            </w:r>
          </w:p>
        </w:tc>
        <w:tc>
          <w:tcPr>
            <w:tcW w:w="3301" w:type="dxa"/>
            <w:vAlign w:val="center"/>
          </w:tcPr>
          <w:p>
            <w:pPr>
              <w:jc w:val="left"/>
              <w:rPr>
                <w:rFonts w:hint="default" w:ascii="宋体" w:hAnsi="宋体"/>
                <w:w w:val="90"/>
                <w:szCs w:val="21"/>
              </w:rPr>
            </w:pPr>
            <w:r>
              <w:rPr>
                <w:rFonts w:ascii="宋体" w:hAnsi="宋体"/>
                <w:w w:val="90"/>
                <w:szCs w:val="21"/>
              </w:rPr>
              <w:t>《单元式空气调节机能效限定值及能源效率等级》（GB 19576）《风管送风式空调机组能效限定值及能效等级》（GB 37479）</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Align w:val="center"/>
          </w:tcPr>
          <w:p>
            <w:pPr>
              <w:jc w:val="left"/>
              <w:rPr>
                <w:rFonts w:hint="default" w:ascii="宋体" w:hAnsi="宋体"/>
                <w:w w:val="90"/>
                <w:szCs w:val="21"/>
              </w:rPr>
            </w:pPr>
            <w:r>
              <w:rPr>
                <w:rFonts w:ascii="宋体" w:hAnsi="宋体"/>
                <w:w w:val="90"/>
                <w:szCs w:val="21"/>
              </w:rPr>
              <w:t>A0206180301洗衣机</w:t>
            </w:r>
          </w:p>
        </w:tc>
        <w:tc>
          <w:tcPr>
            <w:tcW w:w="1682" w:type="dxa"/>
            <w:vAlign w:val="center"/>
          </w:tcPr>
          <w:p>
            <w:pPr>
              <w:ind w:firstLine="431"/>
              <w:jc w:val="left"/>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《电动洗衣机能效水效限定值及等级》（GB 12021.4）</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Merge w:val="restart"/>
            <w:vAlign w:val="center"/>
          </w:tcPr>
          <w:p>
            <w:pPr>
              <w:jc w:val="left"/>
              <w:rPr>
                <w:rFonts w:hint="default" w:ascii="宋体" w:hAnsi="宋体"/>
                <w:w w:val="90"/>
                <w:szCs w:val="21"/>
              </w:rPr>
            </w:pPr>
            <w:r>
              <w:rPr>
                <w:rFonts w:ascii="宋体" w:hAnsi="宋体"/>
                <w:w w:val="90"/>
                <w:szCs w:val="21"/>
              </w:rPr>
              <w:t>A02061808热水器</w:t>
            </w:r>
          </w:p>
        </w:tc>
        <w:tc>
          <w:tcPr>
            <w:tcW w:w="1682" w:type="dxa"/>
            <w:vAlign w:val="center"/>
          </w:tcPr>
          <w:p>
            <w:pPr>
              <w:jc w:val="left"/>
              <w:rPr>
                <w:rFonts w:hint="default" w:ascii="宋体" w:hAnsi="宋体"/>
                <w:w w:val="90"/>
                <w:szCs w:val="21"/>
              </w:rPr>
            </w:pPr>
            <w:r>
              <w:rPr>
                <w:rFonts w:ascii="宋体" w:hAnsi="宋体" w:cs="宋体"/>
                <w:w w:val="90"/>
                <w:szCs w:val="21"/>
              </w:rPr>
              <w:t>★</w:t>
            </w:r>
            <w:r>
              <w:rPr>
                <w:rFonts w:ascii="宋体" w:hAnsi="宋体"/>
                <w:b/>
                <w:w w:val="90"/>
                <w:szCs w:val="21"/>
              </w:rPr>
              <w:t>电热水器</w:t>
            </w:r>
          </w:p>
        </w:tc>
        <w:tc>
          <w:tcPr>
            <w:tcW w:w="3301" w:type="dxa"/>
            <w:vAlign w:val="center"/>
          </w:tcPr>
          <w:p>
            <w:pPr>
              <w:jc w:val="left"/>
              <w:rPr>
                <w:rFonts w:hint="default" w:ascii="宋体" w:hAnsi="宋体"/>
                <w:w w:val="90"/>
                <w:szCs w:val="21"/>
              </w:rPr>
            </w:pPr>
            <w:r>
              <w:rPr>
                <w:rFonts w:ascii="宋体" w:hAnsi="宋体"/>
                <w:w w:val="90"/>
                <w:szCs w:val="21"/>
              </w:rPr>
              <w:t>《储水式电热水器能效限定值及能效等级》（GB 21519）</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Merge w:val="continue"/>
            <w:vAlign w:val="center"/>
          </w:tcPr>
          <w:p>
            <w:pPr>
              <w:ind w:firstLine="431"/>
              <w:jc w:val="left"/>
              <w:rPr>
                <w:rFonts w:hint="default" w:ascii="宋体" w:hAnsi="宋体"/>
                <w:w w:val="90"/>
                <w:szCs w:val="21"/>
              </w:rPr>
            </w:pPr>
          </w:p>
        </w:tc>
        <w:tc>
          <w:tcPr>
            <w:tcW w:w="1682" w:type="dxa"/>
            <w:vAlign w:val="center"/>
          </w:tcPr>
          <w:p>
            <w:pPr>
              <w:jc w:val="left"/>
              <w:rPr>
                <w:rFonts w:hint="default" w:ascii="宋体" w:hAnsi="宋体"/>
                <w:w w:val="90"/>
                <w:szCs w:val="21"/>
              </w:rPr>
            </w:pPr>
            <w:r>
              <w:rPr>
                <w:rFonts w:ascii="宋体" w:hAnsi="宋体"/>
                <w:w w:val="90"/>
                <w:szCs w:val="21"/>
              </w:rPr>
              <w:t>燃气热水器</w:t>
            </w:r>
          </w:p>
        </w:tc>
        <w:tc>
          <w:tcPr>
            <w:tcW w:w="3301" w:type="dxa"/>
            <w:vAlign w:val="center"/>
          </w:tcPr>
          <w:p>
            <w:pPr>
              <w:jc w:val="left"/>
              <w:rPr>
                <w:rFonts w:hint="default" w:ascii="宋体" w:hAnsi="宋体"/>
                <w:w w:val="90"/>
                <w:szCs w:val="21"/>
              </w:rPr>
            </w:pPr>
            <w:r>
              <w:rPr>
                <w:rFonts w:ascii="宋体" w:hAnsi="宋体"/>
                <w:w w:val="90"/>
                <w:szCs w:val="21"/>
              </w:rPr>
              <w:t>《家用燃气快速热水器和燃气采暖热水炉能效限定值及能效等级（GB 20665）</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Merge w:val="continue"/>
            <w:vAlign w:val="center"/>
          </w:tcPr>
          <w:p>
            <w:pPr>
              <w:ind w:firstLine="431"/>
              <w:jc w:val="left"/>
              <w:rPr>
                <w:rFonts w:hint="default" w:ascii="宋体" w:hAnsi="宋体"/>
                <w:w w:val="90"/>
                <w:szCs w:val="21"/>
              </w:rPr>
            </w:pPr>
          </w:p>
        </w:tc>
        <w:tc>
          <w:tcPr>
            <w:tcW w:w="1682" w:type="dxa"/>
            <w:vAlign w:val="center"/>
          </w:tcPr>
          <w:p>
            <w:pPr>
              <w:jc w:val="left"/>
              <w:rPr>
                <w:rFonts w:hint="default" w:ascii="宋体" w:hAnsi="宋体"/>
                <w:w w:val="90"/>
                <w:szCs w:val="21"/>
              </w:rPr>
            </w:pPr>
            <w:r>
              <w:rPr>
                <w:rFonts w:ascii="宋体" w:hAnsi="宋体"/>
                <w:w w:val="90"/>
                <w:szCs w:val="21"/>
              </w:rPr>
              <w:t>热泵热水器</w:t>
            </w:r>
          </w:p>
        </w:tc>
        <w:tc>
          <w:tcPr>
            <w:tcW w:w="3301" w:type="dxa"/>
            <w:vAlign w:val="center"/>
          </w:tcPr>
          <w:p>
            <w:pPr>
              <w:jc w:val="left"/>
              <w:rPr>
                <w:rFonts w:hint="default" w:ascii="宋体" w:hAnsi="宋体"/>
                <w:w w:val="90"/>
                <w:szCs w:val="21"/>
              </w:rPr>
            </w:pPr>
            <w:r>
              <w:rPr>
                <w:rFonts w:ascii="宋体" w:hAnsi="宋体"/>
                <w:w w:val="90"/>
                <w:szCs w:val="21"/>
              </w:rPr>
              <w:t>《热泵热水机（器）能效限定值及能效等级》（GB 29541）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Merge w:val="continue"/>
            <w:vAlign w:val="center"/>
          </w:tcPr>
          <w:p>
            <w:pPr>
              <w:ind w:firstLine="431"/>
              <w:jc w:val="left"/>
              <w:rPr>
                <w:rFonts w:hint="default" w:ascii="宋体" w:hAnsi="宋体"/>
                <w:w w:val="90"/>
                <w:szCs w:val="21"/>
              </w:rPr>
            </w:pPr>
          </w:p>
        </w:tc>
        <w:tc>
          <w:tcPr>
            <w:tcW w:w="1682" w:type="dxa"/>
            <w:vAlign w:val="center"/>
          </w:tcPr>
          <w:p>
            <w:pPr>
              <w:jc w:val="left"/>
              <w:rPr>
                <w:rFonts w:hint="default" w:ascii="宋体" w:hAnsi="宋体"/>
                <w:w w:val="90"/>
                <w:szCs w:val="21"/>
              </w:rPr>
            </w:pPr>
            <w:r>
              <w:rPr>
                <w:rFonts w:ascii="宋体" w:hAnsi="宋体"/>
                <w:w w:val="90"/>
                <w:szCs w:val="21"/>
              </w:rPr>
              <w:t>太阳能热水系统</w:t>
            </w:r>
          </w:p>
        </w:tc>
        <w:tc>
          <w:tcPr>
            <w:tcW w:w="3301" w:type="dxa"/>
            <w:vAlign w:val="center"/>
          </w:tcPr>
          <w:p>
            <w:pPr>
              <w:jc w:val="left"/>
              <w:rPr>
                <w:rFonts w:hint="default" w:ascii="宋体" w:hAnsi="宋体"/>
                <w:w w:val="90"/>
                <w:szCs w:val="21"/>
              </w:rPr>
            </w:pPr>
            <w:r>
              <w:rPr>
                <w:rFonts w:ascii="宋体" w:hAnsi="宋体"/>
                <w:w w:val="90"/>
                <w:szCs w:val="21"/>
              </w:rPr>
              <w:t>《家用太阳能热水系统能效限定值及能效等级》（GB 26969）</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vAlign w:val="center"/>
          </w:tcPr>
          <w:p>
            <w:pPr>
              <w:rPr>
                <w:rFonts w:hint="default" w:ascii="宋体" w:hAnsi="宋体"/>
                <w:w w:val="90"/>
                <w:szCs w:val="21"/>
              </w:rPr>
            </w:pPr>
            <w:r>
              <w:rPr>
                <w:rFonts w:ascii="宋体" w:hAnsi="宋体"/>
                <w:w w:val="90"/>
                <w:szCs w:val="21"/>
              </w:rPr>
              <w:t>11</w:t>
            </w:r>
          </w:p>
        </w:tc>
        <w:tc>
          <w:tcPr>
            <w:tcW w:w="1933" w:type="dxa"/>
            <w:vMerge w:val="restart"/>
            <w:vAlign w:val="center"/>
          </w:tcPr>
          <w:p>
            <w:pPr>
              <w:jc w:val="left"/>
              <w:rPr>
                <w:rFonts w:hint="default" w:ascii="宋体" w:hAnsi="宋体"/>
                <w:w w:val="90"/>
                <w:szCs w:val="21"/>
              </w:rPr>
            </w:pPr>
            <w:r>
              <w:rPr>
                <w:rFonts w:ascii="宋体" w:hAnsi="宋体"/>
                <w:w w:val="90"/>
                <w:szCs w:val="21"/>
              </w:rPr>
              <w:t>A020619 照明设备</w:t>
            </w:r>
          </w:p>
        </w:tc>
        <w:tc>
          <w:tcPr>
            <w:tcW w:w="2334" w:type="dxa"/>
            <w:vAlign w:val="center"/>
          </w:tcPr>
          <w:p>
            <w:pPr>
              <w:jc w:val="left"/>
              <w:rPr>
                <w:rFonts w:hint="default" w:ascii="宋体" w:hAnsi="宋体"/>
                <w:b/>
                <w:w w:val="90"/>
                <w:szCs w:val="21"/>
              </w:rPr>
            </w:pPr>
            <w:r>
              <w:rPr>
                <w:rFonts w:ascii="宋体" w:hAnsi="宋体" w:cs="宋体"/>
                <w:w w:val="90"/>
                <w:szCs w:val="21"/>
              </w:rPr>
              <w:t>★</w:t>
            </w:r>
            <w:r>
              <w:rPr>
                <w:rFonts w:ascii="宋体" w:hAnsi="宋体"/>
                <w:b/>
                <w:w w:val="90"/>
                <w:szCs w:val="21"/>
              </w:rPr>
              <w:t>普通照明用双端荧光灯</w:t>
            </w: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《普通照明用双端荧光灯能效限定值及能效等级》（GB 19043）</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Align w:val="center"/>
          </w:tcPr>
          <w:p>
            <w:pPr>
              <w:jc w:val="left"/>
              <w:rPr>
                <w:rFonts w:hint="default" w:ascii="宋体" w:hAnsi="宋体"/>
                <w:w w:val="90"/>
                <w:szCs w:val="21"/>
              </w:rPr>
            </w:pPr>
            <w:r>
              <w:rPr>
                <w:rFonts w:ascii="宋体" w:hAnsi="宋体"/>
                <w:w w:val="90"/>
                <w:szCs w:val="21"/>
              </w:rPr>
              <w:t>LED道路/隧道照明产品</w:t>
            </w: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《道路和隧道照明用LED灯具能效限定值及能效等级》（GB 37478）</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Align w:val="center"/>
          </w:tcPr>
          <w:p>
            <w:pPr>
              <w:jc w:val="left"/>
              <w:rPr>
                <w:rFonts w:hint="default" w:ascii="宋体" w:hAnsi="宋体"/>
                <w:w w:val="90"/>
                <w:szCs w:val="21"/>
              </w:rPr>
            </w:pPr>
            <w:r>
              <w:rPr>
                <w:rFonts w:ascii="宋体" w:hAnsi="宋体"/>
                <w:w w:val="90"/>
                <w:szCs w:val="21"/>
              </w:rPr>
              <w:t>LED筒灯</w:t>
            </w: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《室内照明用LED产品能效限定值及能效等级》（GB 30255）</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1"/>
              <w:jc w:val="left"/>
              <w:rPr>
                <w:rFonts w:hint="default" w:ascii="宋体" w:hAnsi="宋体"/>
                <w:w w:val="90"/>
                <w:szCs w:val="21"/>
              </w:rPr>
            </w:pPr>
          </w:p>
        </w:tc>
        <w:tc>
          <w:tcPr>
            <w:tcW w:w="2334" w:type="dxa"/>
            <w:vAlign w:val="center"/>
          </w:tcPr>
          <w:p>
            <w:pPr>
              <w:jc w:val="left"/>
              <w:rPr>
                <w:rFonts w:hint="default" w:ascii="宋体" w:hAnsi="宋体"/>
                <w:w w:val="90"/>
                <w:szCs w:val="21"/>
              </w:rPr>
            </w:pPr>
            <w:r>
              <w:rPr>
                <w:rFonts w:ascii="宋体" w:hAnsi="宋体"/>
                <w:w w:val="90"/>
                <w:szCs w:val="21"/>
              </w:rPr>
              <w:t>普通照明用非定向自镇流LED灯</w:t>
            </w: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《室内照明用LED产品能效限定值及能效等级》（GB 30255）</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pPr>
              <w:rPr>
                <w:rFonts w:hint="default" w:ascii="宋体" w:hAnsi="宋体"/>
                <w:w w:val="90"/>
                <w:szCs w:val="21"/>
              </w:rPr>
            </w:pPr>
            <w:r>
              <w:rPr>
                <w:rFonts w:ascii="宋体" w:hAnsi="宋体"/>
                <w:w w:val="90"/>
                <w:szCs w:val="21"/>
              </w:rPr>
              <w:t>12</w:t>
            </w:r>
          </w:p>
        </w:tc>
        <w:tc>
          <w:tcPr>
            <w:tcW w:w="1933" w:type="dxa"/>
            <w:vAlign w:val="center"/>
          </w:tcPr>
          <w:p>
            <w:pPr>
              <w:jc w:val="left"/>
              <w:rPr>
                <w:rFonts w:hint="default" w:ascii="宋体" w:hAnsi="宋体"/>
                <w:b/>
                <w:w w:val="90"/>
                <w:szCs w:val="21"/>
              </w:rPr>
            </w:pPr>
            <w:r>
              <w:rPr>
                <w:rFonts w:ascii="宋体" w:hAnsi="宋体" w:cs="宋体"/>
                <w:w w:val="90"/>
                <w:szCs w:val="21"/>
              </w:rPr>
              <w:t>★</w:t>
            </w:r>
            <w:r>
              <w:rPr>
                <w:rFonts w:ascii="宋体" w:hAnsi="宋体" w:cs="Calibri"/>
                <w:b/>
                <w:w w:val="90"/>
                <w:szCs w:val="21"/>
              </w:rPr>
              <w:t>A020910</w:t>
            </w:r>
            <w:r>
              <w:rPr>
                <w:rFonts w:ascii="宋体" w:hAnsi="宋体"/>
                <w:b/>
                <w:w w:val="90"/>
                <w:szCs w:val="21"/>
              </w:rPr>
              <w:t>电视设备</w:t>
            </w:r>
          </w:p>
        </w:tc>
        <w:tc>
          <w:tcPr>
            <w:tcW w:w="2334" w:type="dxa"/>
            <w:vAlign w:val="center"/>
          </w:tcPr>
          <w:p>
            <w:pPr>
              <w:jc w:val="left"/>
              <w:rPr>
                <w:rFonts w:hint="default" w:ascii="宋体" w:hAnsi="宋体"/>
                <w:b/>
                <w:w w:val="90"/>
                <w:szCs w:val="21"/>
              </w:rPr>
            </w:pPr>
            <w:r>
              <w:rPr>
                <w:rFonts w:ascii="宋体" w:hAnsi="宋体"/>
                <w:b/>
                <w:w w:val="90"/>
                <w:szCs w:val="21"/>
              </w:rPr>
              <w:t>A02091001普通电视设备（电视机）</w:t>
            </w: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《平板电视能效限定值及能效等级》（GB 24850）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1633" w:hRule="atLeast"/>
          <w:jc w:val="center"/>
        </w:trPr>
        <w:tc>
          <w:tcPr>
            <w:tcW w:w="690" w:type="dxa"/>
            <w:vAlign w:val="center"/>
          </w:tcPr>
          <w:p>
            <w:pPr>
              <w:rPr>
                <w:rFonts w:hint="default" w:ascii="宋体" w:hAnsi="宋体"/>
                <w:w w:val="90"/>
                <w:szCs w:val="21"/>
              </w:rPr>
            </w:pPr>
            <w:r>
              <w:rPr>
                <w:rFonts w:ascii="宋体" w:hAnsi="宋体"/>
                <w:w w:val="90"/>
                <w:szCs w:val="21"/>
              </w:rPr>
              <w:t>13</w:t>
            </w:r>
          </w:p>
        </w:tc>
        <w:tc>
          <w:tcPr>
            <w:tcW w:w="1933" w:type="dxa"/>
            <w:vAlign w:val="center"/>
          </w:tcPr>
          <w:p>
            <w:pPr>
              <w:jc w:val="left"/>
              <w:rPr>
                <w:rFonts w:hint="default" w:ascii="宋体" w:hAnsi="宋体"/>
                <w:b/>
                <w:w w:val="90"/>
                <w:szCs w:val="21"/>
              </w:rPr>
            </w:pPr>
            <w:r>
              <w:rPr>
                <w:rFonts w:ascii="宋体" w:hAnsi="宋体" w:cs="宋体"/>
                <w:w w:val="90"/>
                <w:szCs w:val="21"/>
              </w:rPr>
              <w:t>★</w:t>
            </w:r>
            <w:r>
              <w:rPr>
                <w:rFonts w:ascii="宋体" w:hAnsi="宋体" w:cs="Calibri"/>
                <w:b/>
                <w:w w:val="90"/>
                <w:szCs w:val="21"/>
              </w:rPr>
              <w:t>A020911</w:t>
            </w:r>
            <w:r>
              <w:rPr>
                <w:rFonts w:ascii="宋体" w:hAnsi="宋体"/>
                <w:b/>
                <w:w w:val="90"/>
                <w:szCs w:val="21"/>
              </w:rPr>
              <w:t>视频设备</w:t>
            </w:r>
          </w:p>
        </w:tc>
        <w:tc>
          <w:tcPr>
            <w:tcW w:w="2334" w:type="dxa"/>
            <w:vAlign w:val="center"/>
          </w:tcPr>
          <w:p>
            <w:pPr>
              <w:jc w:val="left"/>
              <w:rPr>
                <w:rFonts w:hint="default" w:ascii="宋体" w:hAnsi="宋体"/>
                <w:b/>
                <w:w w:val="90"/>
                <w:szCs w:val="21"/>
              </w:rPr>
            </w:pPr>
            <w:r>
              <w:rPr>
                <w:rFonts w:ascii="宋体" w:hAnsi="宋体"/>
                <w:b/>
                <w:w w:val="90"/>
                <w:szCs w:val="21"/>
              </w:rPr>
              <w:t>A02091107视频监控设备</w:t>
            </w:r>
          </w:p>
        </w:tc>
        <w:tc>
          <w:tcPr>
            <w:tcW w:w="1682" w:type="dxa"/>
            <w:vAlign w:val="center"/>
          </w:tcPr>
          <w:p>
            <w:pPr>
              <w:ind w:firstLine="437"/>
              <w:rPr>
                <w:rFonts w:hint="default" w:ascii="宋体" w:hAnsi="宋体"/>
                <w:b/>
                <w:w w:val="90"/>
                <w:szCs w:val="21"/>
              </w:rPr>
            </w:pPr>
            <w:r>
              <w:rPr>
                <w:rFonts w:ascii="宋体" w:hAnsi="宋体"/>
                <w:b/>
                <w:w w:val="90"/>
                <w:szCs w:val="21"/>
              </w:rPr>
              <w:t>监视器</w:t>
            </w:r>
          </w:p>
        </w:tc>
        <w:tc>
          <w:tcPr>
            <w:tcW w:w="3301" w:type="dxa"/>
            <w:vAlign w:val="center"/>
          </w:tcPr>
          <w:p>
            <w:pPr>
              <w:jc w:val="left"/>
              <w:rPr>
                <w:rFonts w:hint="default" w:ascii="宋体" w:hAnsi="宋体"/>
                <w:w w:val="90"/>
                <w:szCs w:val="21"/>
              </w:rPr>
            </w:pPr>
            <w:r>
              <w:rPr>
                <w:rFonts w:ascii="宋体" w:hAnsi="宋体"/>
                <w:w w:val="90"/>
                <w:szCs w:val="21"/>
              </w:rPr>
              <w:t>以射频信号为主要信号输入的监视器应符合《平板电视能效限定值及能效等级》（GB 24850），以数字信号为主要信号输入的监视器应符合《计算机显示器能效限定值及能效等级》（GB 21520）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pPr>
              <w:rPr>
                <w:rFonts w:hint="default" w:ascii="宋体" w:hAnsi="宋体"/>
                <w:w w:val="90"/>
                <w:szCs w:val="21"/>
              </w:rPr>
            </w:pPr>
            <w:r>
              <w:rPr>
                <w:rFonts w:ascii="宋体" w:hAnsi="宋体"/>
                <w:w w:val="90"/>
                <w:szCs w:val="21"/>
              </w:rPr>
              <w:t>14</w:t>
            </w:r>
          </w:p>
        </w:tc>
        <w:tc>
          <w:tcPr>
            <w:tcW w:w="1933" w:type="dxa"/>
            <w:vAlign w:val="center"/>
          </w:tcPr>
          <w:p>
            <w:pPr>
              <w:jc w:val="left"/>
              <w:rPr>
                <w:rFonts w:hint="default" w:ascii="宋体" w:hAnsi="宋体"/>
                <w:w w:val="90"/>
                <w:szCs w:val="21"/>
              </w:rPr>
            </w:pPr>
            <w:r>
              <w:rPr>
                <w:rFonts w:ascii="宋体" w:hAnsi="宋体"/>
                <w:w w:val="90"/>
                <w:szCs w:val="21"/>
              </w:rPr>
              <w:t>A031210饮食炊事机械</w:t>
            </w:r>
          </w:p>
        </w:tc>
        <w:tc>
          <w:tcPr>
            <w:tcW w:w="2334" w:type="dxa"/>
            <w:vAlign w:val="center"/>
          </w:tcPr>
          <w:p>
            <w:pPr>
              <w:jc w:val="left"/>
              <w:rPr>
                <w:rFonts w:hint="default" w:ascii="宋体" w:hAnsi="宋体"/>
                <w:w w:val="90"/>
                <w:szCs w:val="21"/>
              </w:rPr>
            </w:pPr>
            <w:r>
              <w:rPr>
                <w:rFonts w:ascii="宋体" w:hAnsi="宋体"/>
                <w:w w:val="90"/>
                <w:szCs w:val="21"/>
              </w:rPr>
              <w:t>商用燃气灶具</w:t>
            </w:r>
          </w:p>
        </w:tc>
        <w:tc>
          <w:tcPr>
            <w:tcW w:w="1682" w:type="dxa"/>
            <w:vAlign w:val="center"/>
          </w:tcPr>
          <w:p>
            <w:pPr>
              <w:ind w:firstLine="431"/>
              <w:jc w:val="center"/>
              <w:rPr>
                <w:rFonts w:hint="default" w:ascii="宋体" w:hAnsi="宋体"/>
                <w:w w:val="90"/>
                <w:szCs w:val="21"/>
              </w:rPr>
            </w:pPr>
          </w:p>
        </w:tc>
        <w:tc>
          <w:tcPr>
            <w:tcW w:w="3301" w:type="dxa"/>
            <w:vAlign w:val="center"/>
          </w:tcPr>
          <w:p>
            <w:pPr>
              <w:ind w:firstLine="431"/>
              <w:jc w:val="left"/>
              <w:rPr>
                <w:rFonts w:hint="default" w:ascii="宋体" w:hAnsi="宋体"/>
                <w:w w:val="90"/>
                <w:szCs w:val="21"/>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vAlign w:val="center"/>
          </w:tcPr>
          <w:p>
            <w:pPr>
              <w:rPr>
                <w:rFonts w:hint="default" w:ascii="宋体" w:hAnsi="宋体"/>
                <w:w w:val="90"/>
                <w:szCs w:val="21"/>
              </w:rPr>
            </w:pPr>
            <w:r>
              <w:rPr>
                <w:rFonts w:ascii="宋体" w:hAnsi="宋体"/>
                <w:w w:val="90"/>
                <w:szCs w:val="21"/>
              </w:rPr>
              <w:t>15</w:t>
            </w:r>
          </w:p>
        </w:tc>
        <w:tc>
          <w:tcPr>
            <w:tcW w:w="1933" w:type="dxa"/>
            <w:vMerge w:val="restart"/>
            <w:vAlign w:val="center"/>
          </w:tcPr>
          <w:p>
            <w:pPr>
              <w:jc w:val="left"/>
              <w:rPr>
                <w:rFonts w:hint="default" w:ascii="宋体" w:hAnsi="宋体"/>
                <w:b/>
                <w:w w:val="90"/>
                <w:szCs w:val="21"/>
              </w:rPr>
            </w:pPr>
            <w:r>
              <w:rPr>
                <w:rFonts w:ascii="宋体" w:hAnsi="宋体" w:cs="宋体"/>
                <w:w w:val="90"/>
                <w:szCs w:val="21"/>
              </w:rPr>
              <w:t>★</w:t>
            </w:r>
            <w:r>
              <w:rPr>
                <w:rFonts w:ascii="宋体" w:hAnsi="宋体" w:cs="Calibri"/>
                <w:b/>
                <w:w w:val="90"/>
                <w:szCs w:val="21"/>
              </w:rPr>
              <w:t>A060805</w:t>
            </w:r>
            <w:r>
              <w:rPr>
                <w:rFonts w:ascii="宋体" w:hAnsi="宋体"/>
                <w:b/>
                <w:w w:val="90"/>
                <w:szCs w:val="21"/>
              </w:rPr>
              <w:t>便器</w:t>
            </w:r>
          </w:p>
        </w:tc>
        <w:tc>
          <w:tcPr>
            <w:tcW w:w="2334" w:type="dxa"/>
            <w:vAlign w:val="center"/>
          </w:tcPr>
          <w:p>
            <w:pPr>
              <w:jc w:val="left"/>
              <w:rPr>
                <w:rFonts w:hint="default" w:ascii="宋体" w:hAnsi="宋体"/>
                <w:b/>
                <w:w w:val="90"/>
                <w:szCs w:val="21"/>
              </w:rPr>
            </w:pPr>
            <w:r>
              <w:rPr>
                <w:rFonts w:ascii="宋体" w:hAnsi="宋体"/>
                <w:b/>
                <w:w w:val="90"/>
                <w:szCs w:val="21"/>
              </w:rPr>
              <w:t>坐便器</w:t>
            </w: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《坐便器水效限定值及水效等级</w:t>
            </w:r>
          </w:p>
          <w:p>
            <w:pPr>
              <w:jc w:val="left"/>
              <w:rPr>
                <w:rFonts w:hint="default" w:ascii="宋体" w:hAnsi="宋体"/>
                <w:w w:val="90"/>
                <w:szCs w:val="21"/>
              </w:rPr>
            </w:pPr>
            <w:r>
              <w:rPr>
                <w:rFonts w:ascii="宋体" w:hAnsi="宋体"/>
                <w:w w:val="90"/>
                <w:szCs w:val="21"/>
              </w:rPr>
              <w:t>（GB 25502）</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7"/>
              <w:jc w:val="left"/>
              <w:rPr>
                <w:rFonts w:hint="default" w:ascii="宋体" w:hAnsi="宋体"/>
                <w:b/>
                <w:w w:val="90"/>
                <w:szCs w:val="21"/>
              </w:rPr>
            </w:pPr>
          </w:p>
        </w:tc>
        <w:tc>
          <w:tcPr>
            <w:tcW w:w="2334" w:type="dxa"/>
            <w:vAlign w:val="center"/>
          </w:tcPr>
          <w:p>
            <w:pPr>
              <w:jc w:val="left"/>
              <w:rPr>
                <w:rFonts w:hint="default" w:ascii="宋体" w:hAnsi="宋体"/>
                <w:b/>
                <w:w w:val="90"/>
                <w:szCs w:val="21"/>
              </w:rPr>
            </w:pPr>
            <w:r>
              <w:rPr>
                <w:rFonts w:ascii="宋体" w:hAnsi="宋体"/>
                <w:b/>
                <w:w w:val="90"/>
                <w:szCs w:val="21"/>
              </w:rPr>
              <w:t>蹲便器</w:t>
            </w: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《蹲便器用水效率限定值及用水效率等级》（GB 30717）</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pPr>
              <w:ind w:firstLine="431"/>
              <w:jc w:val="center"/>
              <w:rPr>
                <w:rFonts w:hint="default" w:ascii="宋体" w:hAnsi="宋体"/>
                <w:w w:val="90"/>
                <w:szCs w:val="21"/>
              </w:rPr>
            </w:pPr>
          </w:p>
        </w:tc>
        <w:tc>
          <w:tcPr>
            <w:tcW w:w="1933" w:type="dxa"/>
            <w:vMerge w:val="continue"/>
            <w:vAlign w:val="center"/>
          </w:tcPr>
          <w:p>
            <w:pPr>
              <w:ind w:firstLine="437"/>
              <w:jc w:val="left"/>
              <w:rPr>
                <w:rFonts w:hint="default" w:ascii="宋体" w:hAnsi="宋体"/>
                <w:b/>
                <w:w w:val="90"/>
                <w:szCs w:val="21"/>
              </w:rPr>
            </w:pPr>
          </w:p>
        </w:tc>
        <w:tc>
          <w:tcPr>
            <w:tcW w:w="2334" w:type="dxa"/>
            <w:vAlign w:val="center"/>
          </w:tcPr>
          <w:p>
            <w:pPr>
              <w:jc w:val="left"/>
              <w:rPr>
                <w:rFonts w:hint="default" w:ascii="宋体" w:hAnsi="宋体"/>
                <w:b/>
                <w:w w:val="90"/>
                <w:szCs w:val="21"/>
              </w:rPr>
            </w:pPr>
            <w:r>
              <w:rPr>
                <w:rFonts w:ascii="宋体" w:hAnsi="宋体"/>
                <w:b/>
                <w:w w:val="90"/>
                <w:szCs w:val="21"/>
              </w:rPr>
              <w:t>小便器</w:t>
            </w: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《小便器用水效率限定值及用水效率等级》（GB 28377）</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pPr>
              <w:rPr>
                <w:rFonts w:hint="default" w:ascii="宋体" w:hAnsi="宋体"/>
                <w:w w:val="90"/>
                <w:szCs w:val="21"/>
              </w:rPr>
            </w:pPr>
            <w:r>
              <w:rPr>
                <w:rFonts w:ascii="宋体" w:hAnsi="宋体"/>
                <w:w w:val="90"/>
                <w:szCs w:val="21"/>
              </w:rPr>
              <w:t>16</w:t>
            </w:r>
          </w:p>
        </w:tc>
        <w:tc>
          <w:tcPr>
            <w:tcW w:w="1933" w:type="dxa"/>
            <w:vAlign w:val="center"/>
          </w:tcPr>
          <w:p>
            <w:pPr>
              <w:jc w:val="left"/>
              <w:rPr>
                <w:rFonts w:hint="default" w:ascii="宋体" w:hAnsi="宋体"/>
                <w:b/>
                <w:w w:val="90"/>
                <w:szCs w:val="21"/>
              </w:rPr>
            </w:pPr>
            <w:r>
              <w:rPr>
                <w:rFonts w:ascii="宋体" w:hAnsi="宋体" w:cs="宋体"/>
                <w:w w:val="90"/>
                <w:szCs w:val="21"/>
              </w:rPr>
              <w:t>★</w:t>
            </w:r>
            <w:r>
              <w:rPr>
                <w:rFonts w:ascii="宋体" w:hAnsi="宋体" w:cs="Calibri"/>
                <w:b/>
                <w:w w:val="90"/>
                <w:szCs w:val="21"/>
              </w:rPr>
              <w:t>A060806</w:t>
            </w:r>
            <w:r>
              <w:rPr>
                <w:rFonts w:ascii="宋体" w:hAnsi="宋体"/>
                <w:b/>
                <w:w w:val="90"/>
                <w:szCs w:val="21"/>
              </w:rPr>
              <w:t>水嘴</w:t>
            </w:r>
          </w:p>
        </w:tc>
        <w:tc>
          <w:tcPr>
            <w:tcW w:w="2334" w:type="dxa"/>
            <w:vAlign w:val="center"/>
          </w:tcPr>
          <w:p>
            <w:pPr>
              <w:ind w:firstLine="431"/>
              <w:jc w:val="left"/>
              <w:rPr>
                <w:rFonts w:hint="default" w:ascii="宋体" w:hAnsi="宋体"/>
                <w:w w:val="90"/>
                <w:szCs w:val="21"/>
              </w:rPr>
            </w:pP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《水嘴用水效率限定值及用水效率等级》（GB 25501）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pPr>
              <w:rPr>
                <w:rFonts w:hint="default" w:ascii="宋体" w:hAnsi="宋体"/>
                <w:w w:val="90"/>
                <w:szCs w:val="21"/>
              </w:rPr>
            </w:pPr>
            <w:r>
              <w:rPr>
                <w:rFonts w:ascii="宋体" w:hAnsi="宋体"/>
                <w:w w:val="90"/>
                <w:szCs w:val="21"/>
              </w:rPr>
              <w:t>17</w:t>
            </w:r>
          </w:p>
        </w:tc>
        <w:tc>
          <w:tcPr>
            <w:tcW w:w="1933" w:type="dxa"/>
            <w:vAlign w:val="center"/>
          </w:tcPr>
          <w:p>
            <w:pPr>
              <w:jc w:val="left"/>
              <w:rPr>
                <w:rFonts w:hint="default" w:ascii="宋体" w:hAnsi="宋体"/>
                <w:w w:val="90"/>
                <w:szCs w:val="21"/>
              </w:rPr>
            </w:pPr>
            <w:r>
              <w:rPr>
                <w:rFonts w:ascii="宋体" w:hAnsi="宋体"/>
                <w:w w:val="90"/>
                <w:szCs w:val="21"/>
              </w:rPr>
              <w:t>A060807便器冲洗阀</w:t>
            </w:r>
          </w:p>
        </w:tc>
        <w:tc>
          <w:tcPr>
            <w:tcW w:w="2334" w:type="dxa"/>
            <w:vAlign w:val="center"/>
          </w:tcPr>
          <w:p>
            <w:pPr>
              <w:ind w:firstLine="431"/>
              <w:jc w:val="left"/>
              <w:rPr>
                <w:rFonts w:hint="default" w:ascii="宋体" w:hAnsi="宋体"/>
                <w:w w:val="90"/>
                <w:szCs w:val="21"/>
              </w:rPr>
            </w:pP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《便器冲洗阀用水效率限定值及用水效率等级》（GB 28379）</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pPr>
              <w:rPr>
                <w:rFonts w:hint="default" w:ascii="宋体" w:hAnsi="宋体"/>
                <w:w w:val="90"/>
                <w:szCs w:val="21"/>
              </w:rPr>
            </w:pPr>
            <w:r>
              <w:rPr>
                <w:rFonts w:ascii="宋体" w:hAnsi="宋体"/>
                <w:w w:val="90"/>
                <w:szCs w:val="21"/>
              </w:rPr>
              <w:t>18</w:t>
            </w:r>
          </w:p>
        </w:tc>
        <w:tc>
          <w:tcPr>
            <w:tcW w:w="1933" w:type="dxa"/>
            <w:vAlign w:val="center"/>
          </w:tcPr>
          <w:p>
            <w:pPr>
              <w:jc w:val="left"/>
              <w:rPr>
                <w:rFonts w:hint="default" w:ascii="宋体" w:hAnsi="宋体"/>
                <w:w w:val="90"/>
                <w:szCs w:val="21"/>
              </w:rPr>
            </w:pPr>
            <w:r>
              <w:rPr>
                <w:rFonts w:ascii="宋体" w:hAnsi="宋体"/>
                <w:w w:val="90"/>
                <w:szCs w:val="21"/>
              </w:rPr>
              <w:t>A060810淋浴器</w:t>
            </w:r>
          </w:p>
        </w:tc>
        <w:tc>
          <w:tcPr>
            <w:tcW w:w="2334" w:type="dxa"/>
            <w:vAlign w:val="center"/>
          </w:tcPr>
          <w:p>
            <w:pPr>
              <w:ind w:firstLine="431"/>
              <w:jc w:val="left"/>
              <w:rPr>
                <w:rFonts w:hint="default" w:ascii="宋体" w:hAnsi="宋体"/>
                <w:w w:val="90"/>
                <w:szCs w:val="21"/>
              </w:rPr>
            </w:pPr>
          </w:p>
        </w:tc>
        <w:tc>
          <w:tcPr>
            <w:tcW w:w="1682" w:type="dxa"/>
            <w:vAlign w:val="center"/>
          </w:tcPr>
          <w:p>
            <w:pPr>
              <w:ind w:firstLine="431"/>
              <w:jc w:val="center"/>
              <w:rPr>
                <w:rFonts w:hint="default" w:ascii="宋体" w:hAnsi="宋体"/>
                <w:w w:val="90"/>
                <w:szCs w:val="21"/>
              </w:rPr>
            </w:pPr>
          </w:p>
        </w:tc>
        <w:tc>
          <w:tcPr>
            <w:tcW w:w="3301" w:type="dxa"/>
            <w:vAlign w:val="center"/>
          </w:tcPr>
          <w:p>
            <w:pPr>
              <w:jc w:val="left"/>
              <w:rPr>
                <w:rFonts w:hint="default" w:ascii="宋体" w:hAnsi="宋体"/>
                <w:w w:val="90"/>
                <w:szCs w:val="21"/>
              </w:rPr>
            </w:pPr>
            <w:r>
              <w:rPr>
                <w:rFonts w:ascii="宋体" w:hAnsi="宋体"/>
                <w:w w:val="90"/>
                <w:szCs w:val="21"/>
              </w:rPr>
              <w:t>《淋浴器用水效率限定值及用水效率等级》（GB 28378）</w:t>
            </w:r>
          </w:p>
        </w:tc>
      </w:tr>
    </w:tbl>
    <w:p>
      <w:pPr>
        <w:adjustRightInd w:val="0"/>
        <w:snapToGrid w:val="0"/>
        <w:spacing w:line="360" w:lineRule="auto"/>
        <w:ind w:firstLine="480" w:firstLineChars="200"/>
        <w:rPr>
          <w:rFonts w:hint="default" w:ascii="宋体" w:hAnsi="宋体" w:cs="宋体"/>
          <w:sz w:val="24"/>
        </w:rPr>
      </w:pPr>
    </w:p>
    <w:p>
      <w:pPr>
        <w:adjustRightInd w:val="0"/>
        <w:snapToGrid w:val="0"/>
        <w:spacing w:line="360" w:lineRule="auto"/>
        <w:ind w:firstLine="480" w:firstLineChars="200"/>
        <w:rPr>
          <w:rFonts w:hint="default" w:ascii="宋体" w:hAnsi="宋体" w:cs="宋体"/>
          <w:sz w:val="24"/>
        </w:rPr>
      </w:pPr>
      <w:r>
        <w:rPr>
          <w:rFonts w:ascii="宋体" w:hAnsi="宋体" w:cs="宋体"/>
          <w:sz w:val="24"/>
        </w:rPr>
        <w:t>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480" w:firstLineChars="200"/>
        <w:rPr>
          <w:rFonts w:hint="default" w:ascii="宋体" w:hAnsi="宋体" w:cs="宋体"/>
          <w:sz w:val="24"/>
        </w:rPr>
      </w:pPr>
      <w:r>
        <w:rPr>
          <w:rFonts w:ascii="宋体" w:hAnsi="宋体" w:cs="宋体"/>
          <w:sz w:val="24"/>
        </w:rPr>
        <w:t>2.3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480" w:firstLineChars="200"/>
        <w:rPr>
          <w:rFonts w:hint="default" w:ascii="宋体" w:hAnsi="宋体" w:cs="宋体"/>
          <w:sz w:val="24"/>
        </w:rPr>
      </w:pPr>
      <w:r>
        <w:rPr>
          <w:rFonts w:ascii="宋体" w:hAnsi="宋体" w:cs="宋体"/>
          <w:sz w:val="24"/>
        </w:rPr>
        <w:t>3.支持中小企业发展</w:t>
      </w:r>
    </w:p>
    <w:p>
      <w:pPr>
        <w:spacing w:line="360" w:lineRule="auto"/>
        <w:ind w:firstLine="480" w:firstLineChars="200"/>
        <w:rPr>
          <w:rFonts w:hint="default" w:ascii="宋体" w:hAnsi="宋体" w:cs="宋体"/>
          <w:sz w:val="24"/>
        </w:rPr>
      </w:pPr>
      <w:r>
        <w:rPr>
          <w:rFonts w:ascii="宋体" w:hAnsi="宋体" w:cs="宋体"/>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hint="default" w:ascii="宋体" w:hAnsi="宋体" w:cs="宋体"/>
          <w:sz w:val="24"/>
        </w:rPr>
      </w:pPr>
      <w:r>
        <w:rPr>
          <w:rFonts w:ascii="宋体" w:hAnsi="宋体" w:cs="宋体"/>
          <w:sz w:val="24"/>
        </w:rPr>
        <w:t>符合中小企业划分标准的个体工商户，在政府采购活动中视同中小企业。</w:t>
      </w:r>
    </w:p>
    <w:p>
      <w:pPr>
        <w:widowControl/>
        <w:spacing w:line="360" w:lineRule="auto"/>
        <w:ind w:firstLine="480" w:firstLineChars="200"/>
        <w:rPr>
          <w:rFonts w:hint="default" w:ascii="宋体" w:hAnsi="宋体" w:cs="宋体"/>
          <w:kern w:val="0"/>
          <w:sz w:val="24"/>
        </w:rPr>
      </w:pPr>
      <w:r>
        <w:rPr>
          <w:rFonts w:ascii="宋体" w:hAnsi="宋体" w:cs="宋体"/>
          <w:bCs/>
          <w:sz w:val="24"/>
        </w:rPr>
        <w:t>3.2</w:t>
      </w:r>
      <w:r>
        <w:rPr>
          <w:rFonts w:ascii="宋体" w:hAnsi="宋体" w:cs="宋体"/>
          <w:kern w:val="0"/>
          <w:sz w:val="24"/>
        </w:rPr>
        <w:t>在政府采购活动中，投标人提供的货物、工程或者服务符合下列情形的，享受中小企业扶持政策：在货物采购项目中，货物由中小企业制造。</w:t>
      </w:r>
    </w:p>
    <w:p>
      <w:pPr>
        <w:widowControl/>
        <w:spacing w:line="360" w:lineRule="auto"/>
        <w:ind w:firstLine="480" w:firstLineChars="200"/>
        <w:rPr>
          <w:rFonts w:hint="default" w:ascii="宋体" w:hAnsi="宋体" w:cs="宋体"/>
          <w:kern w:val="0"/>
          <w:sz w:val="24"/>
        </w:rPr>
      </w:pPr>
      <w:r>
        <w:rPr>
          <w:rFonts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hint="default" w:ascii="宋体" w:hAnsi="宋体" w:cs="宋体"/>
          <w:sz w:val="24"/>
        </w:rPr>
      </w:pPr>
      <w:r>
        <w:rPr>
          <w:rFonts w:ascii="宋体" w:hAnsi="宋体" w:cs="宋体"/>
          <w:sz w:val="24"/>
        </w:rPr>
        <w:t>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hint="default" w:ascii="宋体" w:hAnsi="宋体" w:cs="宋体"/>
          <w:sz w:val="24"/>
        </w:rPr>
      </w:pPr>
      <w:r>
        <w:rPr>
          <w:rFonts w:ascii="宋体" w:hAnsi="宋体" w:cs="宋体"/>
          <w:sz w:val="24"/>
        </w:rPr>
        <w:t>3.4符合《关于促进残疾人就业政府采购政策的通知》（财库〔2017〕141号）规定的条件并提供《残疾人福利性单位声明函》的残疾人福利性单位视同小型、微型企业；</w:t>
      </w:r>
    </w:p>
    <w:p>
      <w:pPr>
        <w:spacing w:line="360" w:lineRule="auto"/>
        <w:ind w:firstLine="480" w:firstLineChars="200"/>
        <w:rPr>
          <w:rFonts w:hint="default" w:ascii="宋体" w:hAnsi="宋体" w:cs="宋体"/>
          <w:sz w:val="24"/>
        </w:rPr>
      </w:pPr>
      <w:r>
        <w:rPr>
          <w:rFonts w:ascii="宋体" w:hAnsi="宋体" w:cs="宋体"/>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hint="default" w:ascii="宋体" w:hAnsi="宋体" w:cs="宋体"/>
          <w:sz w:val="24"/>
        </w:rPr>
      </w:pPr>
      <w:r>
        <w:rPr>
          <w:rFonts w:ascii="宋体" w:hAnsi="宋体" w:cs="宋体"/>
          <w:sz w:val="24"/>
        </w:rPr>
        <w:t>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hint="default" w:ascii="宋体" w:hAnsi="宋体" w:cs="宋体"/>
          <w:sz w:val="24"/>
        </w:rPr>
      </w:pPr>
      <w:r>
        <w:rPr>
          <w:rFonts w:ascii="宋体" w:hAnsi="宋体" w:cs="宋体"/>
          <w:sz w:val="24"/>
        </w:rPr>
        <w:t>3.7中小企业享受扶持政策获得政府采购合同的，小微企业不得将合同分包给大中型企业，中型企业不得将合同分包给大型企业。</w:t>
      </w:r>
    </w:p>
    <w:p>
      <w:pPr>
        <w:spacing w:line="360" w:lineRule="auto"/>
        <w:ind w:firstLine="480" w:firstLineChars="200"/>
        <w:rPr>
          <w:rFonts w:hint="default" w:ascii="宋体" w:hAnsi="宋体" w:cs="宋体"/>
          <w:sz w:val="24"/>
        </w:rPr>
      </w:pPr>
      <w:r>
        <w:rPr>
          <w:rFonts w:ascii="宋体" w:hAnsi="宋体" w:cs="宋体"/>
          <w:sz w:val="24"/>
        </w:rPr>
        <w:t>4.</w:t>
      </w:r>
      <w:r>
        <w:rPr>
          <w:rFonts w:ascii="宋体" w:hAnsi="宋体" w:cs="宋体"/>
          <w:bCs/>
          <w:sz w:val="24"/>
        </w:rPr>
        <w:t>支持创新发展</w:t>
      </w:r>
    </w:p>
    <w:p>
      <w:pPr>
        <w:spacing w:line="360" w:lineRule="auto"/>
        <w:ind w:firstLine="480" w:firstLineChars="200"/>
        <w:rPr>
          <w:rFonts w:hint="default" w:ascii="宋体" w:hAnsi="宋体" w:cs="宋体"/>
          <w:sz w:val="24"/>
        </w:rPr>
      </w:pPr>
      <w:r>
        <w:rPr>
          <w:rFonts w:ascii="宋体" w:hAnsi="宋体" w:cs="宋体"/>
          <w:sz w:val="24"/>
        </w:rPr>
        <w:t>4.1 采购人优先采购被认定为首台套产品和“制造精品”的自主创新产品。</w:t>
      </w:r>
    </w:p>
    <w:p>
      <w:pPr>
        <w:spacing w:line="360" w:lineRule="auto"/>
        <w:ind w:firstLine="480" w:firstLineChars="200"/>
        <w:rPr>
          <w:rFonts w:hint="default" w:ascii="宋体" w:hAnsi="宋体" w:cs="宋体"/>
          <w:sz w:val="24"/>
        </w:rPr>
      </w:pPr>
      <w:r>
        <w:rPr>
          <w:rFonts w:ascii="宋体" w:hAnsi="宋体" w:cs="宋体"/>
          <w:sz w:val="24"/>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ind w:firstLine="480" w:firstLineChars="200"/>
        <w:rPr>
          <w:rFonts w:hint="default" w:ascii="宋体" w:hAnsi="宋体" w:cs="宋体"/>
          <w:sz w:val="24"/>
        </w:rPr>
      </w:pPr>
      <w:r>
        <w:rPr>
          <w:rFonts w:ascii="宋体" w:hAnsi="宋体" w:cs="宋体"/>
          <w:sz w:val="24"/>
        </w:rPr>
        <w:t>5.平等对待内外资企业和符合条件的破产重整企业</w:t>
      </w:r>
    </w:p>
    <w:p>
      <w:pPr>
        <w:adjustRightInd w:val="0"/>
        <w:snapToGrid w:val="0"/>
        <w:spacing w:line="360" w:lineRule="auto"/>
        <w:ind w:firstLine="470" w:firstLineChars="196"/>
        <w:outlineLvl w:val="1"/>
        <w:rPr>
          <w:rFonts w:hint="default" w:ascii="宋体" w:hAnsi="宋体" w:cs="宋体"/>
          <w:b/>
          <w:sz w:val="24"/>
        </w:rPr>
      </w:pPr>
      <w:r>
        <w:rPr>
          <w:rFonts w:ascii="宋体" w:hAnsi="宋体" w:cs="宋体"/>
          <w:sz w:val="24"/>
        </w:rPr>
        <w:t>平等对待内外资企业和符合条件的破产重整企业，切实保障企业公平竞争，平等维护企业的合法利益。</w:t>
      </w:r>
    </w:p>
    <w:p>
      <w:pPr>
        <w:adjustRightInd w:val="0"/>
        <w:snapToGrid w:val="0"/>
        <w:spacing w:line="360" w:lineRule="auto"/>
        <w:ind w:firstLine="472" w:firstLineChars="196"/>
        <w:outlineLvl w:val="1"/>
        <w:rPr>
          <w:rFonts w:hint="default" w:ascii="宋体" w:hAnsi="宋体" w:cs="宋体"/>
          <w:b/>
          <w:sz w:val="24"/>
        </w:rPr>
      </w:pPr>
      <w:r>
        <w:rPr>
          <w:rFonts w:ascii="宋体" w:hAnsi="宋体" w:cs="宋体"/>
          <w:b/>
          <w:sz w:val="24"/>
        </w:rPr>
        <w:t>（八）特别说明：</w:t>
      </w:r>
    </w:p>
    <w:p>
      <w:pPr>
        <w:adjustRightInd w:val="0"/>
        <w:snapToGrid w:val="0"/>
        <w:spacing w:line="360" w:lineRule="auto"/>
        <w:ind w:firstLine="470" w:firstLineChars="196"/>
        <w:outlineLvl w:val="1"/>
        <w:rPr>
          <w:rFonts w:hint="default"/>
          <w:sz w:val="24"/>
        </w:rPr>
      </w:pPr>
      <w:r>
        <w:rPr>
          <w:rFonts w:hint="default"/>
          <w:sz w:val="24"/>
        </w:rPr>
        <w:t>1.根据政府采购相关法律、法规、规章、文件规定并满足采购文件规定资格条件的区域性分支机构、个体工商户、个人独资企业、合伙企业参加本项目投标并由单位负责人签署的相关投标资料与本采购文件规定由法定代表人签署的的文件材料具有同等效力。</w:t>
      </w:r>
    </w:p>
    <w:p>
      <w:pPr>
        <w:adjustRightInd w:val="0"/>
        <w:snapToGrid w:val="0"/>
        <w:spacing w:line="360" w:lineRule="auto"/>
        <w:ind w:firstLine="470" w:firstLineChars="196"/>
        <w:jc w:val="left"/>
        <w:outlineLvl w:val="1"/>
        <w:rPr>
          <w:rFonts w:hint="default"/>
          <w:sz w:val="24"/>
        </w:rPr>
      </w:pPr>
      <w:r>
        <w:rPr>
          <w:rFonts w:hint="default"/>
          <w:sz w:val="24"/>
        </w:rPr>
        <w:t>2.采购文件中所涉及的产品品牌或型号均为建议性要求或为代替部分技术指标描述，供应商可以选择其他品牌型号的产品参加投标但投标产品须具有相当于或优于采购文件要求的指标、性能。</w:t>
      </w:r>
    </w:p>
    <w:p>
      <w:pPr>
        <w:widowControl/>
        <w:adjustRightInd w:val="0"/>
        <w:snapToGrid w:val="0"/>
        <w:spacing w:line="360" w:lineRule="auto"/>
        <w:ind w:firstLine="480" w:firstLineChars="200"/>
        <w:jc w:val="left"/>
        <w:rPr>
          <w:rFonts w:hint="default"/>
          <w:sz w:val="24"/>
        </w:rPr>
      </w:pPr>
      <w:r>
        <w:rPr>
          <w:rFonts w:hint="default"/>
          <w:sz w:val="24"/>
        </w:rPr>
        <w:t>3.投标人应仔细阅读招标文件的所有内容，按照招标文件的要求提交投标文件，并对所提供的全部资料的真实性承担法律责任。</w:t>
      </w:r>
    </w:p>
    <w:p>
      <w:pPr>
        <w:widowControl/>
        <w:adjustRightInd w:val="0"/>
        <w:snapToGrid w:val="0"/>
        <w:spacing w:line="360" w:lineRule="auto"/>
        <w:ind w:firstLine="480" w:firstLineChars="200"/>
        <w:jc w:val="left"/>
        <w:rPr>
          <w:rFonts w:hint="default"/>
          <w:sz w:val="24"/>
        </w:rPr>
      </w:pPr>
      <w:r>
        <w:rPr>
          <w:rFonts w:hint="default"/>
          <w:sz w:val="24"/>
        </w:rPr>
        <w:t>4.采购过程中出现以下情形，导致电子交易平台无法正常运行，或者无法保证电子交易的公平、公正和安全时，采购人（或代理机构）可中止电子交易活动：</w:t>
      </w:r>
    </w:p>
    <w:p>
      <w:pPr>
        <w:widowControl/>
        <w:adjustRightInd w:val="0"/>
        <w:snapToGrid w:val="0"/>
        <w:spacing w:line="360" w:lineRule="auto"/>
        <w:ind w:firstLine="480" w:firstLineChars="200"/>
        <w:jc w:val="left"/>
        <w:rPr>
          <w:rFonts w:hint="default"/>
          <w:sz w:val="24"/>
        </w:rPr>
      </w:pPr>
      <w:r>
        <w:rPr>
          <w:rFonts w:hint="default"/>
          <w:sz w:val="24"/>
        </w:rPr>
        <w:t>（1）电子交易平台发生故障而无法登录访问的；</w:t>
      </w:r>
    </w:p>
    <w:p>
      <w:pPr>
        <w:widowControl/>
        <w:adjustRightInd w:val="0"/>
        <w:snapToGrid w:val="0"/>
        <w:spacing w:line="360" w:lineRule="auto"/>
        <w:ind w:firstLine="480" w:firstLineChars="200"/>
        <w:jc w:val="left"/>
        <w:rPr>
          <w:rFonts w:hint="default"/>
          <w:sz w:val="24"/>
        </w:rPr>
      </w:pPr>
      <w:r>
        <w:rPr>
          <w:rFonts w:hint="default"/>
          <w:sz w:val="24"/>
        </w:rPr>
        <w:t>（2）电子交易平台应用或数据库出现错误，不能进行正常操作的；</w:t>
      </w:r>
    </w:p>
    <w:p>
      <w:pPr>
        <w:widowControl/>
        <w:adjustRightInd w:val="0"/>
        <w:snapToGrid w:val="0"/>
        <w:spacing w:line="360" w:lineRule="auto"/>
        <w:ind w:firstLine="480" w:firstLineChars="200"/>
        <w:jc w:val="left"/>
        <w:rPr>
          <w:rFonts w:hint="default"/>
          <w:sz w:val="24"/>
        </w:rPr>
      </w:pPr>
      <w:r>
        <w:rPr>
          <w:rFonts w:hint="default"/>
          <w:sz w:val="24"/>
        </w:rPr>
        <w:t>（3）电子交易平台发现严重安全漏洞，有潜在泄密危险的；</w:t>
      </w:r>
    </w:p>
    <w:p>
      <w:pPr>
        <w:widowControl/>
        <w:adjustRightInd w:val="0"/>
        <w:snapToGrid w:val="0"/>
        <w:spacing w:line="360" w:lineRule="auto"/>
        <w:ind w:firstLine="480" w:firstLineChars="200"/>
        <w:jc w:val="left"/>
        <w:rPr>
          <w:rFonts w:hint="default"/>
          <w:sz w:val="24"/>
        </w:rPr>
      </w:pPr>
      <w:r>
        <w:rPr>
          <w:rFonts w:hint="default"/>
          <w:sz w:val="24"/>
        </w:rPr>
        <w:t>（4）病毒发作导致不能进行正常操作的；</w:t>
      </w:r>
    </w:p>
    <w:p>
      <w:pPr>
        <w:widowControl/>
        <w:adjustRightInd w:val="0"/>
        <w:snapToGrid w:val="0"/>
        <w:spacing w:line="360" w:lineRule="auto"/>
        <w:ind w:firstLine="480" w:firstLineChars="200"/>
        <w:jc w:val="left"/>
        <w:rPr>
          <w:rFonts w:hint="default"/>
          <w:sz w:val="24"/>
        </w:rPr>
      </w:pPr>
      <w:r>
        <w:rPr>
          <w:rFonts w:hint="default"/>
          <w:sz w:val="24"/>
        </w:rPr>
        <w:t>（5）其他无法保证电子交易的公平、公正和安全的情况。</w:t>
      </w:r>
    </w:p>
    <w:p>
      <w:pPr>
        <w:widowControl/>
        <w:adjustRightInd w:val="0"/>
        <w:snapToGrid w:val="0"/>
        <w:spacing w:line="360" w:lineRule="auto"/>
        <w:ind w:firstLine="480" w:firstLineChars="200"/>
        <w:jc w:val="left"/>
        <w:rPr>
          <w:rFonts w:hint="default"/>
          <w:sz w:val="24"/>
        </w:rPr>
      </w:pPr>
      <w:r>
        <w:rPr>
          <w:rFonts w:hint="default"/>
          <w:sz w:val="24"/>
        </w:rPr>
        <w:t>出现上述规定情形，不影响采购公平、公正性的，采购人（或代理机构）可以待上述情形消除后继续组织电子交易活动，也可以决定某些环节以纸质形式进行。</w:t>
      </w:r>
    </w:p>
    <w:p>
      <w:pPr>
        <w:widowControl/>
        <w:adjustRightInd w:val="0"/>
        <w:snapToGrid w:val="0"/>
        <w:spacing w:line="360" w:lineRule="auto"/>
        <w:ind w:firstLine="482" w:firstLineChars="200"/>
        <w:jc w:val="left"/>
        <w:rPr>
          <w:rFonts w:hint="default"/>
          <w:b/>
          <w:bCs/>
          <w:sz w:val="24"/>
        </w:rPr>
      </w:pPr>
      <w:r>
        <w:rPr>
          <w:rFonts w:hint="default"/>
          <w:b/>
          <w:bCs/>
          <w:sz w:val="24"/>
        </w:rPr>
        <w:t>▲</w:t>
      </w:r>
      <w:r>
        <w:rPr>
          <w:b/>
          <w:bCs/>
          <w:sz w:val="24"/>
        </w:rPr>
        <w:t>5.供应商</w:t>
      </w:r>
      <w:r>
        <w:rPr>
          <w:rFonts w:hint="default"/>
          <w:b/>
          <w:bCs/>
          <w:sz w:val="24"/>
        </w:rPr>
        <w:t>对所投标项内的采购内容必须全部进行投标。</w:t>
      </w:r>
    </w:p>
    <w:p>
      <w:pPr>
        <w:widowControl/>
        <w:numPr>
          <w:ilvl w:val="0"/>
          <w:numId w:val="3"/>
        </w:numPr>
        <w:adjustRightInd w:val="0"/>
        <w:snapToGrid w:val="0"/>
        <w:spacing w:line="360" w:lineRule="auto"/>
        <w:ind w:firstLine="480" w:firstLineChars="200"/>
        <w:jc w:val="left"/>
        <w:rPr>
          <w:rFonts w:hint="default"/>
          <w:sz w:val="24"/>
        </w:rPr>
      </w:pPr>
      <w:r>
        <w:rPr>
          <w:rFonts w:hint="default"/>
          <w:sz w:val="24"/>
        </w:rPr>
        <w:t>采购文件中如有描述歧义或前后不一致的地方，评标委员会有权按公平、合理的原则进行评判，但对同一条款的评判适用于每个</w:t>
      </w:r>
      <w:r>
        <w:rPr>
          <w:sz w:val="24"/>
        </w:rPr>
        <w:t>供应商</w:t>
      </w:r>
      <w:r>
        <w:rPr>
          <w:rFonts w:hint="default"/>
          <w:sz w:val="24"/>
        </w:rPr>
        <w:t>。</w:t>
      </w:r>
    </w:p>
    <w:p>
      <w:pPr>
        <w:widowControl/>
        <w:numPr>
          <w:ilvl w:val="0"/>
          <w:numId w:val="3"/>
        </w:numPr>
        <w:adjustRightInd w:val="0"/>
        <w:snapToGrid w:val="0"/>
        <w:spacing w:line="360" w:lineRule="auto"/>
        <w:ind w:firstLine="480" w:firstLineChars="200"/>
        <w:jc w:val="left"/>
        <w:rPr>
          <w:rFonts w:hint="default"/>
          <w:sz w:val="24"/>
        </w:rPr>
      </w:pPr>
      <w:r>
        <w:rPr>
          <w:sz w:val="24"/>
        </w:rPr>
        <w:t>供应商</w:t>
      </w:r>
      <w:r>
        <w:rPr>
          <w:rFonts w:hint="default"/>
          <w:sz w:val="24"/>
        </w:rPr>
        <w:t>须对所投产品、方案、技术、服务等拥有合法的占有、使用、收益、处分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pPr>
        <w:widowControl/>
        <w:numPr>
          <w:ilvl w:val="0"/>
          <w:numId w:val="3"/>
        </w:numPr>
        <w:adjustRightInd w:val="0"/>
        <w:snapToGrid w:val="0"/>
        <w:spacing w:line="360" w:lineRule="auto"/>
        <w:ind w:firstLine="480" w:firstLineChars="200"/>
        <w:jc w:val="left"/>
        <w:rPr>
          <w:rFonts w:hint="default"/>
          <w:sz w:val="24"/>
        </w:rPr>
      </w:pPr>
      <w:r>
        <w:rPr>
          <w:sz w:val="24"/>
        </w:rPr>
        <w:t>为证明供应商拥有的人员、业绩、荣誉、知识产权、项目案例等而在投标文件中提供的证明材料必须为供应商自身所有。不同法人、其他组织的资料与供应商无关。</w:t>
      </w:r>
    </w:p>
    <w:p>
      <w:pPr>
        <w:pStyle w:val="7"/>
        <w:adjustRightInd w:val="0"/>
        <w:snapToGrid w:val="0"/>
        <w:spacing w:beforeLines="0" w:afterLines="0" w:line="360" w:lineRule="auto"/>
        <w:ind w:firstLine="472" w:firstLineChars="196"/>
        <w:outlineLvl w:val="1"/>
        <w:rPr>
          <w:rFonts w:hint="default" w:ascii="Times New Roman" w:hAnsi="Times New Roman"/>
          <w:b/>
          <w:bCs/>
        </w:rPr>
      </w:pPr>
      <w:r>
        <w:rPr>
          <w:rFonts w:hint="default" w:ascii="Times New Roman" w:hAnsi="Times New Roman"/>
          <w:b/>
          <w:bCs/>
        </w:rPr>
        <w:t>（</w:t>
      </w:r>
      <w:r>
        <w:rPr>
          <w:rFonts w:hAnsi="宋体" w:cs="宋体"/>
          <w:b/>
          <w:bCs/>
        </w:rPr>
        <w:t>九</w:t>
      </w:r>
      <w:r>
        <w:rPr>
          <w:rFonts w:hint="default" w:ascii="Times New Roman" w:hAnsi="Times New Roman"/>
          <w:b/>
          <w:bCs/>
        </w:rPr>
        <w:t>）质疑和投诉</w:t>
      </w:r>
    </w:p>
    <w:p>
      <w:pPr>
        <w:widowControl/>
        <w:adjustRightInd w:val="0"/>
        <w:snapToGrid w:val="0"/>
        <w:spacing w:line="360" w:lineRule="auto"/>
        <w:ind w:firstLine="480" w:firstLineChars="200"/>
        <w:rPr>
          <w:rFonts w:hint="default"/>
          <w:sz w:val="24"/>
          <w:lang w:val="zh-CN"/>
        </w:rPr>
      </w:pPr>
      <w:r>
        <w:rPr>
          <w:sz w:val="24"/>
          <w:lang w:val="zh-CN"/>
        </w:rPr>
        <w:t>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widowControl/>
        <w:adjustRightInd w:val="0"/>
        <w:snapToGrid w:val="0"/>
        <w:spacing w:line="360" w:lineRule="auto"/>
        <w:ind w:firstLine="480" w:firstLineChars="200"/>
        <w:rPr>
          <w:rFonts w:hint="default"/>
          <w:sz w:val="24"/>
          <w:lang w:val="zh-CN"/>
        </w:rPr>
      </w:pPr>
      <w:r>
        <w:rPr>
          <w:sz w:val="24"/>
          <w:lang w:val="zh-CN"/>
        </w:rPr>
        <w:t>2供应商询问</w:t>
      </w:r>
    </w:p>
    <w:p>
      <w:pPr>
        <w:widowControl/>
        <w:adjustRightInd w:val="0"/>
        <w:snapToGrid w:val="0"/>
        <w:spacing w:line="360" w:lineRule="auto"/>
        <w:ind w:firstLine="480" w:firstLineChars="200"/>
        <w:rPr>
          <w:rFonts w:hint="default"/>
          <w:sz w:val="24"/>
          <w:lang w:val="zh-CN"/>
        </w:rPr>
      </w:pPr>
      <w:r>
        <w:rPr>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widowControl/>
        <w:adjustRightInd w:val="0"/>
        <w:snapToGrid w:val="0"/>
        <w:spacing w:line="360" w:lineRule="auto"/>
        <w:ind w:firstLine="480" w:firstLineChars="200"/>
        <w:rPr>
          <w:rFonts w:hint="default"/>
          <w:sz w:val="24"/>
          <w:lang w:val="zh-CN"/>
        </w:rPr>
      </w:pPr>
      <w:r>
        <w:rPr>
          <w:sz w:val="24"/>
          <w:lang w:val="zh-CN"/>
        </w:rPr>
        <w:t>3供应商质疑</w:t>
      </w:r>
    </w:p>
    <w:p>
      <w:pPr>
        <w:widowControl/>
        <w:adjustRightInd w:val="0"/>
        <w:snapToGrid w:val="0"/>
        <w:spacing w:line="360" w:lineRule="auto"/>
        <w:ind w:firstLine="480" w:firstLineChars="200"/>
        <w:rPr>
          <w:rFonts w:hint="default"/>
          <w:sz w:val="24"/>
          <w:lang w:val="zh-CN"/>
        </w:rPr>
      </w:pPr>
      <w:r>
        <w:rPr>
          <w:sz w:val="24"/>
          <w:lang w:val="zh-CN"/>
        </w:rPr>
        <w:t>3.1提出质疑的供应商应当是参与所质疑项目采购活动的供应商。潜在供应商已依法获取其可质疑的招标文件的，可以对该文件提出质疑。</w:t>
      </w:r>
    </w:p>
    <w:p>
      <w:pPr>
        <w:widowControl/>
        <w:adjustRightInd w:val="0"/>
        <w:snapToGrid w:val="0"/>
        <w:spacing w:line="360" w:lineRule="auto"/>
        <w:ind w:firstLine="480" w:firstLineChars="200"/>
        <w:rPr>
          <w:rFonts w:hint="default"/>
          <w:sz w:val="24"/>
          <w:lang w:val="zh-CN"/>
        </w:rPr>
      </w:pPr>
      <w:r>
        <w:rPr>
          <w:sz w:val="24"/>
          <w:lang w:val="zh-CN"/>
        </w:rPr>
        <w:t>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widowControl/>
        <w:adjustRightInd w:val="0"/>
        <w:snapToGrid w:val="0"/>
        <w:spacing w:line="360" w:lineRule="auto"/>
        <w:ind w:firstLine="480" w:firstLineChars="200"/>
        <w:rPr>
          <w:rFonts w:hint="default"/>
          <w:sz w:val="24"/>
          <w:lang w:val="zh-CN"/>
        </w:rPr>
      </w:pPr>
      <w:r>
        <w:rPr>
          <w:sz w:val="24"/>
          <w:lang w:val="zh-CN"/>
        </w:rPr>
        <w:t>3.2.1对招标文件提出质疑的，质疑期限为供应商获得招标文件之日或者招标文件公告期限届满之日起计算。</w:t>
      </w:r>
    </w:p>
    <w:p>
      <w:pPr>
        <w:widowControl/>
        <w:adjustRightInd w:val="0"/>
        <w:snapToGrid w:val="0"/>
        <w:spacing w:line="360" w:lineRule="auto"/>
        <w:ind w:firstLine="480" w:firstLineChars="200"/>
        <w:rPr>
          <w:rFonts w:hint="default"/>
          <w:sz w:val="24"/>
          <w:lang w:val="zh-CN"/>
        </w:rPr>
      </w:pPr>
      <w:r>
        <w:rPr>
          <w:sz w:val="24"/>
          <w:lang w:val="zh-CN"/>
        </w:rPr>
        <w:t>3.2.2对采购过程提出质疑的，质疑期限为各采购程序环节结束之日起计算。</w:t>
      </w:r>
    </w:p>
    <w:p>
      <w:pPr>
        <w:widowControl/>
        <w:adjustRightInd w:val="0"/>
        <w:snapToGrid w:val="0"/>
        <w:spacing w:line="360" w:lineRule="auto"/>
        <w:ind w:firstLine="480" w:firstLineChars="200"/>
        <w:rPr>
          <w:rFonts w:hint="default"/>
          <w:sz w:val="24"/>
          <w:lang w:val="zh-CN"/>
        </w:rPr>
      </w:pPr>
      <w:r>
        <w:rPr>
          <w:sz w:val="24"/>
          <w:lang w:val="zh-CN"/>
        </w:rPr>
        <w:t>3.2.3对采购结果提出质疑的，质疑期限自采购结果公告期限届满之日起计算。</w:t>
      </w:r>
    </w:p>
    <w:p>
      <w:pPr>
        <w:widowControl/>
        <w:adjustRightInd w:val="0"/>
        <w:snapToGrid w:val="0"/>
        <w:spacing w:line="360" w:lineRule="auto"/>
        <w:ind w:firstLine="480" w:firstLineChars="200"/>
        <w:rPr>
          <w:rFonts w:hint="default"/>
          <w:sz w:val="24"/>
          <w:lang w:val="zh-CN"/>
        </w:rPr>
      </w:pPr>
      <w:r>
        <w:rPr>
          <w:sz w:val="24"/>
          <w:lang w:val="zh-CN"/>
        </w:rPr>
        <w:t>3.3供应商提出质疑应当提交质疑函和必要的证明材料。质疑函应当包括下列内容：</w:t>
      </w:r>
    </w:p>
    <w:p>
      <w:pPr>
        <w:widowControl/>
        <w:adjustRightInd w:val="0"/>
        <w:snapToGrid w:val="0"/>
        <w:spacing w:line="360" w:lineRule="auto"/>
        <w:ind w:firstLine="480" w:firstLineChars="200"/>
        <w:rPr>
          <w:rFonts w:hint="default"/>
          <w:sz w:val="24"/>
          <w:lang w:val="zh-CN"/>
        </w:rPr>
      </w:pPr>
      <w:r>
        <w:rPr>
          <w:sz w:val="24"/>
          <w:lang w:val="zh-CN"/>
        </w:rPr>
        <w:t>3.3.1供应商的姓名或者名称、地址、邮编、联系人及联系电话；</w:t>
      </w:r>
    </w:p>
    <w:p>
      <w:pPr>
        <w:widowControl/>
        <w:adjustRightInd w:val="0"/>
        <w:snapToGrid w:val="0"/>
        <w:spacing w:line="360" w:lineRule="auto"/>
        <w:ind w:firstLine="480" w:firstLineChars="200"/>
        <w:rPr>
          <w:rFonts w:hint="default"/>
          <w:sz w:val="24"/>
          <w:lang w:val="zh-CN"/>
        </w:rPr>
      </w:pPr>
      <w:r>
        <w:rPr>
          <w:sz w:val="24"/>
          <w:lang w:val="zh-CN"/>
        </w:rPr>
        <w:t>3.3.2质疑项目的名称、编号；</w:t>
      </w:r>
    </w:p>
    <w:p>
      <w:pPr>
        <w:widowControl/>
        <w:adjustRightInd w:val="0"/>
        <w:snapToGrid w:val="0"/>
        <w:spacing w:line="360" w:lineRule="auto"/>
        <w:ind w:firstLine="480" w:firstLineChars="200"/>
        <w:rPr>
          <w:rFonts w:hint="default"/>
          <w:sz w:val="24"/>
          <w:lang w:val="zh-CN"/>
        </w:rPr>
      </w:pPr>
      <w:r>
        <w:rPr>
          <w:sz w:val="24"/>
          <w:lang w:val="zh-CN"/>
        </w:rPr>
        <w:t>3.3.3具体、明确的质疑事项和与质疑事项相关的请求；</w:t>
      </w:r>
    </w:p>
    <w:p>
      <w:pPr>
        <w:widowControl/>
        <w:adjustRightInd w:val="0"/>
        <w:snapToGrid w:val="0"/>
        <w:spacing w:line="360" w:lineRule="auto"/>
        <w:ind w:firstLine="480" w:firstLineChars="200"/>
        <w:rPr>
          <w:rFonts w:hint="default"/>
          <w:sz w:val="24"/>
          <w:lang w:val="zh-CN"/>
        </w:rPr>
      </w:pPr>
      <w:r>
        <w:rPr>
          <w:sz w:val="24"/>
          <w:lang w:val="zh-CN"/>
        </w:rPr>
        <w:t>3.3.4事实依据；</w:t>
      </w:r>
    </w:p>
    <w:p>
      <w:pPr>
        <w:widowControl/>
        <w:adjustRightInd w:val="0"/>
        <w:snapToGrid w:val="0"/>
        <w:spacing w:line="360" w:lineRule="auto"/>
        <w:ind w:firstLine="480" w:firstLineChars="200"/>
        <w:rPr>
          <w:rFonts w:hint="default"/>
          <w:sz w:val="24"/>
          <w:lang w:val="zh-CN"/>
        </w:rPr>
      </w:pPr>
      <w:r>
        <w:rPr>
          <w:sz w:val="24"/>
          <w:lang w:val="zh-CN"/>
        </w:rPr>
        <w:t>3.3.5必要的法律依据；</w:t>
      </w:r>
    </w:p>
    <w:p>
      <w:pPr>
        <w:widowControl/>
        <w:adjustRightInd w:val="0"/>
        <w:snapToGrid w:val="0"/>
        <w:spacing w:line="360" w:lineRule="auto"/>
        <w:ind w:firstLine="480" w:firstLineChars="200"/>
        <w:rPr>
          <w:rFonts w:hint="default"/>
          <w:sz w:val="24"/>
          <w:lang w:val="zh-CN"/>
        </w:rPr>
      </w:pPr>
      <w:r>
        <w:rPr>
          <w:sz w:val="24"/>
          <w:lang w:val="zh-CN"/>
        </w:rPr>
        <w:t>3.3.6提出质疑的日期。</w:t>
      </w:r>
    </w:p>
    <w:p>
      <w:pPr>
        <w:widowControl/>
        <w:adjustRightInd w:val="0"/>
        <w:snapToGrid w:val="0"/>
        <w:spacing w:line="360" w:lineRule="auto"/>
        <w:ind w:firstLine="480" w:firstLineChars="200"/>
        <w:rPr>
          <w:rFonts w:hint="default"/>
          <w:sz w:val="24"/>
          <w:lang w:val="zh-CN"/>
        </w:rPr>
      </w:pPr>
      <w:r>
        <w:rPr>
          <w:sz w:val="24"/>
          <w:lang w:val="zh-CN"/>
        </w:rPr>
        <w:t>供应商提交的质疑函需一式三份。供应商为自然人的，应当由本人签字；供应商为法人或者其他组织的，应当由法定代表人、主要负责人，或者其授权代表签字或者盖章，并加盖公章。</w:t>
      </w:r>
    </w:p>
    <w:p>
      <w:pPr>
        <w:widowControl/>
        <w:adjustRightInd w:val="0"/>
        <w:snapToGrid w:val="0"/>
        <w:spacing w:line="360" w:lineRule="auto"/>
        <w:ind w:firstLine="480" w:firstLineChars="200"/>
        <w:rPr>
          <w:rFonts w:hint="default"/>
          <w:sz w:val="24"/>
          <w:lang w:val="zh-CN"/>
        </w:rPr>
      </w:pPr>
      <w:r>
        <w:rPr>
          <w:sz w:val="24"/>
          <w:lang w:val="zh-CN"/>
        </w:rPr>
        <w:t>3.4对同一采购程序环节的质疑，供应商须在法定质疑期内一次性提出。</w:t>
      </w:r>
    </w:p>
    <w:p>
      <w:pPr>
        <w:widowControl/>
        <w:adjustRightInd w:val="0"/>
        <w:snapToGrid w:val="0"/>
        <w:spacing w:line="360" w:lineRule="auto"/>
        <w:ind w:firstLine="480" w:firstLineChars="200"/>
        <w:rPr>
          <w:rFonts w:hint="default"/>
          <w:sz w:val="24"/>
          <w:lang w:val="zh-CN"/>
        </w:rPr>
      </w:pPr>
      <w:r>
        <w:rPr>
          <w:sz w:val="24"/>
          <w:lang w:val="zh-CN"/>
        </w:rPr>
        <w:t>3.5采购人或者采购代理机构应当在收到供应商的书面质疑后七个工作日内作出答复，并以书面形式通知质疑供应商和其他与质疑处理结果有利害关系的政府采购当事人，但答复的内容不得涉及商业秘密。</w:t>
      </w:r>
    </w:p>
    <w:p>
      <w:pPr>
        <w:widowControl/>
        <w:adjustRightInd w:val="0"/>
        <w:snapToGrid w:val="0"/>
        <w:spacing w:line="360" w:lineRule="auto"/>
        <w:ind w:firstLine="480" w:firstLineChars="200"/>
        <w:rPr>
          <w:rFonts w:hint="default"/>
          <w:sz w:val="24"/>
          <w:lang w:val="zh-CN"/>
        </w:rPr>
      </w:pPr>
      <w:r>
        <w:rPr>
          <w:sz w:val="24"/>
          <w:lang w:val="zh-CN"/>
        </w:rPr>
        <w:t>3.6询问或者质疑事项可能影响采购结果的，采购人应当暂停签订合同，已经签订合同的，应当中止履行合同。</w:t>
      </w:r>
    </w:p>
    <w:p>
      <w:pPr>
        <w:widowControl/>
        <w:adjustRightInd w:val="0"/>
        <w:snapToGrid w:val="0"/>
        <w:spacing w:line="360" w:lineRule="auto"/>
        <w:ind w:firstLine="480" w:firstLineChars="200"/>
        <w:rPr>
          <w:rFonts w:hint="default"/>
          <w:sz w:val="24"/>
          <w:lang w:val="zh-CN"/>
        </w:rPr>
      </w:pPr>
      <w:r>
        <w:rPr>
          <w:sz w:val="24"/>
          <w:lang w:val="zh-CN"/>
        </w:rPr>
        <w:t>4.4供应商投诉</w:t>
      </w:r>
    </w:p>
    <w:p>
      <w:pPr>
        <w:widowControl/>
        <w:adjustRightInd w:val="0"/>
        <w:snapToGrid w:val="0"/>
        <w:spacing w:line="360" w:lineRule="auto"/>
        <w:ind w:firstLine="480" w:firstLineChars="200"/>
        <w:rPr>
          <w:rFonts w:hint="default"/>
          <w:sz w:val="24"/>
          <w:lang w:val="zh-CN"/>
        </w:rPr>
      </w:pPr>
      <w:r>
        <w:rPr>
          <w:sz w:val="24"/>
          <w:lang w:val="zh-CN"/>
        </w:rPr>
        <w:t>4.4.1质疑供应商对采购人、采购代理机构的答复不满意或者采购人、采购代理机构未在规定的时间内作出答复的，可以在答复期满后十五个工作日内</w:t>
      </w:r>
      <w:r>
        <w:rPr>
          <w:sz w:val="24"/>
        </w:rPr>
        <w:t>向同级政府采购监督管理部门</w:t>
      </w:r>
      <w:r>
        <w:rPr>
          <w:sz w:val="24"/>
          <w:lang w:val="zh-CN"/>
        </w:rPr>
        <w:t>提出投诉。</w:t>
      </w:r>
    </w:p>
    <w:p>
      <w:pPr>
        <w:widowControl/>
        <w:adjustRightInd w:val="0"/>
        <w:snapToGrid w:val="0"/>
        <w:spacing w:line="360" w:lineRule="auto"/>
        <w:ind w:firstLine="480" w:firstLineChars="200"/>
        <w:rPr>
          <w:rFonts w:hint="default"/>
          <w:sz w:val="24"/>
          <w:lang w:val="zh-CN"/>
        </w:rPr>
      </w:pPr>
      <w:r>
        <w:rPr>
          <w:sz w:val="24"/>
          <w:lang w:val="zh-CN"/>
        </w:rPr>
        <w:t>4.4.2供应商投诉的事项不得超出已质疑事项的范围，基于质疑答复内容提出的投诉事项除外。</w:t>
      </w:r>
    </w:p>
    <w:p>
      <w:pPr>
        <w:widowControl/>
        <w:adjustRightInd w:val="0"/>
        <w:snapToGrid w:val="0"/>
        <w:spacing w:line="360" w:lineRule="auto"/>
        <w:ind w:firstLine="480" w:firstLineChars="200"/>
        <w:rPr>
          <w:rFonts w:hint="default"/>
          <w:sz w:val="24"/>
          <w:lang w:val="zh-CN"/>
        </w:rPr>
      </w:pPr>
      <w:r>
        <w:rPr>
          <w:sz w:val="24"/>
          <w:lang w:val="zh-CN"/>
        </w:rPr>
        <w:t>4.4.3供应商投诉应当有明确的请求和必要的证明材料。</w:t>
      </w:r>
    </w:p>
    <w:p>
      <w:pPr>
        <w:widowControl/>
        <w:adjustRightInd w:val="0"/>
        <w:snapToGrid w:val="0"/>
        <w:spacing w:line="360" w:lineRule="auto"/>
        <w:ind w:firstLine="480" w:firstLineChars="200"/>
        <w:rPr>
          <w:rFonts w:hint="default"/>
          <w:sz w:val="24"/>
          <w:lang w:val="zh-CN"/>
        </w:rPr>
      </w:pPr>
      <w:r>
        <w:rPr>
          <w:sz w:val="24"/>
          <w:lang w:val="zh-CN"/>
        </w:rPr>
        <w:t>4.4.4以联合体形式参加政府采购活动的，其投诉应当由组成联合体的所有供应商共同提出。</w:t>
      </w:r>
    </w:p>
    <w:p>
      <w:pPr>
        <w:pStyle w:val="7"/>
        <w:tabs>
          <w:tab w:val="left" w:pos="7317"/>
        </w:tabs>
        <w:adjustRightInd w:val="0"/>
        <w:snapToGrid w:val="0"/>
        <w:spacing w:beforeLines="0" w:afterLines="0" w:line="360" w:lineRule="auto"/>
        <w:ind w:firstLine="562"/>
        <w:outlineLvl w:val="0"/>
        <w:rPr>
          <w:rFonts w:hint="default" w:ascii="Times New Roman" w:hAnsi="Times New Roman"/>
          <w:b/>
          <w:sz w:val="28"/>
          <w:szCs w:val="28"/>
        </w:rPr>
      </w:pPr>
      <w:bookmarkStart w:id="28" w:name="_Toc31283"/>
      <w:bookmarkStart w:id="29" w:name="_Toc27257"/>
      <w:bookmarkStart w:id="30" w:name="_Toc16944"/>
      <w:bookmarkStart w:id="31" w:name="_Toc10520"/>
      <w:bookmarkStart w:id="32" w:name="_Toc30349"/>
      <w:r>
        <w:rPr>
          <w:rFonts w:hint="default" w:ascii="Times New Roman" w:hAnsi="Times New Roman"/>
          <w:b/>
          <w:sz w:val="28"/>
          <w:szCs w:val="28"/>
        </w:rPr>
        <w:t>二、招标文件</w:t>
      </w:r>
      <w:bookmarkEnd w:id="28"/>
      <w:bookmarkEnd w:id="29"/>
      <w:bookmarkEnd w:id="30"/>
      <w:bookmarkEnd w:id="31"/>
      <w:bookmarkEnd w:id="32"/>
    </w:p>
    <w:p>
      <w:pPr>
        <w:adjustRightInd w:val="0"/>
        <w:snapToGrid w:val="0"/>
        <w:spacing w:line="360" w:lineRule="auto"/>
        <w:ind w:firstLine="472" w:firstLineChars="196"/>
        <w:jc w:val="left"/>
        <w:rPr>
          <w:rFonts w:hint="default"/>
          <w:b/>
          <w:sz w:val="24"/>
        </w:rPr>
      </w:pPr>
      <w:r>
        <w:rPr>
          <w:rFonts w:hint="default"/>
          <w:b/>
          <w:sz w:val="24"/>
        </w:rPr>
        <w:t>（一）招标文件的构成。本招标文件由以下部份组成：</w:t>
      </w:r>
    </w:p>
    <w:p>
      <w:pPr>
        <w:adjustRightInd w:val="0"/>
        <w:snapToGrid w:val="0"/>
        <w:spacing w:line="360" w:lineRule="auto"/>
        <w:ind w:firstLine="480" w:firstLineChars="200"/>
        <w:jc w:val="left"/>
        <w:rPr>
          <w:rFonts w:hint="default"/>
          <w:sz w:val="24"/>
        </w:rPr>
      </w:pPr>
      <w:r>
        <w:rPr>
          <w:rFonts w:hint="default"/>
          <w:sz w:val="24"/>
        </w:rPr>
        <w:t>1.招标公告</w:t>
      </w:r>
    </w:p>
    <w:p>
      <w:pPr>
        <w:adjustRightInd w:val="0"/>
        <w:snapToGrid w:val="0"/>
        <w:spacing w:line="360" w:lineRule="auto"/>
        <w:ind w:firstLine="480" w:firstLineChars="200"/>
        <w:jc w:val="left"/>
        <w:rPr>
          <w:rFonts w:hint="default"/>
          <w:sz w:val="24"/>
        </w:rPr>
      </w:pPr>
      <w:r>
        <w:rPr>
          <w:rFonts w:hint="default"/>
          <w:sz w:val="24"/>
        </w:rPr>
        <w:t>2.投标人须知</w:t>
      </w:r>
    </w:p>
    <w:p>
      <w:pPr>
        <w:adjustRightInd w:val="0"/>
        <w:snapToGrid w:val="0"/>
        <w:spacing w:line="360" w:lineRule="auto"/>
        <w:ind w:firstLine="480" w:firstLineChars="200"/>
        <w:jc w:val="left"/>
        <w:rPr>
          <w:rFonts w:hint="default"/>
          <w:sz w:val="24"/>
        </w:rPr>
      </w:pPr>
      <w:r>
        <w:rPr>
          <w:rFonts w:hint="default"/>
          <w:sz w:val="24"/>
        </w:rPr>
        <w:t>3.评标办法</w:t>
      </w:r>
    </w:p>
    <w:p>
      <w:pPr>
        <w:adjustRightInd w:val="0"/>
        <w:snapToGrid w:val="0"/>
        <w:spacing w:line="360" w:lineRule="auto"/>
        <w:ind w:firstLine="480" w:firstLineChars="200"/>
        <w:rPr>
          <w:rFonts w:hint="default"/>
          <w:sz w:val="24"/>
        </w:rPr>
      </w:pPr>
      <w:r>
        <w:rPr>
          <w:rFonts w:hint="default"/>
          <w:sz w:val="24"/>
        </w:rPr>
        <w:t>4.采购内容及需求</w:t>
      </w:r>
    </w:p>
    <w:p>
      <w:pPr>
        <w:adjustRightInd w:val="0"/>
        <w:snapToGrid w:val="0"/>
        <w:spacing w:line="360" w:lineRule="auto"/>
        <w:ind w:firstLine="480" w:firstLineChars="200"/>
        <w:jc w:val="left"/>
        <w:rPr>
          <w:rFonts w:hint="default"/>
          <w:sz w:val="24"/>
        </w:rPr>
      </w:pPr>
      <w:r>
        <w:rPr>
          <w:rFonts w:hint="default"/>
          <w:sz w:val="24"/>
        </w:rPr>
        <w:t>5.合同主要条款</w:t>
      </w:r>
    </w:p>
    <w:p>
      <w:pPr>
        <w:adjustRightInd w:val="0"/>
        <w:snapToGrid w:val="0"/>
        <w:spacing w:line="360" w:lineRule="auto"/>
        <w:ind w:firstLine="480" w:firstLineChars="200"/>
        <w:jc w:val="left"/>
        <w:rPr>
          <w:rFonts w:hint="default"/>
          <w:sz w:val="24"/>
        </w:rPr>
      </w:pPr>
      <w:r>
        <w:rPr>
          <w:rFonts w:hint="default"/>
          <w:sz w:val="24"/>
        </w:rPr>
        <w:t>6.投标文件格式</w:t>
      </w:r>
    </w:p>
    <w:p>
      <w:pPr>
        <w:adjustRightInd w:val="0"/>
        <w:snapToGrid w:val="0"/>
        <w:spacing w:line="360" w:lineRule="auto"/>
        <w:ind w:firstLine="480" w:firstLineChars="200"/>
        <w:jc w:val="left"/>
        <w:rPr>
          <w:rFonts w:hint="default"/>
          <w:sz w:val="24"/>
        </w:rPr>
      </w:pPr>
      <w:r>
        <w:rPr>
          <w:rFonts w:hint="default"/>
          <w:sz w:val="24"/>
        </w:rPr>
        <w:t>7.本项目招标文件的澄清、修改内容（如有）</w:t>
      </w:r>
    </w:p>
    <w:p>
      <w:pPr>
        <w:adjustRightInd w:val="0"/>
        <w:snapToGrid w:val="0"/>
        <w:spacing w:line="360" w:lineRule="auto"/>
        <w:ind w:firstLine="472" w:firstLineChars="196"/>
        <w:jc w:val="left"/>
        <w:rPr>
          <w:rFonts w:hint="default"/>
          <w:b/>
          <w:sz w:val="24"/>
        </w:rPr>
      </w:pPr>
      <w:r>
        <w:rPr>
          <w:rFonts w:hint="default"/>
          <w:b/>
          <w:sz w:val="24"/>
        </w:rPr>
        <w:t>（二）投标人的风险</w:t>
      </w:r>
    </w:p>
    <w:p>
      <w:pPr>
        <w:adjustRightInd w:val="0"/>
        <w:snapToGrid w:val="0"/>
        <w:spacing w:line="360" w:lineRule="auto"/>
        <w:ind w:firstLine="480" w:firstLineChars="200"/>
        <w:jc w:val="left"/>
        <w:rPr>
          <w:rFonts w:hint="default"/>
          <w:b/>
          <w:bCs/>
          <w:sz w:val="24"/>
        </w:rPr>
      </w:pPr>
      <w:r>
        <w:rPr>
          <w:rFonts w:hint="default"/>
          <w:sz w:val="24"/>
        </w:rPr>
        <w:t>1.</w:t>
      </w:r>
      <w:r>
        <w:rPr>
          <w:rFonts w:hint="default"/>
          <w:b/>
          <w:bCs/>
          <w:sz w:val="24"/>
        </w:rPr>
        <w:t>投标截止时间前，投标供应商仅递交了“电子备份投标文件”而未将“电子加密投标文件” 成功上传至“政府采购云平台”的，投标无效；通过“政府采购云平台”上传递交的“电子加密投标文件”无法按时解密的，如投标供应商未按规定递交“电子备份投标文件”的，视为投标文件撤回。</w:t>
      </w:r>
    </w:p>
    <w:p>
      <w:pPr>
        <w:adjustRightInd w:val="0"/>
        <w:snapToGrid w:val="0"/>
        <w:spacing w:line="360" w:lineRule="auto"/>
        <w:ind w:firstLine="482" w:firstLineChars="200"/>
        <w:jc w:val="left"/>
        <w:rPr>
          <w:rFonts w:hint="default"/>
          <w:b/>
          <w:bCs/>
          <w:sz w:val="24"/>
        </w:rPr>
      </w:pPr>
      <w:r>
        <w:rPr>
          <w:rFonts w:hint="default"/>
          <w:b/>
          <w:bCs/>
          <w:sz w:val="24"/>
        </w:rPr>
        <w:t>2.投标人没有按照招标文件要求提供全部资料，或者投标人没有对招标文件在各方面作出实质性响应是投标人的风险，并可能导致其投标无效。</w:t>
      </w:r>
    </w:p>
    <w:p>
      <w:pPr>
        <w:pStyle w:val="10"/>
        <w:widowControl w:val="0"/>
        <w:numPr>
          <w:ilvl w:val="0"/>
          <w:numId w:val="0"/>
        </w:numPr>
        <w:adjustRightInd w:val="0"/>
        <w:snapToGrid w:val="0"/>
        <w:spacing w:afterLines="0" w:line="360" w:lineRule="auto"/>
        <w:ind w:firstLine="472" w:firstLineChars="196"/>
        <w:rPr>
          <w:rFonts w:hint="default"/>
          <w:b/>
          <w:szCs w:val="24"/>
        </w:rPr>
      </w:pPr>
      <w:r>
        <w:rPr>
          <w:rFonts w:hint="default"/>
          <w:b/>
          <w:szCs w:val="24"/>
        </w:rPr>
        <w:t>（三）招标文件的澄清与修改</w:t>
      </w:r>
    </w:p>
    <w:p>
      <w:pPr>
        <w:adjustRightInd w:val="0"/>
        <w:snapToGrid w:val="0"/>
        <w:spacing w:line="360" w:lineRule="auto"/>
        <w:ind w:firstLine="480" w:firstLineChars="200"/>
        <w:jc w:val="left"/>
        <w:rPr>
          <w:rFonts w:hint="default"/>
          <w:sz w:val="24"/>
        </w:rPr>
      </w:pPr>
      <w:r>
        <w:rPr>
          <w:rFonts w:hint="default"/>
          <w:sz w:val="24"/>
        </w:rPr>
        <w:t>1.已获取招标文件的潜在投标人，若有问题需要澄清，应于投标截止时间前，以书面形式向采购代理机构提出。</w:t>
      </w:r>
    </w:p>
    <w:p>
      <w:pPr>
        <w:adjustRightInd w:val="0"/>
        <w:snapToGrid w:val="0"/>
        <w:spacing w:line="360" w:lineRule="auto"/>
        <w:ind w:firstLine="480" w:firstLineChars="200"/>
        <w:jc w:val="left"/>
        <w:rPr>
          <w:rFonts w:hint="default"/>
          <w:sz w:val="24"/>
        </w:rPr>
      </w:pPr>
      <w:r>
        <w:rPr>
          <w:rFonts w:hint="default"/>
          <w:sz w:val="24"/>
        </w:rPr>
        <w:t>2.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7"/>
        <w:adjustRightInd w:val="0"/>
        <w:snapToGrid w:val="0"/>
        <w:spacing w:beforeLines="0" w:afterLines="0" w:line="360" w:lineRule="auto"/>
        <w:ind w:firstLine="562"/>
        <w:outlineLvl w:val="1"/>
        <w:rPr>
          <w:rFonts w:hint="default" w:ascii="Times New Roman" w:hAnsi="Times New Roman"/>
          <w:b/>
          <w:sz w:val="28"/>
          <w:szCs w:val="28"/>
        </w:rPr>
      </w:pPr>
      <w:r>
        <w:rPr>
          <w:rFonts w:hint="default" w:ascii="Times New Roman" w:hAnsi="Times New Roman"/>
          <w:b/>
          <w:sz w:val="28"/>
          <w:szCs w:val="28"/>
        </w:rPr>
        <w:t>三、投标文件的编制</w:t>
      </w:r>
    </w:p>
    <w:p>
      <w:pPr>
        <w:adjustRightInd w:val="0"/>
        <w:snapToGrid w:val="0"/>
        <w:spacing w:line="360" w:lineRule="auto"/>
        <w:ind w:firstLine="472" w:firstLineChars="196"/>
        <w:jc w:val="left"/>
        <w:outlineLvl w:val="0"/>
        <w:rPr>
          <w:rFonts w:hint="default"/>
          <w:b/>
          <w:sz w:val="24"/>
        </w:rPr>
      </w:pPr>
      <w:bookmarkStart w:id="33" w:name="_Toc7323"/>
      <w:bookmarkStart w:id="34" w:name="_Toc28131"/>
      <w:bookmarkStart w:id="35" w:name="_Toc16210"/>
      <w:bookmarkStart w:id="36" w:name="_Toc5443"/>
      <w:bookmarkStart w:id="37" w:name="_Toc9965"/>
      <w:r>
        <w:rPr>
          <w:rFonts w:hint="default"/>
          <w:b/>
          <w:sz w:val="24"/>
        </w:rPr>
        <w:t>（一）投标文件的组成</w:t>
      </w:r>
      <w:bookmarkEnd w:id="33"/>
      <w:bookmarkEnd w:id="34"/>
      <w:bookmarkEnd w:id="35"/>
      <w:bookmarkEnd w:id="36"/>
      <w:bookmarkEnd w:id="37"/>
    </w:p>
    <w:p>
      <w:pPr>
        <w:adjustRightInd w:val="0"/>
        <w:snapToGrid w:val="0"/>
        <w:spacing w:line="360" w:lineRule="auto"/>
        <w:ind w:firstLine="480" w:firstLineChars="200"/>
        <w:jc w:val="left"/>
        <w:rPr>
          <w:rFonts w:hint="default"/>
          <w:sz w:val="24"/>
        </w:rPr>
      </w:pPr>
      <w:r>
        <w:rPr>
          <w:rFonts w:hint="default"/>
          <w:sz w:val="24"/>
        </w:rPr>
        <w:t>投标文件由资格证明文件、商务技术文件、报价文件三部份组成。</w:t>
      </w:r>
    </w:p>
    <w:p>
      <w:pPr>
        <w:adjustRightInd w:val="0"/>
        <w:snapToGrid w:val="0"/>
        <w:spacing w:line="360" w:lineRule="auto"/>
        <w:ind w:firstLine="472" w:firstLineChars="196"/>
        <w:jc w:val="left"/>
        <w:rPr>
          <w:rFonts w:hint="default"/>
          <w:b/>
          <w:sz w:val="24"/>
        </w:rPr>
      </w:pPr>
      <w:r>
        <w:rPr>
          <w:rFonts w:hint="default"/>
          <w:b/>
          <w:sz w:val="24"/>
        </w:rPr>
        <w:t>1.资格证明文件</w:t>
      </w:r>
    </w:p>
    <w:p>
      <w:pPr>
        <w:adjustRightInd w:val="0"/>
        <w:snapToGrid w:val="0"/>
        <w:spacing w:line="360" w:lineRule="auto"/>
        <w:ind w:left="105" w:leftChars="50" w:firstLine="480" w:firstLineChars="200"/>
        <w:rPr>
          <w:rFonts w:hint="default"/>
          <w:sz w:val="24"/>
          <w:szCs w:val="21"/>
        </w:rPr>
      </w:pPr>
      <w:r>
        <w:rPr>
          <w:rFonts w:hint="default"/>
          <w:sz w:val="24"/>
          <w:szCs w:val="21"/>
        </w:rPr>
        <w:t>基本资格条件审查材料：</w:t>
      </w:r>
    </w:p>
    <w:p>
      <w:pPr>
        <w:numPr>
          <w:ilvl w:val="0"/>
          <w:numId w:val="4"/>
        </w:numPr>
        <w:snapToGrid w:val="0"/>
        <w:spacing w:line="360" w:lineRule="auto"/>
        <w:ind w:left="105" w:leftChars="50" w:firstLine="480" w:firstLineChars="200"/>
        <w:rPr>
          <w:rFonts w:hint="default"/>
          <w:sz w:val="24"/>
          <w:szCs w:val="21"/>
        </w:rPr>
      </w:pPr>
      <w:r>
        <w:rPr>
          <w:sz w:val="24"/>
          <w:szCs w:val="21"/>
        </w:rPr>
        <w:t>符合参加政府采购活动应当具备的一般条件的承诺函；</w:t>
      </w:r>
    </w:p>
    <w:p>
      <w:pPr>
        <w:numPr>
          <w:ilvl w:val="0"/>
          <w:numId w:val="4"/>
        </w:numPr>
        <w:snapToGrid w:val="0"/>
        <w:spacing w:line="360" w:lineRule="auto"/>
        <w:ind w:left="105" w:leftChars="50" w:firstLine="480" w:firstLineChars="200"/>
        <w:rPr>
          <w:rFonts w:hint="default"/>
          <w:sz w:val="24"/>
          <w:szCs w:val="21"/>
        </w:rPr>
      </w:pPr>
      <w:r>
        <w:rPr>
          <w:rFonts w:hint="default"/>
          <w:sz w:val="24"/>
          <w:szCs w:val="21"/>
        </w:rPr>
        <w:t>联合协议（如有）</w:t>
      </w:r>
      <w:r>
        <w:rPr>
          <w:sz w:val="24"/>
          <w:szCs w:val="21"/>
        </w:rPr>
        <w:t>；</w:t>
      </w:r>
    </w:p>
    <w:p>
      <w:pPr>
        <w:numPr>
          <w:ilvl w:val="0"/>
          <w:numId w:val="4"/>
        </w:numPr>
        <w:snapToGrid w:val="0"/>
        <w:spacing w:line="360" w:lineRule="auto"/>
        <w:ind w:left="105" w:leftChars="50" w:firstLine="480" w:firstLineChars="200"/>
        <w:rPr>
          <w:rFonts w:hint="default"/>
          <w:sz w:val="24"/>
          <w:szCs w:val="21"/>
        </w:rPr>
      </w:pPr>
      <w:r>
        <w:rPr>
          <w:rFonts w:hint="default"/>
          <w:sz w:val="24"/>
          <w:szCs w:val="21"/>
        </w:rPr>
        <w:t>符合特定资格条件的相关证明材料</w:t>
      </w:r>
      <w:r>
        <w:rPr>
          <w:sz w:val="24"/>
          <w:szCs w:val="21"/>
        </w:rPr>
        <w:t>（按公告要求）。</w:t>
      </w:r>
    </w:p>
    <w:p>
      <w:pPr>
        <w:snapToGrid w:val="0"/>
        <w:spacing w:line="360" w:lineRule="auto"/>
        <w:ind w:firstLine="470" w:firstLineChars="196"/>
        <w:jc w:val="left"/>
        <w:rPr>
          <w:rFonts w:hint="default"/>
          <w:sz w:val="24"/>
          <w:szCs w:val="21"/>
        </w:rPr>
      </w:pPr>
      <w:r>
        <w:rPr>
          <w:rFonts w:hint="default"/>
          <w:sz w:val="24"/>
          <w:szCs w:val="21"/>
        </w:rPr>
        <w:t>上述资格条件审查材料有一项不提供的，视为资格审查不通过。</w:t>
      </w:r>
    </w:p>
    <w:p>
      <w:pPr>
        <w:adjustRightInd w:val="0"/>
        <w:snapToGrid w:val="0"/>
        <w:spacing w:line="360" w:lineRule="auto"/>
        <w:ind w:firstLine="472" w:firstLineChars="196"/>
        <w:jc w:val="left"/>
        <w:rPr>
          <w:rFonts w:hint="default"/>
          <w:b/>
          <w:sz w:val="24"/>
        </w:rPr>
      </w:pPr>
      <w:r>
        <w:rPr>
          <w:rFonts w:hint="default"/>
          <w:b/>
          <w:sz w:val="24"/>
        </w:rPr>
        <w:t>2.商务技术文件</w:t>
      </w:r>
    </w:p>
    <w:p>
      <w:pPr>
        <w:adjustRightInd w:val="0"/>
        <w:snapToGrid w:val="0"/>
        <w:spacing w:line="360" w:lineRule="auto"/>
        <w:ind w:firstLine="480" w:firstLineChars="200"/>
        <w:jc w:val="left"/>
        <w:rPr>
          <w:rFonts w:hint="default"/>
          <w:sz w:val="24"/>
        </w:rPr>
      </w:pPr>
      <w:r>
        <w:rPr>
          <w:rFonts w:hint="default"/>
          <w:sz w:val="24"/>
        </w:rPr>
        <w:t>（1）投标函（格式见第六章）</w:t>
      </w:r>
    </w:p>
    <w:p>
      <w:pPr>
        <w:adjustRightInd w:val="0"/>
        <w:snapToGrid w:val="0"/>
        <w:spacing w:line="360" w:lineRule="auto"/>
        <w:ind w:firstLine="480" w:firstLineChars="200"/>
        <w:jc w:val="left"/>
        <w:rPr>
          <w:rFonts w:hint="default"/>
          <w:sz w:val="24"/>
        </w:rPr>
      </w:pPr>
      <w:r>
        <w:rPr>
          <w:sz w:val="24"/>
        </w:rPr>
        <w:t>（2）</w:t>
      </w:r>
      <w:r>
        <w:rPr>
          <w:rFonts w:hint="default"/>
          <w:sz w:val="24"/>
        </w:rPr>
        <w:t>法定代表人授权委托书；</w:t>
      </w:r>
    </w:p>
    <w:p>
      <w:pPr>
        <w:adjustRightInd w:val="0"/>
        <w:snapToGrid w:val="0"/>
        <w:spacing w:line="360" w:lineRule="auto"/>
        <w:ind w:firstLine="480" w:firstLineChars="200"/>
        <w:jc w:val="left"/>
        <w:rPr>
          <w:rFonts w:hint="default"/>
          <w:sz w:val="24"/>
        </w:rPr>
      </w:pPr>
      <w:r>
        <w:rPr>
          <w:rFonts w:hint="default"/>
          <w:sz w:val="24"/>
        </w:rPr>
        <w:t>（</w:t>
      </w:r>
      <w:r>
        <w:rPr>
          <w:sz w:val="24"/>
        </w:rPr>
        <w:t>3</w:t>
      </w:r>
      <w:r>
        <w:rPr>
          <w:rFonts w:hint="default"/>
          <w:sz w:val="24"/>
        </w:rPr>
        <w:t>）法定代表人及授权委托人的身份证(复印件加盖公章)；</w:t>
      </w:r>
    </w:p>
    <w:p>
      <w:pPr>
        <w:adjustRightInd w:val="0"/>
        <w:snapToGrid w:val="0"/>
        <w:spacing w:line="360" w:lineRule="auto"/>
        <w:ind w:firstLine="480" w:firstLineChars="200"/>
        <w:jc w:val="left"/>
        <w:rPr>
          <w:rFonts w:hint="default"/>
          <w:sz w:val="24"/>
        </w:rPr>
      </w:pPr>
      <w:r>
        <w:rPr>
          <w:rFonts w:hint="default"/>
          <w:sz w:val="24"/>
        </w:rPr>
        <w:t>（</w:t>
      </w:r>
      <w:r>
        <w:rPr>
          <w:sz w:val="24"/>
        </w:rPr>
        <w:t>4</w:t>
      </w:r>
      <w:r>
        <w:rPr>
          <w:rFonts w:hint="default"/>
          <w:sz w:val="24"/>
        </w:rPr>
        <w:t>）</w:t>
      </w:r>
      <w:r>
        <w:rPr>
          <w:rFonts w:ascii="宋体" w:hAnsi="宋体" w:cs="宋体"/>
          <w:sz w:val="24"/>
        </w:rPr>
        <w:t>同类项目业绩表</w:t>
      </w:r>
      <w:r>
        <w:rPr>
          <w:rFonts w:hint="default"/>
          <w:b/>
          <w:bCs/>
          <w:sz w:val="24"/>
        </w:rPr>
        <w:t>（联合体参加的，联合体各方分别提供与联合体协议中规定的分工内容相应的业绩证明材料，业绩数量以提供材料较少的一方为准，如联合体协议中未进行分工约定的，联合体成员各方应就所有合同约定的工作内容提供业绩证明材料，有一方未能提供全部合同约定的工作内容的业绩证明材料的，视为联合体未提供业绩证明材料）</w:t>
      </w:r>
      <w:r>
        <w:rPr>
          <w:rFonts w:hint="default"/>
          <w:sz w:val="24"/>
          <w:lang w:val="zh-CN"/>
        </w:rPr>
        <w:t>；</w:t>
      </w:r>
    </w:p>
    <w:p>
      <w:pPr>
        <w:adjustRightInd w:val="0"/>
        <w:snapToGrid w:val="0"/>
        <w:spacing w:line="360" w:lineRule="auto"/>
        <w:ind w:firstLine="480" w:firstLineChars="200"/>
        <w:jc w:val="left"/>
        <w:rPr>
          <w:rFonts w:hint="default"/>
          <w:sz w:val="24"/>
        </w:rPr>
      </w:pPr>
      <w:r>
        <w:rPr>
          <w:sz w:val="24"/>
          <w:szCs w:val="21"/>
        </w:rPr>
        <w:t>（5）分包协议（如有）；</w:t>
      </w:r>
    </w:p>
    <w:p>
      <w:pPr>
        <w:adjustRightInd w:val="0"/>
        <w:snapToGrid w:val="0"/>
        <w:spacing w:line="360" w:lineRule="auto"/>
        <w:ind w:firstLine="480" w:firstLineChars="200"/>
        <w:jc w:val="left"/>
        <w:rPr>
          <w:rFonts w:hint="default"/>
          <w:sz w:val="24"/>
        </w:rPr>
      </w:pPr>
      <w:r>
        <w:rPr>
          <w:rFonts w:hint="default"/>
          <w:sz w:val="24"/>
        </w:rPr>
        <w:t>（</w:t>
      </w:r>
      <w:r>
        <w:rPr>
          <w:sz w:val="24"/>
        </w:rPr>
        <w:t>6</w:t>
      </w:r>
      <w:r>
        <w:rPr>
          <w:rFonts w:hint="default"/>
          <w:sz w:val="24"/>
        </w:rPr>
        <w:t>）商务技术偏离表；</w:t>
      </w:r>
    </w:p>
    <w:p>
      <w:pPr>
        <w:adjustRightInd w:val="0"/>
        <w:snapToGrid w:val="0"/>
        <w:spacing w:line="360" w:lineRule="auto"/>
        <w:ind w:firstLine="480" w:firstLineChars="200"/>
        <w:jc w:val="left"/>
        <w:rPr>
          <w:rFonts w:hint="default"/>
          <w:sz w:val="24"/>
        </w:rPr>
      </w:pPr>
      <w:r>
        <w:rPr>
          <w:rFonts w:hint="default"/>
          <w:sz w:val="24"/>
        </w:rPr>
        <w:t>（</w:t>
      </w:r>
      <w:r>
        <w:rPr>
          <w:sz w:val="24"/>
        </w:rPr>
        <w:t>7</w:t>
      </w:r>
      <w:r>
        <w:rPr>
          <w:rFonts w:hint="default"/>
          <w:sz w:val="24"/>
        </w:rPr>
        <w:t>）</w:t>
      </w:r>
      <w:r>
        <w:rPr>
          <w:rFonts w:ascii="宋体" w:hAnsi="宋体" w:cs="宋体"/>
          <w:sz w:val="24"/>
        </w:rPr>
        <w:t>评标标准相应的商务技术资料；</w:t>
      </w:r>
    </w:p>
    <w:p>
      <w:pPr>
        <w:adjustRightInd w:val="0"/>
        <w:snapToGrid w:val="0"/>
        <w:spacing w:line="360" w:lineRule="auto"/>
        <w:ind w:firstLine="480" w:firstLineChars="200"/>
        <w:jc w:val="left"/>
        <w:rPr>
          <w:rFonts w:hint="default"/>
          <w:sz w:val="24"/>
        </w:rPr>
      </w:pPr>
      <w:r>
        <w:rPr>
          <w:sz w:val="24"/>
        </w:rPr>
        <w:t>（8）</w:t>
      </w:r>
      <w:r>
        <w:rPr>
          <w:rFonts w:hint="default"/>
          <w:sz w:val="24"/>
        </w:rPr>
        <w:t>其他必要提供的资料。</w:t>
      </w:r>
    </w:p>
    <w:p>
      <w:pPr>
        <w:adjustRightInd w:val="0"/>
        <w:snapToGrid w:val="0"/>
        <w:spacing w:line="360" w:lineRule="auto"/>
        <w:ind w:firstLine="472" w:firstLineChars="196"/>
        <w:jc w:val="left"/>
        <w:rPr>
          <w:rFonts w:hint="default"/>
          <w:b/>
          <w:sz w:val="24"/>
        </w:rPr>
      </w:pPr>
      <w:r>
        <w:rPr>
          <w:rFonts w:hint="default"/>
          <w:b/>
          <w:sz w:val="24"/>
        </w:rPr>
        <w:t>3.报价文件：</w:t>
      </w:r>
    </w:p>
    <w:p>
      <w:pPr>
        <w:adjustRightInd w:val="0"/>
        <w:snapToGrid w:val="0"/>
        <w:spacing w:line="360" w:lineRule="auto"/>
        <w:ind w:firstLine="480" w:firstLineChars="200"/>
        <w:jc w:val="left"/>
        <w:rPr>
          <w:rFonts w:hint="default"/>
          <w:sz w:val="24"/>
        </w:rPr>
      </w:pPr>
      <w:r>
        <w:rPr>
          <w:rFonts w:hint="default"/>
          <w:sz w:val="24"/>
        </w:rPr>
        <w:t>（1）开标一览表（格式见第六章）；</w:t>
      </w:r>
    </w:p>
    <w:p>
      <w:pPr>
        <w:adjustRightInd w:val="0"/>
        <w:snapToGrid w:val="0"/>
        <w:spacing w:line="360" w:lineRule="auto"/>
        <w:ind w:firstLine="480" w:firstLineChars="200"/>
        <w:jc w:val="left"/>
        <w:rPr>
          <w:rFonts w:hint="default"/>
          <w:sz w:val="24"/>
          <w:szCs w:val="21"/>
        </w:rPr>
      </w:pPr>
      <w:r>
        <w:rPr>
          <w:rFonts w:hint="default"/>
          <w:sz w:val="24"/>
        </w:rPr>
        <w:t>（</w:t>
      </w:r>
      <w:r>
        <w:rPr>
          <w:sz w:val="24"/>
        </w:rPr>
        <w:t>2</w:t>
      </w:r>
      <w:r>
        <w:rPr>
          <w:rFonts w:hint="default"/>
          <w:sz w:val="24"/>
        </w:rPr>
        <w:t>）投标报价明细表（格式见第六章）</w:t>
      </w:r>
      <w:r>
        <w:rPr>
          <w:sz w:val="24"/>
        </w:rPr>
        <w:t>；</w:t>
      </w:r>
    </w:p>
    <w:p>
      <w:pPr>
        <w:adjustRightInd w:val="0"/>
        <w:snapToGrid w:val="0"/>
        <w:spacing w:line="360" w:lineRule="auto"/>
        <w:ind w:firstLine="480" w:firstLineChars="200"/>
        <w:jc w:val="left"/>
        <w:rPr>
          <w:rFonts w:hint="default"/>
          <w:sz w:val="24"/>
        </w:rPr>
      </w:pPr>
      <w:r>
        <w:rPr>
          <w:sz w:val="24"/>
          <w:szCs w:val="21"/>
        </w:rPr>
        <w:t>（3）</w:t>
      </w:r>
      <w:r>
        <w:rPr>
          <w:rFonts w:hint="default"/>
          <w:sz w:val="24"/>
          <w:szCs w:val="21"/>
        </w:rPr>
        <w:t>中小企业声明函、残疾人福利性单位声明函</w:t>
      </w:r>
      <w:r>
        <w:rPr>
          <w:sz w:val="24"/>
          <w:szCs w:val="21"/>
        </w:rPr>
        <w:t>或</w:t>
      </w:r>
      <w:r>
        <w:rPr>
          <w:rFonts w:hint="default"/>
          <w:sz w:val="24"/>
          <w:szCs w:val="21"/>
        </w:rPr>
        <w:t>属于监狱企业的证明文件（由省级以上监狱管理局、戒毒管理局（含新疆生产建设兵团）出具的属于监狱企业的证明文件</w:t>
      </w:r>
      <w:r>
        <w:rPr>
          <w:sz w:val="24"/>
        </w:rPr>
        <w:t>（如有）</w:t>
      </w:r>
      <w:r>
        <w:rPr>
          <w:rFonts w:hint="default"/>
          <w:sz w:val="24"/>
        </w:rPr>
        <w:t>；</w:t>
      </w:r>
    </w:p>
    <w:p>
      <w:pPr>
        <w:adjustRightInd w:val="0"/>
        <w:snapToGrid w:val="0"/>
        <w:spacing w:line="360" w:lineRule="auto"/>
        <w:ind w:firstLine="480" w:firstLineChars="200"/>
        <w:jc w:val="left"/>
        <w:rPr>
          <w:rFonts w:hint="default"/>
          <w:sz w:val="24"/>
        </w:rPr>
      </w:pPr>
      <w:r>
        <w:rPr>
          <w:rFonts w:hint="default"/>
          <w:sz w:val="24"/>
        </w:rPr>
        <w:t>（</w:t>
      </w:r>
      <w:r>
        <w:rPr>
          <w:sz w:val="24"/>
        </w:rPr>
        <w:t>4</w:t>
      </w:r>
      <w:r>
        <w:rPr>
          <w:rFonts w:hint="default"/>
          <w:sz w:val="24"/>
        </w:rPr>
        <w:t>）代理服务费支付承诺书</w:t>
      </w:r>
      <w:r>
        <w:rPr>
          <w:sz w:val="24"/>
        </w:rPr>
        <w:t>。</w:t>
      </w:r>
    </w:p>
    <w:p>
      <w:pPr>
        <w:adjustRightInd w:val="0"/>
        <w:snapToGrid w:val="0"/>
        <w:spacing w:line="360" w:lineRule="auto"/>
        <w:ind w:firstLine="480" w:firstLineChars="200"/>
        <w:jc w:val="left"/>
        <w:rPr>
          <w:rFonts w:hint="default" w:ascii="宋体" w:hAnsi="宋体" w:cs="宋体"/>
          <w:sz w:val="24"/>
          <w:szCs w:val="24"/>
        </w:rPr>
      </w:pPr>
      <w:r>
        <w:rPr>
          <w:rFonts w:hint="default"/>
          <w:sz w:val="24"/>
        </w:rPr>
        <w:t>注：</w:t>
      </w:r>
      <w:r>
        <w:rPr>
          <w:rFonts w:hint="default"/>
          <w:b/>
          <w:bCs/>
          <w:sz w:val="24"/>
        </w:rPr>
        <w:t>1</w:t>
      </w:r>
      <w:r>
        <w:rPr>
          <w:rFonts w:ascii="宋体" w:hAnsi="宋体" w:cs="宋体"/>
          <w:b/>
          <w:bCs/>
          <w:sz w:val="24"/>
          <w:szCs w:val="24"/>
        </w:rPr>
        <w:t>）</w:t>
      </w:r>
      <w:r>
        <w:rPr>
          <w:rFonts w:hint="default"/>
          <w:b/>
          <w:bCs/>
          <w:sz w:val="24"/>
        </w:rPr>
        <w:t>如以联合体形式参加政府采购活动的，联合体各方应当指定牵头人，授权其代表所有联合体成员负责投标和合同实施阶段的主办、协调工作，并应当向采购代理机构提交由所有联合体成员各方法定代表人签署的授权书，同时应当提交联合协议，载明联合体各方承担的工作和义务。联合体协议中应当注明由联合体各成员方共同与采购人签订合</w:t>
      </w:r>
      <w:r>
        <w:rPr>
          <w:rFonts w:hint="default" w:ascii="宋体" w:hAnsi="宋体" w:cs="宋体"/>
          <w:b/>
          <w:bCs/>
          <w:sz w:val="24"/>
          <w:szCs w:val="24"/>
        </w:rPr>
        <w:t>同，并就采购合同约定的事项对采购人承担连带责任。联合体协议中仅约定由牵头人或联合体成员中某一方与采购人签订合同的，或联合体协议中仅约定由牵头人或联合体成员中某一方就采购合同约定的事项对采购人承担责任的，视为联合体协议不成立，该联合体投标文件将被作无效投标文件处理；(▲如以联合体形式参加政府采购活动的，联合体协议不符合投标文件规定的联合体协议要求的，投标无效。</w:t>
      </w:r>
      <w:r>
        <w:rPr>
          <w:rFonts w:hint="default" w:ascii="宋体" w:hAnsi="宋体" w:cs="宋体"/>
          <w:sz w:val="24"/>
          <w:szCs w:val="24"/>
        </w:rPr>
        <w:t>）</w:t>
      </w:r>
    </w:p>
    <w:p>
      <w:pPr>
        <w:snapToGrid w:val="0"/>
        <w:spacing w:line="360" w:lineRule="auto"/>
        <w:ind w:firstLine="480" w:firstLineChars="200"/>
        <w:jc w:val="left"/>
        <w:rPr>
          <w:rFonts w:hint="default" w:ascii="宋体" w:hAnsi="宋体" w:cs="宋体"/>
          <w:sz w:val="24"/>
          <w:szCs w:val="24"/>
        </w:rPr>
      </w:pPr>
      <w:bookmarkStart w:id="38" w:name="_Toc27106"/>
      <w:bookmarkStart w:id="39" w:name="_Toc1327"/>
      <w:bookmarkStart w:id="40" w:name="_Toc31780"/>
      <w:bookmarkStart w:id="41" w:name="_Toc32602"/>
      <w:r>
        <w:rPr>
          <w:rFonts w:ascii="宋体" w:hAnsi="宋体" w:cs="宋体"/>
          <w:sz w:val="24"/>
          <w:szCs w:val="24"/>
        </w:rPr>
        <w:t>2）</w:t>
      </w:r>
      <w:r>
        <w:rPr>
          <w:rFonts w:hint="default" w:ascii="宋体" w:hAnsi="宋体" w:cs="宋体"/>
          <w:sz w:val="24"/>
          <w:szCs w:val="24"/>
        </w:rPr>
        <w:t>联合体各方资信情况证明文件（营业执照、符合资格条件的声明函、业绩证明材料）由各方成员盖章签字，其他内容以联合体牵头单位为主签署投标文件。</w:t>
      </w:r>
    </w:p>
    <w:p>
      <w:pPr>
        <w:pStyle w:val="40"/>
        <w:spacing w:line="360" w:lineRule="auto"/>
        <w:ind w:left="0" w:leftChars="0" w:firstLine="480"/>
        <w:rPr>
          <w:rFonts w:hint="default" w:ascii="宋体" w:hAnsi="宋体" w:cs="宋体"/>
          <w:sz w:val="24"/>
        </w:rPr>
      </w:pPr>
      <w:r>
        <w:rPr>
          <w:rFonts w:ascii="宋体" w:hAnsi="宋体" w:cs="宋体"/>
          <w:sz w:val="24"/>
        </w:rPr>
        <w:t>3）附件中有参考格式的，参照格式，没有参考格式的，供应商根据招标文件要求自行编制。</w:t>
      </w:r>
    </w:p>
    <w:p>
      <w:pPr>
        <w:pStyle w:val="40"/>
        <w:adjustRightInd w:val="0"/>
        <w:snapToGrid w:val="0"/>
        <w:spacing w:after="0" w:line="360" w:lineRule="auto"/>
        <w:ind w:left="0" w:leftChars="0" w:firstLine="480"/>
        <w:rPr>
          <w:rFonts w:hint="default" w:ascii="宋体" w:hAnsi="宋体" w:cs="宋体"/>
          <w:sz w:val="24"/>
        </w:rPr>
      </w:pPr>
      <w:r>
        <w:rPr>
          <w:rFonts w:ascii="宋体" w:hAnsi="宋体" w:cs="宋体"/>
          <w:sz w:val="24"/>
        </w:rPr>
        <w:t>4）供应商应根据“政采云供应商项目采购-电子招投标操作指南”及本招标文件规定的格式和顺序编制电子响应文件并进行关联定位。以便评标委员会在评审过程中，点击评分项，可直接定位到该评分项内容。</w:t>
      </w:r>
    </w:p>
    <w:p>
      <w:pPr>
        <w:adjustRightInd w:val="0"/>
        <w:snapToGrid w:val="0"/>
        <w:spacing w:line="360" w:lineRule="auto"/>
        <w:ind w:firstLine="472" w:firstLineChars="196"/>
        <w:jc w:val="left"/>
        <w:outlineLvl w:val="0"/>
        <w:rPr>
          <w:rFonts w:hint="default"/>
          <w:b/>
          <w:sz w:val="24"/>
        </w:rPr>
      </w:pPr>
      <w:bookmarkStart w:id="42" w:name="_Toc15620"/>
      <w:r>
        <w:rPr>
          <w:rFonts w:hint="default"/>
          <w:b/>
          <w:sz w:val="24"/>
        </w:rPr>
        <w:t>（二）投标文件的语言及计量</w:t>
      </w:r>
      <w:bookmarkEnd w:id="38"/>
      <w:bookmarkEnd w:id="39"/>
      <w:bookmarkEnd w:id="40"/>
      <w:bookmarkEnd w:id="41"/>
      <w:bookmarkEnd w:id="42"/>
    </w:p>
    <w:p>
      <w:pPr>
        <w:adjustRightInd w:val="0"/>
        <w:snapToGrid w:val="0"/>
        <w:spacing w:line="360" w:lineRule="auto"/>
        <w:ind w:firstLine="480" w:firstLineChars="200"/>
        <w:jc w:val="left"/>
        <w:rPr>
          <w:rFonts w:hint="default"/>
          <w:sz w:val="24"/>
        </w:rPr>
      </w:pPr>
      <w:r>
        <w:rPr>
          <w:rFonts w:hint="default"/>
          <w:sz w:val="24"/>
        </w:rPr>
        <w:t>1.投标文件以及投标方与招标方就有关投标事宜的所有来往函电，均应以中文汉语书写。除签名、盖章、专用名称等特殊情形外，以中文汉语以外的文字表述的投标文件视同未提供。</w:t>
      </w:r>
    </w:p>
    <w:p>
      <w:pPr>
        <w:adjustRightInd w:val="0"/>
        <w:snapToGrid w:val="0"/>
        <w:spacing w:line="360" w:lineRule="auto"/>
        <w:ind w:firstLine="480" w:firstLineChars="200"/>
        <w:jc w:val="left"/>
        <w:rPr>
          <w:rFonts w:hint="default"/>
          <w:sz w:val="24"/>
        </w:rPr>
      </w:pPr>
      <w:r>
        <w:rPr>
          <w:rFonts w:hint="default"/>
          <w:sz w:val="24"/>
        </w:rPr>
        <w:t>2投标计量单位，招标文件已有明确规定的，使用招标文件规定的计量单位；招标文件没有规定的，应采用中华人民共和国法定计量单位（货币单位：人民币元），否则视同未响应。</w:t>
      </w:r>
    </w:p>
    <w:p>
      <w:pPr>
        <w:adjustRightInd w:val="0"/>
        <w:snapToGrid w:val="0"/>
        <w:spacing w:line="360" w:lineRule="auto"/>
        <w:ind w:firstLine="472" w:firstLineChars="196"/>
        <w:jc w:val="left"/>
        <w:outlineLvl w:val="0"/>
        <w:rPr>
          <w:rFonts w:hint="default"/>
          <w:b/>
          <w:sz w:val="24"/>
        </w:rPr>
      </w:pPr>
      <w:bookmarkStart w:id="43" w:name="_Toc2734"/>
      <w:bookmarkStart w:id="44" w:name="_Toc27951"/>
      <w:bookmarkStart w:id="45" w:name="_Toc447"/>
      <w:bookmarkStart w:id="46" w:name="_Toc26081"/>
      <w:bookmarkStart w:id="47" w:name="_Toc10791"/>
      <w:r>
        <w:rPr>
          <w:rFonts w:hint="default"/>
          <w:b/>
          <w:sz w:val="24"/>
        </w:rPr>
        <w:t>（三）投标报价</w:t>
      </w:r>
      <w:bookmarkEnd w:id="43"/>
      <w:bookmarkEnd w:id="44"/>
      <w:bookmarkEnd w:id="45"/>
      <w:bookmarkEnd w:id="46"/>
      <w:bookmarkEnd w:id="47"/>
    </w:p>
    <w:p>
      <w:pPr>
        <w:snapToGrid w:val="0"/>
        <w:spacing w:line="360" w:lineRule="auto"/>
        <w:ind w:firstLine="480" w:firstLineChars="200"/>
        <w:rPr>
          <w:rFonts w:hint="default" w:ascii="宋体" w:hAnsi="宋体" w:cs="宋体"/>
          <w:sz w:val="24"/>
        </w:rPr>
      </w:pPr>
      <w:r>
        <w:rPr>
          <w:rFonts w:ascii="宋体" w:hAnsi="宋体" w:cs="宋体"/>
          <w:sz w:val="24"/>
        </w:rPr>
        <w:t>1.报价应按采购文件中相关附表格式填写。</w:t>
      </w:r>
    </w:p>
    <w:p>
      <w:pPr>
        <w:snapToGrid w:val="0"/>
        <w:spacing w:line="360" w:lineRule="auto"/>
        <w:ind w:firstLine="480" w:firstLineChars="200"/>
        <w:rPr>
          <w:rFonts w:hint="default" w:ascii="宋体" w:hAnsi="宋体" w:cs="宋体"/>
          <w:sz w:val="24"/>
        </w:rPr>
      </w:pPr>
      <w:r>
        <w:rPr>
          <w:rFonts w:ascii="宋体" w:hAnsi="宋体" w:cs="宋体"/>
          <w:sz w:val="24"/>
        </w:rPr>
        <w:t>2.投标人根据招标文件的要求，</w:t>
      </w:r>
      <w:r>
        <w:rPr>
          <w:rFonts w:ascii="宋体" w:hAnsi="宋体" w:cs="宋体"/>
          <w:kern w:val="0"/>
          <w:sz w:val="24"/>
          <w:lang w:val="zh-CN"/>
        </w:rPr>
        <w:t>有关本项目实施所需的所有费用（含税费）均计入报价</w:t>
      </w:r>
      <w:r>
        <w:rPr>
          <w:rFonts w:ascii="宋体" w:hAnsi="宋体" w:cs="宋体"/>
          <w:sz w:val="24"/>
        </w:rPr>
        <w:t>。</w:t>
      </w:r>
    </w:p>
    <w:p>
      <w:pPr>
        <w:adjustRightInd w:val="0"/>
        <w:snapToGrid w:val="0"/>
        <w:spacing w:line="360" w:lineRule="auto"/>
        <w:ind w:firstLine="482" w:firstLineChars="200"/>
        <w:jc w:val="left"/>
        <w:rPr>
          <w:rFonts w:hint="default"/>
          <w:b/>
          <w:bCs/>
          <w:sz w:val="24"/>
        </w:rPr>
      </w:pPr>
      <w:r>
        <w:rPr>
          <w:b/>
          <w:bCs/>
          <w:sz w:val="24"/>
        </w:rPr>
        <w:t>3</w:t>
      </w:r>
      <w:r>
        <w:rPr>
          <w:rFonts w:hint="default"/>
          <w:b/>
          <w:bCs/>
          <w:sz w:val="24"/>
        </w:rPr>
        <w:t>.投标文件只允许有一个报价，有选择或有条件的报价将不予接受，其投标无效。</w:t>
      </w:r>
    </w:p>
    <w:p>
      <w:pPr>
        <w:pStyle w:val="10"/>
        <w:widowControl w:val="0"/>
        <w:numPr>
          <w:ilvl w:val="0"/>
          <w:numId w:val="0"/>
        </w:numPr>
        <w:adjustRightInd w:val="0"/>
        <w:snapToGrid w:val="0"/>
        <w:spacing w:afterLines="0" w:line="360" w:lineRule="auto"/>
        <w:ind w:firstLine="472" w:firstLineChars="196"/>
        <w:rPr>
          <w:rFonts w:hint="default"/>
          <w:b/>
          <w:szCs w:val="24"/>
        </w:rPr>
      </w:pPr>
      <w:r>
        <w:rPr>
          <w:rFonts w:hint="default"/>
          <w:b/>
          <w:szCs w:val="24"/>
        </w:rPr>
        <w:t>（四）投标文件的有效期</w:t>
      </w:r>
    </w:p>
    <w:p>
      <w:pPr>
        <w:pStyle w:val="10"/>
        <w:widowControl w:val="0"/>
        <w:numPr>
          <w:ilvl w:val="0"/>
          <w:numId w:val="0"/>
        </w:numPr>
        <w:adjustRightInd w:val="0"/>
        <w:snapToGrid w:val="0"/>
        <w:spacing w:afterLines="0" w:line="360" w:lineRule="auto"/>
        <w:ind w:firstLine="482" w:firstLineChars="200"/>
        <w:rPr>
          <w:rFonts w:hint="default"/>
          <w:b/>
          <w:bCs/>
          <w:szCs w:val="24"/>
        </w:rPr>
      </w:pPr>
      <w:r>
        <w:rPr>
          <w:rFonts w:hint="default"/>
          <w:b/>
          <w:bCs/>
          <w:szCs w:val="24"/>
        </w:rPr>
        <w:t>1.自投标截止日起</w:t>
      </w:r>
      <w:r>
        <w:rPr>
          <w:rFonts w:hint="default"/>
          <w:b/>
          <w:bCs/>
          <w:szCs w:val="24"/>
          <w:u w:val="single"/>
        </w:rPr>
        <w:t xml:space="preserve"> 90 </w:t>
      </w:r>
      <w:r>
        <w:rPr>
          <w:rFonts w:hint="default"/>
          <w:b/>
          <w:bCs/>
          <w:szCs w:val="24"/>
        </w:rPr>
        <w:t>天投标文件应保持有效。有效期不足的投标文件将被视为无效。</w:t>
      </w:r>
    </w:p>
    <w:p>
      <w:pPr>
        <w:pStyle w:val="10"/>
        <w:widowControl w:val="0"/>
        <w:numPr>
          <w:ilvl w:val="0"/>
          <w:numId w:val="0"/>
        </w:numPr>
        <w:adjustRightInd w:val="0"/>
        <w:snapToGrid w:val="0"/>
        <w:spacing w:afterLines="0" w:line="360" w:lineRule="auto"/>
        <w:ind w:firstLine="480" w:firstLineChars="200"/>
        <w:rPr>
          <w:rFonts w:hint="default"/>
          <w:szCs w:val="24"/>
        </w:rPr>
      </w:pPr>
      <w:r>
        <w:rPr>
          <w:rFonts w:hint="default"/>
          <w:szCs w:val="24"/>
        </w:rPr>
        <w:t>2.在特殊情况下，采购人可与投标人协商延长投标书的有效期，这种要求和答复均以书面形式进行。</w:t>
      </w:r>
    </w:p>
    <w:p>
      <w:pPr>
        <w:adjustRightInd w:val="0"/>
        <w:snapToGrid w:val="0"/>
        <w:spacing w:line="360" w:lineRule="auto"/>
        <w:ind w:firstLine="480" w:firstLineChars="200"/>
        <w:jc w:val="left"/>
        <w:outlineLvl w:val="0"/>
        <w:rPr>
          <w:rFonts w:hint="default"/>
          <w:b/>
          <w:sz w:val="24"/>
        </w:rPr>
      </w:pPr>
      <w:bookmarkStart w:id="48" w:name="_Toc28284"/>
      <w:bookmarkStart w:id="49" w:name="_Toc21096"/>
      <w:bookmarkStart w:id="50" w:name="_Toc25306"/>
      <w:bookmarkStart w:id="51" w:name="_Toc7404"/>
      <w:bookmarkStart w:id="52" w:name="_Toc22937"/>
      <w:r>
        <w:rPr>
          <w:rFonts w:hint="default"/>
          <w:sz w:val="24"/>
        </w:rPr>
        <w:t>3.投标人可拒绝接受延期要求。同意延长有效期的，投标人不能修改其投标文件。</w:t>
      </w:r>
      <w:bookmarkEnd w:id="48"/>
      <w:bookmarkEnd w:id="49"/>
      <w:bookmarkEnd w:id="50"/>
      <w:bookmarkEnd w:id="51"/>
      <w:bookmarkEnd w:id="52"/>
    </w:p>
    <w:p>
      <w:pPr>
        <w:adjustRightInd w:val="0"/>
        <w:snapToGrid w:val="0"/>
        <w:spacing w:line="360" w:lineRule="auto"/>
        <w:ind w:firstLine="480" w:firstLineChars="200"/>
        <w:jc w:val="left"/>
        <w:outlineLvl w:val="0"/>
        <w:rPr>
          <w:rFonts w:hint="default"/>
          <w:b/>
          <w:sz w:val="24"/>
        </w:rPr>
      </w:pPr>
      <w:bookmarkStart w:id="53" w:name="_Toc14664"/>
      <w:bookmarkStart w:id="54" w:name="_Toc28942"/>
      <w:bookmarkStart w:id="55" w:name="_Toc17993"/>
      <w:bookmarkStart w:id="56" w:name="_Toc3605"/>
      <w:bookmarkStart w:id="57" w:name="_Toc25512"/>
      <w:r>
        <w:rPr>
          <w:rFonts w:hint="default"/>
          <w:sz w:val="24"/>
        </w:rPr>
        <w:t>4.中标人的投标文件自开标之日起至合同履行完毕止均应保持有效。</w:t>
      </w:r>
      <w:bookmarkEnd w:id="53"/>
      <w:bookmarkEnd w:id="54"/>
      <w:bookmarkEnd w:id="55"/>
      <w:bookmarkEnd w:id="56"/>
      <w:bookmarkEnd w:id="57"/>
    </w:p>
    <w:p>
      <w:pPr>
        <w:pStyle w:val="10"/>
        <w:widowControl w:val="0"/>
        <w:numPr>
          <w:ilvl w:val="0"/>
          <w:numId w:val="0"/>
        </w:numPr>
        <w:adjustRightInd w:val="0"/>
        <w:snapToGrid w:val="0"/>
        <w:spacing w:afterLines="0" w:line="360" w:lineRule="auto"/>
        <w:ind w:firstLine="472" w:firstLineChars="196"/>
        <w:rPr>
          <w:rFonts w:hint="default"/>
          <w:b/>
          <w:szCs w:val="24"/>
        </w:rPr>
      </w:pPr>
      <w:r>
        <w:rPr>
          <w:rFonts w:hint="default"/>
          <w:b/>
          <w:szCs w:val="24"/>
        </w:rPr>
        <w:t>（五）投标文件的编制</w:t>
      </w:r>
    </w:p>
    <w:p>
      <w:pPr>
        <w:autoSpaceDE w:val="0"/>
        <w:autoSpaceDN w:val="0"/>
        <w:adjustRightInd w:val="0"/>
        <w:snapToGrid w:val="0"/>
        <w:spacing w:line="360" w:lineRule="auto"/>
        <w:ind w:left="359" w:leftChars="171" w:firstLine="120" w:firstLineChars="50"/>
        <w:rPr>
          <w:rFonts w:hint="default" w:ascii="宋体" w:hAnsi="宋体" w:cs="宋体"/>
          <w:sz w:val="24"/>
        </w:rPr>
      </w:pPr>
      <w:r>
        <w:rPr>
          <w:rFonts w:ascii="宋体" w:hAnsi="宋体" w:cs="宋体"/>
          <w:sz w:val="24"/>
        </w:rPr>
        <w:t>1.“电子加密投标文件”：</w:t>
      </w:r>
    </w:p>
    <w:p>
      <w:pPr>
        <w:autoSpaceDE w:val="0"/>
        <w:autoSpaceDN w:val="0"/>
        <w:adjustRightInd w:val="0"/>
        <w:snapToGrid w:val="0"/>
        <w:spacing w:line="360" w:lineRule="auto"/>
        <w:ind w:firstLine="360" w:firstLineChars="150"/>
        <w:rPr>
          <w:rFonts w:hint="default" w:ascii="宋体" w:hAnsi="宋体" w:cs="宋体"/>
          <w:sz w:val="24"/>
        </w:rPr>
      </w:pPr>
      <w:r>
        <w:rPr>
          <w:rFonts w:ascii="宋体" w:hAnsi="宋体" w:cs="宋体"/>
          <w:sz w:val="24"/>
        </w:rPr>
        <w:t>（1）“电子加密投标文件”是指通过“政采云电子交易客户端”完成投标文件编制后生成并加密的数据电文形式的投标文件。</w:t>
      </w:r>
    </w:p>
    <w:p>
      <w:pPr>
        <w:spacing w:line="360" w:lineRule="auto"/>
        <w:ind w:firstLine="360" w:firstLineChars="150"/>
        <w:rPr>
          <w:rFonts w:hint="default" w:ascii="宋体" w:hAnsi="宋体" w:cs="宋体"/>
          <w:sz w:val="24"/>
        </w:rPr>
      </w:pPr>
      <w:r>
        <w:rPr>
          <w:rFonts w:ascii="宋体" w:hAnsi="宋体" w:cs="宋体"/>
          <w:sz w:val="24"/>
        </w:rPr>
        <w:t>（2）供应商应先安装“政采云电子交易客户端”，并按照本招标文件和“政府采购云平台”的要求，通过“政采云电子交易客户端”编制并加密投标文件。</w:t>
      </w:r>
    </w:p>
    <w:p>
      <w:pPr>
        <w:spacing w:line="360" w:lineRule="auto"/>
        <w:ind w:left="359" w:leftChars="171" w:firstLine="120" w:firstLineChars="50"/>
        <w:rPr>
          <w:rFonts w:hint="default" w:ascii="宋体" w:hAnsi="宋体" w:cs="宋体"/>
          <w:sz w:val="24"/>
        </w:rPr>
      </w:pPr>
      <w:r>
        <w:rPr>
          <w:rFonts w:ascii="宋体" w:hAnsi="宋体" w:cs="宋体"/>
          <w:sz w:val="24"/>
        </w:rPr>
        <w:t>2.“电子备份投标文件”：</w:t>
      </w:r>
    </w:p>
    <w:p>
      <w:pPr>
        <w:autoSpaceDE w:val="0"/>
        <w:autoSpaceDN w:val="0"/>
        <w:adjustRightInd w:val="0"/>
        <w:snapToGrid w:val="0"/>
        <w:spacing w:line="360" w:lineRule="auto"/>
        <w:ind w:firstLine="360" w:firstLineChars="150"/>
        <w:rPr>
          <w:rFonts w:hint="default" w:ascii="宋体" w:hAnsi="宋体" w:cs="宋体"/>
          <w:sz w:val="24"/>
        </w:rPr>
      </w:pPr>
      <w:r>
        <w:rPr>
          <w:rFonts w:ascii="宋体" w:hAnsi="宋体" w:cs="宋体"/>
          <w:sz w:val="24"/>
        </w:rPr>
        <w:t>（1）投标人在电子交易平台传输递交投标文件后，还可以在投标截止时间前直接提交或者以邮政快递方式递交备份投标文件1份，</w:t>
      </w:r>
      <w:r>
        <w:rPr>
          <w:rFonts w:ascii="宋体" w:hAnsi="宋体" w:cs="宋体"/>
          <w:b/>
          <w:bCs/>
          <w:sz w:val="24"/>
        </w:rPr>
        <w:t>但采购人、采购代理机构不强制或变相强制投标人提交备份投标文</w:t>
      </w:r>
      <w:r>
        <w:rPr>
          <w:rFonts w:ascii="宋体" w:hAnsi="宋体" w:cs="宋体"/>
          <w:sz w:val="24"/>
        </w:rPr>
        <w:t>件。</w:t>
      </w:r>
    </w:p>
    <w:p>
      <w:pPr>
        <w:autoSpaceDE w:val="0"/>
        <w:autoSpaceDN w:val="0"/>
        <w:adjustRightInd w:val="0"/>
        <w:snapToGrid w:val="0"/>
        <w:spacing w:line="360" w:lineRule="auto"/>
        <w:ind w:firstLine="360" w:firstLineChars="150"/>
        <w:rPr>
          <w:rFonts w:hint="default" w:ascii="宋体" w:hAnsi="宋体" w:cs="宋体"/>
          <w:b/>
          <w:bCs/>
          <w:sz w:val="24"/>
        </w:rPr>
      </w:pPr>
      <w:r>
        <w:rPr>
          <w:rFonts w:ascii="宋体" w:hAnsi="宋体" w:cs="宋体"/>
          <w:sz w:val="24"/>
        </w:rPr>
        <w:t>（2）备份投标文件须在“政采云投标客户端”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ascii="宋体" w:hAnsi="宋体" w:cs="宋体"/>
          <w:b/>
          <w:bCs/>
          <w:sz w:val="24"/>
        </w:rPr>
        <w:t>不符合上述制作、存储、密封规定的备份投标文件将被视为无效或者被拒绝接收。</w:t>
      </w:r>
    </w:p>
    <w:p>
      <w:pPr>
        <w:autoSpaceDE w:val="0"/>
        <w:autoSpaceDN w:val="0"/>
        <w:adjustRightInd w:val="0"/>
        <w:snapToGrid w:val="0"/>
        <w:spacing w:line="360" w:lineRule="auto"/>
        <w:ind w:firstLine="360" w:firstLineChars="150"/>
        <w:rPr>
          <w:rFonts w:hint="default" w:ascii="宋体" w:hAnsi="宋体" w:cs="宋体"/>
          <w:sz w:val="24"/>
        </w:rPr>
      </w:pPr>
      <w:r>
        <w:rPr>
          <w:rFonts w:ascii="宋体" w:hAnsi="宋体" w:cs="宋体"/>
          <w:sz w:val="24"/>
        </w:rPr>
        <w:t>（3）直接提交备份投标文件的，投标人应于投标截止时间前在招标公告中载明的开标地点将备份投标文件提交给采购代理机构，采购代理机构将拒绝接受逾期送达的备份投标文件。</w:t>
      </w:r>
    </w:p>
    <w:p>
      <w:pPr>
        <w:autoSpaceDE w:val="0"/>
        <w:autoSpaceDN w:val="0"/>
        <w:adjustRightInd w:val="0"/>
        <w:snapToGrid w:val="0"/>
        <w:spacing w:line="360" w:lineRule="auto"/>
        <w:ind w:firstLine="360" w:firstLineChars="150"/>
        <w:rPr>
          <w:rFonts w:hint="default" w:ascii="宋体" w:hAnsi="宋体" w:cs="宋体"/>
          <w:sz w:val="24"/>
        </w:rPr>
      </w:pPr>
      <w:r>
        <w:rPr>
          <w:rFonts w:ascii="宋体" w:hAnsi="宋体" w:cs="宋体"/>
          <w:sz w:val="24"/>
        </w:rPr>
        <w:t>（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pPr>
        <w:autoSpaceDE w:val="0"/>
        <w:autoSpaceDN w:val="0"/>
        <w:adjustRightInd w:val="0"/>
        <w:snapToGrid w:val="0"/>
        <w:spacing w:line="360" w:lineRule="auto"/>
        <w:ind w:firstLine="361" w:firstLineChars="150"/>
        <w:rPr>
          <w:rFonts w:hint="default" w:ascii="宋体" w:hAnsi="宋体" w:cs="宋体"/>
          <w:b/>
          <w:bCs/>
          <w:sz w:val="24"/>
        </w:rPr>
      </w:pPr>
      <w:r>
        <w:rPr>
          <w:rFonts w:ascii="宋体" w:hAnsi="宋体" w:cs="宋体"/>
          <w:b/>
          <w:bCs/>
          <w:sz w:val="24"/>
        </w:rPr>
        <w:t>（5）投标人仅提交备份投标文件，未在电子交易平台传输递交投标文件的，投标无效。</w:t>
      </w:r>
    </w:p>
    <w:p>
      <w:pPr>
        <w:pStyle w:val="10"/>
        <w:widowControl w:val="0"/>
        <w:numPr>
          <w:ilvl w:val="0"/>
          <w:numId w:val="0"/>
        </w:numPr>
        <w:adjustRightInd w:val="0"/>
        <w:snapToGrid w:val="0"/>
        <w:spacing w:afterLines="0" w:line="360" w:lineRule="auto"/>
        <w:ind w:firstLine="472" w:firstLineChars="196"/>
        <w:rPr>
          <w:rFonts w:hint="default"/>
          <w:b/>
          <w:szCs w:val="24"/>
        </w:rPr>
      </w:pPr>
      <w:r>
        <w:rPr>
          <w:rFonts w:hint="default"/>
          <w:b/>
          <w:szCs w:val="24"/>
        </w:rPr>
        <w:t>（六）投标文件的签章</w:t>
      </w:r>
    </w:p>
    <w:p>
      <w:pPr>
        <w:adjustRightInd w:val="0"/>
        <w:snapToGrid w:val="0"/>
        <w:spacing w:line="360" w:lineRule="auto"/>
        <w:ind w:firstLine="472" w:firstLineChars="197"/>
        <w:jc w:val="left"/>
        <w:rPr>
          <w:rFonts w:hint="default"/>
          <w:sz w:val="24"/>
        </w:rPr>
      </w:pPr>
      <w:r>
        <w:rPr>
          <w:rFonts w:hint="default"/>
          <w:sz w:val="24"/>
        </w:rPr>
        <w:t>采用电子签章。</w:t>
      </w:r>
    </w:p>
    <w:p>
      <w:pPr>
        <w:pStyle w:val="10"/>
        <w:widowControl w:val="0"/>
        <w:numPr>
          <w:ilvl w:val="0"/>
          <w:numId w:val="0"/>
        </w:numPr>
        <w:adjustRightInd w:val="0"/>
        <w:snapToGrid w:val="0"/>
        <w:spacing w:afterLines="0" w:line="360" w:lineRule="auto"/>
        <w:ind w:firstLine="472" w:firstLineChars="196"/>
        <w:rPr>
          <w:rFonts w:hint="default"/>
          <w:b/>
          <w:szCs w:val="24"/>
        </w:rPr>
      </w:pPr>
      <w:r>
        <w:rPr>
          <w:rFonts w:hint="default"/>
          <w:b/>
          <w:szCs w:val="24"/>
        </w:rPr>
        <w:t>（七）投标文件的包装、密封和递交</w:t>
      </w:r>
    </w:p>
    <w:p>
      <w:pPr>
        <w:autoSpaceDE w:val="0"/>
        <w:autoSpaceDN w:val="0"/>
        <w:adjustRightInd w:val="0"/>
        <w:snapToGrid w:val="0"/>
        <w:spacing w:line="360" w:lineRule="auto"/>
        <w:ind w:firstLine="480" w:firstLineChars="200"/>
        <w:textAlignment w:val="bottom"/>
        <w:rPr>
          <w:rFonts w:hint="default"/>
          <w:sz w:val="24"/>
        </w:rPr>
      </w:pPr>
      <w:r>
        <w:rPr>
          <w:rFonts w:hint="default"/>
          <w:sz w:val="24"/>
        </w:rPr>
        <w:t>1.“电子加密投标文件”的递交：在线上传递交。</w:t>
      </w:r>
    </w:p>
    <w:p>
      <w:pPr>
        <w:adjustRightInd w:val="0"/>
        <w:snapToGrid w:val="0"/>
        <w:spacing w:line="360" w:lineRule="auto"/>
        <w:ind w:firstLine="361" w:firstLineChars="150"/>
        <w:rPr>
          <w:rFonts w:hint="default"/>
          <w:b/>
          <w:bCs/>
          <w:sz w:val="24"/>
        </w:rPr>
      </w:pPr>
      <w:r>
        <w:rPr>
          <w:rFonts w:hint="default"/>
          <w:b/>
          <w:bCs/>
          <w:sz w:val="24"/>
        </w:rPr>
        <w:t>（1）供应商应在投标截止时间前将“电子加密投标文件”成功上传递交至“政府采购云平台”，否则投标无效。</w:t>
      </w:r>
    </w:p>
    <w:p>
      <w:pPr>
        <w:adjustRightInd w:val="0"/>
        <w:snapToGrid w:val="0"/>
        <w:spacing w:line="360" w:lineRule="auto"/>
        <w:ind w:left="959" w:leftChars="171" w:hanging="600" w:hangingChars="250"/>
        <w:rPr>
          <w:rFonts w:hint="default"/>
          <w:sz w:val="24"/>
        </w:rPr>
      </w:pPr>
      <w:r>
        <w:rPr>
          <w:rFonts w:hint="default"/>
          <w:sz w:val="24"/>
        </w:rPr>
        <w:t>（2）“电子加密投标文件”成功上传递交后，供应商可自行打印投标文件接收回执。</w:t>
      </w:r>
    </w:p>
    <w:p>
      <w:pPr>
        <w:adjustRightInd w:val="0"/>
        <w:snapToGrid w:val="0"/>
        <w:spacing w:line="360" w:lineRule="auto"/>
        <w:ind w:firstLine="480" w:firstLineChars="200"/>
        <w:rPr>
          <w:rFonts w:hint="default"/>
          <w:sz w:val="24"/>
        </w:rPr>
      </w:pPr>
      <w:r>
        <w:rPr>
          <w:rFonts w:hint="default"/>
          <w:sz w:val="24"/>
        </w:rPr>
        <w:t>2.“电子备份投标文件”的密封、包装和递交：</w:t>
      </w:r>
    </w:p>
    <w:p>
      <w:pPr>
        <w:adjustRightInd w:val="0"/>
        <w:snapToGrid w:val="0"/>
        <w:spacing w:line="360" w:lineRule="auto"/>
        <w:ind w:firstLine="360" w:firstLineChars="150"/>
        <w:rPr>
          <w:rFonts w:hint="default"/>
          <w:sz w:val="24"/>
        </w:rPr>
      </w:pPr>
      <w:r>
        <w:rPr>
          <w:rFonts w:hint="default"/>
          <w:sz w:val="24"/>
        </w:rPr>
        <w:t>（1）供应商可自主选择是否递交“电子备份投标文件”。</w:t>
      </w:r>
    </w:p>
    <w:p>
      <w:pPr>
        <w:adjustRightInd w:val="0"/>
        <w:snapToGrid w:val="0"/>
        <w:spacing w:line="360" w:lineRule="auto"/>
        <w:ind w:firstLine="360" w:firstLineChars="150"/>
        <w:rPr>
          <w:rFonts w:hint="default"/>
          <w:sz w:val="24"/>
        </w:rPr>
      </w:pPr>
      <w:r>
        <w:rPr>
          <w:rFonts w:hint="default"/>
          <w:sz w:val="24"/>
        </w:rPr>
        <w:t>（2）“电子备份投标文件”存入U盘（一份）。</w:t>
      </w:r>
    </w:p>
    <w:p>
      <w:pPr>
        <w:autoSpaceDE w:val="0"/>
        <w:autoSpaceDN w:val="0"/>
        <w:adjustRightInd w:val="0"/>
        <w:snapToGrid w:val="0"/>
        <w:spacing w:line="360" w:lineRule="auto"/>
        <w:ind w:firstLine="360" w:firstLineChars="150"/>
        <w:textAlignment w:val="bottom"/>
        <w:rPr>
          <w:rFonts w:hint="default"/>
          <w:sz w:val="24"/>
        </w:rPr>
      </w:pPr>
      <w:r>
        <w:rPr>
          <w:rFonts w:hint="default"/>
          <w:sz w:val="24"/>
        </w:rPr>
        <w:t>（3）“电子备份投标文件” 应当在投标截止时间前以邮寄或送达方式递交。</w:t>
      </w:r>
    </w:p>
    <w:p>
      <w:pPr>
        <w:adjustRightInd w:val="0"/>
        <w:snapToGrid w:val="0"/>
        <w:spacing w:line="360" w:lineRule="auto"/>
        <w:ind w:firstLine="352" w:firstLineChars="147"/>
        <w:jc w:val="left"/>
        <w:rPr>
          <w:rFonts w:hint="default"/>
          <w:b/>
          <w:sz w:val="24"/>
        </w:rPr>
      </w:pPr>
      <w:r>
        <w:rPr>
          <w:rFonts w:hint="default"/>
          <w:sz w:val="24"/>
        </w:rPr>
        <w:t>（4）“电子备投标应文件”应当密封包装，并在包装上标注投标项目编号、项目名称、投标单位名称等并加盖公章（详见第六章投标文件格式）。</w:t>
      </w:r>
    </w:p>
    <w:p>
      <w:pPr>
        <w:adjustRightInd w:val="0"/>
        <w:snapToGrid w:val="0"/>
        <w:spacing w:line="360" w:lineRule="auto"/>
        <w:ind w:firstLine="354" w:firstLineChars="147"/>
        <w:jc w:val="left"/>
        <w:rPr>
          <w:rFonts w:hint="default"/>
          <w:b/>
          <w:sz w:val="24"/>
        </w:rPr>
      </w:pPr>
      <w:r>
        <w:rPr>
          <w:rFonts w:hint="default"/>
          <w:b/>
          <w:sz w:val="24"/>
        </w:rPr>
        <w:t>（八）投标文件的修改和撤回</w:t>
      </w:r>
    </w:p>
    <w:p>
      <w:pPr>
        <w:adjustRightInd w:val="0"/>
        <w:snapToGrid w:val="0"/>
        <w:spacing w:line="360" w:lineRule="auto"/>
        <w:ind w:firstLine="480" w:firstLineChars="200"/>
        <w:rPr>
          <w:rFonts w:hint="default" w:ascii="宋体" w:hAnsi="宋体" w:cs="宋体"/>
          <w:sz w:val="24"/>
        </w:rPr>
      </w:pPr>
      <w:r>
        <w:rPr>
          <w:rFonts w:ascii="宋体" w:hAnsi="宋体" w:cs="宋体"/>
          <w:sz w:val="24"/>
        </w:rPr>
        <w:t>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adjustRightInd w:val="0"/>
        <w:snapToGrid w:val="0"/>
        <w:spacing w:line="360" w:lineRule="auto"/>
        <w:ind w:firstLine="480" w:firstLineChars="200"/>
        <w:rPr>
          <w:rFonts w:hint="default" w:ascii="宋体" w:hAnsi="宋体" w:cs="宋体"/>
          <w:sz w:val="24"/>
        </w:rPr>
      </w:pPr>
      <w:r>
        <w:rPr>
          <w:rFonts w:ascii="宋体" w:hAnsi="宋体" w:cs="宋体"/>
          <w:sz w:val="24"/>
        </w:rPr>
        <w:t>2.电子交易平台收到投标文件，将妥善保存并即时向供应商发出确认回执通知。在投标截止时间前，除供应商补充、修改或者撤回投标文件外，任何单位和个人不得解密或提取投标文件。</w:t>
      </w:r>
    </w:p>
    <w:p>
      <w:pPr>
        <w:adjustRightInd w:val="0"/>
        <w:snapToGrid w:val="0"/>
        <w:spacing w:line="360" w:lineRule="auto"/>
        <w:ind w:firstLine="480" w:firstLineChars="200"/>
        <w:rPr>
          <w:rFonts w:hint="default" w:ascii="宋体" w:hAnsi="宋体" w:cs="宋体"/>
          <w:sz w:val="24"/>
        </w:rPr>
      </w:pPr>
      <w:r>
        <w:rPr>
          <w:rFonts w:ascii="宋体" w:hAnsi="宋体" w:cs="宋体"/>
          <w:sz w:val="24"/>
        </w:rPr>
        <w:t>3.采购人、采购代理机构可以视情况延长投标文件提交的截止时间。在上述情况下，采购代理机构与投标人以前在投标截止期方面的全部权利、责任和义务，将适用于延长至新的投标截止期。</w:t>
      </w:r>
    </w:p>
    <w:p>
      <w:pPr>
        <w:pStyle w:val="16"/>
        <w:adjustRightInd w:val="0"/>
        <w:snapToGrid w:val="0"/>
        <w:spacing w:line="360" w:lineRule="auto"/>
        <w:ind w:firstLine="546"/>
        <w:outlineLvl w:val="1"/>
        <w:rPr>
          <w:rFonts w:hint="default" w:ascii="Times New Roman" w:hAnsi="Times New Roman"/>
          <w:b/>
          <w:snapToGrid w:val="0"/>
          <w:sz w:val="28"/>
          <w:szCs w:val="28"/>
        </w:rPr>
      </w:pPr>
      <w:r>
        <w:rPr>
          <w:rFonts w:hint="default" w:ascii="Times New Roman" w:hAnsi="Times New Roman"/>
          <w:b/>
          <w:sz w:val="28"/>
          <w:szCs w:val="28"/>
        </w:rPr>
        <w:t>四、开标</w:t>
      </w:r>
    </w:p>
    <w:p>
      <w:pPr>
        <w:pStyle w:val="5"/>
        <w:adjustRightInd w:val="0"/>
        <w:snapToGrid w:val="0"/>
        <w:spacing w:before="0" w:after="0" w:line="360" w:lineRule="auto"/>
        <w:ind w:left="716" w:leftChars="171" w:hanging="357" w:hangingChars="148"/>
        <w:rPr>
          <w:rFonts w:hint="default"/>
          <w:sz w:val="24"/>
          <w:szCs w:val="24"/>
        </w:rPr>
      </w:pPr>
      <w:r>
        <w:rPr>
          <w:rFonts w:hint="default"/>
          <w:sz w:val="24"/>
          <w:szCs w:val="24"/>
        </w:rPr>
        <w:t>（一）开标形式</w:t>
      </w:r>
    </w:p>
    <w:p>
      <w:pPr>
        <w:adjustRightInd w:val="0"/>
        <w:snapToGrid w:val="0"/>
        <w:spacing w:line="360" w:lineRule="auto"/>
        <w:ind w:firstLine="424" w:firstLineChars="177"/>
        <w:rPr>
          <w:rFonts w:hint="default"/>
          <w:sz w:val="24"/>
        </w:rPr>
      </w:pPr>
      <w:r>
        <w:rPr>
          <w:rFonts w:hint="default"/>
          <w:sz w:val="24"/>
        </w:rPr>
        <w:t>1.采购组织机构（即代理机构）将按照招标文件规定的时间通过“政府采购云平台”组织在线开标，所有投标供应商均应当准时在线参加。</w:t>
      </w:r>
    </w:p>
    <w:p>
      <w:pPr>
        <w:pStyle w:val="5"/>
        <w:adjustRightInd w:val="0"/>
        <w:snapToGrid w:val="0"/>
        <w:spacing w:before="0" w:after="0" w:line="360" w:lineRule="auto"/>
        <w:ind w:left="716" w:leftChars="171" w:hanging="357" w:hangingChars="148"/>
        <w:rPr>
          <w:rFonts w:hint="default"/>
          <w:sz w:val="24"/>
          <w:szCs w:val="24"/>
        </w:rPr>
      </w:pPr>
      <w:r>
        <w:rPr>
          <w:rFonts w:hint="default"/>
          <w:sz w:val="24"/>
          <w:szCs w:val="24"/>
        </w:rPr>
        <w:t>（二）开标准备</w:t>
      </w:r>
    </w:p>
    <w:p>
      <w:pPr>
        <w:adjustRightInd w:val="0"/>
        <w:snapToGrid w:val="0"/>
        <w:spacing w:line="360" w:lineRule="auto"/>
        <w:ind w:firstLine="422" w:firstLineChars="176"/>
        <w:rPr>
          <w:rFonts w:hint="default"/>
          <w:kern w:val="0"/>
          <w:sz w:val="24"/>
        </w:rPr>
      </w:pPr>
      <w:r>
        <w:rPr>
          <w:rFonts w:hint="default"/>
          <w:kern w:val="0"/>
          <w:sz w:val="24"/>
        </w:rPr>
        <w:t>1.开标的准备工作由</w:t>
      </w:r>
      <w:r>
        <w:rPr>
          <w:rFonts w:hint="default"/>
          <w:sz w:val="24"/>
        </w:rPr>
        <w:t>采购组织机构</w:t>
      </w:r>
      <w:r>
        <w:rPr>
          <w:rFonts w:hint="default"/>
          <w:kern w:val="0"/>
          <w:sz w:val="24"/>
        </w:rPr>
        <w:t>负责落实。</w:t>
      </w:r>
    </w:p>
    <w:p>
      <w:pPr>
        <w:adjustRightInd w:val="0"/>
        <w:snapToGrid w:val="0"/>
        <w:spacing w:line="360" w:lineRule="auto"/>
        <w:ind w:firstLine="422" w:firstLineChars="176"/>
        <w:rPr>
          <w:rFonts w:hint="default"/>
          <w:kern w:val="0"/>
          <w:sz w:val="24"/>
        </w:rPr>
      </w:pPr>
      <w:r>
        <w:rPr>
          <w:rFonts w:hint="default"/>
          <w:kern w:val="0"/>
          <w:sz w:val="24"/>
        </w:rPr>
        <w:t>2.</w:t>
      </w:r>
      <w:r>
        <w:rPr>
          <w:rFonts w:hint="default"/>
          <w:sz w:val="24"/>
        </w:rPr>
        <w:t>采购组织机构将按照招标文件规定的时间通过“政府采购云平台”组织开标，所有投标供应商均应当准时在线参加。</w:t>
      </w:r>
      <w:r>
        <w:rPr>
          <w:rFonts w:hint="default"/>
          <w:kern w:val="0"/>
          <w:sz w:val="24"/>
        </w:rPr>
        <w:t>投标供应商自行承担因不参加在线开标而产生的不利后果。</w:t>
      </w:r>
    </w:p>
    <w:p>
      <w:pPr>
        <w:pStyle w:val="5"/>
        <w:adjustRightInd w:val="0"/>
        <w:snapToGrid w:val="0"/>
        <w:spacing w:before="0" w:after="0" w:line="360" w:lineRule="auto"/>
        <w:ind w:left="716" w:leftChars="171" w:hanging="357" w:hangingChars="148"/>
        <w:rPr>
          <w:rFonts w:hint="default"/>
          <w:sz w:val="24"/>
          <w:szCs w:val="24"/>
        </w:rPr>
      </w:pPr>
      <w:r>
        <w:rPr>
          <w:rFonts w:hint="default"/>
          <w:sz w:val="24"/>
          <w:szCs w:val="24"/>
        </w:rPr>
        <w:t>（三）开标流程</w:t>
      </w:r>
    </w:p>
    <w:p>
      <w:pPr>
        <w:adjustRightInd w:val="0"/>
        <w:snapToGrid w:val="0"/>
        <w:spacing w:line="360" w:lineRule="auto"/>
        <w:ind w:firstLine="426" w:firstLineChars="177"/>
        <w:rPr>
          <w:rFonts w:hint="default" w:ascii="宋体" w:hAnsi="宋体" w:cs="宋体"/>
          <w:b/>
          <w:kern w:val="0"/>
          <w:sz w:val="24"/>
        </w:rPr>
      </w:pPr>
      <w:r>
        <w:rPr>
          <w:rFonts w:ascii="宋体" w:hAnsi="宋体" w:cs="宋体"/>
          <w:b/>
          <w:kern w:val="0"/>
          <w:sz w:val="24"/>
        </w:rPr>
        <w:t>1.开标</w:t>
      </w:r>
    </w:p>
    <w:p>
      <w:pPr>
        <w:adjustRightInd w:val="0"/>
        <w:snapToGrid w:val="0"/>
        <w:spacing w:line="360" w:lineRule="auto"/>
        <w:ind w:firstLine="424" w:firstLineChars="177"/>
        <w:rPr>
          <w:rFonts w:hint="default" w:ascii="宋体" w:hAnsi="宋体" w:cs="宋体"/>
          <w:kern w:val="0"/>
          <w:sz w:val="24"/>
        </w:rPr>
      </w:pPr>
      <w:r>
        <w:rPr>
          <w:rFonts w:ascii="宋体" w:hAnsi="宋体" w:cs="宋体"/>
          <w:sz w:val="24"/>
        </w:rPr>
        <w:t>开标时，电子交易平台按开标时间自动提取所有投标文件。采购代理机构依托电子交易平台发起开始解密指令，投标人按照平台提示和招标文件的规定在半小时内完成在线解密。</w:t>
      </w:r>
      <w:r>
        <w:rPr>
          <w:rFonts w:ascii="宋体" w:hAnsi="宋体" w:cs="宋体"/>
          <w:b/>
          <w:sz w:val="24"/>
        </w:rPr>
        <w:t>投标文件未按时解密，投标人提供了备份投标文件的，以备份投标文件作为依据，否则视为投标文件撤回。投标文件已按时解密的，备份投标文件自动失效。</w:t>
      </w:r>
    </w:p>
    <w:p>
      <w:pPr>
        <w:pStyle w:val="16"/>
        <w:adjustRightInd w:val="0"/>
        <w:snapToGrid w:val="0"/>
        <w:spacing w:line="360" w:lineRule="auto"/>
        <w:ind w:firstLine="482"/>
        <w:rPr>
          <w:rFonts w:hint="default"/>
        </w:rPr>
      </w:pPr>
      <w:r>
        <w:rPr>
          <w:rFonts w:ascii="Times New Roman" w:hAnsi="Times New Roman"/>
          <w:b/>
          <w:bCs/>
          <w:spacing w:val="0"/>
          <w:kern w:val="0"/>
          <w:sz w:val="24"/>
        </w:rPr>
        <w:t>特别说明：如遇“政府采购云平台”电子化开标程序调整的，按调整后程序执行。</w:t>
      </w:r>
    </w:p>
    <w:p>
      <w:pPr>
        <w:adjustRightInd w:val="0"/>
        <w:snapToGrid w:val="0"/>
        <w:spacing w:line="360" w:lineRule="auto"/>
        <w:ind w:firstLine="426" w:firstLineChars="177"/>
        <w:rPr>
          <w:rFonts w:hint="default" w:ascii="宋体" w:hAnsi="宋体" w:cs="宋体"/>
          <w:b/>
          <w:kern w:val="0"/>
          <w:sz w:val="24"/>
        </w:rPr>
      </w:pPr>
      <w:r>
        <w:rPr>
          <w:rFonts w:ascii="宋体" w:hAnsi="宋体" w:cs="宋体"/>
          <w:b/>
          <w:kern w:val="0"/>
          <w:sz w:val="24"/>
        </w:rPr>
        <w:t>2.资格审查</w:t>
      </w:r>
    </w:p>
    <w:p>
      <w:pPr>
        <w:adjustRightInd w:val="0"/>
        <w:snapToGrid w:val="0"/>
        <w:spacing w:line="360" w:lineRule="auto"/>
        <w:ind w:firstLine="424" w:firstLineChars="177"/>
        <w:rPr>
          <w:rFonts w:hint="default" w:ascii="宋体" w:hAnsi="宋体" w:cs="宋体"/>
          <w:sz w:val="24"/>
        </w:rPr>
      </w:pPr>
      <w:r>
        <w:rPr>
          <w:rFonts w:ascii="宋体" w:hAnsi="宋体" w:cs="宋体"/>
          <w:sz w:val="24"/>
        </w:rPr>
        <w:t>（1）采购人或采购代理机构依据法律法规和招标文件的规定，对投标人的资格进行审查。</w:t>
      </w:r>
    </w:p>
    <w:p>
      <w:pPr>
        <w:adjustRightInd w:val="0"/>
        <w:snapToGrid w:val="0"/>
        <w:spacing w:line="360" w:lineRule="auto"/>
        <w:ind w:firstLine="424" w:firstLineChars="177"/>
        <w:rPr>
          <w:rFonts w:hint="default" w:ascii="宋体" w:hAnsi="宋体" w:cs="宋体"/>
          <w:sz w:val="24"/>
        </w:rPr>
      </w:pPr>
      <w:r>
        <w:rPr>
          <w:rFonts w:ascii="宋体" w:hAnsi="宋体" w:cs="宋体"/>
          <w:sz w:val="24"/>
        </w:rPr>
        <w:t>（2）投标人未按照招标文件要求提供与资格条件相应的有效资格证明材料的，视为投标人不具备招标文件中规定的资格要求，其投标无效。</w:t>
      </w:r>
    </w:p>
    <w:p>
      <w:pPr>
        <w:adjustRightInd w:val="0"/>
        <w:snapToGrid w:val="0"/>
        <w:spacing w:line="360" w:lineRule="auto"/>
        <w:ind w:firstLine="424" w:firstLineChars="177"/>
        <w:rPr>
          <w:rFonts w:hint="default" w:ascii="宋体" w:hAnsi="宋体" w:cs="宋体"/>
          <w:sz w:val="24"/>
        </w:rPr>
      </w:pPr>
      <w:r>
        <w:rPr>
          <w:rFonts w:ascii="宋体" w:hAnsi="宋体" w:cs="宋体"/>
          <w:sz w:val="24"/>
        </w:rPr>
        <w:t>（3）对未通过资格审查的投标人，采购人或采购代理机构告知其未通过的原因。</w:t>
      </w:r>
    </w:p>
    <w:p>
      <w:pPr>
        <w:adjustRightInd w:val="0"/>
        <w:snapToGrid w:val="0"/>
        <w:spacing w:line="360" w:lineRule="auto"/>
        <w:ind w:firstLine="424" w:firstLineChars="177"/>
        <w:rPr>
          <w:rFonts w:hint="default" w:ascii="宋体" w:hAnsi="宋体" w:cs="宋体"/>
          <w:sz w:val="24"/>
        </w:rPr>
      </w:pPr>
      <w:r>
        <w:rPr>
          <w:rFonts w:ascii="宋体" w:hAnsi="宋体" w:cs="宋体"/>
          <w:sz w:val="24"/>
        </w:rPr>
        <w:t>（4）合格投标人不足3家的，不再评标。</w:t>
      </w:r>
    </w:p>
    <w:p>
      <w:pPr>
        <w:adjustRightInd w:val="0"/>
        <w:snapToGrid w:val="0"/>
        <w:spacing w:line="360" w:lineRule="auto"/>
        <w:ind w:firstLine="426" w:firstLineChars="177"/>
        <w:rPr>
          <w:rFonts w:hint="default" w:ascii="宋体" w:hAnsi="宋体" w:cs="宋体"/>
          <w:b/>
          <w:kern w:val="0"/>
          <w:sz w:val="24"/>
        </w:rPr>
      </w:pPr>
      <w:r>
        <w:rPr>
          <w:rFonts w:ascii="宋体" w:hAnsi="宋体" w:cs="宋体"/>
          <w:b/>
          <w:kern w:val="0"/>
          <w:sz w:val="24"/>
        </w:rPr>
        <w:t>3.信用信息查询</w:t>
      </w:r>
    </w:p>
    <w:p>
      <w:pPr>
        <w:adjustRightInd w:val="0"/>
        <w:snapToGrid w:val="0"/>
        <w:spacing w:line="360" w:lineRule="auto"/>
        <w:ind w:firstLine="424" w:firstLineChars="177"/>
        <w:rPr>
          <w:rFonts w:hint="default" w:ascii="宋体" w:hAnsi="宋体" w:cs="宋体"/>
          <w:sz w:val="24"/>
        </w:rPr>
      </w:pPr>
      <w:r>
        <w:rPr>
          <w:rFonts w:ascii="宋体" w:hAnsi="宋体" w:cs="宋体"/>
          <w:sz w:val="24"/>
        </w:rPr>
        <w:t>（1）信用信息查询渠道及截止时间：采购代理机构将在资格审查时通过“信用中国”网站(www.creditchina.gov.cn)、中国政府采购网(www.ccgp.gov.cn)渠道查询投标人接受资格时的信用记录。</w:t>
      </w:r>
    </w:p>
    <w:p>
      <w:pPr>
        <w:adjustRightInd w:val="0"/>
        <w:snapToGrid w:val="0"/>
        <w:spacing w:line="360" w:lineRule="auto"/>
        <w:ind w:firstLine="424" w:firstLineChars="177"/>
        <w:rPr>
          <w:rFonts w:hint="default" w:ascii="宋体" w:hAnsi="宋体" w:cs="宋体"/>
          <w:sz w:val="24"/>
        </w:rPr>
      </w:pPr>
      <w:r>
        <w:rPr>
          <w:rFonts w:ascii="宋体" w:hAnsi="宋体" w:cs="宋体"/>
          <w:sz w:val="24"/>
        </w:rPr>
        <w:t>（2）信用信息查询记录和证据留存的具体方式：现场查询的投标人的信用记录、查询结果经确认后将与采购文件一起存档。</w:t>
      </w:r>
    </w:p>
    <w:p>
      <w:pPr>
        <w:adjustRightInd w:val="0"/>
        <w:snapToGrid w:val="0"/>
        <w:spacing w:line="360" w:lineRule="auto"/>
        <w:ind w:firstLine="424" w:firstLineChars="177"/>
        <w:rPr>
          <w:rFonts w:hint="default" w:ascii="宋体" w:hAnsi="宋体" w:cs="宋体"/>
          <w:sz w:val="24"/>
        </w:rPr>
      </w:pPr>
      <w:r>
        <w:rPr>
          <w:rFonts w:ascii="宋体" w:hAnsi="宋体" w:cs="宋体"/>
          <w:sz w:val="24"/>
        </w:rPr>
        <w:t>（3）信用信息的使用规则：经查询列入失信被执行人名单、重大税收违法失信主体、政府采购严重违法失信行为记录名单的投标人将被拒绝参与政府采购活动。</w:t>
      </w:r>
    </w:p>
    <w:p>
      <w:pPr>
        <w:adjustRightInd w:val="0"/>
        <w:snapToGrid w:val="0"/>
        <w:spacing w:line="360" w:lineRule="auto"/>
        <w:ind w:firstLine="424" w:firstLineChars="177"/>
        <w:rPr>
          <w:rFonts w:hint="default" w:ascii="宋体" w:hAnsi="宋体" w:cs="宋体"/>
          <w:sz w:val="24"/>
        </w:rPr>
      </w:pPr>
      <w:r>
        <w:rPr>
          <w:rFonts w:ascii="宋体" w:hAnsi="宋体" w:cs="宋体"/>
          <w:sz w:val="24"/>
        </w:rPr>
        <w:t>（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16"/>
        <w:adjustRightInd w:val="0"/>
        <w:snapToGrid w:val="0"/>
        <w:spacing w:line="360" w:lineRule="auto"/>
        <w:ind w:firstLine="482"/>
        <w:rPr>
          <w:rFonts w:hint="default" w:ascii="Times New Roman" w:hAnsi="Times New Roman"/>
          <w:b/>
          <w:bCs/>
          <w:spacing w:val="0"/>
          <w:kern w:val="0"/>
          <w:sz w:val="24"/>
        </w:rPr>
      </w:pPr>
      <w:r>
        <w:rPr>
          <w:rFonts w:ascii="Times New Roman" w:hAnsi="Times New Roman"/>
          <w:b/>
          <w:bCs/>
          <w:spacing w:val="0"/>
          <w:kern w:val="0"/>
          <w:sz w:val="24"/>
        </w:rPr>
        <w:t>特别说明：如遇“政府采购云平台”电子化开标程序调整的，按调整后程序执行。</w:t>
      </w:r>
    </w:p>
    <w:p>
      <w:pPr>
        <w:pStyle w:val="7"/>
        <w:adjustRightInd w:val="0"/>
        <w:snapToGrid w:val="0"/>
        <w:spacing w:beforeLines="0" w:afterLines="0" w:line="360" w:lineRule="auto"/>
        <w:ind w:firstLine="562"/>
        <w:outlineLvl w:val="1"/>
        <w:rPr>
          <w:rFonts w:hint="default" w:ascii="Times New Roman" w:hAnsi="Times New Roman"/>
          <w:b/>
          <w:sz w:val="28"/>
          <w:szCs w:val="28"/>
        </w:rPr>
      </w:pPr>
      <w:r>
        <w:rPr>
          <w:rFonts w:hint="default" w:ascii="Times New Roman" w:hAnsi="Times New Roman"/>
          <w:b/>
          <w:sz w:val="28"/>
          <w:szCs w:val="28"/>
        </w:rPr>
        <w:t>五、评标</w:t>
      </w:r>
    </w:p>
    <w:p>
      <w:pPr>
        <w:pStyle w:val="7"/>
        <w:adjustRightInd w:val="0"/>
        <w:snapToGrid w:val="0"/>
        <w:spacing w:beforeLines="0" w:afterLines="0" w:line="360" w:lineRule="auto"/>
        <w:ind w:left="720" w:leftChars="228" w:hanging="241" w:hangingChars="100"/>
        <w:rPr>
          <w:rFonts w:hint="default" w:ascii="Times New Roman" w:hAnsi="Times New Roman"/>
          <w:b/>
        </w:rPr>
      </w:pPr>
      <w:r>
        <w:rPr>
          <w:rFonts w:hint="default" w:ascii="Times New Roman" w:hAnsi="Times New Roman"/>
          <w:b/>
        </w:rPr>
        <w:t>（一）组建评标委员会（评审小组）</w:t>
      </w:r>
    </w:p>
    <w:p>
      <w:pPr>
        <w:pStyle w:val="7"/>
        <w:adjustRightInd w:val="0"/>
        <w:snapToGrid w:val="0"/>
        <w:spacing w:beforeLines="0" w:afterLines="0" w:line="360" w:lineRule="auto"/>
        <w:ind w:firstLine="480" w:firstLineChars="200"/>
        <w:rPr>
          <w:rFonts w:hint="default" w:ascii="Times New Roman" w:hAnsi="Times New Roman"/>
        </w:rPr>
      </w:pPr>
      <w:r>
        <w:rPr>
          <w:rFonts w:hint="default" w:ascii="Times New Roman" w:hAnsi="Times New Roman"/>
          <w:kern w:val="0"/>
        </w:rPr>
        <w:t>评标委员会由采购人代表和有关技术、经济等方面的专家组成，成员人数应当为五人以上单数。其中，技术、经济等方面的专家不得少于成员总数的三分之二。</w:t>
      </w:r>
    </w:p>
    <w:p>
      <w:pPr>
        <w:pStyle w:val="7"/>
        <w:adjustRightInd w:val="0"/>
        <w:snapToGrid w:val="0"/>
        <w:spacing w:beforeLines="0" w:afterLines="0" w:line="360" w:lineRule="auto"/>
        <w:ind w:left="720" w:leftChars="228" w:hanging="241" w:hangingChars="100"/>
        <w:rPr>
          <w:rFonts w:hint="default" w:ascii="Times New Roman" w:hAnsi="Times New Roman"/>
          <w:b/>
        </w:rPr>
      </w:pPr>
      <w:r>
        <w:rPr>
          <w:rFonts w:hint="default" w:ascii="Times New Roman" w:hAnsi="Times New Roman"/>
          <w:b/>
        </w:rPr>
        <w:t>（二）评标程序</w:t>
      </w:r>
    </w:p>
    <w:p>
      <w:pPr>
        <w:adjustRightInd w:val="0"/>
        <w:snapToGrid w:val="0"/>
        <w:spacing w:line="360" w:lineRule="auto"/>
        <w:ind w:firstLine="480" w:firstLineChars="200"/>
        <w:rPr>
          <w:rFonts w:hint="default"/>
          <w:sz w:val="24"/>
        </w:rPr>
      </w:pPr>
      <w:r>
        <w:rPr>
          <w:rFonts w:hint="default"/>
          <w:sz w:val="24"/>
        </w:rPr>
        <w:t>1.在评审专家中推选评审小组组长。</w:t>
      </w:r>
    </w:p>
    <w:p>
      <w:pPr>
        <w:adjustRightInd w:val="0"/>
        <w:snapToGrid w:val="0"/>
        <w:spacing w:line="360" w:lineRule="auto"/>
        <w:ind w:firstLine="480" w:firstLineChars="200"/>
        <w:rPr>
          <w:rFonts w:hint="default"/>
          <w:sz w:val="24"/>
        </w:rPr>
      </w:pPr>
      <w:r>
        <w:rPr>
          <w:rFonts w:hint="default"/>
          <w:sz w:val="24"/>
        </w:rPr>
        <w:t>2.评审小组组长召集成员认真阅读招标文件以及相关补充、质疑、答复文件、项目书面说明等材料，熟悉采购项目的基本概况，采购项目的质量要求、数量、主要技术标准或服务需求，采购合同主要条款，投标无效情形，评审方法、评审依据、评审标准等。</w:t>
      </w:r>
    </w:p>
    <w:p>
      <w:pPr>
        <w:adjustRightInd w:val="0"/>
        <w:snapToGrid w:val="0"/>
        <w:spacing w:line="360" w:lineRule="auto"/>
        <w:ind w:firstLine="480" w:firstLineChars="200"/>
        <w:rPr>
          <w:rFonts w:hint="default"/>
          <w:sz w:val="24"/>
        </w:rPr>
      </w:pPr>
      <w:r>
        <w:rPr>
          <w:rFonts w:hint="default"/>
          <w:sz w:val="24"/>
        </w:rPr>
        <w:t>3.采购人或者采购代理机构对各投标人的资格进行审查，投标人资格条件不符合招标文件要求的投标无效，不再进入符合性审查。</w:t>
      </w:r>
    </w:p>
    <w:p>
      <w:pPr>
        <w:adjustRightInd w:val="0"/>
        <w:snapToGrid w:val="0"/>
        <w:spacing w:line="360" w:lineRule="auto"/>
        <w:ind w:firstLine="480" w:firstLineChars="200"/>
        <w:rPr>
          <w:rFonts w:hint="default"/>
          <w:sz w:val="24"/>
        </w:rPr>
      </w:pPr>
      <w:r>
        <w:rPr>
          <w:rFonts w:hint="default"/>
          <w:sz w:val="24"/>
        </w:rPr>
        <w:t>4.评审小组对各投标文件的符合性进行审查，确定是否对招标文件作出了实质性响应。实质上没有响应招标文件要求的投标将被视为无效投标，不再进入下一阶段的评审。</w:t>
      </w:r>
    </w:p>
    <w:p>
      <w:pPr>
        <w:adjustRightInd w:val="0"/>
        <w:snapToGrid w:val="0"/>
        <w:spacing w:line="360" w:lineRule="auto"/>
        <w:ind w:firstLine="480" w:firstLineChars="200"/>
        <w:rPr>
          <w:rFonts w:hint="default"/>
          <w:sz w:val="24"/>
        </w:rPr>
      </w:pPr>
      <w:r>
        <w:rPr>
          <w:rFonts w:hint="default"/>
          <w:sz w:val="24"/>
        </w:rPr>
        <w:t>5.评审人员按招标文件规定的评审方法和评审标准，依法独立对供应商投标文件进行评估、比较，并给予评价或打分，不受任何单位和个人的干预。</w:t>
      </w:r>
    </w:p>
    <w:p>
      <w:pPr>
        <w:adjustRightInd w:val="0"/>
        <w:snapToGrid w:val="0"/>
        <w:spacing w:line="360" w:lineRule="auto"/>
        <w:ind w:firstLine="480" w:firstLineChars="200"/>
        <w:rPr>
          <w:rFonts w:hint="default"/>
          <w:sz w:val="24"/>
        </w:rPr>
      </w:pPr>
      <w:r>
        <w:rPr>
          <w:rFonts w:hint="default"/>
          <w:sz w:val="24"/>
        </w:rPr>
        <w:t>6.各投标人的得分为所有评委的有效评分的算术平均数，由指定专人进行计算复核。</w:t>
      </w:r>
    </w:p>
    <w:p>
      <w:pPr>
        <w:adjustRightInd w:val="0"/>
        <w:snapToGrid w:val="0"/>
        <w:spacing w:line="360" w:lineRule="auto"/>
        <w:ind w:firstLine="480" w:firstLineChars="200"/>
        <w:rPr>
          <w:rFonts w:hint="default"/>
          <w:sz w:val="24"/>
        </w:rPr>
      </w:pPr>
      <w:r>
        <w:rPr>
          <w:rFonts w:hint="default"/>
          <w:sz w:val="24"/>
        </w:rPr>
        <w:t>7.评标委员会完成评标后，评委对各部分得分汇总，计算出本项目最终得分。评标委员会按评标原则推荐中标候选人，同时起草评标报告。</w:t>
      </w:r>
    </w:p>
    <w:p>
      <w:pPr>
        <w:adjustRightInd w:val="0"/>
        <w:snapToGrid w:val="0"/>
        <w:spacing w:line="360" w:lineRule="auto"/>
        <w:ind w:firstLine="480" w:firstLineChars="200"/>
        <w:rPr>
          <w:rFonts w:hint="default"/>
          <w:sz w:val="24"/>
        </w:rPr>
      </w:pPr>
      <w:r>
        <w:rPr>
          <w:rFonts w:hint="default"/>
          <w:sz w:val="24"/>
        </w:rPr>
        <w:t>8.实质上响应招标文件要求的投标人不足三家的，除财政部门另有规定外，应当作废标处理。</w:t>
      </w:r>
    </w:p>
    <w:p>
      <w:pPr>
        <w:adjustRightInd w:val="0"/>
        <w:snapToGrid w:val="0"/>
        <w:spacing w:line="360" w:lineRule="auto"/>
        <w:ind w:firstLine="482" w:firstLineChars="200"/>
        <w:rPr>
          <w:rFonts w:hint="default"/>
          <w:b/>
          <w:sz w:val="24"/>
        </w:rPr>
      </w:pPr>
      <w:r>
        <w:rPr>
          <w:rFonts w:hint="default"/>
          <w:b/>
          <w:sz w:val="24"/>
        </w:rPr>
        <w:t>（三）澄清问题的形式</w:t>
      </w:r>
    </w:p>
    <w:p>
      <w:pPr>
        <w:autoSpaceDE w:val="0"/>
        <w:autoSpaceDN w:val="0"/>
        <w:adjustRightInd w:val="0"/>
        <w:snapToGrid w:val="0"/>
        <w:spacing w:line="360" w:lineRule="auto"/>
        <w:ind w:firstLine="480" w:firstLineChars="200"/>
        <w:jc w:val="left"/>
        <w:rPr>
          <w:rFonts w:hint="default"/>
          <w:sz w:val="24"/>
        </w:rPr>
      </w:pPr>
      <w:r>
        <w:rPr>
          <w:rFonts w:hint="default"/>
          <w:sz w:val="24"/>
        </w:rPr>
        <w:t>对投标文件中含义不明确、同类问题表述不一致或者有明显文字和计算错误的内容，评标委员会可要求投标人作出必要的澄清、说明或者补正。评标委员会的澄清内容及投标人的澄清、说明或者补正均通过电子交易平台交换数据电文。</w:t>
      </w:r>
    </w:p>
    <w:p>
      <w:pPr>
        <w:adjustRightInd w:val="0"/>
        <w:snapToGrid w:val="0"/>
        <w:spacing w:line="360" w:lineRule="auto"/>
        <w:ind w:firstLine="480" w:firstLineChars="200"/>
        <w:rPr>
          <w:rFonts w:hint="default"/>
          <w:sz w:val="24"/>
        </w:rPr>
      </w:pPr>
      <w:r>
        <w:rPr>
          <w:rFonts w:hint="default"/>
          <w:sz w:val="24"/>
        </w:rPr>
        <w:t>评标委员会发出澄清内容后，供应商应当在</w:t>
      </w:r>
      <w:r>
        <w:rPr>
          <w:rFonts w:hint="default"/>
          <w:iCs/>
          <w:sz w:val="24"/>
          <w:u w:val="single"/>
        </w:rPr>
        <w:t>30</w:t>
      </w:r>
      <w:r>
        <w:rPr>
          <w:rFonts w:hint="default"/>
          <w:sz w:val="24"/>
        </w:rPr>
        <w:t>分钟内提交澄清说明或补正，否则视为供应商放弃答复，并</w:t>
      </w:r>
      <w:r>
        <w:rPr>
          <w:rFonts w:hint="default"/>
          <w:kern w:val="0"/>
          <w:sz w:val="24"/>
        </w:rPr>
        <w:t>自行承担因此而产生的不利后果。</w:t>
      </w:r>
      <w:r>
        <w:rPr>
          <w:rFonts w:hint="default"/>
          <w:sz w:val="24"/>
        </w:rPr>
        <w:t>澄清、说明或者补正不得超出投标文件的范围或者改变投标文件的实质性内容。</w:t>
      </w:r>
    </w:p>
    <w:p>
      <w:pPr>
        <w:autoSpaceDE w:val="0"/>
        <w:autoSpaceDN w:val="0"/>
        <w:adjustRightInd w:val="0"/>
        <w:snapToGrid w:val="0"/>
        <w:spacing w:line="360" w:lineRule="auto"/>
        <w:ind w:firstLine="482" w:firstLineChars="200"/>
        <w:jc w:val="left"/>
        <w:rPr>
          <w:rFonts w:hint="default"/>
          <w:b/>
          <w:bCs/>
          <w:sz w:val="24"/>
        </w:rPr>
      </w:pPr>
      <w:r>
        <w:rPr>
          <w:rFonts w:hint="default"/>
          <w:b/>
          <w:bCs/>
          <w:sz w:val="24"/>
        </w:rPr>
        <w:t>合理报价澄清说明</w:t>
      </w:r>
      <w:r>
        <w:rPr>
          <w:b/>
          <w:bCs/>
          <w:sz w:val="24"/>
        </w:rPr>
        <w:t>：</w:t>
      </w:r>
      <w:r>
        <w:rPr>
          <w:rFonts w:hint="default"/>
          <w:b/>
          <w:bCs/>
          <w:sz w:val="24"/>
        </w:rPr>
        <w:t>评标委员会认为供应商的报价明显低于其他通过符合性审查供应商的报价，有可能影响产品质量或者不能诚信履约的，应当要求其在30分钟内提供书面说明，必要时提交相关证明材料；供应商不能证明其报价合理性的，评标委员会应当将其作为无效投标处理。</w:t>
      </w:r>
    </w:p>
    <w:p>
      <w:pPr>
        <w:pStyle w:val="7"/>
        <w:adjustRightInd w:val="0"/>
        <w:snapToGrid w:val="0"/>
        <w:spacing w:beforeLines="0" w:afterLines="0" w:line="360" w:lineRule="auto"/>
        <w:ind w:left="720" w:leftChars="228" w:hanging="241" w:hangingChars="100"/>
        <w:rPr>
          <w:rFonts w:hint="default" w:ascii="Times New Roman" w:hAnsi="Times New Roman"/>
          <w:b/>
        </w:rPr>
      </w:pPr>
      <w:r>
        <w:rPr>
          <w:rFonts w:hint="default" w:ascii="Times New Roman" w:hAnsi="Times New Roman"/>
          <w:b/>
        </w:rPr>
        <w:t>（四）错误修正</w:t>
      </w:r>
    </w:p>
    <w:p>
      <w:pPr>
        <w:adjustRightInd w:val="0"/>
        <w:snapToGrid w:val="0"/>
        <w:spacing w:line="360" w:lineRule="auto"/>
        <w:ind w:firstLine="480" w:firstLineChars="200"/>
        <w:rPr>
          <w:rFonts w:hint="default"/>
          <w:sz w:val="24"/>
        </w:rPr>
      </w:pPr>
      <w:r>
        <w:rPr>
          <w:rFonts w:hint="default"/>
          <w:sz w:val="24"/>
        </w:rPr>
        <w:t>投标文件如果出现计算或表达上的错误，修正错误的原则如下：</w:t>
      </w:r>
    </w:p>
    <w:p>
      <w:pPr>
        <w:adjustRightInd w:val="0"/>
        <w:snapToGrid w:val="0"/>
        <w:spacing w:line="360" w:lineRule="auto"/>
        <w:ind w:firstLine="482" w:firstLineChars="200"/>
        <w:rPr>
          <w:rFonts w:hint="default"/>
          <w:b/>
          <w:bCs/>
          <w:sz w:val="24"/>
        </w:rPr>
      </w:pPr>
      <w:r>
        <w:rPr>
          <w:rFonts w:hint="default"/>
          <w:b/>
          <w:bCs/>
          <w:sz w:val="24"/>
        </w:rPr>
        <w:t>1.电子交易平台生成的开标记录表内容与投标文件中相应内容不一致的，以报价文件中开标一览表（报价表）为准（出现万元或元单位错误时，则以投标人澄清确认后的合理报价为准）；</w:t>
      </w:r>
    </w:p>
    <w:p>
      <w:pPr>
        <w:adjustRightInd w:val="0"/>
        <w:snapToGrid w:val="0"/>
        <w:spacing w:line="360" w:lineRule="auto"/>
        <w:ind w:firstLine="482" w:firstLineChars="200"/>
        <w:rPr>
          <w:rFonts w:hint="default"/>
          <w:b/>
          <w:bCs/>
          <w:sz w:val="24"/>
        </w:rPr>
      </w:pPr>
      <w:r>
        <w:rPr>
          <w:rFonts w:hint="default"/>
          <w:b/>
          <w:bCs/>
          <w:sz w:val="24"/>
        </w:rPr>
        <w:t>2.大写金额和小写金额不一致的，以大写金额为准；</w:t>
      </w:r>
    </w:p>
    <w:p>
      <w:pPr>
        <w:adjustRightInd w:val="0"/>
        <w:snapToGrid w:val="0"/>
        <w:spacing w:line="360" w:lineRule="auto"/>
        <w:ind w:firstLine="482" w:firstLineChars="200"/>
        <w:rPr>
          <w:rFonts w:hint="default"/>
          <w:b/>
          <w:bCs/>
          <w:sz w:val="24"/>
        </w:rPr>
      </w:pPr>
      <w:r>
        <w:rPr>
          <w:rFonts w:hint="default"/>
          <w:b/>
          <w:bCs/>
          <w:sz w:val="24"/>
        </w:rPr>
        <w:t>3.单价金额小数点或者百分比有明显错位的，以开标一览表的总价为准，并修改单价；</w:t>
      </w:r>
    </w:p>
    <w:p>
      <w:pPr>
        <w:adjustRightInd w:val="0"/>
        <w:snapToGrid w:val="0"/>
        <w:spacing w:line="360" w:lineRule="auto"/>
        <w:ind w:firstLine="482" w:firstLineChars="200"/>
        <w:rPr>
          <w:rFonts w:hint="default"/>
          <w:sz w:val="24"/>
        </w:rPr>
      </w:pPr>
      <w:r>
        <w:rPr>
          <w:rFonts w:hint="default"/>
          <w:b/>
          <w:bCs/>
          <w:sz w:val="24"/>
        </w:rPr>
        <w:t>4.总价金额与按单价汇总金额不一致的，以单价金额计算结果为准。</w:t>
      </w:r>
    </w:p>
    <w:p>
      <w:pPr>
        <w:pStyle w:val="7"/>
        <w:adjustRightInd w:val="0"/>
        <w:snapToGrid w:val="0"/>
        <w:spacing w:beforeLines="0" w:afterLines="0" w:line="360" w:lineRule="auto"/>
        <w:ind w:firstLine="482" w:firstLineChars="200"/>
        <w:rPr>
          <w:rFonts w:hint="default" w:ascii="Times New Roman" w:hAnsi="Times New Roman"/>
          <w:b/>
        </w:rPr>
      </w:pPr>
      <w:r>
        <w:rPr>
          <w:rFonts w:hint="default" w:ascii="Times New Roman" w:hAnsi="Times New Roman"/>
          <w:b/>
        </w:rPr>
        <w:t>同时出现两种以上不一致的，按照前款规定的顺序修正。评标委员会应当通过电子交易平台要求投标人对修正后的报价予以确认并对投标人产生约束力。投标人在</w:t>
      </w:r>
      <w:r>
        <w:rPr>
          <w:rFonts w:hint="default" w:ascii="Times New Roman" w:hAnsi="Times New Roman"/>
          <w:b/>
          <w:i/>
          <w:u w:val="single"/>
        </w:rPr>
        <w:t>30</w:t>
      </w:r>
      <w:r>
        <w:rPr>
          <w:rFonts w:hint="default" w:ascii="Times New Roman" w:hAnsi="Times New Roman"/>
          <w:b/>
        </w:rPr>
        <w:t>分钟内不予确认的，其投标无效。</w:t>
      </w:r>
    </w:p>
    <w:p>
      <w:pPr>
        <w:pStyle w:val="7"/>
        <w:tabs>
          <w:tab w:val="left" w:pos="630"/>
        </w:tabs>
        <w:adjustRightInd w:val="0"/>
        <w:snapToGrid w:val="0"/>
        <w:spacing w:beforeLines="0" w:afterLines="0" w:line="360" w:lineRule="auto"/>
        <w:ind w:firstLine="472" w:firstLineChars="196"/>
        <w:rPr>
          <w:rFonts w:hint="default" w:ascii="Times New Roman" w:hAnsi="Times New Roman"/>
          <w:b/>
        </w:rPr>
      </w:pPr>
      <w:r>
        <w:rPr>
          <w:rFonts w:hint="default" w:ascii="Times New Roman" w:hAnsi="Times New Roman"/>
          <w:b/>
        </w:rPr>
        <w:t>（五）评标原则和评标办法</w:t>
      </w:r>
    </w:p>
    <w:p>
      <w:pPr>
        <w:pStyle w:val="7"/>
        <w:snapToGrid w:val="0"/>
        <w:spacing w:beforeLines="0" w:afterLines="0" w:line="360" w:lineRule="auto"/>
        <w:ind w:firstLine="480" w:firstLineChars="200"/>
        <w:rPr>
          <w:rFonts w:hint="default" w:hAnsi="宋体" w:cs="宋体"/>
        </w:rPr>
      </w:pPr>
      <w:r>
        <w:rPr>
          <w:rFonts w:hAnsi="宋体" w:cs="宋体"/>
        </w:rPr>
        <w:t>1.评审小组必须公平、公正、客观，不带任何倾向性和启发性；不得向外界透露任何与评标有关的内容；任何单位和个人不得干扰、影响评标的正常进行；评审小组及有关工作人员不得私下与投标人接触。</w:t>
      </w:r>
    </w:p>
    <w:p>
      <w:pPr>
        <w:pStyle w:val="7"/>
        <w:snapToGrid w:val="0"/>
        <w:spacing w:beforeLines="0" w:afterLines="0" w:line="360" w:lineRule="auto"/>
        <w:ind w:firstLine="482" w:firstLineChars="200"/>
        <w:rPr>
          <w:rFonts w:hint="default" w:hAnsi="宋体" w:cs="宋体"/>
          <w:b/>
          <w:bCs/>
        </w:rPr>
      </w:pPr>
      <w:r>
        <w:rPr>
          <w:rFonts w:hAnsi="宋体" w:cs="宋体"/>
          <w:b/>
          <w:bCs/>
        </w:rPr>
        <w:t>2.提供相同品牌产品且通过资格审查、符合性审查的不同投标人参加同一标项投标的，按一家投标人计算，评审后得分最高的同品牌投标人获得中标人推荐资格；评审得分相同时，取报价最低者；评审得分和报价均相同时，由评审小组集体决定。</w:t>
      </w:r>
    </w:p>
    <w:p>
      <w:pPr>
        <w:pStyle w:val="7"/>
        <w:snapToGrid w:val="0"/>
        <w:spacing w:beforeLines="0" w:afterLines="0" w:line="360" w:lineRule="auto"/>
        <w:ind w:firstLine="482" w:firstLineChars="200"/>
        <w:rPr>
          <w:rFonts w:hint="default" w:hAnsi="宋体" w:cs="宋体"/>
          <w:b/>
          <w:bCs/>
        </w:rPr>
      </w:pPr>
      <w:r>
        <w:rPr>
          <w:rFonts w:hAnsi="宋体" w:cs="宋体"/>
          <w:b/>
          <w:bCs/>
        </w:rPr>
        <w:t>非单一产品采购项目中，多家供应商提供的核心产品品牌相同的，按前款规定处理。核心产品（如有）描述详见《第四章：招标内容及需求》。</w:t>
      </w:r>
    </w:p>
    <w:p>
      <w:pPr>
        <w:pStyle w:val="7"/>
        <w:snapToGrid w:val="0"/>
        <w:spacing w:beforeLines="0" w:afterLines="0" w:line="360" w:lineRule="auto"/>
        <w:ind w:firstLine="480" w:firstLineChars="200"/>
        <w:rPr>
          <w:rFonts w:hint="default" w:hAnsi="宋体" w:cs="宋体"/>
        </w:rPr>
      </w:pPr>
      <w:r>
        <w:rPr>
          <w:rFonts w:hAnsi="宋体" w:cs="宋体"/>
        </w:rPr>
        <w:t>3.本项目评标办法是综合评分法，具体评标内容及评分标准等详见《第三章：评标办法》。</w:t>
      </w:r>
    </w:p>
    <w:p>
      <w:pPr>
        <w:pStyle w:val="7"/>
        <w:adjustRightInd w:val="0"/>
        <w:snapToGrid w:val="0"/>
        <w:spacing w:beforeLines="0" w:afterLines="0" w:line="360" w:lineRule="auto"/>
        <w:ind w:firstLine="562"/>
        <w:outlineLvl w:val="1"/>
        <w:rPr>
          <w:rFonts w:hint="default" w:ascii="Times New Roman" w:hAnsi="Times New Roman"/>
          <w:b/>
          <w:sz w:val="28"/>
          <w:szCs w:val="28"/>
        </w:rPr>
      </w:pPr>
      <w:r>
        <w:rPr>
          <w:rFonts w:hint="default" w:ascii="Times New Roman" w:hAnsi="Times New Roman"/>
          <w:b/>
          <w:sz w:val="28"/>
          <w:szCs w:val="28"/>
        </w:rPr>
        <w:t>六、定标</w:t>
      </w:r>
    </w:p>
    <w:p>
      <w:pPr>
        <w:pStyle w:val="7"/>
        <w:adjustRightInd w:val="0"/>
        <w:snapToGrid w:val="0"/>
        <w:spacing w:beforeLines="0" w:afterLines="0" w:line="360" w:lineRule="auto"/>
        <w:ind w:firstLine="472" w:firstLineChars="196"/>
        <w:rPr>
          <w:rFonts w:hint="default" w:ascii="Times New Roman" w:hAnsi="Times New Roman"/>
          <w:b/>
          <w:bCs/>
        </w:rPr>
      </w:pPr>
      <w:r>
        <w:rPr>
          <w:rFonts w:hint="default" w:ascii="Times New Roman" w:hAnsi="Times New Roman"/>
          <w:b/>
          <w:bCs/>
        </w:rPr>
        <w:t>（一）确定中标人</w:t>
      </w:r>
    </w:p>
    <w:p>
      <w:pPr>
        <w:adjustRightInd w:val="0"/>
        <w:snapToGrid w:val="0"/>
        <w:spacing w:line="360" w:lineRule="auto"/>
        <w:ind w:firstLine="480" w:firstLineChars="200"/>
        <w:rPr>
          <w:rFonts w:hint="default"/>
          <w:sz w:val="24"/>
        </w:rPr>
      </w:pPr>
      <w:r>
        <w:rPr>
          <w:rFonts w:hint="default"/>
          <w:sz w:val="24"/>
        </w:rPr>
        <w:t>1.采购人依法确定1名中标人。确定中标人后2个工作日内，代理机构以书面（纸质）形式发出《中标通知书》，并同时在相关网站上发布中标公告</w:t>
      </w:r>
      <w:r>
        <w:rPr>
          <w:sz w:val="24"/>
        </w:rPr>
        <w:t>。</w:t>
      </w:r>
      <w:r>
        <w:rPr>
          <w:rFonts w:hint="default"/>
          <w:sz w:val="24"/>
        </w:rPr>
        <w:br w:type="textWrapping"/>
      </w:r>
      <w:r>
        <w:rPr>
          <w:sz w:val="24"/>
        </w:rPr>
        <w:t xml:space="preserve">    2.由于中标、成交供应商原因导致重新采购的，应当承担支付代理费和专家评审费等费用在内的赔偿责任</w:t>
      </w:r>
      <w:r>
        <w:rPr>
          <w:rFonts w:hint="default"/>
          <w:sz w:val="24"/>
        </w:rPr>
        <w:t>。</w:t>
      </w:r>
    </w:p>
    <w:p>
      <w:pPr>
        <w:pStyle w:val="7"/>
        <w:adjustRightInd w:val="0"/>
        <w:snapToGrid w:val="0"/>
        <w:spacing w:beforeLines="0" w:afterLines="0" w:line="360" w:lineRule="auto"/>
        <w:ind w:firstLine="562"/>
        <w:outlineLvl w:val="1"/>
        <w:rPr>
          <w:rFonts w:hint="default" w:ascii="Times New Roman" w:hAnsi="Times New Roman"/>
          <w:b/>
          <w:sz w:val="28"/>
          <w:szCs w:val="28"/>
        </w:rPr>
      </w:pPr>
      <w:r>
        <w:rPr>
          <w:rFonts w:hint="default" w:ascii="Times New Roman" w:hAnsi="Times New Roman"/>
          <w:b/>
          <w:sz w:val="28"/>
          <w:szCs w:val="28"/>
        </w:rPr>
        <w:t>七、合同授予</w:t>
      </w:r>
    </w:p>
    <w:p>
      <w:pPr>
        <w:adjustRightInd w:val="0"/>
        <w:snapToGrid w:val="0"/>
        <w:spacing w:line="360" w:lineRule="auto"/>
        <w:ind w:firstLine="472" w:firstLineChars="196"/>
        <w:rPr>
          <w:rFonts w:hint="default" w:ascii="宋体" w:hAnsi="宋体" w:cs="宋体"/>
          <w:b/>
          <w:bCs/>
          <w:sz w:val="24"/>
        </w:rPr>
      </w:pPr>
      <w:r>
        <w:rPr>
          <w:rFonts w:ascii="宋体" w:hAnsi="宋体" w:cs="宋体"/>
          <w:b/>
          <w:bCs/>
          <w:sz w:val="24"/>
        </w:rPr>
        <w:t>（一）签订合同</w:t>
      </w:r>
    </w:p>
    <w:p>
      <w:pPr>
        <w:widowControl/>
        <w:shd w:val="clear" w:color="auto" w:fill="FFFFFF"/>
        <w:adjustRightInd w:val="0"/>
        <w:snapToGrid w:val="0"/>
        <w:spacing w:line="360" w:lineRule="auto"/>
        <w:ind w:firstLine="480"/>
        <w:jc w:val="left"/>
        <w:rPr>
          <w:rFonts w:hint="default" w:ascii="宋体" w:hAnsi="宋体" w:cs="宋体"/>
          <w:kern w:val="0"/>
          <w:sz w:val="24"/>
        </w:rPr>
      </w:pPr>
      <w:r>
        <w:rPr>
          <w:rFonts w:ascii="宋体" w:hAnsi="宋体" w:cs="宋体"/>
          <w:sz w:val="24"/>
        </w:rPr>
        <w:t>（1）</w:t>
      </w:r>
      <w:r>
        <w:rPr>
          <w:rFonts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w:t>
      </w:r>
    </w:p>
    <w:p>
      <w:pPr>
        <w:pStyle w:val="118"/>
        <w:adjustRightInd w:val="0"/>
        <w:snapToGrid w:val="0"/>
        <w:spacing w:before="0"/>
        <w:ind w:firstLine="480"/>
        <w:rPr>
          <w:rFonts w:hint="default" w:ascii="宋体" w:hAnsi="宋体" w:cs="宋体"/>
          <w:kern w:val="0"/>
        </w:rPr>
      </w:pPr>
      <w:r>
        <w:rPr>
          <w:rFonts w:ascii="宋体" w:hAnsi="宋体" w:cs="宋体"/>
          <w:kern w:val="0"/>
          <w:lang w:val="zh-CN"/>
        </w:rPr>
        <w:t>（</w:t>
      </w:r>
      <w:r>
        <w:rPr>
          <w:rFonts w:ascii="宋体" w:hAnsi="宋体" w:cs="宋体"/>
          <w:kern w:val="0"/>
        </w:rPr>
        <w:t>2</w:t>
      </w:r>
      <w:r>
        <w:rPr>
          <w:rFonts w:ascii="宋体" w:hAnsi="宋体" w:cs="宋体"/>
          <w:kern w:val="0"/>
          <w:lang w:val="zh-CN"/>
        </w:rPr>
        <w:t>）中标人按规定的日期、时间、地点，由法定代表人或其授权代表与采购人代表签订合同。如中标人为联合体的，由联合体成员各方法定代表人或其授权代表与采购人代表签订合同。</w:t>
      </w:r>
    </w:p>
    <w:p>
      <w:pPr>
        <w:pStyle w:val="118"/>
        <w:adjustRightInd w:val="0"/>
        <w:snapToGrid w:val="0"/>
        <w:spacing w:before="0"/>
        <w:ind w:firstLine="480"/>
        <w:rPr>
          <w:rFonts w:hint="default" w:ascii="宋体" w:hAnsi="宋体" w:cs="宋体"/>
        </w:rPr>
      </w:pPr>
      <w:r>
        <w:rPr>
          <w:rFonts w:ascii="宋体" w:hAnsi="宋体" w:cs="宋体"/>
        </w:rPr>
        <w:t>（3）如签订合同并生效后，供应商无故拒绝或延期，除按照合同条款处理外，列入不良行为记录一次，并给予通报。</w:t>
      </w:r>
    </w:p>
    <w:p>
      <w:pPr>
        <w:pStyle w:val="118"/>
        <w:adjustRightInd w:val="0"/>
        <w:snapToGrid w:val="0"/>
        <w:spacing w:before="0"/>
        <w:ind w:firstLine="480"/>
        <w:rPr>
          <w:rFonts w:hint="default" w:ascii="宋体" w:hAnsi="宋体" w:cs="宋体"/>
        </w:rPr>
      </w:pPr>
      <w:r>
        <w:rPr>
          <w:rFonts w:ascii="宋体" w:hAnsi="宋体" w:cs="宋体"/>
        </w:rPr>
        <w:t>（4）中标供应商拒绝与采购人签订合同的，采购人可以按照评审报告推荐的中标或者成交候选人名单排序，确定下一候选人为中标供应商，也可以重新开展政府采购活动。</w:t>
      </w:r>
    </w:p>
    <w:p>
      <w:pPr>
        <w:pStyle w:val="118"/>
        <w:adjustRightInd w:val="0"/>
        <w:snapToGrid w:val="0"/>
        <w:spacing w:before="0"/>
        <w:ind w:firstLine="480"/>
        <w:rPr>
          <w:rFonts w:hint="default" w:ascii="宋体" w:hAnsi="宋体" w:cs="宋体"/>
        </w:rPr>
      </w:pPr>
      <w:r>
        <w:rPr>
          <w:rFonts w:ascii="宋体" w:hAnsi="宋体" w:cs="宋体"/>
        </w:rPr>
        <w:t>（5）采购合同由采购人与中标供应商根据招标文件、投标文件等内容通过政府采购电子交易平台在线签订，自动备案。</w:t>
      </w:r>
    </w:p>
    <w:p>
      <w:pPr>
        <w:pStyle w:val="7"/>
        <w:snapToGrid w:val="0"/>
        <w:spacing w:beforeLines="0" w:afterLines="0" w:line="360" w:lineRule="auto"/>
        <w:ind w:firstLine="472" w:firstLineChars="196"/>
        <w:rPr>
          <w:rFonts w:hint="default" w:hAnsi="宋体" w:cs="宋体"/>
          <w:b/>
        </w:rPr>
      </w:pPr>
      <w:r>
        <w:rPr>
          <w:rFonts w:hAnsi="宋体" w:cs="宋体"/>
          <w:b/>
        </w:rPr>
        <w:t>（二）履约保证金</w:t>
      </w:r>
    </w:p>
    <w:p>
      <w:pPr>
        <w:widowControl/>
        <w:shd w:val="clear" w:color="auto" w:fill="FFFFFF"/>
        <w:adjustRightInd w:val="0"/>
        <w:snapToGrid w:val="0"/>
        <w:spacing w:line="360" w:lineRule="auto"/>
        <w:ind w:firstLine="480"/>
        <w:jc w:val="left"/>
        <w:rPr>
          <w:rFonts w:hint="default" w:ascii="宋体" w:hAnsi="宋体" w:cs="宋体"/>
          <w:sz w:val="24"/>
        </w:rPr>
      </w:pPr>
      <w:r>
        <w:rPr>
          <w:rFonts w:ascii="宋体" w:hAnsi="宋体" w:cs="宋体"/>
          <w:sz w:val="24"/>
        </w:rPr>
        <w:t>（1）拟签订的合同文本要求中标供应商提交履约保证金的，供应商应当以支票、汇票、本票或者金融机构、担保机构出具的保函等非现金形式提交。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pPr>
        <w:pStyle w:val="7"/>
        <w:snapToGrid w:val="0"/>
        <w:spacing w:before="120" w:after="120" w:line="360" w:lineRule="auto"/>
        <w:ind w:firstLine="480" w:firstLineChars="200"/>
        <w:rPr>
          <w:rFonts w:hint="default" w:hAnsi="宋体" w:cs="宋体"/>
        </w:rPr>
      </w:pPr>
      <w:r>
        <w:rPr>
          <w:rFonts w:hAnsi="宋体" w:cs="宋体"/>
        </w:rPr>
        <w:t>（2）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7"/>
        <w:adjustRightInd w:val="0"/>
        <w:snapToGrid w:val="0"/>
        <w:spacing w:beforeLines="0" w:afterLines="0" w:line="360" w:lineRule="auto"/>
        <w:ind w:firstLine="562"/>
        <w:outlineLvl w:val="1"/>
        <w:rPr>
          <w:rFonts w:hint="default" w:hAnsi="宋体" w:cs="宋体"/>
          <w:b/>
          <w:sz w:val="28"/>
          <w:szCs w:val="28"/>
        </w:rPr>
      </w:pPr>
      <w:r>
        <w:rPr>
          <w:rFonts w:hAnsi="宋体" w:cs="宋体"/>
          <w:b/>
          <w:sz w:val="28"/>
          <w:szCs w:val="28"/>
        </w:rPr>
        <w:t>八、电子交易活动的中止</w:t>
      </w:r>
    </w:p>
    <w:p>
      <w:pPr>
        <w:pStyle w:val="7"/>
        <w:snapToGrid w:val="0"/>
        <w:spacing w:beforeLines="0" w:afterLines="0" w:line="360" w:lineRule="auto"/>
        <w:ind w:firstLine="472" w:firstLineChars="196"/>
        <w:rPr>
          <w:rFonts w:hint="default" w:hAnsi="宋体" w:cs="宋体"/>
          <w:b/>
        </w:rPr>
      </w:pPr>
      <w:r>
        <w:rPr>
          <w:rFonts w:hAnsi="宋体" w:cs="宋体"/>
          <w:b/>
        </w:rPr>
        <w:t>（一）电子交易活动的中止。</w:t>
      </w:r>
    </w:p>
    <w:p>
      <w:pPr>
        <w:pStyle w:val="118"/>
        <w:snapToGrid w:val="0"/>
        <w:spacing w:before="0"/>
        <w:ind w:firstLine="480"/>
        <w:rPr>
          <w:rFonts w:hint="default" w:ascii="宋体" w:hAnsi="宋体" w:cs="宋体"/>
        </w:rPr>
      </w:pPr>
      <w:r>
        <w:rPr>
          <w:rFonts w:ascii="宋体" w:hAnsi="宋体" w:cs="宋体"/>
        </w:rPr>
        <w:t>采购过程中出现以下情形，导致电子交易平台无法正常运行，或者无法保证电子交易的公平、公正和安全时，采购代理机构可中止电子交易活动：</w:t>
      </w:r>
    </w:p>
    <w:p>
      <w:pPr>
        <w:pStyle w:val="118"/>
        <w:snapToGrid w:val="0"/>
        <w:spacing w:before="0"/>
        <w:ind w:firstLine="480"/>
        <w:rPr>
          <w:rFonts w:hint="default" w:ascii="宋体" w:hAnsi="宋体" w:cs="宋体"/>
        </w:rPr>
      </w:pPr>
      <w:r>
        <w:rPr>
          <w:rFonts w:ascii="宋体" w:hAnsi="宋体" w:cs="宋体"/>
        </w:rPr>
        <w:t>（1）电子交易平台发生故障而无法登录访问的；</w:t>
      </w:r>
    </w:p>
    <w:p>
      <w:pPr>
        <w:pStyle w:val="118"/>
        <w:snapToGrid w:val="0"/>
        <w:spacing w:before="0"/>
        <w:ind w:firstLine="480"/>
        <w:rPr>
          <w:rFonts w:hint="default" w:ascii="宋体" w:hAnsi="宋体" w:cs="宋体"/>
        </w:rPr>
      </w:pPr>
      <w:r>
        <w:rPr>
          <w:rFonts w:ascii="宋体" w:hAnsi="宋体" w:cs="宋体"/>
        </w:rPr>
        <w:t>（2）电子交易平台应用或数据库出现错误，不能进行正常操作的；</w:t>
      </w:r>
    </w:p>
    <w:p>
      <w:pPr>
        <w:pStyle w:val="118"/>
        <w:snapToGrid w:val="0"/>
        <w:spacing w:before="0"/>
        <w:ind w:firstLine="480"/>
        <w:rPr>
          <w:rFonts w:hint="default" w:ascii="宋体" w:hAnsi="宋体" w:cs="宋体"/>
        </w:rPr>
      </w:pPr>
      <w:r>
        <w:rPr>
          <w:rFonts w:ascii="宋体" w:hAnsi="宋体" w:cs="宋体"/>
        </w:rPr>
        <w:t>（3）电子交易平台发现严重安全漏洞，有潜在泄密危险的；</w:t>
      </w:r>
    </w:p>
    <w:p>
      <w:pPr>
        <w:pStyle w:val="118"/>
        <w:snapToGrid w:val="0"/>
        <w:spacing w:before="0"/>
        <w:ind w:firstLine="480"/>
        <w:rPr>
          <w:rFonts w:hint="default" w:ascii="宋体" w:hAnsi="宋体" w:cs="宋体"/>
        </w:rPr>
      </w:pPr>
      <w:r>
        <w:rPr>
          <w:rFonts w:ascii="宋体" w:hAnsi="宋体" w:cs="宋体"/>
        </w:rPr>
        <w:t>（4）病毒发作导致不能进行正常操作的；</w:t>
      </w:r>
    </w:p>
    <w:p>
      <w:pPr>
        <w:pStyle w:val="118"/>
        <w:snapToGrid w:val="0"/>
        <w:spacing w:before="0"/>
        <w:ind w:firstLine="480"/>
        <w:rPr>
          <w:rFonts w:hint="default" w:ascii="宋体" w:hAnsi="宋体" w:cs="宋体"/>
        </w:rPr>
      </w:pPr>
      <w:r>
        <w:rPr>
          <w:rFonts w:ascii="宋体" w:hAnsi="宋体" w:cs="宋体"/>
        </w:rPr>
        <w:t>（5）其他无法保证电子交易的公平、公正和安全的情况。</w:t>
      </w:r>
    </w:p>
    <w:p>
      <w:pPr>
        <w:pStyle w:val="118"/>
        <w:snapToGrid w:val="0"/>
        <w:spacing w:before="0"/>
        <w:ind w:firstLine="480"/>
        <w:rPr>
          <w:rFonts w:hint="default" w:ascii="宋体" w:hAnsi="宋体" w:cs="宋体"/>
        </w:rPr>
      </w:pPr>
      <w:r>
        <w:rPr>
          <w:rFonts w:ascii="宋体" w:hAnsi="宋体" w:cs="宋体"/>
        </w:rPr>
        <w:t>出现以上情形，不影响采购公平、公正性的，采购组织机构可以待上述情形消除后继续组织电子交易活动，也可以决定某些环节以纸质形式进行；影响或可能影响采购公平、公正性的，应当重新采购。</w:t>
      </w:r>
    </w:p>
    <w:p>
      <w:pPr>
        <w:ind w:firstLine="480"/>
        <w:rPr>
          <w:rFonts w:hint="default"/>
        </w:rPr>
      </w:pPr>
    </w:p>
    <w:p>
      <w:pPr>
        <w:snapToGrid w:val="0"/>
        <w:spacing w:line="360" w:lineRule="auto"/>
        <w:ind w:left="238" w:firstLine="480"/>
        <w:jc w:val="center"/>
        <w:rPr>
          <w:rFonts w:hint="default"/>
          <w:b/>
          <w:sz w:val="36"/>
          <w:szCs w:val="36"/>
        </w:rPr>
      </w:pPr>
      <w:r>
        <w:rPr>
          <w:rFonts w:hint="default"/>
        </w:rPr>
        <w:br w:type="page"/>
      </w:r>
      <w:bookmarkStart w:id="58" w:name="_Toc19314"/>
      <w:r>
        <w:rPr>
          <w:rStyle w:val="142"/>
          <w:rFonts w:hint="default"/>
          <w:spacing w:val="-4"/>
          <w:sz w:val="32"/>
          <w:szCs w:val="32"/>
        </w:rPr>
        <w:t>第三章评标办法</w:t>
      </w:r>
      <w:bookmarkEnd w:id="58"/>
    </w:p>
    <w:p>
      <w:pPr>
        <w:adjustRightInd w:val="0"/>
        <w:snapToGrid w:val="0"/>
        <w:spacing w:line="360" w:lineRule="auto"/>
        <w:ind w:firstLine="480" w:firstLineChars="200"/>
        <w:rPr>
          <w:rFonts w:hint="default"/>
          <w:sz w:val="24"/>
        </w:rPr>
      </w:pPr>
      <w:r>
        <w:rPr>
          <w:rFonts w:hint="default"/>
          <w:sz w:val="24"/>
        </w:rPr>
        <w:t>为公正、公平、科学地选择中标人，根据《中华人民共和国政府采购法》等有关法律法规的规定，并结合本项目的实际，制定本办法。</w:t>
      </w:r>
    </w:p>
    <w:p>
      <w:pPr>
        <w:adjustRightInd w:val="0"/>
        <w:snapToGrid w:val="0"/>
        <w:spacing w:line="360" w:lineRule="auto"/>
        <w:ind w:firstLine="472" w:firstLineChars="196"/>
        <w:rPr>
          <w:rFonts w:hint="default"/>
          <w:b/>
          <w:sz w:val="24"/>
          <w:szCs w:val="24"/>
        </w:rPr>
      </w:pPr>
      <w:r>
        <w:rPr>
          <w:rFonts w:hint="default"/>
          <w:b/>
          <w:sz w:val="24"/>
          <w:szCs w:val="24"/>
        </w:rPr>
        <w:t>一、总则</w:t>
      </w:r>
    </w:p>
    <w:p>
      <w:pPr>
        <w:adjustRightInd w:val="0"/>
        <w:snapToGrid w:val="0"/>
        <w:spacing w:line="360" w:lineRule="auto"/>
        <w:ind w:firstLine="480" w:firstLineChars="200"/>
        <w:rPr>
          <w:rFonts w:hint="default"/>
          <w:bCs/>
          <w:sz w:val="24"/>
        </w:rPr>
      </w:pPr>
      <w:r>
        <w:rPr>
          <w:rFonts w:hint="default"/>
          <w:sz w:val="24"/>
        </w:rPr>
        <w:t>本次评标采用综合评分法，总分为100分，</w:t>
      </w:r>
      <w:r>
        <w:rPr>
          <w:rFonts w:hint="default"/>
          <w:b/>
          <w:bCs/>
          <w:sz w:val="24"/>
        </w:rPr>
        <w:t>其中价格分</w:t>
      </w:r>
      <w:r>
        <w:rPr>
          <w:b/>
          <w:bCs/>
          <w:sz w:val="24"/>
          <w:u w:val="single"/>
        </w:rPr>
        <w:t>30</w:t>
      </w:r>
      <w:r>
        <w:rPr>
          <w:rFonts w:hint="default"/>
          <w:b/>
          <w:bCs/>
          <w:sz w:val="24"/>
        </w:rPr>
        <w:t>分，资信商务技术分</w:t>
      </w:r>
      <w:r>
        <w:rPr>
          <w:b/>
          <w:bCs/>
          <w:sz w:val="24"/>
          <w:u w:val="single"/>
        </w:rPr>
        <w:t>70</w:t>
      </w:r>
      <w:r>
        <w:rPr>
          <w:rFonts w:hint="default"/>
          <w:b/>
          <w:bCs/>
          <w:sz w:val="24"/>
        </w:rPr>
        <w:t>分</w:t>
      </w:r>
      <w:r>
        <w:rPr>
          <w:rFonts w:hint="default"/>
          <w:sz w:val="24"/>
        </w:rPr>
        <w:t>。合格投标人的评标得分为各项目汇总得分，中标候选资格按评标得分由高到低顺序排列，得分相同的，按投标报价由低到高顺序排列；得分且投标报价相同的，按技术得分由高到低顺序排列。</w:t>
      </w:r>
      <w:r>
        <w:rPr>
          <w:rFonts w:hint="default"/>
          <w:bCs/>
          <w:sz w:val="24"/>
        </w:rPr>
        <w:t>评分过程中采用四舍五入法，并保留小数2位。除财政部门另有规定外，评标委员会推荐</w:t>
      </w:r>
      <w:r>
        <w:rPr>
          <w:rFonts w:hint="default"/>
          <w:sz w:val="24"/>
        </w:rPr>
        <w:t>得分</w:t>
      </w:r>
      <w:r>
        <w:rPr>
          <w:rFonts w:hint="default"/>
          <w:bCs/>
          <w:sz w:val="24"/>
        </w:rPr>
        <w:t>排列前</w:t>
      </w:r>
      <w:r>
        <w:rPr>
          <w:rFonts w:hint="default"/>
          <w:bCs/>
          <w:sz w:val="24"/>
          <w:u w:val="single"/>
        </w:rPr>
        <w:t xml:space="preserve"> 3 </w:t>
      </w:r>
      <w:r>
        <w:rPr>
          <w:rFonts w:hint="default"/>
          <w:bCs/>
          <w:sz w:val="24"/>
        </w:rPr>
        <w:t>名的投标人为中标候选人。</w:t>
      </w:r>
    </w:p>
    <w:p>
      <w:pPr>
        <w:adjustRightInd w:val="0"/>
        <w:snapToGrid w:val="0"/>
        <w:spacing w:line="360" w:lineRule="auto"/>
        <w:ind w:firstLine="480" w:firstLineChars="200"/>
        <w:rPr>
          <w:rFonts w:hint="default"/>
          <w:sz w:val="24"/>
        </w:rPr>
      </w:pPr>
      <w:r>
        <w:rPr>
          <w:rFonts w:hint="default"/>
          <w:sz w:val="24"/>
        </w:rPr>
        <w:t>资信商务技术分=评标委员会所有成员评分合计数/评标委员会组成人员数</w:t>
      </w:r>
    </w:p>
    <w:p>
      <w:pPr>
        <w:adjustRightInd w:val="0"/>
        <w:snapToGrid w:val="0"/>
        <w:spacing w:line="360" w:lineRule="auto"/>
        <w:ind w:firstLine="480" w:firstLineChars="200"/>
        <w:rPr>
          <w:rFonts w:hint="default"/>
          <w:bCs/>
          <w:sz w:val="24"/>
        </w:rPr>
      </w:pPr>
      <w:r>
        <w:rPr>
          <w:rFonts w:hint="default"/>
          <w:sz w:val="24"/>
        </w:rPr>
        <w:t>投标人评标</w:t>
      </w:r>
      <w:r>
        <w:rPr>
          <w:rFonts w:hint="default"/>
          <w:bCs/>
          <w:sz w:val="24"/>
        </w:rPr>
        <w:t>综合得分=价格分+资信商务技术分</w:t>
      </w:r>
    </w:p>
    <w:p>
      <w:pPr>
        <w:adjustRightInd w:val="0"/>
        <w:snapToGrid w:val="0"/>
        <w:spacing w:line="360" w:lineRule="auto"/>
        <w:ind w:firstLine="472" w:firstLineChars="196"/>
        <w:rPr>
          <w:rFonts w:hint="default"/>
          <w:b/>
          <w:sz w:val="24"/>
          <w:szCs w:val="24"/>
        </w:rPr>
      </w:pPr>
      <w:r>
        <w:rPr>
          <w:rFonts w:hint="default"/>
          <w:b/>
          <w:sz w:val="24"/>
          <w:szCs w:val="24"/>
        </w:rPr>
        <w:t>二、资格审查</w:t>
      </w:r>
    </w:p>
    <w:p>
      <w:pPr>
        <w:adjustRightInd w:val="0"/>
        <w:snapToGrid w:val="0"/>
        <w:spacing w:line="360" w:lineRule="auto"/>
        <w:ind w:firstLine="470" w:firstLineChars="196"/>
        <w:outlineLvl w:val="2"/>
        <w:rPr>
          <w:rFonts w:hint="default"/>
          <w:bCs/>
          <w:sz w:val="24"/>
          <w:szCs w:val="28"/>
        </w:rPr>
      </w:pPr>
      <w:r>
        <w:rPr>
          <w:rFonts w:hint="default"/>
          <w:bCs/>
          <w:sz w:val="24"/>
        </w:rPr>
        <w:t>采购人或者采购代理机构对各投标人的资格进行审查，投标人资格条件不符合招标文件要求的投标无效，不再进入符合性审查。</w:t>
      </w:r>
    </w:p>
    <w:p>
      <w:pPr>
        <w:adjustRightInd w:val="0"/>
        <w:snapToGrid w:val="0"/>
        <w:spacing w:line="360" w:lineRule="auto"/>
        <w:ind w:firstLine="472" w:firstLineChars="196"/>
        <w:outlineLvl w:val="2"/>
        <w:rPr>
          <w:rFonts w:hint="default"/>
          <w:b/>
          <w:sz w:val="24"/>
          <w:szCs w:val="24"/>
        </w:rPr>
      </w:pPr>
      <w:r>
        <w:rPr>
          <w:rFonts w:hint="default"/>
          <w:b/>
          <w:sz w:val="24"/>
          <w:szCs w:val="24"/>
        </w:rPr>
        <w:t>三、符合性审查</w:t>
      </w:r>
    </w:p>
    <w:p>
      <w:pPr>
        <w:adjustRightInd w:val="0"/>
        <w:snapToGrid w:val="0"/>
        <w:spacing w:line="360" w:lineRule="auto"/>
        <w:ind w:firstLine="480" w:firstLineChars="200"/>
        <w:rPr>
          <w:rFonts w:hint="default"/>
          <w:bCs/>
          <w:sz w:val="24"/>
        </w:rPr>
      </w:pPr>
      <w:r>
        <w:rPr>
          <w:rFonts w:hint="default"/>
          <w:bCs/>
          <w:sz w:val="24"/>
        </w:rPr>
        <w:t>评审小组对资格审查合格的投标文件进行符合性审查，确定是否对招标文件作出了实质性响应。符合性审查不合格的投标无效，不再进行商务和技术评估、综合比较与评价。</w:t>
      </w:r>
    </w:p>
    <w:p>
      <w:pPr>
        <w:adjustRightInd w:val="0"/>
        <w:snapToGrid w:val="0"/>
        <w:spacing w:line="360" w:lineRule="auto"/>
        <w:ind w:firstLine="472" w:firstLineChars="196"/>
        <w:rPr>
          <w:rFonts w:hint="default"/>
          <w:b/>
          <w:bCs/>
          <w:sz w:val="24"/>
        </w:rPr>
      </w:pPr>
      <w:r>
        <w:rPr>
          <w:rFonts w:hint="default"/>
          <w:b/>
          <w:bCs/>
          <w:sz w:val="24"/>
        </w:rPr>
        <w:t>1.在商务、技术评审时，如发现下列情形之一的，投标将被视为无效：</w:t>
      </w:r>
    </w:p>
    <w:p>
      <w:pPr>
        <w:adjustRightInd w:val="0"/>
        <w:snapToGrid w:val="0"/>
        <w:spacing w:line="360" w:lineRule="auto"/>
        <w:ind w:firstLine="480" w:firstLineChars="200"/>
        <w:rPr>
          <w:rFonts w:hint="default" w:ascii="宋体" w:hAnsi="宋体" w:cs="宋体"/>
          <w:sz w:val="24"/>
          <w:szCs w:val="24"/>
        </w:rPr>
      </w:pPr>
      <w:r>
        <w:rPr>
          <w:rFonts w:ascii="宋体" w:hAnsi="宋体" w:cs="宋体"/>
          <w:sz w:val="24"/>
          <w:szCs w:val="24"/>
        </w:rPr>
        <w:t>1）供应商提交两份或两份以上内容不同的投标方案，未声明哪一份有效的；</w:t>
      </w:r>
    </w:p>
    <w:p>
      <w:pPr>
        <w:adjustRightInd w:val="0"/>
        <w:snapToGrid w:val="0"/>
        <w:spacing w:line="360" w:lineRule="auto"/>
        <w:ind w:firstLine="480" w:firstLineChars="200"/>
        <w:rPr>
          <w:rFonts w:hint="default" w:ascii="宋体" w:hAnsi="宋体" w:cs="宋体"/>
          <w:sz w:val="24"/>
          <w:szCs w:val="24"/>
        </w:rPr>
      </w:pPr>
      <w:r>
        <w:rPr>
          <w:rFonts w:ascii="宋体" w:hAnsi="宋体" w:cs="宋体"/>
          <w:sz w:val="24"/>
          <w:szCs w:val="24"/>
        </w:rPr>
        <w:t>2）投标文件非供应商法定代表人签署的，未提供或提供无效的法定代表人授权书；</w:t>
      </w:r>
    </w:p>
    <w:p>
      <w:pPr>
        <w:adjustRightInd w:val="0"/>
        <w:snapToGrid w:val="0"/>
        <w:spacing w:line="360" w:lineRule="auto"/>
        <w:ind w:firstLine="480" w:firstLineChars="200"/>
        <w:rPr>
          <w:rFonts w:hint="default" w:ascii="宋体" w:hAnsi="宋体" w:cs="宋体"/>
          <w:sz w:val="24"/>
          <w:szCs w:val="24"/>
        </w:rPr>
      </w:pPr>
      <w:r>
        <w:rPr>
          <w:rFonts w:ascii="宋体" w:hAnsi="宋体" w:cs="宋体"/>
          <w:snapToGrid w:val="0"/>
          <w:kern w:val="0"/>
          <w:sz w:val="24"/>
          <w:szCs w:val="24"/>
        </w:rPr>
        <w:t>3）投标文件中法定代表人和授权代表身份证复印件不齐全的；</w:t>
      </w:r>
    </w:p>
    <w:p>
      <w:pPr>
        <w:adjustRightInd w:val="0"/>
        <w:snapToGrid w:val="0"/>
        <w:spacing w:line="360" w:lineRule="auto"/>
        <w:ind w:firstLine="480" w:firstLineChars="200"/>
        <w:rPr>
          <w:rFonts w:hint="default" w:ascii="宋体" w:hAnsi="宋体" w:cs="宋体"/>
          <w:sz w:val="24"/>
          <w:szCs w:val="24"/>
        </w:rPr>
      </w:pPr>
      <w:r>
        <w:rPr>
          <w:rFonts w:ascii="宋体" w:hAnsi="宋体" w:cs="宋体"/>
          <w:sz w:val="24"/>
          <w:szCs w:val="24"/>
        </w:rPr>
        <w:t>4）投标文件内容未按采购文件规定盖章的；</w:t>
      </w:r>
    </w:p>
    <w:p>
      <w:pPr>
        <w:adjustRightInd w:val="0"/>
        <w:snapToGrid w:val="0"/>
        <w:spacing w:line="360" w:lineRule="auto"/>
        <w:ind w:firstLine="480" w:firstLineChars="200"/>
        <w:rPr>
          <w:rFonts w:hint="default" w:ascii="宋体" w:hAnsi="宋体" w:cs="宋体"/>
          <w:sz w:val="24"/>
          <w:szCs w:val="24"/>
        </w:rPr>
      </w:pPr>
      <w:r>
        <w:rPr>
          <w:rFonts w:ascii="宋体" w:hAnsi="宋体" w:cs="宋体"/>
          <w:sz w:val="24"/>
          <w:szCs w:val="24"/>
        </w:rPr>
        <w:t>5）投标文件内容不全或内容字迹模糊辨认不清的等而导致评标活动无法正常进行；</w:t>
      </w:r>
    </w:p>
    <w:p>
      <w:pPr>
        <w:adjustRightInd w:val="0"/>
        <w:snapToGrid w:val="0"/>
        <w:spacing w:line="360" w:lineRule="auto"/>
        <w:ind w:firstLine="480" w:firstLineChars="200"/>
        <w:rPr>
          <w:rFonts w:hint="default" w:ascii="宋体" w:hAnsi="宋体" w:cs="宋体"/>
          <w:sz w:val="24"/>
          <w:szCs w:val="24"/>
        </w:rPr>
      </w:pPr>
      <w:r>
        <w:rPr>
          <w:rFonts w:ascii="宋体" w:hAnsi="宋体" w:cs="宋体"/>
          <w:sz w:val="24"/>
          <w:szCs w:val="24"/>
        </w:rPr>
        <w:t>6）供应商未按采购文件变更通知更改投标文件的；</w:t>
      </w:r>
    </w:p>
    <w:p>
      <w:pPr>
        <w:adjustRightInd w:val="0"/>
        <w:snapToGrid w:val="0"/>
        <w:spacing w:line="360" w:lineRule="auto"/>
        <w:ind w:firstLine="480" w:firstLineChars="200"/>
        <w:rPr>
          <w:rFonts w:hint="default" w:ascii="宋体" w:hAnsi="宋体" w:cs="宋体"/>
          <w:sz w:val="24"/>
          <w:szCs w:val="24"/>
        </w:rPr>
      </w:pPr>
      <w:r>
        <w:rPr>
          <w:rFonts w:ascii="宋体" w:hAnsi="宋体" w:cs="宋体"/>
          <w:sz w:val="24"/>
          <w:szCs w:val="24"/>
        </w:rPr>
        <w:t>7）未实质性响应采购文件中带“▲”条款要求的投标文件；</w:t>
      </w:r>
    </w:p>
    <w:p>
      <w:pPr>
        <w:adjustRightInd w:val="0"/>
        <w:snapToGrid w:val="0"/>
        <w:spacing w:line="360" w:lineRule="auto"/>
        <w:ind w:firstLine="480" w:firstLineChars="200"/>
        <w:rPr>
          <w:rFonts w:hint="default" w:ascii="宋体" w:hAnsi="宋体" w:cs="宋体"/>
          <w:sz w:val="24"/>
          <w:szCs w:val="24"/>
        </w:rPr>
      </w:pPr>
      <w:r>
        <w:rPr>
          <w:rFonts w:ascii="宋体" w:hAnsi="宋体" w:cs="宋体"/>
          <w:sz w:val="24"/>
          <w:szCs w:val="24"/>
        </w:rPr>
        <w:t>8）</w:t>
      </w:r>
      <w:r>
        <w:rPr>
          <w:rFonts w:ascii="宋体" w:hAnsi="宋体" w:cs="宋体"/>
          <w:snapToGrid w:val="0"/>
          <w:kern w:val="0"/>
          <w:sz w:val="24"/>
          <w:szCs w:val="24"/>
        </w:rPr>
        <w:t>商务条款中投标有效期、交货期不能满足采购文件要求的；</w:t>
      </w:r>
    </w:p>
    <w:p>
      <w:pPr>
        <w:adjustRightInd w:val="0"/>
        <w:snapToGrid w:val="0"/>
        <w:spacing w:line="360" w:lineRule="auto"/>
        <w:ind w:firstLine="480" w:firstLineChars="200"/>
        <w:rPr>
          <w:rFonts w:hint="default" w:ascii="宋体" w:hAnsi="宋体" w:cs="宋体"/>
          <w:sz w:val="24"/>
          <w:szCs w:val="24"/>
        </w:rPr>
      </w:pPr>
      <w:r>
        <w:rPr>
          <w:rFonts w:ascii="宋体" w:hAnsi="宋体" w:cs="宋体"/>
          <w:sz w:val="24"/>
          <w:szCs w:val="24"/>
        </w:rPr>
        <w:t>9）投标文件附有采购人不能接受的条款；</w:t>
      </w:r>
    </w:p>
    <w:p>
      <w:pPr>
        <w:adjustRightInd w:val="0"/>
        <w:snapToGrid w:val="0"/>
        <w:spacing w:line="360" w:lineRule="auto"/>
        <w:ind w:firstLine="480" w:firstLineChars="200"/>
        <w:rPr>
          <w:rFonts w:hint="default" w:ascii="宋体" w:hAnsi="宋体" w:cs="宋体"/>
          <w:sz w:val="24"/>
          <w:szCs w:val="24"/>
        </w:rPr>
      </w:pPr>
      <w:r>
        <w:rPr>
          <w:rFonts w:ascii="宋体" w:hAnsi="宋体" w:cs="宋体"/>
          <w:sz w:val="24"/>
          <w:szCs w:val="24"/>
        </w:rPr>
        <w:t>10）投标文件中提供了与采购无关的赠品、回扣或者其他商品、服务；</w:t>
      </w:r>
    </w:p>
    <w:p>
      <w:pPr>
        <w:adjustRightInd w:val="0"/>
        <w:snapToGrid w:val="0"/>
        <w:spacing w:line="360" w:lineRule="auto"/>
        <w:ind w:firstLine="480" w:firstLineChars="200"/>
        <w:rPr>
          <w:rFonts w:hint="default" w:ascii="宋体" w:hAnsi="宋体" w:cs="宋体"/>
          <w:sz w:val="24"/>
          <w:szCs w:val="24"/>
        </w:rPr>
      </w:pPr>
      <w:r>
        <w:rPr>
          <w:rFonts w:ascii="宋体" w:hAnsi="宋体" w:cs="宋体"/>
          <w:sz w:val="24"/>
          <w:szCs w:val="24"/>
        </w:rPr>
        <w:t>11）供应商串通投标，妨碍其他供应商的竞争行为，损害采购人或者其他供应商的合法权益；</w:t>
      </w:r>
    </w:p>
    <w:p>
      <w:pPr>
        <w:adjustRightInd w:val="0"/>
        <w:snapToGrid w:val="0"/>
        <w:spacing w:line="360" w:lineRule="auto"/>
        <w:ind w:firstLine="480" w:firstLineChars="200"/>
        <w:rPr>
          <w:rFonts w:hint="default" w:ascii="宋体" w:hAnsi="宋体" w:cs="宋体"/>
          <w:sz w:val="24"/>
          <w:szCs w:val="24"/>
        </w:rPr>
      </w:pPr>
      <w:r>
        <w:rPr>
          <w:rFonts w:ascii="宋体" w:hAnsi="宋体" w:cs="宋体"/>
          <w:sz w:val="24"/>
          <w:szCs w:val="24"/>
        </w:rPr>
        <w:t>12）违反国家及政府部门相关法律、法规、文件规定的。</w:t>
      </w:r>
    </w:p>
    <w:p>
      <w:pPr>
        <w:pStyle w:val="16"/>
        <w:adjustRightInd w:val="0"/>
        <w:snapToGrid w:val="0"/>
        <w:spacing w:line="360" w:lineRule="auto"/>
        <w:ind w:firstLine="457" w:firstLineChars="196"/>
        <w:rPr>
          <w:rFonts w:hint="default" w:hAnsi="宋体" w:cs="宋体"/>
          <w:b/>
          <w:bCs/>
          <w:sz w:val="24"/>
          <w:szCs w:val="24"/>
        </w:rPr>
      </w:pPr>
      <w:r>
        <w:rPr>
          <w:rFonts w:hAnsi="宋体" w:cs="宋体"/>
          <w:b/>
          <w:bCs/>
          <w:sz w:val="24"/>
          <w:szCs w:val="24"/>
        </w:rPr>
        <w:t>2.在报价评审时，如发现下列情形之一的，投标将被视为无效：</w:t>
      </w:r>
    </w:p>
    <w:p>
      <w:pPr>
        <w:adjustRightInd w:val="0"/>
        <w:snapToGrid w:val="0"/>
        <w:spacing w:line="360" w:lineRule="auto"/>
        <w:ind w:firstLine="480" w:firstLineChars="200"/>
        <w:rPr>
          <w:rFonts w:hint="default" w:ascii="宋体" w:hAnsi="宋体" w:cs="宋体"/>
          <w:sz w:val="24"/>
          <w:szCs w:val="24"/>
        </w:rPr>
      </w:pPr>
      <w:r>
        <w:rPr>
          <w:rFonts w:hint="default" w:ascii="宋体" w:hAnsi="宋体" w:cs="宋体"/>
          <w:sz w:val="24"/>
          <w:szCs w:val="24"/>
        </w:rPr>
        <w:t>1）报价文件未按招标文件要求盖章的；</w:t>
      </w:r>
    </w:p>
    <w:p>
      <w:pPr>
        <w:adjustRightInd w:val="0"/>
        <w:snapToGrid w:val="0"/>
        <w:spacing w:line="360" w:lineRule="auto"/>
        <w:ind w:firstLine="480" w:firstLineChars="200"/>
        <w:rPr>
          <w:rFonts w:hint="default" w:ascii="宋体" w:hAnsi="宋体" w:cs="宋体"/>
          <w:sz w:val="24"/>
          <w:szCs w:val="24"/>
        </w:rPr>
      </w:pPr>
      <w:r>
        <w:rPr>
          <w:rFonts w:hint="default" w:ascii="宋体" w:hAnsi="宋体" w:cs="宋体"/>
          <w:sz w:val="24"/>
          <w:szCs w:val="24"/>
        </w:rPr>
        <w:t>2）报价超出最高限价，或者超出采购预算金额；</w:t>
      </w:r>
    </w:p>
    <w:p>
      <w:pPr>
        <w:adjustRightInd w:val="0"/>
        <w:snapToGrid w:val="0"/>
        <w:spacing w:line="360" w:lineRule="auto"/>
        <w:ind w:firstLine="480" w:firstLineChars="200"/>
        <w:rPr>
          <w:rFonts w:hint="default" w:ascii="宋体" w:hAnsi="宋体" w:cs="宋体"/>
          <w:sz w:val="24"/>
          <w:szCs w:val="24"/>
        </w:rPr>
      </w:pPr>
      <w:r>
        <w:rPr>
          <w:rFonts w:hint="default" w:ascii="宋体" w:hAnsi="宋体" w:cs="宋体"/>
          <w:sz w:val="24"/>
          <w:szCs w:val="24"/>
        </w:rPr>
        <w:t>3）投标报价具有选择性的；</w:t>
      </w:r>
    </w:p>
    <w:p>
      <w:pPr>
        <w:adjustRightInd w:val="0"/>
        <w:snapToGrid w:val="0"/>
        <w:spacing w:line="360" w:lineRule="auto"/>
        <w:ind w:firstLine="480" w:firstLineChars="200"/>
        <w:rPr>
          <w:rFonts w:hint="default" w:ascii="宋体" w:hAnsi="宋体" w:cs="宋体"/>
          <w:sz w:val="24"/>
          <w:szCs w:val="24"/>
        </w:rPr>
      </w:pPr>
      <w:r>
        <w:rPr>
          <w:rFonts w:hint="default" w:ascii="宋体" w:hAnsi="宋体" w:cs="宋体"/>
          <w:sz w:val="24"/>
          <w:szCs w:val="24"/>
        </w:rPr>
        <w:t>4）不接受按招标文件规定的修正错误原则修正后的报价的；</w:t>
      </w:r>
    </w:p>
    <w:p>
      <w:pPr>
        <w:adjustRightInd w:val="0"/>
        <w:snapToGrid w:val="0"/>
        <w:spacing w:line="360" w:lineRule="auto"/>
        <w:ind w:firstLine="480" w:firstLineChars="200"/>
        <w:rPr>
          <w:rFonts w:hint="default" w:ascii="宋体" w:hAnsi="宋体" w:cs="宋体"/>
          <w:sz w:val="24"/>
          <w:szCs w:val="24"/>
        </w:rPr>
      </w:pPr>
      <w:r>
        <w:rPr>
          <w:rFonts w:hint="default" w:ascii="宋体" w:hAnsi="宋体" w:cs="宋体"/>
          <w:sz w:val="24"/>
          <w:szCs w:val="24"/>
        </w:rPr>
        <w:t>5）投标人的报价明显低于其他通过符合性审查投标人的报价，有可能影响产品或服务质量或者不能诚信履约，未能按评标委员会要求其在评标现场合理的时间内提供书面说明及相关证明材料以证明其报价合理性的；</w:t>
      </w:r>
    </w:p>
    <w:p>
      <w:pPr>
        <w:adjustRightInd w:val="0"/>
        <w:snapToGrid w:val="0"/>
        <w:spacing w:line="360" w:lineRule="auto"/>
        <w:ind w:firstLine="480" w:firstLineChars="200"/>
        <w:rPr>
          <w:rFonts w:hint="default" w:ascii="宋体" w:hAnsi="宋体" w:cs="宋体"/>
          <w:sz w:val="24"/>
          <w:szCs w:val="24"/>
        </w:rPr>
      </w:pPr>
      <w:r>
        <w:rPr>
          <w:rFonts w:ascii="宋体" w:hAnsi="宋体" w:cs="宋体"/>
          <w:sz w:val="24"/>
          <w:szCs w:val="24"/>
        </w:rPr>
        <w:t>6）投标文件附有采购人不能接受的条款；</w:t>
      </w:r>
    </w:p>
    <w:p>
      <w:pPr>
        <w:adjustRightInd w:val="0"/>
        <w:snapToGrid w:val="0"/>
        <w:spacing w:line="360" w:lineRule="auto"/>
        <w:ind w:firstLine="480" w:firstLineChars="200"/>
        <w:rPr>
          <w:rFonts w:hint="default" w:ascii="宋体" w:hAnsi="宋体" w:cs="宋体"/>
          <w:sz w:val="24"/>
          <w:szCs w:val="24"/>
        </w:rPr>
      </w:pPr>
      <w:r>
        <w:rPr>
          <w:rFonts w:ascii="宋体" w:hAnsi="宋体" w:cs="宋体"/>
          <w:sz w:val="24"/>
          <w:szCs w:val="24"/>
        </w:rPr>
        <w:t>7）投标文件中提供了与采购无关的赠品、回扣或者其他商品、服务；</w:t>
      </w:r>
    </w:p>
    <w:p>
      <w:pPr>
        <w:adjustRightInd w:val="0"/>
        <w:snapToGrid w:val="0"/>
        <w:spacing w:line="360" w:lineRule="auto"/>
        <w:ind w:firstLine="480" w:firstLineChars="200"/>
        <w:rPr>
          <w:rFonts w:hint="default" w:ascii="宋体" w:hAnsi="宋体" w:cs="宋体"/>
          <w:sz w:val="24"/>
          <w:szCs w:val="24"/>
        </w:rPr>
      </w:pPr>
      <w:r>
        <w:rPr>
          <w:rFonts w:ascii="宋体" w:hAnsi="宋体" w:cs="宋体"/>
          <w:sz w:val="24"/>
          <w:szCs w:val="24"/>
        </w:rPr>
        <w:t>8) 违反国家及政府部门相关法律、法规、文件规定的</w:t>
      </w:r>
      <w:r>
        <w:rPr>
          <w:rFonts w:hint="default" w:ascii="宋体" w:hAnsi="宋体" w:cs="宋体"/>
          <w:sz w:val="24"/>
          <w:szCs w:val="24"/>
        </w:rPr>
        <w:t>。</w:t>
      </w:r>
    </w:p>
    <w:p>
      <w:pPr>
        <w:spacing w:line="360" w:lineRule="auto"/>
        <w:ind w:firstLine="482" w:firstLineChars="200"/>
        <w:rPr>
          <w:rFonts w:hint="default"/>
          <w:b/>
          <w:sz w:val="24"/>
          <w:szCs w:val="24"/>
        </w:rPr>
      </w:pPr>
    </w:p>
    <w:p>
      <w:pPr>
        <w:spacing w:line="360" w:lineRule="auto"/>
        <w:ind w:firstLine="482" w:firstLineChars="200"/>
        <w:rPr>
          <w:rFonts w:hint="default"/>
          <w:b/>
          <w:sz w:val="24"/>
          <w:szCs w:val="24"/>
        </w:rPr>
      </w:pPr>
      <w:r>
        <w:rPr>
          <w:rFonts w:hint="default"/>
          <w:b/>
          <w:sz w:val="24"/>
          <w:szCs w:val="24"/>
        </w:rPr>
        <w:t>四、评审内容及标准</w:t>
      </w:r>
    </w:p>
    <w:p>
      <w:pPr>
        <w:pStyle w:val="16"/>
        <w:spacing w:line="360" w:lineRule="auto"/>
        <w:ind w:firstLine="300" w:firstLineChars="129"/>
        <w:rPr>
          <w:rFonts w:hint="default" w:ascii="Times New Roman" w:hAnsi="Times New Roman"/>
          <w:b/>
          <w:sz w:val="24"/>
          <w:szCs w:val="24"/>
        </w:rPr>
      </w:pPr>
      <w:r>
        <w:rPr>
          <w:rFonts w:hint="default" w:ascii="Times New Roman" w:hAnsi="Times New Roman"/>
          <w:b/>
          <w:sz w:val="24"/>
          <w:szCs w:val="24"/>
        </w:rPr>
        <w:t>（一）资信商务技术分（</w:t>
      </w:r>
      <w:r>
        <w:rPr>
          <w:rFonts w:ascii="Times New Roman" w:hAnsi="Times New Roman"/>
          <w:b/>
          <w:sz w:val="24"/>
          <w:szCs w:val="24"/>
        </w:rPr>
        <w:t>70</w:t>
      </w:r>
      <w:r>
        <w:rPr>
          <w:rFonts w:hint="default" w:ascii="Times New Roman" w:hAnsi="Times New Roman"/>
          <w:b/>
          <w:sz w:val="24"/>
          <w:szCs w:val="24"/>
        </w:rPr>
        <w:t>分）</w:t>
      </w:r>
    </w:p>
    <w:tbl>
      <w:tblPr>
        <w:tblStyle w:val="41"/>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7867"/>
        <w:gridCol w:w="8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427"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序号</w:t>
            </w:r>
          </w:p>
        </w:tc>
        <w:tc>
          <w:tcPr>
            <w:tcW w:w="4109"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评审细则</w:t>
            </w: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427"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w:t>
            </w:r>
          </w:p>
        </w:tc>
        <w:tc>
          <w:tcPr>
            <w:tcW w:w="4109" w:type="pct"/>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【客观分】</w:t>
            </w:r>
            <w:r>
              <w:rPr>
                <w:rFonts w:hint="default"/>
                <w:sz w:val="24"/>
                <w:szCs w:val="24"/>
              </w:rPr>
              <w:br w:type="textWrapping"/>
            </w:r>
            <w:r>
              <w:rPr>
                <w:rFonts w:hint="default"/>
                <w:sz w:val="24"/>
                <w:szCs w:val="24"/>
              </w:rPr>
              <w:t>投标人自2021年1月1日（以合同签订时间为准）至今的类似项目业绩的，每个得1分，最高得3分。证明材料：合同复印件加盖公章，合同内容需包含类似的阶梯会议室座椅，否则不得分。</w:t>
            </w:r>
          </w:p>
          <w:p>
            <w:pPr>
              <w:rPr>
                <w:rFonts w:hint="default"/>
                <w:sz w:val="24"/>
                <w:szCs w:val="24"/>
              </w:rPr>
            </w:pPr>
            <w:r>
              <w:rPr>
                <w:rFonts w:hint="default"/>
                <w:sz w:val="24"/>
                <w:szCs w:val="24"/>
              </w:rPr>
              <w:t>投标产品为对省级以上主管部门认定的首台套产品，自纳入《省推广应用指导目录》起三年内参加政府采购活动，视同已具备相应销售业绩，本项得满分。</w:t>
            </w: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7" w:type="pct"/>
            <w:vMerge w:val="restart"/>
            <w:tcBorders>
              <w:top w:val="single" w:color="auto" w:sz="4" w:space="0"/>
              <w:left w:val="single" w:color="auto" w:sz="4" w:space="0"/>
              <w:right w:val="single" w:color="auto" w:sz="4" w:space="0"/>
            </w:tcBorders>
            <w:vAlign w:val="center"/>
          </w:tcPr>
          <w:p>
            <w:pPr>
              <w:jc w:val="center"/>
              <w:rPr>
                <w:rFonts w:hint="default"/>
                <w:sz w:val="24"/>
                <w:szCs w:val="24"/>
              </w:rPr>
            </w:pPr>
            <w:r>
              <w:rPr>
                <w:rFonts w:hint="default"/>
                <w:sz w:val="24"/>
                <w:szCs w:val="24"/>
              </w:rPr>
              <w:t>2</w:t>
            </w:r>
          </w:p>
        </w:tc>
        <w:tc>
          <w:tcPr>
            <w:tcW w:w="4109" w:type="pct"/>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【客观分】</w:t>
            </w:r>
            <w:r>
              <w:rPr>
                <w:rFonts w:hint="default"/>
                <w:sz w:val="24"/>
                <w:szCs w:val="24"/>
              </w:rPr>
              <w:br w:type="textWrapping"/>
            </w:r>
            <w:r>
              <w:rPr>
                <w:rFonts w:hint="default"/>
                <w:sz w:val="24"/>
                <w:szCs w:val="24"/>
              </w:rPr>
              <w:t>主要产品（阶梯会议室座椅）的生产厂家具有有效期内的ISO9001质量管理体系认证证书，提供证书复印件，有得1分，没有不得分。</w:t>
            </w: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7" w:type="pct"/>
            <w:vMerge w:val="continue"/>
            <w:tcBorders>
              <w:left w:val="single" w:color="auto" w:sz="4" w:space="0"/>
              <w:bottom w:val="single" w:color="auto" w:sz="4" w:space="0"/>
              <w:right w:val="single" w:color="auto" w:sz="4" w:space="0"/>
            </w:tcBorders>
            <w:vAlign w:val="center"/>
          </w:tcPr>
          <w:p>
            <w:pPr>
              <w:jc w:val="center"/>
              <w:rPr>
                <w:rFonts w:hint="default"/>
                <w:sz w:val="24"/>
                <w:szCs w:val="24"/>
              </w:rPr>
            </w:pPr>
          </w:p>
        </w:tc>
        <w:tc>
          <w:tcPr>
            <w:tcW w:w="4109" w:type="pct"/>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【客观分】</w:t>
            </w:r>
            <w:r>
              <w:rPr>
                <w:rFonts w:hint="default"/>
                <w:sz w:val="24"/>
                <w:szCs w:val="24"/>
              </w:rPr>
              <w:br w:type="textWrapping"/>
            </w:r>
            <w:r>
              <w:rPr>
                <w:rFonts w:hint="default"/>
                <w:sz w:val="24"/>
                <w:szCs w:val="24"/>
              </w:rPr>
              <w:t>主要产品（阶梯会议室座椅）及其生产厂家具有有效期内的CQC中国环保产品认证证书，提供证书复印件，有得1分，没有不得分。</w:t>
            </w: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7"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3</w:t>
            </w:r>
          </w:p>
        </w:tc>
        <w:tc>
          <w:tcPr>
            <w:tcW w:w="4109" w:type="pct"/>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【客观分】</w:t>
            </w:r>
            <w:r>
              <w:rPr>
                <w:rFonts w:hint="default"/>
                <w:sz w:val="24"/>
                <w:szCs w:val="24"/>
              </w:rPr>
              <w:br w:type="textWrapping"/>
            </w:r>
            <w:r>
              <w:rPr>
                <w:rFonts w:hint="default"/>
                <w:sz w:val="24"/>
                <w:szCs w:val="24"/>
              </w:rPr>
              <w:t>投标产品属于品目清单范围且提供国家确定的认证机构出具的处于有效期之内的环境标志产品认证证书（扫描件加盖公章）的，每提供一个得0.5分，最高得1分。</w:t>
            </w: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427" w:type="pct"/>
            <w:tcBorders>
              <w:top w:val="single" w:color="auto" w:sz="4" w:space="0"/>
              <w:left w:val="single" w:color="auto" w:sz="4" w:space="0"/>
              <w:right w:val="single" w:color="auto" w:sz="4" w:space="0"/>
            </w:tcBorders>
            <w:vAlign w:val="center"/>
          </w:tcPr>
          <w:p>
            <w:pPr>
              <w:jc w:val="center"/>
              <w:rPr>
                <w:rFonts w:hint="default"/>
                <w:sz w:val="24"/>
                <w:szCs w:val="24"/>
              </w:rPr>
            </w:pPr>
            <w:r>
              <w:rPr>
                <w:rFonts w:hint="default"/>
                <w:sz w:val="24"/>
                <w:szCs w:val="24"/>
              </w:rPr>
              <w:t>4</w:t>
            </w:r>
          </w:p>
        </w:tc>
        <w:tc>
          <w:tcPr>
            <w:tcW w:w="4109" w:type="pct"/>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【客观分】</w:t>
            </w:r>
          </w:p>
          <w:p>
            <w:pPr>
              <w:rPr>
                <w:rFonts w:hint="default"/>
                <w:sz w:val="24"/>
                <w:szCs w:val="24"/>
              </w:rPr>
            </w:pPr>
            <w:r>
              <w:rPr>
                <w:rFonts w:hint="default"/>
                <w:sz w:val="24"/>
                <w:szCs w:val="24"/>
              </w:rPr>
              <w:t>对招标文件的响应情况：完全满足招标文件《第四章 采购内容及需求》和《第五章 合同主要条款》的得16分，每负偏离一项扣4分，扣完为止。</w:t>
            </w:r>
          </w:p>
          <w:p>
            <w:pPr>
              <w:rPr>
                <w:rFonts w:hint="default"/>
                <w:sz w:val="24"/>
                <w:szCs w:val="24"/>
              </w:rPr>
            </w:pPr>
            <w:r>
              <w:rPr>
                <w:rFonts w:hint="default"/>
                <w:sz w:val="24"/>
                <w:szCs w:val="24"/>
              </w:rPr>
              <w:t>注：投标响应指标与投标样品、产品检测报告等不一致的，视作负偏离。</w:t>
            </w: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427"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5</w:t>
            </w:r>
          </w:p>
        </w:tc>
        <w:tc>
          <w:tcPr>
            <w:tcW w:w="4109" w:type="pct"/>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【客观分】</w:t>
            </w:r>
          </w:p>
          <w:p>
            <w:pPr>
              <w:rPr>
                <w:rFonts w:hint="default"/>
                <w:sz w:val="24"/>
                <w:szCs w:val="24"/>
              </w:rPr>
            </w:pPr>
            <w:r>
              <w:rPr>
                <w:rFonts w:hint="default"/>
                <w:sz w:val="24"/>
                <w:szCs w:val="24"/>
              </w:rPr>
              <w:t>质保期承诺：质保期在满足招标文件要求的基础上，每增加1年加1分，最高加3分；增加不足1年不加分。</w:t>
            </w: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trPr>
        <w:tc>
          <w:tcPr>
            <w:tcW w:w="427" w:type="pct"/>
            <w:tcBorders>
              <w:top w:val="single" w:color="auto" w:sz="4" w:space="0"/>
              <w:left w:val="single" w:color="auto" w:sz="4" w:space="0"/>
              <w:right w:val="single" w:color="auto" w:sz="4" w:space="0"/>
            </w:tcBorders>
            <w:vAlign w:val="center"/>
          </w:tcPr>
          <w:p>
            <w:pPr>
              <w:jc w:val="center"/>
              <w:rPr>
                <w:rFonts w:hint="default"/>
                <w:sz w:val="24"/>
                <w:szCs w:val="24"/>
              </w:rPr>
            </w:pPr>
            <w:r>
              <w:rPr>
                <w:rFonts w:hint="default"/>
                <w:sz w:val="24"/>
                <w:szCs w:val="24"/>
              </w:rPr>
              <w:t>6</w:t>
            </w:r>
          </w:p>
        </w:tc>
        <w:tc>
          <w:tcPr>
            <w:tcW w:w="4109" w:type="pct"/>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【主观分】</w:t>
            </w:r>
          </w:p>
          <w:p>
            <w:pPr>
              <w:rPr>
                <w:rFonts w:hint="default"/>
                <w:sz w:val="24"/>
                <w:szCs w:val="24"/>
              </w:rPr>
            </w:pPr>
            <w:r>
              <w:rPr>
                <w:rFonts w:hint="default"/>
                <w:sz w:val="24"/>
                <w:szCs w:val="24"/>
              </w:rPr>
              <w:t>投标人针对本项目的采购需求，提供整体实施方案的合理性、全面性及科学性。（评分范围：5、4、3、2、1、0）</w:t>
            </w: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trPr>
        <w:tc>
          <w:tcPr>
            <w:tcW w:w="427" w:type="pct"/>
            <w:tcBorders>
              <w:top w:val="single" w:color="auto" w:sz="4" w:space="0"/>
              <w:left w:val="single" w:color="auto" w:sz="4" w:space="0"/>
              <w:right w:val="single" w:color="auto" w:sz="4" w:space="0"/>
            </w:tcBorders>
            <w:vAlign w:val="center"/>
          </w:tcPr>
          <w:p>
            <w:pPr>
              <w:jc w:val="center"/>
              <w:rPr>
                <w:rFonts w:hint="default"/>
                <w:sz w:val="24"/>
                <w:szCs w:val="24"/>
              </w:rPr>
            </w:pPr>
            <w:r>
              <w:rPr>
                <w:rFonts w:hint="default"/>
                <w:sz w:val="24"/>
                <w:szCs w:val="24"/>
              </w:rPr>
              <w:t>7</w:t>
            </w:r>
          </w:p>
        </w:tc>
        <w:tc>
          <w:tcPr>
            <w:tcW w:w="4109" w:type="pct"/>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【主观分】</w:t>
            </w:r>
          </w:p>
          <w:p>
            <w:pPr>
              <w:rPr>
                <w:rFonts w:hint="default"/>
                <w:sz w:val="24"/>
                <w:szCs w:val="24"/>
              </w:rPr>
            </w:pPr>
            <w:r>
              <w:rPr>
                <w:rFonts w:hint="default"/>
                <w:sz w:val="24"/>
                <w:szCs w:val="24"/>
              </w:rPr>
              <w:t>投标人根据采购人中医特色氛围，对家具款式、样式的设计方案。提供款式效果图，否则不得分。（评分范围：5、4、3、2、1、0）</w:t>
            </w: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427" w:type="pct"/>
            <w:tcBorders>
              <w:top w:val="single" w:color="auto" w:sz="4" w:space="0"/>
              <w:left w:val="single" w:color="auto" w:sz="4" w:space="0"/>
              <w:right w:val="single" w:color="auto" w:sz="4" w:space="0"/>
            </w:tcBorders>
            <w:vAlign w:val="center"/>
          </w:tcPr>
          <w:p>
            <w:pPr>
              <w:jc w:val="center"/>
              <w:rPr>
                <w:rFonts w:hint="default"/>
                <w:sz w:val="24"/>
                <w:szCs w:val="24"/>
              </w:rPr>
            </w:pPr>
            <w:r>
              <w:rPr>
                <w:rFonts w:hint="default"/>
                <w:sz w:val="24"/>
                <w:szCs w:val="24"/>
              </w:rPr>
              <w:t>8</w:t>
            </w:r>
          </w:p>
        </w:tc>
        <w:tc>
          <w:tcPr>
            <w:tcW w:w="4109" w:type="pct"/>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【主观分】</w:t>
            </w:r>
          </w:p>
          <w:p>
            <w:pPr>
              <w:rPr>
                <w:rFonts w:hint="default"/>
                <w:sz w:val="24"/>
                <w:szCs w:val="24"/>
              </w:rPr>
            </w:pPr>
            <w:r>
              <w:rPr>
                <w:rFonts w:hint="default"/>
                <w:sz w:val="24"/>
                <w:szCs w:val="24"/>
              </w:rPr>
              <w:t>投标人针对本项目的供货、安装进度计划方案科学合理性情况。（评分范围：3、2、1、0）</w:t>
            </w: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427" w:type="pct"/>
            <w:tcBorders>
              <w:top w:val="single" w:color="auto" w:sz="4" w:space="0"/>
              <w:left w:val="single" w:color="auto" w:sz="4" w:space="0"/>
              <w:right w:val="single" w:color="auto" w:sz="4" w:space="0"/>
            </w:tcBorders>
            <w:vAlign w:val="center"/>
          </w:tcPr>
          <w:p>
            <w:pPr>
              <w:jc w:val="center"/>
              <w:rPr>
                <w:rFonts w:hint="default"/>
                <w:sz w:val="24"/>
                <w:szCs w:val="24"/>
              </w:rPr>
            </w:pPr>
            <w:r>
              <w:rPr>
                <w:rFonts w:hint="default"/>
                <w:sz w:val="24"/>
                <w:szCs w:val="24"/>
              </w:rPr>
              <w:t>9</w:t>
            </w:r>
          </w:p>
        </w:tc>
        <w:tc>
          <w:tcPr>
            <w:tcW w:w="4109" w:type="pct"/>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【主观分】</w:t>
            </w:r>
          </w:p>
          <w:p>
            <w:pPr>
              <w:rPr>
                <w:rFonts w:hint="default"/>
                <w:sz w:val="24"/>
                <w:szCs w:val="24"/>
              </w:rPr>
            </w:pPr>
            <w:r>
              <w:rPr>
                <w:rFonts w:hint="default"/>
                <w:sz w:val="24"/>
                <w:szCs w:val="24"/>
              </w:rPr>
              <w:t>针对本项目成品在运输、保管、就位等方面的保障措施情况。（评分范围：3、2、1、0）</w:t>
            </w: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427" w:type="pct"/>
            <w:tcBorders>
              <w:top w:val="single" w:color="auto" w:sz="4" w:space="0"/>
              <w:left w:val="single" w:color="auto" w:sz="4" w:space="0"/>
              <w:right w:val="single" w:color="auto" w:sz="4" w:space="0"/>
            </w:tcBorders>
            <w:vAlign w:val="center"/>
          </w:tcPr>
          <w:p>
            <w:pPr>
              <w:jc w:val="center"/>
              <w:rPr>
                <w:rFonts w:hint="default"/>
                <w:sz w:val="24"/>
                <w:szCs w:val="24"/>
              </w:rPr>
            </w:pPr>
            <w:r>
              <w:rPr>
                <w:rFonts w:hint="default"/>
                <w:sz w:val="24"/>
                <w:szCs w:val="24"/>
              </w:rPr>
              <w:t>10</w:t>
            </w:r>
          </w:p>
        </w:tc>
        <w:tc>
          <w:tcPr>
            <w:tcW w:w="4109" w:type="pct"/>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【主观分】质量保证措施：</w:t>
            </w:r>
          </w:p>
          <w:p>
            <w:pPr>
              <w:rPr>
                <w:rFonts w:hint="default"/>
                <w:sz w:val="24"/>
                <w:szCs w:val="24"/>
              </w:rPr>
            </w:pPr>
            <w:r>
              <w:rPr>
                <w:rFonts w:hint="default"/>
                <w:sz w:val="24"/>
                <w:szCs w:val="24"/>
              </w:rPr>
              <w:t>1.原材料的进货渠道、产地及质量保证情况。（评分范围：3、2、1、0）</w:t>
            </w:r>
            <w:r>
              <w:rPr>
                <w:rFonts w:hint="default"/>
                <w:sz w:val="24"/>
                <w:szCs w:val="24"/>
              </w:rPr>
              <w:br w:type="textWrapping"/>
            </w:r>
            <w:r>
              <w:rPr>
                <w:rFonts w:hint="default"/>
                <w:sz w:val="24"/>
                <w:szCs w:val="24"/>
              </w:rPr>
              <w:t>2.生产工艺流程管控：产品制作的加工工艺、流程、技术水平的先进性，及保障措施。（评分范围：3、2、1、0）</w:t>
            </w:r>
            <w:r>
              <w:rPr>
                <w:rFonts w:hint="default"/>
                <w:sz w:val="24"/>
                <w:szCs w:val="24"/>
              </w:rPr>
              <w:br w:type="textWrapping"/>
            </w:r>
            <w:r>
              <w:rPr>
                <w:rFonts w:hint="default"/>
                <w:sz w:val="24"/>
                <w:szCs w:val="24"/>
              </w:rPr>
              <w:t>3.投标人内部管理制度和质量控制标准（设计、生产、保管、发货、安装、调试等规章制度和保障措施）情况。（评分范围：3、2、1、0）</w:t>
            </w: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427" w:type="pct"/>
            <w:tcBorders>
              <w:top w:val="single" w:color="auto" w:sz="4" w:space="0"/>
              <w:left w:val="single" w:color="auto" w:sz="4" w:space="0"/>
              <w:right w:val="single" w:color="auto" w:sz="4" w:space="0"/>
            </w:tcBorders>
            <w:vAlign w:val="center"/>
          </w:tcPr>
          <w:p>
            <w:pPr>
              <w:jc w:val="center"/>
              <w:rPr>
                <w:rFonts w:hint="default"/>
                <w:sz w:val="24"/>
                <w:szCs w:val="24"/>
              </w:rPr>
            </w:pPr>
            <w:r>
              <w:rPr>
                <w:rFonts w:hint="default"/>
                <w:sz w:val="24"/>
                <w:szCs w:val="24"/>
              </w:rPr>
              <w:t>11</w:t>
            </w:r>
          </w:p>
        </w:tc>
        <w:tc>
          <w:tcPr>
            <w:tcW w:w="4109" w:type="pct"/>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【主观分】售后服务措施：</w:t>
            </w:r>
          </w:p>
          <w:p>
            <w:pPr>
              <w:rPr>
                <w:rFonts w:hint="default"/>
                <w:sz w:val="24"/>
                <w:szCs w:val="24"/>
              </w:rPr>
            </w:pPr>
            <w:r>
              <w:rPr>
                <w:rFonts w:hint="default"/>
                <w:sz w:val="24"/>
                <w:szCs w:val="24"/>
              </w:rPr>
              <w:t>1.技术支持和售后服务响应时间承诺，服务范围，维修保养和服务标准。（评分范围：3、2、1、0）</w:t>
            </w:r>
            <w:r>
              <w:rPr>
                <w:rFonts w:hint="default"/>
                <w:sz w:val="24"/>
                <w:szCs w:val="24"/>
              </w:rPr>
              <w:br w:type="textWrapping"/>
            </w:r>
            <w:r>
              <w:rPr>
                <w:rFonts w:hint="default"/>
                <w:sz w:val="24"/>
                <w:szCs w:val="24"/>
              </w:rPr>
              <w:t>2.售后服务机构备品备件储备情况。（评分范围：2、1、0）</w:t>
            </w:r>
            <w:r>
              <w:rPr>
                <w:rFonts w:hint="default"/>
                <w:sz w:val="24"/>
                <w:szCs w:val="24"/>
              </w:rPr>
              <w:br w:type="textWrapping"/>
            </w:r>
            <w:r>
              <w:rPr>
                <w:rFonts w:hint="default"/>
                <w:sz w:val="24"/>
                <w:szCs w:val="24"/>
              </w:rPr>
              <w:t>3.售后服务机构技术服务人员情况，提供姓名、工作经验、资质证书情况。（评分范围：2、1、0）</w:t>
            </w: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427" w:type="pct"/>
            <w:tcBorders>
              <w:top w:val="single" w:color="auto" w:sz="4" w:space="0"/>
              <w:left w:val="single" w:color="auto" w:sz="4" w:space="0"/>
              <w:right w:val="single" w:color="auto" w:sz="4" w:space="0"/>
            </w:tcBorders>
            <w:vAlign w:val="center"/>
          </w:tcPr>
          <w:p>
            <w:pPr>
              <w:jc w:val="center"/>
              <w:rPr>
                <w:rFonts w:hint="default"/>
                <w:sz w:val="24"/>
                <w:szCs w:val="24"/>
              </w:rPr>
            </w:pPr>
            <w:r>
              <w:rPr>
                <w:rFonts w:hint="default"/>
                <w:sz w:val="24"/>
                <w:szCs w:val="24"/>
              </w:rPr>
              <w:t>12</w:t>
            </w:r>
          </w:p>
        </w:tc>
        <w:tc>
          <w:tcPr>
            <w:tcW w:w="4109" w:type="pct"/>
            <w:tcBorders>
              <w:top w:val="single" w:color="auto" w:sz="4" w:space="0"/>
              <w:left w:val="single" w:color="auto" w:sz="4" w:space="0"/>
              <w:bottom w:val="single" w:color="auto" w:sz="4" w:space="0"/>
              <w:right w:val="single" w:color="auto" w:sz="4" w:space="0"/>
            </w:tcBorders>
            <w:vAlign w:val="center"/>
          </w:tcPr>
          <w:p>
            <w:pPr>
              <w:rPr>
                <w:rFonts w:hint="default"/>
                <w:sz w:val="24"/>
                <w:szCs w:val="24"/>
              </w:rPr>
            </w:pPr>
            <w:r>
              <w:rPr>
                <w:rFonts w:hint="default"/>
                <w:sz w:val="24"/>
                <w:szCs w:val="24"/>
              </w:rPr>
              <w:t>【主观分】针对样品质量情况进行评审</w:t>
            </w:r>
          </w:p>
          <w:p>
            <w:pPr>
              <w:rPr>
                <w:rFonts w:hint="default"/>
                <w:sz w:val="24"/>
                <w:szCs w:val="24"/>
              </w:rPr>
            </w:pPr>
            <w:r>
              <w:rPr>
                <w:rFonts w:hint="default"/>
                <w:sz w:val="24"/>
                <w:szCs w:val="24"/>
              </w:rPr>
              <w:t>1.阶梯会议室座椅：</w:t>
            </w:r>
            <w:r>
              <w:rPr>
                <w:rFonts w:hint="default"/>
                <w:sz w:val="24"/>
                <w:szCs w:val="24"/>
              </w:rPr>
              <w:br w:type="textWrapping"/>
            </w:r>
            <w:r>
              <w:rPr>
                <w:rFonts w:hint="default"/>
                <w:sz w:val="24"/>
                <w:szCs w:val="24"/>
              </w:rPr>
              <w:t>①结构设计的合理性。（评分范围：3、2、1、0）</w:t>
            </w:r>
          </w:p>
          <w:p>
            <w:pPr>
              <w:rPr>
                <w:rFonts w:hint="default"/>
                <w:sz w:val="24"/>
                <w:szCs w:val="24"/>
              </w:rPr>
            </w:pPr>
            <w:r>
              <w:rPr>
                <w:rFonts w:hint="default"/>
                <w:sz w:val="24"/>
                <w:szCs w:val="24"/>
              </w:rPr>
              <w:t>②样品整体工艺及牢固性情况。（评分范围：4、3、2、1、0）</w:t>
            </w:r>
          </w:p>
          <w:p>
            <w:pPr>
              <w:rPr>
                <w:rFonts w:hint="default"/>
                <w:sz w:val="24"/>
                <w:szCs w:val="24"/>
              </w:rPr>
            </w:pPr>
            <w:r>
              <w:rPr>
                <w:rFonts w:hint="default"/>
                <w:sz w:val="24"/>
                <w:szCs w:val="24"/>
              </w:rPr>
              <w:t>③样品加工精细程度及细节处理情况。（评分范围：4、3、2、1、0）</w:t>
            </w:r>
          </w:p>
          <w:p>
            <w:pPr>
              <w:rPr>
                <w:rFonts w:hint="default"/>
                <w:sz w:val="24"/>
                <w:szCs w:val="24"/>
              </w:rPr>
            </w:pPr>
            <w:r>
              <w:rPr>
                <w:rFonts w:hint="default"/>
                <w:sz w:val="24"/>
                <w:szCs w:val="24"/>
              </w:rPr>
              <w:t>2.小样（皮面、板材、海绵、五金件）：材质、质量情况。（评分范围：2、1、0）</w:t>
            </w: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13</w:t>
            </w:r>
          </w:p>
        </w:tc>
      </w:tr>
    </w:tbl>
    <w:p>
      <w:pPr>
        <w:ind w:firstLine="480"/>
        <w:rPr>
          <w:rFonts w:hint="default"/>
          <w:sz w:val="24"/>
          <w:szCs w:val="24"/>
        </w:rPr>
      </w:pPr>
    </w:p>
    <w:p>
      <w:pPr>
        <w:pStyle w:val="16"/>
        <w:adjustRightInd w:val="0"/>
        <w:snapToGrid w:val="0"/>
        <w:spacing w:line="360" w:lineRule="auto"/>
        <w:ind w:firstLine="466" w:firstLineChars="200"/>
        <w:rPr>
          <w:rFonts w:hint="default" w:ascii="Times New Roman" w:hAnsi="Times New Roman"/>
          <w:b/>
          <w:bCs/>
          <w:sz w:val="24"/>
        </w:rPr>
      </w:pPr>
      <w:r>
        <w:rPr>
          <w:rFonts w:hint="default" w:ascii="Times New Roman" w:hAnsi="Times New Roman"/>
          <w:b/>
          <w:sz w:val="24"/>
        </w:rPr>
        <w:t>（二）</w:t>
      </w:r>
      <w:r>
        <w:rPr>
          <w:rFonts w:hint="default" w:ascii="Times New Roman" w:hAnsi="Times New Roman"/>
          <w:b/>
          <w:bCs/>
          <w:sz w:val="24"/>
        </w:rPr>
        <w:t>价格分（</w:t>
      </w:r>
      <w:r>
        <w:rPr>
          <w:rFonts w:hint="default" w:ascii="Times New Roman" w:hAnsi="Times New Roman"/>
          <w:b/>
          <w:bCs/>
          <w:sz w:val="24"/>
          <w:u w:val="single"/>
        </w:rPr>
        <w:t>3</w:t>
      </w:r>
      <w:r>
        <w:rPr>
          <w:rFonts w:ascii="Times New Roman" w:hAnsi="Times New Roman"/>
          <w:b/>
          <w:bCs/>
          <w:sz w:val="24"/>
          <w:u w:val="single"/>
        </w:rPr>
        <w:t>0</w:t>
      </w:r>
      <w:r>
        <w:rPr>
          <w:rFonts w:hint="default" w:ascii="Times New Roman" w:hAnsi="Times New Roman"/>
          <w:b/>
          <w:bCs/>
          <w:sz w:val="24"/>
        </w:rPr>
        <w:t>分）</w:t>
      </w:r>
    </w:p>
    <w:p>
      <w:pPr>
        <w:pStyle w:val="16"/>
        <w:adjustRightInd w:val="0"/>
        <w:snapToGrid w:val="0"/>
        <w:spacing w:line="360" w:lineRule="auto"/>
        <w:ind w:firstLine="464" w:firstLineChars="200"/>
        <w:rPr>
          <w:rFonts w:hint="default" w:ascii="Times New Roman" w:hAnsi="Times New Roman"/>
          <w:bCs/>
          <w:sz w:val="24"/>
          <w:szCs w:val="24"/>
        </w:rPr>
      </w:pPr>
      <w:r>
        <w:rPr>
          <w:rFonts w:hint="default" w:ascii="Times New Roman" w:hAnsi="Times New Roman"/>
          <w:bCs/>
          <w:sz w:val="24"/>
        </w:rPr>
        <w:t>价格分</w:t>
      </w:r>
      <w:r>
        <w:rPr>
          <w:rFonts w:hint="default" w:ascii="Times New Roman" w:hAnsi="Times New Roman"/>
          <w:bCs/>
          <w:sz w:val="24"/>
          <w:szCs w:val="24"/>
        </w:rPr>
        <w:t>采用低价优先法计算，即满足招标文件要求且投标价格最低的投标报价为评标基准价，其价格分为满分。其他投标人的价格分按照下列公式计算：</w:t>
      </w:r>
    </w:p>
    <w:p>
      <w:pPr>
        <w:adjustRightInd w:val="0"/>
        <w:snapToGrid w:val="0"/>
        <w:spacing w:line="360" w:lineRule="auto"/>
        <w:ind w:firstLine="470" w:firstLineChars="196"/>
        <w:rPr>
          <w:rFonts w:hint="default"/>
        </w:rPr>
      </w:pPr>
      <w:r>
        <w:rPr>
          <w:rFonts w:hint="default"/>
          <w:sz w:val="24"/>
        </w:rPr>
        <w:t>价格分=（评标基准价/投标报价）×</w:t>
      </w:r>
      <w:r>
        <w:rPr>
          <w:sz w:val="24"/>
          <w:u w:val="single"/>
        </w:rPr>
        <w:t>30</w:t>
      </w:r>
      <w:r>
        <w:rPr>
          <w:rFonts w:hint="default"/>
          <w:sz w:val="24"/>
        </w:rPr>
        <w:t>%×100</w:t>
      </w:r>
    </w:p>
    <w:p>
      <w:pPr>
        <w:autoSpaceDE w:val="0"/>
        <w:autoSpaceDN w:val="0"/>
        <w:adjustRightInd w:val="0"/>
        <w:snapToGrid w:val="0"/>
        <w:spacing w:line="360" w:lineRule="auto"/>
        <w:ind w:firstLine="482"/>
        <w:rPr>
          <w:rFonts w:hint="default" w:ascii="宋体" w:hAnsi="宋体" w:cs="宋体"/>
          <w:b/>
          <w:spacing w:val="-4"/>
        </w:rPr>
      </w:pPr>
      <w:r>
        <w:rPr>
          <w:rFonts w:ascii="宋体" w:cs="仿宋_GB2312"/>
          <w:b/>
          <w:bCs/>
          <w:sz w:val="24"/>
          <w:lang w:val="zh-CN"/>
        </w:rPr>
        <w:t>落实政府采购政策说明：</w:t>
      </w:r>
      <w:r>
        <w:rPr>
          <w:rFonts w:ascii="宋体" w:cs="仿宋_GB2312"/>
          <w:b/>
          <w:bCs/>
          <w:sz w:val="24"/>
        </w:rPr>
        <w:t>详见前附表</w:t>
      </w:r>
      <w:r>
        <w:rPr>
          <w:rFonts w:ascii="宋体" w:cs="仿宋_GB2312"/>
          <w:b/>
          <w:bCs/>
          <w:sz w:val="24"/>
          <w:lang w:val="zh-CN"/>
        </w:rPr>
        <w:t>。</w:t>
      </w:r>
    </w:p>
    <w:p>
      <w:pPr>
        <w:spacing w:line="360" w:lineRule="auto"/>
        <w:ind w:firstLine="482" w:firstLineChars="200"/>
        <w:rPr>
          <w:rFonts w:hint="default"/>
          <w:b/>
          <w:sz w:val="24"/>
          <w:szCs w:val="24"/>
        </w:rPr>
      </w:pPr>
      <w:r>
        <w:rPr>
          <w:b/>
          <w:sz w:val="24"/>
          <w:szCs w:val="24"/>
        </w:rPr>
        <w:t>五</w:t>
      </w:r>
      <w:r>
        <w:rPr>
          <w:rFonts w:hint="default"/>
          <w:b/>
          <w:sz w:val="24"/>
          <w:szCs w:val="24"/>
        </w:rPr>
        <w:t>、询标</w:t>
      </w:r>
    </w:p>
    <w:p>
      <w:pPr>
        <w:pStyle w:val="16"/>
        <w:adjustRightInd w:val="0"/>
        <w:snapToGrid w:val="0"/>
        <w:spacing w:line="360" w:lineRule="auto"/>
        <w:ind w:firstLine="464" w:firstLineChars="200"/>
        <w:rPr>
          <w:rFonts w:hint="default" w:ascii="Times New Roman" w:hAnsi="Times New Roman"/>
          <w:bCs/>
          <w:sz w:val="24"/>
        </w:rPr>
      </w:pPr>
      <w:r>
        <w:rPr>
          <w:rFonts w:hint="default" w:ascii="Times New Roman" w:hAnsi="Times New Roman"/>
          <w:bCs/>
          <w:sz w:val="24"/>
        </w:rPr>
        <w:t>对投标文件中存在含义不清楚的内容，必要时评标委员会要求</w:t>
      </w:r>
      <w:r>
        <w:rPr>
          <w:rFonts w:ascii="Times New Roman" w:hAnsi="Times New Roman"/>
          <w:bCs/>
          <w:sz w:val="24"/>
        </w:rPr>
        <w:t>供应商</w:t>
      </w:r>
      <w:r>
        <w:rPr>
          <w:rFonts w:hint="default" w:ascii="Times New Roman" w:hAnsi="Times New Roman"/>
          <w:bCs/>
          <w:sz w:val="24"/>
        </w:rPr>
        <w:t>作必要的澄清、说明或补正。询标记录需</w:t>
      </w:r>
      <w:r>
        <w:rPr>
          <w:rFonts w:ascii="Times New Roman" w:hAnsi="Times New Roman"/>
          <w:bCs/>
          <w:sz w:val="24"/>
        </w:rPr>
        <w:t>供应商</w:t>
      </w:r>
      <w:r>
        <w:rPr>
          <w:rFonts w:hint="default" w:ascii="Times New Roman" w:hAnsi="Times New Roman"/>
          <w:bCs/>
          <w:sz w:val="24"/>
        </w:rPr>
        <w:t>授权代表签字确认</w:t>
      </w:r>
      <w:r>
        <w:rPr>
          <w:rFonts w:ascii="Times New Roman" w:hAnsi="Times New Roman"/>
          <w:bCs/>
          <w:sz w:val="24"/>
        </w:rPr>
        <w:t>或供应商盖章确认</w:t>
      </w:r>
      <w:r>
        <w:rPr>
          <w:rFonts w:hint="default" w:ascii="Times New Roman" w:hAnsi="Times New Roman"/>
          <w:bCs/>
          <w:sz w:val="24"/>
        </w:rPr>
        <w:t>，它将作为投标文件的一部分。</w:t>
      </w:r>
    </w:p>
    <w:p>
      <w:pPr>
        <w:spacing w:line="360" w:lineRule="auto"/>
        <w:ind w:firstLine="482" w:firstLineChars="200"/>
        <w:rPr>
          <w:rFonts w:hint="default"/>
          <w:b/>
          <w:sz w:val="24"/>
          <w:szCs w:val="24"/>
        </w:rPr>
      </w:pPr>
      <w:r>
        <w:rPr>
          <w:b/>
          <w:sz w:val="24"/>
          <w:szCs w:val="24"/>
        </w:rPr>
        <w:t>六、修改评标结果</w:t>
      </w:r>
    </w:p>
    <w:p>
      <w:pPr>
        <w:pStyle w:val="16"/>
        <w:adjustRightInd w:val="0"/>
        <w:snapToGrid w:val="0"/>
        <w:spacing w:line="360" w:lineRule="auto"/>
        <w:ind w:firstLine="464" w:firstLineChars="200"/>
        <w:rPr>
          <w:rFonts w:hint="default" w:ascii="Times New Roman" w:hAnsi="Times New Roman"/>
          <w:bCs/>
          <w:sz w:val="24"/>
        </w:rPr>
      </w:pPr>
      <w:r>
        <w:rPr>
          <w:rFonts w:hint="default" w:ascii="Times New Roman" w:hAnsi="Times New Roman"/>
          <w:bCs/>
          <w:sz w:val="24"/>
        </w:rPr>
        <w:t>评标结果汇总完成后，除下列情形外，任何人不得修改评标结果：</w:t>
      </w:r>
    </w:p>
    <w:p>
      <w:pPr>
        <w:pStyle w:val="16"/>
        <w:adjustRightInd w:val="0"/>
        <w:snapToGrid w:val="0"/>
        <w:spacing w:line="360" w:lineRule="auto"/>
        <w:ind w:firstLine="464" w:firstLineChars="200"/>
        <w:rPr>
          <w:rFonts w:hint="default" w:ascii="Times New Roman" w:hAnsi="Times New Roman"/>
          <w:bCs/>
          <w:sz w:val="24"/>
        </w:rPr>
      </w:pPr>
      <w:r>
        <w:rPr>
          <w:rFonts w:hint="default" w:ascii="Times New Roman" w:hAnsi="Times New Roman"/>
          <w:bCs/>
          <w:sz w:val="24"/>
        </w:rPr>
        <w:t>（一）分值汇总计算错误的</w:t>
      </w:r>
      <w:r>
        <w:rPr>
          <w:rFonts w:ascii="Times New Roman" w:hAnsi="Times New Roman"/>
          <w:bCs/>
          <w:sz w:val="24"/>
        </w:rPr>
        <w:t>；</w:t>
      </w:r>
    </w:p>
    <w:p>
      <w:pPr>
        <w:pStyle w:val="16"/>
        <w:adjustRightInd w:val="0"/>
        <w:snapToGrid w:val="0"/>
        <w:spacing w:line="360" w:lineRule="auto"/>
        <w:ind w:firstLine="464" w:firstLineChars="200"/>
        <w:rPr>
          <w:rFonts w:hint="default" w:ascii="Times New Roman" w:hAnsi="Times New Roman"/>
          <w:bCs/>
          <w:sz w:val="24"/>
        </w:rPr>
      </w:pPr>
      <w:r>
        <w:rPr>
          <w:rFonts w:hint="default" w:ascii="Times New Roman" w:hAnsi="Times New Roman"/>
          <w:bCs/>
          <w:sz w:val="24"/>
        </w:rPr>
        <w:t>（二）分项评分超出评分标准范围的；</w:t>
      </w:r>
    </w:p>
    <w:p>
      <w:pPr>
        <w:pStyle w:val="16"/>
        <w:adjustRightInd w:val="0"/>
        <w:snapToGrid w:val="0"/>
        <w:spacing w:line="360" w:lineRule="auto"/>
        <w:ind w:firstLine="464" w:firstLineChars="200"/>
        <w:rPr>
          <w:rFonts w:hint="default" w:ascii="Times New Roman" w:hAnsi="Times New Roman"/>
          <w:bCs/>
          <w:sz w:val="24"/>
        </w:rPr>
      </w:pPr>
      <w:r>
        <w:rPr>
          <w:rFonts w:hint="default" w:ascii="Times New Roman" w:hAnsi="Times New Roman"/>
          <w:bCs/>
          <w:sz w:val="24"/>
        </w:rPr>
        <w:t>（三）评标委员会成员对客观评审因素评分不一致的；</w:t>
      </w:r>
    </w:p>
    <w:p>
      <w:pPr>
        <w:pStyle w:val="16"/>
        <w:adjustRightInd w:val="0"/>
        <w:snapToGrid w:val="0"/>
        <w:spacing w:line="360" w:lineRule="auto"/>
        <w:ind w:firstLine="464" w:firstLineChars="200"/>
        <w:rPr>
          <w:rFonts w:hint="default" w:ascii="Times New Roman" w:hAnsi="Times New Roman"/>
          <w:bCs/>
          <w:sz w:val="24"/>
        </w:rPr>
        <w:sectPr>
          <w:headerReference r:id="rId8" w:type="default"/>
          <w:footerReference r:id="rId9" w:type="default"/>
          <w:pgSz w:w="11906" w:h="16838"/>
          <w:pgMar w:top="1134" w:right="1247" w:bottom="1247" w:left="1304" w:header="794" w:footer="794" w:gutter="0"/>
          <w:cols w:space="720" w:num="1"/>
          <w:docGrid w:linePitch="312" w:charSpace="0"/>
        </w:sectPr>
      </w:pPr>
      <w:r>
        <w:rPr>
          <w:rFonts w:hint="default" w:ascii="Times New Roman" w:hAnsi="Times New Roman"/>
          <w:bCs/>
          <w:sz w:val="24"/>
        </w:rPr>
        <w:t>（四）经评标委员会认定评分畸高、畸低的。</w:t>
      </w:r>
    </w:p>
    <w:p>
      <w:pPr>
        <w:pStyle w:val="7"/>
        <w:snapToGrid w:val="0"/>
        <w:spacing w:before="120" w:after="120" w:line="360" w:lineRule="auto"/>
        <w:ind w:firstLine="723"/>
        <w:jc w:val="center"/>
        <w:outlineLvl w:val="0"/>
        <w:rPr>
          <w:rFonts w:hint="default" w:ascii="Times New Roman" w:hAnsi="Times New Roman"/>
          <w:b/>
          <w:sz w:val="36"/>
          <w:szCs w:val="36"/>
        </w:rPr>
      </w:pPr>
      <w:bookmarkStart w:id="59" w:name="_Toc5663"/>
      <w:r>
        <w:rPr>
          <w:rFonts w:hint="default" w:ascii="Times New Roman" w:hAnsi="Times New Roman"/>
          <w:b/>
          <w:sz w:val="36"/>
          <w:szCs w:val="36"/>
        </w:rPr>
        <w:t>第四章采购内容及需求</w:t>
      </w:r>
      <w:bookmarkEnd w:id="59"/>
    </w:p>
    <w:p>
      <w:pPr>
        <w:spacing w:line="360" w:lineRule="auto"/>
        <w:ind w:firstLine="482"/>
        <w:jc w:val="left"/>
        <w:rPr>
          <w:rFonts w:hint="default"/>
          <w:b/>
          <w:sz w:val="24"/>
          <w:szCs w:val="24"/>
        </w:rPr>
      </w:pPr>
      <w:r>
        <w:rPr>
          <w:rFonts w:hint="default"/>
          <w:b/>
          <w:sz w:val="24"/>
          <w:szCs w:val="24"/>
        </w:rPr>
        <w:t>一、内容概要</w:t>
      </w:r>
    </w:p>
    <w:p>
      <w:pPr>
        <w:spacing w:line="360" w:lineRule="auto"/>
        <w:ind w:firstLine="480" w:firstLineChars="200"/>
        <w:jc w:val="left"/>
        <w:rPr>
          <w:rFonts w:hint="default"/>
          <w:sz w:val="24"/>
          <w:szCs w:val="24"/>
        </w:rPr>
      </w:pPr>
      <w:r>
        <w:rPr>
          <w:rFonts w:hint="default"/>
          <w:sz w:val="24"/>
          <w:szCs w:val="24"/>
        </w:rPr>
        <w:t>1、本次招标为浙江省中医院钱塘院区4号楼阶梯会议室家具采购，采购总预算99万元，要求供应商提供的货物必须是全新的未曾使用过的合格产品。</w:t>
      </w:r>
    </w:p>
    <w:p>
      <w:pPr>
        <w:spacing w:line="360" w:lineRule="auto"/>
        <w:ind w:firstLine="480" w:firstLineChars="200"/>
        <w:jc w:val="left"/>
        <w:rPr>
          <w:rFonts w:hint="default"/>
          <w:sz w:val="24"/>
          <w:szCs w:val="24"/>
        </w:rPr>
      </w:pPr>
      <w:r>
        <w:rPr>
          <w:rFonts w:hint="default"/>
          <w:sz w:val="24"/>
          <w:szCs w:val="24"/>
        </w:rPr>
        <w:t>2、交货期：按采购人要求按需供货，接到采购人供货通知后40天内将货物送到采购人指定地点并安装完成</w:t>
      </w:r>
      <w:r>
        <w:rPr>
          <w:sz w:val="24"/>
          <w:szCs w:val="24"/>
        </w:rPr>
        <w:t>；</w:t>
      </w:r>
      <w:r>
        <w:rPr>
          <w:sz w:val="24"/>
          <w:szCs w:val="24"/>
        </w:rPr>
        <w:br w:type="textWrapping"/>
      </w:r>
      <w:r>
        <w:rPr>
          <w:sz w:val="24"/>
          <w:szCs w:val="24"/>
        </w:rPr>
        <w:t xml:space="preserve">    交货地点：</w:t>
      </w:r>
      <w:r>
        <w:rPr>
          <w:rFonts w:hint="default"/>
          <w:sz w:val="24"/>
          <w:szCs w:val="24"/>
        </w:rPr>
        <w:t>浙江省杭州市钱塘区白杨街道9号大街9号。</w:t>
      </w:r>
    </w:p>
    <w:p>
      <w:pPr>
        <w:spacing w:line="360" w:lineRule="auto"/>
        <w:ind w:firstLine="480" w:firstLineChars="200"/>
        <w:jc w:val="left"/>
        <w:rPr>
          <w:rFonts w:hint="default"/>
          <w:sz w:val="24"/>
          <w:szCs w:val="24"/>
        </w:rPr>
      </w:pPr>
      <w:r>
        <w:rPr>
          <w:rFonts w:hint="default"/>
          <w:sz w:val="24"/>
          <w:szCs w:val="24"/>
        </w:rPr>
        <w:t>3、要求中标供应商在合同签订后、产品供货前先制作/提供实样，经业主确认后方可批量生产和供货。</w:t>
      </w:r>
    </w:p>
    <w:p>
      <w:pPr>
        <w:pStyle w:val="16"/>
        <w:spacing w:line="360" w:lineRule="auto"/>
        <w:ind w:firstLine="466"/>
        <w:rPr>
          <w:rFonts w:hint="default" w:ascii="Times New Roman" w:hAnsi="Times New Roman"/>
          <w:b/>
          <w:bCs/>
          <w:sz w:val="24"/>
          <w:szCs w:val="24"/>
        </w:rPr>
      </w:pPr>
      <w:r>
        <w:rPr>
          <w:rFonts w:hint="default" w:ascii="Times New Roman" w:hAnsi="Times New Roman"/>
          <w:b/>
          <w:bCs/>
          <w:sz w:val="24"/>
          <w:szCs w:val="24"/>
        </w:rPr>
        <w:t>二、货物需求一览表</w:t>
      </w:r>
    </w:p>
    <w:p>
      <w:pPr>
        <w:spacing w:line="360" w:lineRule="auto"/>
        <w:ind w:firstLine="482"/>
        <w:jc w:val="left"/>
        <w:rPr>
          <w:rFonts w:hint="default"/>
          <w:sz w:val="24"/>
          <w:szCs w:val="24"/>
        </w:rPr>
      </w:pPr>
      <w:r>
        <w:rPr>
          <w:rFonts w:hint="default"/>
          <w:b/>
          <w:bCs/>
          <w:sz w:val="24"/>
          <w:szCs w:val="24"/>
        </w:rPr>
        <w:t>1、货物数量、效果图及主要尺寸规格表：</w:t>
      </w:r>
    </w:p>
    <w:tbl>
      <w:tblPr>
        <w:tblStyle w:val="41"/>
        <w:tblW w:w="49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4"/>
        <w:gridCol w:w="1336"/>
        <w:gridCol w:w="2519"/>
        <w:gridCol w:w="3262"/>
        <w:gridCol w:w="935"/>
        <w:gridCol w:w="10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37" w:type="pct"/>
            <w:vAlign w:val="center"/>
          </w:tcPr>
          <w:p>
            <w:pPr>
              <w:jc w:val="center"/>
              <w:rPr>
                <w:rFonts w:hint="default"/>
                <w:sz w:val="24"/>
                <w:szCs w:val="24"/>
              </w:rPr>
            </w:pPr>
            <w:r>
              <w:rPr>
                <w:rFonts w:hint="default"/>
                <w:sz w:val="24"/>
                <w:szCs w:val="24"/>
              </w:rPr>
              <w:t>序号</w:t>
            </w:r>
          </w:p>
        </w:tc>
        <w:tc>
          <w:tcPr>
            <w:tcW w:w="697" w:type="pct"/>
            <w:vAlign w:val="center"/>
          </w:tcPr>
          <w:p>
            <w:pPr>
              <w:jc w:val="center"/>
              <w:rPr>
                <w:rFonts w:hint="default"/>
                <w:sz w:val="24"/>
                <w:szCs w:val="24"/>
              </w:rPr>
            </w:pPr>
            <w:r>
              <w:rPr>
                <w:rFonts w:hint="default"/>
                <w:sz w:val="24"/>
                <w:szCs w:val="24"/>
              </w:rPr>
              <w:t>标的名称</w:t>
            </w:r>
          </w:p>
        </w:tc>
        <w:tc>
          <w:tcPr>
            <w:tcW w:w="1316" w:type="pct"/>
            <w:vAlign w:val="center"/>
          </w:tcPr>
          <w:p>
            <w:pPr>
              <w:jc w:val="center"/>
              <w:rPr>
                <w:rFonts w:hint="default"/>
                <w:sz w:val="24"/>
                <w:szCs w:val="24"/>
              </w:rPr>
            </w:pPr>
            <w:r>
              <w:rPr>
                <w:rFonts w:hint="default"/>
                <w:sz w:val="24"/>
                <w:szCs w:val="24"/>
              </w:rPr>
              <w:t>效果图</w:t>
            </w:r>
          </w:p>
        </w:tc>
        <w:tc>
          <w:tcPr>
            <w:tcW w:w="1705" w:type="pct"/>
            <w:vAlign w:val="center"/>
          </w:tcPr>
          <w:p>
            <w:pPr>
              <w:jc w:val="center"/>
              <w:rPr>
                <w:rFonts w:hint="default"/>
                <w:sz w:val="24"/>
                <w:szCs w:val="24"/>
              </w:rPr>
            </w:pPr>
            <w:r>
              <w:rPr>
                <w:rFonts w:hint="default"/>
                <w:sz w:val="24"/>
                <w:szCs w:val="24"/>
              </w:rPr>
              <w:t>主要尺寸</w:t>
            </w:r>
          </w:p>
        </w:tc>
        <w:tc>
          <w:tcPr>
            <w:tcW w:w="489" w:type="pct"/>
            <w:vAlign w:val="center"/>
          </w:tcPr>
          <w:p>
            <w:pPr>
              <w:jc w:val="center"/>
              <w:rPr>
                <w:rFonts w:hint="default"/>
                <w:sz w:val="24"/>
                <w:szCs w:val="24"/>
              </w:rPr>
            </w:pPr>
            <w:r>
              <w:rPr>
                <w:rFonts w:hint="default"/>
                <w:sz w:val="24"/>
                <w:szCs w:val="24"/>
              </w:rPr>
              <w:t>单位</w:t>
            </w:r>
          </w:p>
        </w:tc>
        <w:tc>
          <w:tcPr>
            <w:tcW w:w="552" w:type="pct"/>
            <w:vAlign w:val="center"/>
          </w:tcPr>
          <w:p>
            <w:pPr>
              <w:jc w:val="center"/>
              <w:rPr>
                <w:rFonts w:hint="default"/>
                <w:sz w:val="24"/>
                <w:szCs w:val="24"/>
              </w:rPr>
            </w:pPr>
            <w:r>
              <w:rPr>
                <w:rFonts w:hint="default"/>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3" w:hRule="atLeast"/>
          <w:jc w:val="center"/>
        </w:trPr>
        <w:tc>
          <w:tcPr>
            <w:tcW w:w="237" w:type="pct"/>
            <w:vAlign w:val="center"/>
          </w:tcPr>
          <w:p>
            <w:pPr>
              <w:jc w:val="center"/>
              <w:rPr>
                <w:rFonts w:hint="default"/>
                <w:sz w:val="24"/>
                <w:szCs w:val="24"/>
              </w:rPr>
            </w:pPr>
            <w:r>
              <w:rPr>
                <w:rFonts w:hint="default"/>
                <w:sz w:val="24"/>
                <w:szCs w:val="24"/>
              </w:rPr>
              <w:t>1</w:t>
            </w:r>
          </w:p>
        </w:tc>
        <w:tc>
          <w:tcPr>
            <w:tcW w:w="697" w:type="pct"/>
            <w:vAlign w:val="center"/>
          </w:tcPr>
          <w:p>
            <w:pPr>
              <w:jc w:val="center"/>
              <w:rPr>
                <w:rFonts w:hint="default"/>
                <w:sz w:val="24"/>
                <w:szCs w:val="24"/>
              </w:rPr>
            </w:pPr>
            <w:r>
              <w:rPr>
                <w:rFonts w:hint="default"/>
                <w:b/>
                <w:bCs/>
                <w:sz w:val="24"/>
                <w:szCs w:val="24"/>
              </w:rPr>
              <w:t>阶梯会议室座椅（核心产品）</w:t>
            </w:r>
          </w:p>
        </w:tc>
        <w:tc>
          <w:tcPr>
            <w:tcW w:w="1316" w:type="pct"/>
            <w:vAlign w:val="center"/>
          </w:tcPr>
          <w:p>
            <w:pPr>
              <w:rPr>
                <w:rFonts w:hint="default"/>
                <w:sz w:val="24"/>
                <w:szCs w:val="24"/>
              </w:rPr>
            </w:pPr>
            <w:r>
              <w:rPr>
                <w:rFonts w:hint="default"/>
                <w:sz w:val="24"/>
                <w:szCs w:val="24"/>
              </w:rPr>
              <w:drawing>
                <wp:inline distT="0" distB="0" distL="0" distR="0">
                  <wp:extent cx="1238885" cy="821055"/>
                  <wp:effectExtent l="0" t="0" r="0" b="0"/>
                  <wp:docPr id="11"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
                          <pic:cNvPicPr>
                            <a:picLocks noChangeAspect="1"/>
                          </pic:cNvPicPr>
                        </pic:nvPicPr>
                        <pic:blipFill>
                          <a:blip r:embed="rId13"/>
                          <a:stretch>
                            <a:fillRect/>
                          </a:stretch>
                        </pic:blipFill>
                        <pic:spPr>
                          <a:xfrm>
                            <a:off x="0" y="0"/>
                            <a:ext cx="1250997" cy="828926"/>
                          </a:xfrm>
                          <a:prstGeom prst="rect">
                            <a:avLst/>
                          </a:prstGeom>
                        </pic:spPr>
                      </pic:pic>
                    </a:graphicData>
                  </a:graphic>
                </wp:inline>
              </w:drawing>
            </w:r>
          </w:p>
        </w:tc>
        <w:tc>
          <w:tcPr>
            <w:tcW w:w="1705" w:type="pct"/>
            <w:vAlign w:val="center"/>
          </w:tcPr>
          <w:p>
            <w:pPr>
              <w:jc w:val="center"/>
              <w:rPr>
                <w:rFonts w:hint="default"/>
                <w:sz w:val="24"/>
                <w:szCs w:val="24"/>
              </w:rPr>
            </w:pPr>
            <w:r>
              <w:rPr>
                <w:rFonts w:hint="default"/>
                <w:sz w:val="24"/>
                <w:szCs w:val="24"/>
              </w:rPr>
              <w:t>座椅基本中心距600mm，基本座高430mm，基本椅深735mm，基本椅高990mm</w:t>
            </w:r>
          </w:p>
        </w:tc>
        <w:tc>
          <w:tcPr>
            <w:tcW w:w="489" w:type="pct"/>
            <w:vAlign w:val="center"/>
          </w:tcPr>
          <w:p>
            <w:pPr>
              <w:jc w:val="center"/>
              <w:rPr>
                <w:rFonts w:hint="default"/>
                <w:sz w:val="24"/>
                <w:szCs w:val="24"/>
              </w:rPr>
            </w:pPr>
            <w:r>
              <w:rPr>
                <w:rFonts w:hint="default"/>
                <w:sz w:val="24"/>
                <w:szCs w:val="24"/>
              </w:rPr>
              <w:t>位</w:t>
            </w:r>
          </w:p>
        </w:tc>
        <w:tc>
          <w:tcPr>
            <w:tcW w:w="552" w:type="pct"/>
            <w:vAlign w:val="center"/>
          </w:tcPr>
          <w:p>
            <w:pPr>
              <w:jc w:val="center"/>
              <w:rPr>
                <w:rFonts w:hint="default"/>
                <w:sz w:val="24"/>
                <w:szCs w:val="24"/>
              </w:rPr>
            </w:pPr>
            <w:r>
              <w:rPr>
                <w:rFonts w:hint="default"/>
                <w:sz w:val="24"/>
                <w:szCs w:val="24"/>
              </w:rPr>
              <w:t>360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2" w:hRule="atLeast"/>
          <w:jc w:val="center"/>
        </w:trPr>
        <w:tc>
          <w:tcPr>
            <w:tcW w:w="237" w:type="pct"/>
            <w:vAlign w:val="center"/>
          </w:tcPr>
          <w:p>
            <w:pPr>
              <w:jc w:val="center"/>
              <w:rPr>
                <w:rFonts w:hint="default"/>
                <w:sz w:val="24"/>
                <w:szCs w:val="24"/>
              </w:rPr>
            </w:pPr>
            <w:r>
              <w:rPr>
                <w:rFonts w:hint="default"/>
                <w:sz w:val="24"/>
                <w:szCs w:val="24"/>
              </w:rPr>
              <w:t>2</w:t>
            </w:r>
          </w:p>
        </w:tc>
        <w:tc>
          <w:tcPr>
            <w:tcW w:w="697" w:type="pct"/>
            <w:vAlign w:val="center"/>
          </w:tcPr>
          <w:p>
            <w:pPr>
              <w:jc w:val="center"/>
              <w:rPr>
                <w:rFonts w:hint="default"/>
                <w:sz w:val="24"/>
                <w:szCs w:val="24"/>
              </w:rPr>
            </w:pPr>
            <w:r>
              <w:rPr>
                <w:rFonts w:hint="default"/>
                <w:sz w:val="24"/>
                <w:szCs w:val="24"/>
              </w:rPr>
              <w:t>普通会议桌</w:t>
            </w:r>
          </w:p>
        </w:tc>
        <w:tc>
          <w:tcPr>
            <w:tcW w:w="1316" w:type="pct"/>
            <w:vAlign w:val="center"/>
          </w:tcPr>
          <w:p>
            <w:pPr>
              <w:rPr>
                <w:rFonts w:hint="default"/>
                <w:sz w:val="24"/>
                <w:szCs w:val="24"/>
              </w:rPr>
            </w:pPr>
            <w:r>
              <w:rPr>
                <w:rFonts w:hint="default"/>
                <w:sz w:val="24"/>
                <w:szCs w:val="24"/>
              </w:rPr>
              <w:drawing>
                <wp:inline distT="0" distB="0" distL="0" distR="0">
                  <wp:extent cx="1400175" cy="876300"/>
                  <wp:effectExtent l="0" t="0" r="9525"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a:xfrm>
                            <a:off x="0" y="0"/>
                            <a:ext cx="1400175" cy="876300"/>
                          </a:xfrm>
                          <a:prstGeom prst="rect">
                            <a:avLst/>
                          </a:prstGeom>
                          <a:noFill/>
                          <a:ln>
                            <a:noFill/>
                          </a:ln>
                          <a:effectLst/>
                        </pic:spPr>
                      </pic:pic>
                    </a:graphicData>
                  </a:graphic>
                </wp:inline>
              </w:drawing>
            </w:r>
          </w:p>
        </w:tc>
        <w:tc>
          <w:tcPr>
            <w:tcW w:w="1705" w:type="pct"/>
            <w:vAlign w:val="center"/>
          </w:tcPr>
          <w:p>
            <w:pPr>
              <w:jc w:val="center"/>
              <w:rPr>
                <w:rFonts w:hint="default"/>
                <w:sz w:val="24"/>
                <w:szCs w:val="24"/>
              </w:rPr>
            </w:pPr>
            <w:r>
              <w:rPr>
                <w:rFonts w:hint="default"/>
                <w:sz w:val="24"/>
                <w:szCs w:val="24"/>
              </w:rPr>
              <w:t>1280W*400D*750H</w:t>
            </w:r>
          </w:p>
          <w:p>
            <w:pPr>
              <w:jc w:val="center"/>
              <w:rPr>
                <w:rFonts w:hint="default"/>
                <w:sz w:val="24"/>
                <w:szCs w:val="24"/>
              </w:rPr>
            </w:pPr>
            <w:r>
              <w:rPr>
                <w:rFonts w:hint="default"/>
                <w:sz w:val="24"/>
                <w:szCs w:val="24"/>
              </w:rPr>
              <w:t>（单位：mm）</w:t>
            </w:r>
          </w:p>
        </w:tc>
        <w:tc>
          <w:tcPr>
            <w:tcW w:w="489" w:type="pct"/>
            <w:vAlign w:val="center"/>
          </w:tcPr>
          <w:p>
            <w:pPr>
              <w:jc w:val="center"/>
              <w:rPr>
                <w:rFonts w:hint="default"/>
                <w:sz w:val="24"/>
                <w:szCs w:val="24"/>
              </w:rPr>
            </w:pPr>
            <w:r>
              <w:rPr>
                <w:rFonts w:hint="default"/>
                <w:sz w:val="24"/>
                <w:szCs w:val="24"/>
              </w:rPr>
              <w:t>张</w:t>
            </w:r>
          </w:p>
        </w:tc>
        <w:tc>
          <w:tcPr>
            <w:tcW w:w="552" w:type="pct"/>
            <w:vAlign w:val="center"/>
          </w:tcPr>
          <w:p>
            <w:pPr>
              <w:jc w:val="center"/>
              <w:rPr>
                <w:rFonts w:hint="default"/>
                <w:sz w:val="24"/>
                <w:szCs w:val="24"/>
              </w:rPr>
            </w:pPr>
            <w:r>
              <w:rPr>
                <w:rFonts w:hint="default"/>
                <w:sz w:val="24"/>
                <w:szCs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6" w:hRule="atLeast"/>
          <w:jc w:val="center"/>
        </w:trPr>
        <w:tc>
          <w:tcPr>
            <w:tcW w:w="237" w:type="pct"/>
            <w:vAlign w:val="center"/>
          </w:tcPr>
          <w:p>
            <w:pPr>
              <w:jc w:val="center"/>
              <w:rPr>
                <w:rFonts w:hint="default"/>
                <w:sz w:val="24"/>
                <w:szCs w:val="24"/>
              </w:rPr>
            </w:pPr>
            <w:r>
              <w:rPr>
                <w:rFonts w:hint="default"/>
                <w:sz w:val="24"/>
                <w:szCs w:val="24"/>
              </w:rPr>
              <w:t>3</w:t>
            </w:r>
          </w:p>
        </w:tc>
        <w:tc>
          <w:tcPr>
            <w:tcW w:w="697" w:type="pct"/>
            <w:vAlign w:val="center"/>
          </w:tcPr>
          <w:p>
            <w:pPr>
              <w:jc w:val="center"/>
              <w:rPr>
                <w:rFonts w:hint="default"/>
                <w:sz w:val="24"/>
                <w:szCs w:val="24"/>
              </w:rPr>
            </w:pPr>
            <w:r>
              <w:rPr>
                <w:rFonts w:hint="default"/>
                <w:sz w:val="24"/>
                <w:szCs w:val="24"/>
              </w:rPr>
              <w:t>主席台桌</w:t>
            </w:r>
          </w:p>
        </w:tc>
        <w:tc>
          <w:tcPr>
            <w:tcW w:w="1316" w:type="pct"/>
            <w:vAlign w:val="center"/>
          </w:tcPr>
          <w:p>
            <w:pPr>
              <w:rPr>
                <w:rFonts w:hint="default"/>
                <w:sz w:val="24"/>
                <w:szCs w:val="24"/>
              </w:rPr>
            </w:pPr>
            <w:r>
              <w:rPr>
                <w:rFonts w:hint="default"/>
                <w:sz w:val="24"/>
                <w:szCs w:val="24"/>
              </w:rPr>
              <w:drawing>
                <wp:inline distT="0" distB="0" distL="0" distR="0">
                  <wp:extent cx="1078230" cy="652780"/>
                  <wp:effectExtent l="0" t="0" r="7620"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a:xfrm>
                            <a:off x="0" y="0"/>
                            <a:ext cx="1100306" cy="665922"/>
                          </a:xfrm>
                          <a:prstGeom prst="rect">
                            <a:avLst/>
                          </a:prstGeom>
                          <a:noFill/>
                          <a:ln>
                            <a:noFill/>
                          </a:ln>
                        </pic:spPr>
                      </pic:pic>
                    </a:graphicData>
                  </a:graphic>
                </wp:inline>
              </w:drawing>
            </w:r>
          </w:p>
        </w:tc>
        <w:tc>
          <w:tcPr>
            <w:tcW w:w="1705" w:type="pct"/>
            <w:vAlign w:val="center"/>
          </w:tcPr>
          <w:p>
            <w:pPr>
              <w:jc w:val="center"/>
              <w:rPr>
                <w:rFonts w:hint="default"/>
                <w:sz w:val="24"/>
                <w:szCs w:val="24"/>
              </w:rPr>
            </w:pPr>
            <w:r>
              <w:rPr>
                <w:rFonts w:hint="default"/>
                <w:sz w:val="24"/>
                <w:szCs w:val="24"/>
              </w:rPr>
              <w:t>2050W*500D*750H</w:t>
            </w:r>
          </w:p>
          <w:p>
            <w:pPr>
              <w:jc w:val="center"/>
              <w:rPr>
                <w:rFonts w:hint="default"/>
                <w:sz w:val="24"/>
                <w:szCs w:val="24"/>
              </w:rPr>
            </w:pPr>
            <w:r>
              <w:rPr>
                <w:rFonts w:hint="default"/>
                <w:sz w:val="24"/>
                <w:szCs w:val="24"/>
              </w:rPr>
              <w:t>（单位：mm）</w:t>
            </w:r>
          </w:p>
        </w:tc>
        <w:tc>
          <w:tcPr>
            <w:tcW w:w="489" w:type="pct"/>
            <w:vAlign w:val="center"/>
          </w:tcPr>
          <w:p>
            <w:pPr>
              <w:jc w:val="center"/>
              <w:rPr>
                <w:rFonts w:hint="default"/>
                <w:sz w:val="24"/>
                <w:szCs w:val="24"/>
              </w:rPr>
            </w:pPr>
            <w:r>
              <w:rPr>
                <w:rFonts w:hint="default"/>
                <w:sz w:val="24"/>
                <w:szCs w:val="24"/>
              </w:rPr>
              <w:t>张</w:t>
            </w:r>
          </w:p>
        </w:tc>
        <w:tc>
          <w:tcPr>
            <w:tcW w:w="552" w:type="pct"/>
            <w:vAlign w:val="center"/>
          </w:tcPr>
          <w:p>
            <w:pPr>
              <w:jc w:val="center"/>
              <w:rPr>
                <w:rFonts w:hint="default"/>
                <w:sz w:val="24"/>
                <w:szCs w:val="24"/>
              </w:rPr>
            </w:pPr>
            <w:r>
              <w:rPr>
                <w:rFonts w:hint="default"/>
                <w:sz w:val="24"/>
                <w:szCs w:val="24"/>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2" w:hRule="atLeast"/>
          <w:jc w:val="center"/>
        </w:trPr>
        <w:tc>
          <w:tcPr>
            <w:tcW w:w="237" w:type="pct"/>
            <w:vAlign w:val="center"/>
          </w:tcPr>
          <w:p>
            <w:pPr>
              <w:jc w:val="center"/>
              <w:rPr>
                <w:rFonts w:hint="default"/>
                <w:sz w:val="24"/>
                <w:szCs w:val="24"/>
              </w:rPr>
            </w:pPr>
            <w:r>
              <w:rPr>
                <w:rFonts w:hint="default"/>
                <w:sz w:val="24"/>
                <w:szCs w:val="24"/>
              </w:rPr>
              <w:t>4</w:t>
            </w:r>
          </w:p>
        </w:tc>
        <w:tc>
          <w:tcPr>
            <w:tcW w:w="697" w:type="pct"/>
            <w:vAlign w:val="center"/>
          </w:tcPr>
          <w:p>
            <w:pPr>
              <w:jc w:val="center"/>
              <w:rPr>
                <w:rFonts w:hint="default"/>
                <w:sz w:val="24"/>
                <w:szCs w:val="24"/>
              </w:rPr>
            </w:pPr>
            <w:r>
              <w:rPr>
                <w:rFonts w:hint="default"/>
                <w:sz w:val="24"/>
                <w:szCs w:val="24"/>
              </w:rPr>
              <w:t>主席台椅</w:t>
            </w:r>
          </w:p>
        </w:tc>
        <w:tc>
          <w:tcPr>
            <w:tcW w:w="1316" w:type="pct"/>
            <w:vAlign w:val="center"/>
          </w:tcPr>
          <w:p>
            <w:pPr>
              <w:rPr>
                <w:rFonts w:hint="default"/>
                <w:sz w:val="24"/>
                <w:szCs w:val="24"/>
              </w:rPr>
            </w:pPr>
            <w:r>
              <w:rPr>
                <w:rFonts w:hint="default"/>
                <w:sz w:val="24"/>
                <w:szCs w:val="24"/>
              </w:rPr>
              <w:drawing>
                <wp:inline distT="0" distB="0" distL="0" distR="0">
                  <wp:extent cx="1233170" cy="1697990"/>
                  <wp:effectExtent l="0" t="0" r="508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1242682" cy="1710769"/>
                          </a:xfrm>
                          <a:prstGeom prst="rect">
                            <a:avLst/>
                          </a:prstGeom>
                          <a:noFill/>
                          <a:ln>
                            <a:noFill/>
                          </a:ln>
                        </pic:spPr>
                      </pic:pic>
                    </a:graphicData>
                  </a:graphic>
                </wp:inline>
              </w:drawing>
            </w:r>
          </w:p>
        </w:tc>
        <w:tc>
          <w:tcPr>
            <w:tcW w:w="1705" w:type="pct"/>
            <w:vAlign w:val="center"/>
          </w:tcPr>
          <w:p>
            <w:pPr>
              <w:jc w:val="center"/>
              <w:rPr>
                <w:rFonts w:hint="default"/>
                <w:sz w:val="24"/>
                <w:szCs w:val="24"/>
              </w:rPr>
            </w:pPr>
            <w:r>
              <w:rPr>
                <w:rFonts w:hint="default"/>
                <w:sz w:val="24"/>
                <w:szCs w:val="24"/>
              </w:rPr>
              <w:t>座椅基本椅高1140mm，基本椅深750mm，基本座深500mm，外宽630mm</w:t>
            </w:r>
          </w:p>
        </w:tc>
        <w:tc>
          <w:tcPr>
            <w:tcW w:w="489" w:type="pct"/>
            <w:vAlign w:val="center"/>
          </w:tcPr>
          <w:p>
            <w:pPr>
              <w:jc w:val="center"/>
              <w:rPr>
                <w:rFonts w:hint="default"/>
                <w:sz w:val="24"/>
                <w:szCs w:val="24"/>
              </w:rPr>
            </w:pPr>
            <w:r>
              <w:rPr>
                <w:rFonts w:hint="default"/>
                <w:sz w:val="24"/>
                <w:szCs w:val="24"/>
              </w:rPr>
              <w:t>把</w:t>
            </w:r>
          </w:p>
        </w:tc>
        <w:tc>
          <w:tcPr>
            <w:tcW w:w="552" w:type="pct"/>
            <w:vAlign w:val="center"/>
          </w:tcPr>
          <w:p>
            <w:pPr>
              <w:jc w:val="center"/>
              <w:rPr>
                <w:rFonts w:hint="default"/>
                <w:sz w:val="24"/>
                <w:szCs w:val="24"/>
              </w:rPr>
            </w:pPr>
            <w:r>
              <w:rPr>
                <w:rFonts w:hint="default"/>
                <w:sz w:val="24"/>
                <w:szCs w:val="24"/>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2" w:hRule="atLeast"/>
          <w:jc w:val="center"/>
        </w:trPr>
        <w:tc>
          <w:tcPr>
            <w:tcW w:w="237" w:type="pct"/>
            <w:vAlign w:val="center"/>
          </w:tcPr>
          <w:p>
            <w:pPr>
              <w:jc w:val="center"/>
              <w:rPr>
                <w:rFonts w:hint="default"/>
                <w:sz w:val="24"/>
                <w:szCs w:val="24"/>
              </w:rPr>
            </w:pPr>
            <w:r>
              <w:rPr>
                <w:rFonts w:hint="default"/>
                <w:sz w:val="24"/>
                <w:szCs w:val="24"/>
              </w:rPr>
              <w:t>5</w:t>
            </w:r>
          </w:p>
        </w:tc>
        <w:tc>
          <w:tcPr>
            <w:tcW w:w="697" w:type="pct"/>
            <w:vAlign w:val="center"/>
          </w:tcPr>
          <w:p>
            <w:pPr>
              <w:jc w:val="center"/>
              <w:rPr>
                <w:rFonts w:hint="default"/>
                <w:sz w:val="24"/>
                <w:szCs w:val="24"/>
              </w:rPr>
            </w:pPr>
            <w:r>
              <w:rPr>
                <w:rFonts w:hint="default"/>
                <w:sz w:val="24"/>
                <w:szCs w:val="24"/>
              </w:rPr>
              <w:t>接待室沙发</w:t>
            </w:r>
          </w:p>
        </w:tc>
        <w:tc>
          <w:tcPr>
            <w:tcW w:w="1316" w:type="pct"/>
            <w:vAlign w:val="center"/>
          </w:tcPr>
          <w:p>
            <w:pPr>
              <w:rPr>
                <w:rFonts w:hint="default"/>
                <w:sz w:val="24"/>
                <w:szCs w:val="24"/>
              </w:rPr>
            </w:pPr>
            <w:r>
              <w:rPr>
                <w:rFonts w:hint="default"/>
                <w:sz w:val="24"/>
                <w:szCs w:val="24"/>
              </w:rPr>
              <w:drawing>
                <wp:inline distT="0" distB="0" distL="0" distR="0">
                  <wp:extent cx="1283970" cy="467995"/>
                  <wp:effectExtent l="0" t="0" r="0" b="8255"/>
                  <wp:docPr id="12"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7"/>
                          <pic:cNvPicPr>
                            <a:picLocks noChangeAspect="1"/>
                          </pic:cNvPicPr>
                        </pic:nvPicPr>
                        <pic:blipFill>
                          <a:blip r:embed="rId17"/>
                          <a:stretch>
                            <a:fillRect/>
                          </a:stretch>
                        </pic:blipFill>
                        <pic:spPr>
                          <a:xfrm>
                            <a:off x="0" y="0"/>
                            <a:ext cx="1300432" cy="474298"/>
                          </a:xfrm>
                          <a:prstGeom prst="rect">
                            <a:avLst/>
                          </a:prstGeom>
                        </pic:spPr>
                      </pic:pic>
                    </a:graphicData>
                  </a:graphic>
                </wp:inline>
              </w:drawing>
            </w:r>
          </w:p>
        </w:tc>
        <w:tc>
          <w:tcPr>
            <w:tcW w:w="1705" w:type="pct"/>
            <w:vAlign w:val="center"/>
          </w:tcPr>
          <w:p>
            <w:pPr>
              <w:jc w:val="center"/>
              <w:rPr>
                <w:rFonts w:hint="default"/>
                <w:sz w:val="24"/>
                <w:szCs w:val="24"/>
              </w:rPr>
            </w:pPr>
            <w:r>
              <w:rPr>
                <w:rFonts w:hint="default"/>
                <w:sz w:val="24"/>
                <w:szCs w:val="24"/>
              </w:rPr>
              <w:drawing>
                <wp:inline distT="0" distB="0" distL="114300" distR="114300">
                  <wp:extent cx="1761490" cy="850900"/>
                  <wp:effectExtent l="0" t="0" r="3810" b="0"/>
                  <wp:docPr id="1" name="图片 3" descr="E5NT[O(0@DDIT_U9H(49M_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E5NT[O(0@DDIT_U9H(49M_U"/>
                          <pic:cNvPicPr>
                            <a:picLocks noChangeAspect="1"/>
                          </pic:cNvPicPr>
                        </pic:nvPicPr>
                        <pic:blipFill>
                          <a:blip r:embed="rId18"/>
                          <a:stretch>
                            <a:fillRect/>
                          </a:stretch>
                        </pic:blipFill>
                        <pic:spPr>
                          <a:xfrm>
                            <a:off x="0" y="0"/>
                            <a:ext cx="1761490" cy="850900"/>
                          </a:xfrm>
                          <a:prstGeom prst="rect">
                            <a:avLst/>
                          </a:prstGeom>
                        </pic:spPr>
                      </pic:pic>
                    </a:graphicData>
                  </a:graphic>
                </wp:inline>
              </w:drawing>
            </w:r>
          </w:p>
          <w:p>
            <w:pPr>
              <w:jc w:val="center"/>
              <w:rPr>
                <w:rFonts w:hint="default"/>
                <w:sz w:val="24"/>
                <w:szCs w:val="24"/>
              </w:rPr>
            </w:pPr>
            <w:r>
              <w:rPr>
                <w:rFonts w:hint="default"/>
                <w:sz w:val="24"/>
                <w:szCs w:val="24"/>
              </w:rPr>
              <w:t>1000W*930D*950H</w:t>
            </w:r>
          </w:p>
          <w:p>
            <w:pPr>
              <w:jc w:val="center"/>
              <w:rPr>
                <w:rFonts w:hint="default"/>
                <w:sz w:val="24"/>
                <w:szCs w:val="24"/>
              </w:rPr>
            </w:pPr>
            <w:r>
              <w:rPr>
                <w:rFonts w:hint="default"/>
                <w:sz w:val="24"/>
                <w:szCs w:val="24"/>
              </w:rPr>
              <w:t>（单位：mm）</w:t>
            </w:r>
          </w:p>
        </w:tc>
        <w:tc>
          <w:tcPr>
            <w:tcW w:w="489" w:type="pct"/>
            <w:vAlign w:val="center"/>
          </w:tcPr>
          <w:p>
            <w:pPr>
              <w:jc w:val="center"/>
              <w:rPr>
                <w:rFonts w:hint="default"/>
                <w:sz w:val="24"/>
                <w:szCs w:val="24"/>
              </w:rPr>
            </w:pPr>
            <w:r>
              <w:rPr>
                <w:rFonts w:hint="default"/>
                <w:sz w:val="24"/>
                <w:szCs w:val="24"/>
              </w:rPr>
              <w:t>张</w:t>
            </w:r>
          </w:p>
        </w:tc>
        <w:tc>
          <w:tcPr>
            <w:tcW w:w="552" w:type="pct"/>
            <w:vAlign w:val="center"/>
          </w:tcPr>
          <w:p>
            <w:pPr>
              <w:jc w:val="center"/>
              <w:rPr>
                <w:rFonts w:hint="default"/>
                <w:sz w:val="24"/>
                <w:szCs w:val="24"/>
              </w:rPr>
            </w:pPr>
            <w:r>
              <w:rPr>
                <w:rFonts w:hint="default"/>
                <w:sz w:val="24"/>
                <w:szCs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2" w:hRule="atLeast"/>
          <w:jc w:val="center"/>
        </w:trPr>
        <w:tc>
          <w:tcPr>
            <w:tcW w:w="237" w:type="pct"/>
            <w:vAlign w:val="center"/>
          </w:tcPr>
          <w:p>
            <w:pPr>
              <w:jc w:val="center"/>
              <w:rPr>
                <w:rFonts w:hint="default"/>
                <w:sz w:val="24"/>
                <w:szCs w:val="24"/>
              </w:rPr>
            </w:pPr>
            <w:r>
              <w:rPr>
                <w:rFonts w:hint="default"/>
                <w:sz w:val="24"/>
                <w:szCs w:val="24"/>
              </w:rPr>
              <w:t>6</w:t>
            </w:r>
          </w:p>
        </w:tc>
        <w:tc>
          <w:tcPr>
            <w:tcW w:w="697" w:type="pct"/>
            <w:vAlign w:val="center"/>
          </w:tcPr>
          <w:p>
            <w:pPr>
              <w:jc w:val="center"/>
              <w:rPr>
                <w:rFonts w:hint="default"/>
                <w:sz w:val="24"/>
                <w:szCs w:val="24"/>
              </w:rPr>
            </w:pPr>
            <w:r>
              <w:rPr>
                <w:rFonts w:hint="default"/>
                <w:sz w:val="24"/>
                <w:szCs w:val="24"/>
              </w:rPr>
              <w:t>接待室茶几</w:t>
            </w:r>
          </w:p>
        </w:tc>
        <w:tc>
          <w:tcPr>
            <w:tcW w:w="1316" w:type="pct"/>
            <w:vAlign w:val="center"/>
          </w:tcPr>
          <w:p>
            <w:pPr>
              <w:jc w:val="center"/>
              <w:rPr>
                <w:rFonts w:hint="default"/>
                <w:sz w:val="24"/>
                <w:szCs w:val="24"/>
              </w:rPr>
            </w:pPr>
            <w:r>
              <w:rPr>
                <w:rFonts w:hint="default"/>
                <w:sz w:val="24"/>
                <w:szCs w:val="24"/>
              </w:rPr>
              <w:drawing>
                <wp:inline distT="0" distB="0" distL="0" distR="0">
                  <wp:extent cx="1205865" cy="855980"/>
                  <wp:effectExtent l="0" t="0" r="0" b="1270"/>
                  <wp:docPr id="13"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1"/>
                          <pic:cNvPicPr>
                            <a:picLocks noChangeAspect="1"/>
                          </pic:cNvPicPr>
                        </pic:nvPicPr>
                        <pic:blipFill>
                          <a:blip r:embed="rId19"/>
                          <a:stretch>
                            <a:fillRect/>
                          </a:stretch>
                        </pic:blipFill>
                        <pic:spPr>
                          <a:xfrm>
                            <a:off x="0" y="0"/>
                            <a:ext cx="1206106" cy="856351"/>
                          </a:xfrm>
                          <a:prstGeom prst="rect">
                            <a:avLst/>
                          </a:prstGeom>
                        </pic:spPr>
                      </pic:pic>
                    </a:graphicData>
                  </a:graphic>
                </wp:inline>
              </w:drawing>
            </w:r>
          </w:p>
        </w:tc>
        <w:tc>
          <w:tcPr>
            <w:tcW w:w="1705" w:type="pct"/>
            <w:vAlign w:val="center"/>
          </w:tcPr>
          <w:p>
            <w:pPr>
              <w:jc w:val="center"/>
              <w:rPr>
                <w:rFonts w:hint="default"/>
                <w:sz w:val="24"/>
                <w:szCs w:val="24"/>
              </w:rPr>
            </w:pPr>
            <w:r>
              <w:rPr>
                <w:rFonts w:hint="default"/>
                <w:sz w:val="24"/>
                <w:szCs w:val="24"/>
              </w:rPr>
              <w:t>680W*480D*560H</w:t>
            </w:r>
          </w:p>
          <w:p>
            <w:pPr>
              <w:jc w:val="center"/>
              <w:rPr>
                <w:rFonts w:hint="default"/>
                <w:sz w:val="24"/>
                <w:szCs w:val="24"/>
              </w:rPr>
            </w:pPr>
            <w:r>
              <w:rPr>
                <w:rFonts w:hint="default"/>
                <w:sz w:val="24"/>
                <w:szCs w:val="24"/>
              </w:rPr>
              <w:t>（单位：mm）</w:t>
            </w:r>
          </w:p>
        </w:tc>
        <w:tc>
          <w:tcPr>
            <w:tcW w:w="489" w:type="pct"/>
            <w:vAlign w:val="center"/>
          </w:tcPr>
          <w:p>
            <w:pPr>
              <w:jc w:val="center"/>
              <w:rPr>
                <w:rFonts w:hint="default"/>
                <w:sz w:val="24"/>
                <w:szCs w:val="24"/>
              </w:rPr>
            </w:pPr>
            <w:r>
              <w:rPr>
                <w:rFonts w:hint="default"/>
                <w:sz w:val="24"/>
                <w:szCs w:val="24"/>
              </w:rPr>
              <w:t>张</w:t>
            </w:r>
          </w:p>
        </w:tc>
        <w:tc>
          <w:tcPr>
            <w:tcW w:w="552" w:type="pct"/>
            <w:vAlign w:val="center"/>
          </w:tcPr>
          <w:p>
            <w:pPr>
              <w:jc w:val="center"/>
              <w:rPr>
                <w:rFonts w:hint="default"/>
                <w:sz w:val="24"/>
                <w:szCs w:val="24"/>
              </w:rPr>
            </w:pPr>
            <w:r>
              <w:rPr>
                <w:rFonts w:hint="default"/>
                <w:sz w:val="24"/>
                <w:szCs w:val="24"/>
              </w:rPr>
              <w:t>5</w:t>
            </w:r>
          </w:p>
        </w:tc>
      </w:tr>
    </w:tbl>
    <w:p>
      <w:pPr>
        <w:spacing w:line="360" w:lineRule="auto"/>
        <w:ind w:firstLine="480" w:firstLineChars="200"/>
        <w:jc w:val="left"/>
        <w:rPr>
          <w:rFonts w:hint="default"/>
          <w:sz w:val="24"/>
          <w:szCs w:val="24"/>
        </w:rPr>
      </w:pPr>
      <w:r>
        <w:rPr>
          <w:rFonts w:hint="default"/>
          <w:sz w:val="24"/>
          <w:szCs w:val="24"/>
        </w:rPr>
        <w:t>备注：本图所示为基础参考图，投标人应考虑</w:t>
      </w:r>
      <w:r>
        <w:rPr>
          <w:sz w:val="24"/>
          <w:szCs w:val="24"/>
        </w:rPr>
        <w:t>采购人</w:t>
      </w:r>
      <w:r>
        <w:rPr>
          <w:rFonts w:hint="default"/>
          <w:sz w:val="24"/>
          <w:szCs w:val="24"/>
        </w:rPr>
        <w:t>中医特色氛围适当进行家具款式、样式调整，投标时可重新制作款式效果图供</w:t>
      </w:r>
      <w:r>
        <w:rPr>
          <w:sz w:val="24"/>
          <w:szCs w:val="24"/>
        </w:rPr>
        <w:t>采购人</w:t>
      </w:r>
      <w:r>
        <w:rPr>
          <w:rFonts w:hint="default"/>
          <w:sz w:val="24"/>
          <w:szCs w:val="24"/>
        </w:rPr>
        <w:t>参考。</w:t>
      </w:r>
    </w:p>
    <w:p>
      <w:pPr>
        <w:spacing w:line="360" w:lineRule="auto"/>
        <w:ind w:firstLine="482"/>
        <w:jc w:val="left"/>
        <w:rPr>
          <w:rFonts w:hint="default"/>
          <w:b/>
          <w:bCs/>
          <w:sz w:val="24"/>
          <w:szCs w:val="24"/>
        </w:rPr>
      </w:pPr>
      <w:r>
        <w:rPr>
          <w:rFonts w:hint="default"/>
          <w:b/>
          <w:bCs/>
          <w:sz w:val="24"/>
          <w:szCs w:val="24"/>
        </w:rPr>
        <w:t>2、阶梯会议室座椅技术要求</w:t>
      </w:r>
    </w:p>
    <w:p>
      <w:pPr>
        <w:spacing w:line="360" w:lineRule="auto"/>
        <w:ind w:firstLine="480" w:firstLineChars="200"/>
        <w:jc w:val="left"/>
        <w:rPr>
          <w:rFonts w:hint="default"/>
          <w:b/>
          <w:sz w:val="24"/>
          <w:szCs w:val="24"/>
        </w:rPr>
      </w:pPr>
      <w:r>
        <w:rPr>
          <w:sz w:val="24"/>
          <w:szCs w:val="24"/>
        </w:rPr>
        <w:t>2.1</w:t>
      </w:r>
      <w:r>
        <w:rPr>
          <w:rFonts w:hint="default"/>
          <w:sz w:val="24"/>
          <w:szCs w:val="24"/>
        </w:rPr>
        <w:t>座椅根据人体形态工程学原理设计制造，背垫和座垫之弧度符合人体生理曲线，外形美观、漂亮，座高、座深合理，坐感舒适。座垫可自动回复，中间支撑脚，椅脚兼作送风器。座椅扶手上带下翻安全写字板，座椅最终确定数量、颜色由采购人在下单生产前与中标人确定。</w:t>
      </w:r>
    </w:p>
    <w:p>
      <w:pPr>
        <w:spacing w:line="360" w:lineRule="auto"/>
        <w:ind w:firstLine="480" w:firstLineChars="200"/>
        <w:jc w:val="left"/>
        <w:rPr>
          <w:rFonts w:hint="default"/>
          <w:sz w:val="24"/>
          <w:szCs w:val="24"/>
        </w:rPr>
      </w:pPr>
      <w:r>
        <w:rPr>
          <w:sz w:val="24"/>
          <w:szCs w:val="24"/>
        </w:rPr>
        <w:t>2.2</w:t>
      </w:r>
      <w:r>
        <w:rPr>
          <w:rFonts w:hint="default"/>
          <w:sz w:val="24"/>
          <w:szCs w:val="24"/>
        </w:rPr>
        <w:t>为保证座椅的力学性能及有害物质限量，中标人需在供货前向采购人提供座椅的试验报告，需有专业检测机构出具的QB/T2602-2013《影剧院阶梯会议室家具》行业标准的相关检测合格报告（供货前向采购人提供试验和测试报告）。</w:t>
      </w:r>
    </w:p>
    <w:p>
      <w:pPr>
        <w:spacing w:line="360" w:lineRule="auto"/>
        <w:ind w:firstLine="480" w:firstLineChars="200"/>
        <w:jc w:val="left"/>
        <w:rPr>
          <w:rFonts w:hint="default"/>
          <w:sz w:val="24"/>
          <w:szCs w:val="24"/>
        </w:rPr>
      </w:pPr>
      <w:r>
        <w:rPr>
          <w:rFonts w:hint="default"/>
          <w:sz w:val="24"/>
          <w:szCs w:val="24"/>
        </w:rPr>
        <w:t>2.</w:t>
      </w:r>
      <w:r>
        <w:rPr>
          <w:sz w:val="24"/>
          <w:szCs w:val="24"/>
        </w:rPr>
        <w:t>3</w:t>
      </w:r>
      <w:r>
        <w:rPr>
          <w:rFonts w:hint="default"/>
          <w:sz w:val="24"/>
          <w:szCs w:val="24"/>
        </w:rPr>
        <w:t>座椅面料选择高档面料，座椅生产厂商应选用外观优雅的针织类面料，要求耐磨性高，渗透力强，吸声效果好。面料的相关指标达到并超过GB/T3920-2008、GB/T2912</w:t>
      </w:r>
      <w:r>
        <w:rPr>
          <w:sz w:val="24"/>
          <w:szCs w:val="24"/>
        </w:rPr>
        <w:t>.</w:t>
      </w:r>
      <w:r>
        <w:rPr>
          <w:rFonts w:hint="default"/>
          <w:sz w:val="24"/>
          <w:szCs w:val="24"/>
        </w:rPr>
        <w:t>1-2009、GB/T19976-2005、 GB/T21196.2-2007、QB/T2602-2013、GB/T4802.1-2008、GB/T7573-2009、GB/T17593.3-2006标准要求：</w:t>
      </w:r>
    </w:p>
    <w:p>
      <w:pPr>
        <w:spacing w:line="360" w:lineRule="auto"/>
        <w:ind w:firstLine="480" w:firstLineChars="200"/>
        <w:jc w:val="left"/>
        <w:rPr>
          <w:rStyle w:val="156"/>
          <w:rFonts w:hint="default"/>
          <w:sz w:val="24"/>
          <w:szCs w:val="24"/>
        </w:rPr>
      </w:pPr>
      <w:r>
        <w:rPr>
          <w:rFonts w:hint="default"/>
          <w:sz w:val="24"/>
          <w:szCs w:val="24"/>
        </w:rPr>
        <w:t>2.</w:t>
      </w:r>
      <w:r>
        <w:rPr>
          <w:sz w:val="24"/>
          <w:szCs w:val="24"/>
        </w:rPr>
        <w:t>4</w:t>
      </w:r>
      <w:r>
        <w:rPr>
          <w:rStyle w:val="156"/>
          <w:rFonts w:hint="default"/>
          <w:sz w:val="24"/>
          <w:szCs w:val="24"/>
        </w:rPr>
        <w:t>座椅泡绵均为聚氨酯冷发泡高回弹海绵，根据座椅的不同部位</w:t>
      </w:r>
      <w:r>
        <w:rPr>
          <w:rStyle w:val="156"/>
          <w:sz w:val="24"/>
          <w:szCs w:val="24"/>
        </w:rPr>
        <w:t>，</w:t>
      </w:r>
      <w:r>
        <w:rPr>
          <w:rStyle w:val="156"/>
          <w:rFonts w:hint="default"/>
          <w:sz w:val="24"/>
          <w:szCs w:val="24"/>
        </w:rPr>
        <w:t>座垫</w:t>
      </w:r>
      <w:r>
        <w:rPr>
          <w:rStyle w:val="156"/>
          <w:sz w:val="24"/>
          <w:szCs w:val="24"/>
        </w:rPr>
        <w:t>，</w:t>
      </w:r>
      <w:r>
        <w:rPr>
          <w:rStyle w:val="156"/>
          <w:rFonts w:hint="default"/>
          <w:sz w:val="24"/>
          <w:szCs w:val="24"/>
        </w:rPr>
        <w:t>背垫密度不同</w:t>
      </w:r>
      <w:r>
        <w:rPr>
          <w:rStyle w:val="156"/>
          <w:sz w:val="24"/>
          <w:szCs w:val="24"/>
        </w:rPr>
        <w:t>。</w:t>
      </w:r>
      <w:r>
        <w:rPr>
          <w:rStyle w:val="156"/>
          <w:rFonts w:hint="default"/>
          <w:sz w:val="24"/>
          <w:szCs w:val="24"/>
        </w:rPr>
        <w:t>所有泡棉</w:t>
      </w:r>
      <w:r>
        <w:rPr>
          <w:rStyle w:val="156"/>
          <w:sz w:val="24"/>
          <w:szCs w:val="24"/>
        </w:rPr>
        <w:t>，</w:t>
      </w:r>
      <w:r>
        <w:rPr>
          <w:rStyle w:val="156"/>
          <w:rFonts w:hint="default"/>
          <w:sz w:val="24"/>
          <w:szCs w:val="24"/>
        </w:rPr>
        <w:t>模成型的或切割的</w:t>
      </w:r>
      <w:r>
        <w:rPr>
          <w:rStyle w:val="156"/>
          <w:sz w:val="24"/>
          <w:szCs w:val="24"/>
        </w:rPr>
        <w:t>，</w:t>
      </w:r>
      <w:r>
        <w:rPr>
          <w:rStyle w:val="156"/>
          <w:rFonts w:hint="default"/>
          <w:sz w:val="24"/>
          <w:szCs w:val="24"/>
        </w:rPr>
        <w:t>应强度高，回弹性好，泡绵的物理指标符合GB/T10802-2006、GB/T10807-2006、JISL 1902:2015标准。</w:t>
      </w:r>
    </w:p>
    <w:p>
      <w:pPr>
        <w:spacing w:line="360" w:lineRule="auto"/>
        <w:ind w:firstLine="480" w:firstLineChars="200"/>
        <w:jc w:val="left"/>
        <w:rPr>
          <w:rFonts w:hint="default"/>
          <w:sz w:val="24"/>
          <w:szCs w:val="24"/>
        </w:rPr>
      </w:pPr>
      <w:r>
        <w:rPr>
          <w:rFonts w:hint="default"/>
          <w:sz w:val="24"/>
          <w:szCs w:val="24"/>
        </w:rPr>
        <w:t>2.</w:t>
      </w:r>
      <w:r>
        <w:rPr>
          <w:sz w:val="24"/>
          <w:szCs w:val="24"/>
        </w:rPr>
        <w:t>5</w:t>
      </w:r>
      <w:r>
        <w:rPr>
          <w:rFonts w:hint="default"/>
          <w:sz w:val="24"/>
          <w:szCs w:val="24"/>
        </w:rPr>
        <w:t>所有的钢材均使用优质钢材，座支架及扶手支架等采用冷轧板或型材冲压成型，表面做防锈处理</w:t>
      </w:r>
      <w:r>
        <w:rPr>
          <w:sz w:val="24"/>
          <w:szCs w:val="24"/>
        </w:rPr>
        <w:t>，</w:t>
      </w:r>
      <w:r>
        <w:rPr>
          <w:rFonts w:hint="default"/>
          <w:sz w:val="24"/>
          <w:szCs w:val="24"/>
        </w:rPr>
        <w:t>再采用电泳涂装，做防腐蚀底漆保护，然后采用环氧树脂喷涂。</w:t>
      </w:r>
    </w:p>
    <w:p>
      <w:pPr>
        <w:spacing w:line="360" w:lineRule="auto"/>
        <w:ind w:firstLine="480" w:firstLineChars="200"/>
        <w:jc w:val="left"/>
        <w:rPr>
          <w:rFonts w:hint="default"/>
          <w:sz w:val="24"/>
          <w:szCs w:val="24"/>
        </w:rPr>
      </w:pPr>
      <w:r>
        <w:rPr>
          <w:rFonts w:hint="default"/>
          <w:sz w:val="24"/>
          <w:szCs w:val="24"/>
        </w:rPr>
        <w:t>2.</w:t>
      </w:r>
      <w:r>
        <w:rPr>
          <w:sz w:val="24"/>
          <w:szCs w:val="24"/>
        </w:rPr>
        <w:t>6</w:t>
      </w:r>
      <w:r>
        <w:rPr>
          <w:rFonts w:hint="default"/>
          <w:sz w:val="24"/>
          <w:szCs w:val="24"/>
        </w:rPr>
        <w:t>座椅扶手采用实木，扶手上盖外形尺寸为418*70*25mm，扶手前盖外形尺寸为125*70*25mm，前高后低的设计提升坐感舒适度；座板为15mm厚红榉饰面层夹板、背板为18mm厚红榉饰面层夹板；侧板采用20mm厚饰面层压板；写字板采用红榉饰面层夹板，外形尺寸为255*248*15mm（允许有±2mm的偏差），其展开后倾斜角度应在水平偏上3-5°，利于书写。木制作含水率不超过12%，不变形、不开裂。外露木制件表面喷环保聚酯漆，其有害物质含量均达到绿色环保标准。环保性能达E0级。</w:t>
      </w:r>
    </w:p>
    <w:p>
      <w:pPr>
        <w:spacing w:line="360" w:lineRule="auto"/>
        <w:ind w:firstLine="480" w:firstLineChars="200"/>
        <w:jc w:val="left"/>
        <w:rPr>
          <w:rFonts w:hint="default"/>
          <w:sz w:val="24"/>
          <w:szCs w:val="24"/>
        </w:rPr>
      </w:pPr>
      <w:r>
        <w:rPr>
          <w:rFonts w:hint="default"/>
          <w:sz w:val="24"/>
          <w:szCs w:val="24"/>
        </w:rPr>
        <w:t>2.</w:t>
      </w:r>
      <w:r>
        <w:rPr>
          <w:sz w:val="24"/>
          <w:szCs w:val="24"/>
        </w:rPr>
        <w:t>7</w:t>
      </w:r>
      <w:r>
        <w:rPr>
          <w:rFonts w:hint="default"/>
          <w:sz w:val="24"/>
          <w:szCs w:val="24"/>
        </w:rPr>
        <w:t>座垫回复系统加有阻尼装置，阻尼装置完全隐藏不外露，回复时间为1—1.5秒（回复速度可调），回复过程无冲击、无噪声，保证静音要求。</w:t>
      </w:r>
    </w:p>
    <w:p>
      <w:pPr>
        <w:spacing w:line="360" w:lineRule="auto"/>
        <w:ind w:firstLine="480" w:firstLineChars="200"/>
        <w:jc w:val="left"/>
        <w:rPr>
          <w:rFonts w:hint="default"/>
          <w:sz w:val="24"/>
          <w:szCs w:val="24"/>
        </w:rPr>
      </w:pPr>
      <w:r>
        <w:rPr>
          <w:rFonts w:hint="default"/>
          <w:sz w:val="24"/>
          <w:szCs w:val="24"/>
        </w:rPr>
        <w:t>2.</w:t>
      </w:r>
      <w:r>
        <w:rPr>
          <w:sz w:val="24"/>
          <w:szCs w:val="24"/>
        </w:rPr>
        <w:t>8</w:t>
      </w:r>
      <w:r>
        <w:rPr>
          <w:rFonts w:hint="default"/>
          <w:sz w:val="24"/>
          <w:szCs w:val="24"/>
        </w:rPr>
        <w:t>椅脚采用φ160承重型圆筒状送风脚，送风筒开孔率为42%，孔径为φ8mm，孔距11mm。</w:t>
      </w:r>
    </w:p>
    <w:p>
      <w:pPr>
        <w:spacing w:line="360" w:lineRule="auto"/>
        <w:ind w:firstLine="482"/>
        <w:jc w:val="left"/>
        <w:rPr>
          <w:rFonts w:hint="default"/>
          <w:b/>
          <w:bCs/>
          <w:sz w:val="24"/>
          <w:szCs w:val="24"/>
        </w:rPr>
      </w:pPr>
      <w:r>
        <w:rPr>
          <w:rFonts w:hint="default"/>
          <w:b/>
          <w:bCs/>
          <w:sz w:val="24"/>
          <w:szCs w:val="24"/>
        </w:rPr>
        <w:t>3、普通会议桌技术要求</w:t>
      </w:r>
    </w:p>
    <w:p>
      <w:pPr>
        <w:spacing w:line="360" w:lineRule="auto"/>
        <w:ind w:firstLine="480" w:firstLineChars="200"/>
        <w:jc w:val="left"/>
        <w:rPr>
          <w:rFonts w:hint="default"/>
          <w:sz w:val="24"/>
          <w:szCs w:val="24"/>
        </w:rPr>
      </w:pPr>
      <w:r>
        <w:rPr>
          <w:rFonts w:hint="default"/>
          <w:sz w:val="24"/>
          <w:szCs w:val="24"/>
        </w:rPr>
        <w:t>3.1会议桌形状为条形，可连在一起，桌子前沿带实木装饰条，桌面下部加木搁板，作为放置文件之用。</w:t>
      </w:r>
    </w:p>
    <w:p>
      <w:pPr>
        <w:spacing w:line="360" w:lineRule="auto"/>
        <w:ind w:firstLine="480" w:firstLineChars="200"/>
        <w:jc w:val="left"/>
        <w:rPr>
          <w:rFonts w:hint="default"/>
          <w:sz w:val="24"/>
          <w:szCs w:val="24"/>
        </w:rPr>
      </w:pPr>
      <w:r>
        <w:rPr>
          <w:rFonts w:hint="default"/>
          <w:sz w:val="24"/>
          <w:szCs w:val="24"/>
        </w:rPr>
        <w:t>3.2基材采用优质纤维板（符合环保要求，达到国家检测标准）。贴面用材采用0.6㎜红榉木薄皮。采用优质水性环保漆，封闭式涂装工艺，无瑕疵、颜色均匀。粘合胶为环保型水性白乳胶。</w:t>
      </w:r>
    </w:p>
    <w:p>
      <w:pPr>
        <w:spacing w:line="360" w:lineRule="auto"/>
        <w:ind w:firstLine="480" w:firstLineChars="200"/>
        <w:jc w:val="left"/>
        <w:rPr>
          <w:rFonts w:hint="default"/>
          <w:sz w:val="24"/>
          <w:szCs w:val="24"/>
        </w:rPr>
      </w:pPr>
      <w:r>
        <w:rPr>
          <w:rFonts w:hint="default"/>
          <w:sz w:val="24"/>
          <w:szCs w:val="24"/>
        </w:rPr>
        <w:t>3.3木材含水率不超过12%。</w:t>
      </w:r>
    </w:p>
    <w:p>
      <w:pPr>
        <w:spacing w:line="360" w:lineRule="auto"/>
        <w:ind w:firstLine="482"/>
        <w:jc w:val="left"/>
        <w:rPr>
          <w:rFonts w:hint="default"/>
          <w:b/>
          <w:bCs/>
          <w:sz w:val="24"/>
          <w:szCs w:val="24"/>
        </w:rPr>
      </w:pPr>
      <w:r>
        <w:rPr>
          <w:rFonts w:hint="default"/>
          <w:b/>
          <w:bCs/>
          <w:sz w:val="24"/>
          <w:szCs w:val="24"/>
        </w:rPr>
        <w:t>4、主席台椅技术要求</w:t>
      </w:r>
    </w:p>
    <w:p>
      <w:pPr>
        <w:spacing w:line="360" w:lineRule="auto"/>
        <w:ind w:firstLine="480" w:firstLineChars="200"/>
        <w:jc w:val="left"/>
        <w:rPr>
          <w:rFonts w:hint="default"/>
          <w:sz w:val="24"/>
          <w:szCs w:val="24"/>
        </w:rPr>
      </w:pPr>
      <w:r>
        <w:rPr>
          <w:rFonts w:hint="default"/>
          <w:sz w:val="24"/>
          <w:szCs w:val="24"/>
        </w:rPr>
        <w:t>根据人体形态工程学原理设计制造，椅背和座垫的弧度完全符合人体曲线，面材：采用头层优质牛皮（人体接触部位），柔软贴手，透气性好。皮革厚度大于 1 ㎜，撕裂力≥30N，断裂伸长率35%~60%，摩擦色牢度干擦≥4 级。海绵：采用优质防火海绵，座绵密度≥30kg/m3，座垫厚度≥4mm，其他部位密度≥20kg/m3。曲木板：12mm 外板/6mm 内板，优质曲木板。椅架：实木椅架。</w:t>
      </w:r>
    </w:p>
    <w:p>
      <w:pPr>
        <w:spacing w:line="360" w:lineRule="auto"/>
        <w:ind w:firstLine="482"/>
        <w:jc w:val="left"/>
        <w:rPr>
          <w:rFonts w:hint="default"/>
          <w:sz w:val="24"/>
          <w:szCs w:val="24"/>
        </w:rPr>
      </w:pPr>
      <w:r>
        <w:rPr>
          <w:rFonts w:hint="default"/>
          <w:b/>
          <w:bCs/>
          <w:sz w:val="24"/>
          <w:szCs w:val="24"/>
        </w:rPr>
        <w:t>5、主席台桌技术要求</w:t>
      </w:r>
    </w:p>
    <w:p>
      <w:pPr>
        <w:spacing w:line="360" w:lineRule="auto"/>
        <w:ind w:firstLine="480" w:firstLineChars="200"/>
        <w:jc w:val="left"/>
        <w:rPr>
          <w:rFonts w:hint="default"/>
          <w:sz w:val="24"/>
          <w:szCs w:val="24"/>
        </w:rPr>
      </w:pPr>
      <w:r>
        <w:rPr>
          <w:rFonts w:hint="default"/>
          <w:sz w:val="24"/>
          <w:szCs w:val="24"/>
        </w:rPr>
        <w:t>5.1.采用环保优质中密度板，经防腐、防虫处理，甲醛释放量≤0.05mg/m³。面材采用优质硬木饰面板，厚度不低于 0.6mm，实木封边，木皮纹路清晰无瑕疵。</w:t>
      </w:r>
    </w:p>
    <w:p>
      <w:pPr>
        <w:spacing w:line="360" w:lineRule="auto"/>
        <w:ind w:firstLine="480" w:firstLineChars="200"/>
        <w:jc w:val="left"/>
        <w:rPr>
          <w:rFonts w:hint="default"/>
          <w:sz w:val="24"/>
          <w:szCs w:val="24"/>
        </w:rPr>
      </w:pPr>
      <w:r>
        <w:rPr>
          <w:rFonts w:hint="default"/>
          <w:sz w:val="24"/>
          <w:szCs w:val="24"/>
        </w:rPr>
        <w:t>5.2底漆采用优质UV漆，面漆采用优质高聚脂环保漆，耐磨度、硬度、耐酸性</w:t>
      </w:r>
      <w:r>
        <w:rPr>
          <w:sz w:val="24"/>
          <w:szCs w:val="24"/>
        </w:rPr>
        <w:t>，</w:t>
      </w:r>
      <w:r>
        <w:rPr>
          <w:rFonts w:hint="default"/>
          <w:sz w:val="24"/>
          <w:szCs w:val="24"/>
        </w:rPr>
        <w:t>漆面透明度高，色泽均匀、木纹纹理清晰、光滑耐磨手感好。油漆有机挥发物含量≦300g/L，成品环保检测符合甲醛释放量要求。</w:t>
      </w:r>
    </w:p>
    <w:p>
      <w:pPr>
        <w:spacing w:line="360" w:lineRule="auto"/>
        <w:ind w:firstLine="480" w:firstLineChars="200"/>
        <w:jc w:val="left"/>
        <w:rPr>
          <w:rFonts w:hint="default"/>
          <w:sz w:val="24"/>
          <w:szCs w:val="24"/>
        </w:rPr>
      </w:pPr>
      <w:r>
        <w:rPr>
          <w:rFonts w:hint="default"/>
          <w:sz w:val="24"/>
          <w:szCs w:val="24"/>
        </w:rPr>
        <w:t>5.3胶黏剂采用优质环保胶黏剂，粘贴性强，同时具有耐水、耐热、耐酸、耐有机溶剂、韧好特性。</w:t>
      </w:r>
    </w:p>
    <w:p>
      <w:pPr>
        <w:spacing w:line="360" w:lineRule="auto"/>
        <w:ind w:firstLine="480" w:firstLineChars="200"/>
        <w:jc w:val="left"/>
        <w:rPr>
          <w:rFonts w:hint="default"/>
          <w:sz w:val="24"/>
          <w:szCs w:val="24"/>
        </w:rPr>
      </w:pPr>
      <w:r>
        <w:rPr>
          <w:rFonts w:hint="default"/>
          <w:sz w:val="24"/>
          <w:szCs w:val="24"/>
        </w:rPr>
        <w:t>5.4采用实木封边，双面贴木皮。</w:t>
      </w:r>
    </w:p>
    <w:p>
      <w:pPr>
        <w:spacing w:line="360" w:lineRule="auto"/>
        <w:ind w:firstLine="480" w:firstLineChars="200"/>
        <w:jc w:val="left"/>
        <w:rPr>
          <w:rFonts w:hint="default"/>
          <w:sz w:val="24"/>
          <w:szCs w:val="24"/>
        </w:rPr>
      </w:pPr>
      <w:r>
        <w:rPr>
          <w:rFonts w:hint="default"/>
          <w:sz w:val="24"/>
          <w:szCs w:val="24"/>
        </w:rPr>
        <w:t>5.5采用五金配件，不得生锈、脆化、连接牢固无松动。</w:t>
      </w:r>
    </w:p>
    <w:p>
      <w:pPr>
        <w:spacing w:line="360" w:lineRule="auto"/>
        <w:ind w:firstLine="480" w:firstLineChars="200"/>
        <w:jc w:val="left"/>
        <w:rPr>
          <w:rFonts w:hint="default"/>
          <w:sz w:val="24"/>
          <w:szCs w:val="24"/>
        </w:rPr>
      </w:pPr>
      <w:r>
        <w:rPr>
          <w:rFonts w:hint="default"/>
          <w:sz w:val="24"/>
          <w:szCs w:val="24"/>
        </w:rPr>
        <w:t>5.6主席台桌正面上部和两侧带回纹雕刻图案。</w:t>
      </w:r>
    </w:p>
    <w:p>
      <w:pPr>
        <w:pStyle w:val="16"/>
        <w:spacing w:line="360" w:lineRule="auto"/>
        <w:ind w:firstLine="466"/>
        <w:rPr>
          <w:rFonts w:hint="default" w:ascii="Times New Roman" w:hAnsi="Times New Roman"/>
          <w:b/>
          <w:bCs/>
          <w:sz w:val="24"/>
          <w:szCs w:val="24"/>
        </w:rPr>
      </w:pPr>
      <w:r>
        <w:rPr>
          <w:rFonts w:hint="default" w:ascii="Times New Roman" w:hAnsi="Times New Roman"/>
          <w:b/>
          <w:bCs/>
          <w:sz w:val="24"/>
          <w:szCs w:val="24"/>
        </w:rPr>
        <w:t>6、接待室沙发技术要求</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面材：采用头层优质牛皮（人体接触部位），柔软贴手，透气性好。皮革厚度大于1 ㎜，撕裂力≥30N，断裂伸长率35%~60%，摩擦色牢度干擦≥4 级。海绵：采用优质海绵，软硬适中，密度≥35kg/m3，应使用二氧化碳作为发泡剂。框架：内框架采用夹板+松木为基材的榫卯结构内架，材料经去皮、烘干、防虫防腐处理，木材含水量≤10%。打底：高弹力弹簧/尼龙绷带。</w:t>
      </w:r>
      <w:r>
        <w:rPr>
          <w:rFonts w:hint="default" w:ascii="Times New Roman" w:hAnsi="Times New Roman"/>
          <w:sz w:val="24"/>
          <w:szCs w:val="24"/>
        </w:rPr>
        <w:cr/>
      </w:r>
      <w:r>
        <w:rPr>
          <w:rFonts w:hint="eastAsia" w:ascii="Times New Roman" w:hAnsi="Times New Roman"/>
          <w:sz w:val="24"/>
          <w:szCs w:val="24"/>
          <w:lang w:val="en-US" w:eastAsia="zh-CN"/>
        </w:rPr>
        <w:t xml:space="preserve">    </w:t>
      </w:r>
      <w:r>
        <w:rPr>
          <w:rFonts w:hint="default" w:ascii="Times New Roman" w:hAnsi="Times New Roman"/>
          <w:b/>
          <w:bCs/>
          <w:sz w:val="24"/>
          <w:szCs w:val="24"/>
        </w:rPr>
        <w:t>7、接待室茶几</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面材：厚度为 0.6mm 高级胡桃木皮，表面平整。基材：优质中纤板。 油漆：采用优质水性环保漆，开放式涂装工艺，无瑕疵、颜色均匀。表面细小颗粒每平方米不超过二个点，表面硬度达到 3H 级。 茶几脚：实木，材料经去皮、烘干、防虫防腐处理，木材含水量≤10%。</w:t>
      </w:r>
    </w:p>
    <w:p>
      <w:pPr>
        <w:pStyle w:val="16"/>
        <w:spacing w:line="360" w:lineRule="auto"/>
        <w:ind w:firstLine="464"/>
        <w:rPr>
          <w:rFonts w:hint="default" w:ascii="Times New Roman" w:hAnsi="Times New Roman"/>
          <w:sz w:val="24"/>
          <w:szCs w:val="24"/>
        </w:rPr>
      </w:pPr>
      <w:r>
        <w:rPr>
          <w:rFonts w:hAnsi="宋体" w:cs="宋体"/>
          <w:sz w:val="24"/>
          <w:szCs w:val="24"/>
        </w:rPr>
        <w:t>▲</w:t>
      </w:r>
      <w:r>
        <w:rPr>
          <w:rFonts w:ascii="Times New Roman" w:hAnsi="Times New Roman"/>
          <w:sz w:val="24"/>
          <w:szCs w:val="24"/>
        </w:rPr>
        <w:t>本次采购的上述座椅、普通台桌、主席台椅、沙发、茶几均应具备高防火性，能有效阻燃，燃烧性能达到国家标准《建筑材料及制品燃烧性能分级》GB 8624—2012规定的软质家具难燃B1级。</w:t>
      </w:r>
    </w:p>
    <w:p>
      <w:pPr>
        <w:pStyle w:val="16"/>
        <w:spacing w:line="360" w:lineRule="auto"/>
        <w:ind w:firstLine="466"/>
        <w:rPr>
          <w:rFonts w:hint="default" w:ascii="Times New Roman" w:hAnsi="Times New Roman"/>
          <w:b/>
          <w:bCs/>
          <w:sz w:val="24"/>
          <w:szCs w:val="24"/>
        </w:rPr>
      </w:pPr>
      <w:r>
        <w:rPr>
          <w:rFonts w:hint="default" w:ascii="Times New Roman" w:hAnsi="Times New Roman"/>
          <w:b/>
          <w:bCs/>
          <w:sz w:val="24"/>
          <w:szCs w:val="24"/>
        </w:rPr>
        <w:t>8、部分配件、产品品牌要求一览表</w:t>
      </w:r>
    </w:p>
    <w:tbl>
      <w:tblPr>
        <w:tblStyle w:val="42"/>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6"/>
        <w:gridCol w:w="2285"/>
        <w:gridCol w:w="63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505" w:type="pct"/>
            <w:vAlign w:val="center"/>
          </w:tcPr>
          <w:p>
            <w:pPr>
              <w:jc w:val="center"/>
              <w:rPr>
                <w:rFonts w:hint="default"/>
                <w:sz w:val="24"/>
                <w:szCs w:val="24"/>
              </w:rPr>
            </w:pPr>
            <w:r>
              <w:rPr>
                <w:rFonts w:hint="default"/>
                <w:sz w:val="24"/>
                <w:szCs w:val="24"/>
              </w:rPr>
              <w:t>序号</w:t>
            </w:r>
          </w:p>
        </w:tc>
        <w:tc>
          <w:tcPr>
            <w:tcW w:w="1195" w:type="pct"/>
            <w:vAlign w:val="center"/>
          </w:tcPr>
          <w:p>
            <w:pPr>
              <w:jc w:val="center"/>
              <w:rPr>
                <w:rFonts w:hint="default"/>
                <w:sz w:val="24"/>
                <w:szCs w:val="24"/>
              </w:rPr>
            </w:pPr>
            <w:r>
              <w:rPr>
                <w:rFonts w:hint="default"/>
                <w:sz w:val="24"/>
                <w:szCs w:val="24"/>
              </w:rPr>
              <w:t>品种</w:t>
            </w:r>
          </w:p>
        </w:tc>
        <w:tc>
          <w:tcPr>
            <w:tcW w:w="3299" w:type="pct"/>
            <w:vAlign w:val="center"/>
          </w:tcPr>
          <w:p>
            <w:pPr>
              <w:jc w:val="center"/>
              <w:rPr>
                <w:rFonts w:hint="default"/>
                <w:sz w:val="24"/>
                <w:szCs w:val="24"/>
              </w:rPr>
            </w:pPr>
            <w:r>
              <w:rPr>
                <w:rFonts w:hint="default"/>
                <w:sz w:val="24"/>
                <w:szCs w:val="24"/>
              </w:rPr>
              <w:t>参考品牌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05" w:type="pct"/>
            <w:vAlign w:val="center"/>
          </w:tcPr>
          <w:p>
            <w:pPr>
              <w:jc w:val="center"/>
              <w:rPr>
                <w:rFonts w:hint="default"/>
                <w:sz w:val="24"/>
                <w:szCs w:val="24"/>
              </w:rPr>
            </w:pPr>
            <w:r>
              <w:rPr>
                <w:rFonts w:hint="default"/>
                <w:sz w:val="24"/>
                <w:szCs w:val="24"/>
              </w:rPr>
              <w:t>1</w:t>
            </w:r>
          </w:p>
        </w:tc>
        <w:tc>
          <w:tcPr>
            <w:tcW w:w="1195" w:type="pct"/>
            <w:vAlign w:val="center"/>
          </w:tcPr>
          <w:p>
            <w:pPr>
              <w:jc w:val="center"/>
              <w:rPr>
                <w:rFonts w:hint="default"/>
                <w:sz w:val="24"/>
                <w:szCs w:val="24"/>
              </w:rPr>
            </w:pPr>
            <w:r>
              <w:rPr>
                <w:rFonts w:hint="default"/>
                <w:sz w:val="24"/>
                <w:szCs w:val="24"/>
              </w:rPr>
              <w:t>桌板、挡板</w:t>
            </w:r>
          </w:p>
        </w:tc>
        <w:tc>
          <w:tcPr>
            <w:tcW w:w="3299" w:type="pct"/>
            <w:vAlign w:val="center"/>
          </w:tcPr>
          <w:p>
            <w:pPr>
              <w:jc w:val="center"/>
              <w:rPr>
                <w:rFonts w:hint="default"/>
                <w:sz w:val="24"/>
                <w:szCs w:val="24"/>
              </w:rPr>
            </w:pPr>
            <w:r>
              <w:rPr>
                <w:rFonts w:hint="default"/>
                <w:sz w:val="24"/>
                <w:szCs w:val="24"/>
              </w:rPr>
              <w:t>福人、大亚、露水河或同档次及以上品牌的E1级刨花板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trPr>
        <w:tc>
          <w:tcPr>
            <w:tcW w:w="505" w:type="pct"/>
            <w:vAlign w:val="center"/>
          </w:tcPr>
          <w:p>
            <w:pPr>
              <w:jc w:val="center"/>
              <w:rPr>
                <w:rFonts w:hint="default"/>
                <w:sz w:val="24"/>
                <w:szCs w:val="24"/>
              </w:rPr>
            </w:pPr>
            <w:r>
              <w:rPr>
                <w:rFonts w:hint="default"/>
                <w:sz w:val="24"/>
                <w:szCs w:val="24"/>
              </w:rPr>
              <w:t>2</w:t>
            </w:r>
          </w:p>
        </w:tc>
        <w:tc>
          <w:tcPr>
            <w:tcW w:w="1195" w:type="pct"/>
            <w:vAlign w:val="center"/>
          </w:tcPr>
          <w:p>
            <w:pPr>
              <w:jc w:val="center"/>
              <w:rPr>
                <w:rFonts w:hint="default"/>
                <w:sz w:val="24"/>
                <w:szCs w:val="24"/>
              </w:rPr>
            </w:pPr>
            <w:r>
              <w:rPr>
                <w:rFonts w:hint="default"/>
                <w:sz w:val="24"/>
                <w:szCs w:val="24"/>
              </w:rPr>
              <w:t>贴面</w:t>
            </w:r>
          </w:p>
        </w:tc>
        <w:tc>
          <w:tcPr>
            <w:tcW w:w="3299" w:type="pct"/>
            <w:vAlign w:val="center"/>
          </w:tcPr>
          <w:p>
            <w:pPr>
              <w:jc w:val="center"/>
              <w:rPr>
                <w:rFonts w:hint="default"/>
                <w:sz w:val="24"/>
                <w:szCs w:val="24"/>
              </w:rPr>
            </w:pPr>
            <w:r>
              <w:rPr>
                <w:rFonts w:hint="default"/>
                <w:sz w:val="24"/>
                <w:szCs w:val="24"/>
              </w:rPr>
              <w:t>鑫叶、标准、夏特或同档次及以上品牌的三聚氰胺贴面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pPr>
              <w:jc w:val="center"/>
              <w:rPr>
                <w:rFonts w:hint="default"/>
                <w:sz w:val="24"/>
                <w:szCs w:val="24"/>
              </w:rPr>
            </w:pPr>
            <w:r>
              <w:rPr>
                <w:rFonts w:hint="default"/>
                <w:sz w:val="24"/>
                <w:szCs w:val="24"/>
              </w:rPr>
              <w:t>3</w:t>
            </w:r>
          </w:p>
        </w:tc>
        <w:tc>
          <w:tcPr>
            <w:tcW w:w="1195" w:type="pct"/>
            <w:vAlign w:val="center"/>
          </w:tcPr>
          <w:p>
            <w:pPr>
              <w:jc w:val="center"/>
              <w:rPr>
                <w:rFonts w:hint="default"/>
                <w:sz w:val="24"/>
                <w:szCs w:val="24"/>
              </w:rPr>
            </w:pPr>
            <w:r>
              <w:rPr>
                <w:rFonts w:hint="default"/>
                <w:sz w:val="24"/>
                <w:szCs w:val="24"/>
              </w:rPr>
              <w:t>海绵</w:t>
            </w:r>
          </w:p>
        </w:tc>
        <w:tc>
          <w:tcPr>
            <w:tcW w:w="3299" w:type="pct"/>
            <w:vAlign w:val="center"/>
          </w:tcPr>
          <w:p>
            <w:pPr>
              <w:jc w:val="center"/>
              <w:rPr>
                <w:rFonts w:hint="default"/>
                <w:sz w:val="24"/>
                <w:szCs w:val="24"/>
              </w:rPr>
            </w:pPr>
            <w:r>
              <w:rPr>
                <w:rFonts w:hint="default"/>
                <w:sz w:val="24"/>
                <w:szCs w:val="24"/>
              </w:rPr>
              <w:t>东亚、圣诺盟、高化或同档次及以上品牌的环保型高密度、高回弹聚氨酯泡绵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pPr>
              <w:jc w:val="center"/>
              <w:rPr>
                <w:rFonts w:hint="default"/>
                <w:sz w:val="24"/>
                <w:szCs w:val="24"/>
              </w:rPr>
            </w:pPr>
            <w:r>
              <w:rPr>
                <w:rFonts w:hint="default"/>
                <w:sz w:val="24"/>
                <w:szCs w:val="24"/>
              </w:rPr>
              <w:t>4</w:t>
            </w:r>
          </w:p>
        </w:tc>
        <w:tc>
          <w:tcPr>
            <w:tcW w:w="1195" w:type="pct"/>
            <w:vAlign w:val="center"/>
          </w:tcPr>
          <w:p>
            <w:pPr>
              <w:jc w:val="center"/>
              <w:rPr>
                <w:rFonts w:hint="default"/>
                <w:sz w:val="24"/>
                <w:szCs w:val="24"/>
              </w:rPr>
            </w:pPr>
            <w:r>
              <w:rPr>
                <w:rFonts w:hint="default"/>
                <w:sz w:val="24"/>
                <w:szCs w:val="24"/>
              </w:rPr>
              <w:t>椅架等其他钢制配件</w:t>
            </w:r>
          </w:p>
        </w:tc>
        <w:tc>
          <w:tcPr>
            <w:tcW w:w="3299" w:type="pct"/>
            <w:vAlign w:val="center"/>
          </w:tcPr>
          <w:p>
            <w:pPr>
              <w:jc w:val="center"/>
              <w:rPr>
                <w:rFonts w:hint="default"/>
                <w:sz w:val="24"/>
                <w:szCs w:val="24"/>
              </w:rPr>
            </w:pPr>
            <w:r>
              <w:rPr>
                <w:rFonts w:hint="default"/>
                <w:sz w:val="24"/>
                <w:szCs w:val="24"/>
              </w:rPr>
              <w:t>宝钢”、“首钢”、“鞍钢”或同档次及以上品牌，静电喷塑钢制型材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pPr>
              <w:jc w:val="center"/>
              <w:rPr>
                <w:rFonts w:hint="default"/>
                <w:sz w:val="24"/>
                <w:szCs w:val="24"/>
              </w:rPr>
            </w:pPr>
            <w:r>
              <w:rPr>
                <w:rFonts w:hint="default"/>
                <w:sz w:val="24"/>
                <w:szCs w:val="24"/>
              </w:rPr>
              <w:t>5</w:t>
            </w:r>
          </w:p>
        </w:tc>
        <w:tc>
          <w:tcPr>
            <w:tcW w:w="1195" w:type="pct"/>
            <w:vAlign w:val="center"/>
          </w:tcPr>
          <w:p>
            <w:pPr>
              <w:jc w:val="center"/>
              <w:rPr>
                <w:rFonts w:hint="default"/>
                <w:sz w:val="24"/>
                <w:szCs w:val="24"/>
              </w:rPr>
            </w:pPr>
            <w:r>
              <w:rPr>
                <w:rFonts w:hint="default"/>
                <w:sz w:val="24"/>
                <w:szCs w:val="24"/>
              </w:rPr>
              <w:t>油漆</w:t>
            </w:r>
          </w:p>
        </w:tc>
        <w:tc>
          <w:tcPr>
            <w:tcW w:w="3299" w:type="pct"/>
            <w:vAlign w:val="center"/>
          </w:tcPr>
          <w:p>
            <w:pPr>
              <w:jc w:val="center"/>
              <w:rPr>
                <w:rFonts w:hint="default"/>
                <w:sz w:val="24"/>
                <w:szCs w:val="24"/>
              </w:rPr>
            </w:pPr>
            <w:r>
              <w:rPr>
                <w:rFonts w:hint="default"/>
                <w:sz w:val="24"/>
                <w:szCs w:val="24"/>
              </w:rPr>
              <w:t>嘉宝莉、华润、多乐士或同档次及以上品牌水星环保油漆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pPr>
              <w:jc w:val="center"/>
              <w:rPr>
                <w:rFonts w:hint="default"/>
                <w:sz w:val="24"/>
                <w:szCs w:val="24"/>
              </w:rPr>
            </w:pPr>
            <w:r>
              <w:rPr>
                <w:rFonts w:hint="default"/>
                <w:sz w:val="24"/>
                <w:szCs w:val="24"/>
              </w:rPr>
              <w:t>6</w:t>
            </w:r>
          </w:p>
        </w:tc>
        <w:tc>
          <w:tcPr>
            <w:tcW w:w="1195" w:type="pct"/>
            <w:vAlign w:val="center"/>
          </w:tcPr>
          <w:p>
            <w:pPr>
              <w:jc w:val="center"/>
              <w:rPr>
                <w:rFonts w:hint="default"/>
                <w:sz w:val="24"/>
                <w:szCs w:val="24"/>
              </w:rPr>
            </w:pPr>
            <w:r>
              <w:rPr>
                <w:rFonts w:hint="default"/>
                <w:sz w:val="24"/>
                <w:szCs w:val="24"/>
              </w:rPr>
              <w:t>五金配件</w:t>
            </w:r>
          </w:p>
        </w:tc>
        <w:tc>
          <w:tcPr>
            <w:tcW w:w="3299" w:type="pct"/>
            <w:vAlign w:val="center"/>
          </w:tcPr>
          <w:p>
            <w:pPr>
              <w:jc w:val="center"/>
              <w:rPr>
                <w:rFonts w:hint="default"/>
                <w:sz w:val="24"/>
                <w:szCs w:val="24"/>
              </w:rPr>
            </w:pPr>
            <w:r>
              <w:rPr>
                <w:rFonts w:hint="default"/>
                <w:sz w:val="24"/>
                <w:szCs w:val="24"/>
              </w:rPr>
              <w:t>固特、悍高、坚朗或同档次及以上品牌</w:t>
            </w:r>
          </w:p>
        </w:tc>
      </w:tr>
    </w:tbl>
    <w:p>
      <w:pPr>
        <w:pStyle w:val="16"/>
        <w:spacing w:line="360" w:lineRule="auto"/>
        <w:ind w:firstLine="464"/>
        <w:rPr>
          <w:rFonts w:hint="default" w:ascii="Times New Roman" w:hAnsi="Times New Roman"/>
          <w:sz w:val="24"/>
          <w:szCs w:val="24"/>
        </w:rPr>
      </w:pPr>
    </w:p>
    <w:p>
      <w:pPr>
        <w:pStyle w:val="16"/>
        <w:spacing w:line="360" w:lineRule="auto"/>
        <w:ind w:firstLine="466"/>
        <w:rPr>
          <w:rFonts w:hint="default" w:ascii="Times New Roman" w:hAnsi="Times New Roman"/>
          <w:b/>
          <w:bCs/>
          <w:sz w:val="24"/>
          <w:szCs w:val="24"/>
        </w:rPr>
      </w:pPr>
      <w:r>
        <w:rPr>
          <w:rFonts w:hint="default" w:ascii="Times New Roman" w:hAnsi="Times New Roman"/>
          <w:b/>
          <w:bCs/>
          <w:sz w:val="24"/>
          <w:szCs w:val="24"/>
        </w:rPr>
        <w:t>三、其他要求</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1、投标人产品的质量、技术标准按中华人民共和国有关部门颁发的最新的国标、专业（部）标准及行业标准执行。</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2、投标人需要提供生产实施方案，包括原材料采购、加工制作等各个环节的实施方案，在规定的时间内有计划的完成项目需求产品的生产和装配。</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3、投标人需要提供品控管理方案，对产品品质有管理管控过程，有独立品管部门和专门品管人员，确保产品生产过程中的质量控制完善。</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4、投标人需要提供安装服务实施方案，根据货物交付时间节点，落实送货安装时间和人员安排，确保按期交付使用。</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5、售后服务要求：</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（1）质保期：所有家具的质保期不少于5年；自验收合格交付使用之日起计算。在此质保期内，如在正常使用过程中出现的质量问题，投标人须负责免费维修或调换。</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（2）投标人需提供24小时售后服务，且维修人员须在接到维修电话后4小时内赶到现场，提供不间断的服务直到修复为止。维修点需提供足够的备件以适应</w:t>
      </w:r>
      <w:r>
        <w:rPr>
          <w:rFonts w:ascii="Times New Roman" w:hAnsi="Times New Roman"/>
          <w:sz w:val="24"/>
          <w:szCs w:val="24"/>
        </w:rPr>
        <w:t>采购人</w:t>
      </w:r>
      <w:r>
        <w:rPr>
          <w:rFonts w:hint="default" w:ascii="Times New Roman" w:hAnsi="Times New Roman"/>
          <w:sz w:val="24"/>
          <w:szCs w:val="24"/>
        </w:rPr>
        <w:t>维修需求。</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6、项目团队要求：投标人需要提供项目技术团队及其能力说明，提供人员清单、履历、专业技术能力等资料。</w:t>
      </w:r>
    </w:p>
    <w:p>
      <w:pPr>
        <w:pStyle w:val="16"/>
        <w:spacing w:line="360" w:lineRule="auto"/>
        <w:ind w:firstLine="466"/>
        <w:rPr>
          <w:rFonts w:hint="default" w:ascii="Times New Roman" w:hAnsi="Times New Roman"/>
          <w:b/>
          <w:bCs/>
          <w:sz w:val="24"/>
          <w:szCs w:val="24"/>
        </w:rPr>
      </w:pPr>
      <w:r>
        <w:rPr>
          <w:rFonts w:hint="default" w:ascii="Times New Roman" w:hAnsi="Times New Roman"/>
          <w:b/>
          <w:bCs/>
          <w:sz w:val="24"/>
          <w:szCs w:val="24"/>
        </w:rPr>
        <w:t>四、验收标准</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1、所供产品的规格、数量符合招标文件、投标人投标承诺及合同约定的要求。</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2、所供产品的材质、颜色符合招标文件、投标人投标承诺及合同约定的要求。</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3、所供产品的外观完好，无严重碰撞、表皮脱落、五金件生锈等明显瑕疵。</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4、所供产品结构牢固，无安全隐患。</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5、产品的验收和抽检：厂家在生产过程中及产品送货后，</w:t>
      </w:r>
      <w:r>
        <w:rPr>
          <w:rFonts w:ascii="Times New Roman" w:hAnsi="Times New Roman"/>
          <w:sz w:val="24"/>
          <w:szCs w:val="24"/>
        </w:rPr>
        <w:t>采购人</w:t>
      </w:r>
      <w:r>
        <w:rPr>
          <w:rFonts w:hint="default" w:ascii="Times New Roman" w:hAnsi="Times New Roman"/>
          <w:sz w:val="24"/>
          <w:szCs w:val="24"/>
        </w:rPr>
        <w:t>有权抽检原附材料和成品送</w:t>
      </w:r>
      <w:r>
        <w:rPr>
          <w:rFonts w:ascii="Times New Roman" w:hAnsi="Times New Roman"/>
          <w:sz w:val="24"/>
          <w:szCs w:val="24"/>
        </w:rPr>
        <w:t>第三方检测机构</w:t>
      </w:r>
      <w:r>
        <w:rPr>
          <w:rFonts w:hint="default" w:ascii="Times New Roman" w:hAnsi="Times New Roman"/>
          <w:sz w:val="24"/>
          <w:szCs w:val="24"/>
        </w:rPr>
        <w:t>对原材料的环保技术参数进行验证和成品的材质、质量、环保性能等进行检验，</w:t>
      </w:r>
      <w:r>
        <w:rPr>
          <w:rFonts w:hAnsi="宋体"/>
          <w:sz w:val="24"/>
        </w:rPr>
        <w:t>如有问题，则检验费用由投标人支付；否则检验费用由采购人支付</w:t>
      </w:r>
      <w:r>
        <w:rPr>
          <w:rFonts w:hint="default" w:ascii="Times New Roman" w:hAnsi="Times New Roman"/>
          <w:sz w:val="24"/>
          <w:szCs w:val="24"/>
        </w:rPr>
        <w:t>。如产品检验不通过，投标人必须接受无条件退货并赔偿由此造成对</w:t>
      </w:r>
      <w:r>
        <w:rPr>
          <w:rFonts w:ascii="Times New Roman" w:hAnsi="Times New Roman"/>
          <w:sz w:val="24"/>
          <w:szCs w:val="24"/>
        </w:rPr>
        <w:t>采购人</w:t>
      </w:r>
      <w:r>
        <w:rPr>
          <w:rFonts w:hint="default" w:ascii="Times New Roman" w:hAnsi="Times New Roman"/>
          <w:sz w:val="24"/>
          <w:szCs w:val="24"/>
        </w:rPr>
        <w:t>的所有损失。</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6、招标文件</w:t>
      </w:r>
      <w:r>
        <w:rPr>
          <w:rFonts w:hint="eastAsia" w:ascii="Times New Roman" w:hAnsi="Times New Roman"/>
          <w:sz w:val="24"/>
          <w:szCs w:val="24"/>
          <w:lang w:eastAsia="zh-CN"/>
        </w:rPr>
        <w:t>、</w:t>
      </w:r>
      <w:r>
        <w:rPr>
          <w:rFonts w:hint="default" w:ascii="Times New Roman" w:hAnsi="Times New Roman"/>
          <w:sz w:val="24"/>
          <w:szCs w:val="24"/>
        </w:rPr>
        <w:t>投标人投标承诺及采购合同约定的附件、工具、技术资料等齐全；提供合格证及上述说明的相关检测报告。</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五、投标样品：</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1、因对产品的整体制作工艺、美观性、表观质量、表面处理及细节处理情况、部件连接工艺、操作的方便性等内容仅凭书面方式不能准确详细的描述，需要对样品进行主观判断；样品是评审的主要内容之一，投标人应依据其企业的实力和货物的要求提供产品的样品，是否提交样品非强制性要求，由投标人自行确定，提交样品供</w:t>
      </w:r>
      <w:r>
        <w:rPr>
          <w:rFonts w:ascii="Times New Roman" w:hAnsi="Times New Roman"/>
          <w:sz w:val="24"/>
          <w:szCs w:val="24"/>
        </w:rPr>
        <w:t>采购</w:t>
      </w:r>
      <w:r>
        <w:rPr>
          <w:rFonts w:hint="default" w:ascii="Times New Roman" w:hAnsi="Times New Roman"/>
          <w:sz w:val="24"/>
          <w:szCs w:val="24"/>
        </w:rPr>
        <w:t>人及评审小组评审。</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2、样品提交地址：浙江省杭州市大关路179号远洋国际中心A座</w:t>
      </w:r>
      <w:r>
        <w:rPr>
          <w:rFonts w:ascii="Times New Roman" w:hAnsi="Times New Roman"/>
          <w:sz w:val="24"/>
          <w:szCs w:val="24"/>
        </w:rPr>
        <w:t>1705</w:t>
      </w:r>
      <w:r>
        <w:rPr>
          <w:rFonts w:hint="default" w:ascii="Times New Roman" w:hAnsi="Times New Roman"/>
          <w:sz w:val="24"/>
          <w:szCs w:val="24"/>
        </w:rPr>
        <w:t>室，联系人：</w:t>
      </w:r>
      <w:r>
        <w:rPr>
          <w:rFonts w:ascii="Times New Roman" w:hAnsi="Times New Roman"/>
          <w:sz w:val="24"/>
          <w:szCs w:val="24"/>
        </w:rPr>
        <w:t>刘德坤</w:t>
      </w:r>
      <w:r>
        <w:rPr>
          <w:rFonts w:hint="default" w:ascii="Times New Roman" w:hAnsi="Times New Roman"/>
          <w:sz w:val="24"/>
          <w:szCs w:val="24"/>
        </w:rPr>
        <w:t>，电话：0571-</w:t>
      </w:r>
      <w:r>
        <w:rPr>
          <w:rFonts w:ascii="Times New Roman" w:hAnsi="Times New Roman"/>
          <w:sz w:val="24"/>
          <w:szCs w:val="24"/>
        </w:rPr>
        <w:t>56321030</w:t>
      </w:r>
      <w:r>
        <w:rPr>
          <w:rFonts w:hint="default" w:ascii="Times New Roman" w:hAnsi="Times New Roman"/>
          <w:sz w:val="24"/>
          <w:szCs w:val="24"/>
        </w:rPr>
        <w:t>；样品递交截止时间同投标截止时间，投标截止时间之后送达的样品不予接收。</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3、评审结束后，未中标的样品按代理机构通知时间取回，否则</w:t>
      </w:r>
      <w:r>
        <w:rPr>
          <w:rFonts w:ascii="Times New Roman" w:hAnsi="Times New Roman"/>
          <w:sz w:val="24"/>
          <w:szCs w:val="24"/>
        </w:rPr>
        <w:t>采购</w:t>
      </w:r>
      <w:r>
        <w:rPr>
          <w:rFonts w:hint="default" w:ascii="Times New Roman" w:hAnsi="Times New Roman"/>
          <w:sz w:val="24"/>
          <w:szCs w:val="24"/>
        </w:rPr>
        <w:t>人或代理机构不负保管责任。</w:t>
      </w:r>
      <w:r>
        <w:rPr>
          <w:rFonts w:hint="eastAsia" w:ascii="Times New Roman" w:hAnsi="Times New Roman"/>
          <w:sz w:val="24"/>
          <w:szCs w:val="24"/>
          <w:lang w:val="en-US" w:eastAsia="zh-CN"/>
        </w:rPr>
        <w:t>中标人</w:t>
      </w:r>
      <w:r>
        <w:rPr>
          <w:rFonts w:hint="default" w:ascii="Times New Roman" w:hAnsi="Times New Roman"/>
          <w:sz w:val="24"/>
          <w:szCs w:val="24"/>
        </w:rPr>
        <w:t>的样品不退还，由</w:t>
      </w:r>
      <w:r>
        <w:rPr>
          <w:rFonts w:ascii="Times New Roman" w:hAnsi="Times New Roman"/>
          <w:sz w:val="24"/>
          <w:szCs w:val="24"/>
        </w:rPr>
        <w:t>采购</w:t>
      </w:r>
      <w:r>
        <w:rPr>
          <w:rFonts w:hint="default" w:ascii="Times New Roman" w:hAnsi="Times New Roman"/>
          <w:sz w:val="24"/>
          <w:szCs w:val="24"/>
        </w:rPr>
        <w:t>人保管、封存，并作为履约验收的参考，最终货物的材质与工艺质量低于投标时提供样品质量的，</w:t>
      </w:r>
      <w:r>
        <w:rPr>
          <w:rFonts w:ascii="Times New Roman" w:hAnsi="Times New Roman"/>
          <w:sz w:val="24"/>
          <w:szCs w:val="24"/>
        </w:rPr>
        <w:t>采购</w:t>
      </w:r>
      <w:r>
        <w:rPr>
          <w:rFonts w:hint="default" w:ascii="Times New Roman" w:hAnsi="Times New Roman"/>
          <w:sz w:val="24"/>
          <w:szCs w:val="24"/>
        </w:rPr>
        <w:t>人有权按不合格产品退货。</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4、样品包装由投标人自定，在样品的合适位置需牢固粘贴标记，标记上至少注明样品名称、规格或型号、品牌或制造商、投标人名称（加盖单位公章）。</w:t>
      </w:r>
    </w:p>
    <w:p>
      <w:pPr>
        <w:pStyle w:val="16"/>
        <w:spacing w:line="360" w:lineRule="auto"/>
        <w:ind w:firstLine="464"/>
        <w:rPr>
          <w:rFonts w:hint="default" w:ascii="Times New Roman" w:hAnsi="Times New Roman"/>
          <w:sz w:val="24"/>
          <w:szCs w:val="24"/>
        </w:rPr>
      </w:pPr>
      <w:r>
        <w:rPr>
          <w:rFonts w:hint="default" w:ascii="Times New Roman" w:hAnsi="Times New Roman"/>
          <w:sz w:val="24"/>
          <w:szCs w:val="24"/>
        </w:rPr>
        <w:t>5、如投标人采用邮寄方式寄送样品，未按时送达及破损等风险自行承担</w:t>
      </w:r>
      <w:r>
        <w:rPr>
          <w:rFonts w:ascii="Times New Roman" w:hAnsi="Times New Roman"/>
          <w:sz w:val="24"/>
          <w:szCs w:val="24"/>
        </w:rPr>
        <w:t>。</w:t>
      </w:r>
    </w:p>
    <w:p>
      <w:pPr>
        <w:pStyle w:val="16"/>
        <w:spacing w:line="360" w:lineRule="auto"/>
        <w:ind w:firstLine="464"/>
        <w:rPr>
          <w:rFonts w:hint="default"/>
        </w:rPr>
      </w:pPr>
      <w:r>
        <w:rPr>
          <w:sz w:val="24"/>
          <w:szCs w:val="24"/>
        </w:rPr>
        <w:t>6、样品清单</w:t>
      </w:r>
    </w:p>
    <w:tbl>
      <w:tblPr>
        <w:tblStyle w:val="4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81"/>
        <w:gridCol w:w="5545"/>
        <w:gridCol w:w="25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74"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序号</w:t>
            </w:r>
          </w:p>
        </w:tc>
        <w:tc>
          <w:tcPr>
            <w:tcW w:w="2896"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样品名称</w:t>
            </w:r>
          </w:p>
        </w:tc>
        <w:tc>
          <w:tcPr>
            <w:tcW w:w="1329"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74"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w:t>
            </w:r>
          </w:p>
        </w:tc>
        <w:tc>
          <w:tcPr>
            <w:tcW w:w="2896"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阶梯会议室座椅</w:t>
            </w:r>
          </w:p>
        </w:tc>
        <w:tc>
          <w:tcPr>
            <w:tcW w:w="1329"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1人位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74"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2</w:t>
            </w:r>
          </w:p>
        </w:tc>
        <w:tc>
          <w:tcPr>
            <w:tcW w:w="2896"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小样（皮面、板材、海绵、五金件）</w:t>
            </w:r>
          </w:p>
        </w:tc>
        <w:tc>
          <w:tcPr>
            <w:tcW w:w="1329"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1套</w:t>
            </w:r>
          </w:p>
        </w:tc>
      </w:tr>
    </w:tbl>
    <w:p>
      <w:pPr>
        <w:snapToGrid w:val="0"/>
        <w:spacing w:line="360" w:lineRule="auto"/>
        <w:ind w:firstLine="480" w:firstLineChars="200"/>
        <w:jc w:val="left"/>
        <w:rPr>
          <w:rFonts w:hint="default"/>
          <w:sz w:val="24"/>
          <w:szCs w:val="24"/>
        </w:rPr>
        <w:sectPr>
          <w:pgSz w:w="11906" w:h="16838"/>
          <w:pgMar w:top="1134" w:right="1247" w:bottom="1247" w:left="1304" w:header="794" w:footer="794" w:gutter="0"/>
          <w:cols w:space="720" w:num="1"/>
          <w:docGrid w:linePitch="312" w:charSpace="0"/>
        </w:sectPr>
      </w:pPr>
    </w:p>
    <w:p>
      <w:pPr>
        <w:pStyle w:val="7"/>
        <w:tabs>
          <w:tab w:val="left" w:pos="1050"/>
        </w:tabs>
        <w:adjustRightInd w:val="0"/>
        <w:snapToGrid w:val="0"/>
        <w:spacing w:beforeLines="0" w:afterLines="0" w:line="360" w:lineRule="auto"/>
        <w:ind w:firstLine="723"/>
        <w:jc w:val="center"/>
        <w:outlineLvl w:val="0"/>
        <w:rPr>
          <w:rFonts w:hint="default" w:ascii="Times New Roman" w:hAnsi="Times New Roman"/>
          <w:b/>
          <w:sz w:val="36"/>
          <w:szCs w:val="36"/>
        </w:rPr>
      </w:pPr>
      <w:bookmarkStart w:id="60" w:name="_Toc15889"/>
      <w:bookmarkStart w:id="61" w:name="_Toc55237637"/>
      <w:r>
        <w:rPr>
          <w:rFonts w:ascii="Times New Roman" w:hAnsi="Times New Roman"/>
          <w:b/>
          <w:sz w:val="36"/>
          <w:szCs w:val="36"/>
        </w:rPr>
        <w:t>第五章</w:t>
      </w:r>
      <w:r>
        <w:rPr>
          <w:rFonts w:hint="default" w:ascii="Times New Roman" w:hAnsi="Times New Roman"/>
          <w:b/>
          <w:sz w:val="36"/>
          <w:szCs w:val="36"/>
        </w:rPr>
        <w:t>合同主要条款</w:t>
      </w:r>
      <w:bookmarkEnd w:id="60"/>
    </w:p>
    <w:p>
      <w:pPr>
        <w:spacing w:line="360" w:lineRule="auto"/>
        <w:ind w:right="-185" w:rightChars="-88" w:firstLine="482" w:firstLineChars="200"/>
        <w:jc w:val="left"/>
        <w:rPr>
          <w:rFonts w:hint="default" w:ascii="宋体" w:hAnsi="宋体"/>
          <w:b/>
          <w:sz w:val="24"/>
        </w:rPr>
      </w:pPr>
      <w:r>
        <w:rPr>
          <w:rFonts w:ascii="宋体" w:hAnsi="宋体"/>
          <w:b/>
          <w:sz w:val="24"/>
        </w:rPr>
        <w:t>（本条款为双方必须遵守的基本条款，双方可根据实际情况签订合同文本；正式合同以双方签字盖章的文本为准。）</w:t>
      </w:r>
    </w:p>
    <w:p>
      <w:pPr>
        <w:adjustRightInd w:val="0"/>
        <w:snapToGrid w:val="0"/>
        <w:spacing w:line="360" w:lineRule="auto"/>
        <w:ind w:firstLine="480"/>
        <w:rPr>
          <w:rFonts w:hint="default" w:ascii="宋体" w:cs="宋体"/>
          <w:sz w:val="24"/>
        </w:rPr>
      </w:pPr>
    </w:p>
    <w:p>
      <w:pPr>
        <w:spacing w:line="360" w:lineRule="auto"/>
        <w:ind w:firstLine="480"/>
        <w:rPr>
          <w:rFonts w:hint="default" w:ascii="宋体" w:hAnsi="宋体"/>
          <w:sz w:val="24"/>
          <w:u w:val="single"/>
        </w:rPr>
      </w:pPr>
      <w:r>
        <w:rPr>
          <w:rFonts w:ascii="宋体" w:hAnsi="宋体"/>
          <w:sz w:val="24"/>
        </w:rPr>
        <w:t>甲方：</w:t>
      </w:r>
    </w:p>
    <w:p>
      <w:pPr>
        <w:spacing w:line="360" w:lineRule="auto"/>
        <w:ind w:firstLine="480"/>
        <w:rPr>
          <w:rFonts w:hint="default" w:ascii="宋体" w:hAnsi="宋体"/>
          <w:sz w:val="24"/>
        </w:rPr>
      </w:pPr>
      <w:r>
        <w:rPr>
          <w:rFonts w:ascii="宋体" w:hAnsi="宋体"/>
          <w:sz w:val="24"/>
        </w:rPr>
        <w:t>乙方：</w:t>
      </w:r>
    </w:p>
    <w:p>
      <w:pPr>
        <w:spacing w:line="360" w:lineRule="auto"/>
        <w:ind w:firstLine="480" w:firstLineChars="200"/>
        <w:rPr>
          <w:rFonts w:hint="default" w:ascii="宋体" w:hAnsi="宋体"/>
          <w:sz w:val="24"/>
        </w:rPr>
      </w:pPr>
      <w:r>
        <w:rPr>
          <w:rFonts w:ascii="宋体" w:hAnsi="宋体"/>
          <w:sz w:val="24"/>
        </w:rPr>
        <w:t>根据年月日</w:t>
      </w:r>
      <w:r>
        <w:rPr>
          <w:rFonts w:ascii="宋体" w:hAnsi="宋体"/>
          <w:sz w:val="24"/>
          <w:u w:val="single"/>
        </w:rPr>
        <w:t xml:space="preserve">   （项目名称）    </w:t>
      </w:r>
      <w:r>
        <w:rPr>
          <w:rFonts w:ascii="宋体" w:hAnsi="宋体"/>
          <w:sz w:val="24"/>
        </w:rPr>
        <w:t xml:space="preserve"> （招标编号：）招标结果和招标文件要求，并依照《民法典》及其他等有关法律、行政法规的规定，同时在平等、公平、诚实和信用的原则下，经双方协商一致，订立本合同。</w:t>
      </w:r>
    </w:p>
    <w:p>
      <w:pPr>
        <w:autoSpaceDE w:val="0"/>
        <w:autoSpaceDN w:val="0"/>
        <w:adjustRightInd w:val="0"/>
        <w:snapToGrid w:val="0"/>
        <w:spacing w:line="360" w:lineRule="auto"/>
        <w:ind w:firstLine="482" w:firstLineChars="200"/>
        <w:textAlignment w:val="bottom"/>
        <w:rPr>
          <w:rFonts w:hint="default" w:ascii="宋体" w:hAnsi="宋体"/>
          <w:b/>
          <w:sz w:val="24"/>
        </w:rPr>
      </w:pPr>
      <w:r>
        <w:rPr>
          <w:rFonts w:ascii="宋体" w:hAnsi="宋体"/>
          <w:b/>
          <w:sz w:val="24"/>
        </w:rPr>
        <w:t>一、合同文件的组成</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双方的补充协议、合同文本、中标通知书、招标文件、投标文件、技术澄清及询标答复的所有内容是构成合同不可分割的部分，与本合同具有同等法律效力，当文件有相矛盾之处，以时间后者为准。投标文件及其附件（含询标纪要）如有负偏离招标文件要求的内容，则无条件按招标文件执行。</w:t>
      </w:r>
    </w:p>
    <w:p>
      <w:pPr>
        <w:pStyle w:val="7"/>
        <w:snapToGrid w:val="0"/>
        <w:spacing w:beforeLines="0" w:afterLines="0" w:line="360" w:lineRule="auto"/>
        <w:ind w:firstLine="482" w:firstLineChars="200"/>
        <w:rPr>
          <w:rFonts w:hint="default" w:hAnsi="宋体"/>
          <w:b/>
          <w:bCs/>
        </w:rPr>
      </w:pPr>
      <w:r>
        <w:rPr>
          <w:rFonts w:hAnsi="宋体"/>
          <w:b/>
        </w:rPr>
        <w:t>二、</w:t>
      </w:r>
      <w:r>
        <w:rPr>
          <w:rFonts w:hAnsi="宋体"/>
          <w:b/>
          <w:bCs/>
        </w:rPr>
        <w:t>采购内容：</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2135"/>
        <w:gridCol w:w="1368"/>
        <w:gridCol w:w="2536"/>
        <w:gridCol w:w="720"/>
        <w:gridCol w:w="834"/>
        <w:gridCol w:w="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83" w:type="dxa"/>
            <w:vAlign w:val="center"/>
          </w:tcPr>
          <w:p>
            <w:pPr>
              <w:jc w:val="center"/>
              <w:rPr>
                <w:rFonts w:hint="default"/>
                <w:sz w:val="24"/>
                <w:szCs w:val="24"/>
              </w:rPr>
            </w:pPr>
            <w:r>
              <w:rPr>
                <w:rFonts w:hint="default"/>
                <w:sz w:val="24"/>
                <w:szCs w:val="24"/>
              </w:rPr>
              <w:t>序号</w:t>
            </w:r>
          </w:p>
        </w:tc>
        <w:tc>
          <w:tcPr>
            <w:tcW w:w="2135" w:type="dxa"/>
            <w:vAlign w:val="center"/>
          </w:tcPr>
          <w:p>
            <w:pPr>
              <w:jc w:val="center"/>
              <w:rPr>
                <w:rFonts w:hint="default"/>
                <w:sz w:val="24"/>
                <w:szCs w:val="24"/>
              </w:rPr>
            </w:pPr>
            <w:r>
              <w:rPr>
                <w:rFonts w:hint="default"/>
                <w:sz w:val="24"/>
                <w:szCs w:val="24"/>
              </w:rPr>
              <w:t>名称</w:t>
            </w:r>
          </w:p>
        </w:tc>
        <w:tc>
          <w:tcPr>
            <w:tcW w:w="1368" w:type="dxa"/>
            <w:vAlign w:val="center"/>
          </w:tcPr>
          <w:p>
            <w:pPr>
              <w:jc w:val="center"/>
              <w:rPr>
                <w:rFonts w:hint="default"/>
                <w:sz w:val="24"/>
                <w:szCs w:val="24"/>
              </w:rPr>
            </w:pPr>
            <w:r>
              <w:rPr>
                <w:rFonts w:hint="default"/>
                <w:sz w:val="24"/>
                <w:szCs w:val="24"/>
              </w:rPr>
              <w:t>品牌型号</w:t>
            </w:r>
          </w:p>
        </w:tc>
        <w:tc>
          <w:tcPr>
            <w:tcW w:w="2536" w:type="dxa"/>
            <w:vAlign w:val="center"/>
          </w:tcPr>
          <w:p>
            <w:pPr>
              <w:jc w:val="center"/>
              <w:rPr>
                <w:rFonts w:hint="default"/>
                <w:sz w:val="24"/>
                <w:szCs w:val="24"/>
              </w:rPr>
            </w:pPr>
            <w:r>
              <w:rPr>
                <w:rFonts w:hint="default"/>
                <w:sz w:val="24"/>
                <w:szCs w:val="24"/>
              </w:rPr>
              <w:t>主要尺寸</w:t>
            </w:r>
          </w:p>
        </w:tc>
        <w:tc>
          <w:tcPr>
            <w:tcW w:w="720" w:type="dxa"/>
            <w:vAlign w:val="center"/>
          </w:tcPr>
          <w:p>
            <w:pPr>
              <w:jc w:val="center"/>
              <w:rPr>
                <w:rFonts w:hint="default"/>
                <w:sz w:val="24"/>
                <w:szCs w:val="24"/>
              </w:rPr>
            </w:pPr>
            <w:r>
              <w:rPr>
                <w:rFonts w:hint="default"/>
                <w:sz w:val="24"/>
                <w:szCs w:val="24"/>
              </w:rPr>
              <w:t>数量</w:t>
            </w:r>
          </w:p>
        </w:tc>
        <w:tc>
          <w:tcPr>
            <w:tcW w:w="834" w:type="dxa"/>
            <w:vAlign w:val="center"/>
          </w:tcPr>
          <w:p>
            <w:pPr>
              <w:jc w:val="center"/>
              <w:rPr>
                <w:rFonts w:hint="default"/>
                <w:sz w:val="24"/>
                <w:szCs w:val="24"/>
              </w:rPr>
            </w:pPr>
            <w:r>
              <w:rPr>
                <w:rFonts w:hint="default"/>
                <w:sz w:val="24"/>
                <w:szCs w:val="24"/>
              </w:rPr>
              <w:t>单价</w:t>
            </w:r>
          </w:p>
        </w:tc>
        <w:tc>
          <w:tcPr>
            <w:tcW w:w="843" w:type="dxa"/>
            <w:vAlign w:val="center"/>
          </w:tcPr>
          <w:p>
            <w:pPr>
              <w:jc w:val="center"/>
              <w:rPr>
                <w:rFonts w:hint="default"/>
                <w:sz w:val="24"/>
                <w:szCs w:val="24"/>
              </w:rPr>
            </w:pPr>
            <w:r>
              <w:rPr>
                <w:rFonts w:hint="default"/>
                <w:sz w:val="24"/>
                <w:szCs w:val="24"/>
              </w:rPr>
              <w:t>合价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83" w:type="dxa"/>
            <w:vAlign w:val="center"/>
          </w:tcPr>
          <w:p>
            <w:pPr>
              <w:jc w:val="center"/>
              <w:rPr>
                <w:rFonts w:hint="default"/>
                <w:sz w:val="24"/>
                <w:szCs w:val="24"/>
              </w:rPr>
            </w:pPr>
            <w:r>
              <w:rPr>
                <w:rFonts w:hint="default"/>
                <w:sz w:val="24"/>
                <w:szCs w:val="24"/>
              </w:rPr>
              <w:t>1</w:t>
            </w:r>
          </w:p>
        </w:tc>
        <w:tc>
          <w:tcPr>
            <w:tcW w:w="2135" w:type="dxa"/>
            <w:vAlign w:val="center"/>
          </w:tcPr>
          <w:p>
            <w:pPr>
              <w:jc w:val="center"/>
              <w:rPr>
                <w:rFonts w:hint="default"/>
                <w:sz w:val="24"/>
                <w:szCs w:val="24"/>
              </w:rPr>
            </w:pPr>
            <w:r>
              <w:rPr>
                <w:rFonts w:hint="default"/>
                <w:sz w:val="24"/>
                <w:szCs w:val="24"/>
              </w:rPr>
              <w:t>阶梯会议室座椅</w:t>
            </w:r>
          </w:p>
        </w:tc>
        <w:tc>
          <w:tcPr>
            <w:tcW w:w="1368" w:type="dxa"/>
            <w:vAlign w:val="center"/>
          </w:tcPr>
          <w:p>
            <w:pPr>
              <w:jc w:val="center"/>
              <w:rPr>
                <w:rFonts w:hint="default"/>
                <w:sz w:val="24"/>
                <w:szCs w:val="24"/>
              </w:rPr>
            </w:pPr>
          </w:p>
        </w:tc>
        <w:tc>
          <w:tcPr>
            <w:tcW w:w="2536" w:type="dxa"/>
            <w:vAlign w:val="center"/>
          </w:tcPr>
          <w:p>
            <w:pPr>
              <w:jc w:val="center"/>
              <w:rPr>
                <w:rFonts w:hint="default"/>
                <w:sz w:val="24"/>
                <w:szCs w:val="24"/>
              </w:rPr>
            </w:pPr>
          </w:p>
        </w:tc>
        <w:tc>
          <w:tcPr>
            <w:tcW w:w="720" w:type="dxa"/>
            <w:vAlign w:val="center"/>
          </w:tcPr>
          <w:p>
            <w:pPr>
              <w:jc w:val="center"/>
              <w:rPr>
                <w:rFonts w:hint="default"/>
                <w:sz w:val="24"/>
                <w:szCs w:val="24"/>
              </w:rPr>
            </w:pPr>
          </w:p>
        </w:tc>
        <w:tc>
          <w:tcPr>
            <w:tcW w:w="834" w:type="dxa"/>
            <w:vAlign w:val="center"/>
          </w:tcPr>
          <w:p>
            <w:pPr>
              <w:jc w:val="center"/>
              <w:rPr>
                <w:rFonts w:hint="default"/>
                <w:sz w:val="24"/>
                <w:szCs w:val="24"/>
              </w:rPr>
            </w:pPr>
          </w:p>
        </w:tc>
        <w:tc>
          <w:tcPr>
            <w:tcW w:w="843" w:type="dxa"/>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83" w:type="dxa"/>
            <w:vAlign w:val="center"/>
          </w:tcPr>
          <w:p>
            <w:pPr>
              <w:jc w:val="center"/>
              <w:rPr>
                <w:rFonts w:hint="default"/>
                <w:sz w:val="24"/>
                <w:szCs w:val="24"/>
              </w:rPr>
            </w:pPr>
            <w:r>
              <w:rPr>
                <w:rFonts w:hint="default"/>
                <w:sz w:val="24"/>
                <w:szCs w:val="24"/>
              </w:rPr>
              <w:t>2</w:t>
            </w:r>
          </w:p>
        </w:tc>
        <w:tc>
          <w:tcPr>
            <w:tcW w:w="2135" w:type="dxa"/>
            <w:vAlign w:val="center"/>
          </w:tcPr>
          <w:p>
            <w:pPr>
              <w:jc w:val="center"/>
              <w:rPr>
                <w:rFonts w:hint="default"/>
                <w:sz w:val="24"/>
                <w:szCs w:val="24"/>
              </w:rPr>
            </w:pPr>
            <w:r>
              <w:rPr>
                <w:rFonts w:hint="default"/>
                <w:sz w:val="24"/>
                <w:szCs w:val="24"/>
              </w:rPr>
              <w:t>普通会议桌</w:t>
            </w:r>
          </w:p>
        </w:tc>
        <w:tc>
          <w:tcPr>
            <w:tcW w:w="1368" w:type="dxa"/>
            <w:vAlign w:val="center"/>
          </w:tcPr>
          <w:p>
            <w:pPr>
              <w:jc w:val="center"/>
              <w:rPr>
                <w:rFonts w:hint="default"/>
                <w:sz w:val="24"/>
                <w:szCs w:val="24"/>
              </w:rPr>
            </w:pPr>
          </w:p>
        </w:tc>
        <w:tc>
          <w:tcPr>
            <w:tcW w:w="2536" w:type="dxa"/>
            <w:vAlign w:val="center"/>
          </w:tcPr>
          <w:p>
            <w:pPr>
              <w:jc w:val="center"/>
              <w:rPr>
                <w:rFonts w:hint="default"/>
                <w:sz w:val="24"/>
                <w:szCs w:val="24"/>
              </w:rPr>
            </w:pPr>
          </w:p>
        </w:tc>
        <w:tc>
          <w:tcPr>
            <w:tcW w:w="720" w:type="dxa"/>
            <w:vAlign w:val="center"/>
          </w:tcPr>
          <w:p>
            <w:pPr>
              <w:jc w:val="center"/>
              <w:rPr>
                <w:rFonts w:hint="default"/>
                <w:sz w:val="24"/>
                <w:szCs w:val="24"/>
              </w:rPr>
            </w:pPr>
          </w:p>
        </w:tc>
        <w:tc>
          <w:tcPr>
            <w:tcW w:w="834" w:type="dxa"/>
            <w:vAlign w:val="center"/>
          </w:tcPr>
          <w:p>
            <w:pPr>
              <w:jc w:val="center"/>
              <w:rPr>
                <w:rFonts w:hint="default"/>
                <w:sz w:val="24"/>
                <w:szCs w:val="24"/>
              </w:rPr>
            </w:pPr>
          </w:p>
        </w:tc>
        <w:tc>
          <w:tcPr>
            <w:tcW w:w="843" w:type="dxa"/>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83" w:type="dxa"/>
            <w:vAlign w:val="center"/>
          </w:tcPr>
          <w:p>
            <w:pPr>
              <w:jc w:val="center"/>
              <w:rPr>
                <w:rFonts w:hint="default"/>
                <w:sz w:val="24"/>
                <w:szCs w:val="24"/>
              </w:rPr>
            </w:pPr>
            <w:r>
              <w:rPr>
                <w:rFonts w:hint="default"/>
                <w:sz w:val="24"/>
                <w:szCs w:val="24"/>
              </w:rPr>
              <w:t>3</w:t>
            </w:r>
          </w:p>
        </w:tc>
        <w:tc>
          <w:tcPr>
            <w:tcW w:w="2135" w:type="dxa"/>
            <w:vAlign w:val="center"/>
          </w:tcPr>
          <w:p>
            <w:pPr>
              <w:jc w:val="center"/>
              <w:rPr>
                <w:rFonts w:hint="default"/>
                <w:sz w:val="24"/>
                <w:szCs w:val="24"/>
              </w:rPr>
            </w:pPr>
            <w:r>
              <w:rPr>
                <w:rFonts w:hint="default"/>
                <w:sz w:val="24"/>
                <w:szCs w:val="24"/>
              </w:rPr>
              <w:t>主席台桌</w:t>
            </w:r>
          </w:p>
        </w:tc>
        <w:tc>
          <w:tcPr>
            <w:tcW w:w="1368" w:type="dxa"/>
            <w:vAlign w:val="center"/>
          </w:tcPr>
          <w:p>
            <w:pPr>
              <w:jc w:val="center"/>
              <w:rPr>
                <w:rFonts w:hint="default"/>
                <w:sz w:val="24"/>
                <w:szCs w:val="24"/>
              </w:rPr>
            </w:pPr>
          </w:p>
        </w:tc>
        <w:tc>
          <w:tcPr>
            <w:tcW w:w="2536" w:type="dxa"/>
            <w:vAlign w:val="center"/>
          </w:tcPr>
          <w:p>
            <w:pPr>
              <w:jc w:val="center"/>
              <w:rPr>
                <w:rFonts w:hint="default"/>
                <w:sz w:val="24"/>
                <w:szCs w:val="24"/>
              </w:rPr>
            </w:pPr>
          </w:p>
        </w:tc>
        <w:tc>
          <w:tcPr>
            <w:tcW w:w="720" w:type="dxa"/>
            <w:vAlign w:val="center"/>
          </w:tcPr>
          <w:p>
            <w:pPr>
              <w:jc w:val="center"/>
              <w:rPr>
                <w:rFonts w:hint="default"/>
                <w:sz w:val="24"/>
                <w:szCs w:val="24"/>
              </w:rPr>
            </w:pPr>
          </w:p>
        </w:tc>
        <w:tc>
          <w:tcPr>
            <w:tcW w:w="834" w:type="dxa"/>
            <w:vAlign w:val="center"/>
          </w:tcPr>
          <w:p>
            <w:pPr>
              <w:jc w:val="center"/>
              <w:rPr>
                <w:rFonts w:hint="default"/>
                <w:sz w:val="24"/>
                <w:szCs w:val="24"/>
              </w:rPr>
            </w:pPr>
          </w:p>
        </w:tc>
        <w:tc>
          <w:tcPr>
            <w:tcW w:w="843" w:type="dxa"/>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83" w:type="dxa"/>
            <w:vAlign w:val="center"/>
          </w:tcPr>
          <w:p>
            <w:pPr>
              <w:jc w:val="center"/>
              <w:rPr>
                <w:rFonts w:hint="default"/>
                <w:sz w:val="24"/>
                <w:szCs w:val="24"/>
              </w:rPr>
            </w:pPr>
            <w:r>
              <w:rPr>
                <w:rFonts w:hint="default"/>
                <w:sz w:val="24"/>
                <w:szCs w:val="24"/>
              </w:rPr>
              <w:t>4</w:t>
            </w:r>
          </w:p>
        </w:tc>
        <w:tc>
          <w:tcPr>
            <w:tcW w:w="2135" w:type="dxa"/>
            <w:vAlign w:val="center"/>
          </w:tcPr>
          <w:p>
            <w:pPr>
              <w:jc w:val="center"/>
              <w:rPr>
                <w:rFonts w:hint="default"/>
                <w:sz w:val="24"/>
                <w:szCs w:val="24"/>
              </w:rPr>
            </w:pPr>
            <w:r>
              <w:rPr>
                <w:rFonts w:hint="default"/>
                <w:sz w:val="24"/>
                <w:szCs w:val="24"/>
              </w:rPr>
              <w:t>主席台椅</w:t>
            </w:r>
          </w:p>
        </w:tc>
        <w:tc>
          <w:tcPr>
            <w:tcW w:w="1368" w:type="dxa"/>
            <w:vAlign w:val="center"/>
          </w:tcPr>
          <w:p>
            <w:pPr>
              <w:jc w:val="center"/>
              <w:rPr>
                <w:rFonts w:hint="default"/>
                <w:sz w:val="24"/>
                <w:szCs w:val="24"/>
              </w:rPr>
            </w:pPr>
          </w:p>
        </w:tc>
        <w:tc>
          <w:tcPr>
            <w:tcW w:w="2536" w:type="dxa"/>
            <w:vAlign w:val="center"/>
          </w:tcPr>
          <w:p>
            <w:pPr>
              <w:jc w:val="center"/>
              <w:rPr>
                <w:rFonts w:hint="default"/>
                <w:sz w:val="24"/>
                <w:szCs w:val="24"/>
              </w:rPr>
            </w:pPr>
          </w:p>
        </w:tc>
        <w:tc>
          <w:tcPr>
            <w:tcW w:w="720" w:type="dxa"/>
            <w:vAlign w:val="center"/>
          </w:tcPr>
          <w:p>
            <w:pPr>
              <w:jc w:val="center"/>
              <w:rPr>
                <w:rFonts w:hint="default"/>
                <w:sz w:val="24"/>
                <w:szCs w:val="24"/>
              </w:rPr>
            </w:pPr>
          </w:p>
        </w:tc>
        <w:tc>
          <w:tcPr>
            <w:tcW w:w="834" w:type="dxa"/>
            <w:vAlign w:val="center"/>
          </w:tcPr>
          <w:p>
            <w:pPr>
              <w:jc w:val="center"/>
              <w:rPr>
                <w:rFonts w:hint="default"/>
                <w:sz w:val="24"/>
                <w:szCs w:val="24"/>
              </w:rPr>
            </w:pPr>
          </w:p>
        </w:tc>
        <w:tc>
          <w:tcPr>
            <w:tcW w:w="843" w:type="dxa"/>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83" w:type="dxa"/>
            <w:vAlign w:val="center"/>
          </w:tcPr>
          <w:p>
            <w:pPr>
              <w:jc w:val="center"/>
              <w:rPr>
                <w:rFonts w:hint="default"/>
                <w:sz w:val="24"/>
                <w:szCs w:val="24"/>
              </w:rPr>
            </w:pPr>
            <w:r>
              <w:rPr>
                <w:rFonts w:hint="default"/>
                <w:sz w:val="24"/>
                <w:szCs w:val="24"/>
              </w:rPr>
              <w:t>5</w:t>
            </w:r>
          </w:p>
        </w:tc>
        <w:tc>
          <w:tcPr>
            <w:tcW w:w="2135" w:type="dxa"/>
            <w:vAlign w:val="center"/>
          </w:tcPr>
          <w:p>
            <w:pPr>
              <w:jc w:val="center"/>
              <w:rPr>
                <w:rFonts w:hint="default"/>
                <w:sz w:val="24"/>
                <w:szCs w:val="24"/>
              </w:rPr>
            </w:pPr>
            <w:r>
              <w:rPr>
                <w:rFonts w:hint="default"/>
                <w:sz w:val="24"/>
                <w:szCs w:val="24"/>
              </w:rPr>
              <w:t>接待室沙发</w:t>
            </w:r>
          </w:p>
        </w:tc>
        <w:tc>
          <w:tcPr>
            <w:tcW w:w="1368" w:type="dxa"/>
            <w:vAlign w:val="center"/>
          </w:tcPr>
          <w:p>
            <w:pPr>
              <w:jc w:val="center"/>
              <w:rPr>
                <w:rFonts w:hint="default"/>
                <w:sz w:val="24"/>
                <w:szCs w:val="24"/>
              </w:rPr>
            </w:pPr>
          </w:p>
        </w:tc>
        <w:tc>
          <w:tcPr>
            <w:tcW w:w="2536" w:type="dxa"/>
            <w:vAlign w:val="center"/>
          </w:tcPr>
          <w:p>
            <w:pPr>
              <w:jc w:val="center"/>
              <w:rPr>
                <w:rFonts w:hint="default"/>
                <w:sz w:val="24"/>
                <w:szCs w:val="24"/>
              </w:rPr>
            </w:pPr>
          </w:p>
        </w:tc>
        <w:tc>
          <w:tcPr>
            <w:tcW w:w="720" w:type="dxa"/>
            <w:vAlign w:val="center"/>
          </w:tcPr>
          <w:p>
            <w:pPr>
              <w:jc w:val="center"/>
              <w:rPr>
                <w:rFonts w:hint="default"/>
                <w:sz w:val="24"/>
                <w:szCs w:val="24"/>
              </w:rPr>
            </w:pPr>
          </w:p>
        </w:tc>
        <w:tc>
          <w:tcPr>
            <w:tcW w:w="834" w:type="dxa"/>
            <w:vAlign w:val="center"/>
          </w:tcPr>
          <w:p>
            <w:pPr>
              <w:jc w:val="center"/>
              <w:rPr>
                <w:rFonts w:hint="default"/>
                <w:sz w:val="24"/>
                <w:szCs w:val="24"/>
              </w:rPr>
            </w:pPr>
          </w:p>
        </w:tc>
        <w:tc>
          <w:tcPr>
            <w:tcW w:w="843" w:type="dxa"/>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83" w:type="dxa"/>
            <w:vAlign w:val="center"/>
          </w:tcPr>
          <w:p>
            <w:pPr>
              <w:jc w:val="center"/>
              <w:rPr>
                <w:rFonts w:hint="default"/>
                <w:sz w:val="24"/>
                <w:szCs w:val="24"/>
              </w:rPr>
            </w:pPr>
            <w:r>
              <w:rPr>
                <w:rFonts w:hint="default"/>
                <w:sz w:val="24"/>
                <w:szCs w:val="24"/>
              </w:rPr>
              <w:t>6</w:t>
            </w:r>
          </w:p>
        </w:tc>
        <w:tc>
          <w:tcPr>
            <w:tcW w:w="2135" w:type="dxa"/>
            <w:vAlign w:val="center"/>
          </w:tcPr>
          <w:p>
            <w:pPr>
              <w:jc w:val="center"/>
              <w:rPr>
                <w:rFonts w:hint="default"/>
                <w:sz w:val="24"/>
                <w:szCs w:val="24"/>
              </w:rPr>
            </w:pPr>
            <w:r>
              <w:rPr>
                <w:rFonts w:hint="default"/>
                <w:sz w:val="24"/>
                <w:szCs w:val="24"/>
              </w:rPr>
              <w:t>接待室茶几</w:t>
            </w:r>
          </w:p>
        </w:tc>
        <w:tc>
          <w:tcPr>
            <w:tcW w:w="1368" w:type="dxa"/>
            <w:vAlign w:val="center"/>
          </w:tcPr>
          <w:p>
            <w:pPr>
              <w:jc w:val="center"/>
              <w:rPr>
                <w:rFonts w:hint="default"/>
                <w:sz w:val="24"/>
                <w:szCs w:val="24"/>
              </w:rPr>
            </w:pPr>
          </w:p>
        </w:tc>
        <w:tc>
          <w:tcPr>
            <w:tcW w:w="2536" w:type="dxa"/>
            <w:vAlign w:val="center"/>
          </w:tcPr>
          <w:p>
            <w:pPr>
              <w:jc w:val="center"/>
              <w:rPr>
                <w:rFonts w:hint="default"/>
                <w:sz w:val="24"/>
                <w:szCs w:val="24"/>
              </w:rPr>
            </w:pPr>
          </w:p>
        </w:tc>
        <w:tc>
          <w:tcPr>
            <w:tcW w:w="720" w:type="dxa"/>
            <w:vAlign w:val="center"/>
          </w:tcPr>
          <w:p>
            <w:pPr>
              <w:jc w:val="center"/>
              <w:rPr>
                <w:rFonts w:hint="default"/>
                <w:sz w:val="24"/>
                <w:szCs w:val="24"/>
              </w:rPr>
            </w:pPr>
          </w:p>
        </w:tc>
        <w:tc>
          <w:tcPr>
            <w:tcW w:w="834" w:type="dxa"/>
            <w:vAlign w:val="center"/>
          </w:tcPr>
          <w:p>
            <w:pPr>
              <w:jc w:val="center"/>
              <w:rPr>
                <w:rFonts w:hint="default"/>
                <w:sz w:val="24"/>
                <w:szCs w:val="24"/>
              </w:rPr>
            </w:pPr>
          </w:p>
        </w:tc>
        <w:tc>
          <w:tcPr>
            <w:tcW w:w="843" w:type="dxa"/>
            <w:vAlign w:val="center"/>
          </w:tcPr>
          <w:p>
            <w:pPr>
              <w:jc w:val="center"/>
              <w:rPr>
                <w:rFonts w:hint="default"/>
                <w:sz w:val="24"/>
                <w:szCs w:val="24"/>
              </w:rPr>
            </w:pPr>
          </w:p>
        </w:tc>
      </w:tr>
    </w:tbl>
    <w:p>
      <w:pPr>
        <w:pStyle w:val="7"/>
        <w:snapToGrid w:val="0"/>
        <w:spacing w:beforeLines="0" w:afterLines="0" w:line="360" w:lineRule="auto"/>
        <w:ind w:firstLine="482" w:firstLineChars="200"/>
        <w:rPr>
          <w:rFonts w:hint="default" w:hAnsi="宋体"/>
          <w:b/>
          <w:bCs/>
        </w:rPr>
      </w:pPr>
      <w:r>
        <w:rPr>
          <w:rFonts w:hAnsi="宋体"/>
          <w:b/>
          <w:bCs/>
        </w:rPr>
        <w:t>三、合同金额</w:t>
      </w:r>
    </w:p>
    <w:p>
      <w:pPr>
        <w:autoSpaceDE w:val="0"/>
        <w:autoSpaceDN w:val="0"/>
        <w:adjustRightInd w:val="0"/>
        <w:snapToGrid w:val="0"/>
        <w:spacing w:line="360" w:lineRule="auto"/>
        <w:ind w:firstLine="480" w:firstLineChars="200"/>
        <w:textAlignment w:val="bottom"/>
        <w:rPr>
          <w:rFonts w:hint="default"/>
          <w:b/>
          <w:sz w:val="24"/>
          <w:szCs w:val="24"/>
        </w:rPr>
      </w:pPr>
      <w:r>
        <w:rPr>
          <w:rFonts w:hint="default"/>
          <w:sz w:val="24"/>
          <w:szCs w:val="24"/>
        </w:rPr>
        <w:t>本合同总金额为（大写）：______________（</w:t>
      </w:r>
      <w:r>
        <w:rPr>
          <w:sz w:val="24"/>
          <w:szCs w:val="24"/>
        </w:rPr>
        <w:t>小写：</w:t>
      </w:r>
      <w:r>
        <w:rPr>
          <w:rFonts w:hint="default"/>
          <w:sz w:val="24"/>
          <w:szCs w:val="24"/>
        </w:rPr>
        <w:t>￥_______元）人民币。</w:t>
      </w:r>
      <w:r>
        <w:rPr>
          <w:rFonts w:hint="default"/>
          <w:kern w:val="0"/>
          <w:sz w:val="24"/>
          <w:szCs w:val="24"/>
          <w:lang w:val="zh-CN"/>
        </w:rPr>
        <w:t>有关本项目实施所需的所有费用（含税费）均计入</w:t>
      </w:r>
      <w:r>
        <w:rPr>
          <w:rFonts w:hint="default"/>
          <w:kern w:val="0"/>
          <w:sz w:val="24"/>
          <w:szCs w:val="24"/>
        </w:rPr>
        <w:t>合同价中</w:t>
      </w:r>
      <w:r>
        <w:rPr>
          <w:kern w:val="0"/>
          <w:sz w:val="24"/>
          <w:szCs w:val="24"/>
        </w:rPr>
        <w:t>。</w:t>
      </w:r>
    </w:p>
    <w:p>
      <w:pPr>
        <w:autoSpaceDE w:val="0"/>
        <w:autoSpaceDN w:val="0"/>
        <w:adjustRightInd w:val="0"/>
        <w:snapToGrid w:val="0"/>
        <w:spacing w:line="360" w:lineRule="auto"/>
        <w:ind w:firstLine="482" w:firstLineChars="200"/>
        <w:textAlignment w:val="bottom"/>
        <w:rPr>
          <w:rFonts w:hint="default" w:ascii="宋体" w:hAnsi="宋体"/>
          <w:b/>
          <w:sz w:val="24"/>
        </w:rPr>
      </w:pPr>
      <w:r>
        <w:rPr>
          <w:rFonts w:ascii="宋体" w:hAnsi="宋体"/>
          <w:b/>
          <w:sz w:val="24"/>
        </w:rPr>
        <w:t>四、交货期、交货地点</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（1）交货期：按甲方要求按需供货，接到甲方供货通知后天</w:t>
      </w:r>
      <w:r>
        <w:rPr>
          <w:rFonts w:ascii="宋体" w:hAnsi="宋体"/>
          <w:sz w:val="24"/>
          <w:u w:val="single"/>
        </w:rPr>
        <w:t xml:space="preserve">  </w:t>
      </w:r>
      <w:r>
        <w:rPr>
          <w:rFonts w:ascii="宋体" w:hAnsi="宋体"/>
          <w:sz w:val="24"/>
        </w:rPr>
        <w:t>内将货物送到甲方指定地点并安装完成。</w:t>
      </w:r>
    </w:p>
    <w:p>
      <w:pPr>
        <w:autoSpaceDE w:val="0"/>
        <w:autoSpaceDN w:val="0"/>
        <w:adjustRightInd w:val="0"/>
        <w:snapToGrid w:val="0"/>
        <w:spacing w:line="360" w:lineRule="auto"/>
        <w:ind w:firstLine="480" w:firstLineChars="200"/>
        <w:textAlignment w:val="bottom"/>
        <w:rPr>
          <w:rFonts w:hint="default" w:ascii="宋体" w:hAnsi="宋体"/>
          <w:b/>
          <w:sz w:val="24"/>
        </w:rPr>
      </w:pPr>
      <w:r>
        <w:rPr>
          <w:rFonts w:ascii="宋体" w:hAnsi="宋体"/>
          <w:sz w:val="24"/>
        </w:rPr>
        <w:t>（2）交货地点：浙江省杭州市钱塘区白杨街道9号大街9号。</w:t>
      </w:r>
    </w:p>
    <w:p>
      <w:pPr>
        <w:autoSpaceDE w:val="0"/>
        <w:autoSpaceDN w:val="0"/>
        <w:adjustRightInd w:val="0"/>
        <w:snapToGrid w:val="0"/>
        <w:spacing w:line="360" w:lineRule="auto"/>
        <w:ind w:firstLine="482" w:firstLineChars="200"/>
        <w:textAlignment w:val="bottom"/>
        <w:rPr>
          <w:rFonts w:hint="default" w:ascii="宋体" w:hAnsi="宋体"/>
          <w:b/>
          <w:sz w:val="24"/>
        </w:rPr>
      </w:pPr>
      <w:r>
        <w:rPr>
          <w:rFonts w:ascii="宋体" w:hAnsi="宋体"/>
          <w:b/>
          <w:sz w:val="24"/>
        </w:rPr>
        <w:t>五、配送及验收</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1、乙方应在接到甲方供货通知后,应按订单要求将货物准备齐全，并按时送抵交货地点并由甲方所派工作人员验收,乙方应在送货前提前通知甲方送货时间，以便做好交收工作。如乙方未能按时交货的,甲方有权自行采购，并由乙方承担因此产生的一切损失和费用（包括直接经济损失和间接经济损失）。凡乙方提供的商品因质量问题造成事故的，由乙方承担一切责任并赔偿一切损失。</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2、验收方式</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甲方按乙方投标时提供的资料及甲方招标文件进行验收，每批货物均需提供商品检验证及符合</w:t>
      </w:r>
      <w:r>
        <w:rPr>
          <w:rFonts w:ascii="宋体" w:hAnsi="宋体"/>
          <w:sz w:val="24"/>
          <w:szCs w:val="24"/>
        </w:rPr>
        <w:t>防火、</w:t>
      </w:r>
      <w:r>
        <w:rPr>
          <w:rFonts w:hAnsi="宋体"/>
          <w:sz w:val="24"/>
          <w:szCs w:val="24"/>
        </w:rPr>
        <w:t>阻燃性能要求的证明资料</w:t>
      </w:r>
      <w:r>
        <w:rPr>
          <w:rFonts w:ascii="宋体" w:hAnsi="宋体"/>
          <w:sz w:val="24"/>
        </w:rPr>
        <w:t>。</w:t>
      </w:r>
    </w:p>
    <w:p>
      <w:pPr>
        <w:autoSpaceDE w:val="0"/>
        <w:autoSpaceDN w:val="0"/>
        <w:adjustRightInd w:val="0"/>
        <w:snapToGrid w:val="0"/>
        <w:spacing w:line="360" w:lineRule="auto"/>
        <w:ind w:firstLine="482" w:firstLineChars="200"/>
        <w:textAlignment w:val="bottom"/>
        <w:rPr>
          <w:rFonts w:hint="default" w:ascii="宋体" w:hAnsi="宋体"/>
          <w:b/>
          <w:bCs/>
          <w:sz w:val="24"/>
        </w:rPr>
      </w:pPr>
      <w:r>
        <w:rPr>
          <w:rFonts w:ascii="宋体" w:hAnsi="宋体"/>
          <w:b/>
          <w:bCs/>
          <w:sz w:val="24"/>
        </w:rPr>
        <w:t>六、付款方式</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1.合同签订生效后7个工作日内向甲方缴纳合同金额1%（即</w:t>
      </w:r>
      <w:r>
        <w:rPr>
          <w:rFonts w:ascii="宋体" w:hAnsi="宋体"/>
          <w:sz w:val="24"/>
          <w:u w:val="single"/>
        </w:rPr>
        <w:t xml:space="preserve">      </w:t>
      </w:r>
      <w:r>
        <w:rPr>
          <w:rFonts w:ascii="宋体" w:hAnsi="宋体"/>
          <w:sz w:val="24"/>
        </w:rPr>
        <w:t xml:space="preserve">元）的履约保证金，项目验收结束后无息退还。形式为支票、汇票、本票或者金融机构、担保机构出具的保函。 </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2.合同签订具备实施条件后7个工作日内支付40%合同款，乙方须同时提交银行、保险公司等金融机构出具的预付款保函；货物全部交付完毕且验收通过后支付剩余款项。</w:t>
      </w:r>
    </w:p>
    <w:p>
      <w:pPr>
        <w:autoSpaceDE w:val="0"/>
        <w:autoSpaceDN w:val="0"/>
        <w:adjustRightInd w:val="0"/>
        <w:snapToGrid w:val="0"/>
        <w:spacing w:line="360" w:lineRule="auto"/>
        <w:ind w:firstLine="482" w:firstLineChars="200"/>
        <w:textAlignment w:val="bottom"/>
        <w:rPr>
          <w:rFonts w:hint="default" w:ascii="宋体" w:hAnsi="宋体"/>
          <w:b/>
          <w:sz w:val="24"/>
        </w:rPr>
      </w:pPr>
      <w:r>
        <w:rPr>
          <w:rFonts w:ascii="宋体" w:hAnsi="宋体"/>
          <w:b/>
          <w:sz w:val="24"/>
        </w:rPr>
        <w:t>七、货物质量标准</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1、所供全部产品的质量符合或优于国家和行业的技术标准和规范、安全。</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2、甲方对货物质量有异议的，乙方应耐心查实和说明。</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3、如乙方的产品质量未达到甲方要求，甲方有权终止合同。</w:t>
      </w:r>
    </w:p>
    <w:p>
      <w:pPr>
        <w:autoSpaceDE w:val="0"/>
        <w:autoSpaceDN w:val="0"/>
        <w:adjustRightInd w:val="0"/>
        <w:snapToGrid w:val="0"/>
        <w:spacing w:line="360" w:lineRule="auto"/>
        <w:ind w:firstLine="420" w:firstLineChars="200"/>
        <w:textAlignment w:val="bottom"/>
        <w:rPr>
          <w:rFonts w:hint="default" w:ascii="宋体" w:hAnsi="宋体"/>
          <w:sz w:val="24"/>
        </w:rPr>
      </w:pPr>
      <w:r>
        <w:t xml:space="preserve"> </w:t>
      </w:r>
      <w:r>
        <w:rPr>
          <w:rFonts w:ascii="宋体" w:hAnsi="宋体"/>
          <w:sz w:val="24"/>
        </w:rPr>
        <w:t>4、本次采购的座椅、普通台桌、主席台椅、沙发、茶几均应具备高防火性，能有效阻燃，燃烧性能达到国家标准《建筑材料及制品燃烧性能分级》GB 8624—2012规定的软质家具难燃B1级。</w:t>
      </w:r>
    </w:p>
    <w:p>
      <w:pPr>
        <w:autoSpaceDE w:val="0"/>
        <w:autoSpaceDN w:val="0"/>
        <w:adjustRightInd w:val="0"/>
        <w:snapToGrid w:val="0"/>
        <w:spacing w:line="360" w:lineRule="auto"/>
        <w:ind w:firstLine="361" w:firstLineChars="150"/>
        <w:textAlignment w:val="bottom"/>
        <w:rPr>
          <w:rFonts w:hint="default" w:ascii="宋体" w:hAnsi="宋体"/>
          <w:b/>
          <w:sz w:val="24"/>
        </w:rPr>
      </w:pPr>
      <w:r>
        <w:rPr>
          <w:rFonts w:ascii="宋体" w:hAnsi="宋体"/>
          <w:b/>
          <w:sz w:val="24"/>
        </w:rPr>
        <w:t>八、检验及费用负担</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乙方具备货物出厂检验能力须按规定实施货物出厂检验；如乙方不具备货物出厂检验能力，应按照就近的原则委托国家质检总局指定并同意公布的检验机构进行货物出厂检验，费用由乙方负担。</w:t>
      </w:r>
    </w:p>
    <w:p>
      <w:pPr>
        <w:autoSpaceDE w:val="0"/>
        <w:autoSpaceDN w:val="0"/>
        <w:adjustRightInd w:val="0"/>
        <w:snapToGrid w:val="0"/>
        <w:spacing w:line="360" w:lineRule="auto"/>
        <w:ind w:firstLine="482" w:firstLineChars="200"/>
        <w:textAlignment w:val="bottom"/>
        <w:rPr>
          <w:rFonts w:hint="default" w:ascii="宋体" w:hAnsi="宋体"/>
          <w:b/>
          <w:sz w:val="24"/>
        </w:rPr>
      </w:pPr>
      <w:r>
        <w:rPr>
          <w:rFonts w:ascii="宋体" w:hAnsi="宋体"/>
          <w:b/>
          <w:sz w:val="24"/>
        </w:rPr>
        <w:t>九、质量与检验</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1、乙方应严格按照合同要求和国家、部有关行业标准生产和检验，确保货物质量。凡乙方提供的商品因质量问题造成事故的，由乙方承担一切责任并赔偿一切损失。</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2、乙方将货物运达交货地点后，甲方负责清点接货，如因运输过程中发生短少事件，由乙方负责处理。</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3、</w:t>
      </w:r>
      <w:r>
        <w:rPr>
          <w:sz w:val="24"/>
          <w:szCs w:val="24"/>
        </w:rPr>
        <w:t>甲方</w:t>
      </w:r>
      <w:r>
        <w:rPr>
          <w:rFonts w:hint="default"/>
          <w:sz w:val="24"/>
          <w:szCs w:val="24"/>
        </w:rPr>
        <w:t>有权抽检原附材料和成品送</w:t>
      </w:r>
      <w:r>
        <w:rPr>
          <w:sz w:val="24"/>
          <w:szCs w:val="24"/>
        </w:rPr>
        <w:t>第三方检测机构</w:t>
      </w:r>
      <w:r>
        <w:rPr>
          <w:rFonts w:hint="default"/>
          <w:sz w:val="24"/>
          <w:szCs w:val="24"/>
        </w:rPr>
        <w:t>对原材料的环保技术参数进行验证和成品的材质、质量、环保性能等进行检验，</w:t>
      </w:r>
      <w:r>
        <w:rPr>
          <w:rFonts w:ascii="宋体" w:hAnsi="宋体"/>
          <w:sz w:val="24"/>
        </w:rPr>
        <w:t>如有问题，则检</w:t>
      </w:r>
      <w:r>
        <w:rPr>
          <w:rFonts w:hAnsi="宋体"/>
          <w:sz w:val="24"/>
        </w:rPr>
        <w:t>验</w:t>
      </w:r>
      <w:r>
        <w:rPr>
          <w:rFonts w:ascii="宋体" w:hAnsi="宋体"/>
          <w:sz w:val="24"/>
        </w:rPr>
        <w:t>费用由</w:t>
      </w:r>
      <w:r>
        <w:rPr>
          <w:rFonts w:hAnsi="宋体"/>
          <w:sz w:val="24"/>
        </w:rPr>
        <w:t>乙方</w:t>
      </w:r>
      <w:r>
        <w:rPr>
          <w:rFonts w:ascii="宋体" w:hAnsi="宋体"/>
          <w:sz w:val="24"/>
        </w:rPr>
        <w:t>支付；无质量问题检验费用由甲方支付。</w:t>
      </w:r>
    </w:p>
    <w:p>
      <w:pPr>
        <w:autoSpaceDE w:val="0"/>
        <w:autoSpaceDN w:val="0"/>
        <w:adjustRightInd w:val="0"/>
        <w:snapToGrid w:val="0"/>
        <w:spacing w:line="360" w:lineRule="auto"/>
        <w:ind w:firstLine="420" w:firstLineChars="200"/>
        <w:textAlignment w:val="bottom"/>
        <w:rPr>
          <w:rFonts w:hint="default" w:ascii="宋体" w:hAnsi="宋体"/>
          <w:sz w:val="24"/>
        </w:rPr>
      </w:pPr>
      <w:r>
        <w:t xml:space="preserve"> </w:t>
      </w:r>
      <w:r>
        <w:rPr>
          <w:rFonts w:ascii="宋体" w:hAnsi="宋体"/>
          <w:sz w:val="24"/>
        </w:rPr>
        <w:t>4、质保期：所有家具的质保期</w:t>
      </w:r>
      <w:r>
        <w:rPr>
          <w:rFonts w:ascii="宋体" w:hAnsi="宋体"/>
          <w:sz w:val="24"/>
          <w:u w:val="single"/>
        </w:rPr>
        <w:t xml:space="preserve">   </w:t>
      </w:r>
      <w:r>
        <w:rPr>
          <w:rFonts w:ascii="宋体" w:hAnsi="宋体"/>
          <w:sz w:val="24"/>
        </w:rPr>
        <w:t>年；自验收合格交付使用之日起计算。在此质保期内，如在正常使用过程中出现的质量问题，乙方须负责免费维修或调换。</w:t>
      </w:r>
    </w:p>
    <w:p>
      <w:pPr>
        <w:autoSpaceDE w:val="0"/>
        <w:autoSpaceDN w:val="0"/>
        <w:adjustRightInd w:val="0"/>
        <w:snapToGrid w:val="0"/>
        <w:spacing w:line="360" w:lineRule="auto"/>
        <w:ind w:firstLine="482" w:firstLineChars="200"/>
        <w:textAlignment w:val="bottom"/>
        <w:rPr>
          <w:rFonts w:hint="default" w:ascii="宋体" w:hAnsi="宋体"/>
          <w:sz w:val="24"/>
        </w:rPr>
      </w:pPr>
      <w:r>
        <w:rPr>
          <w:rFonts w:ascii="宋体" w:hAnsi="宋体"/>
          <w:b/>
          <w:sz w:val="24"/>
        </w:rPr>
        <w:t>十、运输方式及费用负担：</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乙方在组织货物供应的运输费、搬运费、税金等一切费用由乙方负担，到达甲方指定地点时，乙方负责卸货。</w:t>
      </w:r>
    </w:p>
    <w:p>
      <w:pPr>
        <w:autoSpaceDE w:val="0"/>
        <w:autoSpaceDN w:val="0"/>
        <w:adjustRightInd w:val="0"/>
        <w:snapToGrid w:val="0"/>
        <w:spacing w:line="360" w:lineRule="auto"/>
        <w:ind w:firstLine="482" w:firstLineChars="200"/>
        <w:textAlignment w:val="bottom"/>
        <w:rPr>
          <w:rFonts w:hint="default" w:ascii="宋体" w:hAnsi="宋体"/>
          <w:b/>
          <w:sz w:val="24"/>
        </w:rPr>
      </w:pPr>
      <w:r>
        <w:rPr>
          <w:rFonts w:ascii="宋体" w:hAnsi="宋体"/>
          <w:b/>
          <w:sz w:val="24"/>
        </w:rPr>
        <w:t>十一、包装标准及包装费用负担</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用于货物包装的材料必须清洁，货物无污染。货物的包装和标签必须符合相应的规定和要求，包装费用由乙方负担。</w:t>
      </w:r>
    </w:p>
    <w:p>
      <w:pPr>
        <w:autoSpaceDE w:val="0"/>
        <w:autoSpaceDN w:val="0"/>
        <w:adjustRightInd w:val="0"/>
        <w:snapToGrid w:val="0"/>
        <w:spacing w:line="360" w:lineRule="auto"/>
        <w:ind w:firstLine="482" w:firstLineChars="200"/>
        <w:textAlignment w:val="bottom"/>
        <w:rPr>
          <w:rFonts w:hint="default" w:ascii="宋体" w:hAnsi="宋体"/>
          <w:b/>
          <w:sz w:val="24"/>
        </w:rPr>
      </w:pPr>
      <w:r>
        <w:rPr>
          <w:rFonts w:ascii="宋体" w:hAnsi="宋体"/>
          <w:b/>
          <w:sz w:val="24"/>
        </w:rPr>
        <w:t>十二、乙方承诺</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1、遵守有关法律法规。</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2、按经营范围接受甲方的业务。</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3、严格按招标文件规定的和有效的投标报价计算费用。</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4、确定专人负责本项目的联络和供货管理。</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5、做好货物品质管理工作。</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6、根据甲方要求按时交货，送货到指定地点并安装完成。</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7、自觉接受甲方的监督检查。</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8、在合同签订后、产品供货前先制作/提供实样，经甲方确认后方可批量生产和供货。</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9、乙方在投标文件中的其他承诺。</w:t>
      </w:r>
    </w:p>
    <w:p>
      <w:pPr>
        <w:autoSpaceDE w:val="0"/>
        <w:autoSpaceDN w:val="0"/>
        <w:adjustRightInd w:val="0"/>
        <w:snapToGrid w:val="0"/>
        <w:spacing w:line="360" w:lineRule="auto"/>
        <w:ind w:firstLine="482" w:firstLineChars="200"/>
        <w:textAlignment w:val="bottom"/>
        <w:rPr>
          <w:rFonts w:hint="default" w:ascii="宋体" w:hAnsi="宋体"/>
          <w:b/>
          <w:sz w:val="24"/>
        </w:rPr>
      </w:pPr>
      <w:r>
        <w:rPr>
          <w:rFonts w:ascii="宋体" w:hAnsi="宋体"/>
          <w:b/>
          <w:sz w:val="24"/>
        </w:rPr>
        <w:t>十三、双方的责任</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1、甲方对不合格的货物，有权作退处理并要求赔偿。甲方有按时与乙方结算货款的义务。在验收时有不符合要求的，一律退回，乙方无条件重新更换配送货物，更换后仍然不符合标准的，甲方有权对乙方处以500-1000元的罚款直至单方解除合同。</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2、由于货物的质量问题或乙方不能按时按量供应，造成甲方该类货物紧缺，甲方有权自行采购，相应的差价和费用由乙方负担。</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3、乙方工作人员必须遵守甲方的内部管理规定，否则后果由乙方负责。</w:t>
      </w:r>
    </w:p>
    <w:p>
      <w:pPr>
        <w:autoSpaceDE w:val="0"/>
        <w:autoSpaceDN w:val="0"/>
        <w:adjustRightInd w:val="0"/>
        <w:snapToGrid w:val="0"/>
        <w:spacing w:line="360" w:lineRule="auto"/>
        <w:ind w:firstLine="482" w:firstLineChars="200"/>
        <w:textAlignment w:val="bottom"/>
        <w:rPr>
          <w:rFonts w:hint="default" w:ascii="宋体" w:hAnsi="宋体"/>
          <w:b/>
          <w:bCs/>
          <w:sz w:val="24"/>
        </w:rPr>
      </w:pPr>
      <w:r>
        <w:rPr>
          <w:rFonts w:ascii="宋体" w:hAnsi="宋体"/>
          <w:b/>
          <w:bCs/>
          <w:sz w:val="24"/>
        </w:rPr>
        <w:t>十四、违约纠纷处理</w:t>
      </w:r>
    </w:p>
    <w:p>
      <w:pPr>
        <w:autoSpaceDE w:val="0"/>
        <w:autoSpaceDN w:val="0"/>
        <w:adjustRightInd w:val="0"/>
        <w:snapToGrid w:val="0"/>
        <w:spacing w:line="360" w:lineRule="auto"/>
        <w:ind w:firstLine="480" w:firstLineChars="200"/>
        <w:textAlignment w:val="bottom"/>
        <w:rPr>
          <w:rFonts w:hint="default" w:ascii="宋体" w:hAnsi="宋体"/>
          <w:sz w:val="24"/>
        </w:rPr>
      </w:pPr>
      <w:r>
        <w:rPr>
          <w:rFonts w:ascii="宋体" w:hAnsi="宋体"/>
          <w:sz w:val="24"/>
        </w:rPr>
        <w:t>本合同在履行过程中发生的争议，由双方当事人协商解决；协商不成时，依法向甲方所在地的人民法院起诉。</w:t>
      </w:r>
    </w:p>
    <w:p>
      <w:pPr>
        <w:autoSpaceDE w:val="0"/>
        <w:autoSpaceDN w:val="0"/>
        <w:adjustRightInd w:val="0"/>
        <w:snapToGrid w:val="0"/>
        <w:spacing w:line="360" w:lineRule="auto"/>
        <w:ind w:firstLine="482" w:firstLineChars="200"/>
        <w:textAlignment w:val="bottom"/>
        <w:rPr>
          <w:rFonts w:hint="default" w:ascii="宋体" w:hAnsi="宋体"/>
          <w:b/>
          <w:bCs/>
          <w:sz w:val="24"/>
        </w:rPr>
      </w:pPr>
      <w:r>
        <w:rPr>
          <w:rFonts w:ascii="宋体" w:hAnsi="宋体"/>
          <w:b/>
          <w:bCs/>
          <w:sz w:val="24"/>
        </w:rPr>
        <w:t>十五、其它约定事项</w:t>
      </w:r>
    </w:p>
    <w:p>
      <w:pPr>
        <w:spacing w:line="360" w:lineRule="auto"/>
        <w:ind w:firstLine="480" w:firstLineChars="200"/>
        <w:rPr>
          <w:rFonts w:hint="default" w:ascii="宋体" w:hAnsi="宋体"/>
          <w:sz w:val="24"/>
        </w:rPr>
      </w:pPr>
      <w:r>
        <w:rPr>
          <w:rFonts w:ascii="宋体" w:hAnsi="宋体"/>
          <w:sz w:val="24"/>
        </w:rPr>
        <w:t>本合同一式</w:t>
      </w:r>
      <w:r>
        <w:rPr>
          <w:rFonts w:ascii="宋体" w:hAnsi="宋体"/>
          <w:sz w:val="24"/>
          <w:u w:val="single"/>
        </w:rPr>
        <w:t xml:space="preserve">  </w:t>
      </w:r>
      <w:r>
        <w:rPr>
          <w:rFonts w:ascii="宋体" w:hAnsi="宋体"/>
          <w:sz w:val="24"/>
        </w:rPr>
        <w:t>份，甲方</w:t>
      </w:r>
      <w:r>
        <w:rPr>
          <w:rFonts w:ascii="宋体" w:hAnsi="宋体"/>
          <w:sz w:val="24"/>
          <w:u w:val="single"/>
        </w:rPr>
        <w:t xml:space="preserve">  </w:t>
      </w:r>
      <w:r>
        <w:rPr>
          <w:rFonts w:ascii="宋体" w:hAnsi="宋体"/>
          <w:sz w:val="24"/>
        </w:rPr>
        <w:t>份，乙方</w:t>
      </w:r>
      <w:r>
        <w:rPr>
          <w:rFonts w:ascii="宋体" w:hAnsi="宋体"/>
          <w:sz w:val="24"/>
          <w:u w:val="single"/>
        </w:rPr>
        <w:t xml:space="preserve">  </w:t>
      </w:r>
      <w:r>
        <w:rPr>
          <w:rFonts w:ascii="宋体" w:hAnsi="宋体"/>
          <w:sz w:val="24"/>
        </w:rPr>
        <w:t>份，经双方代表签字盖章后生效。</w:t>
      </w:r>
    </w:p>
    <w:p>
      <w:pPr>
        <w:pStyle w:val="39"/>
        <w:rPr>
          <w:color w:val="auto"/>
        </w:rPr>
      </w:pPr>
    </w:p>
    <w:tbl>
      <w:tblPr>
        <w:tblStyle w:val="41"/>
        <w:tblW w:w="0" w:type="auto"/>
        <w:jc w:val="center"/>
        <w:tblLayout w:type="fixed"/>
        <w:tblCellMar>
          <w:top w:w="0" w:type="dxa"/>
          <w:left w:w="108" w:type="dxa"/>
          <w:bottom w:w="0" w:type="dxa"/>
          <w:right w:w="108" w:type="dxa"/>
        </w:tblCellMar>
      </w:tblPr>
      <w:tblGrid>
        <w:gridCol w:w="4200"/>
        <w:gridCol w:w="4553"/>
      </w:tblGrid>
      <w:tr>
        <w:tblPrEx>
          <w:tblCellMar>
            <w:top w:w="0" w:type="dxa"/>
            <w:left w:w="108" w:type="dxa"/>
            <w:bottom w:w="0" w:type="dxa"/>
            <w:right w:w="108" w:type="dxa"/>
          </w:tblCellMar>
        </w:tblPrEx>
        <w:trPr>
          <w:trHeight w:val="486" w:hRule="atLeast"/>
          <w:jc w:val="center"/>
        </w:trPr>
        <w:tc>
          <w:tcPr>
            <w:tcW w:w="4200" w:type="dxa"/>
            <w:noWrap/>
          </w:tcPr>
          <w:p>
            <w:pPr>
              <w:autoSpaceDE w:val="0"/>
              <w:autoSpaceDN w:val="0"/>
              <w:adjustRightInd w:val="0"/>
              <w:snapToGrid w:val="0"/>
              <w:spacing w:line="360" w:lineRule="auto"/>
              <w:textAlignment w:val="bottom"/>
              <w:rPr>
                <w:rFonts w:hint="default" w:ascii="宋体" w:hAnsi="宋体"/>
                <w:b/>
                <w:sz w:val="24"/>
              </w:rPr>
            </w:pPr>
            <w:r>
              <w:rPr>
                <w:rFonts w:ascii="宋体" w:hAnsi="宋体"/>
                <w:b/>
                <w:sz w:val="24"/>
              </w:rPr>
              <w:t>（甲方）（盖章）</w:t>
            </w:r>
          </w:p>
        </w:tc>
        <w:tc>
          <w:tcPr>
            <w:tcW w:w="4553" w:type="dxa"/>
            <w:noWrap/>
          </w:tcPr>
          <w:p>
            <w:pPr>
              <w:autoSpaceDE w:val="0"/>
              <w:autoSpaceDN w:val="0"/>
              <w:adjustRightInd w:val="0"/>
              <w:snapToGrid w:val="0"/>
              <w:spacing w:line="360" w:lineRule="auto"/>
              <w:textAlignment w:val="bottom"/>
              <w:rPr>
                <w:rFonts w:hint="default" w:ascii="宋体" w:hAnsi="宋体"/>
                <w:b/>
                <w:sz w:val="24"/>
              </w:rPr>
            </w:pPr>
            <w:r>
              <w:rPr>
                <w:rFonts w:ascii="宋体" w:hAnsi="宋体"/>
                <w:b/>
                <w:sz w:val="24"/>
              </w:rPr>
              <w:t>（乙方）（盖章）</w:t>
            </w:r>
          </w:p>
        </w:tc>
      </w:tr>
      <w:tr>
        <w:tblPrEx>
          <w:tblCellMar>
            <w:top w:w="0" w:type="dxa"/>
            <w:left w:w="108" w:type="dxa"/>
            <w:bottom w:w="0" w:type="dxa"/>
            <w:right w:w="108" w:type="dxa"/>
          </w:tblCellMar>
        </w:tblPrEx>
        <w:trPr>
          <w:trHeight w:val="486" w:hRule="atLeast"/>
          <w:jc w:val="center"/>
        </w:trPr>
        <w:tc>
          <w:tcPr>
            <w:tcW w:w="4200" w:type="dxa"/>
            <w:noWrap/>
          </w:tcPr>
          <w:p>
            <w:pPr>
              <w:autoSpaceDE w:val="0"/>
              <w:autoSpaceDN w:val="0"/>
              <w:adjustRightInd w:val="0"/>
              <w:snapToGrid w:val="0"/>
              <w:spacing w:line="360" w:lineRule="auto"/>
              <w:textAlignment w:val="bottom"/>
              <w:rPr>
                <w:rFonts w:hint="default" w:ascii="宋体" w:hAnsi="宋体"/>
                <w:b/>
                <w:sz w:val="24"/>
              </w:rPr>
            </w:pPr>
            <w:r>
              <w:rPr>
                <w:rFonts w:ascii="宋体" w:hAnsi="宋体"/>
                <w:b/>
                <w:sz w:val="24"/>
              </w:rPr>
              <w:t xml:space="preserve">法定代表人（签字或盖章）                                           </w:t>
            </w:r>
          </w:p>
        </w:tc>
        <w:tc>
          <w:tcPr>
            <w:tcW w:w="4553" w:type="dxa"/>
            <w:noWrap/>
          </w:tcPr>
          <w:p>
            <w:pPr>
              <w:autoSpaceDE w:val="0"/>
              <w:autoSpaceDN w:val="0"/>
              <w:adjustRightInd w:val="0"/>
              <w:snapToGrid w:val="0"/>
              <w:spacing w:line="360" w:lineRule="auto"/>
              <w:textAlignment w:val="bottom"/>
              <w:rPr>
                <w:rFonts w:hint="default" w:ascii="宋体" w:hAnsi="宋体"/>
                <w:b/>
                <w:sz w:val="24"/>
              </w:rPr>
            </w:pPr>
            <w:r>
              <w:rPr>
                <w:rFonts w:ascii="宋体" w:hAnsi="宋体"/>
                <w:b/>
                <w:sz w:val="24"/>
              </w:rPr>
              <w:t>法定代表人（签字或盖章）：</w:t>
            </w:r>
          </w:p>
        </w:tc>
      </w:tr>
      <w:tr>
        <w:tblPrEx>
          <w:tblCellMar>
            <w:top w:w="0" w:type="dxa"/>
            <w:left w:w="108" w:type="dxa"/>
            <w:bottom w:w="0" w:type="dxa"/>
            <w:right w:w="108" w:type="dxa"/>
          </w:tblCellMar>
        </w:tblPrEx>
        <w:trPr>
          <w:trHeight w:val="486" w:hRule="atLeast"/>
          <w:jc w:val="center"/>
        </w:trPr>
        <w:tc>
          <w:tcPr>
            <w:tcW w:w="4200" w:type="dxa"/>
            <w:noWrap/>
          </w:tcPr>
          <w:p>
            <w:pPr>
              <w:autoSpaceDE w:val="0"/>
              <w:autoSpaceDN w:val="0"/>
              <w:adjustRightInd w:val="0"/>
              <w:snapToGrid w:val="0"/>
              <w:spacing w:line="360" w:lineRule="auto"/>
              <w:textAlignment w:val="bottom"/>
              <w:rPr>
                <w:rFonts w:hint="default" w:ascii="宋体" w:hAnsi="宋体"/>
                <w:b/>
                <w:sz w:val="24"/>
              </w:rPr>
            </w:pPr>
            <w:r>
              <w:rPr>
                <w:rFonts w:ascii="宋体" w:hAnsi="宋体"/>
                <w:b/>
                <w:sz w:val="24"/>
              </w:rPr>
              <w:t xml:space="preserve">通讯地址： </w:t>
            </w:r>
          </w:p>
        </w:tc>
        <w:tc>
          <w:tcPr>
            <w:tcW w:w="4553" w:type="dxa"/>
            <w:noWrap/>
          </w:tcPr>
          <w:p>
            <w:pPr>
              <w:autoSpaceDE w:val="0"/>
              <w:autoSpaceDN w:val="0"/>
              <w:adjustRightInd w:val="0"/>
              <w:snapToGrid w:val="0"/>
              <w:spacing w:line="360" w:lineRule="auto"/>
              <w:textAlignment w:val="bottom"/>
              <w:rPr>
                <w:rFonts w:hint="default" w:ascii="宋体" w:hAnsi="宋体"/>
                <w:b/>
                <w:sz w:val="24"/>
              </w:rPr>
            </w:pPr>
            <w:r>
              <w:rPr>
                <w:rFonts w:ascii="宋体" w:hAnsi="宋体"/>
                <w:b/>
                <w:sz w:val="24"/>
              </w:rPr>
              <w:t xml:space="preserve">通讯地址： </w:t>
            </w:r>
          </w:p>
        </w:tc>
      </w:tr>
      <w:tr>
        <w:tblPrEx>
          <w:tblCellMar>
            <w:top w:w="0" w:type="dxa"/>
            <w:left w:w="108" w:type="dxa"/>
            <w:bottom w:w="0" w:type="dxa"/>
            <w:right w:w="108" w:type="dxa"/>
          </w:tblCellMar>
        </w:tblPrEx>
        <w:trPr>
          <w:trHeight w:val="486" w:hRule="atLeast"/>
          <w:jc w:val="center"/>
        </w:trPr>
        <w:tc>
          <w:tcPr>
            <w:tcW w:w="4200" w:type="dxa"/>
            <w:noWrap/>
          </w:tcPr>
          <w:p>
            <w:pPr>
              <w:autoSpaceDE w:val="0"/>
              <w:autoSpaceDN w:val="0"/>
              <w:adjustRightInd w:val="0"/>
              <w:snapToGrid w:val="0"/>
              <w:spacing w:line="360" w:lineRule="auto"/>
              <w:textAlignment w:val="bottom"/>
              <w:rPr>
                <w:rFonts w:hint="default" w:ascii="宋体" w:hAnsi="宋体"/>
                <w:b/>
                <w:sz w:val="24"/>
              </w:rPr>
            </w:pPr>
            <w:r>
              <w:rPr>
                <w:rFonts w:ascii="宋体" w:hAnsi="宋体"/>
                <w:b/>
                <w:sz w:val="24"/>
              </w:rPr>
              <w:t xml:space="preserve">开 户 行： </w:t>
            </w:r>
          </w:p>
        </w:tc>
        <w:tc>
          <w:tcPr>
            <w:tcW w:w="4553" w:type="dxa"/>
            <w:noWrap/>
          </w:tcPr>
          <w:p>
            <w:pPr>
              <w:autoSpaceDE w:val="0"/>
              <w:autoSpaceDN w:val="0"/>
              <w:adjustRightInd w:val="0"/>
              <w:snapToGrid w:val="0"/>
              <w:spacing w:line="360" w:lineRule="auto"/>
              <w:textAlignment w:val="bottom"/>
              <w:rPr>
                <w:rFonts w:hint="default" w:ascii="宋体" w:hAnsi="宋体"/>
                <w:b/>
                <w:sz w:val="24"/>
              </w:rPr>
            </w:pPr>
            <w:r>
              <w:rPr>
                <w:rFonts w:ascii="宋体" w:hAnsi="宋体"/>
                <w:b/>
                <w:sz w:val="24"/>
              </w:rPr>
              <w:t xml:space="preserve">开 户 行： </w:t>
            </w:r>
          </w:p>
        </w:tc>
      </w:tr>
      <w:tr>
        <w:tblPrEx>
          <w:tblCellMar>
            <w:top w:w="0" w:type="dxa"/>
            <w:left w:w="108" w:type="dxa"/>
            <w:bottom w:w="0" w:type="dxa"/>
            <w:right w:w="108" w:type="dxa"/>
          </w:tblCellMar>
        </w:tblPrEx>
        <w:trPr>
          <w:trHeight w:val="486" w:hRule="atLeast"/>
          <w:jc w:val="center"/>
        </w:trPr>
        <w:tc>
          <w:tcPr>
            <w:tcW w:w="4200" w:type="dxa"/>
            <w:noWrap/>
          </w:tcPr>
          <w:p>
            <w:pPr>
              <w:autoSpaceDE w:val="0"/>
              <w:autoSpaceDN w:val="0"/>
              <w:adjustRightInd w:val="0"/>
              <w:snapToGrid w:val="0"/>
              <w:spacing w:line="360" w:lineRule="auto"/>
              <w:textAlignment w:val="bottom"/>
              <w:rPr>
                <w:rFonts w:hint="default" w:ascii="宋体" w:hAnsi="宋体"/>
                <w:b/>
                <w:sz w:val="24"/>
              </w:rPr>
            </w:pPr>
            <w:r>
              <w:rPr>
                <w:rFonts w:ascii="宋体" w:hAnsi="宋体"/>
                <w:b/>
                <w:sz w:val="24"/>
              </w:rPr>
              <w:t xml:space="preserve">帐    号： </w:t>
            </w:r>
          </w:p>
        </w:tc>
        <w:tc>
          <w:tcPr>
            <w:tcW w:w="4553" w:type="dxa"/>
            <w:noWrap/>
          </w:tcPr>
          <w:p>
            <w:pPr>
              <w:autoSpaceDE w:val="0"/>
              <w:autoSpaceDN w:val="0"/>
              <w:adjustRightInd w:val="0"/>
              <w:snapToGrid w:val="0"/>
              <w:spacing w:line="360" w:lineRule="auto"/>
              <w:textAlignment w:val="bottom"/>
              <w:rPr>
                <w:rFonts w:hint="default" w:ascii="宋体" w:hAnsi="宋体"/>
                <w:b/>
                <w:sz w:val="24"/>
              </w:rPr>
            </w:pPr>
            <w:r>
              <w:rPr>
                <w:rFonts w:ascii="宋体" w:hAnsi="宋体"/>
                <w:b/>
                <w:sz w:val="24"/>
              </w:rPr>
              <w:t>帐    号：</w:t>
            </w:r>
          </w:p>
        </w:tc>
      </w:tr>
      <w:tr>
        <w:tblPrEx>
          <w:tblCellMar>
            <w:top w:w="0" w:type="dxa"/>
            <w:left w:w="108" w:type="dxa"/>
            <w:bottom w:w="0" w:type="dxa"/>
            <w:right w:w="108" w:type="dxa"/>
          </w:tblCellMar>
        </w:tblPrEx>
        <w:trPr>
          <w:trHeight w:val="486" w:hRule="atLeast"/>
          <w:jc w:val="center"/>
        </w:trPr>
        <w:tc>
          <w:tcPr>
            <w:tcW w:w="4200" w:type="dxa"/>
            <w:noWrap/>
          </w:tcPr>
          <w:p>
            <w:pPr>
              <w:autoSpaceDE w:val="0"/>
              <w:autoSpaceDN w:val="0"/>
              <w:adjustRightInd w:val="0"/>
              <w:snapToGrid w:val="0"/>
              <w:spacing w:line="360" w:lineRule="auto"/>
              <w:textAlignment w:val="bottom"/>
              <w:rPr>
                <w:rFonts w:hint="default" w:ascii="宋体" w:hAnsi="宋体"/>
                <w:b/>
                <w:sz w:val="24"/>
              </w:rPr>
            </w:pPr>
            <w:r>
              <w:rPr>
                <w:rFonts w:ascii="宋体" w:hAnsi="宋体"/>
                <w:b/>
                <w:sz w:val="24"/>
              </w:rPr>
              <w:t xml:space="preserve">电    话： </w:t>
            </w:r>
          </w:p>
        </w:tc>
        <w:tc>
          <w:tcPr>
            <w:tcW w:w="4553" w:type="dxa"/>
            <w:noWrap/>
          </w:tcPr>
          <w:p>
            <w:pPr>
              <w:autoSpaceDE w:val="0"/>
              <w:autoSpaceDN w:val="0"/>
              <w:adjustRightInd w:val="0"/>
              <w:snapToGrid w:val="0"/>
              <w:spacing w:line="360" w:lineRule="auto"/>
              <w:textAlignment w:val="bottom"/>
              <w:rPr>
                <w:rFonts w:hint="default" w:ascii="宋体" w:hAnsi="宋体"/>
                <w:b/>
                <w:sz w:val="24"/>
              </w:rPr>
            </w:pPr>
            <w:r>
              <w:rPr>
                <w:rFonts w:ascii="宋体" w:hAnsi="宋体"/>
                <w:b/>
                <w:sz w:val="24"/>
              </w:rPr>
              <w:t>电    话：</w:t>
            </w:r>
          </w:p>
        </w:tc>
      </w:tr>
      <w:tr>
        <w:tblPrEx>
          <w:tblCellMar>
            <w:top w:w="0" w:type="dxa"/>
            <w:left w:w="108" w:type="dxa"/>
            <w:bottom w:w="0" w:type="dxa"/>
            <w:right w:w="108" w:type="dxa"/>
          </w:tblCellMar>
        </w:tblPrEx>
        <w:trPr>
          <w:trHeight w:val="446" w:hRule="atLeast"/>
          <w:jc w:val="center"/>
        </w:trPr>
        <w:tc>
          <w:tcPr>
            <w:tcW w:w="4200" w:type="dxa"/>
            <w:noWrap/>
          </w:tcPr>
          <w:p>
            <w:pPr>
              <w:autoSpaceDE w:val="0"/>
              <w:autoSpaceDN w:val="0"/>
              <w:adjustRightInd w:val="0"/>
              <w:snapToGrid w:val="0"/>
              <w:spacing w:line="360" w:lineRule="auto"/>
              <w:textAlignment w:val="bottom"/>
              <w:rPr>
                <w:rFonts w:hint="default" w:ascii="宋体" w:hAnsi="宋体"/>
                <w:b/>
                <w:sz w:val="24"/>
              </w:rPr>
            </w:pPr>
            <w:r>
              <w:rPr>
                <w:rFonts w:ascii="宋体" w:hAnsi="宋体"/>
                <w:b/>
                <w:sz w:val="24"/>
              </w:rPr>
              <w:t>日    期：     年   月  日</w:t>
            </w:r>
          </w:p>
        </w:tc>
        <w:tc>
          <w:tcPr>
            <w:tcW w:w="4553" w:type="dxa"/>
            <w:noWrap/>
          </w:tcPr>
          <w:p>
            <w:pPr>
              <w:autoSpaceDE w:val="0"/>
              <w:autoSpaceDN w:val="0"/>
              <w:adjustRightInd w:val="0"/>
              <w:snapToGrid w:val="0"/>
              <w:spacing w:line="360" w:lineRule="auto"/>
              <w:textAlignment w:val="bottom"/>
              <w:rPr>
                <w:rFonts w:hint="default" w:ascii="宋体" w:hAnsi="宋体"/>
                <w:b/>
                <w:sz w:val="24"/>
              </w:rPr>
            </w:pPr>
            <w:r>
              <w:rPr>
                <w:rFonts w:ascii="宋体" w:hAnsi="宋体"/>
                <w:b/>
                <w:sz w:val="24"/>
              </w:rPr>
              <w:t>日    期：     年   月    日</w:t>
            </w:r>
          </w:p>
        </w:tc>
      </w:tr>
    </w:tbl>
    <w:p>
      <w:pPr>
        <w:spacing w:line="360" w:lineRule="auto"/>
        <w:ind w:left="-361" w:leftChars="-172" w:right="-487" w:rightChars="-232" w:firstLine="482"/>
        <w:rPr>
          <w:rFonts w:hint="default" w:ascii="宋体" w:hAnsi="宋体"/>
          <w:b/>
          <w:sz w:val="24"/>
        </w:rPr>
      </w:pPr>
    </w:p>
    <w:p>
      <w:pPr>
        <w:pStyle w:val="7"/>
        <w:snapToGrid w:val="0"/>
        <w:spacing w:beforeLines="0" w:afterLines="0" w:line="360" w:lineRule="auto"/>
        <w:ind w:firstLine="482"/>
        <w:rPr>
          <w:rFonts w:hint="default" w:hAnsi="宋体"/>
        </w:rPr>
      </w:pPr>
      <w:r>
        <w:rPr>
          <w:rFonts w:hAnsi="宋体"/>
          <w:b/>
        </w:rPr>
        <w:t>注：各投标人应对招标文件“第五章  合同主要条款”中的条款全部响应，如有偏离需在商务条款偏离表中注明。</w:t>
      </w:r>
    </w:p>
    <w:p>
      <w:pPr>
        <w:pStyle w:val="7"/>
        <w:snapToGrid w:val="0"/>
        <w:spacing w:before="120" w:after="120" w:line="360" w:lineRule="auto"/>
        <w:ind w:firstLine="723"/>
        <w:jc w:val="center"/>
        <w:outlineLvl w:val="0"/>
        <w:rPr>
          <w:rFonts w:hint="default" w:ascii="Times New Roman" w:hAnsi="Times New Roman"/>
          <w:b/>
          <w:sz w:val="36"/>
          <w:szCs w:val="36"/>
        </w:rPr>
        <w:sectPr>
          <w:pgSz w:w="11906" w:h="16838"/>
          <w:pgMar w:top="1134" w:right="1247" w:bottom="1247" w:left="1304" w:header="794" w:footer="794" w:gutter="0"/>
          <w:cols w:space="720" w:num="1"/>
          <w:docGrid w:linePitch="312" w:charSpace="0"/>
        </w:sectPr>
      </w:pPr>
      <w:bookmarkStart w:id="62" w:name="_Toc2160"/>
    </w:p>
    <w:p>
      <w:pPr>
        <w:pStyle w:val="7"/>
        <w:snapToGrid w:val="0"/>
        <w:spacing w:before="120" w:after="120" w:line="360" w:lineRule="auto"/>
        <w:ind w:firstLine="723"/>
        <w:jc w:val="center"/>
        <w:outlineLvl w:val="0"/>
        <w:rPr>
          <w:rFonts w:hint="default" w:ascii="Times New Roman" w:hAnsi="Times New Roman"/>
          <w:b/>
          <w:sz w:val="36"/>
          <w:szCs w:val="36"/>
        </w:rPr>
      </w:pPr>
      <w:r>
        <w:rPr>
          <w:rFonts w:hint="default" w:ascii="Times New Roman" w:hAnsi="Times New Roman"/>
          <w:b/>
          <w:sz w:val="36"/>
          <w:szCs w:val="36"/>
        </w:rPr>
        <w:t>第六章　投标文件格式</w:t>
      </w:r>
      <w:bookmarkEnd w:id="62"/>
    </w:p>
    <w:p>
      <w:pPr>
        <w:snapToGrid w:val="0"/>
        <w:spacing w:before="120" w:beforeLines="50" w:after="50" w:line="360" w:lineRule="auto"/>
        <w:ind w:firstLine="482"/>
        <w:rPr>
          <w:rFonts w:hint="default"/>
          <w:b/>
          <w:sz w:val="24"/>
        </w:rPr>
      </w:pPr>
      <w:r>
        <w:rPr>
          <w:rFonts w:hint="default"/>
          <w:b/>
          <w:sz w:val="24"/>
        </w:rPr>
        <w:t>1.电子备份投标文件的外包装封面格式</w:t>
      </w:r>
    </w:p>
    <w:p>
      <w:pPr>
        <w:snapToGrid w:val="0"/>
        <w:spacing w:before="120" w:beforeLines="50" w:after="50" w:line="360" w:lineRule="auto"/>
        <w:ind w:firstLine="480"/>
        <w:rPr>
          <w:rFonts w:hint="default"/>
          <w:bCs/>
          <w:sz w:val="24"/>
        </w:rPr>
      </w:pPr>
    </w:p>
    <w:p>
      <w:pPr>
        <w:snapToGrid w:val="0"/>
        <w:spacing w:before="120" w:beforeLines="50" w:after="50" w:line="360" w:lineRule="auto"/>
        <w:ind w:firstLine="1044"/>
        <w:jc w:val="center"/>
        <w:rPr>
          <w:rFonts w:hint="default"/>
          <w:b/>
          <w:bCs/>
          <w:sz w:val="52"/>
          <w:szCs w:val="52"/>
        </w:rPr>
      </w:pPr>
      <w:r>
        <w:rPr>
          <w:rFonts w:hint="default"/>
          <w:b/>
          <w:bCs/>
          <w:sz w:val="52"/>
          <w:szCs w:val="52"/>
        </w:rPr>
        <w:t>电子备份投标文件</w:t>
      </w:r>
    </w:p>
    <w:p>
      <w:pPr>
        <w:snapToGrid w:val="0"/>
        <w:spacing w:before="120" w:beforeLines="50" w:after="50" w:line="360" w:lineRule="auto"/>
        <w:ind w:firstLine="480"/>
        <w:rPr>
          <w:rFonts w:hint="default"/>
          <w:bCs/>
          <w:sz w:val="24"/>
        </w:rPr>
      </w:pPr>
    </w:p>
    <w:p>
      <w:pPr>
        <w:snapToGrid w:val="0"/>
        <w:spacing w:before="120" w:beforeLines="50" w:after="50" w:line="360" w:lineRule="auto"/>
        <w:ind w:firstLine="1120" w:firstLineChars="400"/>
        <w:rPr>
          <w:rFonts w:hint="default"/>
          <w:bCs/>
          <w:sz w:val="28"/>
          <w:szCs w:val="28"/>
        </w:rPr>
      </w:pPr>
      <w:r>
        <w:rPr>
          <w:rFonts w:hint="default"/>
          <w:bCs/>
          <w:sz w:val="28"/>
          <w:szCs w:val="28"/>
        </w:rPr>
        <w:t>项目名称：</w:t>
      </w:r>
      <w:r>
        <w:rPr>
          <w:bCs/>
          <w:sz w:val="28"/>
          <w:szCs w:val="28"/>
        </w:rPr>
        <w:t>浙江省中医院钱塘院区4号楼阶梯会议室家具采购项目</w:t>
      </w:r>
    </w:p>
    <w:p>
      <w:pPr>
        <w:snapToGrid w:val="0"/>
        <w:spacing w:before="120" w:beforeLines="50" w:after="50" w:line="360" w:lineRule="auto"/>
        <w:ind w:firstLine="1120" w:firstLineChars="400"/>
        <w:rPr>
          <w:rFonts w:hint="default"/>
          <w:bCs/>
          <w:sz w:val="28"/>
          <w:szCs w:val="28"/>
        </w:rPr>
      </w:pPr>
      <w:r>
        <w:rPr>
          <w:rFonts w:hint="default"/>
          <w:bCs/>
          <w:sz w:val="28"/>
          <w:szCs w:val="28"/>
        </w:rPr>
        <w:t>项目编号：HSZB-2024-135</w:t>
      </w:r>
    </w:p>
    <w:p>
      <w:pPr>
        <w:snapToGrid w:val="0"/>
        <w:spacing w:before="120" w:beforeLines="50" w:after="50" w:line="360" w:lineRule="auto"/>
        <w:ind w:firstLine="1260" w:firstLineChars="450"/>
        <w:rPr>
          <w:rFonts w:hint="default"/>
          <w:bCs/>
          <w:sz w:val="28"/>
          <w:szCs w:val="28"/>
        </w:rPr>
      </w:pPr>
    </w:p>
    <w:p>
      <w:pPr>
        <w:snapToGrid w:val="0"/>
        <w:spacing w:before="120" w:beforeLines="50" w:after="50" w:line="360" w:lineRule="auto"/>
        <w:ind w:firstLine="1260" w:firstLineChars="450"/>
        <w:rPr>
          <w:rFonts w:hint="default"/>
          <w:bCs/>
          <w:sz w:val="28"/>
          <w:szCs w:val="28"/>
        </w:rPr>
      </w:pPr>
    </w:p>
    <w:p>
      <w:pPr>
        <w:snapToGrid w:val="0"/>
        <w:spacing w:before="120" w:beforeLines="50" w:after="50" w:line="360" w:lineRule="auto"/>
        <w:ind w:firstLine="1260" w:firstLineChars="450"/>
        <w:rPr>
          <w:rFonts w:hint="default"/>
          <w:bCs/>
          <w:sz w:val="28"/>
          <w:szCs w:val="28"/>
        </w:rPr>
      </w:pPr>
    </w:p>
    <w:p>
      <w:pPr>
        <w:pStyle w:val="11"/>
        <w:snapToGrid w:val="0"/>
        <w:spacing w:before="50" w:after="50" w:line="360" w:lineRule="auto"/>
        <w:ind w:firstLine="1260" w:firstLineChars="450"/>
        <w:rPr>
          <w:rFonts w:hint="default"/>
          <w:bCs/>
          <w:sz w:val="28"/>
          <w:szCs w:val="28"/>
        </w:rPr>
      </w:pPr>
    </w:p>
    <w:p>
      <w:pPr>
        <w:pStyle w:val="11"/>
        <w:snapToGrid w:val="0"/>
        <w:spacing w:before="50" w:after="50" w:line="360" w:lineRule="auto"/>
        <w:ind w:firstLine="1260" w:firstLineChars="450"/>
        <w:rPr>
          <w:rFonts w:hint="default"/>
          <w:bCs/>
          <w:sz w:val="28"/>
          <w:szCs w:val="28"/>
        </w:rPr>
      </w:pPr>
    </w:p>
    <w:p>
      <w:pPr>
        <w:pStyle w:val="11"/>
        <w:snapToGrid w:val="0"/>
        <w:spacing w:before="50" w:after="50" w:line="360" w:lineRule="auto"/>
        <w:ind w:firstLine="1260" w:firstLineChars="450"/>
        <w:rPr>
          <w:rFonts w:hint="default"/>
          <w:bCs/>
          <w:sz w:val="28"/>
          <w:szCs w:val="28"/>
        </w:rPr>
      </w:pPr>
    </w:p>
    <w:p>
      <w:pPr>
        <w:pStyle w:val="11"/>
        <w:snapToGrid w:val="0"/>
        <w:spacing w:before="50" w:after="50" w:line="360" w:lineRule="auto"/>
        <w:ind w:firstLine="1260" w:firstLineChars="450"/>
        <w:rPr>
          <w:rFonts w:hint="default"/>
          <w:bCs/>
          <w:sz w:val="28"/>
          <w:szCs w:val="28"/>
        </w:rPr>
      </w:pPr>
      <w:r>
        <w:rPr>
          <w:rFonts w:hint="default"/>
          <w:bCs/>
          <w:sz w:val="28"/>
          <w:szCs w:val="28"/>
        </w:rPr>
        <w:t>投标人名称：</w:t>
      </w:r>
    </w:p>
    <w:p>
      <w:pPr>
        <w:pStyle w:val="11"/>
        <w:snapToGrid w:val="0"/>
        <w:spacing w:before="50" w:after="50" w:line="360" w:lineRule="auto"/>
        <w:ind w:firstLine="1260" w:firstLineChars="450"/>
        <w:rPr>
          <w:rFonts w:hint="default"/>
          <w:bCs/>
          <w:sz w:val="28"/>
          <w:szCs w:val="28"/>
        </w:rPr>
      </w:pPr>
      <w:r>
        <w:rPr>
          <w:rFonts w:hint="default"/>
          <w:bCs/>
          <w:sz w:val="28"/>
          <w:szCs w:val="28"/>
        </w:rPr>
        <w:t>投标人地址：</w:t>
      </w:r>
    </w:p>
    <w:p>
      <w:pPr>
        <w:pStyle w:val="11"/>
        <w:snapToGrid w:val="0"/>
        <w:spacing w:before="50" w:after="50" w:line="360" w:lineRule="auto"/>
        <w:ind w:firstLine="1164" w:firstLineChars="416"/>
        <w:rPr>
          <w:rFonts w:hint="default"/>
          <w:sz w:val="28"/>
          <w:szCs w:val="28"/>
        </w:rPr>
      </w:pPr>
    </w:p>
    <w:p>
      <w:pPr>
        <w:snapToGrid w:val="0"/>
        <w:spacing w:before="120" w:beforeLines="50" w:after="50" w:line="360" w:lineRule="auto"/>
        <w:ind w:firstLine="1139" w:firstLineChars="407"/>
        <w:jc w:val="center"/>
        <w:rPr>
          <w:rFonts w:hint="default"/>
          <w:sz w:val="28"/>
          <w:szCs w:val="28"/>
        </w:rPr>
      </w:pPr>
      <w:r>
        <w:rPr>
          <w:rFonts w:hint="default"/>
          <w:sz w:val="28"/>
          <w:szCs w:val="28"/>
        </w:rPr>
        <w:t>年</w:t>
      </w:r>
      <w:r>
        <w:rPr>
          <w:sz w:val="28"/>
          <w:szCs w:val="28"/>
        </w:rPr>
        <w:t xml:space="preserve">  </w:t>
      </w:r>
      <w:r>
        <w:rPr>
          <w:rFonts w:hint="default"/>
          <w:sz w:val="28"/>
          <w:szCs w:val="28"/>
        </w:rPr>
        <w:t>月</w:t>
      </w:r>
      <w:r>
        <w:rPr>
          <w:sz w:val="28"/>
          <w:szCs w:val="28"/>
        </w:rPr>
        <w:t xml:space="preserve">  </w:t>
      </w:r>
      <w:r>
        <w:rPr>
          <w:rFonts w:hint="default"/>
          <w:sz w:val="28"/>
          <w:szCs w:val="28"/>
        </w:rPr>
        <w:t>日</w:t>
      </w:r>
    </w:p>
    <w:p>
      <w:pPr>
        <w:snapToGrid w:val="0"/>
        <w:spacing w:before="120" w:beforeLines="50" w:after="50" w:line="360" w:lineRule="auto"/>
        <w:ind w:firstLine="560"/>
        <w:rPr>
          <w:rFonts w:hint="default"/>
          <w:b/>
          <w:sz w:val="24"/>
        </w:rPr>
      </w:pPr>
      <w:r>
        <w:rPr>
          <w:rFonts w:hint="default"/>
          <w:sz w:val="28"/>
          <w:szCs w:val="28"/>
        </w:rPr>
        <w:br w:type="page"/>
      </w:r>
      <w:r>
        <w:rPr>
          <w:rFonts w:hint="default"/>
          <w:b/>
          <w:sz w:val="24"/>
        </w:rPr>
        <w:t>2.资格证明/商务技术/报价</w:t>
      </w:r>
      <w:r>
        <w:rPr>
          <w:rFonts w:hint="default"/>
          <w:b/>
          <w:bCs/>
          <w:sz w:val="24"/>
        </w:rPr>
        <w:t>文件</w:t>
      </w:r>
      <w:r>
        <w:rPr>
          <w:rFonts w:hint="default"/>
          <w:b/>
          <w:sz w:val="24"/>
        </w:rPr>
        <w:t>封面格式</w:t>
      </w:r>
    </w:p>
    <w:p>
      <w:pPr>
        <w:snapToGrid w:val="0"/>
        <w:spacing w:before="120" w:beforeLines="50" w:after="50" w:line="360" w:lineRule="auto"/>
        <w:ind w:firstLine="480"/>
        <w:rPr>
          <w:rFonts w:hint="default"/>
          <w:sz w:val="24"/>
        </w:rPr>
      </w:pPr>
    </w:p>
    <w:p>
      <w:pPr>
        <w:snapToGrid w:val="0"/>
        <w:spacing w:before="120" w:beforeLines="50" w:after="50" w:line="360" w:lineRule="auto"/>
        <w:ind w:firstLine="643"/>
        <w:rPr>
          <w:rFonts w:hint="default"/>
          <w:b/>
          <w:bCs/>
          <w:sz w:val="32"/>
        </w:rPr>
      </w:pPr>
    </w:p>
    <w:p>
      <w:pPr>
        <w:snapToGrid w:val="0"/>
        <w:spacing w:before="120" w:beforeLines="50" w:after="50" w:line="360" w:lineRule="auto"/>
        <w:ind w:firstLine="480"/>
        <w:jc w:val="center"/>
        <w:rPr>
          <w:rFonts w:hint="default"/>
          <w:bCs/>
          <w:sz w:val="24"/>
        </w:rPr>
      </w:pPr>
    </w:p>
    <w:p>
      <w:pPr>
        <w:snapToGrid w:val="0"/>
        <w:spacing w:before="120" w:beforeLines="50" w:after="50" w:line="360" w:lineRule="auto"/>
        <w:ind w:firstLine="1044"/>
        <w:jc w:val="center"/>
        <w:rPr>
          <w:rFonts w:hint="default"/>
          <w:b/>
          <w:bCs/>
          <w:sz w:val="52"/>
          <w:szCs w:val="52"/>
        </w:rPr>
      </w:pPr>
      <w:r>
        <w:rPr>
          <w:rFonts w:hint="default"/>
          <w:b/>
          <w:bCs/>
          <w:sz w:val="52"/>
          <w:szCs w:val="52"/>
        </w:rPr>
        <w:t>资格证明/商务技术/报价文件</w:t>
      </w:r>
    </w:p>
    <w:p>
      <w:pPr>
        <w:snapToGrid w:val="0"/>
        <w:spacing w:before="120" w:beforeLines="50" w:after="50" w:line="360" w:lineRule="auto"/>
        <w:ind w:firstLine="480"/>
        <w:rPr>
          <w:rFonts w:hint="default"/>
          <w:bCs/>
          <w:sz w:val="24"/>
        </w:rPr>
      </w:pPr>
    </w:p>
    <w:p>
      <w:pPr>
        <w:snapToGrid w:val="0"/>
        <w:spacing w:before="120" w:beforeLines="50" w:after="50" w:line="360" w:lineRule="auto"/>
        <w:ind w:firstLine="1120" w:firstLineChars="400"/>
        <w:rPr>
          <w:rFonts w:hint="default"/>
          <w:bCs/>
          <w:sz w:val="28"/>
          <w:szCs w:val="28"/>
        </w:rPr>
      </w:pPr>
      <w:r>
        <w:rPr>
          <w:rFonts w:hint="default"/>
          <w:bCs/>
          <w:sz w:val="28"/>
          <w:szCs w:val="28"/>
        </w:rPr>
        <w:t>项目名称：</w:t>
      </w:r>
      <w:r>
        <w:rPr>
          <w:bCs/>
          <w:sz w:val="28"/>
          <w:szCs w:val="28"/>
        </w:rPr>
        <w:t>浙江省中医院钱塘院区4号楼阶梯会议室家具采购项目</w:t>
      </w:r>
    </w:p>
    <w:p>
      <w:pPr>
        <w:snapToGrid w:val="0"/>
        <w:spacing w:before="120" w:beforeLines="50" w:after="50" w:line="360" w:lineRule="auto"/>
        <w:ind w:firstLine="1120" w:firstLineChars="400"/>
        <w:rPr>
          <w:rFonts w:hint="default"/>
          <w:bCs/>
          <w:sz w:val="28"/>
          <w:szCs w:val="28"/>
        </w:rPr>
      </w:pPr>
      <w:r>
        <w:rPr>
          <w:rFonts w:hint="default"/>
          <w:bCs/>
          <w:sz w:val="28"/>
          <w:szCs w:val="28"/>
        </w:rPr>
        <w:t>项目编号：HSZB-2024-135</w:t>
      </w:r>
    </w:p>
    <w:p>
      <w:pPr>
        <w:snapToGrid w:val="0"/>
        <w:spacing w:before="120" w:beforeLines="50" w:after="50" w:line="360" w:lineRule="auto"/>
        <w:ind w:firstLine="560" w:firstLineChars="200"/>
        <w:rPr>
          <w:rFonts w:hint="default"/>
          <w:bCs/>
          <w:sz w:val="28"/>
          <w:szCs w:val="28"/>
        </w:rPr>
      </w:pPr>
    </w:p>
    <w:p>
      <w:pPr>
        <w:snapToGrid w:val="0"/>
        <w:spacing w:before="120" w:beforeLines="50" w:after="50" w:line="360" w:lineRule="auto"/>
        <w:ind w:firstLine="560" w:firstLineChars="200"/>
        <w:rPr>
          <w:rFonts w:hint="default"/>
          <w:bCs/>
          <w:sz w:val="28"/>
          <w:szCs w:val="28"/>
        </w:rPr>
      </w:pPr>
    </w:p>
    <w:p>
      <w:pPr>
        <w:pStyle w:val="11"/>
        <w:snapToGrid w:val="0"/>
        <w:spacing w:before="50" w:after="50" w:line="360" w:lineRule="auto"/>
        <w:ind w:firstLine="1260" w:firstLineChars="450"/>
        <w:rPr>
          <w:rFonts w:hint="default"/>
          <w:bCs/>
          <w:sz w:val="28"/>
          <w:szCs w:val="28"/>
        </w:rPr>
      </w:pPr>
    </w:p>
    <w:p>
      <w:pPr>
        <w:pStyle w:val="11"/>
        <w:snapToGrid w:val="0"/>
        <w:spacing w:before="50" w:after="50" w:line="360" w:lineRule="auto"/>
        <w:ind w:firstLine="1260" w:firstLineChars="450"/>
        <w:rPr>
          <w:rFonts w:hint="default"/>
          <w:bCs/>
          <w:sz w:val="28"/>
          <w:szCs w:val="28"/>
        </w:rPr>
      </w:pPr>
    </w:p>
    <w:p>
      <w:pPr>
        <w:pStyle w:val="11"/>
        <w:snapToGrid w:val="0"/>
        <w:spacing w:before="50" w:after="50" w:line="360" w:lineRule="auto"/>
        <w:ind w:firstLine="1260" w:firstLineChars="450"/>
        <w:rPr>
          <w:rFonts w:hint="default"/>
          <w:bCs/>
          <w:sz w:val="28"/>
          <w:szCs w:val="28"/>
        </w:rPr>
      </w:pPr>
    </w:p>
    <w:p>
      <w:pPr>
        <w:pStyle w:val="11"/>
        <w:snapToGrid w:val="0"/>
        <w:spacing w:before="50" w:after="50" w:line="360" w:lineRule="auto"/>
        <w:ind w:firstLine="1260" w:firstLineChars="450"/>
        <w:rPr>
          <w:rFonts w:hint="default"/>
          <w:bCs/>
          <w:sz w:val="28"/>
          <w:szCs w:val="28"/>
        </w:rPr>
      </w:pPr>
    </w:p>
    <w:p>
      <w:pPr>
        <w:pStyle w:val="11"/>
        <w:snapToGrid w:val="0"/>
        <w:spacing w:before="50" w:after="50" w:line="360" w:lineRule="auto"/>
        <w:ind w:firstLine="1260" w:firstLineChars="450"/>
        <w:rPr>
          <w:rFonts w:hint="default"/>
          <w:bCs/>
          <w:sz w:val="28"/>
          <w:szCs w:val="28"/>
        </w:rPr>
      </w:pPr>
      <w:r>
        <w:rPr>
          <w:rFonts w:hint="default"/>
          <w:bCs/>
          <w:sz w:val="28"/>
          <w:szCs w:val="28"/>
        </w:rPr>
        <w:t>投标人名称：</w:t>
      </w:r>
    </w:p>
    <w:p>
      <w:pPr>
        <w:pStyle w:val="11"/>
        <w:snapToGrid w:val="0"/>
        <w:spacing w:before="50" w:after="50" w:line="360" w:lineRule="auto"/>
        <w:ind w:firstLine="1260" w:firstLineChars="450"/>
        <w:rPr>
          <w:rFonts w:hint="default"/>
          <w:bCs/>
          <w:sz w:val="28"/>
          <w:szCs w:val="28"/>
        </w:rPr>
      </w:pPr>
      <w:r>
        <w:rPr>
          <w:rFonts w:hint="default"/>
          <w:bCs/>
          <w:sz w:val="28"/>
          <w:szCs w:val="28"/>
        </w:rPr>
        <w:t>投标人地址：</w:t>
      </w:r>
    </w:p>
    <w:p>
      <w:pPr>
        <w:snapToGrid w:val="0"/>
        <w:spacing w:before="120" w:beforeLines="50" w:after="50" w:line="360" w:lineRule="auto"/>
        <w:ind w:firstLine="560"/>
        <w:jc w:val="center"/>
        <w:rPr>
          <w:rFonts w:hint="default"/>
          <w:sz w:val="28"/>
          <w:szCs w:val="28"/>
        </w:rPr>
      </w:pPr>
    </w:p>
    <w:p>
      <w:pPr>
        <w:snapToGrid w:val="0"/>
        <w:spacing w:before="120" w:beforeLines="50" w:after="50" w:line="360" w:lineRule="auto"/>
        <w:ind w:firstLine="560"/>
        <w:jc w:val="center"/>
        <w:outlineLvl w:val="0"/>
        <w:rPr>
          <w:rFonts w:hint="default"/>
          <w:sz w:val="24"/>
        </w:rPr>
      </w:pPr>
      <w:bookmarkStart w:id="63" w:name="_Toc25091"/>
      <w:bookmarkStart w:id="64" w:name="_Toc29838"/>
      <w:bookmarkStart w:id="65" w:name="_Toc32368"/>
      <w:bookmarkStart w:id="66" w:name="_Toc22374"/>
      <w:bookmarkStart w:id="67" w:name="_Toc20164"/>
      <w:r>
        <w:rPr>
          <w:rFonts w:hint="default"/>
          <w:sz w:val="28"/>
          <w:szCs w:val="28"/>
        </w:rPr>
        <w:t>年</w:t>
      </w:r>
      <w:r>
        <w:rPr>
          <w:sz w:val="28"/>
          <w:szCs w:val="28"/>
        </w:rPr>
        <w:t xml:space="preserve">  </w:t>
      </w:r>
      <w:r>
        <w:rPr>
          <w:rFonts w:hint="default"/>
          <w:sz w:val="28"/>
          <w:szCs w:val="28"/>
        </w:rPr>
        <w:t>月</w:t>
      </w:r>
      <w:r>
        <w:rPr>
          <w:sz w:val="28"/>
          <w:szCs w:val="28"/>
        </w:rPr>
        <w:t xml:space="preserve">  </w:t>
      </w:r>
      <w:r>
        <w:rPr>
          <w:rFonts w:hint="default"/>
          <w:sz w:val="28"/>
          <w:szCs w:val="28"/>
        </w:rPr>
        <w:t>日</w:t>
      </w:r>
      <w:bookmarkEnd w:id="63"/>
      <w:bookmarkEnd w:id="64"/>
      <w:bookmarkEnd w:id="65"/>
      <w:bookmarkEnd w:id="66"/>
      <w:bookmarkEnd w:id="67"/>
    </w:p>
    <w:p>
      <w:pPr>
        <w:pStyle w:val="39"/>
        <w:rPr>
          <w:color w:val="auto"/>
        </w:rPr>
      </w:pPr>
    </w:p>
    <w:p>
      <w:pPr>
        <w:pageBreakBefore/>
        <w:snapToGrid w:val="0"/>
        <w:spacing w:line="360" w:lineRule="auto"/>
        <w:ind w:firstLine="723"/>
        <w:jc w:val="center"/>
        <w:outlineLvl w:val="1"/>
        <w:rPr>
          <w:rFonts w:hint="default"/>
          <w:b/>
          <w:bCs/>
          <w:kern w:val="0"/>
          <w:sz w:val="36"/>
          <w:szCs w:val="36"/>
        </w:rPr>
      </w:pPr>
      <w:r>
        <w:rPr>
          <w:rFonts w:hint="default"/>
          <w:b/>
          <w:bCs/>
          <w:kern w:val="0"/>
          <w:sz w:val="36"/>
          <w:szCs w:val="36"/>
        </w:rPr>
        <w:t>资格文件</w:t>
      </w:r>
      <w:bookmarkEnd w:id="61"/>
    </w:p>
    <w:p>
      <w:pPr>
        <w:pStyle w:val="40"/>
        <w:rPr>
          <w:rFonts w:hint="default"/>
        </w:rPr>
      </w:pPr>
    </w:p>
    <w:p>
      <w:pPr>
        <w:snapToGrid w:val="0"/>
        <w:spacing w:line="300" w:lineRule="auto"/>
        <w:ind w:firstLine="562"/>
        <w:jc w:val="center"/>
        <w:rPr>
          <w:rFonts w:hint="default" w:ascii="Arial" w:hAnsi="Arial" w:cs="Arial"/>
          <w:b/>
          <w:kern w:val="0"/>
          <w:sz w:val="28"/>
          <w:szCs w:val="28"/>
        </w:rPr>
      </w:pPr>
      <w:r>
        <w:rPr>
          <w:rFonts w:ascii="Arial" w:hAnsi="Arial" w:cs="Arial"/>
          <w:b/>
          <w:kern w:val="0"/>
          <w:sz w:val="28"/>
          <w:szCs w:val="28"/>
        </w:rPr>
        <w:t>一、符合参加政府采购活动应当具备的一般条件的承诺函</w:t>
      </w:r>
    </w:p>
    <w:p>
      <w:pPr>
        <w:snapToGrid w:val="0"/>
        <w:spacing w:line="360" w:lineRule="auto"/>
        <w:ind w:firstLine="562"/>
        <w:jc w:val="center"/>
        <w:rPr>
          <w:rFonts w:hint="default" w:ascii="Arial" w:hAnsi="Arial" w:cs="Arial"/>
          <w:b/>
          <w:kern w:val="0"/>
          <w:sz w:val="28"/>
          <w:szCs w:val="28"/>
        </w:rPr>
      </w:pPr>
    </w:p>
    <w:p>
      <w:pPr>
        <w:pStyle w:val="87"/>
        <w:spacing w:line="360" w:lineRule="auto"/>
        <w:rPr>
          <w:rFonts w:hint="default" w:ascii="宋体" w:hAnsi="宋体" w:eastAsia="宋体" w:cs="宋体"/>
          <w:color w:val="auto"/>
          <w:u w:val="single"/>
        </w:rPr>
      </w:pPr>
      <w:r>
        <w:rPr>
          <w:rFonts w:ascii="宋体" w:hAnsi="宋体" w:eastAsia="宋体" w:cs="宋体"/>
          <w:color w:val="auto"/>
          <w:u w:val="single"/>
        </w:rPr>
        <w:t>浙江省中医院、浙江豪圣建设项目管理有限公司：</w:t>
      </w:r>
    </w:p>
    <w:p>
      <w:pPr>
        <w:pStyle w:val="87"/>
        <w:spacing w:line="360" w:lineRule="auto"/>
        <w:ind w:firstLine="420" w:firstLineChars="175"/>
        <w:rPr>
          <w:rFonts w:hint="default" w:ascii="宋体" w:hAnsi="宋体" w:eastAsia="宋体" w:cs="宋体"/>
          <w:color w:val="auto"/>
        </w:rPr>
      </w:pPr>
      <w:r>
        <w:rPr>
          <w:rFonts w:ascii="宋体" w:hAnsi="宋体" w:eastAsia="宋体" w:cs="宋体"/>
          <w:color w:val="auto"/>
        </w:rPr>
        <w:t>我方参与项目名称【项目编号：】政府采购活动，郑重承诺：</w:t>
      </w:r>
    </w:p>
    <w:p>
      <w:pPr>
        <w:pStyle w:val="87"/>
        <w:spacing w:line="360" w:lineRule="auto"/>
        <w:ind w:firstLine="420" w:firstLineChars="175"/>
        <w:rPr>
          <w:rFonts w:hint="default" w:ascii="宋体" w:hAnsi="宋体" w:eastAsia="宋体" w:cs="宋体"/>
          <w:color w:val="auto"/>
        </w:rPr>
      </w:pPr>
      <w:r>
        <w:rPr>
          <w:rFonts w:ascii="宋体" w:hAnsi="宋体" w:eastAsia="宋体" w:cs="宋体"/>
          <w:color w:val="auto"/>
        </w:rPr>
        <w:t>（一）具备《中华人民共和国政府采购法》第二十二条第一款规定的条件：</w:t>
      </w:r>
    </w:p>
    <w:p>
      <w:pPr>
        <w:pStyle w:val="87"/>
        <w:spacing w:line="360" w:lineRule="auto"/>
        <w:ind w:firstLine="420" w:firstLineChars="175"/>
        <w:rPr>
          <w:rFonts w:hint="default" w:ascii="宋体" w:hAnsi="宋体" w:eastAsia="宋体" w:cs="宋体"/>
          <w:color w:val="auto"/>
        </w:rPr>
      </w:pPr>
      <w:r>
        <w:rPr>
          <w:rFonts w:ascii="宋体" w:hAnsi="宋体" w:eastAsia="宋体" w:cs="宋体"/>
          <w:color w:val="auto"/>
        </w:rPr>
        <w:t>1、具有独立承担民事责任的能力；</w:t>
      </w:r>
    </w:p>
    <w:p>
      <w:pPr>
        <w:pStyle w:val="87"/>
        <w:spacing w:line="360" w:lineRule="auto"/>
        <w:ind w:firstLine="420" w:firstLineChars="175"/>
        <w:rPr>
          <w:rFonts w:hint="default" w:ascii="宋体" w:hAnsi="宋体" w:eastAsia="宋体" w:cs="宋体"/>
          <w:color w:val="auto"/>
        </w:rPr>
      </w:pPr>
      <w:r>
        <w:rPr>
          <w:rFonts w:ascii="宋体" w:hAnsi="宋体" w:eastAsia="宋体" w:cs="宋体"/>
          <w:color w:val="auto"/>
        </w:rPr>
        <w:t xml:space="preserve">2、具有良好的商业信誉和健全的财务会计制度； </w:t>
      </w:r>
    </w:p>
    <w:p>
      <w:pPr>
        <w:pStyle w:val="87"/>
        <w:spacing w:line="360" w:lineRule="auto"/>
        <w:ind w:firstLine="420" w:firstLineChars="175"/>
        <w:rPr>
          <w:rFonts w:hint="default" w:ascii="宋体" w:hAnsi="宋体" w:eastAsia="宋体" w:cs="宋体"/>
          <w:color w:val="auto"/>
        </w:rPr>
      </w:pPr>
      <w:r>
        <w:rPr>
          <w:rFonts w:ascii="宋体" w:hAnsi="宋体" w:eastAsia="宋体" w:cs="宋体"/>
          <w:color w:val="auto"/>
        </w:rPr>
        <w:t>3、具有履行合同所必需的设备和专业技术能力；</w:t>
      </w:r>
    </w:p>
    <w:p>
      <w:pPr>
        <w:pStyle w:val="87"/>
        <w:spacing w:line="360" w:lineRule="auto"/>
        <w:ind w:firstLine="420" w:firstLineChars="175"/>
        <w:rPr>
          <w:rFonts w:hint="default" w:ascii="宋体" w:hAnsi="宋体" w:eastAsia="宋体" w:cs="宋体"/>
          <w:color w:val="auto"/>
        </w:rPr>
      </w:pPr>
      <w:r>
        <w:rPr>
          <w:rFonts w:ascii="宋体" w:hAnsi="宋体" w:eastAsia="宋体" w:cs="宋体"/>
          <w:color w:val="auto"/>
        </w:rPr>
        <w:t>4、有依法缴纳税收和社会保障资金的良好记录；</w:t>
      </w:r>
    </w:p>
    <w:p>
      <w:pPr>
        <w:pStyle w:val="87"/>
        <w:spacing w:line="360" w:lineRule="auto"/>
        <w:ind w:firstLine="420" w:firstLineChars="175"/>
        <w:rPr>
          <w:rFonts w:hint="default" w:ascii="宋体" w:hAnsi="宋体" w:eastAsia="宋体" w:cs="宋体"/>
          <w:color w:val="auto"/>
        </w:rPr>
      </w:pPr>
      <w:r>
        <w:rPr>
          <w:rFonts w:ascii="宋体" w:hAnsi="宋体" w:eastAsia="宋体" w:cs="宋体"/>
          <w:color w:val="auto"/>
        </w:rPr>
        <w:t>5、参加政府采购活动前三年内，在经营活动中没有重大违法记录；</w:t>
      </w:r>
    </w:p>
    <w:p>
      <w:pPr>
        <w:pStyle w:val="87"/>
        <w:spacing w:line="360" w:lineRule="auto"/>
        <w:ind w:firstLine="420" w:firstLineChars="175"/>
        <w:rPr>
          <w:rFonts w:hint="default" w:ascii="宋体" w:hAnsi="宋体" w:eastAsia="宋体" w:cs="宋体"/>
          <w:color w:val="auto"/>
        </w:rPr>
      </w:pPr>
      <w:r>
        <w:rPr>
          <w:rFonts w:ascii="宋体" w:hAnsi="宋体" w:eastAsia="宋体" w:cs="宋体"/>
          <w:color w:val="auto"/>
        </w:rPr>
        <w:t>6、具有法律、行政法规规定的其他条件。</w:t>
      </w:r>
    </w:p>
    <w:p>
      <w:pPr>
        <w:pStyle w:val="87"/>
        <w:spacing w:line="360" w:lineRule="auto"/>
        <w:ind w:firstLine="420" w:firstLineChars="175"/>
        <w:rPr>
          <w:rFonts w:hint="default" w:ascii="宋体" w:hAnsi="宋体" w:eastAsia="宋体" w:cs="宋体"/>
          <w:color w:val="auto"/>
        </w:rPr>
      </w:pPr>
      <w:r>
        <w:rPr>
          <w:rFonts w:ascii="宋体" w:hAnsi="宋体" w:eastAsia="宋体" w:cs="宋体"/>
          <w:color w:val="auto"/>
        </w:rPr>
        <w:t>（二）未被信用中国（www.creditchina.gov.cn)、中国政府采购网（www.ccgp.gov.cn）列入失信被执行人、重大税收违法失信主体、政府采购严重违法失信行为记录名单。</w:t>
      </w:r>
    </w:p>
    <w:p>
      <w:pPr>
        <w:pStyle w:val="87"/>
        <w:spacing w:line="360" w:lineRule="auto"/>
        <w:ind w:firstLine="420" w:firstLineChars="175"/>
        <w:rPr>
          <w:rFonts w:hint="default" w:ascii="宋体" w:hAnsi="宋体" w:eastAsia="宋体" w:cs="宋体"/>
          <w:color w:val="auto"/>
        </w:rPr>
      </w:pPr>
      <w:r>
        <w:rPr>
          <w:rFonts w:ascii="宋体" w:hAnsi="宋体" w:eastAsia="宋体" w:cs="宋体"/>
          <w:color w:val="auto"/>
        </w:rPr>
        <w:t>（三）不存在以下情况：</w:t>
      </w:r>
    </w:p>
    <w:p>
      <w:pPr>
        <w:pStyle w:val="87"/>
        <w:spacing w:line="360" w:lineRule="auto"/>
        <w:ind w:firstLine="420" w:firstLineChars="175"/>
        <w:rPr>
          <w:rFonts w:hint="default" w:ascii="宋体" w:hAnsi="宋体" w:eastAsia="宋体" w:cs="宋体"/>
          <w:color w:val="auto"/>
        </w:rPr>
      </w:pPr>
      <w:r>
        <w:rPr>
          <w:rFonts w:ascii="宋体" w:hAnsi="宋体" w:eastAsia="宋体" w:cs="宋体"/>
          <w:color w:val="auto"/>
        </w:rPr>
        <w:t>1、单位负责人为同一人或者存在直接控股、管理关系的不同供应商参加同一合同项下的政府采购活动的；</w:t>
      </w:r>
    </w:p>
    <w:p>
      <w:pPr>
        <w:pStyle w:val="87"/>
        <w:spacing w:line="360" w:lineRule="auto"/>
        <w:ind w:firstLine="420" w:firstLineChars="175"/>
        <w:rPr>
          <w:rFonts w:hint="default" w:ascii="宋体" w:hAnsi="宋体" w:eastAsia="宋体" w:cs="宋体"/>
          <w:color w:val="auto"/>
        </w:rPr>
      </w:pPr>
      <w:r>
        <w:rPr>
          <w:rFonts w:ascii="宋体" w:hAnsi="宋体" w:eastAsia="宋体" w:cs="宋体"/>
          <w:color w:val="auto"/>
        </w:rPr>
        <w:t>2、为采购项目提供整体设计、规范编制或者项目管理、监理、检测等服务后再参加该采购项目的其他采购活动的。</w:t>
      </w:r>
    </w:p>
    <w:p>
      <w:pPr>
        <w:pStyle w:val="26"/>
        <w:tabs>
          <w:tab w:val="right" w:leader="dot" w:pos="9403"/>
        </w:tabs>
        <w:spacing w:line="360" w:lineRule="auto"/>
        <w:ind w:firstLine="480"/>
        <w:rPr>
          <w:rFonts w:hint="default" w:ascii="Arial" w:hAnsi="Arial" w:cs="Arial"/>
          <w:sz w:val="24"/>
          <w:szCs w:val="24"/>
        </w:rPr>
      </w:pPr>
      <w:bookmarkStart w:id="68" w:name="_Toc10512"/>
      <w:bookmarkStart w:id="69" w:name="_Toc2249"/>
    </w:p>
    <w:p>
      <w:pPr>
        <w:spacing w:line="360" w:lineRule="auto"/>
        <w:ind w:firstLine="480"/>
        <w:rPr>
          <w:rFonts w:hint="default"/>
          <w:sz w:val="24"/>
          <w:szCs w:val="24"/>
        </w:rPr>
      </w:pPr>
    </w:p>
    <w:p>
      <w:pPr>
        <w:pStyle w:val="87"/>
        <w:spacing w:line="360" w:lineRule="auto"/>
        <w:rPr>
          <w:rFonts w:hint="default" w:ascii="Times New Roman" w:eastAsia="宋体" w:cs="Times New Roman"/>
          <w:color w:val="auto"/>
        </w:rPr>
      </w:pPr>
    </w:p>
    <w:p>
      <w:pPr>
        <w:widowControl/>
        <w:spacing w:line="360" w:lineRule="auto"/>
        <w:ind w:firstLine="480" w:firstLineChars="200"/>
        <w:rPr>
          <w:rFonts w:hint="default" w:ascii="Arial" w:hAnsi="Arial" w:cs="Arial"/>
          <w:sz w:val="24"/>
          <w:szCs w:val="24"/>
        </w:rPr>
      </w:pPr>
      <w:r>
        <w:rPr>
          <w:rFonts w:ascii="宋体" w:hAnsi="宋体" w:cs="宋体"/>
          <w:kern w:val="0"/>
          <w:sz w:val="24"/>
        </w:rPr>
        <w:t>供应商（</w:t>
      </w:r>
      <w:r>
        <w:rPr>
          <w:rFonts w:ascii="宋体" w:hAnsi="宋体" w:cs="宋体"/>
          <w:kern w:val="0"/>
          <w:sz w:val="24"/>
          <w:lang w:val="zh-CN"/>
        </w:rPr>
        <w:t>电子签名/公章</w:t>
      </w:r>
      <w:r>
        <w:rPr>
          <w:rFonts w:ascii="宋体" w:hAnsi="宋体" w:cs="宋体"/>
          <w:kern w:val="0"/>
          <w:sz w:val="24"/>
        </w:rPr>
        <w:t>）</w:t>
      </w:r>
      <w:r>
        <w:rPr>
          <w:rFonts w:ascii="Arial" w:hAnsi="Arial" w:cs="Arial"/>
          <w:sz w:val="24"/>
          <w:szCs w:val="24"/>
        </w:rPr>
        <w:t>：</w:t>
      </w:r>
    </w:p>
    <w:p>
      <w:pPr>
        <w:widowControl/>
        <w:spacing w:line="360" w:lineRule="auto"/>
        <w:ind w:firstLine="480" w:firstLineChars="200"/>
        <w:rPr>
          <w:rFonts w:hint="default" w:ascii="Arial" w:hAnsi="Arial" w:cs="Arial"/>
          <w:sz w:val="24"/>
          <w:szCs w:val="24"/>
        </w:rPr>
      </w:pPr>
      <w:r>
        <w:rPr>
          <w:rFonts w:ascii="Arial" w:hAnsi="Arial" w:cs="Arial"/>
          <w:sz w:val="24"/>
          <w:szCs w:val="24"/>
        </w:rPr>
        <w:t>日期：</w:t>
      </w:r>
    </w:p>
    <w:p>
      <w:pPr>
        <w:pStyle w:val="40"/>
        <w:ind w:firstLine="480"/>
        <w:rPr>
          <w:rFonts w:hint="default" w:ascii="宋体" w:hAnsi="宋体" w:cs="宋体"/>
          <w:sz w:val="24"/>
        </w:rPr>
      </w:pPr>
    </w:p>
    <w:p>
      <w:pPr>
        <w:snapToGrid w:val="0"/>
        <w:spacing w:line="300" w:lineRule="auto"/>
        <w:ind w:firstLine="602"/>
        <w:jc w:val="center"/>
        <w:rPr>
          <w:rFonts w:hint="default" w:ascii="Arial" w:hAnsi="Arial" w:cs="Arial"/>
          <w:b/>
          <w:kern w:val="0"/>
          <w:sz w:val="28"/>
          <w:szCs w:val="28"/>
          <w:lang w:val="zh-CN"/>
        </w:rPr>
      </w:pPr>
      <w:r>
        <w:rPr>
          <w:rFonts w:ascii="宋体" w:hAnsi="宋体" w:cs="宋体"/>
          <w:b/>
          <w:sz w:val="30"/>
          <w:szCs w:val="30"/>
        </w:rPr>
        <w:br w:type="page"/>
      </w:r>
      <w:bookmarkStart w:id="70" w:name="_Toc23989"/>
      <w:bookmarkStart w:id="71" w:name="_Toc28162"/>
      <w:bookmarkStart w:id="72" w:name="_Toc18889"/>
      <w:bookmarkStart w:id="73" w:name="_Toc3172"/>
      <w:bookmarkStart w:id="74" w:name="_Toc19361"/>
      <w:r>
        <w:rPr>
          <w:b/>
          <w:sz w:val="32"/>
          <w:szCs w:val="32"/>
        </w:rPr>
        <w:t>二</w:t>
      </w:r>
      <w:r>
        <w:rPr>
          <w:rFonts w:hint="default"/>
          <w:b/>
          <w:sz w:val="32"/>
          <w:szCs w:val="32"/>
        </w:rPr>
        <w:t>、</w:t>
      </w:r>
      <w:bookmarkEnd w:id="70"/>
      <w:bookmarkEnd w:id="71"/>
      <w:bookmarkEnd w:id="72"/>
      <w:bookmarkEnd w:id="73"/>
      <w:bookmarkEnd w:id="74"/>
      <w:r>
        <w:rPr>
          <w:rFonts w:ascii="Arial" w:hAnsi="Arial" w:cs="Arial"/>
          <w:b/>
          <w:kern w:val="0"/>
          <w:sz w:val="32"/>
          <w:szCs w:val="32"/>
          <w:lang w:val="zh-CN"/>
        </w:rPr>
        <w:t>联合协议</w:t>
      </w:r>
    </w:p>
    <w:p>
      <w:pPr>
        <w:pStyle w:val="88"/>
        <w:rPr>
          <w:color w:val="auto"/>
          <w:lang w:val="zh-CN"/>
        </w:rPr>
      </w:pPr>
    </w:p>
    <w:p>
      <w:pPr>
        <w:widowControl/>
        <w:spacing w:line="360" w:lineRule="auto"/>
        <w:ind w:firstLine="482" w:firstLineChars="200"/>
        <w:jc w:val="left"/>
        <w:rPr>
          <w:rFonts w:hint="default" w:ascii="宋体" w:hAnsi="宋体" w:cs="宋体"/>
          <w:b/>
          <w:sz w:val="24"/>
        </w:rPr>
      </w:pPr>
      <w:r>
        <w:rPr>
          <w:rFonts w:ascii="宋体" w:hAnsi="宋体" w:cs="宋体"/>
          <w:b/>
          <w:sz w:val="24"/>
        </w:rPr>
        <w:t>（以联合体形式投标的，提供联合协议；本项目不接受联合体投标或者投标人不以联合体形式投标的，则不需要提供）</w:t>
      </w:r>
    </w:p>
    <w:p>
      <w:pPr>
        <w:snapToGrid w:val="0"/>
        <w:spacing w:line="360" w:lineRule="auto"/>
        <w:ind w:firstLine="480"/>
        <w:rPr>
          <w:rFonts w:hint="default" w:ascii="宋体" w:hAnsi="宋体" w:cs="宋体"/>
          <w:kern w:val="0"/>
          <w:sz w:val="24"/>
          <w:lang w:val="zh-CN"/>
        </w:rPr>
      </w:pPr>
      <w:r>
        <w:rPr>
          <w:rFonts w:ascii="宋体" w:hAnsi="宋体" w:cs="宋体"/>
          <w:kern w:val="0"/>
          <w:sz w:val="24"/>
          <w:u w:val="single"/>
        </w:rPr>
        <w:t>（联合体所有成员名称）</w:t>
      </w:r>
      <w:r>
        <w:rPr>
          <w:rFonts w:ascii="宋体" w:hAnsi="宋体" w:cs="宋体"/>
          <w:kern w:val="0"/>
          <w:sz w:val="24"/>
        </w:rPr>
        <w:t>自愿</w:t>
      </w:r>
      <w:r>
        <w:rPr>
          <w:rFonts w:ascii="宋体" w:hAnsi="宋体" w:cs="宋体"/>
          <w:kern w:val="0"/>
          <w:sz w:val="24"/>
          <w:lang w:val="zh-CN"/>
        </w:rPr>
        <w:t>组成一个联合体，以一个投标人的身份</w:t>
      </w:r>
      <w:r>
        <w:rPr>
          <w:rFonts w:ascii="宋体" w:hAnsi="宋体" w:cs="宋体"/>
          <w:kern w:val="0"/>
          <w:sz w:val="24"/>
        </w:rPr>
        <w:t>参加</w:t>
      </w:r>
      <w:r>
        <w:rPr>
          <w:rFonts w:ascii="宋体" w:hAnsi="宋体" w:cs="宋体"/>
          <w:sz w:val="24"/>
        </w:rPr>
        <w:t>（项目名称）【项目编号：     】</w:t>
      </w:r>
      <w:r>
        <w:rPr>
          <w:rFonts w:ascii="宋体" w:hAnsi="宋体" w:cs="宋体"/>
          <w:kern w:val="0"/>
          <w:sz w:val="24"/>
          <w:lang w:val="zh-CN"/>
        </w:rPr>
        <w:t xml:space="preserve">投标。 </w:t>
      </w:r>
    </w:p>
    <w:p>
      <w:pPr>
        <w:snapToGrid w:val="0"/>
        <w:spacing w:line="360" w:lineRule="auto"/>
        <w:ind w:firstLine="480"/>
        <w:rPr>
          <w:rFonts w:hint="default" w:ascii="宋体" w:hAnsi="宋体" w:cs="宋体"/>
          <w:kern w:val="0"/>
          <w:sz w:val="24"/>
          <w:lang w:val="zh-CN"/>
        </w:rPr>
      </w:pPr>
      <w:r>
        <w:rPr>
          <w:rFonts w:ascii="宋体" w:hAnsi="宋体" w:cs="宋体"/>
          <w:kern w:val="0"/>
          <w:sz w:val="24"/>
          <w:lang w:val="zh-CN"/>
        </w:rPr>
        <w:t>一、各方一致决定，</w:t>
      </w:r>
      <w:r>
        <w:rPr>
          <w:rFonts w:ascii="宋体" w:hAnsi="宋体" w:cs="宋体"/>
          <w:kern w:val="0"/>
          <w:sz w:val="24"/>
          <w:u w:val="single"/>
        </w:rPr>
        <w:t>（某联合体成员名称）</w:t>
      </w:r>
      <w:r>
        <w:rPr>
          <w:rFonts w:ascii="宋体" w:hAnsi="宋体" w:cs="宋体"/>
          <w:kern w:val="0"/>
          <w:sz w:val="24"/>
        </w:rPr>
        <w:t>为联合体</w:t>
      </w:r>
      <w:r>
        <w:rPr>
          <w:rFonts w:ascii="宋体" w:hAnsi="宋体" w:cs="宋体"/>
          <w:kern w:val="0"/>
          <w:sz w:val="24"/>
          <w:lang w:val="zh-CN"/>
        </w:rPr>
        <w:t>牵头人</w:t>
      </w:r>
      <w:r>
        <w:rPr>
          <w:rFonts w:ascii="宋体" w:hAnsi="宋体" w:cs="宋体"/>
          <w:sz w:val="24"/>
        </w:rPr>
        <w:t>，代表所有联合体成员负责投标和合同实施阶段的主办、协调工作</w:t>
      </w:r>
      <w:r>
        <w:rPr>
          <w:rFonts w:ascii="宋体" w:hAnsi="宋体" w:cs="宋体"/>
          <w:kern w:val="0"/>
          <w:sz w:val="24"/>
          <w:lang w:val="zh-CN"/>
        </w:rPr>
        <w:t>。</w:t>
      </w:r>
    </w:p>
    <w:p>
      <w:pPr>
        <w:snapToGrid w:val="0"/>
        <w:spacing w:line="360" w:lineRule="auto"/>
        <w:ind w:firstLine="480"/>
        <w:rPr>
          <w:rFonts w:hint="default" w:ascii="宋体" w:hAnsi="宋体" w:cs="宋体"/>
          <w:kern w:val="0"/>
          <w:sz w:val="24"/>
          <w:lang w:val="zh-CN"/>
        </w:rPr>
      </w:pPr>
      <w:r>
        <w:rPr>
          <w:rFonts w:ascii="宋体" w:hAnsi="宋体" w:cs="宋体"/>
          <w:kern w:val="0"/>
          <w:sz w:val="24"/>
          <w:lang w:val="zh-CN"/>
        </w:rPr>
        <w:t>二、</w:t>
      </w:r>
      <w:r>
        <w:rPr>
          <w:rFonts w:ascii="宋体" w:hAnsi="宋体" w:cs="宋体"/>
          <w:sz w:val="24"/>
        </w:rPr>
        <w:t>所有联合体成员各方签署授权书，授权书载明的</w:t>
      </w:r>
      <w:r>
        <w:rPr>
          <w:rFonts w:ascii="宋体" w:hAnsi="宋体" w:cs="宋体"/>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480"/>
        <w:rPr>
          <w:rFonts w:hint="default" w:ascii="宋体" w:hAnsi="宋体" w:cs="宋体"/>
          <w:kern w:val="0"/>
          <w:sz w:val="24"/>
          <w:lang w:val="zh-CN"/>
        </w:rPr>
      </w:pPr>
      <w:r>
        <w:rPr>
          <w:rFonts w:ascii="宋体" w:hAnsi="宋体" w:cs="宋体"/>
          <w:kern w:val="0"/>
          <w:sz w:val="24"/>
          <w:lang w:val="zh-CN"/>
        </w:rPr>
        <w:t>三、本次联合投标中，分工如下：</w:t>
      </w:r>
      <w:r>
        <w:rPr>
          <w:rFonts w:ascii="宋体" w:hAnsi="宋体" w:cs="宋体"/>
          <w:kern w:val="0"/>
          <w:sz w:val="24"/>
          <w:u w:val="single"/>
        </w:rPr>
        <w:t>（联合体其中一方成员名称）</w:t>
      </w:r>
      <w:r>
        <w:rPr>
          <w:rFonts w:ascii="宋体" w:hAnsi="宋体" w:cs="宋体"/>
          <w:kern w:val="0"/>
          <w:sz w:val="24"/>
          <w:lang w:val="zh-CN"/>
        </w:rPr>
        <w:t>承担的工作和义务为：；……。</w:t>
      </w:r>
    </w:p>
    <w:p>
      <w:pPr>
        <w:snapToGrid w:val="0"/>
        <w:spacing w:line="360" w:lineRule="auto"/>
        <w:ind w:firstLine="480"/>
        <w:rPr>
          <w:rFonts w:hint="default" w:ascii="宋体" w:hAnsi="宋体" w:cs="宋体"/>
          <w:b/>
          <w:kern w:val="0"/>
          <w:sz w:val="24"/>
          <w:lang w:val="zh-CN"/>
        </w:rPr>
      </w:pPr>
      <w:r>
        <w:rPr>
          <w:rFonts w:ascii="宋体" w:hAnsi="宋体" w:cs="宋体"/>
          <w:kern w:val="0"/>
          <w:sz w:val="24"/>
          <w:lang w:val="zh-CN"/>
        </w:rPr>
        <w:t>四、</w:t>
      </w:r>
      <w:r>
        <w:rPr>
          <w:rFonts w:ascii="宋体" w:hAnsi="宋体" w:cs="宋体"/>
          <w:kern w:val="0"/>
          <w:sz w:val="24"/>
          <w:u w:val="single"/>
        </w:rPr>
        <w:t>（联合体其中一方成员名称）</w:t>
      </w:r>
      <w:r>
        <w:rPr>
          <w:rFonts w:ascii="宋体" w:hAnsi="宋体" w:cs="宋体"/>
          <w:kern w:val="0"/>
          <w:sz w:val="24"/>
        </w:rPr>
        <w:t>提供的全部货物由小微企业制造，其合同份额占到合同总金额%以上；</w:t>
      </w:r>
      <w:r>
        <w:rPr>
          <w:rFonts w:ascii="宋体" w:hAnsi="宋体" w:cs="宋体"/>
          <w:kern w:val="0"/>
          <w:sz w:val="24"/>
          <w:lang w:val="zh-CN"/>
        </w:rPr>
        <w:t>……。</w:t>
      </w:r>
    </w:p>
    <w:p>
      <w:pPr>
        <w:snapToGrid w:val="0"/>
        <w:spacing w:line="360" w:lineRule="auto"/>
        <w:ind w:firstLine="480"/>
        <w:rPr>
          <w:rFonts w:hint="default" w:ascii="宋体" w:hAnsi="宋体" w:cs="宋体"/>
          <w:kern w:val="0"/>
          <w:sz w:val="24"/>
          <w:lang w:val="zh-CN"/>
        </w:rPr>
      </w:pPr>
      <w:r>
        <w:rPr>
          <w:rFonts w:ascii="宋体" w:hAnsi="宋体" w:cs="宋体"/>
          <w:kern w:val="0"/>
          <w:sz w:val="24"/>
          <w:lang w:val="zh-CN"/>
        </w:rPr>
        <w:t>五、如果中标，</w:t>
      </w:r>
      <w:r>
        <w:rPr>
          <w:rFonts w:ascii="宋体" w:hAnsi="宋体" w:cs="宋体"/>
          <w:sz w:val="24"/>
        </w:rPr>
        <w:t>联合体各成员方共同与采购人签订合同，并就采购合同约定的事项对采购人承担连带责任。</w:t>
      </w:r>
    </w:p>
    <w:p>
      <w:pPr>
        <w:snapToGrid w:val="0"/>
        <w:spacing w:line="360" w:lineRule="auto"/>
        <w:ind w:firstLine="480"/>
        <w:rPr>
          <w:rFonts w:hint="default" w:ascii="宋体" w:hAnsi="宋体" w:cs="宋体"/>
          <w:kern w:val="0"/>
          <w:sz w:val="24"/>
          <w:lang w:val="zh-CN"/>
        </w:rPr>
      </w:pPr>
      <w:r>
        <w:rPr>
          <w:rFonts w:ascii="宋体" w:hAnsi="宋体" w:cs="宋体"/>
          <w:kern w:val="0"/>
          <w:sz w:val="24"/>
          <w:lang w:val="zh-CN"/>
        </w:rPr>
        <w:t>六、有关本次联合投标的其他事宜：</w:t>
      </w:r>
    </w:p>
    <w:p>
      <w:pPr>
        <w:snapToGrid w:val="0"/>
        <w:spacing w:line="360" w:lineRule="auto"/>
        <w:ind w:firstLine="480"/>
        <w:rPr>
          <w:rFonts w:hint="default" w:ascii="宋体" w:hAnsi="宋体" w:cs="宋体"/>
          <w:kern w:val="0"/>
          <w:sz w:val="24"/>
          <w:lang w:val="zh-CN"/>
        </w:rPr>
      </w:pPr>
      <w:r>
        <w:rPr>
          <w:rFonts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480"/>
        <w:rPr>
          <w:rFonts w:hint="default" w:ascii="宋体" w:hAnsi="宋体" w:cs="宋体"/>
          <w:kern w:val="0"/>
          <w:sz w:val="24"/>
          <w:lang w:val="zh-CN"/>
        </w:rPr>
      </w:pPr>
      <w:r>
        <w:rPr>
          <w:rFonts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480"/>
        <w:rPr>
          <w:rFonts w:hint="default" w:ascii="宋体" w:hAnsi="宋体" w:cs="宋体"/>
          <w:kern w:val="0"/>
          <w:sz w:val="24"/>
          <w:lang w:val="zh-CN"/>
        </w:rPr>
      </w:pPr>
      <w:r>
        <w:rPr>
          <w:rFonts w:ascii="宋体" w:hAnsi="宋体" w:cs="宋体"/>
          <w:kern w:val="0"/>
          <w:sz w:val="24"/>
          <w:lang w:val="zh-CN"/>
        </w:rPr>
        <w:t>3、本协议提交采购人、采购机构后，联合体各方不得以任何形式对上述内容进行修改或撤销。</w:t>
      </w:r>
    </w:p>
    <w:p>
      <w:pPr>
        <w:snapToGrid w:val="0"/>
        <w:spacing w:line="360" w:lineRule="auto"/>
        <w:ind w:firstLine="4800" w:firstLineChars="2000"/>
        <w:rPr>
          <w:rFonts w:hint="default" w:ascii="宋体" w:hAnsi="宋体" w:cs="宋体"/>
          <w:kern w:val="0"/>
          <w:sz w:val="24"/>
          <w:lang w:val="zh-CN"/>
        </w:rPr>
      </w:pPr>
      <w:r>
        <w:rPr>
          <w:rFonts w:ascii="宋体" w:hAnsi="宋体" w:cs="宋体"/>
          <w:kern w:val="0"/>
          <w:sz w:val="24"/>
          <w:lang w:val="zh-CN"/>
        </w:rPr>
        <w:t>联合体成员名称(电子签名/公章)：</w:t>
      </w:r>
    </w:p>
    <w:p>
      <w:pPr>
        <w:snapToGrid w:val="0"/>
        <w:spacing w:line="360" w:lineRule="auto"/>
        <w:ind w:firstLine="480"/>
        <w:rPr>
          <w:rFonts w:hint="default" w:ascii="宋体" w:hAnsi="宋体" w:cs="宋体"/>
          <w:kern w:val="0"/>
          <w:sz w:val="24"/>
          <w:lang w:val="zh-CN"/>
        </w:rPr>
      </w:pPr>
      <w:r>
        <w:rPr>
          <w:rFonts w:ascii="宋体" w:hAnsi="宋体" w:cs="宋体"/>
          <w:kern w:val="0"/>
          <w:sz w:val="24"/>
          <w:lang w:val="zh-CN"/>
        </w:rPr>
        <w:t xml:space="preserve">                                               日期：  年  月   日</w:t>
      </w:r>
    </w:p>
    <w:p>
      <w:pPr>
        <w:pStyle w:val="16"/>
        <w:ind w:firstLine="586"/>
        <w:rPr>
          <w:rFonts w:hint="default" w:ascii="Times New Roman" w:hAnsi="Times New Roman"/>
        </w:rPr>
      </w:pPr>
      <w:r>
        <w:rPr>
          <w:rFonts w:hAnsi="宋体" w:cs="宋体"/>
          <w:b/>
          <w:sz w:val="30"/>
          <w:szCs w:val="30"/>
        </w:rPr>
        <w:br w:type="page"/>
      </w:r>
      <w:bookmarkEnd w:id="68"/>
      <w:bookmarkEnd w:id="69"/>
      <w:bookmarkStart w:id="75" w:name="_Toc354996707"/>
      <w:bookmarkStart w:id="76" w:name="_Toc55237638"/>
      <w:bookmarkStart w:id="77" w:name="_Toc233618989"/>
    </w:p>
    <w:p>
      <w:pPr>
        <w:adjustRightInd w:val="0"/>
        <w:snapToGrid w:val="0"/>
        <w:spacing w:line="440" w:lineRule="exact"/>
        <w:ind w:right="420" w:firstLine="480"/>
        <w:rPr>
          <w:rFonts w:hint="default"/>
        </w:rPr>
      </w:pPr>
    </w:p>
    <w:p>
      <w:pPr>
        <w:pStyle w:val="73"/>
        <w:snapToGrid w:val="0"/>
        <w:spacing w:line="360" w:lineRule="auto"/>
        <w:ind w:firstLine="301" w:firstLineChars="100"/>
        <w:jc w:val="center"/>
        <w:rPr>
          <w:rFonts w:hint="default" w:ascii="宋体" w:hAnsi="宋体" w:cs="宋体"/>
          <w:b/>
          <w:sz w:val="30"/>
          <w:szCs w:val="30"/>
        </w:rPr>
      </w:pPr>
      <w:r>
        <w:rPr>
          <w:rFonts w:ascii="宋体" w:hAnsi="宋体" w:cs="宋体"/>
          <w:b/>
          <w:sz w:val="30"/>
          <w:szCs w:val="30"/>
        </w:rPr>
        <w:t>三、</w:t>
      </w:r>
      <w:r>
        <w:rPr>
          <w:rFonts w:hint="default" w:ascii="宋体" w:hAnsi="宋体" w:cs="宋体"/>
          <w:b/>
          <w:sz w:val="30"/>
          <w:szCs w:val="30"/>
          <w:lang w:val="zh-CN"/>
        </w:rPr>
        <w:t>特定资格条件要求的资质文件（复印件</w:t>
      </w:r>
      <w:r>
        <w:rPr>
          <w:rFonts w:ascii="宋体" w:hAnsi="宋体" w:cs="宋体"/>
          <w:b/>
          <w:sz w:val="30"/>
          <w:szCs w:val="30"/>
          <w:lang w:val="zh-CN"/>
        </w:rPr>
        <w:t>，如有</w:t>
      </w:r>
      <w:r>
        <w:rPr>
          <w:rFonts w:hint="default" w:ascii="宋体" w:hAnsi="宋体" w:cs="宋体"/>
          <w:b/>
          <w:sz w:val="30"/>
          <w:szCs w:val="30"/>
          <w:lang w:val="zh-CN"/>
        </w:rPr>
        <w:t>）</w:t>
      </w:r>
    </w:p>
    <w:p>
      <w:pPr>
        <w:pStyle w:val="73"/>
        <w:snapToGrid w:val="0"/>
        <w:spacing w:line="360" w:lineRule="auto"/>
        <w:ind w:firstLine="321" w:firstLineChars="100"/>
        <w:jc w:val="center"/>
        <w:rPr>
          <w:rFonts w:hint="default"/>
          <w:b/>
          <w:bCs/>
          <w:kern w:val="0"/>
          <w:sz w:val="36"/>
          <w:szCs w:val="36"/>
        </w:rPr>
      </w:pPr>
      <w:r>
        <w:rPr>
          <w:rFonts w:hint="default"/>
          <w:b/>
          <w:bCs/>
          <w:kern w:val="0"/>
          <w:sz w:val="32"/>
          <w:szCs w:val="32"/>
        </w:rPr>
        <w:br w:type="page"/>
      </w:r>
      <w:r>
        <w:rPr>
          <w:rFonts w:hint="default"/>
          <w:b/>
          <w:bCs/>
          <w:kern w:val="0"/>
          <w:sz w:val="36"/>
          <w:szCs w:val="36"/>
        </w:rPr>
        <w:t>报价文件</w:t>
      </w:r>
      <w:bookmarkEnd w:id="75"/>
      <w:bookmarkEnd w:id="76"/>
    </w:p>
    <w:p>
      <w:pPr>
        <w:pStyle w:val="16"/>
        <w:ind w:firstLine="344"/>
        <w:rPr>
          <w:rFonts w:hint="default" w:ascii="Times New Roman" w:hAnsi="Times New Roman"/>
        </w:rPr>
      </w:pPr>
    </w:p>
    <w:p>
      <w:pPr>
        <w:snapToGrid w:val="0"/>
        <w:spacing w:line="360" w:lineRule="auto"/>
        <w:ind w:left="570" w:firstLine="482"/>
        <w:jc w:val="center"/>
        <w:outlineLvl w:val="0"/>
        <w:rPr>
          <w:rFonts w:hint="default"/>
          <w:b/>
          <w:sz w:val="24"/>
          <w:szCs w:val="24"/>
        </w:rPr>
      </w:pPr>
      <w:bookmarkStart w:id="78" w:name="_Toc31139"/>
      <w:bookmarkStart w:id="79" w:name="_Toc5518"/>
      <w:bookmarkStart w:id="80" w:name="_Toc11307"/>
      <w:bookmarkStart w:id="81" w:name="_Toc233618990"/>
      <w:bookmarkStart w:id="82" w:name="_Toc21925"/>
      <w:bookmarkStart w:id="83" w:name="_Toc29285"/>
      <w:r>
        <w:rPr>
          <w:rFonts w:hint="default"/>
          <w:b/>
          <w:sz w:val="24"/>
          <w:szCs w:val="24"/>
        </w:rPr>
        <w:t>一、</w:t>
      </w:r>
      <w:bookmarkEnd w:id="78"/>
      <w:bookmarkEnd w:id="79"/>
      <w:bookmarkEnd w:id="80"/>
      <w:bookmarkEnd w:id="81"/>
      <w:bookmarkEnd w:id="82"/>
      <w:bookmarkEnd w:id="83"/>
      <w:bookmarkStart w:id="84" w:name="_Toc11193"/>
      <w:bookmarkStart w:id="85" w:name="_Toc354859632"/>
      <w:bookmarkStart w:id="86" w:name="_Toc354859551"/>
      <w:bookmarkStart w:id="87" w:name="_Toc233618991"/>
      <w:bookmarkStart w:id="88" w:name="_Toc6431"/>
      <w:bookmarkStart w:id="89" w:name="_Toc27051"/>
      <w:bookmarkStart w:id="90" w:name="_Toc6304"/>
      <w:bookmarkStart w:id="91" w:name="_Toc354859475"/>
      <w:bookmarkStart w:id="92" w:name="_Toc12092"/>
      <w:r>
        <w:rPr>
          <w:rFonts w:hint="default"/>
          <w:b/>
          <w:sz w:val="24"/>
          <w:szCs w:val="24"/>
        </w:rPr>
        <w:t>开标一览表</w:t>
      </w:r>
      <w:bookmarkEnd w:id="84"/>
      <w:bookmarkEnd w:id="85"/>
      <w:bookmarkEnd w:id="86"/>
      <w:bookmarkEnd w:id="87"/>
      <w:bookmarkEnd w:id="88"/>
      <w:bookmarkEnd w:id="89"/>
      <w:bookmarkEnd w:id="90"/>
      <w:bookmarkEnd w:id="91"/>
      <w:bookmarkEnd w:id="92"/>
    </w:p>
    <w:p>
      <w:pPr>
        <w:snapToGrid w:val="0"/>
        <w:spacing w:line="360" w:lineRule="auto"/>
        <w:ind w:firstLine="480"/>
        <w:rPr>
          <w:rFonts w:hint="default"/>
          <w:sz w:val="24"/>
          <w:szCs w:val="24"/>
        </w:rPr>
      </w:pPr>
      <w:r>
        <w:rPr>
          <w:rFonts w:hint="default"/>
          <w:sz w:val="24"/>
          <w:szCs w:val="24"/>
        </w:rPr>
        <w:t>浙江省中医院</w:t>
      </w:r>
    </w:p>
    <w:p>
      <w:pPr>
        <w:snapToGrid w:val="0"/>
        <w:spacing w:line="360" w:lineRule="auto"/>
        <w:ind w:firstLine="480"/>
        <w:rPr>
          <w:rFonts w:hint="default"/>
          <w:sz w:val="24"/>
          <w:szCs w:val="24"/>
        </w:rPr>
      </w:pPr>
      <w:r>
        <w:rPr>
          <w:rFonts w:hint="default"/>
          <w:sz w:val="24"/>
          <w:szCs w:val="24"/>
        </w:rPr>
        <w:t>浙江豪圣建设项目管理有限公司：</w:t>
      </w:r>
    </w:p>
    <w:p>
      <w:pPr>
        <w:snapToGrid w:val="0"/>
        <w:spacing w:line="360" w:lineRule="auto"/>
        <w:ind w:firstLine="480" w:firstLineChars="200"/>
        <w:rPr>
          <w:rFonts w:hint="default"/>
          <w:kern w:val="0"/>
          <w:sz w:val="24"/>
          <w:szCs w:val="24"/>
          <w:lang w:val="zh-CN"/>
        </w:rPr>
      </w:pPr>
      <w:r>
        <w:rPr>
          <w:rFonts w:hint="default"/>
          <w:kern w:val="0"/>
          <w:sz w:val="24"/>
          <w:szCs w:val="24"/>
          <w:lang w:val="zh-CN"/>
        </w:rPr>
        <w:t>按你方采购文件要求，我们，本投标文件签字方，谨此向你方发出要约如下：如你方接受本投标文件，我方承诺按照如下开标一览表的价格完成项目编号为</w:t>
      </w:r>
      <w:r>
        <w:rPr>
          <w:rFonts w:hint="default"/>
          <w:sz w:val="24"/>
          <w:szCs w:val="24"/>
          <w:u w:val="single"/>
        </w:rPr>
        <w:t>HSZB-2024-135</w:t>
      </w:r>
      <w:r>
        <w:rPr>
          <w:rFonts w:hint="default"/>
          <w:kern w:val="0"/>
          <w:sz w:val="24"/>
          <w:szCs w:val="24"/>
          <w:lang w:val="zh-CN"/>
        </w:rPr>
        <w:t>的采购文件[项目名称：</w:t>
      </w:r>
      <w:r>
        <w:rPr>
          <w:rFonts w:hint="default"/>
          <w:sz w:val="24"/>
          <w:szCs w:val="24"/>
        </w:rPr>
        <w:t>浙江省中医院钱塘院区4号楼阶梯会议室家具采购项目</w:t>
      </w:r>
      <w:r>
        <w:rPr>
          <w:rFonts w:hint="default"/>
          <w:kern w:val="0"/>
          <w:sz w:val="24"/>
          <w:szCs w:val="24"/>
          <w:lang w:val="zh-CN"/>
        </w:rPr>
        <w:t>]的实施。</w:t>
      </w:r>
    </w:p>
    <w:p>
      <w:pPr>
        <w:autoSpaceDE w:val="0"/>
        <w:autoSpaceDN w:val="0"/>
        <w:adjustRightInd w:val="0"/>
        <w:spacing w:line="360" w:lineRule="auto"/>
        <w:ind w:firstLine="482"/>
        <w:jc w:val="center"/>
        <w:outlineLvl w:val="0"/>
        <w:rPr>
          <w:rFonts w:hint="default"/>
          <w:b/>
          <w:bCs/>
          <w:kern w:val="0"/>
          <w:sz w:val="24"/>
          <w:szCs w:val="24"/>
          <w:lang w:val="zh-CN"/>
        </w:rPr>
      </w:pPr>
      <w:bookmarkStart w:id="93" w:name="_Toc14958"/>
      <w:bookmarkStart w:id="94" w:name="_Toc20543"/>
      <w:bookmarkStart w:id="95" w:name="_Toc4652"/>
      <w:bookmarkStart w:id="96" w:name="_Toc18202"/>
      <w:bookmarkStart w:id="97" w:name="_Toc12944"/>
      <w:r>
        <w:rPr>
          <w:rFonts w:hint="default"/>
          <w:b/>
          <w:bCs/>
          <w:kern w:val="0"/>
          <w:sz w:val="24"/>
          <w:szCs w:val="24"/>
          <w:lang w:val="zh-CN"/>
        </w:rPr>
        <w:t>开标一览表（单位均为人民币元）</w:t>
      </w:r>
      <w:bookmarkEnd w:id="93"/>
      <w:bookmarkEnd w:id="94"/>
      <w:bookmarkEnd w:id="95"/>
      <w:bookmarkEnd w:id="96"/>
      <w:bookmarkEnd w:id="97"/>
    </w:p>
    <w:tbl>
      <w:tblPr>
        <w:tblStyle w:val="41"/>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23"/>
        <w:gridCol w:w="3341"/>
        <w:gridCol w:w="3623"/>
        <w:gridCol w:w="13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639" w:type="pct"/>
            <w:vAlign w:val="center"/>
          </w:tcPr>
          <w:p>
            <w:pPr>
              <w:spacing w:line="360" w:lineRule="auto"/>
              <w:jc w:val="center"/>
              <w:rPr>
                <w:rFonts w:hint="default"/>
                <w:b/>
                <w:sz w:val="24"/>
                <w:szCs w:val="24"/>
              </w:rPr>
            </w:pPr>
            <w:r>
              <w:rPr>
                <w:rFonts w:hint="default"/>
                <w:b/>
                <w:sz w:val="24"/>
                <w:szCs w:val="24"/>
              </w:rPr>
              <w:t>序号</w:t>
            </w:r>
          </w:p>
        </w:tc>
        <w:tc>
          <w:tcPr>
            <w:tcW w:w="1746" w:type="pct"/>
            <w:vAlign w:val="center"/>
          </w:tcPr>
          <w:p>
            <w:pPr>
              <w:spacing w:line="360" w:lineRule="auto"/>
              <w:jc w:val="center"/>
              <w:rPr>
                <w:rFonts w:hint="default"/>
                <w:b/>
                <w:sz w:val="24"/>
                <w:szCs w:val="24"/>
              </w:rPr>
            </w:pPr>
            <w:r>
              <w:rPr>
                <w:rFonts w:hint="default"/>
                <w:b/>
                <w:sz w:val="24"/>
                <w:szCs w:val="24"/>
              </w:rPr>
              <w:t>项目名称</w:t>
            </w:r>
          </w:p>
        </w:tc>
        <w:tc>
          <w:tcPr>
            <w:tcW w:w="1893" w:type="pct"/>
            <w:vAlign w:val="center"/>
          </w:tcPr>
          <w:p>
            <w:pPr>
              <w:spacing w:line="360" w:lineRule="auto"/>
              <w:jc w:val="center"/>
              <w:rPr>
                <w:rFonts w:hint="default"/>
                <w:b/>
                <w:sz w:val="24"/>
                <w:szCs w:val="24"/>
              </w:rPr>
            </w:pPr>
            <w:r>
              <w:rPr>
                <w:rFonts w:hint="default"/>
                <w:b/>
                <w:sz w:val="24"/>
                <w:szCs w:val="24"/>
              </w:rPr>
              <w:t>投标报价（元）</w:t>
            </w:r>
          </w:p>
        </w:tc>
        <w:tc>
          <w:tcPr>
            <w:tcW w:w="721" w:type="pct"/>
            <w:vAlign w:val="center"/>
          </w:tcPr>
          <w:p>
            <w:pPr>
              <w:spacing w:line="360" w:lineRule="auto"/>
              <w:jc w:val="center"/>
              <w:rPr>
                <w:rFonts w:hint="default"/>
                <w:b/>
                <w:sz w:val="24"/>
                <w:szCs w:val="24"/>
              </w:rPr>
            </w:pPr>
            <w:r>
              <w:rPr>
                <w:rFonts w:hint="default"/>
                <w:b/>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639" w:type="pct"/>
            <w:vAlign w:val="center"/>
          </w:tcPr>
          <w:p>
            <w:pPr>
              <w:spacing w:line="360" w:lineRule="auto"/>
              <w:jc w:val="center"/>
              <w:rPr>
                <w:rFonts w:hint="default"/>
                <w:kern w:val="0"/>
                <w:sz w:val="24"/>
                <w:szCs w:val="24"/>
                <w:lang w:val="zh-CN"/>
              </w:rPr>
            </w:pPr>
            <w:r>
              <w:rPr>
                <w:rFonts w:hint="default"/>
                <w:kern w:val="0"/>
                <w:sz w:val="24"/>
                <w:szCs w:val="24"/>
                <w:lang w:val="zh-CN"/>
              </w:rPr>
              <w:t>1</w:t>
            </w:r>
          </w:p>
        </w:tc>
        <w:tc>
          <w:tcPr>
            <w:tcW w:w="1746" w:type="pct"/>
            <w:vAlign w:val="center"/>
          </w:tcPr>
          <w:p>
            <w:pPr>
              <w:jc w:val="center"/>
              <w:rPr>
                <w:rFonts w:hint="default"/>
                <w:kern w:val="0"/>
                <w:sz w:val="24"/>
                <w:szCs w:val="24"/>
                <w:lang w:val="zh-CN"/>
              </w:rPr>
            </w:pPr>
            <w:r>
              <w:rPr>
                <w:rFonts w:hint="default"/>
                <w:sz w:val="24"/>
                <w:szCs w:val="24"/>
              </w:rPr>
              <w:t>浙江省中医院钱塘院区4号楼阶梯会议室家具采购项目</w:t>
            </w:r>
          </w:p>
        </w:tc>
        <w:tc>
          <w:tcPr>
            <w:tcW w:w="1893" w:type="pct"/>
            <w:vAlign w:val="center"/>
          </w:tcPr>
          <w:p>
            <w:pPr>
              <w:ind w:firstLine="480"/>
              <w:jc w:val="center"/>
              <w:rPr>
                <w:rFonts w:hint="default"/>
                <w:kern w:val="0"/>
                <w:sz w:val="24"/>
                <w:szCs w:val="24"/>
              </w:rPr>
            </w:pPr>
          </w:p>
        </w:tc>
        <w:tc>
          <w:tcPr>
            <w:tcW w:w="721" w:type="pct"/>
            <w:vAlign w:val="center"/>
          </w:tcPr>
          <w:p>
            <w:pPr>
              <w:ind w:firstLine="480"/>
              <w:jc w:val="center"/>
              <w:rPr>
                <w:rFonts w:hint="default"/>
                <w:kern w:val="0"/>
                <w:sz w:val="24"/>
                <w:szCs w:val="24"/>
                <w:lang w:val="zh-CN"/>
              </w:rPr>
            </w:pPr>
          </w:p>
        </w:tc>
      </w:tr>
    </w:tbl>
    <w:p>
      <w:pPr>
        <w:tabs>
          <w:tab w:val="left" w:pos="1140"/>
        </w:tabs>
        <w:adjustRightInd w:val="0"/>
        <w:snapToGrid w:val="0"/>
        <w:spacing w:line="360" w:lineRule="auto"/>
        <w:ind w:firstLine="480"/>
        <w:jc w:val="left"/>
        <w:rPr>
          <w:rFonts w:hint="default"/>
          <w:kern w:val="0"/>
          <w:sz w:val="24"/>
          <w:szCs w:val="24"/>
          <w:lang w:val="zh-CN"/>
        </w:rPr>
      </w:pPr>
    </w:p>
    <w:p>
      <w:pPr>
        <w:tabs>
          <w:tab w:val="left" w:pos="1140"/>
        </w:tabs>
        <w:adjustRightInd w:val="0"/>
        <w:snapToGrid w:val="0"/>
        <w:spacing w:line="360" w:lineRule="auto"/>
        <w:ind w:firstLine="480"/>
        <w:jc w:val="left"/>
        <w:rPr>
          <w:rFonts w:hint="default"/>
          <w:kern w:val="0"/>
          <w:sz w:val="24"/>
          <w:szCs w:val="24"/>
          <w:lang w:val="zh-CN"/>
        </w:rPr>
      </w:pPr>
      <w:r>
        <w:rPr>
          <w:rFonts w:hint="default"/>
          <w:kern w:val="0"/>
          <w:sz w:val="24"/>
          <w:szCs w:val="24"/>
          <w:lang w:val="zh-CN"/>
        </w:rPr>
        <w:t>注：</w:t>
      </w:r>
      <w:r>
        <w:rPr>
          <w:rFonts w:hint="default"/>
          <w:sz w:val="24"/>
          <w:szCs w:val="24"/>
        </w:rPr>
        <w:t>1、投标人需按本表格式填写，</w:t>
      </w:r>
      <w:r>
        <w:rPr>
          <w:rFonts w:hint="default"/>
          <w:bCs/>
          <w:sz w:val="24"/>
          <w:szCs w:val="24"/>
        </w:rPr>
        <w:t>栏数不够可自加。</w:t>
      </w:r>
    </w:p>
    <w:p>
      <w:pPr>
        <w:tabs>
          <w:tab w:val="left" w:pos="1140"/>
          <w:tab w:val="left" w:pos="5909"/>
        </w:tabs>
        <w:adjustRightInd w:val="0"/>
        <w:snapToGrid w:val="0"/>
        <w:spacing w:line="360" w:lineRule="auto"/>
        <w:ind w:firstLine="480" w:firstLineChars="200"/>
        <w:jc w:val="left"/>
        <w:rPr>
          <w:rFonts w:hint="default"/>
          <w:kern w:val="0"/>
          <w:szCs w:val="21"/>
          <w:lang w:val="zh-CN"/>
        </w:rPr>
      </w:pPr>
      <w:r>
        <w:rPr>
          <w:rFonts w:hint="default"/>
          <w:kern w:val="0"/>
          <w:sz w:val="24"/>
          <w:szCs w:val="24"/>
          <w:lang w:val="zh-CN"/>
        </w:rPr>
        <w:t>2、有关本项目实施所涉及的一切费用均计入报价。</w:t>
      </w:r>
      <w:r>
        <w:rPr>
          <w:rFonts w:hint="default"/>
          <w:kern w:val="0"/>
          <w:szCs w:val="21"/>
          <w:lang w:val="zh-CN"/>
        </w:rPr>
        <w:tab/>
      </w:r>
    </w:p>
    <w:p>
      <w:pPr>
        <w:adjustRightInd w:val="0"/>
        <w:snapToGrid w:val="0"/>
        <w:spacing w:line="360" w:lineRule="auto"/>
        <w:ind w:firstLine="480" w:firstLineChars="200"/>
        <w:rPr>
          <w:rFonts w:hint="default" w:ascii="宋体" w:hAnsi="宋体" w:cs="宋体"/>
          <w:kern w:val="0"/>
          <w:sz w:val="24"/>
        </w:rPr>
      </w:pPr>
      <w:bookmarkStart w:id="98" w:name="_Toc233618992"/>
      <w:bookmarkStart w:id="99" w:name="_Toc18315"/>
      <w:bookmarkStart w:id="100" w:name="_Toc4011"/>
      <w:bookmarkStart w:id="101" w:name="_Toc26301"/>
      <w:bookmarkStart w:id="102" w:name="_Toc24956"/>
    </w:p>
    <w:p>
      <w:pPr>
        <w:adjustRightInd w:val="0"/>
        <w:snapToGrid w:val="0"/>
        <w:spacing w:line="360" w:lineRule="auto"/>
        <w:ind w:firstLine="480" w:firstLineChars="200"/>
        <w:rPr>
          <w:rFonts w:hint="default" w:ascii="宋体" w:hAnsi="宋体" w:cs="宋体"/>
          <w:kern w:val="0"/>
          <w:sz w:val="24"/>
        </w:rPr>
      </w:pPr>
      <w:r>
        <w:rPr>
          <w:rFonts w:ascii="宋体" w:hAnsi="宋体" w:cs="宋体"/>
          <w:kern w:val="0"/>
          <w:sz w:val="24"/>
        </w:rPr>
        <w:t>供应商（</w:t>
      </w:r>
      <w:r>
        <w:rPr>
          <w:rFonts w:ascii="宋体" w:hAnsi="宋体" w:cs="宋体"/>
          <w:kern w:val="0"/>
          <w:sz w:val="24"/>
          <w:lang w:val="zh-CN"/>
        </w:rPr>
        <w:t>电子签名/公章</w:t>
      </w:r>
      <w:r>
        <w:rPr>
          <w:rFonts w:ascii="宋体" w:hAnsi="宋体" w:cs="宋体"/>
          <w:kern w:val="0"/>
          <w:sz w:val="24"/>
        </w:rPr>
        <w:t>）：</w:t>
      </w:r>
    </w:p>
    <w:p>
      <w:pPr>
        <w:widowControl/>
        <w:adjustRightInd w:val="0"/>
        <w:snapToGrid w:val="0"/>
        <w:spacing w:line="360" w:lineRule="auto"/>
        <w:ind w:firstLine="480" w:firstLineChars="200"/>
        <w:jc w:val="left"/>
        <w:rPr>
          <w:rFonts w:hint="default"/>
          <w:kern w:val="0"/>
          <w:sz w:val="24"/>
        </w:rPr>
      </w:pPr>
      <w:r>
        <w:rPr>
          <w:rFonts w:hint="default"/>
          <w:kern w:val="0"/>
          <w:sz w:val="24"/>
        </w:rPr>
        <w:t>法定代表人或其授权代表（签字或盖章）：</w:t>
      </w:r>
    </w:p>
    <w:p>
      <w:pPr>
        <w:pStyle w:val="7"/>
        <w:adjustRightInd w:val="0"/>
        <w:snapToGrid w:val="0"/>
        <w:spacing w:beforeLines="0" w:afterLines="0" w:line="360" w:lineRule="auto"/>
        <w:ind w:firstLine="480" w:firstLineChars="200"/>
        <w:outlineLvl w:val="0"/>
        <w:rPr>
          <w:rFonts w:hint="default" w:ascii="Times New Roman" w:hAnsi="Times New Roman"/>
          <w:b/>
          <w:sz w:val="32"/>
          <w:szCs w:val="32"/>
        </w:rPr>
      </w:pPr>
      <w:bookmarkStart w:id="103" w:name="_Toc32170"/>
      <w:r>
        <w:rPr>
          <w:rFonts w:hint="default" w:ascii="Times New Roman" w:hAnsi="Times New Roman"/>
          <w:kern w:val="0"/>
        </w:rPr>
        <w:t>日期：年月日</w:t>
      </w:r>
      <w:bookmarkEnd w:id="103"/>
    </w:p>
    <w:p>
      <w:pPr>
        <w:numPr>
          <w:ilvl w:val="0"/>
          <w:numId w:val="5"/>
        </w:numPr>
        <w:snapToGrid w:val="0"/>
        <w:spacing w:line="360" w:lineRule="auto"/>
        <w:ind w:firstLine="643" w:firstLineChars="200"/>
        <w:jc w:val="center"/>
        <w:outlineLvl w:val="0"/>
        <w:rPr>
          <w:rFonts w:hint="default"/>
          <w:b/>
          <w:sz w:val="32"/>
          <w:szCs w:val="32"/>
        </w:rPr>
      </w:pPr>
      <w:r>
        <w:rPr>
          <w:rFonts w:hint="default"/>
          <w:b/>
          <w:sz w:val="32"/>
          <w:szCs w:val="32"/>
        </w:rPr>
        <w:br w:type="page"/>
      </w:r>
      <w:bookmarkStart w:id="104" w:name="_Toc13342"/>
      <w:r>
        <w:rPr>
          <w:rFonts w:hint="default"/>
          <w:b/>
          <w:sz w:val="32"/>
          <w:szCs w:val="32"/>
        </w:rPr>
        <w:t>报价明细清单</w:t>
      </w:r>
      <w:bookmarkEnd w:id="98"/>
      <w:bookmarkEnd w:id="99"/>
      <w:bookmarkEnd w:id="100"/>
      <w:bookmarkEnd w:id="101"/>
      <w:bookmarkEnd w:id="102"/>
      <w:bookmarkEnd w:id="104"/>
    </w:p>
    <w:p>
      <w:pPr>
        <w:snapToGrid w:val="0"/>
        <w:spacing w:line="360" w:lineRule="auto"/>
        <w:ind w:firstLine="480"/>
        <w:jc w:val="left"/>
        <w:rPr>
          <w:rFonts w:hint="default"/>
          <w:sz w:val="24"/>
        </w:rPr>
      </w:pPr>
      <w:r>
        <w:rPr>
          <w:rFonts w:hint="default"/>
          <w:sz w:val="24"/>
        </w:rPr>
        <w:t>项目名称：</w:t>
      </w:r>
    </w:p>
    <w:p>
      <w:pPr>
        <w:snapToGrid w:val="0"/>
        <w:spacing w:line="360" w:lineRule="auto"/>
        <w:ind w:firstLine="480"/>
        <w:jc w:val="left"/>
        <w:rPr>
          <w:rFonts w:hint="default"/>
          <w:sz w:val="24"/>
          <w:u w:val="single"/>
        </w:rPr>
      </w:pPr>
      <w:r>
        <w:rPr>
          <w:rFonts w:hint="default"/>
          <w:sz w:val="24"/>
        </w:rPr>
        <w:t>项目编号：</w:t>
      </w:r>
    </w:p>
    <w:p>
      <w:pPr>
        <w:snapToGrid w:val="0"/>
        <w:spacing w:line="360" w:lineRule="auto"/>
        <w:ind w:firstLine="643"/>
        <w:jc w:val="center"/>
        <w:outlineLvl w:val="0"/>
        <w:rPr>
          <w:rFonts w:hint="default"/>
          <w:b/>
          <w:sz w:val="32"/>
          <w:szCs w:val="32"/>
        </w:rPr>
      </w:pPr>
      <w:r>
        <w:rPr>
          <w:rFonts w:hint="default"/>
          <w:b/>
          <w:sz w:val="32"/>
          <w:szCs w:val="32"/>
        </w:rPr>
        <w:t>（以下表格内容根据采购需求填写）</w:t>
      </w:r>
    </w:p>
    <w:tbl>
      <w:tblPr>
        <w:tblStyle w:val="41"/>
        <w:tblW w:w="4994"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18"/>
        <w:gridCol w:w="1013"/>
        <w:gridCol w:w="880"/>
        <w:gridCol w:w="1425"/>
        <w:gridCol w:w="1260"/>
        <w:gridCol w:w="1012"/>
        <w:gridCol w:w="1161"/>
        <w:gridCol w:w="1035"/>
        <w:gridCol w:w="105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8" w:hRule="atLeast"/>
        </w:trPr>
        <w:tc>
          <w:tcPr>
            <w:tcW w:w="376"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序号</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名称</w:t>
            </w:r>
          </w:p>
        </w:tc>
        <w:tc>
          <w:tcPr>
            <w:tcW w:w="460"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品牌</w:t>
            </w:r>
          </w:p>
        </w:tc>
        <w:tc>
          <w:tcPr>
            <w:tcW w:w="745"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规格、型号</w:t>
            </w:r>
          </w:p>
        </w:tc>
        <w:tc>
          <w:tcPr>
            <w:tcW w:w="658"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主要尺寸</w:t>
            </w:r>
          </w:p>
        </w:tc>
        <w:tc>
          <w:tcPr>
            <w:tcW w:w="529"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单位</w:t>
            </w:r>
          </w:p>
        </w:tc>
        <w:tc>
          <w:tcPr>
            <w:tcW w:w="607"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数量</w:t>
            </w:r>
          </w:p>
        </w:tc>
        <w:tc>
          <w:tcPr>
            <w:tcW w:w="541"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单价（元）</w:t>
            </w:r>
          </w:p>
        </w:tc>
        <w:tc>
          <w:tcPr>
            <w:tcW w:w="551"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合价（元）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trPr>
        <w:tc>
          <w:tcPr>
            <w:tcW w:w="376"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1</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460"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745"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658"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529"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607"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541"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551"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trPr>
        <w:tc>
          <w:tcPr>
            <w:tcW w:w="376"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2</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460"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745"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658"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529"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607"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541"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551"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trPr>
        <w:tc>
          <w:tcPr>
            <w:tcW w:w="376"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3</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460"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745"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658"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529"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607"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541"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551"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trPr>
        <w:tc>
          <w:tcPr>
            <w:tcW w:w="376"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4</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460"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745"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658"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529"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607"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541"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551"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trPr>
        <w:tc>
          <w:tcPr>
            <w:tcW w:w="376"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5</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460"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745"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658"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529"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607"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541"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551"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trPr>
        <w:tc>
          <w:tcPr>
            <w:tcW w:w="376"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6</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460"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745"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658"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529"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607"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541"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c>
          <w:tcPr>
            <w:tcW w:w="551" w:type="pct"/>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trPr>
        <w:tc>
          <w:tcPr>
            <w:tcW w:w="2770" w:type="pct"/>
            <w:gridSpan w:val="5"/>
            <w:tcBorders>
              <w:top w:val="single" w:color="auto" w:sz="4" w:space="0"/>
              <w:left w:val="single" w:color="auto" w:sz="4" w:space="0"/>
              <w:bottom w:val="single" w:color="auto" w:sz="4" w:space="0"/>
              <w:right w:val="single" w:color="auto" w:sz="4" w:space="0"/>
            </w:tcBorders>
            <w:vAlign w:val="center"/>
          </w:tcPr>
          <w:p>
            <w:pPr>
              <w:tabs>
                <w:tab w:val="left" w:pos="1418"/>
              </w:tabs>
              <w:snapToGrid w:val="0"/>
              <w:spacing w:before="50" w:after="50" w:line="360" w:lineRule="auto"/>
              <w:ind w:firstLine="560"/>
              <w:jc w:val="center"/>
              <w:rPr>
                <w:rFonts w:hint="default"/>
                <w:spacing w:val="20"/>
                <w:sz w:val="24"/>
              </w:rPr>
            </w:pPr>
            <w:r>
              <w:rPr>
                <w:spacing w:val="20"/>
                <w:sz w:val="24"/>
              </w:rPr>
              <w:t>投标报价（元）：</w:t>
            </w:r>
          </w:p>
        </w:tc>
        <w:tc>
          <w:tcPr>
            <w:tcW w:w="2229" w:type="pct"/>
            <w:gridSpan w:val="4"/>
            <w:tcBorders>
              <w:top w:val="single" w:color="auto" w:sz="4" w:space="0"/>
              <w:left w:val="single" w:color="auto" w:sz="4" w:space="0"/>
              <w:bottom w:val="single" w:color="auto" w:sz="4" w:space="0"/>
              <w:right w:val="single" w:color="auto" w:sz="4" w:space="0"/>
            </w:tcBorders>
            <w:vAlign w:val="center"/>
          </w:tcPr>
          <w:p>
            <w:pPr>
              <w:tabs>
                <w:tab w:val="left" w:pos="1418"/>
              </w:tabs>
              <w:snapToGrid w:val="0"/>
              <w:spacing w:before="50" w:after="50" w:line="360" w:lineRule="auto"/>
              <w:ind w:firstLine="560"/>
              <w:jc w:val="center"/>
              <w:rPr>
                <w:rFonts w:hint="default"/>
                <w:spacing w:val="20"/>
                <w:sz w:val="24"/>
              </w:rPr>
            </w:pPr>
          </w:p>
        </w:tc>
      </w:tr>
    </w:tbl>
    <w:p>
      <w:pPr>
        <w:pStyle w:val="7"/>
        <w:snapToGrid w:val="0"/>
        <w:spacing w:before="120" w:after="120" w:line="360" w:lineRule="auto"/>
        <w:ind w:firstLine="480"/>
        <w:rPr>
          <w:rFonts w:hint="default" w:ascii="Times New Roman" w:hAnsi="Times New Roman"/>
          <w:kern w:val="0"/>
          <w:lang w:val="zh-CN"/>
        </w:rPr>
      </w:pPr>
    </w:p>
    <w:p>
      <w:pPr>
        <w:pStyle w:val="7"/>
        <w:snapToGrid w:val="0"/>
        <w:spacing w:before="120" w:after="120" w:line="360" w:lineRule="auto"/>
        <w:ind w:firstLine="480"/>
        <w:rPr>
          <w:rFonts w:hint="default" w:ascii="Times New Roman" w:hAnsi="Times New Roman"/>
        </w:rPr>
      </w:pPr>
      <w:r>
        <w:rPr>
          <w:rFonts w:hint="default" w:ascii="Times New Roman" w:hAnsi="Times New Roman"/>
          <w:kern w:val="0"/>
          <w:lang w:val="zh-CN"/>
        </w:rPr>
        <w:t>注：</w:t>
      </w:r>
      <w:r>
        <w:rPr>
          <w:rFonts w:ascii="Times New Roman" w:hAnsi="Times New Roman"/>
          <w:kern w:val="0"/>
        </w:rPr>
        <w:t>1、</w:t>
      </w:r>
      <w:r>
        <w:rPr>
          <w:rFonts w:hint="default" w:ascii="Times New Roman" w:hAnsi="Times New Roman"/>
        </w:rPr>
        <w:t>可根据具体情况调整报价明细清单格式，但应包括项目涉及的一切相关税、费等费用。</w:t>
      </w:r>
    </w:p>
    <w:p>
      <w:pPr>
        <w:snapToGrid w:val="0"/>
        <w:spacing w:line="360" w:lineRule="auto"/>
        <w:ind w:firstLine="480" w:firstLineChars="200"/>
        <w:jc w:val="left"/>
        <w:rPr>
          <w:rFonts w:hint="default" w:ascii="仿宋_GB2312" w:hAnsi="仿宋" w:eastAsia="仿宋_GB2312"/>
          <w:b/>
          <w:bCs/>
          <w:sz w:val="24"/>
        </w:rPr>
      </w:pPr>
      <w:r>
        <w:rPr>
          <w:rFonts w:ascii="宋体" w:hAnsi="宋体" w:cs="宋体"/>
          <w:kern w:val="0"/>
          <w:sz w:val="24"/>
          <w:lang w:val="zh-CN"/>
        </w:rPr>
        <w:t>有关本项目实施所涉及的一切费用均计入报价。</w:t>
      </w:r>
      <w:r>
        <w:rPr>
          <w:rFonts w:ascii="宋体" w:hAnsi="宋体" w:cs="宋体"/>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ascii="仿宋_GB2312" w:hAnsi="仿宋" w:eastAsia="仿宋_GB2312"/>
          <w:b/>
          <w:bCs/>
          <w:sz w:val="24"/>
        </w:rPr>
        <w:t>。</w:t>
      </w:r>
    </w:p>
    <w:p>
      <w:pPr>
        <w:snapToGrid w:val="0"/>
        <w:spacing w:line="360" w:lineRule="auto"/>
        <w:ind w:firstLine="480" w:firstLineChars="200"/>
        <w:jc w:val="left"/>
        <w:rPr>
          <w:rFonts w:hint="default" w:ascii="宋体" w:hAnsi="宋体" w:cs="宋体"/>
          <w:kern w:val="0"/>
          <w:sz w:val="24"/>
          <w:lang w:val="zh-CN"/>
        </w:rPr>
      </w:pPr>
      <w:r>
        <w:rPr>
          <w:rFonts w:ascii="宋体" w:hAnsi="宋体" w:cs="宋体"/>
          <w:kern w:val="0"/>
          <w:sz w:val="24"/>
          <w:lang w:val="zh-CN"/>
        </w:rPr>
        <w:t>3、特别提示：采购代理机构将对项目名称和项目编号，中标供应商名称、地址和中标金额，主要中标标的名称、品牌（如果有）、规格型号、数量、单价等予以公示。</w:t>
      </w:r>
    </w:p>
    <w:p>
      <w:pPr>
        <w:snapToGrid w:val="0"/>
        <w:spacing w:line="360" w:lineRule="auto"/>
        <w:ind w:firstLine="480" w:firstLineChars="200"/>
        <w:jc w:val="left"/>
        <w:rPr>
          <w:rFonts w:hint="default" w:ascii="宋体" w:hAnsi="宋体" w:cs="宋体"/>
          <w:kern w:val="0"/>
          <w:sz w:val="24"/>
          <w:lang w:val="zh-CN"/>
        </w:rPr>
      </w:pPr>
      <w:r>
        <w:rPr>
          <w:rFonts w:ascii="宋体" w:hAnsi="宋体" w:cs="宋体"/>
          <w:kern w:val="0"/>
          <w:sz w:val="24"/>
          <w:szCs w:val="22"/>
          <w:lang w:val="zh-CN"/>
        </w:rPr>
        <w:t>4、</w:t>
      </w:r>
      <w:r>
        <w:rPr>
          <w:rFonts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rPr>
          <w:rFonts w:hint="default" w:ascii="仿宋_GB2312" w:hAnsi="仿宋" w:eastAsia="仿宋_GB2312"/>
          <w:b/>
          <w:bCs/>
          <w:sz w:val="24"/>
        </w:rPr>
      </w:pPr>
    </w:p>
    <w:p>
      <w:pPr>
        <w:adjustRightInd w:val="0"/>
        <w:snapToGrid w:val="0"/>
        <w:spacing w:line="360" w:lineRule="auto"/>
        <w:ind w:firstLine="480" w:firstLineChars="200"/>
        <w:rPr>
          <w:rFonts w:hint="default" w:ascii="宋体" w:hAnsi="宋体" w:cs="宋体"/>
          <w:kern w:val="0"/>
          <w:sz w:val="24"/>
        </w:rPr>
      </w:pPr>
    </w:p>
    <w:p>
      <w:pPr>
        <w:adjustRightInd w:val="0"/>
        <w:snapToGrid w:val="0"/>
        <w:spacing w:line="360" w:lineRule="auto"/>
        <w:ind w:firstLine="480" w:firstLineChars="200"/>
        <w:rPr>
          <w:rFonts w:hint="default" w:ascii="宋体" w:hAnsi="宋体" w:cs="宋体"/>
          <w:kern w:val="0"/>
          <w:sz w:val="24"/>
        </w:rPr>
      </w:pPr>
      <w:r>
        <w:rPr>
          <w:rFonts w:ascii="宋体" w:hAnsi="宋体" w:cs="宋体"/>
          <w:kern w:val="0"/>
          <w:sz w:val="24"/>
        </w:rPr>
        <w:t>供应商（</w:t>
      </w:r>
      <w:r>
        <w:rPr>
          <w:rFonts w:ascii="宋体" w:hAnsi="宋体" w:cs="宋体"/>
          <w:kern w:val="0"/>
          <w:sz w:val="24"/>
          <w:lang w:val="zh-CN"/>
        </w:rPr>
        <w:t>电子签名/公章</w:t>
      </w:r>
      <w:r>
        <w:rPr>
          <w:rFonts w:ascii="宋体" w:hAnsi="宋体" w:cs="宋体"/>
          <w:kern w:val="0"/>
          <w:sz w:val="24"/>
        </w:rPr>
        <w:t>）：</w:t>
      </w:r>
    </w:p>
    <w:p>
      <w:pPr>
        <w:widowControl/>
        <w:adjustRightInd w:val="0"/>
        <w:snapToGrid w:val="0"/>
        <w:spacing w:line="360" w:lineRule="auto"/>
        <w:ind w:firstLine="480" w:firstLineChars="200"/>
        <w:jc w:val="left"/>
        <w:rPr>
          <w:rFonts w:hint="default"/>
          <w:kern w:val="0"/>
          <w:sz w:val="24"/>
        </w:rPr>
      </w:pPr>
      <w:r>
        <w:rPr>
          <w:rFonts w:hint="default"/>
          <w:kern w:val="0"/>
          <w:sz w:val="24"/>
        </w:rPr>
        <w:t>法定代表人或其授权代表（签字或盖章）：</w:t>
      </w:r>
    </w:p>
    <w:p>
      <w:pPr>
        <w:pStyle w:val="7"/>
        <w:adjustRightInd w:val="0"/>
        <w:snapToGrid w:val="0"/>
        <w:spacing w:beforeLines="0" w:afterLines="0" w:line="360" w:lineRule="auto"/>
        <w:ind w:firstLine="480" w:firstLineChars="200"/>
        <w:outlineLvl w:val="0"/>
        <w:rPr>
          <w:rFonts w:hint="default" w:ascii="Times New Roman" w:hAnsi="Times New Roman"/>
          <w:kern w:val="0"/>
        </w:rPr>
      </w:pPr>
      <w:bookmarkStart w:id="105" w:name="_Toc26027"/>
      <w:r>
        <w:rPr>
          <w:rFonts w:hint="default" w:ascii="Times New Roman" w:hAnsi="Times New Roman"/>
          <w:kern w:val="0"/>
        </w:rPr>
        <w:t>日期：年月日</w:t>
      </w:r>
      <w:bookmarkEnd w:id="105"/>
    </w:p>
    <w:p>
      <w:pPr>
        <w:adjustRightInd w:val="0"/>
        <w:snapToGrid w:val="0"/>
        <w:spacing w:line="440" w:lineRule="exact"/>
        <w:ind w:right="420" w:firstLine="480"/>
        <w:rPr>
          <w:rFonts w:hint="default"/>
          <w:b/>
          <w:sz w:val="32"/>
          <w:szCs w:val="32"/>
        </w:rPr>
      </w:pPr>
      <w:r>
        <w:rPr>
          <w:rFonts w:hint="default"/>
          <w:kern w:val="0"/>
        </w:rPr>
        <w:br w:type="page"/>
      </w:r>
    </w:p>
    <w:p>
      <w:pPr>
        <w:snapToGrid w:val="0"/>
        <w:spacing w:line="360" w:lineRule="auto"/>
        <w:ind w:left="570" w:firstLine="643"/>
        <w:jc w:val="center"/>
        <w:outlineLvl w:val="0"/>
        <w:rPr>
          <w:rFonts w:hint="default"/>
          <w:b/>
          <w:sz w:val="32"/>
          <w:szCs w:val="32"/>
        </w:rPr>
      </w:pPr>
      <w:r>
        <w:rPr>
          <w:rFonts w:ascii="宋体" w:hAnsi="宋体"/>
          <w:b/>
          <w:sz w:val="32"/>
          <w:szCs w:val="32"/>
        </w:rPr>
        <w:t>三、</w:t>
      </w:r>
      <w:r>
        <w:rPr>
          <w:rFonts w:hint="default"/>
          <w:b/>
          <w:sz w:val="32"/>
          <w:szCs w:val="32"/>
        </w:rPr>
        <w:t>中小企业声明函、残疾人福利性单位声明函</w:t>
      </w:r>
      <w:r>
        <w:rPr>
          <w:b/>
          <w:sz w:val="32"/>
          <w:szCs w:val="32"/>
        </w:rPr>
        <w:t>或</w:t>
      </w:r>
      <w:r>
        <w:rPr>
          <w:rFonts w:hint="default"/>
          <w:b/>
          <w:sz w:val="32"/>
          <w:szCs w:val="32"/>
        </w:rPr>
        <w:t>属于监狱企业的证明文件（由省级以上监狱管理局、戒毒管理局（含新疆生产建设兵团）出具的属于监狱企业的证明文件</w:t>
      </w:r>
      <w:r>
        <w:rPr>
          <w:b/>
          <w:kern w:val="0"/>
          <w:sz w:val="30"/>
          <w:szCs w:val="30"/>
        </w:rPr>
        <w:t>（如有）</w:t>
      </w:r>
    </w:p>
    <w:p>
      <w:pPr>
        <w:widowControl/>
        <w:snapToGrid w:val="0"/>
        <w:spacing w:line="360" w:lineRule="auto"/>
        <w:ind w:firstLine="602" w:firstLineChars="200"/>
        <w:jc w:val="center"/>
        <w:rPr>
          <w:rFonts w:hint="default"/>
          <w:b/>
          <w:kern w:val="0"/>
          <w:sz w:val="30"/>
          <w:szCs w:val="30"/>
        </w:rPr>
      </w:pPr>
      <w:r>
        <w:rPr>
          <w:b/>
          <w:kern w:val="0"/>
          <w:sz w:val="30"/>
          <w:szCs w:val="30"/>
        </w:rPr>
        <w:t>3</w:t>
      </w:r>
      <w:r>
        <w:rPr>
          <w:rFonts w:hint="default"/>
          <w:b/>
          <w:kern w:val="0"/>
          <w:sz w:val="30"/>
          <w:szCs w:val="30"/>
        </w:rPr>
        <w:t>.1中小企业声明函及其相关的充分的证明材料</w:t>
      </w:r>
    </w:p>
    <w:p>
      <w:pPr>
        <w:autoSpaceDE w:val="0"/>
        <w:autoSpaceDN w:val="0"/>
        <w:adjustRightInd w:val="0"/>
        <w:spacing w:before="240" w:beforeLines="100" w:after="240" w:afterLines="100" w:line="360" w:lineRule="auto"/>
        <w:ind w:firstLine="482"/>
        <w:jc w:val="center"/>
        <w:rPr>
          <w:rFonts w:hint="default"/>
          <w:kern w:val="0"/>
          <w:sz w:val="24"/>
        </w:rPr>
      </w:pPr>
      <w:r>
        <w:rPr>
          <w:rFonts w:hint="default"/>
          <w:b/>
          <w:kern w:val="0"/>
          <w:sz w:val="24"/>
        </w:rPr>
        <w:t>中小企业声明函（货物</w:t>
      </w:r>
      <w:r>
        <w:rPr>
          <w:rFonts w:hint="default"/>
          <w:kern w:val="0"/>
          <w:sz w:val="24"/>
        </w:rPr>
        <w:t>）</w:t>
      </w:r>
    </w:p>
    <w:p>
      <w:pPr>
        <w:autoSpaceDE w:val="0"/>
        <w:autoSpaceDN w:val="0"/>
        <w:adjustRightInd w:val="0"/>
        <w:spacing w:line="360" w:lineRule="auto"/>
        <w:ind w:right="157" w:firstLine="480"/>
        <w:jc w:val="left"/>
        <w:rPr>
          <w:rFonts w:hint="default"/>
          <w:kern w:val="0"/>
          <w:sz w:val="24"/>
        </w:rPr>
      </w:pPr>
      <w:r>
        <w:rPr>
          <w:rFonts w:hint="default"/>
          <w:kern w:val="0"/>
          <w:sz w:val="24"/>
        </w:rPr>
        <w:t>本公司（联合体）郑重声明，根据《政府采购促进中小企业发展管理办法》（财库﹝2020﹞46号）的规定，本公司参加</w:t>
      </w:r>
      <w:r>
        <w:rPr>
          <w:kern w:val="0"/>
          <w:sz w:val="24"/>
          <w:u w:val="single"/>
        </w:rPr>
        <w:t>浙江省中医院</w:t>
      </w:r>
      <w:r>
        <w:rPr>
          <w:rFonts w:hint="default"/>
          <w:kern w:val="0"/>
          <w:sz w:val="24"/>
        </w:rPr>
        <w:t>的</w:t>
      </w:r>
      <w:r>
        <w:rPr>
          <w:rFonts w:hint="default"/>
          <w:kern w:val="0"/>
          <w:sz w:val="24"/>
          <w:u w:val="single"/>
        </w:rPr>
        <w:t>浙江省中医院</w:t>
      </w:r>
      <w:r>
        <w:rPr>
          <w:kern w:val="0"/>
          <w:sz w:val="24"/>
          <w:u w:val="single"/>
        </w:rPr>
        <w:t>钱塘院区4号楼阶梯会议室家具采购项目</w:t>
      </w:r>
      <w:r>
        <w:rPr>
          <w:rFonts w:hint="default"/>
          <w:kern w:val="0"/>
          <w:sz w:val="24"/>
        </w:rPr>
        <w:t>采购活动，提供的货物全部由符合政策要求的中小企业制造。相关企业（含联合体中的中小企业、签订分包意向协议的中小企业）的具体情况如下：</w:t>
      </w:r>
    </w:p>
    <w:p>
      <w:pPr>
        <w:numPr>
          <w:ilvl w:val="0"/>
          <w:numId w:val="6"/>
        </w:numPr>
        <w:autoSpaceDE w:val="0"/>
        <w:autoSpaceDN w:val="0"/>
        <w:adjustRightInd w:val="0"/>
        <w:spacing w:line="360" w:lineRule="auto"/>
        <w:ind w:left="0" w:firstLine="480" w:firstLineChars="200"/>
        <w:jc w:val="left"/>
        <w:rPr>
          <w:rFonts w:hint="default"/>
          <w:kern w:val="0"/>
          <w:sz w:val="24"/>
        </w:rPr>
      </w:pPr>
      <w:r>
        <w:rPr>
          <w:kern w:val="0"/>
          <w:sz w:val="24"/>
          <w:u w:val="single"/>
        </w:rPr>
        <w:t>（标的名称）</w:t>
      </w:r>
      <w:r>
        <w:rPr>
          <w:rFonts w:hint="default"/>
          <w:kern w:val="0"/>
          <w:sz w:val="24"/>
        </w:rPr>
        <w:t>，属于</w:t>
      </w:r>
      <w:r>
        <w:rPr>
          <w:rFonts w:hint="default"/>
          <w:kern w:val="0"/>
          <w:sz w:val="24"/>
          <w:u w:val="single"/>
        </w:rPr>
        <w:t>行业</w:t>
      </w:r>
      <w:r>
        <w:rPr>
          <w:rFonts w:hint="default"/>
          <w:kern w:val="0"/>
          <w:sz w:val="24"/>
        </w:rPr>
        <w:t>；制造商为</w:t>
      </w:r>
      <w:r>
        <w:rPr>
          <w:rFonts w:hint="default"/>
          <w:kern w:val="0"/>
          <w:sz w:val="24"/>
          <w:u w:val="single"/>
        </w:rPr>
        <w:t>（企业名称）</w:t>
      </w:r>
      <w:r>
        <w:rPr>
          <w:rFonts w:hint="default"/>
          <w:kern w:val="0"/>
          <w:sz w:val="24"/>
        </w:rPr>
        <w:t>，从业人员人，营业收入为万元，资产总额为万元</w:t>
      </w:r>
      <w:r>
        <w:rPr>
          <w:rFonts w:hint="default"/>
          <w:kern w:val="0"/>
          <w:sz w:val="24"/>
          <w:vertAlign w:val="superscript"/>
        </w:rPr>
        <w:footnoteReference w:id="0"/>
      </w:r>
      <w:r>
        <w:rPr>
          <w:rFonts w:hint="default"/>
          <w:kern w:val="0"/>
          <w:sz w:val="24"/>
        </w:rPr>
        <w:t>，属于</w:t>
      </w:r>
      <w:r>
        <w:rPr>
          <w:rFonts w:hint="default"/>
          <w:kern w:val="0"/>
          <w:sz w:val="24"/>
          <w:u w:val="single"/>
        </w:rPr>
        <w:t>（中型企业、小型企业、微型企业）</w:t>
      </w:r>
      <w:r>
        <w:rPr>
          <w:rFonts w:hint="default"/>
          <w:kern w:val="0"/>
          <w:sz w:val="24"/>
        </w:rPr>
        <w:t>；</w:t>
      </w:r>
    </w:p>
    <w:p>
      <w:pPr>
        <w:numPr>
          <w:ilvl w:val="0"/>
          <w:numId w:val="6"/>
        </w:numPr>
        <w:autoSpaceDE w:val="0"/>
        <w:autoSpaceDN w:val="0"/>
        <w:adjustRightInd w:val="0"/>
        <w:spacing w:line="360" w:lineRule="auto"/>
        <w:ind w:left="0" w:firstLine="480" w:firstLineChars="200"/>
        <w:jc w:val="left"/>
        <w:rPr>
          <w:rFonts w:hint="default"/>
          <w:kern w:val="0"/>
          <w:sz w:val="24"/>
        </w:rPr>
      </w:pPr>
      <w:r>
        <w:rPr>
          <w:kern w:val="0"/>
          <w:sz w:val="24"/>
          <w:u w:val="single"/>
        </w:rPr>
        <w:t>（标的名称）</w:t>
      </w:r>
      <w:r>
        <w:rPr>
          <w:rFonts w:hint="default"/>
          <w:kern w:val="0"/>
          <w:sz w:val="24"/>
        </w:rPr>
        <w:t>，属于</w:t>
      </w:r>
      <w:r>
        <w:rPr>
          <w:rFonts w:hint="default"/>
          <w:kern w:val="0"/>
          <w:sz w:val="24"/>
          <w:u w:val="single"/>
        </w:rPr>
        <w:t>行业</w:t>
      </w:r>
      <w:r>
        <w:rPr>
          <w:rFonts w:hint="default"/>
          <w:kern w:val="0"/>
          <w:sz w:val="24"/>
        </w:rPr>
        <w:t>；制造商为</w:t>
      </w:r>
      <w:r>
        <w:rPr>
          <w:rFonts w:hint="default"/>
          <w:kern w:val="0"/>
          <w:sz w:val="24"/>
          <w:u w:val="single"/>
        </w:rPr>
        <w:t>（企业名称）</w:t>
      </w:r>
      <w:r>
        <w:rPr>
          <w:rFonts w:hint="default"/>
          <w:kern w:val="0"/>
          <w:sz w:val="24"/>
        </w:rPr>
        <w:t>，从业人员人，营业收入为万元，资产总额为万元，属于</w:t>
      </w:r>
      <w:r>
        <w:rPr>
          <w:rFonts w:hint="default"/>
          <w:kern w:val="0"/>
          <w:sz w:val="24"/>
          <w:u w:val="single"/>
        </w:rPr>
        <w:t>（中型企业、小型企业、微型企业）</w:t>
      </w:r>
      <w:r>
        <w:rPr>
          <w:rFonts w:hint="default"/>
          <w:kern w:val="0"/>
          <w:sz w:val="24"/>
        </w:rPr>
        <w:t>；</w:t>
      </w:r>
    </w:p>
    <w:p>
      <w:pPr>
        <w:numPr>
          <w:ilvl w:val="0"/>
          <w:numId w:val="6"/>
        </w:numPr>
        <w:autoSpaceDE w:val="0"/>
        <w:autoSpaceDN w:val="0"/>
        <w:adjustRightInd w:val="0"/>
        <w:spacing w:line="360" w:lineRule="auto"/>
        <w:ind w:left="0" w:firstLine="480" w:firstLineChars="200"/>
        <w:jc w:val="left"/>
        <w:rPr>
          <w:rFonts w:hint="default"/>
          <w:kern w:val="0"/>
          <w:sz w:val="24"/>
        </w:rPr>
      </w:pPr>
      <w:r>
        <w:rPr>
          <w:kern w:val="0"/>
          <w:sz w:val="24"/>
          <w:u w:val="single"/>
        </w:rPr>
        <w:t>（标的名称）</w:t>
      </w:r>
      <w:r>
        <w:rPr>
          <w:rFonts w:hint="default"/>
          <w:kern w:val="0"/>
          <w:sz w:val="24"/>
        </w:rPr>
        <w:t>，属于</w:t>
      </w:r>
      <w:r>
        <w:rPr>
          <w:rFonts w:hint="default"/>
          <w:kern w:val="0"/>
          <w:sz w:val="24"/>
          <w:u w:val="single"/>
        </w:rPr>
        <w:t>行业</w:t>
      </w:r>
      <w:r>
        <w:rPr>
          <w:rFonts w:hint="default"/>
          <w:kern w:val="0"/>
          <w:sz w:val="24"/>
        </w:rPr>
        <w:t>；制造商为</w:t>
      </w:r>
      <w:r>
        <w:rPr>
          <w:rFonts w:hint="default"/>
          <w:kern w:val="0"/>
          <w:sz w:val="24"/>
          <w:u w:val="single"/>
        </w:rPr>
        <w:t>（企业名称）</w:t>
      </w:r>
      <w:r>
        <w:rPr>
          <w:rFonts w:hint="default"/>
          <w:kern w:val="0"/>
          <w:sz w:val="24"/>
        </w:rPr>
        <w:t>，从业人员人，营业收入为万元，资产总额为万元，属于</w:t>
      </w:r>
      <w:r>
        <w:rPr>
          <w:rFonts w:hint="default"/>
          <w:kern w:val="0"/>
          <w:sz w:val="24"/>
          <w:u w:val="single"/>
        </w:rPr>
        <w:t>（中型企业、小型企业、微型企业）</w:t>
      </w:r>
      <w:r>
        <w:rPr>
          <w:rFonts w:hint="default"/>
          <w:kern w:val="0"/>
          <w:sz w:val="24"/>
        </w:rPr>
        <w:t>；</w:t>
      </w:r>
    </w:p>
    <w:p>
      <w:pPr>
        <w:pStyle w:val="39"/>
        <w:rPr>
          <w:color w:val="auto"/>
          <w:kern w:val="0"/>
        </w:rPr>
      </w:pPr>
      <w:r>
        <w:rPr>
          <w:color w:val="auto"/>
          <w:kern w:val="0"/>
        </w:rPr>
        <w:t>……</w:t>
      </w:r>
    </w:p>
    <w:p>
      <w:pPr>
        <w:pStyle w:val="39"/>
        <w:rPr>
          <w:color w:val="auto"/>
          <w:kern w:val="0"/>
        </w:rPr>
      </w:pPr>
    </w:p>
    <w:p>
      <w:pPr>
        <w:pStyle w:val="39"/>
        <w:rPr>
          <w:color w:val="auto"/>
          <w:kern w:val="0"/>
        </w:rPr>
      </w:pPr>
      <w:r>
        <w:rPr>
          <w:color w:val="auto"/>
          <w:kern w:val="0"/>
        </w:rPr>
        <w:t>以上企业，不属于大企业的分支机构，不存在控股股东为大企业的情形，也不存在与大企业的负责人为同一人的情形。</w:t>
      </w:r>
    </w:p>
    <w:p>
      <w:pPr>
        <w:autoSpaceDE w:val="0"/>
        <w:autoSpaceDN w:val="0"/>
        <w:adjustRightInd w:val="0"/>
        <w:spacing w:line="360" w:lineRule="auto"/>
        <w:ind w:firstLine="480" w:firstLineChars="200"/>
        <w:jc w:val="left"/>
        <w:rPr>
          <w:rFonts w:hint="default"/>
          <w:kern w:val="0"/>
          <w:sz w:val="24"/>
        </w:rPr>
      </w:pPr>
      <w:r>
        <w:rPr>
          <w:rFonts w:hint="default"/>
          <w:kern w:val="0"/>
          <w:sz w:val="24"/>
        </w:rPr>
        <w:t>本企业对上述声明内容的真实性负责。如有虚假，将依法承担相应责任。</w:t>
      </w:r>
    </w:p>
    <w:p>
      <w:pPr>
        <w:autoSpaceDE w:val="0"/>
        <w:autoSpaceDN w:val="0"/>
        <w:adjustRightInd w:val="0"/>
        <w:spacing w:line="360" w:lineRule="auto"/>
        <w:ind w:left="3200" w:firstLine="480"/>
        <w:jc w:val="left"/>
        <w:rPr>
          <w:rFonts w:hint="default"/>
          <w:kern w:val="0"/>
          <w:sz w:val="24"/>
        </w:rPr>
      </w:pPr>
    </w:p>
    <w:p>
      <w:pPr>
        <w:autoSpaceDE w:val="0"/>
        <w:autoSpaceDN w:val="0"/>
        <w:adjustRightInd w:val="0"/>
        <w:spacing w:line="360" w:lineRule="auto"/>
        <w:ind w:left="3200" w:firstLine="480"/>
        <w:jc w:val="left"/>
        <w:rPr>
          <w:rFonts w:hint="default"/>
          <w:kern w:val="0"/>
          <w:sz w:val="24"/>
        </w:rPr>
      </w:pPr>
    </w:p>
    <w:p>
      <w:pPr>
        <w:autoSpaceDE w:val="0"/>
        <w:autoSpaceDN w:val="0"/>
        <w:adjustRightInd w:val="0"/>
        <w:spacing w:line="360" w:lineRule="auto"/>
        <w:ind w:left="3200" w:firstLine="480"/>
        <w:jc w:val="left"/>
        <w:rPr>
          <w:rFonts w:hint="default"/>
          <w:kern w:val="0"/>
          <w:sz w:val="24"/>
        </w:rPr>
      </w:pPr>
      <w:r>
        <w:rPr>
          <w:kern w:val="0"/>
          <w:sz w:val="24"/>
        </w:rPr>
        <w:t>供应商（</w:t>
      </w:r>
      <w:r>
        <w:rPr>
          <w:kern w:val="0"/>
          <w:sz w:val="24"/>
          <w:lang w:val="zh-CN"/>
        </w:rPr>
        <w:t>电子签名/公章</w:t>
      </w:r>
      <w:r>
        <w:rPr>
          <w:kern w:val="0"/>
          <w:sz w:val="24"/>
        </w:rPr>
        <w:t>）：</w:t>
      </w:r>
    </w:p>
    <w:p>
      <w:pPr>
        <w:autoSpaceDE w:val="0"/>
        <w:autoSpaceDN w:val="0"/>
        <w:adjustRightInd w:val="0"/>
        <w:spacing w:line="360" w:lineRule="auto"/>
        <w:ind w:left="3200" w:firstLine="480"/>
        <w:jc w:val="left"/>
        <w:rPr>
          <w:rFonts w:hint="default"/>
          <w:b/>
          <w:sz w:val="24"/>
        </w:rPr>
      </w:pPr>
      <w:r>
        <w:rPr>
          <w:rFonts w:hint="default"/>
          <w:kern w:val="0"/>
          <w:sz w:val="24"/>
        </w:rPr>
        <w:t>日期：</w:t>
      </w:r>
    </w:p>
    <w:p>
      <w:pPr>
        <w:widowControl/>
        <w:snapToGrid w:val="0"/>
        <w:spacing w:line="360" w:lineRule="auto"/>
        <w:ind w:firstLine="480" w:firstLineChars="200"/>
        <w:jc w:val="center"/>
        <w:rPr>
          <w:rFonts w:hint="default"/>
          <w:kern w:val="0"/>
          <w:sz w:val="24"/>
        </w:rPr>
      </w:pPr>
    </w:p>
    <w:p>
      <w:pPr>
        <w:spacing w:line="360" w:lineRule="auto"/>
        <w:ind w:firstLine="482" w:firstLineChars="200"/>
        <w:rPr>
          <w:rFonts w:hint="default"/>
          <w:b/>
          <w:sz w:val="24"/>
          <w:szCs w:val="24"/>
        </w:rPr>
      </w:pPr>
    </w:p>
    <w:p>
      <w:pPr>
        <w:widowControl/>
        <w:snapToGrid w:val="0"/>
        <w:spacing w:line="360" w:lineRule="auto"/>
        <w:ind w:firstLine="480"/>
        <w:jc w:val="left"/>
        <w:rPr>
          <w:rFonts w:hint="default"/>
          <w:b/>
          <w:sz w:val="24"/>
          <w:szCs w:val="24"/>
        </w:rPr>
        <w:sectPr>
          <w:pgSz w:w="11906" w:h="16838"/>
          <w:pgMar w:top="1134" w:right="1247" w:bottom="1247" w:left="1304" w:header="794" w:footer="794" w:gutter="0"/>
          <w:cols w:space="720" w:num="1"/>
          <w:docGrid w:linePitch="312" w:charSpace="0"/>
        </w:sectPr>
      </w:pPr>
      <w:r>
        <w:rPr>
          <w:rFonts w:ascii="宋体" w:hAnsi="宋体" w:cs="宋体"/>
          <w:sz w:val="24"/>
        </w:rPr>
        <w:t>1、填写要求：①“标的名称”、“采购文件中明确的所属行业”依据招标文件第二章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widowControl/>
        <w:snapToGrid w:val="0"/>
        <w:spacing w:line="360" w:lineRule="auto"/>
        <w:ind w:firstLine="602" w:firstLineChars="200"/>
        <w:jc w:val="center"/>
        <w:rPr>
          <w:rFonts w:hint="default" w:ascii="宋体" w:hAnsi="宋体" w:cs="宋体"/>
          <w:b/>
          <w:kern w:val="0"/>
          <w:sz w:val="30"/>
          <w:szCs w:val="30"/>
        </w:rPr>
      </w:pPr>
      <w:r>
        <w:rPr>
          <w:rFonts w:ascii="宋体" w:hAnsi="宋体" w:cs="宋体"/>
          <w:b/>
          <w:kern w:val="0"/>
          <w:sz w:val="30"/>
          <w:szCs w:val="30"/>
        </w:rPr>
        <w:t>3.2残疾人福利性单位声明函及其相关的充分的证明材料</w:t>
      </w:r>
    </w:p>
    <w:p>
      <w:pPr>
        <w:spacing w:line="360" w:lineRule="auto"/>
        <w:ind w:firstLine="602"/>
        <w:jc w:val="center"/>
        <w:rPr>
          <w:rFonts w:hint="default" w:ascii="宋体" w:hAnsi="宋体" w:cs="宋体"/>
          <w:b/>
          <w:spacing w:val="6"/>
          <w:sz w:val="32"/>
          <w:szCs w:val="32"/>
        </w:rPr>
      </w:pPr>
      <w:r>
        <w:rPr>
          <w:rFonts w:ascii="宋体" w:hAnsi="宋体" w:cs="宋体"/>
          <w:b/>
          <w:kern w:val="0"/>
          <w:sz w:val="30"/>
          <w:szCs w:val="30"/>
        </w:rPr>
        <w:t>残疾人福利性单位声明函</w:t>
      </w:r>
    </w:p>
    <w:p>
      <w:pPr>
        <w:spacing w:line="360" w:lineRule="auto"/>
        <w:ind w:firstLine="626"/>
        <w:rPr>
          <w:rFonts w:hint="default" w:ascii="宋体" w:hAnsi="宋体" w:cs="宋体"/>
          <w:b/>
          <w:spacing w:val="6"/>
          <w:sz w:val="30"/>
          <w:szCs w:val="30"/>
        </w:rPr>
      </w:pPr>
    </w:p>
    <w:p>
      <w:pPr>
        <w:spacing w:line="360" w:lineRule="auto"/>
        <w:ind w:firstLine="480" w:firstLineChars="200"/>
        <w:rPr>
          <w:rFonts w:hint="default" w:ascii="宋体" w:hAnsi="宋体" w:cs="宋体"/>
          <w:sz w:val="24"/>
        </w:rPr>
      </w:pPr>
      <w:r>
        <w:rPr>
          <w:rFonts w:ascii="宋体" w:hAnsi="宋体" w:cs="宋体"/>
          <w:sz w:val="24"/>
        </w:rPr>
        <w:t>本单位郑重声明，根据《财政部 民政部中国残疾人联合会关于促进残疾人就业政府采购政策的通知》（财库〔2017〕 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pPr>
        <w:spacing w:line="360" w:lineRule="auto"/>
        <w:ind w:firstLine="480" w:firstLineChars="200"/>
        <w:rPr>
          <w:rFonts w:hint="default" w:ascii="宋体" w:hAnsi="宋体" w:cs="宋体"/>
          <w:sz w:val="24"/>
        </w:rPr>
      </w:pPr>
      <w:r>
        <w:rPr>
          <w:rFonts w:ascii="宋体" w:hAnsi="宋体" w:cs="宋体"/>
          <w:sz w:val="24"/>
        </w:rPr>
        <w:t>本单位对上述声明的真实性负责。如有虚假，将依法承担相应责任。</w:t>
      </w:r>
    </w:p>
    <w:p>
      <w:pPr>
        <w:widowControl/>
        <w:snapToGrid w:val="0"/>
        <w:spacing w:line="360" w:lineRule="auto"/>
        <w:ind w:firstLine="480" w:firstLineChars="200"/>
        <w:jc w:val="left"/>
        <w:rPr>
          <w:rFonts w:hint="default" w:ascii="宋体" w:hAnsi="宋体" w:cs="宋体"/>
          <w:kern w:val="0"/>
          <w:sz w:val="24"/>
        </w:rPr>
      </w:pPr>
    </w:p>
    <w:p>
      <w:pPr>
        <w:autoSpaceDE w:val="0"/>
        <w:autoSpaceDN w:val="0"/>
        <w:adjustRightInd w:val="0"/>
        <w:spacing w:line="360" w:lineRule="auto"/>
        <w:ind w:left="3200" w:firstLine="480"/>
        <w:jc w:val="left"/>
        <w:rPr>
          <w:rFonts w:hint="default"/>
          <w:kern w:val="0"/>
          <w:sz w:val="24"/>
        </w:rPr>
      </w:pPr>
      <w:r>
        <w:rPr>
          <w:kern w:val="0"/>
          <w:sz w:val="24"/>
        </w:rPr>
        <w:t>供应商（</w:t>
      </w:r>
      <w:r>
        <w:rPr>
          <w:kern w:val="0"/>
          <w:sz w:val="24"/>
          <w:lang w:val="zh-CN"/>
        </w:rPr>
        <w:t>电子签名/公章</w:t>
      </w:r>
      <w:r>
        <w:rPr>
          <w:kern w:val="0"/>
          <w:sz w:val="24"/>
        </w:rPr>
        <w:t>）：</w:t>
      </w:r>
    </w:p>
    <w:p>
      <w:pPr>
        <w:autoSpaceDE w:val="0"/>
        <w:autoSpaceDN w:val="0"/>
        <w:adjustRightInd w:val="0"/>
        <w:spacing w:line="360" w:lineRule="auto"/>
        <w:ind w:left="3200" w:firstLine="480"/>
        <w:jc w:val="left"/>
        <w:rPr>
          <w:rFonts w:hint="default"/>
          <w:b/>
          <w:sz w:val="24"/>
        </w:rPr>
      </w:pPr>
      <w:r>
        <w:rPr>
          <w:rFonts w:hint="default"/>
          <w:kern w:val="0"/>
          <w:sz w:val="24"/>
        </w:rPr>
        <w:t>日期：</w:t>
      </w:r>
    </w:p>
    <w:p>
      <w:pPr>
        <w:widowControl/>
        <w:snapToGrid w:val="0"/>
        <w:spacing w:line="360" w:lineRule="auto"/>
        <w:ind w:firstLine="480" w:firstLineChars="200"/>
        <w:jc w:val="left"/>
        <w:rPr>
          <w:rFonts w:hint="default" w:ascii="宋体" w:hAnsi="宋体" w:cs="宋体"/>
          <w:kern w:val="0"/>
          <w:sz w:val="24"/>
        </w:rPr>
      </w:pPr>
    </w:p>
    <w:p>
      <w:pPr>
        <w:widowControl/>
        <w:snapToGrid w:val="0"/>
        <w:spacing w:line="360" w:lineRule="auto"/>
        <w:ind w:firstLine="480" w:firstLineChars="200"/>
        <w:jc w:val="left"/>
        <w:rPr>
          <w:rFonts w:hint="default" w:ascii="宋体" w:hAnsi="宋体" w:cs="宋体"/>
          <w:kern w:val="0"/>
          <w:sz w:val="24"/>
        </w:rPr>
      </w:pPr>
      <w:r>
        <w:rPr>
          <w:rFonts w:ascii="宋体" w:hAnsi="宋体" w:cs="宋体"/>
          <w:kern w:val="0"/>
          <w:sz w:val="24"/>
        </w:rPr>
        <w:t xml:space="preserve"> 注：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73"/>
        <w:snapToGrid w:val="0"/>
        <w:spacing w:line="360" w:lineRule="auto"/>
        <w:ind w:firstLine="321" w:firstLineChars="100"/>
        <w:jc w:val="center"/>
        <w:rPr>
          <w:rFonts w:hint="default"/>
          <w:b/>
          <w:sz w:val="30"/>
          <w:szCs w:val="30"/>
        </w:rPr>
      </w:pPr>
      <w:r>
        <w:rPr>
          <w:rFonts w:hint="default"/>
          <w:b/>
          <w:sz w:val="32"/>
          <w:szCs w:val="32"/>
        </w:rPr>
        <w:br w:type="page"/>
      </w:r>
      <w:r>
        <w:rPr>
          <w:b/>
          <w:sz w:val="32"/>
          <w:szCs w:val="32"/>
        </w:rPr>
        <w:t>四</w:t>
      </w:r>
      <w:r>
        <w:rPr>
          <w:rFonts w:ascii="Arial" w:hAnsi="Arial" w:cs="Arial"/>
          <w:b/>
          <w:kern w:val="0"/>
          <w:sz w:val="32"/>
          <w:szCs w:val="32"/>
        </w:rPr>
        <w:t>、</w:t>
      </w:r>
      <w:r>
        <w:rPr>
          <w:rFonts w:hint="default"/>
          <w:b/>
          <w:sz w:val="30"/>
          <w:szCs w:val="30"/>
        </w:rPr>
        <w:t>代理服务费支付承诺书格式</w:t>
      </w:r>
    </w:p>
    <w:p>
      <w:pPr>
        <w:snapToGrid w:val="0"/>
        <w:spacing w:before="50" w:after="50" w:line="360" w:lineRule="auto"/>
        <w:ind w:firstLine="482"/>
        <w:rPr>
          <w:rFonts w:hint="default"/>
          <w:b/>
          <w:sz w:val="24"/>
        </w:rPr>
      </w:pPr>
    </w:p>
    <w:p>
      <w:pPr>
        <w:snapToGrid w:val="0"/>
        <w:spacing w:before="50" w:after="156" w:afterLines="50" w:line="360" w:lineRule="auto"/>
        <w:ind w:firstLine="602"/>
        <w:jc w:val="center"/>
        <w:rPr>
          <w:rFonts w:hint="default"/>
          <w:b/>
          <w:sz w:val="30"/>
          <w:szCs w:val="30"/>
        </w:rPr>
      </w:pPr>
      <w:r>
        <w:rPr>
          <w:rFonts w:hint="default"/>
          <w:b/>
          <w:sz w:val="30"/>
          <w:szCs w:val="30"/>
        </w:rPr>
        <w:t>代理服务费支付承诺书</w:t>
      </w:r>
    </w:p>
    <w:p>
      <w:pPr>
        <w:snapToGrid w:val="0"/>
        <w:spacing w:before="50" w:after="156" w:afterLines="50" w:line="360" w:lineRule="auto"/>
        <w:ind w:firstLine="602"/>
        <w:jc w:val="center"/>
        <w:rPr>
          <w:rFonts w:hint="default"/>
          <w:b/>
          <w:sz w:val="30"/>
          <w:szCs w:val="30"/>
        </w:rPr>
      </w:pPr>
    </w:p>
    <w:p>
      <w:pPr>
        <w:snapToGrid w:val="0"/>
        <w:spacing w:before="50" w:after="50" w:line="360" w:lineRule="auto"/>
        <w:ind w:firstLine="480"/>
        <w:rPr>
          <w:rFonts w:hint="default"/>
          <w:snapToGrid w:val="0"/>
          <w:kern w:val="0"/>
          <w:sz w:val="24"/>
        </w:rPr>
      </w:pPr>
      <w:r>
        <w:rPr>
          <w:rFonts w:hint="default"/>
          <w:snapToGrid w:val="0"/>
          <w:kern w:val="0"/>
          <w:sz w:val="24"/>
        </w:rPr>
        <w:t>致：</w:t>
      </w:r>
      <w:r>
        <w:rPr>
          <w:snapToGrid w:val="0"/>
          <w:kern w:val="0"/>
          <w:sz w:val="24"/>
        </w:rPr>
        <w:t>浙江豪圣建设项目管理有限公司</w:t>
      </w:r>
      <w:r>
        <w:rPr>
          <w:rFonts w:hint="default"/>
          <w:snapToGrid w:val="0"/>
          <w:kern w:val="0"/>
          <w:sz w:val="24"/>
        </w:rPr>
        <w:t>：</w:t>
      </w:r>
    </w:p>
    <w:p>
      <w:pPr>
        <w:snapToGrid w:val="0"/>
        <w:spacing w:before="50" w:after="50" w:line="360" w:lineRule="auto"/>
        <w:ind w:firstLine="480"/>
        <w:rPr>
          <w:rFonts w:hint="default"/>
          <w:snapToGrid w:val="0"/>
          <w:kern w:val="0"/>
          <w:sz w:val="24"/>
        </w:rPr>
      </w:pPr>
    </w:p>
    <w:p>
      <w:pPr>
        <w:snapToGrid w:val="0"/>
        <w:spacing w:before="50" w:after="50" w:line="360" w:lineRule="auto"/>
        <w:ind w:firstLine="480"/>
        <w:rPr>
          <w:rFonts w:hint="default"/>
          <w:snapToGrid w:val="0"/>
          <w:kern w:val="0"/>
          <w:sz w:val="24"/>
        </w:rPr>
      </w:pPr>
      <w:r>
        <w:rPr>
          <w:rFonts w:hint="default"/>
          <w:snapToGrid w:val="0"/>
          <w:kern w:val="0"/>
          <w:sz w:val="24"/>
        </w:rPr>
        <w:t>我公司已认真阅读了</w:t>
      </w:r>
      <w:r>
        <w:rPr>
          <w:rFonts w:hint="default"/>
          <w:snapToGrid w:val="0"/>
          <w:kern w:val="0"/>
          <w:sz w:val="24"/>
          <w:u w:val="single"/>
        </w:rPr>
        <w:t>浙江省中医院钱塘院区4号楼阶梯会议室家具采购项目</w:t>
      </w:r>
      <w:r>
        <w:rPr>
          <w:snapToGrid w:val="0"/>
          <w:kern w:val="0"/>
          <w:sz w:val="24"/>
          <w:u w:val="single"/>
        </w:rPr>
        <w:t>的</w:t>
      </w:r>
      <w:r>
        <w:rPr>
          <w:rFonts w:hint="default"/>
          <w:snapToGrid w:val="0"/>
          <w:kern w:val="0"/>
          <w:sz w:val="24"/>
        </w:rPr>
        <w:t>招标文件（项目编号：HSZB-2024-135）并在此承诺：</w:t>
      </w:r>
    </w:p>
    <w:p>
      <w:pPr>
        <w:snapToGrid w:val="0"/>
        <w:spacing w:before="50" w:after="50" w:line="360" w:lineRule="auto"/>
        <w:ind w:firstLine="480"/>
        <w:rPr>
          <w:rFonts w:hint="default"/>
          <w:snapToGrid w:val="0"/>
          <w:kern w:val="0"/>
          <w:sz w:val="24"/>
        </w:rPr>
      </w:pPr>
      <w:r>
        <w:rPr>
          <w:rFonts w:hint="default"/>
          <w:snapToGrid w:val="0"/>
          <w:kern w:val="0"/>
          <w:sz w:val="24"/>
        </w:rPr>
        <w:t>如中标，我公司将自中标公告发布之日起5个工作日内按招标文件规定的标准（金额）一次性向采购代理机构支付代理服务费。</w:t>
      </w:r>
    </w:p>
    <w:p>
      <w:pPr>
        <w:snapToGrid w:val="0"/>
        <w:spacing w:before="50" w:after="50" w:line="360" w:lineRule="auto"/>
        <w:ind w:firstLine="480"/>
        <w:rPr>
          <w:rFonts w:hint="default"/>
          <w:snapToGrid w:val="0"/>
          <w:kern w:val="0"/>
          <w:sz w:val="24"/>
        </w:rPr>
      </w:pPr>
    </w:p>
    <w:p>
      <w:pPr>
        <w:snapToGrid w:val="0"/>
        <w:spacing w:before="50" w:after="50" w:line="360" w:lineRule="auto"/>
        <w:ind w:firstLine="480"/>
        <w:rPr>
          <w:rFonts w:hint="default"/>
          <w:snapToGrid w:val="0"/>
          <w:kern w:val="0"/>
          <w:sz w:val="24"/>
        </w:rPr>
      </w:pPr>
    </w:p>
    <w:p>
      <w:pPr>
        <w:snapToGrid w:val="0"/>
        <w:spacing w:before="50" w:after="50" w:line="360" w:lineRule="auto"/>
        <w:ind w:firstLine="480"/>
        <w:rPr>
          <w:rFonts w:hint="default"/>
          <w:snapToGrid w:val="0"/>
          <w:kern w:val="0"/>
          <w:sz w:val="24"/>
        </w:rPr>
      </w:pPr>
    </w:p>
    <w:p>
      <w:pPr>
        <w:snapToGrid w:val="0"/>
        <w:spacing w:before="50" w:after="50" w:line="360" w:lineRule="auto"/>
        <w:ind w:firstLine="480"/>
        <w:rPr>
          <w:rFonts w:hint="default"/>
          <w:snapToGrid w:val="0"/>
          <w:kern w:val="0"/>
          <w:sz w:val="24"/>
        </w:rPr>
      </w:pPr>
    </w:p>
    <w:p>
      <w:pPr>
        <w:adjustRightInd w:val="0"/>
        <w:snapToGrid w:val="0"/>
        <w:spacing w:line="360" w:lineRule="auto"/>
        <w:ind w:firstLine="480" w:firstLineChars="200"/>
        <w:rPr>
          <w:rFonts w:hint="default" w:ascii="宋体" w:hAnsi="宋体" w:cs="宋体"/>
          <w:kern w:val="0"/>
          <w:sz w:val="24"/>
        </w:rPr>
      </w:pPr>
      <w:r>
        <w:rPr>
          <w:rFonts w:ascii="宋体" w:hAnsi="宋体" w:cs="宋体"/>
          <w:kern w:val="0"/>
          <w:sz w:val="24"/>
        </w:rPr>
        <w:t>供应商（</w:t>
      </w:r>
      <w:r>
        <w:rPr>
          <w:rFonts w:ascii="宋体" w:hAnsi="宋体" w:cs="宋体"/>
          <w:kern w:val="0"/>
          <w:sz w:val="24"/>
          <w:lang w:val="zh-CN"/>
        </w:rPr>
        <w:t>电子签名/公章</w:t>
      </w:r>
      <w:r>
        <w:rPr>
          <w:rFonts w:ascii="宋体" w:hAnsi="宋体" w:cs="宋体"/>
          <w:kern w:val="0"/>
          <w:sz w:val="24"/>
        </w:rPr>
        <w:t>）：</w:t>
      </w:r>
    </w:p>
    <w:p>
      <w:pPr>
        <w:widowControl/>
        <w:adjustRightInd w:val="0"/>
        <w:snapToGrid w:val="0"/>
        <w:spacing w:line="360" w:lineRule="auto"/>
        <w:ind w:firstLine="480" w:firstLineChars="200"/>
        <w:jc w:val="left"/>
        <w:rPr>
          <w:rFonts w:hint="default"/>
          <w:kern w:val="0"/>
          <w:sz w:val="24"/>
        </w:rPr>
      </w:pPr>
      <w:r>
        <w:rPr>
          <w:rFonts w:hint="default"/>
          <w:kern w:val="0"/>
          <w:sz w:val="24"/>
        </w:rPr>
        <w:t>法定代表人或其授权代表（签字或盖章）：</w:t>
      </w:r>
    </w:p>
    <w:p>
      <w:pPr>
        <w:pStyle w:val="7"/>
        <w:adjustRightInd w:val="0"/>
        <w:snapToGrid w:val="0"/>
        <w:spacing w:beforeLines="0" w:afterLines="0" w:line="360" w:lineRule="auto"/>
        <w:ind w:firstLine="480" w:firstLineChars="200"/>
        <w:outlineLvl w:val="0"/>
        <w:rPr>
          <w:rFonts w:hint="default" w:ascii="Times New Roman" w:hAnsi="Times New Roman"/>
          <w:b/>
          <w:sz w:val="32"/>
          <w:szCs w:val="32"/>
        </w:rPr>
      </w:pPr>
      <w:bookmarkStart w:id="106" w:name="_Toc21299"/>
      <w:r>
        <w:rPr>
          <w:rFonts w:hint="default" w:ascii="Times New Roman" w:hAnsi="Times New Roman"/>
          <w:kern w:val="0"/>
        </w:rPr>
        <w:t>日期：年月日</w:t>
      </w:r>
      <w:bookmarkEnd w:id="106"/>
    </w:p>
    <w:p>
      <w:pPr>
        <w:pStyle w:val="73"/>
        <w:snapToGrid w:val="0"/>
        <w:spacing w:line="360" w:lineRule="auto"/>
        <w:ind w:left="360" w:firstLine="240" w:firstLineChars="100"/>
        <w:jc w:val="center"/>
        <w:rPr>
          <w:rFonts w:hint="default"/>
          <w:sz w:val="24"/>
          <w:szCs w:val="24"/>
        </w:rPr>
      </w:pPr>
    </w:p>
    <w:p>
      <w:pPr>
        <w:snapToGrid w:val="0"/>
        <w:spacing w:line="360" w:lineRule="auto"/>
        <w:ind w:firstLine="411" w:firstLineChars="196"/>
        <w:jc w:val="center"/>
        <w:rPr>
          <w:rFonts w:hint="default"/>
          <w:b/>
          <w:bCs/>
          <w:kern w:val="0"/>
          <w:sz w:val="36"/>
          <w:szCs w:val="36"/>
        </w:rPr>
      </w:pPr>
      <w:r>
        <w:rPr>
          <w:rFonts w:hint="default"/>
          <w:kern w:val="0"/>
        </w:rPr>
        <w:br w:type="page"/>
      </w:r>
      <w:bookmarkStart w:id="107" w:name="_Toc10672"/>
      <w:bookmarkStart w:id="108" w:name="_Toc24661"/>
      <w:r>
        <w:rPr>
          <w:rFonts w:hint="default"/>
          <w:b/>
          <w:bCs/>
          <w:kern w:val="0"/>
          <w:sz w:val="36"/>
          <w:szCs w:val="36"/>
        </w:rPr>
        <w:t>商务技术文件</w:t>
      </w:r>
    </w:p>
    <w:p>
      <w:pPr>
        <w:snapToGrid w:val="0"/>
        <w:spacing w:line="360" w:lineRule="auto"/>
        <w:ind w:left="570" w:firstLine="602"/>
        <w:jc w:val="center"/>
        <w:outlineLvl w:val="0"/>
        <w:rPr>
          <w:rFonts w:hint="default" w:ascii="宋体" w:hAnsi="宋体" w:cs="宋体"/>
          <w:b/>
          <w:sz w:val="30"/>
          <w:szCs w:val="30"/>
        </w:rPr>
      </w:pPr>
      <w:r>
        <w:rPr>
          <w:rFonts w:hint="default"/>
          <w:b/>
          <w:sz w:val="30"/>
          <w:szCs w:val="30"/>
          <w:lang w:val="zh-CN"/>
        </w:rPr>
        <w:t>一、</w:t>
      </w:r>
      <w:r>
        <w:rPr>
          <w:rFonts w:hint="default" w:ascii="宋体" w:hAnsi="宋体" w:cs="宋体"/>
          <w:b/>
          <w:sz w:val="30"/>
          <w:szCs w:val="30"/>
        </w:rPr>
        <w:t>投标响应函</w:t>
      </w:r>
    </w:p>
    <w:p>
      <w:pPr>
        <w:snapToGrid w:val="0"/>
        <w:spacing w:line="360" w:lineRule="auto"/>
        <w:ind w:firstLine="480"/>
        <w:rPr>
          <w:rFonts w:hint="default"/>
          <w:sz w:val="24"/>
        </w:rPr>
      </w:pPr>
      <w:r>
        <w:rPr>
          <w:sz w:val="24"/>
        </w:rPr>
        <w:t>浙江省中医院</w:t>
      </w:r>
    </w:p>
    <w:p>
      <w:pPr>
        <w:snapToGrid w:val="0"/>
        <w:spacing w:line="360" w:lineRule="auto"/>
        <w:ind w:firstLine="480"/>
        <w:rPr>
          <w:rFonts w:hint="default"/>
          <w:sz w:val="24"/>
        </w:rPr>
      </w:pPr>
      <w:r>
        <w:rPr>
          <w:rFonts w:hint="default"/>
          <w:sz w:val="24"/>
        </w:rPr>
        <w:t>浙江豪圣建设项目管理有限公司：</w:t>
      </w:r>
    </w:p>
    <w:p>
      <w:pPr>
        <w:snapToGrid w:val="0"/>
        <w:spacing w:line="360" w:lineRule="auto"/>
        <w:ind w:firstLine="480"/>
        <w:rPr>
          <w:rFonts w:hint="default"/>
          <w:sz w:val="24"/>
        </w:rPr>
      </w:pPr>
      <w:r>
        <w:rPr>
          <w:rFonts w:hint="default"/>
          <w:sz w:val="24"/>
        </w:rPr>
        <w:t>(投标人全称)授权(全权代表姓名)(职务、职称)为全权代表，参加贵方组织的</w:t>
      </w:r>
      <w:r>
        <w:rPr>
          <w:sz w:val="24"/>
          <w:u w:val="single"/>
        </w:rPr>
        <w:t>浙江省中医院钱塘院区4号楼阶梯会议室家具采购项目</w:t>
      </w:r>
      <w:r>
        <w:rPr>
          <w:rFonts w:hint="default"/>
          <w:sz w:val="24"/>
        </w:rPr>
        <w:t>(</w:t>
      </w:r>
      <w:r>
        <w:rPr>
          <w:sz w:val="24"/>
        </w:rPr>
        <w:t>项目编号</w:t>
      </w:r>
      <w:r>
        <w:rPr>
          <w:rFonts w:hint="default"/>
          <w:sz w:val="24"/>
        </w:rPr>
        <w:t>：</w:t>
      </w:r>
      <w:r>
        <w:rPr>
          <w:sz w:val="24"/>
        </w:rPr>
        <w:t>HSZB-2024-135</w:t>
      </w:r>
      <w:r>
        <w:rPr>
          <w:rFonts w:hint="default"/>
          <w:kern w:val="0"/>
          <w:sz w:val="24"/>
          <w:lang w:val="zh-CN"/>
        </w:rPr>
        <w:t>)</w:t>
      </w:r>
      <w:r>
        <w:rPr>
          <w:rFonts w:hint="default"/>
          <w:sz w:val="24"/>
        </w:rPr>
        <w:t>招标的有关活动，并对此项目进行投标。为此：</w:t>
      </w:r>
    </w:p>
    <w:p>
      <w:pPr>
        <w:snapToGrid w:val="0"/>
        <w:spacing w:line="360" w:lineRule="auto"/>
        <w:ind w:firstLine="480" w:firstLineChars="200"/>
        <w:rPr>
          <w:rFonts w:hint="default"/>
          <w:sz w:val="24"/>
        </w:rPr>
      </w:pPr>
      <w:r>
        <w:rPr>
          <w:rFonts w:hint="default"/>
          <w:sz w:val="24"/>
        </w:rPr>
        <w:t>1、我方同意在投标人</w:t>
      </w:r>
      <w:r>
        <w:rPr>
          <w:rFonts w:hint="default"/>
          <w:kern w:val="44"/>
          <w:sz w:val="24"/>
        </w:rPr>
        <w:t>编制和提交投标文件须知</w:t>
      </w:r>
      <w:r>
        <w:rPr>
          <w:rFonts w:hint="default"/>
          <w:sz w:val="24"/>
        </w:rPr>
        <w:t>规定的开标日期起遵守本投标书中的承诺且在投标有效期满之前均具有约束力。</w:t>
      </w:r>
    </w:p>
    <w:p>
      <w:pPr>
        <w:snapToGrid w:val="0"/>
        <w:spacing w:line="360" w:lineRule="auto"/>
        <w:ind w:firstLine="480" w:firstLineChars="200"/>
        <w:rPr>
          <w:rFonts w:hint="default"/>
          <w:sz w:val="24"/>
        </w:rPr>
      </w:pPr>
      <w:r>
        <w:rPr>
          <w:rFonts w:hint="default"/>
          <w:sz w:val="24"/>
        </w:rPr>
        <w:t>2、我方承诺已经具备《中华人民共和国政府采购法》中规定的参加政府采购活动的供应商应当具备的条件：</w:t>
      </w:r>
    </w:p>
    <w:p>
      <w:pPr>
        <w:snapToGrid w:val="0"/>
        <w:spacing w:line="360" w:lineRule="auto"/>
        <w:ind w:firstLine="480" w:firstLineChars="200"/>
        <w:rPr>
          <w:rFonts w:hint="default"/>
          <w:sz w:val="24"/>
        </w:rPr>
      </w:pPr>
      <w:r>
        <w:rPr>
          <w:rFonts w:hint="default"/>
          <w:sz w:val="24"/>
        </w:rPr>
        <w:t>(1)具有独立承担民事责任的能力；</w:t>
      </w:r>
    </w:p>
    <w:p>
      <w:pPr>
        <w:snapToGrid w:val="0"/>
        <w:spacing w:line="360" w:lineRule="auto"/>
        <w:ind w:firstLine="480" w:firstLineChars="200"/>
        <w:rPr>
          <w:rFonts w:hint="default"/>
          <w:sz w:val="24"/>
        </w:rPr>
      </w:pPr>
      <w:r>
        <w:rPr>
          <w:rFonts w:hint="default"/>
          <w:sz w:val="24"/>
        </w:rPr>
        <w:t>(2)遵守国家法律、行政法规，具有良好的信誉和商业道德；</w:t>
      </w:r>
    </w:p>
    <w:p>
      <w:pPr>
        <w:snapToGrid w:val="0"/>
        <w:spacing w:line="360" w:lineRule="auto"/>
        <w:ind w:firstLine="480" w:firstLineChars="200"/>
        <w:rPr>
          <w:rFonts w:hint="default"/>
          <w:sz w:val="24"/>
        </w:rPr>
      </w:pPr>
      <w:r>
        <w:rPr>
          <w:rFonts w:hint="default"/>
          <w:sz w:val="24"/>
        </w:rPr>
        <w:t>(3)具有履行合同的能力和良好的履行合同记录；</w:t>
      </w:r>
    </w:p>
    <w:p>
      <w:pPr>
        <w:snapToGrid w:val="0"/>
        <w:spacing w:line="360" w:lineRule="auto"/>
        <w:ind w:firstLine="480" w:firstLineChars="200"/>
        <w:rPr>
          <w:rFonts w:hint="default"/>
          <w:sz w:val="24"/>
        </w:rPr>
      </w:pPr>
      <w:r>
        <w:rPr>
          <w:rFonts w:hint="default"/>
          <w:sz w:val="24"/>
        </w:rPr>
        <w:t>(4)良好的资金、财务状况；</w:t>
      </w:r>
    </w:p>
    <w:p>
      <w:pPr>
        <w:snapToGrid w:val="0"/>
        <w:spacing w:line="360" w:lineRule="auto"/>
        <w:ind w:firstLine="480" w:firstLineChars="200"/>
        <w:rPr>
          <w:rFonts w:hint="default"/>
          <w:sz w:val="24"/>
        </w:rPr>
      </w:pPr>
      <w:r>
        <w:rPr>
          <w:rFonts w:hint="default"/>
          <w:sz w:val="24"/>
        </w:rPr>
        <w:t>(5)提供的产品和服务符合中国政府规定的相应标准和环保标准；</w:t>
      </w:r>
    </w:p>
    <w:p>
      <w:pPr>
        <w:snapToGrid w:val="0"/>
        <w:spacing w:line="360" w:lineRule="auto"/>
        <w:ind w:firstLine="480" w:firstLineChars="200"/>
        <w:rPr>
          <w:rFonts w:hint="default"/>
          <w:sz w:val="24"/>
        </w:rPr>
      </w:pPr>
      <w:r>
        <w:rPr>
          <w:rFonts w:hint="default"/>
          <w:sz w:val="24"/>
        </w:rPr>
        <w:t>(6)没有违反政府采购法规、政策的记录；</w:t>
      </w:r>
    </w:p>
    <w:p>
      <w:pPr>
        <w:snapToGrid w:val="0"/>
        <w:spacing w:line="360" w:lineRule="auto"/>
        <w:ind w:firstLine="480" w:firstLineChars="200"/>
        <w:rPr>
          <w:rFonts w:hint="default"/>
          <w:sz w:val="24"/>
        </w:rPr>
      </w:pPr>
      <w:r>
        <w:rPr>
          <w:rFonts w:hint="default"/>
          <w:sz w:val="24"/>
        </w:rPr>
        <w:t>(7)没有发生重大经济纠纷和走私犯罪记录。</w:t>
      </w:r>
    </w:p>
    <w:p>
      <w:pPr>
        <w:snapToGrid w:val="0"/>
        <w:spacing w:line="360" w:lineRule="auto"/>
        <w:ind w:firstLine="480" w:firstLineChars="200"/>
        <w:rPr>
          <w:rFonts w:hint="default"/>
          <w:sz w:val="24"/>
        </w:rPr>
      </w:pPr>
      <w:r>
        <w:rPr>
          <w:rFonts w:hint="default"/>
          <w:sz w:val="24"/>
        </w:rPr>
        <w:t>3、提供</w:t>
      </w:r>
      <w:r>
        <w:rPr>
          <w:rFonts w:hint="default"/>
          <w:kern w:val="44"/>
          <w:sz w:val="24"/>
        </w:rPr>
        <w:t>编制和提交投标文件须知</w:t>
      </w:r>
      <w:r>
        <w:rPr>
          <w:rFonts w:hint="default"/>
          <w:sz w:val="24"/>
        </w:rPr>
        <w:t>规定的全部投标文件，包括资格文件、报价文件、商务技术文件。具体内容为：</w:t>
      </w:r>
    </w:p>
    <w:p>
      <w:pPr>
        <w:snapToGrid w:val="0"/>
        <w:spacing w:line="360" w:lineRule="auto"/>
        <w:ind w:firstLine="480" w:firstLineChars="200"/>
        <w:rPr>
          <w:rFonts w:hint="default"/>
          <w:sz w:val="24"/>
        </w:rPr>
      </w:pPr>
      <w:r>
        <w:rPr>
          <w:rFonts w:hint="default"/>
          <w:sz w:val="24"/>
        </w:rPr>
        <w:t>(1)资格文件</w:t>
      </w:r>
      <w:r>
        <w:rPr>
          <w:sz w:val="24"/>
        </w:rPr>
        <w:t>；</w:t>
      </w:r>
    </w:p>
    <w:p>
      <w:pPr>
        <w:snapToGrid w:val="0"/>
        <w:spacing w:line="360" w:lineRule="auto"/>
        <w:ind w:firstLine="480" w:firstLineChars="200"/>
        <w:rPr>
          <w:rFonts w:hint="default"/>
          <w:sz w:val="24"/>
        </w:rPr>
      </w:pPr>
      <w:r>
        <w:rPr>
          <w:rFonts w:hint="default"/>
          <w:sz w:val="24"/>
        </w:rPr>
        <w:t>(2)报价文件；</w:t>
      </w:r>
    </w:p>
    <w:p>
      <w:pPr>
        <w:snapToGrid w:val="0"/>
        <w:spacing w:line="360" w:lineRule="auto"/>
        <w:ind w:firstLine="480" w:firstLineChars="200"/>
        <w:rPr>
          <w:rFonts w:hint="default"/>
          <w:sz w:val="24"/>
        </w:rPr>
      </w:pPr>
      <w:r>
        <w:rPr>
          <w:rFonts w:hint="default"/>
          <w:sz w:val="24"/>
        </w:rPr>
        <w:t>(3)</w:t>
      </w:r>
      <w:r>
        <w:rPr>
          <w:rFonts w:hint="default"/>
          <w:sz w:val="24"/>
          <w:lang w:val="zh-CN"/>
        </w:rPr>
        <w:t>商务</w:t>
      </w:r>
      <w:r>
        <w:rPr>
          <w:rFonts w:hint="default"/>
          <w:kern w:val="0"/>
          <w:sz w:val="24"/>
          <w:lang w:val="zh-CN"/>
        </w:rPr>
        <w:t>技术文件</w:t>
      </w:r>
      <w:r>
        <w:rPr>
          <w:rFonts w:hint="default"/>
          <w:sz w:val="24"/>
        </w:rPr>
        <w:t>；</w:t>
      </w:r>
    </w:p>
    <w:p>
      <w:pPr>
        <w:snapToGrid w:val="0"/>
        <w:spacing w:line="360" w:lineRule="auto"/>
        <w:ind w:firstLine="480" w:firstLineChars="200"/>
        <w:rPr>
          <w:rFonts w:hint="default"/>
          <w:sz w:val="24"/>
        </w:rPr>
      </w:pPr>
      <w:r>
        <w:rPr>
          <w:rFonts w:hint="default"/>
          <w:sz w:val="24"/>
        </w:rPr>
        <w:t>(4)</w:t>
      </w:r>
      <w:r>
        <w:rPr>
          <w:rFonts w:hint="default"/>
          <w:kern w:val="44"/>
          <w:sz w:val="24"/>
        </w:rPr>
        <w:t>编制和提交投标文件须知</w:t>
      </w:r>
      <w:r>
        <w:rPr>
          <w:rFonts w:hint="default"/>
          <w:sz w:val="24"/>
        </w:rPr>
        <w:t>要求投标人提交的全部文件；</w:t>
      </w:r>
    </w:p>
    <w:p>
      <w:pPr>
        <w:snapToGrid w:val="0"/>
        <w:spacing w:line="360" w:lineRule="auto"/>
        <w:ind w:firstLine="480" w:firstLineChars="200"/>
        <w:rPr>
          <w:rFonts w:hint="default"/>
          <w:sz w:val="24"/>
        </w:rPr>
      </w:pPr>
      <w:r>
        <w:rPr>
          <w:rFonts w:hint="default"/>
          <w:sz w:val="24"/>
        </w:rPr>
        <w:t>(5)按采购文件要求提供和交付的货物和服务的投标报价详见开标一览表；</w:t>
      </w:r>
    </w:p>
    <w:p>
      <w:pPr>
        <w:snapToGrid w:val="0"/>
        <w:spacing w:line="360" w:lineRule="auto"/>
        <w:ind w:firstLine="480" w:firstLineChars="200"/>
        <w:rPr>
          <w:rFonts w:hint="default"/>
          <w:sz w:val="24"/>
        </w:rPr>
      </w:pPr>
      <w:r>
        <w:rPr>
          <w:rFonts w:hint="default"/>
          <w:sz w:val="24"/>
        </w:rPr>
        <w:t>(6)保证忠实地执行双方所签订的合同，并承担合同规定的责任和义务；</w:t>
      </w:r>
    </w:p>
    <w:p>
      <w:pPr>
        <w:snapToGrid w:val="0"/>
        <w:spacing w:line="360" w:lineRule="auto"/>
        <w:ind w:firstLine="480" w:firstLineChars="200"/>
        <w:rPr>
          <w:rFonts w:hint="default"/>
          <w:sz w:val="24"/>
        </w:rPr>
      </w:pPr>
      <w:r>
        <w:rPr>
          <w:rFonts w:hint="default"/>
          <w:sz w:val="24"/>
        </w:rPr>
        <w:t>(7)保证遵守采购文件中的其他有关规定。</w:t>
      </w:r>
    </w:p>
    <w:p>
      <w:pPr>
        <w:snapToGrid w:val="0"/>
        <w:spacing w:line="360" w:lineRule="auto"/>
        <w:ind w:firstLine="480" w:firstLineChars="200"/>
        <w:rPr>
          <w:rFonts w:hint="default"/>
          <w:sz w:val="24"/>
        </w:rPr>
      </w:pPr>
      <w:r>
        <w:rPr>
          <w:rFonts w:hint="default"/>
          <w:sz w:val="24"/>
        </w:rPr>
        <w:t>4、投标有效期内不撤销投标文件；强行撤销的，承诺按本项目预算金额的2%赔偿对采购代理机构造成的损失。</w:t>
      </w:r>
    </w:p>
    <w:p>
      <w:pPr>
        <w:snapToGrid w:val="0"/>
        <w:spacing w:line="360" w:lineRule="auto"/>
        <w:ind w:firstLine="480" w:firstLineChars="200"/>
        <w:rPr>
          <w:rFonts w:hint="default"/>
          <w:sz w:val="24"/>
        </w:rPr>
      </w:pPr>
      <w:r>
        <w:rPr>
          <w:rFonts w:hint="default"/>
          <w:sz w:val="24"/>
        </w:rPr>
        <w:t>5、我方完全理解贵方不一定要接受最低价的投标。</w:t>
      </w:r>
    </w:p>
    <w:p>
      <w:pPr>
        <w:snapToGrid w:val="0"/>
        <w:spacing w:line="360" w:lineRule="auto"/>
        <w:ind w:firstLine="480" w:firstLineChars="200"/>
        <w:rPr>
          <w:rFonts w:hint="default"/>
          <w:sz w:val="24"/>
        </w:rPr>
      </w:pPr>
      <w:r>
        <w:rPr>
          <w:rFonts w:hint="default"/>
          <w:sz w:val="24"/>
        </w:rPr>
        <w:t>6、如中标，按采购文件规定与采购人签订合同。</w:t>
      </w:r>
    </w:p>
    <w:p>
      <w:pPr>
        <w:snapToGrid w:val="0"/>
        <w:spacing w:line="360" w:lineRule="auto"/>
        <w:ind w:firstLine="480" w:firstLineChars="200"/>
        <w:rPr>
          <w:rFonts w:hint="default"/>
          <w:sz w:val="24"/>
        </w:rPr>
      </w:pPr>
      <w:r>
        <w:rPr>
          <w:rFonts w:hint="default"/>
          <w:sz w:val="24"/>
        </w:rPr>
        <w:t>7、如中标，按采购文件规定的招标代理服务费标准，承诺向采购代理机构支付招标代理服务费。</w:t>
      </w:r>
      <w:r>
        <w:rPr>
          <w:rFonts w:hint="default"/>
          <w:b/>
          <w:bCs/>
          <w:sz w:val="24"/>
        </w:rPr>
        <w:t>由于</w:t>
      </w:r>
      <w:r>
        <w:rPr>
          <w:b/>
          <w:bCs/>
          <w:sz w:val="24"/>
        </w:rPr>
        <w:t>我方</w:t>
      </w:r>
      <w:r>
        <w:rPr>
          <w:rFonts w:hint="default"/>
          <w:b/>
          <w:bCs/>
          <w:sz w:val="24"/>
        </w:rPr>
        <w:t>原因导致重新采购的，</w:t>
      </w:r>
      <w:r>
        <w:rPr>
          <w:b/>
          <w:bCs/>
          <w:sz w:val="24"/>
        </w:rPr>
        <w:t>承诺承担</w:t>
      </w:r>
      <w:r>
        <w:rPr>
          <w:rFonts w:hint="default"/>
          <w:b/>
          <w:bCs/>
          <w:sz w:val="24"/>
        </w:rPr>
        <w:t>支付代理费和专家评审费等费用在内的赔偿责任</w:t>
      </w:r>
      <w:r>
        <w:rPr>
          <w:b/>
          <w:bCs/>
          <w:sz w:val="24"/>
        </w:rPr>
        <w:t>。</w:t>
      </w:r>
    </w:p>
    <w:p>
      <w:pPr>
        <w:snapToGrid w:val="0"/>
        <w:spacing w:line="360" w:lineRule="auto"/>
        <w:ind w:firstLine="480" w:firstLineChars="200"/>
        <w:rPr>
          <w:rFonts w:hint="default"/>
          <w:sz w:val="24"/>
        </w:rPr>
      </w:pPr>
      <w:r>
        <w:rPr>
          <w:rFonts w:hint="default"/>
          <w:sz w:val="24"/>
        </w:rPr>
        <w:t>8、我方愿意向贵方提供任何与该项投标有关的数据、情况和服务资料。若贵方需要，我方愿意提供我方作出的一切承诺的证明材料。</w:t>
      </w:r>
    </w:p>
    <w:p>
      <w:pPr>
        <w:snapToGrid w:val="0"/>
        <w:spacing w:line="360" w:lineRule="auto"/>
        <w:ind w:firstLine="480" w:firstLineChars="200"/>
        <w:rPr>
          <w:rFonts w:hint="default"/>
          <w:sz w:val="24"/>
        </w:rPr>
      </w:pPr>
      <w:r>
        <w:rPr>
          <w:rFonts w:hint="default"/>
          <w:sz w:val="24"/>
        </w:rPr>
        <w:t>9、我方已详细审核全部采购文件，包括采购文件修改书（如有的话）、参考资料及有关附件，确认无误。我方完全理解并接受采购文件的各项规定和要求，对采购文件的合理性、合法性不再有异议。</w:t>
      </w:r>
    </w:p>
    <w:p>
      <w:pPr>
        <w:snapToGrid w:val="0"/>
        <w:spacing w:line="360" w:lineRule="auto"/>
        <w:ind w:firstLine="480" w:firstLineChars="200"/>
        <w:rPr>
          <w:rFonts w:hint="default"/>
          <w:sz w:val="24"/>
        </w:rPr>
      </w:pPr>
      <w:r>
        <w:rPr>
          <w:rFonts w:hint="default"/>
          <w:sz w:val="24"/>
        </w:rPr>
        <w:t>10、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snapToGrid w:val="0"/>
        <w:spacing w:line="360" w:lineRule="auto"/>
        <w:ind w:firstLine="480" w:firstLineChars="200"/>
        <w:rPr>
          <w:rFonts w:hint="default"/>
          <w:sz w:val="24"/>
        </w:rPr>
      </w:pPr>
      <w:r>
        <w:rPr>
          <w:rFonts w:hint="default"/>
          <w:sz w:val="24"/>
        </w:rPr>
        <w:t>(1)提供虚假材料谋取中标、成交的；</w:t>
      </w:r>
    </w:p>
    <w:p>
      <w:pPr>
        <w:snapToGrid w:val="0"/>
        <w:spacing w:line="360" w:lineRule="auto"/>
        <w:ind w:firstLine="480" w:firstLineChars="200"/>
        <w:rPr>
          <w:rFonts w:hint="default"/>
          <w:sz w:val="24"/>
        </w:rPr>
      </w:pPr>
      <w:r>
        <w:rPr>
          <w:rFonts w:hint="default"/>
          <w:sz w:val="24"/>
        </w:rPr>
        <w:t>(2)采取不正当手段诋毁、排挤其他供应商的；</w:t>
      </w:r>
    </w:p>
    <w:p>
      <w:pPr>
        <w:snapToGrid w:val="0"/>
        <w:spacing w:line="360" w:lineRule="auto"/>
        <w:ind w:firstLine="480" w:firstLineChars="200"/>
        <w:rPr>
          <w:rFonts w:hint="default"/>
          <w:sz w:val="24"/>
        </w:rPr>
      </w:pPr>
      <w:r>
        <w:rPr>
          <w:rFonts w:hint="default"/>
          <w:sz w:val="24"/>
        </w:rPr>
        <w:t>(3)与采购人、其它供应商或者采购代理机构恶意串通的；</w:t>
      </w:r>
    </w:p>
    <w:p>
      <w:pPr>
        <w:snapToGrid w:val="0"/>
        <w:spacing w:line="360" w:lineRule="auto"/>
        <w:ind w:firstLine="480" w:firstLineChars="200"/>
        <w:rPr>
          <w:rFonts w:hint="default"/>
          <w:sz w:val="24"/>
        </w:rPr>
      </w:pPr>
      <w:r>
        <w:rPr>
          <w:rFonts w:hint="default"/>
          <w:sz w:val="24"/>
        </w:rPr>
        <w:t>(4)向采购人、采购代理机构行贿或者提供其他不正当利益的；</w:t>
      </w:r>
    </w:p>
    <w:p>
      <w:pPr>
        <w:snapToGrid w:val="0"/>
        <w:spacing w:line="360" w:lineRule="auto"/>
        <w:ind w:firstLine="480" w:firstLineChars="200"/>
        <w:rPr>
          <w:rFonts w:hint="default"/>
          <w:sz w:val="24"/>
        </w:rPr>
      </w:pPr>
      <w:r>
        <w:rPr>
          <w:rFonts w:hint="default"/>
          <w:sz w:val="24"/>
        </w:rPr>
        <w:t>(5)在采购过程中与采购人进行协商谈判的；</w:t>
      </w:r>
    </w:p>
    <w:p>
      <w:pPr>
        <w:snapToGrid w:val="0"/>
        <w:spacing w:line="360" w:lineRule="auto"/>
        <w:ind w:firstLine="480" w:firstLineChars="200"/>
        <w:rPr>
          <w:rFonts w:hint="default"/>
          <w:sz w:val="24"/>
        </w:rPr>
      </w:pPr>
      <w:r>
        <w:rPr>
          <w:rFonts w:hint="default"/>
          <w:sz w:val="24"/>
        </w:rPr>
        <w:t>(6)拒绝有关部门监督检查或提供虚假情况的。</w:t>
      </w:r>
    </w:p>
    <w:p>
      <w:pPr>
        <w:snapToGrid w:val="0"/>
        <w:spacing w:line="360" w:lineRule="auto"/>
        <w:ind w:firstLine="480" w:firstLineChars="200"/>
        <w:rPr>
          <w:rFonts w:hint="default"/>
          <w:sz w:val="24"/>
        </w:rPr>
      </w:pPr>
      <w:r>
        <w:rPr>
          <w:rFonts w:hint="default"/>
          <w:sz w:val="24"/>
        </w:rPr>
        <w:t>供应商有前款第(1)至(5)项情形之一的，中标、成交无效。</w:t>
      </w:r>
    </w:p>
    <w:p>
      <w:pPr>
        <w:snapToGrid w:val="0"/>
        <w:spacing w:line="360" w:lineRule="auto"/>
        <w:ind w:firstLine="480" w:firstLineChars="200"/>
        <w:rPr>
          <w:rFonts w:hint="default"/>
          <w:kern w:val="0"/>
          <w:sz w:val="24"/>
        </w:rPr>
      </w:pPr>
      <w:r>
        <w:rPr>
          <w:rFonts w:hint="default"/>
          <w:kern w:val="0"/>
          <w:sz w:val="24"/>
          <w:lang w:val="zh-CN"/>
        </w:rPr>
        <w:t>法定（授权）代表人（签字</w:t>
      </w:r>
      <w:r>
        <w:rPr>
          <w:rFonts w:hint="default"/>
          <w:kern w:val="0"/>
          <w:sz w:val="24"/>
        </w:rPr>
        <w:t>或盖章</w:t>
      </w:r>
      <w:r>
        <w:rPr>
          <w:rFonts w:hint="default"/>
          <w:kern w:val="0"/>
          <w:sz w:val="24"/>
          <w:lang w:val="zh-CN"/>
        </w:rPr>
        <w:t>）：</w:t>
      </w:r>
      <w:r>
        <w:rPr>
          <w:rFonts w:hint="default"/>
          <w:kern w:val="0"/>
          <w:sz w:val="24"/>
        </w:rPr>
        <w:tab/>
      </w:r>
    </w:p>
    <w:p>
      <w:pPr>
        <w:snapToGrid w:val="0"/>
        <w:spacing w:line="360" w:lineRule="auto"/>
        <w:ind w:firstLine="480" w:firstLineChars="200"/>
        <w:rPr>
          <w:rFonts w:hint="default"/>
          <w:kern w:val="0"/>
          <w:sz w:val="24"/>
          <w:u w:val="single"/>
          <w:lang w:val="zh-CN"/>
        </w:rPr>
      </w:pPr>
      <w:r>
        <w:rPr>
          <w:rFonts w:ascii="宋体" w:hAnsi="宋体" w:cs="宋体"/>
          <w:kern w:val="0"/>
          <w:sz w:val="24"/>
        </w:rPr>
        <w:t>供应商（</w:t>
      </w:r>
      <w:r>
        <w:rPr>
          <w:rFonts w:ascii="宋体" w:hAnsi="宋体" w:cs="宋体"/>
          <w:kern w:val="0"/>
          <w:sz w:val="24"/>
          <w:lang w:val="zh-CN"/>
        </w:rPr>
        <w:t>电子签名/公章</w:t>
      </w:r>
      <w:r>
        <w:rPr>
          <w:rFonts w:ascii="宋体" w:hAnsi="宋体" w:cs="宋体"/>
          <w:kern w:val="0"/>
          <w:sz w:val="24"/>
        </w:rPr>
        <w:t>）</w:t>
      </w:r>
      <w:r>
        <w:rPr>
          <w:rFonts w:hint="default"/>
          <w:kern w:val="0"/>
          <w:sz w:val="24"/>
          <w:lang w:val="zh-CN"/>
        </w:rPr>
        <w:t>：</w:t>
      </w:r>
    </w:p>
    <w:p>
      <w:pPr>
        <w:snapToGrid w:val="0"/>
        <w:spacing w:line="360" w:lineRule="auto"/>
        <w:ind w:firstLine="480" w:firstLineChars="200"/>
        <w:rPr>
          <w:rFonts w:hint="default"/>
          <w:kern w:val="0"/>
          <w:sz w:val="24"/>
        </w:rPr>
      </w:pPr>
      <w:r>
        <w:rPr>
          <w:rFonts w:hint="default"/>
          <w:kern w:val="0"/>
          <w:sz w:val="24"/>
          <w:lang w:val="zh-CN"/>
        </w:rPr>
        <w:t>联系电话：传真：电子邮件：</w:t>
      </w:r>
    </w:p>
    <w:p>
      <w:pPr>
        <w:snapToGrid w:val="0"/>
        <w:spacing w:line="360" w:lineRule="auto"/>
        <w:ind w:firstLine="480" w:firstLineChars="200"/>
        <w:rPr>
          <w:rFonts w:hint="default"/>
          <w:kern w:val="0"/>
          <w:sz w:val="24"/>
        </w:rPr>
      </w:pPr>
      <w:r>
        <w:rPr>
          <w:rFonts w:hint="default"/>
          <w:kern w:val="0"/>
          <w:sz w:val="24"/>
          <w:lang w:val="zh-CN"/>
        </w:rPr>
        <w:t>联系地址：</w:t>
      </w:r>
      <w:r>
        <w:rPr>
          <w:rFonts w:hint="default"/>
          <w:kern w:val="0"/>
          <w:sz w:val="24"/>
        </w:rPr>
        <w:tab/>
      </w:r>
    </w:p>
    <w:p>
      <w:pPr>
        <w:snapToGrid w:val="0"/>
        <w:spacing w:line="360" w:lineRule="auto"/>
        <w:ind w:firstLine="480" w:firstLineChars="200"/>
        <w:rPr>
          <w:rFonts w:hint="default"/>
          <w:kern w:val="0"/>
          <w:sz w:val="24"/>
        </w:rPr>
      </w:pPr>
      <w:r>
        <w:rPr>
          <w:rFonts w:hint="default"/>
          <w:kern w:val="0"/>
          <w:sz w:val="24"/>
          <w:lang w:val="zh-CN"/>
        </w:rPr>
        <w:t>邮政编码：传真号码：</w:t>
      </w:r>
    </w:p>
    <w:p>
      <w:pPr>
        <w:snapToGrid w:val="0"/>
        <w:spacing w:line="360" w:lineRule="auto"/>
        <w:ind w:firstLine="480" w:firstLineChars="200"/>
        <w:rPr>
          <w:rFonts w:hint="default"/>
          <w:kern w:val="0"/>
          <w:sz w:val="24"/>
          <w:u w:val="single"/>
        </w:rPr>
      </w:pPr>
      <w:r>
        <w:rPr>
          <w:rFonts w:hint="default"/>
          <w:kern w:val="0"/>
          <w:sz w:val="24"/>
          <w:lang w:val="zh-CN"/>
        </w:rPr>
        <w:t>日期</w:t>
      </w:r>
      <w:r>
        <w:rPr>
          <w:rFonts w:hint="default"/>
          <w:kern w:val="0"/>
          <w:sz w:val="24"/>
        </w:rPr>
        <w:t>：</w:t>
      </w:r>
      <w:r>
        <w:rPr>
          <w:rFonts w:hint="default"/>
          <w:kern w:val="0"/>
          <w:sz w:val="24"/>
          <w:lang w:val="zh-CN"/>
        </w:rPr>
        <w:t>年</w:t>
      </w:r>
      <w:r>
        <w:rPr>
          <w:rFonts w:hint="default"/>
          <w:kern w:val="0"/>
          <w:sz w:val="24"/>
        </w:rPr>
        <w:tab/>
      </w:r>
      <w:r>
        <w:rPr>
          <w:rFonts w:hint="default"/>
          <w:kern w:val="0"/>
          <w:sz w:val="24"/>
          <w:lang w:val="zh-CN"/>
        </w:rPr>
        <w:t>月日</w:t>
      </w:r>
    </w:p>
    <w:p>
      <w:pPr>
        <w:snapToGrid w:val="0"/>
        <w:spacing w:line="360" w:lineRule="auto"/>
        <w:ind w:firstLine="482"/>
        <w:rPr>
          <w:rFonts w:hint="default"/>
          <w:b/>
          <w:bCs/>
          <w:kern w:val="0"/>
          <w:sz w:val="24"/>
          <w:lang w:val="zh-CN"/>
        </w:rPr>
      </w:pPr>
      <w:r>
        <w:rPr>
          <w:rFonts w:hint="default"/>
          <w:b/>
          <w:bCs/>
          <w:kern w:val="0"/>
          <w:sz w:val="24"/>
          <w:lang w:val="zh-CN"/>
        </w:rPr>
        <w:t>注：未按照本投标响应函要求填报的将被视为非实质性响应，从而可能导致该投标文件被拒绝。</w:t>
      </w:r>
    </w:p>
    <w:p>
      <w:pPr>
        <w:pStyle w:val="2"/>
        <w:rPr>
          <w:color w:val="auto"/>
          <w:lang w:val="zh-CN"/>
        </w:rPr>
      </w:pPr>
    </w:p>
    <w:p>
      <w:pPr>
        <w:pStyle w:val="16"/>
        <w:ind w:firstLine="344"/>
        <w:rPr>
          <w:rFonts w:hint="default" w:ascii="Times New Roman" w:hAnsi="Times New Roman"/>
          <w:lang w:val="zh-CN"/>
        </w:rPr>
      </w:pPr>
    </w:p>
    <w:p>
      <w:pPr>
        <w:snapToGrid w:val="0"/>
        <w:spacing w:before="50" w:after="156" w:afterLines="50" w:line="360" w:lineRule="auto"/>
        <w:ind w:firstLine="602"/>
        <w:jc w:val="center"/>
        <w:rPr>
          <w:rFonts w:hint="default" w:ascii="宋体" w:hAnsi="宋体" w:cs="宋体"/>
          <w:b/>
          <w:sz w:val="30"/>
          <w:szCs w:val="30"/>
        </w:rPr>
        <w:sectPr>
          <w:headerReference r:id="rId10" w:type="default"/>
          <w:footerReference r:id="rId11" w:type="default"/>
          <w:pgSz w:w="11906" w:h="16838"/>
          <w:pgMar w:top="1134" w:right="1247" w:bottom="1247" w:left="1304" w:header="794" w:footer="794" w:gutter="0"/>
          <w:cols w:space="720" w:num="1"/>
          <w:docGrid w:type="lines" w:linePitch="312" w:charSpace="0"/>
        </w:sectPr>
      </w:pPr>
    </w:p>
    <w:p>
      <w:pPr>
        <w:snapToGrid w:val="0"/>
        <w:spacing w:before="50" w:after="156" w:afterLines="50" w:line="360" w:lineRule="auto"/>
        <w:ind w:firstLine="602"/>
        <w:jc w:val="center"/>
        <w:rPr>
          <w:rFonts w:hint="default"/>
          <w:b/>
          <w:sz w:val="30"/>
          <w:szCs w:val="30"/>
          <w:lang w:val="zh-CN"/>
        </w:rPr>
      </w:pPr>
      <w:r>
        <w:rPr>
          <w:rFonts w:hint="default" w:ascii="宋体" w:hAnsi="宋体" w:cs="宋体"/>
          <w:b/>
          <w:sz w:val="30"/>
          <w:szCs w:val="30"/>
        </w:rPr>
        <w:t>二、</w:t>
      </w:r>
      <w:r>
        <w:rPr>
          <w:rFonts w:hint="default"/>
          <w:b/>
          <w:sz w:val="30"/>
          <w:szCs w:val="30"/>
          <w:lang w:val="zh-CN"/>
        </w:rPr>
        <w:t>法定代表人授权委托书</w:t>
      </w:r>
      <w:bookmarkEnd w:id="107"/>
      <w:bookmarkEnd w:id="108"/>
    </w:p>
    <w:p>
      <w:pPr>
        <w:snapToGrid w:val="0"/>
        <w:spacing w:line="360" w:lineRule="auto"/>
        <w:ind w:firstLine="480"/>
        <w:rPr>
          <w:rFonts w:hint="default"/>
          <w:sz w:val="24"/>
        </w:rPr>
      </w:pPr>
      <w:r>
        <w:rPr>
          <w:sz w:val="24"/>
        </w:rPr>
        <w:t>浙江省中医院</w:t>
      </w:r>
    </w:p>
    <w:p>
      <w:pPr>
        <w:snapToGrid w:val="0"/>
        <w:spacing w:line="360" w:lineRule="auto"/>
        <w:ind w:firstLine="480"/>
        <w:rPr>
          <w:rFonts w:hint="default"/>
          <w:sz w:val="24"/>
        </w:rPr>
      </w:pPr>
      <w:r>
        <w:rPr>
          <w:rFonts w:hint="default"/>
          <w:sz w:val="24"/>
        </w:rPr>
        <w:t>浙江豪圣建设项目管理有限公司：</w:t>
      </w:r>
    </w:p>
    <w:p>
      <w:pPr>
        <w:snapToGrid w:val="0"/>
        <w:spacing w:line="360" w:lineRule="auto"/>
        <w:ind w:firstLine="480" w:firstLineChars="200"/>
        <w:rPr>
          <w:rFonts w:hint="default"/>
          <w:sz w:val="24"/>
        </w:rPr>
      </w:pPr>
      <w:r>
        <w:rPr>
          <w:rFonts w:hint="default"/>
          <w:kern w:val="0"/>
          <w:sz w:val="24"/>
          <w:lang w:val="zh-CN"/>
        </w:rPr>
        <w:t>兹委派我公司</w:t>
      </w:r>
      <w:r>
        <w:rPr>
          <w:kern w:val="0"/>
          <w:sz w:val="24"/>
          <w:u w:val="single"/>
        </w:rPr>
        <w:t xml:space="preserve">  </w:t>
      </w:r>
      <w:r>
        <w:rPr>
          <w:rFonts w:hint="default"/>
          <w:kern w:val="0"/>
          <w:sz w:val="24"/>
          <w:lang w:val="zh-CN"/>
        </w:rPr>
        <w:t>先生/女士(其在本公司的职务是：</w:t>
      </w:r>
      <w:r>
        <w:rPr>
          <w:kern w:val="0"/>
          <w:sz w:val="24"/>
          <w:u w:val="single"/>
        </w:rPr>
        <w:t xml:space="preserve">  </w:t>
      </w:r>
      <w:r>
        <w:rPr>
          <w:rFonts w:hint="default"/>
          <w:kern w:val="0"/>
          <w:sz w:val="24"/>
          <w:lang w:val="zh-CN"/>
        </w:rPr>
        <w:t>，联系电话：</w:t>
      </w:r>
      <w:r>
        <w:rPr>
          <w:kern w:val="0"/>
          <w:sz w:val="24"/>
          <w:u w:val="single"/>
        </w:rPr>
        <w:t xml:space="preserve">  </w:t>
      </w:r>
      <w:r>
        <w:rPr>
          <w:rFonts w:hint="default"/>
          <w:kern w:val="0"/>
          <w:sz w:val="24"/>
          <w:lang w:val="zh-CN"/>
        </w:rPr>
        <w:t>手机：</w:t>
      </w:r>
      <w:r>
        <w:rPr>
          <w:kern w:val="0"/>
          <w:sz w:val="24"/>
          <w:u w:val="single"/>
        </w:rPr>
        <w:t xml:space="preserve">  </w:t>
      </w:r>
      <w:r>
        <w:rPr>
          <w:rFonts w:hint="default"/>
          <w:kern w:val="0"/>
          <w:sz w:val="24"/>
          <w:lang w:val="zh-CN"/>
        </w:rPr>
        <w:t>传真：</w:t>
      </w:r>
      <w:r>
        <w:rPr>
          <w:kern w:val="0"/>
          <w:sz w:val="24"/>
          <w:u w:val="single"/>
        </w:rPr>
        <w:t xml:space="preserve">  </w:t>
      </w:r>
      <w:r>
        <w:rPr>
          <w:rFonts w:hint="default"/>
          <w:kern w:val="0"/>
          <w:sz w:val="24"/>
          <w:lang w:val="zh-CN"/>
        </w:rPr>
        <w:t>)，代表我公司全权处理</w:t>
      </w:r>
      <w:r>
        <w:rPr>
          <w:sz w:val="24"/>
          <w:u w:val="single"/>
        </w:rPr>
        <w:t>浙江省中医院钱塘院区4号楼阶梯会议室家具采购项目</w:t>
      </w:r>
      <w:r>
        <w:rPr>
          <w:rFonts w:hint="default"/>
          <w:sz w:val="24"/>
        </w:rPr>
        <w:t>(项目编号：</w:t>
      </w:r>
      <w:r>
        <w:rPr>
          <w:sz w:val="24"/>
          <w:u w:val="single"/>
        </w:rPr>
        <w:t>HSZB-2024-135</w:t>
      </w:r>
      <w:r>
        <w:rPr>
          <w:rFonts w:hint="default"/>
          <w:sz w:val="24"/>
        </w:rPr>
        <w:t>)政府采购投标的一切事项，若中标则全权代表本公司签订相关合同，</w:t>
      </w:r>
      <w:r>
        <w:rPr>
          <w:rFonts w:hint="default"/>
          <w:kern w:val="0"/>
          <w:sz w:val="24"/>
          <w:lang w:val="zh-CN"/>
        </w:rPr>
        <w:t>并负责处理合同履行等事宜。</w:t>
      </w:r>
    </w:p>
    <w:p>
      <w:pPr>
        <w:snapToGrid w:val="0"/>
        <w:spacing w:line="360" w:lineRule="auto"/>
        <w:ind w:firstLine="480"/>
        <w:rPr>
          <w:rFonts w:hint="default"/>
          <w:kern w:val="0"/>
          <w:sz w:val="24"/>
        </w:rPr>
      </w:pPr>
      <w:r>
        <w:rPr>
          <w:rFonts w:hint="default"/>
          <w:kern w:val="0"/>
          <w:sz w:val="24"/>
          <w:lang w:val="zh-CN"/>
        </w:rPr>
        <w:t>特此告知。</w:t>
      </w:r>
    </w:p>
    <w:p>
      <w:pPr>
        <w:snapToGrid w:val="0"/>
        <w:spacing w:line="360" w:lineRule="auto"/>
        <w:ind w:firstLine="480"/>
        <w:jc w:val="left"/>
        <w:rPr>
          <w:rFonts w:hint="default"/>
          <w:kern w:val="0"/>
          <w:sz w:val="24"/>
        </w:rPr>
      </w:pPr>
    </w:p>
    <w:p>
      <w:pPr>
        <w:adjustRightInd w:val="0"/>
        <w:snapToGrid w:val="0"/>
        <w:spacing w:line="360" w:lineRule="auto"/>
        <w:ind w:firstLine="480" w:firstLineChars="200"/>
        <w:rPr>
          <w:rFonts w:hint="default" w:ascii="宋体" w:hAnsi="宋体" w:cs="宋体"/>
          <w:kern w:val="0"/>
          <w:sz w:val="24"/>
        </w:rPr>
      </w:pPr>
      <w:r>
        <w:rPr>
          <w:rFonts w:ascii="宋体" w:hAnsi="宋体" w:cs="宋体"/>
          <w:kern w:val="0"/>
          <w:sz w:val="24"/>
        </w:rPr>
        <w:t>供应商（</w:t>
      </w:r>
      <w:r>
        <w:rPr>
          <w:rFonts w:ascii="宋体" w:hAnsi="宋体" w:cs="宋体"/>
          <w:kern w:val="0"/>
          <w:sz w:val="24"/>
          <w:lang w:val="zh-CN"/>
        </w:rPr>
        <w:t>电子签名/公章</w:t>
      </w:r>
      <w:r>
        <w:rPr>
          <w:rFonts w:ascii="宋体" w:hAnsi="宋体" w:cs="宋体"/>
          <w:kern w:val="0"/>
          <w:sz w:val="24"/>
        </w:rPr>
        <w:t>）：</w:t>
      </w:r>
    </w:p>
    <w:p>
      <w:pPr>
        <w:widowControl/>
        <w:adjustRightInd w:val="0"/>
        <w:snapToGrid w:val="0"/>
        <w:spacing w:line="360" w:lineRule="auto"/>
        <w:ind w:firstLine="480" w:firstLineChars="200"/>
        <w:jc w:val="left"/>
        <w:rPr>
          <w:rFonts w:hint="default"/>
          <w:kern w:val="0"/>
          <w:sz w:val="24"/>
        </w:rPr>
      </w:pPr>
      <w:r>
        <w:rPr>
          <w:rFonts w:hint="default"/>
          <w:kern w:val="0"/>
          <w:sz w:val="24"/>
        </w:rPr>
        <w:t>法定代表人（签字或盖章）：</w:t>
      </w:r>
    </w:p>
    <w:p>
      <w:pPr>
        <w:pStyle w:val="7"/>
        <w:adjustRightInd w:val="0"/>
        <w:snapToGrid w:val="0"/>
        <w:spacing w:beforeLines="0" w:afterLines="0" w:line="360" w:lineRule="auto"/>
        <w:ind w:firstLine="480" w:firstLineChars="200"/>
        <w:outlineLvl w:val="0"/>
        <w:rPr>
          <w:rFonts w:hint="default" w:ascii="Times New Roman" w:hAnsi="Times New Roman"/>
          <w:b/>
          <w:sz w:val="32"/>
          <w:szCs w:val="32"/>
        </w:rPr>
      </w:pPr>
      <w:bookmarkStart w:id="109" w:name="_Toc16708"/>
      <w:r>
        <w:rPr>
          <w:rFonts w:hint="default" w:ascii="Times New Roman" w:hAnsi="Times New Roman"/>
          <w:kern w:val="0"/>
        </w:rPr>
        <w:t>日期：年月日</w:t>
      </w:r>
      <w:bookmarkEnd w:id="109"/>
    </w:p>
    <w:p>
      <w:pPr>
        <w:snapToGrid w:val="0"/>
        <w:spacing w:line="360" w:lineRule="auto"/>
        <w:ind w:right="480" w:firstLine="482"/>
        <w:jc w:val="center"/>
        <w:rPr>
          <w:rFonts w:hint="default"/>
          <w:b/>
          <w:bCs/>
          <w:kern w:val="0"/>
          <w:sz w:val="24"/>
          <w:lang w:val="zh-CN"/>
        </w:rPr>
      </w:pPr>
    </w:p>
    <w:p>
      <w:pPr>
        <w:snapToGrid w:val="0"/>
        <w:spacing w:line="360" w:lineRule="auto"/>
        <w:ind w:firstLine="482" w:firstLineChars="200"/>
        <w:rPr>
          <w:rFonts w:hint="default"/>
          <w:b/>
          <w:bCs/>
          <w:kern w:val="0"/>
          <w:sz w:val="24"/>
          <w:lang w:val="zh-CN"/>
        </w:rPr>
      </w:pPr>
    </w:p>
    <w:p>
      <w:pPr>
        <w:pStyle w:val="7"/>
        <w:snapToGrid w:val="0"/>
        <w:spacing w:before="156" w:after="156" w:line="360" w:lineRule="auto"/>
        <w:ind w:firstLine="643" w:firstLineChars="200"/>
        <w:jc w:val="center"/>
        <w:outlineLvl w:val="0"/>
        <w:rPr>
          <w:rFonts w:hint="default" w:ascii="Times New Roman" w:hAnsi="Times New Roman"/>
          <w:b/>
          <w:sz w:val="32"/>
          <w:szCs w:val="32"/>
          <w:lang w:val="zh-CN"/>
        </w:rPr>
        <w:sectPr>
          <w:pgSz w:w="11906" w:h="16838"/>
          <w:pgMar w:top="1134" w:right="1247" w:bottom="1247" w:left="1304" w:header="794" w:footer="794" w:gutter="0"/>
          <w:cols w:space="720" w:num="1"/>
          <w:docGrid w:type="lines" w:linePitch="312" w:charSpace="0"/>
        </w:sectPr>
      </w:pPr>
      <w:bookmarkStart w:id="110" w:name="_Toc14452"/>
    </w:p>
    <w:p>
      <w:pPr>
        <w:pStyle w:val="7"/>
        <w:snapToGrid w:val="0"/>
        <w:spacing w:before="156" w:after="156" w:line="360" w:lineRule="auto"/>
        <w:ind w:firstLine="643" w:firstLineChars="200"/>
        <w:jc w:val="center"/>
        <w:outlineLvl w:val="0"/>
        <w:rPr>
          <w:rFonts w:hint="default" w:ascii="Times New Roman" w:hAnsi="Times New Roman"/>
          <w:b/>
          <w:sz w:val="32"/>
          <w:szCs w:val="32"/>
          <w:lang w:val="zh-CN"/>
        </w:rPr>
      </w:pPr>
      <w:bookmarkStart w:id="111" w:name="_Toc15275"/>
      <w:bookmarkStart w:id="112" w:name="_Toc21551"/>
      <w:bookmarkStart w:id="113" w:name="_Toc23434"/>
      <w:bookmarkStart w:id="114" w:name="_Toc719"/>
      <w:r>
        <w:rPr>
          <w:rFonts w:ascii="Times New Roman" w:hAnsi="Times New Roman"/>
          <w:b/>
          <w:sz w:val="32"/>
          <w:szCs w:val="32"/>
        </w:rPr>
        <w:t>三</w:t>
      </w:r>
      <w:r>
        <w:rPr>
          <w:rFonts w:hint="default" w:ascii="Times New Roman" w:hAnsi="Times New Roman"/>
          <w:b/>
          <w:sz w:val="32"/>
          <w:szCs w:val="32"/>
          <w:lang w:val="zh-CN"/>
        </w:rPr>
        <w:t>、法定代表人及授权代表人的身份证 (复印件加盖公章)</w:t>
      </w:r>
      <w:bookmarkEnd w:id="110"/>
      <w:bookmarkEnd w:id="111"/>
      <w:bookmarkEnd w:id="112"/>
      <w:bookmarkEnd w:id="113"/>
      <w:bookmarkEnd w:id="114"/>
    </w:p>
    <w:p>
      <w:pPr>
        <w:snapToGrid w:val="0"/>
        <w:spacing w:line="360" w:lineRule="auto"/>
        <w:ind w:right="480" w:firstLine="482"/>
        <w:jc w:val="center"/>
        <w:rPr>
          <w:rFonts w:hint="default"/>
          <w:b/>
          <w:bCs/>
          <w:kern w:val="0"/>
          <w:sz w:val="24"/>
          <w:lang w:val="zh-CN"/>
        </w:rPr>
      </w:pPr>
    </w:p>
    <w:p>
      <w:pPr>
        <w:snapToGrid w:val="0"/>
        <w:spacing w:line="360" w:lineRule="auto"/>
        <w:ind w:right="480" w:firstLine="482"/>
        <w:rPr>
          <w:rFonts w:hint="default"/>
          <w:b/>
          <w:bCs/>
          <w:kern w:val="0"/>
          <w:sz w:val="24"/>
          <w:lang w:val="zh-CN"/>
        </w:rPr>
      </w:pPr>
    </w:p>
    <w:p>
      <w:pPr>
        <w:pStyle w:val="7"/>
        <w:snapToGrid w:val="0"/>
        <w:spacing w:before="156" w:after="156" w:line="360" w:lineRule="auto"/>
        <w:ind w:firstLine="643" w:firstLineChars="200"/>
        <w:jc w:val="center"/>
        <w:outlineLvl w:val="0"/>
        <w:rPr>
          <w:rFonts w:hint="default" w:ascii="Times New Roman" w:hAnsi="Times New Roman"/>
          <w:b/>
          <w:sz w:val="32"/>
          <w:szCs w:val="32"/>
          <w:lang w:val="zh-CN"/>
        </w:rPr>
        <w:sectPr>
          <w:pgSz w:w="11906" w:h="16838"/>
          <w:pgMar w:top="1134" w:right="1247" w:bottom="1247" w:left="1304" w:header="794" w:footer="794" w:gutter="0"/>
          <w:cols w:space="720" w:num="1"/>
          <w:docGrid w:type="lines" w:linePitch="312" w:charSpace="0"/>
        </w:sectPr>
      </w:pPr>
      <w:bookmarkStart w:id="115" w:name="_Toc17748"/>
    </w:p>
    <w:bookmarkEnd w:id="115"/>
    <w:p>
      <w:pPr>
        <w:pStyle w:val="7"/>
        <w:snapToGrid w:val="0"/>
        <w:spacing w:before="156" w:after="156" w:line="360" w:lineRule="auto"/>
        <w:ind w:firstLine="643" w:firstLineChars="200"/>
        <w:jc w:val="center"/>
        <w:outlineLvl w:val="0"/>
        <w:rPr>
          <w:rFonts w:hint="default" w:ascii="Times New Roman" w:hAnsi="Times New Roman"/>
          <w:b/>
          <w:sz w:val="32"/>
          <w:szCs w:val="32"/>
          <w:lang w:val="zh-CN"/>
        </w:rPr>
      </w:pPr>
      <w:bookmarkStart w:id="116" w:name="_Toc31020"/>
      <w:bookmarkStart w:id="117" w:name="_Toc6649"/>
      <w:bookmarkStart w:id="118" w:name="_Toc23712"/>
      <w:bookmarkStart w:id="119" w:name="_Toc1529"/>
      <w:bookmarkStart w:id="120" w:name="_Toc7478"/>
      <w:r>
        <w:rPr>
          <w:rFonts w:ascii="Times New Roman" w:hAnsi="Times New Roman"/>
          <w:b/>
          <w:sz w:val="32"/>
          <w:szCs w:val="32"/>
        </w:rPr>
        <w:t>四</w:t>
      </w:r>
      <w:r>
        <w:rPr>
          <w:rFonts w:hint="default" w:ascii="Times New Roman" w:hAnsi="Times New Roman"/>
          <w:b/>
          <w:sz w:val="32"/>
          <w:szCs w:val="32"/>
          <w:lang w:val="zh-CN"/>
        </w:rPr>
        <w:t>、公司介绍及同类项目经验</w:t>
      </w:r>
      <w:bookmarkEnd w:id="116"/>
      <w:bookmarkEnd w:id="117"/>
      <w:bookmarkEnd w:id="118"/>
      <w:bookmarkEnd w:id="119"/>
      <w:bookmarkEnd w:id="120"/>
    </w:p>
    <w:p>
      <w:pPr>
        <w:autoSpaceDE w:val="0"/>
        <w:autoSpaceDN w:val="0"/>
        <w:snapToGrid w:val="0"/>
        <w:spacing w:line="360" w:lineRule="auto"/>
        <w:ind w:firstLine="5160" w:firstLineChars="2150"/>
        <w:rPr>
          <w:rFonts w:hint="default"/>
          <w:kern w:val="0"/>
          <w:sz w:val="24"/>
          <w:lang w:val="zh-CN"/>
        </w:rPr>
      </w:pPr>
    </w:p>
    <w:p>
      <w:pPr>
        <w:snapToGrid w:val="0"/>
        <w:spacing w:line="360" w:lineRule="auto"/>
        <w:ind w:firstLine="480"/>
        <w:jc w:val="left"/>
        <w:rPr>
          <w:rFonts w:hint="default"/>
          <w:sz w:val="24"/>
        </w:rPr>
      </w:pPr>
      <w:r>
        <w:rPr>
          <w:rFonts w:hint="default"/>
          <w:sz w:val="24"/>
        </w:rPr>
        <w:t>项目名称：</w:t>
      </w:r>
    </w:p>
    <w:p>
      <w:pPr>
        <w:snapToGrid w:val="0"/>
        <w:spacing w:line="360" w:lineRule="auto"/>
        <w:ind w:firstLine="480"/>
        <w:jc w:val="left"/>
        <w:rPr>
          <w:rFonts w:hint="default"/>
          <w:sz w:val="24"/>
          <w:u w:val="single"/>
        </w:rPr>
      </w:pPr>
      <w:r>
        <w:rPr>
          <w:rFonts w:hint="default"/>
          <w:sz w:val="24"/>
        </w:rPr>
        <w:t>项目编号：</w:t>
      </w:r>
    </w:p>
    <w:tbl>
      <w:tblPr>
        <w:tblStyle w:val="4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9"/>
        <w:gridCol w:w="2290"/>
        <w:gridCol w:w="1974"/>
        <w:gridCol w:w="2409"/>
        <w:gridCol w:w="17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585" w:type="pct"/>
            <w:vAlign w:val="center"/>
          </w:tcPr>
          <w:p>
            <w:pPr>
              <w:jc w:val="center"/>
              <w:rPr>
                <w:rFonts w:hint="default"/>
                <w:sz w:val="24"/>
                <w:szCs w:val="24"/>
              </w:rPr>
            </w:pPr>
            <w:r>
              <w:rPr>
                <w:rFonts w:hint="default"/>
                <w:sz w:val="24"/>
                <w:szCs w:val="24"/>
              </w:rPr>
              <w:t>序号</w:t>
            </w:r>
          </w:p>
        </w:tc>
        <w:tc>
          <w:tcPr>
            <w:tcW w:w="1196" w:type="pct"/>
            <w:vAlign w:val="center"/>
          </w:tcPr>
          <w:p>
            <w:pPr>
              <w:jc w:val="center"/>
              <w:rPr>
                <w:rFonts w:hint="default"/>
                <w:sz w:val="24"/>
                <w:szCs w:val="24"/>
              </w:rPr>
            </w:pPr>
            <w:r>
              <w:rPr>
                <w:rFonts w:hint="default"/>
                <w:sz w:val="24"/>
                <w:szCs w:val="24"/>
              </w:rPr>
              <w:t>项目名称</w:t>
            </w:r>
          </w:p>
        </w:tc>
        <w:tc>
          <w:tcPr>
            <w:tcW w:w="1031" w:type="pct"/>
            <w:vAlign w:val="center"/>
          </w:tcPr>
          <w:p>
            <w:pPr>
              <w:jc w:val="center"/>
              <w:rPr>
                <w:rFonts w:hint="default"/>
                <w:sz w:val="24"/>
                <w:szCs w:val="24"/>
              </w:rPr>
            </w:pPr>
            <w:r>
              <w:rPr>
                <w:rFonts w:hint="default"/>
                <w:sz w:val="24"/>
                <w:szCs w:val="24"/>
              </w:rPr>
              <w:t>采购单位</w:t>
            </w:r>
          </w:p>
        </w:tc>
        <w:tc>
          <w:tcPr>
            <w:tcW w:w="1258" w:type="pct"/>
            <w:vAlign w:val="center"/>
          </w:tcPr>
          <w:p>
            <w:pPr>
              <w:jc w:val="center"/>
              <w:rPr>
                <w:rFonts w:hint="default"/>
                <w:sz w:val="24"/>
                <w:szCs w:val="24"/>
              </w:rPr>
            </w:pPr>
            <w:r>
              <w:rPr>
                <w:rFonts w:hint="default"/>
                <w:sz w:val="24"/>
                <w:szCs w:val="24"/>
              </w:rPr>
              <w:t>合同签订时间</w:t>
            </w:r>
          </w:p>
        </w:tc>
        <w:tc>
          <w:tcPr>
            <w:tcW w:w="927" w:type="pct"/>
            <w:vAlign w:val="center"/>
          </w:tcPr>
          <w:p>
            <w:pPr>
              <w:jc w:val="center"/>
              <w:rPr>
                <w:rFonts w:hint="default"/>
                <w:sz w:val="24"/>
                <w:szCs w:val="24"/>
              </w:rPr>
            </w:pPr>
            <w:r>
              <w:rPr>
                <w:rFonts w:hint="default"/>
                <w:sz w:val="24"/>
                <w:szCs w:val="24"/>
              </w:rPr>
              <w:t>合同金额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585" w:type="pct"/>
            <w:vAlign w:val="center"/>
          </w:tcPr>
          <w:p>
            <w:pPr>
              <w:jc w:val="center"/>
              <w:rPr>
                <w:rFonts w:hint="default"/>
                <w:sz w:val="24"/>
                <w:szCs w:val="24"/>
              </w:rPr>
            </w:pPr>
            <w:r>
              <w:rPr>
                <w:rFonts w:hint="default"/>
                <w:sz w:val="24"/>
                <w:szCs w:val="24"/>
              </w:rPr>
              <w:t>1</w:t>
            </w:r>
          </w:p>
        </w:tc>
        <w:tc>
          <w:tcPr>
            <w:tcW w:w="1196" w:type="pct"/>
            <w:vAlign w:val="center"/>
          </w:tcPr>
          <w:p>
            <w:pPr>
              <w:jc w:val="center"/>
              <w:rPr>
                <w:rFonts w:hint="default"/>
                <w:sz w:val="24"/>
                <w:szCs w:val="24"/>
              </w:rPr>
            </w:pPr>
          </w:p>
        </w:tc>
        <w:tc>
          <w:tcPr>
            <w:tcW w:w="1031" w:type="pct"/>
            <w:vAlign w:val="center"/>
          </w:tcPr>
          <w:p>
            <w:pPr>
              <w:jc w:val="center"/>
              <w:rPr>
                <w:rFonts w:hint="default"/>
                <w:sz w:val="24"/>
                <w:szCs w:val="24"/>
              </w:rPr>
            </w:pPr>
          </w:p>
        </w:tc>
        <w:tc>
          <w:tcPr>
            <w:tcW w:w="1258" w:type="pct"/>
            <w:vAlign w:val="center"/>
          </w:tcPr>
          <w:p>
            <w:pPr>
              <w:jc w:val="center"/>
              <w:rPr>
                <w:rFonts w:hint="default"/>
                <w:sz w:val="24"/>
                <w:szCs w:val="24"/>
              </w:rPr>
            </w:pPr>
          </w:p>
        </w:tc>
        <w:tc>
          <w:tcPr>
            <w:tcW w:w="927" w:type="pct"/>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585" w:type="pct"/>
            <w:vAlign w:val="center"/>
          </w:tcPr>
          <w:p>
            <w:pPr>
              <w:jc w:val="center"/>
              <w:rPr>
                <w:rFonts w:hint="default"/>
                <w:sz w:val="24"/>
                <w:szCs w:val="24"/>
              </w:rPr>
            </w:pPr>
            <w:r>
              <w:rPr>
                <w:rFonts w:hint="default"/>
                <w:sz w:val="24"/>
                <w:szCs w:val="24"/>
              </w:rPr>
              <w:t>2</w:t>
            </w:r>
          </w:p>
        </w:tc>
        <w:tc>
          <w:tcPr>
            <w:tcW w:w="1196" w:type="pct"/>
            <w:vAlign w:val="center"/>
          </w:tcPr>
          <w:p>
            <w:pPr>
              <w:jc w:val="center"/>
              <w:rPr>
                <w:rFonts w:hint="default"/>
                <w:sz w:val="24"/>
                <w:szCs w:val="24"/>
              </w:rPr>
            </w:pPr>
          </w:p>
        </w:tc>
        <w:tc>
          <w:tcPr>
            <w:tcW w:w="1031" w:type="pct"/>
            <w:vAlign w:val="center"/>
          </w:tcPr>
          <w:p>
            <w:pPr>
              <w:jc w:val="center"/>
              <w:rPr>
                <w:rFonts w:hint="default"/>
                <w:sz w:val="24"/>
                <w:szCs w:val="24"/>
              </w:rPr>
            </w:pPr>
          </w:p>
        </w:tc>
        <w:tc>
          <w:tcPr>
            <w:tcW w:w="1258" w:type="pct"/>
            <w:vAlign w:val="center"/>
          </w:tcPr>
          <w:p>
            <w:pPr>
              <w:jc w:val="center"/>
              <w:rPr>
                <w:rFonts w:hint="default"/>
                <w:sz w:val="24"/>
                <w:szCs w:val="24"/>
              </w:rPr>
            </w:pPr>
          </w:p>
        </w:tc>
        <w:tc>
          <w:tcPr>
            <w:tcW w:w="927" w:type="pct"/>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585" w:type="pct"/>
            <w:vAlign w:val="center"/>
          </w:tcPr>
          <w:p>
            <w:pPr>
              <w:jc w:val="center"/>
              <w:rPr>
                <w:rFonts w:hint="default"/>
                <w:sz w:val="24"/>
                <w:szCs w:val="24"/>
              </w:rPr>
            </w:pPr>
            <w:r>
              <w:rPr>
                <w:rFonts w:hint="default"/>
                <w:sz w:val="24"/>
                <w:szCs w:val="24"/>
              </w:rPr>
              <w:t>3</w:t>
            </w:r>
          </w:p>
        </w:tc>
        <w:tc>
          <w:tcPr>
            <w:tcW w:w="1196" w:type="pct"/>
            <w:vAlign w:val="center"/>
          </w:tcPr>
          <w:p>
            <w:pPr>
              <w:jc w:val="center"/>
              <w:rPr>
                <w:rFonts w:hint="default"/>
                <w:sz w:val="24"/>
                <w:szCs w:val="24"/>
              </w:rPr>
            </w:pPr>
          </w:p>
        </w:tc>
        <w:tc>
          <w:tcPr>
            <w:tcW w:w="1031" w:type="pct"/>
            <w:vAlign w:val="center"/>
          </w:tcPr>
          <w:p>
            <w:pPr>
              <w:jc w:val="center"/>
              <w:rPr>
                <w:rFonts w:hint="default"/>
                <w:sz w:val="24"/>
                <w:szCs w:val="24"/>
              </w:rPr>
            </w:pPr>
          </w:p>
        </w:tc>
        <w:tc>
          <w:tcPr>
            <w:tcW w:w="1258" w:type="pct"/>
            <w:vAlign w:val="center"/>
          </w:tcPr>
          <w:p>
            <w:pPr>
              <w:jc w:val="center"/>
              <w:rPr>
                <w:rFonts w:hint="default"/>
                <w:sz w:val="24"/>
                <w:szCs w:val="24"/>
              </w:rPr>
            </w:pPr>
          </w:p>
        </w:tc>
        <w:tc>
          <w:tcPr>
            <w:tcW w:w="927" w:type="pct"/>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585" w:type="pct"/>
            <w:vAlign w:val="center"/>
          </w:tcPr>
          <w:p>
            <w:pPr>
              <w:jc w:val="center"/>
              <w:rPr>
                <w:rFonts w:hint="default"/>
                <w:sz w:val="24"/>
                <w:szCs w:val="24"/>
              </w:rPr>
            </w:pPr>
            <w:r>
              <w:rPr>
                <w:rFonts w:hint="default"/>
                <w:sz w:val="24"/>
                <w:szCs w:val="24"/>
              </w:rPr>
              <w:t>4</w:t>
            </w:r>
          </w:p>
        </w:tc>
        <w:tc>
          <w:tcPr>
            <w:tcW w:w="1196" w:type="pct"/>
            <w:vAlign w:val="center"/>
          </w:tcPr>
          <w:p>
            <w:pPr>
              <w:jc w:val="center"/>
              <w:rPr>
                <w:rFonts w:hint="default"/>
                <w:sz w:val="24"/>
                <w:szCs w:val="24"/>
              </w:rPr>
            </w:pPr>
          </w:p>
        </w:tc>
        <w:tc>
          <w:tcPr>
            <w:tcW w:w="1031" w:type="pct"/>
            <w:vAlign w:val="center"/>
          </w:tcPr>
          <w:p>
            <w:pPr>
              <w:jc w:val="center"/>
              <w:rPr>
                <w:rFonts w:hint="default"/>
                <w:sz w:val="24"/>
                <w:szCs w:val="24"/>
              </w:rPr>
            </w:pPr>
          </w:p>
        </w:tc>
        <w:tc>
          <w:tcPr>
            <w:tcW w:w="1258" w:type="pct"/>
            <w:vAlign w:val="center"/>
          </w:tcPr>
          <w:p>
            <w:pPr>
              <w:jc w:val="center"/>
              <w:rPr>
                <w:rFonts w:hint="default"/>
                <w:sz w:val="24"/>
                <w:szCs w:val="24"/>
              </w:rPr>
            </w:pPr>
          </w:p>
        </w:tc>
        <w:tc>
          <w:tcPr>
            <w:tcW w:w="927" w:type="pct"/>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585" w:type="pct"/>
            <w:vAlign w:val="center"/>
          </w:tcPr>
          <w:p>
            <w:pPr>
              <w:jc w:val="center"/>
              <w:rPr>
                <w:rFonts w:hint="default"/>
                <w:sz w:val="24"/>
                <w:szCs w:val="24"/>
              </w:rPr>
            </w:pPr>
            <w:r>
              <w:rPr>
                <w:rFonts w:hint="default"/>
                <w:sz w:val="24"/>
                <w:szCs w:val="24"/>
              </w:rPr>
              <w:t>5</w:t>
            </w:r>
          </w:p>
        </w:tc>
        <w:tc>
          <w:tcPr>
            <w:tcW w:w="1196" w:type="pct"/>
            <w:vAlign w:val="center"/>
          </w:tcPr>
          <w:p>
            <w:pPr>
              <w:jc w:val="center"/>
              <w:rPr>
                <w:rFonts w:hint="default"/>
                <w:sz w:val="24"/>
                <w:szCs w:val="24"/>
              </w:rPr>
            </w:pPr>
          </w:p>
        </w:tc>
        <w:tc>
          <w:tcPr>
            <w:tcW w:w="1031" w:type="pct"/>
            <w:vAlign w:val="center"/>
          </w:tcPr>
          <w:p>
            <w:pPr>
              <w:jc w:val="center"/>
              <w:rPr>
                <w:rFonts w:hint="default"/>
                <w:sz w:val="24"/>
                <w:szCs w:val="24"/>
              </w:rPr>
            </w:pPr>
          </w:p>
        </w:tc>
        <w:tc>
          <w:tcPr>
            <w:tcW w:w="1258" w:type="pct"/>
            <w:vAlign w:val="center"/>
          </w:tcPr>
          <w:p>
            <w:pPr>
              <w:jc w:val="center"/>
              <w:rPr>
                <w:rFonts w:hint="default"/>
                <w:sz w:val="24"/>
                <w:szCs w:val="24"/>
              </w:rPr>
            </w:pPr>
          </w:p>
        </w:tc>
        <w:tc>
          <w:tcPr>
            <w:tcW w:w="927" w:type="pct"/>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585" w:type="pct"/>
            <w:vAlign w:val="center"/>
          </w:tcPr>
          <w:p>
            <w:pPr>
              <w:jc w:val="center"/>
              <w:rPr>
                <w:rFonts w:hint="default"/>
                <w:sz w:val="24"/>
                <w:szCs w:val="24"/>
              </w:rPr>
            </w:pPr>
            <w:r>
              <w:rPr>
                <w:rFonts w:hint="default"/>
                <w:sz w:val="24"/>
                <w:szCs w:val="24"/>
              </w:rPr>
              <w:t>6</w:t>
            </w:r>
          </w:p>
        </w:tc>
        <w:tc>
          <w:tcPr>
            <w:tcW w:w="1196" w:type="pct"/>
            <w:vAlign w:val="center"/>
          </w:tcPr>
          <w:p>
            <w:pPr>
              <w:jc w:val="center"/>
              <w:rPr>
                <w:rFonts w:hint="default"/>
                <w:sz w:val="24"/>
                <w:szCs w:val="24"/>
              </w:rPr>
            </w:pPr>
          </w:p>
        </w:tc>
        <w:tc>
          <w:tcPr>
            <w:tcW w:w="1031" w:type="pct"/>
            <w:vAlign w:val="center"/>
          </w:tcPr>
          <w:p>
            <w:pPr>
              <w:jc w:val="center"/>
              <w:rPr>
                <w:rFonts w:hint="default"/>
                <w:sz w:val="24"/>
                <w:szCs w:val="24"/>
              </w:rPr>
            </w:pPr>
          </w:p>
        </w:tc>
        <w:tc>
          <w:tcPr>
            <w:tcW w:w="1258" w:type="pct"/>
            <w:vAlign w:val="center"/>
          </w:tcPr>
          <w:p>
            <w:pPr>
              <w:jc w:val="center"/>
              <w:rPr>
                <w:rFonts w:hint="default"/>
                <w:sz w:val="24"/>
                <w:szCs w:val="24"/>
              </w:rPr>
            </w:pPr>
          </w:p>
        </w:tc>
        <w:tc>
          <w:tcPr>
            <w:tcW w:w="927" w:type="pct"/>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585" w:type="pct"/>
            <w:vAlign w:val="center"/>
          </w:tcPr>
          <w:p>
            <w:pPr>
              <w:jc w:val="center"/>
              <w:rPr>
                <w:rFonts w:hint="default"/>
                <w:sz w:val="24"/>
                <w:szCs w:val="24"/>
              </w:rPr>
            </w:pPr>
            <w:r>
              <w:rPr>
                <w:rFonts w:hint="default"/>
                <w:sz w:val="24"/>
                <w:szCs w:val="24"/>
              </w:rPr>
              <w:t>7</w:t>
            </w:r>
          </w:p>
        </w:tc>
        <w:tc>
          <w:tcPr>
            <w:tcW w:w="1196" w:type="pct"/>
            <w:vAlign w:val="center"/>
          </w:tcPr>
          <w:p>
            <w:pPr>
              <w:jc w:val="center"/>
              <w:rPr>
                <w:rFonts w:hint="default"/>
                <w:sz w:val="24"/>
                <w:szCs w:val="24"/>
              </w:rPr>
            </w:pPr>
          </w:p>
        </w:tc>
        <w:tc>
          <w:tcPr>
            <w:tcW w:w="1031" w:type="pct"/>
            <w:vAlign w:val="center"/>
          </w:tcPr>
          <w:p>
            <w:pPr>
              <w:jc w:val="center"/>
              <w:rPr>
                <w:rFonts w:hint="default"/>
                <w:sz w:val="24"/>
                <w:szCs w:val="24"/>
              </w:rPr>
            </w:pPr>
          </w:p>
        </w:tc>
        <w:tc>
          <w:tcPr>
            <w:tcW w:w="1258" w:type="pct"/>
            <w:vAlign w:val="center"/>
          </w:tcPr>
          <w:p>
            <w:pPr>
              <w:jc w:val="center"/>
              <w:rPr>
                <w:rFonts w:hint="default"/>
                <w:sz w:val="24"/>
                <w:szCs w:val="24"/>
              </w:rPr>
            </w:pPr>
          </w:p>
        </w:tc>
        <w:tc>
          <w:tcPr>
            <w:tcW w:w="927" w:type="pct"/>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585" w:type="pct"/>
            <w:vAlign w:val="center"/>
          </w:tcPr>
          <w:p>
            <w:pPr>
              <w:jc w:val="center"/>
              <w:rPr>
                <w:rFonts w:hint="default"/>
                <w:sz w:val="24"/>
                <w:szCs w:val="24"/>
              </w:rPr>
            </w:pPr>
            <w:r>
              <w:rPr>
                <w:rFonts w:hint="default"/>
                <w:sz w:val="24"/>
                <w:szCs w:val="24"/>
              </w:rPr>
              <w:t>8</w:t>
            </w:r>
          </w:p>
        </w:tc>
        <w:tc>
          <w:tcPr>
            <w:tcW w:w="1196" w:type="pct"/>
            <w:vAlign w:val="center"/>
          </w:tcPr>
          <w:p>
            <w:pPr>
              <w:jc w:val="center"/>
              <w:rPr>
                <w:rFonts w:hint="default"/>
                <w:sz w:val="24"/>
                <w:szCs w:val="24"/>
              </w:rPr>
            </w:pPr>
          </w:p>
        </w:tc>
        <w:tc>
          <w:tcPr>
            <w:tcW w:w="1031" w:type="pct"/>
            <w:vAlign w:val="center"/>
          </w:tcPr>
          <w:p>
            <w:pPr>
              <w:jc w:val="center"/>
              <w:rPr>
                <w:rFonts w:hint="default"/>
                <w:sz w:val="24"/>
                <w:szCs w:val="24"/>
              </w:rPr>
            </w:pPr>
          </w:p>
        </w:tc>
        <w:tc>
          <w:tcPr>
            <w:tcW w:w="1258" w:type="pct"/>
            <w:vAlign w:val="center"/>
          </w:tcPr>
          <w:p>
            <w:pPr>
              <w:jc w:val="center"/>
              <w:rPr>
                <w:rFonts w:hint="default"/>
                <w:sz w:val="24"/>
                <w:szCs w:val="24"/>
              </w:rPr>
            </w:pPr>
          </w:p>
        </w:tc>
        <w:tc>
          <w:tcPr>
            <w:tcW w:w="927" w:type="pct"/>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585" w:type="pct"/>
            <w:vAlign w:val="center"/>
          </w:tcPr>
          <w:p>
            <w:pPr>
              <w:jc w:val="center"/>
              <w:rPr>
                <w:rFonts w:hint="default"/>
                <w:sz w:val="24"/>
                <w:szCs w:val="24"/>
              </w:rPr>
            </w:pPr>
            <w:r>
              <w:rPr>
                <w:rFonts w:hint="default"/>
                <w:sz w:val="24"/>
                <w:szCs w:val="24"/>
              </w:rPr>
              <w:t>9</w:t>
            </w:r>
          </w:p>
        </w:tc>
        <w:tc>
          <w:tcPr>
            <w:tcW w:w="1196" w:type="pct"/>
            <w:vAlign w:val="center"/>
          </w:tcPr>
          <w:p>
            <w:pPr>
              <w:jc w:val="center"/>
              <w:rPr>
                <w:rFonts w:hint="default"/>
                <w:sz w:val="24"/>
                <w:szCs w:val="24"/>
              </w:rPr>
            </w:pPr>
          </w:p>
        </w:tc>
        <w:tc>
          <w:tcPr>
            <w:tcW w:w="1031" w:type="pct"/>
            <w:vAlign w:val="center"/>
          </w:tcPr>
          <w:p>
            <w:pPr>
              <w:jc w:val="center"/>
              <w:rPr>
                <w:rFonts w:hint="default"/>
                <w:sz w:val="24"/>
                <w:szCs w:val="24"/>
              </w:rPr>
            </w:pPr>
          </w:p>
        </w:tc>
        <w:tc>
          <w:tcPr>
            <w:tcW w:w="1258" w:type="pct"/>
            <w:vAlign w:val="center"/>
          </w:tcPr>
          <w:p>
            <w:pPr>
              <w:jc w:val="center"/>
              <w:rPr>
                <w:rFonts w:hint="default"/>
                <w:sz w:val="24"/>
                <w:szCs w:val="24"/>
              </w:rPr>
            </w:pPr>
          </w:p>
        </w:tc>
        <w:tc>
          <w:tcPr>
            <w:tcW w:w="927" w:type="pct"/>
            <w:vAlign w:val="center"/>
          </w:tcPr>
          <w:p>
            <w:pPr>
              <w:jc w:val="center"/>
              <w:rPr>
                <w:rFonts w:hint="default"/>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585" w:type="pct"/>
            <w:vAlign w:val="center"/>
          </w:tcPr>
          <w:p>
            <w:pPr>
              <w:jc w:val="center"/>
              <w:rPr>
                <w:rFonts w:hint="default"/>
                <w:sz w:val="24"/>
                <w:szCs w:val="24"/>
              </w:rPr>
            </w:pPr>
            <w:r>
              <w:rPr>
                <w:rFonts w:hint="default"/>
                <w:sz w:val="24"/>
                <w:szCs w:val="24"/>
              </w:rPr>
              <w:t>10</w:t>
            </w:r>
          </w:p>
        </w:tc>
        <w:tc>
          <w:tcPr>
            <w:tcW w:w="1196" w:type="pct"/>
            <w:vAlign w:val="center"/>
          </w:tcPr>
          <w:p>
            <w:pPr>
              <w:jc w:val="center"/>
              <w:rPr>
                <w:rFonts w:hint="default"/>
                <w:sz w:val="24"/>
                <w:szCs w:val="24"/>
              </w:rPr>
            </w:pPr>
          </w:p>
        </w:tc>
        <w:tc>
          <w:tcPr>
            <w:tcW w:w="1031" w:type="pct"/>
            <w:vAlign w:val="center"/>
          </w:tcPr>
          <w:p>
            <w:pPr>
              <w:jc w:val="center"/>
              <w:rPr>
                <w:rFonts w:hint="default"/>
                <w:sz w:val="24"/>
                <w:szCs w:val="24"/>
              </w:rPr>
            </w:pPr>
          </w:p>
        </w:tc>
        <w:tc>
          <w:tcPr>
            <w:tcW w:w="1258" w:type="pct"/>
            <w:vAlign w:val="center"/>
          </w:tcPr>
          <w:p>
            <w:pPr>
              <w:jc w:val="center"/>
              <w:rPr>
                <w:rFonts w:hint="default"/>
                <w:sz w:val="24"/>
                <w:szCs w:val="24"/>
              </w:rPr>
            </w:pPr>
          </w:p>
        </w:tc>
        <w:tc>
          <w:tcPr>
            <w:tcW w:w="927" w:type="pct"/>
            <w:vAlign w:val="center"/>
          </w:tcPr>
          <w:p>
            <w:pPr>
              <w:jc w:val="center"/>
              <w:rPr>
                <w:rFonts w:hint="default"/>
                <w:sz w:val="24"/>
                <w:szCs w:val="24"/>
              </w:rPr>
            </w:pPr>
          </w:p>
        </w:tc>
      </w:tr>
    </w:tbl>
    <w:p>
      <w:pPr>
        <w:pStyle w:val="7"/>
        <w:spacing w:beforeLines="0" w:afterLines="0" w:line="360" w:lineRule="auto"/>
        <w:ind w:firstLine="482"/>
        <w:rPr>
          <w:rFonts w:hint="default" w:ascii="Times New Roman" w:hAnsi="Times New Roman"/>
          <w:b/>
          <w:bCs/>
        </w:rPr>
      </w:pPr>
      <w:r>
        <w:rPr>
          <w:rFonts w:hint="default" w:ascii="Times New Roman" w:hAnsi="Times New Roman"/>
          <w:b/>
        </w:rPr>
        <w:t>注：表中所列的业绩，</w:t>
      </w:r>
      <w:r>
        <w:rPr>
          <w:rFonts w:ascii="Times New Roman" w:hAnsi="Times New Roman"/>
          <w:b/>
        </w:rPr>
        <w:t>按评标办法提供证明材料</w:t>
      </w:r>
      <w:r>
        <w:rPr>
          <w:rFonts w:hint="default" w:ascii="Times New Roman" w:hAnsi="Times New Roman"/>
          <w:b/>
          <w:bCs/>
        </w:rPr>
        <w:t>。</w:t>
      </w:r>
    </w:p>
    <w:p>
      <w:pPr>
        <w:pStyle w:val="16"/>
        <w:snapToGrid w:val="0"/>
        <w:spacing w:line="360" w:lineRule="auto"/>
        <w:ind w:firstLine="344"/>
        <w:rPr>
          <w:rFonts w:hint="default" w:ascii="Times New Roman" w:hAnsi="Times New Roman"/>
          <w:lang w:val="zh-CN"/>
        </w:rPr>
      </w:pPr>
    </w:p>
    <w:p>
      <w:pPr>
        <w:pStyle w:val="16"/>
        <w:snapToGrid w:val="0"/>
        <w:spacing w:line="360" w:lineRule="auto"/>
        <w:ind w:firstLine="344"/>
        <w:rPr>
          <w:rFonts w:hint="default" w:ascii="Times New Roman" w:hAnsi="Times New Roman"/>
          <w:lang w:val="zh-CN"/>
        </w:rPr>
      </w:pPr>
    </w:p>
    <w:p>
      <w:pPr>
        <w:pStyle w:val="16"/>
        <w:snapToGrid w:val="0"/>
        <w:spacing w:line="360" w:lineRule="auto"/>
        <w:ind w:firstLine="344"/>
        <w:rPr>
          <w:rFonts w:hint="default" w:ascii="Times New Roman" w:hAnsi="Times New Roman"/>
          <w:lang w:val="zh-CN"/>
        </w:rPr>
      </w:pPr>
    </w:p>
    <w:p>
      <w:pPr>
        <w:adjustRightInd w:val="0"/>
        <w:snapToGrid w:val="0"/>
        <w:spacing w:line="360" w:lineRule="auto"/>
        <w:ind w:firstLine="480" w:firstLineChars="200"/>
        <w:rPr>
          <w:rFonts w:hint="default" w:ascii="宋体" w:hAnsi="宋体" w:cs="宋体"/>
          <w:kern w:val="0"/>
          <w:sz w:val="24"/>
        </w:rPr>
      </w:pPr>
      <w:bookmarkStart w:id="121" w:name="_Toc16760"/>
      <w:r>
        <w:rPr>
          <w:rFonts w:ascii="宋体" w:hAnsi="宋体" w:cs="宋体"/>
          <w:kern w:val="0"/>
          <w:sz w:val="24"/>
        </w:rPr>
        <w:t>供应商（</w:t>
      </w:r>
      <w:r>
        <w:rPr>
          <w:rFonts w:ascii="宋体" w:hAnsi="宋体" w:cs="宋体"/>
          <w:kern w:val="0"/>
          <w:sz w:val="24"/>
          <w:lang w:val="zh-CN"/>
        </w:rPr>
        <w:t>电子签名/公章</w:t>
      </w:r>
      <w:r>
        <w:rPr>
          <w:rFonts w:ascii="宋体" w:hAnsi="宋体" w:cs="宋体"/>
          <w:kern w:val="0"/>
          <w:sz w:val="24"/>
        </w:rPr>
        <w:t>）：</w:t>
      </w:r>
    </w:p>
    <w:p>
      <w:pPr>
        <w:widowControl/>
        <w:adjustRightInd w:val="0"/>
        <w:snapToGrid w:val="0"/>
        <w:spacing w:line="360" w:lineRule="auto"/>
        <w:ind w:firstLine="480" w:firstLineChars="200"/>
        <w:jc w:val="left"/>
        <w:rPr>
          <w:rFonts w:hint="default"/>
          <w:kern w:val="0"/>
          <w:sz w:val="24"/>
        </w:rPr>
      </w:pPr>
      <w:r>
        <w:rPr>
          <w:rFonts w:hint="default"/>
          <w:kern w:val="0"/>
          <w:sz w:val="24"/>
        </w:rPr>
        <w:t>法定代表人或其授权代表（签字或盖章）：</w:t>
      </w:r>
    </w:p>
    <w:p>
      <w:pPr>
        <w:pStyle w:val="7"/>
        <w:adjustRightInd w:val="0"/>
        <w:snapToGrid w:val="0"/>
        <w:spacing w:beforeLines="0" w:afterLines="0" w:line="360" w:lineRule="auto"/>
        <w:ind w:firstLine="480" w:firstLineChars="200"/>
        <w:outlineLvl w:val="0"/>
        <w:rPr>
          <w:rFonts w:hint="default" w:ascii="Times New Roman" w:hAnsi="Times New Roman"/>
          <w:b/>
          <w:sz w:val="32"/>
          <w:szCs w:val="32"/>
        </w:rPr>
      </w:pPr>
      <w:bookmarkStart w:id="122" w:name="_Toc26327"/>
      <w:r>
        <w:rPr>
          <w:rFonts w:hint="default" w:ascii="Times New Roman" w:hAnsi="Times New Roman"/>
          <w:kern w:val="0"/>
        </w:rPr>
        <w:t>日期：年月日</w:t>
      </w:r>
      <w:bookmarkEnd w:id="122"/>
    </w:p>
    <w:p>
      <w:pPr>
        <w:snapToGrid w:val="0"/>
        <w:spacing w:line="360" w:lineRule="auto"/>
        <w:ind w:left="570" w:firstLine="643"/>
        <w:jc w:val="center"/>
        <w:outlineLvl w:val="0"/>
        <w:rPr>
          <w:rFonts w:hint="default"/>
          <w:b/>
          <w:sz w:val="32"/>
          <w:szCs w:val="32"/>
        </w:rPr>
        <w:sectPr>
          <w:pgSz w:w="11906" w:h="16838"/>
          <w:pgMar w:top="1134" w:right="1247" w:bottom="1247" w:left="1304" w:header="794" w:footer="794" w:gutter="0"/>
          <w:cols w:space="720" w:num="1"/>
          <w:docGrid w:type="lines" w:linePitch="312" w:charSpace="0"/>
        </w:sectPr>
      </w:pPr>
      <w:bookmarkStart w:id="123" w:name="_Toc31280"/>
      <w:bookmarkStart w:id="124" w:name="_Toc5229"/>
      <w:bookmarkStart w:id="125" w:name="_Toc20407"/>
    </w:p>
    <w:p>
      <w:pPr>
        <w:pStyle w:val="7"/>
        <w:adjustRightInd w:val="0"/>
        <w:snapToGrid w:val="0"/>
        <w:spacing w:beforeLines="0" w:afterLines="0" w:line="360" w:lineRule="auto"/>
        <w:ind w:firstLine="643" w:firstLineChars="200"/>
        <w:jc w:val="center"/>
        <w:outlineLvl w:val="0"/>
        <w:rPr>
          <w:rFonts w:hint="default" w:ascii="Times New Roman" w:hAnsi="Times New Roman"/>
          <w:b/>
          <w:sz w:val="32"/>
          <w:szCs w:val="32"/>
        </w:rPr>
      </w:pPr>
      <w:bookmarkStart w:id="126" w:name="_Toc32753"/>
      <w:r>
        <w:rPr>
          <w:rFonts w:ascii="Times New Roman" w:hAnsi="Times New Roman"/>
          <w:b/>
          <w:sz w:val="32"/>
          <w:szCs w:val="32"/>
        </w:rPr>
        <w:t>五、分包意向协议</w:t>
      </w:r>
      <w:bookmarkEnd w:id="126"/>
    </w:p>
    <w:p>
      <w:pPr>
        <w:widowControl/>
        <w:adjustRightInd w:val="0"/>
        <w:snapToGrid w:val="0"/>
        <w:spacing w:line="360" w:lineRule="auto"/>
        <w:ind w:firstLine="120" w:firstLineChars="50"/>
        <w:jc w:val="left"/>
        <w:rPr>
          <w:rFonts w:hint="default" w:ascii="宋体" w:hAnsi="宋体" w:cs="宋体"/>
          <w:sz w:val="24"/>
        </w:rPr>
      </w:pPr>
      <w:r>
        <w:rPr>
          <w:rFonts w:ascii="宋体" w:hAnsi="宋体" w:cs="宋体"/>
          <w:sz w:val="24"/>
        </w:rPr>
        <w:t>（</w:t>
      </w:r>
      <w:r>
        <w:rPr>
          <w:rFonts w:ascii="宋体" w:hAnsi="宋体" w:cs="宋体"/>
          <w:b/>
          <w:sz w:val="24"/>
        </w:rPr>
        <w:t>中标后以分包方式履行合同的，提供分包意向协议；采购人不同意分包或者投标人中标后不以分包方式履行合同的，则不需要提供。</w:t>
      </w:r>
      <w:r>
        <w:rPr>
          <w:rFonts w:ascii="宋体" w:hAnsi="宋体" w:cs="宋体"/>
          <w:sz w:val="24"/>
        </w:rPr>
        <w:t>）</w:t>
      </w:r>
    </w:p>
    <w:p>
      <w:pPr>
        <w:pStyle w:val="6"/>
        <w:adjustRightInd w:val="0"/>
        <w:snapToGrid w:val="0"/>
        <w:spacing w:before="0" w:after="0" w:line="360" w:lineRule="auto"/>
        <w:ind w:firstLine="562"/>
        <w:rPr>
          <w:rFonts w:hint="default"/>
        </w:rPr>
      </w:pPr>
    </w:p>
    <w:p>
      <w:pPr>
        <w:adjustRightInd w:val="0"/>
        <w:snapToGrid w:val="0"/>
        <w:spacing w:line="360" w:lineRule="auto"/>
        <w:ind w:firstLine="480"/>
        <w:rPr>
          <w:rFonts w:hint="default" w:ascii="宋体" w:hAnsi="宋体" w:cs="宋体"/>
          <w:kern w:val="0"/>
          <w:sz w:val="24"/>
          <w:szCs w:val="24"/>
          <w:lang w:val="zh-CN"/>
        </w:rPr>
      </w:pPr>
      <w:r>
        <w:rPr>
          <w:rFonts w:ascii="宋体" w:hAnsi="宋体" w:cs="宋体"/>
          <w:kern w:val="0"/>
          <w:sz w:val="24"/>
          <w:szCs w:val="24"/>
          <w:u w:val="single"/>
        </w:rPr>
        <w:t>（投标人名称）</w:t>
      </w:r>
      <w:r>
        <w:rPr>
          <w:rFonts w:ascii="宋体" w:hAnsi="宋体" w:cs="宋体"/>
          <w:kern w:val="0"/>
          <w:sz w:val="24"/>
          <w:szCs w:val="24"/>
          <w:lang w:val="zh-CN"/>
        </w:rPr>
        <w:t>若成为</w:t>
      </w:r>
      <w:r>
        <w:rPr>
          <w:rFonts w:ascii="宋体" w:hAnsi="宋体" w:cs="宋体"/>
          <w:sz w:val="24"/>
          <w:szCs w:val="24"/>
        </w:rPr>
        <w:t>（项目名称）【项目编号：     】</w:t>
      </w:r>
      <w:r>
        <w:rPr>
          <w:rFonts w:ascii="宋体" w:hAnsi="宋体" w:cs="宋体"/>
          <w:kern w:val="0"/>
          <w:sz w:val="24"/>
          <w:szCs w:val="24"/>
          <w:lang w:val="zh-CN"/>
        </w:rPr>
        <w:t>的成交供应商，将依法采取分包方式履行合同。</w:t>
      </w:r>
      <w:r>
        <w:rPr>
          <w:rFonts w:ascii="宋体" w:hAnsi="宋体" w:cs="宋体"/>
          <w:kern w:val="0"/>
          <w:sz w:val="24"/>
          <w:szCs w:val="24"/>
          <w:u w:val="single"/>
        </w:rPr>
        <w:t>（投标人名称）</w:t>
      </w:r>
      <w:r>
        <w:rPr>
          <w:rFonts w:ascii="宋体" w:hAnsi="宋体" w:cs="宋体"/>
          <w:kern w:val="0"/>
          <w:sz w:val="24"/>
          <w:szCs w:val="24"/>
        </w:rPr>
        <w:t>与</w:t>
      </w:r>
      <w:r>
        <w:rPr>
          <w:rFonts w:ascii="宋体" w:hAnsi="宋体" w:cs="宋体"/>
          <w:kern w:val="0"/>
          <w:sz w:val="24"/>
          <w:szCs w:val="24"/>
          <w:u w:val="single"/>
        </w:rPr>
        <w:t>（所有分包供应商名称）</w:t>
      </w:r>
      <w:r>
        <w:rPr>
          <w:rFonts w:ascii="宋体" w:hAnsi="宋体" w:cs="宋体"/>
          <w:kern w:val="0"/>
          <w:sz w:val="24"/>
          <w:szCs w:val="24"/>
        </w:rPr>
        <w:t>达成分包意向协议</w:t>
      </w:r>
      <w:r>
        <w:rPr>
          <w:rFonts w:ascii="宋体" w:hAnsi="宋体" w:cs="宋体"/>
          <w:kern w:val="0"/>
          <w:sz w:val="24"/>
          <w:szCs w:val="24"/>
          <w:lang w:val="zh-CN"/>
        </w:rPr>
        <w:t xml:space="preserve">。 </w:t>
      </w:r>
    </w:p>
    <w:p>
      <w:pPr>
        <w:adjustRightInd w:val="0"/>
        <w:snapToGrid w:val="0"/>
        <w:spacing w:line="360" w:lineRule="auto"/>
        <w:ind w:firstLine="480"/>
        <w:rPr>
          <w:rFonts w:hint="default" w:ascii="宋体" w:hAnsi="宋体" w:cs="宋体"/>
          <w:kern w:val="0"/>
          <w:sz w:val="24"/>
          <w:szCs w:val="24"/>
          <w:lang w:val="zh-CN"/>
        </w:rPr>
      </w:pPr>
      <w:r>
        <w:rPr>
          <w:rFonts w:ascii="宋体" w:hAnsi="宋体" w:cs="宋体"/>
          <w:kern w:val="0"/>
          <w:sz w:val="24"/>
          <w:szCs w:val="24"/>
          <w:lang w:val="zh-CN"/>
        </w:rPr>
        <w:t>一、分包标的及数量</w:t>
      </w:r>
    </w:p>
    <w:p>
      <w:pPr>
        <w:adjustRightInd w:val="0"/>
        <w:snapToGrid w:val="0"/>
        <w:spacing w:line="360" w:lineRule="auto"/>
        <w:ind w:firstLine="480"/>
        <w:rPr>
          <w:rFonts w:hint="default" w:ascii="宋体" w:hAnsi="宋体" w:cs="宋体"/>
          <w:kern w:val="0"/>
          <w:sz w:val="24"/>
          <w:szCs w:val="24"/>
          <w:lang w:val="zh-CN"/>
        </w:rPr>
      </w:pPr>
      <w:r>
        <w:rPr>
          <w:rFonts w:ascii="宋体" w:hAnsi="宋体" w:cs="宋体"/>
          <w:kern w:val="0"/>
          <w:sz w:val="24"/>
          <w:szCs w:val="24"/>
          <w:u w:val="single"/>
        </w:rPr>
        <w:t>（投标人名称）</w:t>
      </w:r>
      <w:r>
        <w:rPr>
          <w:rFonts w:ascii="宋体" w:hAnsi="宋体" w:cs="宋体"/>
          <w:kern w:val="0"/>
          <w:sz w:val="24"/>
          <w:szCs w:val="24"/>
          <w:lang w:val="zh-CN"/>
        </w:rPr>
        <w:t>将</w:t>
      </w:r>
      <w:r>
        <w:rPr>
          <w:rFonts w:ascii="宋体" w:hAnsi="宋体" w:cs="宋体"/>
          <w:sz w:val="24"/>
          <w:szCs w:val="24"/>
          <w:u w:val="single"/>
        </w:rPr>
        <w:t xml:space="preserve">   XX工作内容   </w:t>
      </w:r>
      <w:r>
        <w:rPr>
          <w:rFonts w:ascii="宋体" w:hAnsi="宋体" w:cs="宋体"/>
          <w:sz w:val="24"/>
          <w:szCs w:val="24"/>
        </w:rPr>
        <w:t>分包给</w:t>
      </w:r>
      <w:r>
        <w:rPr>
          <w:rFonts w:ascii="宋体" w:hAnsi="宋体" w:cs="宋体"/>
          <w:kern w:val="0"/>
          <w:sz w:val="24"/>
          <w:szCs w:val="24"/>
          <w:u w:val="single"/>
        </w:rPr>
        <w:t>（某分包供应商名称）</w:t>
      </w:r>
      <w:r>
        <w:rPr>
          <w:rFonts w:ascii="宋体" w:hAnsi="宋体" w:cs="宋体"/>
          <w:kern w:val="0"/>
          <w:sz w:val="24"/>
          <w:szCs w:val="24"/>
          <w:lang w:val="zh-CN"/>
        </w:rPr>
        <w:t>，</w:t>
      </w:r>
      <w:r>
        <w:rPr>
          <w:rFonts w:ascii="宋体" w:hAnsi="宋体" w:cs="宋体"/>
          <w:kern w:val="0"/>
          <w:sz w:val="24"/>
          <w:szCs w:val="24"/>
          <w:u w:val="single"/>
        </w:rPr>
        <w:t>（某分包供应商名称），</w:t>
      </w:r>
      <w:r>
        <w:rPr>
          <w:rFonts w:ascii="宋体" w:hAnsi="宋体" w:cs="宋体"/>
          <w:kern w:val="0"/>
          <w:sz w:val="24"/>
          <w:szCs w:val="24"/>
          <w:lang w:val="zh-CN"/>
        </w:rPr>
        <w:t>具备承</w:t>
      </w:r>
      <w:r>
        <w:rPr>
          <w:rFonts w:ascii="宋体" w:hAnsi="宋体" w:cs="宋体"/>
          <w:kern w:val="0"/>
          <w:sz w:val="24"/>
          <w:szCs w:val="24"/>
        </w:rPr>
        <w:t>担</w:t>
      </w:r>
      <w:r>
        <w:rPr>
          <w:rFonts w:ascii="宋体" w:hAnsi="宋体" w:cs="宋体"/>
          <w:kern w:val="0"/>
          <w:sz w:val="24"/>
          <w:szCs w:val="24"/>
          <w:u w:val="single"/>
          <w:lang w:val="zh-CN"/>
        </w:rPr>
        <w:t>XX工作内容</w:t>
      </w:r>
      <w:r>
        <w:rPr>
          <w:rFonts w:ascii="宋体" w:hAnsi="宋体" w:cs="宋体"/>
          <w:kern w:val="0"/>
          <w:sz w:val="24"/>
          <w:szCs w:val="24"/>
          <w:lang w:val="zh-CN"/>
        </w:rPr>
        <w:t>相应资质条件且不得再次分包；</w:t>
      </w:r>
    </w:p>
    <w:p>
      <w:pPr>
        <w:pStyle w:val="4"/>
        <w:tabs>
          <w:tab w:val="left" w:pos="432"/>
        </w:tabs>
        <w:adjustRightInd w:val="0"/>
        <w:snapToGrid w:val="0"/>
        <w:spacing w:before="0" w:after="0" w:line="360" w:lineRule="auto"/>
        <w:ind w:left="664" w:leftChars="316" w:firstLine="229" w:firstLineChars="95"/>
        <w:rPr>
          <w:rFonts w:hint="default" w:ascii="宋体" w:hAnsi="宋体" w:eastAsia="宋体" w:cs="宋体"/>
          <w:sz w:val="24"/>
          <w:szCs w:val="24"/>
        </w:rPr>
      </w:pPr>
      <w:r>
        <w:rPr>
          <w:rFonts w:ascii="宋体" w:hAnsi="宋体" w:eastAsia="宋体" w:cs="宋体"/>
          <w:kern w:val="0"/>
          <w:sz w:val="24"/>
          <w:szCs w:val="24"/>
        </w:rPr>
        <w:t>……</w:t>
      </w:r>
    </w:p>
    <w:p>
      <w:pPr>
        <w:adjustRightInd w:val="0"/>
        <w:snapToGrid w:val="0"/>
        <w:spacing w:line="360" w:lineRule="auto"/>
        <w:ind w:firstLine="480"/>
        <w:rPr>
          <w:rFonts w:hint="default" w:ascii="宋体" w:hAnsi="宋体" w:cs="宋体"/>
          <w:kern w:val="0"/>
          <w:sz w:val="24"/>
          <w:szCs w:val="24"/>
          <w:lang w:val="zh-CN"/>
        </w:rPr>
      </w:pPr>
      <w:r>
        <w:rPr>
          <w:rFonts w:ascii="宋体" w:hAnsi="宋体" w:cs="宋体"/>
          <w:kern w:val="0"/>
          <w:sz w:val="24"/>
          <w:szCs w:val="24"/>
          <w:lang w:val="zh-CN"/>
        </w:rPr>
        <w:t>二、分包工作履行期限、地点、方式</w:t>
      </w:r>
    </w:p>
    <w:p>
      <w:pPr>
        <w:adjustRightInd w:val="0"/>
        <w:snapToGrid w:val="0"/>
        <w:spacing w:line="360" w:lineRule="auto"/>
        <w:ind w:firstLine="480"/>
        <w:rPr>
          <w:rFonts w:hint="default" w:ascii="宋体" w:hAnsi="宋体" w:cs="宋体"/>
          <w:u w:val="single"/>
        </w:rPr>
      </w:pPr>
    </w:p>
    <w:p>
      <w:pPr>
        <w:adjustRightInd w:val="0"/>
        <w:snapToGrid w:val="0"/>
        <w:spacing w:line="360" w:lineRule="auto"/>
        <w:ind w:firstLine="480"/>
        <w:rPr>
          <w:rFonts w:hint="default" w:ascii="宋体" w:hAnsi="宋体" w:cs="宋体"/>
          <w:kern w:val="0"/>
          <w:sz w:val="24"/>
          <w:lang w:val="zh-CN"/>
        </w:rPr>
      </w:pPr>
      <w:r>
        <w:rPr>
          <w:rFonts w:ascii="宋体" w:hAnsi="宋体" w:cs="宋体"/>
          <w:kern w:val="0"/>
          <w:sz w:val="24"/>
          <w:lang w:val="zh-CN"/>
        </w:rPr>
        <w:t>三、质量</w:t>
      </w:r>
    </w:p>
    <w:p>
      <w:pPr>
        <w:adjustRightInd w:val="0"/>
        <w:snapToGrid w:val="0"/>
        <w:spacing w:line="360" w:lineRule="auto"/>
        <w:ind w:firstLine="480"/>
        <w:rPr>
          <w:rFonts w:hint="default" w:ascii="宋体" w:hAnsi="宋体" w:cs="宋体"/>
          <w:kern w:val="0"/>
          <w:sz w:val="24"/>
          <w:lang w:val="zh-CN"/>
        </w:rPr>
      </w:pPr>
    </w:p>
    <w:p>
      <w:pPr>
        <w:adjustRightInd w:val="0"/>
        <w:snapToGrid w:val="0"/>
        <w:spacing w:line="360" w:lineRule="auto"/>
        <w:ind w:firstLine="480"/>
        <w:rPr>
          <w:rFonts w:hint="default" w:ascii="宋体" w:hAnsi="宋体" w:cs="宋体"/>
          <w:kern w:val="0"/>
          <w:sz w:val="24"/>
          <w:lang w:val="zh-CN"/>
        </w:rPr>
      </w:pPr>
      <w:r>
        <w:rPr>
          <w:rFonts w:ascii="宋体" w:hAnsi="宋体" w:cs="宋体"/>
          <w:kern w:val="0"/>
          <w:sz w:val="24"/>
          <w:lang w:val="zh-CN"/>
        </w:rPr>
        <w:t>四、价款或者报酬</w:t>
      </w:r>
    </w:p>
    <w:p>
      <w:pPr>
        <w:adjustRightInd w:val="0"/>
        <w:snapToGrid w:val="0"/>
        <w:spacing w:line="360" w:lineRule="auto"/>
        <w:ind w:left="573" w:leftChars="273" w:firstLine="480"/>
        <w:rPr>
          <w:rFonts w:hint="default" w:ascii="宋体" w:hAnsi="宋体" w:cs="宋体"/>
          <w:kern w:val="0"/>
          <w:sz w:val="24"/>
          <w:lang w:val="zh-CN"/>
        </w:rPr>
      </w:pPr>
    </w:p>
    <w:p>
      <w:pPr>
        <w:adjustRightInd w:val="0"/>
        <w:snapToGrid w:val="0"/>
        <w:spacing w:line="360" w:lineRule="auto"/>
        <w:ind w:left="573" w:leftChars="273" w:firstLine="480"/>
        <w:rPr>
          <w:rFonts w:hint="default" w:ascii="宋体" w:hAnsi="宋体" w:cs="宋体"/>
          <w:kern w:val="0"/>
          <w:sz w:val="24"/>
          <w:lang w:val="zh-CN"/>
        </w:rPr>
      </w:pPr>
      <w:r>
        <w:rPr>
          <w:rFonts w:ascii="宋体" w:hAnsi="宋体" w:cs="宋体"/>
          <w:kern w:val="0"/>
          <w:sz w:val="24"/>
          <w:lang w:val="zh-CN"/>
        </w:rPr>
        <w:t>五、违约责任</w:t>
      </w:r>
    </w:p>
    <w:p>
      <w:pPr>
        <w:adjustRightInd w:val="0"/>
        <w:snapToGrid w:val="0"/>
        <w:spacing w:line="360" w:lineRule="auto"/>
        <w:ind w:firstLine="480"/>
        <w:rPr>
          <w:rFonts w:hint="default" w:ascii="宋体" w:hAnsi="宋体" w:cs="宋体"/>
          <w:kern w:val="0"/>
          <w:sz w:val="24"/>
          <w:lang w:val="zh-CN"/>
        </w:rPr>
      </w:pPr>
    </w:p>
    <w:p>
      <w:pPr>
        <w:adjustRightInd w:val="0"/>
        <w:snapToGrid w:val="0"/>
        <w:spacing w:line="360" w:lineRule="auto"/>
        <w:ind w:firstLine="480"/>
        <w:rPr>
          <w:rFonts w:hint="default" w:ascii="宋体" w:hAnsi="宋体" w:cs="宋体"/>
          <w:kern w:val="0"/>
          <w:sz w:val="24"/>
          <w:lang w:val="zh-CN"/>
        </w:rPr>
      </w:pPr>
      <w:r>
        <w:rPr>
          <w:rFonts w:ascii="宋体" w:hAnsi="宋体" w:cs="宋体"/>
          <w:kern w:val="0"/>
          <w:sz w:val="24"/>
          <w:lang w:val="zh-CN"/>
        </w:rPr>
        <w:t>六、争议解决的办法</w:t>
      </w:r>
    </w:p>
    <w:p>
      <w:pPr>
        <w:adjustRightInd w:val="0"/>
        <w:snapToGrid w:val="0"/>
        <w:spacing w:line="360" w:lineRule="auto"/>
        <w:ind w:firstLine="480"/>
        <w:rPr>
          <w:rFonts w:hint="default" w:ascii="宋体" w:hAnsi="宋体" w:cs="宋体"/>
          <w:kern w:val="0"/>
          <w:sz w:val="24"/>
          <w:lang w:val="zh-CN"/>
        </w:rPr>
      </w:pPr>
    </w:p>
    <w:p>
      <w:pPr>
        <w:adjustRightInd w:val="0"/>
        <w:snapToGrid w:val="0"/>
        <w:spacing w:line="360" w:lineRule="auto"/>
        <w:ind w:firstLine="480"/>
        <w:rPr>
          <w:rFonts w:hint="default" w:ascii="宋体" w:hAnsi="宋体" w:cs="宋体"/>
          <w:kern w:val="0"/>
          <w:sz w:val="24"/>
          <w:lang w:val="zh-CN"/>
        </w:rPr>
      </w:pPr>
      <w:r>
        <w:rPr>
          <w:rFonts w:ascii="宋体" w:hAnsi="宋体" w:cs="宋体"/>
          <w:kern w:val="0"/>
          <w:sz w:val="24"/>
          <w:lang w:val="zh-CN"/>
        </w:rPr>
        <w:t>七、其他</w:t>
      </w:r>
    </w:p>
    <w:p>
      <w:pPr>
        <w:adjustRightInd w:val="0"/>
        <w:snapToGrid w:val="0"/>
        <w:spacing w:line="360" w:lineRule="auto"/>
        <w:ind w:firstLine="480"/>
        <w:rPr>
          <w:rFonts w:hint="default" w:ascii="宋体" w:hAnsi="宋体" w:cs="宋体"/>
          <w:b/>
          <w:kern w:val="0"/>
          <w:sz w:val="24"/>
          <w:lang w:val="zh-CN"/>
        </w:rPr>
      </w:pPr>
      <w:r>
        <w:rPr>
          <w:rFonts w:ascii="宋体" w:hAnsi="宋体" w:cs="宋体"/>
          <w:kern w:val="0"/>
          <w:sz w:val="24"/>
          <w:u w:val="single"/>
        </w:rPr>
        <w:t>（分包供应商名称）提供的货物全部由小微企业制造，</w:t>
      </w:r>
      <w:r>
        <w:rPr>
          <w:rFonts w:ascii="宋体" w:hAnsi="宋体" w:cs="宋体"/>
          <w:kern w:val="0"/>
          <w:sz w:val="24"/>
        </w:rPr>
        <w:t>其合同份额占到合同总金额%以上</w:t>
      </w:r>
      <w:r>
        <w:rPr>
          <w:rFonts w:ascii="宋体" w:hAnsi="宋体" w:cs="宋体"/>
        </w:rPr>
        <w:t>。</w:t>
      </w:r>
    </w:p>
    <w:p>
      <w:pPr>
        <w:adjustRightInd w:val="0"/>
        <w:snapToGrid w:val="0"/>
        <w:spacing w:line="440" w:lineRule="exact"/>
        <w:ind w:firstLine="480"/>
        <w:rPr>
          <w:rFonts w:hint="default" w:ascii="宋体" w:hAnsi="宋体" w:cs="宋体"/>
          <w:kern w:val="0"/>
          <w:sz w:val="24"/>
          <w:lang w:val="zh-CN"/>
        </w:rPr>
      </w:pPr>
      <w:r>
        <w:rPr>
          <w:rFonts w:ascii="宋体" w:hAnsi="宋体" w:cs="宋体"/>
          <w:kern w:val="0"/>
          <w:sz w:val="24"/>
        </w:rPr>
        <w:t>供应商</w:t>
      </w:r>
      <w:r>
        <w:rPr>
          <w:rFonts w:ascii="宋体" w:hAnsi="宋体" w:cs="宋体"/>
          <w:kern w:val="0"/>
          <w:sz w:val="24"/>
          <w:lang w:val="zh-CN"/>
        </w:rPr>
        <w:t>名称(电子签名/公章)：</w:t>
      </w:r>
    </w:p>
    <w:p>
      <w:pPr>
        <w:adjustRightInd w:val="0"/>
        <w:snapToGrid w:val="0"/>
        <w:spacing w:line="440" w:lineRule="exact"/>
        <w:ind w:firstLine="480"/>
        <w:rPr>
          <w:rFonts w:hint="default" w:ascii="宋体" w:hAnsi="宋体" w:cs="宋体"/>
          <w:kern w:val="0"/>
          <w:sz w:val="24"/>
          <w:lang w:val="zh-CN"/>
        </w:rPr>
      </w:pPr>
      <w:r>
        <w:rPr>
          <w:rFonts w:ascii="宋体" w:hAnsi="宋体" w:cs="宋体"/>
          <w:kern w:val="0"/>
          <w:sz w:val="24"/>
          <w:lang w:val="zh-CN"/>
        </w:rPr>
        <w:t>分包供应商名称：</w:t>
      </w:r>
    </w:p>
    <w:p>
      <w:pPr>
        <w:adjustRightInd w:val="0"/>
        <w:snapToGrid w:val="0"/>
        <w:spacing w:line="440" w:lineRule="exact"/>
        <w:ind w:right="420" w:firstLine="480"/>
        <w:rPr>
          <w:rFonts w:hint="default" w:ascii="宋体" w:hAnsi="宋体" w:cs="宋体"/>
          <w:kern w:val="0"/>
          <w:sz w:val="24"/>
          <w:lang w:val="zh-CN"/>
        </w:rPr>
      </w:pPr>
      <w:r>
        <w:rPr>
          <w:rFonts w:ascii="宋体" w:hAnsi="宋体" w:cs="宋体"/>
          <w:kern w:val="0"/>
          <w:sz w:val="24"/>
          <w:lang w:val="zh-CN"/>
        </w:rPr>
        <w:t>日期：  年  月   日</w:t>
      </w:r>
    </w:p>
    <w:p>
      <w:pPr>
        <w:snapToGrid w:val="0"/>
        <w:spacing w:line="360" w:lineRule="auto"/>
        <w:ind w:left="570" w:firstLine="480"/>
        <w:jc w:val="center"/>
        <w:outlineLvl w:val="0"/>
        <w:rPr>
          <w:rFonts w:hint="default"/>
          <w:b/>
          <w:sz w:val="32"/>
          <w:szCs w:val="32"/>
          <w:lang w:val="zh-CN"/>
        </w:rPr>
      </w:pPr>
      <w:r>
        <w:rPr>
          <w:rFonts w:ascii="宋体" w:hAnsi="宋体" w:cs="宋体"/>
          <w:kern w:val="0"/>
          <w:sz w:val="24"/>
          <w:lang w:val="zh-CN"/>
        </w:rPr>
        <w:br w:type="page"/>
      </w:r>
      <w:bookmarkStart w:id="127" w:name="_Toc11509"/>
      <w:r>
        <w:rPr>
          <w:b/>
          <w:sz w:val="32"/>
          <w:szCs w:val="32"/>
        </w:rPr>
        <w:t>六</w:t>
      </w:r>
      <w:r>
        <w:rPr>
          <w:rFonts w:hint="default"/>
          <w:b/>
          <w:sz w:val="32"/>
          <w:szCs w:val="32"/>
          <w:lang w:val="zh-CN"/>
        </w:rPr>
        <w:t>、商务技术偏离表</w:t>
      </w:r>
      <w:bookmarkEnd w:id="121"/>
      <w:bookmarkEnd w:id="123"/>
      <w:bookmarkEnd w:id="124"/>
      <w:bookmarkEnd w:id="125"/>
      <w:bookmarkEnd w:id="127"/>
    </w:p>
    <w:p>
      <w:pPr>
        <w:tabs>
          <w:tab w:val="left" w:pos="1418"/>
        </w:tabs>
        <w:snapToGrid w:val="0"/>
        <w:spacing w:before="50" w:after="50" w:line="360" w:lineRule="auto"/>
        <w:ind w:firstLine="480" w:firstLineChars="200"/>
        <w:rPr>
          <w:rFonts w:hint="default"/>
          <w:sz w:val="24"/>
        </w:rPr>
      </w:pPr>
      <w:r>
        <w:rPr>
          <w:rFonts w:hint="default"/>
          <w:sz w:val="24"/>
        </w:rPr>
        <w:t>项目名称：</w:t>
      </w:r>
    </w:p>
    <w:p>
      <w:pPr>
        <w:tabs>
          <w:tab w:val="left" w:pos="1418"/>
        </w:tabs>
        <w:snapToGrid w:val="0"/>
        <w:spacing w:before="50" w:after="50" w:line="360" w:lineRule="auto"/>
        <w:ind w:firstLine="480" w:firstLineChars="200"/>
        <w:rPr>
          <w:rFonts w:hint="default"/>
          <w:sz w:val="24"/>
        </w:rPr>
      </w:pPr>
      <w:r>
        <w:rPr>
          <w:rFonts w:hint="default"/>
          <w:sz w:val="24"/>
        </w:rPr>
        <w:t>项目编号：</w:t>
      </w:r>
    </w:p>
    <w:tbl>
      <w:tblPr>
        <w:tblStyle w:val="4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96"/>
        <w:gridCol w:w="2097"/>
        <w:gridCol w:w="2112"/>
        <w:gridCol w:w="241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9" w:hRule="atLeast"/>
          <w:jc w:val="center"/>
        </w:trPr>
        <w:tc>
          <w:tcPr>
            <w:tcW w:w="269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default"/>
                <w:sz w:val="24"/>
                <w:szCs w:val="22"/>
              </w:rPr>
            </w:pPr>
            <w:r>
              <w:rPr>
                <w:rFonts w:hint="default"/>
                <w:sz w:val="24"/>
                <w:szCs w:val="22"/>
              </w:rPr>
              <w:t>采购文件要求</w:t>
            </w:r>
          </w:p>
        </w:tc>
        <w:tc>
          <w:tcPr>
            <w:tcW w:w="2097"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default"/>
                <w:sz w:val="24"/>
                <w:szCs w:val="22"/>
              </w:rPr>
            </w:pPr>
            <w:r>
              <w:rPr>
                <w:rFonts w:hint="default"/>
                <w:sz w:val="24"/>
                <w:szCs w:val="22"/>
              </w:rPr>
              <w:t>采购文件响应</w:t>
            </w:r>
          </w:p>
        </w:tc>
        <w:tc>
          <w:tcPr>
            <w:tcW w:w="211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default"/>
                <w:sz w:val="24"/>
                <w:szCs w:val="22"/>
              </w:rPr>
            </w:pPr>
            <w:r>
              <w:rPr>
                <w:rFonts w:hint="default"/>
                <w:sz w:val="24"/>
                <w:szCs w:val="22"/>
              </w:rPr>
              <w:t>偏离</w:t>
            </w:r>
            <w:r>
              <w:rPr>
                <w:sz w:val="24"/>
                <w:szCs w:val="22"/>
              </w:rPr>
              <w:t>情况</w:t>
            </w:r>
          </w:p>
        </w:tc>
        <w:tc>
          <w:tcPr>
            <w:tcW w:w="24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default"/>
                <w:sz w:val="24"/>
                <w:szCs w:val="22"/>
              </w:rPr>
            </w:pPr>
            <w:r>
              <w:rPr>
                <w:sz w:val="24"/>
                <w:szCs w:val="22"/>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7" w:hRule="atLeast"/>
          <w:jc w:val="center"/>
        </w:trPr>
        <w:tc>
          <w:tcPr>
            <w:tcW w:w="2696"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jc w:val="center"/>
              <w:rPr>
                <w:rFonts w:hint="default"/>
                <w:sz w:val="24"/>
                <w:szCs w:val="22"/>
              </w:rPr>
            </w:pPr>
          </w:p>
        </w:tc>
        <w:tc>
          <w:tcPr>
            <w:tcW w:w="2097"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jc w:val="center"/>
              <w:rPr>
                <w:rFonts w:hint="default"/>
                <w:sz w:val="24"/>
                <w:szCs w:val="22"/>
              </w:rPr>
            </w:pPr>
          </w:p>
        </w:tc>
        <w:tc>
          <w:tcPr>
            <w:tcW w:w="2112"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jc w:val="center"/>
              <w:rPr>
                <w:rFonts w:hint="default"/>
                <w:sz w:val="24"/>
                <w:szCs w:val="22"/>
              </w:rPr>
            </w:pPr>
          </w:p>
        </w:tc>
        <w:tc>
          <w:tcPr>
            <w:tcW w:w="2414"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jc w:val="center"/>
              <w:rPr>
                <w:rFonts w:hint="default"/>
                <w:sz w:val="24"/>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7" w:hRule="atLeast"/>
          <w:jc w:val="center"/>
        </w:trPr>
        <w:tc>
          <w:tcPr>
            <w:tcW w:w="2696"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jc w:val="center"/>
              <w:rPr>
                <w:rFonts w:hint="default"/>
                <w:sz w:val="24"/>
                <w:szCs w:val="22"/>
              </w:rPr>
            </w:pPr>
          </w:p>
        </w:tc>
        <w:tc>
          <w:tcPr>
            <w:tcW w:w="2097"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jc w:val="center"/>
              <w:rPr>
                <w:rFonts w:hint="default"/>
                <w:sz w:val="24"/>
                <w:szCs w:val="22"/>
              </w:rPr>
            </w:pPr>
          </w:p>
        </w:tc>
        <w:tc>
          <w:tcPr>
            <w:tcW w:w="2112"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jc w:val="center"/>
              <w:rPr>
                <w:rFonts w:hint="default"/>
                <w:sz w:val="24"/>
                <w:szCs w:val="22"/>
              </w:rPr>
            </w:pPr>
          </w:p>
        </w:tc>
        <w:tc>
          <w:tcPr>
            <w:tcW w:w="2414"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jc w:val="center"/>
              <w:rPr>
                <w:rFonts w:hint="default"/>
                <w:sz w:val="24"/>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2696"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jc w:val="center"/>
              <w:rPr>
                <w:rFonts w:hint="default"/>
                <w:sz w:val="24"/>
                <w:szCs w:val="22"/>
              </w:rPr>
            </w:pPr>
          </w:p>
        </w:tc>
        <w:tc>
          <w:tcPr>
            <w:tcW w:w="2097"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jc w:val="center"/>
              <w:rPr>
                <w:rFonts w:hint="default"/>
                <w:sz w:val="24"/>
                <w:szCs w:val="22"/>
              </w:rPr>
            </w:pPr>
          </w:p>
        </w:tc>
        <w:tc>
          <w:tcPr>
            <w:tcW w:w="2112"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jc w:val="center"/>
              <w:rPr>
                <w:rFonts w:hint="default"/>
                <w:sz w:val="24"/>
                <w:szCs w:val="22"/>
              </w:rPr>
            </w:pPr>
          </w:p>
        </w:tc>
        <w:tc>
          <w:tcPr>
            <w:tcW w:w="2414"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jc w:val="center"/>
              <w:rPr>
                <w:rFonts w:hint="default"/>
                <w:sz w:val="24"/>
                <w:szCs w:val="22"/>
              </w:rPr>
            </w:pPr>
          </w:p>
        </w:tc>
      </w:tr>
    </w:tbl>
    <w:p>
      <w:pPr>
        <w:pStyle w:val="7"/>
        <w:spacing w:before="156" w:after="156" w:line="460" w:lineRule="atLeast"/>
        <w:ind w:right="-105" w:rightChars="-50" w:firstLine="440"/>
        <w:rPr>
          <w:rFonts w:hint="default" w:hAnsi="宋体"/>
          <w:b/>
          <w:bCs/>
          <w:u w:val="single"/>
        </w:rPr>
      </w:pPr>
      <w:r>
        <w:rPr>
          <w:rFonts w:hAnsi="宋体" w:cs="仿宋"/>
          <w:spacing w:val="-10"/>
        </w:rPr>
        <w:t>备注：1、</w:t>
      </w:r>
      <w:r>
        <w:rPr>
          <w:rFonts w:hAnsi="宋体" w:cs="仿宋"/>
          <w:b/>
          <w:bCs/>
          <w:u w:val="single"/>
        </w:rPr>
        <w:t>结合</w:t>
      </w:r>
      <w:r>
        <w:rPr>
          <w:rFonts w:hAnsi="宋体" w:cs="仿宋"/>
          <w:spacing w:val="-10"/>
          <w:u w:val="single"/>
        </w:rPr>
        <w:t>《</w:t>
      </w:r>
      <w:r>
        <w:rPr>
          <w:rFonts w:hint="default" w:hAnsi="宋体" w:cs="仿宋"/>
          <w:b/>
          <w:bCs/>
          <w:u w:val="single"/>
        </w:rPr>
        <w:t>第三章评标办法</w:t>
      </w:r>
      <w:r>
        <w:rPr>
          <w:rFonts w:hAnsi="宋体" w:cs="仿宋"/>
          <w:b/>
          <w:bCs/>
          <w:u w:val="single"/>
        </w:rPr>
        <w:t>》</w:t>
      </w:r>
      <w:r>
        <w:rPr>
          <w:rFonts w:hAnsi="宋体" w:cs="仿宋"/>
          <w:b/>
          <w:bCs/>
          <w:spacing w:val="-10"/>
          <w:u w:val="single"/>
        </w:rPr>
        <w:t>与</w:t>
      </w:r>
      <w:r>
        <w:rPr>
          <w:rFonts w:hAnsi="宋体" w:cs="仿宋"/>
          <w:b/>
          <w:bCs/>
          <w:u w:val="single"/>
        </w:rPr>
        <w:t>《第四章采购内容及需求</w:t>
      </w:r>
      <w:r>
        <w:rPr>
          <w:rFonts w:hAnsi="宋体" w:cs="仿宋"/>
          <w:b/>
          <w:bCs/>
          <w:spacing w:val="-10"/>
          <w:u w:val="single"/>
        </w:rPr>
        <w:t>》</w:t>
      </w:r>
      <w:r>
        <w:rPr>
          <w:rFonts w:hAnsi="宋体" w:cs="仿宋"/>
          <w:b/>
          <w:bCs/>
          <w:spacing w:val="-1"/>
          <w:u w:val="single"/>
        </w:rPr>
        <w:t>中</w:t>
      </w:r>
      <w:r>
        <w:rPr>
          <w:rFonts w:hAnsi="宋体" w:cs="仿宋"/>
          <w:b/>
          <w:bCs/>
          <w:u w:val="single"/>
        </w:rPr>
        <w:t>要求逐条对应；2、投标单位须如实填写上表，并按要求提供证明材料，提供虚假材料处理的按虚假应标一律；3、“偏离情况”栏填写：“正偏离</w:t>
      </w:r>
      <w:r>
        <w:rPr>
          <w:rFonts w:hAnsi="宋体" w:cs="仿宋"/>
          <w:b/>
          <w:bCs/>
          <w:spacing w:val="-1"/>
          <w:u w:val="single"/>
        </w:rPr>
        <w:t>”</w:t>
      </w:r>
      <w:r>
        <w:rPr>
          <w:rFonts w:hAnsi="宋体" w:cs="仿宋"/>
          <w:b/>
          <w:bCs/>
          <w:u w:val="single"/>
        </w:rPr>
        <w:t>或“负偏离”或“无偏离”。4、投标单位未按要求填写本表的，评标委员会评审时有权按不利于投标人的情况进行评审。</w:t>
      </w:r>
      <w:r>
        <w:rPr>
          <w:rFonts w:ascii="Times New Roman"/>
          <w:b/>
          <w:bCs/>
          <w:u w:val="single"/>
        </w:rPr>
        <w:t>▲</w:t>
      </w:r>
      <w:r>
        <w:rPr>
          <w:rFonts w:hAnsi="宋体" w:cs="仿宋"/>
          <w:b/>
          <w:bCs/>
          <w:u w:val="single"/>
        </w:rPr>
        <w:t>5、</w:t>
      </w:r>
      <w:r>
        <w:rPr>
          <w:rFonts w:ascii="Times New Roman"/>
          <w:b/>
          <w:bCs/>
          <w:u w:val="single"/>
        </w:rPr>
        <w:t>采购人拟采购的产品属于政府强制采购的节能产品品目清单范围的，投标人在商务技术偏离表后提供国家确定的认证机构出具的、处于有效期之内的节能产品认证证书的，未提供的投标无效</w:t>
      </w:r>
      <w:r>
        <w:rPr>
          <w:rFonts w:ascii="Times New Roman"/>
          <w:b/>
          <w:bCs/>
        </w:rPr>
        <w:t>。</w:t>
      </w:r>
    </w:p>
    <w:p>
      <w:pPr>
        <w:snapToGrid w:val="0"/>
        <w:spacing w:line="300" w:lineRule="auto"/>
        <w:ind w:firstLine="480"/>
        <w:rPr>
          <w:rFonts w:hint="default" w:ascii="Arial" w:hAnsi="Arial" w:cs="Arial"/>
        </w:rPr>
      </w:pPr>
    </w:p>
    <w:p>
      <w:pPr>
        <w:snapToGrid w:val="0"/>
        <w:spacing w:line="360" w:lineRule="auto"/>
        <w:ind w:firstLine="211" w:firstLineChars="100"/>
        <w:rPr>
          <w:rFonts w:hint="default"/>
          <w:b/>
          <w:bCs/>
        </w:rPr>
      </w:pPr>
    </w:p>
    <w:p>
      <w:pPr>
        <w:autoSpaceDE w:val="0"/>
        <w:autoSpaceDN w:val="0"/>
        <w:snapToGrid w:val="0"/>
        <w:spacing w:line="360" w:lineRule="auto"/>
        <w:ind w:firstLine="5160" w:firstLineChars="2150"/>
        <w:rPr>
          <w:rFonts w:hint="default"/>
          <w:kern w:val="0"/>
          <w:sz w:val="24"/>
          <w:lang w:val="zh-CN"/>
        </w:rPr>
      </w:pPr>
    </w:p>
    <w:p>
      <w:pPr>
        <w:adjustRightInd w:val="0"/>
        <w:snapToGrid w:val="0"/>
        <w:spacing w:line="360" w:lineRule="auto"/>
        <w:ind w:firstLine="480" w:firstLineChars="200"/>
        <w:rPr>
          <w:rFonts w:hint="default" w:ascii="宋体" w:hAnsi="宋体" w:cs="宋体"/>
          <w:kern w:val="0"/>
          <w:sz w:val="24"/>
        </w:rPr>
      </w:pPr>
      <w:r>
        <w:rPr>
          <w:rFonts w:ascii="宋体" w:hAnsi="宋体" w:cs="宋体"/>
          <w:kern w:val="0"/>
          <w:sz w:val="24"/>
        </w:rPr>
        <w:t>供应商（</w:t>
      </w:r>
      <w:r>
        <w:rPr>
          <w:rFonts w:ascii="宋体" w:hAnsi="宋体" w:cs="宋体"/>
          <w:kern w:val="0"/>
          <w:sz w:val="24"/>
          <w:lang w:val="zh-CN"/>
        </w:rPr>
        <w:t>电子签名/公章</w:t>
      </w:r>
      <w:r>
        <w:rPr>
          <w:rFonts w:ascii="宋体" w:hAnsi="宋体" w:cs="宋体"/>
          <w:kern w:val="0"/>
          <w:sz w:val="24"/>
        </w:rPr>
        <w:t>）：</w:t>
      </w:r>
    </w:p>
    <w:p>
      <w:pPr>
        <w:widowControl/>
        <w:adjustRightInd w:val="0"/>
        <w:snapToGrid w:val="0"/>
        <w:spacing w:line="360" w:lineRule="auto"/>
        <w:ind w:firstLine="480" w:firstLineChars="200"/>
        <w:jc w:val="left"/>
        <w:rPr>
          <w:rFonts w:hint="default"/>
          <w:kern w:val="0"/>
          <w:sz w:val="24"/>
        </w:rPr>
      </w:pPr>
      <w:r>
        <w:rPr>
          <w:rFonts w:hint="default"/>
          <w:kern w:val="0"/>
          <w:sz w:val="24"/>
        </w:rPr>
        <w:t>法定代表人或其授权代表（签字或盖章）：</w:t>
      </w:r>
    </w:p>
    <w:p>
      <w:pPr>
        <w:pStyle w:val="7"/>
        <w:adjustRightInd w:val="0"/>
        <w:snapToGrid w:val="0"/>
        <w:spacing w:beforeLines="0" w:afterLines="0" w:line="360" w:lineRule="auto"/>
        <w:ind w:firstLine="480" w:firstLineChars="200"/>
        <w:outlineLvl w:val="0"/>
        <w:rPr>
          <w:rFonts w:hint="default" w:ascii="Times New Roman" w:hAnsi="Times New Roman"/>
          <w:b/>
          <w:sz w:val="32"/>
          <w:szCs w:val="32"/>
        </w:rPr>
      </w:pPr>
      <w:bookmarkStart w:id="128" w:name="_Toc31392"/>
      <w:r>
        <w:rPr>
          <w:rFonts w:hint="default" w:ascii="Times New Roman" w:hAnsi="Times New Roman"/>
          <w:kern w:val="0"/>
        </w:rPr>
        <w:t>日期：年月日</w:t>
      </w:r>
      <w:bookmarkEnd w:id="128"/>
    </w:p>
    <w:p>
      <w:pPr>
        <w:snapToGrid w:val="0"/>
        <w:spacing w:line="360" w:lineRule="auto"/>
        <w:ind w:firstLine="211" w:firstLineChars="100"/>
        <w:rPr>
          <w:rFonts w:hint="default"/>
          <w:b/>
          <w:bCs/>
        </w:rPr>
      </w:pPr>
    </w:p>
    <w:p>
      <w:pPr>
        <w:pStyle w:val="7"/>
        <w:snapToGrid w:val="0"/>
        <w:spacing w:before="156" w:after="156" w:line="360" w:lineRule="auto"/>
        <w:ind w:firstLine="643" w:firstLineChars="200"/>
        <w:jc w:val="center"/>
        <w:outlineLvl w:val="0"/>
        <w:rPr>
          <w:rFonts w:hint="default" w:ascii="Times New Roman" w:hAnsi="Times New Roman"/>
          <w:b/>
          <w:sz w:val="32"/>
          <w:szCs w:val="32"/>
          <w:lang w:val="zh-CN"/>
        </w:rPr>
        <w:sectPr>
          <w:pgSz w:w="11906" w:h="16838"/>
          <w:pgMar w:top="1134" w:right="1247" w:bottom="1247" w:left="1304" w:header="794" w:footer="794" w:gutter="0"/>
          <w:cols w:space="720" w:num="1"/>
          <w:docGrid w:type="lines" w:linePitch="312" w:charSpace="0"/>
        </w:sectPr>
      </w:pPr>
      <w:bookmarkStart w:id="129" w:name="_Toc19684"/>
      <w:bookmarkStart w:id="130" w:name="_Toc16955"/>
      <w:bookmarkStart w:id="131" w:name="_Toc28622"/>
      <w:bookmarkStart w:id="132" w:name="_Toc15353"/>
    </w:p>
    <w:p>
      <w:pPr>
        <w:pStyle w:val="7"/>
        <w:snapToGrid w:val="0"/>
        <w:spacing w:before="156" w:after="156" w:line="360" w:lineRule="auto"/>
        <w:ind w:firstLine="643" w:firstLineChars="200"/>
        <w:jc w:val="center"/>
        <w:outlineLvl w:val="0"/>
        <w:rPr>
          <w:rFonts w:hint="default" w:ascii="Times New Roman" w:hAnsi="Times New Roman"/>
        </w:rPr>
      </w:pPr>
      <w:bookmarkStart w:id="133" w:name="_Toc6768"/>
      <w:r>
        <w:rPr>
          <w:rFonts w:ascii="Times New Roman" w:hAnsi="Times New Roman"/>
          <w:b/>
          <w:sz w:val="32"/>
          <w:szCs w:val="32"/>
        </w:rPr>
        <w:t>七</w:t>
      </w:r>
      <w:r>
        <w:rPr>
          <w:rFonts w:hint="default" w:ascii="Times New Roman" w:hAnsi="Times New Roman"/>
          <w:b/>
          <w:sz w:val="32"/>
          <w:szCs w:val="32"/>
        </w:rPr>
        <w:t>、</w:t>
      </w:r>
      <w:bookmarkEnd w:id="129"/>
      <w:bookmarkEnd w:id="130"/>
      <w:bookmarkEnd w:id="131"/>
      <w:r>
        <w:rPr>
          <w:rFonts w:hint="default" w:ascii="Times New Roman" w:hAnsi="Times New Roman"/>
          <w:b/>
          <w:sz w:val="32"/>
          <w:szCs w:val="32"/>
        </w:rPr>
        <w:t>设备的详细配置及零部件清单</w:t>
      </w:r>
      <w:r>
        <w:rPr>
          <w:rFonts w:hint="default" w:ascii="Times New Roman" w:hAnsi="Times New Roman"/>
          <w:b/>
          <w:sz w:val="32"/>
          <w:szCs w:val="32"/>
          <w:lang w:val="zh-CN"/>
        </w:rPr>
        <w:t>产品配置清单</w:t>
      </w:r>
      <w:bookmarkEnd w:id="133"/>
    </w:p>
    <w:p>
      <w:pPr>
        <w:tabs>
          <w:tab w:val="left" w:pos="1418"/>
        </w:tabs>
        <w:snapToGrid w:val="0"/>
        <w:spacing w:before="50" w:after="50" w:line="360" w:lineRule="auto"/>
        <w:ind w:firstLine="480"/>
        <w:rPr>
          <w:rFonts w:hint="default"/>
          <w:sz w:val="24"/>
        </w:rPr>
      </w:pPr>
      <w:r>
        <w:rPr>
          <w:rFonts w:hint="default"/>
          <w:sz w:val="24"/>
        </w:rPr>
        <w:t>项目名称：</w:t>
      </w:r>
    </w:p>
    <w:p>
      <w:pPr>
        <w:tabs>
          <w:tab w:val="left" w:pos="1418"/>
        </w:tabs>
        <w:snapToGrid w:val="0"/>
        <w:spacing w:before="50" w:after="50" w:line="360" w:lineRule="auto"/>
        <w:ind w:firstLine="480"/>
        <w:rPr>
          <w:rFonts w:hint="default"/>
          <w:sz w:val="24"/>
          <w:szCs w:val="28"/>
        </w:rPr>
      </w:pPr>
      <w:r>
        <w:rPr>
          <w:rFonts w:hint="default"/>
          <w:sz w:val="24"/>
        </w:rPr>
        <w:t>项目编号：</w:t>
      </w:r>
    </w:p>
    <w:tbl>
      <w:tblPr>
        <w:tblStyle w:val="41"/>
        <w:tblW w:w="968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05"/>
        <w:gridCol w:w="1579"/>
        <w:gridCol w:w="895"/>
        <w:gridCol w:w="1366"/>
        <w:gridCol w:w="1513"/>
        <w:gridCol w:w="2375"/>
        <w:gridCol w:w="115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序号</w:t>
            </w:r>
          </w:p>
        </w:tc>
        <w:tc>
          <w:tcPr>
            <w:tcW w:w="1579"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产品名称</w:t>
            </w:r>
          </w:p>
        </w:tc>
        <w:tc>
          <w:tcPr>
            <w:tcW w:w="895"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品牌</w:t>
            </w:r>
          </w:p>
        </w:tc>
        <w:tc>
          <w:tcPr>
            <w:tcW w:w="1366"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规格型号</w:t>
            </w:r>
          </w:p>
        </w:tc>
        <w:tc>
          <w:tcPr>
            <w:tcW w:w="1513"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单位及数量</w:t>
            </w:r>
          </w:p>
        </w:tc>
        <w:tc>
          <w:tcPr>
            <w:tcW w:w="2375"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主要尺寸</w:t>
            </w:r>
          </w:p>
        </w:tc>
        <w:tc>
          <w:tcPr>
            <w:tcW w:w="1152"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产地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805"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579"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895"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366"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513"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2375"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152"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805"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579"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895"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366"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513"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2375"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152"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805"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579"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895"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366"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513"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2375"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152"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805"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579"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895"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366"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513"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2375"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152" w:type="dxa"/>
            <w:tcBorders>
              <w:top w:val="single" w:color="auto" w:sz="4" w:space="0"/>
              <w:left w:val="single" w:color="auto" w:sz="4" w:space="0"/>
              <w:bottom w:val="nil"/>
              <w:right w:val="single" w:color="auto" w:sz="4" w:space="0"/>
            </w:tcBorders>
            <w:vAlign w:val="center"/>
          </w:tcPr>
          <w:p>
            <w:pPr>
              <w:snapToGrid w:val="0"/>
              <w:ind w:firstLine="480"/>
              <w:jc w:val="center"/>
              <w:rPr>
                <w:rFonts w:hint="default"/>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805"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579"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895" w:type="dxa"/>
            <w:tcBorders>
              <w:top w:val="single" w:color="auto" w:sz="4" w:space="0"/>
              <w:left w:val="single" w:color="auto" w:sz="4" w:space="0"/>
              <w:bottom w:val="single" w:color="auto" w:sz="4" w:space="0"/>
              <w:right w:val="single" w:color="auto" w:sz="4" w:space="0"/>
            </w:tcBorders>
            <w:vAlign w:val="center"/>
          </w:tcPr>
          <w:p>
            <w:pPr>
              <w:snapToGrid w:val="0"/>
              <w:ind w:left="480" w:firstLine="480"/>
              <w:jc w:val="center"/>
              <w:rPr>
                <w:rFonts w:hint="default"/>
                <w:sz w:val="24"/>
              </w:rPr>
            </w:pPr>
          </w:p>
        </w:tc>
        <w:tc>
          <w:tcPr>
            <w:tcW w:w="1366"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513"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2375"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c>
          <w:tcPr>
            <w:tcW w:w="1152" w:type="dxa"/>
            <w:tcBorders>
              <w:top w:val="single" w:color="auto" w:sz="4" w:space="0"/>
              <w:left w:val="single" w:color="auto" w:sz="4" w:space="0"/>
              <w:bottom w:val="single" w:color="auto" w:sz="4" w:space="0"/>
              <w:right w:val="single" w:color="auto" w:sz="4" w:space="0"/>
            </w:tcBorders>
            <w:vAlign w:val="center"/>
          </w:tcPr>
          <w:p>
            <w:pPr>
              <w:snapToGrid w:val="0"/>
              <w:ind w:firstLine="480"/>
              <w:jc w:val="center"/>
              <w:rPr>
                <w:rFonts w:hint="default"/>
                <w:sz w:val="24"/>
              </w:rPr>
            </w:pPr>
          </w:p>
        </w:tc>
      </w:tr>
    </w:tbl>
    <w:p>
      <w:pPr>
        <w:widowControl/>
        <w:snapToGrid w:val="0"/>
        <w:spacing w:line="360" w:lineRule="auto"/>
        <w:ind w:firstLine="480" w:firstLineChars="200"/>
        <w:jc w:val="left"/>
        <w:rPr>
          <w:rFonts w:hint="default"/>
          <w:kern w:val="0"/>
          <w:sz w:val="24"/>
        </w:rPr>
      </w:pPr>
      <w:bookmarkStart w:id="134" w:name="_Toc7951"/>
    </w:p>
    <w:p>
      <w:pPr>
        <w:widowControl/>
        <w:snapToGrid w:val="0"/>
        <w:spacing w:line="360" w:lineRule="auto"/>
        <w:ind w:firstLine="480" w:firstLineChars="200"/>
        <w:jc w:val="left"/>
        <w:rPr>
          <w:rFonts w:hint="default"/>
          <w:kern w:val="0"/>
          <w:sz w:val="24"/>
        </w:rPr>
      </w:pPr>
    </w:p>
    <w:p>
      <w:pPr>
        <w:widowControl/>
        <w:snapToGrid w:val="0"/>
        <w:spacing w:line="360" w:lineRule="auto"/>
        <w:ind w:firstLine="480" w:firstLineChars="200"/>
        <w:jc w:val="left"/>
        <w:rPr>
          <w:rFonts w:hint="default"/>
          <w:kern w:val="0"/>
          <w:sz w:val="24"/>
        </w:rPr>
      </w:pPr>
    </w:p>
    <w:p>
      <w:pPr>
        <w:adjustRightInd w:val="0"/>
        <w:snapToGrid w:val="0"/>
        <w:spacing w:line="360" w:lineRule="auto"/>
        <w:ind w:firstLine="480" w:firstLineChars="200"/>
        <w:rPr>
          <w:rFonts w:hint="default" w:ascii="宋体" w:hAnsi="宋体" w:cs="宋体"/>
          <w:kern w:val="0"/>
          <w:sz w:val="24"/>
        </w:rPr>
      </w:pPr>
      <w:r>
        <w:rPr>
          <w:rFonts w:ascii="宋体" w:hAnsi="宋体" w:cs="宋体"/>
          <w:kern w:val="0"/>
          <w:sz w:val="24"/>
        </w:rPr>
        <w:t>供应商（</w:t>
      </w:r>
      <w:r>
        <w:rPr>
          <w:rFonts w:ascii="宋体" w:hAnsi="宋体" w:cs="宋体"/>
          <w:kern w:val="0"/>
          <w:sz w:val="24"/>
          <w:lang w:val="zh-CN"/>
        </w:rPr>
        <w:t>电子签名/公章</w:t>
      </w:r>
      <w:r>
        <w:rPr>
          <w:rFonts w:ascii="宋体" w:hAnsi="宋体" w:cs="宋体"/>
          <w:kern w:val="0"/>
          <w:sz w:val="24"/>
        </w:rPr>
        <w:t>）：</w:t>
      </w:r>
    </w:p>
    <w:p>
      <w:pPr>
        <w:widowControl/>
        <w:adjustRightInd w:val="0"/>
        <w:snapToGrid w:val="0"/>
        <w:spacing w:line="360" w:lineRule="auto"/>
        <w:ind w:firstLine="480" w:firstLineChars="200"/>
        <w:jc w:val="left"/>
        <w:rPr>
          <w:rFonts w:hint="default"/>
          <w:kern w:val="0"/>
          <w:sz w:val="24"/>
        </w:rPr>
      </w:pPr>
      <w:r>
        <w:rPr>
          <w:rFonts w:hint="default"/>
          <w:kern w:val="0"/>
          <w:sz w:val="24"/>
        </w:rPr>
        <w:t>法定代表人或其授权代表（签字或盖章）：</w:t>
      </w:r>
    </w:p>
    <w:p>
      <w:pPr>
        <w:pStyle w:val="7"/>
        <w:adjustRightInd w:val="0"/>
        <w:snapToGrid w:val="0"/>
        <w:spacing w:beforeLines="0" w:afterLines="0" w:line="360" w:lineRule="auto"/>
        <w:ind w:firstLine="480" w:firstLineChars="200"/>
        <w:outlineLvl w:val="0"/>
        <w:rPr>
          <w:rFonts w:hint="default" w:ascii="Times New Roman" w:hAnsi="Times New Roman"/>
          <w:b/>
          <w:sz w:val="32"/>
          <w:szCs w:val="32"/>
        </w:rPr>
      </w:pPr>
      <w:bookmarkStart w:id="135" w:name="_Toc21484"/>
      <w:bookmarkStart w:id="136" w:name="_Toc23642"/>
      <w:bookmarkStart w:id="137" w:name="_Toc19389"/>
      <w:r>
        <w:rPr>
          <w:rFonts w:hint="default" w:ascii="Times New Roman" w:hAnsi="Times New Roman"/>
          <w:kern w:val="0"/>
        </w:rPr>
        <w:t>日期：年月日</w:t>
      </w:r>
      <w:bookmarkEnd w:id="135"/>
      <w:bookmarkEnd w:id="136"/>
      <w:bookmarkEnd w:id="137"/>
    </w:p>
    <w:p>
      <w:pPr>
        <w:pStyle w:val="7"/>
        <w:snapToGrid w:val="0"/>
        <w:spacing w:before="156" w:after="156" w:line="360" w:lineRule="auto"/>
        <w:ind w:firstLine="643" w:firstLineChars="200"/>
        <w:jc w:val="center"/>
        <w:outlineLvl w:val="0"/>
        <w:rPr>
          <w:rFonts w:hint="default" w:ascii="Times New Roman" w:hAnsi="Times New Roman"/>
          <w:b/>
          <w:sz w:val="32"/>
          <w:szCs w:val="32"/>
        </w:rPr>
      </w:pPr>
    </w:p>
    <w:p>
      <w:pPr>
        <w:pStyle w:val="7"/>
        <w:snapToGrid w:val="0"/>
        <w:spacing w:before="156" w:after="156" w:line="360" w:lineRule="auto"/>
        <w:ind w:firstLine="643" w:firstLineChars="200"/>
        <w:jc w:val="center"/>
        <w:outlineLvl w:val="0"/>
        <w:rPr>
          <w:rFonts w:hint="default" w:ascii="Times New Roman" w:hAnsi="Times New Roman"/>
          <w:b/>
          <w:sz w:val="32"/>
          <w:szCs w:val="32"/>
        </w:rPr>
        <w:sectPr>
          <w:pgSz w:w="11906" w:h="16838"/>
          <w:pgMar w:top="1134" w:right="1247" w:bottom="1247" w:left="1304" w:header="794" w:footer="794" w:gutter="0"/>
          <w:cols w:space="720" w:num="1"/>
          <w:docGrid w:type="lines" w:linePitch="312" w:charSpace="0"/>
        </w:sectPr>
      </w:pPr>
    </w:p>
    <w:p>
      <w:pPr>
        <w:pStyle w:val="7"/>
        <w:snapToGrid w:val="0"/>
        <w:spacing w:before="156" w:after="156" w:line="360" w:lineRule="auto"/>
        <w:ind w:firstLine="643" w:firstLineChars="200"/>
        <w:jc w:val="center"/>
        <w:outlineLvl w:val="0"/>
        <w:rPr>
          <w:rFonts w:hint="default" w:hAnsi="宋体"/>
          <w:b/>
          <w:sz w:val="30"/>
          <w:szCs w:val="30"/>
        </w:rPr>
      </w:pPr>
      <w:bookmarkStart w:id="138" w:name="_Toc17423"/>
      <w:bookmarkStart w:id="139" w:name="_Toc28534"/>
      <w:bookmarkStart w:id="140" w:name="_Toc15904"/>
      <w:r>
        <w:rPr>
          <w:rFonts w:ascii="Times New Roman" w:hAnsi="Times New Roman"/>
          <w:b/>
          <w:sz w:val="32"/>
          <w:szCs w:val="32"/>
        </w:rPr>
        <w:t>八、项目实施人员</w:t>
      </w:r>
      <w:r>
        <w:rPr>
          <w:rFonts w:hint="default" w:ascii="Times New Roman" w:hAnsi="Times New Roman"/>
          <w:b/>
          <w:sz w:val="32"/>
          <w:szCs w:val="32"/>
        </w:rPr>
        <w:t>配备情况</w:t>
      </w:r>
      <w:bookmarkEnd w:id="138"/>
      <w:bookmarkEnd w:id="139"/>
      <w:bookmarkEnd w:id="140"/>
    </w:p>
    <w:p>
      <w:pPr>
        <w:tabs>
          <w:tab w:val="left" w:pos="1418"/>
        </w:tabs>
        <w:snapToGrid w:val="0"/>
        <w:spacing w:before="50" w:after="50" w:line="360" w:lineRule="auto"/>
        <w:ind w:firstLine="480"/>
        <w:rPr>
          <w:rFonts w:hint="default"/>
          <w:sz w:val="24"/>
        </w:rPr>
      </w:pPr>
      <w:r>
        <w:rPr>
          <w:rFonts w:hint="default"/>
          <w:sz w:val="24"/>
        </w:rPr>
        <w:t>项目名称：</w:t>
      </w:r>
    </w:p>
    <w:p>
      <w:pPr>
        <w:tabs>
          <w:tab w:val="left" w:pos="1418"/>
        </w:tabs>
        <w:snapToGrid w:val="0"/>
        <w:spacing w:before="50" w:after="50" w:line="360" w:lineRule="auto"/>
        <w:ind w:firstLine="480"/>
        <w:rPr>
          <w:rFonts w:hint="default"/>
          <w:sz w:val="24"/>
          <w:szCs w:val="28"/>
        </w:rPr>
      </w:pPr>
      <w:r>
        <w:rPr>
          <w:rFonts w:hint="default"/>
          <w:sz w:val="24"/>
        </w:rPr>
        <w:t>项目编号：</w:t>
      </w:r>
    </w:p>
    <w:tbl>
      <w:tblPr>
        <w:tblStyle w:val="4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25"/>
        <w:gridCol w:w="1125"/>
        <w:gridCol w:w="1863"/>
        <w:gridCol w:w="1411"/>
        <w:gridCol w:w="1815"/>
        <w:gridCol w:w="221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4" w:hRule="atLeast"/>
          <w:jc w:val="center"/>
        </w:trPr>
        <w:tc>
          <w:tcPr>
            <w:tcW w:w="1125"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姓名</w:t>
            </w:r>
          </w:p>
        </w:tc>
        <w:tc>
          <w:tcPr>
            <w:tcW w:w="1125"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职务</w:t>
            </w:r>
          </w:p>
        </w:tc>
        <w:tc>
          <w:tcPr>
            <w:tcW w:w="1863"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专业技术资格</w:t>
            </w:r>
          </w:p>
        </w:tc>
        <w:tc>
          <w:tcPr>
            <w:tcW w:w="1411"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证书编号</w:t>
            </w:r>
          </w:p>
        </w:tc>
        <w:tc>
          <w:tcPr>
            <w:tcW w:w="1815"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参加本单位工作时间</w:t>
            </w:r>
          </w:p>
        </w:tc>
        <w:tc>
          <w:tcPr>
            <w:tcW w:w="2218" w:type="dxa"/>
            <w:tcBorders>
              <w:top w:val="single" w:color="auto" w:sz="4" w:space="0"/>
              <w:left w:val="single" w:color="auto" w:sz="4" w:space="0"/>
              <w:bottom w:val="single" w:color="auto" w:sz="4" w:space="0"/>
              <w:right w:val="single" w:color="auto" w:sz="4" w:space="0"/>
            </w:tcBorders>
            <w:vAlign w:val="center"/>
          </w:tcPr>
          <w:p>
            <w:pPr>
              <w:jc w:val="center"/>
              <w:rPr>
                <w:rFonts w:hint="default"/>
                <w:sz w:val="24"/>
                <w:szCs w:val="24"/>
              </w:rPr>
            </w:pPr>
            <w:r>
              <w:rPr>
                <w:rFonts w:hint="default"/>
                <w:sz w:val="24"/>
                <w:szCs w:val="24"/>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jc w:val="center"/>
        </w:trPr>
        <w:tc>
          <w:tcPr>
            <w:tcW w:w="112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12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863"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411"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81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2218"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jc w:val="center"/>
        </w:trPr>
        <w:tc>
          <w:tcPr>
            <w:tcW w:w="112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12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863"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411"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81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2218"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jc w:val="center"/>
        </w:trPr>
        <w:tc>
          <w:tcPr>
            <w:tcW w:w="112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12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863" w:type="dxa"/>
            <w:tcBorders>
              <w:top w:val="single" w:color="auto" w:sz="4" w:space="0"/>
              <w:left w:val="single" w:color="auto" w:sz="4" w:space="0"/>
              <w:bottom w:val="single" w:color="auto" w:sz="4" w:space="0"/>
              <w:right w:val="single" w:color="auto" w:sz="4" w:space="0"/>
            </w:tcBorders>
          </w:tcPr>
          <w:p>
            <w:pPr>
              <w:pStyle w:val="21"/>
              <w:snapToGrid w:val="0"/>
              <w:spacing w:line="360" w:lineRule="auto"/>
              <w:ind w:left="5250" w:firstLine="480"/>
              <w:rPr>
                <w:rFonts w:hint="default" w:ascii="宋体" w:hAnsi="宋体" w:eastAsia="宋体"/>
                <w:sz w:val="24"/>
                <w:szCs w:val="24"/>
              </w:rPr>
            </w:pPr>
          </w:p>
        </w:tc>
        <w:tc>
          <w:tcPr>
            <w:tcW w:w="1411"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81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2218"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jc w:val="center"/>
        </w:trPr>
        <w:tc>
          <w:tcPr>
            <w:tcW w:w="112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12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863"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411"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81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2218"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jc w:val="center"/>
        </w:trPr>
        <w:tc>
          <w:tcPr>
            <w:tcW w:w="112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12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863"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411"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81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2218"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jc w:val="center"/>
        </w:trPr>
        <w:tc>
          <w:tcPr>
            <w:tcW w:w="112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12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863"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411"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81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2218"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jc w:val="center"/>
        </w:trPr>
        <w:tc>
          <w:tcPr>
            <w:tcW w:w="112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12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863"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411"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81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2218"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jc w:val="center"/>
        </w:trPr>
        <w:tc>
          <w:tcPr>
            <w:tcW w:w="112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12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863"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411"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81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2218"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jc w:val="center"/>
        </w:trPr>
        <w:tc>
          <w:tcPr>
            <w:tcW w:w="112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12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863"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411"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1815"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c>
          <w:tcPr>
            <w:tcW w:w="2218" w:type="dxa"/>
            <w:tcBorders>
              <w:top w:val="single" w:color="auto" w:sz="4" w:space="0"/>
              <w:left w:val="single" w:color="auto" w:sz="4" w:space="0"/>
              <w:bottom w:val="single" w:color="auto" w:sz="4" w:space="0"/>
              <w:right w:val="single" w:color="auto" w:sz="4" w:space="0"/>
            </w:tcBorders>
          </w:tcPr>
          <w:p>
            <w:pPr>
              <w:snapToGrid w:val="0"/>
              <w:spacing w:line="360" w:lineRule="auto"/>
              <w:ind w:firstLine="480"/>
              <w:rPr>
                <w:rFonts w:hint="default" w:ascii="宋体" w:hAnsi="宋体"/>
                <w:sz w:val="24"/>
              </w:rPr>
            </w:pPr>
          </w:p>
        </w:tc>
      </w:tr>
    </w:tbl>
    <w:p>
      <w:pPr>
        <w:snapToGrid w:val="0"/>
        <w:spacing w:line="360" w:lineRule="auto"/>
        <w:ind w:firstLine="480"/>
        <w:jc w:val="left"/>
        <w:rPr>
          <w:rFonts w:hint="default" w:ascii="宋体" w:hAnsi="宋体"/>
          <w:sz w:val="24"/>
        </w:rPr>
      </w:pPr>
      <w:r>
        <w:rPr>
          <w:rFonts w:ascii="宋体" w:hAnsi="宋体"/>
          <w:sz w:val="24"/>
        </w:rPr>
        <w:t>注：在填写时，如本表格不适合供应商的实际情况，可根据本表格式自行划表填写。</w:t>
      </w:r>
    </w:p>
    <w:p>
      <w:pPr>
        <w:snapToGrid w:val="0"/>
        <w:spacing w:line="360" w:lineRule="auto"/>
        <w:ind w:firstLine="480"/>
        <w:rPr>
          <w:rFonts w:hint="default" w:ascii="宋体" w:hAnsi="宋体"/>
          <w:sz w:val="24"/>
        </w:rPr>
      </w:pPr>
    </w:p>
    <w:bookmarkEnd w:id="134"/>
    <w:p>
      <w:pPr>
        <w:adjustRightInd w:val="0"/>
        <w:snapToGrid w:val="0"/>
        <w:spacing w:line="360" w:lineRule="auto"/>
        <w:ind w:firstLine="480" w:firstLineChars="200"/>
        <w:rPr>
          <w:rFonts w:hint="default" w:ascii="宋体" w:hAnsi="宋体" w:cs="宋体"/>
          <w:kern w:val="0"/>
          <w:sz w:val="24"/>
        </w:rPr>
      </w:pPr>
      <w:r>
        <w:rPr>
          <w:rFonts w:ascii="宋体" w:hAnsi="宋体" w:cs="宋体"/>
          <w:kern w:val="0"/>
          <w:sz w:val="24"/>
        </w:rPr>
        <w:t>供应商（</w:t>
      </w:r>
      <w:r>
        <w:rPr>
          <w:rFonts w:ascii="宋体" w:hAnsi="宋体" w:cs="宋体"/>
          <w:kern w:val="0"/>
          <w:sz w:val="24"/>
          <w:lang w:val="zh-CN"/>
        </w:rPr>
        <w:t>电子签名/公章</w:t>
      </w:r>
      <w:r>
        <w:rPr>
          <w:rFonts w:ascii="宋体" w:hAnsi="宋体" w:cs="宋体"/>
          <w:kern w:val="0"/>
          <w:sz w:val="24"/>
        </w:rPr>
        <w:t>）：</w:t>
      </w:r>
    </w:p>
    <w:p>
      <w:pPr>
        <w:widowControl/>
        <w:adjustRightInd w:val="0"/>
        <w:snapToGrid w:val="0"/>
        <w:spacing w:line="360" w:lineRule="auto"/>
        <w:ind w:firstLine="480" w:firstLineChars="200"/>
        <w:jc w:val="left"/>
        <w:rPr>
          <w:rFonts w:hint="default"/>
          <w:kern w:val="0"/>
          <w:sz w:val="24"/>
        </w:rPr>
      </w:pPr>
      <w:r>
        <w:rPr>
          <w:rFonts w:hint="default"/>
          <w:kern w:val="0"/>
          <w:sz w:val="24"/>
        </w:rPr>
        <w:t>法定代表人或其授权代表（签字或盖章）：</w:t>
      </w:r>
    </w:p>
    <w:p>
      <w:pPr>
        <w:pStyle w:val="7"/>
        <w:adjustRightInd w:val="0"/>
        <w:snapToGrid w:val="0"/>
        <w:spacing w:beforeLines="0" w:afterLines="0" w:line="360" w:lineRule="auto"/>
        <w:ind w:firstLine="480" w:firstLineChars="200"/>
        <w:outlineLvl w:val="0"/>
        <w:rPr>
          <w:rFonts w:hint="default" w:ascii="Times New Roman" w:hAnsi="Times New Roman"/>
          <w:b/>
          <w:sz w:val="32"/>
          <w:szCs w:val="32"/>
        </w:rPr>
      </w:pPr>
      <w:bookmarkStart w:id="141" w:name="_Toc15132"/>
      <w:r>
        <w:rPr>
          <w:rFonts w:hint="default" w:ascii="Times New Roman" w:hAnsi="Times New Roman"/>
          <w:kern w:val="0"/>
        </w:rPr>
        <w:t>日期：年月日</w:t>
      </w:r>
      <w:bookmarkEnd w:id="141"/>
    </w:p>
    <w:bookmarkEnd w:id="77"/>
    <w:bookmarkEnd w:id="132"/>
    <w:p>
      <w:pPr>
        <w:pStyle w:val="7"/>
        <w:snapToGrid w:val="0"/>
        <w:spacing w:before="156" w:after="156" w:line="360" w:lineRule="auto"/>
        <w:ind w:firstLine="643"/>
        <w:jc w:val="center"/>
        <w:outlineLvl w:val="0"/>
        <w:rPr>
          <w:rFonts w:hint="default" w:hAnsi="宋体" w:cs="宋体"/>
          <w:b/>
          <w:bCs/>
          <w:sz w:val="32"/>
          <w:szCs w:val="32"/>
        </w:rPr>
      </w:pPr>
      <w:r>
        <w:rPr>
          <w:rFonts w:hAnsi="宋体" w:cs="宋体"/>
          <w:b/>
          <w:bCs/>
          <w:sz w:val="32"/>
          <w:szCs w:val="32"/>
        </w:rPr>
        <w:br w:type="page"/>
      </w:r>
      <w:bookmarkStart w:id="142" w:name="_Toc26586"/>
      <w:r>
        <w:rPr>
          <w:rFonts w:hAnsi="宋体" w:cs="宋体"/>
          <w:b/>
          <w:bCs/>
          <w:sz w:val="32"/>
          <w:szCs w:val="32"/>
        </w:rPr>
        <w:t>市场监管总局关于发布参与实施政府采购节能产品、环境标志产品认证机构名录的公告（2019年第16号）</w:t>
      </w:r>
      <w:bookmarkEnd w:id="142"/>
    </w:p>
    <w:p>
      <w:pPr>
        <w:widowControl/>
        <w:shd w:val="clear" w:color="auto" w:fill="FFFFFF"/>
        <w:spacing w:before="68" w:after="299" w:line="360" w:lineRule="auto"/>
        <w:ind w:firstLine="561"/>
        <w:jc w:val="center"/>
        <w:textAlignment w:val="baseline"/>
        <w:rPr>
          <w:rFonts w:hint="default" w:ascii="华文中宋" w:hAnsi="华文中宋" w:eastAsia="华文中宋" w:cs="宋体"/>
          <w:b/>
          <w:kern w:val="0"/>
          <w:sz w:val="28"/>
        </w:rPr>
      </w:pPr>
    </w:p>
    <w:p>
      <w:pPr>
        <w:widowControl/>
        <w:shd w:val="clear" w:color="auto" w:fill="FFFFFF"/>
        <w:spacing w:before="68" w:after="299" w:line="360" w:lineRule="auto"/>
        <w:ind w:firstLine="721"/>
        <w:jc w:val="center"/>
        <w:textAlignment w:val="baseline"/>
        <w:rPr>
          <w:rFonts w:hint="default" w:ascii="华文中宋" w:hAnsi="华文中宋" w:eastAsia="华文中宋" w:cs="宋体"/>
          <w:b/>
          <w:kern w:val="0"/>
          <w:sz w:val="24"/>
        </w:rPr>
      </w:pPr>
      <w:r>
        <w:rPr>
          <w:rFonts w:ascii="华文中宋" w:hAnsi="华文中宋" w:eastAsia="华文中宋" w:cs="宋体"/>
          <w:b/>
          <w:kern w:val="0"/>
          <w:sz w:val="36"/>
        </w:rPr>
        <w:t>市场监管总局关于发布参与实施政府采购节能产品、环境</w:t>
      </w:r>
      <w:r>
        <w:rPr>
          <w:rFonts w:ascii="华文中宋" w:hAnsi="华文中宋" w:eastAsia="华文中宋" w:cs="宋体"/>
          <w:b/>
          <w:kern w:val="0"/>
          <w:sz w:val="36"/>
        </w:rPr>
        <w:br w:type="textWrapping"/>
      </w:r>
      <w:r>
        <w:rPr>
          <w:rFonts w:ascii="华文中宋" w:hAnsi="华文中宋" w:eastAsia="华文中宋" w:cs="宋体"/>
          <w:b/>
          <w:kern w:val="0"/>
          <w:sz w:val="36"/>
        </w:rPr>
        <w:t>标志产品认证机构名录的公告</w:t>
      </w:r>
    </w:p>
    <w:p>
      <w:pPr>
        <w:widowControl/>
        <w:shd w:val="clear" w:color="auto" w:fill="FFFFFF"/>
        <w:spacing w:before="68" w:after="299" w:line="360" w:lineRule="auto"/>
        <w:ind w:firstLine="480"/>
        <w:jc w:val="center"/>
        <w:textAlignment w:val="baseline"/>
        <w:rPr>
          <w:rFonts w:hint="default" w:ascii="仿宋" w:hAnsi="仿宋" w:eastAsia="仿宋" w:cs="宋体"/>
          <w:kern w:val="0"/>
          <w:sz w:val="24"/>
        </w:rPr>
      </w:pPr>
      <w:r>
        <w:rPr>
          <w:rFonts w:ascii="仿宋" w:hAnsi="仿宋" w:eastAsia="仿宋" w:cs="宋体"/>
          <w:kern w:val="0"/>
          <w:sz w:val="24"/>
        </w:rPr>
        <w:t>2019年第16号</w:t>
      </w:r>
    </w:p>
    <w:p>
      <w:pPr>
        <w:widowControl/>
        <w:shd w:val="clear" w:color="auto" w:fill="FFFFFF"/>
        <w:spacing w:before="68" w:after="299" w:line="360" w:lineRule="auto"/>
        <w:ind w:firstLine="424" w:firstLineChars="177"/>
        <w:jc w:val="left"/>
        <w:textAlignment w:val="baseline"/>
        <w:rPr>
          <w:rFonts w:hint="default" w:ascii="仿宋" w:hAnsi="仿宋" w:eastAsia="仿宋" w:cs="宋体"/>
          <w:kern w:val="0"/>
          <w:sz w:val="24"/>
        </w:rPr>
      </w:pPr>
      <w:r>
        <w:rPr>
          <w:rFonts w:ascii="仿宋" w:hAnsi="仿宋" w:eastAsia="仿宋" w:cs="宋体"/>
          <w:kern w:val="0"/>
          <w:sz w:val="24"/>
        </w:rPr>
        <w:t>根据《财政部 发展改革委 生态环境部 市场监管总局关于调整优化节能产品、环境标志产品政府采购执行机制的通知》(财库〔2019〕9号)和《市场监管总局办公厅关于扩大参与实施政府采购节能产品、环境标志产品认证机构范围的通知》（市监认证函〔2019〕513号）要求，经商财政部、发展改革委、生态环境部，市场监管总局已组织完成扩大参与实施政府采购节能产品、环境标志产品认证机构范围试点优选工作，现将《参与实施政府采购节能产品认证机构名录》《参与实施政府采购环境标志产品认证机构名录》予以公布。</w:t>
      </w:r>
    </w:p>
    <w:p>
      <w:pPr>
        <w:widowControl/>
        <w:shd w:val="clear" w:color="auto" w:fill="FFFFFF"/>
        <w:spacing w:before="68" w:after="299" w:line="360" w:lineRule="auto"/>
        <w:ind w:firstLine="424" w:firstLineChars="177"/>
        <w:jc w:val="left"/>
        <w:textAlignment w:val="baseline"/>
        <w:rPr>
          <w:rFonts w:hint="default" w:ascii="仿宋" w:hAnsi="仿宋" w:eastAsia="仿宋" w:cs="宋体"/>
          <w:kern w:val="0"/>
          <w:sz w:val="24"/>
        </w:rPr>
      </w:pPr>
      <w:r>
        <w:rPr>
          <w:rFonts w:ascii="仿宋" w:hAnsi="仿宋" w:eastAsia="仿宋" w:cs="宋体"/>
          <w:kern w:val="0"/>
          <w:sz w:val="24"/>
        </w:rPr>
        <w:t>自本公告发布后，新增认证机构应尽快完成政府采购认证信息系统对接，对接完成后方可开展相关认证工作。</w:t>
      </w:r>
    </w:p>
    <w:p>
      <w:pPr>
        <w:widowControl/>
        <w:shd w:val="clear" w:color="auto" w:fill="FFFFFF"/>
        <w:spacing w:before="68" w:after="299" w:line="360" w:lineRule="auto"/>
        <w:ind w:firstLine="480"/>
        <w:jc w:val="right"/>
        <w:textAlignment w:val="baseline"/>
        <w:rPr>
          <w:rFonts w:hint="default" w:ascii="仿宋" w:hAnsi="仿宋" w:eastAsia="仿宋" w:cs="宋体"/>
          <w:kern w:val="0"/>
          <w:sz w:val="24"/>
        </w:rPr>
      </w:pPr>
      <w:r>
        <w:rPr>
          <w:rFonts w:ascii="仿宋" w:hAnsi="仿宋" w:eastAsia="仿宋" w:cs="宋体"/>
          <w:kern w:val="0"/>
          <w:sz w:val="24"/>
        </w:rPr>
        <w:t>市场监管总局</w:t>
      </w:r>
      <w:r>
        <w:rPr>
          <w:rFonts w:ascii="仿宋" w:hAnsi="仿宋" w:eastAsia="仿宋" w:cs="宋体"/>
          <w:kern w:val="0"/>
          <w:sz w:val="24"/>
        </w:rPr>
        <w:br w:type="textWrapping"/>
      </w:r>
      <w:r>
        <w:rPr>
          <w:rFonts w:ascii="仿宋" w:hAnsi="仿宋" w:eastAsia="仿宋" w:cs="宋体"/>
          <w:kern w:val="0"/>
          <w:sz w:val="24"/>
        </w:rPr>
        <w:t>2019年4月3日</w:t>
      </w:r>
    </w:p>
    <w:p>
      <w:pPr>
        <w:keepNext/>
        <w:widowControl/>
        <w:ind w:firstLine="480"/>
        <w:rPr>
          <w:rFonts w:hint="default"/>
        </w:rPr>
      </w:pPr>
      <w:r>
        <w:br w:type="page"/>
      </w:r>
      <w:r>
        <w:t>附1：参与实施政府采购节能产品认证机构名录</w:t>
      </w:r>
    </w:p>
    <w:tbl>
      <w:tblPr>
        <w:tblStyle w:val="41"/>
        <w:tblW w:w="0" w:type="auto"/>
        <w:tblInd w:w="0" w:type="dxa"/>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Layout w:type="fixed"/>
        <w:tblCellMar>
          <w:top w:w="27" w:type="dxa"/>
          <w:left w:w="27" w:type="dxa"/>
          <w:bottom w:w="27" w:type="dxa"/>
          <w:right w:w="27" w:type="dxa"/>
        </w:tblCellMar>
      </w:tblPr>
      <w:tblGrid>
        <w:gridCol w:w="568"/>
        <w:gridCol w:w="1134"/>
        <w:gridCol w:w="1347"/>
        <w:gridCol w:w="1402"/>
        <w:gridCol w:w="2070"/>
        <w:gridCol w:w="3261"/>
      </w:tblGrid>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tblHeader/>
        </w:trPr>
        <w:tc>
          <w:tcPr>
            <w:tcW w:w="568" w:type="dxa"/>
            <w:vMerge w:val="restart"/>
            <w:shd w:val="clear" w:color="auto" w:fill="DAEEF3"/>
            <w:tcMar>
              <w:top w:w="0" w:type="dxa"/>
              <w:left w:w="108" w:type="dxa"/>
              <w:bottom w:w="0" w:type="dxa"/>
              <w:right w:w="108" w:type="dxa"/>
            </w:tcMar>
            <w:vAlign w:val="center"/>
          </w:tcPr>
          <w:p>
            <w:pPr>
              <w:rPr>
                <w:rFonts w:hint="default"/>
                <w:sz w:val="24"/>
                <w:szCs w:val="24"/>
              </w:rPr>
            </w:pPr>
            <w:r>
              <w:rPr>
                <w:rFonts w:hint="default"/>
                <w:sz w:val="24"/>
                <w:szCs w:val="24"/>
              </w:rPr>
              <w:t>序号</w:t>
            </w:r>
          </w:p>
        </w:tc>
        <w:tc>
          <w:tcPr>
            <w:tcW w:w="2481" w:type="dxa"/>
            <w:gridSpan w:val="2"/>
            <w:shd w:val="clear" w:color="auto" w:fill="DAEEF3"/>
            <w:tcMar>
              <w:top w:w="0" w:type="dxa"/>
              <w:left w:w="108" w:type="dxa"/>
              <w:bottom w:w="0" w:type="dxa"/>
              <w:right w:w="108" w:type="dxa"/>
            </w:tcMar>
            <w:vAlign w:val="center"/>
          </w:tcPr>
          <w:p>
            <w:pPr>
              <w:rPr>
                <w:rFonts w:hint="default"/>
                <w:sz w:val="24"/>
                <w:szCs w:val="24"/>
              </w:rPr>
            </w:pPr>
            <w:r>
              <w:rPr>
                <w:rFonts w:hint="default"/>
                <w:sz w:val="24"/>
                <w:szCs w:val="24"/>
              </w:rPr>
              <w:t>一级目录</w:t>
            </w:r>
          </w:p>
        </w:tc>
        <w:tc>
          <w:tcPr>
            <w:tcW w:w="3472" w:type="dxa"/>
            <w:gridSpan w:val="2"/>
            <w:shd w:val="clear" w:color="auto" w:fill="DAEEF3"/>
            <w:tcMar>
              <w:top w:w="0" w:type="dxa"/>
              <w:left w:w="108" w:type="dxa"/>
              <w:bottom w:w="0" w:type="dxa"/>
              <w:right w:w="108" w:type="dxa"/>
            </w:tcMar>
            <w:vAlign w:val="center"/>
          </w:tcPr>
          <w:p>
            <w:pPr>
              <w:rPr>
                <w:rFonts w:hint="default"/>
                <w:sz w:val="24"/>
                <w:szCs w:val="24"/>
              </w:rPr>
            </w:pPr>
            <w:r>
              <w:rPr>
                <w:rFonts w:hint="default"/>
                <w:sz w:val="24"/>
                <w:szCs w:val="24"/>
              </w:rPr>
              <w:t>二级目录</w:t>
            </w:r>
          </w:p>
        </w:tc>
        <w:tc>
          <w:tcPr>
            <w:tcW w:w="3261" w:type="dxa"/>
            <w:vMerge w:val="restart"/>
            <w:shd w:val="clear" w:color="auto" w:fill="DAEEF3"/>
            <w:tcMar>
              <w:top w:w="0" w:type="dxa"/>
              <w:left w:w="108" w:type="dxa"/>
              <w:bottom w:w="0" w:type="dxa"/>
              <w:right w:w="108" w:type="dxa"/>
            </w:tcMar>
            <w:vAlign w:val="center"/>
          </w:tcPr>
          <w:p>
            <w:pPr>
              <w:rPr>
                <w:rFonts w:hint="default"/>
                <w:sz w:val="24"/>
                <w:szCs w:val="24"/>
              </w:rPr>
            </w:pPr>
            <w:r>
              <w:rPr>
                <w:rFonts w:hint="default"/>
                <w:sz w:val="24"/>
                <w:szCs w:val="24"/>
              </w:rPr>
              <w:t>认证机构名录</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blHeader/>
        </w:trPr>
        <w:tc>
          <w:tcPr>
            <w:tcW w:w="568" w:type="dxa"/>
            <w:vMerge w:val="continue"/>
            <w:shd w:val="clear" w:color="auto" w:fill="DAEEF3"/>
            <w:vAlign w:val="center"/>
          </w:tcPr>
          <w:p>
            <w:pPr>
              <w:rPr>
                <w:rFonts w:hint="default"/>
                <w:sz w:val="24"/>
                <w:szCs w:val="24"/>
              </w:rPr>
            </w:pPr>
          </w:p>
        </w:tc>
        <w:tc>
          <w:tcPr>
            <w:tcW w:w="1134" w:type="dxa"/>
            <w:shd w:val="clear" w:color="auto" w:fill="DAEEF3"/>
            <w:vAlign w:val="center"/>
          </w:tcPr>
          <w:p>
            <w:pPr>
              <w:rPr>
                <w:rFonts w:hint="default"/>
                <w:sz w:val="24"/>
                <w:szCs w:val="24"/>
              </w:rPr>
            </w:pPr>
            <w:r>
              <w:rPr>
                <w:rFonts w:hint="default"/>
                <w:sz w:val="24"/>
                <w:szCs w:val="24"/>
              </w:rPr>
              <w:t>产品代码</w:t>
            </w:r>
          </w:p>
        </w:tc>
        <w:tc>
          <w:tcPr>
            <w:tcW w:w="1347" w:type="dxa"/>
            <w:shd w:val="clear" w:color="auto" w:fill="DAEEF3"/>
            <w:tcMar>
              <w:top w:w="0" w:type="dxa"/>
              <w:left w:w="0" w:type="dxa"/>
              <w:bottom w:w="0" w:type="dxa"/>
              <w:right w:w="0" w:type="dxa"/>
            </w:tcMar>
            <w:vAlign w:val="center"/>
          </w:tcPr>
          <w:p>
            <w:pPr>
              <w:rPr>
                <w:rFonts w:hint="default"/>
                <w:sz w:val="24"/>
                <w:szCs w:val="24"/>
              </w:rPr>
            </w:pPr>
            <w:r>
              <w:rPr>
                <w:rFonts w:hint="default"/>
                <w:sz w:val="24"/>
                <w:szCs w:val="24"/>
              </w:rPr>
              <w:t>产品名称</w:t>
            </w:r>
          </w:p>
        </w:tc>
        <w:tc>
          <w:tcPr>
            <w:tcW w:w="1402" w:type="dxa"/>
            <w:shd w:val="clear" w:color="auto" w:fill="DAEEF3"/>
            <w:tcMar>
              <w:top w:w="0" w:type="dxa"/>
              <w:left w:w="108" w:type="dxa"/>
              <w:bottom w:w="0" w:type="dxa"/>
              <w:right w:w="108" w:type="dxa"/>
            </w:tcMar>
            <w:vAlign w:val="center"/>
          </w:tcPr>
          <w:p>
            <w:pPr>
              <w:rPr>
                <w:rFonts w:hint="default"/>
                <w:sz w:val="24"/>
                <w:szCs w:val="24"/>
              </w:rPr>
            </w:pPr>
            <w:r>
              <w:rPr>
                <w:rFonts w:hint="default"/>
                <w:sz w:val="24"/>
                <w:szCs w:val="24"/>
              </w:rPr>
              <w:t>产品代码</w:t>
            </w:r>
          </w:p>
        </w:tc>
        <w:tc>
          <w:tcPr>
            <w:tcW w:w="2070" w:type="dxa"/>
            <w:shd w:val="clear" w:color="auto" w:fill="DAEEF3"/>
            <w:tcMar>
              <w:top w:w="0" w:type="dxa"/>
              <w:left w:w="0" w:type="dxa"/>
              <w:bottom w:w="0" w:type="dxa"/>
              <w:right w:w="0" w:type="dxa"/>
            </w:tcMar>
            <w:vAlign w:val="center"/>
          </w:tcPr>
          <w:p>
            <w:pPr>
              <w:rPr>
                <w:rFonts w:hint="default"/>
                <w:sz w:val="24"/>
                <w:szCs w:val="24"/>
              </w:rPr>
            </w:pPr>
            <w:r>
              <w:rPr>
                <w:rFonts w:hint="default"/>
                <w:sz w:val="24"/>
                <w:szCs w:val="24"/>
              </w:rPr>
              <w:t>产品名称</w:t>
            </w:r>
          </w:p>
        </w:tc>
        <w:tc>
          <w:tcPr>
            <w:tcW w:w="3261" w:type="dxa"/>
            <w:vMerge w:val="continue"/>
            <w:shd w:val="clear" w:color="auto" w:fill="DAEEF3"/>
            <w:tcMar>
              <w:top w:w="0" w:type="dxa"/>
              <w:left w:w="0" w:type="dxa"/>
              <w:bottom w:w="0" w:type="dxa"/>
              <w:right w:w="0" w:type="dxa"/>
            </w:tcMar>
            <w:vAlign w:val="center"/>
          </w:tcPr>
          <w:p>
            <w:pPr>
              <w:rPr>
                <w:rFonts w:hint="default"/>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restart"/>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1</w:t>
            </w:r>
          </w:p>
        </w:tc>
        <w:tc>
          <w:tcPr>
            <w:tcW w:w="1134" w:type="dxa"/>
            <w:vMerge w:val="restart"/>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A020101</w:t>
            </w:r>
          </w:p>
        </w:tc>
        <w:tc>
          <w:tcPr>
            <w:tcW w:w="1347" w:type="dxa"/>
            <w:vMerge w:val="restart"/>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计算机设备</w:t>
            </w:r>
          </w:p>
        </w:tc>
        <w:tc>
          <w:tcPr>
            <w:tcW w:w="1402"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A02010104</w:t>
            </w:r>
          </w:p>
        </w:tc>
        <w:tc>
          <w:tcPr>
            <w:tcW w:w="2070"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台式计算机</w:t>
            </w:r>
          </w:p>
        </w:tc>
        <w:tc>
          <w:tcPr>
            <w:tcW w:w="3261" w:type="dxa"/>
            <w:vMerge w:val="restart"/>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中国质量认证中心</w:t>
            </w:r>
          </w:p>
          <w:p>
            <w:pPr>
              <w:rPr>
                <w:rFonts w:hint="default"/>
                <w:sz w:val="24"/>
                <w:szCs w:val="24"/>
              </w:rPr>
            </w:pPr>
            <w:r>
              <w:rPr>
                <w:rFonts w:hint="default"/>
                <w:sz w:val="24"/>
                <w:szCs w:val="24"/>
              </w:rPr>
              <w:t>北京赛西认证有限责任公司</w:t>
            </w:r>
          </w:p>
          <w:p>
            <w:pPr>
              <w:rPr>
                <w:rFonts w:hint="default"/>
                <w:sz w:val="24"/>
                <w:szCs w:val="24"/>
              </w:rPr>
            </w:pPr>
            <w:r>
              <w:rPr>
                <w:rFonts w:hint="default"/>
                <w:sz w:val="24"/>
                <w:szCs w:val="24"/>
              </w:rPr>
              <w:t>中国网络安全审查技术与认证中心</w:t>
            </w:r>
          </w:p>
          <w:p>
            <w:pPr>
              <w:rPr>
                <w:rFonts w:hint="default"/>
                <w:sz w:val="24"/>
                <w:szCs w:val="24"/>
              </w:rPr>
            </w:pPr>
            <w:r>
              <w:rPr>
                <w:rFonts w:hint="default"/>
                <w:sz w:val="24"/>
                <w:szCs w:val="24"/>
              </w:rPr>
              <w:t>广州赛宝认证中心服务有限公司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shd w:val="clear" w:color="auto" w:fill="FFFFFF"/>
            <w:vAlign w:val="center"/>
          </w:tcPr>
          <w:p>
            <w:pPr>
              <w:rPr>
                <w:rFonts w:hint="default"/>
                <w:sz w:val="24"/>
                <w:szCs w:val="24"/>
              </w:rPr>
            </w:pPr>
          </w:p>
        </w:tc>
        <w:tc>
          <w:tcPr>
            <w:tcW w:w="1134" w:type="dxa"/>
            <w:vMerge w:val="continue"/>
            <w:shd w:val="clear" w:color="auto" w:fill="FFFFFF"/>
            <w:vAlign w:val="center"/>
          </w:tcPr>
          <w:p>
            <w:pPr>
              <w:rPr>
                <w:rFonts w:hint="default"/>
                <w:sz w:val="24"/>
                <w:szCs w:val="24"/>
              </w:rPr>
            </w:pPr>
          </w:p>
        </w:tc>
        <w:tc>
          <w:tcPr>
            <w:tcW w:w="1347" w:type="dxa"/>
            <w:vMerge w:val="continue"/>
            <w:shd w:val="clear" w:color="auto" w:fill="FFFFFF"/>
            <w:vAlign w:val="center"/>
          </w:tcPr>
          <w:p>
            <w:pPr>
              <w:rPr>
                <w:rFonts w:hint="default"/>
                <w:sz w:val="24"/>
                <w:szCs w:val="24"/>
              </w:rPr>
            </w:pPr>
          </w:p>
        </w:tc>
        <w:tc>
          <w:tcPr>
            <w:tcW w:w="1402" w:type="dxa"/>
            <w:shd w:val="clear" w:color="auto" w:fill="FFFFFF"/>
            <w:tcMar>
              <w:left w:w="108" w:type="dxa"/>
              <w:right w:w="108" w:type="dxa"/>
            </w:tcMar>
            <w:vAlign w:val="center"/>
          </w:tcPr>
          <w:p>
            <w:pPr>
              <w:rPr>
                <w:rFonts w:hint="default"/>
                <w:sz w:val="24"/>
                <w:szCs w:val="24"/>
              </w:rPr>
            </w:pPr>
            <w:r>
              <w:rPr>
                <w:rFonts w:hint="default"/>
                <w:sz w:val="24"/>
                <w:szCs w:val="24"/>
              </w:rPr>
              <w:t>A02010105</w:t>
            </w:r>
          </w:p>
        </w:tc>
        <w:tc>
          <w:tcPr>
            <w:tcW w:w="2070" w:type="dxa"/>
            <w:shd w:val="clear" w:color="auto" w:fill="FFFFFF"/>
            <w:tcMar>
              <w:top w:w="0" w:type="dxa"/>
              <w:left w:w="0" w:type="dxa"/>
              <w:bottom w:w="0" w:type="dxa"/>
              <w:right w:w="0" w:type="dxa"/>
            </w:tcMar>
            <w:vAlign w:val="center"/>
          </w:tcPr>
          <w:p>
            <w:pPr>
              <w:rPr>
                <w:rFonts w:hint="default"/>
                <w:sz w:val="24"/>
                <w:szCs w:val="24"/>
              </w:rPr>
            </w:pPr>
            <w:r>
              <w:rPr>
                <w:rFonts w:hint="default"/>
                <w:sz w:val="24"/>
                <w:szCs w:val="24"/>
              </w:rPr>
              <w:t>便携式计算机</w:t>
            </w:r>
          </w:p>
        </w:tc>
        <w:tc>
          <w:tcPr>
            <w:tcW w:w="3261" w:type="dxa"/>
            <w:vMerge w:val="continue"/>
            <w:shd w:val="clear" w:color="auto" w:fill="FFFFFF"/>
            <w:tcMar>
              <w:top w:w="0" w:type="dxa"/>
              <w:bottom w:w="0" w:type="dxa"/>
            </w:tcMar>
            <w:vAlign w:val="center"/>
          </w:tcPr>
          <w:p>
            <w:pPr>
              <w:rPr>
                <w:rFonts w:hint="default"/>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shd w:val="clear" w:color="auto" w:fill="FFFFFF"/>
            <w:vAlign w:val="center"/>
          </w:tcPr>
          <w:p>
            <w:pPr>
              <w:rPr>
                <w:rFonts w:hint="default"/>
                <w:sz w:val="24"/>
                <w:szCs w:val="24"/>
              </w:rPr>
            </w:pPr>
          </w:p>
        </w:tc>
        <w:tc>
          <w:tcPr>
            <w:tcW w:w="1134" w:type="dxa"/>
            <w:vMerge w:val="continue"/>
            <w:shd w:val="clear" w:color="auto" w:fill="FFFFFF"/>
            <w:vAlign w:val="center"/>
          </w:tcPr>
          <w:p>
            <w:pPr>
              <w:rPr>
                <w:rFonts w:hint="default"/>
                <w:sz w:val="24"/>
                <w:szCs w:val="24"/>
              </w:rPr>
            </w:pPr>
          </w:p>
        </w:tc>
        <w:tc>
          <w:tcPr>
            <w:tcW w:w="1347" w:type="dxa"/>
            <w:vMerge w:val="continue"/>
            <w:shd w:val="clear" w:color="auto" w:fill="FFFFFF"/>
            <w:vAlign w:val="center"/>
          </w:tcPr>
          <w:p>
            <w:pPr>
              <w:rPr>
                <w:rFonts w:hint="default"/>
                <w:sz w:val="24"/>
                <w:szCs w:val="24"/>
              </w:rPr>
            </w:pPr>
          </w:p>
        </w:tc>
        <w:tc>
          <w:tcPr>
            <w:tcW w:w="1402" w:type="dxa"/>
            <w:shd w:val="clear" w:color="auto" w:fill="FFFFFF"/>
            <w:tcMar>
              <w:left w:w="108" w:type="dxa"/>
              <w:right w:w="108" w:type="dxa"/>
            </w:tcMar>
            <w:vAlign w:val="center"/>
          </w:tcPr>
          <w:p>
            <w:pPr>
              <w:rPr>
                <w:rFonts w:hint="default"/>
                <w:sz w:val="24"/>
                <w:szCs w:val="24"/>
              </w:rPr>
            </w:pPr>
            <w:r>
              <w:rPr>
                <w:rFonts w:hint="default"/>
                <w:sz w:val="24"/>
                <w:szCs w:val="24"/>
              </w:rPr>
              <w:t>A02010107</w:t>
            </w:r>
          </w:p>
        </w:tc>
        <w:tc>
          <w:tcPr>
            <w:tcW w:w="2070" w:type="dxa"/>
            <w:shd w:val="clear" w:color="auto" w:fill="FFFFFF"/>
            <w:tcMar>
              <w:top w:w="0" w:type="dxa"/>
              <w:left w:w="0" w:type="dxa"/>
              <w:bottom w:w="0" w:type="dxa"/>
              <w:right w:w="0" w:type="dxa"/>
            </w:tcMar>
            <w:vAlign w:val="center"/>
          </w:tcPr>
          <w:p>
            <w:pPr>
              <w:rPr>
                <w:rFonts w:hint="default"/>
                <w:sz w:val="24"/>
                <w:szCs w:val="24"/>
              </w:rPr>
            </w:pPr>
            <w:r>
              <w:rPr>
                <w:rFonts w:hint="default"/>
                <w:sz w:val="24"/>
                <w:szCs w:val="24"/>
              </w:rPr>
              <w:t>平板式微型计算机</w:t>
            </w:r>
          </w:p>
        </w:tc>
        <w:tc>
          <w:tcPr>
            <w:tcW w:w="3261" w:type="dxa"/>
            <w:vMerge w:val="continue"/>
            <w:shd w:val="clear" w:color="auto" w:fill="FFFFFF"/>
            <w:tcMar>
              <w:top w:w="0" w:type="dxa"/>
              <w:bottom w:w="0" w:type="dxa"/>
            </w:tcMar>
            <w:vAlign w:val="center"/>
          </w:tcPr>
          <w:p>
            <w:pPr>
              <w:rPr>
                <w:rFonts w:hint="default"/>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restart"/>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2</w:t>
            </w:r>
          </w:p>
        </w:tc>
        <w:tc>
          <w:tcPr>
            <w:tcW w:w="1134" w:type="dxa"/>
            <w:vMerge w:val="restart"/>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A020106</w:t>
            </w:r>
          </w:p>
        </w:tc>
        <w:tc>
          <w:tcPr>
            <w:tcW w:w="1347" w:type="dxa"/>
            <w:vMerge w:val="restart"/>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输入输出设备</w:t>
            </w:r>
          </w:p>
        </w:tc>
        <w:tc>
          <w:tcPr>
            <w:tcW w:w="1402"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A02010601</w:t>
            </w:r>
          </w:p>
        </w:tc>
        <w:tc>
          <w:tcPr>
            <w:tcW w:w="2070"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打印设备</w:t>
            </w:r>
          </w:p>
        </w:tc>
        <w:tc>
          <w:tcPr>
            <w:tcW w:w="3261" w:type="dxa"/>
            <w:vMerge w:val="continue"/>
            <w:shd w:val="clear" w:color="auto" w:fill="FFFFFF"/>
            <w:tcMar>
              <w:top w:w="0" w:type="dxa"/>
              <w:left w:w="0" w:type="dxa"/>
              <w:bottom w:w="0" w:type="dxa"/>
              <w:right w:w="0" w:type="dxa"/>
            </w:tcMar>
            <w:vAlign w:val="center"/>
          </w:tcPr>
          <w:p>
            <w:pPr>
              <w:rPr>
                <w:rFonts w:hint="default"/>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shd w:val="clear" w:color="auto" w:fill="FFFFFF"/>
            <w:vAlign w:val="center"/>
          </w:tcPr>
          <w:p>
            <w:pPr>
              <w:rPr>
                <w:rFonts w:hint="default"/>
                <w:sz w:val="24"/>
                <w:szCs w:val="24"/>
              </w:rPr>
            </w:pPr>
          </w:p>
        </w:tc>
        <w:tc>
          <w:tcPr>
            <w:tcW w:w="1134" w:type="dxa"/>
            <w:vMerge w:val="continue"/>
            <w:shd w:val="clear" w:color="auto" w:fill="FFFFFF"/>
            <w:vAlign w:val="center"/>
          </w:tcPr>
          <w:p>
            <w:pPr>
              <w:rPr>
                <w:rFonts w:hint="default"/>
                <w:sz w:val="24"/>
                <w:szCs w:val="24"/>
              </w:rPr>
            </w:pPr>
          </w:p>
        </w:tc>
        <w:tc>
          <w:tcPr>
            <w:tcW w:w="1347" w:type="dxa"/>
            <w:vMerge w:val="continue"/>
            <w:shd w:val="clear" w:color="auto" w:fill="FFFFFF"/>
            <w:vAlign w:val="center"/>
          </w:tcPr>
          <w:p>
            <w:pPr>
              <w:rPr>
                <w:rFonts w:hint="default"/>
                <w:sz w:val="24"/>
                <w:szCs w:val="24"/>
              </w:rPr>
            </w:pPr>
          </w:p>
        </w:tc>
        <w:tc>
          <w:tcPr>
            <w:tcW w:w="1402" w:type="dxa"/>
            <w:shd w:val="clear" w:color="auto" w:fill="FFFFFF"/>
            <w:tcMar>
              <w:left w:w="108" w:type="dxa"/>
              <w:right w:w="108" w:type="dxa"/>
            </w:tcMar>
            <w:vAlign w:val="center"/>
          </w:tcPr>
          <w:p>
            <w:pPr>
              <w:rPr>
                <w:rFonts w:hint="default"/>
                <w:sz w:val="24"/>
                <w:szCs w:val="24"/>
              </w:rPr>
            </w:pPr>
            <w:r>
              <w:rPr>
                <w:rFonts w:hint="default"/>
                <w:sz w:val="24"/>
                <w:szCs w:val="24"/>
              </w:rPr>
              <w:t>A02010604</w:t>
            </w:r>
          </w:p>
        </w:tc>
        <w:tc>
          <w:tcPr>
            <w:tcW w:w="2070" w:type="dxa"/>
            <w:shd w:val="clear" w:color="auto" w:fill="FFFFFF"/>
            <w:tcMar>
              <w:top w:w="0" w:type="dxa"/>
              <w:left w:w="0" w:type="dxa"/>
              <w:bottom w:w="0" w:type="dxa"/>
              <w:right w:w="0" w:type="dxa"/>
            </w:tcMar>
            <w:vAlign w:val="center"/>
          </w:tcPr>
          <w:p>
            <w:pPr>
              <w:rPr>
                <w:rFonts w:hint="default"/>
                <w:sz w:val="24"/>
                <w:szCs w:val="24"/>
              </w:rPr>
            </w:pPr>
            <w:r>
              <w:rPr>
                <w:rFonts w:hint="default"/>
                <w:sz w:val="24"/>
                <w:szCs w:val="24"/>
              </w:rPr>
              <w:t>显示设备</w:t>
            </w:r>
          </w:p>
        </w:tc>
        <w:tc>
          <w:tcPr>
            <w:tcW w:w="3261" w:type="dxa"/>
            <w:vMerge w:val="continue"/>
            <w:shd w:val="clear" w:color="auto" w:fill="FFFFFF"/>
            <w:tcMar>
              <w:top w:w="0" w:type="dxa"/>
              <w:bottom w:w="0" w:type="dxa"/>
            </w:tcMar>
            <w:vAlign w:val="center"/>
          </w:tcPr>
          <w:p>
            <w:pPr>
              <w:rPr>
                <w:rFonts w:hint="default"/>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shd w:val="clear" w:color="auto" w:fill="FFFFFF"/>
            <w:vAlign w:val="center"/>
          </w:tcPr>
          <w:p>
            <w:pPr>
              <w:rPr>
                <w:rFonts w:hint="default"/>
                <w:sz w:val="24"/>
                <w:szCs w:val="24"/>
              </w:rPr>
            </w:pPr>
          </w:p>
        </w:tc>
        <w:tc>
          <w:tcPr>
            <w:tcW w:w="1134" w:type="dxa"/>
            <w:vMerge w:val="continue"/>
            <w:shd w:val="clear" w:color="auto" w:fill="FFFFFF"/>
            <w:vAlign w:val="center"/>
          </w:tcPr>
          <w:p>
            <w:pPr>
              <w:rPr>
                <w:rFonts w:hint="default"/>
                <w:sz w:val="24"/>
                <w:szCs w:val="24"/>
              </w:rPr>
            </w:pPr>
          </w:p>
        </w:tc>
        <w:tc>
          <w:tcPr>
            <w:tcW w:w="1347" w:type="dxa"/>
            <w:vMerge w:val="continue"/>
            <w:shd w:val="clear" w:color="auto" w:fill="FFFFFF"/>
            <w:vAlign w:val="center"/>
          </w:tcPr>
          <w:p>
            <w:pPr>
              <w:rPr>
                <w:rFonts w:hint="default"/>
                <w:sz w:val="24"/>
                <w:szCs w:val="24"/>
              </w:rPr>
            </w:pPr>
          </w:p>
        </w:tc>
        <w:tc>
          <w:tcPr>
            <w:tcW w:w="1402" w:type="dxa"/>
            <w:shd w:val="clear" w:color="auto" w:fill="FFFFFF"/>
            <w:tcMar>
              <w:left w:w="108" w:type="dxa"/>
              <w:right w:w="108" w:type="dxa"/>
            </w:tcMar>
            <w:vAlign w:val="center"/>
          </w:tcPr>
          <w:p>
            <w:pPr>
              <w:rPr>
                <w:rFonts w:hint="default"/>
                <w:sz w:val="24"/>
                <w:szCs w:val="24"/>
              </w:rPr>
            </w:pPr>
            <w:r>
              <w:rPr>
                <w:rFonts w:hint="default"/>
                <w:sz w:val="24"/>
                <w:szCs w:val="24"/>
              </w:rPr>
              <w:t>A02010609</w:t>
            </w:r>
          </w:p>
        </w:tc>
        <w:tc>
          <w:tcPr>
            <w:tcW w:w="2070" w:type="dxa"/>
            <w:shd w:val="clear" w:color="auto" w:fill="FFFFFF"/>
            <w:tcMar>
              <w:top w:w="0" w:type="dxa"/>
              <w:left w:w="0" w:type="dxa"/>
              <w:bottom w:w="0" w:type="dxa"/>
              <w:right w:w="0" w:type="dxa"/>
            </w:tcMar>
            <w:vAlign w:val="center"/>
          </w:tcPr>
          <w:p>
            <w:pPr>
              <w:rPr>
                <w:rFonts w:hint="default"/>
                <w:sz w:val="24"/>
                <w:szCs w:val="24"/>
              </w:rPr>
            </w:pPr>
            <w:r>
              <w:rPr>
                <w:rFonts w:hint="default"/>
                <w:sz w:val="24"/>
                <w:szCs w:val="24"/>
              </w:rPr>
              <w:t>图形图像输入设备</w:t>
            </w:r>
          </w:p>
        </w:tc>
        <w:tc>
          <w:tcPr>
            <w:tcW w:w="3261" w:type="dxa"/>
            <w:vMerge w:val="continue"/>
            <w:shd w:val="clear" w:color="auto" w:fill="FFFFFF"/>
            <w:tcMar>
              <w:top w:w="0" w:type="dxa"/>
              <w:bottom w:w="0" w:type="dxa"/>
            </w:tcMar>
            <w:vAlign w:val="center"/>
          </w:tcPr>
          <w:p>
            <w:pPr>
              <w:rPr>
                <w:rFonts w:hint="default"/>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3</w:t>
            </w:r>
          </w:p>
        </w:tc>
        <w:tc>
          <w:tcPr>
            <w:tcW w:w="1134"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A020202</w:t>
            </w:r>
          </w:p>
        </w:tc>
        <w:tc>
          <w:tcPr>
            <w:tcW w:w="1347"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投影仪</w:t>
            </w:r>
          </w:p>
        </w:tc>
        <w:tc>
          <w:tcPr>
            <w:tcW w:w="1402" w:type="dxa"/>
            <w:shd w:val="clear" w:color="auto" w:fill="FFFFFF"/>
            <w:tcMar>
              <w:top w:w="0" w:type="dxa"/>
              <w:left w:w="108" w:type="dxa"/>
              <w:bottom w:w="0" w:type="dxa"/>
              <w:right w:w="108" w:type="dxa"/>
            </w:tcMar>
            <w:vAlign w:val="center"/>
          </w:tcPr>
          <w:p>
            <w:pPr>
              <w:rPr>
                <w:rFonts w:hint="default"/>
                <w:sz w:val="24"/>
                <w:szCs w:val="24"/>
              </w:rPr>
            </w:pPr>
          </w:p>
        </w:tc>
        <w:tc>
          <w:tcPr>
            <w:tcW w:w="2070" w:type="dxa"/>
            <w:shd w:val="clear" w:color="auto" w:fill="FFFFFF"/>
            <w:tcMar>
              <w:top w:w="0" w:type="dxa"/>
              <w:left w:w="108" w:type="dxa"/>
              <w:bottom w:w="0" w:type="dxa"/>
              <w:right w:w="108" w:type="dxa"/>
            </w:tcMar>
            <w:vAlign w:val="center"/>
          </w:tcPr>
          <w:p>
            <w:pPr>
              <w:rPr>
                <w:rFonts w:hint="default"/>
                <w:sz w:val="24"/>
                <w:szCs w:val="24"/>
              </w:rPr>
            </w:pPr>
          </w:p>
        </w:tc>
        <w:tc>
          <w:tcPr>
            <w:tcW w:w="3261" w:type="dxa"/>
            <w:vMerge w:val="continue"/>
            <w:shd w:val="clear" w:color="auto" w:fill="FFFFFF"/>
            <w:tcMar>
              <w:top w:w="0" w:type="dxa"/>
              <w:left w:w="0" w:type="dxa"/>
              <w:bottom w:w="0" w:type="dxa"/>
              <w:right w:w="0" w:type="dxa"/>
            </w:tcMar>
            <w:vAlign w:val="center"/>
          </w:tcPr>
          <w:p>
            <w:pPr>
              <w:rPr>
                <w:rFonts w:hint="default"/>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4</w:t>
            </w:r>
          </w:p>
        </w:tc>
        <w:tc>
          <w:tcPr>
            <w:tcW w:w="1134"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A020204611</w:t>
            </w:r>
          </w:p>
        </w:tc>
        <w:tc>
          <w:tcPr>
            <w:tcW w:w="1347"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多功能一体机</w:t>
            </w:r>
          </w:p>
        </w:tc>
        <w:tc>
          <w:tcPr>
            <w:tcW w:w="1402" w:type="dxa"/>
            <w:shd w:val="clear" w:color="auto" w:fill="FFFFFF"/>
            <w:tcMar>
              <w:top w:w="0" w:type="dxa"/>
              <w:left w:w="108" w:type="dxa"/>
              <w:bottom w:w="0" w:type="dxa"/>
              <w:right w:w="108" w:type="dxa"/>
            </w:tcMar>
            <w:vAlign w:val="center"/>
          </w:tcPr>
          <w:p>
            <w:pPr>
              <w:rPr>
                <w:rFonts w:hint="default"/>
                <w:sz w:val="24"/>
                <w:szCs w:val="24"/>
              </w:rPr>
            </w:pPr>
          </w:p>
        </w:tc>
        <w:tc>
          <w:tcPr>
            <w:tcW w:w="2070" w:type="dxa"/>
            <w:shd w:val="clear" w:color="auto" w:fill="FFFFFF"/>
            <w:tcMar>
              <w:top w:w="0" w:type="dxa"/>
              <w:left w:w="108" w:type="dxa"/>
              <w:bottom w:w="0" w:type="dxa"/>
              <w:right w:w="108" w:type="dxa"/>
            </w:tcMar>
            <w:vAlign w:val="center"/>
          </w:tcPr>
          <w:p>
            <w:pPr>
              <w:rPr>
                <w:rFonts w:hint="default"/>
                <w:sz w:val="24"/>
                <w:szCs w:val="24"/>
              </w:rPr>
            </w:pPr>
          </w:p>
        </w:tc>
        <w:tc>
          <w:tcPr>
            <w:tcW w:w="3261" w:type="dxa"/>
            <w:vMerge w:val="continue"/>
            <w:shd w:val="clear" w:color="auto" w:fill="FFFFFF"/>
            <w:tcMar>
              <w:top w:w="0" w:type="dxa"/>
              <w:left w:w="0" w:type="dxa"/>
              <w:bottom w:w="0" w:type="dxa"/>
              <w:right w:w="0" w:type="dxa"/>
            </w:tcMar>
            <w:vAlign w:val="center"/>
          </w:tcPr>
          <w:p>
            <w:pPr>
              <w:rPr>
                <w:rFonts w:hint="default"/>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5</w:t>
            </w:r>
          </w:p>
        </w:tc>
        <w:tc>
          <w:tcPr>
            <w:tcW w:w="1134"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A020519</w:t>
            </w:r>
          </w:p>
        </w:tc>
        <w:tc>
          <w:tcPr>
            <w:tcW w:w="1347"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泵</w:t>
            </w:r>
          </w:p>
        </w:tc>
        <w:tc>
          <w:tcPr>
            <w:tcW w:w="1402"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A02051901</w:t>
            </w:r>
          </w:p>
        </w:tc>
        <w:tc>
          <w:tcPr>
            <w:tcW w:w="2070"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离心泵</w:t>
            </w:r>
          </w:p>
        </w:tc>
        <w:tc>
          <w:tcPr>
            <w:tcW w:w="3261"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中国质量认证中心</w:t>
            </w:r>
          </w:p>
          <w:p>
            <w:pPr>
              <w:rPr>
                <w:rFonts w:hint="default"/>
                <w:sz w:val="24"/>
                <w:szCs w:val="24"/>
              </w:rPr>
            </w:pPr>
            <w:r>
              <w:rPr>
                <w:rFonts w:hint="default"/>
                <w:sz w:val="24"/>
                <w:szCs w:val="24"/>
              </w:rPr>
              <w:t>电能（北京）认证中心有限公司</w:t>
            </w:r>
          </w:p>
          <w:p>
            <w:pPr>
              <w:rPr>
                <w:rFonts w:hint="default"/>
                <w:sz w:val="24"/>
                <w:szCs w:val="24"/>
              </w:rPr>
            </w:pPr>
            <w:r>
              <w:rPr>
                <w:rFonts w:hint="default"/>
                <w:sz w:val="24"/>
                <w:szCs w:val="24"/>
              </w:rPr>
              <w:t>方圆标志认证集团有限公司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restart"/>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6</w:t>
            </w:r>
          </w:p>
        </w:tc>
        <w:tc>
          <w:tcPr>
            <w:tcW w:w="1134" w:type="dxa"/>
            <w:vMerge w:val="restart"/>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A020523</w:t>
            </w:r>
          </w:p>
        </w:tc>
        <w:tc>
          <w:tcPr>
            <w:tcW w:w="1347" w:type="dxa"/>
            <w:vMerge w:val="restart"/>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制冷空调设备</w:t>
            </w:r>
          </w:p>
        </w:tc>
        <w:tc>
          <w:tcPr>
            <w:tcW w:w="1402"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A02052301</w:t>
            </w:r>
          </w:p>
        </w:tc>
        <w:tc>
          <w:tcPr>
            <w:tcW w:w="2070"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制冷压缩机</w:t>
            </w:r>
          </w:p>
        </w:tc>
        <w:tc>
          <w:tcPr>
            <w:tcW w:w="3261" w:type="dxa"/>
            <w:vMerge w:val="restart"/>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中国质量认证中心</w:t>
            </w:r>
          </w:p>
          <w:p>
            <w:pPr>
              <w:rPr>
                <w:rFonts w:hint="default"/>
                <w:sz w:val="24"/>
                <w:szCs w:val="24"/>
              </w:rPr>
            </w:pPr>
            <w:r>
              <w:rPr>
                <w:rFonts w:hint="default"/>
                <w:sz w:val="24"/>
                <w:szCs w:val="24"/>
              </w:rPr>
              <w:t>威凯认证检测有限公司</w:t>
            </w:r>
          </w:p>
          <w:p>
            <w:pPr>
              <w:rPr>
                <w:rFonts w:hint="default"/>
                <w:sz w:val="24"/>
                <w:szCs w:val="24"/>
              </w:rPr>
            </w:pPr>
            <w:r>
              <w:rPr>
                <w:rFonts w:hint="default"/>
                <w:sz w:val="24"/>
                <w:szCs w:val="24"/>
              </w:rPr>
              <w:t>合肥通用机械产品认证有限公司</w:t>
            </w:r>
          </w:p>
          <w:p>
            <w:pPr>
              <w:rPr>
                <w:rFonts w:hint="default"/>
                <w:sz w:val="24"/>
                <w:szCs w:val="24"/>
              </w:rPr>
            </w:pPr>
            <w:r>
              <w:rPr>
                <w:rFonts w:hint="default"/>
                <w:sz w:val="24"/>
                <w:szCs w:val="24"/>
              </w:rPr>
              <w:t>北京中冷通质量认证中心有限公司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shd w:val="clear" w:color="auto" w:fill="FFFFFF"/>
            <w:vAlign w:val="center"/>
          </w:tcPr>
          <w:p>
            <w:pPr>
              <w:rPr>
                <w:rFonts w:hint="default"/>
                <w:sz w:val="24"/>
                <w:szCs w:val="24"/>
              </w:rPr>
            </w:pPr>
          </w:p>
        </w:tc>
        <w:tc>
          <w:tcPr>
            <w:tcW w:w="1134" w:type="dxa"/>
            <w:vMerge w:val="continue"/>
            <w:shd w:val="clear" w:color="auto" w:fill="FFFFFF"/>
            <w:vAlign w:val="center"/>
          </w:tcPr>
          <w:p>
            <w:pPr>
              <w:rPr>
                <w:rFonts w:hint="default"/>
                <w:sz w:val="24"/>
                <w:szCs w:val="24"/>
              </w:rPr>
            </w:pPr>
          </w:p>
        </w:tc>
        <w:tc>
          <w:tcPr>
            <w:tcW w:w="1347" w:type="dxa"/>
            <w:vMerge w:val="continue"/>
            <w:shd w:val="clear" w:color="auto" w:fill="FFFFFF"/>
            <w:vAlign w:val="center"/>
          </w:tcPr>
          <w:p>
            <w:pPr>
              <w:rPr>
                <w:rFonts w:hint="default"/>
                <w:sz w:val="24"/>
                <w:szCs w:val="24"/>
              </w:rPr>
            </w:pPr>
          </w:p>
        </w:tc>
        <w:tc>
          <w:tcPr>
            <w:tcW w:w="1402" w:type="dxa"/>
            <w:shd w:val="clear" w:color="auto" w:fill="FFFFFF"/>
            <w:tcMar>
              <w:left w:w="108" w:type="dxa"/>
              <w:right w:w="108" w:type="dxa"/>
            </w:tcMar>
            <w:vAlign w:val="center"/>
          </w:tcPr>
          <w:p>
            <w:pPr>
              <w:rPr>
                <w:rFonts w:hint="default"/>
                <w:sz w:val="24"/>
                <w:szCs w:val="24"/>
              </w:rPr>
            </w:pPr>
            <w:r>
              <w:rPr>
                <w:rFonts w:hint="default"/>
                <w:sz w:val="24"/>
                <w:szCs w:val="24"/>
              </w:rPr>
              <w:t>A02052305</w:t>
            </w:r>
          </w:p>
        </w:tc>
        <w:tc>
          <w:tcPr>
            <w:tcW w:w="2070" w:type="dxa"/>
            <w:shd w:val="clear" w:color="auto" w:fill="FFFFFF"/>
            <w:tcMar>
              <w:top w:w="0" w:type="dxa"/>
              <w:left w:w="0" w:type="dxa"/>
              <w:bottom w:w="0" w:type="dxa"/>
              <w:right w:w="0" w:type="dxa"/>
            </w:tcMar>
            <w:vAlign w:val="center"/>
          </w:tcPr>
          <w:p>
            <w:pPr>
              <w:rPr>
                <w:rFonts w:hint="default"/>
                <w:sz w:val="24"/>
                <w:szCs w:val="24"/>
              </w:rPr>
            </w:pPr>
            <w:r>
              <w:rPr>
                <w:rFonts w:hint="default"/>
                <w:sz w:val="24"/>
                <w:szCs w:val="24"/>
              </w:rPr>
              <w:t>空调机组</w:t>
            </w:r>
          </w:p>
        </w:tc>
        <w:tc>
          <w:tcPr>
            <w:tcW w:w="3261" w:type="dxa"/>
            <w:vMerge w:val="continue"/>
            <w:shd w:val="clear" w:color="auto" w:fill="FFFFFF"/>
            <w:tcMar>
              <w:top w:w="0" w:type="dxa"/>
              <w:bottom w:w="0" w:type="dxa"/>
            </w:tcMar>
            <w:vAlign w:val="center"/>
          </w:tcPr>
          <w:p>
            <w:pPr>
              <w:rPr>
                <w:rFonts w:hint="default"/>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shd w:val="clear" w:color="auto" w:fill="FFFFFF"/>
            <w:vAlign w:val="center"/>
          </w:tcPr>
          <w:p>
            <w:pPr>
              <w:rPr>
                <w:rFonts w:hint="default"/>
                <w:sz w:val="24"/>
                <w:szCs w:val="24"/>
              </w:rPr>
            </w:pPr>
          </w:p>
        </w:tc>
        <w:tc>
          <w:tcPr>
            <w:tcW w:w="1134" w:type="dxa"/>
            <w:vMerge w:val="continue"/>
            <w:shd w:val="clear" w:color="auto" w:fill="FFFFFF"/>
            <w:vAlign w:val="center"/>
          </w:tcPr>
          <w:p>
            <w:pPr>
              <w:rPr>
                <w:rFonts w:hint="default"/>
                <w:sz w:val="24"/>
                <w:szCs w:val="24"/>
              </w:rPr>
            </w:pPr>
          </w:p>
        </w:tc>
        <w:tc>
          <w:tcPr>
            <w:tcW w:w="1347" w:type="dxa"/>
            <w:vMerge w:val="continue"/>
            <w:shd w:val="clear" w:color="auto" w:fill="FFFFFF"/>
            <w:vAlign w:val="center"/>
          </w:tcPr>
          <w:p>
            <w:pPr>
              <w:rPr>
                <w:rFonts w:hint="default"/>
                <w:sz w:val="24"/>
                <w:szCs w:val="24"/>
              </w:rPr>
            </w:pPr>
          </w:p>
        </w:tc>
        <w:tc>
          <w:tcPr>
            <w:tcW w:w="1402" w:type="dxa"/>
            <w:shd w:val="clear" w:color="auto" w:fill="FFFFFF"/>
            <w:tcMar>
              <w:left w:w="108" w:type="dxa"/>
              <w:right w:w="108" w:type="dxa"/>
            </w:tcMar>
            <w:vAlign w:val="center"/>
          </w:tcPr>
          <w:p>
            <w:pPr>
              <w:rPr>
                <w:rFonts w:hint="default"/>
                <w:sz w:val="24"/>
                <w:szCs w:val="24"/>
              </w:rPr>
            </w:pPr>
            <w:r>
              <w:rPr>
                <w:rFonts w:hint="default"/>
                <w:sz w:val="24"/>
                <w:szCs w:val="24"/>
              </w:rPr>
              <w:t>A02052309</w:t>
            </w:r>
          </w:p>
        </w:tc>
        <w:tc>
          <w:tcPr>
            <w:tcW w:w="2070" w:type="dxa"/>
            <w:shd w:val="clear" w:color="auto" w:fill="FFFFFF"/>
            <w:tcMar>
              <w:top w:w="0" w:type="dxa"/>
              <w:left w:w="0" w:type="dxa"/>
              <w:bottom w:w="0" w:type="dxa"/>
              <w:right w:w="0" w:type="dxa"/>
            </w:tcMar>
            <w:vAlign w:val="center"/>
          </w:tcPr>
          <w:p>
            <w:pPr>
              <w:rPr>
                <w:rFonts w:hint="default"/>
                <w:sz w:val="24"/>
                <w:szCs w:val="24"/>
              </w:rPr>
            </w:pPr>
            <w:r>
              <w:rPr>
                <w:rFonts w:hint="default"/>
                <w:sz w:val="24"/>
                <w:szCs w:val="24"/>
              </w:rPr>
              <w:t>专用制冷、空调设备</w:t>
            </w:r>
          </w:p>
        </w:tc>
        <w:tc>
          <w:tcPr>
            <w:tcW w:w="3261" w:type="dxa"/>
            <w:vMerge w:val="continue"/>
            <w:shd w:val="clear" w:color="auto" w:fill="FFFFFF"/>
            <w:tcMar>
              <w:top w:w="0" w:type="dxa"/>
              <w:bottom w:w="0" w:type="dxa"/>
            </w:tcMar>
            <w:vAlign w:val="center"/>
          </w:tcPr>
          <w:p>
            <w:pPr>
              <w:rPr>
                <w:rFonts w:hint="default"/>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shd w:val="clear" w:color="auto" w:fill="FFFFFF"/>
            <w:vAlign w:val="center"/>
          </w:tcPr>
          <w:p>
            <w:pPr>
              <w:rPr>
                <w:rFonts w:hint="default"/>
                <w:sz w:val="24"/>
                <w:szCs w:val="24"/>
              </w:rPr>
            </w:pPr>
          </w:p>
        </w:tc>
        <w:tc>
          <w:tcPr>
            <w:tcW w:w="1134" w:type="dxa"/>
            <w:vMerge w:val="continue"/>
            <w:shd w:val="clear" w:color="auto" w:fill="FFFFFF"/>
            <w:vAlign w:val="center"/>
          </w:tcPr>
          <w:p>
            <w:pPr>
              <w:rPr>
                <w:rFonts w:hint="default"/>
                <w:sz w:val="24"/>
                <w:szCs w:val="24"/>
              </w:rPr>
            </w:pPr>
          </w:p>
        </w:tc>
        <w:tc>
          <w:tcPr>
            <w:tcW w:w="1347" w:type="dxa"/>
            <w:vMerge w:val="continue"/>
            <w:shd w:val="clear" w:color="auto" w:fill="FFFFFF"/>
            <w:vAlign w:val="center"/>
          </w:tcPr>
          <w:p>
            <w:pPr>
              <w:rPr>
                <w:rFonts w:hint="default"/>
                <w:sz w:val="24"/>
                <w:szCs w:val="24"/>
              </w:rPr>
            </w:pPr>
          </w:p>
        </w:tc>
        <w:tc>
          <w:tcPr>
            <w:tcW w:w="1402" w:type="dxa"/>
            <w:shd w:val="clear" w:color="auto" w:fill="FFFFFF"/>
            <w:tcMar>
              <w:left w:w="108" w:type="dxa"/>
              <w:right w:w="108" w:type="dxa"/>
            </w:tcMar>
            <w:vAlign w:val="center"/>
          </w:tcPr>
          <w:p>
            <w:pPr>
              <w:rPr>
                <w:rFonts w:hint="default"/>
                <w:sz w:val="24"/>
                <w:szCs w:val="24"/>
              </w:rPr>
            </w:pPr>
            <w:r>
              <w:rPr>
                <w:rFonts w:hint="default"/>
                <w:sz w:val="24"/>
                <w:szCs w:val="24"/>
              </w:rPr>
              <w:t>A02052399</w:t>
            </w:r>
          </w:p>
        </w:tc>
        <w:tc>
          <w:tcPr>
            <w:tcW w:w="2070" w:type="dxa"/>
            <w:shd w:val="clear" w:color="auto" w:fill="FFFFFF"/>
            <w:tcMar>
              <w:top w:w="0" w:type="dxa"/>
              <w:left w:w="0" w:type="dxa"/>
              <w:bottom w:w="0" w:type="dxa"/>
              <w:right w:w="0" w:type="dxa"/>
            </w:tcMar>
            <w:vAlign w:val="center"/>
          </w:tcPr>
          <w:p>
            <w:pPr>
              <w:rPr>
                <w:rFonts w:hint="default"/>
                <w:sz w:val="24"/>
                <w:szCs w:val="24"/>
              </w:rPr>
            </w:pPr>
            <w:r>
              <w:rPr>
                <w:rFonts w:hint="default"/>
                <w:sz w:val="24"/>
                <w:szCs w:val="24"/>
              </w:rPr>
              <w:t>其他制冷空调设备</w:t>
            </w:r>
          </w:p>
        </w:tc>
        <w:tc>
          <w:tcPr>
            <w:tcW w:w="3261" w:type="dxa"/>
            <w:vMerge w:val="continue"/>
            <w:shd w:val="clear" w:color="auto" w:fill="FFFFFF"/>
            <w:tcMar>
              <w:top w:w="0" w:type="dxa"/>
              <w:bottom w:w="0" w:type="dxa"/>
            </w:tcMar>
            <w:vAlign w:val="center"/>
          </w:tcPr>
          <w:p>
            <w:pPr>
              <w:rPr>
                <w:rFonts w:hint="default"/>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7</w:t>
            </w:r>
          </w:p>
        </w:tc>
        <w:tc>
          <w:tcPr>
            <w:tcW w:w="1134"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A020601</w:t>
            </w:r>
          </w:p>
        </w:tc>
        <w:tc>
          <w:tcPr>
            <w:tcW w:w="1347"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电机</w:t>
            </w:r>
          </w:p>
        </w:tc>
        <w:tc>
          <w:tcPr>
            <w:tcW w:w="1402" w:type="dxa"/>
            <w:shd w:val="clear" w:color="auto" w:fill="FFFFFF"/>
            <w:tcMar>
              <w:top w:w="0" w:type="dxa"/>
              <w:left w:w="108" w:type="dxa"/>
              <w:bottom w:w="0" w:type="dxa"/>
              <w:right w:w="108" w:type="dxa"/>
            </w:tcMar>
            <w:vAlign w:val="center"/>
          </w:tcPr>
          <w:p>
            <w:pPr>
              <w:rPr>
                <w:rFonts w:hint="default"/>
                <w:sz w:val="24"/>
                <w:szCs w:val="24"/>
              </w:rPr>
            </w:pPr>
          </w:p>
        </w:tc>
        <w:tc>
          <w:tcPr>
            <w:tcW w:w="2070" w:type="dxa"/>
            <w:shd w:val="clear" w:color="auto" w:fill="FFFFFF"/>
            <w:tcMar>
              <w:top w:w="0" w:type="dxa"/>
              <w:left w:w="108" w:type="dxa"/>
              <w:bottom w:w="0" w:type="dxa"/>
              <w:right w:w="108" w:type="dxa"/>
            </w:tcMar>
            <w:vAlign w:val="center"/>
          </w:tcPr>
          <w:p>
            <w:pPr>
              <w:rPr>
                <w:rFonts w:hint="default"/>
                <w:sz w:val="24"/>
                <w:szCs w:val="24"/>
              </w:rPr>
            </w:pPr>
          </w:p>
        </w:tc>
        <w:tc>
          <w:tcPr>
            <w:tcW w:w="3261"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中国质量认证中心</w:t>
            </w:r>
          </w:p>
          <w:p>
            <w:pPr>
              <w:rPr>
                <w:rFonts w:hint="default"/>
                <w:sz w:val="24"/>
                <w:szCs w:val="24"/>
              </w:rPr>
            </w:pPr>
            <w:r>
              <w:rPr>
                <w:rFonts w:hint="default"/>
                <w:sz w:val="24"/>
                <w:szCs w:val="24"/>
              </w:rPr>
              <w:t>威凯认证检测有限公司</w:t>
            </w:r>
          </w:p>
          <w:p>
            <w:pPr>
              <w:rPr>
                <w:rFonts w:hint="default"/>
                <w:sz w:val="24"/>
                <w:szCs w:val="24"/>
              </w:rPr>
            </w:pPr>
            <w:r>
              <w:rPr>
                <w:rFonts w:hint="default"/>
                <w:sz w:val="24"/>
                <w:szCs w:val="24"/>
              </w:rPr>
              <w:t>电能（北京）认证中心有限公司</w:t>
            </w:r>
          </w:p>
          <w:p>
            <w:pPr>
              <w:rPr>
                <w:rFonts w:hint="default"/>
                <w:sz w:val="24"/>
                <w:szCs w:val="24"/>
              </w:rPr>
            </w:pPr>
            <w:r>
              <w:rPr>
                <w:rFonts w:hint="default"/>
                <w:sz w:val="24"/>
                <w:szCs w:val="24"/>
              </w:rPr>
              <w:t>中国船级社质量认证公司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8</w:t>
            </w:r>
          </w:p>
        </w:tc>
        <w:tc>
          <w:tcPr>
            <w:tcW w:w="1134"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A020602</w:t>
            </w:r>
          </w:p>
        </w:tc>
        <w:tc>
          <w:tcPr>
            <w:tcW w:w="1347"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变压器</w:t>
            </w:r>
          </w:p>
        </w:tc>
        <w:tc>
          <w:tcPr>
            <w:tcW w:w="1402" w:type="dxa"/>
            <w:shd w:val="clear" w:color="auto" w:fill="FFFFFF"/>
            <w:tcMar>
              <w:top w:w="0" w:type="dxa"/>
              <w:left w:w="108" w:type="dxa"/>
              <w:bottom w:w="0" w:type="dxa"/>
              <w:right w:w="108" w:type="dxa"/>
            </w:tcMar>
            <w:vAlign w:val="center"/>
          </w:tcPr>
          <w:p>
            <w:pPr>
              <w:rPr>
                <w:rFonts w:hint="default"/>
                <w:sz w:val="24"/>
                <w:szCs w:val="24"/>
              </w:rPr>
            </w:pPr>
          </w:p>
        </w:tc>
        <w:tc>
          <w:tcPr>
            <w:tcW w:w="2070" w:type="dxa"/>
            <w:shd w:val="clear" w:color="auto" w:fill="FFFFFF"/>
            <w:tcMar>
              <w:top w:w="0" w:type="dxa"/>
              <w:left w:w="108" w:type="dxa"/>
              <w:bottom w:w="0" w:type="dxa"/>
              <w:right w:w="108" w:type="dxa"/>
            </w:tcMar>
            <w:vAlign w:val="center"/>
          </w:tcPr>
          <w:p>
            <w:pPr>
              <w:rPr>
                <w:rFonts w:hint="default"/>
                <w:sz w:val="24"/>
                <w:szCs w:val="24"/>
              </w:rPr>
            </w:pPr>
          </w:p>
        </w:tc>
        <w:tc>
          <w:tcPr>
            <w:tcW w:w="3261"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中国质量认证中心</w:t>
            </w:r>
          </w:p>
          <w:p>
            <w:pPr>
              <w:rPr>
                <w:rFonts w:hint="default"/>
                <w:sz w:val="24"/>
                <w:szCs w:val="24"/>
              </w:rPr>
            </w:pPr>
            <w:r>
              <w:rPr>
                <w:rFonts w:hint="default"/>
                <w:sz w:val="24"/>
                <w:szCs w:val="24"/>
              </w:rPr>
              <w:t>电能（北京）认证中心有限公司</w:t>
            </w:r>
          </w:p>
          <w:p>
            <w:pPr>
              <w:rPr>
                <w:rFonts w:hint="default"/>
                <w:sz w:val="24"/>
                <w:szCs w:val="24"/>
              </w:rPr>
            </w:pPr>
            <w:r>
              <w:rPr>
                <w:rFonts w:hint="default"/>
                <w:sz w:val="24"/>
                <w:szCs w:val="24"/>
              </w:rPr>
              <w:t>方圆标志认证集团有限公司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9</w:t>
            </w:r>
          </w:p>
        </w:tc>
        <w:tc>
          <w:tcPr>
            <w:tcW w:w="1134"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A020609</w:t>
            </w:r>
          </w:p>
        </w:tc>
        <w:tc>
          <w:tcPr>
            <w:tcW w:w="1347"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镇流器</w:t>
            </w:r>
          </w:p>
        </w:tc>
        <w:tc>
          <w:tcPr>
            <w:tcW w:w="1402" w:type="dxa"/>
            <w:shd w:val="clear" w:color="auto" w:fill="FFFFFF"/>
            <w:tcMar>
              <w:top w:w="0" w:type="dxa"/>
              <w:left w:w="108" w:type="dxa"/>
              <w:bottom w:w="0" w:type="dxa"/>
              <w:right w:w="108" w:type="dxa"/>
            </w:tcMar>
            <w:vAlign w:val="center"/>
          </w:tcPr>
          <w:p>
            <w:pPr>
              <w:rPr>
                <w:rFonts w:hint="default"/>
                <w:sz w:val="24"/>
                <w:szCs w:val="24"/>
              </w:rPr>
            </w:pPr>
          </w:p>
        </w:tc>
        <w:tc>
          <w:tcPr>
            <w:tcW w:w="2070" w:type="dxa"/>
            <w:shd w:val="clear" w:color="auto" w:fill="FFFFFF"/>
            <w:tcMar>
              <w:top w:w="0" w:type="dxa"/>
              <w:left w:w="108" w:type="dxa"/>
              <w:bottom w:w="0" w:type="dxa"/>
              <w:right w:w="108" w:type="dxa"/>
            </w:tcMar>
            <w:vAlign w:val="center"/>
          </w:tcPr>
          <w:p>
            <w:pPr>
              <w:rPr>
                <w:rFonts w:hint="default"/>
                <w:sz w:val="24"/>
                <w:szCs w:val="24"/>
              </w:rPr>
            </w:pPr>
          </w:p>
        </w:tc>
        <w:tc>
          <w:tcPr>
            <w:tcW w:w="3261"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中国质量认证中心</w:t>
            </w:r>
          </w:p>
          <w:p>
            <w:pPr>
              <w:rPr>
                <w:rFonts w:hint="default"/>
                <w:sz w:val="24"/>
                <w:szCs w:val="24"/>
              </w:rPr>
            </w:pPr>
            <w:r>
              <w:rPr>
                <w:rFonts w:hint="default"/>
                <w:sz w:val="24"/>
                <w:szCs w:val="24"/>
              </w:rPr>
              <w:t>深圳市计量质量检测研究院</w:t>
            </w:r>
          </w:p>
          <w:p>
            <w:pPr>
              <w:rPr>
                <w:rFonts w:hint="default"/>
                <w:sz w:val="24"/>
                <w:szCs w:val="24"/>
              </w:rPr>
            </w:pPr>
            <w:r>
              <w:rPr>
                <w:rFonts w:hint="default"/>
                <w:sz w:val="24"/>
                <w:szCs w:val="24"/>
              </w:rPr>
              <w:t>中标合信（北京）认证有限公司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restart"/>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10</w:t>
            </w:r>
          </w:p>
        </w:tc>
        <w:tc>
          <w:tcPr>
            <w:tcW w:w="1134" w:type="dxa"/>
            <w:vMerge w:val="restart"/>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A020618</w:t>
            </w:r>
          </w:p>
        </w:tc>
        <w:tc>
          <w:tcPr>
            <w:tcW w:w="1347" w:type="dxa"/>
            <w:vMerge w:val="restart"/>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生活用电器</w:t>
            </w:r>
          </w:p>
        </w:tc>
        <w:tc>
          <w:tcPr>
            <w:tcW w:w="1402"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A0206180101</w:t>
            </w:r>
          </w:p>
        </w:tc>
        <w:tc>
          <w:tcPr>
            <w:tcW w:w="2070"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电冰箱</w:t>
            </w:r>
          </w:p>
        </w:tc>
        <w:tc>
          <w:tcPr>
            <w:tcW w:w="3261"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中国质量认证中心</w:t>
            </w:r>
          </w:p>
          <w:p>
            <w:pPr>
              <w:rPr>
                <w:rFonts w:hint="default"/>
                <w:sz w:val="24"/>
                <w:szCs w:val="24"/>
              </w:rPr>
            </w:pPr>
            <w:r>
              <w:rPr>
                <w:rFonts w:hint="default"/>
                <w:sz w:val="24"/>
                <w:szCs w:val="24"/>
              </w:rPr>
              <w:t>威凯认证检测有限公司</w:t>
            </w:r>
          </w:p>
          <w:p>
            <w:pPr>
              <w:rPr>
                <w:rFonts w:hint="default"/>
                <w:sz w:val="24"/>
                <w:szCs w:val="24"/>
              </w:rPr>
            </w:pPr>
            <w:r>
              <w:rPr>
                <w:rFonts w:hint="default"/>
                <w:sz w:val="24"/>
                <w:szCs w:val="24"/>
              </w:rPr>
              <w:t>中家院（北京）检测认证有限公司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shd w:val="clear" w:color="auto" w:fill="FFFFFF"/>
            <w:vAlign w:val="center"/>
          </w:tcPr>
          <w:p>
            <w:pPr>
              <w:rPr>
                <w:rFonts w:hint="default"/>
                <w:sz w:val="24"/>
                <w:szCs w:val="24"/>
              </w:rPr>
            </w:pPr>
          </w:p>
        </w:tc>
        <w:tc>
          <w:tcPr>
            <w:tcW w:w="1134" w:type="dxa"/>
            <w:vMerge w:val="continue"/>
            <w:shd w:val="clear" w:color="auto" w:fill="FFFFFF"/>
            <w:vAlign w:val="center"/>
          </w:tcPr>
          <w:p>
            <w:pPr>
              <w:rPr>
                <w:rFonts w:hint="default"/>
                <w:sz w:val="24"/>
                <w:szCs w:val="24"/>
              </w:rPr>
            </w:pPr>
          </w:p>
        </w:tc>
        <w:tc>
          <w:tcPr>
            <w:tcW w:w="1347" w:type="dxa"/>
            <w:vMerge w:val="continue"/>
            <w:shd w:val="clear" w:color="auto" w:fill="FFFFFF"/>
            <w:vAlign w:val="center"/>
          </w:tcPr>
          <w:p>
            <w:pPr>
              <w:rPr>
                <w:rFonts w:hint="default"/>
                <w:sz w:val="24"/>
                <w:szCs w:val="24"/>
              </w:rPr>
            </w:pPr>
          </w:p>
        </w:tc>
        <w:tc>
          <w:tcPr>
            <w:tcW w:w="1402" w:type="dxa"/>
            <w:shd w:val="clear" w:color="auto" w:fill="FFFFFF"/>
            <w:tcMar>
              <w:left w:w="108" w:type="dxa"/>
              <w:right w:w="108" w:type="dxa"/>
            </w:tcMar>
            <w:vAlign w:val="center"/>
          </w:tcPr>
          <w:p>
            <w:pPr>
              <w:rPr>
                <w:rFonts w:hint="default"/>
                <w:sz w:val="24"/>
                <w:szCs w:val="24"/>
              </w:rPr>
            </w:pPr>
            <w:r>
              <w:rPr>
                <w:rFonts w:hint="default"/>
                <w:sz w:val="24"/>
                <w:szCs w:val="24"/>
              </w:rPr>
              <w:t>A0206180203</w:t>
            </w:r>
          </w:p>
        </w:tc>
        <w:tc>
          <w:tcPr>
            <w:tcW w:w="2070" w:type="dxa"/>
            <w:shd w:val="clear" w:color="auto" w:fill="FFFFFF"/>
            <w:tcMar>
              <w:top w:w="0" w:type="dxa"/>
              <w:left w:w="0" w:type="dxa"/>
              <w:bottom w:w="0" w:type="dxa"/>
              <w:right w:w="0" w:type="dxa"/>
            </w:tcMar>
            <w:vAlign w:val="center"/>
          </w:tcPr>
          <w:p>
            <w:pPr>
              <w:rPr>
                <w:rFonts w:hint="default"/>
                <w:sz w:val="24"/>
                <w:szCs w:val="24"/>
              </w:rPr>
            </w:pPr>
            <w:r>
              <w:rPr>
                <w:rFonts w:hint="default"/>
                <w:sz w:val="24"/>
                <w:szCs w:val="24"/>
              </w:rPr>
              <w:t>空调机</w:t>
            </w:r>
          </w:p>
        </w:tc>
        <w:tc>
          <w:tcPr>
            <w:tcW w:w="3261" w:type="dxa"/>
            <w:shd w:val="clear" w:color="auto" w:fill="FFFFFF"/>
            <w:tcMar>
              <w:top w:w="0" w:type="dxa"/>
              <w:bottom w:w="0" w:type="dxa"/>
            </w:tcMar>
            <w:vAlign w:val="center"/>
          </w:tcPr>
          <w:p>
            <w:pPr>
              <w:rPr>
                <w:rFonts w:hint="default"/>
                <w:sz w:val="24"/>
                <w:szCs w:val="24"/>
              </w:rPr>
            </w:pPr>
            <w:r>
              <w:rPr>
                <w:rFonts w:hint="default"/>
                <w:sz w:val="24"/>
                <w:szCs w:val="24"/>
              </w:rPr>
              <w:t>中国质量认证中心</w:t>
            </w:r>
          </w:p>
          <w:p>
            <w:pPr>
              <w:rPr>
                <w:rFonts w:hint="default"/>
                <w:sz w:val="24"/>
                <w:szCs w:val="24"/>
              </w:rPr>
            </w:pPr>
            <w:r>
              <w:rPr>
                <w:rFonts w:hint="default"/>
                <w:sz w:val="24"/>
                <w:szCs w:val="24"/>
              </w:rPr>
              <w:t>威凯认证检测有限公司</w:t>
            </w:r>
          </w:p>
          <w:p>
            <w:pPr>
              <w:rPr>
                <w:rFonts w:hint="default"/>
                <w:sz w:val="24"/>
                <w:szCs w:val="24"/>
              </w:rPr>
            </w:pPr>
            <w:r>
              <w:rPr>
                <w:rFonts w:hint="default"/>
                <w:sz w:val="24"/>
                <w:szCs w:val="24"/>
              </w:rPr>
              <w:t>中家院（北京）检测认证有限公司</w:t>
            </w:r>
          </w:p>
          <w:p>
            <w:pPr>
              <w:rPr>
                <w:rFonts w:hint="default"/>
                <w:sz w:val="24"/>
                <w:szCs w:val="24"/>
              </w:rPr>
            </w:pPr>
            <w:r>
              <w:rPr>
                <w:rFonts w:hint="default"/>
                <w:sz w:val="24"/>
                <w:szCs w:val="24"/>
              </w:rPr>
              <w:t>合肥通用机械产品认证有限公司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shd w:val="clear" w:color="auto" w:fill="FFFFFF"/>
            <w:vAlign w:val="center"/>
          </w:tcPr>
          <w:p>
            <w:pPr>
              <w:rPr>
                <w:rFonts w:hint="default"/>
                <w:sz w:val="24"/>
                <w:szCs w:val="24"/>
              </w:rPr>
            </w:pPr>
          </w:p>
        </w:tc>
        <w:tc>
          <w:tcPr>
            <w:tcW w:w="1134" w:type="dxa"/>
            <w:vMerge w:val="continue"/>
            <w:shd w:val="clear" w:color="auto" w:fill="FFFFFF"/>
            <w:vAlign w:val="center"/>
          </w:tcPr>
          <w:p>
            <w:pPr>
              <w:rPr>
                <w:rFonts w:hint="default"/>
                <w:sz w:val="24"/>
                <w:szCs w:val="24"/>
              </w:rPr>
            </w:pPr>
          </w:p>
        </w:tc>
        <w:tc>
          <w:tcPr>
            <w:tcW w:w="1347" w:type="dxa"/>
            <w:vMerge w:val="continue"/>
            <w:shd w:val="clear" w:color="auto" w:fill="FFFFFF"/>
            <w:vAlign w:val="center"/>
          </w:tcPr>
          <w:p>
            <w:pPr>
              <w:rPr>
                <w:rFonts w:hint="default"/>
                <w:sz w:val="24"/>
                <w:szCs w:val="24"/>
              </w:rPr>
            </w:pPr>
          </w:p>
        </w:tc>
        <w:tc>
          <w:tcPr>
            <w:tcW w:w="1402" w:type="dxa"/>
            <w:shd w:val="clear" w:color="auto" w:fill="FFFFFF"/>
            <w:tcMar>
              <w:left w:w="108" w:type="dxa"/>
              <w:right w:w="108" w:type="dxa"/>
            </w:tcMar>
            <w:vAlign w:val="center"/>
          </w:tcPr>
          <w:p>
            <w:pPr>
              <w:rPr>
                <w:rFonts w:hint="default"/>
                <w:sz w:val="24"/>
                <w:szCs w:val="24"/>
              </w:rPr>
            </w:pPr>
            <w:r>
              <w:rPr>
                <w:rFonts w:hint="default"/>
                <w:sz w:val="24"/>
                <w:szCs w:val="24"/>
              </w:rPr>
              <w:t>A0206180301</w:t>
            </w:r>
          </w:p>
        </w:tc>
        <w:tc>
          <w:tcPr>
            <w:tcW w:w="2070" w:type="dxa"/>
            <w:shd w:val="clear" w:color="auto" w:fill="FFFFFF"/>
            <w:tcMar>
              <w:top w:w="0" w:type="dxa"/>
              <w:left w:w="0" w:type="dxa"/>
              <w:bottom w:w="0" w:type="dxa"/>
              <w:right w:w="0" w:type="dxa"/>
            </w:tcMar>
            <w:vAlign w:val="center"/>
          </w:tcPr>
          <w:p>
            <w:pPr>
              <w:rPr>
                <w:rFonts w:hint="default"/>
                <w:sz w:val="24"/>
                <w:szCs w:val="24"/>
              </w:rPr>
            </w:pPr>
            <w:r>
              <w:rPr>
                <w:rFonts w:hint="default"/>
                <w:sz w:val="24"/>
                <w:szCs w:val="24"/>
              </w:rPr>
              <w:t>洗衣机</w:t>
            </w:r>
          </w:p>
        </w:tc>
        <w:tc>
          <w:tcPr>
            <w:tcW w:w="3261" w:type="dxa"/>
            <w:shd w:val="clear" w:color="auto" w:fill="FFFFFF"/>
            <w:tcMar>
              <w:top w:w="0" w:type="dxa"/>
              <w:bottom w:w="0" w:type="dxa"/>
            </w:tcMar>
            <w:vAlign w:val="center"/>
          </w:tcPr>
          <w:p>
            <w:pPr>
              <w:rPr>
                <w:rFonts w:hint="default"/>
                <w:sz w:val="24"/>
                <w:szCs w:val="24"/>
              </w:rPr>
            </w:pPr>
            <w:r>
              <w:rPr>
                <w:rFonts w:hint="default"/>
                <w:sz w:val="24"/>
                <w:szCs w:val="24"/>
              </w:rPr>
              <w:t>中国质量认证中心</w:t>
            </w:r>
          </w:p>
          <w:p>
            <w:pPr>
              <w:rPr>
                <w:rFonts w:hint="default"/>
                <w:sz w:val="24"/>
                <w:szCs w:val="24"/>
              </w:rPr>
            </w:pPr>
            <w:r>
              <w:rPr>
                <w:rFonts w:hint="default"/>
                <w:sz w:val="24"/>
                <w:szCs w:val="24"/>
              </w:rPr>
              <w:t>威凯认证检测有限公司</w:t>
            </w:r>
          </w:p>
          <w:p>
            <w:pPr>
              <w:rPr>
                <w:rFonts w:hint="default"/>
                <w:sz w:val="24"/>
                <w:szCs w:val="24"/>
              </w:rPr>
            </w:pPr>
            <w:r>
              <w:rPr>
                <w:rFonts w:hint="default"/>
                <w:sz w:val="24"/>
                <w:szCs w:val="24"/>
              </w:rPr>
              <w:t>中家院（北京）检测认证有限公司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vMerge w:val="continue"/>
            <w:shd w:val="clear" w:color="auto" w:fill="FFFFFF"/>
            <w:vAlign w:val="center"/>
          </w:tcPr>
          <w:p>
            <w:pPr>
              <w:rPr>
                <w:rFonts w:hint="default"/>
                <w:sz w:val="24"/>
                <w:szCs w:val="24"/>
              </w:rPr>
            </w:pPr>
          </w:p>
        </w:tc>
        <w:tc>
          <w:tcPr>
            <w:tcW w:w="1134" w:type="dxa"/>
            <w:vMerge w:val="continue"/>
            <w:shd w:val="clear" w:color="auto" w:fill="FFFFFF"/>
            <w:vAlign w:val="center"/>
          </w:tcPr>
          <w:p>
            <w:pPr>
              <w:rPr>
                <w:rFonts w:hint="default"/>
                <w:sz w:val="24"/>
                <w:szCs w:val="24"/>
              </w:rPr>
            </w:pPr>
          </w:p>
        </w:tc>
        <w:tc>
          <w:tcPr>
            <w:tcW w:w="1347" w:type="dxa"/>
            <w:vMerge w:val="continue"/>
            <w:shd w:val="clear" w:color="auto" w:fill="FFFFFF"/>
            <w:vAlign w:val="center"/>
          </w:tcPr>
          <w:p>
            <w:pPr>
              <w:rPr>
                <w:rFonts w:hint="default"/>
                <w:sz w:val="24"/>
                <w:szCs w:val="24"/>
              </w:rPr>
            </w:pPr>
          </w:p>
        </w:tc>
        <w:tc>
          <w:tcPr>
            <w:tcW w:w="1402" w:type="dxa"/>
            <w:shd w:val="clear" w:color="auto" w:fill="FFFFFF"/>
            <w:tcMar>
              <w:left w:w="108" w:type="dxa"/>
              <w:right w:w="108" w:type="dxa"/>
            </w:tcMar>
            <w:vAlign w:val="center"/>
          </w:tcPr>
          <w:p>
            <w:pPr>
              <w:rPr>
                <w:rFonts w:hint="default"/>
                <w:sz w:val="24"/>
                <w:szCs w:val="24"/>
              </w:rPr>
            </w:pPr>
            <w:r>
              <w:rPr>
                <w:rFonts w:hint="default"/>
                <w:sz w:val="24"/>
                <w:szCs w:val="24"/>
              </w:rPr>
              <w:t>A02061808</w:t>
            </w:r>
          </w:p>
        </w:tc>
        <w:tc>
          <w:tcPr>
            <w:tcW w:w="2070" w:type="dxa"/>
            <w:shd w:val="clear" w:color="auto" w:fill="FFFFFF"/>
            <w:tcMar>
              <w:top w:w="0" w:type="dxa"/>
              <w:left w:w="0" w:type="dxa"/>
              <w:bottom w:w="0" w:type="dxa"/>
              <w:right w:w="0" w:type="dxa"/>
            </w:tcMar>
            <w:vAlign w:val="center"/>
          </w:tcPr>
          <w:p>
            <w:pPr>
              <w:rPr>
                <w:rFonts w:hint="default"/>
                <w:sz w:val="24"/>
                <w:szCs w:val="24"/>
              </w:rPr>
            </w:pPr>
            <w:r>
              <w:rPr>
                <w:rFonts w:hint="default"/>
                <w:sz w:val="24"/>
                <w:szCs w:val="24"/>
              </w:rPr>
              <w:t>热水器</w:t>
            </w:r>
          </w:p>
        </w:tc>
        <w:tc>
          <w:tcPr>
            <w:tcW w:w="3261" w:type="dxa"/>
            <w:shd w:val="clear" w:color="auto" w:fill="FFFFFF"/>
            <w:tcMar>
              <w:top w:w="0" w:type="dxa"/>
              <w:bottom w:w="0" w:type="dxa"/>
            </w:tcMar>
            <w:vAlign w:val="center"/>
          </w:tcPr>
          <w:p>
            <w:pPr>
              <w:rPr>
                <w:rFonts w:hint="default"/>
                <w:sz w:val="24"/>
                <w:szCs w:val="24"/>
              </w:rPr>
            </w:pPr>
            <w:r>
              <w:rPr>
                <w:rFonts w:hint="default"/>
                <w:sz w:val="24"/>
                <w:szCs w:val="24"/>
              </w:rPr>
              <w:t>中国质量认证中心</w:t>
            </w:r>
          </w:p>
          <w:p>
            <w:pPr>
              <w:rPr>
                <w:rFonts w:hint="default"/>
                <w:sz w:val="24"/>
                <w:szCs w:val="24"/>
              </w:rPr>
            </w:pPr>
            <w:r>
              <w:rPr>
                <w:rFonts w:hint="default"/>
                <w:sz w:val="24"/>
                <w:szCs w:val="24"/>
              </w:rPr>
              <w:t>威凯认证检测有限公司</w:t>
            </w:r>
          </w:p>
          <w:p>
            <w:pPr>
              <w:rPr>
                <w:rFonts w:hint="default"/>
                <w:sz w:val="24"/>
                <w:szCs w:val="24"/>
              </w:rPr>
            </w:pPr>
            <w:r>
              <w:rPr>
                <w:rFonts w:hint="default"/>
                <w:sz w:val="24"/>
                <w:szCs w:val="24"/>
              </w:rPr>
              <w:t>中家院（北京）检测认证有限公司</w:t>
            </w:r>
          </w:p>
          <w:p>
            <w:pPr>
              <w:rPr>
                <w:rFonts w:hint="default"/>
                <w:sz w:val="24"/>
                <w:szCs w:val="24"/>
              </w:rPr>
            </w:pPr>
            <w:r>
              <w:rPr>
                <w:rFonts w:hint="default"/>
                <w:sz w:val="24"/>
                <w:szCs w:val="24"/>
              </w:rPr>
              <w:t>合肥通用机械产品认证有限公司(范围仅限于“热泵热水器”)</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11</w:t>
            </w:r>
          </w:p>
        </w:tc>
        <w:tc>
          <w:tcPr>
            <w:tcW w:w="1134"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A020619</w:t>
            </w:r>
          </w:p>
        </w:tc>
        <w:tc>
          <w:tcPr>
            <w:tcW w:w="1347"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照明设备</w:t>
            </w:r>
          </w:p>
        </w:tc>
        <w:tc>
          <w:tcPr>
            <w:tcW w:w="1402" w:type="dxa"/>
            <w:shd w:val="clear" w:color="auto" w:fill="FFFFFF"/>
            <w:tcMar>
              <w:top w:w="0" w:type="dxa"/>
              <w:left w:w="108" w:type="dxa"/>
              <w:bottom w:w="0" w:type="dxa"/>
              <w:right w:w="108" w:type="dxa"/>
            </w:tcMar>
            <w:vAlign w:val="center"/>
          </w:tcPr>
          <w:p>
            <w:pPr>
              <w:rPr>
                <w:rFonts w:hint="default"/>
                <w:sz w:val="24"/>
                <w:szCs w:val="24"/>
              </w:rPr>
            </w:pPr>
          </w:p>
        </w:tc>
        <w:tc>
          <w:tcPr>
            <w:tcW w:w="2070" w:type="dxa"/>
            <w:shd w:val="clear" w:color="auto" w:fill="FFFFFF"/>
            <w:tcMar>
              <w:top w:w="0" w:type="dxa"/>
              <w:left w:w="108" w:type="dxa"/>
              <w:bottom w:w="0" w:type="dxa"/>
              <w:right w:w="108" w:type="dxa"/>
            </w:tcMar>
            <w:vAlign w:val="center"/>
          </w:tcPr>
          <w:p>
            <w:pPr>
              <w:rPr>
                <w:rFonts w:hint="default"/>
                <w:sz w:val="24"/>
                <w:szCs w:val="24"/>
              </w:rPr>
            </w:pPr>
          </w:p>
        </w:tc>
        <w:tc>
          <w:tcPr>
            <w:tcW w:w="3261"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中国质量认证中心</w:t>
            </w:r>
          </w:p>
          <w:p>
            <w:pPr>
              <w:rPr>
                <w:rFonts w:hint="default"/>
                <w:sz w:val="24"/>
                <w:szCs w:val="24"/>
              </w:rPr>
            </w:pPr>
            <w:r>
              <w:rPr>
                <w:rFonts w:hint="default"/>
                <w:sz w:val="24"/>
                <w:szCs w:val="24"/>
              </w:rPr>
              <w:t>深圳市计量质量检测研究院</w:t>
            </w:r>
          </w:p>
          <w:p>
            <w:pPr>
              <w:rPr>
                <w:rFonts w:hint="default"/>
                <w:sz w:val="24"/>
                <w:szCs w:val="24"/>
              </w:rPr>
            </w:pPr>
            <w:r>
              <w:rPr>
                <w:rFonts w:hint="default"/>
                <w:sz w:val="24"/>
                <w:szCs w:val="24"/>
              </w:rPr>
              <w:t>中标合信（北京）认证有限公司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12</w:t>
            </w:r>
          </w:p>
        </w:tc>
        <w:tc>
          <w:tcPr>
            <w:tcW w:w="1134"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A020910</w:t>
            </w:r>
          </w:p>
        </w:tc>
        <w:tc>
          <w:tcPr>
            <w:tcW w:w="1347"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电视设备</w:t>
            </w:r>
          </w:p>
        </w:tc>
        <w:tc>
          <w:tcPr>
            <w:tcW w:w="1402"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A02091001</w:t>
            </w:r>
          </w:p>
        </w:tc>
        <w:tc>
          <w:tcPr>
            <w:tcW w:w="2070"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普通电视设备（电视机）</w:t>
            </w:r>
          </w:p>
        </w:tc>
        <w:tc>
          <w:tcPr>
            <w:tcW w:w="3261" w:type="dxa"/>
            <w:vMerge w:val="restart"/>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中国质量认证中心</w:t>
            </w:r>
          </w:p>
          <w:p>
            <w:pPr>
              <w:rPr>
                <w:rFonts w:hint="default"/>
                <w:sz w:val="24"/>
                <w:szCs w:val="24"/>
              </w:rPr>
            </w:pPr>
            <w:r>
              <w:rPr>
                <w:rFonts w:hint="default"/>
                <w:sz w:val="24"/>
                <w:szCs w:val="24"/>
              </w:rPr>
              <w:t>北京泰瑞特认证有限责任公司</w:t>
            </w:r>
          </w:p>
          <w:p>
            <w:pPr>
              <w:rPr>
                <w:rFonts w:hint="default"/>
                <w:sz w:val="24"/>
                <w:szCs w:val="24"/>
              </w:rPr>
            </w:pPr>
            <w:r>
              <w:rPr>
                <w:rFonts w:hint="default"/>
                <w:sz w:val="24"/>
                <w:szCs w:val="24"/>
              </w:rPr>
              <w:t>广州赛宝认证中心服务有限公司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13</w:t>
            </w:r>
          </w:p>
        </w:tc>
        <w:tc>
          <w:tcPr>
            <w:tcW w:w="1134"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A020911</w:t>
            </w:r>
          </w:p>
        </w:tc>
        <w:tc>
          <w:tcPr>
            <w:tcW w:w="1347"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视频设备</w:t>
            </w:r>
          </w:p>
        </w:tc>
        <w:tc>
          <w:tcPr>
            <w:tcW w:w="1402"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A02091107</w:t>
            </w:r>
          </w:p>
        </w:tc>
        <w:tc>
          <w:tcPr>
            <w:tcW w:w="2070"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视频监控设备</w:t>
            </w:r>
          </w:p>
        </w:tc>
        <w:tc>
          <w:tcPr>
            <w:tcW w:w="3261" w:type="dxa"/>
            <w:vMerge w:val="continue"/>
            <w:shd w:val="clear" w:color="auto" w:fill="FFFFFF"/>
            <w:tcMar>
              <w:top w:w="0" w:type="dxa"/>
              <w:left w:w="0" w:type="dxa"/>
              <w:bottom w:w="0" w:type="dxa"/>
              <w:right w:w="0" w:type="dxa"/>
            </w:tcMar>
            <w:vAlign w:val="center"/>
          </w:tcPr>
          <w:p>
            <w:pPr>
              <w:rPr>
                <w:rFonts w:hint="default"/>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14</w:t>
            </w:r>
          </w:p>
        </w:tc>
        <w:tc>
          <w:tcPr>
            <w:tcW w:w="1134"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A031210</w:t>
            </w:r>
          </w:p>
        </w:tc>
        <w:tc>
          <w:tcPr>
            <w:tcW w:w="1347"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饮食炊事机械</w:t>
            </w:r>
          </w:p>
        </w:tc>
        <w:tc>
          <w:tcPr>
            <w:tcW w:w="1402" w:type="dxa"/>
            <w:shd w:val="clear" w:color="auto" w:fill="FFFFFF"/>
            <w:tcMar>
              <w:top w:w="0" w:type="dxa"/>
              <w:left w:w="108" w:type="dxa"/>
              <w:bottom w:w="0" w:type="dxa"/>
              <w:right w:w="108" w:type="dxa"/>
            </w:tcMar>
            <w:vAlign w:val="center"/>
          </w:tcPr>
          <w:p>
            <w:pPr>
              <w:rPr>
                <w:rFonts w:hint="default"/>
                <w:sz w:val="24"/>
                <w:szCs w:val="24"/>
              </w:rPr>
            </w:pPr>
          </w:p>
        </w:tc>
        <w:tc>
          <w:tcPr>
            <w:tcW w:w="2070" w:type="dxa"/>
            <w:shd w:val="clear" w:color="auto" w:fill="FFFFFF"/>
            <w:tcMar>
              <w:top w:w="0" w:type="dxa"/>
              <w:left w:w="108" w:type="dxa"/>
              <w:bottom w:w="0" w:type="dxa"/>
              <w:right w:w="108" w:type="dxa"/>
            </w:tcMar>
            <w:vAlign w:val="center"/>
          </w:tcPr>
          <w:p>
            <w:pPr>
              <w:rPr>
                <w:rFonts w:hint="default"/>
                <w:sz w:val="24"/>
                <w:szCs w:val="24"/>
              </w:rPr>
            </w:pPr>
          </w:p>
        </w:tc>
        <w:tc>
          <w:tcPr>
            <w:tcW w:w="3261"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中国质量认证中心</w:t>
            </w:r>
          </w:p>
          <w:p>
            <w:pPr>
              <w:rPr>
                <w:rFonts w:hint="default"/>
                <w:sz w:val="24"/>
                <w:szCs w:val="24"/>
              </w:rPr>
            </w:pPr>
            <w:r>
              <w:rPr>
                <w:rFonts w:hint="default"/>
                <w:sz w:val="24"/>
                <w:szCs w:val="24"/>
              </w:rPr>
              <w:t>北京鉴衡认证中心</w:t>
            </w:r>
          </w:p>
          <w:p>
            <w:pPr>
              <w:rPr>
                <w:rFonts w:hint="default"/>
                <w:sz w:val="24"/>
                <w:szCs w:val="24"/>
              </w:rPr>
            </w:pPr>
            <w:r>
              <w:rPr>
                <w:rFonts w:hint="default"/>
                <w:sz w:val="24"/>
                <w:szCs w:val="24"/>
              </w:rPr>
              <w:t>中国市政工程华北设计研究总院有限公司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15</w:t>
            </w:r>
          </w:p>
        </w:tc>
        <w:tc>
          <w:tcPr>
            <w:tcW w:w="1134"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A060805</w:t>
            </w:r>
          </w:p>
        </w:tc>
        <w:tc>
          <w:tcPr>
            <w:tcW w:w="1347"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便器</w:t>
            </w:r>
          </w:p>
        </w:tc>
        <w:tc>
          <w:tcPr>
            <w:tcW w:w="1402" w:type="dxa"/>
            <w:shd w:val="clear" w:color="auto" w:fill="FFFFFF"/>
            <w:tcMar>
              <w:top w:w="0" w:type="dxa"/>
              <w:left w:w="108" w:type="dxa"/>
              <w:bottom w:w="0" w:type="dxa"/>
              <w:right w:w="108" w:type="dxa"/>
            </w:tcMar>
            <w:vAlign w:val="center"/>
          </w:tcPr>
          <w:p>
            <w:pPr>
              <w:rPr>
                <w:rFonts w:hint="default"/>
                <w:sz w:val="24"/>
                <w:szCs w:val="24"/>
              </w:rPr>
            </w:pPr>
          </w:p>
        </w:tc>
        <w:tc>
          <w:tcPr>
            <w:tcW w:w="2070" w:type="dxa"/>
            <w:shd w:val="clear" w:color="auto" w:fill="FFFFFF"/>
            <w:tcMar>
              <w:top w:w="0" w:type="dxa"/>
              <w:left w:w="108" w:type="dxa"/>
              <w:bottom w:w="0" w:type="dxa"/>
              <w:right w:w="108" w:type="dxa"/>
            </w:tcMar>
            <w:vAlign w:val="center"/>
          </w:tcPr>
          <w:p>
            <w:pPr>
              <w:rPr>
                <w:rFonts w:hint="default"/>
                <w:sz w:val="24"/>
                <w:szCs w:val="24"/>
              </w:rPr>
            </w:pPr>
          </w:p>
        </w:tc>
        <w:tc>
          <w:tcPr>
            <w:tcW w:w="3261" w:type="dxa"/>
            <w:vMerge w:val="restart"/>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中国质量认证中心</w:t>
            </w:r>
          </w:p>
          <w:p>
            <w:pPr>
              <w:rPr>
                <w:rFonts w:hint="default"/>
                <w:sz w:val="24"/>
                <w:szCs w:val="24"/>
              </w:rPr>
            </w:pPr>
            <w:r>
              <w:rPr>
                <w:rFonts w:hint="default"/>
                <w:sz w:val="24"/>
                <w:szCs w:val="24"/>
              </w:rPr>
              <w:t>北京新华节水产品认证有限公司</w:t>
            </w:r>
          </w:p>
          <w:p>
            <w:pPr>
              <w:rPr>
                <w:rFonts w:hint="default"/>
                <w:sz w:val="24"/>
                <w:szCs w:val="24"/>
              </w:rPr>
            </w:pPr>
            <w:r>
              <w:rPr>
                <w:rFonts w:hint="default"/>
                <w:sz w:val="24"/>
                <w:szCs w:val="24"/>
              </w:rPr>
              <w:t>方圆标志认证集团有限公司</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16</w:t>
            </w:r>
          </w:p>
        </w:tc>
        <w:tc>
          <w:tcPr>
            <w:tcW w:w="1134"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A060806</w:t>
            </w:r>
          </w:p>
        </w:tc>
        <w:tc>
          <w:tcPr>
            <w:tcW w:w="1347"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水嘴</w:t>
            </w:r>
          </w:p>
        </w:tc>
        <w:tc>
          <w:tcPr>
            <w:tcW w:w="1402" w:type="dxa"/>
            <w:shd w:val="clear" w:color="auto" w:fill="FFFFFF"/>
            <w:tcMar>
              <w:top w:w="0" w:type="dxa"/>
              <w:left w:w="108" w:type="dxa"/>
              <w:bottom w:w="0" w:type="dxa"/>
              <w:right w:w="108" w:type="dxa"/>
            </w:tcMar>
            <w:vAlign w:val="center"/>
          </w:tcPr>
          <w:p>
            <w:pPr>
              <w:rPr>
                <w:rFonts w:hint="default"/>
                <w:sz w:val="24"/>
                <w:szCs w:val="24"/>
              </w:rPr>
            </w:pPr>
          </w:p>
        </w:tc>
        <w:tc>
          <w:tcPr>
            <w:tcW w:w="2070" w:type="dxa"/>
            <w:shd w:val="clear" w:color="auto" w:fill="FFFFFF"/>
            <w:tcMar>
              <w:top w:w="0" w:type="dxa"/>
              <w:left w:w="108" w:type="dxa"/>
              <w:bottom w:w="0" w:type="dxa"/>
              <w:right w:w="108" w:type="dxa"/>
            </w:tcMar>
            <w:vAlign w:val="center"/>
          </w:tcPr>
          <w:p>
            <w:pPr>
              <w:rPr>
                <w:rFonts w:hint="default"/>
                <w:sz w:val="24"/>
                <w:szCs w:val="24"/>
              </w:rPr>
            </w:pPr>
          </w:p>
        </w:tc>
        <w:tc>
          <w:tcPr>
            <w:tcW w:w="3261" w:type="dxa"/>
            <w:vMerge w:val="continue"/>
            <w:shd w:val="clear" w:color="auto" w:fill="FFFFFF"/>
            <w:tcMar>
              <w:top w:w="0" w:type="dxa"/>
              <w:left w:w="0" w:type="dxa"/>
              <w:bottom w:w="0" w:type="dxa"/>
              <w:right w:w="0" w:type="dxa"/>
            </w:tcMar>
            <w:vAlign w:val="center"/>
          </w:tcPr>
          <w:p>
            <w:pPr>
              <w:rPr>
                <w:rFonts w:hint="default"/>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17</w:t>
            </w:r>
          </w:p>
        </w:tc>
        <w:tc>
          <w:tcPr>
            <w:tcW w:w="1134"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A060807</w:t>
            </w:r>
          </w:p>
        </w:tc>
        <w:tc>
          <w:tcPr>
            <w:tcW w:w="1347"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便器冲洗阀</w:t>
            </w:r>
          </w:p>
        </w:tc>
        <w:tc>
          <w:tcPr>
            <w:tcW w:w="1402" w:type="dxa"/>
            <w:shd w:val="clear" w:color="auto" w:fill="FFFFFF"/>
            <w:tcMar>
              <w:top w:w="0" w:type="dxa"/>
              <w:left w:w="108" w:type="dxa"/>
              <w:bottom w:w="0" w:type="dxa"/>
              <w:right w:w="108" w:type="dxa"/>
            </w:tcMar>
            <w:vAlign w:val="center"/>
          </w:tcPr>
          <w:p>
            <w:pPr>
              <w:rPr>
                <w:rFonts w:hint="default"/>
                <w:sz w:val="24"/>
                <w:szCs w:val="24"/>
              </w:rPr>
            </w:pPr>
          </w:p>
        </w:tc>
        <w:tc>
          <w:tcPr>
            <w:tcW w:w="2070" w:type="dxa"/>
            <w:shd w:val="clear" w:color="auto" w:fill="FFFFFF"/>
            <w:tcMar>
              <w:top w:w="0" w:type="dxa"/>
              <w:left w:w="108" w:type="dxa"/>
              <w:bottom w:w="0" w:type="dxa"/>
              <w:right w:w="108" w:type="dxa"/>
            </w:tcMar>
            <w:vAlign w:val="center"/>
          </w:tcPr>
          <w:p>
            <w:pPr>
              <w:rPr>
                <w:rFonts w:hint="default"/>
                <w:sz w:val="24"/>
                <w:szCs w:val="24"/>
              </w:rPr>
            </w:pPr>
          </w:p>
        </w:tc>
        <w:tc>
          <w:tcPr>
            <w:tcW w:w="3261" w:type="dxa"/>
            <w:vMerge w:val="continue"/>
            <w:shd w:val="clear" w:color="auto" w:fill="FFFFFF"/>
            <w:tcMar>
              <w:top w:w="0" w:type="dxa"/>
              <w:left w:w="0" w:type="dxa"/>
              <w:bottom w:w="0" w:type="dxa"/>
              <w:right w:w="0" w:type="dxa"/>
            </w:tcMar>
            <w:vAlign w:val="center"/>
          </w:tcPr>
          <w:p>
            <w:pPr>
              <w:rPr>
                <w:rFonts w:hint="default"/>
                <w:sz w:val="24"/>
                <w:szCs w:val="24"/>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trPr>
        <w:tc>
          <w:tcPr>
            <w:tcW w:w="568"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18</w:t>
            </w:r>
          </w:p>
        </w:tc>
        <w:tc>
          <w:tcPr>
            <w:tcW w:w="1134"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A060810</w:t>
            </w:r>
          </w:p>
        </w:tc>
        <w:tc>
          <w:tcPr>
            <w:tcW w:w="1347"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淋浴器</w:t>
            </w:r>
          </w:p>
        </w:tc>
        <w:tc>
          <w:tcPr>
            <w:tcW w:w="1402" w:type="dxa"/>
            <w:shd w:val="clear" w:color="auto" w:fill="FFFFFF"/>
            <w:tcMar>
              <w:top w:w="0" w:type="dxa"/>
              <w:left w:w="108" w:type="dxa"/>
              <w:bottom w:w="0" w:type="dxa"/>
              <w:right w:w="108" w:type="dxa"/>
            </w:tcMar>
            <w:vAlign w:val="center"/>
          </w:tcPr>
          <w:p>
            <w:pPr>
              <w:rPr>
                <w:rFonts w:hint="default"/>
                <w:sz w:val="24"/>
                <w:szCs w:val="24"/>
              </w:rPr>
            </w:pPr>
          </w:p>
        </w:tc>
        <w:tc>
          <w:tcPr>
            <w:tcW w:w="2070" w:type="dxa"/>
            <w:shd w:val="clear" w:color="auto" w:fill="FFFFFF"/>
            <w:tcMar>
              <w:top w:w="0" w:type="dxa"/>
              <w:left w:w="108" w:type="dxa"/>
              <w:bottom w:w="0" w:type="dxa"/>
              <w:right w:w="108" w:type="dxa"/>
            </w:tcMar>
            <w:vAlign w:val="center"/>
          </w:tcPr>
          <w:p>
            <w:pPr>
              <w:rPr>
                <w:rFonts w:hint="default"/>
                <w:sz w:val="24"/>
                <w:szCs w:val="24"/>
              </w:rPr>
            </w:pPr>
          </w:p>
        </w:tc>
        <w:tc>
          <w:tcPr>
            <w:tcW w:w="3261" w:type="dxa"/>
            <w:vMerge w:val="continue"/>
            <w:shd w:val="clear" w:color="auto" w:fill="FFFFFF"/>
            <w:tcMar>
              <w:top w:w="0" w:type="dxa"/>
              <w:left w:w="0" w:type="dxa"/>
              <w:bottom w:w="0" w:type="dxa"/>
              <w:right w:w="0" w:type="dxa"/>
            </w:tcMar>
            <w:vAlign w:val="center"/>
          </w:tcPr>
          <w:p>
            <w:pPr>
              <w:rPr>
                <w:rFonts w:hint="default"/>
                <w:sz w:val="24"/>
                <w:szCs w:val="24"/>
              </w:rPr>
            </w:pPr>
          </w:p>
        </w:tc>
      </w:tr>
    </w:tbl>
    <w:p>
      <w:pPr>
        <w:keepNext/>
        <w:widowControl/>
        <w:ind w:firstLine="480"/>
        <w:rPr>
          <w:rFonts w:hint="default"/>
        </w:rPr>
      </w:pPr>
      <w:r>
        <w:t>附2：参与实施政府采购环境标志产品认证机构名录</w:t>
      </w:r>
    </w:p>
    <w:tbl>
      <w:tblPr>
        <w:tblStyle w:val="41"/>
        <w:tblW w:w="0" w:type="auto"/>
        <w:tblInd w:w="0" w:type="dxa"/>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Layout w:type="fixed"/>
        <w:tblCellMar>
          <w:top w:w="27" w:type="dxa"/>
          <w:left w:w="27" w:type="dxa"/>
          <w:bottom w:w="27" w:type="dxa"/>
          <w:right w:w="27" w:type="dxa"/>
        </w:tblCellMar>
      </w:tblPr>
      <w:tblGrid>
        <w:gridCol w:w="851"/>
        <w:gridCol w:w="2288"/>
        <w:gridCol w:w="6643"/>
      </w:tblGrid>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tblHeader/>
        </w:trPr>
        <w:tc>
          <w:tcPr>
            <w:tcW w:w="851" w:type="dxa"/>
            <w:shd w:val="clear" w:color="auto" w:fill="FDE9D9"/>
            <w:tcMar>
              <w:top w:w="0" w:type="dxa"/>
              <w:left w:w="108" w:type="dxa"/>
              <w:bottom w:w="0" w:type="dxa"/>
              <w:right w:w="108" w:type="dxa"/>
            </w:tcMar>
            <w:vAlign w:val="center"/>
          </w:tcPr>
          <w:p>
            <w:pPr>
              <w:rPr>
                <w:rFonts w:hint="default"/>
                <w:sz w:val="24"/>
                <w:szCs w:val="24"/>
              </w:rPr>
            </w:pPr>
            <w:r>
              <w:rPr>
                <w:rFonts w:hint="default"/>
                <w:sz w:val="24"/>
                <w:szCs w:val="24"/>
              </w:rPr>
              <w:t>序号</w:t>
            </w:r>
          </w:p>
        </w:tc>
        <w:tc>
          <w:tcPr>
            <w:tcW w:w="2288" w:type="dxa"/>
            <w:shd w:val="clear" w:color="auto" w:fill="FDE9D9"/>
            <w:tcMar>
              <w:top w:w="0" w:type="dxa"/>
              <w:left w:w="108" w:type="dxa"/>
              <w:bottom w:w="0" w:type="dxa"/>
              <w:right w:w="108" w:type="dxa"/>
            </w:tcMar>
            <w:vAlign w:val="center"/>
          </w:tcPr>
          <w:p>
            <w:pPr>
              <w:rPr>
                <w:rFonts w:hint="default"/>
                <w:sz w:val="24"/>
                <w:szCs w:val="24"/>
              </w:rPr>
            </w:pPr>
            <w:r>
              <w:rPr>
                <w:rFonts w:hint="default"/>
                <w:sz w:val="24"/>
                <w:szCs w:val="24"/>
              </w:rPr>
              <w:t>目录</w:t>
            </w:r>
          </w:p>
        </w:tc>
        <w:tc>
          <w:tcPr>
            <w:tcW w:w="6643" w:type="dxa"/>
            <w:shd w:val="clear" w:color="auto" w:fill="FDE9D9"/>
            <w:tcMar>
              <w:top w:w="0" w:type="dxa"/>
              <w:left w:w="108" w:type="dxa"/>
              <w:bottom w:w="0" w:type="dxa"/>
              <w:right w:w="108" w:type="dxa"/>
            </w:tcMar>
            <w:vAlign w:val="center"/>
          </w:tcPr>
          <w:p>
            <w:pPr>
              <w:rPr>
                <w:rFonts w:hint="default"/>
                <w:sz w:val="24"/>
                <w:szCs w:val="24"/>
              </w:rPr>
            </w:pPr>
            <w:r>
              <w:rPr>
                <w:rFonts w:hint="default"/>
                <w:sz w:val="24"/>
                <w:szCs w:val="24"/>
              </w:rPr>
              <w:t>认证机构名录</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trPr>
        <w:tc>
          <w:tcPr>
            <w:tcW w:w="851"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1</w:t>
            </w:r>
          </w:p>
        </w:tc>
        <w:tc>
          <w:tcPr>
            <w:tcW w:w="2288"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环境标志产品</w:t>
            </w:r>
          </w:p>
        </w:tc>
        <w:tc>
          <w:tcPr>
            <w:tcW w:w="6643" w:type="dxa"/>
            <w:shd w:val="clear" w:color="auto" w:fill="FFFFFF"/>
            <w:tcMar>
              <w:top w:w="0" w:type="dxa"/>
              <w:left w:w="108" w:type="dxa"/>
              <w:bottom w:w="0" w:type="dxa"/>
              <w:right w:w="108" w:type="dxa"/>
            </w:tcMar>
            <w:vAlign w:val="center"/>
          </w:tcPr>
          <w:p>
            <w:pPr>
              <w:rPr>
                <w:rFonts w:hint="default"/>
                <w:sz w:val="24"/>
                <w:szCs w:val="24"/>
              </w:rPr>
            </w:pPr>
            <w:r>
              <w:rPr>
                <w:rFonts w:hint="default"/>
                <w:sz w:val="24"/>
                <w:szCs w:val="24"/>
              </w:rPr>
              <w:t>中环联合（北京）认证中心有限公司</w:t>
            </w:r>
          </w:p>
          <w:p>
            <w:pPr>
              <w:rPr>
                <w:rFonts w:hint="default"/>
                <w:sz w:val="24"/>
                <w:szCs w:val="24"/>
              </w:rPr>
            </w:pPr>
            <w:r>
              <w:rPr>
                <w:rFonts w:hint="default"/>
                <w:sz w:val="24"/>
                <w:szCs w:val="24"/>
              </w:rPr>
              <w:t>中标合信（北京）认证有限公司</w:t>
            </w:r>
          </w:p>
          <w:p>
            <w:pPr>
              <w:rPr>
                <w:rFonts w:hint="default"/>
                <w:sz w:val="24"/>
                <w:szCs w:val="24"/>
              </w:rPr>
            </w:pPr>
            <w:r>
              <w:rPr>
                <w:rFonts w:hint="default"/>
                <w:sz w:val="24"/>
                <w:szCs w:val="24"/>
              </w:rPr>
              <w:t>中环协（北京）认证有限公司</w:t>
            </w:r>
          </w:p>
          <w:p>
            <w:pPr>
              <w:rPr>
                <w:rFonts w:hint="default"/>
                <w:sz w:val="24"/>
                <w:szCs w:val="24"/>
              </w:rPr>
            </w:pPr>
            <w:r>
              <w:rPr>
                <w:rFonts w:hint="default"/>
                <w:sz w:val="24"/>
                <w:szCs w:val="24"/>
              </w:rPr>
              <w:t>天津华诚认证有限公司</w:t>
            </w:r>
          </w:p>
        </w:tc>
      </w:tr>
    </w:tbl>
    <w:p>
      <w:pPr>
        <w:tabs>
          <w:tab w:val="left" w:pos="720"/>
        </w:tabs>
        <w:autoSpaceDE w:val="0"/>
        <w:autoSpaceDN w:val="0"/>
        <w:snapToGrid w:val="0"/>
        <w:spacing w:line="360" w:lineRule="auto"/>
        <w:ind w:firstLine="480"/>
        <w:rPr>
          <w:rFonts w:hint="default" w:ascii="宋体" w:hAnsi="宋体" w:cs="宋体"/>
          <w:szCs w:val="21"/>
          <w:lang w:val="zh-CN"/>
        </w:rPr>
      </w:pPr>
    </w:p>
    <w:p>
      <w:pPr>
        <w:widowControl/>
        <w:spacing w:line="360" w:lineRule="auto"/>
        <w:ind w:firstLine="420" w:firstLineChars="200"/>
        <w:jc w:val="left"/>
        <w:rPr>
          <w:rFonts w:hint="default" w:ascii="仿宋" w:hAnsi="仿宋" w:eastAsia="仿宋" w:cs="仿宋"/>
          <w:kern w:val="0"/>
          <w:szCs w:val="21"/>
          <w:lang w:val="zh-CN"/>
        </w:rPr>
      </w:pPr>
    </w:p>
    <w:p>
      <w:pPr>
        <w:pStyle w:val="16"/>
        <w:ind w:firstLine="344"/>
        <w:rPr>
          <w:rFonts w:hint="default" w:ascii="Times New Roman" w:hAnsi="Times New Roman"/>
          <w:lang w:val="zh-CN"/>
        </w:rPr>
      </w:pPr>
    </w:p>
    <w:sectPr>
      <w:pgSz w:w="11906" w:h="16838"/>
      <w:pgMar w:top="1134" w:right="1247" w:bottom="1247" w:left="1304" w:header="794" w:footer="79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Microsoft YaHei UI">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ì.">
    <w:altName w:val="宋体"/>
    <w:panose1 w:val="00000000000000000000"/>
    <w:charset w:val="86"/>
    <w:family w:val="roman"/>
    <w:pitch w:val="default"/>
    <w:sig w:usb0="00000000" w:usb1="00000000" w:usb2="00000010" w:usb3="00000000" w:csb0="00040000" w:csb1="00000000"/>
  </w:font>
  <w:font w:name="Helvetica">
    <w:altName w:val="Arial"/>
    <w:panose1 w:val="020B0604020202020204"/>
    <w:charset w:val="00"/>
    <w:family w:val="swiss"/>
    <w:pitch w:val="default"/>
    <w:sig w:usb0="00000000" w:usb1="00000000" w:usb2="00000000" w:usb3="00000000" w:csb0="00000001" w:csb1="00000000"/>
  </w:font>
  <w:font w:name="??">
    <w:altName w:val="Times New Roman"/>
    <w:panose1 w:val="00000000000000000000"/>
    <w:charset w:val="00"/>
    <w:family w:val="roman"/>
    <w:pitch w:val="default"/>
    <w:sig w:usb0="00000000" w:usb1="00000000" w:usb2="00000000" w:usb3="00000000" w:csb0="00000001" w:csb1="00000000"/>
  </w:font>
  <w:font w:name="Arial Unicode MS">
    <w:panose1 w:val="020B0604020202020204"/>
    <w:charset w:val="86"/>
    <w:family w:val="swiss"/>
    <w:pitch w:val="default"/>
    <w:sig w:usb0="FFFFFFFF" w:usb1="E9FFFFFF" w:usb2="0000003F" w:usb3="00000000" w:csb0="603F01FF" w:csb1="FFFF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长城仿宋">
    <w:altName w:val="黑体"/>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ind w:right="360" w:firstLine="360"/>
      <w:rPr>
        <w:rFonts w:hint="default"/>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framePr w:wrap="around" w:vAnchor="text" w:hAnchor="margin" w:xAlign="outside" w:y="1"/>
      <w:rPr>
        <w:rStyle w:val="45"/>
        <w:rFonts w:hint="default"/>
      </w:rPr>
    </w:pPr>
    <w:r>
      <w:fldChar w:fldCharType="begin"/>
    </w:r>
    <w:r>
      <w:rPr>
        <w:rStyle w:val="45"/>
      </w:rPr>
      <w:instrText xml:space="preserve">PAGE  </w:instrText>
    </w:r>
    <w:r>
      <w:fldChar w:fldCharType="end"/>
    </w:r>
  </w:p>
  <w:p>
    <w:pPr>
      <w:pStyle w:val="24"/>
      <w:ind w:right="360" w:firstLine="360"/>
      <w:rPr>
        <w:rFonts w:hint="default"/>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rPr>
        <w:rFonts w:hint="default"/>
      </w:rPr>
    </w:pPr>
    <w:r>
      <w:rPr>
        <w:rFonts w:hint="default"/>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57785" cy="131445"/>
              <wp:effectExtent l="0" t="0" r="0" b="0"/>
              <wp:wrapNone/>
              <wp:docPr id="1305577785" name="文本框 4"/>
              <wp:cNvGraphicFramePr/>
              <a:graphic xmlns:a="http://schemas.openxmlformats.org/drawingml/2006/main">
                <a:graphicData uri="http://schemas.microsoft.com/office/word/2010/wordprocessingShape">
                  <wps:wsp>
                    <wps:cNvSpPr txBox="1"/>
                    <wps:spPr>
                      <a:xfrm>
                        <a:off x="0" y="0"/>
                        <a:ext cx="57785" cy="131445"/>
                      </a:xfrm>
                      <a:prstGeom prst="rect">
                        <a:avLst/>
                      </a:prstGeom>
                      <a:noFill/>
                      <a:ln>
                        <a:noFill/>
                      </a:ln>
                      <a:effectLst/>
                    </wps:spPr>
                    <wps:txbx>
                      <w:txbxContent>
                        <w:p>
                          <w:pPr>
                            <w:pStyle w:val="24"/>
                            <w:rPr>
                              <w:rFonts w:hint="default"/>
                            </w:rPr>
                          </w:pPr>
                          <w:r>
                            <w:rPr>
                              <w:rFonts w:hint="default"/>
                            </w:rPr>
                            <w:fldChar w:fldCharType="begin"/>
                          </w:r>
                          <w:r>
                            <w:instrText xml:space="preserve"> PAGE  \* MERGEFORMAT </w:instrText>
                          </w:r>
                          <w:r>
                            <w:rPr>
                              <w:rFonts w:hint="default"/>
                            </w:rPr>
                            <w:fldChar w:fldCharType="separate"/>
                          </w:r>
                          <w:r>
                            <w:rPr>
                              <w:rFonts w:hint="default"/>
                            </w:rPr>
                            <w:t>55</w:t>
                          </w:r>
                          <w:r>
                            <w:rPr>
                              <w:rFonts w:hint="default"/>
                            </w:rPr>
                            <w:fldChar w:fldCharType="end"/>
                          </w:r>
                        </w:p>
                      </w:txbxContent>
                    </wps:txbx>
                    <wps:bodyPr wrap="none" lIns="0" tIns="0" rIns="0" bIns="0" upright="1">
                      <a:spAutoFit/>
                    </wps:bodyPr>
                  </wps:wsp>
                </a:graphicData>
              </a:graphic>
            </wp:anchor>
          </w:drawing>
        </mc:Choice>
        <mc:Fallback>
          <w:pict>
            <v:shape id="文本框 4" o:spid="_x0000_s1026" o:spt="202" type="#_x0000_t202" style="position:absolute;left:0pt;margin-top:0pt;height:10.35pt;width:4.55pt;mso-position-horizontal:center;mso-position-horizontal-relative:margin;mso-wrap-style:none;z-index:251660288;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z4vdRNAAAAACAQAADwAAAAAAAAABACAAAAAi&#10;AAAAZHJzL2Rvd25yZXYueG1sUEsBAhQAFAAAAAgAh07iQAwx+cjZAQAArQMAAA4AAAAAAAAAAQAg&#10;AAAAHwEAAGRycy9lMm9Eb2MueG1sUEsFBgAAAAAGAAYAWQEAAGoFAAAAAA==&#10;">
              <v:fill on="f" focussize="0,0"/>
              <v:stroke on="f"/>
              <v:imagedata o:title=""/>
              <o:lock v:ext="edit" aspectratio="f"/>
              <v:textbox inset="0mm,0mm,0mm,0mm" style="mso-fit-shape-to-text:t;">
                <w:txbxContent>
                  <w:p>
                    <w:pPr>
                      <w:pStyle w:val="24"/>
                      <w:rPr>
                        <w:rFonts w:hint="default"/>
                      </w:rPr>
                    </w:pPr>
                    <w:r>
                      <w:rPr>
                        <w:rFonts w:hint="default"/>
                      </w:rPr>
                      <w:fldChar w:fldCharType="begin"/>
                    </w:r>
                    <w:r>
                      <w:instrText xml:space="preserve"> PAGE  \* MERGEFORMAT </w:instrText>
                    </w:r>
                    <w:r>
                      <w:rPr>
                        <w:rFonts w:hint="default"/>
                      </w:rPr>
                      <w:fldChar w:fldCharType="separate"/>
                    </w:r>
                    <w:r>
                      <w:rPr>
                        <w:rFonts w:hint="default"/>
                      </w:rPr>
                      <w:t>55</w:t>
                    </w:r>
                    <w:r>
                      <w:rPr>
                        <w:rFonts w:hint="default"/>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620601950"/>
    </w:sdtPr>
    <w:sdtContent>
      <w:p>
        <w:pPr>
          <w:pStyle w:val="24"/>
          <w:jc w:val="center"/>
          <w:rPr>
            <w:rFonts w:hint="default"/>
          </w:rPr>
        </w:pPr>
        <w:r>
          <w:rPr>
            <w:rFonts w:hint="default"/>
          </w:rPr>
          <w:fldChar w:fldCharType="begin"/>
        </w:r>
        <w:r>
          <w:instrText xml:space="preserve">PAGE   \* MERGEFORMAT</w:instrText>
        </w:r>
        <w:r>
          <w:rPr>
            <w:rFonts w:hint="default"/>
          </w:rPr>
          <w:fldChar w:fldCharType="separate"/>
        </w:r>
        <w:r>
          <w:rPr>
            <w:rFonts w:hint="default"/>
            <w:lang w:val="zh-CN"/>
          </w:rPr>
          <w:t>39</w:t>
        </w:r>
        <w:r>
          <w:rPr>
            <w:rFonts w:hint="default"/>
            <w:lang w:val="zh-CN"/>
          </w:rPr>
          <w:fldChar w:fldCharType="end"/>
        </w:r>
      </w:p>
    </w:sdtContent>
  </w:sdt>
  <w:p>
    <w:pPr>
      <w:pStyle w:val="24"/>
      <w:rPr>
        <w:rFonts w:hint="default"/>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ind w:right="360" w:firstLine="360"/>
      <w:rPr>
        <w:rFonts w:hint="default"/>
      </w:rPr>
    </w:pPr>
    <w:r>
      <w:rPr>
        <w:rFonts w:hint="default"/>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1922173244" name="文本框 6"/>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a:effectLst/>
                    </wps:spPr>
                    <wps:txbx>
                      <w:txbxContent>
                        <w:p>
                          <w:pPr>
                            <w:pStyle w:val="24"/>
                            <w:rPr>
                              <w:rFonts w:hint="default"/>
                            </w:rPr>
                          </w:pPr>
                          <w:r>
                            <w:rPr>
                              <w:rFonts w:hint="default"/>
                            </w:rPr>
                            <w:fldChar w:fldCharType="begin"/>
                          </w:r>
                          <w:r>
                            <w:instrText xml:space="preserve"> PAGE  \* MERGEFORMAT </w:instrText>
                          </w:r>
                          <w:r>
                            <w:rPr>
                              <w:rFonts w:hint="default"/>
                            </w:rPr>
                            <w:fldChar w:fldCharType="separate"/>
                          </w:r>
                          <w:r>
                            <w:rPr>
                              <w:rFonts w:hint="default"/>
                            </w:rPr>
                            <w:t>52</w:t>
                          </w:r>
                          <w:r>
                            <w:rPr>
                              <w:rFonts w:hint="default"/>
                            </w:rPr>
                            <w:fldChar w:fldCharType="end"/>
                          </w:r>
                        </w:p>
                      </w:txbxContent>
                    </wps:txbx>
                    <wps:bodyPr wrap="none" lIns="0" tIns="0" rIns="0" bIns="0" upright="1">
                      <a:spAutoFit/>
                    </wps:bodyPr>
                  </wps:wsp>
                </a:graphicData>
              </a:graphic>
            </wp:anchor>
          </w:drawing>
        </mc:Choice>
        <mc:Fallback>
          <w:pict>
            <v:shape id="文本框 6"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EPlfknQAAAAAwEAAA8AAAAAAAAAAQAgAAAA&#10;IgAAAGRycy9kb3ducmV2LnhtbFBLAQIUABQAAAAIAIdO4kAy1mig2gEAAK4DAAAOAAAAAAAAAAEA&#10;IAAAAB8BAABkcnMvZTJvRG9jLnhtbFBLBQYAAAAABgAGAFkBAABrBQAAAAA=&#10;">
              <v:fill on="f" focussize="0,0"/>
              <v:stroke on="f"/>
              <v:imagedata o:title=""/>
              <o:lock v:ext="edit" aspectratio="f"/>
              <v:textbox inset="0mm,0mm,0mm,0mm" style="mso-fit-shape-to-text:t;">
                <w:txbxContent>
                  <w:p>
                    <w:pPr>
                      <w:pStyle w:val="24"/>
                      <w:rPr>
                        <w:rFonts w:hint="default"/>
                      </w:rPr>
                    </w:pPr>
                    <w:r>
                      <w:rPr>
                        <w:rFonts w:hint="default"/>
                      </w:rPr>
                      <w:fldChar w:fldCharType="begin"/>
                    </w:r>
                    <w:r>
                      <w:instrText xml:space="preserve"> PAGE  \* MERGEFORMAT </w:instrText>
                    </w:r>
                    <w:r>
                      <w:rPr>
                        <w:rFonts w:hint="default"/>
                      </w:rPr>
                      <w:fldChar w:fldCharType="separate"/>
                    </w:r>
                    <w:r>
                      <w:rPr>
                        <w:rFonts w:hint="default"/>
                      </w:rPr>
                      <w:t>52</w:t>
                    </w:r>
                    <w:r>
                      <w:rPr>
                        <w:rFonts w:hint="default"/>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pPr>
        <w:pStyle w:val="28"/>
        <w:rPr>
          <w:rFonts w:hint="default"/>
        </w:rPr>
      </w:pPr>
      <w:r>
        <w:rPr>
          <w:rStyle w:val="49"/>
          <w:rFonts w:hint="eastAsia"/>
        </w:rPr>
        <w:footnoteRef/>
      </w:r>
      <w:r>
        <w:rPr>
          <w:rFonts w:hAnsi="宋体" w:cs="宋体"/>
          <w:sz w:val="21"/>
          <w:szCs w:val="21"/>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Bdr>
        <w:bottom w:val="none" w:color="auto" w:sz="0" w:space="0"/>
      </w:pBdr>
      <w:rPr>
        <w:rFonts w:hint="default" w:eastAsia="宋体"/>
        <w:szCs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Bdr>
        <w:bottom w:val="none" w:color="auto" w:sz="0" w:space="0"/>
      </w:pBdr>
      <w:rPr>
        <w:rFonts w:hint="default" w:eastAsia="宋体"/>
        <w:szCs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Bdr>
        <w:bottom w:val="none" w:color="auto" w:sz="0" w:space="0"/>
      </w:pBdr>
      <w:rPr>
        <w:rFonts w:hint="defau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57052B"/>
    <w:multiLevelType w:val="singleLevel"/>
    <w:tmpl w:val="8A57052B"/>
    <w:lvl w:ilvl="0" w:tentative="0">
      <w:start w:val="1"/>
      <w:numFmt w:val="decimal"/>
      <w:suff w:val="nothing"/>
      <w:lvlText w:val="（%1）"/>
      <w:lvlJc w:val="left"/>
    </w:lvl>
  </w:abstractNum>
  <w:abstractNum w:abstractNumId="1">
    <w:nsid w:val="F51DDDDD"/>
    <w:multiLevelType w:val="singleLevel"/>
    <w:tmpl w:val="F51DDDDD"/>
    <w:lvl w:ilvl="0" w:tentative="0">
      <w:start w:val="2"/>
      <w:numFmt w:val="chineseCounting"/>
      <w:suff w:val="nothing"/>
      <w:lvlText w:val="%1、"/>
      <w:lvlJc w:val="left"/>
      <w:rPr>
        <w:rFonts w:hint="eastAsia"/>
      </w:rPr>
    </w:lvl>
  </w:abstractNum>
  <w:abstractNum w:abstractNumId="2">
    <w:nsid w:val="FFFFFF7E"/>
    <w:multiLevelType w:val="singleLevel"/>
    <w:tmpl w:val="FFFFFF7E"/>
    <w:lvl w:ilvl="0" w:tentative="0">
      <w:start w:val="1"/>
      <w:numFmt w:val="decimal"/>
      <w:pStyle w:val="17"/>
      <w:lvlText w:val="%1."/>
      <w:lvlJc w:val="left"/>
      <w:pPr>
        <w:tabs>
          <w:tab w:val="left" w:pos="1200"/>
        </w:tabs>
        <w:ind w:left="1200" w:hanging="360"/>
      </w:pPr>
    </w:lvl>
  </w:abstractNum>
  <w:abstractNum w:abstractNumId="3">
    <w:nsid w:val="09890BCC"/>
    <w:multiLevelType w:val="multilevel"/>
    <w:tmpl w:val="09890BCC"/>
    <w:lvl w:ilvl="0" w:tentative="0">
      <w:start w:val="1"/>
      <w:numFmt w:val="decimal"/>
      <w:pStyle w:val="10"/>
      <w:lvlText w:val="%1．"/>
      <w:lvlJc w:val="left"/>
      <w:pPr>
        <w:tabs>
          <w:tab w:val="left" w:pos="900"/>
        </w:tabs>
        <w:ind w:left="900" w:hanging="720"/>
      </w:pPr>
      <w:rPr>
        <w:rFonts w:hint="eastAsia"/>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4">
    <w:nsid w:val="201E9B8E"/>
    <w:multiLevelType w:val="singleLevel"/>
    <w:tmpl w:val="201E9B8E"/>
    <w:lvl w:ilvl="0" w:tentative="0">
      <w:start w:val="6"/>
      <w:numFmt w:val="decimal"/>
      <w:lvlText w:val="%1."/>
      <w:lvlJc w:val="left"/>
      <w:pPr>
        <w:tabs>
          <w:tab w:val="left" w:pos="312"/>
        </w:tabs>
      </w:pPr>
    </w:lvl>
  </w:abstractNum>
  <w:abstractNum w:abstractNumId="5">
    <w:nsid w:val="485D6849"/>
    <w:multiLevelType w:val="singleLevel"/>
    <w:tmpl w:val="485D6849"/>
    <w:lvl w:ilvl="0" w:tentative="0">
      <w:start w:val="1"/>
      <w:numFmt w:val="decimal"/>
      <w:lvlText w:val="%1."/>
      <w:lvlJc w:val="left"/>
      <w:pPr>
        <w:ind w:left="425" w:hanging="425"/>
      </w:pPr>
      <w:rPr>
        <w:rFonts w:hint="default"/>
      </w:rPr>
    </w:lvl>
  </w:abstractNum>
  <w:num w:numId="1">
    <w:abstractNumId w:val="3"/>
  </w:num>
  <w:num w:numId="2">
    <w:abstractNumId w:val="2"/>
  </w:num>
  <w:num w:numId="3">
    <w:abstractNumId w:val="4"/>
  </w:num>
  <w:num w:numId="4">
    <w:abstractNumId w:val="0"/>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hideSpellingErrors/>
  <w:documentProtection w:enforcement="0"/>
  <w:defaultTabStop w:val="420"/>
  <w:drawingGridVerticalSpacing w:val="156"/>
  <w:noPunctuationKerning w:val="1"/>
  <w:characterSpacingControl w:val="compressPunctuation"/>
  <w:footnotePr>
    <w:footnote w:id="2"/>
    <w:footnote w:id="3"/>
  </w:foot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EzYWE2ODc4MGYzMGZjMGMyYzg4Y2QxZWNkMDViNWIifQ=="/>
  </w:docVars>
  <w:rsids>
    <w:rsidRoot w:val="00172A27"/>
    <w:rsid w:val="00000CF0"/>
    <w:rsid w:val="00017B35"/>
    <w:rsid w:val="00017E6E"/>
    <w:rsid w:val="00020C3F"/>
    <w:rsid w:val="00030AAA"/>
    <w:rsid w:val="00031C79"/>
    <w:rsid w:val="00032E83"/>
    <w:rsid w:val="00060DEA"/>
    <w:rsid w:val="00061E29"/>
    <w:rsid w:val="00071F24"/>
    <w:rsid w:val="000B62B3"/>
    <w:rsid w:val="000C0EC2"/>
    <w:rsid w:val="000C72FB"/>
    <w:rsid w:val="000D210A"/>
    <w:rsid w:val="000D6AE3"/>
    <w:rsid w:val="00121D41"/>
    <w:rsid w:val="00142382"/>
    <w:rsid w:val="001446F9"/>
    <w:rsid w:val="0017285A"/>
    <w:rsid w:val="00172A27"/>
    <w:rsid w:val="00192295"/>
    <w:rsid w:val="001B5E8C"/>
    <w:rsid w:val="001C17DF"/>
    <w:rsid w:val="001C35FB"/>
    <w:rsid w:val="001F4945"/>
    <w:rsid w:val="00232849"/>
    <w:rsid w:val="00232CF9"/>
    <w:rsid w:val="00243A00"/>
    <w:rsid w:val="00251E0A"/>
    <w:rsid w:val="00256141"/>
    <w:rsid w:val="002807D8"/>
    <w:rsid w:val="00286633"/>
    <w:rsid w:val="00297A1A"/>
    <w:rsid w:val="002A204B"/>
    <w:rsid w:val="002A6FE6"/>
    <w:rsid w:val="002C7BEE"/>
    <w:rsid w:val="002E0075"/>
    <w:rsid w:val="00335DB5"/>
    <w:rsid w:val="0033648A"/>
    <w:rsid w:val="00375761"/>
    <w:rsid w:val="00380E6E"/>
    <w:rsid w:val="003B3FC9"/>
    <w:rsid w:val="003C468C"/>
    <w:rsid w:val="003D1CF3"/>
    <w:rsid w:val="003D21B2"/>
    <w:rsid w:val="0041490F"/>
    <w:rsid w:val="00415200"/>
    <w:rsid w:val="00415B5C"/>
    <w:rsid w:val="00422DC1"/>
    <w:rsid w:val="00440A1B"/>
    <w:rsid w:val="004519A6"/>
    <w:rsid w:val="00471626"/>
    <w:rsid w:val="0047571A"/>
    <w:rsid w:val="00495ECC"/>
    <w:rsid w:val="004A4517"/>
    <w:rsid w:val="004C411A"/>
    <w:rsid w:val="004C656E"/>
    <w:rsid w:val="004F7426"/>
    <w:rsid w:val="00530EF9"/>
    <w:rsid w:val="00531B3B"/>
    <w:rsid w:val="005651FB"/>
    <w:rsid w:val="005707CA"/>
    <w:rsid w:val="00571278"/>
    <w:rsid w:val="00572852"/>
    <w:rsid w:val="00586C20"/>
    <w:rsid w:val="00610597"/>
    <w:rsid w:val="006114C7"/>
    <w:rsid w:val="0064798E"/>
    <w:rsid w:val="00652C4B"/>
    <w:rsid w:val="00653455"/>
    <w:rsid w:val="00676462"/>
    <w:rsid w:val="006A45A9"/>
    <w:rsid w:val="006B27A7"/>
    <w:rsid w:val="006D7E3F"/>
    <w:rsid w:val="007430B5"/>
    <w:rsid w:val="00756585"/>
    <w:rsid w:val="00761942"/>
    <w:rsid w:val="00770788"/>
    <w:rsid w:val="00790FEB"/>
    <w:rsid w:val="0079626C"/>
    <w:rsid w:val="007F6221"/>
    <w:rsid w:val="008027C9"/>
    <w:rsid w:val="00891ABD"/>
    <w:rsid w:val="008A62F7"/>
    <w:rsid w:val="008B759E"/>
    <w:rsid w:val="008C1780"/>
    <w:rsid w:val="008C4085"/>
    <w:rsid w:val="008C5361"/>
    <w:rsid w:val="008D6B0E"/>
    <w:rsid w:val="008E47F1"/>
    <w:rsid w:val="008F6345"/>
    <w:rsid w:val="00926683"/>
    <w:rsid w:val="009739BD"/>
    <w:rsid w:val="00975CEF"/>
    <w:rsid w:val="009827A5"/>
    <w:rsid w:val="009B3F30"/>
    <w:rsid w:val="009D4D5F"/>
    <w:rsid w:val="00A014D3"/>
    <w:rsid w:val="00A1237F"/>
    <w:rsid w:val="00A33A81"/>
    <w:rsid w:val="00A7188D"/>
    <w:rsid w:val="00A7667C"/>
    <w:rsid w:val="00AC37DB"/>
    <w:rsid w:val="00AD3841"/>
    <w:rsid w:val="00AF5C27"/>
    <w:rsid w:val="00B26591"/>
    <w:rsid w:val="00B734E3"/>
    <w:rsid w:val="00B816D9"/>
    <w:rsid w:val="00B913F4"/>
    <w:rsid w:val="00BA3633"/>
    <w:rsid w:val="00BD1FC0"/>
    <w:rsid w:val="00BF4B49"/>
    <w:rsid w:val="00BF7ADA"/>
    <w:rsid w:val="00C816CF"/>
    <w:rsid w:val="00C96AB7"/>
    <w:rsid w:val="00CA3AF8"/>
    <w:rsid w:val="00CA54A7"/>
    <w:rsid w:val="00CB7244"/>
    <w:rsid w:val="00CC3DBA"/>
    <w:rsid w:val="00CD7F20"/>
    <w:rsid w:val="00CF0661"/>
    <w:rsid w:val="00D34D64"/>
    <w:rsid w:val="00D34E7B"/>
    <w:rsid w:val="00D56B3F"/>
    <w:rsid w:val="00D6297D"/>
    <w:rsid w:val="00D762BB"/>
    <w:rsid w:val="00D966AA"/>
    <w:rsid w:val="00DA61EB"/>
    <w:rsid w:val="00DA77A8"/>
    <w:rsid w:val="00DF7934"/>
    <w:rsid w:val="00E00CB5"/>
    <w:rsid w:val="00E14D13"/>
    <w:rsid w:val="00E1659E"/>
    <w:rsid w:val="00E2278E"/>
    <w:rsid w:val="00E448E4"/>
    <w:rsid w:val="00E45D69"/>
    <w:rsid w:val="00E618D1"/>
    <w:rsid w:val="00E8339F"/>
    <w:rsid w:val="00EA7EAD"/>
    <w:rsid w:val="00F145D8"/>
    <w:rsid w:val="00F536FD"/>
    <w:rsid w:val="00F54C11"/>
    <w:rsid w:val="00F92468"/>
    <w:rsid w:val="00FB32E6"/>
    <w:rsid w:val="00FC4FEE"/>
    <w:rsid w:val="010A29DC"/>
    <w:rsid w:val="011C44BE"/>
    <w:rsid w:val="01402D08"/>
    <w:rsid w:val="0141732B"/>
    <w:rsid w:val="01633E9B"/>
    <w:rsid w:val="01695955"/>
    <w:rsid w:val="017A1732"/>
    <w:rsid w:val="01837CD8"/>
    <w:rsid w:val="0187402D"/>
    <w:rsid w:val="018F4C90"/>
    <w:rsid w:val="01901FC8"/>
    <w:rsid w:val="01B12E58"/>
    <w:rsid w:val="01B82438"/>
    <w:rsid w:val="01BF64E7"/>
    <w:rsid w:val="01CA07D3"/>
    <w:rsid w:val="01D51CCD"/>
    <w:rsid w:val="02305555"/>
    <w:rsid w:val="023139F3"/>
    <w:rsid w:val="02385327"/>
    <w:rsid w:val="023D5146"/>
    <w:rsid w:val="0273668A"/>
    <w:rsid w:val="027768E1"/>
    <w:rsid w:val="02801401"/>
    <w:rsid w:val="028247F4"/>
    <w:rsid w:val="02A93B2F"/>
    <w:rsid w:val="02B20C36"/>
    <w:rsid w:val="02B26E88"/>
    <w:rsid w:val="02B53D64"/>
    <w:rsid w:val="02C62933"/>
    <w:rsid w:val="02CE17E8"/>
    <w:rsid w:val="02D0684A"/>
    <w:rsid w:val="02E451BA"/>
    <w:rsid w:val="02EB1C21"/>
    <w:rsid w:val="03047D0A"/>
    <w:rsid w:val="03064E9C"/>
    <w:rsid w:val="030B47EA"/>
    <w:rsid w:val="03103BAE"/>
    <w:rsid w:val="035E6D97"/>
    <w:rsid w:val="03631C6C"/>
    <w:rsid w:val="0363562F"/>
    <w:rsid w:val="036A549B"/>
    <w:rsid w:val="039D6F65"/>
    <w:rsid w:val="03A76077"/>
    <w:rsid w:val="03AF13CC"/>
    <w:rsid w:val="03D25B2B"/>
    <w:rsid w:val="03FE4564"/>
    <w:rsid w:val="04006E1F"/>
    <w:rsid w:val="04056117"/>
    <w:rsid w:val="0442566A"/>
    <w:rsid w:val="046046C1"/>
    <w:rsid w:val="04852E26"/>
    <w:rsid w:val="049E4E62"/>
    <w:rsid w:val="04B11B52"/>
    <w:rsid w:val="04C510B5"/>
    <w:rsid w:val="04D550AF"/>
    <w:rsid w:val="04D8694E"/>
    <w:rsid w:val="04F512AE"/>
    <w:rsid w:val="04F66779"/>
    <w:rsid w:val="04FC007E"/>
    <w:rsid w:val="05252C5E"/>
    <w:rsid w:val="05355B4E"/>
    <w:rsid w:val="053C512E"/>
    <w:rsid w:val="054951E7"/>
    <w:rsid w:val="0550096B"/>
    <w:rsid w:val="05526CCF"/>
    <w:rsid w:val="056703FD"/>
    <w:rsid w:val="057448C8"/>
    <w:rsid w:val="057F32BF"/>
    <w:rsid w:val="058D756E"/>
    <w:rsid w:val="05C018BB"/>
    <w:rsid w:val="05D84E57"/>
    <w:rsid w:val="05EE64A2"/>
    <w:rsid w:val="06314A49"/>
    <w:rsid w:val="063B53E6"/>
    <w:rsid w:val="064A5629"/>
    <w:rsid w:val="065164BA"/>
    <w:rsid w:val="06826D92"/>
    <w:rsid w:val="06B26EBB"/>
    <w:rsid w:val="06BA630B"/>
    <w:rsid w:val="070677A2"/>
    <w:rsid w:val="070D0B30"/>
    <w:rsid w:val="0717488F"/>
    <w:rsid w:val="071A5B9D"/>
    <w:rsid w:val="071C5B60"/>
    <w:rsid w:val="071F1AD0"/>
    <w:rsid w:val="0725607B"/>
    <w:rsid w:val="072F4F4B"/>
    <w:rsid w:val="073B57B2"/>
    <w:rsid w:val="077B7A4A"/>
    <w:rsid w:val="0781507A"/>
    <w:rsid w:val="07E15B19"/>
    <w:rsid w:val="07FB4C26"/>
    <w:rsid w:val="081C55C3"/>
    <w:rsid w:val="08273E74"/>
    <w:rsid w:val="082A1FB5"/>
    <w:rsid w:val="084550F1"/>
    <w:rsid w:val="08617538"/>
    <w:rsid w:val="086C1887"/>
    <w:rsid w:val="08780AB9"/>
    <w:rsid w:val="089F7EAE"/>
    <w:rsid w:val="08B576D2"/>
    <w:rsid w:val="08C9485C"/>
    <w:rsid w:val="08DB1294"/>
    <w:rsid w:val="08F73242"/>
    <w:rsid w:val="090E224B"/>
    <w:rsid w:val="091F4B4B"/>
    <w:rsid w:val="095347F5"/>
    <w:rsid w:val="095C7DBD"/>
    <w:rsid w:val="09684744"/>
    <w:rsid w:val="0969226A"/>
    <w:rsid w:val="097A4477"/>
    <w:rsid w:val="09B434E5"/>
    <w:rsid w:val="0A0B49FE"/>
    <w:rsid w:val="0A12645E"/>
    <w:rsid w:val="0A2148F3"/>
    <w:rsid w:val="0A372641"/>
    <w:rsid w:val="0A430D0D"/>
    <w:rsid w:val="0A482D24"/>
    <w:rsid w:val="0A56459C"/>
    <w:rsid w:val="0A592D6E"/>
    <w:rsid w:val="0A641FD4"/>
    <w:rsid w:val="0A876E4C"/>
    <w:rsid w:val="0A90542F"/>
    <w:rsid w:val="0AA73327"/>
    <w:rsid w:val="0AAE316A"/>
    <w:rsid w:val="0AE778EA"/>
    <w:rsid w:val="0B006553"/>
    <w:rsid w:val="0B0C7351"/>
    <w:rsid w:val="0B340293"/>
    <w:rsid w:val="0B3B3636"/>
    <w:rsid w:val="0B603053"/>
    <w:rsid w:val="0B726B07"/>
    <w:rsid w:val="0B864AC0"/>
    <w:rsid w:val="0B8B471A"/>
    <w:rsid w:val="0BA83223"/>
    <w:rsid w:val="0BAF665A"/>
    <w:rsid w:val="0BFA6C8D"/>
    <w:rsid w:val="0C3B6140"/>
    <w:rsid w:val="0C3C77C2"/>
    <w:rsid w:val="0C504748"/>
    <w:rsid w:val="0C7B27F2"/>
    <w:rsid w:val="0CA81D50"/>
    <w:rsid w:val="0CDE03B5"/>
    <w:rsid w:val="0CE802C6"/>
    <w:rsid w:val="0CEC568C"/>
    <w:rsid w:val="0D6E60A1"/>
    <w:rsid w:val="0D7A67F4"/>
    <w:rsid w:val="0D7B5914"/>
    <w:rsid w:val="0D841421"/>
    <w:rsid w:val="0D8C1EA0"/>
    <w:rsid w:val="0D8F3BB6"/>
    <w:rsid w:val="0D951880"/>
    <w:rsid w:val="0D9B0DE1"/>
    <w:rsid w:val="0DA25D4B"/>
    <w:rsid w:val="0DB37F58"/>
    <w:rsid w:val="0E056A05"/>
    <w:rsid w:val="0E1F26BA"/>
    <w:rsid w:val="0E4F1AA1"/>
    <w:rsid w:val="0E517949"/>
    <w:rsid w:val="0E8D07A9"/>
    <w:rsid w:val="0EA24248"/>
    <w:rsid w:val="0EA62201"/>
    <w:rsid w:val="0ECC26B5"/>
    <w:rsid w:val="0EDC471F"/>
    <w:rsid w:val="0EF00B77"/>
    <w:rsid w:val="0F694D72"/>
    <w:rsid w:val="0F737149"/>
    <w:rsid w:val="0F7C6E4E"/>
    <w:rsid w:val="0F7F287D"/>
    <w:rsid w:val="0F8256FA"/>
    <w:rsid w:val="0FA111A8"/>
    <w:rsid w:val="0FA87946"/>
    <w:rsid w:val="0FBA1C6F"/>
    <w:rsid w:val="0FED1786"/>
    <w:rsid w:val="10294501"/>
    <w:rsid w:val="1030763E"/>
    <w:rsid w:val="10321608"/>
    <w:rsid w:val="103C29BD"/>
    <w:rsid w:val="1052010F"/>
    <w:rsid w:val="10855BDB"/>
    <w:rsid w:val="10945E1E"/>
    <w:rsid w:val="10BD35C7"/>
    <w:rsid w:val="10E24DDC"/>
    <w:rsid w:val="10FD1C16"/>
    <w:rsid w:val="110805BA"/>
    <w:rsid w:val="11250D18"/>
    <w:rsid w:val="11345FF6"/>
    <w:rsid w:val="1154735C"/>
    <w:rsid w:val="115701E6"/>
    <w:rsid w:val="115E652A"/>
    <w:rsid w:val="117B75CD"/>
    <w:rsid w:val="11B52E1D"/>
    <w:rsid w:val="11B5429E"/>
    <w:rsid w:val="11C849EC"/>
    <w:rsid w:val="11CD7E8E"/>
    <w:rsid w:val="11DF131B"/>
    <w:rsid w:val="11EC3A38"/>
    <w:rsid w:val="121E62E8"/>
    <w:rsid w:val="123C676E"/>
    <w:rsid w:val="125E66E4"/>
    <w:rsid w:val="126E0DF3"/>
    <w:rsid w:val="12850115"/>
    <w:rsid w:val="1289304B"/>
    <w:rsid w:val="129C545E"/>
    <w:rsid w:val="12AD31C8"/>
    <w:rsid w:val="12C02EFB"/>
    <w:rsid w:val="12F26E2C"/>
    <w:rsid w:val="12F40DF6"/>
    <w:rsid w:val="12FA4174"/>
    <w:rsid w:val="130D3C66"/>
    <w:rsid w:val="132D6C5C"/>
    <w:rsid w:val="13312989"/>
    <w:rsid w:val="134578A4"/>
    <w:rsid w:val="134A6C68"/>
    <w:rsid w:val="135039D7"/>
    <w:rsid w:val="13566C00"/>
    <w:rsid w:val="13BC25A6"/>
    <w:rsid w:val="13D21C0B"/>
    <w:rsid w:val="13DB3D64"/>
    <w:rsid w:val="14004427"/>
    <w:rsid w:val="140B63F8"/>
    <w:rsid w:val="140E7C96"/>
    <w:rsid w:val="141F6347"/>
    <w:rsid w:val="143F60A1"/>
    <w:rsid w:val="146167AA"/>
    <w:rsid w:val="14643D5A"/>
    <w:rsid w:val="146855F8"/>
    <w:rsid w:val="147D47CB"/>
    <w:rsid w:val="147E4E1C"/>
    <w:rsid w:val="14A979BF"/>
    <w:rsid w:val="14D9299B"/>
    <w:rsid w:val="14EF7AC7"/>
    <w:rsid w:val="150E796B"/>
    <w:rsid w:val="1519603C"/>
    <w:rsid w:val="15205ED3"/>
    <w:rsid w:val="152754B3"/>
    <w:rsid w:val="152A0AFF"/>
    <w:rsid w:val="15543DCE"/>
    <w:rsid w:val="15784C1B"/>
    <w:rsid w:val="159D60C5"/>
    <w:rsid w:val="15C4574E"/>
    <w:rsid w:val="15DE2DF5"/>
    <w:rsid w:val="15EC6D0A"/>
    <w:rsid w:val="15FF1F8C"/>
    <w:rsid w:val="160532E6"/>
    <w:rsid w:val="162714E3"/>
    <w:rsid w:val="163A2FC4"/>
    <w:rsid w:val="163D2AB4"/>
    <w:rsid w:val="16762816"/>
    <w:rsid w:val="16836F24"/>
    <w:rsid w:val="168F2A1B"/>
    <w:rsid w:val="16AF6C42"/>
    <w:rsid w:val="16C64858"/>
    <w:rsid w:val="16DC051F"/>
    <w:rsid w:val="1703785A"/>
    <w:rsid w:val="173E4D36"/>
    <w:rsid w:val="1776627E"/>
    <w:rsid w:val="17964BA4"/>
    <w:rsid w:val="17A0779F"/>
    <w:rsid w:val="17B91C41"/>
    <w:rsid w:val="17BB6C04"/>
    <w:rsid w:val="17D17958"/>
    <w:rsid w:val="18115297"/>
    <w:rsid w:val="18280199"/>
    <w:rsid w:val="183D3240"/>
    <w:rsid w:val="1852388C"/>
    <w:rsid w:val="185D743E"/>
    <w:rsid w:val="18626802"/>
    <w:rsid w:val="18C740C2"/>
    <w:rsid w:val="18CA357C"/>
    <w:rsid w:val="190A3122"/>
    <w:rsid w:val="190C006F"/>
    <w:rsid w:val="19126797"/>
    <w:rsid w:val="193C65EA"/>
    <w:rsid w:val="195931FC"/>
    <w:rsid w:val="1981715C"/>
    <w:rsid w:val="19B732B7"/>
    <w:rsid w:val="19BD63E6"/>
    <w:rsid w:val="19C3097F"/>
    <w:rsid w:val="19D5003B"/>
    <w:rsid w:val="19FA5A54"/>
    <w:rsid w:val="19FB4FF9"/>
    <w:rsid w:val="19FC0EA3"/>
    <w:rsid w:val="1A044015"/>
    <w:rsid w:val="1A363BA1"/>
    <w:rsid w:val="1A526FE4"/>
    <w:rsid w:val="1A554870"/>
    <w:rsid w:val="1A600746"/>
    <w:rsid w:val="1A60753E"/>
    <w:rsid w:val="1A933BF8"/>
    <w:rsid w:val="1ABE5D04"/>
    <w:rsid w:val="1AFD4F2D"/>
    <w:rsid w:val="1B000A4D"/>
    <w:rsid w:val="1B3C333B"/>
    <w:rsid w:val="1B486183"/>
    <w:rsid w:val="1B5E7A18"/>
    <w:rsid w:val="1B601107"/>
    <w:rsid w:val="1B7725C5"/>
    <w:rsid w:val="1BB15657"/>
    <w:rsid w:val="1BBB515F"/>
    <w:rsid w:val="1BC11A92"/>
    <w:rsid w:val="1BC81072"/>
    <w:rsid w:val="1BD417C5"/>
    <w:rsid w:val="1BD712B5"/>
    <w:rsid w:val="1C05309F"/>
    <w:rsid w:val="1C112A19"/>
    <w:rsid w:val="1C352AF7"/>
    <w:rsid w:val="1C56667E"/>
    <w:rsid w:val="1C601445"/>
    <w:rsid w:val="1C6C7C35"/>
    <w:rsid w:val="1C980A44"/>
    <w:rsid w:val="1CA6062E"/>
    <w:rsid w:val="1CB77386"/>
    <w:rsid w:val="1CC21F65"/>
    <w:rsid w:val="1CDD28FB"/>
    <w:rsid w:val="1D225E65"/>
    <w:rsid w:val="1D305121"/>
    <w:rsid w:val="1D392227"/>
    <w:rsid w:val="1D522301"/>
    <w:rsid w:val="1D5801D4"/>
    <w:rsid w:val="1D5E41C9"/>
    <w:rsid w:val="1D655CA4"/>
    <w:rsid w:val="1D6E79F7"/>
    <w:rsid w:val="1D790876"/>
    <w:rsid w:val="1D7E7C3A"/>
    <w:rsid w:val="1DFD5239"/>
    <w:rsid w:val="1DFE18A8"/>
    <w:rsid w:val="1E01086B"/>
    <w:rsid w:val="1E0A7BA4"/>
    <w:rsid w:val="1E107C7E"/>
    <w:rsid w:val="1E2C7696"/>
    <w:rsid w:val="1E4D73D9"/>
    <w:rsid w:val="1E85149C"/>
    <w:rsid w:val="1E8829F7"/>
    <w:rsid w:val="1E9E60BA"/>
    <w:rsid w:val="1EE2069D"/>
    <w:rsid w:val="1EEC1EBD"/>
    <w:rsid w:val="1F4C5B16"/>
    <w:rsid w:val="1F5307B6"/>
    <w:rsid w:val="1F530CDA"/>
    <w:rsid w:val="1F6254E4"/>
    <w:rsid w:val="1F6B68E4"/>
    <w:rsid w:val="1F7237CF"/>
    <w:rsid w:val="1F7532BF"/>
    <w:rsid w:val="1F7C289F"/>
    <w:rsid w:val="1F9D6372"/>
    <w:rsid w:val="1FCC0CA0"/>
    <w:rsid w:val="20085EE1"/>
    <w:rsid w:val="201137B3"/>
    <w:rsid w:val="201326D4"/>
    <w:rsid w:val="204F1D62"/>
    <w:rsid w:val="206A6B9C"/>
    <w:rsid w:val="20D54C81"/>
    <w:rsid w:val="20DA787E"/>
    <w:rsid w:val="20E424AA"/>
    <w:rsid w:val="20F12E19"/>
    <w:rsid w:val="210439D2"/>
    <w:rsid w:val="21127DD7"/>
    <w:rsid w:val="211B7041"/>
    <w:rsid w:val="213347C0"/>
    <w:rsid w:val="213A5DCC"/>
    <w:rsid w:val="213C5BD7"/>
    <w:rsid w:val="213D0D46"/>
    <w:rsid w:val="215C0A16"/>
    <w:rsid w:val="21604622"/>
    <w:rsid w:val="21657114"/>
    <w:rsid w:val="21707EAF"/>
    <w:rsid w:val="21914242"/>
    <w:rsid w:val="21BA6626"/>
    <w:rsid w:val="21DD6DE7"/>
    <w:rsid w:val="21E40288"/>
    <w:rsid w:val="21F26E49"/>
    <w:rsid w:val="22015A34"/>
    <w:rsid w:val="223E3E3C"/>
    <w:rsid w:val="22456F79"/>
    <w:rsid w:val="22541CC2"/>
    <w:rsid w:val="22612CC2"/>
    <w:rsid w:val="226640C8"/>
    <w:rsid w:val="227C6FEA"/>
    <w:rsid w:val="228B669A"/>
    <w:rsid w:val="22BB548D"/>
    <w:rsid w:val="22C72083"/>
    <w:rsid w:val="23046E34"/>
    <w:rsid w:val="23272B22"/>
    <w:rsid w:val="232B0864"/>
    <w:rsid w:val="23377209"/>
    <w:rsid w:val="2338088B"/>
    <w:rsid w:val="236553F8"/>
    <w:rsid w:val="23742F66"/>
    <w:rsid w:val="23750B7B"/>
    <w:rsid w:val="23755BE2"/>
    <w:rsid w:val="23775858"/>
    <w:rsid w:val="23A423C5"/>
    <w:rsid w:val="23E168A8"/>
    <w:rsid w:val="24060D92"/>
    <w:rsid w:val="243C436C"/>
    <w:rsid w:val="245B0CD5"/>
    <w:rsid w:val="246A0F18"/>
    <w:rsid w:val="247F0237"/>
    <w:rsid w:val="249B0850"/>
    <w:rsid w:val="24A94DE7"/>
    <w:rsid w:val="2512195F"/>
    <w:rsid w:val="25325BEA"/>
    <w:rsid w:val="255B6AB3"/>
    <w:rsid w:val="257D00DA"/>
    <w:rsid w:val="258403C0"/>
    <w:rsid w:val="25A33D1C"/>
    <w:rsid w:val="25AC730F"/>
    <w:rsid w:val="25DE062A"/>
    <w:rsid w:val="25FC764B"/>
    <w:rsid w:val="25FF2BAC"/>
    <w:rsid w:val="260C2968"/>
    <w:rsid w:val="262F5318"/>
    <w:rsid w:val="26394FB6"/>
    <w:rsid w:val="267111C5"/>
    <w:rsid w:val="267F74F6"/>
    <w:rsid w:val="26AC17FC"/>
    <w:rsid w:val="26D87BBC"/>
    <w:rsid w:val="26D97E39"/>
    <w:rsid w:val="26DD00C8"/>
    <w:rsid w:val="26E256DE"/>
    <w:rsid w:val="26F23B36"/>
    <w:rsid w:val="271D04C4"/>
    <w:rsid w:val="27436541"/>
    <w:rsid w:val="27441EF5"/>
    <w:rsid w:val="276318B8"/>
    <w:rsid w:val="276F74CA"/>
    <w:rsid w:val="277771ED"/>
    <w:rsid w:val="279938C3"/>
    <w:rsid w:val="27C06CFE"/>
    <w:rsid w:val="27C2753A"/>
    <w:rsid w:val="27CC3C98"/>
    <w:rsid w:val="28096C9A"/>
    <w:rsid w:val="280D678A"/>
    <w:rsid w:val="281E2746"/>
    <w:rsid w:val="286C3BF6"/>
    <w:rsid w:val="28940C5A"/>
    <w:rsid w:val="28967235"/>
    <w:rsid w:val="28BD07B9"/>
    <w:rsid w:val="28C055AB"/>
    <w:rsid w:val="28CD611F"/>
    <w:rsid w:val="28DB1694"/>
    <w:rsid w:val="28EA13DF"/>
    <w:rsid w:val="292D0389"/>
    <w:rsid w:val="296B1A60"/>
    <w:rsid w:val="29ED5768"/>
    <w:rsid w:val="29F0566A"/>
    <w:rsid w:val="2A1C3834"/>
    <w:rsid w:val="2A202E97"/>
    <w:rsid w:val="2A6015BE"/>
    <w:rsid w:val="2A7C2A0C"/>
    <w:rsid w:val="2A834AE2"/>
    <w:rsid w:val="2A940956"/>
    <w:rsid w:val="2A9C5BA4"/>
    <w:rsid w:val="2AA81143"/>
    <w:rsid w:val="2ABA14D8"/>
    <w:rsid w:val="2ACA2D88"/>
    <w:rsid w:val="2ACC14D5"/>
    <w:rsid w:val="2AD270C2"/>
    <w:rsid w:val="2AEC60AB"/>
    <w:rsid w:val="2AEE24AC"/>
    <w:rsid w:val="2AF7488D"/>
    <w:rsid w:val="2B4F6426"/>
    <w:rsid w:val="2B4F7378"/>
    <w:rsid w:val="2B595843"/>
    <w:rsid w:val="2B8562FE"/>
    <w:rsid w:val="2B8B0AD7"/>
    <w:rsid w:val="2B944ACD"/>
    <w:rsid w:val="2BA93F88"/>
    <w:rsid w:val="2BAD603D"/>
    <w:rsid w:val="2BD8582F"/>
    <w:rsid w:val="2BE55328"/>
    <w:rsid w:val="2C110D10"/>
    <w:rsid w:val="2C1711F7"/>
    <w:rsid w:val="2C1F083A"/>
    <w:rsid w:val="2C2E6CCF"/>
    <w:rsid w:val="2C4118B1"/>
    <w:rsid w:val="2C463402"/>
    <w:rsid w:val="2C5524AE"/>
    <w:rsid w:val="2C6426F1"/>
    <w:rsid w:val="2C6646BB"/>
    <w:rsid w:val="2C6D0405"/>
    <w:rsid w:val="2C6D5A4A"/>
    <w:rsid w:val="2C720C5C"/>
    <w:rsid w:val="2C731985"/>
    <w:rsid w:val="2CA62D0A"/>
    <w:rsid w:val="2CC413E2"/>
    <w:rsid w:val="2CC651A3"/>
    <w:rsid w:val="2CCB451E"/>
    <w:rsid w:val="2CD755B9"/>
    <w:rsid w:val="2D045C82"/>
    <w:rsid w:val="2D095047"/>
    <w:rsid w:val="2D0D1EDF"/>
    <w:rsid w:val="2D12039F"/>
    <w:rsid w:val="2D156581"/>
    <w:rsid w:val="2D19172E"/>
    <w:rsid w:val="2D216834"/>
    <w:rsid w:val="2D237B5F"/>
    <w:rsid w:val="2D442A76"/>
    <w:rsid w:val="2D6266C8"/>
    <w:rsid w:val="2D892088"/>
    <w:rsid w:val="2DA23F5D"/>
    <w:rsid w:val="2DD13DB6"/>
    <w:rsid w:val="2DFE4282"/>
    <w:rsid w:val="2DFF0DF1"/>
    <w:rsid w:val="2E062593"/>
    <w:rsid w:val="2E19750B"/>
    <w:rsid w:val="2E350E75"/>
    <w:rsid w:val="2E410027"/>
    <w:rsid w:val="2E515D29"/>
    <w:rsid w:val="2E573752"/>
    <w:rsid w:val="2EF44200"/>
    <w:rsid w:val="2F063B68"/>
    <w:rsid w:val="2F2C5DF5"/>
    <w:rsid w:val="2F6C023B"/>
    <w:rsid w:val="2F786918"/>
    <w:rsid w:val="2F7F65C3"/>
    <w:rsid w:val="2FAA362C"/>
    <w:rsid w:val="2FBE036A"/>
    <w:rsid w:val="2FE853E7"/>
    <w:rsid w:val="300809E8"/>
    <w:rsid w:val="30085277"/>
    <w:rsid w:val="30145201"/>
    <w:rsid w:val="30176A6B"/>
    <w:rsid w:val="301B3A0F"/>
    <w:rsid w:val="302F373C"/>
    <w:rsid w:val="30396F50"/>
    <w:rsid w:val="306742E8"/>
    <w:rsid w:val="30711881"/>
    <w:rsid w:val="30731155"/>
    <w:rsid w:val="30A718B6"/>
    <w:rsid w:val="30BC0D4E"/>
    <w:rsid w:val="30C220DC"/>
    <w:rsid w:val="30C9346B"/>
    <w:rsid w:val="30CF6B01"/>
    <w:rsid w:val="30EB68FA"/>
    <w:rsid w:val="30F32296"/>
    <w:rsid w:val="30F6609D"/>
    <w:rsid w:val="31077AEF"/>
    <w:rsid w:val="312D57A8"/>
    <w:rsid w:val="31513D86"/>
    <w:rsid w:val="31556AAC"/>
    <w:rsid w:val="31561508"/>
    <w:rsid w:val="31A55C86"/>
    <w:rsid w:val="31B83C01"/>
    <w:rsid w:val="31C61758"/>
    <w:rsid w:val="31CC14EB"/>
    <w:rsid w:val="31E247B3"/>
    <w:rsid w:val="321A3377"/>
    <w:rsid w:val="323E5C15"/>
    <w:rsid w:val="32621481"/>
    <w:rsid w:val="32892EB1"/>
    <w:rsid w:val="329A6E6D"/>
    <w:rsid w:val="329D4C03"/>
    <w:rsid w:val="32A01FA9"/>
    <w:rsid w:val="32AE31AE"/>
    <w:rsid w:val="32BA306B"/>
    <w:rsid w:val="32C23C80"/>
    <w:rsid w:val="32FC50E2"/>
    <w:rsid w:val="32FE40E3"/>
    <w:rsid w:val="33031644"/>
    <w:rsid w:val="33070A96"/>
    <w:rsid w:val="332901F1"/>
    <w:rsid w:val="33423060"/>
    <w:rsid w:val="335E60EC"/>
    <w:rsid w:val="337B615B"/>
    <w:rsid w:val="337B62D2"/>
    <w:rsid w:val="33813B89"/>
    <w:rsid w:val="33833DA5"/>
    <w:rsid w:val="33A02904"/>
    <w:rsid w:val="33AD7074"/>
    <w:rsid w:val="33DB598F"/>
    <w:rsid w:val="33DD3064"/>
    <w:rsid w:val="33E759B9"/>
    <w:rsid w:val="33E94F54"/>
    <w:rsid w:val="34073F4A"/>
    <w:rsid w:val="340C5B48"/>
    <w:rsid w:val="3417200F"/>
    <w:rsid w:val="342D5594"/>
    <w:rsid w:val="34346E4D"/>
    <w:rsid w:val="34425A0E"/>
    <w:rsid w:val="34451A66"/>
    <w:rsid w:val="3457480D"/>
    <w:rsid w:val="34942ECA"/>
    <w:rsid w:val="34943D90"/>
    <w:rsid w:val="34AE0D14"/>
    <w:rsid w:val="34AE5530"/>
    <w:rsid w:val="34B241A1"/>
    <w:rsid w:val="34B8182C"/>
    <w:rsid w:val="34DC2104"/>
    <w:rsid w:val="34F0546A"/>
    <w:rsid w:val="34F15C03"/>
    <w:rsid w:val="35016C06"/>
    <w:rsid w:val="3546508A"/>
    <w:rsid w:val="354B6B44"/>
    <w:rsid w:val="355D23D3"/>
    <w:rsid w:val="35733F51"/>
    <w:rsid w:val="35956011"/>
    <w:rsid w:val="35AE03E3"/>
    <w:rsid w:val="35CA5CBB"/>
    <w:rsid w:val="35CD1307"/>
    <w:rsid w:val="35D37C6C"/>
    <w:rsid w:val="35D94150"/>
    <w:rsid w:val="35E84C86"/>
    <w:rsid w:val="35F47571"/>
    <w:rsid w:val="36080591"/>
    <w:rsid w:val="3656754F"/>
    <w:rsid w:val="36651A28"/>
    <w:rsid w:val="366C4FC4"/>
    <w:rsid w:val="366C6D72"/>
    <w:rsid w:val="368466C6"/>
    <w:rsid w:val="36933FF0"/>
    <w:rsid w:val="36A75FFC"/>
    <w:rsid w:val="36A93B22"/>
    <w:rsid w:val="36B67162"/>
    <w:rsid w:val="36D663A2"/>
    <w:rsid w:val="370A6B06"/>
    <w:rsid w:val="37224DEA"/>
    <w:rsid w:val="372E16F2"/>
    <w:rsid w:val="373044DC"/>
    <w:rsid w:val="37407D7B"/>
    <w:rsid w:val="374D013B"/>
    <w:rsid w:val="37623CD1"/>
    <w:rsid w:val="376E2676"/>
    <w:rsid w:val="377203B8"/>
    <w:rsid w:val="37AF3366"/>
    <w:rsid w:val="37AF33BA"/>
    <w:rsid w:val="37BA1509"/>
    <w:rsid w:val="37C60704"/>
    <w:rsid w:val="37C97B8C"/>
    <w:rsid w:val="37D90437"/>
    <w:rsid w:val="37E34E12"/>
    <w:rsid w:val="37F60442"/>
    <w:rsid w:val="37FA1680"/>
    <w:rsid w:val="37FA2165"/>
    <w:rsid w:val="38254583"/>
    <w:rsid w:val="3828316D"/>
    <w:rsid w:val="382C4A0B"/>
    <w:rsid w:val="382E38EF"/>
    <w:rsid w:val="383218F5"/>
    <w:rsid w:val="386E3ED6"/>
    <w:rsid w:val="386F2B4A"/>
    <w:rsid w:val="387D5266"/>
    <w:rsid w:val="38855EC9"/>
    <w:rsid w:val="388A1731"/>
    <w:rsid w:val="391022A0"/>
    <w:rsid w:val="39251FE6"/>
    <w:rsid w:val="392C0A3B"/>
    <w:rsid w:val="395F671A"/>
    <w:rsid w:val="396F22EF"/>
    <w:rsid w:val="39863D18"/>
    <w:rsid w:val="398D6900"/>
    <w:rsid w:val="39A20CFD"/>
    <w:rsid w:val="39AC2784"/>
    <w:rsid w:val="39C734EA"/>
    <w:rsid w:val="39E165D2"/>
    <w:rsid w:val="39FE3B90"/>
    <w:rsid w:val="3A273C34"/>
    <w:rsid w:val="3A43114E"/>
    <w:rsid w:val="3A4D6EBA"/>
    <w:rsid w:val="3A63561E"/>
    <w:rsid w:val="3A685AA2"/>
    <w:rsid w:val="3A887EF3"/>
    <w:rsid w:val="3A8F01F3"/>
    <w:rsid w:val="3AB74334"/>
    <w:rsid w:val="3ABF3A64"/>
    <w:rsid w:val="3AEF1127"/>
    <w:rsid w:val="3AF74E62"/>
    <w:rsid w:val="3AFE47B5"/>
    <w:rsid w:val="3B0726A2"/>
    <w:rsid w:val="3B0D21A6"/>
    <w:rsid w:val="3B2E0A9A"/>
    <w:rsid w:val="3B4E3123"/>
    <w:rsid w:val="3B5418C9"/>
    <w:rsid w:val="3B6C3AB4"/>
    <w:rsid w:val="3BB14E02"/>
    <w:rsid w:val="3BB54D17"/>
    <w:rsid w:val="3BC34F00"/>
    <w:rsid w:val="3BE839DA"/>
    <w:rsid w:val="3BF476B5"/>
    <w:rsid w:val="3C1834C3"/>
    <w:rsid w:val="3C1E0A9B"/>
    <w:rsid w:val="3C1F03E3"/>
    <w:rsid w:val="3C2A6EA9"/>
    <w:rsid w:val="3C553E04"/>
    <w:rsid w:val="3C6B6B95"/>
    <w:rsid w:val="3C7841B7"/>
    <w:rsid w:val="3CB1315A"/>
    <w:rsid w:val="3CB60B4C"/>
    <w:rsid w:val="3CDE029E"/>
    <w:rsid w:val="3CE75864"/>
    <w:rsid w:val="3D09356D"/>
    <w:rsid w:val="3D0C4E0B"/>
    <w:rsid w:val="3D113EFE"/>
    <w:rsid w:val="3D1617E6"/>
    <w:rsid w:val="3D2507D3"/>
    <w:rsid w:val="3D2F02CC"/>
    <w:rsid w:val="3D3933FB"/>
    <w:rsid w:val="3D3A1978"/>
    <w:rsid w:val="3D581605"/>
    <w:rsid w:val="3DA2751D"/>
    <w:rsid w:val="3DCB3191"/>
    <w:rsid w:val="3DD47DFE"/>
    <w:rsid w:val="3DE32B7F"/>
    <w:rsid w:val="3DF908C3"/>
    <w:rsid w:val="3DFD4754"/>
    <w:rsid w:val="3E0808AB"/>
    <w:rsid w:val="3E0A2D77"/>
    <w:rsid w:val="3E0B6E71"/>
    <w:rsid w:val="3E0F40CF"/>
    <w:rsid w:val="3E27133C"/>
    <w:rsid w:val="3E2D6A72"/>
    <w:rsid w:val="3E38578C"/>
    <w:rsid w:val="3E4B652F"/>
    <w:rsid w:val="3E9C1AC2"/>
    <w:rsid w:val="3EA177D5"/>
    <w:rsid w:val="3EAE391C"/>
    <w:rsid w:val="3ECB7146"/>
    <w:rsid w:val="3ED52C04"/>
    <w:rsid w:val="3ED57CDA"/>
    <w:rsid w:val="3ED656D0"/>
    <w:rsid w:val="3EDD5CEC"/>
    <w:rsid w:val="3F147FA7"/>
    <w:rsid w:val="3F5465F5"/>
    <w:rsid w:val="3F65130D"/>
    <w:rsid w:val="3FAE5D48"/>
    <w:rsid w:val="3FD84A93"/>
    <w:rsid w:val="3FDA11F0"/>
    <w:rsid w:val="3FDA4D4C"/>
    <w:rsid w:val="3FE156B2"/>
    <w:rsid w:val="3FFA29F4"/>
    <w:rsid w:val="401D10DD"/>
    <w:rsid w:val="402E6E46"/>
    <w:rsid w:val="404B3F01"/>
    <w:rsid w:val="40536250"/>
    <w:rsid w:val="406D5BC1"/>
    <w:rsid w:val="408103A1"/>
    <w:rsid w:val="40972C3D"/>
    <w:rsid w:val="40CD3353"/>
    <w:rsid w:val="40D32C22"/>
    <w:rsid w:val="40F4221B"/>
    <w:rsid w:val="40F7192E"/>
    <w:rsid w:val="4114024C"/>
    <w:rsid w:val="41215DA5"/>
    <w:rsid w:val="412D28A8"/>
    <w:rsid w:val="413D1A37"/>
    <w:rsid w:val="413E755D"/>
    <w:rsid w:val="415A4140"/>
    <w:rsid w:val="41627F5C"/>
    <w:rsid w:val="41854E04"/>
    <w:rsid w:val="419A57EC"/>
    <w:rsid w:val="419B4C0C"/>
    <w:rsid w:val="41A2189A"/>
    <w:rsid w:val="41CA2B9F"/>
    <w:rsid w:val="41D072D4"/>
    <w:rsid w:val="41EC2EEF"/>
    <w:rsid w:val="41FE1774"/>
    <w:rsid w:val="420C610C"/>
    <w:rsid w:val="42126564"/>
    <w:rsid w:val="42170F9D"/>
    <w:rsid w:val="422C0342"/>
    <w:rsid w:val="423B4402"/>
    <w:rsid w:val="425A6F73"/>
    <w:rsid w:val="426E79CE"/>
    <w:rsid w:val="4278084D"/>
    <w:rsid w:val="427C658F"/>
    <w:rsid w:val="42982C9D"/>
    <w:rsid w:val="42BD4FAE"/>
    <w:rsid w:val="42CC684A"/>
    <w:rsid w:val="42FE73AB"/>
    <w:rsid w:val="43144B7B"/>
    <w:rsid w:val="431765E0"/>
    <w:rsid w:val="432927CA"/>
    <w:rsid w:val="432A1CC2"/>
    <w:rsid w:val="43496898"/>
    <w:rsid w:val="434A21E9"/>
    <w:rsid w:val="437159C8"/>
    <w:rsid w:val="43B74E39"/>
    <w:rsid w:val="43B9736F"/>
    <w:rsid w:val="43D9356D"/>
    <w:rsid w:val="43E33FD1"/>
    <w:rsid w:val="43F8083E"/>
    <w:rsid w:val="43FE181E"/>
    <w:rsid w:val="441B1DD7"/>
    <w:rsid w:val="442E57E8"/>
    <w:rsid w:val="443D58AA"/>
    <w:rsid w:val="445B0B70"/>
    <w:rsid w:val="4469003D"/>
    <w:rsid w:val="446B68BB"/>
    <w:rsid w:val="447D039C"/>
    <w:rsid w:val="44C9538F"/>
    <w:rsid w:val="44EE129A"/>
    <w:rsid w:val="450F2C98"/>
    <w:rsid w:val="45116B80"/>
    <w:rsid w:val="452E56DC"/>
    <w:rsid w:val="452F6971"/>
    <w:rsid w:val="453873E8"/>
    <w:rsid w:val="4538740E"/>
    <w:rsid w:val="4540521A"/>
    <w:rsid w:val="455410FD"/>
    <w:rsid w:val="456953A7"/>
    <w:rsid w:val="45723C79"/>
    <w:rsid w:val="45941E41"/>
    <w:rsid w:val="459C3262"/>
    <w:rsid w:val="459E4A6E"/>
    <w:rsid w:val="45CB40CB"/>
    <w:rsid w:val="45D1274E"/>
    <w:rsid w:val="45EA380F"/>
    <w:rsid w:val="46102858"/>
    <w:rsid w:val="46517D32"/>
    <w:rsid w:val="465810C1"/>
    <w:rsid w:val="46674E60"/>
    <w:rsid w:val="468A6DA0"/>
    <w:rsid w:val="469263EB"/>
    <w:rsid w:val="46A61E2C"/>
    <w:rsid w:val="46BF2EEE"/>
    <w:rsid w:val="46CC4513"/>
    <w:rsid w:val="46D60513"/>
    <w:rsid w:val="46D71FE6"/>
    <w:rsid w:val="476870E2"/>
    <w:rsid w:val="47743CD8"/>
    <w:rsid w:val="477D7930"/>
    <w:rsid w:val="4780267D"/>
    <w:rsid w:val="479354E3"/>
    <w:rsid w:val="47AB5220"/>
    <w:rsid w:val="47B16CDB"/>
    <w:rsid w:val="47EE05EF"/>
    <w:rsid w:val="47FF070F"/>
    <w:rsid w:val="4819383E"/>
    <w:rsid w:val="48215AFD"/>
    <w:rsid w:val="48496AAD"/>
    <w:rsid w:val="486A5272"/>
    <w:rsid w:val="48C447EC"/>
    <w:rsid w:val="48FE3D3C"/>
    <w:rsid w:val="491036D2"/>
    <w:rsid w:val="491D5CAA"/>
    <w:rsid w:val="491F5EC6"/>
    <w:rsid w:val="49296D45"/>
    <w:rsid w:val="49477565"/>
    <w:rsid w:val="49574F2D"/>
    <w:rsid w:val="495A5150"/>
    <w:rsid w:val="49663AF5"/>
    <w:rsid w:val="497F27A4"/>
    <w:rsid w:val="49841976"/>
    <w:rsid w:val="4990049A"/>
    <w:rsid w:val="49B91DA4"/>
    <w:rsid w:val="4A0368E5"/>
    <w:rsid w:val="4A0661CA"/>
    <w:rsid w:val="4A0A4F84"/>
    <w:rsid w:val="4A1016DA"/>
    <w:rsid w:val="4A17094B"/>
    <w:rsid w:val="4A335637"/>
    <w:rsid w:val="4A3D31A8"/>
    <w:rsid w:val="4A851D59"/>
    <w:rsid w:val="4A954692"/>
    <w:rsid w:val="4AA93C99"/>
    <w:rsid w:val="4ABA0F61"/>
    <w:rsid w:val="4AC62BC0"/>
    <w:rsid w:val="4AC960E9"/>
    <w:rsid w:val="4AD41CA3"/>
    <w:rsid w:val="4AE253FD"/>
    <w:rsid w:val="4B3A0D95"/>
    <w:rsid w:val="4B3C4B0D"/>
    <w:rsid w:val="4B58121B"/>
    <w:rsid w:val="4B7A5635"/>
    <w:rsid w:val="4B9B5087"/>
    <w:rsid w:val="4B9C2307"/>
    <w:rsid w:val="4BAA2EFE"/>
    <w:rsid w:val="4BAA5D79"/>
    <w:rsid w:val="4BD04548"/>
    <w:rsid w:val="4BD54E32"/>
    <w:rsid w:val="4BED5E07"/>
    <w:rsid w:val="4C177113"/>
    <w:rsid w:val="4C2F4672"/>
    <w:rsid w:val="4C7505B3"/>
    <w:rsid w:val="4C7D0675"/>
    <w:rsid w:val="4C83051A"/>
    <w:rsid w:val="4C8F3BAE"/>
    <w:rsid w:val="4C983498"/>
    <w:rsid w:val="4CB9218D"/>
    <w:rsid w:val="4CD810E9"/>
    <w:rsid w:val="4CD8218A"/>
    <w:rsid w:val="4CEE1E91"/>
    <w:rsid w:val="4D0553D3"/>
    <w:rsid w:val="4D07739D"/>
    <w:rsid w:val="4D13140C"/>
    <w:rsid w:val="4D2649DC"/>
    <w:rsid w:val="4D2717ED"/>
    <w:rsid w:val="4D4203D5"/>
    <w:rsid w:val="4D5320B4"/>
    <w:rsid w:val="4D8D3D2C"/>
    <w:rsid w:val="4D9228D2"/>
    <w:rsid w:val="4D97427D"/>
    <w:rsid w:val="4DDE195C"/>
    <w:rsid w:val="4DF55447"/>
    <w:rsid w:val="4E0E2361"/>
    <w:rsid w:val="4E500D8C"/>
    <w:rsid w:val="4E9702AC"/>
    <w:rsid w:val="4E9C365E"/>
    <w:rsid w:val="4ECA5EC4"/>
    <w:rsid w:val="4F282E73"/>
    <w:rsid w:val="4F2C30EB"/>
    <w:rsid w:val="4F370B1A"/>
    <w:rsid w:val="4F6F4D85"/>
    <w:rsid w:val="4FD214B6"/>
    <w:rsid w:val="4FDF63AF"/>
    <w:rsid w:val="4FE87012"/>
    <w:rsid w:val="4FF97471"/>
    <w:rsid w:val="4FFF63AB"/>
    <w:rsid w:val="50120532"/>
    <w:rsid w:val="50292B19"/>
    <w:rsid w:val="503404A9"/>
    <w:rsid w:val="506A5C79"/>
    <w:rsid w:val="508A631B"/>
    <w:rsid w:val="50AC6291"/>
    <w:rsid w:val="50C25AB5"/>
    <w:rsid w:val="50DC644B"/>
    <w:rsid w:val="50E772C9"/>
    <w:rsid w:val="50E917F7"/>
    <w:rsid w:val="51361FFF"/>
    <w:rsid w:val="514B1B1C"/>
    <w:rsid w:val="518064A7"/>
    <w:rsid w:val="51B51175"/>
    <w:rsid w:val="51C92E73"/>
    <w:rsid w:val="51CA0718"/>
    <w:rsid w:val="51D82FF4"/>
    <w:rsid w:val="51DA018B"/>
    <w:rsid w:val="51E43809"/>
    <w:rsid w:val="52036385"/>
    <w:rsid w:val="52045C59"/>
    <w:rsid w:val="524D7600"/>
    <w:rsid w:val="5297014C"/>
    <w:rsid w:val="52A25A7E"/>
    <w:rsid w:val="52E43E80"/>
    <w:rsid w:val="52EA30A1"/>
    <w:rsid w:val="52EE68A0"/>
    <w:rsid w:val="533B1BB0"/>
    <w:rsid w:val="533D713F"/>
    <w:rsid w:val="53806ACF"/>
    <w:rsid w:val="538B13C1"/>
    <w:rsid w:val="53B05D4B"/>
    <w:rsid w:val="53BB6A43"/>
    <w:rsid w:val="53FA5565"/>
    <w:rsid w:val="53FB308C"/>
    <w:rsid w:val="5402441A"/>
    <w:rsid w:val="54080284"/>
    <w:rsid w:val="54170908"/>
    <w:rsid w:val="54210D44"/>
    <w:rsid w:val="543C792C"/>
    <w:rsid w:val="54413194"/>
    <w:rsid w:val="544310EC"/>
    <w:rsid w:val="544561BC"/>
    <w:rsid w:val="54492049"/>
    <w:rsid w:val="54513ED8"/>
    <w:rsid w:val="54534C76"/>
    <w:rsid w:val="545F1A35"/>
    <w:rsid w:val="54770964"/>
    <w:rsid w:val="549968E7"/>
    <w:rsid w:val="54A26E00"/>
    <w:rsid w:val="54A84643"/>
    <w:rsid w:val="54AF6350"/>
    <w:rsid w:val="54CC3338"/>
    <w:rsid w:val="54DA3B82"/>
    <w:rsid w:val="553966FB"/>
    <w:rsid w:val="55894DF3"/>
    <w:rsid w:val="55A467C8"/>
    <w:rsid w:val="55AC187C"/>
    <w:rsid w:val="55C070A6"/>
    <w:rsid w:val="55CA71B9"/>
    <w:rsid w:val="55CB540B"/>
    <w:rsid w:val="55F44040"/>
    <w:rsid w:val="55F942A7"/>
    <w:rsid w:val="55FE6657"/>
    <w:rsid w:val="560721BC"/>
    <w:rsid w:val="561F0636"/>
    <w:rsid w:val="562B40FC"/>
    <w:rsid w:val="562C4278"/>
    <w:rsid w:val="56427548"/>
    <w:rsid w:val="565901FB"/>
    <w:rsid w:val="5661676B"/>
    <w:rsid w:val="569A4DDE"/>
    <w:rsid w:val="56B063AF"/>
    <w:rsid w:val="56D55286"/>
    <w:rsid w:val="56EE1B8C"/>
    <w:rsid w:val="57467F7B"/>
    <w:rsid w:val="574865E8"/>
    <w:rsid w:val="5753390A"/>
    <w:rsid w:val="57767EF7"/>
    <w:rsid w:val="57911D3D"/>
    <w:rsid w:val="5797131D"/>
    <w:rsid w:val="57B86A55"/>
    <w:rsid w:val="57BD5228"/>
    <w:rsid w:val="57C540DC"/>
    <w:rsid w:val="57CA6EF3"/>
    <w:rsid w:val="57CE3012"/>
    <w:rsid w:val="581110D0"/>
    <w:rsid w:val="58331046"/>
    <w:rsid w:val="58525DD9"/>
    <w:rsid w:val="58580AAD"/>
    <w:rsid w:val="58622535"/>
    <w:rsid w:val="58847AF3"/>
    <w:rsid w:val="5889510A"/>
    <w:rsid w:val="589651AD"/>
    <w:rsid w:val="589C4E3D"/>
    <w:rsid w:val="58A15938"/>
    <w:rsid w:val="58A272E0"/>
    <w:rsid w:val="58C44394"/>
    <w:rsid w:val="58CF53CB"/>
    <w:rsid w:val="58D24809"/>
    <w:rsid w:val="58DF11CE"/>
    <w:rsid w:val="58E81E30"/>
    <w:rsid w:val="58EB36CF"/>
    <w:rsid w:val="58F00457"/>
    <w:rsid w:val="591047FC"/>
    <w:rsid w:val="59155BDF"/>
    <w:rsid w:val="59284166"/>
    <w:rsid w:val="596418E2"/>
    <w:rsid w:val="5967369D"/>
    <w:rsid w:val="598C2BE0"/>
    <w:rsid w:val="599B50F5"/>
    <w:rsid w:val="59A85A64"/>
    <w:rsid w:val="59EA2050"/>
    <w:rsid w:val="5A074538"/>
    <w:rsid w:val="5A41771A"/>
    <w:rsid w:val="5A8B0A6A"/>
    <w:rsid w:val="5AB91C35"/>
    <w:rsid w:val="5ABD0110"/>
    <w:rsid w:val="5AE825BC"/>
    <w:rsid w:val="5AFE34FD"/>
    <w:rsid w:val="5B0E18F6"/>
    <w:rsid w:val="5B174FD8"/>
    <w:rsid w:val="5B351DE0"/>
    <w:rsid w:val="5B3E6680"/>
    <w:rsid w:val="5B637E94"/>
    <w:rsid w:val="5B75322C"/>
    <w:rsid w:val="5B8E46C8"/>
    <w:rsid w:val="5B914A01"/>
    <w:rsid w:val="5BE23E61"/>
    <w:rsid w:val="5BFB54CD"/>
    <w:rsid w:val="5C0C4088"/>
    <w:rsid w:val="5C1C46DE"/>
    <w:rsid w:val="5C1D1C44"/>
    <w:rsid w:val="5C2C472A"/>
    <w:rsid w:val="5C2E04A2"/>
    <w:rsid w:val="5C3F26AF"/>
    <w:rsid w:val="5C533A65"/>
    <w:rsid w:val="5C676FEC"/>
    <w:rsid w:val="5C7F2AAC"/>
    <w:rsid w:val="5CB0535B"/>
    <w:rsid w:val="5CB84B6A"/>
    <w:rsid w:val="5CC42BB4"/>
    <w:rsid w:val="5CC45BA9"/>
    <w:rsid w:val="5CC95322"/>
    <w:rsid w:val="5CCA006D"/>
    <w:rsid w:val="5CCB429F"/>
    <w:rsid w:val="5CCD29B2"/>
    <w:rsid w:val="5CF26A61"/>
    <w:rsid w:val="5D3537DE"/>
    <w:rsid w:val="5D55543A"/>
    <w:rsid w:val="5D5F6439"/>
    <w:rsid w:val="5D61749E"/>
    <w:rsid w:val="5D665A1A"/>
    <w:rsid w:val="5D7A7717"/>
    <w:rsid w:val="5D954ADB"/>
    <w:rsid w:val="5DA551E3"/>
    <w:rsid w:val="5DAA1DAA"/>
    <w:rsid w:val="5DC015CE"/>
    <w:rsid w:val="5DC3689E"/>
    <w:rsid w:val="5DED1C97"/>
    <w:rsid w:val="5E121BA9"/>
    <w:rsid w:val="5E1C257C"/>
    <w:rsid w:val="5E2D7FB9"/>
    <w:rsid w:val="5E2E29DB"/>
    <w:rsid w:val="5E3420C7"/>
    <w:rsid w:val="5E3873B6"/>
    <w:rsid w:val="5E526529"/>
    <w:rsid w:val="5ED63B38"/>
    <w:rsid w:val="5F0D1A37"/>
    <w:rsid w:val="5F16000E"/>
    <w:rsid w:val="5F304531"/>
    <w:rsid w:val="5FA17A19"/>
    <w:rsid w:val="5FCF6910"/>
    <w:rsid w:val="5FDE21DF"/>
    <w:rsid w:val="5FE86BBA"/>
    <w:rsid w:val="5FEB0A27"/>
    <w:rsid w:val="5FF62406"/>
    <w:rsid w:val="600D03CE"/>
    <w:rsid w:val="601349DC"/>
    <w:rsid w:val="603B57A9"/>
    <w:rsid w:val="6056611C"/>
    <w:rsid w:val="60667AC0"/>
    <w:rsid w:val="608033BA"/>
    <w:rsid w:val="608B5521"/>
    <w:rsid w:val="60943AD9"/>
    <w:rsid w:val="60CB2763"/>
    <w:rsid w:val="60CD295D"/>
    <w:rsid w:val="60E655D4"/>
    <w:rsid w:val="60E66958"/>
    <w:rsid w:val="60EE4F6D"/>
    <w:rsid w:val="60F05E4D"/>
    <w:rsid w:val="60FF15E0"/>
    <w:rsid w:val="613A1697"/>
    <w:rsid w:val="614222FA"/>
    <w:rsid w:val="61816E7A"/>
    <w:rsid w:val="61897F44"/>
    <w:rsid w:val="61924217"/>
    <w:rsid w:val="6192502F"/>
    <w:rsid w:val="61A540B6"/>
    <w:rsid w:val="61AC5FDE"/>
    <w:rsid w:val="61E11B13"/>
    <w:rsid w:val="620E6D99"/>
    <w:rsid w:val="621912AD"/>
    <w:rsid w:val="621A6DD3"/>
    <w:rsid w:val="622044E7"/>
    <w:rsid w:val="6230783D"/>
    <w:rsid w:val="623409A6"/>
    <w:rsid w:val="625D3903"/>
    <w:rsid w:val="626F1C56"/>
    <w:rsid w:val="629B5C1E"/>
    <w:rsid w:val="62B176E2"/>
    <w:rsid w:val="62D16876"/>
    <w:rsid w:val="62DD677E"/>
    <w:rsid w:val="62E95123"/>
    <w:rsid w:val="630065ED"/>
    <w:rsid w:val="630C2BBF"/>
    <w:rsid w:val="63225D72"/>
    <w:rsid w:val="633407C8"/>
    <w:rsid w:val="637D0255"/>
    <w:rsid w:val="63AD1207"/>
    <w:rsid w:val="63D26267"/>
    <w:rsid w:val="63DA38A8"/>
    <w:rsid w:val="63E84A0F"/>
    <w:rsid w:val="64255715"/>
    <w:rsid w:val="643B2165"/>
    <w:rsid w:val="646F78AA"/>
    <w:rsid w:val="649E2A36"/>
    <w:rsid w:val="64A70DF2"/>
    <w:rsid w:val="64C64FF0"/>
    <w:rsid w:val="64CD637E"/>
    <w:rsid w:val="64EE7961"/>
    <w:rsid w:val="650C334B"/>
    <w:rsid w:val="651346D9"/>
    <w:rsid w:val="654474C8"/>
    <w:rsid w:val="654900FB"/>
    <w:rsid w:val="65566374"/>
    <w:rsid w:val="65604064"/>
    <w:rsid w:val="656F5FE4"/>
    <w:rsid w:val="65A96DEB"/>
    <w:rsid w:val="65BA2DA7"/>
    <w:rsid w:val="65BB5537"/>
    <w:rsid w:val="65C20D04"/>
    <w:rsid w:val="65D07F6A"/>
    <w:rsid w:val="66041D37"/>
    <w:rsid w:val="660D0F10"/>
    <w:rsid w:val="662D7193"/>
    <w:rsid w:val="667967BE"/>
    <w:rsid w:val="667B0CB0"/>
    <w:rsid w:val="669058B5"/>
    <w:rsid w:val="66974E96"/>
    <w:rsid w:val="669E7FD2"/>
    <w:rsid w:val="66A7157D"/>
    <w:rsid w:val="66AE484C"/>
    <w:rsid w:val="66C022CE"/>
    <w:rsid w:val="66DB2FD4"/>
    <w:rsid w:val="670065FE"/>
    <w:rsid w:val="679232E9"/>
    <w:rsid w:val="6793565D"/>
    <w:rsid w:val="67A27F96"/>
    <w:rsid w:val="67AF7FBD"/>
    <w:rsid w:val="67B13D35"/>
    <w:rsid w:val="67BB59CA"/>
    <w:rsid w:val="67C92354"/>
    <w:rsid w:val="67D5211A"/>
    <w:rsid w:val="67FD5DC4"/>
    <w:rsid w:val="68093B71"/>
    <w:rsid w:val="682E35D8"/>
    <w:rsid w:val="6841636E"/>
    <w:rsid w:val="68442F3F"/>
    <w:rsid w:val="68686AEA"/>
    <w:rsid w:val="68AD7F2E"/>
    <w:rsid w:val="68EC1253"/>
    <w:rsid w:val="69012A9A"/>
    <w:rsid w:val="690546F9"/>
    <w:rsid w:val="690D5105"/>
    <w:rsid w:val="69242AFE"/>
    <w:rsid w:val="69344C1E"/>
    <w:rsid w:val="6939173B"/>
    <w:rsid w:val="693B7E5B"/>
    <w:rsid w:val="694D5CE0"/>
    <w:rsid w:val="694D6594"/>
    <w:rsid w:val="69554A42"/>
    <w:rsid w:val="695F2A22"/>
    <w:rsid w:val="69732A99"/>
    <w:rsid w:val="69796AD5"/>
    <w:rsid w:val="69AE49D0"/>
    <w:rsid w:val="69C77840"/>
    <w:rsid w:val="6A2A6C1F"/>
    <w:rsid w:val="6A375412"/>
    <w:rsid w:val="6A67567A"/>
    <w:rsid w:val="6A754122"/>
    <w:rsid w:val="6A9040D6"/>
    <w:rsid w:val="6AB3340E"/>
    <w:rsid w:val="6AD3056B"/>
    <w:rsid w:val="6AE461D0"/>
    <w:rsid w:val="6AF9602B"/>
    <w:rsid w:val="6AF96DE2"/>
    <w:rsid w:val="6B026CED"/>
    <w:rsid w:val="6B1677AA"/>
    <w:rsid w:val="6B696AC6"/>
    <w:rsid w:val="6B7E6624"/>
    <w:rsid w:val="6B9F4620"/>
    <w:rsid w:val="6BAD7577"/>
    <w:rsid w:val="6BC60219"/>
    <w:rsid w:val="6BE50451"/>
    <w:rsid w:val="6BEF79EE"/>
    <w:rsid w:val="6C276CBC"/>
    <w:rsid w:val="6C3D64DF"/>
    <w:rsid w:val="6C3F5DB4"/>
    <w:rsid w:val="6C53360D"/>
    <w:rsid w:val="6C553829"/>
    <w:rsid w:val="6C7C7008"/>
    <w:rsid w:val="6C845EBC"/>
    <w:rsid w:val="6C9432AC"/>
    <w:rsid w:val="6C991968"/>
    <w:rsid w:val="6CA200F0"/>
    <w:rsid w:val="6CA64CB9"/>
    <w:rsid w:val="6CA67BE1"/>
    <w:rsid w:val="6CBA368C"/>
    <w:rsid w:val="6CBD4F2A"/>
    <w:rsid w:val="6CCA0AEE"/>
    <w:rsid w:val="6CCD71E0"/>
    <w:rsid w:val="6CD97FB6"/>
    <w:rsid w:val="6CFD2334"/>
    <w:rsid w:val="6D2673E0"/>
    <w:rsid w:val="6D415B5B"/>
    <w:rsid w:val="6D4F0278"/>
    <w:rsid w:val="6D527D69"/>
    <w:rsid w:val="6D531D64"/>
    <w:rsid w:val="6D7777CF"/>
    <w:rsid w:val="6DAA381D"/>
    <w:rsid w:val="6DC742B3"/>
    <w:rsid w:val="6DE85FD7"/>
    <w:rsid w:val="6E14005B"/>
    <w:rsid w:val="6E2A4841"/>
    <w:rsid w:val="6E2C05BA"/>
    <w:rsid w:val="6E435A5B"/>
    <w:rsid w:val="6E4B4EE4"/>
    <w:rsid w:val="6E511DCE"/>
    <w:rsid w:val="6E711EDB"/>
    <w:rsid w:val="6E9D3265"/>
    <w:rsid w:val="6EA90670"/>
    <w:rsid w:val="6EB32A89"/>
    <w:rsid w:val="6ECA29B7"/>
    <w:rsid w:val="6EE67DB6"/>
    <w:rsid w:val="6EF56BFD"/>
    <w:rsid w:val="6F0B6421"/>
    <w:rsid w:val="6F241291"/>
    <w:rsid w:val="6F257845"/>
    <w:rsid w:val="6F3F60CB"/>
    <w:rsid w:val="6F6214F1"/>
    <w:rsid w:val="6F631DB9"/>
    <w:rsid w:val="6F795A80"/>
    <w:rsid w:val="6F977CB5"/>
    <w:rsid w:val="6FA50B40"/>
    <w:rsid w:val="6FCB3E2E"/>
    <w:rsid w:val="6FED1F44"/>
    <w:rsid w:val="6FF60E7F"/>
    <w:rsid w:val="70025A76"/>
    <w:rsid w:val="700E61C9"/>
    <w:rsid w:val="701E263C"/>
    <w:rsid w:val="7048237C"/>
    <w:rsid w:val="70566516"/>
    <w:rsid w:val="70713BD1"/>
    <w:rsid w:val="70A65F9E"/>
    <w:rsid w:val="70EB650A"/>
    <w:rsid w:val="70FA1D5A"/>
    <w:rsid w:val="71145A61"/>
    <w:rsid w:val="712B2DAA"/>
    <w:rsid w:val="71381CA7"/>
    <w:rsid w:val="71473C79"/>
    <w:rsid w:val="7147688E"/>
    <w:rsid w:val="715F549D"/>
    <w:rsid w:val="716143DA"/>
    <w:rsid w:val="71705CD4"/>
    <w:rsid w:val="71AA7A03"/>
    <w:rsid w:val="71B0505E"/>
    <w:rsid w:val="71C54519"/>
    <w:rsid w:val="71CB2566"/>
    <w:rsid w:val="72007D93"/>
    <w:rsid w:val="720535FB"/>
    <w:rsid w:val="72086C48"/>
    <w:rsid w:val="72180B78"/>
    <w:rsid w:val="72B666A4"/>
    <w:rsid w:val="72BD5C84"/>
    <w:rsid w:val="72C46090"/>
    <w:rsid w:val="72CB65F3"/>
    <w:rsid w:val="72CD32BD"/>
    <w:rsid w:val="72D056C9"/>
    <w:rsid w:val="72E66F89"/>
    <w:rsid w:val="72E961E8"/>
    <w:rsid w:val="72F02FB8"/>
    <w:rsid w:val="73016CE4"/>
    <w:rsid w:val="73061D27"/>
    <w:rsid w:val="73165394"/>
    <w:rsid w:val="73225FFC"/>
    <w:rsid w:val="732E26DE"/>
    <w:rsid w:val="73C854B8"/>
    <w:rsid w:val="73D74B24"/>
    <w:rsid w:val="73FD2F24"/>
    <w:rsid w:val="73FD6AC3"/>
    <w:rsid w:val="74100036"/>
    <w:rsid w:val="742F621F"/>
    <w:rsid w:val="7440441F"/>
    <w:rsid w:val="74466AEE"/>
    <w:rsid w:val="7467234B"/>
    <w:rsid w:val="746D7236"/>
    <w:rsid w:val="74883CC4"/>
    <w:rsid w:val="748F32C8"/>
    <w:rsid w:val="74A82EA8"/>
    <w:rsid w:val="74A87AD3"/>
    <w:rsid w:val="74B66E2F"/>
    <w:rsid w:val="74C72DEA"/>
    <w:rsid w:val="74D36DD2"/>
    <w:rsid w:val="74E47DAA"/>
    <w:rsid w:val="75051D1C"/>
    <w:rsid w:val="751C3136"/>
    <w:rsid w:val="75322959"/>
    <w:rsid w:val="75480753"/>
    <w:rsid w:val="757A4300"/>
    <w:rsid w:val="7581749B"/>
    <w:rsid w:val="759718DA"/>
    <w:rsid w:val="75A35605"/>
    <w:rsid w:val="75A5300A"/>
    <w:rsid w:val="75A82C1C"/>
    <w:rsid w:val="75BF1D13"/>
    <w:rsid w:val="760C0463"/>
    <w:rsid w:val="76120095"/>
    <w:rsid w:val="761C57A4"/>
    <w:rsid w:val="76204D8E"/>
    <w:rsid w:val="76265767"/>
    <w:rsid w:val="76397D18"/>
    <w:rsid w:val="765406AD"/>
    <w:rsid w:val="76650C10"/>
    <w:rsid w:val="76654669"/>
    <w:rsid w:val="766C59F7"/>
    <w:rsid w:val="767F0F22"/>
    <w:rsid w:val="768B0E67"/>
    <w:rsid w:val="76A809F9"/>
    <w:rsid w:val="76CC293A"/>
    <w:rsid w:val="770420D4"/>
    <w:rsid w:val="771F28FF"/>
    <w:rsid w:val="77295AC0"/>
    <w:rsid w:val="772C4DFE"/>
    <w:rsid w:val="773A78A3"/>
    <w:rsid w:val="77470212"/>
    <w:rsid w:val="7760409C"/>
    <w:rsid w:val="7765512B"/>
    <w:rsid w:val="776A6102"/>
    <w:rsid w:val="77707769"/>
    <w:rsid w:val="77784870"/>
    <w:rsid w:val="778925D9"/>
    <w:rsid w:val="77BC27B9"/>
    <w:rsid w:val="781F4CEB"/>
    <w:rsid w:val="783C764B"/>
    <w:rsid w:val="784011AE"/>
    <w:rsid w:val="78553A83"/>
    <w:rsid w:val="786A68F2"/>
    <w:rsid w:val="78746DE5"/>
    <w:rsid w:val="78843C75"/>
    <w:rsid w:val="78880AE2"/>
    <w:rsid w:val="78A51694"/>
    <w:rsid w:val="78C2428E"/>
    <w:rsid w:val="78D93B65"/>
    <w:rsid w:val="790074D7"/>
    <w:rsid w:val="793D4922"/>
    <w:rsid w:val="79411E31"/>
    <w:rsid w:val="7948418D"/>
    <w:rsid w:val="795A0263"/>
    <w:rsid w:val="79884CBA"/>
    <w:rsid w:val="798A4980"/>
    <w:rsid w:val="798D3C7E"/>
    <w:rsid w:val="798E4C9F"/>
    <w:rsid w:val="79B41C03"/>
    <w:rsid w:val="79DB3703"/>
    <w:rsid w:val="79E84C9C"/>
    <w:rsid w:val="7A124B07"/>
    <w:rsid w:val="7A1C30A9"/>
    <w:rsid w:val="7A1F0087"/>
    <w:rsid w:val="7A2A00A3"/>
    <w:rsid w:val="7A786E84"/>
    <w:rsid w:val="7A84644A"/>
    <w:rsid w:val="7AA716F4"/>
    <w:rsid w:val="7AC8166A"/>
    <w:rsid w:val="7AD973D3"/>
    <w:rsid w:val="7AE30252"/>
    <w:rsid w:val="7B14578D"/>
    <w:rsid w:val="7B3A7E20"/>
    <w:rsid w:val="7B71585E"/>
    <w:rsid w:val="7B7C2BC7"/>
    <w:rsid w:val="7B8B2650"/>
    <w:rsid w:val="7BB35E76"/>
    <w:rsid w:val="7BB65396"/>
    <w:rsid w:val="7BB81D54"/>
    <w:rsid w:val="7BCF61F6"/>
    <w:rsid w:val="7BF007D9"/>
    <w:rsid w:val="7C46099E"/>
    <w:rsid w:val="7C4E24BC"/>
    <w:rsid w:val="7C991AC9"/>
    <w:rsid w:val="7CB00608"/>
    <w:rsid w:val="7D0F732D"/>
    <w:rsid w:val="7D1B0177"/>
    <w:rsid w:val="7D276AC4"/>
    <w:rsid w:val="7D314B29"/>
    <w:rsid w:val="7D450D50"/>
    <w:rsid w:val="7D5D078F"/>
    <w:rsid w:val="7D6308BF"/>
    <w:rsid w:val="7D7A4E9D"/>
    <w:rsid w:val="7DA4250D"/>
    <w:rsid w:val="7DD236A1"/>
    <w:rsid w:val="7DE95B7F"/>
    <w:rsid w:val="7DF05160"/>
    <w:rsid w:val="7E0D3F64"/>
    <w:rsid w:val="7E1B6064"/>
    <w:rsid w:val="7E2C464B"/>
    <w:rsid w:val="7E394D59"/>
    <w:rsid w:val="7E5A5F62"/>
    <w:rsid w:val="7E6163C9"/>
    <w:rsid w:val="7E6370C3"/>
    <w:rsid w:val="7E675269"/>
    <w:rsid w:val="7E771065"/>
    <w:rsid w:val="7EB42631"/>
    <w:rsid w:val="7EBE7F49"/>
    <w:rsid w:val="7ED14F91"/>
    <w:rsid w:val="7ED27099"/>
    <w:rsid w:val="7EEF18BB"/>
    <w:rsid w:val="7EF37B12"/>
    <w:rsid w:val="7F340FE7"/>
    <w:rsid w:val="7F380056"/>
    <w:rsid w:val="7F6F0306"/>
    <w:rsid w:val="7F8578A0"/>
    <w:rsid w:val="7FA81261"/>
    <w:rsid w:val="7FAE720E"/>
    <w:rsid w:val="7FB327FC"/>
    <w:rsid w:val="7FC11AE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qFormat="1" w:unhideWhenUsed="0" w:uiPriority="0" w:semiHidden="0" w:name="toc 9"/>
    <w:lsdException w:qFormat="1" w:unhideWhenUsed="0" w:uiPriority="0" w:semiHidden="0" w:name="Normal Indent"/>
    <w:lsdException w:qFormat="1" w:uiPriority="99" w:semiHidden="0" w:name="footnote text"/>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qFormat="1"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iPriority="99"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styleId="3">
    <w:name w:val="heading 1"/>
    <w:basedOn w:val="1"/>
    <w:next w:val="1"/>
    <w:link w:val="142"/>
    <w:autoRedefine/>
    <w:qFormat/>
    <w:uiPriority w:val="0"/>
    <w:pPr>
      <w:keepNext/>
      <w:jc w:val="center"/>
      <w:outlineLvl w:val="0"/>
    </w:pPr>
    <w:rPr>
      <w:b/>
      <w:bCs/>
      <w:sz w:val="24"/>
    </w:rPr>
  </w:style>
  <w:style w:type="paragraph" w:styleId="4">
    <w:name w:val="heading 2"/>
    <w:basedOn w:val="1"/>
    <w:next w:val="1"/>
    <w:link w:val="54"/>
    <w:autoRedefine/>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55"/>
    <w:autoRedefine/>
    <w:qFormat/>
    <w:uiPriority w:val="0"/>
    <w:pPr>
      <w:keepNext/>
      <w:keepLines/>
      <w:spacing w:before="260" w:after="260" w:line="416" w:lineRule="auto"/>
      <w:outlineLvl w:val="2"/>
    </w:pPr>
    <w:rPr>
      <w:b/>
      <w:bCs/>
      <w:sz w:val="32"/>
      <w:szCs w:val="32"/>
    </w:rPr>
  </w:style>
  <w:style w:type="paragraph" w:styleId="6">
    <w:name w:val="heading 4"/>
    <w:basedOn w:val="1"/>
    <w:next w:val="7"/>
    <w:autoRedefine/>
    <w:qFormat/>
    <w:uiPriority w:val="0"/>
    <w:pPr>
      <w:keepNext/>
      <w:keepLines/>
      <w:spacing w:before="280" w:after="290" w:line="376" w:lineRule="auto"/>
      <w:outlineLvl w:val="3"/>
    </w:pPr>
    <w:rPr>
      <w:rFonts w:ascii="Arial" w:hAnsi="Arial" w:eastAsia="黑体"/>
      <w:b/>
      <w:bCs/>
      <w:sz w:val="28"/>
      <w:szCs w:val="28"/>
    </w:rPr>
  </w:style>
  <w:style w:type="paragraph" w:styleId="8">
    <w:name w:val="heading 5"/>
    <w:basedOn w:val="1"/>
    <w:next w:val="1"/>
    <w:link w:val="56"/>
    <w:autoRedefine/>
    <w:qFormat/>
    <w:uiPriority w:val="0"/>
    <w:pPr>
      <w:keepNext/>
      <w:keepLines/>
      <w:spacing w:before="280" w:after="290" w:line="376" w:lineRule="auto"/>
      <w:outlineLvl w:val="4"/>
    </w:pPr>
    <w:rPr>
      <w:b/>
      <w:bCs/>
      <w:sz w:val="28"/>
      <w:szCs w:val="28"/>
    </w:rPr>
  </w:style>
  <w:style w:type="paragraph" w:styleId="9">
    <w:name w:val="heading 9"/>
    <w:basedOn w:val="1"/>
    <w:next w:val="1"/>
    <w:autoRedefine/>
    <w:qFormat/>
    <w:uiPriority w:val="0"/>
    <w:pPr>
      <w:keepNext/>
      <w:keepLines/>
      <w:spacing w:before="240" w:after="64" w:line="317" w:lineRule="auto"/>
      <w:outlineLvl w:val="8"/>
    </w:pPr>
    <w:rPr>
      <w:rFonts w:ascii="Arial" w:hAnsi="Arial" w:eastAsia="黑体"/>
      <w:szCs w:val="22"/>
    </w:rPr>
  </w:style>
  <w:style w:type="character" w:default="1" w:styleId="43">
    <w:name w:val="Default Paragraph Font"/>
    <w:autoRedefine/>
    <w:semiHidden/>
    <w:unhideWhenUsed/>
    <w:qFormat/>
    <w:uiPriority w:val="1"/>
  </w:style>
  <w:style w:type="table" w:default="1" w:styleId="41">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link w:val="52"/>
    <w:autoRedefine/>
    <w:qFormat/>
    <w:uiPriority w:val="0"/>
    <w:pPr>
      <w:spacing w:after="120"/>
    </w:pPr>
    <w:rPr>
      <w:rFonts w:hint="default" w:ascii="宋体" w:hAnsi="宋体"/>
      <w:color w:val="FF0000"/>
      <w:sz w:val="24"/>
    </w:rPr>
  </w:style>
  <w:style w:type="paragraph" w:styleId="7">
    <w:name w:val="Plain Text"/>
    <w:basedOn w:val="1"/>
    <w:link w:val="58"/>
    <w:autoRedefine/>
    <w:qFormat/>
    <w:uiPriority w:val="0"/>
    <w:pPr>
      <w:spacing w:beforeLines="50" w:afterLines="50" w:line="400" w:lineRule="exact"/>
    </w:pPr>
    <w:rPr>
      <w:rFonts w:ascii="宋体" w:hAnsi="Courier New"/>
      <w:sz w:val="24"/>
    </w:rPr>
  </w:style>
  <w:style w:type="paragraph" w:styleId="10">
    <w:name w:val="List Number"/>
    <w:basedOn w:val="1"/>
    <w:autoRedefine/>
    <w:qFormat/>
    <w:uiPriority w:val="0"/>
    <w:pPr>
      <w:widowControl/>
      <w:numPr>
        <w:ilvl w:val="0"/>
        <w:numId w:val="1"/>
      </w:numPr>
      <w:tabs>
        <w:tab w:val="left" w:pos="454"/>
        <w:tab w:val="left" w:pos="720"/>
        <w:tab w:val="clear" w:pos="900"/>
      </w:tabs>
      <w:spacing w:afterLines="50"/>
      <w:ind w:left="454" w:hanging="284"/>
      <w:jc w:val="left"/>
    </w:pPr>
    <w:rPr>
      <w:kern w:val="0"/>
      <w:sz w:val="24"/>
    </w:rPr>
  </w:style>
  <w:style w:type="paragraph" w:styleId="11">
    <w:name w:val="Normal Indent"/>
    <w:basedOn w:val="1"/>
    <w:next w:val="1"/>
    <w:link w:val="57"/>
    <w:autoRedefine/>
    <w:qFormat/>
    <w:uiPriority w:val="0"/>
    <w:pPr>
      <w:ind w:firstLine="420"/>
    </w:pPr>
  </w:style>
  <w:style w:type="paragraph" w:styleId="12">
    <w:name w:val="caption"/>
    <w:basedOn w:val="1"/>
    <w:next w:val="1"/>
    <w:autoRedefine/>
    <w:qFormat/>
    <w:uiPriority w:val="0"/>
    <w:pPr>
      <w:spacing w:before="152" w:after="160"/>
    </w:pPr>
    <w:rPr>
      <w:rFonts w:ascii="Arial" w:hAnsi="Arial" w:eastAsia="黑体" w:cs="Arial"/>
      <w:sz w:val="20"/>
    </w:rPr>
  </w:style>
  <w:style w:type="paragraph" w:styleId="13">
    <w:name w:val="annotation text"/>
    <w:basedOn w:val="1"/>
    <w:next w:val="14"/>
    <w:autoRedefine/>
    <w:semiHidden/>
    <w:qFormat/>
    <w:uiPriority w:val="0"/>
    <w:pPr>
      <w:jc w:val="left"/>
    </w:pPr>
  </w:style>
  <w:style w:type="paragraph" w:styleId="14">
    <w:name w:val="toc 9"/>
    <w:next w:val="1"/>
    <w:autoRedefine/>
    <w:qFormat/>
    <w:uiPriority w:val="0"/>
    <w:pPr>
      <w:wordWrap w:val="0"/>
      <w:ind w:left="2975"/>
      <w:jc w:val="both"/>
    </w:pPr>
    <w:rPr>
      <w:rFonts w:ascii="Calibri" w:hAnsi="Calibri" w:eastAsia="宋体" w:cs="Times New Roman"/>
      <w:sz w:val="21"/>
      <w:lang w:val="en-US" w:eastAsia="zh-CN" w:bidi="ar-SA"/>
    </w:rPr>
  </w:style>
  <w:style w:type="paragraph" w:styleId="15">
    <w:name w:val="Body Text 3"/>
    <w:basedOn w:val="1"/>
    <w:autoRedefine/>
    <w:qFormat/>
    <w:uiPriority w:val="0"/>
    <w:pPr>
      <w:snapToGrid w:val="0"/>
      <w:spacing w:before="50" w:after="50"/>
    </w:pPr>
    <w:rPr>
      <w:rFonts w:hAnsi="宋体" w:eastAsia="仿宋_GB2312"/>
      <w:b/>
      <w:bCs/>
      <w:sz w:val="24"/>
    </w:rPr>
  </w:style>
  <w:style w:type="paragraph" w:styleId="16">
    <w:name w:val="Body Text Indent"/>
    <w:basedOn w:val="1"/>
    <w:next w:val="1"/>
    <w:autoRedefine/>
    <w:qFormat/>
    <w:uiPriority w:val="0"/>
    <w:pPr>
      <w:spacing w:line="200" w:lineRule="exact"/>
      <w:ind w:firstLine="301"/>
    </w:pPr>
    <w:rPr>
      <w:rFonts w:ascii="宋体" w:hAnsi="Courier New"/>
      <w:spacing w:val="-4"/>
      <w:sz w:val="18"/>
    </w:rPr>
  </w:style>
  <w:style w:type="paragraph" w:styleId="17">
    <w:name w:val="List Number 3"/>
    <w:basedOn w:val="1"/>
    <w:autoRedefine/>
    <w:qFormat/>
    <w:uiPriority w:val="0"/>
    <w:pPr>
      <w:numPr>
        <w:ilvl w:val="0"/>
        <w:numId w:val="2"/>
      </w:numPr>
    </w:pPr>
  </w:style>
  <w:style w:type="paragraph" w:styleId="18">
    <w:name w:val="List 2"/>
    <w:basedOn w:val="1"/>
    <w:autoRedefine/>
    <w:qFormat/>
    <w:uiPriority w:val="0"/>
    <w:pPr>
      <w:ind w:left="100" w:leftChars="200" w:hanging="200" w:hangingChars="200"/>
    </w:pPr>
    <w:rPr>
      <w:sz w:val="28"/>
    </w:rPr>
  </w:style>
  <w:style w:type="paragraph" w:styleId="19">
    <w:name w:val="Block Text"/>
    <w:basedOn w:val="1"/>
    <w:autoRedefine/>
    <w:unhideWhenUsed/>
    <w:qFormat/>
    <w:uiPriority w:val="99"/>
    <w:pPr>
      <w:spacing w:after="120"/>
      <w:ind w:left="1440" w:leftChars="700" w:right="1440" w:rightChars="700"/>
    </w:pPr>
  </w:style>
  <w:style w:type="paragraph" w:styleId="20">
    <w:name w:val="toc 3"/>
    <w:basedOn w:val="1"/>
    <w:next w:val="1"/>
    <w:autoRedefine/>
    <w:qFormat/>
    <w:uiPriority w:val="0"/>
    <w:pPr>
      <w:ind w:left="840" w:leftChars="400"/>
    </w:pPr>
    <w:rPr>
      <w:rFonts w:ascii="Calibri" w:hAnsi="Calibri"/>
      <w:szCs w:val="22"/>
    </w:rPr>
  </w:style>
  <w:style w:type="paragraph" w:styleId="21">
    <w:name w:val="Date"/>
    <w:basedOn w:val="1"/>
    <w:next w:val="1"/>
    <w:autoRedefine/>
    <w:qFormat/>
    <w:uiPriority w:val="0"/>
    <w:pPr>
      <w:ind w:left="2500" w:leftChars="2500"/>
    </w:pPr>
    <w:rPr>
      <w:rFonts w:eastAsia="楷体_GB2312"/>
      <w:sz w:val="32"/>
    </w:rPr>
  </w:style>
  <w:style w:type="paragraph" w:styleId="22">
    <w:name w:val="Body Text Indent 2"/>
    <w:basedOn w:val="1"/>
    <w:autoRedefine/>
    <w:qFormat/>
    <w:uiPriority w:val="0"/>
    <w:pPr>
      <w:snapToGrid w:val="0"/>
      <w:ind w:firstLine="542" w:firstLineChars="225"/>
    </w:pPr>
    <w:rPr>
      <w:rFonts w:ascii="仿宋_GB2312" w:hAnsi="宋体" w:cs="Arial"/>
      <w:b/>
      <w:bCs/>
      <w:color w:val="000000"/>
      <w:sz w:val="24"/>
    </w:rPr>
  </w:style>
  <w:style w:type="paragraph" w:styleId="23">
    <w:name w:val="Balloon Text"/>
    <w:basedOn w:val="1"/>
    <w:autoRedefine/>
    <w:semiHidden/>
    <w:qFormat/>
    <w:uiPriority w:val="0"/>
    <w:rPr>
      <w:sz w:val="18"/>
      <w:szCs w:val="18"/>
    </w:rPr>
  </w:style>
  <w:style w:type="paragraph" w:styleId="24">
    <w:name w:val="footer"/>
    <w:basedOn w:val="1"/>
    <w:link w:val="59"/>
    <w:autoRedefine/>
    <w:qFormat/>
    <w:uiPriority w:val="99"/>
    <w:pPr>
      <w:tabs>
        <w:tab w:val="center" w:pos="4153"/>
        <w:tab w:val="right" w:pos="8306"/>
      </w:tabs>
      <w:snapToGrid w:val="0"/>
      <w:jc w:val="left"/>
    </w:pPr>
    <w:rPr>
      <w:rFonts w:eastAsia="黑体"/>
      <w:snapToGrid w:val="0"/>
      <w:kern w:val="0"/>
      <w:sz w:val="18"/>
      <w:szCs w:val="18"/>
    </w:rPr>
  </w:style>
  <w:style w:type="paragraph" w:styleId="25">
    <w:name w:val="header"/>
    <w:basedOn w:val="1"/>
    <w:link w:val="60"/>
    <w:autoRedefine/>
    <w:qFormat/>
    <w:uiPriority w:val="0"/>
    <w:pPr>
      <w:pBdr>
        <w:bottom w:val="single" w:color="auto" w:sz="6" w:space="1"/>
      </w:pBdr>
      <w:tabs>
        <w:tab w:val="center" w:pos="4153"/>
        <w:tab w:val="right" w:pos="8306"/>
      </w:tabs>
      <w:snapToGrid w:val="0"/>
      <w:jc w:val="center"/>
    </w:pPr>
    <w:rPr>
      <w:rFonts w:eastAsia="仿宋_GB2312"/>
      <w:sz w:val="18"/>
    </w:rPr>
  </w:style>
  <w:style w:type="paragraph" w:styleId="26">
    <w:name w:val="toc 1"/>
    <w:basedOn w:val="1"/>
    <w:next w:val="1"/>
    <w:autoRedefine/>
    <w:semiHidden/>
    <w:qFormat/>
    <w:uiPriority w:val="0"/>
  </w:style>
  <w:style w:type="paragraph" w:styleId="27">
    <w:name w:val="List"/>
    <w:basedOn w:val="1"/>
    <w:autoRedefine/>
    <w:qFormat/>
    <w:uiPriority w:val="0"/>
    <w:pPr>
      <w:ind w:left="200" w:hanging="200" w:hangingChars="200"/>
    </w:pPr>
    <w:rPr>
      <w:sz w:val="28"/>
    </w:rPr>
  </w:style>
  <w:style w:type="paragraph" w:styleId="28">
    <w:name w:val="footnote text"/>
    <w:basedOn w:val="1"/>
    <w:autoRedefine/>
    <w:unhideWhenUsed/>
    <w:qFormat/>
    <w:uiPriority w:val="99"/>
    <w:pPr>
      <w:snapToGrid w:val="0"/>
      <w:jc w:val="left"/>
    </w:pPr>
    <w:rPr>
      <w:sz w:val="18"/>
    </w:rPr>
  </w:style>
  <w:style w:type="paragraph" w:styleId="29">
    <w:name w:val="toc 6"/>
    <w:basedOn w:val="1"/>
    <w:next w:val="1"/>
    <w:autoRedefine/>
    <w:qFormat/>
    <w:uiPriority w:val="0"/>
    <w:pPr>
      <w:ind w:left="1050"/>
      <w:jc w:val="left"/>
    </w:pPr>
    <w:rPr>
      <w:rFonts w:ascii="仿宋_GB2312" w:eastAsia="仿宋_GB2312"/>
      <w:sz w:val="18"/>
      <w:szCs w:val="18"/>
    </w:rPr>
  </w:style>
  <w:style w:type="paragraph" w:styleId="30">
    <w:name w:val="List 5"/>
    <w:basedOn w:val="1"/>
    <w:autoRedefine/>
    <w:qFormat/>
    <w:uiPriority w:val="0"/>
    <w:pPr>
      <w:ind w:left="2100" w:hanging="420"/>
    </w:pPr>
    <w:rPr>
      <w:rFonts w:ascii="Calibri" w:hAnsi="Calibri" w:eastAsia="楷体_GB2312"/>
      <w:sz w:val="32"/>
      <w:szCs w:val="22"/>
    </w:rPr>
  </w:style>
  <w:style w:type="paragraph" w:styleId="31">
    <w:name w:val="Body Text Indent 3"/>
    <w:basedOn w:val="1"/>
    <w:autoRedefine/>
    <w:qFormat/>
    <w:uiPriority w:val="0"/>
    <w:pPr>
      <w:snapToGrid w:val="0"/>
      <w:ind w:firstLine="480" w:firstLineChars="200"/>
      <w:jc w:val="left"/>
    </w:pPr>
    <w:rPr>
      <w:rFonts w:ascii="仿宋_GB2312" w:hAnsi="宋体" w:eastAsia="仿宋_GB2312"/>
      <w:color w:val="000000"/>
      <w:sz w:val="24"/>
    </w:rPr>
  </w:style>
  <w:style w:type="paragraph" w:styleId="32">
    <w:name w:val="toc 2"/>
    <w:basedOn w:val="1"/>
    <w:next w:val="1"/>
    <w:autoRedefine/>
    <w:qFormat/>
    <w:uiPriority w:val="0"/>
    <w:pPr>
      <w:ind w:left="420" w:leftChars="200"/>
    </w:pPr>
    <w:rPr>
      <w:rFonts w:ascii="Calibri" w:hAnsi="Calibri"/>
      <w:szCs w:val="22"/>
    </w:rPr>
  </w:style>
  <w:style w:type="paragraph" w:styleId="33">
    <w:name w:val="Body Text 2"/>
    <w:basedOn w:val="1"/>
    <w:autoRedefine/>
    <w:qFormat/>
    <w:uiPriority w:val="0"/>
    <w:pPr>
      <w:widowControl/>
      <w:snapToGrid w:val="0"/>
      <w:spacing w:before="50" w:afterLines="50" w:line="400" w:lineRule="exact"/>
      <w:jc w:val="left"/>
    </w:pPr>
    <w:rPr>
      <w:rFonts w:ascii="宋体" w:hAnsi="宋体"/>
      <w:color w:val="000000"/>
      <w:sz w:val="24"/>
    </w:rPr>
  </w:style>
  <w:style w:type="paragraph" w:styleId="34">
    <w:name w:val="List 4"/>
    <w:basedOn w:val="1"/>
    <w:autoRedefine/>
    <w:qFormat/>
    <w:uiPriority w:val="0"/>
    <w:pPr>
      <w:ind w:left="1680" w:hanging="420"/>
    </w:pPr>
    <w:rPr>
      <w:rFonts w:ascii="Calibri" w:hAnsi="Calibri" w:eastAsia="楷体_GB2312"/>
      <w:sz w:val="32"/>
      <w:szCs w:val="22"/>
    </w:rPr>
  </w:style>
  <w:style w:type="paragraph" w:styleId="35">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36">
    <w:name w:val="Normal (Web)"/>
    <w:basedOn w:val="1"/>
    <w:autoRedefine/>
    <w:qFormat/>
    <w:uiPriority w:val="0"/>
    <w:pPr>
      <w:widowControl/>
      <w:spacing w:before="100" w:beforeAutospacing="1" w:after="100" w:afterAutospacing="1"/>
      <w:jc w:val="left"/>
    </w:pPr>
    <w:rPr>
      <w:rFonts w:ascii="宋体" w:hAnsi="宋体"/>
      <w:color w:val="000000"/>
      <w:kern w:val="0"/>
      <w:sz w:val="24"/>
    </w:rPr>
  </w:style>
  <w:style w:type="paragraph" w:styleId="37">
    <w:name w:val="Title"/>
    <w:basedOn w:val="1"/>
    <w:next w:val="1"/>
    <w:autoRedefine/>
    <w:qFormat/>
    <w:uiPriority w:val="0"/>
    <w:pPr>
      <w:spacing w:line="520" w:lineRule="exact"/>
      <w:jc w:val="center"/>
      <w:outlineLvl w:val="3"/>
    </w:pPr>
    <w:rPr>
      <w:rFonts w:ascii="Cambria" w:hAnsi="Cambria"/>
      <w:b/>
      <w:bCs/>
      <w:sz w:val="28"/>
      <w:szCs w:val="32"/>
    </w:rPr>
  </w:style>
  <w:style w:type="paragraph" w:styleId="38">
    <w:name w:val="annotation subject"/>
    <w:basedOn w:val="13"/>
    <w:next w:val="13"/>
    <w:autoRedefine/>
    <w:qFormat/>
    <w:uiPriority w:val="0"/>
    <w:rPr>
      <w:b/>
      <w:bCs/>
    </w:rPr>
  </w:style>
  <w:style w:type="paragraph" w:styleId="39">
    <w:name w:val="Body Text First Indent"/>
    <w:basedOn w:val="2"/>
    <w:next w:val="29"/>
    <w:autoRedefine/>
    <w:qFormat/>
    <w:uiPriority w:val="0"/>
    <w:pPr>
      <w:autoSpaceDE w:val="0"/>
      <w:autoSpaceDN w:val="0"/>
      <w:adjustRightInd w:val="0"/>
      <w:spacing w:line="360" w:lineRule="auto"/>
      <w:ind w:firstLine="420"/>
    </w:pPr>
    <w:rPr>
      <w:rFonts w:hAnsi="Calibri"/>
      <w:lang w:val="zh-CN"/>
    </w:rPr>
  </w:style>
  <w:style w:type="paragraph" w:styleId="40">
    <w:name w:val="Body Text First Indent 2"/>
    <w:basedOn w:val="16"/>
    <w:autoRedefine/>
    <w:qFormat/>
    <w:uiPriority w:val="0"/>
    <w:pPr>
      <w:spacing w:after="120" w:line="240" w:lineRule="auto"/>
      <w:ind w:left="420" w:leftChars="200" w:firstLine="420" w:firstLineChars="200"/>
    </w:pPr>
    <w:rPr>
      <w:rFonts w:ascii="Times New Roman" w:hAnsi="Times New Roman"/>
      <w:spacing w:val="0"/>
      <w:sz w:val="21"/>
      <w:szCs w:val="24"/>
    </w:rPr>
  </w:style>
  <w:style w:type="table" w:styleId="42">
    <w:name w:val="Table Grid"/>
    <w:basedOn w:val="4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4">
    <w:name w:val="Strong"/>
    <w:autoRedefine/>
    <w:qFormat/>
    <w:uiPriority w:val="0"/>
    <w:rPr>
      <w:rFonts w:eastAsia="宋体"/>
      <w:b/>
      <w:bCs/>
      <w:kern w:val="2"/>
      <w:sz w:val="24"/>
      <w:szCs w:val="24"/>
      <w:lang w:val="en-US" w:eastAsia="zh-CN" w:bidi="ar-SA"/>
    </w:rPr>
  </w:style>
  <w:style w:type="character" w:styleId="45">
    <w:name w:val="page number"/>
    <w:autoRedefine/>
    <w:qFormat/>
    <w:uiPriority w:val="0"/>
  </w:style>
  <w:style w:type="character" w:styleId="46">
    <w:name w:val="FollowedHyperlink"/>
    <w:autoRedefine/>
    <w:qFormat/>
    <w:uiPriority w:val="0"/>
    <w:rPr>
      <w:rFonts w:eastAsia="宋体"/>
      <w:color w:val="800080"/>
      <w:kern w:val="2"/>
      <w:sz w:val="24"/>
      <w:szCs w:val="24"/>
      <w:u w:val="single"/>
      <w:lang w:val="en-US" w:eastAsia="zh-CN" w:bidi="ar-SA"/>
    </w:rPr>
  </w:style>
  <w:style w:type="character" w:styleId="47">
    <w:name w:val="Hyperlink"/>
    <w:autoRedefine/>
    <w:qFormat/>
    <w:uiPriority w:val="0"/>
    <w:rPr>
      <w:color w:val="0000FF"/>
      <w:u w:val="single"/>
    </w:rPr>
  </w:style>
  <w:style w:type="character" w:styleId="48">
    <w:name w:val="annotation reference"/>
    <w:autoRedefine/>
    <w:qFormat/>
    <w:uiPriority w:val="0"/>
    <w:rPr>
      <w:rFonts w:eastAsia="宋体"/>
      <w:kern w:val="2"/>
      <w:sz w:val="21"/>
      <w:szCs w:val="21"/>
      <w:lang w:val="en-US" w:eastAsia="zh-CN" w:bidi="ar-SA"/>
    </w:rPr>
  </w:style>
  <w:style w:type="character" w:styleId="49">
    <w:name w:val="footnote reference"/>
    <w:autoRedefine/>
    <w:unhideWhenUsed/>
    <w:qFormat/>
    <w:uiPriority w:val="99"/>
    <w:rPr>
      <w:rFonts w:hint="default" w:ascii="Times New Roman"/>
      <w:sz w:val="24"/>
      <w:vertAlign w:val="superscript"/>
    </w:rPr>
  </w:style>
  <w:style w:type="character" w:styleId="50">
    <w:name w:val="HTML Sample"/>
    <w:basedOn w:val="43"/>
    <w:autoRedefine/>
    <w:qFormat/>
    <w:uiPriority w:val="0"/>
    <w:rPr>
      <w:rFonts w:ascii="Courier New" w:hAnsi="Courier New"/>
    </w:rPr>
  </w:style>
  <w:style w:type="paragraph" w:customStyle="1" w:styleId="51">
    <w:name w:val="正文文本首行缩进 21"/>
    <w:basedOn w:val="16"/>
    <w:autoRedefine/>
    <w:qFormat/>
    <w:uiPriority w:val="99"/>
    <w:pPr>
      <w:spacing w:line="200" w:lineRule="atLeast"/>
      <w:ind w:firstLine="420"/>
    </w:pPr>
  </w:style>
  <w:style w:type="character" w:customStyle="1" w:styleId="52">
    <w:name w:val="正文文本 字符"/>
    <w:link w:val="2"/>
    <w:autoRedefine/>
    <w:qFormat/>
    <w:locked/>
    <w:uiPriority w:val="0"/>
    <w:rPr>
      <w:rFonts w:ascii="宋体" w:hAnsi="宋体"/>
      <w:color w:val="FF0000"/>
      <w:kern w:val="2"/>
      <w:sz w:val="24"/>
    </w:rPr>
  </w:style>
  <w:style w:type="character" w:customStyle="1" w:styleId="53">
    <w:name w:val="标题 1 字符"/>
    <w:autoRedefine/>
    <w:qFormat/>
    <w:uiPriority w:val="0"/>
    <w:rPr>
      <w:rFonts w:eastAsia="宋体"/>
      <w:b/>
      <w:bCs/>
      <w:kern w:val="2"/>
      <w:sz w:val="24"/>
      <w:szCs w:val="24"/>
      <w:lang w:val="en-US" w:eastAsia="zh-CN" w:bidi="ar-SA"/>
    </w:rPr>
  </w:style>
  <w:style w:type="character" w:customStyle="1" w:styleId="54">
    <w:name w:val="标题 2 字符"/>
    <w:link w:val="4"/>
    <w:autoRedefine/>
    <w:qFormat/>
    <w:uiPriority w:val="0"/>
    <w:rPr>
      <w:rFonts w:ascii="Arial" w:hAnsi="Arial" w:eastAsia="黑体"/>
      <w:b/>
      <w:bCs/>
      <w:kern w:val="2"/>
      <w:sz w:val="32"/>
      <w:szCs w:val="32"/>
      <w:lang w:val="en-US" w:eastAsia="zh-CN" w:bidi="ar-SA"/>
    </w:rPr>
  </w:style>
  <w:style w:type="character" w:customStyle="1" w:styleId="55">
    <w:name w:val="标题 3 字符"/>
    <w:link w:val="5"/>
    <w:autoRedefine/>
    <w:qFormat/>
    <w:uiPriority w:val="0"/>
    <w:rPr>
      <w:rFonts w:eastAsia="宋体"/>
      <w:b/>
      <w:bCs/>
      <w:kern w:val="2"/>
      <w:sz w:val="32"/>
      <w:szCs w:val="32"/>
      <w:lang w:val="en-US" w:eastAsia="zh-CN" w:bidi="ar-SA"/>
    </w:rPr>
  </w:style>
  <w:style w:type="character" w:customStyle="1" w:styleId="56">
    <w:name w:val="标题 5 字符"/>
    <w:link w:val="8"/>
    <w:autoRedefine/>
    <w:qFormat/>
    <w:uiPriority w:val="0"/>
    <w:rPr>
      <w:rFonts w:eastAsia="宋体"/>
      <w:b/>
      <w:bCs/>
      <w:kern w:val="2"/>
      <w:sz w:val="28"/>
      <w:szCs w:val="28"/>
      <w:lang w:val="en-US" w:eastAsia="zh-CN" w:bidi="ar-SA"/>
    </w:rPr>
  </w:style>
  <w:style w:type="character" w:customStyle="1" w:styleId="57">
    <w:name w:val="正文缩进 字符"/>
    <w:link w:val="11"/>
    <w:autoRedefine/>
    <w:qFormat/>
    <w:uiPriority w:val="0"/>
    <w:rPr>
      <w:rFonts w:eastAsia="宋体"/>
      <w:kern w:val="2"/>
      <w:sz w:val="21"/>
      <w:lang w:val="en-US" w:eastAsia="zh-CN" w:bidi="ar-SA"/>
    </w:rPr>
  </w:style>
  <w:style w:type="character" w:customStyle="1" w:styleId="58">
    <w:name w:val="纯文本 字符"/>
    <w:link w:val="7"/>
    <w:autoRedefine/>
    <w:qFormat/>
    <w:uiPriority w:val="0"/>
    <w:rPr>
      <w:rFonts w:ascii="宋体" w:hAnsi="Courier New" w:eastAsia="宋体"/>
      <w:kern w:val="2"/>
      <w:sz w:val="24"/>
      <w:szCs w:val="24"/>
      <w:lang w:val="en-US" w:eastAsia="zh-CN" w:bidi="ar-SA"/>
    </w:rPr>
  </w:style>
  <w:style w:type="character" w:customStyle="1" w:styleId="59">
    <w:name w:val="页脚 字符"/>
    <w:link w:val="24"/>
    <w:autoRedefine/>
    <w:qFormat/>
    <w:uiPriority w:val="99"/>
    <w:rPr>
      <w:rFonts w:eastAsia="黑体"/>
      <w:snapToGrid w:val="0"/>
      <w:sz w:val="18"/>
      <w:szCs w:val="18"/>
      <w:lang w:val="en-US" w:eastAsia="zh-CN" w:bidi="ar-SA"/>
    </w:rPr>
  </w:style>
  <w:style w:type="character" w:customStyle="1" w:styleId="60">
    <w:name w:val="页眉 字符"/>
    <w:link w:val="25"/>
    <w:autoRedefine/>
    <w:qFormat/>
    <w:uiPriority w:val="0"/>
    <w:rPr>
      <w:rFonts w:eastAsia="仿宋_GB2312"/>
      <w:kern w:val="2"/>
      <w:sz w:val="18"/>
      <w:lang w:val="en-US" w:eastAsia="zh-CN" w:bidi="ar-SA"/>
    </w:rPr>
  </w:style>
  <w:style w:type="character" w:customStyle="1" w:styleId="61">
    <w:name w:val="font41"/>
    <w:basedOn w:val="43"/>
    <w:autoRedefine/>
    <w:qFormat/>
    <w:uiPriority w:val="0"/>
    <w:rPr>
      <w:rFonts w:hint="eastAsia" w:ascii="宋体" w:hAnsi="宋体" w:eastAsia="宋体" w:cs="宋体"/>
      <w:color w:val="000000"/>
      <w:sz w:val="20"/>
      <w:szCs w:val="20"/>
      <w:u w:val="none"/>
    </w:rPr>
  </w:style>
  <w:style w:type="character" w:customStyle="1" w:styleId="62">
    <w:name w:val="style41"/>
    <w:autoRedefine/>
    <w:qFormat/>
    <w:uiPriority w:val="0"/>
    <w:rPr>
      <w:sz w:val="18"/>
      <w:szCs w:val="18"/>
    </w:rPr>
  </w:style>
  <w:style w:type="character" w:customStyle="1" w:styleId="63">
    <w:name w:val="font01"/>
    <w:autoRedefine/>
    <w:qFormat/>
    <w:uiPriority w:val="0"/>
    <w:rPr>
      <w:rFonts w:hint="eastAsia" w:ascii="宋体" w:hAnsi="宋体" w:eastAsia="宋体" w:cs="宋体"/>
      <w:color w:val="000000"/>
      <w:sz w:val="21"/>
      <w:szCs w:val="21"/>
      <w:u w:val="none"/>
    </w:rPr>
  </w:style>
  <w:style w:type="character" w:customStyle="1" w:styleId="64">
    <w:name w:val="hui121"/>
    <w:autoRedefine/>
    <w:qFormat/>
    <w:uiPriority w:val="0"/>
    <w:rPr>
      <w:rFonts w:eastAsia="宋体"/>
      <w:color w:val="333333"/>
      <w:kern w:val="2"/>
      <w:sz w:val="18"/>
      <w:szCs w:val="18"/>
      <w:lang w:val="en-US" w:eastAsia="zh-CN" w:bidi="ar-SA"/>
    </w:rPr>
  </w:style>
  <w:style w:type="character" w:customStyle="1" w:styleId="65">
    <w:name w:val="class3"/>
    <w:autoRedefine/>
    <w:qFormat/>
    <w:uiPriority w:val="0"/>
  </w:style>
  <w:style w:type="character" w:customStyle="1" w:styleId="66">
    <w:name w:val="font11"/>
    <w:autoRedefine/>
    <w:qFormat/>
    <w:uiPriority w:val="0"/>
    <w:rPr>
      <w:rFonts w:hint="eastAsia" w:ascii="宋体" w:hAnsi="宋体" w:eastAsia="宋体" w:cs="宋体"/>
      <w:color w:val="000000"/>
      <w:sz w:val="21"/>
      <w:szCs w:val="21"/>
      <w:u w:val="none"/>
    </w:rPr>
  </w:style>
  <w:style w:type="character" w:customStyle="1" w:styleId="67">
    <w:name w:val="普通文字 Char Char1"/>
    <w:autoRedefine/>
    <w:qFormat/>
    <w:uiPriority w:val="0"/>
    <w:rPr>
      <w:rFonts w:ascii="宋体" w:hAnsi="Courier New"/>
      <w:kern w:val="2"/>
      <w:sz w:val="24"/>
      <w:szCs w:val="24"/>
    </w:rPr>
  </w:style>
  <w:style w:type="character" w:customStyle="1" w:styleId="68">
    <w:name w:val="普通文字 Char Char3"/>
    <w:autoRedefine/>
    <w:qFormat/>
    <w:uiPriority w:val="0"/>
    <w:rPr>
      <w:rFonts w:ascii="宋体" w:hAnsi="Courier New" w:eastAsia="宋体"/>
      <w:kern w:val="2"/>
      <w:sz w:val="24"/>
      <w:szCs w:val="24"/>
      <w:lang w:val="en-US" w:eastAsia="zh-CN" w:bidi="ar-SA"/>
    </w:rPr>
  </w:style>
  <w:style w:type="character" w:customStyle="1" w:styleId="69">
    <w:name w:val="class4"/>
    <w:autoRedefine/>
    <w:qFormat/>
    <w:uiPriority w:val="0"/>
  </w:style>
  <w:style w:type="character" w:customStyle="1" w:styleId="70">
    <w:name w:val="ca-3"/>
    <w:autoRedefine/>
    <w:qFormat/>
    <w:uiPriority w:val="0"/>
    <w:rPr>
      <w:rFonts w:eastAsia="宋体"/>
      <w:kern w:val="2"/>
      <w:sz w:val="24"/>
      <w:szCs w:val="24"/>
      <w:lang w:val="en-US" w:eastAsia="zh-CN" w:bidi="ar-SA"/>
    </w:rPr>
  </w:style>
  <w:style w:type="character" w:customStyle="1" w:styleId="71">
    <w:name w:val="Plain Text Char"/>
    <w:autoRedefine/>
    <w:semiHidden/>
    <w:qFormat/>
    <w:locked/>
    <w:uiPriority w:val="0"/>
    <w:rPr>
      <w:rFonts w:ascii="宋体" w:hAnsi="Courier New" w:eastAsia="宋体" w:cs="Times New Roman"/>
      <w:sz w:val="20"/>
      <w:szCs w:val="20"/>
    </w:rPr>
  </w:style>
  <w:style w:type="character" w:customStyle="1" w:styleId="72">
    <w:name w:val="List Paragraph Char"/>
    <w:link w:val="73"/>
    <w:autoRedefine/>
    <w:qFormat/>
    <w:locked/>
    <w:uiPriority w:val="0"/>
    <w:rPr>
      <w:rFonts w:eastAsia="宋体"/>
      <w:kern w:val="2"/>
      <w:sz w:val="21"/>
      <w:szCs w:val="24"/>
      <w:lang w:val="en-US" w:eastAsia="zh-CN" w:bidi="ar-SA"/>
    </w:rPr>
  </w:style>
  <w:style w:type="paragraph" w:customStyle="1" w:styleId="73">
    <w:name w:val="List Paragraph1"/>
    <w:basedOn w:val="1"/>
    <w:next w:val="1"/>
    <w:link w:val="72"/>
    <w:autoRedefine/>
    <w:qFormat/>
    <w:uiPriority w:val="0"/>
    <w:pPr>
      <w:ind w:firstLine="420" w:firstLineChars="200"/>
    </w:pPr>
  </w:style>
  <w:style w:type="character" w:customStyle="1" w:styleId="74">
    <w:name w:val="h Char Char"/>
    <w:autoRedefine/>
    <w:qFormat/>
    <w:uiPriority w:val="0"/>
    <w:rPr>
      <w:rFonts w:eastAsia="仿宋_GB2312"/>
      <w:kern w:val="2"/>
      <w:sz w:val="18"/>
      <w:lang w:val="en-US" w:eastAsia="zh-CN" w:bidi="ar-SA"/>
    </w:rPr>
  </w:style>
  <w:style w:type="character" w:customStyle="1" w:styleId="75">
    <w:name w:val="label_list1"/>
    <w:autoRedefine/>
    <w:qFormat/>
    <w:uiPriority w:val="0"/>
  </w:style>
  <w:style w:type="character" w:customStyle="1" w:styleId="76">
    <w:name w:val="普通文字 Char Char2"/>
    <w:autoRedefine/>
    <w:qFormat/>
    <w:uiPriority w:val="0"/>
    <w:rPr>
      <w:rFonts w:ascii="宋体" w:hAnsi="Courier New" w:eastAsia="宋体"/>
      <w:kern w:val="2"/>
      <w:sz w:val="21"/>
      <w:lang w:val="en-US" w:eastAsia="zh-CN" w:bidi="ar-SA"/>
    </w:rPr>
  </w:style>
  <w:style w:type="character" w:customStyle="1" w:styleId="77">
    <w:name w:val="Char Char18"/>
    <w:autoRedefine/>
    <w:qFormat/>
    <w:uiPriority w:val="0"/>
    <w:rPr>
      <w:rFonts w:ascii="宋体" w:eastAsia="宋体"/>
      <w:snapToGrid w:val="0"/>
      <w:color w:val="000000"/>
      <w:kern w:val="28"/>
      <w:sz w:val="28"/>
      <w:lang w:val="en-US" w:eastAsia="zh-CN" w:bidi="ar-SA"/>
    </w:rPr>
  </w:style>
  <w:style w:type="character" w:customStyle="1" w:styleId="78">
    <w:name w:val="font111"/>
    <w:autoRedefine/>
    <w:qFormat/>
    <w:uiPriority w:val="0"/>
    <w:rPr>
      <w:rFonts w:hint="default" w:ascii="Calibri" w:hAnsi="Calibri" w:cs="Calibri"/>
      <w:color w:val="000000"/>
      <w:sz w:val="22"/>
      <w:szCs w:val="22"/>
      <w:u w:val="none"/>
    </w:rPr>
  </w:style>
  <w:style w:type="character" w:customStyle="1" w:styleId="79">
    <w:name w:val="cf01"/>
    <w:autoRedefine/>
    <w:qFormat/>
    <w:uiPriority w:val="0"/>
    <w:rPr>
      <w:rFonts w:hint="eastAsia" w:ascii="Microsoft YaHei UI" w:hAnsi="Microsoft YaHei UI" w:eastAsia="Microsoft YaHei UI"/>
      <w:sz w:val="18"/>
      <w:szCs w:val="18"/>
    </w:rPr>
  </w:style>
  <w:style w:type="character" w:customStyle="1" w:styleId="80">
    <w:name w:val="cf11"/>
    <w:autoRedefine/>
    <w:qFormat/>
    <w:uiPriority w:val="0"/>
    <w:rPr>
      <w:rFonts w:hint="eastAsia" w:ascii="Microsoft YaHei UI" w:hAnsi="Microsoft YaHei UI" w:eastAsia="Microsoft YaHei UI"/>
      <w:sz w:val="18"/>
      <w:szCs w:val="18"/>
    </w:rPr>
  </w:style>
  <w:style w:type="character" w:customStyle="1" w:styleId="81">
    <w:name w:val="fontstyle01"/>
    <w:autoRedefine/>
    <w:qFormat/>
    <w:uiPriority w:val="0"/>
    <w:rPr>
      <w:rFonts w:hint="eastAsia" w:ascii="宋体" w:hAnsi="宋体" w:eastAsia="宋体"/>
      <w:color w:val="000000"/>
      <w:sz w:val="22"/>
      <w:szCs w:val="22"/>
    </w:rPr>
  </w:style>
  <w:style w:type="character" w:customStyle="1" w:styleId="82">
    <w:name w:val="font51"/>
    <w:basedOn w:val="43"/>
    <w:autoRedefine/>
    <w:qFormat/>
    <w:uiPriority w:val="0"/>
    <w:rPr>
      <w:rFonts w:hint="default" w:ascii="等线" w:hAnsi="等线" w:eastAsia="等线" w:cs="等线"/>
      <w:b/>
      <w:bCs/>
      <w:color w:val="000000"/>
      <w:sz w:val="22"/>
      <w:szCs w:val="22"/>
      <w:u w:val="none"/>
    </w:rPr>
  </w:style>
  <w:style w:type="paragraph" w:customStyle="1" w:styleId="83">
    <w:name w:val="WPSOffice手动目录 1"/>
    <w:autoRedefine/>
    <w:qFormat/>
    <w:uiPriority w:val="0"/>
    <w:rPr>
      <w:rFonts w:ascii="Times New Roman" w:hAnsi="Times New Roman" w:eastAsia="宋体" w:cs="Times New Roman"/>
      <w:lang w:val="en-US" w:eastAsia="zh-CN" w:bidi="ar-SA"/>
    </w:rPr>
  </w:style>
  <w:style w:type="paragraph" w:customStyle="1" w:styleId="84">
    <w:name w:val="lp1"/>
    <w:basedOn w:val="1"/>
    <w:next w:val="73"/>
    <w:autoRedefine/>
    <w:qFormat/>
    <w:uiPriority w:val="34"/>
    <w:pPr>
      <w:widowControl/>
      <w:ind w:left="720"/>
      <w:contextualSpacing/>
      <w:jc w:val="left"/>
    </w:pPr>
    <w:rPr>
      <w:sz w:val="24"/>
      <w:szCs w:val="24"/>
    </w:rPr>
  </w:style>
  <w:style w:type="paragraph" w:customStyle="1" w:styleId="85">
    <w:name w:val="cjk"/>
    <w:basedOn w:val="1"/>
    <w:autoRedefine/>
    <w:qFormat/>
    <w:uiPriority w:val="0"/>
    <w:pPr>
      <w:widowControl/>
      <w:spacing w:line="480" w:lineRule="auto"/>
      <w:jc w:val="left"/>
    </w:pPr>
    <w:rPr>
      <w:rFonts w:ascii="宋体" w:hAnsi="宋体" w:cs="宋体"/>
      <w:kern w:val="0"/>
      <w:sz w:val="24"/>
      <w:szCs w:val="22"/>
    </w:rPr>
  </w:style>
  <w:style w:type="paragraph" w:customStyle="1" w:styleId="86">
    <w:name w:val="表格"/>
    <w:basedOn w:val="1"/>
    <w:autoRedefine/>
    <w:qFormat/>
    <w:uiPriority w:val="0"/>
    <w:pPr>
      <w:snapToGrid w:val="0"/>
      <w:spacing w:line="360" w:lineRule="auto"/>
      <w:ind w:firstLine="42" w:firstLineChars="21"/>
    </w:pPr>
    <w:rPr>
      <w:rFonts w:ascii="宋体" w:hAnsi="宋体"/>
      <w:kern w:val="0"/>
      <w:sz w:val="20"/>
    </w:rPr>
  </w:style>
  <w:style w:type="paragraph" w:customStyle="1" w:styleId="87">
    <w:name w:val="CM14"/>
    <w:basedOn w:val="88"/>
    <w:next w:val="88"/>
    <w:autoRedefine/>
    <w:unhideWhenUsed/>
    <w:qFormat/>
    <w:uiPriority w:val="99"/>
    <w:pPr>
      <w:spacing w:line="546" w:lineRule="atLeast"/>
    </w:pPr>
    <w:rPr>
      <w:rFonts w:hint="eastAsia"/>
    </w:rPr>
  </w:style>
  <w:style w:type="paragraph" w:customStyle="1" w:styleId="88">
    <w:name w:val="Default"/>
    <w:next w:val="89"/>
    <w:autoRedefine/>
    <w:qFormat/>
    <w:uiPriority w:val="0"/>
    <w:pPr>
      <w:widowControl w:val="0"/>
      <w:autoSpaceDE w:val="0"/>
      <w:autoSpaceDN w:val="0"/>
      <w:adjustRightInd w:val="0"/>
    </w:pPr>
    <w:rPr>
      <w:rFonts w:ascii="..ì." w:hAnsi="Times New Roman" w:eastAsia="..ì." w:cs="..ì."/>
      <w:color w:val="000000"/>
      <w:sz w:val="24"/>
      <w:szCs w:val="24"/>
      <w:lang w:val="en-US" w:eastAsia="zh-CN" w:bidi="ar-SA"/>
    </w:rPr>
  </w:style>
  <w:style w:type="paragraph" w:customStyle="1" w:styleId="89">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90">
    <w:name w:val="目录 71"/>
    <w:next w:val="1"/>
    <w:autoRedefine/>
    <w:qFormat/>
    <w:uiPriority w:val="0"/>
    <w:pPr>
      <w:wordWrap w:val="0"/>
      <w:ind w:left="2550"/>
      <w:jc w:val="both"/>
    </w:pPr>
    <w:rPr>
      <w:rFonts w:ascii="Calibri" w:hAnsi="Calibri" w:eastAsia="宋体" w:cs="Times New Roman"/>
      <w:sz w:val="21"/>
      <w:szCs w:val="22"/>
      <w:lang w:val="en-US" w:eastAsia="zh-CN" w:bidi="ar-SA"/>
    </w:rPr>
  </w:style>
  <w:style w:type="paragraph" w:customStyle="1" w:styleId="91">
    <w:name w:val="_Style 88"/>
    <w:autoRedefine/>
    <w:unhideWhenUsed/>
    <w:qFormat/>
    <w:uiPriority w:val="99"/>
    <w:rPr>
      <w:rFonts w:hint="eastAsia" w:ascii="Times New Roman" w:hAnsi="Times New Roman" w:eastAsia="宋体" w:cs="Times New Roman"/>
      <w:kern w:val="2"/>
      <w:sz w:val="21"/>
      <w:lang w:val="en-US" w:eastAsia="zh-CN" w:bidi="ar-SA"/>
    </w:rPr>
  </w:style>
  <w:style w:type="paragraph" w:customStyle="1" w:styleId="92">
    <w:name w:val="正文1"/>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3">
    <w:name w:val="f1"/>
    <w:basedOn w:val="1"/>
    <w:autoRedefine/>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94">
    <w:name w:val="Medium Grid 1 - Accent 21"/>
    <w:basedOn w:val="1"/>
    <w:autoRedefine/>
    <w:qFormat/>
    <w:uiPriority w:val="0"/>
    <w:pPr>
      <w:spacing w:line="500" w:lineRule="exact"/>
      <w:ind w:firstLine="420" w:firstLineChars="200"/>
    </w:pPr>
    <w:rPr>
      <w:kern w:val="0"/>
      <w:szCs w:val="24"/>
    </w:rPr>
  </w:style>
  <w:style w:type="paragraph" w:styleId="95">
    <w:name w:val="List Paragraph"/>
    <w:basedOn w:val="1"/>
    <w:autoRedefine/>
    <w:qFormat/>
    <w:uiPriority w:val="0"/>
    <w:pPr>
      <w:widowControl/>
      <w:ind w:left="720" w:firstLine="360"/>
      <w:contextualSpacing/>
      <w:jc w:val="left"/>
    </w:pPr>
    <w:rPr>
      <w:rFonts w:ascii="Calibri" w:hAnsi="Calibri"/>
      <w:kern w:val="0"/>
      <w:sz w:val="22"/>
      <w:szCs w:val="22"/>
      <w:lang w:eastAsia="en-US" w:bidi="en-US"/>
    </w:rPr>
  </w:style>
  <w:style w:type="paragraph" w:customStyle="1" w:styleId="96">
    <w:name w:val="Table Paragraph"/>
    <w:basedOn w:val="1"/>
    <w:autoRedefine/>
    <w:qFormat/>
    <w:uiPriority w:val="1"/>
    <w:rPr>
      <w:rFonts w:ascii="宋体" w:hAnsi="宋体" w:cs="宋体"/>
      <w:lang w:val="zh-CN" w:bidi="zh-CN"/>
    </w:rPr>
  </w:style>
  <w:style w:type="paragraph" w:customStyle="1" w:styleId="97">
    <w:name w:val="Normal1"/>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8">
    <w:name w:val="纯文本1"/>
    <w:basedOn w:val="92"/>
    <w:autoRedefine/>
    <w:qFormat/>
    <w:uiPriority w:val="0"/>
    <w:pPr>
      <w:widowControl/>
      <w:jc w:val="left"/>
    </w:pPr>
    <w:rPr>
      <w:rFonts w:ascii="宋体" w:hAnsi="Courier New"/>
    </w:rPr>
  </w:style>
  <w:style w:type="paragraph" w:customStyle="1" w:styleId="99">
    <w:name w:val="内文正文"/>
    <w:autoRedefine/>
    <w:qFormat/>
    <w:uiPriority w:val="0"/>
    <w:pPr>
      <w:autoSpaceDE w:val="0"/>
      <w:autoSpaceDN w:val="0"/>
      <w:spacing w:line="400" w:lineRule="exact"/>
      <w:ind w:firstLine="200" w:firstLineChars="200"/>
      <w:jc w:val="both"/>
      <w:textAlignment w:val="bottom"/>
    </w:pPr>
    <w:rPr>
      <w:rFonts w:ascii="??" w:hAnsi="??" w:eastAsia="??" w:cs="Times New Roman"/>
      <w:sz w:val="21"/>
      <w:szCs w:val="28"/>
      <w:lang w:val="en-US" w:eastAsia="zh-CN" w:bidi="ar-SA"/>
    </w:rPr>
  </w:style>
  <w:style w:type="paragraph" w:customStyle="1" w:styleId="100">
    <w:name w:val="表内文字"/>
    <w:basedOn w:val="1"/>
    <w:autoRedefine/>
    <w:qFormat/>
    <w:uiPriority w:val="0"/>
    <w:pPr>
      <w:tabs>
        <w:tab w:val="left" w:pos="1418"/>
      </w:tabs>
      <w:spacing w:line="360" w:lineRule="auto"/>
      <w:jc w:val="center"/>
    </w:pPr>
    <w:rPr>
      <w:rFonts w:ascii="仿宋_GB2312" w:eastAsia="仿宋_GB2312"/>
      <w:spacing w:val="-20"/>
      <w:kern w:val="0"/>
      <w:sz w:val="24"/>
    </w:rPr>
  </w:style>
  <w:style w:type="paragraph" w:customStyle="1" w:styleId="101">
    <w:name w:val="xl29"/>
    <w:basedOn w:val="1"/>
    <w:autoRedefine/>
    <w:qFormat/>
    <w:uiPriority w:val="0"/>
    <w:pPr>
      <w:widowControl/>
      <w:pBdr>
        <w:bottom w:val="single" w:color="auto" w:sz="4" w:space="0"/>
        <w:right w:val="single" w:color="auto" w:sz="4" w:space="0"/>
      </w:pBdr>
      <w:adjustRightInd w:val="0"/>
      <w:spacing w:before="100" w:beforeAutospacing="1" w:after="100" w:afterAutospacing="1" w:line="312" w:lineRule="atLeast"/>
      <w:textAlignment w:val="baseline"/>
    </w:pPr>
    <w:rPr>
      <w:rFonts w:ascii="宋体" w:hAnsi="宋体"/>
      <w:kern w:val="0"/>
      <w:sz w:val="24"/>
    </w:rPr>
  </w:style>
  <w:style w:type="paragraph" w:customStyle="1" w:styleId="102">
    <w:name w:val="正文 A"/>
    <w:autoRedefine/>
    <w:qFormat/>
    <w:uiPriority w:val="0"/>
    <w:pPr>
      <w:widowControl w:val="0"/>
      <w:pBdr>
        <w:top w:val="none" w:color="FFFFFF" w:sz="0" w:space="31"/>
        <w:left w:val="none" w:color="FFFFFF" w:sz="0" w:space="31"/>
        <w:bottom w:val="none" w:color="FFFFFF" w:sz="0" w:space="31"/>
        <w:right w:val="none" w:color="FFFFFF" w:sz="0" w:space="31"/>
      </w:pBdr>
      <w:jc w:val="both"/>
    </w:pPr>
    <w:rPr>
      <w:rFonts w:ascii="Times New Roman" w:hAnsi="Arial Unicode MS" w:eastAsia="Times New Roman" w:cs="Arial Unicode MS"/>
      <w:color w:val="000000"/>
      <w:kern w:val="2"/>
      <w:sz w:val="21"/>
      <w:szCs w:val="21"/>
      <w:u w:color="000000"/>
      <w:lang w:val="en-US" w:eastAsia="zh-CN" w:bidi="ar-SA"/>
    </w:rPr>
  </w:style>
  <w:style w:type="paragraph" w:customStyle="1" w:styleId="103">
    <w:name w:val="CM19"/>
    <w:basedOn w:val="88"/>
    <w:next w:val="88"/>
    <w:autoRedefine/>
    <w:unhideWhenUsed/>
    <w:qFormat/>
    <w:uiPriority w:val="99"/>
    <w:rPr>
      <w:rFonts w:hint="eastAsia"/>
    </w:rPr>
  </w:style>
  <w:style w:type="paragraph" w:customStyle="1" w:styleId="104">
    <w:name w:val="列出段落1"/>
    <w:basedOn w:val="1"/>
    <w:autoRedefine/>
    <w:qFormat/>
    <w:uiPriority w:val="0"/>
    <w:pPr>
      <w:ind w:firstLine="420" w:firstLineChars="200"/>
    </w:pPr>
    <w:rPr>
      <w:rFonts w:ascii="Calibri" w:hAnsi="Calibri"/>
      <w:szCs w:val="22"/>
    </w:rPr>
  </w:style>
  <w:style w:type="paragraph" w:customStyle="1" w:styleId="105">
    <w:name w:val="1 Char"/>
    <w:basedOn w:val="1"/>
    <w:autoRedefine/>
    <w:qFormat/>
    <w:uiPriority w:val="0"/>
  </w:style>
  <w:style w:type="paragraph" w:customStyle="1" w:styleId="106">
    <w:name w:val="默认段落字体 Para Char Char Char Char"/>
    <w:basedOn w:val="1"/>
    <w:autoRedefine/>
    <w:qFormat/>
    <w:uiPriority w:val="0"/>
    <w:rPr>
      <w:spacing w:val="20"/>
      <w:sz w:val="28"/>
      <w:szCs w:val="21"/>
    </w:rPr>
  </w:style>
  <w:style w:type="paragraph" w:customStyle="1" w:styleId="107">
    <w:name w:val="标题B"/>
    <w:basedOn w:val="4"/>
    <w:autoRedefine/>
    <w:qFormat/>
    <w:uiPriority w:val="0"/>
    <w:pPr>
      <w:adjustRightInd w:val="0"/>
      <w:spacing w:before="100" w:beforeAutospacing="1" w:after="100" w:afterAutospacing="1" w:line="240" w:lineRule="auto"/>
      <w:jc w:val="center"/>
      <w:textAlignment w:val="baseline"/>
    </w:pPr>
    <w:rPr>
      <w:rFonts w:eastAsia="宋体"/>
      <w:kern w:val="0"/>
      <w:sz w:val="28"/>
      <w:szCs w:val="28"/>
    </w:rPr>
  </w:style>
  <w:style w:type="paragraph" w:customStyle="1" w:styleId="108">
    <w:name w:val="样式 正文文本"/>
    <w:basedOn w:val="1"/>
    <w:autoRedefine/>
    <w:qFormat/>
    <w:uiPriority w:val="0"/>
    <w:pPr>
      <w:adjustRightInd w:val="0"/>
      <w:snapToGrid w:val="0"/>
      <w:spacing w:line="400" w:lineRule="exact"/>
      <w:ind w:firstLine="200" w:firstLineChars="200"/>
    </w:pPr>
    <w:rPr>
      <w:rFonts w:ascii="Arial" w:hAnsi="Arial"/>
      <w:color w:val="000000"/>
    </w:rPr>
  </w:style>
  <w:style w:type="paragraph" w:customStyle="1" w:styleId="109">
    <w:name w:val="Char Char Char"/>
    <w:basedOn w:val="1"/>
    <w:autoRedefine/>
    <w:qFormat/>
    <w:uiPriority w:val="0"/>
    <w:rPr>
      <w:rFonts w:ascii="Calibri" w:hAnsi="Calibri"/>
      <w:szCs w:val="22"/>
    </w:rPr>
  </w:style>
  <w:style w:type="paragraph" w:customStyle="1" w:styleId="110">
    <w:name w:val="Char Char Char Char Char Char"/>
    <w:basedOn w:val="1"/>
    <w:autoRedefine/>
    <w:qFormat/>
    <w:uiPriority w:val="0"/>
    <w:rPr>
      <w:rFonts w:ascii="仿宋_GB2312" w:eastAsia="仿宋_GB2312"/>
      <w:b/>
      <w:sz w:val="32"/>
      <w:szCs w:val="32"/>
    </w:rPr>
  </w:style>
  <w:style w:type="paragraph" w:customStyle="1" w:styleId="111">
    <w:name w:val="Blockquote"/>
    <w:basedOn w:val="1"/>
    <w:autoRedefine/>
    <w:qFormat/>
    <w:uiPriority w:val="0"/>
    <w:pPr>
      <w:autoSpaceDE w:val="0"/>
      <w:autoSpaceDN w:val="0"/>
      <w:adjustRightInd w:val="0"/>
      <w:spacing w:before="100" w:after="100"/>
      <w:ind w:left="360" w:right="360"/>
      <w:jc w:val="left"/>
    </w:pPr>
    <w:rPr>
      <w:rFonts w:eastAsia="??"/>
      <w:kern w:val="0"/>
      <w:sz w:val="24"/>
      <w:szCs w:val="28"/>
    </w:rPr>
  </w:style>
  <w:style w:type="paragraph" w:customStyle="1" w:styleId="112">
    <w:name w:val="CM11"/>
    <w:basedOn w:val="88"/>
    <w:next w:val="88"/>
    <w:autoRedefine/>
    <w:unhideWhenUsed/>
    <w:qFormat/>
    <w:uiPriority w:val="99"/>
    <w:pPr>
      <w:spacing w:line="520" w:lineRule="atLeast"/>
    </w:pPr>
    <w:rPr>
      <w:rFonts w:hint="eastAsia"/>
    </w:rPr>
  </w:style>
  <w:style w:type="paragraph" w:customStyle="1" w:styleId="113">
    <w:name w:val="xl24"/>
    <w:basedOn w:val="1"/>
    <w:autoRedefine/>
    <w:qFormat/>
    <w:uiPriority w:val="0"/>
    <w:pPr>
      <w:widowControl/>
      <w:pBdr>
        <w:left w:val="single" w:color="auto" w:sz="4" w:space="0"/>
        <w:bottom w:val="single" w:color="auto" w:sz="4" w:space="0"/>
        <w:right w:val="single" w:color="auto" w:sz="4" w:space="0"/>
      </w:pBdr>
      <w:adjustRightInd w:val="0"/>
      <w:spacing w:before="100" w:beforeAutospacing="1" w:after="100" w:afterAutospacing="1" w:line="312" w:lineRule="atLeast"/>
      <w:jc w:val="center"/>
      <w:textAlignment w:val="top"/>
    </w:pPr>
    <w:rPr>
      <w:rFonts w:ascii="仿宋_GB2312" w:hAnsi="宋体" w:eastAsia="仿宋_GB2312"/>
      <w:kern w:val="0"/>
      <w:sz w:val="24"/>
    </w:rPr>
  </w:style>
  <w:style w:type="paragraph" w:customStyle="1" w:styleId="114">
    <w:name w:val="Char"/>
    <w:basedOn w:val="1"/>
    <w:autoRedefine/>
    <w:qFormat/>
    <w:uiPriority w:val="0"/>
    <w:pPr>
      <w:tabs>
        <w:tab w:val="left" w:pos="1200"/>
      </w:tabs>
      <w:ind w:left="1200" w:hanging="360"/>
    </w:pPr>
    <w:rPr>
      <w:sz w:val="24"/>
    </w:rPr>
  </w:style>
  <w:style w:type="paragraph" w:customStyle="1" w:styleId="115">
    <w:name w:val="UserStyle_0"/>
    <w:next w:val="116"/>
    <w:autoRedefine/>
    <w:qFormat/>
    <w:uiPriority w:val="0"/>
    <w:pPr>
      <w:textAlignment w:val="baseline"/>
    </w:pPr>
    <w:rPr>
      <w:rFonts w:ascii="Arial" w:hAnsi="Arial" w:eastAsia="宋体" w:cs="Times New Roman"/>
      <w:color w:val="000000"/>
      <w:sz w:val="24"/>
      <w:szCs w:val="24"/>
      <w:lang w:val="en-US" w:eastAsia="zh-CN" w:bidi="ar-SA"/>
    </w:rPr>
  </w:style>
  <w:style w:type="paragraph" w:customStyle="1" w:styleId="116">
    <w:name w:val="UserStyle_1"/>
    <w:next w:val="1"/>
    <w:autoRedefine/>
    <w:qFormat/>
    <w:uiPriority w:val="0"/>
    <w:pPr>
      <w:ind w:left="2550"/>
      <w:jc w:val="both"/>
      <w:textAlignment w:val="baseline"/>
    </w:pPr>
    <w:rPr>
      <w:rFonts w:ascii="Times New Roman" w:hAnsi="Times New Roman" w:eastAsia="宋体" w:cs="Times New Roman"/>
      <w:sz w:val="21"/>
      <w:szCs w:val="22"/>
      <w:lang w:val="en-US" w:eastAsia="zh-CN" w:bidi="ar-SA"/>
    </w:rPr>
  </w:style>
  <w:style w:type="paragraph" w:customStyle="1" w:styleId="117">
    <w:name w:val="标题C"/>
    <w:basedOn w:val="5"/>
    <w:autoRedefine/>
    <w:qFormat/>
    <w:uiPriority w:val="0"/>
    <w:pPr>
      <w:adjustRightInd w:val="0"/>
      <w:spacing w:before="100" w:beforeAutospacing="1" w:after="100" w:afterAutospacing="1" w:line="240" w:lineRule="auto"/>
      <w:jc w:val="center"/>
      <w:textAlignment w:val="baseline"/>
    </w:pPr>
    <w:rPr>
      <w:kern w:val="0"/>
      <w:sz w:val="24"/>
      <w:szCs w:val="24"/>
    </w:rPr>
  </w:style>
  <w:style w:type="paragraph" w:customStyle="1" w:styleId="118">
    <w:name w:val="正文2"/>
    <w:basedOn w:val="1"/>
    <w:autoRedefine/>
    <w:qFormat/>
    <w:uiPriority w:val="0"/>
    <w:pPr>
      <w:spacing w:before="156" w:line="360" w:lineRule="auto"/>
      <w:ind w:firstLine="510" w:firstLineChars="200"/>
    </w:pPr>
    <w:rPr>
      <w:sz w:val="24"/>
    </w:rPr>
  </w:style>
  <w:style w:type="paragraph" w:customStyle="1" w:styleId="119">
    <w:name w:val="Proposals body"/>
    <w:basedOn w:val="1"/>
    <w:next w:val="1"/>
    <w:autoRedefine/>
    <w:qFormat/>
    <w:uiPriority w:val="0"/>
    <w:pPr>
      <w:widowControl/>
      <w:spacing w:line="360" w:lineRule="auto"/>
      <w:jc w:val="left"/>
    </w:pPr>
    <w:rPr>
      <w:rFonts w:ascii="宋体"/>
      <w:snapToGrid w:val="0"/>
      <w:color w:val="000000"/>
      <w:kern w:val="0"/>
      <w:sz w:val="24"/>
    </w:rPr>
  </w:style>
  <w:style w:type="paragraph" w:customStyle="1" w:styleId="120">
    <w:name w:val="Plain Text1"/>
    <w:basedOn w:val="97"/>
    <w:autoRedefine/>
    <w:qFormat/>
    <w:uiPriority w:val="0"/>
    <w:pPr>
      <w:widowControl/>
      <w:jc w:val="left"/>
    </w:pPr>
    <w:rPr>
      <w:rFonts w:ascii="宋体" w:hAnsi="Courier New"/>
    </w:rPr>
  </w:style>
  <w:style w:type="paragraph" w:customStyle="1" w:styleId="121">
    <w:name w:val="标题A"/>
    <w:basedOn w:val="3"/>
    <w:autoRedefine/>
    <w:qFormat/>
    <w:uiPriority w:val="0"/>
    <w:pPr>
      <w:keepLines/>
      <w:adjustRightInd w:val="0"/>
      <w:spacing w:before="100" w:beforeAutospacing="1" w:after="60"/>
      <w:textAlignment w:val="baseline"/>
    </w:pPr>
    <w:rPr>
      <w:rFonts w:ascii="Arial" w:hAnsi="Arial"/>
      <w:kern w:val="44"/>
      <w:sz w:val="28"/>
      <w:szCs w:val="44"/>
    </w:rPr>
  </w:style>
  <w:style w:type="paragraph" w:customStyle="1" w:styleId="122">
    <w:name w:val="CM13"/>
    <w:basedOn w:val="88"/>
    <w:next w:val="88"/>
    <w:autoRedefine/>
    <w:unhideWhenUsed/>
    <w:qFormat/>
    <w:uiPriority w:val="99"/>
    <w:pPr>
      <w:spacing w:line="520" w:lineRule="atLeast"/>
    </w:pPr>
    <w:rPr>
      <w:rFonts w:hint="eastAsia"/>
    </w:rPr>
  </w:style>
  <w:style w:type="paragraph" w:customStyle="1" w:styleId="123">
    <w:name w:val="Char1"/>
    <w:basedOn w:val="1"/>
    <w:autoRedefine/>
    <w:qFormat/>
    <w:uiPriority w:val="0"/>
    <w:pPr>
      <w:widowControl/>
      <w:spacing w:after="160" w:line="240" w:lineRule="exact"/>
      <w:jc w:val="left"/>
    </w:pPr>
    <w:rPr>
      <w:rFonts w:ascii="Verdana" w:hAnsi="Verdana" w:eastAsia="仿宋_GB2312"/>
      <w:kern w:val="0"/>
      <w:sz w:val="24"/>
      <w:lang w:eastAsia="en-US"/>
    </w:rPr>
  </w:style>
  <w:style w:type="paragraph" w:customStyle="1" w:styleId="124">
    <w:name w:val="简单回函地址"/>
    <w:basedOn w:val="1"/>
    <w:autoRedefine/>
    <w:qFormat/>
    <w:uiPriority w:val="0"/>
    <w:pPr>
      <w:adjustRightInd w:val="0"/>
      <w:spacing w:line="312" w:lineRule="atLeast"/>
      <w:textAlignment w:val="baseline"/>
    </w:pPr>
    <w:rPr>
      <w:kern w:val="0"/>
    </w:rPr>
  </w:style>
  <w:style w:type="paragraph" w:customStyle="1" w:styleId="125">
    <w:name w:val="Body Text First Indent1"/>
    <w:basedOn w:val="2"/>
    <w:autoRedefine/>
    <w:qFormat/>
    <w:uiPriority w:val="0"/>
    <w:pPr>
      <w:spacing w:line="312" w:lineRule="auto"/>
      <w:ind w:firstLine="420"/>
    </w:pPr>
    <w:rPr>
      <w:rFonts w:ascii="Calibri" w:hAnsi="Calibri"/>
      <w:sz w:val="32"/>
      <w:szCs w:val="24"/>
    </w:rPr>
  </w:style>
  <w:style w:type="paragraph" w:customStyle="1" w:styleId="126">
    <w:name w:val="xl35"/>
    <w:basedOn w:val="1"/>
    <w:autoRedefine/>
    <w:qFormat/>
    <w:uiPriority w:val="0"/>
    <w:pPr>
      <w:widowControl/>
      <w:spacing w:before="100" w:beforeAutospacing="1" w:after="100" w:afterAutospacing="1"/>
      <w:jc w:val="right"/>
      <w:textAlignment w:val="center"/>
    </w:pPr>
    <w:rPr>
      <w:rFonts w:ascii="宋体" w:hAnsi="宋体"/>
      <w:kern w:val="0"/>
      <w:sz w:val="18"/>
      <w:szCs w:val="18"/>
    </w:rPr>
  </w:style>
  <w:style w:type="paragraph" w:customStyle="1" w:styleId="127">
    <w:name w:val="首行缩进"/>
    <w:basedOn w:val="1"/>
    <w:autoRedefine/>
    <w:qFormat/>
    <w:uiPriority w:val="0"/>
    <w:pPr>
      <w:adjustRightInd w:val="0"/>
      <w:spacing w:line="360" w:lineRule="auto"/>
      <w:ind w:firstLine="480" w:firstLineChars="200"/>
    </w:pPr>
    <w:rPr>
      <w:rFonts w:ascii="宋体"/>
      <w:sz w:val="24"/>
    </w:rPr>
  </w:style>
  <w:style w:type="paragraph" w:customStyle="1" w:styleId="128">
    <w:name w:val="样式1"/>
    <w:basedOn w:val="1"/>
    <w:autoRedefine/>
    <w:qFormat/>
    <w:uiPriority w:val="0"/>
    <w:pPr>
      <w:spacing w:line="360" w:lineRule="exact"/>
      <w:ind w:firstLine="200" w:firstLineChars="200"/>
    </w:pPr>
    <w:rPr>
      <w:rFonts w:ascii="Arial" w:hAnsi="Arial"/>
    </w:rPr>
  </w:style>
  <w:style w:type="paragraph" w:customStyle="1" w:styleId="129">
    <w:name w:val="正文_13"/>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0">
    <w:name w:val="Char Char Char Char Char Char Char Char Char Char Char Char Char Char Char Char Char Char Char Char Char Char Char Char Char Char Char Char Char1 Char Char Char Char Char Char Char Char Char Char Char Char"/>
    <w:basedOn w:val="1"/>
    <w:autoRedefine/>
    <w:unhideWhenUsed/>
    <w:qFormat/>
    <w:uiPriority w:val="0"/>
    <w:rPr>
      <w:rFonts w:ascii="仿宋_GB2312" w:eastAsia="仿宋_GB2312"/>
      <w:b/>
      <w:sz w:val="32"/>
    </w:rPr>
  </w:style>
  <w:style w:type="paragraph" w:customStyle="1" w:styleId="131">
    <w:name w:val="Normal Indent1"/>
    <w:basedOn w:val="1"/>
    <w:autoRedefine/>
    <w:qFormat/>
    <w:uiPriority w:val="0"/>
    <w:pPr>
      <w:ind w:firstLine="420"/>
    </w:pPr>
  </w:style>
  <w:style w:type="paragraph" w:customStyle="1" w:styleId="132">
    <w:name w:val="正文段"/>
    <w:basedOn w:val="1"/>
    <w:autoRedefine/>
    <w:qFormat/>
    <w:uiPriority w:val="0"/>
    <w:pPr>
      <w:widowControl/>
      <w:snapToGrid w:val="0"/>
      <w:spacing w:afterLines="50"/>
      <w:ind w:firstLine="200" w:firstLineChars="200"/>
    </w:pPr>
    <w:rPr>
      <w:kern w:val="0"/>
      <w:sz w:val="24"/>
    </w:rPr>
  </w:style>
  <w:style w:type="paragraph" w:customStyle="1" w:styleId="133">
    <w:name w:val="默认段落字体 Para Char Char Char Char Char Char Char Char Char1 Char Char Char Char"/>
    <w:basedOn w:val="1"/>
    <w:autoRedefine/>
    <w:qFormat/>
    <w:uiPriority w:val="0"/>
    <w:rPr>
      <w:rFonts w:ascii="Tahoma" w:hAnsi="Tahoma"/>
      <w:sz w:val="24"/>
    </w:rPr>
  </w:style>
  <w:style w:type="paragraph" w:customStyle="1" w:styleId="134">
    <w:name w:val="正文缩进1"/>
    <w:basedOn w:val="135"/>
    <w:next w:val="51"/>
    <w:autoRedefine/>
    <w:qFormat/>
    <w:uiPriority w:val="0"/>
    <w:pPr>
      <w:spacing w:line="480" w:lineRule="exact"/>
    </w:pPr>
    <w:rPr>
      <w:rFonts w:ascii="宋体" w:hAnsi="宋体"/>
      <w:sz w:val="24"/>
    </w:rPr>
  </w:style>
  <w:style w:type="paragraph" w:customStyle="1" w:styleId="135">
    <w:name w:val="正文11"/>
    <w:next w:val="13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6">
    <w:name w:val="文档正文"/>
    <w:basedOn w:val="1"/>
    <w:autoRedefine/>
    <w:qFormat/>
    <w:uiPriority w:val="0"/>
    <w:pPr>
      <w:adjustRightInd w:val="0"/>
      <w:spacing w:line="312" w:lineRule="atLeast"/>
      <w:ind w:firstLine="567"/>
      <w:textAlignment w:val="baseline"/>
    </w:pPr>
    <w:rPr>
      <w:rFonts w:ascii="长城仿宋" w:hAnsi="Calibri" w:eastAsia="长城仿宋"/>
      <w:sz w:val="28"/>
      <w:szCs w:val="22"/>
    </w:rPr>
  </w:style>
  <w:style w:type="paragraph" w:customStyle="1" w:styleId="137">
    <w:name w:val="font5"/>
    <w:basedOn w:val="1"/>
    <w:autoRedefine/>
    <w:qFormat/>
    <w:uiPriority w:val="0"/>
    <w:pPr>
      <w:widowControl/>
      <w:spacing w:before="100" w:beforeAutospacing="1" w:after="100" w:afterAutospacing="1"/>
      <w:jc w:val="left"/>
    </w:pPr>
    <w:rPr>
      <w:rFonts w:ascii="宋体" w:hAnsi="宋体"/>
      <w:kern w:val="0"/>
      <w:sz w:val="18"/>
      <w:szCs w:val="18"/>
    </w:rPr>
  </w:style>
  <w:style w:type="paragraph" w:customStyle="1" w:styleId="138">
    <w:name w:val="p0"/>
    <w:basedOn w:val="1"/>
    <w:autoRedefine/>
    <w:qFormat/>
    <w:uiPriority w:val="0"/>
    <w:pPr>
      <w:widowControl/>
    </w:pPr>
    <w:rPr>
      <w:kern w:val="0"/>
      <w:szCs w:val="21"/>
    </w:rPr>
  </w:style>
  <w:style w:type="character" w:customStyle="1" w:styleId="139">
    <w:name w:val="font21"/>
    <w:basedOn w:val="43"/>
    <w:autoRedefine/>
    <w:qFormat/>
    <w:uiPriority w:val="0"/>
    <w:rPr>
      <w:rFonts w:hint="eastAsia" w:ascii="宋体" w:hAnsi="宋体" w:eastAsia="宋体" w:cs="宋体"/>
      <w:color w:val="000000"/>
      <w:sz w:val="24"/>
      <w:szCs w:val="24"/>
      <w:u w:val="none"/>
    </w:rPr>
  </w:style>
  <w:style w:type="character" w:customStyle="1" w:styleId="140">
    <w:name w:val="font31"/>
    <w:basedOn w:val="43"/>
    <w:autoRedefine/>
    <w:qFormat/>
    <w:uiPriority w:val="0"/>
    <w:rPr>
      <w:rFonts w:hint="eastAsia" w:ascii="宋体" w:hAnsi="宋体" w:eastAsia="宋体" w:cs="宋体"/>
      <w:b/>
      <w:bCs/>
      <w:color w:val="000000"/>
      <w:sz w:val="24"/>
      <w:szCs w:val="24"/>
      <w:u w:val="none"/>
    </w:rPr>
  </w:style>
  <w:style w:type="paragraph" w:customStyle="1" w:styleId="141">
    <w:name w:val="_Style 1"/>
    <w:basedOn w:val="1"/>
    <w:autoRedefine/>
    <w:qFormat/>
    <w:uiPriority w:val="0"/>
    <w:pPr>
      <w:ind w:firstLine="420"/>
    </w:pPr>
    <w:rPr>
      <w:rFonts w:ascii="Calibri" w:hAnsi="Calibri"/>
      <w:szCs w:val="22"/>
    </w:rPr>
  </w:style>
  <w:style w:type="character" w:customStyle="1" w:styleId="142">
    <w:name w:val="标题 1 字符1"/>
    <w:link w:val="3"/>
    <w:autoRedefine/>
    <w:qFormat/>
    <w:uiPriority w:val="0"/>
    <w:rPr>
      <w:rFonts w:eastAsia="宋体"/>
      <w:b/>
      <w:bCs/>
      <w:kern w:val="2"/>
      <w:sz w:val="24"/>
      <w:szCs w:val="24"/>
      <w:lang w:val="en-US" w:eastAsia="zh-CN" w:bidi="ar-SA"/>
    </w:rPr>
  </w:style>
  <w:style w:type="paragraph" w:customStyle="1" w:styleId="143">
    <w:name w:val="无间隔1"/>
    <w:autoRedefine/>
    <w:qFormat/>
    <w:uiPriority w:val="0"/>
    <w:rPr>
      <w:rFonts w:ascii="Calibri" w:hAnsi="Calibri" w:eastAsia="宋体" w:cs="Times New Roman"/>
      <w:sz w:val="22"/>
      <w:szCs w:val="22"/>
      <w:lang w:val="en-US" w:eastAsia="en-US" w:bidi="ar-SA"/>
    </w:rPr>
  </w:style>
  <w:style w:type="character" w:customStyle="1" w:styleId="144">
    <w:name w:val="font211"/>
    <w:basedOn w:val="43"/>
    <w:autoRedefine/>
    <w:qFormat/>
    <w:uiPriority w:val="0"/>
    <w:rPr>
      <w:rFonts w:ascii="宋体" w:hAnsi="宋体" w:eastAsia="宋体" w:cs="宋体"/>
      <w:color w:val="000000"/>
      <w:sz w:val="20"/>
      <w:szCs w:val="20"/>
      <w:u w:val="none"/>
    </w:rPr>
  </w:style>
  <w:style w:type="character" w:customStyle="1" w:styleId="145">
    <w:name w:val="font22"/>
    <w:basedOn w:val="43"/>
    <w:autoRedefine/>
    <w:qFormat/>
    <w:uiPriority w:val="0"/>
    <w:rPr>
      <w:rFonts w:hint="eastAsia" w:ascii="宋体" w:hAnsi="宋体" w:eastAsia="宋体" w:cs="宋体"/>
      <w:color w:val="000000"/>
      <w:sz w:val="20"/>
      <w:szCs w:val="20"/>
      <w:u w:val="none"/>
    </w:rPr>
  </w:style>
  <w:style w:type="character" w:customStyle="1" w:styleId="146">
    <w:name w:val="font222"/>
    <w:basedOn w:val="43"/>
    <w:autoRedefine/>
    <w:qFormat/>
    <w:uiPriority w:val="0"/>
    <w:rPr>
      <w:rFonts w:hint="eastAsia" w:ascii="宋体" w:hAnsi="宋体" w:eastAsia="宋体" w:cs="宋体"/>
      <w:color w:val="000000"/>
      <w:sz w:val="20"/>
      <w:szCs w:val="20"/>
      <w:u w:val="none"/>
      <w:vertAlign w:val="superscript"/>
    </w:rPr>
  </w:style>
  <w:style w:type="character" w:customStyle="1" w:styleId="147">
    <w:name w:val="font231"/>
    <w:basedOn w:val="43"/>
    <w:autoRedefine/>
    <w:qFormat/>
    <w:uiPriority w:val="0"/>
    <w:rPr>
      <w:rFonts w:hint="eastAsia" w:ascii="宋体" w:hAnsi="宋体" w:eastAsia="宋体" w:cs="宋体"/>
      <w:color w:val="FF0000"/>
      <w:sz w:val="20"/>
      <w:szCs w:val="20"/>
      <w:u w:val="none"/>
    </w:rPr>
  </w:style>
  <w:style w:type="character" w:customStyle="1" w:styleId="148">
    <w:name w:val="font91"/>
    <w:basedOn w:val="43"/>
    <w:autoRedefine/>
    <w:qFormat/>
    <w:uiPriority w:val="0"/>
    <w:rPr>
      <w:rFonts w:hint="eastAsia" w:ascii="宋体" w:hAnsi="宋体" w:eastAsia="宋体" w:cs="宋体"/>
      <w:color w:val="000000"/>
      <w:sz w:val="20"/>
      <w:szCs w:val="20"/>
      <w:u w:val="none"/>
    </w:rPr>
  </w:style>
  <w:style w:type="character" w:customStyle="1" w:styleId="149">
    <w:name w:val="font251"/>
    <w:basedOn w:val="43"/>
    <w:autoRedefine/>
    <w:qFormat/>
    <w:uiPriority w:val="0"/>
    <w:rPr>
      <w:rFonts w:ascii="宋体" w:hAnsi="宋体" w:eastAsia="宋体" w:cs="宋体"/>
      <w:color w:val="000000"/>
      <w:sz w:val="20"/>
      <w:szCs w:val="20"/>
      <w:u w:val="none"/>
    </w:rPr>
  </w:style>
  <w:style w:type="character" w:customStyle="1" w:styleId="150">
    <w:name w:val="font141"/>
    <w:basedOn w:val="43"/>
    <w:autoRedefine/>
    <w:qFormat/>
    <w:uiPriority w:val="0"/>
    <w:rPr>
      <w:rFonts w:hint="eastAsia" w:ascii="宋体" w:hAnsi="宋体" w:eastAsia="宋体" w:cs="宋体"/>
      <w:color w:val="000000"/>
      <w:sz w:val="20"/>
      <w:szCs w:val="20"/>
      <w:u w:val="none"/>
    </w:rPr>
  </w:style>
  <w:style w:type="character" w:customStyle="1" w:styleId="151">
    <w:name w:val="font81"/>
    <w:basedOn w:val="43"/>
    <w:autoRedefine/>
    <w:qFormat/>
    <w:uiPriority w:val="0"/>
    <w:rPr>
      <w:rFonts w:hint="eastAsia" w:ascii="宋体" w:hAnsi="宋体" w:eastAsia="宋体" w:cs="宋体"/>
      <w:color w:val="000000"/>
      <w:sz w:val="20"/>
      <w:szCs w:val="20"/>
      <w:u w:val="none"/>
      <w:vertAlign w:val="superscript"/>
    </w:rPr>
  </w:style>
  <w:style w:type="character" w:customStyle="1" w:styleId="152">
    <w:name w:val="font131"/>
    <w:basedOn w:val="43"/>
    <w:autoRedefine/>
    <w:qFormat/>
    <w:uiPriority w:val="0"/>
    <w:rPr>
      <w:rFonts w:hint="eastAsia" w:ascii="微软雅黑" w:hAnsi="微软雅黑" w:eastAsia="微软雅黑" w:cs="微软雅黑"/>
      <w:color w:val="000000"/>
      <w:sz w:val="20"/>
      <w:szCs w:val="20"/>
      <w:u w:val="none"/>
    </w:rPr>
  </w:style>
  <w:style w:type="character" w:customStyle="1" w:styleId="153">
    <w:name w:val="font121"/>
    <w:basedOn w:val="43"/>
    <w:autoRedefine/>
    <w:qFormat/>
    <w:uiPriority w:val="0"/>
    <w:rPr>
      <w:rFonts w:hint="eastAsia" w:ascii="等线" w:hAnsi="等线" w:eastAsia="等线" w:cs="等线"/>
      <w:color w:val="000000"/>
      <w:sz w:val="20"/>
      <w:szCs w:val="20"/>
      <w:u w:val="none"/>
    </w:rPr>
  </w:style>
  <w:style w:type="character" w:customStyle="1" w:styleId="154">
    <w:name w:val="font61"/>
    <w:basedOn w:val="43"/>
    <w:autoRedefine/>
    <w:qFormat/>
    <w:uiPriority w:val="0"/>
    <w:rPr>
      <w:rFonts w:hint="eastAsia" w:ascii="宋体" w:hAnsi="宋体" w:eastAsia="宋体" w:cs="宋体"/>
      <w:color w:val="000000"/>
      <w:sz w:val="20"/>
      <w:szCs w:val="20"/>
      <w:u w:val="none"/>
    </w:rPr>
  </w:style>
  <w:style w:type="character" w:customStyle="1" w:styleId="155">
    <w:name w:val="font261"/>
    <w:basedOn w:val="43"/>
    <w:autoRedefine/>
    <w:qFormat/>
    <w:uiPriority w:val="0"/>
    <w:rPr>
      <w:rFonts w:hint="eastAsia" w:ascii="宋体" w:hAnsi="宋体" w:eastAsia="宋体" w:cs="宋体"/>
      <w:color w:val="000000"/>
      <w:sz w:val="20"/>
      <w:szCs w:val="20"/>
      <w:u w:val="none"/>
    </w:rPr>
  </w:style>
  <w:style w:type="character" w:customStyle="1" w:styleId="156">
    <w:name w:val="NormalCharacter"/>
    <w:autoRedefine/>
    <w:semiHidden/>
    <w:qFormat/>
    <w:uiPriority w:val="0"/>
    <w:rPr>
      <w:rFonts w:hint="eastAsia" w:ascii="Times New Roman" w:hAnsi="Times New Roman" w:eastAsia="宋体" w:cs="Times New Roman"/>
      <w:kern w:val="2"/>
      <w:sz w:val="21"/>
      <w:lang w:val="en-US" w:eastAsia="zh-CN" w:bidi="ar-SA"/>
    </w:rPr>
  </w:style>
  <w:style w:type="paragraph" w:customStyle="1" w:styleId="157">
    <w:name w:val="正文文本首行缩进1"/>
    <w:basedOn w:val="2"/>
    <w:next w:val="158"/>
    <w:autoRedefine/>
    <w:qFormat/>
    <w:uiPriority w:val="99"/>
    <w:pPr>
      <w:ind w:firstLine="420" w:firstLineChars="100"/>
    </w:pPr>
  </w:style>
  <w:style w:type="paragraph" w:customStyle="1" w:styleId="158">
    <w:name w:val="TOC 61"/>
    <w:basedOn w:val="1"/>
    <w:next w:val="1"/>
    <w:autoRedefine/>
    <w:qFormat/>
    <w:uiPriority w:val="0"/>
    <w:pPr>
      <w:ind w:left="2100" w:leftChars="1000"/>
    </w:pPr>
  </w:style>
  <w:style w:type="paragraph" w:customStyle="1" w:styleId="159">
    <w:name w:val="正文空2字"/>
    <w:basedOn w:val="160"/>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160">
    <w:name w:val="左对齐正文"/>
    <w:autoRedefine/>
    <w:qFormat/>
    <w:uiPriority w:val="99"/>
    <w:rPr>
      <w:rFonts w:ascii="Calibri" w:hAnsi="Calibri" w:eastAsia="仿宋_GB2312" w:cs="Calibri"/>
      <w:kern w:val="2"/>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2.xml"/><Relationship Id="rId7" Type="http://schemas.openxmlformats.org/officeDocument/2006/relationships/footer" Target="footer3.xml"/><Relationship Id="rId6" Type="http://schemas.openxmlformats.org/officeDocument/2006/relationships/header" Target="header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footnotes" Target="footnotes.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7.png"/><Relationship Id="rId18" Type="http://schemas.openxmlformats.org/officeDocument/2006/relationships/image" Target="media/image6.png"/><Relationship Id="rId17" Type="http://schemas.openxmlformats.org/officeDocument/2006/relationships/image" Target="media/image5.png"/><Relationship Id="rId16" Type="http://schemas.openxmlformats.org/officeDocument/2006/relationships/image" Target="media/image4.png"/><Relationship Id="rId15" Type="http://schemas.openxmlformats.org/officeDocument/2006/relationships/image" Target="media/image3.png"/><Relationship Id="rId14" Type="http://schemas.openxmlformats.org/officeDocument/2006/relationships/image" Target="media/image2.jpeg"/><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青鸟杭办</Company>
  <Pages>67</Pages>
  <Words>5938</Words>
  <Characters>33852</Characters>
  <Lines>282</Lines>
  <Paragraphs>79</Paragraphs>
  <TotalTime>9</TotalTime>
  <ScaleCrop>false</ScaleCrop>
  <LinksUpToDate>false</LinksUpToDate>
  <CharactersWithSpaces>39711</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2024-03-22T06:28:00Z</dcterms:created>
  <dc:creator>黄旭明</dc:creator>
  <cp:lastModifiedBy>HSGL</cp:lastModifiedBy>
  <cp:lastPrinted>2019-07-03T10:12:00Z</cp:lastPrinted>
  <dcterms:modified xsi:type="dcterms:W3CDTF">2024-03-27T01:27:54Z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327AD403B54741378437B4E71A32CBAD_13</vt:lpwstr>
  </property>
</Properties>
</file>