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bCs/>
          <w:color w:val="auto"/>
          <w:w w:val="95"/>
          <w:sz w:val="144"/>
          <w:szCs w:val="144"/>
          <w:lang w:val="zh-CN"/>
        </w:rPr>
      </w:pPr>
      <w:r>
        <w:rPr>
          <w:rFonts w:hint="eastAsia" w:cs="仿宋_GB2312" w:asciiTheme="minorEastAsia" w:hAnsiTheme="minorEastAsia" w:eastAsiaTheme="minorEastAsia"/>
          <w:b/>
          <w:bCs/>
          <w:color w:val="auto"/>
          <w:w w:val="95"/>
          <w:sz w:val="40"/>
          <w:szCs w:val="40"/>
          <w:lang w:val="zh-CN"/>
        </w:rPr>
        <w:t>2024年自然资源行政执法技术支撑单位采购</w:t>
      </w:r>
    </w:p>
    <w:p>
      <w:pPr>
        <w:adjustRightInd/>
        <w:spacing w:line="360" w:lineRule="auto"/>
        <w:jc w:val="center"/>
        <w:rPr>
          <w:rFonts w:cs="仿宋_GB2312" w:asciiTheme="minorEastAsia" w:hAnsiTheme="minorEastAsia" w:eastAsiaTheme="minorEastAsia"/>
          <w:b/>
          <w:bCs/>
          <w:color w:val="auto"/>
          <w:w w:val="95"/>
          <w:sz w:val="44"/>
          <w:szCs w:val="44"/>
          <w:lang w:val="zh-CN"/>
        </w:rPr>
      </w:pP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bCs/>
          <w:color w:val="auto"/>
          <w:w w:val="95"/>
          <w:sz w:val="44"/>
          <w:szCs w:val="44"/>
          <w:lang w:val="zh-CN"/>
        </w:rPr>
        <w:t>竞争性磋商</w:t>
      </w:r>
      <w:r>
        <w:rPr>
          <w:rFonts w:hint="eastAsia" w:cs="仿宋_GB2312" w:asciiTheme="minorEastAsia" w:hAnsiTheme="minorEastAsia" w:eastAsiaTheme="minorEastAsia"/>
          <w:b/>
          <w:color w:val="auto"/>
          <w:sz w:val="44"/>
          <w:szCs w:val="44"/>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项目编号:[2024]1032号</w:t>
      </w:r>
    </w:p>
    <w:p>
      <w:pPr>
        <w:adjustRightInd/>
        <w:spacing w:line="360" w:lineRule="auto"/>
        <w:rPr>
          <w:rFonts w:cs="仿宋_GB2312" w:asciiTheme="minorEastAsia" w:hAnsiTheme="minorEastAsia" w:eastAsiaTheme="minorEastAsia"/>
          <w:color w:val="auto"/>
          <w:sz w:val="28"/>
          <w:szCs w:val="20"/>
        </w:rPr>
      </w:pPr>
    </w:p>
    <w:p>
      <w:pPr>
        <w:spacing w:line="360" w:lineRule="auto"/>
        <w:jc w:val="center"/>
        <w:rPr>
          <w:rFonts w:cs="仿宋_GB2312" w:asciiTheme="minorEastAsia" w:hAnsiTheme="minorEastAsia" w:eastAsiaTheme="minorEastAsia"/>
          <w:color w:val="auto"/>
        </w:rPr>
      </w:pPr>
    </w:p>
    <w:p>
      <w:pPr>
        <w:pStyle w:val="42"/>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p>
    <w:p>
      <w:pPr>
        <w:pStyle w:val="42"/>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p>
    <w:p>
      <w:pPr>
        <w:pStyle w:val="42"/>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p>
    <w:p>
      <w:pPr>
        <w:pStyle w:val="42"/>
        <w:rPr>
          <w:rFonts w:cs="仿宋_GB2312" w:asciiTheme="minorEastAsia" w:hAnsiTheme="minorEastAsia" w:eastAsiaTheme="minorEastAsia"/>
          <w:color w:val="auto"/>
        </w:rPr>
      </w:pPr>
    </w:p>
    <w:p>
      <w:pPr>
        <w:rPr>
          <w:rFonts w:cs="仿宋_GB2312" w:asciiTheme="minorEastAsia" w:hAnsiTheme="minorEastAsia" w:eastAsiaTheme="minorEastAsia"/>
          <w:color w:val="auto"/>
        </w:rPr>
      </w:pPr>
    </w:p>
    <w:p>
      <w:pPr>
        <w:pStyle w:val="42"/>
        <w:rPr>
          <w:rFonts w:cs="仿宋_GB2312" w:asciiTheme="minorEastAsia" w:hAnsiTheme="minorEastAsia" w:eastAsiaTheme="minorEastAsia"/>
          <w:color w:val="auto"/>
        </w:rPr>
      </w:pPr>
    </w:p>
    <w:p>
      <w:pPr>
        <w:rPr>
          <w:color w:val="auto"/>
        </w:rPr>
      </w:pPr>
    </w:p>
    <w:p>
      <w:pPr>
        <w:pStyle w:val="4"/>
        <w:numPr>
          <w:ilvl w:val="0"/>
          <w:numId w:val="0"/>
        </w:numPr>
        <w:rPr>
          <w:color w:val="auto"/>
        </w:rPr>
      </w:pPr>
    </w:p>
    <w:p>
      <w:pPr>
        <w:spacing w:line="360" w:lineRule="auto"/>
        <w:jc w:val="center"/>
        <w:rPr>
          <w:rFonts w:ascii="宋体" w:hAnsi="宋体" w:cs="宋体"/>
          <w:bCs/>
          <w:color w:val="auto"/>
          <w:sz w:val="32"/>
          <w:szCs w:val="32"/>
        </w:rPr>
      </w:pPr>
    </w:p>
    <w:p>
      <w:pPr>
        <w:spacing w:line="360" w:lineRule="auto"/>
        <w:jc w:val="center"/>
        <w:rPr>
          <w:rFonts w:ascii="宋体" w:hAnsi="宋体" w:cs="宋体"/>
          <w:bCs/>
          <w:color w:val="auto"/>
          <w:sz w:val="32"/>
          <w:szCs w:val="32"/>
        </w:rPr>
      </w:pPr>
    </w:p>
    <w:p>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采购人：</w:t>
      </w:r>
      <w:r>
        <w:rPr>
          <w:rFonts w:hint="eastAsia" w:ascii="宋体" w:hAnsi="宋体" w:cs="宋体"/>
          <w:bCs/>
          <w:color w:val="auto"/>
          <w:sz w:val="32"/>
          <w:szCs w:val="32"/>
          <w:lang w:eastAsia="zh-CN"/>
        </w:rPr>
        <w:t>杭州市规划和自然资源局临安分局</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采购代理机构：华诚工程咨询集团有限公司 </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二四年</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rPr>
          <w:color w:val="auto"/>
        </w:rPr>
      </w:pPr>
    </w:p>
    <w:p>
      <w:pPr>
        <w:spacing w:line="360" w:lineRule="auto"/>
        <w:ind w:firstLine="549" w:firstLineChars="229"/>
        <w:rPr>
          <w:rFonts w:cs="仿宋_GB2312" w:asciiTheme="minorEastAsia" w:hAnsiTheme="minorEastAsia" w:eastAsiaTheme="minorEastAsia"/>
          <w:color w:val="auto"/>
          <w:sz w:val="24"/>
        </w:rPr>
      </w:pPr>
    </w:p>
    <w:bookmarkEnd w:id="2"/>
    <w:p>
      <w:pPr>
        <w:adjustRightInd/>
        <w:spacing w:line="360" w:lineRule="auto"/>
        <w:jc w:val="center"/>
        <w:outlineLvl w:val="0"/>
        <w:rPr>
          <w:rFonts w:cs="仿宋_GB2312" w:asciiTheme="minorEastAsia" w:hAnsiTheme="minorEastAsia" w:eastAsiaTheme="minorEastAsia"/>
          <w:b/>
          <w:color w:val="auto"/>
          <w:sz w:val="36"/>
          <w:szCs w:val="20"/>
        </w:r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spacing w:line="360" w:lineRule="auto"/>
        <w:rPr>
          <w:rFonts w:asciiTheme="minorEastAsia" w:hAnsiTheme="minorEastAsia" w:eastAsiaTheme="minorEastAsia"/>
          <w:color w:val="auto"/>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u w:val="single"/>
          <w:lang w:eastAsia="zh-CN"/>
        </w:rPr>
        <w:t>2024年自然资源行政执法技术支撑单位采购</w:t>
      </w:r>
      <w:r>
        <w:rPr>
          <w:rFonts w:hint="eastAsia" w:asciiTheme="minorEastAsia" w:hAnsiTheme="minorEastAsia" w:eastAsiaTheme="minorEastAsia"/>
          <w:color w:val="auto"/>
          <w:sz w:val="24"/>
        </w:rPr>
        <w:t>的潜在供应商应在</w:t>
      </w:r>
      <w:r>
        <w:rPr>
          <w:rFonts w:hint="eastAsia" w:cs="仿宋_GB2312" w:asciiTheme="minorEastAsia" w:hAnsiTheme="minorEastAsia" w:eastAsiaTheme="minorEastAsia"/>
          <w:color w:val="auto"/>
          <w:sz w:val="24"/>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28</w:t>
      </w:r>
      <w:r>
        <w:rPr>
          <w:rFonts w:hint="eastAsia" w:asciiTheme="minorEastAsia" w:hAnsiTheme="minorEastAsia" w:eastAsiaTheme="minorEastAsia"/>
          <w:bCs/>
          <w:color w:val="auto"/>
          <w:sz w:val="24"/>
          <w:highlight w:val="none"/>
          <w:u w:val="single"/>
        </w:rPr>
        <w:t>日9点30分00秒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pPr>
        <w:spacing w:line="360" w:lineRule="auto"/>
        <w:rPr>
          <w:rFonts w:asciiTheme="minorEastAsia" w:hAnsiTheme="minorEastAsia" w:eastAsiaTheme="minorEastAsia"/>
          <w:color w:val="auto"/>
          <w:sz w:val="24"/>
          <w:highlight w:val="none"/>
        </w:rPr>
      </w:pP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10" w:name="_Toc35393798"/>
      <w:bookmarkStart w:id="11" w:name="_Toc28359089"/>
      <w:bookmarkStart w:id="12" w:name="_Toc35393629"/>
      <w:bookmarkStart w:id="13" w:name="_Toc28359012"/>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val="0"/>
          <w:bCs/>
          <w:color w:val="auto"/>
          <w:sz w:val="24"/>
          <w:highlight w:val="none"/>
        </w:rPr>
        <w:t>[2024]1032号</w:t>
      </w:r>
    </w:p>
    <w:p>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lang w:eastAsia="zh-CN"/>
        </w:rPr>
        <w:t>2024年自然资源行政执法技术支撑单位采购</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rPr>
        <w:t>00000</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rPr>
        <w:t>00000</w:t>
      </w:r>
    </w:p>
    <w:p>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Cs/>
          <w:color w:val="auto"/>
          <w:sz w:val="24"/>
          <w:highlight w:val="none"/>
          <w:lang w:eastAsia="zh-CN"/>
        </w:rPr>
        <w:t>2024年自然资源行政执法技术支撑单位采购</w:t>
      </w:r>
      <w:r>
        <w:rPr>
          <w:rFonts w:hint="eastAsia" w:asciiTheme="minorEastAsia" w:hAnsiTheme="minorEastAsia" w:eastAsiaTheme="minorEastAsia"/>
          <w:bCs/>
          <w:color w:val="auto"/>
          <w:sz w:val="24"/>
          <w:highlight w:val="none"/>
        </w:rPr>
        <w:t>，主要包含①对部卫片遥感、月度卫片执法图斑通过“云”举证平台进行现场拍照举证，对违法主体、现状利用情况进行调查、外业测绘；承担违法用地监测系统的录入及维护。②对各类发现的涉嫌违法用地（开采）情况进行测量、调查，必要时进行无人机航拍；③违法用地调查、违法占地调查、</w:t>
      </w:r>
      <w:r>
        <w:rPr>
          <w:rFonts w:hint="eastAsia" w:asciiTheme="minorEastAsia" w:hAnsiTheme="minorEastAsia" w:eastAsiaTheme="minorEastAsia"/>
          <w:bCs/>
          <w:color w:val="auto"/>
          <w:sz w:val="24"/>
          <w:highlight w:val="none"/>
          <w:lang w:val="en-US" w:eastAsia="zh-CN"/>
        </w:rPr>
        <w:t>违法用地</w:t>
      </w:r>
      <w:r>
        <w:rPr>
          <w:rFonts w:hint="eastAsia" w:asciiTheme="minorEastAsia" w:hAnsiTheme="minorEastAsia" w:eastAsiaTheme="minorEastAsia"/>
          <w:bCs/>
          <w:color w:val="auto"/>
          <w:sz w:val="24"/>
          <w:highlight w:val="none"/>
        </w:rPr>
        <w:t>权属调查、土地分类、权属面积计算、制图等。④土石方测量（主要对于涉嫌非法开采）等一系列相关工作。详见磋商文件。</w:t>
      </w:r>
    </w:p>
    <w:p>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Cs/>
          <w:color w:val="auto"/>
          <w:sz w:val="24"/>
          <w:highlight w:val="none"/>
        </w:rPr>
        <w:t>：合同签订之日起至2025年5月30日</w:t>
      </w:r>
      <w:r>
        <w:rPr>
          <w:rFonts w:hint="eastAsia" w:asciiTheme="minorEastAsia" w:hAnsiTheme="minorEastAsia" w:eastAsiaTheme="minorEastAsia"/>
          <w:bCs/>
          <w:color w:val="auto"/>
          <w:sz w:val="24"/>
          <w:highlight w:val="none"/>
          <w:lang w:eastAsia="zh-CN"/>
        </w:rPr>
        <w:t>。</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本项目接受联合体响应：</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sym w:font="Wingdings" w:char="00FE"/>
          </w:r>
        </w:sdtContent>
      </w:sdt>
      <w:r>
        <w:rPr>
          <w:rFonts w:hint="eastAsia" w:asciiTheme="minorEastAsia" w:hAnsiTheme="minorEastAsia" w:eastAsiaTheme="minorEastAsia"/>
          <w:b/>
          <w:color w:val="auto"/>
          <w:sz w:val="24"/>
          <w:highlight w:val="none"/>
        </w:rPr>
        <w:t>否。</w:t>
      </w:r>
    </w:p>
    <w:p>
      <w:pPr>
        <w:spacing w:line="360" w:lineRule="auto"/>
        <w:rPr>
          <w:rFonts w:cs="宋体" w:asciiTheme="minorEastAsia" w:hAnsiTheme="minorEastAsia" w:eastAsiaTheme="minorEastAsia"/>
          <w:b/>
          <w:bCs/>
          <w:color w:val="auto"/>
          <w:sz w:val="24"/>
          <w:highlight w:val="none"/>
        </w:rPr>
      </w:pPr>
      <w:bookmarkStart w:id="14" w:name="_Toc35393630"/>
      <w:bookmarkStart w:id="15" w:name="_Toc28359090"/>
      <w:bookmarkStart w:id="16" w:name="_Toc28359013"/>
      <w:bookmarkStart w:id="17" w:name="_Toc35393799"/>
      <w:r>
        <w:rPr>
          <w:rFonts w:hint="eastAsia" w:cs="宋体" w:asciiTheme="minorEastAsia" w:hAnsiTheme="minorEastAsia" w:eastAsiaTheme="minorEastAsia"/>
          <w:b/>
          <w:bCs/>
          <w:color w:val="auto"/>
          <w:sz w:val="24"/>
          <w:highlight w:val="none"/>
        </w:rPr>
        <w:t>二、申请人的资格要求：</w:t>
      </w:r>
      <w:bookmarkEnd w:id="14"/>
      <w:bookmarkEnd w:id="15"/>
      <w:bookmarkEnd w:id="16"/>
      <w:bookmarkEnd w:id="17"/>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无；</w:t>
      </w:r>
    </w:p>
    <w:p>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24704304"/>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00FE"/>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33685401"/>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sym w:font="Wingdings" w:char="00FE"/>
          </w:r>
        </w:sdtContent>
      </w:sdt>
      <w:r>
        <w:rPr>
          <w:rFonts w:hint="eastAsia" w:cs="宋体" w:asciiTheme="minorEastAsia" w:hAnsiTheme="minorEastAsia" w:eastAsiaTheme="minorEastAsia"/>
          <w:color w:val="auto"/>
          <w:sz w:val="24"/>
          <w:highlight w:val="none"/>
        </w:rPr>
        <w:t>服务全部由符合政策要求的中小微企业承接，提供中小企业声明函；</w:t>
      </w:r>
    </w:p>
    <w:p>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3.本项目的特定资格要求：</w:t>
      </w:r>
      <w:r>
        <w:rPr>
          <w:rFonts w:hint="eastAsia" w:cs="宋体" w:asciiTheme="minorEastAsia" w:hAnsiTheme="minorEastAsia" w:eastAsiaTheme="minorEastAsia"/>
          <w:b/>
          <w:bCs/>
          <w:color w:val="auto"/>
          <w:sz w:val="24"/>
          <w:highlight w:val="none"/>
        </w:rPr>
        <w:t>具有测绘地理信息行政主管部门颁发的乙级及以上测绘资质（其中专业类别须包含</w:t>
      </w:r>
      <w:r>
        <w:rPr>
          <w:rFonts w:hint="eastAsia" w:cs="宋体" w:asciiTheme="minorEastAsia" w:hAnsiTheme="minorEastAsia" w:eastAsiaTheme="minorEastAsia"/>
          <w:b/>
          <w:bCs/>
          <w:color w:val="auto"/>
          <w:sz w:val="24"/>
          <w:highlight w:val="none"/>
          <w:lang w:val="en-US" w:eastAsia="zh-CN"/>
        </w:rPr>
        <w:t>工程测量、</w:t>
      </w:r>
      <w:r>
        <w:rPr>
          <w:rFonts w:hint="eastAsia" w:cs="宋体" w:asciiTheme="minorEastAsia" w:hAnsiTheme="minorEastAsia" w:eastAsiaTheme="minorEastAsia"/>
          <w:b/>
          <w:bCs/>
          <w:color w:val="auto"/>
          <w:sz w:val="24"/>
          <w:highlight w:val="none"/>
        </w:rPr>
        <w:t>测绘航空摄影和地理信息系统工程），该特定条件的法律法规依据：《中华人民共和国测绘法》。</w:t>
      </w:r>
    </w:p>
    <w:p>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bCs/>
          <w:color w:val="auto"/>
          <w:sz w:val="24"/>
          <w:highlight w:val="none"/>
        </w:rPr>
      </w:pPr>
      <w:bookmarkStart w:id="18" w:name="_Toc28359014"/>
      <w:bookmarkStart w:id="19" w:name="_Toc35393800"/>
      <w:bookmarkStart w:id="20" w:name="_Toc35393631"/>
      <w:bookmarkStart w:id="21" w:name="_Toc28359091"/>
      <w:r>
        <w:rPr>
          <w:rFonts w:hint="eastAsia" w:cs="宋体" w:asciiTheme="minorEastAsia" w:hAnsiTheme="minorEastAsia" w:eastAsiaTheme="minorEastAsia"/>
          <w:b/>
          <w:bCs/>
          <w:color w:val="auto"/>
          <w:sz w:val="24"/>
          <w:highlight w:val="none"/>
        </w:rPr>
        <w:t>三、获取（下载）采购文件</w:t>
      </w:r>
      <w:bookmarkEnd w:id="18"/>
      <w:bookmarkEnd w:id="19"/>
      <w:bookmarkEnd w:id="20"/>
      <w:bookmarkEnd w:id="21"/>
    </w:p>
    <w:p>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2" w:name="_Toc28359092"/>
      <w:bookmarkStart w:id="23" w:name="_Toc28359015"/>
      <w:bookmarkStart w:id="24" w:name="_Toc35393632"/>
      <w:bookmarkStart w:id="25" w:name="_Toc35393801"/>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2024年5月28日9点30分00秒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pPr>
        <w:pStyle w:val="4"/>
        <w:numPr>
          <w:ilvl w:val="0"/>
          <w:numId w:val="0"/>
        </w:numPr>
        <w:ind w:left="432" w:hanging="432"/>
        <w:rPr>
          <w:rFonts w:cs="宋体" w:asciiTheme="minorEastAsia" w:hAnsiTheme="minorEastAsia" w:eastAsiaTheme="minorEastAsia"/>
          <w:color w:val="auto"/>
          <w:sz w:val="24"/>
          <w:szCs w:val="24"/>
          <w:highlight w:val="none"/>
        </w:rPr>
      </w:pPr>
      <w:bookmarkStart w:id="26" w:name="_Toc28359093"/>
      <w:bookmarkStart w:id="27" w:name="_Toc28359016"/>
      <w:bookmarkStart w:id="28" w:name="_Toc35393633"/>
      <w:bookmarkStart w:id="29" w:name="_Toc35393802"/>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2024年5月28日9点30分00秒</w:t>
      </w:r>
      <w:r>
        <w:rPr>
          <w:rFonts w:hint="eastAsia" w:asciiTheme="minorEastAsia" w:hAnsiTheme="minorEastAsia" w:eastAsiaTheme="minorEastAsia"/>
          <w:bCs/>
          <w:color w:val="auto"/>
          <w:sz w:val="24"/>
          <w:highlight w:val="none"/>
        </w:rPr>
        <w:t>（北京时间）</w:t>
      </w:r>
    </w:p>
    <w:p>
      <w:pPr>
        <w:spacing w:line="360" w:lineRule="auto"/>
        <w:ind w:firstLine="480" w:firstLineChars="200"/>
        <w:rPr>
          <w:rFonts w:asciiTheme="minorEastAsia" w:hAnsiTheme="minorEastAsia" w:eastAsiaTheme="minorEastAsia"/>
          <w:bCs/>
          <w:color w:val="auto"/>
          <w:sz w:val="24"/>
          <w:highlight w:val="none"/>
          <w:u w:val="single"/>
        </w:rPr>
      </w:pPr>
      <w:bookmarkStart w:id="30" w:name="_Toc28359017"/>
      <w:bookmarkStart w:id="31" w:name="_Toc28359094"/>
      <w:bookmarkStart w:id="32" w:name="_Toc35393803"/>
      <w:bookmarkStart w:id="33" w:name="_Toc35393634"/>
      <w:r>
        <w:rPr>
          <w:rFonts w:hint="eastAsia" w:asciiTheme="minorEastAsia" w:hAnsiTheme="minorEastAsia" w:eastAsiaTheme="minorEastAsia"/>
          <w:color w:val="auto"/>
          <w:sz w:val="24"/>
          <w:highlight w:val="none"/>
        </w:rPr>
        <w:t>地点：华诚工程咨询集团有限公司[</w:t>
      </w:r>
      <w:r>
        <w:rPr>
          <w:rFonts w:hint="eastAsia" w:ascii="宋体" w:hAnsi="宋体" w:cs="宋体"/>
          <w:color w:val="auto"/>
          <w:sz w:val="24"/>
          <w:highlight w:val="none"/>
        </w:rPr>
        <w:t>临安区玲珑街道玲珑山路1099号玲珑天城售楼部2-04</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pPr>
        <w:pStyle w:val="4"/>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rPr>
      </w:pPr>
      <w:bookmarkStart w:id="34" w:name="_Toc35393635"/>
      <w:bookmarkStart w:id="35" w:name="_Toc35393804"/>
      <w:r>
        <w:rPr>
          <w:rFonts w:hint="eastAsia" w:cs="宋体" w:asciiTheme="minorEastAsia" w:hAnsiTheme="minorEastAsia" w:eastAsiaTheme="minorEastAsia"/>
          <w:color w:val="auto"/>
          <w:sz w:val="24"/>
          <w:szCs w:val="24"/>
        </w:rPr>
        <w:t>七、其他补充事宜</w:t>
      </w:r>
      <w:bookmarkEnd w:id="34"/>
      <w:bookmarkEnd w:id="35"/>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在“政采云电子交易客户端”中完成“填写基本信息”、“导入响应文件”、“标书关联”、“标书检查”、“电子签名”、“生成电子标书”等操作。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：详见政采云平台“服务中心-帮助文档-项目采购-操作流程-电子招投标-政府采购项目电子交易管理操作指南-供应商”。（3）</w:t>
      </w:r>
      <w:r>
        <w:rPr>
          <w:rFonts w:hint="eastAsia" w:cs="宋体" w:asciiTheme="minorEastAsia" w:hAnsiTheme="minorEastAsia" w:eastAsiaTheme="minorEastAsia"/>
          <w:color w:val="auto"/>
          <w:sz w:val="24"/>
        </w:rPr>
        <w:t>磋商文件公告期限与磋商公告的公告期限一致。</w:t>
      </w:r>
    </w:p>
    <w:p>
      <w:pPr>
        <w:pStyle w:val="4"/>
        <w:numPr>
          <w:ilvl w:val="0"/>
          <w:numId w:val="0"/>
        </w:numPr>
        <w:ind w:left="432" w:hanging="432"/>
        <w:rPr>
          <w:rFonts w:cs="宋体" w:asciiTheme="minorEastAsia" w:hAnsiTheme="minorEastAsia" w:eastAsiaTheme="minorEastAsia"/>
          <w:color w:val="auto"/>
          <w:sz w:val="24"/>
          <w:szCs w:val="24"/>
        </w:rPr>
      </w:pPr>
      <w:bookmarkStart w:id="36" w:name="_Toc35393636"/>
      <w:bookmarkStart w:id="37" w:name="_Toc28359095"/>
      <w:bookmarkStart w:id="38" w:name="_Toc28359018"/>
      <w:bookmarkStart w:id="39" w:name="_Toc3539380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6"/>
      <w:bookmarkEnd w:id="37"/>
      <w:bookmarkEnd w:id="38"/>
      <w:bookmarkEnd w:id="39"/>
    </w:p>
    <w:p>
      <w:pPr>
        <w:pStyle w:val="4"/>
        <w:numPr>
          <w:ilvl w:val="0"/>
          <w:numId w:val="0"/>
        </w:numPr>
        <w:ind w:left="432" w:hanging="432"/>
        <w:rPr>
          <w:rFonts w:cs="宋体" w:asciiTheme="minorEastAsia" w:hAnsiTheme="minorEastAsia" w:eastAsiaTheme="minorEastAsia"/>
          <w:color w:val="auto"/>
          <w:sz w:val="24"/>
          <w:szCs w:val="24"/>
        </w:rPr>
      </w:pPr>
      <w:bookmarkStart w:id="40" w:name="_Toc35393806"/>
      <w:bookmarkStart w:id="41" w:name="_Toc35393637"/>
      <w:bookmarkStart w:id="42" w:name="_Toc28359096"/>
      <w:bookmarkStart w:id="43" w:name="_Toc28359019"/>
      <w:r>
        <w:rPr>
          <w:rFonts w:hint="eastAsia" w:cs="宋体" w:asciiTheme="minorEastAsia" w:hAnsiTheme="minorEastAsia" w:eastAsiaTheme="minorEastAsia"/>
          <w:color w:val="auto"/>
          <w:sz w:val="24"/>
          <w:szCs w:val="24"/>
        </w:rPr>
        <w:t>1.采购人信息</w:t>
      </w:r>
      <w:bookmarkEnd w:id="40"/>
      <w:bookmarkEnd w:id="41"/>
      <w:bookmarkEnd w:id="42"/>
      <w:bookmarkEnd w:id="43"/>
      <w:r>
        <w:rPr>
          <w:rFonts w:hint="eastAsia" w:cs="宋体" w:asciiTheme="minorEastAsia" w:hAnsiTheme="minorEastAsia" w:eastAsiaTheme="minorEastAsia"/>
          <w:color w:val="auto"/>
          <w:sz w:val="24"/>
          <w:szCs w:val="24"/>
        </w:rPr>
        <w:t>：</w:t>
      </w:r>
    </w:p>
    <w:p>
      <w:pPr>
        <w:spacing w:line="360" w:lineRule="auto"/>
        <w:ind w:firstLine="480" w:firstLineChars="200"/>
        <w:rPr>
          <w:rFonts w:hint="eastAsia" w:ascii="宋体" w:hAnsi="宋体" w:eastAsia="宋体" w:cs="宋体"/>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宋体" w:hAnsi="宋体" w:cs="宋体"/>
          <w:color w:val="auto"/>
          <w:sz w:val="24"/>
        </w:rPr>
        <w:t xml:space="preserve"> 称：</w:t>
      </w:r>
      <w:r>
        <w:rPr>
          <w:rFonts w:hint="eastAsia" w:ascii="宋体" w:hAnsi="宋体" w:cs="宋体"/>
          <w:color w:val="auto"/>
          <w:sz w:val="24"/>
          <w:lang w:eastAsia="zh-CN"/>
        </w:rPr>
        <w:t>杭州市规划和自然资源局临安分局</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地    址：杭州市临安区锦北街道科技大道4398号市民中心3号楼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项目联系人（询问）：胡竹平</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项目联系方式（询问）：13588716731</w:t>
      </w:r>
      <w:bookmarkStart w:id="182" w:name="_GoBack"/>
      <w:bookmarkEnd w:id="182"/>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质疑联系人：陈建忠</w:t>
      </w:r>
    </w:p>
    <w:p>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rPr>
        <w:t>质疑联系方式：13758296886</w:t>
      </w:r>
    </w:p>
    <w:p>
      <w:pPr>
        <w:pStyle w:val="4"/>
        <w:numPr>
          <w:ilvl w:val="0"/>
          <w:numId w:val="0"/>
        </w:numPr>
        <w:ind w:left="432" w:hanging="432"/>
        <w:rPr>
          <w:rFonts w:cs="宋体" w:asciiTheme="minorEastAsia" w:hAnsiTheme="minorEastAsia" w:eastAsiaTheme="minorEastAsia"/>
          <w:color w:val="auto"/>
          <w:sz w:val="24"/>
        </w:rPr>
      </w:pPr>
      <w:bookmarkStart w:id="44" w:name="_Toc28359097"/>
      <w:bookmarkStart w:id="45" w:name="_Toc35393638"/>
      <w:bookmarkStart w:id="46" w:name="_Toc35393807"/>
      <w:bookmarkStart w:id="47" w:name="_Toc28359020"/>
      <w:r>
        <w:rPr>
          <w:rFonts w:hint="eastAsia" w:cs="宋体" w:asciiTheme="minorEastAsia" w:hAnsiTheme="minorEastAsia" w:eastAsiaTheme="minorEastAsia"/>
          <w:color w:val="auto"/>
          <w:sz w:val="24"/>
          <w:szCs w:val="24"/>
        </w:rPr>
        <w:t>2.采购代理机构信息</w:t>
      </w:r>
      <w:bookmarkEnd w:id="44"/>
      <w:bookmarkEnd w:id="45"/>
      <w:bookmarkEnd w:id="46"/>
      <w:bookmarkEnd w:id="47"/>
      <w:r>
        <w:rPr>
          <w:rFonts w:hint="eastAsia" w:cs="宋体" w:asciiTheme="minorEastAsia" w:hAnsiTheme="minorEastAsia" w:eastAsiaTheme="minorEastAsia"/>
          <w:color w:val="auto"/>
          <w:sz w:val="24"/>
          <w:szCs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称：华诚工程咨询集团有限公司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地     址：临安区玲珑街道玲珑山路1099号玲珑天城售楼部2-04</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项目联系人（询问）： 陈晓菲      </w:t>
      </w:r>
    </w:p>
    <w:p>
      <w:pPr>
        <w:spacing w:line="360" w:lineRule="auto"/>
        <w:ind w:firstLine="480" w:firstLineChars="200"/>
        <w:rPr>
          <w:rFonts w:ascii="宋体" w:hAnsi="宋体" w:cs="宋体"/>
          <w:color w:val="auto"/>
          <w:sz w:val="24"/>
        </w:rPr>
      </w:pPr>
      <w:r>
        <w:rPr>
          <w:rFonts w:hint="eastAsia" w:ascii="宋体" w:hAnsi="宋体" w:cs="宋体"/>
          <w:color w:val="auto"/>
          <w:sz w:val="24"/>
        </w:rPr>
        <w:t>项目联系方式（询问）：0571-61062267</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质疑联系人：卞飞  </w:t>
      </w:r>
    </w:p>
    <w:p>
      <w:pPr>
        <w:spacing w:line="360" w:lineRule="auto"/>
        <w:ind w:firstLine="480" w:firstLineChars="200"/>
        <w:rPr>
          <w:rFonts w:asciiTheme="minorEastAsia" w:hAnsiTheme="minorEastAsia" w:eastAsiaTheme="minorEastAsia"/>
          <w:color w:val="auto"/>
          <w:sz w:val="24"/>
        </w:rPr>
      </w:pPr>
      <w:r>
        <w:rPr>
          <w:rFonts w:hint="eastAsia" w:ascii="宋体" w:hAnsi="宋体" w:cs="宋体"/>
          <w:color w:val="auto"/>
          <w:sz w:val="24"/>
        </w:rPr>
        <w:t>质疑联系方式： 0571-61062267</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color w:val="auto"/>
          <w:sz w:val="24"/>
        </w:rPr>
        <w:t xml:space="preserve"> </w:t>
      </w:r>
      <w:bookmarkStart w:id="48" w:name="_Toc35393639"/>
      <w:bookmarkStart w:id="49" w:name="_Toc28359098"/>
      <w:bookmarkStart w:id="50" w:name="_Toc28359021"/>
      <w:bookmarkStart w:id="51"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8"/>
    <w:bookmarkEnd w:id="49"/>
    <w:bookmarkEnd w:id="50"/>
    <w:bookmarkEnd w:id="51"/>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称：杭州市临安区财政局政府采购监管科、浙江省政府采购行政裁决服务中心（杭州）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 ：朱女士、王女士 </w:t>
      </w:r>
    </w:p>
    <w:p>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rPr>
        <w:t xml:space="preserve">监督投诉电话：0571-85252453 </w:t>
      </w:r>
      <w:r>
        <w:rPr>
          <w:rFonts w:hint="eastAsia" w:ascii="宋体" w:hAnsi="宋体" w:cs="宋体"/>
          <w:color w:val="auto"/>
          <w:sz w:val="24"/>
          <w:highlight w:val="none"/>
        </w:rPr>
        <w:t xml:space="preserve"> </w:t>
      </w:r>
    </w:p>
    <w:p>
      <w:pPr>
        <w:spacing w:line="360" w:lineRule="auto"/>
        <w:ind w:firstLine="48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复印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3.13采购代理机构唱价。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5.2合同履约。</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3"/>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w:pict>
          <v:shape id="_x0000_s1026" o:spid="_x0000_s1026" o:spt="202" type="#_x0000_t202" style="position:absolute;left:0pt;margin-left:131.15pt;margin-top:461.35pt;height:20.6pt;width:38.75pt;z-index:251662336;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50" o:spid="_x0000_s1050"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49" o:spid="_x0000_s1049" o:spt="202" type="#_x0000_t202" style="position:absolute;left:0pt;margin-left:131pt;margin-top:419.85pt;height:20.6pt;width:38.75pt;z-index:251663360;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8" o:spid="_x0000_s1048" o:spt="202" type="#_x0000_t202" style="position:absolute;left:0pt;margin-left:108.7pt;margin-top:378.15pt;height:20.65pt;width:84.45pt;z-index:251679744;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7" o:spid="_x0000_s1047" o:spt="202" type="#_x0000_t202" style="position:absolute;left:0pt;margin-left:91.3pt;margin-top:338pt;height:20.6pt;width:124.55pt;z-index:251676672;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6" o:spid="_x0000_s1046" o:spt="202" type="#_x0000_t202" style="position:absolute;left:0pt;margin-left:108.95pt;margin-top:295.3pt;height:20.65pt;width:84.45pt;z-index:251677696;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5" o:spid="_x0000_s1045" o:spt="202" type="#_x0000_t202" style="position:absolute;left:0pt;margin-left:110.15pt;margin-top:254pt;height:20.65pt;width:84.5pt;z-index:251664384;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4" o:spid="_x0000_s1044" o:spt="202" type="#_x0000_t202" style="position:absolute;left:0pt;margin-left:98.2pt;margin-top:212.9pt;height:20.6pt;width:114.45pt;z-index:251673600;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43" o:spid="_x0000_s1043" o:spt="202" type="#_x0000_t202" style="position:absolute;left:0pt;margin-left:108.9pt;margin-top:171.55pt;height:20.65pt;width:85.75pt;z-index:251672576;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rPr>
        <w:pict>
          <v:shape id="_x0000_s1042" o:spid="_x0000_s1042" o:spt="202" type="#_x0000_t202" style="position:absolute;left:0pt;margin-left:109.85pt;margin-top:131.3pt;height:20.65pt;width:85.7pt;z-index:251681792;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Theme="minorEastAsia" w:hAnsiTheme="minorEastAsia" w:eastAsiaTheme="minorEastAsia"/>
          <w:color w:val="auto"/>
          <w:sz w:val="24"/>
        </w:rPr>
        <w:pict>
          <v:shape id="_x0000_s1041" o:spid="_x0000_s1041"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rPr>
        <w:pict>
          <v:shape id="_x0000_s1040" o:spid="_x0000_s1040"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9" o:spid="_x0000_s1039" o:spt="202" type="#_x0000_t202" style="position:absolute;left:0pt;margin-left:110.65pt;margin-top:6.65pt;height:20.65pt;width:85.75pt;z-index:251660288;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cs="仿宋_GB2312" w:asciiTheme="minorEastAsia" w:hAnsiTheme="minorEastAsia" w:eastAsiaTheme="minorEastAsia"/>
          <w:b/>
          <w:color w:val="auto"/>
          <w:sz w:val="36"/>
          <w:szCs w:val="20"/>
        </w:rPr>
        <w:pict>
          <v:shape id="_x0000_s1038" o:spid="_x0000_s1038" o:spt="202" type="#_x0000_t202" style="position:absolute;left:0pt;margin-left:110.65pt;margin-top:89.3pt;height:20.65pt;width:85.7pt;z-index:251665408;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37" o:spid="_x0000_s1037" o:spt="202" type="#_x0000_t202" style="position:absolute;left:0pt;margin-left:111.9pt;margin-top:48pt;height:20.65pt;width:84.5pt;z-index:251666432;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cs="仿宋_GB2312" w:asciiTheme="minorEastAsia" w:hAnsiTheme="minorEastAsia" w:eastAsiaTheme="minorEastAsia"/>
          <w:b/>
          <w:color w:val="auto"/>
          <w:sz w:val="36"/>
          <w:szCs w:val="20"/>
        </w:rPr>
        <w:pict>
          <v:shape id="_x0000_s1036" o:spid="_x0000_s103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5" o:spid="_x0000_s1035"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4" o:spid="_x0000_s1034"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3" o:spid="_x0000_s1033"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2" o:spid="_x0000_s1032"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1" o:spid="_x0000_s1031"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30" o:spid="_x0000_s1030"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rPr>
        <w:pict>
          <v:shape id="_x0000_s1029" o:spid="_x0000_s1029"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887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标的：</w:t>
            </w:r>
            <w:r>
              <w:rPr>
                <w:rFonts w:hint="eastAsia" w:cs="宋体" w:asciiTheme="minorEastAsia" w:hAnsiTheme="minorEastAsia" w:eastAsiaTheme="minorEastAsia"/>
                <w:color w:val="auto"/>
                <w:kern w:val="0"/>
                <w:sz w:val="24"/>
                <w:u w:val="single"/>
                <w:lang w:eastAsia="zh-CN"/>
              </w:rPr>
              <w:t>2024年自然资源行政执法技术支撑单位采购</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，属于</w:t>
            </w:r>
            <w:r>
              <w:rPr>
                <w:rFonts w:hint="eastAsia" w:cs="宋体" w:asciiTheme="minorEastAsia" w:hAnsiTheme="minorEastAsia" w:eastAsiaTheme="minorEastAsia"/>
                <w:color w:val="auto"/>
                <w:kern w:val="0"/>
                <w:sz w:val="24"/>
                <w:u w:val="single"/>
              </w:rPr>
              <w:t xml:space="preserve">其他未列明 </w:t>
            </w:r>
            <w:r>
              <w:rPr>
                <w:rFonts w:hint="eastAsia" w:cs="宋体" w:asciiTheme="minorEastAsia" w:hAnsiTheme="minorEastAsia" w:eastAsiaTheme="minorEastAsia"/>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828425707"/>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52852824"/>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477286927"/>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1276331357"/>
              </w:sdtPr>
              <w:sdtEndPr>
                <w:rPr>
                  <w:rFonts w:hint="eastAsia" w:cs="宋体" w:asciiTheme="minorEastAsia" w:hAnsiTheme="minorEastAsia" w:eastAsiaTheme="minorEastAsia"/>
                  <w:color w:val="auto"/>
                  <w:kern w:val="0"/>
                  <w:sz w:val="24"/>
                </w:rPr>
              </w:sdtEndPr>
              <w:sdtContent>
                <w:r>
                  <w:rPr>
                    <w:rFonts w:ascii="Wingdings" w:hAnsi="Wingdings"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12966419"/>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639946486"/>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1026831988"/>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859348549"/>
              </w:sdtPr>
              <w:sdtEndPr>
                <w:rPr>
                  <w:rFonts w:hint="eastAsia" w:cs="宋体" w:asciiTheme="minorEastAsia" w:hAnsiTheme="minorEastAsia" w:eastAsiaTheme="minorEastAsia"/>
                  <w:color w:val="auto"/>
                  <w:kern w:val="0"/>
                  <w:sz w:val="24"/>
                </w:rPr>
              </w:sdtEndPr>
              <w:sdtContent>
                <w:r>
                  <w:rPr>
                    <w:rFonts w:ascii="Wingdings" w:hAnsi="Wingdings" w:eastAsia="MS Gothic" w:cs="宋体"/>
                    <w:color w:val="auto"/>
                    <w:kern w:val="0"/>
                    <w:sz w:val="24"/>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1174071719"/>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403" w:type="dxa"/>
            <w:tcBorders>
              <w:top w:val="single" w:color="000000" w:sz="8" w:space="0"/>
              <w:left w:val="single" w:color="000000" w:sz="2" w:space="0"/>
              <w:bottom w:val="single" w:color="auto" w:sz="4" w:space="0"/>
              <w:right w:val="single" w:color="000000" w:sz="8" w:space="0"/>
            </w:tcBorders>
            <w:vAlign w:val="center"/>
          </w:tcPr>
          <w:p>
            <w:pPr>
              <w:pStyle w:val="35"/>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sz w:val="24"/>
                <w:u w:val="single"/>
              </w:rPr>
              <w:t xml:space="preserve">见招标文件第二部分 </w:t>
            </w:r>
            <w:r>
              <w:rPr>
                <w:rFonts w:hint="eastAsia" w:asciiTheme="minorEastAsia" w:hAnsiTheme="minorEastAsia" w:eastAsiaTheme="minorEastAsia"/>
                <w:color w:val="auto"/>
                <w:sz w:val="24"/>
                <w:u w:val="single"/>
              </w:rPr>
              <w:t>2. 响应文件的组成</w:t>
            </w:r>
            <w:r>
              <w:rPr>
                <w:rFonts w:hint="eastAsia" w:cs="宋体" w:asciiTheme="minorEastAsia" w:hAnsiTheme="minorEastAsia" w:eastAsiaTheme="minorEastAsia"/>
                <w:color w:val="auto"/>
                <w:sz w:val="24"/>
                <w:u w:val="single"/>
              </w:rPr>
              <w:t>。</w:t>
            </w:r>
          </w:p>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p>
        </w:tc>
        <w:tc>
          <w:tcPr>
            <w:tcW w:w="640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4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p>
          <w:p>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403"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403"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临安区玲珑街道玲珑山路1099号玲珑天城售楼部2-042楼</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0571-61062267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left w:val="single" w:color="000000" w:sz="8" w:space="0"/>
              <w:bottom w:val="single" w:color="auto" w:sz="4" w:space="0"/>
              <w:right w:val="single" w:color="000000" w:sz="2" w:space="0"/>
            </w:tcBorders>
            <w:vAlign w:val="center"/>
          </w:tcPr>
          <w:p>
            <w:pPr>
              <w:snapToGrid w:val="0"/>
              <w:spacing w:line="360" w:lineRule="auto"/>
              <w:jc w:val="center"/>
              <w:rPr>
                <w:rFonts w:eastAsia="仿宋" w:cs="宋体" w:asciiTheme="minorEastAsia" w:hAnsiTheme="minorEastAsia"/>
                <w:color w:val="auto"/>
                <w:sz w:val="24"/>
              </w:rPr>
            </w:pPr>
            <w:r>
              <w:rPr>
                <w:rFonts w:hint="eastAsia" w:ascii="仿宋" w:hAnsi="仿宋" w:eastAsia="仿宋" w:cs="仿宋"/>
                <w:color w:val="auto"/>
                <w:sz w:val="24"/>
              </w:rPr>
              <w:t>12</w:t>
            </w:r>
          </w:p>
        </w:tc>
        <w:tc>
          <w:tcPr>
            <w:tcW w:w="1843" w:type="dxa"/>
            <w:tcBorders>
              <w:left w:val="single" w:color="000000" w:sz="2" w:space="0"/>
              <w:bottom w:val="single" w:color="000000" w:sz="8" w:space="0"/>
              <w:right w:val="single" w:color="000000" w:sz="8" w:space="0"/>
            </w:tcBorders>
            <w:vAlign w:val="center"/>
          </w:tcPr>
          <w:p>
            <w:pPr>
              <w:spacing w:line="360" w:lineRule="auto"/>
              <w:jc w:val="center"/>
              <w:rPr>
                <w:rFonts w:ascii="宋体" w:hAnsi="宋体" w:cs="宋体"/>
                <w:snapToGrid w:val="0"/>
                <w:color w:val="auto"/>
                <w:kern w:val="28"/>
                <w:sz w:val="24"/>
              </w:rPr>
            </w:pPr>
            <w:r>
              <w:rPr>
                <w:rFonts w:hint="eastAsia" w:ascii="宋体" w:hAnsi="宋体" w:cs="宋体"/>
                <w:b/>
                <w:bCs/>
                <w:snapToGrid w:val="0"/>
                <w:color w:val="auto"/>
                <w:kern w:val="28"/>
                <w:sz w:val="24"/>
              </w:rPr>
              <w:t>招标代理费</w:t>
            </w:r>
          </w:p>
        </w:tc>
        <w:tc>
          <w:tcPr>
            <w:tcW w:w="6403"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ascii="宋体" w:hAnsi="宋体" w:cs="宋体"/>
                <w:color w:val="auto"/>
                <w:sz w:val="24"/>
              </w:rPr>
            </w:pPr>
            <w:r>
              <w:rPr>
                <w:rFonts w:hint="eastAsia" w:ascii="宋体" w:hAnsi="宋体" w:cs="宋体"/>
                <w:color w:val="auto"/>
                <w:sz w:val="24"/>
              </w:rPr>
              <w:t>代理服务费参照发改价格〔2011〕534号文件、国家发改委计价格〔2002〕1980号文件规定收费,单个采购项目代理服务费不足肆仟元按肆仟元收取，代理服务收费按差额定率累进法计算。</w:t>
            </w:r>
          </w:p>
          <w:p>
            <w:pPr>
              <w:snapToGrid w:val="0"/>
              <w:spacing w:line="312" w:lineRule="auto"/>
              <w:ind w:firstLine="480" w:firstLineChars="200"/>
              <w:rPr>
                <w:rFonts w:ascii="宋体" w:hAnsi="宋体" w:cs="宋体"/>
                <w:color w:val="auto"/>
                <w:sz w:val="24"/>
              </w:rPr>
            </w:pPr>
            <w:r>
              <w:rPr>
                <w:rFonts w:hint="eastAsia" w:ascii="宋体" w:hAnsi="宋体" w:cs="宋体"/>
                <w:color w:val="auto"/>
                <w:sz w:val="24"/>
              </w:rPr>
              <w:drawing>
                <wp:inline distT="0" distB="0" distL="114300" distR="114300">
                  <wp:extent cx="3412490" cy="1605280"/>
                  <wp:effectExtent l="0" t="0" r="16510" b="13970"/>
                  <wp:docPr id="8" name="图片 8"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收费标准"/>
                          <pic:cNvPicPr>
                            <a:picLocks noChangeAspect="1"/>
                          </pic:cNvPicPr>
                        </pic:nvPicPr>
                        <pic:blipFill>
                          <a:blip r:embed="rId15"/>
                          <a:stretch>
                            <a:fillRect/>
                          </a:stretch>
                        </pic:blipFill>
                        <pic:spPr>
                          <a:xfrm>
                            <a:off x="0" y="0"/>
                            <a:ext cx="3412490" cy="1605280"/>
                          </a:xfrm>
                          <a:prstGeom prst="rect">
                            <a:avLst/>
                          </a:prstGeom>
                          <a:noFill/>
                          <a:ln>
                            <a:noFill/>
                          </a:ln>
                        </pic:spPr>
                      </pic:pic>
                    </a:graphicData>
                  </a:graphic>
                </wp:inline>
              </w:drawing>
            </w:r>
          </w:p>
          <w:p>
            <w:pPr>
              <w:tabs>
                <w:tab w:val="left" w:pos="440"/>
              </w:tabs>
              <w:spacing w:line="312" w:lineRule="auto"/>
              <w:rPr>
                <w:rFonts w:ascii="宋体" w:hAnsi="宋体" w:cs="宋体"/>
                <w:snapToGrid w:val="0"/>
                <w:color w:val="auto"/>
                <w:kern w:val="0"/>
                <w:sz w:val="24"/>
              </w:rPr>
            </w:pPr>
            <w:r>
              <w:rPr>
                <w:rFonts w:hint="eastAsia" w:ascii="宋体" w:hAnsi="宋体" w:cs="宋体"/>
                <w:snapToGrid w:val="0"/>
                <w:color w:val="auto"/>
                <w:kern w:val="0"/>
                <w:sz w:val="24"/>
              </w:rPr>
              <w:t>收费对象：本项目代理服务费向成交供应商收取</w:t>
            </w:r>
          </w:p>
          <w:p>
            <w:pPr>
              <w:tabs>
                <w:tab w:val="left" w:pos="440"/>
              </w:tabs>
              <w:spacing w:line="312" w:lineRule="auto"/>
              <w:rPr>
                <w:rFonts w:ascii="宋体" w:hAnsi="宋体" w:cs="宋体"/>
                <w:snapToGrid w:val="0"/>
                <w:color w:val="auto"/>
                <w:kern w:val="0"/>
                <w:sz w:val="24"/>
              </w:rPr>
            </w:pPr>
            <w:r>
              <w:rPr>
                <w:rFonts w:hint="eastAsia" w:ascii="宋体" w:hAnsi="宋体" w:cs="宋体"/>
                <w:snapToGrid w:val="0"/>
                <w:color w:val="auto"/>
                <w:kern w:val="0"/>
                <w:sz w:val="24"/>
              </w:rPr>
              <w:t>缴纳时间：中标(成交)结果公示后5个工作日内一次性付清</w:t>
            </w:r>
          </w:p>
          <w:p>
            <w:pPr>
              <w:spacing w:line="360" w:lineRule="auto"/>
              <w:rPr>
                <w:rFonts w:ascii="宋体" w:hAnsi="宋体" w:cs="宋体"/>
                <w:snapToGrid w:val="0"/>
                <w:color w:val="auto"/>
                <w:kern w:val="0"/>
                <w:sz w:val="24"/>
              </w:rPr>
            </w:pPr>
            <w:r>
              <w:rPr>
                <w:rFonts w:hint="eastAsia" w:ascii="宋体" w:hAnsi="宋体" w:cs="宋体"/>
                <w:snapToGrid w:val="0"/>
                <w:color w:val="auto"/>
                <w:kern w:val="0"/>
                <w:sz w:val="24"/>
              </w:rPr>
              <w:t>缴纳形式：汇票/支票/电汇/现金</w:t>
            </w:r>
          </w:p>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备注：放弃中标（成交）资格的供应商，须承担本项目招标代理费和专家评审费等费用。</w:t>
            </w:r>
          </w:p>
        </w:tc>
      </w:tr>
    </w:tbl>
    <w:p>
      <w:pPr>
        <w:adjustRightInd/>
        <w:spacing w:line="360" w:lineRule="auto"/>
        <w:outlineLvl w:val="0"/>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p>
    <w:p>
      <w:pP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2.7“电子交易平台”系指本项目政府采购活动所依托的政府采购云平台（</w:t>
      </w:r>
      <w:r>
        <w:rPr>
          <w:rFonts w:hint="eastAsia"/>
          <w:color w:val="auto"/>
        </w:rPr>
        <w:fldChar w:fldCharType="begin"/>
      </w:r>
      <w:r>
        <w:rPr>
          <w:color w:val="auto"/>
        </w:rPr>
        <w:instrText xml:space="preserve"> HYPERLINK "https://www.zcygov.cn/" </w:instrText>
      </w:r>
      <w:r>
        <w:rPr>
          <w:rFonts w:hint="eastAsia"/>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sdtPr>
        <w:sdtEndPr>
          <w:rPr>
            <w:rFonts w:hint="eastAsia" w:cs="宋体" w:asciiTheme="minorEastAsia" w:hAnsiTheme="minorEastAsia" w:eastAsiaTheme="minorEastAsia"/>
            <w:color w:val="auto"/>
            <w:kern w:val="0"/>
            <w:sz w:val="24"/>
          </w:rPr>
        </w:sdtEndPr>
        <w:sdtContent>
          <w:r>
            <w:rPr>
              <w:rFonts w:ascii="Wingdings" w:hAnsi="Wingdings" w:cs="宋体"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5"/>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5"/>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5"/>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5"/>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3.2.1根据采购人与采购代理机构签订的《采购委托协议》的规定，质疑答复责任主体如下：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414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5"/>
              <w:spacing w:line="360" w:lineRule="auto"/>
              <w:jc w:val="center"/>
              <w:rPr>
                <w:rFonts w:asciiTheme="minorEastAsia" w:hAnsiTheme="minorEastAsia" w:eastAsiaTheme="minorEastAsia"/>
                <w:color w:val="auto"/>
                <w:sz w:val="24"/>
              </w:rPr>
            </w:pP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采购代理机构</w:t>
            </w:r>
          </w:p>
        </w:tc>
      </w:tr>
    </w:tbl>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4"/>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p>
    <w:p>
      <w:pPr>
        <w:pStyle w:val="35"/>
        <w:spacing w:line="360" w:lineRule="auto"/>
        <w:ind w:firstLine="480" w:firstLineChars="200"/>
        <w:rPr>
          <w:rFonts w:cs="仿宋_GB2312"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w:t>
      </w:r>
    </w:p>
    <w:p>
      <w:pPr>
        <w:pStyle w:val="35"/>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C、符合特定资格条件的有关证明材料。</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（4）所有资信文件</w:t>
      </w:r>
      <w:r>
        <w:rPr>
          <w:rFonts w:hint="eastAsia" w:cs="宋体" w:asciiTheme="minorEastAsia" w:hAnsiTheme="minorEastAsia" w:eastAsiaTheme="minorEastAsia"/>
          <w:color w:val="auto"/>
          <w:kern w:val="0"/>
          <w:sz w:val="24"/>
        </w:rPr>
        <w:t>（如果有）；</w:t>
      </w:r>
    </w:p>
    <w:p>
      <w:pPr>
        <w:pStyle w:val="35"/>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商务资信技术文件部分</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（5）</w:t>
      </w:r>
      <w:r>
        <w:rPr>
          <w:rFonts w:hint="eastAsia" w:asciiTheme="minorEastAsia" w:hAnsiTheme="minorEastAsia" w:eastAsiaTheme="minorEastAsia"/>
          <w:color w:val="auto"/>
          <w:sz w:val="24"/>
        </w:rPr>
        <w:t>供应商的主要业绩证明材料（以分包方式履行政府采购合同的，还需提供其项目采购人同意分包的证明材料。)；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（6）</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（7）</w:t>
      </w:r>
      <w:r>
        <w:rPr>
          <w:rFonts w:hint="eastAsia" w:asciiTheme="minorEastAsia" w:hAnsiTheme="minorEastAsia" w:eastAsiaTheme="minorEastAsia"/>
          <w:color w:val="auto"/>
          <w:kern w:val="0"/>
          <w:sz w:val="24"/>
          <w:lang w:val="zh-CN"/>
        </w:rPr>
        <w:t>认为需要的其他商务文件或说明 (如果有) ；</w:t>
      </w:r>
    </w:p>
    <w:p>
      <w:pPr>
        <w:pStyle w:val="35"/>
        <w:spacing w:line="360" w:lineRule="auto"/>
        <w:ind w:firstLine="480" w:firstLineChars="200"/>
        <w:rPr>
          <w:rFonts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w:t>
      </w:r>
      <w:r>
        <w:rPr>
          <w:rFonts w:hint="eastAsia" w:asciiTheme="minorEastAsia" w:hAnsiTheme="minorEastAsia" w:eastAsiaTheme="minorEastAsia"/>
          <w:color w:val="auto"/>
          <w:kern w:val="0"/>
          <w:sz w:val="24"/>
        </w:rPr>
        <w:t>8</w:t>
      </w:r>
      <w:r>
        <w:rPr>
          <w:rFonts w:hint="eastAsia" w:asciiTheme="minorEastAsia" w:hAnsiTheme="minorEastAsia" w:eastAsiaTheme="minorEastAsia"/>
          <w:color w:val="auto"/>
          <w:kern w:val="0"/>
          <w:sz w:val="24"/>
          <w:lang w:val="zh-CN"/>
        </w:rPr>
        <w:t>）评标标准相应的商务技术资料；</w:t>
      </w:r>
    </w:p>
    <w:p>
      <w:pPr>
        <w:pStyle w:val="35"/>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（9）</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0）</w:t>
      </w:r>
      <w:r>
        <w:rPr>
          <w:rFonts w:hint="eastAsia" w:cs="仿宋_GB2312" w:asciiTheme="minorEastAsia" w:hAnsiTheme="minorEastAsia" w:eastAsiaTheme="minorEastAsia"/>
          <w:color w:val="auto"/>
          <w:kern w:val="0"/>
          <w:sz w:val="24"/>
          <w:lang w:val="zh-CN"/>
        </w:rPr>
        <w:t>政府采购供应商廉洁自律承诺书。</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仿宋_GB2312" w:asciiTheme="minorEastAsia" w:hAnsiTheme="minorEastAsia" w:eastAsiaTheme="minorEastAsia"/>
          <w:b/>
          <w:color w:val="auto"/>
          <w:sz w:val="32"/>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color w:val="auto"/>
          <w:sz w:val="24"/>
          <w:szCs w:val="24"/>
        </w:rPr>
      </w:pP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adjustRightInd/>
        <w:spacing w:line="360" w:lineRule="auto"/>
        <w:jc w:val="center"/>
        <w:outlineLvl w:val="0"/>
        <w:rPr>
          <w:rFonts w:cs="仿宋_GB2312" w:asciiTheme="minorEastAsia" w:hAnsiTheme="minorEastAsia" w:eastAsiaTheme="minorEastAsia"/>
          <w:b/>
          <w:color w:val="auto"/>
          <w:sz w:val="32"/>
          <w:szCs w:val="20"/>
        </w:rPr>
      </w:pP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rPr>
        <w:t>资格审查情况、评审专家抽取规则、符合性审查情况、</w:t>
      </w:r>
      <w:bookmarkEnd w:id="52"/>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napToGrid w:val="0"/>
        <w:spacing w:line="360" w:lineRule="auto"/>
        <w:jc w:val="center"/>
        <w:outlineLvl w:val="0"/>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rPr>
          <w:color w:val="auto"/>
        </w:rPr>
      </w:pPr>
      <w:r>
        <w:rPr>
          <w:rFonts w:ascii="宋体" w:hAnsi="宋体" w:eastAsia="宋体"/>
          <w:color w:val="auto"/>
          <w:sz w:val="24"/>
          <w:lang w:val="en-US"/>
        </w:rPr>
        <w:t>4.</w:t>
      </w:r>
      <w:r>
        <w:rPr>
          <w:rFonts w:hint="eastAsia" w:ascii="宋体" w:hAnsi="宋体" w:eastAsia="宋体"/>
          <w:color w:val="auto"/>
          <w:sz w:val="24"/>
          <w:lang w:val="en-US"/>
        </w:rPr>
        <w:t>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采购单位应当在政府采购合同中约定预付款，对中小企业合同预付款比例原则上不低于合同金额的4</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4</w:t>
      </w:r>
      <w:r>
        <w:rPr>
          <w:rFonts w:ascii="宋体" w:hAnsi="宋体"/>
          <w:color w:val="auto"/>
          <w:sz w:val="24"/>
        </w:rPr>
        <w:t>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7</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tabs>
          <w:tab w:val="left" w:pos="0"/>
        </w:tabs>
        <w:spacing w:line="360" w:lineRule="auto"/>
        <w:rPr>
          <w:rFonts w:cs="宋体" w:asciiTheme="minorEastAsia" w:hAnsiTheme="minorEastAsia" w:eastAsiaTheme="minorEastAsia"/>
          <w:snapToGrid w:val="0"/>
          <w:color w:val="auto"/>
          <w:kern w:val="28"/>
          <w:sz w:val="24"/>
        </w:rPr>
      </w:pPr>
    </w:p>
    <w:p>
      <w:pPr>
        <w:snapToGrid w:val="0"/>
        <w:spacing w:line="360" w:lineRule="auto"/>
        <w:jc w:val="center"/>
        <w:rPr>
          <w:rFonts w:cs="仿宋_GB2312" w:asciiTheme="minorEastAsia" w:hAnsiTheme="minorEastAsia" w:eastAsiaTheme="minorEastAsia"/>
          <w:b/>
          <w:color w:val="auto"/>
          <w:sz w:val="36"/>
          <w:szCs w:val="36"/>
        </w:rPr>
      </w:pP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6"/>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color w:val="auto"/>
          <w:kern w:val="0"/>
          <w:sz w:val="24"/>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ascii="宋体" w:hAnsi="宋体" w:cs="宋体"/>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101"/>
      <w:bookmarkEnd w:id="53"/>
      <w:bookmarkStart w:id="54" w:name="_Hlt74714665"/>
      <w:bookmarkEnd w:id="54"/>
      <w:bookmarkStart w:id="55" w:name="_Hlt75236290"/>
      <w:bookmarkEnd w:id="55"/>
      <w:bookmarkStart w:id="56" w:name="_Hlt74707468"/>
      <w:bookmarkEnd w:id="56"/>
      <w:bookmarkStart w:id="57" w:name="_Hlt74729768"/>
      <w:bookmarkEnd w:id="57"/>
      <w:bookmarkStart w:id="58" w:name="_Hlt75236011"/>
      <w:bookmarkEnd w:id="58"/>
      <w:bookmarkStart w:id="59" w:name="_Hlt68072990"/>
      <w:bookmarkEnd w:id="59"/>
      <w:bookmarkStart w:id="60" w:name="_Hlt74730295"/>
      <w:bookmarkEnd w:id="60"/>
      <w:bookmarkStart w:id="61" w:name="_Hlt68057669"/>
      <w:bookmarkEnd w:id="61"/>
      <w:bookmarkStart w:id="62" w:name="第三部分"/>
      <w:bookmarkStart w:id="63" w:name="_Toc164416483"/>
      <w:r>
        <w:rPr>
          <w:rFonts w:cs="仿宋_GB2312" w:asciiTheme="minorEastAsia" w:hAnsiTheme="minorEastAsia" w:eastAsiaTheme="minorEastAsia"/>
          <w:b/>
          <w:color w:val="auto"/>
          <w:sz w:val="36"/>
          <w:szCs w:val="36"/>
        </w:rPr>
        <w:br w:type="page"/>
      </w:r>
    </w:p>
    <w:p>
      <w:pPr>
        <w:adjustRightInd/>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第四部分  采购需求</w:t>
      </w:r>
    </w:p>
    <w:p>
      <w:pPr>
        <w:tabs>
          <w:tab w:val="left" w:pos="0"/>
        </w:tabs>
        <w:spacing w:line="360" w:lineRule="auto"/>
        <w:ind w:firstLine="480"/>
        <w:rPr>
          <w:rFonts w:ascii="宋体" w:hAnsi="宋体" w:cs="宋体"/>
          <w:b/>
          <w:bCs/>
          <w:color w:val="auto"/>
          <w:kern w:val="0"/>
          <w:sz w:val="24"/>
        </w:rPr>
      </w:pPr>
      <w:r>
        <w:rPr>
          <w:rFonts w:hint="eastAsia" w:ascii="宋体" w:hAnsi="宋体" w:cs="宋体"/>
          <w:b/>
          <w:bCs/>
          <w:color w:val="auto"/>
          <w:kern w:val="0"/>
          <w:sz w:val="24"/>
        </w:rPr>
        <w:t>一、项目概况</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按照上级工作任务，对部卫片遥感、月度卫片执法、巡查件、信访举报、媒体曝光、各类专项行动、土地权属争议调查等涉及的地块开展调查（主要</w:t>
      </w:r>
      <w:r>
        <w:rPr>
          <w:rFonts w:hint="eastAsia" w:ascii="宋体" w:hAnsi="宋体" w:cs="宋体"/>
          <w:color w:val="auto"/>
          <w:kern w:val="0"/>
          <w:sz w:val="24"/>
          <w:lang w:val="en-US" w:eastAsia="zh-CN"/>
        </w:rPr>
        <w:t>内容为耕地“两非”整治，</w:t>
      </w:r>
      <w:r>
        <w:rPr>
          <w:rFonts w:hint="eastAsia" w:ascii="宋体" w:hAnsi="宋体" w:eastAsia="宋体" w:cs="宋体"/>
          <w:color w:val="auto"/>
          <w:kern w:val="0"/>
          <w:sz w:val="24"/>
        </w:rPr>
        <w:t>对土地面积、农转用、供地、发证、土地现状分类，开采方量</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外业举证</w:t>
      </w:r>
      <w:r>
        <w:rPr>
          <w:rFonts w:hint="eastAsia" w:ascii="宋体" w:hAnsi="宋体" w:eastAsia="宋体" w:cs="宋体"/>
          <w:color w:val="auto"/>
          <w:kern w:val="0"/>
          <w:sz w:val="24"/>
        </w:rPr>
        <w:t>）、测绘，为临安区自然资源行政执法提供技术支撑。 主要内容如下：</w:t>
      </w:r>
    </w:p>
    <w:p>
      <w:pPr>
        <w:numPr>
          <w:ilvl w:val="0"/>
          <w:numId w:val="0"/>
        </w:numPr>
        <w:tabs>
          <w:tab w:val="left" w:pos="0"/>
        </w:tabs>
        <w:spacing w:line="360" w:lineRule="auto"/>
        <w:ind w:firstLine="480" w:firstLineChars="0"/>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rPr>
        <w:t>对部卫片遥感、月度卫片执法图斑通过“云”举证平台进行现场拍照举证，对违法主体、现状利用情况进行调查、外业测绘；承担违法用地监测系统的录入及维护。</w:t>
      </w:r>
    </w:p>
    <w:p>
      <w:pPr>
        <w:numPr>
          <w:ilvl w:val="0"/>
          <w:numId w:val="0"/>
        </w:num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rPr>
        <w:t>对各类发现的涉嫌违法用地（开采）情况进行测量、调查，必要时进行无</w:t>
      </w:r>
      <w:r>
        <w:rPr>
          <w:rFonts w:hint="eastAsia" w:ascii="宋体" w:hAnsi="宋体" w:eastAsia="宋体" w:cs="宋体"/>
          <w:color w:val="auto"/>
          <w:kern w:val="0"/>
          <w:sz w:val="24"/>
          <w:highlight w:val="none"/>
        </w:rPr>
        <w:t>人机航拍。</w:t>
      </w:r>
    </w:p>
    <w:p>
      <w:pPr>
        <w:numPr>
          <w:ilvl w:val="0"/>
          <w:numId w:val="0"/>
        </w:num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highlight w:val="none"/>
        </w:rPr>
        <w:t>违法用地调查、违法占地调查、违法用地权属调查、土地分类、权属面积计算、制图等。</w:t>
      </w:r>
    </w:p>
    <w:p>
      <w:pPr>
        <w:numPr>
          <w:ilvl w:val="0"/>
          <w:numId w:val="0"/>
        </w:numPr>
        <w:tabs>
          <w:tab w:val="left" w:pos="0"/>
        </w:tabs>
        <w:spacing w:line="360" w:lineRule="auto"/>
        <w:ind w:firstLine="48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highlight w:val="none"/>
        </w:rPr>
        <w:t>土石方测量（主要对于涉嫌非法开采）。</w:t>
      </w:r>
    </w:p>
    <w:p>
      <w:pPr>
        <w:numPr>
          <w:ilvl w:val="0"/>
          <w:numId w:val="0"/>
        </w:numPr>
        <w:tabs>
          <w:tab w:val="left" w:pos="0"/>
        </w:tabs>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highlight w:val="none"/>
        </w:rPr>
        <w:t>无人机拍摄、正射影像图制作</w:t>
      </w:r>
    </w:p>
    <w:p>
      <w:pPr>
        <w:tabs>
          <w:tab w:val="left" w:pos="0"/>
        </w:tabs>
        <w:spacing w:line="360" w:lineRule="auto"/>
        <w:ind w:firstLine="480"/>
        <w:rPr>
          <w:rFonts w:ascii="宋体" w:hAnsi="宋体" w:cs="宋体"/>
          <w:b/>
          <w:bCs/>
          <w:color w:val="auto"/>
          <w:kern w:val="0"/>
          <w:sz w:val="24"/>
        </w:rPr>
      </w:pPr>
      <w:r>
        <w:rPr>
          <w:rFonts w:hint="eastAsia" w:ascii="宋体" w:hAnsi="宋体" w:cs="宋体"/>
          <w:b/>
          <w:bCs/>
          <w:color w:val="auto"/>
          <w:kern w:val="0"/>
          <w:sz w:val="24"/>
        </w:rPr>
        <w:t>二、技术标准和工作依据</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包含但不限于以下标准</w:t>
      </w:r>
    </w:p>
    <w:tbl>
      <w:tblPr>
        <w:tblStyle w:val="61"/>
        <w:tblW w:w="9257" w:type="dxa"/>
        <w:jc w:val="center"/>
        <w:tblLayout w:type="autofit"/>
        <w:tblCellMar>
          <w:top w:w="0" w:type="dxa"/>
          <w:left w:w="108" w:type="dxa"/>
          <w:bottom w:w="0" w:type="dxa"/>
          <w:right w:w="108" w:type="dxa"/>
        </w:tblCellMar>
      </w:tblPr>
      <w:tblGrid>
        <w:gridCol w:w="4220"/>
        <w:gridCol w:w="5037"/>
      </w:tblGrid>
      <w:tr>
        <w:trPr>
          <w:trHeight w:val="402" w:hRule="atLeast"/>
          <w:jc w:val="center"/>
        </w:trPr>
        <w:tc>
          <w:tcPr>
            <w:tcW w:w="4220" w:type="dxa"/>
            <w:tcBorders>
              <w:top w:val="single" w:color="auto" w:sz="8" w:space="0"/>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标准号</w:t>
            </w:r>
          </w:p>
        </w:tc>
        <w:tc>
          <w:tcPr>
            <w:tcW w:w="5037" w:type="dxa"/>
            <w:tcBorders>
              <w:top w:val="single" w:color="auto" w:sz="8" w:space="0"/>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技术标准</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GB/T 13923-2006</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基础地理信息要素分类与代码</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GB/T 15967-2008</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1∶500、1∶1000、1∶2000地形图航空摄影测量数字化测图规范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GB/T 20257.1-2007</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国家基本比例尺地图图式第1部分：1：500 1：1000 1：2000 地形图图式</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CJJ/T 8-2011</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城市测量规范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GB 50026-2007</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工程测量规范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CH 5002-94</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地籍测绘规范</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CH 5003-94</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地籍图图式</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GB/T 24356-2009</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jc w:val="center"/>
              <w:rPr>
                <w:rFonts w:ascii="宋体" w:hAnsi="宋体" w:cs="宋体"/>
                <w:color w:val="auto"/>
                <w:kern w:val="0"/>
                <w:sz w:val="24"/>
              </w:rPr>
            </w:pPr>
            <w:r>
              <w:rPr>
                <w:rFonts w:hint="eastAsia" w:ascii="宋体" w:hAnsi="宋体" w:cs="宋体"/>
                <w:color w:val="auto"/>
                <w:kern w:val="0"/>
                <w:sz w:val="24"/>
              </w:rPr>
              <w:t>测绘成果质量检查与验收</w:t>
            </w:r>
          </w:p>
        </w:tc>
      </w:tr>
      <w:tr>
        <w:tblPrEx>
          <w:tblCellMar>
            <w:top w:w="0" w:type="dxa"/>
            <w:left w:w="108" w:type="dxa"/>
            <w:bottom w:w="0" w:type="dxa"/>
            <w:right w:w="108" w:type="dxa"/>
          </w:tblCellMar>
        </w:tblPrEx>
        <w:trPr>
          <w:trHeight w:val="402" w:hRule="atLeast"/>
          <w:jc w:val="center"/>
        </w:trPr>
        <w:tc>
          <w:tcPr>
            <w:tcW w:w="4220" w:type="dxa"/>
            <w:tcBorders>
              <w:top w:val="nil"/>
              <w:left w:val="single" w:color="auto" w:sz="8" w:space="0"/>
              <w:bottom w:val="single" w:color="auto" w:sz="8" w:space="0"/>
              <w:right w:val="single" w:color="auto" w:sz="8" w:space="0"/>
            </w:tcBorders>
            <w:shd w:val="clear" w:color="auto" w:fill="auto"/>
            <w:vAlign w:val="center"/>
          </w:tcPr>
          <w:p>
            <w:pPr>
              <w:tabs>
                <w:tab w:val="left" w:pos="0"/>
              </w:tabs>
              <w:spacing w:line="360" w:lineRule="auto"/>
              <w:ind w:firstLine="480"/>
              <w:jc w:val="center"/>
              <w:rPr>
                <w:rFonts w:ascii="宋体" w:hAnsi="宋体" w:cs="宋体"/>
                <w:color w:val="auto"/>
                <w:kern w:val="0"/>
                <w:sz w:val="24"/>
              </w:rPr>
            </w:pPr>
            <w:r>
              <w:rPr>
                <w:rFonts w:hint="eastAsia" w:ascii="宋体" w:hAnsi="宋体" w:cs="宋体"/>
                <w:color w:val="auto"/>
                <w:kern w:val="0"/>
                <w:sz w:val="24"/>
              </w:rPr>
              <w:t>GB/T18316-2008</w:t>
            </w:r>
          </w:p>
        </w:tc>
        <w:tc>
          <w:tcPr>
            <w:tcW w:w="5037" w:type="dxa"/>
            <w:tcBorders>
              <w:top w:val="nil"/>
              <w:left w:val="nil"/>
              <w:bottom w:val="single" w:color="auto" w:sz="8" w:space="0"/>
              <w:right w:val="single" w:color="auto" w:sz="8" w:space="0"/>
            </w:tcBorders>
            <w:shd w:val="clear" w:color="auto" w:fill="auto"/>
            <w:vAlign w:val="center"/>
          </w:tcPr>
          <w:p>
            <w:pPr>
              <w:tabs>
                <w:tab w:val="left" w:pos="0"/>
              </w:tabs>
              <w:spacing w:line="360" w:lineRule="auto"/>
              <w:ind w:firstLine="480"/>
              <w:jc w:val="center"/>
              <w:rPr>
                <w:rFonts w:ascii="宋体" w:hAnsi="宋体" w:cs="宋体"/>
                <w:color w:val="auto"/>
                <w:kern w:val="0"/>
                <w:sz w:val="24"/>
              </w:rPr>
            </w:pPr>
            <w:r>
              <w:rPr>
                <w:rFonts w:hint="eastAsia" w:ascii="宋体" w:hAnsi="宋体" w:cs="宋体"/>
                <w:color w:val="auto"/>
                <w:kern w:val="0"/>
                <w:sz w:val="24"/>
              </w:rPr>
              <w:t>数字测绘成果质量检查与验收</w:t>
            </w:r>
          </w:p>
        </w:tc>
      </w:tr>
    </w:tbl>
    <w:p>
      <w:pPr>
        <w:tabs>
          <w:tab w:val="left" w:pos="0"/>
        </w:tabs>
        <w:spacing w:line="360" w:lineRule="auto"/>
        <w:ind w:firstLine="480"/>
        <w:rPr>
          <w:rFonts w:ascii="宋体" w:hAnsi="宋体" w:cs="宋体"/>
          <w:color w:val="auto"/>
          <w:kern w:val="0"/>
          <w:sz w:val="24"/>
        </w:rPr>
      </w:pPr>
    </w:p>
    <w:p>
      <w:pPr>
        <w:tabs>
          <w:tab w:val="left" w:pos="0"/>
        </w:tabs>
        <w:spacing w:line="360" w:lineRule="auto"/>
        <w:ind w:firstLine="480"/>
        <w:rPr>
          <w:rFonts w:ascii="宋体" w:hAnsi="宋体" w:cs="宋体"/>
          <w:b/>
          <w:bCs/>
          <w:color w:val="auto"/>
          <w:kern w:val="0"/>
          <w:sz w:val="24"/>
        </w:rPr>
      </w:pPr>
      <w:r>
        <w:rPr>
          <w:rFonts w:hint="eastAsia" w:ascii="宋体" w:hAnsi="宋体" w:cs="宋体"/>
          <w:b/>
          <w:bCs/>
          <w:color w:val="auto"/>
          <w:kern w:val="0"/>
          <w:sz w:val="24"/>
        </w:rPr>
        <w:t>三、项目成果提交</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rPr>
        <w:t>1.项目成果符合国家及省市、档案部门有关要求，提供文字成果、数据成果。</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2.提交《临安区XX镇XX地块违法用地勘测定界成果报告》其配套成果，包括违法用地勘测定界图、土地利用总体规划图</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若有</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、土地利用现状图、违法土地现状、规划分类情况表、土石方工程量计算报告、无人机航拍图等1式2份，同时完成系统填报工作。</w:t>
      </w:r>
    </w:p>
    <w:p>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四、服务期</w:t>
      </w:r>
    </w:p>
    <w:p>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合同履行期限：</w:t>
      </w:r>
      <w:r>
        <w:rPr>
          <w:rFonts w:hint="eastAsia" w:ascii="宋体" w:hAnsi="宋体" w:cs="宋体"/>
          <w:color w:val="auto"/>
          <w:kern w:val="0"/>
          <w:sz w:val="24"/>
          <w:highlight w:val="none"/>
        </w:rPr>
        <w:t>合同签订之日起至2025年5月30日</w:t>
      </w:r>
      <w:r>
        <w:rPr>
          <w:rFonts w:hint="eastAsia" w:ascii="宋体" w:hAnsi="宋体" w:cs="宋体"/>
          <w:color w:val="auto"/>
          <w:kern w:val="0"/>
          <w:sz w:val="24"/>
          <w:highlight w:val="none"/>
          <w:lang w:eastAsia="zh-CN"/>
        </w:rPr>
        <w:t>。</w:t>
      </w:r>
    </w:p>
    <w:p>
      <w:pPr>
        <w:tabs>
          <w:tab w:val="left" w:pos="0"/>
        </w:tabs>
        <w:spacing w:line="360" w:lineRule="auto"/>
        <w:ind w:firstLine="480"/>
        <w:rPr>
          <w:rFonts w:ascii="宋体" w:hAnsi="宋体" w:cs="宋体"/>
          <w:b/>
          <w:bCs/>
          <w:color w:val="auto"/>
          <w:kern w:val="0"/>
          <w:sz w:val="24"/>
        </w:rPr>
      </w:pPr>
      <w:r>
        <w:rPr>
          <w:rFonts w:hint="eastAsia" w:ascii="宋体" w:hAnsi="宋体" w:cs="宋体"/>
          <w:b/>
          <w:bCs/>
          <w:color w:val="auto"/>
          <w:kern w:val="0"/>
          <w:sz w:val="24"/>
        </w:rPr>
        <w:t>五、其他</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技术成果归属及保密：本项目所形成的项目成果归</w:t>
      </w:r>
      <w:r>
        <w:rPr>
          <w:rFonts w:hint="eastAsia" w:ascii="宋体" w:hAnsi="宋体" w:cs="宋体"/>
          <w:color w:val="auto"/>
          <w:kern w:val="0"/>
          <w:sz w:val="24"/>
          <w:lang w:eastAsia="zh-CN"/>
        </w:rPr>
        <w:t>采购人</w:t>
      </w:r>
      <w:r>
        <w:rPr>
          <w:rFonts w:hint="eastAsia" w:ascii="宋体" w:hAnsi="宋体" w:cs="宋体"/>
          <w:color w:val="auto"/>
          <w:kern w:val="0"/>
          <w:sz w:val="24"/>
        </w:rPr>
        <w:t>所有。未经</w:t>
      </w:r>
      <w:r>
        <w:rPr>
          <w:rFonts w:hint="eastAsia" w:ascii="宋体" w:hAnsi="宋体" w:cs="宋体"/>
          <w:color w:val="auto"/>
          <w:kern w:val="0"/>
          <w:sz w:val="24"/>
          <w:lang w:eastAsia="zh-CN"/>
        </w:rPr>
        <w:t>采购人</w:t>
      </w:r>
      <w:r>
        <w:rPr>
          <w:rFonts w:hint="eastAsia" w:ascii="宋体" w:hAnsi="宋体" w:cs="宋体"/>
          <w:color w:val="auto"/>
          <w:kern w:val="0"/>
          <w:sz w:val="24"/>
        </w:rPr>
        <w:t>授权，中标人无权将相关信息发送给任何第三方。</w:t>
      </w:r>
      <w:r>
        <w:rPr>
          <w:rFonts w:hint="eastAsia" w:ascii="宋体" w:hAnsi="宋体" w:cs="宋体"/>
          <w:color w:val="auto"/>
          <w:kern w:val="0"/>
          <w:sz w:val="24"/>
          <w:lang w:eastAsia="zh-CN"/>
        </w:rPr>
        <w:t>供应商</w:t>
      </w:r>
      <w:r>
        <w:rPr>
          <w:rFonts w:hint="eastAsia" w:ascii="宋体" w:hAnsi="宋体" w:cs="宋体"/>
          <w:color w:val="auto"/>
          <w:kern w:val="0"/>
          <w:sz w:val="24"/>
        </w:rPr>
        <w:t>应遵守相关保密规定，为</w:t>
      </w:r>
      <w:r>
        <w:rPr>
          <w:rFonts w:hint="eastAsia" w:ascii="宋体" w:hAnsi="宋体" w:cs="宋体"/>
          <w:color w:val="auto"/>
          <w:kern w:val="0"/>
          <w:sz w:val="24"/>
          <w:lang w:eastAsia="zh-CN"/>
        </w:rPr>
        <w:t>采购人</w:t>
      </w:r>
      <w:r>
        <w:rPr>
          <w:rFonts w:hint="eastAsia" w:ascii="宋体" w:hAnsi="宋体" w:cs="宋体"/>
          <w:color w:val="auto"/>
          <w:kern w:val="0"/>
          <w:sz w:val="24"/>
        </w:rPr>
        <w:t>保密，并签订保密协议。</w:t>
      </w:r>
    </w:p>
    <w:p>
      <w:pPr>
        <w:tabs>
          <w:tab w:val="left" w:pos="0"/>
        </w:tabs>
        <w:spacing w:line="360" w:lineRule="auto"/>
        <w:ind w:firstLine="480"/>
        <w:rPr>
          <w:rFonts w:ascii="宋体" w:hAnsi="宋体" w:cs="宋体"/>
          <w:b/>
          <w:bCs/>
          <w:color w:val="auto"/>
          <w:kern w:val="0"/>
          <w:sz w:val="24"/>
        </w:rPr>
      </w:pPr>
      <w:r>
        <w:rPr>
          <w:rFonts w:hint="eastAsia" w:ascii="宋体" w:hAnsi="宋体" w:cs="宋体"/>
          <w:b/>
          <w:bCs/>
          <w:color w:val="auto"/>
          <w:kern w:val="0"/>
          <w:sz w:val="24"/>
        </w:rPr>
        <w:t>六、报价及结算方式</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项目服务费用： 参照杭州市临安区测绘与地理信息产业协会发布的《临安区测绘工程产品指导价格》，按此价格由各</w:t>
      </w:r>
      <w:r>
        <w:rPr>
          <w:rFonts w:hint="eastAsia" w:ascii="宋体" w:hAnsi="宋体" w:cs="宋体"/>
          <w:color w:val="auto"/>
          <w:kern w:val="0"/>
          <w:sz w:val="24"/>
          <w:lang w:eastAsia="zh-CN"/>
        </w:rPr>
        <w:t>供应商</w:t>
      </w:r>
      <w:r>
        <w:rPr>
          <w:rFonts w:hint="eastAsia" w:ascii="宋体" w:hAnsi="宋体" w:cs="宋体"/>
          <w:color w:val="auto"/>
          <w:kern w:val="0"/>
          <w:sz w:val="24"/>
        </w:rPr>
        <w:t>报一个折扣率（%），以100%为最高折扣率，各项收费单价按各</w:t>
      </w:r>
      <w:r>
        <w:rPr>
          <w:rFonts w:hint="eastAsia" w:ascii="宋体" w:hAnsi="宋体" w:cs="宋体"/>
          <w:color w:val="auto"/>
          <w:kern w:val="0"/>
          <w:sz w:val="24"/>
          <w:lang w:eastAsia="zh-CN"/>
        </w:rPr>
        <w:t>供应商</w:t>
      </w:r>
      <w:r>
        <w:rPr>
          <w:rFonts w:hint="eastAsia" w:ascii="宋体" w:hAnsi="宋体" w:cs="宋体"/>
          <w:color w:val="auto"/>
          <w:kern w:val="0"/>
          <w:sz w:val="24"/>
        </w:rPr>
        <w:t>所报折扣率同比例下浮。本次</w:t>
      </w:r>
      <w:r>
        <w:rPr>
          <w:rFonts w:hint="eastAsia" w:ascii="宋体" w:hAnsi="宋体" w:cs="宋体"/>
          <w:color w:val="auto"/>
          <w:kern w:val="0"/>
          <w:sz w:val="24"/>
          <w:lang w:val="en-US" w:eastAsia="zh-CN"/>
        </w:rPr>
        <w:t>采购</w:t>
      </w:r>
      <w:r>
        <w:rPr>
          <w:rFonts w:hint="eastAsia" w:ascii="宋体" w:hAnsi="宋体" w:cs="宋体"/>
          <w:color w:val="auto"/>
          <w:kern w:val="0"/>
          <w:sz w:val="24"/>
        </w:rPr>
        <w:t>主要确定各项收费单价，具体支付按实际工作量计算，但合同总金额不超过预算</w:t>
      </w:r>
      <w:r>
        <w:rPr>
          <w:rFonts w:hint="eastAsia" w:ascii="宋体" w:hAnsi="宋体" w:cs="宋体"/>
          <w:color w:val="auto"/>
          <w:kern w:val="0"/>
          <w:sz w:val="24"/>
          <w:lang w:val="en-US" w:eastAsia="zh-CN"/>
        </w:rPr>
        <w:t>300</w:t>
      </w:r>
      <w:r>
        <w:rPr>
          <w:rFonts w:hint="eastAsia" w:ascii="宋体" w:hAnsi="宋体" w:cs="宋体"/>
          <w:color w:val="auto"/>
          <w:kern w:val="0"/>
          <w:sz w:val="24"/>
        </w:rPr>
        <w:t>万元</w:t>
      </w:r>
      <w:r>
        <w:rPr>
          <w:rFonts w:hint="eastAsia" w:ascii="宋体" w:hAnsi="宋体" w:cs="宋体"/>
          <w:color w:val="auto"/>
          <w:kern w:val="0"/>
          <w:sz w:val="24"/>
        </w:rPr>
        <w:t>。</w:t>
      </w:r>
    </w:p>
    <w:p>
      <w:pPr>
        <w:tabs>
          <w:tab w:val="left" w:pos="0"/>
        </w:tabs>
        <w:spacing w:line="360" w:lineRule="auto"/>
        <w:jc w:val="center"/>
        <w:rPr>
          <w:rFonts w:ascii="宋体" w:hAnsi="宋体" w:cs="宋体"/>
          <w:b/>
          <w:bCs/>
          <w:color w:val="auto"/>
          <w:kern w:val="0"/>
          <w:sz w:val="24"/>
        </w:rPr>
      </w:pPr>
      <w:r>
        <w:rPr>
          <w:rFonts w:hint="eastAsia" w:ascii="宋体" w:hAnsi="宋体" w:cs="宋体"/>
          <w:b/>
          <w:bCs/>
          <w:color w:val="auto"/>
          <w:kern w:val="0"/>
          <w:sz w:val="24"/>
        </w:rPr>
        <w:t>《临安区测绘工程产品指导价格》</w:t>
      </w:r>
    </w:p>
    <w:tbl>
      <w:tblPr>
        <w:tblStyle w:val="62"/>
        <w:tblW w:w="89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915"/>
        <w:gridCol w:w="1658"/>
        <w:gridCol w:w="3129"/>
        <w:gridCol w:w="2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38" w:hRule="atLeast"/>
          <w:jc w:val="center"/>
        </w:trPr>
        <w:tc>
          <w:tcPr>
            <w:tcW w:w="886"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2573" w:type="dxa"/>
            <w:gridSpan w:val="2"/>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内容</w:t>
            </w:r>
          </w:p>
        </w:tc>
        <w:tc>
          <w:tcPr>
            <w:tcW w:w="3129"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w:t>
            </w:r>
          </w:p>
        </w:tc>
        <w:tc>
          <w:tcPr>
            <w:tcW w:w="2383"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86" w:type="dxa"/>
            <w:vMerge w:val="restart"/>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915" w:type="dxa"/>
            <w:vMerge w:val="restart"/>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卫片执法</w:t>
            </w:r>
          </w:p>
        </w:tc>
        <w:tc>
          <w:tcPr>
            <w:tcW w:w="1658" w:type="dxa"/>
            <w:tcBorders>
              <w:left w:val="single" w:color="auto" w:sz="4" w:space="0"/>
              <w:bottom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“云”平台拍照举证</w:t>
            </w:r>
          </w:p>
        </w:tc>
        <w:tc>
          <w:tcPr>
            <w:tcW w:w="3129" w:type="dxa"/>
            <w:tcBorders>
              <w:bottom w:val="single" w:color="auto" w:sz="4" w:space="0"/>
              <w:tl2br w:val="nil"/>
              <w:tr2bl w:val="nil"/>
            </w:tcBorders>
            <w:noWrap/>
            <w:vAlign w:val="center"/>
          </w:tcPr>
          <w:p>
            <w:pPr>
              <w:widowControl/>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200元/点</w:t>
            </w:r>
          </w:p>
        </w:tc>
        <w:tc>
          <w:tcPr>
            <w:tcW w:w="2383" w:type="dxa"/>
            <w:vMerge w:val="restart"/>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含（含现状、规划分类调查、系统录入）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886"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915" w:type="dxa"/>
            <w:vMerge w:val="continue"/>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1658" w:type="dxa"/>
            <w:tcBorders>
              <w:top w:val="single" w:color="auto" w:sz="4" w:space="0"/>
              <w:left w:val="single" w:color="auto" w:sz="4" w:space="0"/>
              <w:bottom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初始数据分析</w:t>
            </w:r>
          </w:p>
        </w:tc>
        <w:tc>
          <w:tcPr>
            <w:tcW w:w="3129" w:type="dxa"/>
            <w:tcBorders>
              <w:top w:val="single" w:color="auto" w:sz="4" w:space="0"/>
              <w:bottom w:val="single" w:color="auto" w:sz="4" w:space="0"/>
              <w:tl2br w:val="nil"/>
              <w:tr2bl w:val="nil"/>
            </w:tcBorders>
            <w:noWrap/>
            <w:vAlign w:val="center"/>
          </w:tcPr>
          <w:p>
            <w:pPr>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50元/宗</w:t>
            </w:r>
          </w:p>
        </w:tc>
        <w:tc>
          <w:tcPr>
            <w:tcW w:w="2383"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86"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915" w:type="dxa"/>
            <w:vMerge w:val="continue"/>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1658" w:type="dxa"/>
            <w:tcBorders>
              <w:top w:val="single" w:color="auto" w:sz="4" w:space="0"/>
              <w:left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数据入库整理</w:t>
            </w:r>
          </w:p>
        </w:tc>
        <w:tc>
          <w:tcPr>
            <w:tcW w:w="3129" w:type="dxa"/>
            <w:tcBorders>
              <w:top w:val="single" w:color="auto" w:sz="4" w:space="0"/>
              <w:tl2br w:val="nil"/>
              <w:tr2bl w:val="nil"/>
            </w:tcBorders>
            <w:noWrap/>
            <w:vAlign w:val="center"/>
          </w:tcPr>
          <w:p>
            <w:pPr>
              <w:widowControl/>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50元/宗</w:t>
            </w:r>
          </w:p>
        </w:tc>
        <w:tc>
          <w:tcPr>
            <w:tcW w:w="2383"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915" w:type="dxa"/>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控制测量</w:t>
            </w:r>
          </w:p>
        </w:tc>
        <w:tc>
          <w:tcPr>
            <w:tcW w:w="1658" w:type="dxa"/>
            <w:tcBorders>
              <w:top w:val="single" w:color="auto" w:sz="4" w:space="0"/>
              <w:left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点</w:t>
            </w:r>
          </w:p>
        </w:tc>
        <w:tc>
          <w:tcPr>
            <w:tcW w:w="3129" w:type="dxa"/>
            <w:tcBorders>
              <w:top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1500</w:t>
            </w:r>
            <w:r>
              <w:rPr>
                <w:rFonts w:hint="eastAsia" w:ascii="宋体" w:hAnsi="宋体" w:eastAsia="宋体" w:cs="宋体"/>
                <w:color w:val="auto"/>
                <w:kern w:val="0"/>
                <w:sz w:val="24"/>
                <w:szCs w:val="24"/>
                <w:lang w:val="en-US" w:eastAsia="zh-CN"/>
              </w:rPr>
              <w:t>/点</w:t>
            </w:r>
          </w:p>
        </w:tc>
        <w:tc>
          <w:tcPr>
            <w:tcW w:w="2383"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573"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测绘</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170元/亩</w:t>
            </w:r>
          </w:p>
        </w:tc>
        <w:tc>
          <w:tcPr>
            <w:tcW w:w="2383"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用地红线扩大30米计算，面积小于或等于20亩的，按20亩计算；面积大于20亩的，按实际亩数计算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573"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土石方测量</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5千立方以内按0.5元/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;5千立方至1万立方以内按0.4元/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;1万立方至5万立方以内按0.3元/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;5万立方至10万立方立方以内按0.2元/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;10万立方立方以上按0.1元/m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p>
        </w:tc>
        <w:tc>
          <w:tcPr>
            <w:tcW w:w="2383"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p>
        </w:tc>
        <w:tc>
          <w:tcPr>
            <w:tcW w:w="2573"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土地调查</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0元/亩</w:t>
            </w:r>
          </w:p>
        </w:tc>
        <w:tc>
          <w:tcPr>
            <w:tcW w:w="2383" w:type="dxa"/>
            <w:tcBorders>
              <w:tl2br w:val="nil"/>
              <w:tr2bl w:val="nil"/>
            </w:tcBorders>
            <w:noWrap/>
            <w:vAlign w:val="center"/>
          </w:tcPr>
          <w:p>
            <w:pPr>
              <w:spacing w:line="360" w:lineRule="exact"/>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土地合法性调查、权属核查、现状地类情况调查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2573"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材料制作</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1000元/宗</w:t>
            </w:r>
          </w:p>
        </w:tc>
        <w:tc>
          <w:tcPr>
            <w:tcW w:w="2383"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886"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2573"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无人机拍摄、正射影像图制作</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1000元/宗</w:t>
            </w:r>
          </w:p>
        </w:tc>
        <w:tc>
          <w:tcPr>
            <w:tcW w:w="2383"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bl>
    <w:p>
      <w:pPr>
        <w:pStyle w:val="24"/>
        <w:ind w:firstLine="480" w:firstLineChars="200"/>
        <w:rPr>
          <w:rFonts w:hAnsi="宋体" w:cs="宋体"/>
          <w:snapToGrid w:val="0"/>
          <w:color w:val="auto"/>
          <w:kern w:val="0"/>
          <w:szCs w:val="24"/>
          <w:lang w:val="en-US"/>
        </w:rPr>
      </w:pPr>
    </w:p>
    <w:p>
      <w:pPr>
        <w:pStyle w:val="25"/>
        <w:ind w:firstLine="0"/>
        <w:rPr>
          <w:rFonts w:hAnsi="宋体" w:cs="宋体"/>
          <w:b/>
          <w:bCs/>
          <w:color w:val="auto"/>
          <w:szCs w:val="24"/>
          <w:highlight w:val="none"/>
          <w:lang w:val="en-US"/>
        </w:rPr>
      </w:pPr>
      <w:r>
        <w:rPr>
          <w:rFonts w:hint="eastAsia" w:hAnsi="宋体" w:cs="宋体"/>
          <w:b/>
          <w:bCs/>
          <w:snapToGrid w:val="0"/>
          <w:color w:val="auto"/>
          <w:kern w:val="0"/>
          <w:szCs w:val="24"/>
          <w:highlight w:val="none"/>
          <w:lang w:val="en-US"/>
        </w:rPr>
        <w:t>七、付款方式</w:t>
      </w:r>
    </w:p>
    <w:p>
      <w:pPr>
        <w:pStyle w:val="24"/>
        <w:ind w:firstLine="480" w:firstLineChars="200"/>
        <w:rPr>
          <w:rFonts w:hAnsi="宋体" w:cs="宋体"/>
          <w:color w:val="auto"/>
          <w:kern w:val="0"/>
          <w:szCs w:val="24"/>
          <w:highlight w:val="none"/>
          <w:lang w:val="en-US"/>
        </w:rPr>
      </w:pPr>
      <w:r>
        <w:rPr>
          <w:rFonts w:hint="eastAsia" w:hAnsi="宋体" w:cs="宋体"/>
          <w:snapToGrid w:val="0"/>
          <w:color w:val="auto"/>
          <w:kern w:val="0"/>
          <w:szCs w:val="24"/>
          <w:highlight w:val="none"/>
          <w:lang w:val="en-US" w:eastAsia="zh-CN"/>
        </w:rPr>
        <w:t>中标方</w:t>
      </w:r>
      <w:r>
        <w:rPr>
          <w:rFonts w:hint="eastAsia" w:hAnsi="宋体" w:cs="宋体"/>
          <w:snapToGrid w:val="0"/>
          <w:color w:val="auto"/>
          <w:kern w:val="0"/>
          <w:szCs w:val="24"/>
          <w:highlight w:val="none"/>
          <w:lang w:val="en-US"/>
        </w:rPr>
        <w:t>报送经过</w:t>
      </w:r>
      <w:r>
        <w:rPr>
          <w:rFonts w:hint="eastAsia" w:hAnsi="宋体" w:cs="宋体"/>
          <w:snapToGrid w:val="0"/>
          <w:color w:val="auto"/>
          <w:kern w:val="0"/>
          <w:szCs w:val="24"/>
          <w:highlight w:val="none"/>
          <w:lang w:val="en-US" w:eastAsia="zh-CN"/>
        </w:rPr>
        <w:t>采购人</w:t>
      </w:r>
      <w:r>
        <w:rPr>
          <w:rFonts w:hint="eastAsia" w:hAnsi="宋体" w:cs="宋体"/>
          <w:snapToGrid w:val="0"/>
          <w:color w:val="auto"/>
          <w:kern w:val="0"/>
          <w:szCs w:val="24"/>
          <w:highlight w:val="none"/>
          <w:lang w:val="en-US"/>
        </w:rPr>
        <w:t>签字确认过的测绘项目确认单，根据实际工作量编制工程结算书（作为附件），经双方共同审定后，作为工程价款结算依据。</w:t>
      </w:r>
      <w:r>
        <w:rPr>
          <w:rFonts w:hint="eastAsia" w:hAnsi="宋体" w:cs="宋体"/>
          <w:snapToGrid w:val="0"/>
          <w:color w:val="auto"/>
          <w:kern w:val="0"/>
          <w:szCs w:val="24"/>
          <w:highlight w:val="none"/>
          <w:lang w:val="en-US" w:eastAsia="zh-CN"/>
        </w:rPr>
        <w:t>采购人</w:t>
      </w:r>
      <w:r>
        <w:rPr>
          <w:rFonts w:hint="eastAsia" w:hAnsi="宋体" w:cs="宋体"/>
          <w:snapToGrid w:val="0"/>
          <w:color w:val="auto"/>
          <w:kern w:val="0"/>
          <w:szCs w:val="24"/>
          <w:highlight w:val="none"/>
          <w:lang w:val="en-US"/>
        </w:rPr>
        <w:t>应根据工程结算结果向</w:t>
      </w:r>
      <w:r>
        <w:rPr>
          <w:rFonts w:hint="eastAsia" w:hAnsi="宋体" w:cs="宋体"/>
          <w:snapToGrid w:val="0"/>
          <w:color w:val="auto"/>
          <w:kern w:val="0"/>
          <w:szCs w:val="24"/>
          <w:highlight w:val="none"/>
          <w:lang w:val="en-US" w:eastAsia="zh-CN"/>
        </w:rPr>
        <w:t>中标方</w:t>
      </w:r>
      <w:r>
        <w:rPr>
          <w:rFonts w:hint="eastAsia" w:hAnsi="宋体" w:cs="宋体"/>
          <w:snapToGrid w:val="0"/>
          <w:color w:val="auto"/>
          <w:kern w:val="0"/>
          <w:szCs w:val="24"/>
          <w:highlight w:val="none"/>
          <w:lang w:val="en-US"/>
        </w:rPr>
        <w:t>结清工程价款。</w:t>
      </w:r>
    </w:p>
    <w:p>
      <w:pPr>
        <w:pStyle w:val="25"/>
        <w:pageBreakBefore w:val="0"/>
        <w:kinsoku/>
        <w:wordWrap/>
        <w:overflowPunct/>
        <w:topLinePunct w:val="0"/>
        <w:bidi w:val="0"/>
        <w:snapToGrid/>
        <w:spacing w:line="360" w:lineRule="auto"/>
        <w:ind w:left="0" w:lef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eastAsia="zh-CN"/>
        </w:rPr>
        <w:t>、项目验收</w:t>
      </w:r>
    </w:p>
    <w:p>
      <w:pPr>
        <w:pageBreakBefore w:val="0"/>
        <w:kinsoku/>
        <w:wordWrap/>
        <w:overflowPunct/>
        <w:topLinePunct w:val="0"/>
        <w:bidi w:val="0"/>
        <w:snapToGri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文件及补充文件、</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均是本合同的一部分，根据《杭州市政府采购履约验收暂行办法》（杭财采监〔2019〕10号）规定，采购人应当根据采购项目的具体情况，自行组织项目验收或者委托采购代理机构验收。履约验收产生的费用，属于首次验收过程中产生的，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承担；属于首次验收不合格，重新验收过程中产生的，由</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承担。</w:t>
      </w:r>
    </w:p>
    <w:p>
      <w:pP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rPr>
        <w:t>评审方法及评审标准</w:t>
      </w:r>
    </w:p>
    <w:p>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265"/>
        <w:gridCol w:w="855"/>
        <w:gridCol w:w="13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440" w:lineRule="exact"/>
              <w:jc w:val="center"/>
              <w:rPr>
                <w:rFonts w:ascii="宋体" w:hAnsi="宋体" w:cs="宋体"/>
                <w:b/>
                <w:bCs/>
                <w:color w:val="auto"/>
                <w:sz w:val="24"/>
              </w:rPr>
            </w:pPr>
            <w:r>
              <w:rPr>
                <w:rFonts w:hint="eastAsia" w:ascii="宋体" w:hAnsi="宋体" w:cs="宋体"/>
                <w:b/>
                <w:bCs/>
                <w:color w:val="auto"/>
                <w:sz w:val="24"/>
              </w:rPr>
              <w:t>序号</w:t>
            </w:r>
          </w:p>
        </w:tc>
        <w:tc>
          <w:tcPr>
            <w:tcW w:w="5265" w:type="dxa"/>
            <w:vAlign w:val="center"/>
          </w:tcPr>
          <w:p>
            <w:pPr>
              <w:snapToGrid w:val="0"/>
              <w:spacing w:line="440" w:lineRule="exact"/>
              <w:jc w:val="center"/>
              <w:rPr>
                <w:rFonts w:ascii="宋体" w:hAnsi="宋体" w:cs="宋体"/>
                <w:b/>
                <w:bCs/>
                <w:color w:val="auto"/>
                <w:sz w:val="24"/>
              </w:rPr>
            </w:pPr>
            <w:r>
              <w:rPr>
                <w:rFonts w:hint="eastAsia" w:ascii="宋体" w:hAnsi="宋体" w:cs="宋体"/>
                <w:b/>
                <w:bCs/>
                <w:color w:val="auto"/>
                <w:sz w:val="24"/>
              </w:rPr>
              <w:t>评审标准</w:t>
            </w:r>
          </w:p>
        </w:tc>
        <w:tc>
          <w:tcPr>
            <w:tcW w:w="855" w:type="dxa"/>
            <w:vAlign w:val="center"/>
          </w:tcPr>
          <w:p>
            <w:pPr>
              <w:snapToGrid w:val="0"/>
              <w:spacing w:line="440" w:lineRule="exact"/>
              <w:jc w:val="center"/>
              <w:rPr>
                <w:rFonts w:ascii="宋体" w:hAnsi="宋体" w:cs="宋体"/>
                <w:b/>
                <w:bCs/>
                <w:color w:val="auto"/>
                <w:sz w:val="24"/>
              </w:rPr>
            </w:pPr>
            <w:r>
              <w:rPr>
                <w:rFonts w:hint="eastAsia" w:ascii="宋体" w:hAnsi="宋体" w:cs="宋体"/>
                <w:b/>
                <w:bCs/>
                <w:color w:val="auto"/>
                <w:sz w:val="24"/>
              </w:rPr>
              <w:t>权重</w:t>
            </w:r>
          </w:p>
        </w:tc>
        <w:tc>
          <w:tcPr>
            <w:tcW w:w="1350" w:type="dxa"/>
            <w:vAlign w:val="center"/>
          </w:tcPr>
          <w:p>
            <w:pPr>
              <w:snapToGrid w:val="0"/>
              <w:spacing w:line="440" w:lineRule="exact"/>
              <w:jc w:val="center"/>
              <w:rPr>
                <w:rFonts w:ascii="宋体" w:hAnsi="宋体" w:cs="宋体"/>
                <w:b/>
                <w:bCs/>
                <w:color w:val="auto"/>
                <w:sz w:val="24"/>
              </w:rPr>
            </w:pPr>
            <w:r>
              <w:rPr>
                <w:rFonts w:hint="eastAsia" w:ascii="宋体" w:hAnsi="宋体" w:cs="宋体"/>
                <w:b/>
                <w:bCs/>
                <w:color w:val="auto"/>
                <w:sz w:val="24"/>
              </w:rPr>
              <w:t>主观分/客观分属性</w:t>
            </w:r>
          </w:p>
        </w:tc>
        <w:tc>
          <w:tcPr>
            <w:tcW w:w="1679" w:type="dxa"/>
            <w:vAlign w:val="center"/>
          </w:tcPr>
          <w:p>
            <w:pPr>
              <w:snapToGrid w:val="0"/>
              <w:spacing w:line="440" w:lineRule="exact"/>
              <w:jc w:val="center"/>
              <w:rPr>
                <w:rFonts w:ascii="宋体" w:hAnsi="宋体" w:cs="宋体"/>
                <w:b/>
                <w:bCs/>
                <w:color w:val="auto"/>
                <w:sz w:val="24"/>
              </w:rPr>
            </w:pPr>
            <w:r>
              <w:rPr>
                <w:rFonts w:hint="eastAsia" w:ascii="宋体" w:hAnsi="宋体" w:cs="宋体"/>
                <w:b/>
                <w:bCs/>
                <w:color w:val="auto"/>
                <w:sz w:val="24"/>
              </w:rPr>
              <w:t>磋商文件中评审标准相应的商务技术资料目录</w:t>
            </w:r>
            <w:r>
              <w:rPr>
                <w:rFonts w:hint="eastAsia" w:ascii="宋体" w:hAnsi="宋体" w:cs="宋体"/>
                <w:b/>
                <w:bCs/>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rPr>
            </w:pPr>
          </w:p>
        </w:tc>
        <w:tc>
          <w:tcPr>
            <w:tcW w:w="5265" w:type="dxa"/>
            <w:vAlign w:val="center"/>
          </w:tcPr>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1月1日</w:t>
            </w:r>
            <w:r>
              <w:rPr>
                <w:rFonts w:hint="eastAsia" w:ascii="宋体" w:hAnsi="宋体" w:cs="宋体"/>
                <w:color w:val="auto"/>
                <w:sz w:val="24"/>
                <w:szCs w:val="24"/>
                <w:highlight w:val="none"/>
                <w:lang w:val="en-US" w:eastAsia="zh-CN"/>
              </w:rPr>
              <w:t>起</w:t>
            </w:r>
            <w:r>
              <w:rPr>
                <w:rFonts w:hint="eastAsia" w:ascii="宋体" w:hAnsi="宋体" w:eastAsia="宋体" w:cs="宋体"/>
                <w:color w:val="auto"/>
                <w:sz w:val="24"/>
                <w:szCs w:val="24"/>
                <w:highlight w:val="none"/>
              </w:rPr>
              <w:t>（以合同签订时间为准）承担过支撑性业绩项目(如“非农化”调查测绘项目、自然资源行政执法技术支撑性调查测绘项目、变更调查项目、乱占耕地项目等）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w:t>
            </w:r>
            <w:r>
              <w:rPr>
                <w:rFonts w:hint="eastAsia" w:ascii="宋体" w:hAnsi="宋体" w:cs="宋体"/>
                <w:color w:val="auto"/>
                <w:sz w:val="24"/>
                <w:szCs w:val="24"/>
                <w:highlight w:val="none"/>
                <w:lang w:val="en-US" w:eastAsia="zh-CN"/>
              </w:rPr>
              <w:t>业绩</w:t>
            </w:r>
            <w:r>
              <w:rPr>
                <w:rFonts w:hint="eastAsia" w:ascii="宋体" w:hAnsi="宋体" w:eastAsia="宋体" w:cs="宋体"/>
                <w:color w:val="auto"/>
                <w:sz w:val="24"/>
                <w:szCs w:val="24"/>
                <w:highlight w:val="none"/>
              </w:rPr>
              <w:t>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pStyle w:val="393"/>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提供合同原件扫描件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855" w:type="dxa"/>
            <w:vAlign w:val="center"/>
          </w:tcPr>
          <w:p>
            <w:pPr>
              <w:widowControl/>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350" w:type="dxa"/>
            <w:vAlign w:val="center"/>
          </w:tcPr>
          <w:p>
            <w:pPr>
              <w:pStyle w:val="393"/>
              <w:spacing w:before="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客观分</w:t>
            </w:r>
          </w:p>
        </w:tc>
        <w:tc>
          <w:tcPr>
            <w:tcW w:w="1679" w:type="dxa"/>
            <w:vAlign w:val="center"/>
          </w:tcPr>
          <w:p>
            <w:pPr>
              <w:spacing w:line="440" w:lineRule="exact"/>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rPr>
            </w:pPr>
          </w:p>
        </w:tc>
        <w:tc>
          <w:tcPr>
            <w:tcW w:w="5265" w:type="dxa"/>
            <w:vAlign w:val="center"/>
          </w:tcPr>
          <w:p>
            <w:pPr>
              <w:pStyle w:val="393"/>
              <w:spacing w:before="0"/>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1月1日</w:t>
            </w:r>
            <w:r>
              <w:rPr>
                <w:rFonts w:hint="eastAsia" w:ascii="宋体" w:hAnsi="宋体" w:eastAsia="宋体" w:cs="宋体"/>
                <w:color w:val="auto"/>
                <w:sz w:val="24"/>
                <w:szCs w:val="24"/>
                <w:highlight w:val="none"/>
              </w:rPr>
              <w:t>以来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取得测绘相关发明专利证书</w:t>
            </w:r>
            <w:r>
              <w:rPr>
                <w:rFonts w:hint="eastAsia" w:ascii="宋体" w:hAnsi="宋体" w:cs="宋体"/>
                <w:color w:val="auto"/>
                <w:sz w:val="24"/>
                <w:szCs w:val="24"/>
                <w:highlight w:val="none"/>
                <w:lang w:val="en-US" w:eastAsia="zh-CN"/>
              </w:rPr>
              <w:t>每个</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最高得1分</w:t>
            </w:r>
            <w:r>
              <w:rPr>
                <w:rFonts w:hint="eastAsia" w:ascii="宋体" w:hAnsi="宋体" w:cs="宋体"/>
                <w:color w:val="auto"/>
                <w:sz w:val="24"/>
                <w:szCs w:val="24"/>
                <w:highlight w:val="none"/>
                <w:lang w:eastAsia="zh-CN"/>
              </w:rPr>
              <w:t>。</w:t>
            </w:r>
          </w:p>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提供相关证书原件扫描件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855" w:type="dxa"/>
            <w:vAlign w:val="center"/>
          </w:tcPr>
          <w:p>
            <w:pPr>
              <w:widowControl/>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1350"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c>
          <w:tcPr>
            <w:tcW w:w="1679" w:type="dxa"/>
            <w:vAlign w:val="center"/>
          </w:tcPr>
          <w:p>
            <w:pPr>
              <w:spacing w:line="440" w:lineRule="exact"/>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rPr>
            </w:pPr>
          </w:p>
        </w:tc>
        <w:tc>
          <w:tcPr>
            <w:tcW w:w="5265" w:type="dxa"/>
            <w:vAlign w:val="center"/>
          </w:tcPr>
          <w:p>
            <w:pPr>
              <w:pStyle w:val="393"/>
              <w:spacing w:before="0"/>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自</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1月1日</w:t>
            </w:r>
            <w:r>
              <w:rPr>
                <w:rFonts w:hint="eastAsia" w:ascii="宋体" w:hAnsi="宋体" w:eastAsia="宋体" w:cs="宋体"/>
                <w:color w:val="auto"/>
                <w:sz w:val="24"/>
                <w:szCs w:val="24"/>
                <w:highlight w:val="none"/>
              </w:rPr>
              <w:t>以来</w:t>
            </w:r>
            <w:r>
              <w:rPr>
                <w:rFonts w:hint="eastAsia" w:ascii="宋体" w:hAnsi="宋体" w:cs="宋体"/>
                <w:color w:val="auto"/>
                <w:sz w:val="24"/>
                <w:szCs w:val="24"/>
                <w:highlight w:val="none"/>
                <w:lang w:val="en-US" w:eastAsia="zh-CN"/>
              </w:rPr>
              <w:t>获得过</w:t>
            </w:r>
            <w:r>
              <w:rPr>
                <w:rFonts w:hint="eastAsia" w:ascii="宋体" w:hAnsi="宋体" w:cs="宋体"/>
                <w:color w:val="auto"/>
                <w:sz w:val="24"/>
                <w:szCs w:val="24"/>
                <w:highlight w:val="none"/>
                <w:lang w:val="en-US" w:eastAsia="zh-CN"/>
              </w:rPr>
              <w:t>市级及以上</w:t>
            </w:r>
            <w:r>
              <w:rPr>
                <w:rFonts w:hint="eastAsia" w:ascii="宋体" w:hAnsi="宋体" w:cs="宋体"/>
                <w:color w:val="auto"/>
                <w:sz w:val="24"/>
                <w:szCs w:val="24"/>
                <w:highlight w:val="none"/>
                <w:lang w:val="en-US" w:eastAsia="zh-CN"/>
              </w:rPr>
              <w:t>测绘类奖项的，每个奖项得1分，最高得2分。</w:t>
            </w:r>
          </w:p>
          <w:p>
            <w:pPr>
              <w:pStyle w:val="393"/>
              <w:spacing w:before="0"/>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获奖证明文件</w:t>
            </w:r>
            <w:r>
              <w:rPr>
                <w:rFonts w:hint="eastAsia" w:ascii="宋体" w:hAnsi="宋体" w:eastAsia="宋体" w:cs="宋体"/>
                <w:color w:val="auto"/>
                <w:sz w:val="24"/>
                <w:szCs w:val="24"/>
                <w:highlight w:val="none"/>
              </w:rPr>
              <w:t>原件扫描件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79" w:type="dxa"/>
            <w:vAlign w:val="center"/>
          </w:tcPr>
          <w:p>
            <w:pPr>
              <w:spacing w:line="440" w:lineRule="exact"/>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企业获奖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用于本项目</w:t>
            </w:r>
            <w:r>
              <w:rPr>
                <w:rFonts w:hint="eastAsia" w:ascii="宋体" w:hAnsi="宋体" w:eastAsia="宋体" w:cs="宋体"/>
                <w:color w:val="auto"/>
                <w:sz w:val="24"/>
                <w:szCs w:val="24"/>
                <w:highlight w:val="none"/>
              </w:rPr>
              <w:t>的交通工具车辆（不含租赁）具有10辆及以上的得3分，5（含5辆）-9辆的得2分，1（含1辆）-4辆的得1分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其余不得分</w:t>
            </w:r>
            <w:r>
              <w:rPr>
                <w:rFonts w:hint="eastAsia" w:ascii="宋体" w:hAnsi="宋体" w:eastAsia="宋体" w:cs="宋体"/>
                <w:color w:val="auto"/>
                <w:sz w:val="24"/>
                <w:szCs w:val="24"/>
                <w:highlight w:val="none"/>
              </w:rPr>
              <w:t>。</w:t>
            </w:r>
          </w:p>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行驶证</w:t>
            </w:r>
            <w:r>
              <w:rPr>
                <w:rFonts w:hint="eastAsia" w:ascii="宋体" w:hAnsi="宋体" w:eastAsia="宋体" w:cs="宋体"/>
                <w:color w:val="auto"/>
                <w:sz w:val="24"/>
                <w:szCs w:val="24"/>
                <w:highlight w:val="none"/>
              </w:rPr>
              <w:t>原件扫描件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855" w:type="dxa"/>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1679" w:type="dxa"/>
            <w:vAlign w:val="center"/>
          </w:tcPr>
          <w:p>
            <w:pPr>
              <w:spacing w:line="440" w:lineRule="exact"/>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交通保障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供应商具有有效期内的质量管理体系认证、信息安全管理体系认证、知识产权管理体系认证书，每个得1分，</w:t>
            </w:r>
            <w:r>
              <w:rPr>
                <w:rFonts w:hint="eastAsia" w:ascii="宋体" w:hAnsi="宋体" w:cs="宋体"/>
                <w:color w:val="auto"/>
                <w:sz w:val="24"/>
                <w:szCs w:val="24"/>
                <w:highlight w:val="none"/>
                <w:lang w:val="en-US" w:eastAsia="zh-CN"/>
              </w:rPr>
              <w:t>最高得3分</w:t>
            </w:r>
            <w:r>
              <w:rPr>
                <w:rFonts w:hint="eastAsia" w:ascii="宋体" w:hAnsi="宋体" w:cs="宋体"/>
                <w:color w:val="auto"/>
                <w:sz w:val="24"/>
                <w:szCs w:val="24"/>
                <w:highlight w:val="none"/>
                <w:lang w:eastAsia="zh-CN"/>
              </w:rPr>
              <w:t>。</w:t>
            </w:r>
          </w:p>
          <w:p>
            <w:pPr>
              <w:pStyle w:val="393"/>
              <w:spacing w:before="0"/>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相应证书</w:t>
            </w:r>
            <w:r>
              <w:rPr>
                <w:rFonts w:hint="eastAsia" w:ascii="宋体" w:hAnsi="宋体" w:eastAsia="宋体" w:cs="宋体"/>
                <w:color w:val="auto"/>
                <w:sz w:val="24"/>
                <w:szCs w:val="24"/>
                <w:highlight w:val="none"/>
              </w:rPr>
              <w:t>原件扫描件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否则</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855" w:type="dxa"/>
            <w:vAlign w:val="center"/>
          </w:tcPr>
          <w:p>
            <w:pPr>
              <w:widowControl/>
              <w:jc w:val="center"/>
              <w:textAlignment w:val="center"/>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350" w:type="dxa"/>
            <w:vAlign w:val="center"/>
          </w:tcPr>
          <w:p>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客观分</w:t>
            </w:r>
          </w:p>
        </w:tc>
        <w:tc>
          <w:tcPr>
            <w:tcW w:w="1679" w:type="dxa"/>
            <w:vAlign w:val="center"/>
          </w:tcPr>
          <w:p>
            <w:pPr>
              <w:spacing w:line="440" w:lineRule="exact"/>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拟派项目负责人</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1人</w:t>
            </w:r>
            <w:r>
              <w:rPr>
                <w:rFonts w:hint="eastAsia" w:ascii="宋体" w:hAnsi="宋体" w:cs="宋体"/>
                <w:color w:val="auto"/>
                <w:kern w:val="0"/>
                <w:sz w:val="24"/>
                <w:szCs w:val="24"/>
                <w:lang w:eastAsia="zh-CN"/>
              </w:rPr>
              <w:t>）：</w:t>
            </w:r>
          </w:p>
          <w:p>
            <w:pPr>
              <w:pStyle w:val="393"/>
              <w:spacing w:before="0"/>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①具有测绘专业高级及以上工程师职称的得2分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具有测绘专业</w:t>
            </w:r>
            <w:r>
              <w:rPr>
                <w:rFonts w:hint="eastAsia" w:ascii="宋体" w:hAnsi="宋体" w:eastAsia="宋体" w:cs="宋体"/>
                <w:color w:val="auto"/>
                <w:kern w:val="0"/>
                <w:sz w:val="24"/>
                <w:szCs w:val="24"/>
                <w:lang w:val="en-US" w:eastAsia="zh-CN"/>
              </w:rPr>
              <w:t>中级</w:t>
            </w:r>
            <w:r>
              <w:rPr>
                <w:rFonts w:hint="eastAsia" w:ascii="宋体" w:hAnsi="宋体" w:eastAsia="宋体" w:cs="宋体"/>
                <w:color w:val="auto"/>
                <w:kern w:val="0"/>
                <w:sz w:val="24"/>
                <w:szCs w:val="24"/>
              </w:rPr>
              <w:t>工程师职称的得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注册测绘师资格证书的得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注：</w:t>
            </w:r>
            <w:r>
              <w:rPr>
                <w:rFonts w:hint="eastAsia" w:ascii="宋体" w:hAnsi="宋体" w:eastAsia="宋体" w:cs="宋体"/>
                <w:color w:val="auto"/>
                <w:kern w:val="0"/>
                <w:sz w:val="24"/>
                <w:szCs w:val="24"/>
              </w:rPr>
              <w:t>提供相关证书原件扫描件及单位为其缴纳的近三个月社保证明原件扫描件，</w:t>
            </w:r>
            <w:r>
              <w:rPr>
                <w:rFonts w:hint="eastAsia" w:ascii="宋体" w:hAnsi="宋体" w:eastAsia="宋体" w:cs="宋体"/>
                <w:color w:val="auto"/>
                <w:kern w:val="0"/>
                <w:sz w:val="24"/>
                <w:szCs w:val="24"/>
                <w:lang w:val="en-US" w:eastAsia="zh-CN"/>
              </w:rPr>
              <w:t>否则</w:t>
            </w:r>
            <w:r>
              <w:rPr>
                <w:rFonts w:hint="eastAsia" w:ascii="宋体" w:hAnsi="宋体" w:eastAsia="宋体" w:cs="宋体"/>
                <w:color w:val="auto"/>
                <w:kern w:val="0"/>
                <w:sz w:val="24"/>
                <w:szCs w:val="24"/>
              </w:rPr>
              <w:t>不得分</w:t>
            </w:r>
            <w:r>
              <w:rPr>
                <w:rFonts w:hint="eastAsia" w:ascii="宋体" w:hAnsi="宋体" w:eastAsia="宋体" w:cs="宋体"/>
                <w:color w:val="auto"/>
                <w:kern w:val="0"/>
                <w:sz w:val="24"/>
                <w:szCs w:val="24"/>
                <w:lang w:eastAsia="zh-CN"/>
              </w:rPr>
              <w:t>。</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79" w:type="dxa"/>
            <w:vAlign w:val="center"/>
          </w:tcPr>
          <w:p>
            <w:pPr>
              <w:spacing w:line="440" w:lineRule="exact"/>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拟派项目技术负责人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1人</w:t>
            </w:r>
            <w:r>
              <w:rPr>
                <w:rFonts w:hint="eastAsia" w:ascii="宋体" w:hAnsi="宋体" w:eastAsia="宋体" w:cs="宋体"/>
                <w:color w:val="auto"/>
                <w:kern w:val="0"/>
                <w:sz w:val="24"/>
                <w:szCs w:val="24"/>
                <w:lang w:eastAsia="zh-CN"/>
              </w:rPr>
              <w:t>）：</w:t>
            </w:r>
          </w:p>
          <w:p>
            <w:pPr>
              <w:pStyle w:val="393"/>
              <w:spacing w:before="0"/>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具有测绘专业高级及以上工程师职称的得2分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具有测绘专业</w:t>
            </w:r>
            <w:r>
              <w:rPr>
                <w:rFonts w:hint="eastAsia" w:ascii="宋体" w:hAnsi="宋体" w:eastAsia="宋体" w:cs="宋体"/>
                <w:color w:val="auto"/>
                <w:kern w:val="0"/>
                <w:sz w:val="24"/>
                <w:szCs w:val="24"/>
                <w:lang w:val="en-US" w:eastAsia="zh-CN"/>
              </w:rPr>
              <w:t>中级</w:t>
            </w:r>
            <w:r>
              <w:rPr>
                <w:rFonts w:hint="eastAsia" w:ascii="宋体" w:hAnsi="宋体" w:eastAsia="宋体" w:cs="宋体"/>
                <w:color w:val="auto"/>
                <w:kern w:val="0"/>
                <w:sz w:val="24"/>
                <w:szCs w:val="24"/>
              </w:rPr>
              <w:t>工程师职称的得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注：</w:t>
            </w:r>
            <w:r>
              <w:rPr>
                <w:rFonts w:hint="eastAsia" w:ascii="宋体" w:hAnsi="宋体" w:eastAsia="宋体" w:cs="宋体"/>
                <w:color w:val="auto"/>
                <w:kern w:val="0"/>
                <w:sz w:val="24"/>
                <w:szCs w:val="24"/>
              </w:rPr>
              <w:t>提供相关证书原件扫描件及单位为其缴纳的近三个月社保证明原件扫描件，</w:t>
            </w:r>
            <w:r>
              <w:rPr>
                <w:rFonts w:hint="eastAsia" w:ascii="宋体" w:hAnsi="宋体" w:eastAsia="宋体" w:cs="宋体"/>
                <w:color w:val="auto"/>
                <w:kern w:val="0"/>
                <w:sz w:val="24"/>
                <w:szCs w:val="24"/>
                <w:lang w:val="en-US" w:eastAsia="zh-CN"/>
              </w:rPr>
              <w:t>否则</w:t>
            </w:r>
            <w:r>
              <w:rPr>
                <w:rFonts w:hint="eastAsia" w:ascii="宋体" w:hAnsi="宋体" w:eastAsia="宋体" w:cs="宋体"/>
                <w:color w:val="auto"/>
                <w:kern w:val="0"/>
                <w:sz w:val="24"/>
                <w:szCs w:val="24"/>
              </w:rPr>
              <w:t>不得分</w:t>
            </w:r>
            <w:r>
              <w:rPr>
                <w:rFonts w:hint="eastAsia" w:ascii="宋体" w:hAnsi="宋体" w:eastAsia="宋体" w:cs="宋体"/>
                <w:color w:val="auto"/>
                <w:kern w:val="0"/>
                <w:sz w:val="24"/>
                <w:szCs w:val="24"/>
                <w:lang w:eastAsia="zh-CN"/>
              </w:rPr>
              <w:t>。</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79" w:type="dxa"/>
            <w:vAlign w:val="center"/>
          </w:tcPr>
          <w:p>
            <w:pPr>
              <w:spacing w:line="440" w:lineRule="exact"/>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rPr>
              <w:t>拟投入本项目人员（除项目负责人、技术负责人外）</w:t>
            </w:r>
            <w:r>
              <w:rPr>
                <w:rFonts w:hint="eastAsia" w:ascii="宋体" w:hAnsi="宋体" w:eastAsia="宋体" w:cs="宋体"/>
                <w:color w:val="auto"/>
                <w:kern w:val="0"/>
                <w:sz w:val="24"/>
                <w:szCs w:val="24"/>
                <w:lang w:eastAsia="zh-CN"/>
              </w:rPr>
              <w:t>：</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①具有测绘专业中级及以上工程师职称的每人得0.5分，最高得5分；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②投入测绘类技术人员的数量1-10人（含）的得1分，11-24人（含）以上的得2分，25人（含）以上得3分。</w:t>
            </w:r>
          </w:p>
          <w:p>
            <w:pPr>
              <w:pStyle w:val="393"/>
              <w:spacing w:before="0"/>
              <w:ind w:firstLine="0" w:firstLineChars="0"/>
              <w:jc w:val="left"/>
              <w:rPr>
                <w:rFonts w:hint="default"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注：</w:t>
            </w:r>
            <w:r>
              <w:rPr>
                <w:rFonts w:hint="eastAsia" w:ascii="宋体" w:hAnsi="宋体" w:eastAsia="宋体" w:cs="宋体"/>
                <w:color w:val="auto"/>
                <w:kern w:val="0"/>
                <w:sz w:val="24"/>
                <w:szCs w:val="24"/>
              </w:rPr>
              <w:t>以上技术人员须提供主管部门确认的证明材料,同时均须提供相关证书原件扫描件及单位为其缴纳的近三个月社保证明原件扫描件，</w:t>
            </w:r>
            <w:r>
              <w:rPr>
                <w:rFonts w:hint="eastAsia" w:ascii="宋体" w:hAnsi="宋体" w:eastAsia="宋体" w:cs="宋体"/>
                <w:color w:val="auto"/>
                <w:kern w:val="0"/>
                <w:sz w:val="24"/>
                <w:szCs w:val="24"/>
                <w:lang w:val="en-US" w:eastAsia="zh-CN"/>
              </w:rPr>
              <w:t>否则</w:t>
            </w:r>
            <w:r>
              <w:rPr>
                <w:rFonts w:hint="eastAsia" w:ascii="宋体" w:hAnsi="宋体" w:eastAsia="宋体" w:cs="宋体"/>
                <w:color w:val="auto"/>
                <w:kern w:val="0"/>
                <w:sz w:val="24"/>
                <w:szCs w:val="24"/>
              </w:rPr>
              <w:t>不得分</w:t>
            </w:r>
            <w:r>
              <w:rPr>
                <w:rFonts w:hint="eastAsia" w:ascii="宋体" w:hAnsi="宋体" w:eastAsia="宋体" w:cs="宋体"/>
                <w:color w:val="auto"/>
                <w:kern w:val="0"/>
                <w:sz w:val="24"/>
                <w:szCs w:val="24"/>
                <w:lang w:eastAsia="zh-CN"/>
              </w:rPr>
              <w:t>。</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79" w:type="dxa"/>
            <w:vAlign w:val="center"/>
          </w:tcPr>
          <w:p>
            <w:pPr>
              <w:spacing w:line="440" w:lineRule="exact"/>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项目团队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对本项目的理解、认识、剖析，对当地地理、地址等现实情况的熟悉程度，以及拓展、建议是否合理等情况进行综合评分。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对项目的理解与分析透彻、熟悉度高的得8分；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对项目的理解与分析基本到位、熟悉度</w:t>
            </w:r>
            <w:r>
              <w:rPr>
                <w:rFonts w:hint="eastAsia" w:ascii="宋体" w:hAnsi="宋体" w:eastAsia="宋体" w:cs="宋体"/>
                <w:color w:val="auto"/>
                <w:kern w:val="0"/>
                <w:sz w:val="24"/>
                <w:szCs w:val="24"/>
                <w:lang w:val="en-US" w:eastAsia="zh-CN"/>
              </w:rPr>
              <w:t>较高</w:t>
            </w:r>
            <w:r>
              <w:rPr>
                <w:rFonts w:hint="eastAsia" w:ascii="宋体" w:hAnsi="宋体" w:eastAsia="宋体" w:cs="宋体"/>
                <w:color w:val="auto"/>
                <w:kern w:val="0"/>
                <w:sz w:val="24"/>
                <w:szCs w:val="24"/>
              </w:rPr>
              <w:t>的得4分；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对项目的理解与分析基本到位、熟悉度一般的</w:t>
            </w:r>
            <w:r>
              <w:rPr>
                <w:rFonts w:hint="eastAsia" w:ascii="宋体" w:hAnsi="宋体" w:eastAsia="宋体" w:cs="宋体"/>
                <w:color w:val="auto"/>
                <w:sz w:val="24"/>
                <w:szCs w:val="24"/>
                <w:highlight w:val="none"/>
                <w:lang w:val="en-US" w:eastAsia="zh-CN"/>
              </w:rPr>
              <w:t>（无实质性阐述内容）</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对项目的理解与分析不足、不熟悉的或未提供的不得分。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项目理解与分析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采用的技术方法、组织方案的合理性、科学性、全面性、可操作性等情况进行综合评分。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技术方案科学合理、完整全面、可操作性强的得</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技术方案基本科学合理、较为完整、可操作性</w:t>
            </w:r>
            <w:r>
              <w:rPr>
                <w:rFonts w:hint="eastAsia" w:ascii="宋体" w:hAnsi="宋体" w:eastAsia="宋体" w:cs="宋体"/>
                <w:color w:val="auto"/>
                <w:kern w:val="0"/>
                <w:sz w:val="24"/>
                <w:szCs w:val="24"/>
                <w:lang w:val="en-US" w:eastAsia="zh-CN"/>
              </w:rPr>
              <w:t>较强</w:t>
            </w:r>
            <w:r>
              <w:rPr>
                <w:rFonts w:hint="eastAsia" w:ascii="宋体" w:hAnsi="宋体" w:eastAsia="宋体" w:cs="宋体"/>
                <w:color w:val="auto"/>
                <w:kern w:val="0"/>
                <w:sz w:val="24"/>
                <w:szCs w:val="24"/>
              </w:rPr>
              <w:t>的得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技术方案</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科学合理、</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完整、可操作性一般的</w:t>
            </w:r>
            <w:r>
              <w:rPr>
                <w:rFonts w:hint="eastAsia" w:ascii="宋体" w:hAnsi="宋体" w:eastAsia="宋体" w:cs="宋体"/>
                <w:color w:val="auto"/>
                <w:sz w:val="24"/>
                <w:szCs w:val="24"/>
                <w:highlight w:val="none"/>
                <w:lang w:val="en-US" w:eastAsia="zh-CN"/>
              </w:rPr>
              <w:t>（无实质性阐述内容）</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技术方案不合理、不全面、无可操作性的或未提供的不得分。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对项目进度安排的合理性、完整性、可操作性，进度控制的科学合理性、服务期保障措施的健全性等情况进行综合评分。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实施方案科学合理、完整全面、可操作性强的得8分；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实施方案基本科学合理、较为完整、可操作性</w:t>
            </w:r>
            <w:r>
              <w:rPr>
                <w:rFonts w:hint="eastAsia" w:ascii="宋体" w:hAnsi="宋体" w:eastAsia="宋体" w:cs="宋体"/>
                <w:color w:val="auto"/>
                <w:kern w:val="0"/>
                <w:sz w:val="24"/>
                <w:szCs w:val="24"/>
                <w:lang w:val="en-US" w:eastAsia="zh-CN"/>
              </w:rPr>
              <w:t>较强</w:t>
            </w:r>
            <w:r>
              <w:rPr>
                <w:rFonts w:hint="eastAsia" w:ascii="宋体" w:hAnsi="宋体" w:eastAsia="宋体" w:cs="宋体"/>
                <w:color w:val="auto"/>
                <w:kern w:val="0"/>
                <w:sz w:val="24"/>
                <w:szCs w:val="24"/>
              </w:rPr>
              <w:t>的得4分；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实施方案</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科学合理、</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完整、可操作性一般的</w:t>
            </w:r>
            <w:r>
              <w:rPr>
                <w:rFonts w:hint="eastAsia" w:ascii="宋体" w:hAnsi="宋体" w:eastAsia="宋体" w:cs="宋体"/>
                <w:color w:val="auto"/>
                <w:sz w:val="24"/>
                <w:szCs w:val="24"/>
                <w:highlight w:val="none"/>
                <w:lang w:val="en-US" w:eastAsia="zh-CN"/>
              </w:rPr>
              <w:t>（无实质性阐述内容）</w:t>
            </w:r>
            <w:r>
              <w:rPr>
                <w:rFonts w:hint="eastAsia" w:ascii="宋体" w:hAnsi="宋体" w:eastAsia="宋体" w:cs="宋体"/>
                <w:color w:val="auto"/>
                <w:kern w:val="0"/>
                <w:sz w:val="24"/>
                <w:szCs w:val="24"/>
              </w:rPr>
              <w:t>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实施方案不合理、不全面、无可操作性的的或未提供的不得分。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项目实施中的安全技术措施和文明施工测量方法的科学性、合理性等情况进行综合评分。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安全文明措施科学合理、可行性强的得</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安全文明措施基本科学合理、基本可行的得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安全文明措施</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科学合理、</w:t>
            </w:r>
            <w:r>
              <w:rPr>
                <w:rFonts w:hint="eastAsia" w:ascii="宋体" w:hAnsi="宋体" w:cs="宋体"/>
                <w:color w:val="auto"/>
                <w:kern w:val="0"/>
                <w:sz w:val="24"/>
                <w:szCs w:val="24"/>
                <w:lang w:val="en-US" w:eastAsia="zh-CN"/>
              </w:rPr>
              <w:t>一般</w:t>
            </w:r>
            <w:r>
              <w:rPr>
                <w:rFonts w:hint="eastAsia" w:ascii="宋体" w:hAnsi="宋体" w:eastAsia="宋体" w:cs="宋体"/>
                <w:color w:val="auto"/>
                <w:kern w:val="0"/>
                <w:sz w:val="24"/>
                <w:szCs w:val="24"/>
              </w:rPr>
              <w:t>可行的得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安全文明措施不合理、不可行的或未提供的不得分。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安全文明措施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kern w:val="0"/>
                <w:sz w:val="24"/>
                <w:szCs w:val="24"/>
                <w:lang w:eastAsia="zh-CN"/>
              </w:rPr>
              <w:t>供应商</w:t>
            </w:r>
            <w:r>
              <w:rPr>
                <w:rFonts w:hint="eastAsia" w:ascii="宋体" w:hAnsi="宋体" w:eastAsia="宋体" w:cs="宋体"/>
                <w:color w:val="auto"/>
                <w:kern w:val="0"/>
                <w:sz w:val="24"/>
                <w:szCs w:val="24"/>
              </w:rPr>
              <w:t>项目实施的质量管理组织架构、质量监督体系和质量保证措施，确保服务期和服务质量的承诺等情况进行综合评分。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项目质量管控完整合理，可行性强的得</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项目质量管控基本合理、基本可行的得</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项目质量管控</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合理、</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可行的得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项目质量管控不合理、不可行的或未提供的不得分。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项目质量管控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服务承诺、保障体系、服务方式等情况进行综合评分。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服务方案科学合理、完整全面、可行性强的得6分；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服务方案基本合理、比较完整、基本可行的得3分；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服务方案</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合理、</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可行的得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服务方案不合理、不可行的或未提供的不得分。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提供的应对项目实施过程中的响应时间、调配人数与突发事件处理方案的可行性、科学性、合理性等情况进行综合打分。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应急处理方案科学合理、完整全面、可行性强的得6分，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应急处理方案基本合理、比较完整、基本可行的得3分，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应急处理方案</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合理、</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完整、</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可行的得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应急处理方案不合理、不可行的或未提供的不得分。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350"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应急处理方案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①供应商为本项目每提供一台GPS设备的得0.</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分，最高得2分。</w:t>
            </w:r>
            <w:r>
              <w:rPr>
                <w:rFonts w:hint="eastAsia" w:ascii="宋体" w:hAnsi="宋体" w:eastAsia="宋体" w:cs="宋体"/>
                <w:color w:val="auto"/>
                <w:kern w:val="0"/>
                <w:sz w:val="24"/>
                <w:szCs w:val="24"/>
                <w:lang w:val="en-US" w:eastAsia="zh-CN"/>
              </w:rPr>
              <w:t>须</w:t>
            </w: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lang w:val="en-US" w:eastAsia="zh-CN"/>
              </w:rPr>
              <w:t>对应设备</w:t>
            </w:r>
            <w:r>
              <w:rPr>
                <w:rFonts w:hint="eastAsia" w:ascii="宋体" w:hAnsi="宋体" w:eastAsia="宋体" w:cs="宋体"/>
                <w:color w:val="auto"/>
                <w:kern w:val="0"/>
                <w:sz w:val="24"/>
                <w:szCs w:val="24"/>
                <w:lang w:eastAsia="zh-CN"/>
              </w:rPr>
              <w:t>购买发票</w:t>
            </w:r>
          </w:p>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②供应商为本项目每提供一台全站仪的得0.5分，最高得2分； </w:t>
            </w:r>
          </w:p>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宋体" w:hAnsi="宋体" w:eastAsia="宋体" w:cs="宋体"/>
                <w:color w:val="auto"/>
                <w:kern w:val="0"/>
                <w:sz w:val="24"/>
                <w:szCs w:val="24"/>
                <w:lang w:eastAsia="zh-CN"/>
              </w:rPr>
            </w:pPr>
            <w:r>
              <w:rPr>
                <w:rFonts w:hint="default" w:ascii="宋体" w:hAnsi="宋体" w:eastAsia="宋体" w:cs="宋体"/>
                <w:color w:val="auto"/>
                <w:kern w:val="0"/>
                <w:sz w:val="24"/>
                <w:szCs w:val="24"/>
                <w:lang w:val="en-US" w:eastAsia="zh-CN"/>
              </w:rPr>
              <w:t>③</w:t>
            </w:r>
            <w:r>
              <w:rPr>
                <w:rFonts w:hint="eastAsia" w:ascii="宋体" w:hAnsi="宋体" w:eastAsia="宋体" w:cs="宋体"/>
                <w:color w:val="auto"/>
                <w:kern w:val="0"/>
                <w:sz w:val="24"/>
                <w:szCs w:val="24"/>
                <w:lang w:eastAsia="zh-CN"/>
              </w:rPr>
              <w:t>供应商为本项目每提供一台航空摄影测量无人机的得0.5分，最高得2分。</w:t>
            </w:r>
          </w:p>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注：以上设备须</w:t>
            </w: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lang w:val="en-US" w:eastAsia="zh-CN"/>
              </w:rPr>
              <w:t>对应</w:t>
            </w:r>
            <w:r>
              <w:rPr>
                <w:rFonts w:hint="eastAsia" w:ascii="宋体" w:hAnsi="宋体" w:eastAsia="宋体" w:cs="宋体"/>
                <w:color w:val="auto"/>
                <w:kern w:val="0"/>
                <w:sz w:val="24"/>
                <w:szCs w:val="24"/>
                <w:lang w:eastAsia="zh-CN"/>
              </w:rPr>
              <w:t>购买发票</w:t>
            </w:r>
            <w:r>
              <w:rPr>
                <w:rFonts w:hint="eastAsia" w:ascii="宋体" w:hAnsi="宋体" w:eastAsia="宋体" w:cs="宋体"/>
                <w:color w:val="auto"/>
                <w:kern w:val="0"/>
                <w:sz w:val="24"/>
                <w:szCs w:val="24"/>
                <w:lang w:val="en-US" w:eastAsia="zh-CN"/>
              </w:rPr>
              <w:t>原件扫描件加盖公章，否则不得分。</w:t>
            </w:r>
          </w:p>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宋体" w:hAnsi="宋体" w:eastAsia="宋体" w:cs="宋体"/>
                <w:color w:val="auto"/>
                <w:kern w:val="0"/>
                <w:sz w:val="24"/>
                <w:szCs w:val="24"/>
                <w:lang w:eastAsia="zh-CN"/>
              </w:rPr>
            </w:pPr>
            <w:r>
              <w:rPr>
                <w:rFonts w:hint="default" w:ascii="宋体" w:hAnsi="宋体" w:eastAsia="宋体" w:cs="宋体"/>
                <w:color w:val="auto"/>
                <w:kern w:val="0"/>
                <w:sz w:val="24"/>
                <w:szCs w:val="24"/>
                <w:lang w:val="en-US" w:eastAsia="zh-CN"/>
              </w:rPr>
              <w:t>④</w:t>
            </w:r>
            <w:r>
              <w:rPr>
                <w:rFonts w:hint="eastAsia" w:ascii="宋体" w:hAnsi="宋体" w:eastAsia="宋体" w:cs="宋体"/>
                <w:color w:val="auto"/>
                <w:kern w:val="0"/>
                <w:sz w:val="24"/>
                <w:szCs w:val="24"/>
                <w:lang w:eastAsia="zh-CN"/>
              </w:rPr>
              <w:t>供应商具有民用无人驾驶航空器操控员执照的每人得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分，最多得2分；</w:t>
            </w:r>
          </w:p>
          <w:p>
            <w:pPr>
              <w:pStyle w:val="106"/>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rPr>
              <w:t>注：提供相应</w:t>
            </w:r>
            <w:r>
              <w:rPr>
                <w:rFonts w:hint="eastAsia" w:ascii="宋体" w:hAnsi="宋体" w:eastAsia="宋体" w:cs="宋体"/>
                <w:color w:val="auto"/>
                <w:kern w:val="0"/>
                <w:sz w:val="24"/>
                <w:szCs w:val="24"/>
                <w:lang w:eastAsia="zh-CN"/>
              </w:rPr>
              <w:t>证书、单位为其缴纳的近三个月社保证明原件扫描件</w:t>
            </w:r>
            <w:r>
              <w:rPr>
                <w:rFonts w:hint="eastAsia" w:ascii="宋体" w:hAnsi="宋体" w:eastAsia="宋体" w:cs="宋体"/>
                <w:color w:val="auto"/>
                <w:kern w:val="0"/>
                <w:sz w:val="24"/>
                <w:szCs w:val="24"/>
                <w:lang w:val="en-US" w:eastAsia="zh-CN"/>
              </w:rPr>
              <w:t>加盖公章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否则</w:t>
            </w:r>
            <w:r>
              <w:rPr>
                <w:rFonts w:hint="eastAsia" w:ascii="宋体" w:hAnsi="宋体" w:eastAsia="宋体" w:cs="宋体"/>
                <w:color w:val="auto"/>
                <w:kern w:val="0"/>
                <w:sz w:val="24"/>
                <w:szCs w:val="24"/>
                <w:lang w:eastAsia="zh-CN"/>
              </w:rPr>
              <w:t>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679" w:type="dxa"/>
            <w:vAlign w:val="center"/>
          </w:tcPr>
          <w:p>
            <w:pPr>
              <w:spacing w:line="440" w:lineRule="exact"/>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设备保障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outlineLvl w:val="0"/>
              <w:rPr>
                <w:rFonts w:ascii="宋体" w:hAnsi="宋体" w:cs="宋体"/>
                <w:color w:val="auto"/>
                <w:sz w:val="24"/>
                <w:highlight w:val="none"/>
              </w:rPr>
            </w:pPr>
          </w:p>
        </w:tc>
        <w:tc>
          <w:tcPr>
            <w:tcW w:w="5265" w:type="dxa"/>
            <w:vAlign w:val="center"/>
          </w:tcPr>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是否能够提供完善、快速的服务，满足采购单位相关要求，实现“全方位、高品质、快速度”的服务标准等情况进行综合评分。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服务响应能力完备、周全，满足采购单位相关要求得6分；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服务响应能力</w:t>
            </w:r>
            <w:r>
              <w:rPr>
                <w:rFonts w:hint="eastAsia" w:ascii="宋体" w:hAnsi="宋体" w:eastAsia="宋体" w:cs="宋体"/>
                <w:color w:val="auto"/>
                <w:kern w:val="0"/>
                <w:sz w:val="24"/>
                <w:szCs w:val="24"/>
                <w:lang w:val="en-US" w:eastAsia="zh-CN"/>
              </w:rPr>
              <w:t>较为完备</w:t>
            </w:r>
            <w:r>
              <w:rPr>
                <w:rFonts w:hint="eastAsia" w:ascii="宋体" w:hAnsi="宋体" w:eastAsia="宋体" w:cs="宋体"/>
                <w:color w:val="auto"/>
                <w:kern w:val="0"/>
                <w:sz w:val="24"/>
                <w:szCs w:val="24"/>
              </w:rPr>
              <w:t>、基本可行的得3分；</w:t>
            </w:r>
          </w:p>
          <w:p>
            <w:pPr>
              <w:pStyle w:val="393"/>
              <w:spacing w:before="0"/>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服务响应能力一般、</w:t>
            </w:r>
            <w:r>
              <w:rPr>
                <w:rFonts w:hint="eastAsia" w:ascii="宋体" w:hAnsi="宋体" w:eastAsia="宋体" w:cs="宋体"/>
                <w:color w:val="auto"/>
                <w:kern w:val="0"/>
                <w:sz w:val="24"/>
                <w:szCs w:val="24"/>
                <w:lang w:val="en-US" w:eastAsia="zh-CN"/>
              </w:rPr>
              <w:t>一般</w:t>
            </w:r>
            <w:r>
              <w:rPr>
                <w:rFonts w:hint="eastAsia" w:ascii="宋体" w:hAnsi="宋体" w:eastAsia="宋体" w:cs="宋体"/>
                <w:color w:val="auto"/>
                <w:kern w:val="0"/>
                <w:sz w:val="24"/>
                <w:szCs w:val="24"/>
              </w:rPr>
              <w:t>可行的得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p>
            <w:pPr>
              <w:pStyle w:val="393"/>
              <w:spacing w:before="0"/>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服务响应能力欠缺、不符合采购单位相关要求或未提供的不得分。</w:t>
            </w:r>
          </w:p>
        </w:tc>
        <w:tc>
          <w:tcPr>
            <w:tcW w:w="855"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350"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679" w:type="dxa"/>
            <w:vAlign w:val="center"/>
          </w:tcPr>
          <w:p>
            <w:pPr>
              <w:spacing w:line="440" w:lineRule="exact"/>
              <w:jc w:val="center"/>
              <w:outlineLvl w:val="0"/>
              <w:rPr>
                <w:rFonts w:hint="eastAsia" w:ascii="宋体" w:hAnsi="宋体" w:cs="宋体"/>
                <w:bCs/>
                <w:color w:val="auto"/>
                <w:sz w:val="24"/>
                <w:highlight w:val="none"/>
                <w:lang w:val="en-US" w:eastAsia="zh-CN"/>
              </w:rPr>
            </w:pPr>
            <w:r>
              <w:rPr>
                <w:rFonts w:hint="eastAsia" w:ascii="宋体" w:hAnsi="宋体" w:eastAsia="宋体" w:cs="宋体"/>
                <w:color w:val="auto"/>
                <w:kern w:val="0"/>
                <w:sz w:val="24"/>
                <w:szCs w:val="24"/>
              </w:rPr>
              <w:t>服务响应能力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numPr>
                <w:ilvl w:val="0"/>
                <w:numId w:val="8"/>
              </w:numPr>
              <w:spacing w:line="440" w:lineRule="exact"/>
              <w:ind w:left="0" w:firstLine="0"/>
              <w:jc w:val="center"/>
              <w:rPr>
                <w:rFonts w:ascii="宋体" w:hAnsi="宋体" w:cs="宋体"/>
                <w:color w:val="auto"/>
                <w:sz w:val="24"/>
              </w:rPr>
            </w:pPr>
          </w:p>
        </w:tc>
        <w:tc>
          <w:tcPr>
            <w:tcW w:w="5265" w:type="dxa"/>
            <w:vAlign w:val="center"/>
          </w:tcPr>
          <w:p>
            <w:pPr>
              <w:widowControl/>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］的计算公式计算。</w:t>
            </w:r>
          </w:p>
          <w:p>
            <w:pPr>
              <w:widowControl/>
              <w:shd w:val="clear" w:color="auto" w:fill="FFFFFF"/>
              <w:adjustRightInd/>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评标过程中，不得去掉报价中的最高报价和最低报价。评标过程中，不得去掉报价中的最高报价和最低报价。</w:t>
            </w:r>
          </w:p>
          <w:p>
            <w:pPr>
              <w:spacing w:line="440" w:lineRule="exact"/>
              <w:ind w:firstLine="480" w:firstLineChars="200"/>
              <w:rPr>
                <w:rFonts w:ascii="宋体" w:hAnsi="宋体" w:cs="宋体"/>
                <w:color w:val="auto"/>
                <w:sz w:val="24"/>
              </w:rPr>
            </w:pPr>
            <w:r>
              <w:rPr>
                <w:rFonts w:hint="eastAsia" w:ascii="宋体" w:hAnsi="宋体" w:eastAsia="宋体" w:cs="宋体"/>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b/>
                <w:bCs/>
                <w:color w:val="auto"/>
                <w:sz w:val="24"/>
                <w:szCs w:val="24"/>
                <w:highlight w:val="none"/>
              </w:rPr>
              <w:t>10%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b/>
                <w:bCs/>
                <w:color w:val="auto"/>
                <w:sz w:val="24"/>
                <w:szCs w:val="24"/>
                <w:highlight w:val="none"/>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tc>
        <w:tc>
          <w:tcPr>
            <w:tcW w:w="855" w:type="dxa"/>
            <w:vAlign w:val="center"/>
          </w:tcPr>
          <w:p>
            <w:pPr>
              <w:spacing w:line="440" w:lineRule="exact"/>
              <w:jc w:val="center"/>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0</w:t>
            </w:r>
          </w:p>
        </w:tc>
        <w:tc>
          <w:tcPr>
            <w:tcW w:w="1350" w:type="dxa"/>
            <w:vAlign w:val="center"/>
          </w:tcPr>
          <w:p>
            <w:pPr>
              <w:spacing w:line="440" w:lineRule="exact"/>
              <w:jc w:val="center"/>
              <w:rPr>
                <w:rFonts w:ascii="宋体" w:hAnsi="宋体" w:cs="宋体"/>
                <w:color w:val="auto"/>
                <w:sz w:val="24"/>
              </w:rPr>
            </w:pPr>
            <w:r>
              <w:rPr>
                <w:rFonts w:hint="eastAsia" w:ascii="宋体" w:hAnsi="宋体" w:cs="宋体"/>
                <w:color w:val="auto"/>
                <w:sz w:val="24"/>
              </w:rPr>
              <w:t>/</w:t>
            </w:r>
          </w:p>
        </w:tc>
        <w:tc>
          <w:tcPr>
            <w:tcW w:w="1679" w:type="dxa"/>
            <w:vAlign w:val="center"/>
          </w:tcPr>
          <w:p>
            <w:pPr>
              <w:spacing w:line="440" w:lineRule="exact"/>
              <w:jc w:val="center"/>
              <w:outlineLvl w:val="0"/>
              <w:rPr>
                <w:rFonts w:ascii="宋体" w:hAnsi="宋体" w:cs="宋体"/>
                <w:color w:val="auto"/>
                <w:sz w:val="24"/>
              </w:rPr>
            </w:pPr>
            <w:r>
              <w:rPr>
                <w:rFonts w:hint="eastAsia" w:ascii="宋体" w:hAnsi="宋体" w:cs="宋体"/>
                <w:color w:val="auto"/>
                <w:sz w:val="24"/>
              </w:rPr>
              <w:t>/</w:t>
            </w:r>
          </w:p>
        </w:tc>
      </w:tr>
    </w:tbl>
    <w:p>
      <w:pPr>
        <w:adjustRightInd/>
        <w:spacing w:line="360" w:lineRule="auto"/>
        <w:ind w:firstLine="482" w:firstLineChars="200"/>
        <w:rPr>
          <w:rFonts w:cs="Arial" w:asciiTheme="minorEastAsia" w:hAnsiTheme="minorEastAsia" w:eastAsiaTheme="minorEastAsia"/>
          <w:b/>
          <w:color w:val="auto"/>
          <w:kern w:val="0"/>
          <w:sz w:val="24"/>
        </w:rPr>
      </w:pPr>
    </w:p>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color w:val="auto"/>
          <w:kern w:val="0"/>
          <w:sz w:val="24"/>
        </w:rPr>
      </w:pPr>
    </w:p>
    <w:p>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color w:val="auto"/>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3"/>
        <w:spacing w:before="0"/>
        <w:ind w:firstLine="0" w:firstLineChars="0"/>
        <w:rPr>
          <w:rFonts w:asciiTheme="minorEastAsia" w:hAnsiTheme="minorEastAsia" w:eastAsiaTheme="minorEastAsia"/>
          <w:b/>
          <w:color w:val="auto"/>
        </w:rPr>
      </w:pP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复印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6"/>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3.18供应商提供虚假材料响应的（包括但不限于以下情节）；</w:t>
      </w:r>
    </w:p>
    <w:p>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供应商直接或者间接从采购人或者采购代理机构处获得其他供应商的相关情况并修改其响应文件；</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供应商按照采购人或者采购代理机构的授意撤换、修改响应文件或者响应文件；</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供应商之间协商报价、技术方案等响应文件或者响应文件的实质性内容；</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供应商与采购人或者采购代理机构之间、供应商相互之间，为谋求特定供应商中标、成交或者排斥其他供应商的其他串通行为。</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6"/>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3"/>
        <w:spacing w:before="0"/>
        <w:ind w:firstLine="0" w:firstLineChars="0"/>
        <w:rPr>
          <w:rFonts w:cs="仿宋_GB2312" w:asciiTheme="minorEastAsia" w:hAnsiTheme="minorEastAsia" w:eastAsiaTheme="minorEastAsia"/>
          <w:b/>
          <w:color w:val="auto"/>
        </w:rPr>
      </w:pPr>
    </w:p>
    <w:p>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4"/>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5" w:name="第五部分"/>
      <w:bookmarkStart w:id="66" w:name="_Toc86217003"/>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282"/>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4"/>
        <w:numPr>
          <w:ilvl w:val="0"/>
          <w:numId w:val="0"/>
        </w:numPr>
        <w:ind w:leftChars="0"/>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17"/>
        <w:spacing w:before="120" w:line="22" w:lineRule="atLeast"/>
        <w:rPr>
          <w:rFonts w:ascii="宋体" w:hAnsi="宋体" w:eastAsia="宋体" w:cs="宋体"/>
          <w:color w:val="auto"/>
          <w:szCs w:val="24"/>
        </w:rPr>
      </w:pPr>
    </w:p>
    <w:p>
      <w:pPr>
        <w:pStyle w:val="617"/>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headerReference r:id="rId3" w:type="default"/>
          <w:footerReference r:id="rId4" w:type="default"/>
          <w:pgSz w:w="11907" w:h="16840"/>
          <w:pgMar w:top="1474" w:right="1814" w:bottom="1474" w:left="1814" w:header="851" w:footer="851" w:gutter="0"/>
          <w:pgNumType w:fmt="decimal" w:start="1"/>
          <w:cols w:space="720" w:num="1"/>
        </w:sectPr>
      </w:pP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67" w:name="_Toc20421"/>
      <w:bookmarkStart w:id="68" w:name="_Toc19273"/>
      <w:bookmarkStart w:id="69" w:name="_Toc28855"/>
      <w:bookmarkStart w:id="70" w:name="_Toc15367"/>
      <w:bookmarkStart w:id="71" w:name="_Toc22967"/>
      <w:r>
        <w:rPr>
          <w:rFonts w:ascii="宋体" w:hAnsi="宋体"/>
          <w:b/>
          <w:color w:val="auto"/>
          <w:sz w:val="24"/>
        </w:rPr>
        <w:t xml:space="preserve">1.1 </w:t>
      </w:r>
      <w:r>
        <w:rPr>
          <w:rFonts w:hint="eastAsia" w:ascii="宋体" w:hAnsi="宋体"/>
          <w:b/>
          <w:color w:val="auto"/>
          <w:sz w:val="24"/>
        </w:rPr>
        <w:t>合同组成部分</w:t>
      </w:r>
      <w:bookmarkEnd w:id="67"/>
      <w:bookmarkEnd w:id="68"/>
      <w:bookmarkEnd w:id="69"/>
      <w:bookmarkEnd w:id="70"/>
      <w:bookmarkEnd w:id="71"/>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72" w:name="_Toc6773"/>
      <w:bookmarkStart w:id="73" w:name="_Toc6311"/>
      <w:bookmarkStart w:id="74" w:name="_Toc2918"/>
      <w:bookmarkStart w:id="75" w:name="_Toc22185"/>
      <w:bookmarkStart w:id="76" w:name="_Toc18585"/>
      <w:r>
        <w:rPr>
          <w:rFonts w:ascii="宋体" w:hAnsi="宋体"/>
          <w:b/>
          <w:color w:val="auto"/>
          <w:sz w:val="24"/>
        </w:rPr>
        <w:t xml:space="preserve">1.2 </w:t>
      </w:r>
      <w:r>
        <w:rPr>
          <w:rFonts w:hint="eastAsia" w:ascii="宋体" w:hAnsi="宋体"/>
          <w:b/>
          <w:color w:val="auto"/>
          <w:sz w:val="24"/>
        </w:rPr>
        <w:t>标的</w:t>
      </w:r>
      <w:bookmarkEnd w:id="72"/>
      <w:bookmarkEnd w:id="73"/>
      <w:bookmarkEnd w:id="74"/>
      <w:bookmarkEnd w:id="75"/>
      <w:bookmarkEnd w:id="76"/>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631"/>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77" w:name="_Toc21124"/>
      <w:bookmarkStart w:id="78" w:name="_Toc1386"/>
      <w:bookmarkStart w:id="79" w:name="_Toc4929"/>
      <w:bookmarkStart w:id="80" w:name="_Toc13918"/>
      <w:bookmarkStart w:id="81"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7"/>
      <w:bookmarkEnd w:id="78"/>
      <w:bookmarkEnd w:id="79"/>
      <w:bookmarkEnd w:id="80"/>
      <w:bookmarkEnd w:id="81"/>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1.3.2</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1.3.2单价合同，在合同履行期间内，各子项结算金额根据实际产生工作数量*折扣率按实结算，但结算总价上限不得超过￥</w:t>
      </w:r>
      <w:r>
        <w:rPr>
          <w:rFonts w:hint="eastAsia" w:ascii="宋体" w:hAnsi="宋体"/>
          <w:color w:val="auto"/>
          <w:sz w:val="24"/>
          <w:u w:val="single"/>
          <w:lang w:val="en-US" w:eastAsia="zh-CN"/>
        </w:rPr>
        <w:t>3000000</w:t>
      </w:r>
      <w:r>
        <w:rPr>
          <w:rFonts w:hint="eastAsia" w:ascii="宋体" w:hAnsi="宋体"/>
          <w:color w:val="auto"/>
          <w:sz w:val="24"/>
        </w:rPr>
        <w:t>元（大写：</w:t>
      </w:r>
      <w:r>
        <w:rPr>
          <w:rFonts w:hint="eastAsia" w:ascii="宋体" w:hAnsi="宋体"/>
          <w:color w:val="auto"/>
          <w:sz w:val="24"/>
          <w:u w:val="single"/>
          <w:lang w:val="en-US" w:eastAsia="zh-CN"/>
        </w:rPr>
        <w:t>叁佰万</w:t>
      </w:r>
      <w:r>
        <w:rPr>
          <w:rFonts w:hint="eastAsia" w:ascii="宋体" w:hAnsi="宋体"/>
          <w:color w:val="auto"/>
          <w:sz w:val="24"/>
        </w:rPr>
        <w:t>元人民币）。</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94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765"/>
        <w:gridCol w:w="1996"/>
        <w:gridCol w:w="3129"/>
        <w:gridCol w:w="2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698"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bookmarkStart w:id="82" w:name="_Toc30506"/>
            <w:bookmarkStart w:id="83" w:name="_Toc3654"/>
            <w:bookmarkStart w:id="84" w:name="_Toc30158"/>
            <w:bookmarkStart w:id="85" w:name="_Toc14993"/>
            <w:bookmarkStart w:id="86" w:name="_Toc26916"/>
            <w:r>
              <w:rPr>
                <w:rFonts w:hint="eastAsia" w:ascii="宋体" w:hAnsi="宋体" w:eastAsia="宋体" w:cs="宋体"/>
                <w:b/>
                <w:bCs/>
                <w:color w:val="auto"/>
                <w:kern w:val="0"/>
                <w:sz w:val="24"/>
                <w:szCs w:val="24"/>
              </w:rPr>
              <w:t>序号</w:t>
            </w:r>
          </w:p>
        </w:tc>
        <w:tc>
          <w:tcPr>
            <w:tcW w:w="2761" w:type="dxa"/>
            <w:gridSpan w:val="2"/>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内容</w:t>
            </w:r>
          </w:p>
        </w:tc>
        <w:tc>
          <w:tcPr>
            <w:tcW w:w="3129"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w:t>
            </w:r>
          </w:p>
        </w:tc>
        <w:tc>
          <w:tcPr>
            <w:tcW w:w="2878" w:type="dxa"/>
            <w:tcBorders>
              <w:tl2br w:val="nil"/>
              <w:tr2bl w:val="nil"/>
            </w:tcBorders>
            <w:noWrap/>
            <w:vAlign w:val="center"/>
          </w:tcPr>
          <w:p>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698" w:type="dxa"/>
            <w:vMerge w:val="restart"/>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65" w:type="dxa"/>
            <w:vMerge w:val="restart"/>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卫片执法</w:t>
            </w:r>
          </w:p>
        </w:tc>
        <w:tc>
          <w:tcPr>
            <w:tcW w:w="1996" w:type="dxa"/>
            <w:tcBorders>
              <w:left w:val="single" w:color="auto" w:sz="4" w:space="0"/>
              <w:bottom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“云”平台拍照举证</w:t>
            </w:r>
          </w:p>
        </w:tc>
        <w:tc>
          <w:tcPr>
            <w:tcW w:w="3129" w:type="dxa"/>
            <w:tcBorders>
              <w:bottom w:val="single" w:color="auto" w:sz="4" w:space="0"/>
              <w:tl2br w:val="nil"/>
              <w:tr2bl w:val="nil"/>
            </w:tcBorders>
            <w:noWrap/>
            <w:vAlign w:val="center"/>
          </w:tcPr>
          <w:p>
            <w:pPr>
              <w:widowControl/>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200元/点</w:t>
            </w:r>
          </w:p>
        </w:tc>
        <w:tc>
          <w:tcPr>
            <w:tcW w:w="2878" w:type="dxa"/>
            <w:vMerge w:val="restart"/>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含（含现状、规划分类调查、系统录入）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 w:hRule="atLeast"/>
          <w:jc w:val="center"/>
        </w:trPr>
        <w:tc>
          <w:tcPr>
            <w:tcW w:w="698"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765" w:type="dxa"/>
            <w:vMerge w:val="continue"/>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1996" w:type="dxa"/>
            <w:tcBorders>
              <w:top w:val="single" w:color="auto" w:sz="4" w:space="0"/>
              <w:left w:val="single" w:color="auto" w:sz="4" w:space="0"/>
              <w:bottom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初始数据分析</w:t>
            </w:r>
          </w:p>
        </w:tc>
        <w:tc>
          <w:tcPr>
            <w:tcW w:w="3129" w:type="dxa"/>
            <w:tcBorders>
              <w:top w:val="single" w:color="auto" w:sz="4" w:space="0"/>
              <w:bottom w:val="single" w:color="auto" w:sz="4" w:space="0"/>
              <w:tl2br w:val="nil"/>
              <w:tr2bl w:val="nil"/>
            </w:tcBorders>
            <w:noWrap/>
            <w:vAlign w:val="center"/>
          </w:tcPr>
          <w:p>
            <w:pPr>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50元/宗</w:t>
            </w:r>
          </w:p>
        </w:tc>
        <w:tc>
          <w:tcPr>
            <w:tcW w:w="2878"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698"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765" w:type="dxa"/>
            <w:vMerge w:val="continue"/>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c>
          <w:tcPr>
            <w:tcW w:w="1996" w:type="dxa"/>
            <w:tcBorders>
              <w:top w:val="single" w:color="auto" w:sz="4" w:space="0"/>
              <w:left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数据入库整理</w:t>
            </w:r>
          </w:p>
        </w:tc>
        <w:tc>
          <w:tcPr>
            <w:tcW w:w="3129" w:type="dxa"/>
            <w:tcBorders>
              <w:top w:val="single" w:color="auto" w:sz="4" w:space="0"/>
              <w:tl2br w:val="nil"/>
              <w:tr2bl w:val="nil"/>
            </w:tcBorders>
            <w:noWrap/>
            <w:vAlign w:val="center"/>
          </w:tcPr>
          <w:p>
            <w:pPr>
              <w:widowControl/>
              <w:spacing w:line="36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50元/宗</w:t>
            </w:r>
          </w:p>
        </w:tc>
        <w:tc>
          <w:tcPr>
            <w:tcW w:w="2878" w:type="dxa"/>
            <w:vMerge w:val="continue"/>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65" w:type="dxa"/>
            <w:tcBorders>
              <w:right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控制测量</w:t>
            </w:r>
          </w:p>
        </w:tc>
        <w:tc>
          <w:tcPr>
            <w:tcW w:w="1996" w:type="dxa"/>
            <w:tcBorders>
              <w:top w:val="single" w:color="auto" w:sz="4" w:space="0"/>
              <w:left w:val="single" w:color="auto" w:sz="4" w:space="0"/>
              <w:tl2br w:val="nil"/>
              <w:tr2bl w:val="nil"/>
            </w:tcBorders>
            <w:noWrap w:val="0"/>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点</w:t>
            </w:r>
          </w:p>
        </w:tc>
        <w:tc>
          <w:tcPr>
            <w:tcW w:w="3129" w:type="dxa"/>
            <w:tcBorders>
              <w:top w:val="single" w:color="auto" w:sz="4" w:space="0"/>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1500</w:t>
            </w:r>
            <w:r>
              <w:rPr>
                <w:rFonts w:hint="eastAsia" w:ascii="宋体" w:hAnsi="宋体" w:eastAsia="宋体" w:cs="宋体"/>
                <w:color w:val="auto"/>
                <w:kern w:val="0"/>
                <w:sz w:val="24"/>
                <w:szCs w:val="24"/>
                <w:lang w:val="en-US" w:eastAsia="zh-CN"/>
              </w:rPr>
              <w:t>/点</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761"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测绘</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170元/亩</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用地红线扩大30米计算，面积小于或等于20亩的，按20亩计算；面积大于20亩的，按实际亩数计算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2761"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土石方测量</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5千立方以内按0.5元/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;5千立方至1万立方以内按0.4元/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;1万立方至5万立方以内按0.3元/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;5万立方至10万立方立方以内按0.2元/ 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;10万立方立方以上按0.1元/m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p>
        </w:tc>
        <w:tc>
          <w:tcPr>
            <w:tcW w:w="2761"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土地调查</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0元/亩</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土地合法性调查、权属核查、现状地类情况调查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2761"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材料制作</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1000元/宗</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69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2761" w:type="dxa"/>
            <w:gridSpan w:val="2"/>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无人机拍摄、正射影像图制作</w:t>
            </w:r>
          </w:p>
        </w:tc>
        <w:tc>
          <w:tcPr>
            <w:tcW w:w="3129"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1000元/宗</w:t>
            </w:r>
          </w:p>
        </w:tc>
        <w:tc>
          <w:tcPr>
            <w:tcW w:w="2878" w:type="dxa"/>
            <w:tcBorders>
              <w:tl2br w:val="nil"/>
              <w:tr2bl w:val="nil"/>
            </w:tcBorders>
            <w:noWrap/>
            <w:vAlign w:val="center"/>
          </w:tcPr>
          <w:p>
            <w:pPr>
              <w:spacing w:line="360" w:lineRule="exact"/>
              <w:jc w:val="center"/>
              <w:rPr>
                <w:rFonts w:hint="eastAsia" w:ascii="宋体" w:hAnsi="宋体" w:eastAsia="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3459" w:type="dxa"/>
            <w:gridSpan w:val="3"/>
            <w:tcBorders>
              <w:tl2br w:val="nil"/>
              <w:tr2bl w:val="nil"/>
            </w:tcBorders>
            <w:noWrap/>
            <w:vAlign w:val="center"/>
          </w:tcPr>
          <w:p>
            <w:pPr>
              <w:spacing w:line="360" w:lineRule="exact"/>
              <w:jc w:val="center"/>
              <w:rPr>
                <w:rFonts w:hint="default" w:ascii="宋体" w:hAnsi="宋体" w:eastAsia="宋体" w:cs="宋体"/>
                <w:b/>
                <w:bCs/>
                <w:color w:val="auto"/>
                <w:kern w:val="0"/>
                <w:sz w:val="24"/>
                <w:szCs w:val="24"/>
                <w:lang w:val="en-US" w:eastAsia="zh-CN"/>
              </w:rPr>
            </w:pPr>
            <w:bookmarkStart w:id="87" w:name="_Toc1814"/>
            <w:bookmarkStart w:id="88" w:name="_Toc22618"/>
            <w:bookmarkStart w:id="89" w:name="_Toc10340"/>
            <w:bookmarkStart w:id="90" w:name="_Toc8772"/>
            <w:bookmarkStart w:id="91" w:name="_Toc31421"/>
            <w:bookmarkStart w:id="92" w:name="_Toc4760"/>
            <w:bookmarkStart w:id="93" w:name="_Toc3625"/>
            <w:bookmarkStart w:id="94" w:name="_Toc11108"/>
            <w:r>
              <w:rPr>
                <w:rFonts w:hint="eastAsia" w:ascii="宋体" w:hAnsi="宋体" w:eastAsia="宋体" w:cs="宋体"/>
                <w:b/>
                <w:bCs/>
                <w:color w:val="auto"/>
                <w:kern w:val="0"/>
                <w:sz w:val="24"/>
                <w:szCs w:val="24"/>
                <w:lang w:val="en-US" w:eastAsia="zh-CN"/>
              </w:rPr>
              <w:t>成交折扣率</w:t>
            </w:r>
          </w:p>
        </w:tc>
        <w:tc>
          <w:tcPr>
            <w:tcW w:w="6007" w:type="dxa"/>
            <w:gridSpan w:val="2"/>
            <w:tcBorders>
              <w:tl2br w:val="nil"/>
              <w:tr2bl w:val="nil"/>
            </w:tcBorders>
            <w:noWrap/>
            <w:vAlign w:val="center"/>
          </w:tcPr>
          <w:p>
            <w:pPr>
              <w:spacing w:line="36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lang w:val="en-US" w:eastAsia="zh-CN"/>
              </w:rPr>
              <w:t>%</w:t>
            </w:r>
          </w:p>
        </w:tc>
      </w:tr>
      <w:bookmarkEnd w:id="82"/>
      <w:bookmarkEnd w:id="83"/>
      <w:bookmarkEnd w:id="84"/>
      <w:bookmarkEnd w:id="85"/>
      <w:bookmarkEnd w:id="86"/>
    </w:tbl>
    <w:p>
      <w:pPr>
        <w:pStyle w:val="63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1.4履约保证金</w:t>
      </w:r>
    </w:p>
    <w:p>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（是/否）需要支付履约保证金。</w:t>
      </w:r>
    </w:p>
    <w:p>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1.5</w:t>
      </w:r>
      <w:bookmarkEnd w:id="87"/>
      <w:bookmarkEnd w:id="88"/>
      <w:bookmarkEnd w:id="89"/>
      <w:r>
        <w:rPr>
          <w:rFonts w:hint="eastAsia" w:ascii="宋体" w:hAnsi="宋体" w:eastAsia="宋体" w:cs="宋体"/>
          <w:b/>
          <w:color w:val="auto"/>
          <w:sz w:val="24"/>
          <w:szCs w:val="24"/>
        </w:rPr>
        <w:t>预付款</w:t>
      </w:r>
    </w:p>
    <w:p>
      <w:pPr>
        <w:pStyle w:val="63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（是/否）需要支付预付款。</w:t>
      </w:r>
    </w:p>
    <w:p>
      <w:pPr>
        <w:pStyle w:val="63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1.6资金支付</w:t>
      </w:r>
    </w:p>
    <w:p>
      <w:pPr>
        <w:pStyle w:val="631"/>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0"/>
      <w:bookmarkEnd w:id="91"/>
      <w:bookmarkEnd w:id="92"/>
      <w:bookmarkEnd w:id="93"/>
      <w:bookmarkEnd w:id="94"/>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95" w:name="_Toc3079"/>
      <w:bookmarkStart w:id="96" w:name="_Toc8586"/>
      <w:bookmarkStart w:id="97" w:name="_Toc5698"/>
      <w:bookmarkStart w:id="98" w:name="_Toc24662"/>
      <w:bookmarkStart w:id="99" w:name="_Toc2375"/>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5"/>
      <w:bookmarkEnd w:id="96"/>
      <w:bookmarkEnd w:id="97"/>
      <w:bookmarkEnd w:id="98"/>
      <w:bookmarkEnd w:id="99"/>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spacing w:line="560" w:lineRule="exact"/>
        <w:ind w:firstLine="480" w:firstLineChars="200"/>
        <w:rPr>
          <w:rFonts w:ascii="宋体" w:hAnsi="宋体"/>
          <w:color w:val="auto"/>
          <w:sz w:val="24"/>
          <w:lang w:val="en-US"/>
        </w:rPr>
      </w:pPr>
      <w:r>
        <w:rPr>
          <w:rFonts w:hint="eastAsia" w:ascii="宋体" w:hAnsi="宋体"/>
          <w:color w:val="auto"/>
          <w:sz w:val="24"/>
          <w:lang w:val="en-US"/>
        </w:rPr>
        <w:t>1.8.2服务中涉及的货物，除不可抗力外，如果乙方没有按照本合同约定的期限、地点和方式交付货物，那么甲方可要求乙方支付违约金，违约金按每迟延交付货物一日的应交付而未交付货物价格的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100" w:name="_Toc18683"/>
      <w:bookmarkStart w:id="101" w:name="_Toc26807"/>
      <w:bookmarkStart w:id="102" w:name="_Toc32454"/>
      <w:bookmarkStart w:id="103" w:name="_Toc30329"/>
      <w:bookmarkStart w:id="104"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0"/>
    <w:bookmarkEnd w:id="101"/>
    <w:bookmarkEnd w:id="102"/>
    <w:bookmarkEnd w:id="103"/>
    <w:bookmarkEnd w:id="104"/>
    <w:p>
      <w:pPr>
        <w:spacing w:line="560" w:lineRule="exact"/>
        <w:ind w:firstLine="482" w:firstLineChars="200"/>
        <w:outlineLvl w:val="0"/>
        <w:rPr>
          <w:rFonts w:ascii="宋体" w:hAnsi="宋体" w:cs="宋体"/>
          <w:b/>
          <w:color w:val="auto"/>
          <w:sz w:val="24"/>
        </w:rPr>
      </w:pPr>
      <w:bookmarkStart w:id="105" w:name="_Toc28375"/>
      <w:bookmarkStart w:id="106" w:name="_Toc16021"/>
      <w:bookmarkStart w:id="107" w:name="_Toc15583"/>
      <w:r>
        <w:rPr>
          <w:rFonts w:hint="eastAsia" w:ascii="宋体" w:hAnsi="宋体" w:cs="宋体"/>
          <w:b/>
          <w:color w:val="auto"/>
          <w:sz w:val="24"/>
        </w:rPr>
        <w:t>1.9合同争议的解决</w:t>
      </w:r>
      <w:bookmarkEnd w:id="105"/>
      <w:bookmarkEnd w:id="106"/>
      <w:bookmarkEnd w:id="107"/>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108" w:name="_Toc11173"/>
      <w:bookmarkStart w:id="109" w:name="_Toc7245"/>
      <w:bookmarkStart w:id="110" w:name="_Toc15322"/>
      <w:r>
        <w:rPr>
          <w:rFonts w:hint="eastAsia" w:ascii="宋体" w:hAnsi="宋体" w:cs="宋体"/>
          <w:b/>
          <w:color w:val="auto"/>
          <w:sz w:val="24"/>
        </w:rPr>
        <w:t>2.0 合同生效</w:t>
      </w:r>
      <w:bookmarkEnd w:id="108"/>
      <w:bookmarkEnd w:id="109"/>
      <w:bookmarkEnd w:id="110"/>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111" w:name="_Toc14021"/>
      <w:bookmarkStart w:id="112" w:name="_Toc19680"/>
      <w:bookmarkStart w:id="113" w:name="_Toc31297"/>
      <w:bookmarkStart w:id="114" w:name="_Toc25079"/>
      <w:bookmarkStart w:id="115" w:name="_Toc5228"/>
      <w:r>
        <w:rPr>
          <w:rFonts w:ascii="宋体" w:hAnsi="宋体"/>
          <w:b/>
          <w:color w:val="auto"/>
          <w:sz w:val="24"/>
        </w:rPr>
        <w:t>2.1 定义</w:t>
      </w:r>
      <w:bookmarkEnd w:id="111"/>
      <w:bookmarkEnd w:id="112"/>
      <w:bookmarkEnd w:id="113"/>
      <w:bookmarkEnd w:id="114"/>
      <w:bookmarkEnd w:id="115"/>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116" w:name="_Toc3769"/>
      <w:bookmarkStart w:id="117" w:name="_Toc23289"/>
      <w:bookmarkStart w:id="118" w:name="_Toc19539"/>
      <w:bookmarkStart w:id="119" w:name="_Toc16752"/>
      <w:bookmarkStart w:id="120" w:name="_Toc31402"/>
      <w:r>
        <w:rPr>
          <w:rFonts w:ascii="宋体" w:hAnsi="宋体"/>
          <w:b/>
          <w:color w:val="auto"/>
          <w:sz w:val="24"/>
        </w:rPr>
        <w:t>2.2 技术规范</w:t>
      </w:r>
      <w:bookmarkEnd w:id="116"/>
      <w:bookmarkEnd w:id="117"/>
      <w:bookmarkEnd w:id="118"/>
      <w:bookmarkEnd w:id="119"/>
      <w:bookmarkEnd w:id="120"/>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121" w:name="_Toc27945"/>
      <w:bookmarkStart w:id="122" w:name="_Toc12412"/>
      <w:bookmarkStart w:id="123" w:name="_Toc9161"/>
      <w:bookmarkStart w:id="124" w:name="_Toc4133"/>
      <w:bookmarkStart w:id="125" w:name="_Toc13673"/>
      <w:r>
        <w:rPr>
          <w:rFonts w:ascii="宋体" w:hAnsi="宋体"/>
          <w:b/>
          <w:color w:val="auto"/>
          <w:sz w:val="24"/>
        </w:rPr>
        <w:t>2.3 知识产权</w:t>
      </w:r>
      <w:bookmarkEnd w:id="121"/>
      <w:bookmarkEnd w:id="122"/>
      <w:bookmarkEnd w:id="123"/>
      <w:bookmarkEnd w:id="124"/>
      <w:bookmarkEnd w:id="125"/>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126" w:name="_Toc15447"/>
      <w:bookmarkStart w:id="127" w:name="_Toc22011"/>
      <w:bookmarkStart w:id="128" w:name="_Toc26555"/>
      <w:bookmarkStart w:id="129" w:name="_Toc31233"/>
      <w:bookmarkStart w:id="130" w:name="_Toc32670"/>
      <w:r>
        <w:rPr>
          <w:rFonts w:ascii="宋体" w:hAnsi="宋体"/>
          <w:b/>
          <w:color w:val="auto"/>
          <w:sz w:val="24"/>
        </w:rPr>
        <w:t>2.5 结算方式和付款条件</w:t>
      </w:r>
      <w:bookmarkEnd w:id="126"/>
      <w:bookmarkEnd w:id="127"/>
      <w:bookmarkEnd w:id="128"/>
      <w:bookmarkEnd w:id="129"/>
      <w:bookmarkEnd w:id="130"/>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31" w:name="_Toc13467"/>
      <w:bookmarkStart w:id="132" w:name="_Toc18990"/>
      <w:bookmarkStart w:id="133" w:name="_Toc16163"/>
      <w:bookmarkStart w:id="134" w:name="_Toc13154"/>
      <w:bookmarkStart w:id="135" w:name="_Toc30507"/>
      <w:r>
        <w:rPr>
          <w:rFonts w:ascii="宋体" w:hAnsi="宋体"/>
          <w:b/>
          <w:color w:val="auto"/>
          <w:sz w:val="24"/>
        </w:rPr>
        <w:t>2.6 技术资料和保密义务</w:t>
      </w:r>
      <w:bookmarkEnd w:id="131"/>
      <w:bookmarkEnd w:id="132"/>
      <w:bookmarkEnd w:id="133"/>
      <w:bookmarkEnd w:id="134"/>
      <w:bookmarkEnd w:id="135"/>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136" w:name="_Toc19069"/>
      <w:r>
        <w:rPr>
          <w:rFonts w:ascii="宋体" w:hAnsi="宋体"/>
          <w:b/>
          <w:color w:val="auto"/>
          <w:sz w:val="24"/>
        </w:rPr>
        <w:t xml:space="preserve">2.7 </w:t>
      </w:r>
      <w:r>
        <w:rPr>
          <w:rFonts w:hint="eastAsia" w:ascii="宋体" w:hAnsi="宋体"/>
          <w:b/>
          <w:color w:val="auto"/>
          <w:sz w:val="24"/>
        </w:rPr>
        <w:t>质量保证</w:t>
      </w:r>
      <w:bookmarkEnd w:id="136"/>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137" w:name="_Toc22267"/>
      <w:r>
        <w:rPr>
          <w:rFonts w:ascii="宋体" w:hAnsi="宋体"/>
          <w:b/>
          <w:color w:val="auto"/>
          <w:sz w:val="24"/>
        </w:rPr>
        <w:t xml:space="preserve">2.8 </w:t>
      </w:r>
      <w:r>
        <w:rPr>
          <w:rFonts w:hint="eastAsia" w:ascii="宋体" w:hAnsi="宋体"/>
          <w:b/>
          <w:color w:val="auto"/>
          <w:sz w:val="24"/>
        </w:rPr>
        <w:t>延迟履行</w:t>
      </w:r>
      <w:bookmarkEnd w:id="137"/>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138" w:name="_Toc10611"/>
      <w:r>
        <w:rPr>
          <w:rFonts w:ascii="宋体" w:hAnsi="宋体"/>
          <w:b/>
          <w:color w:val="auto"/>
          <w:sz w:val="24"/>
        </w:rPr>
        <w:t xml:space="preserve">2.9 </w:t>
      </w:r>
      <w:r>
        <w:rPr>
          <w:rFonts w:hint="eastAsia" w:ascii="宋体" w:hAnsi="宋体"/>
          <w:b/>
          <w:color w:val="auto"/>
          <w:sz w:val="24"/>
        </w:rPr>
        <w:t>合同变更</w:t>
      </w:r>
      <w:bookmarkEnd w:id="138"/>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39" w:name="_Toc23368"/>
      <w:bookmarkStart w:id="140" w:name="_Toc21830"/>
      <w:bookmarkStart w:id="141" w:name="_Toc42"/>
      <w:bookmarkStart w:id="142" w:name="_Toc10663"/>
      <w:bookmarkStart w:id="143" w:name="_Toc26689"/>
      <w:r>
        <w:rPr>
          <w:rFonts w:ascii="宋体" w:hAnsi="宋体"/>
          <w:b/>
          <w:color w:val="auto"/>
          <w:sz w:val="24"/>
        </w:rPr>
        <w:t>2.10 合同转让和分包</w:t>
      </w:r>
      <w:bookmarkEnd w:id="139"/>
      <w:bookmarkEnd w:id="140"/>
      <w:bookmarkEnd w:id="141"/>
      <w:bookmarkEnd w:id="142"/>
      <w:bookmarkEnd w:id="143"/>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144" w:name="_Toc4720"/>
      <w:bookmarkStart w:id="145" w:name="_Toc32494"/>
      <w:bookmarkStart w:id="146" w:name="_Toc14371"/>
      <w:bookmarkStart w:id="147" w:name="_Toc25571"/>
      <w:bookmarkStart w:id="148" w:name="_Toc26633"/>
      <w:r>
        <w:rPr>
          <w:rFonts w:ascii="宋体" w:hAnsi="宋体"/>
          <w:b/>
          <w:color w:val="auto"/>
          <w:sz w:val="24"/>
        </w:rPr>
        <w:t>2.11 不可抗力</w:t>
      </w:r>
      <w:bookmarkEnd w:id="144"/>
      <w:bookmarkEnd w:id="145"/>
      <w:bookmarkEnd w:id="146"/>
      <w:bookmarkEnd w:id="147"/>
      <w:bookmarkEnd w:id="148"/>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49" w:name="_Toc3638"/>
      <w:bookmarkStart w:id="150" w:name="_Toc25783"/>
      <w:bookmarkStart w:id="151" w:name="_Toc23854"/>
      <w:bookmarkStart w:id="152" w:name="_Toc14115"/>
      <w:bookmarkStart w:id="153" w:name="_Toc24465"/>
      <w:r>
        <w:rPr>
          <w:rFonts w:ascii="宋体" w:hAnsi="宋体"/>
          <w:b/>
          <w:color w:val="auto"/>
          <w:sz w:val="24"/>
        </w:rPr>
        <w:t>2.12 税费</w:t>
      </w:r>
      <w:bookmarkEnd w:id="149"/>
      <w:bookmarkEnd w:id="150"/>
      <w:bookmarkEnd w:id="151"/>
      <w:bookmarkEnd w:id="152"/>
      <w:bookmarkEnd w:id="153"/>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154" w:name="_Toc25525"/>
      <w:bookmarkStart w:id="155" w:name="_Toc30105"/>
      <w:bookmarkStart w:id="156" w:name="_Toc14814"/>
      <w:bookmarkStart w:id="157" w:name="_Toc26883"/>
      <w:bookmarkStart w:id="158" w:name="_Toc7315"/>
      <w:r>
        <w:rPr>
          <w:rFonts w:ascii="宋体" w:hAnsi="宋体"/>
          <w:b/>
          <w:color w:val="auto"/>
          <w:sz w:val="24"/>
        </w:rPr>
        <w:t>2.13 乙方破产</w:t>
      </w:r>
      <w:bookmarkEnd w:id="154"/>
      <w:bookmarkEnd w:id="155"/>
      <w:bookmarkEnd w:id="156"/>
      <w:bookmarkEnd w:id="157"/>
      <w:bookmarkEnd w:id="158"/>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159" w:name="_Toc1123"/>
      <w:bookmarkStart w:id="160" w:name="_Toc2016"/>
      <w:bookmarkStart w:id="161" w:name="_Toc23323"/>
      <w:r>
        <w:rPr>
          <w:rFonts w:ascii="宋体" w:hAnsi="宋体"/>
          <w:b/>
          <w:color w:val="auto"/>
          <w:sz w:val="24"/>
        </w:rPr>
        <w:t>2.14 合同中止、终止</w:t>
      </w:r>
      <w:bookmarkEnd w:id="159"/>
      <w:bookmarkEnd w:id="160"/>
      <w:bookmarkEnd w:id="161"/>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62" w:name="_Toc17363"/>
      <w:bookmarkStart w:id="163" w:name="_Toc14525"/>
      <w:bookmarkStart w:id="164" w:name="_Toc1969"/>
      <w:r>
        <w:rPr>
          <w:rFonts w:ascii="宋体" w:hAnsi="宋体"/>
          <w:b/>
          <w:color w:val="auto"/>
          <w:sz w:val="24"/>
        </w:rPr>
        <w:t>2.15 检验和验收</w:t>
      </w:r>
      <w:bookmarkEnd w:id="162"/>
      <w:bookmarkEnd w:id="163"/>
      <w:bookmarkEnd w:id="164"/>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165" w:name="_Toc12666"/>
      <w:bookmarkStart w:id="166" w:name="_Toc2308"/>
      <w:bookmarkStart w:id="167" w:name="_Toc31892"/>
      <w:bookmarkStart w:id="168" w:name="_Toc25198"/>
      <w:bookmarkStart w:id="169" w:name="_Toc9808"/>
      <w:r>
        <w:rPr>
          <w:rFonts w:ascii="宋体" w:hAnsi="宋体"/>
          <w:b/>
          <w:color w:val="auto"/>
          <w:sz w:val="24"/>
        </w:rPr>
        <w:t>2.16 通知和送达</w:t>
      </w:r>
      <w:bookmarkEnd w:id="165"/>
      <w:bookmarkEnd w:id="166"/>
      <w:bookmarkEnd w:id="167"/>
      <w:bookmarkEnd w:id="168"/>
      <w:bookmarkEnd w:id="169"/>
    </w:p>
    <w:p>
      <w:pPr>
        <w:spacing w:line="560" w:lineRule="exact"/>
        <w:ind w:firstLine="480" w:firstLineChars="200"/>
        <w:rPr>
          <w:rFonts w:ascii="宋体" w:hAnsi="宋体"/>
          <w:color w:val="auto"/>
          <w:sz w:val="24"/>
        </w:rPr>
      </w:pPr>
      <w:bookmarkStart w:id="170" w:name="_Toc27674"/>
      <w:bookmarkStart w:id="171"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70"/>
      <w:bookmarkEnd w:id="171"/>
    </w:p>
    <w:p>
      <w:pPr>
        <w:spacing w:line="560" w:lineRule="exact"/>
        <w:ind w:firstLine="482" w:firstLineChars="200"/>
        <w:outlineLvl w:val="0"/>
        <w:rPr>
          <w:rFonts w:ascii="宋体" w:hAnsi="宋体"/>
          <w:b/>
          <w:color w:val="auto"/>
          <w:sz w:val="24"/>
        </w:rPr>
      </w:pPr>
      <w:bookmarkStart w:id="172" w:name="_Toc20808"/>
      <w:bookmarkStart w:id="173" w:name="_Toc27644"/>
      <w:bookmarkStart w:id="174" w:name="_Toc5063"/>
      <w:bookmarkStart w:id="175" w:name="_Toc28906"/>
      <w:bookmarkStart w:id="176"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72"/>
      <w:bookmarkEnd w:id="173"/>
      <w:bookmarkEnd w:id="174"/>
      <w:bookmarkEnd w:id="175"/>
      <w:bookmarkEnd w:id="176"/>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177" w:name="_Toc30599"/>
      <w:bookmarkStart w:id="178" w:name="_Toc18540"/>
      <w:bookmarkStart w:id="179" w:name="_Toc4355"/>
      <w:r>
        <w:rPr>
          <w:rFonts w:hint="eastAsia" w:ascii="宋体" w:hAnsi="宋体" w:cs="宋体"/>
          <w:b/>
          <w:color w:val="auto"/>
          <w:sz w:val="24"/>
        </w:rPr>
        <w:t>2.18 计量单位</w:t>
      </w:r>
      <w:bookmarkEnd w:id="177"/>
      <w:bookmarkEnd w:id="178"/>
      <w:bookmarkEnd w:id="179"/>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180" w:name="_Toc331685784"/>
      <w:r>
        <w:rPr>
          <w:rFonts w:hint="eastAsia" w:ascii="宋体" w:hAnsi="宋体" w:cs="宋体"/>
          <w:b/>
          <w:color w:val="auto"/>
          <w:sz w:val="24"/>
        </w:rPr>
        <w:t xml:space="preserve"> </w:t>
      </w:r>
      <w:bookmarkEnd w:id="180"/>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乙方报送经过甲方签字确认过的测绘项目确认单，根据实际工作量编制工程结算书（作为附件），经甲、乙双方共同审定后，作为工程价款结算依据。甲方应根据工程结算结果向乙方结清工程价款。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合同履行期限：合同签订之日起至2025年5月30日。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履行地点：采购人指定地点。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履行方式：现场履行，按采购人及行业标准要求执行。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lang w:val="en-US" w:eastAsia="zh-CN"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lang w:bidi="ar"/>
              </w:rPr>
              <w:t>项目所在地的人民法院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auto"/>
              <w:rPr>
                <w:rFonts w:ascii="宋体" w:hAnsi="宋体" w:cs="宋体"/>
                <w:color w:val="auto"/>
                <w:sz w:val="24"/>
              </w:rPr>
            </w:pPr>
            <w:r>
              <w:rPr>
                <w:rFonts w:hint="eastAsia" w:ascii="宋体" w:hAnsi="宋体" w:cs="宋体"/>
                <w:color w:val="auto"/>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textAlignment w:val="auto"/>
              <w:rPr>
                <w:rFonts w:ascii="宋体" w:hAnsi="宋体" w:cs="宋体"/>
                <w:color w:val="auto"/>
                <w:sz w:val="24"/>
              </w:rPr>
            </w:pPr>
            <w:r>
              <w:rPr>
                <w:rFonts w:hint="eastAsia" w:ascii="宋体" w:hAnsi="宋体" w:cs="宋体"/>
                <w:color w:val="auto"/>
                <w:sz w:val="24"/>
              </w:rPr>
              <w:t>乙方报送经过甲方签字确认过的测绘项目确认单，根据实际工作量编制工程结算书（作为附件），经甲、乙双方共同审定后，作为工程价款结算依据。甲方应根据工程结算结果向乙方结清工程价款。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因不可抗力致使合同有变更必要的，双方当事人应在30日内以书面形式变更合同</w:t>
            </w: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rPr>
                <w:rFonts w:ascii="宋体" w:hAnsi="宋体" w:cs="宋体"/>
                <w:color w:val="auto"/>
                <w:sz w:val="24"/>
              </w:rPr>
            </w:pPr>
            <w:r>
              <w:rPr>
                <w:rFonts w:hint="eastAsia" w:ascii="宋体" w:hAnsi="宋体" w:cs="宋体"/>
                <w:color w:val="auto"/>
                <w:sz w:val="24"/>
              </w:rPr>
              <w:t>乙方按照采购需求的约定，定期提交服务报告，甲方按照采购需求的约定进行定期验收</w:t>
            </w:r>
            <w:r>
              <w:rPr>
                <w:rFonts w:hint="eastAsia" w:ascii="宋体" w:hAnsi="宋体" w:cs="宋体"/>
                <w:color w:val="auto"/>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rPr>
                <w:rFonts w:ascii="宋体" w:hAnsi="宋体" w:cs="宋体"/>
                <w:color w:val="auto"/>
                <w:sz w:val="24"/>
              </w:rPr>
            </w:pPr>
            <w:r>
              <w:rPr>
                <w:rFonts w:hint="eastAsia" w:ascii="宋体" w:hAnsi="宋体" w:cs="宋体"/>
                <w:color w:val="auto"/>
                <w:sz w:val="24"/>
              </w:rPr>
              <w:t>按国家、省行业标准、规定及技术标准等相关要求（各标准之间取较高标准者）进行验收,并验收合格。验收时产生的所有费用均由乙方支付。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textAlignment w:val="auto"/>
              <w:rPr>
                <w:rFonts w:ascii="宋体" w:hAnsi="宋体" w:cs="宋体"/>
                <w:color w:val="auto"/>
                <w:sz w:val="24"/>
              </w:rPr>
            </w:pPr>
            <w:r>
              <w:rPr>
                <w:rFonts w:hint="eastAsia" w:ascii="宋体" w:hAnsi="宋体" w:cs="宋体"/>
                <w:color w:val="auto"/>
                <w:sz w:val="24"/>
              </w:rPr>
              <w:t>本合同一式六份，双方各执三份。</w:t>
            </w:r>
          </w:p>
        </w:tc>
      </w:tr>
    </w:tbl>
    <w:p>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5"/>
      <w:r>
        <w:rPr>
          <w:rFonts w:hint="eastAsia" w:cs="仿宋_GB2312" w:asciiTheme="minorEastAsia" w:hAnsiTheme="minorEastAsia" w:eastAsiaTheme="minorEastAsia"/>
          <w:b/>
          <w:color w:val="auto"/>
          <w:sz w:val="36"/>
          <w:szCs w:val="20"/>
        </w:rPr>
        <w:t xml:space="preserve">  </w:t>
      </w:r>
      <w:bookmarkEnd w:id="66"/>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（3）授权委托书或法定代表人（单位负责人、自然人本人）身份证明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（4）所有资信文件（复印件）…………………………………………………（页码）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（7）认为需要的其他商务文件或说明…………………………………………（页码）</w:t>
      </w:r>
    </w:p>
    <w:p>
      <w:pPr>
        <w:pStyle w:val="184"/>
        <w:spacing w:line="360" w:lineRule="auto"/>
        <w:rPr>
          <w:rFonts w:cs="仿宋_GB2312" w:asciiTheme="minorEastAsia" w:hAnsiTheme="minorEastAsia" w:eastAsiaTheme="minorEastAsia"/>
          <w:color w:val="auto"/>
          <w:kern w:val="0"/>
        </w:rPr>
      </w:pPr>
      <w:r>
        <w:rPr>
          <w:rFonts w:hint="eastAsia" w:cs="仿宋_GB2312" w:asciiTheme="minorEastAsia" w:hAnsiTheme="minorEastAsia" w:eastAsiaTheme="minorEastAsia"/>
          <w:color w:val="auto"/>
          <w:kern w:val="0"/>
        </w:rPr>
        <w:t>（8）</w:t>
      </w:r>
      <w:r>
        <w:rPr>
          <w:rFonts w:hint="eastAsia" w:asciiTheme="minorEastAsia" w:hAnsiTheme="minorEastAsia" w:eastAsiaTheme="minorEastAsia"/>
          <w:color w:val="auto"/>
          <w:kern w:val="0"/>
          <w:lang w:val="zh-CN"/>
        </w:rPr>
        <w:t>评标标准相应的商务技术资料</w:t>
      </w:r>
      <w:r>
        <w:rPr>
          <w:rFonts w:hint="eastAsia" w:cs="仿宋_GB2312" w:asciiTheme="minorEastAsia" w:hAnsiTheme="minorEastAsia" w:eastAsiaTheme="minorEastAsia"/>
          <w:color w:val="auto"/>
          <w:kern w:val="0"/>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lang w:val="zh-CN"/>
        </w:rPr>
        <w:t>……………</w:t>
      </w:r>
      <w:r>
        <w:rPr>
          <w:rFonts w:hint="eastAsia" w:cs="仿宋_GB2312" w:asciiTheme="minorEastAsia" w:hAnsiTheme="minorEastAsia" w:eastAsiaTheme="minorEastAsia"/>
          <w:color w:val="auto"/>
          <w:kern w:val="0"/>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（10）</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pStyle w:val="35"/>
        <w:spacing w:line="360" w:lineRule="auto"/>
        <w:ind w:firstLine="480" w:firstLineChars="20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 xml:space="preserve"> </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pPr>
        <w:pStyle w:val="106"/>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我方承诺除响应文件列出的偏离外，我方响应磋商文件的全部要求。</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7.3按照磋商文件要求提交履约保证金（如有）；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7.4在合同约定的期限内完成合同规定的全部义务。 </w:t>
      </w:r>
    </w:p>
    <w:p>
      <w:pPr>
        <w:numPr>
          <w:ilvl w:val="0"/>
          <w:numId w:val="11"/>
        </w:numPr>
        <w:adjustRightInd/>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其他补充说明: 附营业执照(或事业法人登记证或其他工商等登记证明材料)复印件（成交供应商为自然人的，提供自然人的身份证明）。</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autoSpaceDE w:val="0"/>
        <w:autoSpaceDN w:val="0"/>
        <w:spacing w:line="360" w:lineRule="auto"/>
        <w:rPr>
          <w:rFonts w:cs="仿宋_GB2312" w:asciiTheme="minorEastAsia" w:hAnsiTheme="minorEastAsia" w:eastAsiaTheme="minorEastAsia"/>
          <w:color w:val="auto"/>
          <w:kern w:val="0"/>
          <w:sz w:val="24"/>
        </w:rPr>
      </w:pPr>
    </w:p>
    <w:p>
      <w:pPr>
        <w:pStyle w:val="115"/>
        <w:keepNext w:val="0"/>
        <w:pageBreakBefore w:val="0"/>
        <w:tabs>
          <w:tab w:val="clear" w:pos="720"/>
        </w:tabs>
        <w:jc w:val="both"/>
        <w:outlineLvl w:val="9"/>
        <w:rPr>
          <w:rFonts w:cs="仿宋_GB2312" w:asciiTheme="minorEastAsia" w:hAnsiTheme="minorEastAsia" w:eastAsiaTheme="minorEastAsia"/>
          <w:color w:val="auto"/>
          <w:sz w:val="24"/>
          <w:szCs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18"/>
          <w:szCs w:val="18"/>
        </w:rPr>
      </w:pPr>
    </w:p>
    <w:p>
      <w:pPr>
        <w:spacing w:line="360" w:lineRule="auto"/>
        <w:rPr>
          <w:rFonts w:cs="仿宋_GB2312" w:asciiTheme="minorEastAsia" w:hAnsiTheme="minorEastAsia" w:eastAsiaTheme="minorEastAsia"/>
          <w:color w:val="auto"/>
          <w:sz w:val="18"/>
          <w:szCs w:val="18"/>
        </w:rPr>
      </w:pPr>
    </w:p>
    <w:p>
      <w:pPr>
        <w:widowControl/>
        <w:adjustRightInd/>
        <w:jc w:val="left"/>
        <w:rPr>
          <w:rFonts w:cs="仿宋_GB2312" w:asciiTheme="minorEastAsia" w:hAnsiTheme="minorEastAsia" w:eastAsiaTheme="minorEastAsia"/>
          <w:b/>
          <w:color w:val="auto"/>
          <w:kern w:val="0"/>
          <w:sz w:val="32"/>
          <w:szCs w:val="32"/>
        </w:rPr>
      </w:pPr>
      <w:r>
        <w:rPr>
          <w:rFonts w:cs="仿宋_GB2312" w:asciiTheme="minorEastAsia" w:hAnsiTheme="minorEastAsia" w:eastAsiaTheme="minorEastAsia"/>
          <w:b/>
          <w:color w:val="auto"/>
          <w:kern w:val="0"/>
          <w:sz w:val="32"/>
          <w:szCs w:val="32"/>
        </w:rPr>
        <w:br w:type="page"/>
      </w:r>
    </w:p>
    <w:p>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B、</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 xml:space="preserve">.专门面向中小企业，服务全部由符合政策要求的中小企业（或小微企业）承接的，提供相应的中小企业声明函（附件一）。 </w:t>
      </w:r>
    </w:p>
    <w:p>
      <w:pPr>
        <w:widowControl/>
        <w:spacing w:line="360" w:lineRule="auto"/>
        <w:ind w:firstLine="480"/>
        <w:jc w:val="left"/>
        <w:rPr>
          <w:rFonts w:cs="宋体"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附件一：</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firstLine="310" w:firstLineChars="147"/>
        <w:jc w:val="left"/>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color w:val="auto"/>
          <w:sz w:val="24"/>
        </w:rPr>
      </w:pP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p>
    <w:p>
      <w:pPr>
        <w:spacing w:line="360" w:lineRule="auto"/>
        <w:ind w:right="42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color w:val="auto"/>
          <w:sz w:val="24"/>
        </w:rPr>
      </w:pPr>
    </w:p>
    <w:p>
      <w:pPr>
        <w:jc w:val="center"/>
        <w:rPr>
          <w:rFonts w:ascii="仿宋" w:hAnsi="仿宋" w:eastAsia="仿宋" w:cs="仿宋"/>
          <w:bCs/>
          <w:color w:val="auto"/>
          <w:sz w:val="24"/>
          <w:szCs w:val="22"/>
        </w:rPr>
      </w:pPr>
      <w:r>
        <w:rPr>
          <w:rFonts w:cs="仿宋_GB2312" w:asciiTheme="minorEastAsia" w:hAnsiTheme="minorEastAsia" w:eastAsiaTheme="minorEastAsia"/>
          <w:b/>
          <w:color w:val="auto"/>
          <w:sz w:val="24"/>
        </w:rPr>
        <w:br w:type="page"/>
      </w:r>
      <w:r>
        <w:rPr>
          <w:rFonts w:hint="eastAsia" w:ascii="宋体" w:hAnsi="宋体" w:cs="宋体"/>
          <w:b/>
          <w:color w:val="auto"/>
          <w:sz w:val="24"/>
        </w:rPr>
        <w:t>附件二：</w:t>
      </w:r>
      <w:r>
        <w:rPr>
          <w:rFonts w:hint="eastAsia" w:ascii="宋体" w:hAnsi="宋体" w:cs="宋体"/>
          <w:b/>
          <w:color w:val="auto"/>
          <w:sz w:val="24"/>
          <w:szCs w:val="22"/>
        </w:rPr>
        <w:t>《中小企业划型标准规定》工信部联企业〔2011〕300号</w:t>
      </w:r>
    </w:p>
    <w:p>
      <w:pPr>
        <w:pStyle w:val="25"/>
        <w:rPr>
          <w:color w:val="auto"/>
        </w:rPr>
      </w:pPr>
    </w:p>
    <w:tbl>
      <w:tblPr>
        <w:tblStyle w:val="61"/>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计量</w:t>
            </w:r>
          </w:p>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单位</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中型</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小型</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rPr>
            </w:pPr>
            <w:r>
              <w:rPr>
                <w:rFonts w:hint="eastAsia" w:ascii="仿宋" w:hAnsi="仿宋" w:eastAsia="仿宋" w:cs="仿宋"/>
                <w:b/>
                <w:color w:val="auto"/>
                <w:kern w:val="0"/>
                <w:sz w:val="18"/>
                <w:szCs w:val="18"/>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工业*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建筑业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300≤Y&lt;6000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Z&lt;300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批发业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5≤X&lt;20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零售业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10≤X&lt;50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100≤Y&lt;500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200≤Y&lt;3000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仓储业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100≤X&lt;200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邮政业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住宿业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餐饮业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100≤Y&lt;2000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100≤X&lt;2000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Z&lt;2000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300≤X&lt;1000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500≤Y&lt;1000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Y&lt;500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rPr>
            </w:pP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万元</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100≤Z&lt;8000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Z&lt;100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人</w:t>
            </w:r>
          </w:p>
        </w:tc>
        <w:tc>
          <w:tcPr>
            <w:tcW w:w="1654"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100≤X&lt;300</w:t>
            </w:r>
          </w:p>
        </w:tc>
        <w:tc>
          <w:tcPr>
            <w:tcW w:w="1446"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10≤X&lt;100</w:t>
            </w:r>
          </w:p>
        </w:tc>
        <w:tc>
          <w:tcPr>
            <w:tcW w:w="111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rPr>
            </w:pPr>
            <w:r>
              <w:rPr>
                <w:rFonts w:hint="eastAsia" w:ascii="仿宋" w:hAnsi="仿宋" w:eastAsia="仿宋" w:cs="仿宋"/>
                <w:bCs/>
                <w:color w:val="auto"/>
                <w:kern w:val="0"/>
                <w:sz w:val="18"/>
                <w:szCs w:val="18"/>
              </w:rPr>
              <w:t>X&lt;10</w:t>
            </w:r>
          </w:p>
        </w:tc>
      </w:tr>
    </w:tbl>
    <w:p>
      <w:pPr>
        <w:pStyle w:val="632"/>
        <w:rPr>
          <w:color w:val="auto"/>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pgNumType w:fmt="decimal"/>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widowControl/>
        <w:adjustRightInd/>
        <w:jc w:val="left"/>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法定代表人、单位负责人或自然人本人的身份证明（适用于法定代表人、单位负责人或者自然人本人代表供应商参加响应）</w:t>
      </w:r>
    </w:p>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法定代表人身份证件复印件：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9"/>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日期：  年  月</w:t>
      </w:r>
      <w:r>
        <w:rPr>
          <w:rFonts w:hint="eastAsia" w:cs="仿宋_GB2312" w:asciiTheme="minorEastAsia" w:hAnsiTheme="minorEastAsia" w:eastAsiaTheme="minorEastAsia"/>
          <w:color w:val="auto"/>
          <w:kern w:val="0"/>
          <w:sz w:val="24"/>
        </w:rPr>
        <w:t xml:space="preserve">   日</w:t>
      </w:r>
    </w:p>
    <w:p>
      <w:pPr>
        <w:snapToGrid w:val="0"/>
        <w:spacing w:line="360" w:lineRule="auto"/>
        <w:ind w:firstLine="576"/>
        <w:jc w:val="center"/>
        <w:rPr>
          <w:rFonts w:cs="仿宋_GB2312" w:asciiTheme="minorEastAsia" w:hAnsiTheme="minorEastAsia" w:eastAsiaTheme="minorEastAsia"/>
          <w:color w:val="auto"/>
          <w:sz w:val="28"/>
          <w:szCs w:val="28"/>
        </w:rPr>
      </w:pPr>
    </w:p>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授权委托人身份证件复印件：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9"/>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widowControl/>
        <w:adjustRightInd/>
        <w:jc w:val="left"/>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color w:val="auto"/>
          <w:kern w:val="0"/>
          <w:sz w:val="24"/>
          <w:lang w:val="zh-CN"/>
        </w:rPr>
        <w:t xml:space="preserve">                   </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日期：  年  月</w:t>
      </w:r>
      <w:r>
        <w:rPr>
          <w:rFonts w:hint="eastAsia" w:cs="仿宋_GB2312" w:asciiTheme="minorEastAsia" w:hAnsiTheme="minorEastAsia" w:eastAsiaTheme="minorEastAsia"/>
          <w:color w:val="auto"/>
          <w:kern w:val="0"/>
          <w:sz w:val="24"/>
        </w:rPr>
        <w:t xml:space="preserve">    日</w:t>
      </w: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rPr>
        <w:t>四</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color w:val="auto"/>
          <w:kern w:val="0"/>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五</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服务期限</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注：供应商可按上述的格式自行编制，须随表提交相应的证明材料并注明所在文件页码。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br w:type="page"/>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六、关于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rPr>
          <w:rFonts w:cs="仿宋_GB2312" w:asciiTheme="minorEastAsia" w:hAnsiTheme="minorEastAsia" w:eastAsiaTheme="minorEastAsia"/>
          <w:b/>
          <w:bCs/>
          <w:color w:val="auto"/>
          <w:kern w:val="0"/>
          <w:sz w:val="24"/>
        </w:rPr>
      </w:pPr>
    </w:p>
    <w:p>
      <w:pPr>
        <w:widowControl/>
        <w:adjustRightInd/>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r>
        <w:rPr>
          <w:rFonts w:hint="eastAsia" w:cs="仿宋_GB2312" w:asciiTheme="minorEastAsia" w:hAnsiTheme="minorEastAsia" w:eastAsiaTheme="minorEastAsia"/>
          <w:b/>
          <w:bCs/>
          <w:color w:val="auto"/>
          <w:sz w:val="32"/>
          <w:szCs w:val="32"/>
        </w:rPr>
        <w:t>八、</w:t>
      </w:r>
      <w:r>
        <w:rPr>
          <w:rFonts w:hint="eastAsia" w:cs="仿宋_GB2312" w:asciiTheme="minorEastAsia" w:hAnsiTheme="minorEastAsia" w:eastAsiaTheme="minorEastAsia"/>
          <w:b/>
          <w:bCs/>
          <w:color w:val="auto"/>
          <w:sz w:val="32"/>
          <w:szCs w:val="32"/>
          <w:lang w:val="zh-CN"/>
        </w:rPr>
        <w:t>评标标准相应的商务技术资料</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九、认为需求的</w:t>
      </w:r>
      <w:r>
        <w:rPr>
          <w:rFonts w:hint="eastAsia" w:cs="仿宋_GB2312" w:asciiTheme="minorEastAsia" w:hAnsiTheme="minorEastAsia" w:eastAsiaTheme="minorEastAsia"/>
          <w:b/>
          <w:bCs/>
          <w:color w:val="auto"/>
          <w:sz w:val="32"/>
          <w:szCs w:val="32"/>
          <w:lang w:val="zh-CN"/>
        </w:rPr>
        <w:t>其他技术文件或</w:t>
      </w:r>
      <w:r>
        <w:rPr>
          <w:rFonts w:hint="eastAsia" w:cs="仿宋_GB2312" w:asciiTheme="minorEastAsia" w:hAnsiTheme="minorEastAsia" w:eastAsiaTheme="minorEastAsia"/>
          <w:b/>
          <w:color w:val="auto"/>
          <w:kern w:val="0"/>
          <w:sz w:val="32"/>
          <w:szCs w:val="32"/>
          <w:lang w:val="zh-CN"/>
        </w:rPr>
        <w:t>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0" w:type="first"/>
          <w:footerReference r:id="rId13" w:type="first"/>
          <w:footerReference r:id="rId11" w:type="default"/>
          <w:footerReference r:id="rId12" w:type="even"/>
          <w:pgSz w:w="11906" w:h="16838"/>
          <w:pgMar w:top="779" w:right="1418" w:bottom="468" w:left="1418" w:header="510" w:footer="992" w:gutter="0"/>
          <w:pgNumType w:fmt="decimal"/>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80"/>
        <w:gridCol w:w="2265"/>
        <w:gridCol w:w="1842"/>
        <w:gridCol w:w="2298"/>
        <w:gridCol w:w="1833"/>
        <w:gridCol w:w="199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00"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680"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5" w:type="dxa"/>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1842" w:type="dxa"/>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98" w:type="dxa"/>
            <w:vAlign w:val="center"/>
          </w:tcPr>
          <w:p>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rPr>
              <w:t>服务</w:t>
            </w:r>
            <w:r>
              <w:rPr>
                <w:rFonts w:hint="eastAsia" w:cs="宋体" w:asciiTheme="minorEastAsia" w:hAnsiTheme="minorEastAsia" w:eastAsiaTheme="minorEastAsia"/>
                <w:b/>
                <w:color w:val="auto"/>
                <w:sz w:val="24"/>
                <w:lang w:val="en-US" w:eastAsia="zh-CN"/>
              </w:rPr>
              <w:t>时间</w:t>
            </w:r>
          </w:p>
        </w:tc>
        <w:tc>
          <w:tcPr>
            <w:tcW w:w="1833" w:type="dxa"/>
            <w:vAlign w:val="center"/>
          </w:tcPr>
          <w:p>
            <w:pPr>
              <w:spacing w:line="360" w:lineRule="auto"/>
              <w:jc w:val="center"/>
              <w:rPr>
                <w:rFonts w:hint="eastAsia" w:cs="宋体" w:asciiTheme="minorEastAsia" w:hAnsiTheme="minorEastAsia" w:eastAsiaTheme="minorEastAsia"/>
                <w:b/>
                <w:color w:val="auto"/>
                <w:sz w:val="24"/>
                <w:lang w:eastAsia="zh-CN"/>
              </w:rPr>
            </w:pPr>
            <w:r>
              <w:rPr>
                <w:rFonts w:hint="eastAsia" w:cs="宋体" w:asciiTheme="minorEastAsia" w:hAnsiTheme="minorEastAsia" w:eastAsiaTheme="minorEastAsia"/>
                <w:b/>
                <w:color w:val="auto"/>
                <w:sz w:val="24"/>
                <w:lang w:val="en-US" w:eastAsia="zh-CN"/>
              </w:rPr>
              <w:t>服务标准</w:t>
            </w:r>
          </w:p>
        </w:tc>
        <w:tc>
          <w:tcPr>
            <w:tcW w:w="1992" w:type="dxa"/>
            <w:vAlign w:val="center"/>
          </w:tcPr>
          <w:p>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服务人数</w:t>
            </w:r>
          </w:p>
        </w:tc>
        <w:tc>
          <w:tcPr>
            <w:tcW w:w="2524" w:type="dxa"/>
            <w:vAlign w:val="center"/>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pPr>
              <w:spacing w:line="360" w:lineRule="auto"/>
              <w:jc w:val="center"/>
              <w:rPr>
                <w:rFonts w:cs="宋体"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0" w:type="dxa"/>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680" w:type="dxa"/>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2024年自然资源行政执法技术支撑单位采购</w:t>
            </w:r>
          </w:p>
        </w:tc>
        <w:tc>
          <w:tcPr>
            <w:tcW w:w="2265" w:type="dxa"/>
            <w:vAlign w:val="center"/>
          </w:tcPr>
          <w:p>
            <w:pPr>
              <w:snapToGrid w:val="0"/>
              <w:spacing w:line="360" w:lineRule="auto"/>
              <w:jc w:val="center"/>
              <w:rPr>
                <w:rFonts w:cs="宋体" w:asciiTheme="minorEastAsia" w:hAnsiTheme="minorEastAsia" w:eastAsiaTheme="minorEastAsia"/>
                <w:color w:val="auto"/>
                <w:sz w:val="24"/>
              </w:rPr>
            </w:pPr>
          </w:p>
        </w:tc>
        <w:tc>
          <w:tcPr>
            <w:tcW w:w="1842" w:type="dxa"/>
            <w:vAlign w:val="center"/>
          </w:tcPr>
          <w:p>
            <w:pPr>
              <w:snapToGrid w:val="0"/>
              <w:spacing w:line="360" w:lineRule="auto"/>
              <w:jc w:val="center"/>
              <w:rPr>
                <w:rFonts w:cs="宋体" w:asciiTheme="minorEastAsia" w:hAnsiTheme="minorEastAsia" w:eastAsiaTheme="minorEastAsia"/>
                <w:color w:val="auto"/>
                <w:sz w:val="24"/>
              </w:rPr>
            </w:pPr>
          </w:p>
        </w:tc>
        <w:tc>
          <w:tcPr>
            <w:tcW w:w="2298" w:type="dxa"/>
            <w:vAlign w:val="center"/>
          </w:tcPr>
          <w:p>
            <w:pPr>
              <w:snapToGrid w:val="0"/>
              <w:spacing w:line="360" w:lineRule="auto"/>
              <w:jc w:val="center"/>
              <w:rPr>
                <w:rFonts w:cs="宋体" w:asciiTheme="minorEastAsia" w:hAnsiTheme="minorEastAsia" w:eastAsiaTheme="minorEastAsia"/>
                <w:color w:val="auto"/>
                <w:sz w:val="24"/>
              </w:rPr>
            </w:pPr>
          </w:p>
        </w:tc>
        <w:tc>
          <w:tcPr>
            <w:tcW w:w="1833" w:type="dxa"/>
            <w:vAlign w:val="center"/>
          </w:tcPr>
          <w:p>
            <w:pPr>
              <w:spacing w:line="360" w:lineRule="auto"/>
              <w:jc w:val="center"/>
              <w:rPr>
                <w:rFonts w:cs="宋体" w:asciiTheme="minorEastAsia" w:hAnsiTheme="minorEastAsia" w:eastAsiaTheme="minorEastAsia"/>
                <w:color w:val="auto"/>
                <w:sz w:val="24"/>
              </w:rPr>
            </w:pPr>
          </w:p>
        </w:tc>
        <w:tc>
          <w:tcPr>
            <w:tcW w:w="1992" w:type="dxa"/>
            <w:vAlign w:val="center"/>
          </w:tcPr>
          <w:p>
            <w:pPr>
              <w:spacing w:line="360" w:lineRule="auto"/>
              <w:jc w:val="center"/>
              <w:rPr>
                <w:rFonts w:cs="宋体" w:asciiTheme="minorEastAsia" w:hAnsiTheme="minorEastAsia" w:eastAsiaTheme="minorEastAsia"/>
                <w:color w:val="auto"/>
                <w:sz w:val="24"/>
              </w:rPr>
            </w:pPr>
          </w:p>
        </w:tc>
        <w:tc>
          <w:tcPr>
            <w:tcW w:w="2524" w:type="dxa"/>
            <w:vAlign w:val="center"/>
          </w:tcPr>
          <w:p>
            <w:pPr>
              <w:spacing w:line="360" w:lineRule="auto"/>
              <w:jc w:val="center"/>
              <w:rPr>
                <w:rFonts w:cs="宋体"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w:t>
            </w:r>
            <w:r>
              <w:rPr>
                <w:rFonts w:hint="eastAsia" w:cs="宋体" w:asciiTheme="minorEastAsia" w:hAnsiTheme="minorEastAsia" w:eastAsiaTheme="minorEastAsia"/>
                <w:b/>
                <w:color w:val="auto"/>
                <w:sz w:val="24"/>
                <w:lang w:val="en-US" w:eastAsia="zh-CN"/>
              </w:rPr>
              <w:t>折扣率</w:t>
            </w:r>
            <w:r>
              <w:rPr>
                <w:rFonts w:hint="eastAsia" w:cs="宋体" w:asciiTheme="minorEastAsia" w:hAnsiTheme="minorEastAsia" w:eastAsiaTheme="minorEastAsia"/>
                <w:b/>
                <w:color w:val="auto"/>
                <w:sz w:val="24"/>
              </w:rPr>
              <w:t>（</w:t>
            </w:r>
            <w:r>
              <w:rPr>
                <w:rFonts w:hint="eastAsia" w:cs="宋体" w:asciiTheme="minorEastAsia" w:hAnsiTheme="minorEastAsia" w:eastAsiaTheme="minorEastAsia"/>
                <w:b/>
                <w:color w:val="auto"/>
                <w:sz w:val="24"/>
                <w:lang w:val="en-US" w:eastAsia="zh-CN"/>
              </w:rPr>
              <w:t>%</w:t>
            </w:r>
            <w:r>
              <w:rPr>
                <w:rFonts w:hint="eastAsia" w:cs="宋体" w:asciiTheme="minorEastAsia" w:hAnsiTheme="minorEastAsia" w:eastAsiaTheme="minorEastAsia"/>
                <w:b/>
                <w:color w:val="auto"/>
                <w:sz w:val="24"/>
              </w:rPr>
              <w:t>）</w:t>
            </w:r>
          </w:p>
        </w:tc>
        <w:tc>
          <w:tcPr>
            <w:tcW w:w="8647" w:type="dxa"/>
            <w:gridSpan w:val="4"/>
          </w:tcPr>
          <w:p>
            <w:pPr>
              <w:spacing w:line="360" w:lineRule="auto"/>
              <w:jc w:val="center"/>
              <w:rPr>
                <w:rFonts w:cs="宋体" w:asciiTheme="minorEastAsia" w:hAnsiTheme="minorEastAsia" w:eastAsiaTheme="minorEastAsia"/>
                <w:color w:val="auto"/>
                <w:sz w:val="24"/>
              </w:rPr>
            </w:pPr>
          </w:p>
        </w:tc>
      </w:tr>
    </w:tbl>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cs="宋体" w:asciiTheme="minorEastAsia" w:hAnsiTheme="minorEastAsia" w:eastAsiaTheme="minorEastAsia"/>
          <w:b/>
          <w:color w:val="auto"/>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不得出现“0元”“免费赠送”等形式的无偿报价，</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最后报价文件含有采购人不能接受的附加条件，响应无效</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pStyle w:val="25"/>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szCs w:val="22"/>
          <w:lang w:val="zh-CN"/>
        </w:rPr>
        <w:t>4</w:t>
      </w:r>
      <w:r>
        <w:rPr>
          <w:rFonts w:cs="仿宋_GB2312" w:asciiTheme="minorEastAsia" w:hAnsiTheme="minorEastAsia" w:eastAsiaTheme="minorEastAsia"/>
          <w:color w:val="auto"/>
          <w:kern w:val="0"/>
          <w:sz w:val="24"/>
          <w:szCs w:val="22"/>
          <w:lang w:val="zh-CN"/>
        </w:rPr>
        <w:t>、</w:t>
      </w:r>
      <w:r>
        <w:rPr>
          <w:rFonts w:hint="eastAsia" w:cs="仿宋_GB2312" w:asciiTheme="minorEastAsia" w:hAnsiTheme="minorEastAsia" w:eastAsiaTheme="minorEastAsia"/>
          <w:color w:val="auto"/>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lang w:val="zh-CN"/>
        </w:rPr>
        <w:t>提供</w:t>
      </w:r>
      <w:r>
        <w:rPr>
          <w:rFonts w:hint="eastAsia" w:cs="仿宋_GB2312" w:asciiTheme="minorEastAsia" w:hAnsiTheme="minorEastAsia" w:eastAsiaTheme="minorEastAsia"/>
          <w:color w:val="auto"/>
          <w:kern w:val="0"/>
          <w:sz w:val="24"/>
          <w:lang w:val="zh-CN"/>
        </w:rPr>
        <w:t>的中小企业</w:t>
      </w:r>
      <w:r>
        <w:rPr>
          <w:rFonts w:cs="仿宋_GB2312" w:asciiTheme="minorEastAsia" w:hAnsiTheme="minorEastAsia" w:eastAsiaTheme="minorEastAsia"/>
          <w:color w:val="auto"/>
          <w:kern w:val="0"/>
          <w:sz w:val="24"/>
          <w:lang w:val="zh-CN"/>
        </w:rPr>
        <w:t>声明函内容不实的，属于提供虚假材料谋取中标、成交，依照《中华人民共和国政府采购法》等国家有关规定追究相应责任。</w:t>
      </w:r>
    </w:p>
    <w:p>
      <w:pPr>
        <w:pStyle w:val="25"/>
        <w:rPr>
          <w:rFonts w:hint="default" w:eastAsiaTheme="minorEastAsia"/>
          <w:color w:val="auto"/>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5、特别说明：▲供应商报价低于项目预算50%的，应当在报价文件中详细阐述不影响产品质量或者诚信履约的具体原因。</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pgNumType w:fmt="decimal"/>
          <w:cols w:space="720" w:num="1"/>
          <w:titlePg/>
          <w:docGrid w:linePitch="312" w:charSpace="0"/>
        </w:sectPr>
      </w:pPr>
      <w:r>
        <w:rPr>
          <w:rFonts w:hint="eastAsia" w:cs="仿宋_GB2312" w:asciiTheme="minorEastAsia" w:hAnsiTheme="minorEastAsia" w:eastAsiaTheme="minorEastAsia"/>
          <w:color w:val="auto"/>
          <w:kern w:val="0"/>
          <w:sz w:val="24"/>
          <w:lang w:val="zh-CN"/>
        </w:rPr>
        <w:t xml:space="preserve">                                            日期：    年  月   日</w:t>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bookmarkStart w:id="181" w:name="_Toc465665161"/>
      <w:r>
        <w:rPr>
          <w:rFonts w:hint="eastAsia" w:cs="仿宋_GB2312" w:asciiTheme="minorEastAsia" w:hAnsiTheme="minorEastAsia" w:eastAsiaTheme="minorEastAsia"/>
          <w:color w:val="auto"/>
        </w:rPr>
        <w:t>附件</w:t>
      </w:r>
      <w:bookmarkEnd w:id="181"/>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w:pict>
          <v:rect id="_x0000_s1028" o:spid="_x0000_s1028" o:spt="1" style="position:absolute;left:0pt;margin-left:238.9pt;margin-top:28.05pt;height:177.45pt;width:212.95pt;z-index:-2516316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focussize="0,0"/>
            <v:stroke miterlimit="2"/>
            <v:imagedata o:title=""/>
            <o:lock v:ext="edit"/>
          </v:rect>
        </w:pict>
      </w:r>
      <w:r>
        <w:rPr>
          <w:rFonts w:asciiTheme="minorEastAsia" w:hAnsiTheme="minorEastAsia" w:eastAsiaTheme="minorEastAsia"/>
          <w:color w:val="auto"/>
        </w:rPr>
        <w:pict>
          <v:rect id="_x0000_s1027" o:spid="_x0000_s1027" o:spt="1" style="position:absolute;left:0pt;margin-left:-7.2pt;margin-top:30.3pt;height:177.45pt;width:208.5pt;z-index:-25163264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focussize="0,0"/>
            <v:stroke miterlimit="2"/>
            <v:imagedata o:title=""/>
            <o:lock v:ext="edit"/>
          </v:rect>
        </w:pic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color w:val="auto"/>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5"/>
      </w:rPr>
    </w:pPr>
    <w:r>
      <w:fldChar w:fldCharType="begin"/>
    </w:r>
    <w:r>
      <w:rPr>
        <w:rStyle w:val="65"/>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rPr>
      <w:drawing>
        <wp:inline distT="0" distB="0" distL="114300" distR="114300">
          <wp:extent cx="1196340" cy="283845"/>
          <wp:effectExtent l="0" t="0" r="3810" b="1905"/>
          <wp:docPr id="5"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lang w:val="en-US" w:eastAsia="zh-CN"/>
      </w:rPr>
      <w:t xml:space="preserve">                                          </w:t>
    </w:r>
    <w:r>
      <w:rPr>
        <w:rFonts w:hint="eastAsia" w:eastAsia="仿宋_GB2312"/>
        <w:i/>
      </w:rPr>
      <w:t>杭州市政府采购竞争性磋商文件</w:t>
    </w:r>
  </w:p>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rPr>
      <w:t xml:space="preserve"> </w:t>
    </w:r>
    <w:r>
      <w:rPr>
        <w:rFonts w:hint="eastAsia"/>
      </w:rPr>
      <w:drawing>
        <wp:inline distT="0" distB="0" distL="114300" distR="114300">
          <wp:extent cx="1196340" cy="283845"/>
          <wp:effectExtent l="0" t="0" r="3810" b="1905"/>
          <wp:docPr id="1"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r>
      <w:rPr>
        <w:rFonts w:hint="eastAsia"/>
      </w:rPr>
      <w:t xml:space="preserve"> </w:t>
    </w:r>
    <w:r>
      <w:rPr>
        <w:rFonts w:hint="eastAsia"/>
      </w:rPr>
      <w:drawing>
        <wp:inline distT="0" distB="0" distL="114300" distR="114300">
          <wp:extent cx="1196340" cy="283845"/>
          <wp:effectExtent l="0" t="0" r="3810" b="1905"/>
          <wp:docPr id="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eastAsia="仿宋_GB2312"/>
      </w:rPr>
    </w:pPr>
    <w:r>
      <w:rPr>
        <w:rFonts w:hint="eastAsia"/>
      </w:rPr>
      <w:t xml:space="preserve"> </w:t>
    </w:r>
    <w:r>
      <w:rPr>
        <w:rFonts w:hint="eastAsia"/>
      </w:rPr>
      <w:drawing>
        <wp:inline distT="0" distB="0" distL="114300" distR="114300">
          <wp:extent cx="1196340" cy="283845"/>
          <wp:effectExtent l="0" t="0" r="3810" b="1905"/>
          <wp:docPr id="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p>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6797B"/>
    <w:multiLevelType w:val="singleLevel"/>
    <w:tmpl w:val="8DB6797B"/>
    <w:lvl w:ilvl="0" w:tentative="0">
      <w:start w:val="1"/>
      <w:numFmt w:val="decimal"/>
      <w:lvlText w:val="%1."/>
      <w:lvlJc w:val="left"/>
      <w:pPr>
        <w:ind w:left="850" w:hanging="425"/>
      </w:pPr>
      <w:rPr>
        <w:rFonts w:hint="default"/>
      </w:r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2ZDE0OGRiNGMyOTM0YjMwOTRiMDk4YTc1MWY0Mj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0AFA"/>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07EDD"/>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76A"/>
    <w:rsid w:val="001D5A94"/>
    <w:rsid w:val="001D6D4A"/>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3F38"/>
    <w:rsid w:val="002645DB"/>
    <w:rsid w:val="0026470B"/>
    <w:rsid w:val="0026486D"/>
    <w:rsid w:val="00264966"/>
    <w:rsid w:val="00264CEB"/>
    <w:rsid w:val="00264E69"/>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0C7"/>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177E"/>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68C"/>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2C3"/>
    <w:rsid w:val="00483984"/>
    <w:rsid w:val="00483BC7"/>
    <w:rsid w:val="00483CF0"/>
    <w:rsid w:val="00484D4D"/>
    <w:rsid w:val="004855D9"/>
    <w:rsid w:val="0048664F"/>
    <w:rsid w:val="004868AD"/>
    <w:rsid w:val="00486D00"/>
    <w:rsid w:val="00487FE1"/>
    <w:rsid w:val="00490707"/>
    <w:rsid w:val="00490815"/>
    <w:rsid w:val="004914E8"/>
    <w:rsid w:val="00491F82"/>
    <w:rsid w:val="00492B76"/>
    <w:rsid w:val="0049333E"/>
    <w:rsid w:val="0049418F"/>
    <w:rsid w:val="00495DC6"/>
    <w:rsid w:val="00497AAD"/>
    <w:rsid w:val="00497D1A"/>
    <w:rsid w:val="004A1DBC"/>
    <w:rsid w:val="004A1EA7"/>
    <w:rsid w:val="004A2C96"/>
    <w:rsid w:val="004A4116"/>
    <w:rsid w:val="004A4125"/>
    <w:rsid w:val="004A4CA7"/>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5390"/>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7D4"/>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1128"/>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124"/>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BA8"/>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7CB"/>
    <w:rsid w:val="007F2B4B"/>
    <w:rsid w:val="007F2C38"/>
    <w:rsid w:val="007F30C6"/>
    <w:rsid w:val="007F3651"/>
    <w:rsid w:val="007F3752"/>
    <w:rsid w:val="007F4318"/>
    <w:rsid w:val="007F47DA"/>
    <w:rsid w:val="007F4E52"/>
    <w:rsid w:val="007F4F2A"/>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069"/>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4222"/>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67FFD"/>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2C81"/>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489"/>
    <w:rsid w:val="008D18D0"/>
    <w:rsid w:val="008D1FAF"/>
    <w:rsid w:val="008D2259"/>
    <w:rsid w:val="008D33FE"/>
    <w:rsid w:val="008D3B9F"/>
    <w:rsid w:val="008D3D02"/>
    <w:rsid w:val="008D54C0"/>
    <w:rsid w:val="008D5760"/>
    <w:rsid w:val="008D577E"/>
    <w:rsid w:val="008D5ED9"/>
    <w:rsid w:val="008D7567"/>
    <w:rsid w:val="008E057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22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0"/>
    <w:rsid w:val="00A504F4"/>
    <w:rsid w:val="00A51577"/>
    <w:rsid w:val="00A51B47"/>
    <w:rsid w:val="00A526CE"/>
    <w:rsid w:val="00A54DC0"/>
    <w:rsid w:val="00A54DFA"/>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3B5"/>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AEC"/>
    <w:rsid w:val="00B5634D"/>
    <w:rsid w:val="00B56ECA"/>
    <w:rsid w:val="00B57093"/>
    <w:rsid w:val="00B60613"/>
    <w:rsid w:val="00B616E6"/>
    <w:rsid w:val="00B630F2"/>
    <w:rsid w:val="00B63E7A"/>
    <w:rsid w:val="00B65582"/>
    <w:rsid w:val="00B66054"/>
    <w:rsid w:val="00B672EA"/>
    <w:rsid w:val="00B6747B"/>
    <w:rsid w:val="00B70200"/>
    <w:rsid w:val="00B72CF0"/>
    <w:rsid w:val="00B73F35"/>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5BBE"/>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1BE4"/>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2AE"/>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93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487A"/>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4E92"/>
    <w:rsid w:val="00E20CE7"/>
    <w:rsid w:val="00E217B1"/>
    <w:rsid w:val="00E222FA"/>
    <w:rsid w:val="00E24A62"/>
    <w:rsid w:val="00E24F52"/>
    <w:rsid w:val="00E279B2"/>
    <w:rsid w:val="00E30BD5"/>
    <w:rsid w:val="00E31143"/>
    <w:rsid w:val="00E31812"/>
    <w:rsid w:val="00E3533E"/>
    <w:rsid w:val="00E35A45"/>
    <w:rsid w:val="00E37C85"/>
    <w:rsid w:val="00E4189A"/>
    <w:rsid w:val="00E43006"/>
    <w:rsid w:val="00E43551"/>
    <w:rsid w:val="00E50809"/>
    <w:rsid w:val="00E510CF"/>
    <w:rsid w:val="00E52AAB"/>
    <w:rsid w:val="00E533B0"/>
    <w:rsid w:val="00E5433E"/>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4B4"/>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2E38"/>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2740"/>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8194A"/>
    <w:rsid w:val="01423F24"/>
    <w:rsid w:val="016245C6"/>
    <w:rsid w:val="01656301"/>
    <w:rsid w:val="01944054"/>
    <w:rsid w:val="019E6E83"/>
    <w:rsid w:val="01A34140"/>
    <w:rsid w:val="01A57856"/>
    <w:rsid w:val="02070CCA"/>
    <w:rsid w:val="02216DDB"/>
    <w:rsid w:val="023B0973"/>
    <w:rsid w:val="026E0D49"/>
    <w:rsid w:val="02A10977"/>
    <w:rsid w:val="02DA0C0E"/>
    <w:rsid w:val="02F02CDA"/>
    <w:rsid w:val="02F76F90"/>
    <w:rsid w:val="02FA082F"/>
    <w:rsid w:val="03093CB2"/>
    <w:rsid w:val="03237AB6"/>
    <w:rsid w:val="03443858"/>
    <w:rsid w:val="03490FDE"/>
    <w:rsid w:val="034F4358"/>
    <w:rsid w:val="03546191"/>
    <w:rsid w:val="03655CA8"/>
    <w:rsid w:val="038D1CCC"/>
    <w:rsid w:val="03DB0660"/>
    <w:rsid w:val="03DD35E4"/>
    <w:rsid w:val="0405748B"/>
    <w:rsid w:val="041A1188"/>
    <w:rsid w:val="049D5A92"/>
    <w:rsid w:val="04D255BF"/>
    <w:rsid w:val="05377B18"/>
    <w:rsid w:val="057E12A3"/>
    <w:rsid w:val="05F2146C"/>
    <w:rsid w:val="06285128"/>
    <w:rsid w:val="062A142B"/>
    <w:rsid w:val="062E0F1B"/>
    <w:rsid w:val="06316315"/>
    <w:rsid w:val="064029FC"/>
    <w:rsid w:val="065A6178"/>
    <w:rsid w:val="06F22B07"/>
    <w:rsid w:val="070B10A0"/>
    <w:rsid w:val="071D689A"/>
    <w:rsid w:val="075562B7"/>
    <w:rsid w:val="07827822"/>
    <w:rsid w:val="07A34FF1"/>
    <w:rsid w:val="07EF0236"/>
    <w:rsid w:val="07F6164B"/>
    <w:rsid w:val="087A1B7A"/>
    <w:rsid w:val="08C416C3"/>
    <w:rsid w:val="08F24482"/>
    <w:rsid w:val="09594501"/>
    <w:rsid w:val="095F3199"/>
    <w:rsid w:val="096B2097"/>
    <w:rsid w:val="098B3F8E"/>
    <w:rsid w:val="09E638BB"/>
    <w:rsid w:val="0A206DCD"/>
    <w:rsid w:val="0A2A7C4B"/>
    <w:rsid w:val="0A5B7E63"/>
    <w:rsid w:val="0AAB1A8C"/>
    <w:rsid w:val="0AC37758"/>
    <w:rsid w:val="0BBA36D2"/>
    <w:rsid w:val="0BE21ABE"/>
    <w:rsid w:val="0BE22E34"/>
    <w:rsid w:val="0BE831B5"/>
    <w:rsid w:val="0C1A4B93"/>
    <w:rsid w:val="0C767178"/>
    <w:rsid w:val="0C87121B"/>
    <w:rsid w:val="0CA5180B"/>
    <w:rsid w:val="0CAB4354"/>
    <w:rsid w:val="0CAC0DEC"/>
    <w:rsid w:val="0CB40C26"/>
    <w:rsid w:val="0CC25F19"/>
    <w:rsid w:val="0D1A3FA7"/>
    <w:rsid w:val="0D1F336B"/>
    <w:rsid w:val="0D2B03F3"/>
    <w:rsid w:val="0D3861DB"/>
    <w:rsid w:val="0D646FD0"/>
    <w:rsid w:val="0D7A11E1"/>
    <w:rsid w:val="0DC0343B"/>
    <w:rsid w:val="0DF702FE"/>
    <w:rsid w:val="0E3E3CC5"/>
    <w:rsid w:val="0E3F698B"/>
    <w:rsid w:val="0EDB7766"/>
    <w:rsid w:val="0EEA1757"/>
    <w:rsid w:val="0F21508F"/>
    <w:rsid w:val="0F2904D1"/>
    <w:rsid w:val="0F816ACD"/>
    <w:rsid w:val="0FB94501"/>
    <w:rsid w:val="0FBA091A"/>
    <w:rsid w:val="10101371"/>
    <w:rsid w:val="103D0A7D"/>
    <w:rsid w:val="104407F2"/>
    <w:rsid w:val="107D4736"/>
    <w:rsid w:val="10B047CF"/>
    <w:rsid w:val="10FC16EA"/>
    <w:rsid w:val="11287B15"/>
    <w:rsid w:val="11380EA0"/>
    <w:rsid w:val="115B693C"/>
    <w:rsid w:val="117E6110"/>
    <w:rsid w:val="118963A1"/>
    <w:rsid w:val="11D33F23"/>
    <w:rsid w:val="11DE67F4"/>
    <w:rsid w:val="11EE5D00"/>
    <w:rsid w:val="11F528ED"/>
    <w:rsid w:val="12072620"/>
    <w:rsid w:val="127723A9"/>
    <w:rsid w:val="12A460C1"/>
    <w:rsid w:val="12BF52B7"/>
    <w:rsid w:val="13072A44"/>
    <w:rsid w:val="131D659F"/>
    <w:rsid w:val="13351A30"/>
    <w:rsid w:val="133D09EF"/>
    <w:rsid w:val="134A4EBA"/>
    <w:rsid w:val="13561AB1"/>
    <w:rsid w:val="137B04A0"/>
    <w:rsid w:val="13814BD5"/>
    <w:rsid w:val="13FE3F04"/>
    <w:rsid w:val="140E413A"/>
    <w:rsid w:val="14103A0E"/>
    <w:rsid w:val="145044FA"/>
    <w:rsid w:val="146855F8"/>
    <w:rsid w:val="14BE790E"/>
    <w:rsid w:val="156D11C1"/>
    <w:rsid w:val="156F1EFB"/>
    <w:rsid w:val="15BD7BC5"/>
    <w:rsid w:val="15E92769"/>
    <w:rsid w:val="15EE5C37"/>
    <w:rsid w:val="160130DC"/>
    <w:rsid w:val="16070E41"/>
    <w:rsid w:val="16AD19E8"/>
    <w:rsid w:val="16D76A65"/>
    <w:rsid w:val="170A508C"/>
    <w:rsid w:val="178F10EE"/>
    <w:rsid w:val="17E551B2"/>
    <w:rsid w:val="186742B0"/>
    <w:rsid w:val="18BE612E"/>
    <w:rsid w:val="18DA45EA"/>
    <w:rsid w:val="190636DC"/>
    <w:rsid w:val="19067AD5"/>
    <w:rsid w:val="19344A62"/>
    <w:rsid w:val="195A572B"/>
    <w:rsid w:val="19F45B80"/>
    <w:rsid w:val="1A2024D1"/>
    <w:rsid w:val="1A2A15A2"/>
    <w:rsid w:val="1A78230D"/>
    <w:rsid w:val="1AAB4490"/>
    <w:rsid w:val="1B2A271F"/>
    <w:rsid w:val="1B3A4B4D"/>
    <w:rsid w:val="1B5870FE"/>
    <w:rsid w:val="1B890139"/>
    <w:rsid w:val="1BCF2401"/>
    <w:rsid w:val="1BF9747E"/>
    <w:rsid w:val="1C27223D"/>
    <w:rsid w:val="1C4F709D"/>
    <w:rsid w:val="1CDA2E0B"/>
    <w:rsid w:val="1CE773BD"/>
    <w:rsid w:val="1CFD4D4B"/>
    <w:rsid w:val="1D266CE1"/>
    <w:rsid w:val="1D2B18B9"/>
    <w:rsid w:val="1D3963AF"/>
    <w:rsid w:val="1D4330A6"/>
    <w:rsid w:val="1D57656E"/>
    <w:rsid w:val="1DEF6D8A"/>
    <w:rsid w:val="1E28404A"/>
    <w:rsid w:val="1E320A25"/>
    <w:rsid w:val="1E4C28C5"/>
    <w:rsid w:val="1E5866DD"/>
    <w:rsid w:val="1E714A66"/>
    <w:rsid w:val="1EA25D7A"/>
    <w:rsid w:val="1EB875D8"/>
    <w:rsid w:val="1EB95BAC"/>
    <w:rsid w:val="1EFD1033"/>
    <w:rsid w:val="1F422316"/>
    <w:rsid w:val="1F43738D"/>
    <w:rsid w:val="1F784B5D"/>
    <w:rsid w:val="1FE01FA9"/>
    <w:rsid w:val="1FE868A9"/>
    <w:rsid w:val="204A02A8"/>
    <w:rsid w:val="20523600"/>
    <w:rsid w:val="20745325"/>
    <w:rsid w:val="20943C19"/>
    <w:rsid w:val="20BA03E0"/>
    <w:rsid w:val="20CC74EB"/>
    <w:rsid w:val="20DD55C0"/>
    <w:rsid w:val="2111567D"/>
    <w:rsid w:val="211E26D6"/>
    <w:rsid w:val="21283D08"/>
    <w:rsid w:val="21515479"/>
    <w:rsid w:val="216B2BCB"/>
    <w:rsid w:val="218D5AA0"/>
    <w:rsid w:val="219A525F"/>
    <w:rsid w:val="21AA36F4"/>
    <w:rsid w:val="21C61BB0"/>
    <w:rsid w:val="21C86C03"/>
    <w:rsid w:val="21E85FCA"/>
    <w:rsid w:val="221241B2"/>
    <w:rsid w:val="22596EC8"/>
    <w:rsid w:val="228201CD"/>
    <w:rsid w:val="22AA035F"/>
    <w:rsid w:val="22E83DA8"/>
    <w:rsid w:val="232079E6"/>
    <w:rsid w:val="234C4337"/>
    <w:rsid w:val="2393640A"/>
    <w:rsid w:val="240C69DE"/>
    <w:rsid w:val="242C7C64"/>
    <w:rsid w:val="243036FE"/>
    <w:rsid w:val="243674C1"/>
    <w:rsid w:val="2443573A"/>
    <w:rsid w:val="244D20B8"/>
    <w:rsid w:val="24792C5A"/>
    <w:rsid w:val="24B12155"/>
    <w:rsid w:val="24C06D8A"/>
    <w:rsid w:val="24FD7C07"/>
    <w:rsid w:val="252A68FA"/>
    <w:rsid w:val="25B237BD"/>
    <w:rsid w:val="25B440B3"/>
    <w:rsid w:val="25B52CC9"/>
    <w:rsid w:val="261D7F0F"/>
    <w:rsid w:val="26265313"/>
    <w:rsid w:val="263B2528"/>
    <w:rsid w:val="266B71CA"/>
    <w:rsid w:val="26957145"/>
    <w:rsid w:val="26A42442"/>
    <w:rsid w:val="26A85D28"/>
    <w:rsid w:val="26C4383F"/>
    <w:rsid w:val="26DF7388"/>
    <w:rsid w:val="26F33261"/>
    <w:rsid w:val="27392E24"/>
    <w:rsid w:val="27444711"/>
    <w:rsid w:val="274A3283"/>
    <w:rsid w:val="27716A62"/>
    <w:rsid w:val="27D72D69"/>
    <w:rsid w:val="28D73369"/>
    <w:rsid w:val="28EC2844"/>
    <w:rsid w:val="29122110"/>
    <w:rsid w:val="29381B18"/>
    <w:rsid w:val="296248B4"/>
    <w:rsid w:val="2976035F"/>
    <w:rsid w:val="29B405BB"/>
    <w:rsid w:val="2A0C2A72"/>
    <w:rsid w:val="2A4D10C0"/>
    <w:rsid w:val="2A9E534E"/>
    <w:rsid w:val="2AA1365A"/>
    <w:rsid w:val="2AE13EFE"/>
    <w:rsid w:val="2B4029D3"/>
    <w:rsid w:val="2B432147"/>
    <w:rsid w:val="2B481888"/>
    <w:rsid w:val="2B5170F8"/>
    <w:rsid w:val="2B6A1F24"/>
    <w:rsid w:val="2BF35C97"/>
    <w:rsid w:val="2C1B6F9C"/>
    <w:rsid w:val="2C8114F5"/>
    <w:rsid w:val="2C842D93"/>
    <w:rsid w:val="2C86433E"/>
    <w:rsid w:val="2CC3301F"/>
    <w:rsid w:val="2D077DA1"/>
    <w:rsid w:val="2DCF003E"/>
    <w:rsid w:val="2DD15014"/>
    <w:rsid w:val="2DFA304A"/>
    <w:rsid w:val="2E011250"/>
    <w:rsid w:val="2E3F5938"/>
    <w:rsid w:val="2E4E68F1"/>
    <w:rsid w:val="2E700A11"/>
    <w:rsid w:val="2E9A689E"/>
    <w:rsid w:val="2F2D3901"/>
    <w:rsid w:val="2F4F0A2B"/>
    <w:rsid w:val="2F9E416C"/>
    <w:rsid w:val="2FB219C5"/>
    <w:rsid w:val="2FBB4D1E"/>
    <w:rsid w:val="2FD223FC"/>
    <w:rsid w:val="2FD25781"/>
    <w:rsid w:val="2FD63906"/>
    <w:rsid w:val="2FDD25E7"/>
    <w:rsid w:val="30234B04"/>
    <w:rsid w:val="308C66BA"/>
    <w:rsid w:val="30A457B2"/>
    <w:rsid w:val="30D73BA2"/>
    <w:rsid w:val="310E6559"/>
    <w:rsid w:val="31140B8A"/>
    <w:rsid w:val="31464ABB"/>
    <w:rsid w:val="31501496"/>
    <w:rsid w:val="319C6071"/>
    <w:rsid w:val="31CB6D6E"/>
    <w:rsid w:val="31EF3FEE"/>
    <w:rsid w:val="324D45D2"/>
    <w:rsid w:val="32987598"/>
    <w:rsid w:val="32CE1296"/>
    <w:rsid w:val="32DB72BE"/>
    <w:rsid w:val="32E257BD"/>
    <w:rsid w:val="32E26A66"/>
    <w:rsid w:val="32F02F31"/>
    <w:rsid w:val="33015307"/>
    <w:rsid w:val="335F00B6"/>
    <w:rsid w:val="33647C68"/>
    <w:rsid w:val="3365395C"/>
    <w:rsid w:val="33D97E69"/>
    <w:rsid w:val="33EC7B9C"/>
    <w:rsid w:val="33F46C6F"/>
    <w:rsid w:val="342E63AB"/>
    <w:rsid w:val="343819DA"/>
    <w:rsid w:val="345D260B"/>
    <w:rsid w:val="345E211C"/>
    <w:rsid w:val="34644855"/>
    <w:rsid w:val="34654A9B"/>
    <w:rsid w:val="348576A9"/>
    <w:rsid w:val="34DB551B"/>
    <w:rsid w:val="34F12F90"/>
    <w:rsid w:val="353A5A4E"/>
    <w:rsid w:val="35586B6B"/>
    <w:rsid w:val="356B2D56"/>
    <w:rsid w:val="35C16E06"/>
    <w:rsid w:val="35D5640E"/>
    <w:rsid w:val="35F76384"/>
    <w:rsid w:val="3618279F"/>
    <w:rsid w:val="365302AE"/>
    <w:rsid w:val="36942E84"/>
    <w:rsid w:val="36EF34FF"/>
    <w:rsid w:val="37371C5A"/>
    <w:rsid w:val="37A47638"/>
    <w:rsid w:val="37B7050C"/>
    <w:rsid w:val="37F142D2"/>
    <w:rsid w:val="389B393F"/>
    <w:rsid w:val="39081611"/>
    <w:rsid w:val="390908A8"/>
    <w:rsid w:val="393671C3"/>
    <w:rsid w:val="394027E0"/>
    <w:rsid w:val="395B30CE"/>
    <w:rsid w:val="397957DC"/>
    <w:rsid w:val="3991089E"/>
    <w:rsid w:val="39A13F14"/>
    <w:rsid w:val="39E77E1F"/>
    <w:rsid w:val="39F21BA6"/>
    <w:rsid w:val="3A2E29B9"/>
    <w:rsid w:val="3A3A2CE3"/>
    <w:rsid w:val="3A3C3EB6"/>
    <w:rsid w:val="3A52002D"/>
    <w:rsid w:val="3A8B1791"/>
    <w:rsid w:val="3AAB598F"/>
    <w:rsid w:val="3AB605BC"/>
    <w:rsid w:val="3ABB02C8"/>
    <w:rsid w:val="3AD042EA"/>
    <w:rsid w:val="3B442D33"/>
    <w:rsid w:val="3B516536"/>
    <w:rsid w:val="3B626996"/>
    <w:rsid w:val="3B9C3C56"/>
    <w:rsid w:val="3BB900D2"/>
    <w:rsid w:val="3BB976CB"/>
    <w:rsid w:val="3BE61375"/>
    <w:rsid w:val="3C2974B3"/>
    <w:rsid w:val="3C332119"/>
    <w:rsid w:val="3C5F759A"/>
    <w:rsid w:val="3C9E2848"/>
    <w:rsid w:val="3CA60B04"/>
    <w:rsid w:val="3CEA09F1"/>
    <w:rsid w:val="3CFC43C9"/>
    <w:rsid w:val="3CFD4BC8"/>
    <w:rsid w:val="3D5C78D4"/>
    <w:rsid w:val="3DAC4378"/>
    <w:rsid w:val="3DD07BE6"/>
    <w:rsid w:val="3DE51D0B"/>
    <w:rsid w:val="3DFF5F51"/>
    <w:rsid w:val="3E2B306F"/>
    <w:rsid w:val="3E725142"/>
    <w:rsid w:val="3E9926CE"/>
    <w:rsid w:val="3ED6747E"/>
    <w:rsid w:val="3EE9440D"/>
    <w:rsid w:val="3EF142B8"/>
    <w:rsid w:val="3F1910DD"/>
    <w:rsid w:val="3F5406E8"/>
    <w:rsid w:val="3FD02D5B"/>
    <w:rsid w:val="3FDB7431"/>
    <w:rsid w:val="3FF35E0E"/>
    <w:rsid w:val="3FFF72A6"/>
    <w:rsid w:val="401104D3"/>
    <w:rsid w:val="402266F3"/>
    <w:rsid w:val="405F5252"/>
    <w:rsid w:val="407A208B"/>
    <w:rsid w:val="407F58F4"/>
    <w:rsid w:val="408C6631"/>
    <w:rsid w:val="40B11AA3"/>
    <w:rsid w:val="40DC4AF4"/>
    <w:rsid w:val="411424E0"/>
    <w:rsid w:val="41AF2209"/>
    <w:rsid w:val="41F4634D"/>
    <w:rsid w:val="423F2AA9"/>
    <w:rsid w:val="42442951"/>
    <w:rsid w:val="42AC04F6"/>
    <w:rsid w:val="42BF022A"/>
    <w:rsid w:val="42E1381E"/>
    <w:rsid w:val="42FA6D35"/>
    <w:rsid w:val="4335673E"/>
    <w:rsid w:val="43CB794C"/>
    <w:rsid w:val="43E837B0"/>
    <w:rsid w:val="43EF0FE2"/>
    <w:rsid w:val="43FB717C"/>
    <w:rsid w:val="4413082D"/>
    <w:rsid w:val="444B446B"/>
    <w:rsid w:val="44A25E79"/>
    <w:rsid w:val="44CD7C1B"/>
    <w:rsid w:val="44D81A76"/>
    <w:rsid w:val="44DA57EF"/>
    <w:rsid w:val="451E447A"/>
    <w:rsid w:val="45345B76"/>
    <w:rsid w:val="456450B8"/>
    <w:rsid w:val="45903D13"/>
    <w:rsid w:val="459777AD"/>
    <w:rsid w:val="45FB3C6E"/>
    <w:rsid w:val="46601D24"/>
    <w:rsid w:val="46AC49D8"/>
    <w:rsid w:val="47307808"/>
    <w:rsid w:val="47596E9F"/>
    <w:rsid w:val="47655843"/>
    <w:rsid w:val="479E6FA7"/>
    <w:rsid w:val="47BA3333"/>
    <w:rsid w:val="47C06F1E"/>
    <w:rsid w:val="484C255F"/>
    <w:rsid w:val="484D0255"/>
    <w:rsid w:val="486F747C"/>
    <w:rsid w:val="488E0DCA"/>
    <w:rsid w:val="48E22EC4"/>
    <w:rsid w:val="490E1F0B"/>
    <w:rsid w:val="49121445"/>
    <w:rsid w:val="4957740E"/>
    <w:rsid w:val="49A74E6C"/>
    <w:rsid w:val="49D63BE5"/>
    <w:rsid w:val="49DB003F"/>
    <w:rsid w:val="49E84C30"/>
    <w:rsid w:val="4A9F44FD"/>
    <w:rsid w:val="4AFF7D5D"/>
    <w:rsid w:val="4B1D486B"/>
    <w:rsid w:val="4B272E10"/>
    <w:rsid w:val="4B5D2CD5"/>
    <w:rsid w:val="4BFD2D7B"/>
    <w:rsid w:val="4C0373D9"/>
    <w:rsid w:val="4C574CAD"/>
    <w:rsid w:val="4C8868C1"/>
    <w:rsid w:val="4C930FAF"/>
    <w:rsid w:val="4CB50E78"/>
    <w:rsid w:val="4CE216E4"/>
    <w:rsid w:val="4D007DBC"/>
    <w:rsid w:val="4D2F4550"/>
    <w:rsid w:val="4D3225BE"/>
    <w:rsid w:val="4D861CF6"/>
    <w:rsid w:val="4DA62E69"/>
    <w:rsid w:val="4DAB1AD6"/>
    <w:rsid w:val="4E4D7708"/>
    <w:rsid w:val="4EC512BE"/>
    <w:rsid w:val="4F473A81"/>
    <w:rsid w:val="4F6463E1"/>
    <w:rsid w:val="4F7A2EBB"/>
    <w:rsid w:val="4FC6107D"/>
    <w:rsid w:val="500B0F52"/>
    <w:rsid w:val="50260ECC"/>
    <w:rsid w:val="50357E4D"/>
    <w:rsid w:val="50642410"/>
    <w:rsid w:val="50BD049E"/>
    <w:rsid w:val="516B641F"/>
    <w:rsid w:val="517349E0"/>
    <w:rsid w:val="51A0432A"/>
    <w:rsid w:val="51E14F57"/>
    <w:rsid w:val="51F8239A"/>
    <w:rsid w:val="52291B63"/>
    <w:rsid w:val="5244074B"/>
    <w:rsid w:val="527140E5"/>
    <w:rsid w:val="5285323E"/>
    <w:rsid w:val="5292508F"/>
    <w:rsid w:val="529B6160"/>
    <w:rsid w:val="52A96B6F"/>
    <w:rsid w:val="52AA4A52"/>
    <w:rsid w:val="52B633F7"/>
    <w:rsid w:val="52CE2BDF"/>
    <w:rsid w:val="52DB2E5E"/>
    <w:rsid w:val="532F31A9"/>
    <w:rsid w:val="53D1600F"/>
    <w:rsid w:val="540C5299"/>
    <w:rsid w:val="54403038"/>
    <w:rsid w:val="54C94F38"/>
    <w:rsid w:val="550764A4"/>
    <w:rsid w:val="55124B31"/>
    <w:rsid w:val="551926E0"/>
    <w:rsid w:val="55654C60"/>
    <w:rsid w:val="556C5FEF"/>
    <w:rsid w:val="558C043F"/>
    <w:rsid w:val="558E6524"/>
    <w:rsid w:val="559569D5"/>
    <w:rsid w:val="55BD2CEE"/>
    <w:rsid w:val="55D43B94"/>
    <w:rsid w:val="561279B9"/>
    <w:rsid w:val="56297656"/>
    <w:rsid w:val="564725B8"/>
    <w:rsid w:val="56515F3B"/>
    <w:rsid w:val="566D64C3"/>
    <w:rsid w:val="566E7C64"/>
    <w:rsid w:val="567D4DE2"/>
    <w:rsid w:val="56884C45"/>
    <w:rsid w:val="56927CD7"/>
    <w:rsid w:val="56BC6943"/>
    <w:rsid w:val="572B71CA"/>
    <w:rsid w:val="57347DAF"/>
    <w:rsid w:val="578558FF"/>
    <w:rsid w:val="579D653B"/>
    <w:rsid w:val="57D2661D"/>
    <w:rsid w:val="586C4999"/>
    <w:rsid w:val="58AE4F0C"/>
    <w:rsid w:val="58C01B54"/>
    <w:rsid w:val="58D5034F"/>
    <w:rsid w:val="58F44C79"/>
    <w:rsid w:val="58F92290"/>
    <w:rsid w:val="590945CA"/>
    <w:rsid w:val="59585967"/>
    <w:rsid w:val="59694D47"/>
    <w:rsid w:val="59981AA8"/>
    <w:rsid w:val="59D2668C"/>
    <w:rsid w:val="59ED3476"/>
    <w:rsid w:val="5A007FC9"/>
    <w:rsid w:val="5A19426B"/>
    <w:rsid w:val="5A2A7C7B"/>
    <w:rsid w:val="5AA93841"/>
    <w:rsid w:val="5AE943FC"/>
    <w:rsid w:val="5AFE1DDF"/>
    <w:rsid w:val="5B386973"/>
    <w:rsid w:val="5BB05375"/>
    <w:rsid w:val="5C120351"/>
    <w:rsid w:val="5C13016F"/>
    <w:rsid w:val="5C5F68AD"/>
    <w:rsid w:val="5C602626"/>
    <w:rsid w:val="5C80234E"/>
    <w:rsid w:val="5CB07109"/>
    <w:rsid w:val="5CB33608"/>
    <w:rsid w:val="5CD03307"/>
    <w:rsid w:val="5CF74D38"/>
    <w:rsid w:val="5D9D6A06"/>
    <w:rsid w:val="5DA64068"/>
    <w:rsid w:val="5DAA7FFC"/>
    <w:rsid w:val="5DCF1811"/>
    <w:rsid w:val="5E261785"/>
    <w:rsid w:val="5E2F562E"/>
    <w:rsid w:val="5E4C4C10"/>
    <w:rsid w:val="5EA54320"/>
    <w:rsid w:val="5FCC5339"/>
    <w:rsid w:val="5FDD2DCC"/>
    <w:rsid w:val="5FE70807"/>
    <w:rsid w:val="605D3104"/>
    <w:rsid w:val="60C018E5"/>
    <w:rsid w:val="60E53485"/>
    <w:rsid w:val="60FB7A0D"/>
    <w:rsid w:val="61054A27"/>
    <w:rsid w:val="6106379C"/>
    <w:rsid w:val="611D2366"/>
    <w:rsid w:val="61550E0C"/>
    <w:rsid w:val="615C2CDA"/>
    <w:rsid w:val="61731105"/>
    <w:rsid w:val="61E3588B"/>
    <w:rsid w:val="62685D90"/>
    <w:rsid w:val="62885958"/>
    <w:rsid w:val="62B40FD5"/>
    <w:rsid w:val="62FA18AA"/>
    <w:rsid w:val="63DF2082"/>
    <w:rsid w:val="63F525C7"/>
    <w:rsid w:val="64007B2C"/>
    <w:rsid w:val="6401024A"/>
    <w:rsid w:val="642F6282"/>
    <w:rsid w:val="647C5B23"/>
    <w:rsid w:val="647E5D3F"/>
    <w:rsid w:val="648C7A07"/>
    <w:rsid w:val="64A82DBC"/>
    <w:rsid w:val="64BD0615"/>
    <w:rsid w:val="64CE2EAA"/>
    <w:rsid w:val="652644C6"/>
    <w:rsid w:val="654F52D1"/>
    <w:rsid w:val="65F85603"/>
    <w:rsid w:val="662E75B1"/>
    <w:rsid w:val="66342C2E"/>
    <w:rsid w:val="663E784C"/>
    <w:rsid w:val="664639F1"/>
    <w:rsid w:val="6653718C"/>
    <w:rsid w:val="66645297"/>
    <w:rsid w:val="666D606B"/>
    <w:rsid w:val="66DC6D4D"/>
    <w:rsid w:val="672E0DF4"/>
    <w:rsid w:val="673D3C8F"/>
    <w:rsid w:val="676E5BF7"/>
    <w:rsid w:val="679A4C3E"/>
    <w:rsid w:val="67BA0E3C"/>
    <w:rsid w:val="67FB3202"/>
    <w:rsid w:val="68182006"/>
    <w:rsid w:val="685867EC"/>
    <w:rsid w:val="68692862"/>
    <w:rsid w:val="68897F5D"/>
    <w:rsid w:val="68A33FD5"/>
    <w:rsid w:val="68EA74FF"/>
    <w:rsid w:val="69236EB5"/>
    <w:rsid w:val="6938470E"/>
    <w:rsid w:val="695677CB"/>
    <w:rsid w:val="69717C20"/>
    <w:rsid w:val="698536CB"/>
    <w:rsid w:val="69951B60"/>
    <w:rsid w:val="69FA19C4"/>
    <w:rsid w:val="6A1707C7"/>
    <w:rsid w:val="6A38073E"/>
    <w:rsid w:val="6A681023"/>
    <w:rsid w:val="6A707346"/>
    <w:rsid w:val="6A8A71EB"/>
    <w:rsid w:val="6AAB7162"/>
    <w:rsid w:val="6AB75B07"/>
    <w:rsid w:val="6AB778B5"/>
    <w:rsid w:val="6AD871DA"/>
    <w:rsid w:val="6ADC37BF"/>
    <w:rsid w:val="6AEF704E"/>
    <w:rsid w:val="6AF01018"/>
    <w:rsid w:val="6B07083C"/>
    <w:rsid w:val="6B073826"/>
    <w:rsid w:val="6B103A97"/>
    <w:rsid w:val="6B2A0087"/>
    <w:rsid w:val="6B560C02"/>
    <w:rsid w:val="6C163E5C"/>
    <w:rsid w:val="6C7C2B64"/>
    <w:rsid w:val="6C8B2DA7"/>
    <w:rsid w:val="6C8E6676"/>
    <w:rsid w:val="6CCB34A7"/>
    <w:rsid w:val="6CCD1611"/>
    <w:rsid w:val="6D08089B"/>
    <w:rsid w:val="6D142D9C"/>
    <w:rsid w:val="6D3671B7"/>
    <w:rsid w:val="6D424113"/>
    <w:rsid w:val="6D7970A3"/>
    <w:rsid w:val="6D995997"/>
    <w:rsid w:val="6DBA763E"/>
    <w:rsid w:val="6E526272"/>
    <w:rsid w:val="6E555DF5"/>
    <w:rsid w:val="6E5A6B85"/>
    <w:rsid w:val="6E637175"/>
    <w:rsid w:val="6E8E12EF"/>
    <w:rsid w:val="6E986C02"/>
    <w:rsid w:val="6EF2535F"/>
    <w:rsid w:val="6F101C89"/>
    <w:rsid w:val="6F1572A0"/>
    <w:rsid w:val="6F1E7F02"/>
    <w:rsid w:val="6F307C36"/>
    <w:rsid w:val="6F3B4F58"/>
    <w:rsid w:val="6F467982"/>
    <w:rsid w:val="6F723A22"/>
    <w:rsid w:val="6F834209"/>
    <w:rsid w:val="6FC84312"/>
    <w:rsid w:val="6FF2313D"/>
    <w:rsid w:val="701A6521"/>
    <w:rsid w:val="70613C5D"/>
    <w:rsid w:val="706C74BC"/>
    <w:rsid w:val="70840239"/>
    <w:rsid w:val="70875F7B"/>
    <w:rsid w:val="70912956"/>
    <w:rsid w:val="709B37D5"/>
    <w:rsid w:val="70CD27F5"/>
    <w:rsid w:val="7101188A"/>
    <w:rsid w:val="710120DD"/>
    <w:rsid w:val="715E0A8A"/>
    <w:rsid w:val="716D33C3"/>
    <w:rsid w:val="718B55F7"/>
    <w:rsid w:val="71D43752"/>
    <w:rsid w:val="728A3B01"/>
    <w:rsid w:val="730218E9"/>
    <w:rsid w:val="732301DD"/>
    <w:rsid w:val="733311C7"/>
    <w:rsid w:val="7338355D"/>
    <w:rsid w:val="735E6F5F"/>
    <w:rsid w:val="73832A2A"/>
    <w:rsid w:val="739C1D3D"/>
    <w:rsid w:val="73B54BAD"/>
    <w:rsid w:val="73CC5264"/>
    <w:rsid w:val="73DD6243"/>
    <w:rsid w:val="73F1582C"/>
    <w:rsid w:val="746C1710"/>
    <w:rsid w:val="749C4185"/>
    <w:rsid w:val="74BD3F1C"/>
    <w:rsid w:val="74F3204B"/>
    <w:rsid w:val="754E2CB3"/>
    <w:rsid w:val="757A7E5C"/>
    <w:rsid w:val="7581725F"/>
    <w:rsid w:val="75C94E2C"/>
    <w:rsid w:val="75CB690A"/>
    <w:rsid w:val="75DA2C18"/>
    <w:rsid w:val="75F02C27"/>
    <w:rsid w:val="768A185E"/>
    <w:rsid w:val="76984A3E"/>
    <w:rsid w:val="76B47D3D"/>
    <w:rsid w:val="76B949B4"/>
    <w:rsid w:val="76EC6B38"/>
    <w:rsid w:val="775319EF"/>
    <w:rsid w:val="779D7E32"/>
    <w:rsid w:val="77A422D7"/>
    <w:rsid w:val="77CE623E"/>
    <w:rsid w:val="77E029D6"/>
    <w:rsid w:val="77EB3293"/>
    <w:rsid w:val="77F40FD8"/>
    <w:rsid w:val="782E0677"/>
    <w:rsid w:val="785904E4"/>
    <w:rsid w:val="785B5D23"/>
    <w:rsid w:val="78882890"/>
    <w:rsid w:val="78933EE1"/>
    <w:rsid w:val="789D253F"/>
    <w:rsid w:val="78AC2A23"/>
    <w:rsid w:val="78F1006F"/>
    <w:rsid w:val="790F1C77"/>
    <w:rsid w:val="79295E21"/>
    <w:rsid w:val="79A100AE"/>
    <w:rsid w:val="79A33E26"/>
    <w:rsid w:val="79D0629D"/>
    <w:rsid w:val="79D86C95"/>
    <w:rsid w:val="7A0C55ED"/>
    <w:rsid w:val="7A2860D9"/>
    <w:rsid w:val="7A287E87"/>
    <w:rsid w:val="7A67303B"/>
    <w:rsid w:val="7A91196A"/>
    <w:rsid w:val="7A9B68AB"/>
    <w:rsid w:val="7A9D011A"/>
    <w:rsid w:val="7AAB1D04"/>
    <w:rsid w:val="7ABA4368"/>
    <w:rsid w:val="7AE1673D"/>
    <w:rsid w:val="7AF34939"/>
    <w:rsid w:val="7AF5229F"/>
    <w:rsid w:val="7B257FFD"/>
    <w:rsid w:val="7B445194"/>
    <w:rsid w:val="7BCA520E"/>
    <w:rsid w:val="7BF34866"/>
    <w:rsid w:val="7C164ACD"/>
    <w:rsid w:val="7C2B1DA5"/>
    <w:rsid w:val="7C3133BB"/>
    <w:rsid w:val="7C42064D"/>
    <w:rsid w:val="7C75137E"/>
    <w:rsid w:val="7C9B4F80"/>
    <w:rsid w:val="7CB71996"/>
    <w:rsid w:val="7CB95520"/>
    <w:rsid w:val="7CDB4495"/>
    <w:rsid w:val="7D311748"/>
    <w:rsid w:val="7D360B0D"/>
    <w:rsid w:val="7D6A07B6"/>
    <w:rsid w:val="7D6F313C"/>
    <w:rsid w:val="7DCF4ABD"/>
    <w:rsid w:val="7DF4317E"/>
    <w:rsid w:val="7E4548DE"/>
    <w:rsid w:val="7E64308B"/>
    <w:rsid w:val="7E6D06C4"/>
    <w:rsid w:val="7E7E09BD"/>
    <w:rsid w:val="7EA67F14"/>
    <w:rsid w:val="7ED11BD4"/>
    <w:rsid w:val="7EDE145C"/>
    <w:rsid w:val="7EFE1AFE"/>
    <w:rsid w:val="7F0352A6"/>
    <w:rsid w:val="7F141322"/>
    <w:rsid w:val="7F3472CE"/>
    <w:rsid w:val="7F56232B"/>
    <w:rsid w:val="7F833DB1"/>
    <w:rsid w:val="7F842003"/>
    <w:rsid w:val="7FD12A7E"/>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6"/>
        <o:r id="V:Rule9" type="connector" idref="#_x0000_s1040"/>
        <o:r id="V:Rule10" type="connector" idref="#_x0000_s1041"/>
        <o:r id="V:Rule11" type="connector" idref="#_x0000_s1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614"/>
    <w:autoRedefine/>
    <w:semiHidden/>
    <w:qFormat/>
    <w:uiPriority w:val="0"/>
    <w:rPr>
      <w:sz w:val="18"/>
      <w:szCs w:val="18"/>
    </w:rPr>
  </w:style>
  <w:style w:type="paragraph" w:styleId="17">
    <w:name w:val="toc 8"/>
    <w:basedOn w:val="1"/>
    <w:next w:val="1"/>
    <w:autoRedefine/>
    <w:qFormat/>
    <w:uiPriority w:val="0"/>
    <w:pPr>
      <w:ind w:left="2940" w:leftChars="1400"/>
    </w:p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autoRedefine/>
    <w:qFormat/>
    <w:uiPriority w:val="0"/>
    <w:pPr>
      <w:ind w:firstLine="420"/>
    </w:pPr>
    <w:rPr>
      <w:szCs w:val="20"/>
    </w:rPr>
  </w:style>
  <w:style w:type="paragraph" w:styleId="26">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autoRedefine/>
    <w:semiHidden/>
    <w:qFormat/>
    <w:uiPriority w:val="0"/>
    <w:pPr>
      <w:ind w:left="600" w:leftChars="600"/>
    </w:p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488"/>
    <w:autoRedefine/>
    <w:qFormat/>
    <w:uiPriority w:val="0"/>
    <w:rPr>
      <w:rFonts w:ascii="宋体" w:hAnsi="Courier New"/>
      <w:szCs w:val="20"/>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597"/>
    <w:autoRedefine/>
    <w:qFormat/>
    <w:uiPriority w:val="0"/>
    <w:pPr>
      <w:ind w:left="100" w:leftChars="2500"/>
    </w:pPr>
    <w:rPr>
      <w:rFonts w:ascii="宋体"/>
      <w:sz w:val="24"/>
      <w:szCs w:val="21"/>
      <w:lang w:val="zh-CN"/>
    </w:rPr>
  </w:style>
  <w:style w:type="paragraph" w:styleId="38">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2"/>
    <w:basedOn w:val="26"/>
    <w:next w:val="25"/>
    <w:link w:val="501"/>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2"/>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6"/>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6"/>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6"/>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Lines="50"/>
      <w:ind w:firstLine="200" w:firstLineChars="200"/>
    </w:pPr>
    <w:rPr>
      <w:kern w:val="0"/>
      <w:sz w:val="24"/>
      <w:szCs w:val="20"/>
    </w:rPr>
  </w:style>
  <w:style w:type="paragraph" w:customStyle="1" w:styleId="33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5"/>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2"/>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字符"/>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3"/>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字符"/>
    <w:link w:val="10"/>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字符"/>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字符"/>
    <w:link w:val="26"/>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字符"/>
    <w:link w:val="9"/>
    <w:autoRedefine/>
    <w:qFormat/>
    <w:uiPriority w:val="0"/>
    <w:rPr>
      <w:b/>
      <w:bCs/>
      <w:kern w:val="2"/>
      <w:sz w:val="24"/>
      <w:szCs w:val="24"/>
    </w:rPr>
  </w:style>
  <w:style w:type="character" w:customStyle="1" w:styleId="481">
    <w:name w:val="称呼 字符"/>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字符"/>
    <w:link w:val="46"/>
    <w:autoRedefine/>
    <w:qFormat/>
    <w:uiPriority w:val="0"/>
    <w:rPr>
      <w:rFonts w:ascii="Arial" w:hAnsi="Arial" w:eastAsia="隶书"/>
      <w:b/>
      <w:bCs/>
      <w:kern w:val="28"/>
      <w:sz w:val="44"/>
      <w:szCs w:val="32"/>
      <w:lang w:val="en-US" w:eastAsia="zh-CN" w:bidi="ar-SA"/>
    </w:rPr>
  </w:style>
  <w:style w:type="character" w:customStyle="1" w:styleId="488">
    <w:name w:val="纯文本 字符"/>
    <w:link w:val="35"/>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文本首行缩进 2 字符"/>
    <w:link w:val="60"/>
    <w:autoRedefine/>
    <w:qFormat/>
    <w:uiPriority w:val="0"/>
    <w:rPr>
      <w:rFonts w:ascii="宋体" w:hAnsi="宋体"/>
      <w:kern w:val="2"/>
      <w:sz w:val="21"/>
      <w:szCs w:val="24"/>
    </w:rPr>
  </w:style>
  <w:style w:type="character" w:customStyle="1" w:styleId="502">
    <w:name w:val="正文文本缩进 2 字符"/>
    <w:link w:val="38"/>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4"/>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字符"/>
    <w:link w:val="11"/>
    <w:autoRedefine/>
    <w:qFormat/>
    <w:uiPriority w:val="0"/>
    <w:rPr>
      <w:rFonts w:ascii="Arial" w:hAnsi="Arial" w:eastAsia="黑体"/>
      <w:kern w:val="2"/>
      <w:sz w:val="21"/>
      <w:szCs w:val="21"/>
    </w:rPr>
  </w:style>
  <w:style w:type="character" w:customStyle="1" w:styleId="519">
    <w:name w:val="md"/>
    <w:basedOn w:val="63"/>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basedOn w:val="63"/>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3"/>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字符"/>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文本首行缩进 字符"/>
    <w:link w:val="25"/>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字符"/>
    <w:link w:val="3"/>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字符"/>
    <w:link w:val="31"/>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字符"/>
    <w:link w:val="7"/>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3"/>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字符"/>
    <w:link w:val="23"/>
    <w:autoRedefine/>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字符"/>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3"/>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字符"/>
    <w:link w:val="37"/>
    <w:autoRedefine/>
    <w:qFormat/>
    <w:uiPriority w:val="0"/>
    <w:rPr>
      <w:rFonts w:ascii="宋体"/>
      <w:kern w:val="2"/>
      <w:sz w:val="24"/>
      <w:szCs w:val="21"/>
      <w:lang w:val="zh-CN"/>
    </w:rPr>
  </w:style>
  <w:style w:type="character" w:customStyle="1" w:styleId="598">
    <w:name w:val="标题 4 字符"/>
    <w:link w:val="6"/>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字符"/>
    <w:link w:val="8"/>
    <w:autoRedefine/>
    <w:qFormat/>
    <w:uiPriority w:val="0"/>
    <w:rPr>
      <w:rFonts w:ascii="Arial" w:hAnsi="Arial" w:eastAsia="黑体"/>
      <w:b/>
      <w:bCs/>
      <w:kern w:val="2"/>
      <w:sz w:val="24"/>
      <w:szCs w:val="24"/>
    </w:rPr>
  </w:style>
  <w:style w:type="character" w:customStyle="1" w:styleId="612">
    <w:name w:val="正文缩进 字符"/>
    <w:link w:val="2"/>
    <w:autoRedefine/>
    <w:qFormat/>
    <w:uiPriority w:val="0"/>
    <w:rPr>
      <w:rFonts w:ascii="宋体" w:eastAsia="宋体"/>
      <w:snapToGrid w:val="0"/>
      <w:color w:val="000000"/>
      <w:kern w:val="28"/>
      <w:sz w:val="28"/>
      <w:lang w:val="en-US" w:eastAsia="zh-CN" w:bidi="ar-SA"/>
    </w:rPr>
  </w:style>
  <w:style w:type="character" w:customStyle="1" w:styleId="613">
    <w:name w:val="批注文字 字符"/>
    <w:link w:val="21"/>
    <w:autoRedefine/>
    <w:qFormat/>
    <w:uiPriority w:val="99"/>
    <w:rPr>
      <w:kern w:val="2"/>
      <w:sz w:val="21"/>
      <w:szCs w:val="24"/>
    </w:rPr>
  </w:style>
  <w:style w:type="character" w:customStyle="1" w:styleId="614">
    <w:name w:val="批注框文本 字符"/>
    <w:link w:val="16"/>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620"/>
    <w:link w:val="621"/>
    <w:autoRedefine/>
    <w:qFormat/>
    <w:uiPriority w:val="0"/>
    <w:rPr>
      <w:rFonts w:ascii="宋体" w:hAnsi="Courier New"/>
      <w:szCs w:val="21"/>
    </w:rPr>
  </w:style>
  <w:style w:type="paragraph" w:customStyle="1" w:styleId="62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1">
    <w:name w:val="纯文本 Char_0"/>
    <w:link w:val="619"/>
    <w:autoRedefine/>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Fließtext"/>
    <w:basedOn w:val="1"/>
    <w:autoRedefine/>
    <w:qFormat/>
    <w:uiPriority w:val="0"/>
    <w:pPr>
      <w:overflowPunct w:val="0"/>
      <w:autoSpaceDE w:val="0"/>
      <w:autoSpaceDN w:val="0"/>
      <w:textAlignment w:val="baseline"/>
    </w:pPr>
    <w:rPr>
      <w:kern w:val="28"/>
      <w:szCs w:val="20"/>
    </w:rPr>
  </w:style>
  <w:style w:type="paragraph" w:customStyle="1" w:styleId="633">
    <w:name w:val="Table Paragraph"/>
    <w:basedOn w:val="1"/>
    <w:autoRedefine/>
    <w:qFormat/>
    <w:uiPriority w:val="99"/>
    <w:pPr>
      <w:adjustRightInd/>
      <w:jc w:val="left"/>
    </w:pPr>
    <w:rPr>
      <w:rFonts w:ascii="Calibri" w:hAnsi="Calibri" w:cs="Calibri"/>
      <w:kern w:val="0"/>
      <w:sz w:val="22"/>
      <w:szCs w:val="22"/>
      <w:lang w:eastAsia="en-US"/>
    </w:rPr>
  </w:style>
  <w:style w:type="character" w:customStyle="1" w:styleId="634">
    <w:name w:val="font71"/>
    <w:basedOn w:val="63"/>
    <w:autoRedefine/>
    <w:qFormat/>
    <w:uiPriority w:val="0"/>
    <w:rPr>
      <w:rFonts w:hint="eastAsia" w:ascii="宋体" w:hAnsi="宋体" w:eastAsia="宋体" w:cs="宋体"/>
      <w:color w:val="FF0000"/>
      <w:sz w:val="18"/>
      <w:szCs w:val="18"/>
      <w:u w:val="none"/>
    </w:rPr>
  </w:style>
  <w:style w:type="character" w:customStyle="1" w:styleId="635">
    <w:name w:val="font91"/>
    <w:basedOn w:val="63"/>
    <w:autoRedefine/>
    <w:qFormat/>
    <w:uiPriority w:val="0"/>
    <w:rPr>
      <w:rFonts w:ascii="Arial" w:hAnsi="Arial" w:cs="Arial"/>
      <w:color w:val="000000"/>
      <w:sz w:val="18"/>
      <w:szCs w:val="18"/>
      <w:u w:val="none"/>
    </w:rPr>
  </w:style>
  <w:style w:type="character" w:customStyle="1" w:styleId="636">
    <w:name w:val="font31"/>
    <w:basedOn w:val="63"/>
    <w:autoRedefine/>
    <w:qFormat/>
    <w:uiPriority w:val="0"/>
    <w:rPr>
      <w:rFonts w:hint="eastAsia" w:ascii="宋体" w:hAnsi="宋体" w:eastAsia="宋体" w:cs="宋体"/>
      <w:color w:val="000000"/>
      <w:sz w:val="24"/>
      <w:szCs w:val="24"/>
      <w:u w:val="none"/>
    </w:rPr>
  </w:style>
  <w:style w:type="table" w:customStyle="1" w:styleId="637">
    <w:name w:val="Table Normal"/>
    <w:autoRedefine/>
    <w:semiHidden/>
    <w:unhideWhenUsed/>
    <w:qFormat/>
    <w:uiPriority w:val="0"/>
    <w:tblPr>
      <w:tblCellMar>
        <w:top w:w="0" w:type="dxa"/>
        <w:left w:w="0" w:type="dxa"/>
        <w:bottom w:w="0" w:type="dxa"/>
        <w:right w:w="0" w:type="dxa"/>
      </w:tblCellMar>
    </w:tblPr>
  </w:style>
  <w:style w:type="paragraph" w:customStyle="1" w:styleId="638">
    <w:name w:val="[Normal]"/>
    <w:basedOn w:val="1"/>
    <w:autoRedefine/>
    <w:qFormat/>
    <w:uiPriority w:val="0"/>
    <w:pPr>
      <w:widowControl/>
      <w:jc w:val="left"/>
    </w:pPr>
    <w:rPr>
      <w:rFonts w:ascii="宋体" w:hAnsi="宋体" w:cs="宋体"/>
      <w:kern w:val="0"/>
      <w:sz w:val="24"/>
    </w:rPr>
  </w:style>
  <w:style w:type="paragraph" w:customStyle="1" w:styleId="639">
    <w:name w:val="msolistparagraph"/>
    <w:basedOn w:val="1"/>
    <w:qFormat/>
    <w:uiPriority w:val="0"/>
    <w:pPr>
      <w:ind w:firstLine="420" w:firstLineChars="200"/>
    </w:pPr>
    <w:rPr>
      <w:rFonts w:ascii="Calibri" w:hAnsi="Calibri"/>
      <w:szCs w:val="21"/>
    </w:rPr>
  </w:style>
  <w:style w:type="paragraph" w:customStyle="1" w:styleId="640">
    <w:name w:val="（1）1级序号"/>
    <w:basedOn w:val="1"/>
    <w:autoRedefine/>
    <w:qFormat/>
    <w:uiPriority w:val="0"/>
    <w:pPr>
      <w:adjustRightInd/>
      <w:spacing w:line="360" w:lineRule="auto"/>
      <w:ind w:left="420"/>
    </w:pPr>
    <w:rPr>
      <w:rFonts w:ascii="宋体" w:hAnsi="宋体"/>
      <w:sz w:val="24"/>
      <w:lang w:val="zh-CN"/>
    </w:rPr>
  </w:style>
  <w:style w:type="paragraph" w:customStyle="1" w:styleId="641">
    <w:name w:val="列表段落1"/>
    <w:basedOn w:val="1"/>
    <w:autoRedefine/>
    <w:qFormat/>
    <w:uiPriority w:val="34"/>
    <w:pPr>
      <w:adjustRightInd/>
      <w:spacing w:line="360" w:lineRule="auto"/>
      <w:ind w:right="238" w:firstLine="480"/>
      <w:jc w:val="left"/>
      <w:outlineLvl w:val="0"/>
    </w:pPr>
    <w:rPr>
      <w:rFonts w:ascii="仿宋" w:hAnsi="仿宋" w:eastAsia="仿宋" w:cs="仿宋"/>
      <w:bCs/>
      <w:color w:val="FF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1026"/>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34917</Words>
  <Characters>37349</Characters>
  <Lines>350</Lines>
  <Paragraphs>98</Paragraphs>
  <TotalTime>3</TotalTime>
  <ScaleCrop>false</ScaleCrop>
  <LinksUpToDate>false</LinksUpToDate>
  <CharactersWithSpaces>42294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十二°</cp:lastModifiedBy>
  <cp:lastPrinted>2024-03-25T01:52:00Z</cp:lastPrinted>
  <dcterms:modified xsi:type="dcterms:W3CDTF">2024-05-17T00:48:25Z</dcterms:modified>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697BEC84EB6445919DDBFF4A4CF921BC_13</vt:lpwstr>
  </property>
</Properties>
</file>