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777374">
      <w:pPr>
        <w:spacing w:line="360" w:lineRule="auto"/>
        <w:ind w:right="42" w:rightChars="20"/>
        <w:jc w:val="center"/>
        <w:rPr>
          <w:rFonts w:asciiTheme="minorEastAsia" w:hAnsiTheme="minorEastAsia" w:eastAsiaTheme="minorEastAsia"/>
          <w:b/>
          <w:bCs/>
          <w:color w:val="auto"/>
          <w:sz w:val="36"/>
          <w:szCs w:val="36"/>
          <w:highlight w:val="none"/>
        </w:rPr>
      </w:pPr>
    </w:p>
    <w:p w14:paraId="5B7B998D">
      <w:pPr>
        <w:spacing w:line="360" w:lineRule="auto"/>
        <w:ind w:right="42" w:rightChars="20"/>
        <w:jc w:val="center"/>
        <w:rPr>
          <w:rFonts w:hint="eastAsia" w:asciiTheme="minorEastAsia" w:hAnsiTheme="minorEastAsia" w:eastAsiaTheme="minorEastAsia"/>
          <w:b/>
          <w:bCs/>
          <w:color w:val="auto"/>
          <w:sz w:val="36"/>
          <w:szCs w:val="36"/>
          <w:highlight w:val="none"/>
          <w:lang w:eastAsia="zh-CN"/>
        </w:rPr>
      </w:pPr>
      <w:r>
        <w:rPr>
          <w:rFonts w:hint="eastAsia" w:asciiTheme="minorEastAsia" w:hAnsiTheme="minorEastAsia" w:eastAsiaTheme="minorEastAsia"/>
          <w:b/>
          <w:bCs/>
          <w:color w:val="auto"/>
          <w:sz w:val="36"/>
          <w:szCs w:val="36"/>
          <w:highlight w:val="none"/>
          <w:lang w:eastAsia="zh-CN"/>
        </w:rPr>
        <w:t>秀洲区2025年度白蚁等害堤动物防治项目</w:t>
      </w:r>
    </w:p>
    <w:p w14:paraId="5099CC53">
      <w:pPr>
        <w:spacing w:line="360" w:lineRule="auto"/>
        <w:ind w:right="42" w:rightChars="20"/>
        <w:jc w:val="center"/>
        <w:rPr>
          <w:rFonts w:asciiTheme="minorEastAsia" w:hAnsiTheme="minorEastAsia" w:eastAsiaTheme="minorEastAsia"/>
          <w:color w:val="auto"/>
          <w:sz w:val="36"/>
          <w:szCs w:val="36"/>
          <w:highlight w:val="none"/>
        </w:rPr>
      </w:pPr>
      <w:r>
        <w:rPr>
          <w:rFonts w:hint="eastAsia" w:asciiTheme="minorEastAsia" w:hAnsiTheme="minorEastAsia" w:eastAsiaTheme="minorEastAsia"/>
          <w:b/>
          <w:bCs/>
          <w:color w:val="auto"/>
          <w:sz w:val="36"/>
          <w:szCs w:val="36"/>
          <w:highlight w:val="none"/>
        </w:rPr>
        <w:t>（线上电子招投标）</w:t>
      </w:r>
    </w:p>
    <w:p w14:paraId="1C9DC507">
      <w:pPr>
        <w:pStyle w:val="101"/>
        <w:rPr>
          <w:color w:val="auto"/>
          <w:highlight w:val="none"/>
        </w:rPr>
      </w:pPr>
    </w:p>
    <w:p w14:paraId="6D7AD697">
      <w:pPr>
        <w:spacing w:line="360" w:lineRule="auto"/>
        <w:ind w:right="42" w:rightChars="20"/>
        <w:jc w:val="center"/>
        <w:rPr>
          <w:rFonts w:asciiTheme="minorEastAsia" w:hAnsiTheme="minorEastAsia" w:eastAsiaTheme="minorEastAsia"/>
          <w:b/>
          <w:color w:val="auto"/>
          <w:sz w:val="52"/>
          <w:szCs w:val="52"/>
          <w:highlight w:val="none"/>
        </w:rPr>
      </w:pPr>
      <w:r>
        <w:rPr>
          <w:rFonts w:hint="eastAsia" w:asciiTheme="minorEastAsia" w:hAnsiTheme="minorEastAsia" w:eastAsiaTheme="minorEastAsia"/>
          <w:b/>
          <w:color w:val="auto"/>
          <w:sz w:val="52"/>
          <w:szCs w:val="52"/>
          <w:highlight w:val="none"/>
        </w:rPr>
        <w:t>公</w:t>
      </w:r>
    </w:p>
    <w:p w14:paraId="0D231D01">
      <w:pPr>
        <w:spacing w:line="360" w:lineRule="auto"/>
        <w:ind w:right="42" w:rightChars="20"/>
        <w:jc w:val="center"/>
        <w:rPr>
          <w:rFonts w:asciiTheme="minorEastAsia" w:hAnsiTheme="minorEastAsia" w:eastAsiaTheme="minorEastAsia"/>
          <w:b/>
          <w:color w:val="auto"/>
          <w:sz w:val="52"/>
          <w:szCs w:val="52"/>
          <w:highlight w:val="none"/>
        </w:rPr>
      </w:pPr>
      <w:r>
        <w:rPr>
          <w:rFonts w:hint="eastAsia" w:asciiTheme="minorEastAsia" w:hAnsiTheme="minorEastAsia" w:eastAsiaTheme="minorEastAsia"/>
          <w:b/>
          <w:color w:val="auto"/>
          <w:sz w:val="52"/>
          <w:szCs w:val="52"/>
          <w:highlight w:val="none"/>
        </w:rPr>
        <w:t>开</w:t>
      </w:r>
    </w:p>
    <w:p w14:paraId="7208BFF9">
      <w:pPr>
        <w:spacing w:line="360" w:lineRule="auto"/>
        <w:ind w:right="42" w:rightChars="20"/>
        <w:jc w:val="center"/>
        <w:rPr>
          <w:rFonts w:asciiTheme="minorEastAsia" w:hAnsiTheme="minorEastAsia" w:eastAsiaTheme="minorEastAsia"/>
          <w:b/>
          <w:color w:val="auto"/>
          <w:sz w:val="52"/>
          <w:szCs w:val="52"/>
          <w:highlight w:val="none"/>
        </w:rPr>
      </w:pPr>
      <w:r>
        <w:rPr>
          <w:rFonts w:hint="eastAsia" w:asciiTheme="minorEastAsia" w:hAnsiTheme="minorEastAsia" w:eastAsiaTheme="minorEastAsia"/>
          <w:b/>
          <w:color w:val="auto"/>
          <w:sz w:val="52"/>
          <w:szCs w:val="52"/>
          <w:highlight w:val="none"/>
        </w:rPr>
        <w:t>招</w:t>
      </w:r>
    </w:p>
    <w:p w14:paraId="0A9A79BC">
      <w:pPr>
        <w:spacing w:line="360" w:lineRule="auto"/>
        <w:ind w:right="42" w:rightChars="20"/>
        <w:jc w:val="center"/>
        <w:rPr>
          <w:rFonts w:asciiTheme="minorEastAsia" w:hAnsiTheme="minorEastAsia" w:eastAsiaTheme="minorEastAsia"/>
          <w:b/>
          <w:color w:val="auto"/>
          <w:sz w:val="52"/>
          <w:szCs w:val="52"/>
          <w:highlight w:val="none"/>
        </w:rPr>
      </w:pPr>
      <w:r>
        <w:rPr>
          <w:rFonts w:hint="eastAsia" w:asciiTheme="minorEastAsia" w:hAnsiTheme="minorEastAsia" w:eastAsiaTheme="minorEastAsia"/>
          <w:b/>
          <w:color w:val="auto"/>
          <w:sz w:val="52"/>
          <w:szCs w:val="52"/>
          <w:highlight w:val="none"/>
        </w:rPr>
        <w:t>标</w:t>
      </w:r>
    </w:p>
    <w:p w14:paraId="75C48814">
      <w:pPr>
        <w:spacing w:line="360" w:lineRule="auto"/>
        <w:ind w:right="42" w:rightChars="20"/>
        <w:jc w:val="center"/>
        <w:rPr>
          <w:rFonts w:asciiTheme="minorEastAsia" w:hAnsiTheme="minorEastAsia" w:eastAsiaTheme="minorEastAsia"/>
          <w:b/>
          <w:color w:val="auto"/>
          <w:sz w:val="52"/>
          <w:szCs w:val="52"/>
          <w:highlight w:val="none"/>
        </w:rPr>
      </w:pPr>
      <w:r>
        <w:rPr>
          <w:rFonts w:hint="eastAsia" w:asciiTheme="minorEastAsia" w:hAnsiTheme="minorEastAsia" w:eastAsiaTheme="minorEastAsia"/>
          <w:b/>
          <w:color w:val="auto"/>
          <w:sz w:val="52"/>
          <w:szCs w:val="52"/>
          <w:highlight w:val="none"/>
        </w:rPr>
        <w:t>文</w:t>
      </w:r>
    </w:p>
    <w:p w14:paraId="0FE0F6D3">
      <w:pPr>
        <w:spacing w:line="360" w:lineRule="auto"/>
        <w:ind w:right="42" w:rightChars="20"/>
        <w:jc w:val="center"/>
        <w:rPr>
          <w:rFonts w:asciiTheme="minorEastAsia" w:hAnsiTheme="minorEastAsia" w:eastAsiaTheme="minorEastAsia"/>
          <w:b/>
          <w:color w:val="auto"/>
          <w:sz w:val="52"/>
          <w:szCs w:val="52"/>
          <w:highlight w:val="none"/>
        </w:rPr>
      </w:pPr>
      <w:r>
        <w:rPr>
          <w:rFonts w:hint="eastAsia" w:asciiTheme="minorEastAsia" w:hAnsiTheme="minorEastAsia" w:eastAsiaTheme="minorEastAsia"/>
          <w:b/>
          <w:color w:val="auto"/>
          <w:sz w:val="52"/>
          <w:szCs w:val="52"/>
          <w:highlight w:val="none"/>
        </w:rPr>
        <w:t>件</w:t>
      </w:r>
    </w:p>
    <w:p w14:paraId="055EE6DF">
      <w:pPr>
        <w:pStyle w:val="101"/>
        <w:rPr>
          <w:color w:val="auto"/>
          <w:highlight w:val="none"/>
        </w:rPr>
      </w:pPr>
    </w:p>
    <w:p w14:paraId="2DAD3805">
      <w:pPr>
        <w:pStyle w:val="21"/>
        <w:spacing w:after="0" w:line="360" w:lineRule="auto"/>
        <w:ind w:right="42" w:rightChars="20"/>
        <w:rPr>
          <w:rFonts w:asciiTheme="minorEastAsia" w:hAnsiTheme="minorEastAsia" w:eastAsiaTheme="minorEastAsia"/>
          <w:color w:val="auto"/>
          <w:sz w:val="28"/>
          <w:szCs w:val="28"/>
          <w:highlight w:val="none"/>
        </w:rPr>
      </w:pPr>
    </w:p>
    <w:p w14:paraId="42202054">
      <w:pPr>
        <w:pStyle w:val="27"/>
        <w:spacing w:line="360" w:lineRule="auto"/>
        <w:ind w:right="42" w:rightChars="20" w:firstLine="1068" w:firstLineChars="400"/>
        <w:jc w:val="left"/>
        <w:rPr>
          <w:rFonts w:hint="eastAsia" w:asciiTheme="minorEastAsia" w:hAnsiTheme="minorEastAsia" w:eastAsiaTheme="minorEastAsia"/>
          <w:b/>
          <w:bCs/>
          <w:color w:val="auto"/>
          <w:w w:val="95"/>
          <w:sz w:val="28"/>
          <w:szCs w:val="28"/>
          <w:highlight w:val="none"/>
          <w:lang w:eastAsia="zh-CN"/>
        </w:rPr>
      </w:pPr>
      <w:r>
        <w:rPr>
          <w:rFonts w:hint="eastAsia" w:asciiTheme="minorEastAsia" w:hAnsiTheme="minorEastAsia" w:eastAsiaTheme="minorEastAsia"/>
          <w:b/>
          <w:bCs/>
          <w:color w:val="auto"/>
          <w:w w:val="95"/>
          <w:sz w:val="28"/>
          <w:szCs w:val="28"/>
          <w:highlight w:val="none"/>
        </w:rPr>
        <w:t>招标编号：</w:t>
      </w:r>
      <w:r>
        <w:rPr>
          <w:rFonts w:hint="eastAsia" w:asciiTheme="minorEastAsia" w:hAnsiTheme="minorEastAsia" w:eastAsiaTheme="minorEastAsia"/>
          <w:b/>
          <w:color w:val="auto"/>
          <w:sz w:val="28"/>
          <w:szCs w:val="28"/>
          <w:highlight w:val="none"/>
          <w:lang w:eastAsia="zh-CN"/>
        </w:rPr>
        <w:t>大地-DDZX-JX（2025）第83号</w:t>
      </w:r>
    </w:p>
    <w:p w14:paraId="06CBCDDA">
      <w:pPr>
        <w:pStyle w:val="27"/>
        <w:spacing w:line="360" w:lineRule="auto"/>
        <w:ind w:right="42" w:rightChars="20" w:firstLine="1068" w:firstLineChars="400"/>
        <w:jc w:val="left"/>
        <w:rPr>
          <w:rFonts w:asciiTheme="minorEastAsia" w:hAnsiTheme="minorEastAsia" w:eastAsiaTheme="minorEastAsia"/>
          <w:b/>
          <w:bCs/>
          <w:color w:val="auto"/>
          <w:w w:val="95"/>
          <w:sz w:val="28"/>
          <w:szCs w:val="28"/>
          <w:highlight w:val="none"/>
        </w:rPr>
      </w:pPr>
      <w:r>
        <w:rPr>
          <w:rFonts w:hint="eastAsia" w:asciiTheme="minorEastAsia" w:hAnsiTheme="minorEastAsia" w:eastAsiaTheme="minorEastAsia"/>
          <w:b/>
          <w:bCs/>
          <w:color w:val="auto"/>
          <w:w w:val="95"/>
          <w:sz w:val="28"/>
          <w:szCs w:val="28"/>
          <w:highlight w:val="none"/>
        </w:rPr>
        <w:t>采购单位：</w:t>
      </w:r>
      <w:r>
        <w:rPr>
          <w:rFonts w:hint="eastAsia" w:asciiTheme="minorEastAsia" w:hAnsiTheme="minorEastAsia" w:eastAsiaTheme="minorEastAsia"/>
          <w:b/>
          <w:color w:val="auto"/>
          <w:sz w:val="28"/>
          <w:szCs w:val="28"/>
          <w:highlight w:val="none"/>
          <w:lang w:eastAsia="zh-CN"/>
        </w:rPr>
        <w:t>嘉兴市秀洲区农业农村和水利局</w:t>
      </w:r>
      <w:r>
        <w:rPr>
          <w:rFonts w:hint="eastAsia" w:asciiTheme="minorEastAsia" w:hAnsiTheme="minorEastAsia" w:eastAsiaTheme="minorEastAsia"/>
          <w:b/>
          <w:color w:val="auto"/>
          <w:sz w:val="28"/>
          <w:szCs w:val="28"/>
          <w:highlight w:val="none"/>
        </w:rPr>
        <w:t xml:space="preserve">  </w:t>
      </w:r>
    </w:p>
    <w:p w14:paraId="1BD37556">
      <w:pPr>
        <w:pStyle w:val="27"/>
        <w:spacing w:line="360" w:lineRule="auto"/>
        <w:ind w:right="42" w:rightChars="20" w:firstLine="1068" w:firstLineChars="400"/>
        <w:jc w:val="left"/>
        <w:rPr>
          <w:rFonts w:asciiTheme="minorEastAsia" w:hAnsiTheme="minorEastAsia" w:eastAsiaTheme="minorEastAsia"/>
          <w:b/>
          <w:bCs/>
          <w:color w:val="auto"/>
          <w:w w:val="95"/>
          <w:sz w:val="28"/>
          <w:szCs w:val="28"/>
          <w:highlight w:val="none"/>
        </w:rPr>
      </w:pPr>
      <w:r>
        <w:rPr>
          <w:rFonts w:hint="eastAsia" w:asciiTheme="minorEastAsia" w:hAnsiTheme="minorEastAsia" w:eastAsiaTheme="minorEastAsia"/>
          <w:b/>
          <w:bCs/>
          <w:color w:val="auto"/>
          <w:w w:val="95"/>
          <w:sz w:val="28"/>
          <w:szCs w:val="28"/>
          <w:highlight w:val="none"/>
        </w:rPr>
        <w:t>代理机构：大地工程咨询有限公司</w:t>
      </w:r>
    </w:p>
    <w:p w14:paraId="477D1D98">
      <w:pPr>
        <w:pStyle w:val="27"/>
        <w:spacing w:line="360" w:lineRule="auto"/>
        <w:ind w:right="42" w:rightChars="20" w:firstLine="1068" w:firstLineChars="400"/>
        <w:jc w:val="left"/>
        <w:rPr>
          <w:rFonts w:asciiTheme="minorEastAsia" w:hAnsiTheme="minorEastAsia" w:eastAsiaTheme="minorEastAsia"/>
          <w:b/>
          <w:bCs/>
          <w:color w:val="auto"/>
          <w:w w:val="95"/>
          <w:sz w:val="28"/>
          <w:szCs w:val="28"/>
          <w:highlight w:val="none"/>
        </w:rPr>
      </w:pPr>
      <w:r>
        <w:rPr>
          <w:rFonts w:hint="eastAsia" w:asciiTheme="minorEastAsia" w:hAnsiTheme="minorEastAsia" w:eastAsiaTheme="minorEastAsia"/>
          <w:b/>
          <w:bCs/>
          <w:color w:val="auto"/>
          <w:w w:val="95"/>
          <w:sz w:val="28"/>
          <w:szCs w:val="28"/>
          <w:highlight w:val="none"/>
        </w:rPr>
        <w:t>备案单位：嘉兴市秀洲区财政局</w:t>
      </w:r>
    </w:p>
    <w:p w14:paraId="6821DD9F">
      <w:pPr>
        <w:pStyle w:val="27"/>
        <w:spacing w:line="360" w:lineRule="auto"/>
        <w:ind w:right="42" w:rightChars="20" w:firstLine="1068" w:firstLineChars="400"/>
        <w:jc w:val="left"/>
        <w:rPr>
          <w:rFonts w:asciiTheme="minorEastAsia" w:hAnsiTheme="minorEastAsia" w:eastAsiaTheme="minorEastAsia"/>
          <w:b/>
          <w:bCs/>
          <w:color w:val="auto"/>
          <w:w w:val="95"/>
          <w:sz w:val="28"/>
          <w:szCs w:val="28"/>
          <w:highlight w:val="none"/>
        </w:rPr>
      </w:pPr>
    </w:p>
    <w:p w14:paraId="5536C8DE">
      <w:pPr>
        <w:spacing w:line="360" w:lineRule="auto"/>
        <w:ind w:right="42" w:rightChars="20" w:firstLine="534" w:firstLineChars="200"/>
        <w:jc w:val="center"/>
        <w:rPr>
          <w:rFonts w:asciiTheme="minorEastAsia" w:hAnsiTheme="minorEastAsia" w:eastAsiaTheme="minorEastAsia"/>
          <w:b/>
          <w:bCs/>
          <w:color w:val="auto"/>
          <w:w w:val="95"/>
          <w:sz w:val="28"/>
          <w:szCs w:val="28"/>
          <w:highlight w:val="none"/>
        </w:rPr>
      </w:pPr>
      <w:bookmarkStart w:id="0" w:name="_Toc493511539"/>
      <w:bookmarkStart w:id="1" w:name="_Toc427915753"/>
      <w:bookmarkStart w:id="2" w:name="_Toc50012812"/>
      <w:r>
        <w:rPr>
          <w:rFonts w:hint="eastAsia" w:asciiTheme="minorEastAsia" w:hAnsiTheme="minorEastAsia" w:eastAsiaTheme="minorEastAsia"/>
          <w:b/>
          <w:bCs/>
          <w:color w:val="auto"/>
          <w:w w:val="95"/>
          <w:sz w:val="28"/>
          <w:szCs w:val="28"/>
          <w:highlight w:val="none"/>
        </w:rPr>
        <w:t>202</w:t>
      </w:r>
      <w:r>
        <w:rPr>
          <w:rFonts w:hint="eastAsia" w:asciiTheme="minorEastAsia" w:hAnsiTheme="minorEastAsia" w:eastAsiaTheme="minorEastAsia"/>
          <w:b/>
          <w:bCs/>
          <w:color w:val="auto"/>
          <w:w w:val="95"/>
          <w:sz w:val="28"/>
          <w:szCs w:val="28"/>
          <w:highlight w:val="none"/>
          <w:lang w:val="en-US" w:eastAsia="zh-CN"/>
        </w:rPr>
        <w:t>5</w:t>
      </w:r>
      <w:r>
        <w:rPr>
          <w:rFonts w:hint="eastAsia" w:asciiTheme="minorEastAsia" w:hAnsiTheme="minorEastAsia" w:eastAsiaTheme="minorEastAsia"/>
          <w:b/>
          <w:bCs/>
          <w:color w:val="auto"/>
          <w:w w:val="95"/>
          <w:sz w:val="28"/>
          <w:szCs w:val="28"/>
          <w:highlight w:val="none"/>
        </w:rPr>
        <w:t>年</w:t>
      </w:r>
      <w:bookmarkEnd w:id="0"/>
      <w:bookmarkEnd w:id="1"/>
      <w:bookmarkEnd w:id="2"/>
      <w:r>
        <w:rPr>
          <w:rFonts w:hint="eastAsia" w:asciiTheme="minorEastAsia" w:hAnsiTheme="minorEastAsia" w:eastAsiaTheme="minorEastAsia"/>
          <w:b/>
          <w:bCs/>
          <w:color w:val="auto"/>
          <w:w w:val="95"/>
          <w:sz w:val="28"/>
          <w:szCs w:val="28"/>
          <w:highlight w:val="none"/>
          <w:lang w:val="en-US" w:eastAsia="zh-CN"/>
        </w:rPr>
        <w:t>7</w:t>
      </w:r>
      <w:r>
        <w:rPr>
          <w:rFonts w:hint="eastAsia" w:asciiTheme="minorEastAsia" w:hAnsiTheme="minorEastAsia" w:eastAsiaTheme="minorEastAsia"/>
          <w:b/>
          <w:bCs/>
          <w:color w:val="auto"/>
          <w:w w:val="95"/>
          <w:sz w:val="28"/>
          <w:szCs w:val="28"/>
          <w:highlight w:val="none"/>
        </w:rPr>
        <w:t>月</w:t>
      </w:r>
    </w:p>
    <w:p w14:paraId="081F9347">
      <w:pPr>
        <w:pStyle w:val="2"/>
        <w:rPr>
          <w:color w:val="auto"/>
          <w:highlight w:val="none"/>
        </w:rPr>
      </w:pPr>
    </w:p>
    <w:p w14:paraId="533EBCE6">
      <w:pPr>
        <w:pStyle w:val="149"/>
        <w:spacing w:before="0" w:line="360" w:lineRule="auto"/>
        <w:ind w:right="42" w:rightChars="20" w:firstLine="422" w:firstLineChars="200"/>
        <w:rPr>
          <w:rFonts w:asciiTheme="minorEastAsia" w:hAnsiTheme="minorEastAsia" w:eastAsiaTheme="minorEastAsia"/>
          <w:color w:val="auto"/>
          <w:sz w:val="21"/>
          <w:szCs w:val="21"/>
          <w:highlight w:val="none"/>
          <w:lang w:val="zh-CN"/>
        </w:rPr>
        <w:sectPr>
          <w:footerReference r:id="rId3" w:type="default"/>
          <w:pgSz w:w="11906" w:h="16838"/>
          <w:pgMar w:top="1474" w:right="1842" w:bottom="1247" w:left="1797" w:header="851" w:footer="851" w:gutter="0"/>
          <w:cols w:space="720" w:num="1"/>
          <w:docGrid w:linePitch="312" w:charSpace="0"/>
        </w:sectPr>
      </w:pPr>
    </w:p>
    <w:p w14:paraId="57243DA9">
      <w:pPr>
        <w:spacing w:line="360" w:lineRule="auto"/>
        <w:ind w:right="42" w:rightChars="20"/>
        <w:rPr>
          <w:rFonts w:asciiTheme="minorEastAsia" w:hAnsiTheme="minorEastAsia" w:eastAsiaTheme="minorEastAsia"/>
          <w:color w:val="auto"/>
          <w:highlight w:val="none"/>
        </w:rPr>
      </w:pPr>
    </w:p>
    <w:p w14:paraId="6DCB2634">
      <w:pPr>
        <w:pStyle w:val="149"/>
        <w:spacing w:before="0" w:line="360" w:lineRule="auto"/>
        <w:ind w:right="42" w:rightChars="20" w:firstLine="422" w:firstLineChars="200"/>
        <w:jc w:val="center"/>
        <w:rPr>
          <w:rFonts w:asciiTheme="minorEastAsia" w:hAnsiTheme="minorEastAsia" w:eastAsiaTheme="minorEastAsia"/>
          <w:color w:val="auto"/>
          <w:sz w:val="21"/>
          <w:szCs w:val="21"/>
          <w:highlight w:val="none"/>
        </w:rPr>
      </w:pPr>
      <w:bookmarkStart w:id="3" w:name="_Toc28810"/>
      <w:r>
        <w:rPr>
          <w:rFonts w:asciiTheme="minorEastAsia" w:hAnsiTheme="minorEastAsia" w:eastAsiaTheme="minorEastAsia"/>
          <w:color w:val="auto"/>
          <w:sz w:val="21"/>
          <w:szCs w:val="21"/>
          <w:highlight w:val="none"/>
          <w:lang w:val="zh-CN"/>
        </w:rPr>
        <w:t>目录</w:t>
      </w:r>
      <w:bookmarkEnd w:id="3"/>
    </w:p>
    <w:p w14:paraId="2DDF5822">
      <w:pPr>
        <w:pStyle w:val="35"/>
        <w:tabs>
          <w:tab w:val="right" w:leader="dot" w:pos="8312"/>
        </w:tabs>
        <w:spacing w:line="360" w:lineRule="auto"/>
        <w:ind w:right="42" w:rightChars="20"/>
        <w:rPr>
          <w:rFonts w:cs="微软雅黑" w:asciiTheme="minorEastAsia" w:hAnsiTheme="minorEastAsia" w:eastAsiaTheme="minorEastAsia"/>
          <w:color w:val="auto"/>
          <w:highlight w:val="none"/>
        </w:rPr>
      </w:pPr>
      <w:r>
        <w:rPr>
          <w:rFonts w:hint="eastAsia" w:cs="微软雅黑" w:asciiTheme="minorEastAsia" w:hAnsiTheme="minorEastAsia" w:eastAsiaTheme="minorEastAsia"/>
          <w:color w:val="auto"/>
          <w:szCs w:val="21"/>
          <w:highlight w:val="none"/>
        </w:rPr>
        <w:fldChar w:fldCharType="begin"/>
      </w:r>
      <w:r>
        <w:rPr>
          <w:rFonts w:hint="eastAsia" w:cs="微软雅黑" w:asciiTheme="minorEastAsia" w:hAnsiTheme="minorEastAsia" w:eastAsiaTheme="minorEastAsia"/>
          <w:color w:val="auto"/>
          <w:szCs w:val="21"/>
          <w:highlight w:val="none"/>
        </w:rPr>
        <w:instrText xml:space="preserve"> TOC \o "1-3" \h \z \u </w:instrText>
      </w:r>
      <w:r>
        <w:rPr>
          <w:rFonts w:hint="eastAsia" w:cs="微软雅黑" w:asciiTheme="minorEastAsia" w:hAnsiTheme="minorEastAsia" w:eastAsiaTheme="minorEastAsia"/>
          <w:color w:val="auto"/>
          <w:szCs w:val="21"/>
          <w:highlight w:val="none"/>
        </w:rPr>
        <w:fldChar w:fldCharType="separate"/>
      </w:r>
    </w:p>
    <w:p w14:paraId="78D48524">
      <w:pPr>
        <w:pStyle w:val="43"/>
        <w:tabs>
          <w:tab w:val="right" w:leader="dot" w:pos="8312"/>
        </w:tabs>
        <w:spacing w:line="360" w:lineRule="auto"/>
        <w:ind w:right="42" w:rightChars="20"/>
        <w:rPr>
          <w:rFonts w:cs="微软雅黑"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"_Toc3494" </w:instrText>
      </w:r>
      <w:r>
        <w:rPr>
          <w:color w:val="auto"/>
          <w:highlight w:val="none"/>
        </w:rPr>
        <w:fldChar w:fldCharType="separate"/>
      </w:r>
      <w:r>
        <w:rPr>
          <w:rFonts w:hint="eastAsia" w:cs="微软雅黑" w:asciiTheme="minorEastAsia" w:hAnsiTheme="minorEastAsia" w:eastAsiaTheme="minorEastAsia"/>
          <w:color w:val="auto"/>
          <w:highlight w:val="none"/>
        </w:rPr>
        <w:t>第一章  公开招标采购公告</w:t>
      </w:r>
      <w:r>
        <w:rPr>
          <w:rFonts w:hint="eastAsia" w:cs="微软雅黑" w:asciiTheme="minorEastAsia" w:hAnsiTheme="minorEastAsia" w:eastAsiaTheme="minorEastAsia"/>
          <w:color w:val="auto"/>
          <w:highlight w:val="none"/>
        </w:rPr>
        <w:tab/>
      </w:r>
      <w:r>
        <w:rPr>
          <w:rFonts w:hint="eastAsia" w:cs="微软雅黑" w:asciiTheme="minorEastAsia" w:hAnsiTheme="minorEastAsia" w:eastAsiaTheme="minorEastAsia"/>
          <w:color w:val="auto"/>
          <w:highlight w:val="none"/>
        </w:rPr>
        <w:fldChar w:fldCharType="begin"/>
      </w:r>
      <w:r>
        <w:rPr>
          <w:rFonts w:hint="eastAsia" w:cs="微软雅黑" w:asciiTheme="minorEastAsia" w:hAnsiTheme="minorEastAsia" w:eastAsiaTheme="minorEastAsia"/>
          <w:color w:val="auto"/>
          <w:highlight w:val="none"/>
        </w:rPr>
        <w:instrText xml:space="preserve"> PAGEREF _Toc3494 </w:instrText>
      </w:r>
      <w:r>
        <w:rPr>
          <w:rFonts w:hint="eastAsia" w:cs="微软雅黑" w:asciiTheme="minorEastAsia" w:hAnsiTheme="minorEastAsia" w:eastAsiaTheme="minorEastAsia"/>
          <w:color w:val="auto"/>
          <w:highlight w:val="none"/>
        </w:rPr>
        <w:fldChar w:fldCharType="separate"/>
      </w:r>
      <w:r>
        <w:rPr>
          <w:rFonts w:hint="eastAsia" w:cs="微软雅黑" w:asciiTheme="minorEastAsia" w:hAnsiTheme="minorEastAsia" w:eastAsiaTheme="minorEastAsia"/>
          <w:color w:val="auto"/>
          <w:highlight w:val="none"/>
        </w:rPr>
        <w:t>3</w:t>
      </w:r>
      <w:r>
        <w:rPr>
          <w:rFonts w:hint="eastAsia" w:cs="微软雅黑" w:asciiTheme="minorEastAsia" w:hAnsiTheme="minorEastAsia" w:eastAsiaTheme="minorEastAsia"/>
          <w:color w:val="auto"/>
          <w:highlight w:val="none"/>
        </w:rPr>
        <w:fldChar w:fldCharType="end"/>
      </w:r>
      <w:r>
        <w:rPr>
          <w:rFonts w:hint="eastAsia" w:cs="微软雅黑" w:asciiTheme="minorEastAsia" w:hAnsiTheme="minorEastAsia" w:eastAsiaTheme="minorEastAsia"/>
          <w:color w:val="auto"/>
          <w:highlight w:val="none"/>
        </w:rPr>
        <w:fldChar w:fldCharType="end"/>
      </w:r>
    </w:p>
    <w:p w14:paraId="34B08BDB">
      <w:pPr>
        <w:pStyle w:val="43"/>
        <w:tabs>
          <w:tab w:val="right" w:leader="dot" w:pos="8312"/>
        </w:tabs>
        <w:spacing w:line="360" w:lineRule="auto"/>
        <w:ind w:right="42" w:rightChars="20"/>
        <w:rPr>
          <w:rFonts w:cs="微软雅黑"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"_Toc3892" </w:instrText>
      </w:r>
      <w:r>
        <w:rPr>
          <w:color w:val="auto"/>
          <w:highlight w:val="none"/>
        </w:rPr>
        <w:fldChar w:fldCharType="separate"/>
      </w:r>
      <w:r>
        <w:rPr>
          <w:rFonts w:hint="eastAsia" w:cs="微软雅黑" w:asciiTheme="minorEastAsia" w:hAnsiTheme="minorEastAsia" w:eastAsiaTheme="minorEastAsia"/>
          <w:color w:val="auto"/>
          <w:highlight w:val="none"/>
        </w:rPr>
        <w:t>第二章  采购需求</w:t>
      </w:r>
      <w:r>
        <w:rPr>
          <w:rFonts w:hint="eastAsia" w:cs="微软雅黑" w:asciiTheme="minorEastAsia" w:hAnsiTheme="minorEastAsia" w:eastAsiaTheme="minorEastAsia"/>
          <w:color w:val="auto"/>
          <w:highlight w:val="none"/>
        </w:rPr>
        <w:tab/>
      </w:r>
      <w:r>
        <w:rPr>
          <w:rFonts w:hint="eastAsia" w:cs="微软雅黑" w:asciiTheme="minorEastAsia" w:hAnsiTheme="minorEastAsia" w:eastAsiaTheme="minorEastAsia"/>
          <w:color w:val="auto"/>
          <w:highlight w:val="none"/>
        </w:rPr>
        <w:fldChar w:fldCharType="begin"/>
      </w:r>
      <w:r>
        <w:rPr>
          <w:rFonts w:hint="eastAsia" w:cs="微软雅黑" w:asciiTheme="minorEastAsia" w:hAnsiTheme="minorEastAsia" w:eastAsiaTheme="minorEastAsia"/>
          <w:color w:val="auto"/>
          <w:highlight w:val="none"/>
        </w:rPr>
        <w:instrText xml:space="preserve"> PAGEREF _Toc3892 </w:instrText>
      </w:r>
      <w:r>
        <w:rPr>
          <w:rFonts w:hint="eastAsia" w:cs="微软雅黑" w:asciiTheme="minorEastAsia" w:hAnsiTheme="minorEastAsia" w:eastAsiaTheme="minorEastAsia"/>
          <w:color w:val="auto"/>
          <w:highlight w:val="none"/>
        </w:rPr>
        <w:fldChar w:fldCharType="separate"/>
      </w:r>
      <w:r>
        <w:rPr>
          <w:rFonts w:hint="eastAsia" w:cs="微软雅黑" w:asciiTheme="minorEastAsia" w:hAnsiTheme="minorEastAsia" w:eastAsiaTheme="minorEastAsia"/>
          <w:color w:val="auto"/>
          <w:highlight w:val="none"/>
        </w:rPr>
        <w:t>3</w:t>
      </w:r>
      <w:r>
        <w:rPr>
          <w:rFonts w:hint="eastAsia" w:cs="微软雅黑" w:asciiTheme="minorEastAsia" w:hAnsiTheme="minorEastAsia" w:eastAsiaTheme="minorEastAsia"/>
          <w:color w:val="auto"/>
          <w:highlight w:val="none"/>
        </w:rPr>
        <w:fldChar w:fldCharType="end"/>
      </w:r>
      <w:r>
        <w:rPr>
          <w:rFonts w:hint="eastAsia" w:cs="微软雅黑" w:asciiTheme="minorEastAsia" w:hAnsiTheme="minorEastAsia" w:eastAsiaTheme="minorEastAsia"/>
          <w:color w:val="auto"/>
          <w:highlight w:val="none"/>
        </w:rPr>
        <w:fldChar w:fldCharType="end"/>
      </w:r>
    </w:p>
    <w:p w14:paraId="2CB128F1">
      <w:pPr>
        <w:pStyle w:val="43"/>
        <w:tabs>
          <w:tab w:val="right" w:leader="dot" w:pos="8312"/>
        </w:tabs>
        <w:spacing w:line="360" w:lineRule="auto"/>
        <w:ind w:right="42" w:rightChars="20"/>
        <w:rPr>
          <w:rFonts w:cs="微软雅黑"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"_Toc31093" </w:instrText>
      </w:r>
      <w:r>
        <w:rPr>
          <w:color w:val="auto"/>
          <w:highlight w:val="none"/>
        </w:rPr>
        <w:fldChar w:fldCharType="separate"/>
      </w:r>
      <w:r>
        <w:rPr>
          <w:rFonts w:hint="eastAsia" w:cs="微软雅黑" w:asciiTheme="minorEastAsia" w:hAnsiTheme="minorEastAsia" w:eastAsiaTheme="minorEastAsia"/>
          <w:color w:val="auto"/>
          <w:highlight w:val="none"/>
        </w:rPr>
        <w:t>第三章  投标人须知</w:t>
      </w:r>
      <w:r>
        <w:rPr>
          <w:rFonts w:hint="eastAsia" w:cs="微软雅黑" w:asciiTheme="minorEastAsia" w:hAnsiTheme="minorEastAsia" w:eastAsiaTheme="minorEastAsia"/>
          <w:color w:val="auto"/>
          <w:highlight w:val="none"/>
        </w:rPr>
        <w:tab/>
      </w:r>
      <w:r>
        <w:rPr>
          <w:rFonts w:hint="eastAsia" w:cs="微软雅黑" w:asciiTheme="minorEastAsia" w:hAnsiTheme="minorEastAsia" w:eastAsiaTheme="minorEastAsia"/>
          <w:color w:val="auto"/>
          <w:highlight w:val="none"/>
        </w:rPr>
        <w:fldChar w:fldCharType="begin"/>
      </w:r>
      <w:r>
        <w:rPr>
          <w:rFonts w:hint="eastAsia" w:cs="微软雅黑" w:asciiTheme="minorEastAsia" w:hAnsiTheme="minorEastAsia" w:eastAsiaTheme="minorEastAsia"/>
          <w:color w:val="auto"/>
          <w:highlight w:val="none"/>
        </w:rPr>
        <w:instrText xml:space="preserve"> PAGEREF _Toc31093 </w:instrText>
      </w:r>
      <w:r>
        <w:rPr>
          <w:rFonts w:hint="eastAsia" w:cs="微软雅黑" w:asciiTheme="minorEastAsia" w:hAnsiTheme="minorEastAsia" w:eastAsiaTheme="minorEastAsia"/>
          <w:color w:val="auto"/>
          <w:highlight w:val="none"/>
        </w:rPr>
        <w:fldChar w:fldCharType="separate"/>
      </w:r>
      <w:r>
        <w:rPr>
          <w:rFonts w:hint="eastAsia" w:cs="微软雅黑" w:asciiTheme="minorEastAsia" w:hAnsiTheme="minorEastAsia" w:eastAsiaTheme="minorEastAsia"/>
          <w:color w:val="auto"/>
          <w:highlight w:val="none"/>
        </w:rPr>
        <w:t>7</w:t>
      </w:r>
      <w:r>
        <w:rPr>
          <w:rFonts w:hint="eastAsia" w:cs="微软雅黑" w:asciiTheme="minorEastAsia" w:hAnsiTheme="minorEastAsia" w:eastAsiaTheme="minorEastAsia"/>
          <w:color w:val="auto"/>
          <w:highlight w:val="none"/>
        </w:rPr>
        <w:fldChar w:fldCharType="end"/>
      </w:r>
      <w:r>
        <w:rPr>
          <w:rFonts w:hint="eastAsia" w:cs="微软雅黑" w:asciiTheme="minorEastAsia" w:hAnsiTheme="minorEastAsia" w:eastAsiaTheme="minorEastAsia"/>
          <w:color w:val="auto"/>
          <w:highlight w:val="none"/>
        </w:rPr>
        <w:fldChar w:fldCharType="end"/>
      </w:r>
    </w:p>
    <w:p w14:paraId="67678F54">
      <w:pPr>
        <w:pStyle w:val="43"/>
        <w:tabs>
          <w:tab w:val="right" w:leader="dot" w:pos="8312"/>
        </w:tabs>
        <w:spacing w:line="360" w:lineRule="auto"/>
        <w:ind w:right="42" w:rightChars="20"/>
        <w:rPr>
          <w:rFonts w:cs="微软雅黑"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"_Toc27157" </w:instrText>
      </w:r>
      <w:r>
        <w:rPr>
          <w:color w:val="auto"/>
          <w:highlight w:val="none"/>
        </w:rPr>
        <w:fldChar w:fldCharType="separate"/>
      </w:r>
      <w:r>
        <w:rPr>
          <w:rFonts w:hint="eastAsia" w:cs="微软雅黑" w:asciiTheme="minorEastAsia" w:hAnsiTheme="minorEastAsia" w:eastAsiaTheme="minorEastAsia"/>
          <w:color w:val="auto"/>
          <w:highlight w:val="none"/>
        </w:rPr>
        <w:t>第四章  评标办法及评</w:t>
      </w:r>
      <w:bookmarkStart w:id="4" w:name="_Hlt58947581"/>
      <w:bookmarkStart w:id="5" w:name="_Hlt58947582"/>
      <w:r>
        <w:rPr>
          <w:rFonts w:hint="eastAsia" w:cs="微软雅黑" w:asciiTheme="minorEastAsia" w:hAnsiTheme="minorEastAsia" w:eastAsiaTheme="minorEastAsia"/>
          <w:color w:val="auto"/>
          <w:highlight w:val="none"/>
        </w:rPr>
        <w:t>分</w:t>
      </w:r>
      <w:bookmarkEnd w:id="4"/>
      <w:bookmarkEnd w:id="5"/>
      <w:r>
        <w:rPr>
          <w:rFonts w:hint="eastAsia" w:cs="微软雅黑" w:asciiTheme="minorEastAsia" w:hAnsiTheme="minorEastAsia" w:eastAsiaTheme="minorEastAsia"/>
          <w:color w:val="auto"/>
          <w:highlight w:val="none"/>
        </w:rPr>
        <w:t>标准</w:t>
      </w:r>
      <w:r>
        <w:rPr>
          <w:rFonts w:hint="eastAsia" w:cs="微软雅黑" w:asciiTheme="minorEastAsia" w:hAnsiTheme="minorEastAsia" w:eastAsiaTheme="minorEastAsia"/>
          <w:color w:val="auto"/>
          <w:highlight w:val="none"/>
        </w:rPr>
        <w:tab/>
      </w:r>
      <w:r>
        <w:rPr>
          <w:rFonts w:hint="eastAsia" w:cs="微软雅黑" w:asciiTheme="minorEastAsia" w:hAnsiTheme="minorEastAsia" w:eastAsiaTheme="minorEastAsia"/>
          <w:color w:val="auto"/>
          <w:highlight w:val="none"/>
        </w:rPr>
        <w:fldChar w:fldCharType="begin"/>
      </w:r>
      <w:r>
        <w:rPr>
          <w:rFonts w:hint="eastAsia" w:cs="微软雅黑" w:asciiTheme="minorEastAsia" w:hAnsiTheme="minorEastAsia" w:eastAsiaTheme="minorEastAsia"/>
          <w:color w:val="auto"/>
          <w:highlight w:val="none"/>
        </w:rPr>
        <w:instrText xml:space="preserve"> PAGEREF _Toc27157 </w:instrText>
      </w:r>
      <w:r>
        <w:rPr>
          <w:rFonts w:hint="eastAsia" w:cs="微软雅黑" w:asciiTheme="minorEastAsia" w:hAnsiTheme="minorEastAsia" w:eastAsiaTheme="minorEastAsia"/>
          <w:color w:val="auto"/>
          <w:highlight w:val="none"/>
        </w:rPr>
        <w:fldChar w:fldCharType="separate"/>
      </w:r>
      <w:r>
        <w:rPr>
          <w:rFonts w:hint="eastAsia" w:cs="微软雅黑" w:asciiTheme="minorEastAsia" w:hAnsiTheme="minorEastAsia" w:eastAsiaTheme="minorEastAsia"/>
          <w:color w:val="auto"/>
          <w:highlight w:val="none"/>
        </w:rPr>
        <w:t>26</w:t>
      </w:r>
      <w:r>
        <w:rPr>
          <w:rFonts w:hint="eastAsia" w:cs="微软雅黑" w:asciiTheme="minorEastAsia" w:hAnsiTheme="minorEastAsia" w:eastAsiaTheme="minorEastAsia"/>
          <w:color w:val="auto"/>
          <w:highlight w:val="none"/>
        </w:rPr>
        <w:fldChar w:fldCharType="end"/>
      </w:r>
      <w:r>
        <w:rPr>
          <w:rFonts w:hint="eastAsia" w:cs="微软雅黑" w:asciiTheme="minorEastAsia" w:hAnsiTheme="minorEastAsia" w:eastAsiaTheme="minorEastAsia"/>
          <w:color w:val="auto"/>
          <w:highlight w:val="none"/>
        </w:rPr>
        <w:fldChar w:fldCharType="end"/>
      </w:r>
    </w:p>
    <w:p w14:paraId="60FA3B0A">
      <w:pPr>
        <w:pStyle w:val="43"/>
        <w:tabs>
          <w:tab w:val="right" w:leader="dot" w:pos="8312"/>
        </w:tabs>
        <w:spacing w:line="360" w:lineRule="auto"/>
        <w:ind w:right="42" w:rightChars="20"/>
        <w:rPr>
          <w:rFonts w:cs="微软雅黑"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"_Toc28829" </w:instrText>
      </w:r>
      <w:r>
        <w:rPr>
          <w:color w:val="auto"/>
          <w:highlight w:val="none"/>
        </w:rPr>
        <w:fldChar w:fldCharType="separate"/>
      </w:r>
      <w:r>
        <w:rPr>
          <w:rFonts w:hint="eastAsia" w:cs="微软雅黑" w:asciiTheme="minorEastAsia" w:hAnsiTheme="minorEastAsia" w:eastAsiaTheme="minorEastAsia"/>
          <w:color w:val="auto"/>
          <w:highlight w:val="none"/>
        </w:rPr>
        <w:t>第五章  政府采购合同</w:t>
      </w:r>
      <w:r>
        <w:rPr>
          <w:rFonts w:hint="eastAsia" w:cs="微软雅黑" w:asciiTheme="minorEastAsia" w:hAnsiTheme="minorEastAsia" w:eastAsiaTheme="minorEastAsia"/>
          <w:color w:val="auto"/>
          <w:highlight w:val="none"/>
        </w:rPr>
        <w:tab/>
      </w:r>
      <w:r>
        <w:rPr>
          <w:rFonts w:hint="eastAsia" w:cs="微软雅黑" w:asciiTheme="minorEastAsia" w:hAnsiTheme="minorEastAsia" w:eastAsiaTheme="minorEastAsia"/>
          <w:color w:val="auto"/>
          <w:highlight w:val="none"/>
        </w:rPr>
        <w:fldChar w:fldCharType="begin"/>
      </w:r>
      <w:r>
        <w:rPr>
          <w:rFonts w:hint="eastAsia" w:cs="微软雅黑" w:asciiTheme="minorEastAsia" w:hAnsiTheme="minorEastAsia" w:eastAsiaTheme="minorEastAsia"/>
          <w:color w:val="auto"/>
          <w:highlight w:val="none"/>
        </w:rPr>
        <w:instrText xml:space="preserve"> PAGEREF _Toc28829 </w:instrText>
      </w:r>
      <w:r>
        <w:rPr>
          <w:rFonts w:hint="eastAsia" w:cs="微软雅黑" w:asciiTheme="minorEastAsia" w:hAnsiTheme="minorEastAsia" w:eastAsiaTheme="minorEastAsia"/>
          <w:color w:val="auto"/>
          <w:highlight w:val="none"/>
        </w:rPr>
        <w:fldChar w:fldCharType="separate"/>
      </w:r>
      <w:r>
        <w:rPr>
          <w:rFonts w:hint="eastAsia" w:cs="微软雅黑" w:asciiTheme="minorEastAsia" w:hAnsiTheme="minorEastAsia" w:eastAsiaTheme="minorEastAsia"/>
          <w:color w:val="auto"/>
          <w:highlight w:val="none"/>
        </w:rPr>
        <w:t>27</w:t>
      </w:r>
      <w:r>
        <w:rPr>
          <w:rFonts w:hint="eastAsia" w:cs="微软雅黑" w:asciiTheme="minorEastAsia" w:hAnsiTheme="minorEastAsia" w:eastAsiaTheme="minorEastAsia"/>
          <w:color w:val="auto"/>
          <w:highlight w:val="none"/>
        </w:rPr>
        <w:fldChar w:fldCharType="end"/>
      </w:r>
      <w:r>
        <w:rPr>
          <w:rFonts w:hint="eastAsia" w:cs="微软雅黑" w:asciiTheme="minorEastAsia" w:hAnsiTheme="minorEastAsia" w:eastAsiaTheme="minorEastAsia"/>
          <w:color w:val="auto"/>
          <w:highlight w:val="none"/>
        </w:rPr>
        <w:fldChar w:fldCharType="end"/>
      </w:r>
    </w:p>
    <w:p w14:paraId="72A0F8F7">
      <w:pPr>
        <w:pStyle w:val="43"/>
        <w:tabs>
          <w:tab w:val="right" w:leader="dot" w:pos="8312"/>
        </w:tabs>
        <w:spacing w:line="360" w:lineRule="auto"/>
        <w:ind w:right="42" w:rightChars="20"/>
        <w:rPr>
          <w:rFonts w:cs="微软雅黑"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"_Toc5531" </w:instrText>
      </w:r>
      <w:r>
        <w:rPr>
          <w:color w:val="auto"/>
          <w:highlight w:val="none"/>
        </w:rPr>
        <w:fldChar w:fldCharType="separate"/>
      </w:r>
      <w:r>
        <w:rPr>
          <w:rFonts w:hint="eastAsia" w:cs="微软雅黑" w:asciiTheme="minorEastAsia" w:hAnsiTheme="minorEastAsia" w:eastAsiaTheme="minorEastAsia"/>
          <w:color w:val="auto"/>
          <w:highlight w:val="none"/>
        </w:rPr>
        <w:t>第六章　投标文件相关格式</w:t>
      </w:r>
      <w:r>
        <w:rPr>
          <w:rFonts w:hint="eastAsia" w:cs="微软雅黑" w:asciiTheme="minorEastAsia" w:hAnsiTheme="minorEastAsia" w:eastAsiaTheme="minorEastAsia"/>
          <w:color w:val="auto"/>
          <w:highlight w:val="none"/>
        </w:rPr>
        <w:tab/>
      </w:r>
      <w:r>
        <w:rPr>
          <w:rFonts w:hint="eastAsia" w:cs="微软雅黑" w:asciiTheme="minorEastAsia" w:hAnsiTheme="minorEastAsia" w:eastAsiaTheme="minorEastAsia"/>
          <w:color w:val="auto"/>
          <w:highlight w:val="none"/>
        </w:rPr>
        <w:fldChar w:fldCharType="begin"/>
      </w:r>
      <w:r>
        <w:rPr>
          <w:rFonts w:hint="eastAsia" w:cs="微软雅黑" w:asciiTheme="minorEastAsia" w:hAnsiTheme="minorEastAsia" w:eastAsiaTheme="minorEastAsia"/>
          <w:color w:val="auto"/>
          <w:highlight w:val="none"/>
        </w:rPr>
        <w:instrText xml:space="preserve"> PAGEREF _Toc5531 </w:instrText>
      </w:r>
      <w:r>
        <w:rPr>
          <w:rFonts w:hint="eastAsia" w:cs="微软雅黑" w:asciiTheme="minorEastAsia" w:hAnsiTheme="minorEastAsia" w:eastAsiaTheme="minorEastAsia"/>
          <w:color w:val="auto"/>
          <w:highlight w:val="none"/>
        </w:rPr>
        <w:fldChar w:fldCharType="separate"/>
      </w:r>
      <w:r>
        <w:rPr>
          <w:rFonts w:hint="eastAsia" w:cs="微软雅黑" w:asciiTheme="minorEastAsia" w:hAnsiTheme="minorEastAsia" w:eastAsiaTheme="minorEastAsia"/>
          <w:color w:val="auto"/>
          <w:highlight w:val="none"/>
        </w:rPr>
        <w:t>37</w:t>
      </w:r>
      <w:r>
        <w:rPr>
          <w:rFonts w:hint="eastAsia" w:cs="微软雅黑" w:asciiTheme="minorEastAsia" w:hAnsiTheme="minorEastAsia" w:eastAsiaTheme="minorEastAsia"/>
          <w:color w:val="auto"/>
          <w:highlight w:val="none"/>
        </w:rPr>
        <w:fldChar w:fldCharType="end"/>
      </w:r>
      <w:r>
        <w:rPr>
          <w:rFonts w:hint="eastAsia" w:cs="微软雅黑" w:asciiTheme="minorEastAsia" w:hAnsiTheme="minorEastAsia" w:eastAsiaTheme="minorEastAsia"/>
          <w:color w:val="auto"/>
          <w:highlight w:val="none"/>
        </w:rPr>
        <w:fldChar w:fldCharType="end"/>
      </w:r>
    </w:p>
    <w:p w14:paraId="4319C0ED">
      <w:pPr>
        <w:spacing w:line="360" w:lineRule="auto"/>
        <w:ind w:right="42" w:rightChars="20" w:firstLine="420" w:firstLineChars="20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fldChar w:fldCharType="end"/>
      </w:r>
    </w:p>
    <w:p w14:paraId="394C828B">
      <w:pPr>
        <w:spacing w:line="360" w:lineRule="auto"/>
        <w:ind w:right="42" w:rightChars="20" w:firstLine="420" w:firstLineChars="200"/>
        <w:jc w:val="left"/>
        <w:rPr>
          <w:rFonts w:asciiTheme="minorEastAsia" w:hAnsiTheme="minorEastAsia" w:eastAsiaTheme="minorEastAsia"/>
          <w:color w:val="auto"/>
          <w:szCs w:val="21"/>
          <w:highlight w:val="none"/>
        </w:rPr>
      </w:pPr>
    </w:p>
    <w:p w14:paraId="68000341">
      <w:pPr>
        <w:pStyle w:val="164"/>
        <w:ind w:right="42" w:rightChars="20"/>
        <w:rPr>
          <w:rFonts w:asciiTheme="minorEastAsia" w:hAnsiTheme="minorEastAsia" w:eastAsiaTheme="minorEastAsia"/>
          <w:b w:val="0"/>
          <w:color w:val="auto"/>
          <w:highlight w:val="none"/>
        </w:rPr>
      </w:pPr>
      <w:bookmarkStart w:id="6" w:name="_Toc493511540"/>
      <w:r>
        <w:rPr>
          <w:rFonts w:hint="eastAsia" w:asciiTheme="minorEastAsia" w:hAnsiTheme="minorEastAsia" w:eastAsiaTheme="minorEastAsia"/>
          <w:color w:val="auto"/>
          <w:highlight w:val="none"/>
        </w:rPr>
        <w:br w:type="page"/>
      </w:r>
      <w:bookmarkStart w:id="7" w:name="_Toc3494"/>
      <w:r>
        <w:rPr>
          <w:rStyle w:val="70"/>
          <w:rFonts w:hint="eastAsia" w:cs="微软雅黑" w:asciiTheme="minorEastAsia" w:hAnsiTheme="minorEastAsia" w:eastAsiaTheme="minorEastAsia"/>
          <w:b/>
          <w:color w:val="auto"/>
          <w:highlight w:val="none"/>
        </w:rPr>
        <w:t>第一章  公开招标采购公告</w:t>
      </w:r>
      <w:bookmarkEnd w:id="6"/>
      <w:bookmarkEnd w:id="7"/>
    </w:p>
    <w:p w14:paraId="16B66BCC">
      <w:pPr>
        <w:pStyle w:val="4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sz w:val="21"/>
          <w:szCs w:val="21"/>
        </w:rPr>
      </w:pPr>
      <w:bookmarkStart w:id="8" w:name="_Toc493511541"/>
      <w:bookmarkStart w:id="9" w:name="_Toc3892"/>
      <w:bookmarkStart w:id="10" w:name="_Toc177870534"/>
      <w:r>
        <w:rPr>
          <w:rFonts w:hint="eastAsia" w:cs="宋体" w:asciiTheme="minorEastAsia" w:hAnsiTheme="minorEastAsia" w:eastAsiaTheme="minorEastAsia"/>
          <w:color w:val="auto"/>
          <w:sz w:val="18"/>
          <w:szCs w:val="18"/>
          <w:highlight w:val="none"/>
        </w:rPr>
        <w:t> </w:t>
      </w:r>
      <w:r>
        <w:rPr>
          <w:rFonts w:ascii="仿宋" w:hAnsi="仿宋" w:eastAsia="仿宋" w:cs="仿宋"/>
          <w:color w:val="auto"/>
          <w:sz w:val="27"/>
          <w:szCs w:val="27"/>
          <w:highlight w:val="none"/>
        </w:rPr>
        <w:t>       </w:t>
      </w:r>
      <w:r>
        <w:rPr>
          <w:rFonts w:hint="eastAsia" w:ascii="仿宋" w:hAnsi="仿宋" w:eastAsia="仿宋" w:cs="仿宋"/>
          <w:color w:val="auto"/>
          <w:sz w:val="27"/>
          <w:szCs w:val="27"/>
          <w:highlight w:val="none"/>
          <w:lang w:val="en-US" w:eastAsia="zh-CN"/>
        </w:rPr>
        <w:t xml:space="preserve">  </w:t>
      </w:r>
      <w:bookmarkStart w:id="389" w:name="_GoBack"/>
      <w:r>
        <w:rPr>
          <w:rFonts w:hint="eastAsia" w:asciiTheme="minorEastAsia" w:hAnsiTheme="minorEastAsia" w:eastAsiaTheme="minorEastAsia" w:cstheme="minorEastAsia"/>
          <w:b/>
          <w:bCs/>
          <w:i w:val="0"/>
          <w:iCs w:val="0"/>
          <w:caps w:val="0"/>
          <w:color w:val="000000"/>
          <w:spacing w:val="0"/>
          <w:sz w:val="21"/>
          <w:szCs w:val="21"/>
        </w:rPr>
        <w:t>项目概况</w:t>
      </w:r>
      <w:r>
        <w:rPr>
          <w:rFonts w:hint="eastAsia" w:asciiTheme="minorEastAsia" w:hAnsiTheme="minorEastAsia" w:eastAsiaTheme="minorEastAsia" w:cstheme="minorEastAsia"/>
          <w:i w:val="0"/>
          <w:iCs w:val="0"/>
          <w:caps w:val="0"/>
          <w:color w:val="000000"/>
          <w:spacing w:val="0"/>
          <w:sz w:val="21"/>
          <w:szCs w:val="21"/>
        </w:rPr>
        <w:t>        </w:t>
      </w:r>
    </w:p>
    <w:p w14:paraId="64D19050">
      <w:pPr>
        <w:pStyle w:val="4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秀洲区2025年度白蚁等害堤动物防治项目招标项目的潜在投标人应在政采云平台线上获取（下载）招标文件，并于2025年08月04日 14:00（北京时间）前递交（上传）投标文件。          </w:t>
      </w:r>
    </w:p>
    <w:p w14:paraId="13D0B76C">
      <w:pPr>
        <w:pStyle w:val="47"/>
        <w:keepNext w:val="0"/>
        <w:keepLines w:val="0"/>
        <w:pageBreakBefore w:val="0"/>
        <w:widowControl/>
        <w:suppressLineNumbers w:val="0"/>
        <w:kinsoku/>
        <w:wordWrap/>
        <w:overflowPunct/>
        <w:topLinePunct w:val="0"/>
        <w:autoSpaceDE/>
        <w:autoSpaceDN/>
        <w:bidi w:val="0"/>
        <w:adjustRightInd/>
        <w:snapToGrid/>
        <w:spacing w:before="300" w:beforeAutospacing="0" w:after="0" w:afterAutospacing="0" w:line="360" w:lineRule="auto"/>
        <w:ind w:left="0" w:right="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i w:val="0"/>
          <w:iCs w:val="0"/>
          <w:caps w:val="0"/>
          <w:color w:val="000000"/>
          <w:spacing w:val="0"/>
          <w:sz w:val="21"/>
          <w:szCs w:val="21"/>
        </w:rPr>
        <w:t>一、项目基本情况</w:t>
      </w:r>
    </w:p>
    <w:p w14:paraId="353EB94D">
      <w:pPr>
        <w:pStyle w:val="4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项目编号：大地-DDZX-JX（2025）第83号</w:t>
      </w:r>
    </w:p>
    <w:p w14:paraId="493AD4B9">
      <w:pPr>
        <w:pStyle w:val="4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项目名称：秀洲区2025年度白蚁等害堤动物防治项目</w:t>
      </w:r>
    </w:p>
    <w:p w14:paraId="725D5751">
      <w:pPr>
        <w:pStyle w:val="4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预算金额（元）：675000</w:t>
      </w:r>
    </w:p>
    <w:p w14:paraId="11C4E129">
      <w:pPr>
        <w:pStyle w:val="4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最高限价（元）：675000</w:t>
      </w:r>
    </w:p>
    <w:p w14:paraId="6257CCC1">
      <w:pPr>
        <w:keepNext w:val="0"/>
        <w:keepLines w:val="0"/>
        <w:pageBreakBefore w:val="0"/>
        <w:widowControl/>
        <w:suppressLineNumbers w:val="0"/>
        <w:kinsoku/>
        <w:wordWrap/>
        <w:overflowPunct/>
        <w:topLinePunct w:val="0"/>
        <w:autoSpaceDE/>
        <w:autoSpaceDN/>
        <w:bidi w:val="0"/>
        <w:adjustRightInd/>
        <w:snapToGrid/>
        <w:spacing w:line="360" w:lineRule="auto"/>
        <w:ind w:left="0" w:firstLine="420"/>
        <w:jc w:val="left"/>
        <w:textAlignment w:val="auto"/>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kern w:val="0"/>
          <w:sz w:val="21"/>
          <w:szCs w:val="21"/>
          <w:lang w:val="en-US" w:eastAsia="zh-CN" w:bidi="ar"/>
        </w:rPr>
        <w:t>采购需求：  </w:t>
      </w:r>
    </w:p>
    <w:p w14:paraId="3321752A">
      <w:pPr>
        <w:pStyle w:val="47"/>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shd w:val="clear" w:fill="F7F7F7"/>
        </w:rPr>
        <w:t>标项名称：</w:t>
      </w:r>
      <w:r>
        <w:rPr>
          <w:rFonts w:hint="eastAsia" w:asciiTheme="minorEastAsia" w:hAnsiTheme="minorEastAsia" w:eastAsiaTheme="minorEastAsia" w:cstheme="minorEastAsia"/>
          <w:b w:val="0"/>
          <w:bCs w:val="0"/>
          <w:i w:val="0"/>
          <w:iCs w:val="0"/>
          <w:caps w:val="0"/>
          <w:color w:val="000000"/>
          <w:spacing w:val="0"/>
          <w:sz w:val="21"/>
          <w:szCs w:val="21"/>
          <w:shd w:val="clear" w:fill="F7F7F7"/>
        </w:rPr>
        <w:t>秀洲区2025年度白蚁等害堤动物防治项目</w:t>
      </w:r>
      <w:r>
        <w:rPr>
          <w:rFonts w:hint="eastAsia" w:asciiTheme="minorEastAsia" w:hAnsiTheme="minorEastAsia" w:eastAsiaTheme="minorEastAsia" w:cstheme="minorEastAsia"/>
          <w:i w:val="0"/>
          <w:iCs w:val="0"/>
          <w:caps w:val="0"/>
          <w:color w:val="000000"/>
          <w:spacing w:val="0"/>
          <w:sz w:val="21"/>
          <w:szCs w:val="21"/>
          <w:shd w:val="clear" w:fill="F7F7F7"/>
        </w:rPr>
        <w:t>    </w:t>
      </w:r>
    </w:p>
    <w:p w14:paraId="0EE56487">
      <w:pPr>
        <w:pStyle w:val="47"/>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shd w:val="clear" w:fill="F7F7F7"/>
        </w:rPr>
        <w:t>数量：</w:t>
      </w:r>
      <w:r>
        <w:rPr>
          <w:rFonts w:hint="eastAsia" w:asciiTheme="minorEastAsia" w:hAnsiTheme="minorEastAsia" w:eastAsiaTheme="minorEastAsia" w:cstheme="minorEastAsia"/>
          <w:b w:val="0"/>
          <w:bCs w:val="0"/>
          <w:i w:val="0"/>
          <w:iCs w:val="0"/>
          <w:caps w:val="0"/>
          <w:color w:val="000000"/>
          <w:spacing w:val="0"/>
          <w:sz w:val="21"/>
          <w:szCs w:val="21"/>
          <w:shd w:val="clear" w:fill="F7F7F7"/>
        </w:rPr>
        <w:t>不限</w:t>
      </w:r>
      <w:r>
        <w:rPr>
          <w:rFonts w:hint="eastAsia" w:asciiTheme="minorEastAsia" w:hAnsiTheme="minorEastAsia" w:eastAsiaTheme="minorEastAsia" w:cstheme="minorEastAsia"/>
          <w:i w:val="0"/>
          <w:iCs w:val="0"/>
          <w:caps w:val="0"/>
          <w:color w:val="000000"/>
          <w:spacing w:val="0"/>
          <w:sz w:val="21"/>
          <w:szCs w:val="21"/>
          <w:shd w:val="clear" w:fill="F7F7F7"/>
        </w:rPr>
        <w:t>    </w:t>
      </w:r>
    </w:p>
    <w:p w14:paraId="7E2A077C">
      <w:pPr>
        <w:pStyle w:val="47"/>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shd w:val="clear" w:fill="F7F7F7"/>
        </w:rPr>
        <w:t>预算金额（元）：</w:t>
      </w:r>
      <w:r>
        <w:rPr>
          <w:rFonts w:hint="eastAsia" w:asciiTheme="minorEastAsia" w:hAnsiTheme="minorEastAsia" w:eastAsiaTheme="minorEastAsia" w:cstheme="minorEastAsia"/>
          <w:b w:val="0"/>
          <w:bCs w:val="0"/>
          <w:i w:val="0"/>
          <w:iCs w:val="0"/>
          <w:caps w:val="0"/>
          <w:color w:val="000000"/>
          <w:spacing w:val="0"/>
          <w:sz w:val="21"/>
          <w:szCs w:val="21"/>
          <w:shd w:val="clear" w:fill="F7F7F7"/>
        </w:rPr>
        <w:t>675000</w:t>
      </w:r>
      <w:r>
        <w:rPr>
          <w:rFonts w:hint="eastAsia" w:asciiTheme="minorEastAsia" w:hAnsiTheme="minorEastAsia" w:eastAsiaTheme="minorEastAsia" w:cstheme="minorEastAsia"/>
          <w:i w:val="0"/>
          <w:iCs w:val="0"/>
          <w:caps w:val="0"/>
          <w:color w:val="000000"/>
          <w:spacing w:val="0"/>
          <w:sz w:val="21"/>
          <w:szCs w:val="21"/>
          <w:shd w:val="clear" w:fill="F7F7F7"/>
        </w:rPr>
        <w:t>    </w:t>
      </w:r>
    </w:p>
    <w:p w14:paraId="57849D10">
      <w:pPr>
        <w:pStyle w:val="47"/>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shd w:val="clear" w:fill="F7F7F7"/>
        </w:rPr>
        <w:t>简要规格描述或项目基本概况介绍、用途：</w:t>
      </w:r>
      <w:r>
        <w:rPr>
          <w:rFonts w:hint="eastAsia" w:asciiTheme="minorEastAsia" w:hAnsiTheme="minorEastAsia" w:eastAsiaTheme="minorEastAsia" w:cstheme="minorEastAsia"/>
          <w:b w:val="0"/>
          <w:bCs w:val="0"/>
          <w:i w:val="0"/>
          <w:iCs w:val="0"/>
          <w:caps w:val="0"/>
          <w:color w:val="000000"/>
          <w:spacing w:val="0"/>
          <w:sz w:val="21"/>
          <w:szCs w:val="21"/>
          <w:shd w:val="clear" w:fill="F7F7F7"/>
        </w:rPr>
        <w:t>详见采购文件</w:t>
      </w:r>
      <w:r>
        <w:rPr>
          <w:rFonts w:hint="eastAsia" w:asciiTheme="minorEastAsia" w:hAnsiTheme="minorEastAsia" w:eastAsiaTheme="minorEastAsia" w:cstheme="minorEastAsia"/>
          <w:i w:val="0"/>
          <w:iCs w:val="0"/>
          <w:caps w:val="0"/>
          <w:color w:val="000000"/>
          <w:spacing w:val="0"/>
          <w:sz w:val="21"/>
          <w:szCs w:val="21"/>
          <w:shd w:val="clear" w:fill="F7F7F7"/>
        </w:rPr>
        <w:t>    </w:t>
      </w:r>
    </w:p>
    <w:p w14:paraId="53B0B2CE">
      <w:pPr>
        <w:pStyle w:val="47"/>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shd w:val="clear" w:fill="F7F7F7"/>
        </w:rPr>
        <w:t>备注：    </w:t>
      </w:r>
    </w:p>
    <w:p w14:paraId="35E5102C">
      <w:pPr>
        <w:pStyle w:val="4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合同履约期限：标项 1，详见采购文件</w:t>
      </w:r>
    </w:p>
    <w:p w14:paraId="66641DFA">
      <w:pPr>
        <w:pStyle w:val="4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本项目（否）接受联合体投标。</w:t>
      </w:r>
    </w:p>
    <w:p w14:paraId="6FB947BF">
      <w:pPr>
        <w:pStyle w:val="47"/>
        <w:keepNext w:val="0"/>
        <w:keepLines w:val="0"/>
        <w:pageBreakBefore w:val="0"/>
        <w:widowControl/>
        <w:suppressLineNumbers w:val="0"/>
        <w:kinsoku/>
        <w:wordWrap/>
        <w:overflowPunct/>
        <w:topLinePunct w:val="0"/>
        <w:autoSpaceDE/>
        <w:autoSpaceDN/>
        <w:bidi w:val="0"/>
        <w:adjustRightInd/>
        <w:snapToGrid/>
        <w:spacing w:before="300" w:beforeAutospacing="0" w:after="0" w:afterAutospacing="0" w:line="360" w:lineRule="auto"/>
        <w:ind w:left="0" w:right="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i w:val="0"/>
          <w:iCs w:val="0"/>
          <w:caps w:val="0"/>
          <w:color w:val="000000"/>
          <w:spacing w:val="0"/>
          <w:sz w:val="21"/>
          <w:szCs w:val="21"/>
        </w:rPr>
        <w:t>二、申请人的资格要求：</w:t>
      </w:r>
    </w:p>
    <w:p w14:paraId="55D3A3EA">
      <w:pPr>
        <w:pStyle w:val="4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1.满足《中华人民共和国政府采购法》第二十二条规定；未被“信用中国”（www.creditchina.gov.cn)、中国政府采购网（www.ccgp.gov.cn）列入失信被执行人、重大税收违法失信主体、政府采购严重违法失信行为记录名单。</w:t>
      </w:r>
    </w:p>
    <w:p w14:paraId="0BFA5C0C">
      <w:pPr>
        <w:pStyle w:val="4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2.落实政府采购政策需满足的资格要求：标项1：本项目专门面向中小企业招标（投标时须提供中小企业声明函）</w:t>
      </w:r>
    </w:p>
    <w:p w14:paraId="367A95E3">
      <w:pPr>
        <w:pStyle w:val="4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3.本项目的特定资格要求：无</w:t>
      </w:r>
    </w:p>
    <w:p w14:paraId="4E3C8258">
      <w:pPr>
        <w:pStyle w:val="47"/>
        <w:keepNext w:val="0"/>
        <w:keepLines w:val="0"/>
        <w:pageBreakBefore w:val="0"/>
        <w:widowControl/>
        <w:suppressLineNumbers w:val="0"/>
        <w:kinsoku/>
        <w:wordWrap/>
        <w:overflowPunct/>
        <w:topLinePunct w:val="0"/>
        <w:autoSpaceDE/>
        <w:autoSpaceDN/>
        <w:bidi w:val="0"/>
        <w:adjustRightInd/>
        <w:snapToGrid/>
        <w:spacing w:before="300" w:beforeAutospacing="0" w:after="0" w:afterAutospacing="0" w:line="360" w:lineRule="auto"/>
        <w:ind w:left="0" w:right="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i w:val="0"/>
          <w:iCs w:val="0"/>
          <w:caps w:val="0"/>
          <w:color w:val="000000"/>
          <w:spacing w:val="0"/>
          <w:sz w:val="21"/>
          <w:szCs w:val="21"/>
        </w:rPr>
        <w:t>三、获取招标文件</w:t>
      </w:r>
    </w:p>
    <w:p w14:paraId="2E5AA7C1">
      <w:pPr>
        <w:pStyle w:val="4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时间：/至2025年08月04日 ，每天上午00:00至12:00 ，下午12:00至23:59（北京时间，线上获取法定节假日均可，线下获取文件法定节假日除外）</w:t>
      </w:r>
    </w:p>
    <w:p w14:paraId="6B6A811F">
      <w:pPr>
        <w:pStyle w:val="4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地点（网址）：政采云平台线上获取</w:t>
      </w:r>
    </w:p>
    <w:p w14:paraId="2A04CBF0">
      <w:pPr>
        <w:pStyle w:val="4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方式：供应商登录政采云平台https://www.zcygov.cn/在线申请获取采购文件（进入“项目采购”应用，在获取采购文件菜单中选择项目，申请获取采购文件）</w:t>
      </w:r>
    </w:p>
    <w:p w14:paraId="5A351447">
      <w:pPr>
        <w:pStyle w:val="4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售价（元）：0</w:t>
      </w:r>
    </w:p>
    <w:p w14:paraId="7E044510">
      <w:pPr>
        <w:pStyle w:val="47"/>
        <w:keepNext w:val="0"/>
        <w:keepLines w:val="0"/>
        <w:pageBreakBefore w:val="0"/>
        <w:widowControl/>
        <w:suppressLineNumbers w:val="0"/>
        <w:kinsoku/>
        <w:wordWrap/>
        <w:overflowPunct/>
        <w:topLinePunct w:val="0"/>
        <w:autoSpaceDE/>
        <w:autoSpaceDN/>
        <w:bidi w:val="0"/>
        <w:adjustRightInd/>
        <w:snapToGrid/>
        <w:spacing w:before="300" w:beforeAutospacing="0" w:after="0" w:afterAutospacing="0" w:line="360" w:lineRule="auto"/>
        <w:ind w:left="0" w:right="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i w:val="0"/>
          <w:iCs w:val="0"/>
          <w:caps w:val="0"/>
          <w:color w:val="000000"/>
          <w:spacing w:val="0"/>
          <w:sz w:val="21"/>
          <w:szCs w:val="21"/>
        </w:rPr>
        <w:t>四、提交投标文件截止时间、开标时间和地点</w:t>
      </w:r>
    </w:p>
    <w:p w14:paraId="691AED62">
      <w:pPr>
        <w:pStyle w:val="4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提交投标文件截止时间：2025年08月04日 14:00（北京时间）</w:t>
      </w:r>
    </w:p>
    <w:p w14:paraId="5A07F5AF">
      <w:pPr>
        <w:pStyle w:val="4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投标地点（网址）：请登录政采云投标客户端投标</w:t>
      </w:r>
    </w:p>
    <w:p w14:paraId="2F5743C1">
      <w:pPr>
        <w:pStyle w:val="4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开标时间：2025年08月04日 14:00</w:t>
      </w:r>
    </w:p>
    <w:p w14:paraId="5F41A9FF">
      <w:pPr>
        <w:pStyle w:val="4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开标地点（网址）：“政采云”平台电子投标（线上）</w:t>
      </w:r>
    </w:p>
    <w:p w14:paraId="0177BEBD">
      <w:pPr>
        <w:pStyle w:val="47"/>
        <w:keepNext w:val="0"/>
        <w:keepLines w:val="0"/>
        <w:pageBreakBefore w:val="0"/>
        <w:widowControl/>
        <w:suppressLineNumbers w:val="0"/>
        <w:kinsoku/>
        <w:wordWrap/>
        <w:overflowPunct/>
        <w:topLinePunct w:val="0"/>
        <w:autoSpaceDE/>
        <w:autoSpaceDN/>
        <w:bidi w:val="0"/>
        <w:adjustRightInd/>
        <w:snapToGrid/>
        <w:spacing w:before="300" w:beforeAutospacing="0" w:after="0" w:afterAutospacing="0" w:line="360" w:lineRule="auto"/>
        <w:ind w:left="0" w:right="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i w:val="0"/>
          <w:iCs w:val="0"/>
          <w:caps w:val="0"/>
          <w:color w:val="000000"/>
          <w:spacing w:val="0"/>
          <w:sz w:val="21"/>
          <w:szCs w:val="21"/>
        </w:rPr>
        <w:t>五、公告期限</w:t>
      </w:r>
    </w:p>
    <w:p w14:paraId="1DC0F409">
      <w:pPr>
        <w:pStyle w:val="4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自本公告发布之日起5个工作日。</w:t>
      </w:r>
    </w:p>
    <w:p w14:paraId="3FF50C6D">
      <w:pPr>
        <w:pStyle w:val="47"/>
        <w:keepNext w:val="0"/>
        <w:keepLines w:val="0"/>
        <w:pageBreakBefore w:val="0"/>
        <w:widowControl/>
        <w:suppressLineNumbers w:val="0"/>
        <w:kinsoku/>
        <w:wordWrap/>
        <w:overflowPunct/>
        <w:topLinePunct w:val="0"/>
        <w:autoSpaceDE/>
        <w:autoSpaceDN/>
        <w:bidi w:val="0"/>
        <w:adjustRightInd/>
        <w:snapToGrid/>
        <w:spacing w:before="300" w:beforeAutospacing="0" w:after="0" w:afterAutospacing="0" w:line="360" w:lineRule="auto"/>
        <w:ind w:left="0" w:right="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i w:val="0"/>
          <w:iCs w:val="0"/>
          <w:caps w:val="0"/>
          <w:color w:val="000000"/>
          <w:spacing w:val="0"/>
          <w:sz w:val="21"/>
          <w:szCs w:val="21"/>
        </w:rPr>
        <w:t>六、其他补充事宜</w:t>
      </w:r>
    </w:p>
    <w:p w14:paraId="543BF345">
      <w:pPr>
        <w:pStyle w:val="4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0DE91E39">
      <w:pPr>
        <w:pStyle w:val="4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DC31394">
      <w:pPr>
        <w:pStyle w:val="4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29F5D1E">
      <w:pPr>
        <w:pStyle w:val="4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   4.为支持和促进中小企业发展，进一步发挥政府采购政策功能，鼓励供应商使用保险/保函替代保证金及进行预付款增信，支持供应商基于中标项目进行应收账款融资。中标供应商若想了解或使用相关服务，可通过政采云平台或其他渠道进行咨询。政采云金融热线400-903-9583，也可登录政采云平台查看相应政策文件及各相关服务方案∶</w:t>
      </w:r>
      <w:r>
        <w:rPr>
          <w:rFonts w:hint="eastAsia" w:asciiTheme="minorEastAsia" w:hAnsiTheme="minorEastAsia" w:eastAsiaTheme="minorEastAsia" w:cstheme="minorEastAsia"/>
          <w:i w:val="0"/>
          <w:iCs w:val="0"/>
          <w:caps w:val="0"/>
          <w:color w:val="000000"/>
          <w:spacing w:val="0"/>
          <w:sz w:val="21"/>
          <w:szCs w:val="21"/>
        </w:rPr>
        <w:br w:type="textWrapping"/>
      </w:r>
      <w:r>
        <w:rPr>
          <w:rFonts w:hint="eastAsia" w:asciiTheme="minorEastAsia" w:hAnsiTheme="minorEastAsia" w:eastAsiaTheme="minorEastAsia" w:cstheme="minorEastAsia"/>
          <w:i w:val="0"/>
          <w:iCs w:val="0"/>
          <w:caps w:val="0"/>
          <w:color w:val="000000"/>
          <w:spacing w:val="0"/>
          <w:sz w:val="21"/>
          <w:szCs w:val="21"/>
        </w:rPr>
        <w:t>https://jinrong.zcygov.cn/finance-service/#/home。</w:t>
      </w:r>
    </w:p>
    <w:p w14:paraId="45E0FAB0">
      <w:pPr>
        <w:pStyle w:val="47"/>
        <w:keepNext w:val="0"/>
        <w:keepLines w:val="0"/>
        <w:pageBreakBefore w:val="0"/>
        <w:widowControl/>
        <w:suppressLineNumbers w:val="0"/>
        <w:kinsoku/>
        <w:wordWrap/>
        <w:overflowPunct/>
        <w:topLinePunct w:val="0"/>
        <w:autoSpaceDE/>
        <w:autoSpaceDN/>
        <w:bidi w:val="0"/>
        <w:adjustRightInd/>
        <w:snapToGrid/>
        <w:spacing w:before="300" w:beforeAutospacing="0" w:after="0" w:afterAutospacing="0" w:line="360" w:lineRule="auto"/>
        <w:ind w:left="0" w:right="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i w:val="0"/>
          <w:iCs w:val="0"/>
          <w:caps w:val="0"/>
          <w:color w:val="000000"/>
          <w:spacing w:val="0"/>
          <w:sz w:val="21"/>
          <w:szCs w:val="21"/>
        </w:rPr>
        <w:t>七、对本次采购提出询问、质疑、投诉，请按以下方式联系</w:t>
      </w:r>
    </w:p>
    <w:p w14:paraId="2A3A38D6">
      <w:pPr>
        <w:pStyle w:val="4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1.采购人信息</w:t>
      </w:r>
    </w:p>
    <w:p w14:paraId="025835D8">
      <w:pPr>
        <w:pStyle w:val="4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名    称：嘉兴市秀洲区农业农村和水利局</w:t>
      </w:r>
    </w:p>
    <w:p w14:paraId="062BB1ED">
      <w:pPr>
        <w:pStyle w:val="4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地    址：嘉兴市三塔路239号</w:t>
      </w:r>
    </w:p>
    <w:p w14:paraId="61CAF183">
      <w:pPr>
        <w:pStyle w:val="4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传    真：</w:t>
      </w:r>
    </w:p>
    <w:p w14:paraId="717A2B43">
      <w:pPr>
        <w:pStyle w:val="4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项目联系人（询问）：刘峥嵘</w:t>
      </w:r>
    </w:p>
    <w:p w14:paraId="7AD49F4A">
      <w:pPr>
        <w:pStyle w:val="4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项目联系方式（询问）：0573-82071021</w:t>
      </w:r>
    </w:p>
    <w:p w14:paraId="2F4911B1">
      <w:pPr>
        <w:pStyle w:val="4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质疑联系人：王明林</w:t>
      </w:r>
    </w:p>
    <w:p w14:paraId="1FCC181F">
      <w:pPr>
        <w:pStyle w:val="4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质疑联系方式：0573-83675883</w:t>
      </w:r>
    </w:p>
    <w:p w14:paraId="16631165">
      <w:pPr>
        <w:pStyle w:val="4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2.采购代理机构信息</w:t>
      </w:r>
    </w:p>
    <w:p w14:paraId="12E56123">
      <w:pPr>
        <w:pStyle w:val="4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名    称：大地工程咨询有限公司</w:t>
      </w:r>
    </w:p>
    <w:p w14:paraId="7821A394">
      <w:pPr>
        <w:pStyle w:val="4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地    址：嘉兴市秀洲区洪波路1200号万豪广场12楼1204</w:t>
      </w:r>
    </w:p>
    <w:p w14:paraId="26D53F7C">
      <w:pPr>
        <w:pStyle w:val="4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传    真：</w:t>
      </w:r>
    </w:p>
    <w:p w14:paraId="17F591ED">
      <w:pPr>
        <w:pStyle w:val="4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项目联系人（询问）：杨丽莉</w:t>
      </w:r>
    </w:p>
    <w:p w14:paraId="27C393C8">
      <w:pPr>
        <w:pStyle w:val="4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项目联系方式（询问）：0573-82133572</w:t>
      </w:r>
    </w:p>
    <w:p w14:paraId="4DE23166">
      <w:pPr>
        <w:pStyle w:val="4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质疑联系人：李斌</w:t>
      </w:r>
    </w:p>
    <w:p w14:paraId="0C642EA2">
      <w:pPr>
        <w:pStyle w:val="4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质疑联系方式：0573-82133572</w:t>
      </w:r>
    </w:p>
    <w:p w14:paraId="3C1F53CE">
      <w:pPr>
        <w:pStyle w:val="4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3.</w:t>
      </w:r>
      <w:r>
        <w:rPr>
          <w:rStyle w:val="63"/>
          <w:rFonts w:hint="eastAsia" w:asciiTheme="minorEastAsia" w:hAnsiTheme="minorEastAsia" w:eastAsiaTheme="minorEastAsia" w:cstheme="minorEastAsia"/>
          <w:i w:val="0"/>
          <w:iCs w:val="0"/>
          <w:caps w:val="0"/>
          <w:color w:val="000000"/>
          <w:spacing w:val="0"/>
          <w:sz w:val="21"/>
          <w:szCs w:val="21"/>
        </w:rPr>
        <w:t>同级政府采购监督管理部门</w:t>
      </w:r>
    </w:p>
    <w:p w14:paraId="7B39691E">
      <w:pPr>
        <w:pStyle w:val="4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名    称：嘉兴市秀洲区财政局</w:t>
      </w:r>
    </w:p>
    <w:p w14:paraId="3E0ADCD7">
      <w:pPr>
        <w:pStyle w:val="4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地    址：嘉兴市秀洲区洪兴路1765号</w:t>
      </w:r>
    </w:p>
    <w:p w14:paraId="4E249F34">
      <w:pPr>
        <w:pStyle w:val="4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传    真：</w:t>
      </w:r>
    </w:p>
    <w:p w14:paraId="1F601972">
      <w:pPr>
        <w:pStyle w:val="4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联 系 人：宋女生</w:t>
      </w:r>
    </w:p>
    <w:p w14:paraId="3DE8D9F7">
      <w:pPr>
        <w:pStyle w:val="4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监督投诉电话：0573-82720085</w:t>
      </w:r>
    </w:p>
    <w:p w14:paraId="1220A013">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jc w:val="left"/>
        <w:textAlignment w:val="auto"/>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kern w:val="0"/>
          <w:sz w:val="21"/>
          <w:szCs w:val="21"/>
          <w:lang w:val="en-US" w:eastAsia="zh-CN" w:bidi="ar"/>
        </w:rPr>
        <w:t> </w:t>
      </w:r>
    </w:p>
    <w:p w14:paraId="27846054">
      <w:pPr>
        <w:pStyle w:val="4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150"/>
        <w:textAlignment w:val="auto"/>
        <w:rPr>
          <w:rFonts w:hint="eastAsia" w:asciiTheme="minorEastAsia" w:hAnsiTheme="minorEastAsia" w:eastAsiaTheme="minorEastAsia" w:cstheme="minorEastAsia"/>
          <w:sz w:val="21"/>
          <w:szCs w:val="21"/>
        </w:rPr>
      </w:pPr>
    </w:p>
    <w:p w14:paraId="4F540555">
      <w:pPr>
        <w:pStyle w:val="47"/>
        <w:keepNext w:val="0"/>
        <w:keepLines w:val="0"/>
        <w:pageBreakBefore w:val="0"/>
        <w:widowControl/>
        <w:suppressLineNumbers w:val="0"/>
        <w:kinsoku/>
        <w:wordWrap/>
        <w:overflowPunct/>
        <w:topLinePunct w:val="0"/>
        <w:autoSpaceDE/>
        <w:autoSpaceDN/>
        <w:bidi w:val="0"/>
        <w:adjustRightInd/>
        <w:snapToGrid/>
        <w:spacing w:before="60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若对项目采购电子交易系统操作有疑问，可登录政采云（https://www.zcygov.cn/），点击右侧咨询小采，获取采小蜜智能服务管家帮助，或拨打政采云服务热线95763获取热线服务帮助。</w:t>
      </w:r>
    </w:p>
    <w:p w14:paraId="64013305">
      <w:pPr>
        <w:pStyle w:val="4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CA问题联系电话（人工）：汇信CA 400-888-4636；天谷CA 400-087-8198。</w:t>
      </w:r>
    </w:p>
    <w:bookmarkEnd w:id="389"/>
    <w:p w14:paraId="5A193F7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
        </w:rPr>
        <w:sectPr>
          <w:pgSz w:w="11906" w:h="16838"/>
          <w:pgMar w:top="1440" w:right="1800" w:bottom="1440" w:left="1800" w:header="851" w:footer="992" w:gutter="0"/>
          <w:cols w:space="720" w:num="1"/>
          <w:docGrid w:type="lines" w:linePitch="312" w:charSpace="0"/>
        </w:sectPr>
      </w:pPr>
    </w:p>
    <w:p w14:paraId="5AC8641A">
      <w:pPr>
        <w:pStyle w:val="14"/>
        <w:ind w:left="0" w:leftChars="0" w:firstLine="0" w:firstLineChars="0"/>
        <w:rPr>
          <w:color w:val="auto"/>
          <w:highlight w:val="none"/>
        </w:rPr>
      </w:pPr>
      <w:r>
        <w:rPr>
          <w:rFonts w:hint="eastAsia"/>
          <w:color w:val="auto"/>
          <w:highlight w:val="none"/>
        </w:rPr>
        <w:t xml:space="preserve">        </w:t>
      </w:r>
    </w:p>
    <w:bookmarkEnd w:id="8"/>
    <w:bookmarkEnd w:id="9"/>
    <w:p w14:paraId="299B7D6F">
      <w:pPr>
        <w:pStyle w:val="47"/>
        <w:numPr>
          <w:ilvl w:val="0"/>
          <w:numId w:val="2"/>
        </w:numPr>
        <w:spacing w:before="0" w:beforeAutospacing="0" w:after="0" w:afterAutospacing="0" w:line="360" w:lineRule="auto"/>
        <w:ind w:right="42" w:rightChars="20"/>
        <w:jc w:val="center"/>
        <w:rPr>
          <w:rFonts w:asciiTheme="minorEastAsia" w:hAnsiTheme="minorEastAsia" w:eastAsiaTheme="minorEastAsia"/>
          <w:b/>
          <w:bCs/>
          <w:color w:val="auto"/>
          <w:kern w:val="2"/>
          <w:szCs w:val="52"/>
          <w:highlight w:val="none"/>
        </w:rPr>
      </w:pPr>
      <w:bookmarkStart w:id="11" w:name="_Toc31093"/>
      <w:bookmarkStart w:id="12" w:name="_Toc493511542"/>
      <w:r>
        <w:rPr>
          <w:rFonts w:hint="eastAsia" w:asciiTheme="minorEastAsia" w:hAnsiTheme="minorEastAsia" w:eastAsiaTheme="minorEastAsia"/>
          <w:b/>
          <w:bCs/>
          <w:color w:val="auto"/>
          <w:kern w:val="2"/>
          <w:szCs w:val="52"/>
          <w:highlight w:val="none"/>
        </w:rPr>
        <w:t xml:space="preserve"> 采购需求</w:t>
      </w:r>
    </w:p>
    <w:p w14:paraId="10B50D7A">
      <w:pPr>
        <w:widowControl/>
        <w:snapToGrid w:val="0"/>
        <w:spacing w:line="520" w:lineRule="exact"/>
        <w:ind w:firstLine="422" w:firstLineChars="200"/>
        <w:jc w:val="left"/>
        <w:rPr>
          <w:rFonts w:hint="eastAsia" w:ascii="宋体" w:hAnsi="宋体" w:eastAsia="宋体" w:cs="宋体"/>
          <w:b/>
          <w:bCs/>
          <w:color w:val="auto"/>
          <w:kern w:val="0"/>
          <w:highlight w:val="none"/>
          <w:lang w:eastAsia="zh-CN"/>
        </w:rPr>
      </w:pPr>
      <w:r>
        <w:rPr>
          <w:rFonts w:hint="eastAsia" w:ascii="宋体" w:hAnsi="宋体" w:cs="宋体"/>
          <w:b/>
          <w:bCs/>
          <w:color w:val="auto"/>
          <w:kern w:val="0"/>
          <w:highlight w:val="none"/>
        </w:rPr>
        <w:t>一、项目</w:t>
      </w:r>
      <w:r>
        <w:rPr>
          <w:rFonts w:hint="eastAsia" w:ascii="宋体" w:hAnsi="宋体" w:cs="宋体"/>
          <w:b/>
          <w:bCs/>
          <w:color w:val="auto"/>
          <w:kern w:val="0"/>
          <w:highlight w:val="none"/>
          <w:lang w:val="en-US" w:eastAsia="zh-CN"/>
        </w:rPr>
        <w:t>概况</w:t>
      </w:r>
    </w:p>
    <w:p w14:paraId="13F6DA6D">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为深入贯彻落实习近平总书记重要批示精神，进一步加强水利工程蚁患防治工作，建立健全水利工程蚁患“防查治”三位一体工作机制，确保水利工程安全运行，根据《浙江省水利厅关于加强水利工程蚁患防治工作的意见》（浙水运管〔2023〕7号）、《浙江省财政厅 浙江省水利厅关于下达2025年中央财政水利发展资金及绩效目标的通知》（浙财农〔2025〕36号）等文件要求，秀洲区拟对辖区内的527.95公里堤防进行白蚁等害堤动物隐患排查和20公里堤防白蚁等害堤动物进行整治工作，实现排查对象全覆盖。</w:t>
      </w:r>
    </w:p>
    <w:p w14:paraId="55A090C2">
      <w:pPr>
        <w:tabs>
          <w:tab w:val="left" w:pos="0"/>
        </w:tabs>
        <w:adjustRightInd w:val="0"/>
        <w:snapToGrid w:val="0"/>
        <w:spacing w:line="420" w:lineRule="atLeast"/>
        <w:ind w:firstLine="420" w:firstLineChars="200"/>
        <w:rPr>
          <w:rFonts w:ascii="宋体" w:hAnsi="宋体" w:cs="宋体"/>
          <w:b/>
          <w:bCs/>
          <w:color w:val="auto"/>
          <w:szCs w:val="21"/>
          <w:highlight w:val="none"/>
          <w:lang w:bidi="ar"/>
        </w:rPr>
      </w:pPr>
      <w:r>
        <w:rPr>
          <w:rFonts w:hint="eastAsia" w:ascii="宋体" w:hAnsi="宋体" w:cs="宋体"/>
          <w:color w:val="auto"/>
          <w:szCs w:val="21"/>
          <w:highlight w:val="none"/>
          <w:lang w:val="en-US" w:eastAsia="zh-CN" w:bidi="ar"/>
        </w:rPr>
        <w:t xml:space="preserve"> </w:t>
      </w:r>
      <w:r>
        <w:rPr>
          <w:rFonts w:hint="eastAsia" w:ascii="宋体" w:hAnsi="宋体" w:cs="宋体"/>
          <w:b/>
          <w:bCs/>
          <w:color w:val="auto"/>
          <w:szCs w:val="21"/>
          <w:highlight w:val="none"/>
          <w:lang w:bidi="ar"/>
        </w:rPr>
        <w:t>二、工作内容</w:t>
      </w:r>
    </w:p>
    <w:p w14:paraId="7FC5CCEB">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1、对总长</w:t>
      </w:r>
      <w:r>
        <w:rPr>
          <w:rFonts w:hint="eastAsia" w:ascii="宋体" w:hAnsi="宋体" w:eastAsia="宋体" w:cs="宋体"/>
          <w:color w:val="auto"/>
          <w:kern w:val="0"/>
          <w:sz w:val="21"/>
          <w:szCs w:val="21"/>
          <w:highlight w:val="none"/>
          <w:lang w:val="en-US" w:eastAsia="zh-CN" w:bidi="ar"/>
        </w:rPr>
        <w:t>527.95</w:t>
      </w:r>
      <w:r>
        <w:rPr>
          <w:rFonts w:hint="eastAsia" w:ascii="宋体" w:hAnsi="宋体" w:eastAsia="宋体" w:cs="宋体"/>
          <w:color w:val="auto"/>
          <w:szCs w:val="21"/>
          <w:highlight w:val="none"/>
          <w:lang w:val="en-US" w:eastAsia="zh-CN" w:bidi="ar"/>
        </w:rPr>
        <w:t>公里的圩区全面开展白蚁隐患普查工作。（详见下表）</w:t>
      </w:r>
    </w:p>
    <w:p w14:paraId="3D333E88">
      <w:pPr>
        <w:tabs>
          <w:tab w:val="left" w:pos="0"/>
        </w:tabs>
        <w:adjustRightInd w:val="0"/>
        <w:snapToGrid w:val="0"/>
        <w:spacing w:line="420" w:lineRule="atLeast"/>
        <w:ind w:firstLine="420" w:firstLineChars="200"/>
        <w:rPr>
          <w:rFonts w:hint="default"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2、</w:t>
      </w:r>
      <w:r>
        <w:rPr>
          <w:rFonts w:hint="eastAsia" w:ascii="宋体" w:hAnsi="宋体" w:cs="宋体"/>
          <w:color w:val="auto"/>
          <w:szCs w:val="21"/>
          <w:highlight w:val="none"/>
          <w:lang w:val="en-US" w:eastAsia="zh-CN" w:bidi="ar"/>
        </w:rPr>
        <w:t>全智能白蚁监测系统</w:t>
      </w:r>
      <w:r>
        <w:rPr>
          <w:rFonts w:hint="eastAsia" w:ascii="宋体" w:hAnsi="宋体" w:eastAsia="宋体" w:cs="宋体"/>
          <w:color w:val="auto"/>
          <w:szCs w:val="21"/>
          <w:highlight w:val="none"/>
          <w:lang w:val="en-US" w:eastAsia="zh-CN" w:bidi="ar"/>
        </w:rPr>
        <w:t>的安装。</w:t>
      </w:r>
    </w:p>
    <w:p w14:paraId="24E1FEC3">
      <w:pPr>
        <w:tabs>
          <w:tab w:val="left" w:pos="0"/>
        </w:tabs>
        <w:adjustRightInd w:val="0"/>
        <w:snapToGrid w:val="0"/>
        <w:spacing w:line="420" w:lineRule="atLeast"/>
        <w:ind w:firstLine="420" w:firstLineChars="200"/>
        <w:rPr>
          <w:rFonts w:hint="default"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3、</w:t>
      </w:r>
      <w:r>
        <w:rPr>
          <w:rFonts w:hint="eastAsia" w:ascii="宋体" w:hAnsi="宋体" w:cs="宋体"/>
          <w:color w:val="auto"/>
          <w:szCs w:val="21"/>
          <w:highlight w:val="none"/>
          <w:lang w:val="en-US" w:eastAsia="zh-CN" w:bidi="ar"/>
        </w:rPr>
        <w:t>全智能白蚁监测系统</w:t>
      </w:r>
      <w:r>
        <w:rPr>
          <w:rFonts w:hint="eastAsia" w:ascii="宋体" w:hAnsi="宋体" w:eastAsia="宋体" w:cs="宋体"/>
          <w:color w:val="auto"/>
          <w:szCs w:val="21"/>
          <w:highlight w:val="none"/>
          <w:lang w:val="en-US" w:eastAsia="zh-CN" w:bidi="ar"/>
        </w:rPr>
        <w:t>以白蚁诱杀理论为基础，充分利用移动通信、物联网、云计算、大数据等前沿信息化技术为支撑</w:t>
      </w:r>
      <w:r>
        <w:rPr>
          <w:rFonts w:hint="eastAsia" w:ascii="宋体" w:hAnsi="宋体" w:cs="宋体"/>
          <w:color w:val="auto"/>
          <w:szCs w:val="21"/>
          <w:highlight w:val="none"/>
          <w:lang w:val="en-US" w:eastAsia="zh-CN" w:bidi="ar"/>
        </w:rPr>
        <w:t>，特制的白蚁引诱饵剂能有效吸引白蚁取食，</w:t>
      </w:r>
      <w:r>
        <w:rPr>
          <w:rFonts w:hint="default" w:ascii="宋体" w:hAnsi="宋体" w:eastAsia="宋体" w:cs="宋体"/>
          <w:color w:val="auto"/>
          <w:szCs w:val="21"/>
          <w:highlight w:val="none"/>
          <w:lang w:val="en-US" w:eastAsia="zh-CN" w:bidi="ar"/>
        </w:rPr>
        <w:t>实现有白蚁活动第一时间发出预警</w:t>
      </w:r>
      <w:r>
        <w:rPr>
          <w:rFonts w:hint="eastAsia" w:ascii="宋体" w:hAnsi="宋体" w:cs="宋体"/>
          <w:color w:val="auto"/>
          <w:szCs w:val="21"/>
          <w:highlight w:val="none"/>
          <w:lang w:val="en-US" w:eastAsia="zh-CN" w:bidi="ar"/>
        </w:rPr>
        <w:t>。</w:t>
      </w:r>
      <w:r>
        <w:rPr>
          <w:rFonts w:hint="default" w:ascii="宋体" w:hAnsi="宋体" w:eastAsia="宋体" w:cs="宋体"/>
          <w:color w:val="auto"/>
          <w:szCs w:val="21"/>
          <w:highlight w:val="none"/>
          <w:lang w:val="en-US" w:eastAsia="zh-CN" w:bidi="ar"/>
        </w:rPr>
        <w:t>白蚁危害、施工处理等数据同步存储，无纸化存档</w:t>
      </w:r>
      <w:r>
        <w:rPr>
          <w:rFonts w:hint="eastAsia" w:ascii="宋体" w:hAnsi="宋体" w:cs="宋体"/>
          <w:color w:val="auto"/>
          <w:szCs w:val="21"/>
          <w:highlight w:val="none"/>
          <w:lang w:val="en-US" w:eastAsia="zh-CN" w:bidi="ar"/>
        </w:rPr>
        <w:t>。</w:t>
      </w:r>
      <w:r>
        <w:rPr>
          <w:rFonts w:hint="default" w:ascii="宋体" w:hAnsi="宋体" w:eastAsia="宋体" w:cs="宋体"/>
          <w:color w:val="auto"/>
          <w:szCs w:val="21"/>
          <w:highlight w:val="none"/>
          <w:lang w:val="en-US" w:eastAsia="zh-CN" w:bidi="ar"/>
        </w:rPr>
        <w:t>工程信息同步，消除信息差，可实现有效监管</w:t>
      </w:r>
      <w:r>
        <w:rPr>
          <w:rFonts w:hint="eastAsia" w:ascii="宋体" w:hAnsi="宋体" w:eastAsia="宋体" w:cs="宋体"/>
          <w:color w:val="auto"/>
          <w:szCs w:val="21"/>
          <w:highlight w:val="none"/>
          <w:lang w:val="en-US" w:eastAsia="zh-CN" w:bidi="ar"/>
        </w:rPr>
        <w:t>。</w:t>
      </w:r>
    </w:p>
    <w:p w14:paraId="3326BC49">
      <w:pPr>
        <w:rPr>
          <w:color w:val="auto"/>
          <w:highlight w:val="none"/>
        </w:rPr>
      </w:pPr>
    </w:p>
    <w:tbl>
      <w:tblPr>
        <w:tblStyle w:val="53"/>
        <w:tblW w:w="87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3"/>
        <w:gridCol w:w="3138"/>
        <w:gridCol w:w="1572"/>
        <w:gridCol w:w="1835"/>
        <w:gridCol w:w="1393"/>
      </w:tblGrid>
      <w:tr w14:paraId="6C61A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721" w:type="dxa"/>
            <w:gridSpan w:val="5"/>
            <w:tcBorders>
              <w:top w:val="nil"/>
              <w:left w:val="nil"/>
              <w:bottom w:val="nil"/>
              <w:right w:val="nil"/>
            </w:tcBorders>
            <w:shd w:val="clear" w:color="auto" w:fill="auto"/>
            <w:noWrap/>
            <w:vAlign w:val="center"/>
          </w:tcPr>
          <w:p w14:paraId="2817EF51">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秀洲区2025年度白蚁等害堤动物防治项目堤防白蚁检查明细表</w:t>
            </w:r>
          </w:p>
        </w:tc>
      </w:tr>
      <w:tr w14:paraId="550C2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47B32">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091B656">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FAFAFA"/>
            <w:noWrap/>
            <w:vAlign w:val="center"/>
          </w:tcPr>
          <w:p w14:paraId="6973500F">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镇（街道）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D5B6E">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长度（公里）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D094B">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备注</w:t>
            </w:r>
          </w:p>
        </w:tc>
      </w:tr>
      <w:tr w14:paraId="7EC18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E81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0FC32C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王凝圩区（油车港）堤防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308D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油车港镇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3C78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A21AB">
            <w:pPr>
              <w:rPr>
                <w:rFonts w:hint="eastAsia" w:ascii="宋体" w:hAnsi="宋体" w:eastAsia="宋体" w:cs="宋体"/>
                <w:i w:val="0"/>
                <w:iCs w:val="0"/>
                <w:color w:val="auto"/>
                <w:sz w:val="22"/>
                <w:szCs w:val="22"/>
                <w:highlight w:val="none"/>
                <w:u w:val="none"/>
              </w:rPr>
            </w:pPr>
          </w:p>
        </w:tc>
      </w:tr>
      <w:tr w14:paraId="0D27E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C03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C84663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麦家圩区堤防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5CF14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油车港镇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6C9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48AA9">
            <w:pPr>
              <w:rPr>
                <w:rFonts w:hint="eastAsia" w:ascii="宋体" w:hAnsi="宋体" w:eastAsia="宋体" w:cs="宋体"/>
                <w:i w:val="0"/>
                <w:iCs w:val="0"/>
                <w:color w:val="auto"/>
                <w:sz w:val="22"/>
                <w:szCs w:val="22"/>
                <w:highlight w:val="none"/>
                <w:u w:val="none"/>
              </w:rPr>
            </w:pPr>
          </w:p>
        </w:tc>
      </w:tr>
      <w:tr w14:paraId="7F1B5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62F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1E867F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油车港集镇圩区堤防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0EBD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油车港镇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35E3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EDEBB">
            <w:pPr>
              <w:rPr>
                <w:rFonts w:hint="eastAsia" w:ascii="宋体" w:hAnsi="宋体" w:eastAsia="宋体" w:cs="宋体"/>
                <w:i w:val="0"/>
                <w:iCs w:val="0"/>
                <w:color w:val="auto"/>
                <w:sz w:val="22"/>
                <w:szCs w:val="22"/>
                <w:highlight w:val="none"/>
                <w:u w:val="none"/>
              </w:rPr>
            </w:pPr>
          </w:p>
        </w:tc>
      </w:tr>
      <w:tr w14:paraId="68019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4F0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0B6F81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冯家港圩区堤防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7CE0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油车港镇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862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9B80F">
            <w:pPr>
              <w:rPr>
                <w:rFonts w:hint="eastAsia" w:ascii="宋体" w:hAnsi="宋体" w:eastAsia="宋体" w:cs="宋体"/>
                <w:i w:val="0"/>
                <w:iCs w:val="0"/>
                <w:color w:val="auto"/>
                <w:sz w:val="22"/>
                <w:szCs w:val="22"/>
                <w:highlight w:val="none"/>
                <w:u w:val="none"/>
              </w:rPr>
            </w:pPr>
          </w:p>
        </w:tc>
      </w:tr>
      <w:tr w14:paraId="1F288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B92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D5931A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千金寺圩区堤防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F9E3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油车港镇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8904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56B41">
            <w:pPr>
              <w:rPr>
                <w:rFonts w:hint="eastAsia" w:ascii="宋体" w:hAnsi="宋体" w:eastAsia="宋体" w:cs="宋体"/>
                <w:i w:val="0"/>
                <w:iCs w:val="0"/>
                <w:color w:val="auto"/>
                <w:sz w:val="22"/>
                <w:szCs w:val="22"/>
                <w:highlight w:val="none"/>
                <w:u w:val="none"/>
              </w:rPr>
            </w:pPr>
          </w:p>
        </w:tc>
      </w:tr>
      <w:tr w14:paraId="53DDD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2A8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17CACA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池湾圩区堤防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D11E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油车港镇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94E9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AF7F2">
            <w:pPr>
              <w:rPr>
                <w:rFonts w:hint="eastAsia" w:ascii="宋体" w:hAnsi="宋体" w:eastAsia="宋体" w:cs="宋体"/>
                <w:i w:val="0"/>
                <w:iCs w:val="0"/>
                <w:color w:val="auto"/>
                <w:sz w:val="22"/>
                <w:szCs w:val="22"/>
                <w:highlight w:val="none"/>
                <w:u w:val="none"/>
              </w:rPr>
            </w:pPr>
          </w:p>
        </w:tc>
      </w:tr>
      <w:tr w14:paraId="311D0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D167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DD026C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栖北圩区堤防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1994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油车港镇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5A5D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F9E63">
            <w:pPr>
              <w:rPr>
                <w:rFonts w:hint="eastAsia" w:ascii="宋体" w:hAnsi="宋体" w:eastAsia="宋体" w:cs="宋体"/>
                <w:i w:val="0"/>
                <w:iCs w:val="0"/>
                <w:color w:val="auto"/>
                <w:sz w:val="22"/>
                <w:szCs w:val="22"/>
                <w:highlight w:val="none"/>
                <w:u w:val="none"/>
              </w:rPr>
            </w:pPr>
          </w:p>
        </w:tc>
      </w:tr>
      <w:tr w14:paraId="14581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D0DD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9484C6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附宿圩区堤防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A766B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油车港镇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44E6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77F85">
            <w:pPr>
              <w:rPr>
                <w:rFonts w:hint="eastAsia" w:ascii="宋体" w:hAnsi="宋体" w:eastAsia="宋体" w:cs="宋体"/>
                <w:i w:val="0"/>
                <w:iCs w:val="0"/>
                <w:color w:val="auto"/>
                <w:sz w:val="22"/>
                <w:szCs w:val="22"/>
                <w:highlight w:val="none"/>
                <w:u w:val="none"/>
              </w:rPr>
            </w:pPr>
          </w:p>
        </w:tc>
      </w:tr>
      <w:tr w14:paraId="56646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08BC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A421D9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上睦圩区堤防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8F1E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油车港镇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EBA1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82516">
            <w:pPr>
              <w:rPr>
                <w:rFonts w:hint="eastAsia" w:ascii="宋体" w:hAnsi="宋体" w:eastAsia="宋体" w:cs="宋体"/>
                <w:i w:val="0"/>
                <w:iCs w:val="0"/>
                <w:color w:val="auto"/>
                <w:sz w:val="22"/>
                <w:szCs w:val="22"/>
                <w:highlight w:val="none"/>
                <w:u w:val="none"/>
              </w:rPr>
            </w:pPr>
          </w:p>
        </w:tc>
      </w:tr>
      <w:tr w14:paraId="1E89E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510C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9355C8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栖南圩区堤防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371E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油车港镇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3F6F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7A38D">
            <w:pPr>
              <w:rPr>
                <w:rFonts w:hint="eastAsia" w:ascii="宋体" w:hAnsi="宋体" w:eastAsia="宋体" w:cs="宋体"/>
                <w:i w:val="0"/>
                <w:iCs w:val="0"/>
                <w:color w:val="auto"/>
                <w:sz w:val="22"/>
                <w:szCs w:val="22"/>
                <w:highlight w:val="none"/>
                <w:u w:val="none"/>
              </w:rPr>
            </w:pPr>
          </w:p>
        </w:tc>
      </w:tr>
      <w:tr w14:paraId="6B49B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5CC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CA4027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双阳圩区堤防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CB7F0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油车港镇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233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CADE8">
            <w:pPr>
              <w:rPr>
                <w:rFonts w:hint="eastAsia" w:ascii="宋体" w:hAnsi="宋体" w:eastAsia="宋体" w:cs="宋体"/>
                <w:i w:val="0"/>
                <w:iCs w:val="0"/>
                <w:color w:val="auto"/>
                <w:sz w:val="22"/>
                <w:szCs w:val="22"/>
                <w:highlight w:val="none"/>
                <w:u w:val="none"/>
              </w:rPr>
            </w:pPr>
          </w:p>
        </w:tc>
      </w:tr>
      <w:tr w14:paraId="65E36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D62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439F83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新塘圩区堤防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07C7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油车港镇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7569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CB96D">
            <w:pPr>
              <w:rPr>
                <w:rFonts w:hint="eastAsia" w:ascii="宋体" w:hAnsi="宋体" w:eastAsia="宋体" w:cs="宋体"/>
                <w:i w:val="0"/>
                <w:iCs w:val="0"/>
                <w:color w:val="auto"/>
                <w:sz w:val="22"/>
                <w:szCs w:val="22"/>
                <w:highlight w:val="none"/>
                <w:u w:val="none"/>
              </w:rPr>
            </w:pPr>
          </w:p>
        </w:tc>
      </w:tr>
      <w:tr w14:paraId="65203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600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3C04A7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王油圩区堤防（杨溪）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244DA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油车港镇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51B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B253A">
            <w:pPr>
              <w:rPr>
                <w:rFonts w:hint="eastAsia" w:ascii="宋体" w:hAnsi="宋体" w:eastAsia="宋体" w:cs="宋体"/>
                <w:i w:val="0"/>
                <w:iCs w:val="0"/>
                <w:color w:val="auto"/>
                <w:sz w:val="22"/>
                <w:szCs w:val="22"/>
                <w:highlight w:val="none"/>
                <w:u w:val="none"/>
              </w:rPr>
            </w:pPr>
          </w:p>
        </w:tc>
      </w:tr>
      <w:tr w14:paraId="5171C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751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07824C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王油圩区堤防（上睦）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D182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油车港镇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CF5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6D7C0">
            <w:pPr>
              <w:rPr>
                <w:rFonts w:hint="eastAsia" w:ascii="宋体" w:hAnsi="宋体" w:eastAsia="宋体" w:cs="宋体"/>
                <w:i w:val="0"/>
                <w:iCs w:val="0"/>
                <w:color w:val="auto"/>
                <w:sz w:val="22"/>
                <w:szCs w:val="22"/>
                <w:highlight w:val="none"/>
                <w:u w:val="none"/>
              </w:rPr>
            </w:pPr>
          </w:p>
        </w:tc>
      </w:tr>
      <w:tr w14:paraId="74D28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DF9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406D46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王油圩区堤防（合心）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9AAB9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油车港镇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F11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DD19E">
            <w:pPr>
              <w:rPr>
                <w:rFonts w:hint="eastAsia" w:ascii="宋体" w:hAnsi="宋体" w:eastAsia="宋体" w:cs="宋体"/>
                <w:i w:val="0"/>
                <w:iCs w:val="0"/>
                <w:color w:val="auto"/>
                <w:sz w:val="22"/>
                <w:szCs w:val="22"/>
                <w:highlight w:val="none"/>
                <w:u w:val="none"/>
              </w:rPr>
            </w:pPr>
          </w:p>
        </w:tc>
      </w:tr>
      <w:tr w14:paraId="4F62E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8014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B06A90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富云圩区堤防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F74B1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新塍镇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AEEF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91986">
            <w:pPr>
              <w:rPr>
                <w:rFonts w:hint="eastAsia" w:ascii="宋体" w:hAnsi="宋体" w:eastAsia="宋体" w:cs="宋体"/>
                <w:i w:val="0"/>
                <w:iCs w:val="0"/>
                <w:color w:val="auto"/>
                <w:sz w:val="22"/>
                <w:szCs w:val="22"/>
                <w:highlight w:val="none"/>
                <w:u w:val="none"/>
              </w:rPr>
            </w:pPr>
          </w:p>
        </w:tc>
      </w:tr>
      <w:tr w14:paraId="71569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BEDB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18C397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沙马圩区堤防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518E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新塍镇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DE4D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C88F5">
            <w:pPr>
              <w:rPr>
                <w:rFonts w:hint="eastAsia" w:ascii="宋体" w:hAnsi="宋体" w:eastAsia="宋体" w:cs="宋体"/>
                <w:i w:val="0"/>
                <w:iCs w:val="0"/>
                <w:color w:val="auto"/>
                <w:sz w:val="22"/>
                <w:szCs w:val="22"/>
                <w:highlight w:val="none"/>
                <w:u w:val="none"/>
              </w:rPr>
            </w:pPr>
          </w:p>
        </w:tc>
      </w:tr>
      <w:tr w14:paraId="58A0F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8B4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EDDC0F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康和桥圩区堤防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EEB68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新塍镇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F88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2569D">
            <w:pPr>
              <w:rPr>
                <w:rFonts w:hint="eastAsia" w:ascii="宋体" w:hAnsi="宋体" w:eastAsia="宋体" w:cs="宋体"/>
                <w:i w:val="0"/>
                <w:iCs w:val="0"/>
                <w:color w:val="auto"/>
                <w:sz w:val="22"/>
                <w:szCs w:val="22"/>
                <w:highlight w:val="none"/>
                <w:u w:val="none"/>
              </w:rPr>
            </w:pPr>
          </w:p>
        </w:tc>
      </w:tr>
      <w:tr w14:paraId="02B22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DBDA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CE58A0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洛东圩区堤防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4A7A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新塍镇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9DCD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9496D">
            <w:pPr>
              <w:rPr>
                <w:rFonts w:hint="eastAsia" w:ascii="宋体" w:hAnsi="宋体" w:eastAsia="宋体" w:cs="宋体"/>
                <w:i w:val="0"/>
                <w:iCs w:val="0"/>
                <w:color w:val="auto"/>
                <w:sz w:val="22"/>
                <w:szCs w:val="22"/>
                <w:highlight w:val="none"/>
                <w:u w:val="none"/>
              </w:rPr>
            </w:pPr>
          </w:p>
        </w:tc>
      </w:tr>
      <w:tr w14:paraId="307B9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CC80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5ABA52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本山桥圩区堤防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3E31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新塍镇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475B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4F774">
            <w:pPr>
              <w:rPr>
                <w:rFonts w:hint="eastAsia" w:ascii="宋体" w:hAnsi="宋体" w:eastAsia="宋体" w:cs="宋体"/>
                <w:i w:val="0"/>
                <w:iCs w:val="0"/>
                <w:color w:val="auto"/>
                <w:sz w:val="22"/>
                <w:szCs w:val="22"/>
                <w:highlight w:val="none"/>
                <w:u w:val="none"/>
              </w:rPr>
            </w:pPr>
          </w:p>
        </w:tc>
      </w:tr>
      <w:tr w14:paraId="4D8D2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2C92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92846F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西吴圩区堤防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C148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新塍镇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D2A1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E590A">
            <w:pPr>
              <w:rPr>
                <w:rFonts w:hint="eastAsia" w:ascii="宋体" w:hAnsi="宋体" w:eastAsia="宋体" w:cs="宋体"/>
                <w:i w:val="0"/>
                <w:iCs w:val="0"/>
                <w:color w:val="auto"/>
                <w:sz w:val="22"/>
                <w:szCs w:val="22"/>
                <w:highlight w:val="none"/>
                <w:u w:val="none"/>
              </w:rPr>
            </w:pPr>
          </w:p>
        </w:tc>
      </w:tr>
      <w:tr w14:paraId="7B0FF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0B54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D1DDC5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万民圩区堤防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07B15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新塍镇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F10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4B77D">
            <w:pPr>
              <w:rPr>
                <w:rFonts w:hint="eastAsia" w:ascii="宋体" w:hAnsi="宋体" w:eastAsia="宋体" w:cs="宋体"/>
                <w:i w:val="0"/>
                <w:iCs w:val="0"/>
                <w:color w:val="auto"/>
                <w:sz w:val="22"/>
                <w:szCs w:val="22"/>
                <w:highlight w:val="none"/>
                <w:u w:val="none"/>
              </w:rPr>
            </w:pPr>
          </w:p>
        </w:tc>
      </w:tr>
      <w:tr w14:paraId="057D7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8B6F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CD4717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潘家浜大通圩区堤防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56DC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新塍镇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6C8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89DBD">
            <w:pPr>
              <w:rPr>
                <w:rFonts w:hint="eastAsia" w:ascii="宋体" w:hAnsi="宋体" w:eastAsia="宋体" w:cs="宋体"/>
                <w:i w:val="0"/>
                <w:iCs w:val="0"/>
                <w:color w:val="auto"/>
                <w:sz w:val="22"/>
                <w:szCs w:val="22"/>
                <w:highlight w:val="none"/>
                <w:u w:val="none"/>
              </w:rPr>
            </w:pPr>
          </w:p>
        </w:tc>
      </w:tr>
      <w:tr w14:paraId="49F64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437E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21F292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王新圩区（三期）堤防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52515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新塍镇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D86F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A1C2D">
            <w:pPr>
              <w:rPr>
                <w:rFonts w:hint="eastAsia" w:ascii="宋体" w:hAnsi="宋体" w:eastAsia="宋体" w:cs="宋体"/>
                <w:i w:val="0"/>
                <w:iCs w:val="0"/>
                <w:color w:val="auto"/>
                <w:sz w:val="22"/>
                <w:szCs w:val="22"/>
                <w:highlight w:val="none"/>
                <w:u w:val="none"/>
              </w:rPr>
            </w:pPr>
          </w:p>
        </w:tc>
      </w:tr>
      <w:tr w14:paraId="4DD07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D3A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C8B56A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钱家湾圩区堤防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6041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新塍镇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61EC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01A09">
            <w:pPr>
              <w:rPr>
                <w:rFonts w:hint="eastAsia" w:ascii="宋体" w:hAnsi="宋体" w:eastAsia="宋体" w:cs="宋体"/>
                <w:i w:val="0"/>
                <w:iCs w:val="0"/>
                <w:color w:val="auto"/>
                <w:sz w:val="22"/>
                <w:szCs w:val="22"/>
                <w:highlight w:val="none"/>
                <w:u w:val="none"/>
              </w:rPr>
            </w:pPr>
          </w:p>
        </w:tc>
      </w:tr>
      <w:tr w14:paraId="76A8A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8D8A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971B1E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庄西圩区堤防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B176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新塍镇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9AC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A3309">
            <w:pPr>
              <w:rPr>
                <w:rFonts w:hint="eastAsia" w:ascii="宋体" w:hAnsi="宋体" w:eastAsia="宋体" w:cs="宋体"/>
                <w:i w:val="0"/>
                <w:iCs w:val="0"/>
                <w:color w:val="auto"/>
                <w:sz w:val="22"/>
                <w:szCs w:val="22"/>
                <w:highlight w:val="none"/>
                <w:u w:val="none"/>
              </w:rPr>
            </w:pPr>
          </w:p>
        </w:tc>
      </w:tr>
      <w:tr w14:paraId="36C47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4ED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191DAB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天福圩区堤防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0117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新塍镇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4448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A76CC">
            <w:pPr>
              <w:rPr>
                <w:rFonts w:hint="eastAsia" w:ascii="宋体" w:hAnsi="宋体" w:eastAsia="宋体" w:cs="宋体"/>
                <w:i w:val="0"/>
                <w:iCs w:val="0"/>
                <w:color w:val="auto"/>
                <w:sz w:val="22"/>
                <w:szCs w:val="22"/>
                <w:highlight w:val="none"/>
                <w:u w:val="none"/>
              </w:rPr>
            </w:pPr>
          </w:p>
        </w:tc>
      </w:tr>
      <w:tr w14:paraId="3CE3A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BD9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5D6B76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庙云桥圩区堤防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667B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新塍镇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771E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C4AC1">
            <w:pPr>
              <w:rPr>
                <w:rFonts w:hint="eastAsia" w:ascii="宋体" w:hAnsi="宋体" w:eastAsia="宋体" w:cs="宋体"/>
                <w:i w:val="0"/>
                <w:iCs w:val="0"/>
                <w:color w:val="auto"/>
                <w:sz w:val="22"/>
                <w:szCs w:val="22"/>
                <w:highlight w:val="none"/>
                <w:u w:val="none"/>
              </w:rPr>
            </w:pPr>
          </w:p>
        </w:tc>
      </w:tr>
      <w:tr w14:paraId="1C880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3DE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CF5EE7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双西圩区堤防</w:t>
            </w:r>
          </w:p>
        </w:tc>
        <w:tc>
          <w:tcPr>
            <w:tcW w:w="0" w:type="auto"/>
            <w:tcBorders>
              <w:top w:val="single" w:color="000000" w:sz="4" w:space="0"/>
              <w:left w:val="single" w:color="000000" w:sz="4" w:space="0"/>
              <w:bottom w:val="single" w:color="000000" w:sz="4" w:space="0"/>
              <w:right w:val="single" w:color="000000" w:sz="4" w:space="0"/>
            </w:tcBorders>
            <w:shd w:val="clear" w:color="auto" w:fill="FAFAFA"/>
            <w:noWrap/>
            <w:vAlign w:val="center"/>
          </w:tcPr>
          <w:p w14:paraId="6BB6841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王江泾镇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DDC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4E99E">
            <w:pPr>
              <w:rPr>
                <w:rFonts w:hint="eastAsia" w:ascii="宋体" w:hAnsi="宋体" w:eastAsia="宋体" w:cs="宋体"/>
                <w:i w:val="0"/>
                <w:iCs w:val="0"/>
                <w:color w:val="auto"/>
                <w:sz w:val="22"/>
                <w:szCs w:val="22"/>
                <w:highlight w:val="none"/>
                <w:u w:val="none"/>
              </w:rPr>
            </w:pPr>
          </w:p>
        </w:tc>
      </w:tr>
      <w:tr w14:paraId="75723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83A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9C6C88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沈家桥圩区堤防</w:t>
            </w:r>
          </w:p>
        </w:tc>
        <w:tc>
          <w:tcPr>
            <w:tcW w:w="0" w:type="auto"/>
            <w:tcBorders>
              <w:top w:val="single" w:color="000000" w:sz="4" w:space="0"/>
              <w:left w:val="single" w:color="000000" w:sz="4" w:space="0"/>
              <w:bottom w:val="single" w:color="000000" w:sz="4" w:space="0"/>
              <w:right w:val="single" w:color="000000" w:sz="4" w:space="0"/>
            </w:tcBorders>
            <w:shd w:val="clear" w:color="auto" w:fill="FAFAFA"/>
            <w:noWrap/>
            <w:vAlign w:val="center"/>
          </w:tcPr>
          <w:p w14:paraId="5CD6137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王江泾镇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B4E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FE343">
            <w:pPr>
              <w:rPr>
                <w:rFonts w:hint="eastAsia" w:ascii="宋体" w:hAnsi="宋体" w:eastAsia="宋体" w:cs="宋体"/>
                <w:i w:val="0"/>
                <w:iCs w:val="0"/>
                <w:color w:val="auto"/>
                <w:sz w:val="22"/>
                <w:szCs w:val="22"/>
                <w:highlight w:val="none"/>
                <w:u w:val="none"/>
              </w:rPr>
            </w:pPr>
          </w:p>
        </w:tc>
      </w:tr>
      <w:tr w14:paraId="611BB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FE45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8A0F2F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丁家浜圩区堤防</w:t>
            </w:r>
          </w:p>
        </w:tc>
        <w:tc>
          <w:tcPr>
            <w:tcW w:w="0" w:type="auto"/>
            <w:tcBorders>
              <w:top w:val="single" w:color="000000" w:sz="4" w:space="0"/>
              <w:left w:val="single" w:color="000000" w:sz="4" w:space="0"/>
              <w:bottom w:val="single" w:color="000000" w:sz="4" w:space="0"/>
              <w:right w:val="single" w:color="000000" w:sz="4" w:space="0"/>
            </w:tcBorders>
            <w:shd w:val="clear" w:color="auto" w:fill="FAFAFA"/>
            <w:noWrap/>
            <w:vAlign w:val="center"/>
          </w:tcPr>
          <w:p w14:paraId="257BA9A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王江泾镇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ABA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43C84">
            <w:pPr>
              <w:rPr>
                <w:rFonts w:hint="eastAsia" w:ascii="宋体" w:hAnsi="宋体" w:eastAsia="宋体" w:cs="宋体"/>
                <w:i w:val="0"/>
                <w:iCs w:val="0"/>
                <w:color w:val="auto"/>
                <w:sz w:val="22"/>
                <w:szCs w:val="22"/>
                <w:highlight w:val="none"/>
                <w:u w:val="none"/>
              </w:rPr>
            </w:pPr>
          </w:p>
        </w:tc>
      </w:tr>
      <w:tr w14:paraId="08B6E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7E7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DC7A0E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王凝圩区（秀洲片）堤防</w:t>
            </w:r>
          </w:p>
        </w:tc>
        <w:tc>
          <w:tcPr>
            <w:tcW w:w="0" w:type="auto"/>
            <w:tcBorders>
              <w:top w:val="single" w:color="000000" w:sz="4" w:space="0"/>
              <w:left w:val="single" w:color="000000" w:sz="4" w:space="0"/>
              <w:bottom w:val="single" w:color="000000" w:sz="4" w:space="0"/>
              <w:right w:val="single" w:color="000000" w:sz="4" w:space="0"/>
            </w:tcBorders>
            <w:shd w:val="clear" w:color="auto" w:fill="FAFAFA"/>
            <w:noWrap/>
            <w:vAlign w:val="center"/>
          </w:tcPr>
          <w:p w14:paraId="5F4608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王江泾镇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A6A2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50551">
            <w:pPr>
              <w:rPr>
                <w:rFonts w:hint="eastAsia" w:ascii="宋体" w:hAnsi="宋体" w:eastAsia="宋体" w:cs="宋体"/>
                <w:i w:val="0"/>
                <w:iCs w:val="0"/>
                <w:color w:val="auto"/>
                <w:sz w:val="22"/>
                <w:szCs w:val="22"/>
                <w:highlight w:val="none"/>
                <w:u w:val="none"/>
              </w:rPr>
            </w:pPr>
          </w:p>
        </w:tc>
      </w:tr>
      <w:tr w14:paraId="7C3CE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7836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668DFC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王新圩区（一期）堤防</w:t>
            </w:r>
          </w:p>
        </w:tc>
        <w:tc>
          <w:tcPr>
            <w:tcW w:w="0" w:type="auto"/>
            <w:tcBorders>
              <w:top w:val="single" w:color="000000" w:sz="4" w:space="0"/>
              <w:left w:val="single" w:color="000000" w:sz="4" w:space="0"/>
              <w:bottom w:val="single" w:color="000000" w:sz="4" w:space="0"/>
              <w:right w:val="single" w:color="000000" w:sz="4" w:space="0"/>
            </w:tcBorders>
            <w:shd w:val="clear" w:color="auto" w:fill="FAFAFA"/>
            <w:noWrap/>
            <w:vAlign w:val="center"/>
          </w:tcPr>
          <w:p w14:paraId="2DEDADF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王江泾镇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9A2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E7925">
            <w:pPr>
              <w:rPr>
                <w:rFonts w:hint="eastAsia" w:ascii="宋体" w:hAnsi="宋体" w:eastAsia="宋体" w:cs="宋体"/>
                <w:i w:val="0"/>
                <w:iCs w:val="0"/>
                <w:color w:val="auto"/>
                <w:sz w:val="22"/>
                <w:szCs w:val="22"/>
                <w:highlight w:val="none"/>
                <w:u w:val="none"/>
              </w:rPr>
            </w:pPr>
          </w:p>
        </w:tc>
      </w:tr>
      <w:tr w14:paraId="25812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2C37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94D240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王新圩区（二期）堤防</w:t>
            </w:r>
          </w:p>
        </w:tc>
        <w:tc>
          <w:tcPr>
            <w:tcW w:w="0" w:type="auto"/>
            <w:tcBorders>
              <w:top w:val="single" w:color="000000" w:sz="4" w:space="0"/>
              <w:left w:val="single" w:color="000000" w:sz="4" w:space="0"/>
              <w:bottom w:val="single" w:color="000000" w:sz="4" w:space="0"/>
              <w:right w:val="single" w:color="000000" w:sz="4" w:space="0"/>
            </w:tcBorders>
            <w:shd w:val="clear" w:color="auto" w:fill="FAFAFA"/>
            <w:noWrap/>
            <w:vAlign w:val="center"/>
          </w:tcPr>
          <w:p w14:paraId="7719A6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王江泾镇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9EE1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31F46">
            <w:pPr>
              <w:rPr>
                <w:rFonts w:hint="eastAsia" w:ascii="宋体" w:hAnsi="宋体" w:eastAsia="宋体" w:cs="宋体"/>
                <w:i w:val="0"/>
                <w:iCs w:val="0"/>
                <w:color w:val="auto"/>
                <w:sz w:val="22"/>
                <w:szCs w:val="22"/>
                <w:highlight w:val="none"/>
                <w:u w:val="none"/>
              </w:rPr>
            </w:pPr>
          </w:p>
        </w:tc>
      </w:tr>
      <w:tr w14:paraId="63BA0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FB3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86DAB8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腾范圩区堤防</w:t>
            </w:r>
          </w:p>
        </w:tc>
        <w:tc>
          <w:tcPr>
            <w:tcW w:w="0" w:type="auto"/>
            <w:tcBorders>
              <w:top w:val="single" w:color="000000" w:sz="4" w:space="0"/>
              <w:left w:val="single" w:color="000000" w:sz="4" w:space="0"/>
              <w:bottom w:val="single" w:color="000000" w:sz="4" w:space="0"/>
              <w:right w:val="single" w:color="000000" w:sz="4" w:space="0"/>
            </w:tcBorders>
            <w:shd w:val="clear" w:color="auto" w:fill="FAFAFA"/>
            <w:noWrap/>
            <w:vAlign w:val="center"/>
          </w:tcPr>
          <w:p w14:paraId="1DBE5A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王江泾镇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8514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3502B">
            <w:pPr>
              <w:rPr>
                <w:rFonts w:hint="eastAsia" w:ascii="宋体" w:hAnsi="宋体" w:eastAsia="宋体" w:cs="宋体"/>
                <w:i w:val="0"/>
                <w:iCs w:val="0"/>
                <w:color w:val="auto"/>
                <w:sz w:val="22"/>
                <w:szCs w:val="22"/>
                <w:highlight w:val="none"/>
                <w:u w:val="none"/>
              </w:rPr>
            </w:pPr>
          </w:p>
        </w:tc>
      </w:tr>
      <w:tr w14:paraId="68B28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453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00A4E6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大坝圩区堤防</w:t>
            </w:r>
          </w:p>
        </w:tc>
        <w:tc>
          <w:tcPr>
            <w:tcW w:w="0" w:type="auto"/>
            <w:tcBorders>
              <w:top w:val="single" w:color="000000" w:sz="4" w:space="0"/>
              <w:left w:val="single" w:color="000000" w:sz="4" w:space="0"/>
              <w:bottom w:val="single" w:color="000000" w:sz="4" w:space="0"/>
              <w:right w:val="single" w:color="000000" w:sz="4" w:space="0"/>
            </w:tcBorders>
            <w:shd w:val="clear" w:color="auto" w:fill="FAFAFA"/>
            <w:noWrap/>
            <w:vAlign w:val="center"/>
          </w:tcPr>
          <w:p w14:paraId="381E78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王江泾镇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73A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A6A98">
            <w:pPr>
              <w:rPr>
                <w:rFonts w:hint="eastAsia" w:ascii="宋体" w:hAnsi="宋体" w:eastAsia="宋体" w:cs="宋体"/>
                <w:i w:val="0"/>
                <w:iCs w:val="0"/>
                <w:color w:val="auto"/>
                <w:sz w:val="22"/>
                <w:szCs w:val="22"/>
                <w:highlight w:val="none"/>
                <w:u w:val="none"/>
              </w:rPr>
            </w:pPr>
          </w:p>
        </w:tc>
      </w:tr>
      <w:tr w14:paraId="05E0F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987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02AF93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王油圩区堤防（太平村）</w:t>
            </w:r>
          </w:p>
        </w:tc>
        <w:tc>
          <w:tcPr>
            <w:tcW w:w="0" w:type="auto"/>
            <w:tcBorders>
              <w:top w:val="single" w:color="000000" w:sz="4" w:space="0"/>
              <w:left w:val="single" w:color="000000" w:sz="4" w:space="0"/>
              <w:bottom w:val="single" w:color="000000" w:sz="4" w:space="0"/>
              <w:right w:val="single" w:color="000000" w:sz="4" w:space="0"/>
            </w:tcBorders>
            <w:shd w:val="clear" w:color="auto" w:fill="FAFAFA"/>
            <w:noWrap/>
            <w:vAlign w:val="center"/>
          </w:tcPr>
          <w:p w14:paraId="18F0684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王江泾镇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721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49026">
            <w:pPr>
              <w:rPr>
                <w:rFonts w:hint="eastAsia" w:ascii="宋体" w:hAnsi="宋体" w:eastAsia="宋体" w:cs="宋体"/>
                <w:i w:val="0"/>
                <w:iCs w:val="0"/>
                <w:color w:val="auto"/>
                <w:sz w:val="22"/>
                <w:szCs w:val="22"/>
                <w:highlight w:val="none"/>
                <w:u w:val="none"/>
              </w:rPr>
            </w:pPr>
          </w:p>
        </w:tc>
      </w:tr>
      <w:tr w14:paraId="719A0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C1CE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DB6638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王油圩区堤防（洪典村）</w:t>
            </w:r>
          </w:p>
        </w:tc>
        <w:tc>
          <w:tcPr>
            <w:tcW w:w="0" w:type="auto"/>
            <w:tcBorders>
              <w:top w:val="single" w:color="000000" w:sz="4" w:space="0"/>
              <w:left w:val="single" w:color="000000" w:sz="4" w:space="0"/>
              <w:bottom w:val="single" w:color="000000" w:sz="4" w:space="0"/>
              <w:right w:val="single" w:color="000000" w:sz="4" w:space="0"/>
            </w:tcBorders>
            <w:shd w:val="clear" w:color="auto" w:fill="FAFAFA"/>
            <w:noWrap/>
            <w:vAlign w:val="center"/>
          </w:tcPr>
          <w:p w14:paraId="687CBA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王江泾镇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5BE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C15F4">
            <w:pPr>
              <w:rPr>
                <w:rFonts w:hint="eastAsia" w:ascii="宋体" w:hAnsi="宋体" w:eastAsia="宋体" w:cs="宋体"/>
                <w:i w:val="0"/>
                <w:iCs w:val="0"/>
                <w:color w:val="auto"/>
                <w:sz w:val="22"/>
                <w:szCs w:val="22"/>
                <w:highlight w:val="none"/>
                <w:u w:val="none"/>
              </w:rPr>
            </w:pPr>
          </w:p>
        </w:tc>
      </w:tr>
      <w:tr w14:paraId="15544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790909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w:t>
            </w:r>
          </w:p>
        </w:tc>
        <w:tc>
          <w:tcPr>
            <w:tcW w:w="0" w:type="auto"/>
            <w:tcBorders>
              <w:top w:val="single" w:color="000000" w:sz="4" w:space="0"/>
              <w:left w:val="nil"/>
              <w:bottom w:val="nil"/>
              <w:right w:val="single" w:color="000000" w:sz="4" w:space="0"/>
            </w:tcBorders>
            <w:shd w:val="clear" w:color="auto" w:fill="auto"/>
            <w:noWrap/>
            <w:vAlign w:val="center"/>
          </w:tcPr>
          <w:p w14:paraId="54ABE2E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城西圩区堤防</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14:paraId="57604C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高照街道</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890F4D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B775E">
            <w:pPr>
              <w:rPr>
                <w:rFonts w:hint="eastAsia" w:ascii="宋体" w:hAnsi="宋体" w:eastAsia="宋体" w:cs="宋体"/>
                <w:i w:val="0"/>
                <w:iCs w:val="0"/>
                <w:color w:val="auto"/>
                <w:sz w:val="22"/>
                <w:szCs w:val="22"/>
                <w:highlight w:val="none"/>
                <w:u w:val="none"/>
              </w:rPr>
            </w:pPr>
          </w:p>
        </w:tc>
      </w:tr>
      <w:tr w14:paraId="0F54E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3DF266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E172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镇东圩区堤防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369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王店镇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799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18.62</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630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已减掉长水塘堤防重合部分11.6公里</w:t>
            </w:r>
          </w:p>
        </w:tc>
      </w:tr>
      <w:tr w14:paraId="1B881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68FC03C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4004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长水塘堤防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718B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王店镇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7A6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6D05B">
            <w:pPr>
              <w:rPr>
                <w:rFonts w:hint="eastAsia" w:ascii="宋体" w:hAnsi="宋体" w:eastAsia="宋体" w:cs="宋体"/>
                <w:i w:val="0"/>
                <w:iCs w:val="0"/>
                <w:color w:val="auto"/>
                <w:sz w:val="22"/>
                <w:szCs w:val="22"/>
                <w:highlight w:val="none"/>
                <w:u w:val="none"/>
              </w:rPr>
            </w:pPr>
          </w:p>
        </w:tc>
      </w:tr>
      <w:tr w14:paraId="629AD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659F8E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96CC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泾桥圩区堤防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63CC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洪合镇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D0B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2FE1E">
            <w:pPr>
              <w:rPr>
                <w:rFonts w:hint="eastAsia" w:ascii="宋体" w:hAnsi="宋体" w:eastAsia="宋体" w:cs="宋体"/>
                <w:i w:val="0"/>
                <w:iCs w:val="0"/>
                <w:color w:val="auto"/>
                <w:sz w:val="22"/>
                <w:szCs w:val="22"/>
                <w:highlight w:val="none"/>
                <w:u w:val="none"/>
              </w:rPr>
            </w:pPr>
          </w:p>
        </w:tc>
      </w:tr>
      <w:tr w14:paraId="2BBA1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51D3086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318A49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新王桥圩区堤防</w:t>
            </w:r>
          </w:p>
        </w:tc>
        <w:tc>
          <w:tcPr>
            <w:tcW w:w="0" w:type="auto"/>
            <w:tcBorders>
              <w:top w:val="single" w:color="000000" w:sz="4" w:space="0"/>
              <w:left w:val="single" w:color="000000" w:sz="4" w:space="0"/>
              <w:bottom w:val="single" w:color="000000" w:sz="4" w:space="0"/>
              <w:right w:val="single" w:color="000000" w:sz="4" w:space="0"/>
            </w:tcBorders>
            <w:shd w:val="clear" w:color="auto" w:fill="FAFAFA"/>
            <w:noWrap/>
            <w:vAlign w:val="center"/>
          </w:tcPr>
          <w:p w14:paraId="2C225D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洪合镇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1CD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8DA1C">
            <w:pPr>
              <w:rPr>
                <w:rFonts w:hint="eastAsia" w:ascii="宋体" w:hAnsi="宋体" w:eastAsia="宋体" w:cs="宋体"/>
                <w:i w:val="0"/>
                <w:iCs w:val="0"/>
                <w:color w:val="auto"/>
                <w:sz w:val="22"/>
                <w:szCs w:val="22"/>
                <w:highlight w:val="none"/>
                <w:u w:val="none"/>
              </w:rPr>
            </w:pPr>
          </w:p>
        </w:tc>
      </w:tr>
      <w:tr w14:paraId="0CEA4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AEA4D">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CFEEC">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43处堤防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6EAB29">
            <w:pPr>
              <w:jc w:val="center"/>
              <w:rPr>
                <w:rFonts w:hint="eastAsia" w:ascii="宋体" w:hAnsi="宋体" w:eastAsia="宋体" w:cs="宋体"/>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C8D8B">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527.95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FE114">
            <w:pPr>
              <w:rPr>
                <w:rFonts w:hint="eastAsia" w:ascii="宋体" w:hAnsi="宋体" w:eastAsia="宋体" w:cs="宋体"/>
                <w:i w:val="0"/>
                <w:iCs w:val="0"/>
                <w:color w:val="auto"/>
                <w:sz w:val="22"/>
                <w:szCs w:val="22"/>
                <w:highlight w:val="none"/>
                <w:u w:val="none"/>
              </w:rPr>
            </w:pPr>
          </w:p>
        </w:tc>
      </w:tr>
    </w:tbl>
    <w:p w14:paraId="30B8BC07">
      <w:pPr>
        <w:pStyle w:val="65"/>
        <w:rPr>
          <w:color w:val="auto"/>
          <w:highlight w:val="none"/>
        </w:rPr>
      </w:pPr>
    </w:p>
    <w:p w14:paraId="453DB4F2">
      <w:pPr>
        <w:pStyle w:val="66"/>
        <w:rPr>
          <w:color w:val="auto"/>
          <w:highlight w:val="none"/>
        </w:rPr>
      </w:pPr>
    </w:p>
    <w:p w14:paraId="3D427A4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right="0" w:firstLine="562" w:firstLineChars="200"/>
        <w:jc w:val="both"/>
        <w:textAlignment w:val="auto"/>
        <w:rPr>
          <w:rFonts w:hint="eastAsia" w:ascii="宋体" w:hAnsi="宋体" w:eastAsia="宋体" w:cs="宋体"/>
          <w:color w:val="auto"/>
          <w:sz w:val="28"/>
          <w:szCs w:val="28"/>
          <w:highlight w:val="none"/>
          <w:lang w:eastAsia="zh-CN"/>
        </w:rPr>
      </w:pPr>
      <w:r>
        <w:rPr>
          <w:rFonts w:hint="eastAsia" w:ascii="宋体" w:hAnsi="宋体" w:eastAsia="宋体" w:cs="宋体"/>
          <w:b/>
          <w:bCs/>
          <w:i w:val="0"/>
          <w:iCs w:val="0"/>
          <w:color w:val="auto"/>
          <w:kern w:val="0"/>
          <w:sz w:val="28"/>
          <w:szCs w:val="28"/>
          <w:highlight w:val="none"/>
          <w:u w:val="none"/>
          <w:lang w:val="en-US" w:eastAsia="zh-CN" w:bidi="ar"/>
        </w:rPr>
        <w:t>秀洲区2025年度白蚁等害堤动物防治项目堤防白蚁治理明细表</w:t>
      </w:r>
    </w:p>
    <w:tbl>
      <w:tblPr>
        <w:tblStyle w:val="53"/>
        <w:tblW w:w="88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1"/>
        <w:gridCol w:w="4090"/>
        <w:gridCol w:w="2051"/>
        <w:gridCol w:w="1735"/>
      </w:tblGrid>
      <w:tr w14:paraId="6085F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90807">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8ADEA">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堤防名称</w:t>
            </w:r>
          </w:p>
        </w:tc>
        <w:tc>
          <w:tcPr>
            <w:tcW w:w="0" w:type="auto"/>
            <w:tcBorders>
              <w:top w:val="single" w:color="000000" w:sz="4" w:space="0"/>
              <w:left w:val="single" w:color="000000" w:sz="4" w:space="0"/>
              <w:bottom w:val="single" w:color="000000" w:sz="4" w:space="0"/>
              <w:right w:val="single" w:color="000000" w:sz="4" w:space="0"/>
            </w:tcBorders>
            <w:shd w:val="clear" w:color="auto" w:fill="FAFAFA"/>
            <w:noWrap/>
            <w:vAlign w:val="center"/>
          </w:tcPr>
          <w:p w14:paraId="3FCB73B9">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所在乡(镇)</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59C1B">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治理长度</w:t>
            </w:r>
            <w:r>
              <w:rPr>
                <w:rFonts w:hint="eastAsia" w:ascii="宋体" w:hAnsi="宋体" w:eastAsia="宋体" w:cs="宋体"/>
                <w:b/>
                <w:bCs/>
                <w:i w:val="0"/>
                <w:iCs w:val="0"/>
                <w:color w:val="auto"/>
                <w:kern w:val="0"/>
                <w:sz w:val="22"/>
                <w:szCs w:val="22"/>
                <w:highlight w:val="none"/>
                <w:u w:val="none"/>
                <w:lang w:val="en-US" w:eastAsia="zh-CN" w:bidi="ar"/>
              </w:rPr>
              <w:br w:type="textWrapping"/>
            </w:r>
            <w:r>
              <w:rPr>
                <w:rFonts w:hint="eastAsia" w:ascii="宋体" w:hAnsi="宋体" w:eastAsia="宋体" w:cs="宋体"/>
                <w:b/>
                <w:bCs/>
                <w:i w:val="0"/>
                <w:iCs w:val="0"/>
                <w:color w:val="auto"/>
                <w:kern w:val="0"/>
                <w:sz w:val="22"/>
                <w:szCs w:val="22"/>
                <w:highlight w:val="none"/>
                <w:u w:val="none"/>
                <w:lang w:val="en-US" w:eastAsia="zh-CN" w:bidi="ar"/>
              </w:rPr>
              <w:t>（公里）</w:t>
            </w:r>
          </w:p>
        </w:tc>
      </w:tr>
      <w:tr w14:paraId="2C270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B8E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EF15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双西圩区堤防</w:t>
            </w:r>
          </w:p>
        </w:tc>
        <w:tc>
          <w:tcPr>
            <w:tcW w:w="0" w:type="auto"/>
            <w:tcBorders>
              <w:top w:val="single" w:color="000000" w:sz="4" w:space="0"/>
              <w:left w:val="single" w:color="000000" w:sz="4" w:space="0"/>
              <w:bottom w:val="single" w:color="000000" w:sz="4" w:space="0"/>
              <w:right w:val="single" w:color="000000" w:sz="4" w:space="0"/>
            </w:tcBorders>
            <w:shd w:val="clear" w:color="auto" w:fill="FAFAFA"/>
            <w:noWrap/>
            <w:vAlign w:val="center"/>
          </w:tcPr>
          <w:p w14:paraId="278045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王江泾镇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3AB8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r>
      <w:tr w14:paraId="3DA6B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950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9ACF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沈家桥圩区堤防</w:t>
            </w:r>
          </w:p>
        </w:tc>
        <w:tc>
          <w:tcPr>
            <w:tcW w:w="0" w:type="auto"/>
            <w:tcBorders>
              <w:top w:val="single" w:color="000000" w:sz="4" w:space="0"/>
              <w:left w:val="single" w:color="000000" w:sz="4" w:space="0"/>
              <w:bottom w:val="single" w:color="000000" w:sz="4" w:space="0"/>
              <w:right w:val="single" w:color="000000" w:sz="4" w:space="0"/>
            </w:tcBorders>
            <w:shd w:val="clear" w:color="auto" w:fill="FAFAFA"/>
            <w:noWrap/>
            <w:vAlign w:val="center"/>
          </w:tcPr>
          <w:p w14:paraId="3330975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王江泾镇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FD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r>
      <w:tr w14:paraId="3311E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EBB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8160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王新圩区（二期）堤防</w:t>
            </w:r>
          </w:p>
        </w:tc>
        <w:tc>
          <w:tcPr>
            <w:tcW w:w="0" w:type="auto"/>
            <w:tcBorders>
              <w:top w:val="single" w:color="000000" w:sz="4" w:space="0"/>
              <w:left w:val="single" w:color="000000" w:sz="4" w:space="0"/>
              <w:bottom w:val="single" w:color="000000" w:sz="4" w:space="0"/>
              <w:right w:val="single" w:color="000000" w:sz="4" w:space="0"/>
            </w:tcBorders>
            <w:shd w:val="clear" w:color="auto" w:fill="FAFAFA"/>
            <w:noWrap/>
            <w:vAlign w:val="center"/>
          </w:tcPr>
          <w:p w14:paraId="676B612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王江泾镇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B40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105B2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569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08A5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王凝圩区（秀洲片）堤防</w:t>
            </w:r>
          </w:p>
        </w:tc>
        <w:tc>
          <w:tcPr>
            <w:tcW w:w="0" w:type="auto"/>
            <w:tcBorders>
              <w:top w:val="single" w:color="000000" w:sz="4" w:space="0"/>
              <w:left w:val="single" w:color="000000" w:sz="4" w:space="0"/>
              <w:bottom w:val="single" w:color="000000" w:sz="4" w:space="0"/>
              <w:right w:val="single" w:color="000000" w:sz="4" w:space="0"/>
            </w:tcBorders>
            <w:shd w:val="clear" w:color="auto" w:fill="FAFAFA"/>
            <w:noWrap/>
            <w:vAlign w:val="center"/>
          </w:tcPr>
          <w:p w14:paraId="22E869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王江泾镇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77DD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r>
      <w:tr w14:paraId="25B65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B5D37">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DDFB9">
            <w:pPr>
              <w:jc w:val="left"/>
              <w:rPr>
                <w:rFonts w:hint="eastAsia" w:ascii="宋体" w:hAnsi="宋体" w:eastAsia="宋体" w:cs="宋体"/>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AFAFA"/>
            <w:noWrap/>
            <w:vAlign w:val="center"/>
          </w:tcPr>
          <w:p w14:paraId="313A2844">
            <w:pPr>
              <w:jc w:val="center"/>
              <w:rPr>
                <w:rFonts w:hint="eastAsia" w:ascii="宋体" w:hAnsi="宋体" w:eastAsia="宋体" w:cs="宋体"/>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9F3F0">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20</w:t>
            </w:r>
          </w:p>
        </w:tc>
      </w:tr>
    </w:tbl>
    <w:p w14:paraId="512BD9F1">
      <w:pPr>
        <w:rPr>
          <w:color w:val="auto"/>
          <w:highlight w:val="none"/>
        </w:rPr>
      </w:pPr>
    </w:p>
    <w:p w14:paraId="31F1F9BD">
      <w:pPr>
        <w:tabs>
          <w:tab w:val="left" w:pos="0"/>
        </w:tabs>
        <w:adjustRightInd w:val="0"/>
        <w:snapToGrid w:val="0"/>
        <w:spacing w:line="360" w:lineRule="auto"/>
        <w:ind w:firstLine="422" w:firstLineChars="200"/>
        <w:rPr>
          <w:rFonts w:hint="eastAsia" w:ascii="宋体" w:hAnsi="宋体" w:eastAsia="宋体" w:cs="宋体"/>
          <w:b/>
          <w:bCs/>
          <w:color w:val="auto"/>
          <w:szCs w:val="21"/>
          <w:highlight w:val="none"/>
          <w:lang w:val="en-US" w:eastAsia="zh-CN" w:bidi="ar"/>
        </w:rPr>
      </w:pPr>
      <w:r>
        <w:rPr>
          <w:rFonts w:hint="eastAsia" w:ascii="宋体" w:hAnsi="宋体" w:eastAsia="宋体" w:cs="宋体"/>
          <w:b/>
          <w:bCs/>
          <w:color w:val="auto"/>
          <w:szCs w:val="21"/>
          <w:highlight w:val="none"/>
          <w:lang w:val="en-US" w:eastAsia="zh-CN" w:bidi="ar"/>
        </w:rPr>
        <w:t>三、工作要求：</w:t>
      </w:r>
    </w:p>
    <w:p w14:paraId="4153DD00">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1、全面开展白蚁隐患普查工作，统计危害情况、危害位置、蚁害种类等数据，确保普查成果真实准确。逐渐使辖区内的水利工程白蚁综合治理工作形成常态化、长期化、日常化趋势。按照水利部《水利工程白蚁防治技术规程》SL/T 836-2024进行日常巡查台账的编制。</w:t>
      </w:r>
    </w:p>
    <w:p w14:paraId="4219544E">
      <w:pPr>
        <w:tabs>
          <w:tab w:val="left" w:pos="0"/>
        </w:tabs>
        <w:adjustRightInd w:val="0"/>
        <w:snapToGrid w:val="0"/>
        <w:spacing w:line="420" w:lineRule="atLeast"/>
        <w:ind w:firstLine="420" w:firstLineChars="200"/>
        <w:rPr>
          <w:rFonts w:hint="default"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2、全智能白蚁监测系统按照规范要求安装，安装区域按照每公里2套计算，即项目安装数量要求不低于1056套，能达到预防和监测的预期效果。</w:t>
      </w:r>
    </w:p>
    <w:p w14:paraId="127FCD63">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3、为项目提供的全智能白蚁监测系统，通过白蚁“监测-灭治-再监测”循环监测和灭治的物联网系统，构建形成一套数字化水利工程白蚁防治和白蚁危害动态管理平台。实现监测状态和监测结果的数字化储存、显示及运用，能在蚁害发生的第一时间准确获取信息。并且系统可接入采购方管理平台，通过数据可视化展示所有监测点的信息。</w:t>
      </w:r>
    </w:p>
    <w:p w14:paraId="63480CDA">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4、通过日常白蚁普查，对蚁患区进行记录上报并进行诱杀处理，包括诱杀包的投放。</w:t>
      </w:r>
    </w:p>
    <w:p w14:paraId="5FBEAAC0">
      <w:pPr>
        <w:tabs>
          <w:tab w:val="left" w:pos="0"/>
        </w:tabs>
        <w:adjustRightInd w:val="0"/>
        <w:snapToGrid w:val="0"/>
        <w:spacing w:line="420" w:lineRule="atLeast"/>
        <w:ind w:firstLine="420" w:firstLineChars="200"/>
        <w:rPr>
          <w:rFonts w:hint="default"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5、为项目提供的全智能白蚁监测系统的饵料，需经提交喜食性和防腐防霉性的监测报告。</w:t>
      </w:r>
    </w:p>
    <w:p w14:paraId="3551D5E9">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6、质量标准。本项目白蚁防治作业应符合现行各种规范、规程、规章。根据水利部实行的《白蚁防治技术指南》和《浙江省堤坝白蚁防治技术导则》的有关规定要求，结合水利部办公厅《浙江省水利厅关于加强水利工程蚁患防治工作的意见》，开展水利工程白蚁防治工作。</w:t>
      </w:r>
    </w:p>
    <w:p w14:paraId="398F8DC3">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7、档案管理。白蚁防治档案包括设计资料、普查资料、施工资料、防治措施、验收资料、回访复查资料、检查记录、防治工作总结等文字资料和图片、视频等音像资料。</w:t>
      </w:r>
    </w:p>
    <w:p w14:paraId="784DFCE9">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8、其他要求。</w:t>
      </w:r>
    </w:p>
    <w:p w14:paraId="2D075002">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1）出现紧急情况时，供应商立即响应，在48小时内到达事发地点，排除蚁害险情。（2）白蚁防治实施过程中，发现中标人未按规定要求配备人员、场地、机构设备的或查实弄虚作假的，采购人有权利终止合同并作相应处罚。</w:t>
      </w:r>
    </w:p>
    <w:p w14:paraId="546A0F47">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（3）对工作质量检查中存在问题，采购人以书面形式责令限期整改，如果中标人不整改或达不到整改要求的超过两次及以上的，采购人有权利终止合同并作相应处罚。</w:t>
      </w:r>
    </w:p>
    <w:p w14:paraId="1C36F353">
      <w:pPr>
        <w:tabs>
          <w:tab w:val="left" w:pos="0"/>
        </w:tabs>
        <w:adjustRightInd w:val="0"/>
        <w:snapToGrid w:val="0"/>
        <w:spacing w:line="420" w:lineRule="atLeast"/>
        <w:ind w:firstLine="420" w:firstLineChars="200"/>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（4）如发现拟中标人使用药剂影响水体安全的，采购人有权利终止合同并作相应处罚，并追究相关责任。</w:t>
      </w:r>
    </w:p>
    <w:p w14:paraId="235A22F0">
      <w:pPr>
        <w:tabs>
          <w:tab w:val="left" w:pos="0"/>
        </w:tabs>
        <w:adjustRightInd w:val="0"/>
        <w:snapToGrid w:val="0"/>
        <w:spacing w:line="360" w:lineRule="auto"/>
        <w:ind w:firstLine="422" w:firstLineChars="200"/>
        <w:rPr>
          <w:rFonts w:hint="eastAsia" w:ascii="宋体" w:hAnsi="宋体" w:cs="宋体"/>
          <w:b/>
          <w:bCs/>
          <w:color w:val="auto"/>
          <w:szCs w:val="21"/>
          <w:highlight w:val="none"/>
          <w:lang w:bidi="ar"/>
        </w:rPr>
      </w:pPr>
    </w:p>
    <w:p w14:paraId="5E7C07EC">
      <w:pPr>
        <w:tabs>
          <w:tab w:val="left" w:pos="0"/>
        </w:tabs>
        <w:adjustRightInd w:val="0"/>
        <w:snapToGrid w:val="0"/>
        <w:spacing w:line="360" w:lineRule="auto"/>
        <w:ind w:firstLine="422" w:firstLineChars="200"/>
        <w:rPr>
          <w:rFonts w:ascii="宋体" w:hAnsi="宋体" w:cs="宋体"/>
          <w:b/>
          <w:bCs/>
          <w:color w:val="auto"/>
          <w:szCs w:val="21"/>
          <w:highlight w:val="none"/>
          <w:lang w:bidi="ar"/>
        </w:rPr>
      </w:pPr>
      <w:r>
        <w:rPr>
          <w:rFonts w:hint="eastAsia" w:ascii="宋体" w:hAnsi="宋体" w:cs="宋体"/>
          <w:b/>
          <w:bCs/>
          <w:color w:val="auto"/>
          <w:szCs w:val="21"/>
          <w:highlight w:val="none"/>
          <w:lang w:bidi="ar"/>
        </w:rPr>
        <w:t>四、商务要求</w:t>
      </w:r>
    </w:p>
    <w:p w14:paraId="550CBA55">
      <w:pPr>
        <w:pStyle w:val="47"/>
        <w:spacing w:before="75" w:beforeAutospacing="0" w:after="75" w:afterAutospacing="0" w:line="360" w:lineRule="auto"/>
        <w:ind w:firstLine="482" w:firstLineChars="200"/>
        <w:rPr>
          <w:rFonts w:hint="default" w:ascii="宋体" w:hAnsi="宋体" w:eastAsia="宋体" w:cs="宋体"/>
          <w:color w:val="auto"/>
          <w:szCs w:val="21"/>
          <w:highlight w:val="none"/>
          <w:lang w:val="en-US" w:eastAsia="zh-CN" w:bidi="ar"/>
        </w:rPr>
      </w:pPr>
      <w:r>
        <w:rPr>
          <w:rFonts w:hint="eastAsia" w:ascii="宋体" w:hAnsi="宋体" w:cs="宋体"/>
          <w:b/>
          <w:bCs/>
          <w:color w:val="auto"/>
          <w:szCs w:val="21"/>
          <w:highlight w:val="none"/>
          <w:lang w:bidi="ar"/>
        </w:rPr>
        <w:t>1.服务期</w:t>
      </w:r>
      <w:r>
        <w:rPr>
          <w:rFonts w:hint="eastAsia" w:ascii="宋体" w:hAnsi="宋体" w:cs="宋体"/>
          <w:b/>
          <w:bCs/>
          <w:color w:val="auto"/>
          <w:szCs w:val="21"/>
          <w:highlight w:val="none"/>
          <w:lang w:eastAsia="zh-CN" w:bidi="ar"/>
        </w:rPr>
        <w:t>：</w:t>
      </w:r>
      <w:r>
        <w:rPr>
          <w:rFonts w:hint="eastAsia" w:asciiTheme="minorEastAsia" w:hAnsiTheme="minorEastAsia" w:eastAsiaTheme="minorEastAsia" w:cstheme="minorEastAsia"/>
          <w:color w:val="auto"/>
          <w:sz w:val="21"/>
          <w:szCs w:val="21"/>
          <w:highlight w:val="none"/>
          <w:lang w:val="en-US" w:eastAsia="zh-CN"/>
        </w:rPr>
        <w:t>2025年10月月底前完成所有工作</w:t>
      </w:r>
      <w:r>
        <w:rPr>
          <w:rFonts w:hint="eastAsia" w:ascii="宋体" w:hAnsi="宋体" w:eastAsia="宋体" w:cs="宋体"/>
          <w:color w:val="auto"/>
          <w:szCs w:val="21"/>
          <w:highlight w:val="none"/>
          <w:lang w:val="en-US" w:eastAsia="zh-CN" w:bidi="ar"/>
        </w:rPr>
        <w:t>。</w:t>
      </w:r>
    </w:p>
    <w:p w14:paraId="7EE6CEC8">
      <w:pPr>
        <w:tabs>
          <w:tab w:val="left" w:pos="0"/>
        </w:tabs>
        <w:adjustRightInd w:val="0"/>
        <w:snapToGrid w:val="0"/>
        <w:spacing w:line="420" w:lineRule="atLeast"/>
        <w:ind w:firstLine="422" w:firstLineChars="200"/>
        <w:rPr>
          <w:rFonts w:ascii="宋体" w:hAnsi="宋体" w:cs="宋体"/>
          <w:b/>
          <w:bCs/>
          <w:color w:val="auto"/>
          <w:szCs w:val="21"/>
          <w:highlight w:val="none"/>
          <w:lang w:bidi="ar"/>
        </w:rPr>
      </w:pPr>
      <w:r>
        <w:rPr>
          <w:rFonts w:hint="eastAsia" w:ascii="宋体" w:hAnsi="宋体" w:cs="宋体"/>
          <w:b/>
          <w:bCs/>
          <w:color w:val="auto"/>
          <w:szCs w:val="21"/>
          <w:highlight w:val="none"/>
          <w:lang w:bidi="ar"/>
        </w:rPr>
        <w:t>2.付款</w:t>
      </w:r>
    </w:p>
    <w:p w14:paraId="136A70FD">
      <w:pPr>
        <w:tabs>
          <w:tab w:val="left" w:pos="0"/>
        </w:tabs>
        <w:adjustRightInd w:val="0"/>
        <w:snapToGrid w:val="0"/>
        <w:spacing w:line="420" w:lineRule="atLeast"/>
        <w:ind w:firstLine="420" w:firstLineChars="200"/>
        <w:rPr>
          <w:color w:val="auto"/>
          <w:highlight w:val="none"/>
        </w:rPr>
      </w:pPr>
      <w:r>
        <w:rPr>
          <w:rFonts w:hint="eastAsia" w:ascii="宋体" w:hAnsi="宋体" w:cs="宋体"/>
          <w:color w:val="auto"/>
          <w:szCs w:val="21"/>
          <w:highlight w:val="none"/>
          <w:lang w:bidi="ar"/>
        </w:rPr>
        <w:t>2.1 合同生效、具备实施条件且财政资金下达后7个工作日内，采购人向中标人支付合同金额的</w:t>
      </w:r>
      <w:r>
        <w:rPr>
          <w:rFonts w:hint="eastAsia" w:ascii="宋体" w:hAnsi="宋体" w:cs="宋体"/>
          <w:color w:val="auto"/>
          <w:szCs w:val="21"/>
          <w:highlight w:val="none"/>
          <w:lang w:val="en-US" w:eastAsia="zh-CN" w:bidi="ar"/>
        </w:rPr>
        <w:t>4</w:t>
      </w:r>
      <w:r>
        <w:rPr>
          <w:rFonts w:hint="eastAsia" w:ascii="宋体" w:hAnsi="宋体" w:cs="宋体"/>
          <w:color w:val="auto"/>
          <w:szCs w:val="21"/>
          <w:highlight w:val="none"/>
          <w:lang w:bidi="ar"/>
        </w:rPr>
        <w:t>0%作为预付款；</w:t>
      </w:r>
    </w:p>
    <w:p w14:paraId="26E3CE9D">
      <w:pPr>
        <w:tabs>
          <w:tab w:val="left" w:pos="0"/>
        </w:tabs>
        <w:adjustRightInd w:val="0"/>
        <w:snapToGrid w:val="0"/>
        <w:spacing w:line="420" w:lineRule="atLeast"/>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 xml:space="preserve">2.2 </w:t>
      </w:r>
      <w:r>
        <w:rPr>
          <w:rFonts w:hint="eastAsia" w:ascii="宋体" w:hAnsi="宋体" w:cs="宋体"/>
          <w:color w:val="auto"/>
          <w:szCs w:val="21"/>
          <w:highlight w:val="none"/>
          <w:lang w:val="en-US" w:eastAsia="zh-CN" w:bidi="ar"/>
        </w:rPr>
        <w:t>完成项目并经验收后支付余款</w:t>
      </w:r>
      <w:r>
        <w:rPr>
          <w:rFonts w:hint="eastAsia" w:ascii="宋体" w:hAnsi="宋体" w:cs="宋体"/>
          <w:color w:val="auto"/>
          <w:szCs w:val="21"/>
          <w:highlight w:val="none"/>
          <w:lang w:bidi="ar"/>
        </w:rPr>
        <w:t>。</w:t>
      </w:r>
    </w:p>
    <w:p w14:paraId="448D5F1D">
      <w:pPr>
        <w:tabs>
          <w:tab w:val="left" w:pos="0"/>
        </w:tabs>
        <w:adjustRightInd w:val="0"/>
        <w:snapToGrid w:val="0"/>
        <w:spacing w:line="420" w:lineRule="atLeast"/>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注：关于预付款的说明：</w:t>
      </w:r>
    </w:p>
    <w:p w14:paraId="75C5933A">
      <w:pPr>
        <w:tabs>
          <w:tab w:val="left" w:pos="0"/>
        </w:tabs>
        <w:adjustRightInd w:val="0"/>
        <w:snapToGrid w:val="0"/>
        <w:spacing w:line="420" w:lineRule="atLeast"/>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根据《浙江省财政厅关于进一步发挥政府采购政策功能全力推动经济稳进提质的通知》[浙财采监【2022】3号]规定：</w:t>
      </w:r>
    </w:p>
    <w:p w14:paraId="5D4B0B43">
      <w:pPr>
        <w:tabs>
          <w:tab w:val="left" w:pos="0"/>
        </w:tabs>
        <w:adjustRightInd w:val="0"/>
        <w:snapToGrid w:val="0"/>
        <w:spacing w:line="420" w:lineRule="atLeast"/>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采购人式采购的，预付款从其相关规定。</w:t>
      </w:r>
    </w:p>
    <w:p w14:paraId="284111BF">
      <w:pPr>
        <w:tabs>
          <w:tab w:val="left" w:pos="0"/>
        </w:tabs>
        <w:adjustRightInd w:val="0"/>
        <w:snapToGrid w:val="0"/>
        <w:spacing w:line="420" w:lineRule="atLeast"/>
        <w:ind w:firstLine="422" w:firstLineChars="200"/>
        <w:rPr>
          <w:rFonts w:ascii="宋体" w:hAnsi="宋体" w:cs="宋体"/>
          <w:color w:val="auto"/>
          <w:szCs w:val="21"/>
          <w:highlight w:val="none"/>
          <w:lang w:bidi="ar"/>
        </w:rPr>
      </w:pPr>
      <w:r>
        <w:rPr>
          <w:rFonts w:hint="eastAsia" w:ascii="宋体" w:hAnsi="宋体" w:cs="宋体"/>
          <w:b/>
          <w:bCs/>
          <w:color w:val="auto"/>
          <w:szCs w:val="21"/>
          <w:highlight w:val="none"/>
          <w:lang w:bidi="ar"/>
        </w:rPr>
        <w:t>3.服务地点：</w:t>
      </w:r>
      <w:r>
        <w:rPr>
          <w:rFonts w:hint="eastAsia" w:ascii="宋体" w:hAnsi="宋体" w:cs="宋体"/>
          <w:color w:val="auto"/>
          <w:szCs w:val="21"/>
          <w:highlight w:val="none"/>
          <w:lang w:bidi="ar"/>
        </w:rPr>
        <w:t>嘉兴市秀洲区。</w:t>
      </w:r>
    </w:p>
    <w:p w14:paraId="12B9F23A">
      <w:pPr>
        <w:tabs>
          <w:tab w:val="left" w:pos="0"/>
        </w:tabs>
        <w:adjustRightInd w:val="0"/>
        <w:snapToGrid w:val="0"/>
        <w:spacing w:line="420" w:lineRule="atLeast"/>
        <w:ind w:firstLine="422" w:firstLineChars="200"/>
        <w:rPr>
          <w:rFonts w:hint="default" w:ascii="宋体" w:hAnsi="宋体" w:eastAsia="宋体" w:cs="宋体"/>
          <w:b/>
          <w:bCs/>
          <w:color w:val="auto"/>
          <w:szCs w:val="21"/>
          <w:highlight w:val="none"/>
          <w:lang w:val="en-US" w:eastAsia="zh-CN" w:bidi="ar"/>
        </w:rPr>
      </w:pPr>
      <w:r>
        <w:rPr>
          <w:rFonts w:hint="eastAsia" w:ascii="宋体" w:hAnsi="宋体" w:cs="宋体"/>
          <w:b/>
          <w:bCs/>
          <w:color w:val="auto"/>
          <w:szCs w:val="21"/>
          <w:highlight w:val="none"/>
          <w:lang w:val="en-US" w:eastAsia="zh-CN" w:bidi="ar"/>
        </w:rPr>
        <w:t>4.质保期：</w:t>
      </w:r>
      <w:r>
        <w:rPr>
          <w:rFonts w:hint="eastAsia" w:ascii="宋体" w:hAnsi="宋体" w:cs="宋体"/>
          <w:color w:val="auto"/>
          <w:szCs w:val="21"/>
          <w:highlight w:val="none"/>
          <w:lang w:val="en-US" w:eastAsia="zh-CN" w:bidi="ar"/>
        </w:rPr>
        <w:t>验收后服务期不</w:t>
      </w:r>
      <w:r>
        <w:rPr>
          <w:rFonts w:hint="eastAsia" w:ascii="宋体" w:hAnsi="宋体" w:eastAsia="宋体" w:cs="宋体"/>
          <w:color w:val="auto"/>
          <w:szCs w:val="21"/>
          <w:highlight w:val="none"/>
          <w:lang w:val="en-US" w:eastAsia="zh-CN" w:bidi="ar"/>
        </w:rPr>
        <w:t>少于半年。</w:t>
      </w:r>
    </w:p>
    <w:p w14:paraId="46D7ADB4">
      <w:pPr>
        <w:tabs>
          <w:tab w:val="left" w:pos="0"/>
        </w:tabs>
        <w:adjustRightInd w:val="0"/>
        <w:snapToGrid w:val="0"/>
        <w:spacing w:line="420" w:lineRule="atLeast"/>
        <w:ind w:firstLine="422" w:firstLineChars="200"/>
        <w:rPr>
          <w:rFonts w:ascii="宋体" w:hAnsi="宋体" w:cs="宋体"/>
          <w:color w:val="auto"/>
          <w:szCs w:val="21"/>
          <w:highlight w:val="none"/>
          <w:lang w:bidi="ar"/>
        </w:rPr>
      </w:pPr>
      <w:r>
        <w:rPr>
          <w:rFonts w:hint="eastAsia" w:ascii="宋体" w:hAnsi="宋体" w:cs="宋体"/>
          <w:b/>
          <w:bCs/>
          <w:color w:val="auto"/>
          <w:szCs w:val="21"/>
          <w:highlight w:val="none"/>
          <w:lang w:val="en-US" w:eastAsia="zh-CN" w:bidi="ar"/>
        </w:rPr>
        <w:t>5</w:t>
      </w:r>
      <w:r>
        <w:rPr>
          <w:rFonts w:hint="eastAsia" w:ascii="宋体" w:hAnsi="宋体" w:cs="宋体"/>
          <w:b/>
          <w:bCs/>
          <w:color w:val="auto"/>
          <w:szCs w:val="21"/>
          <w:highlight w:val="none"/>
          <w:lang w:bidi="ar"/>
        </w:rPr>
        <w:t>. 验收方案：</w:t>
      </w:r>
      <w:r>
        <w:rPr>
          <w:rFonts w:hint="eastAsia" w:ascii="宋体" w:hAnsi="宋体" w:cs="宋体"/>
          <w:color w:val="auto"/>
          <w:szCs w:val="21"/>
          <w:highlight w:val="none"/>
          <w:lang w:bidi="ar"/>
        </w:rPr>
        <w:t>严格根据采购文件、响应文件以及国家相关规定、标准进行验收，在规定期限内提供服务，且完全满足采购文件技术要求。</w:t>
      </w:r>
    </w:p>
    <w:p w14:paraId="47BF4462">
      <w:pPr>
        <w:tabs>
          <w:tab w:val="left" w:pos="0"/>
        </w:tabs>
        <w:adjustRightInd w:val="0"/>
        <w:snapToGrid w:val="0"/>
        <w:spacing w:line="420" w:lineRule="atLeast"/>
        <w:ind w:firstLine="420" w:firstLineChars="200"/>
        <w:rPr>
          <w:rFonts w:ascii="宋体" w:hAnsi="宋体" w:cs="宋体"/>
          <w:color w:val="auto"/>
          <w:szCs w:val="21"/>
          <w:highlight w:val="none"/>
          <w:lang w:bidi="ar"/>
        </w:rPr>
        <w:sectPr>
          <w:pgSz w:w="11906" w:h="16838"/>
          <w:pgMar w:top="1440" w:right="1800" w:bottom="1440" w:left="1800" w:header="851" w:footer="992" w:gutter="0"/>
          <w:cols w:space="720" w:num="1"/>
          <w:docGrid w:type="lines" w:linePitch="312" w:charSpace="0"/>
        </w:sectPr>
      </w:pPr>
    </w:p>
    <w:p w14:paraId="4ADCF540">
      <w:pPr>
        <w:pStyle w:val="164"/>
        <w:ind w:right="42" w:rightChars="20"/>
        <w:rPr>
          <w:rFonts w:cs="微软雅黑" w:asciiTheme="minorEastAsia" w:hAnsiTheme="minorEastAsia" w:eastAsiaTheme="minorEastAsia"/>
          <w:color w:val="auto"/>
          <w:sz w:val="36"/>
          <w:highlight w:val="none"/>
        </w:rPr>
      </w:pPr>
      <w:r>
        <w:rPr>
          <w:rFonts w:hint="eastAsia" w:asciiTheme="minorEastAsia" w:hAnsiTheme="minorEastAsia" w:eastAsiaTheme="minorEastAsia"/>
          <w:color w:val="auto"/>
          <w:highlight w:val="none"/>
        </w:rPr>
        <w:t>第三章  投标人须知</w:t>
      </w:r>
      <w:bookmarkEnd w:id="10"/>
      <w:bookmarkEnd w:id="11"/>
      <w:bookmarkEnd w:id="12"/>
    </w:p>
    <w:p w14:paraId="2D450887">
      <w:pPr>
        <w:spacing w:line="360" w:lineRule="auto"/>
        <w:ind w:right="42" w:rightChars="20" w:firstLine="562" w:firstLineChars="200"/>
        <w:jc w:val="center"/>
        <w:rPr>
          <w:rFonts w:asciiTheme="minorEastAsia" w:hAnsiTheme="minorEastAsia" w:eastAsiaTheme="minorEastAsia"/>
          <w:b/>
          <w:bCs/>
          <w:color w:val="auto"/>
          <w:sz w:val="28"/>
          <w:szCs w:val="28"/>
          <w:highlight w:val="none"/>
        </w:rPr>
      </w:pPr>
      <w:bookmarkStart w:id="13" w:name="_Toc17413"/>
      <w:bookmarkStart w:id="14" w:name="_Toc50012816"/>
      <w:bookmarkStart w:id="15" w:name="_Toc493511543"/>
      <w:bookmarkStart w:id="16" w:name="_Toc177870535"/>
      <w:r>
        <w:rPr>
          <w:rFonts w:hint="eastAsia" w:cs="宋体" w:asciiTheme="minorEastAsia" w:hAnsiTheme="minorEastAsia" w:eastAsiaTheme="minorEastAsia"/>
          <w:b/>
          <w:bCs/>
          <w:color w:val="auto"/>
          <w:sz w:val="28"/>
          <w:szCs w:val="28"/>
          <w:highlight w:val="none"/>
        </w:rPr>
        <w:t>电子交易注意事项</w:t>
      </w:r>
    </w:p>
    <w:p w14:paraId="79281EE6">
      <w:pPr>
        <w:spacing w:line="360" w:lineRule="auto"/>
        <w:ind w:right="42" w:rightChars="20" w:firstLine="210" w:firstLineChars="100"/>
        <w:jc w:val="left"/>
        <w:rPr>
          <w:rFonts w:asciiTheme="minorEastAsia" w:hAnsiTheme="minorEastAsia" w:eastAsiaTheme="minorEastAsia"/>
          <w:color w:val="auto"/>
          <w:szCs w:val="21"/>
          <w:highlight w:val="none"/>
          <w:shd w:val="clear" w:color="auto" w:fill="FFFFFF"/>
        </w:rPr>
      </w:pPr>
      <w:r>
        <w:rPr>
          <w:rFonts w:hint="eastAsia" w:cs="宋体" w:asciiTheme="minorEastAsia" w:hAnsiTheme="minorEastAsia" w:eastAsiaTheme="minorEastAsia"/>
          <w:color w:val="auto"/>
          <w:szCs w:val="21"/>
          <w:highlight w:val="none"/>
          <w:shd w:val="clear" w:color="auto" w:fill="FFFFFF"/>
        </w:rPr>
        <w:t>　政府采购项目电子交易活动适用《浙江省政府采购项目电子交易管理暂行办法》，现将相关注意事项告知如下：</w:t>
      </w:r>
    </w:p>
    <w:p w14:paraId="64216E99">
      <w:pPr>
        <w:spacing w:line="360" w:lineRule="auto"/>
        <w:ind w:right="42" w:rightChars="20" w:firstLine="210" w:firstLineChars="100"/>
        <w:jc w:val="left"/>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1.集中采购机构按照招标文件规定的时间通过电子交易平台组织开标、开启投标文件、开启报价文件，所有投标人均应当准时在线参加，直至评审结束。</w:t>
      </w:r>
    </w:p>
    <w:p w14:paraId="3C646449">
      <w:pPr>
        <w:pStyle w:val="47"/>
        <w:spacing w:beforeAutospacing="0" w:afterAutospacing="0" w:line="360" w:lineRule="auto"/>
        <w:ind w:right="42" w:rightChars="20" w:firstLine="210" w:firstLineChars="100"/>
        <w:rPr>
          <w:rFonts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　2. 投标文件未按时解密，投标人如提供备份投标文件的，以符合要求的备份投标文件作为依据，否则视为投标文件撤回。投标文件已按时解密的，备份投标文件自动失效。</w:t>
      </w:r>
    </w:p>
    <w:p w14:paraId="0CC0AB75">
      <w:pPr>
        <w:pStyle w:val="47"/>
        <w:spacing w:beforeAutospacing="0" w:afterAutospacing="0" w:line="360" w:lineRule="auto"/>
        <w:ind w:right="42" w:rightChars="20" w:firstLine="210" w:firstLineChars="100"/>
        <w:rPr>
          <w:rFonts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　3. 采购过程中出现以下情形，导致电子交易平台无法正常运行，或者无法保证电子交易的公平、公正和安全时，集中采购机构可中止电子交易活动：</w:t>
      </w:r>
    </w:p>
    <w:p w14:paraId="585CEF62">
      <w:pPr>
        <w:pStyle w:val="47"/>
        <w:spacing w:beforeAutospacing="0" w:afterAutospacing="0" w:line="360" w:lineRule="auto"/>
        <w:ind w:right="42" w:rightChars="20" w:firstLine="645"/>
        <w:rPr>
          <w:rFonts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（一）电子交易平台发生故障而无法登录访问的； </w:t>
      </w:r>
    </w:p>
    <w:p w14:paraId="79EFBF16">
      <w:pPr>
        <w:pStyle w:val="47"/>
        <w:spacing w:beforeAutospacing="0" w:afterAutospacing="0" w:line="360" w:lineRule="auto"/>
        <w:ind w:right="42" w:rightChars="20" w:firstLine="645"/>
        <w:rPr>
          <w:rFonts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（二）电子交易平台应用或数据库出现错误，不能进行正常操作的；</w:t>
      </w:r>
    </w:p>
    <w:p w14:paraId="2E43377B">
      <w:pPr>
        <w:pStyle w:val="47"/>
        <w:spacing w:beforeAutospacing="0" w:afterAutospacing="0" w:line="360" w:lineRule="auto"/>
        <w:ind w:right="42" w:rightChars="20" w:firstLine="645"/>
        <w:rPr>
          <w:rFonts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（三）电子交易平台发现严重安全漏洞，有潜在泄密危险的；</w:t>
      </w:r>
    </w:p>
    <w:p w14:paraId="79A45C83">
      <w:pPr>
        <w:pStyle w:val="47"/>
        <w:spacing w:beforeAutospacing="0" w:afterAutospacing="0" w:line="360" w:lineRule="auto"/>
        <w:ind w:right="42" w:rightChars="20" w:firstLine="645"/>
        <w:rPr>
          <w:rFonts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（四）病毒发作导致不能进行正常操作的； </w:t>
      </w:r>
    </w:p>
    <w:p w14:paraId="297BD0DA">
      <w:pPr>
        <w:pStyle w:val="47"/>
        <w:spacing w:beforeAutospacing="0" w:afterAutospacing="0" w:line="360" w:lineRule="auto"/>
        <w:ind w:right="42" w:rightChars="20" w:firstLine="645"/>
        <w:rPr>
          <w:rFonts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（五）其他无法保证电子交易的公平、公正和安全的情况。</w:t>
      </w:r>
    </w:p>
    <w:p w14:paraId="2AA1B174">
      <w:pPr>
        <w:pStyle w:val="47"/>
        <w:spacing w:beforeAutospacing="0" w:afterAutospacing="0" w:line="360" w:lineRule="auto"/>
        <w:ind w:right="42" w:rightChars="20" w:firstLine="210"/>
        <w:rPr>
          <w:rFonts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出现前款规定情形，不影响采购公平、公正性的，集中采购机构可以待上述情形消除后继续组织电子交易活动，也可以决定某些环节以纸质形式进行；影响或可能影响采购公平、公正性的，应当重新采购。</w:t>
      </w:r>
    </w:p>
    <w:p w14:paraId="447BCDC3">
      <w:pPr>
        <w:spacing w:line="360" w:lineRule="auto"/>
        <w:ind w:right="42" w:rightChars="20" w:firstLine="420" w:firstLineChars="200"/>
        <w:jc w:val="left"/>
        <w:outlineLvl w:val="1"/>
        <w:rPr>
          <w:rFonts w:cs="宋体" w:asciiTheme="minorEastAsia" w:hAnsiTheme="minorEastAsia" w:eastAsiaTheme="minorEastAsia"/>
          <w:color w:val="auto"/>
          <w:szCs w:val="21"/>
          <w:highlight w:val="none"/>
          <w:shd w:val="clear" w:color="auto" w:fill="FFFFFF"/>
        </w:rPr>
      </w:pPr>
      <w:r>
        <w:rPr>
          <w:rFonts w:hint="eastAsia" w:cs="宋体" w:asciiTheme="minorEastAsia" w:hAnsiTheme="minorEastAsia" w:eastAsiaTheme="minorEastAsia"/>
          <w:color w:val="auto"/>
          <w:szCs w:val="21"/>
          <w:highlight w:val="none"/>
          <w:shd w:val="clear" w:color="auto" w:fill="FFFFFF"/>
        </w:rPr>
        <w:t>4.评审中需要投标人对投标文件作出澄清、说明或者补正的，评审小组和投标人应当通过电子交易平台交换数据电文。投标人需在半小时内提交澄清说明或补正，投标人已经明确表示澄清说明或补正完毕的除外。</w:t>
      </w:r>
    </w:p>
    <w:p w14:paraId="4BBF4E88">
      <w:pPr>
        <w:spacing w:line="360" w:lineRule="auto"/>
        <w:ind w:right="42" w:rightChars="20" w:firstLine="422" w:firstLineChars="200"/>
        <w:jc w:val="left"/>
        <w:outlineLvl w:val="1"/>
        <w:rPr>
          <w:rFonts w:cs="宋体" w:asciiTheme="minorEastAsia" w:hAnsiTheme="minorEastAsia" w:eastAsiaTheme="minorEastAsia"/>
          <w:color w:val="auto"/>
          <w:szCs w:val="21"/>
          <w:highlight w:val="none"/>
          <w:shd w:val="clear" w:color="auto" w:fill="FFFFFF"/>
        </w:rPr>
      </w:pPr>
      <w:r>
        <w:rPr>
          <w:rFonts w:hint="eastAsia" w:ascii="微软雅黑" w:hAnsi="微软雅黑" w:cs="宋体"/>
          <w:b/>
          <w:color w:val="auto"/>
          <w:kern w:val="0"/>
          <w:szCs w:val="21"/>
          <w:highlight w:val="none"/>
          <w:shd w:val="clear" w:color="auto" w:fill="FFFFFF"/>
        </w:rPr>
        <w:t>5.供应商须在代理机构宣布评审结束、产生中标候选人期间时刻关注项目政采云，配合专家组工作，如有询标（澄清、质疑），在30分钟内（具体时间以询标函上规定的时间为准备）通过ＣＡ进行回复。过期不按要求回复，视为默认原投标文件内容。</w:t>
      </w:r>
    </w:p>
    <w:p w14:paraId="6FBBB9A7">
      <w:pPr>
        <w:pStyle w:val="101"/>
        <w:rPr>
          <w:color w:val="auto"/>
          <w:highlight w:val="none"/>
        </w:rPr>
      </w:pPr>
    </w:p>
    <w:p w14:paraId="3183F0C9">
      <w:pPr>
        <w:pStyle w:val="101"/>
        <w:rPr>
          <w:color w:val="auto"/>
          <w:highlight w:val="none"/>
        </w:rPr>
      </w:pPr>
    </w:p>
    <w:p w14:paraId="40004CD5">
      <w:pPr>
        <w:spacing w:line="360" w:lineRule="auto"/>
        <w:ind w:right="42" w:rightChars="20" w:firstLine="422" w:firstLineChars="200"/>
        <w:jc w:val="center"/>
        <w:outlineLvl w:val="1"/>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前附表</w:t>
      </w:r>
      <w:bookmarkEnd w:id="13"/>
      <w:bookmarkEnd w:id="14"/>
      <w:bookmarkEnd w:id="15"/>
      <w:bookmarkEnd w:id="16"/>
    </w:p>
    <w:tbl>
      <w:tblPr>
        <w:tblStyle w:val="53"/>
        <w:tblW w:w="9288" w:type="dxa"/>
        <w:tblInd w:w="-10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7"/>
        <w:gridCol w:w="8511"/>
      </w:tblGrid>
      <w:tr w14:paraId="79AD3C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777" w:type="dxa"/>
            <w:tcBorders>
              <w:top w:val="single" w:color="auto" w:sz="4" w:space="0"/>
              <w:left w:val="single" w:color="auto" w:sz="4" w:space="0"/>
              <w:bottom w:val="single" w:color="auto" w:sz="4" w:space="0"/>
              <w:right w:val="single" w:color="auto" w:sz="4" w:space="0"/>
            </w:tcBorders>
            <w:vAlign w:val="center"/>
          </w:tcPr>
          <w:p w14:paraId="410A24B2">
            <w:pPr>
              <w:snapToGrid w:val="0"/>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序号</w:t>
            </w:r>
          </w:p>
        </w:tc>
        <w:tc>
          <w:tcPr>
            <w:tcW w:w="8511" w:type="dxa"/>
            <w:tcBorders>
              <w:top w:val="single" w:color="auto" w:sz="4" w:space="0"/>
              <w:left w:val="single" w:color="auto" w:sz="4" w:space="0"/>
              <w:bottom w:val="single" w:color="auto" w:sz="4" w:space="0"/>
              <w:right w:val="single" w:color="auto" w:sz="4" w:space="0"/>
            </w:tcBorders>
            <w:vAlign w:val="center"/>
          </w:tcPr>
          <w:p w14:paraId="52BD88CB">
            <w:pPr>
              <w:snapToGrid w:val="0"/>
              <w:spacing w:line="360" w:lineRule="auto"/>
              <w:ind w:right="42" w:rightChars="2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内容、要求</w:t>
            </w:r>
          </w:p>
        </w:tc>
      </w:tr>
      <w:tr w14:paraId="0E69D3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777" w:type="dxa"/>
            <w:tcBorders>
              <w:top w:val="single" w:color="auto" w:sz="4" w:space="0"/>
              <w:left w:val="single" w:color="auto" w:sz="4" w:space="0"/>
              <w:bottom w:val="single" w:color="auto" w:sz="4" w:space="0"/>
              <w:right w:val="single" w:color="auto" w:sz="4" w:space="0"/>
            </w:tcBorders>
            <w:vAlign w:val="center"/>
          </w:tcPr>
          <w:p w14:paraId="63917832">
            <w:pPr>
              <w:snapToGrid w:val="0"/>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1</w:t>
            </w:r>
          </w:p>
        </w:tc>
        <w:tc>
          <w:tcPr>
            <w:tcW w:w="8511" w:type="dxa"/>
            <w:tcBorders>
              <w:top w:val="single" w:color="auto" w:sz="4" w:space="0"/>
              <w:left w:val="single" w:color="auto" w:sz="4" w:space="0"/>
              <w:bottom w:val="single" w:color="auto" w:sz="4" w:space="0"/>
              <w:right w:val="single" w:color="auto" w:sz="4" w:space="0"/>
            </w:tcBorders>
            <w:vAlign w:val="center"/>
          </w:tcPr>
          <w:p w14:paraId="76DAD7A5">
            <w:pPr>
              <w:snapToGrid w:val="0"/>
              <w:spacing w:line="360" w:lineRule="auto"/>
              <w:ind w:right="42" w:rightChars="20"/>
              <w:jc w:val="left"/>
              <w:rPr>
                <w:rFonts w:hint="eastAsia" w:cs="微软雅黑" w:asciiTheme="minorEastAsia" w:hAnsiTheme="minorEastAsia" w:eastAsiaTheme="minorEastAsia"/>
                <w:color w:val="auto"/>
                <w:szCs w:val="21"/>
                <w:highlight w:val="none"/>
                <w:lang w:eastAsia="zh-CN"/>
              </w:rPr>
            </w:pPr>
            <w:r>
              <w:rPr>
                <w:rFonts w:hint="eastAsia" w:cs="微软雅黑" w:asciiTheme="minorEastAsia" w:hAnsiTheme="minorEastAsia" w:eastAsiaTheme="minorEastAsia"/>
                <w:color w:val="auto"/>
                <w:szCs w:val="21"/>
                <w:highlight w:val="none"/>
              </w:rPr>
              <w:t>项目名称：</w:t>
            </w:r>
            <w:r>
              <w:rPr>
                <w:rFonts w:hint="eastAsia" w:cs="微软雅黑" w:asciiTheme="minorEastAsia" w:hAnsiTheme="minorEastAsia" w:eastAsiaTheme="minorEastAsia"/>
                <w:b/>
                <w:color w:val="auto"/>
                <w:szCs w:val="21"/>
                <w:highlight w:val="none"/>
                <w:lang w:eastAsia="zh-CN"/>
              </w:rPr>
              <w:t>秀洲区2025年度白蚁等害堤动物防治项目</w:t>
            </w:r>
          </w:p>
        </w:tc>
      </w:tr>
      <w:tr w14:paraId="28F0F6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777" w:type="dxa"/>
            <w:tcBorders>
              <w:top w:val="single" w:color="auto" w:sz="4" w:space="0"/>
              <w:left w:val="single" w:color="auto" w:sz="4" w:space="0"/>
              <w:bottom w:val="single" w:color="auto" w:sz="4" w:space="0"/>
              <w:right w:val="single" w:color="auto" w:sz="4" w:space="0"/>
            </w:tcBorders>
            <w:vAlign w:val="center"/>
          </w:tcPr>
          <w:p w14:paraId="112BCDFE">
            <w:pPr>
              <w:snapToGrid w:val="0"/>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2</w:t>
            </w:r>
          </w:p>
        </w:tc>
        <w:tc>
          <w:tcPr>
            <w:tcW w:w="8511" w:type="dxa"/>
            <w:tcBorders>
              <w:top w:val="single" w:color="auto" w:sz="4" w:space="0"/>
              <w:left w:val="single" w:color="auto" w:sz="4" w:space="0"/>
              <w:bottom w:val="single" w:color="auto" w:sz="4" w:space="0"/>
              <w:right w:val="single" w:color="auto" w:sz="4" w:space="0"/>
            </w:tcBorders>
            <w:vAlign w:val="center"/>
          </w:tcPr>
          <w:p w14:paraId="1C43C79E">
            <w:pPr>
              <w:snapToGrid w:val="0"/>
              <w:spacing w:line="360" w:lineRule="auto"/>
              <w:ind w:right="42" w:rightChars="20"/>
              <w:jc w:val="left"/>
              <w:rPr>
                <w:rFonts w:hint="eastAsia" w:cs="微软雅黑" w:asciiTheme="minorEastAsia" w:hAnsiTheme="minorEastAsia" w:eastAsiaTheme="minorEastAsia"/>
                <w:color w:val="auto"/>
                <w:szCs w:val="21"/>
                <w:highlight w:val="none"/>
                <w:lang w:eastAsia="zh-CN"/>
              </w:rPr>
            </w:pPr>
            <w:r>
              <w:rPr>
                <w:rFonts w:hint="eastAsia" w:cs="微软雅黑" w:asciiTheme="minorEastAsia" w:hAnsiTheme="minorEastAsia" w:eastAsiaTheme="minorEastAsia"/>
                <w:color w:val="auto"/>
                <w:szCs w:val="21"/>
                <w:highlight w:val="none"/>
              </w:rPr>
              <w:t>招标编号：</w:t>
            </w:r>
            <w:r>
              <w:rPr>
                <w:rFonts w:hint="eastAsia" w:cs="微软雅黑" w:asciiTheme="minorEastAsia" w:hAnsiTheme="minorEastAsia" w:eastAsiaTheme="minorEastAsia"/>
                <w:color w:val="auto"/>
                <w:szCs w:val="21"/>
                <w:highlight w:val="none"/>
                <w:lang w:eastAsia="zh-CN"/>
              </w:rPr>
              <w:t>大地-DDZX-JX（2025）第83号   采购计划文号：</w:t>
            </w:r>
            <w:r>
              <w:rPr>
                <w:rFonts w:hint="eastAsia" w:cs="微软雅黑" w:asciiTheme="minorEastAsia" w:hAnsiTheme="minorEastAsia" w:eastAsiaTheme="minorEastAsia"/>
                <w:color w:val="auto"/>
                <w:szCs w:val="21"/>
                <w:highlight w:val="none"/>
                <w:lang w:val="en-US" w:eastAsia="zh-CN"/>
              </w:rPr>
              <w:t xml:space="preserve"> </w:t>
            </w:r>
            <w:r>
              <w:rPr>
                <w:rFonts w:hint="eastAsia" w:cs="微软雅黑" w:asciiTheme="minorEastAsia" w:hAnsiTheme="minorEastAsia" w:eastAsiaTheme="minorEastAsia"/>
                <w:color w:val="auto"/>
                <w:szCs w:val="21"/>
                <w:highlight w:val="none"/>
                <w:lang w:eastAsia="zh-CN"/>
              </w:rPr>
              <w:t>临[2025]1066号</w:t>
            </w:r>
          </w:p>
        </w:tc>
      </w:tr>
      <w:tr w14:paraId="1EE203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77" w:type="dxa"/>
            <w:tcBorders>
              <w:top w:val="single" w:color="auto" w:sz="4" w:space="0"/>
              <w:left w:val="single" w:color="auto" w:sz="4" w:space="0"/>
              <w:bottom w:val="single" w:color="auto" w:sz="4" w:space="0"/>
              <w:right w:val="single" w:color="auto" w:sz="4" w:space="0"/>
            </w:tcBorders>
            <w:vAlign w:val="center"/>
          </w:tcPr>
          <w:p w14:paraId="76D8C119">
            <w:pPr>
              <w:snapToGrid w:val="0"/>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3</w:t>
            </w:r>
          </w:p>
        </w:tc>
        <w:tc>
          <w:tcPr>
            <w:tcW w:w="8511" w:type="dxa"/>
            <w:tcBorders>
              <w:top w:val="single" w:color="auto" w:sz="4" w:space="0"/>
              <w:left w:val="single" w:color="auto" w:sz="4" w:space="0"/>
              <w:bottom w:val="single" w:color="auto" w:sz="4" w:space="0"/>
              <w:right w:val="single" w:color="auto" w:sz="4" w:space="0"/>
            </w:tcBorders>
            <w:vAlign w:val="center"/>
          </w:tcPr>
          <w:p w14:paraId="46BFE838">
            <w:pPr>
              <w:snapToGrid w:val="0"/>
              <w:spacing w:line="360" w:lineRule="auto"/>
              <w:ind w:right="42" w:rightChars="2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投标报价及费用：1、本项目投标应以人民币报价；2、不论投标结果如何，投标人均应自行承担所有与投标有关的全部费用。</w:t>
            </w:r>
          </w:p>
        </w:tc>
      </w:tr>
      <w:tr w14:paraId="7052BF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777" w:type="dxa"/>
            <w:tcBorders>
              <w:top w:val="single" w:color="auto" w:sz="4" w:space="0"/>
              <w:left w:val="single" w:color="auto" w:sz="4" w:space="0"/>
              <w:bottom w:val="single" w:color="auto" w:sz="4" w:space="0"/>
              <w:right w:val="single" w:color="auto" w:sz="4" w:space="0"/>
            </w:tcBorders>
            <w:vAlign w:val="center"/>
          </w:tcPr>
          <w:p w14:paraId="159B0A17">
            <w:pPr>
              <w:snapToGrid w:val="0"/>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4</w:t>
            </w:r>
          </w:p>
        </w:tc>
        <w:tc>
          <w:tcPr>
            <w:tcW w:w="8511" w:type="dxa"/>
            <w:tcBorders>
              <w:top w:val="single" w:color="auto" w:sz="4" w:space="0"/>
              <w:left w:val="single" w:color="auto" w:sz="4" w:space="0"/>
              <w:bottom w:val="single" w:color="auto" w:sz="4" w:space="0"/>
              <w:right w:val="single" w:color="auto" w:sz="4" w:space="0"/>
            </w:tcBorders>
            <w:vAlign w:val="center"/>
          </w:tcPr>
          <w:p w14:paraId="56894148">
            <w:pPr>
              <w:spacing w:line="360" w:lineRule="auto"/>
              <w:contextualSpacing/>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w:t>
            </w:r>
            <w:r>
              <w:rPr>
                <w:rFonts w:hint="eastAsia" w:asciiTheme="minorEastAsia" w:hAnsiTheme="minorEastAsia" w:eastAsiaTheme="minorEastAsia"/>
                <w:b/>
                <w:bCs/>
                <w:color w:val="auto"/>
                <w:szCs w:val="21"/>
                <w:highlight w:val="none"/>
              </w:rPr>
              <w:t>预算金额：</w:t>
            </w:r>
            <w:r>
              <w:rPr>
                <w:rFonts w:hint="eastAsia" w:asciiTheme="minorEastAsia" w:hAnsiTheme="minorEastAsia" w:eastAsiaTheme="minorEastAsia"/>
                <w:b/>
                <w:bCs/>
                <w:color w:val="auto"/>
                <w:szCs w:val="21"/>
                <w:highlight w:val="none"/>
                <w:lang w:eastAsia="zh-CN"/>
              </w:rPr>
              <w:t>675000</w:t>
            </w:r>
            <w:r>
              <w:rPr>
                <w:rFonts w:hint="eastAsia" w:asciiTheme="minorEastAsia" w:hAnsiTheme="minorEastAsia" w:eastAsiaTheme="minorEastAsia"/>
                <w:b/>
                <w:bCs/>
                <w:color w:val="auto"/>
                <w:szCs w:val="21"/>
                <w:highlight w:val="none"/>
              </w:rPr>
              <w:t>元</w:t>
            </w:r>
            <w:r>
              <w:rPr>
                <w:rFonts w:hint="eastAsia" w:asciiTheme="minorEastAsia" w:hAnsiTheme="minorEastAsia" w:eastAsiaTheme="minorEastAsia"/>
                <w:b/>
                <w:bCs/>
                <w:color w:val="auto"/>
                <w:szCs w:val="21"/>
                <w:highlight w:val="none"/>
                <w:lang w:val="en-US" w:eastAsia="zh-CN"/>
              </w:rPr>
              <w:t>，</w:t>
            </w:r>
            <w:r>
              <w:rPr>
                <w:rFonts w:hint="eastAsia" w:asciiTheme="minorEastAsia" w:hAnsiTheme="minorEastAsia" w:eastAsiaTheme="minorEastAsia"/>
                <w:b/>
                <w:bCs/>
                <w:color w:val="auto"/>
                <w:szCs w:val="21"/>
                <w:highlight w:val="none"/>
              </w:rPr>
              <w:t>投标报价超过预算价的作无效标处理。</w:t>
            </w:r>
          </w:p>
        </w:tc>
      </w:tr>
      <w:tr w14:paraId="74CCA7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 w:hRule="atLeast"/>
        </w:trPr>
        <w:tc>
          <w:tcPr>
            <w:tcW w:w="777" w:type="dxa"/>
            <w:tcBorders>
              <w:top w:val="single" w:color="auto" w:sz="4" w:space="0"/>
              <w:left w:val="single" w:color="auto" w:sz="4" w:space="0"/>
              <w:bottom w:val="single" w:color="auto" w:sz="4" w:space="0"/>
              <w:right w:val="single" w:color="auto" w:sz="4" w:space="0"/>
            </w:tcBorders>
            <w:vAlign w:val="center"/>
          </w:tcPr>
          <w:p w14:paraId="30D5CACF">
            <w:pPr>
              <w:snapToGrid w:val="0"/>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5</w:t>
            </w:r>
          </w:p>
        </w:tc>
        <w:tc>
          <w:tcPr>
            <w:tcW w:w="8511" w:type="dxa"/>
            <w:tcBorders>
              <w:top w:val="single" w:color="auto" w:sz="4" w:space="0"/>
              <w:left w:val="single" w:color="auto" w:sz="4" w:space="0"/>
              <w:bottom w:val="single" w:color="auto" w:sz="4" w:space="0"/>
              <w:right w:val="single" w:color="auto" w:sz="4" w:space="0"/>
            </w:tcBorders>
            <w:vAlign w:val="center"/>
          </w:tcPr>
          <w:p w14:paraId="0BCD3F9A">
            <w:pPr>
              <w:snapToGrid w:val="0"/>
              <w:spacing w:line="360" w:lineRule="auto"/>
              <w:ind w:right="42" w:rightChars="2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投标保证金：无</w:t>
            </w:r>
          </w:p>
        </w:tc>
      </w:tr>
      <w:tr w14:paraId="317A97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77" w:type="dxa"/>
            <w:tcBorders>
              <w:top w:val="single" w:color="auto" w:sz="4" w:space="0"/>
              <w:left w:val="single" w:color="auto" w:sz="4" w:space="0"/>
              <w:bottom w:val="single" w:color="auto" w:sz="4" w:space="0"/>
              <w:right w:val="single" w:color="auto" w:sz="4" w:space="0"/>
            </w:tcBorders>
            <w:vAlign w:val="center"/>
          </w:tcPr>
          <w:p w14:paraId="440D31F0">
            <w:pPr>
              <w:snapToGrid w:val="0"/>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6</w:t>
            </w:r>
          </w:p>
        </w:tc>
        <w:tc>
          <w:tcPr>
            <w:tcW w:w="8511" w:type="dxa"/>
            <w:tcBorders>
              <w:top w:val="single" w:color="auto" w:sz="4" w:space="0"/>
              <w:left w:val="single" w:color="auto" w:sz="4" w:space="0"/>
              <w:bottom w:val="single" w:color="auto" w:sz="4" w:space="0"/>
              <w:right w:val="single" w:color="auto" w:sz="4" w:space="0"/>
            </w:tcBorders>
            <w:vAlign w:val="center"/>
          </w:tcPr>
          <w:p w14:paraId="2BF42C65">
            <w:pPr>
              <w:snapToGrid w:val="0"/>
              <w:spacing w:line="360" w:lineRule="auto"/>
              <w:ind w:right="42" w:rightChars="2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现场踏勘：自行踏勘（费用自理）</w:t>
            </w:r>
          </w:p>
        </w:tc>
      </w:tr>
      <w:tr w14:paraId="252839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77" w:type="dxa"/>
            <w:tcBorders>
              <w:top w:val="single" w:color="auto" w:sz="4" w:space="0"/>
              <w:left w:val="single" w:color="auto" w:sz="4" w:space="0"/>
              <w:bottom w:val="single" w:color="auto" w:sz="4" w:space="0"/>
              <w:right w:val="single" w:color="auto" w:sz="4" w:space="0"/>
            </w:tcBorders>
            <w:vAlign w:val="center"/>
          </w:tcPr>
          <w:p w14:paraId="36E90A58">
            <w:pPr>
              <w:snapToGrid w:val="0"/>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7</w:t>
            </w:r>
          </w:p>
        </w:tc>
        <w:tc>
          <w:tcPr>
            <w:tcW w:w="8511" w:type="dxa"/>
            <w:tcBorders>
              <w:top w:val="single" w:color="auto" w:sz="4" w:space="0"/>
              <w:left w:val="single" w:color="auto" w:sz="4" w:space="0"/>
              <w:bottom w:val="single" w:color="auto" w:sz="4" w:space="0"/>
              <w:right w:val="single" w:color="auto" w:sz="4" w:space="0"/>
            </w:tcBorders>
            <w:vAlign w:val="center"/>
          </w:tcPr>
          <w:p w14:paraId="5FFD5BB5">
            <w:pPr>
              <w:snapToGrid w:val="0"/>
              <w:spacing w:line="360" w:lineRule="auto"/>
              <w:rPr>
                <w:rFonts w:hint="eastAsia" w:cs="微软雅黑" w:asciiTheme="minorEastAsia" w:hAnsiTheme="minorEastAsia" w:eastAsiaTheme="minorEastAsia"/>
                <w:color w:val="auto"/>
                <w:szCs w:val="21"/>
                <w:highlight w:val="none"/>
                <w:lang w:eastAsia="zh-CN"/>
              </w:rPr>
            </w:pPr>
            <w:r>
              <w:rPr>
                <w:rFonts w:hint="eastAsia" w:cs="微软雅黑" w:asciiTheme="minorEastAsia" w:hAnsiTheme="minorEastAsia" w:eastAsiaTheme="minorEastAsia"/>
                <w:color w:val="auto"/>
                <w:szCs w:val="21"/>
                <w:highlight w:val="none"/>
              </w:rPr>
              <w:t>演示及样品：</w:t>
            </w:r>
            <w:r>
              <w:rPr>
                <w:rFonts w:hint="eastAsia" w:ascii="宋体" w:hAnsi="宋体" w:cs="微软雅黑" w:eastAsiaTheme="minorEastAsia"/>
                <w:color w:val="auto"/>
                <w:szCs w:val="21"/>
                <w:highlight w:val="none"/>
                <w:lang w:val="en-US" w:eastAsia="zh-CN"/>
              </w:rPr>
              <w:t>无</w:t>
            </w:r>
          </w:p>
          <w:p w14:paraId="42BDD65B">
            <w:pPr>
              <w:snapToGrid w:val="0"/>
              <w:spacing w:line="360" w:lineRule="auto"/>
              <w:ind w:right="42" w:rightChars="20"/>
              <w:rPr>
                <w:rFonts w:cs="微软雅黑" w:asciiTheme="minorEastAsia" w:hAnsiTheme="minorEastAsia"/>
                <w:color w:val="auto"/>
                <w:szCs w:val="21"/>
                <w:highlight w:val="none"/>
              </w:rPr>
            </w:pPr>
            <w:r>
              <w:rPr>
                <w:rFonts w:hint="eastAsia" w:ascii="宋体" w:hAnsi="宋体" w:cs="微软雅黑"/>
                <w:color w:val="auto"/>
                <w:szCs w:val="21"/>
                <w:highlight w:val="none"/>
              </w:rPr>
              <w:t>演示时间及地点：无</w:t>
            </w:r>
          </w:p>
        </w:tc>
      </w:tr>
      <w:tr w14:paraId="285A62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 w:hRule="atLeast"/>
        </w:trPr>
        <w:tc>
          <w:tcPr>
            <w:tcW w:w="777" w:type="dxa"/>
            <w:tcBorders>
              <w:top w:val="single" w:color="auto" w:sz="4" w:space="0"/>
              <w:left w:val="single" w:color="auto" w:sz="4" w:space="0"/>
              <w:bottom w:val="single" w:color="auto" w:sz="4" w:space="0"/>
              <w:right w:val="single" w:color="auto" w:sz="4" w:space="0"/>
            </w:tcBorders>
            <w:vAlign w:val="center"/>
          </w:tcPr>
          <w:p w14:paraId="22F5582D">
            <w:pPr>
              <w:snapToGrid w:val="0"/>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8</w:t>
            </w:r>
          </w:p>
        </w:tc>
        <w:tc>
          <w:tcPr>
            <w:tcW w:w="8511" w:type="dxa"/>
            <w:tcBorders>
              <w:top w:val="single" w:color="auto" w:sz="4" w:space="0"/>
              <w:left w:val="single" w:color="auto" w:sz="4" w:space="0"/>
              <w:bottom w:val="single" w:color="auto" w:sz="4" w:space="0"/>
              <w:right w:val="single" w:color="auto" w:sz="4" w:space="0"/>
            </w:tcBorders>
            <w:vAlign w:val="center"/>
          </w:tcPr>
          <w:p w14:paraId="0AC65347">
            <w:pPr>
              <w:snapToGrid w:val="0"/>
              <w:spacing w:line="360" w:lineRule="auto"/>
              <w:ind w:right="42" w:rightChars="2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答疑与澄清：无</w:t>
            </w:r>
          </w:p>
        </w:tc>
      </w:tr>
      <w:tr w14:paraId="0699B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777" w:type="dxa"/>
            <w:tcBorders>
              <w:top w:val="single" w:color="auto" w:sz="4" w:space="0"/>
              <w:left w:val="single" w:color="auto" w:sz="4" w:space="0"/>
              <w:bottom w:val="single" w:color="auto" w:sz="4" w:space="0"/>
              <w:right w:val="single" w:color="auto" w:sz="4" w:space="0"/>
            </w:tcBorders>
            <w:vAlign w:val="center"/>
          </w:tcPr>
          <w:p w14:paraId="0349EAEC">
            <w:pPr>
              <w:snapToGrid w:val="0"/>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9</w:t>
            </w:r>
          </w:p>
        </w:tc>
        <w:tc>
          <w:tcPr>
            <w:tcW w:w="8511" w:type="dxa"/>
            <w:tcBorders>
              <w:top w:val="single" w:color="auto" w:sz="4" w:space="0"/>
              <w:left w:val="single" w:color="auto" w:sz="4" w:space="0"/>
              <w:bottom w:val="single" w:color="auto" w:sz="4" w:space="0"/>
              <w:right w:val="single" w:color="auto" w:sz="4" w:space="0"/>
            </w:tcBorders>
            <w:vAlign w:val="center"/>
          </w:tcPr>
          <w:p w14:paraId="44BAB98B">
            <w:pPr>
              <w:autoSpaceDE w:val="0"/>
              <w:autoSpaceDN w:val="0"/>
              <w:snapToGrid w:val="0"/>
              <w:spacing w:line="360" w:lineRule="auto"/>
              <w:ind w:right="42" w:rightChars="20"/>
              <w:jc w:val="left"/>
              <w:textAlignment w:val="bottom"/>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投标文件组成：</w:t>
            </w:r>
            <w:r>
              <w:rPr>
                <w:rFonts w:hint="eastAsia" w:cs="微软雅黑" w:asciiTheme="minorEastAsia" w:hAnsiTheme="minorEastAsia" w:eastAsiaTheme="minorEastAsia"/>
                <w:bCs/>
                <w:color w:val="auto"/>
                <w:szCs w:val="21"/>
                <w:highlight w:val="none"/>
              </w:rPr>
              <w:t>完整的《投标文件》由</w:t>
            </w:r>
            <w:r>
              <w:rPr>
                <w:rFonts w:hint="eastAsia" w:cs="微软雅黑" w:asciiTheme="minorEastAsia" w:hAnsiTheme="minorEastAsia" w:eastAsiaTheme="minorEastAsia"/>
                <w:b/>
                <w:color w:val="auto"/>
                <w:szCs w:val="21"/>
                <w:highlight w:val="none"/>
              </w:rPr>
              <w:t>资格投标文件、商务技术文件、报价文件三部份组成</w:t>
            </w:r>
            <w:r>
              <w:rPr>
                <w:rFonts w:hint="eastAsia" w:cs="微软雅黑" w:asciiTheme="minorEastAsia" w:hAnsiTheme="minorEastAsia" w:eastAsiaTheme="minorEastAsia"/>
                <w:bCs/>
                <w:color w:val="auto"/>
                <w:szCs w:val="21"/>
                <w:highlight w:val="none"/>
              </w:rPr>
              <w:t>。样品要求详见第二章采购需求。</w:t>
            </w:r>
          </w:p>
        </w:tc>
      </w:tr>
      <w:tr w14:paraId="4C77E5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777" w:type="dxa"/>
            <w:tcBorders>
              <w:top w:val="single" w:color="auto" w:sz="4" w:space="0"/>
              <w:left w:val="single" w:color="auto" w:sz="4" w:space="0"/>
              <w:bottom w:val="single" w:color="auto" w:sz="4" w:space="0"/>
              <w:right w:val="single" w:color="auto" w:sz="4" w:space="0"/>
            </w:tcBorders>
            <w:vAlign w:val="center"/>
          </w:tcPr>
          <w:p w14:paraId="736B7BA7">
            <w:pPr>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10</w:t>
            </w:r>
          </w:p>
        </w:tc>
        <w:tc>
          <w:tcPr>
            <w:tcW w:w="8511" w:type="dxa"/>
            <w:tcBorders>
              <w:top w:val="single" w:color="auto" w:sz="4" w:space="0"/>
              <w:left w:val="single" w:color="auto" w:sz="4" w:space="0"/>
              <w:bottom w:val="single" w:color="auto" w:sz="4" w:space="0"/>
              <w:right w:val="single" w:color="auto" w:sz="4" w:space="0"/>
            </w:tcBorders>
            <w:vAlign w:val="center"/>
          </w:tcPr>
          <w:p w14:paraId="5E53ED48">
            <w:pPr>
              <w:spacing w:line="360" w:lineRule="auto"/>
              <w:ind w:right="42" w:rightChars="2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投标文件的编制：投标人应先安装“政采云电子交易客户端”，并按照本招标文件和“政府采购云平台”的要求，通过“政采云电子交易客户端”编制并加密投标文件。</w:t>
            </w:r>
          </w:p>
        </w:tc>
      </w:tr>
      <w:tr w14:paraId="518EDC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77" w:type="dxa"/>
            <w:tcBorders>
              <w:top w:val="single" w:color="auto" w:sz="4" w:space="0"/>
              <w:left w:val="single" w:color="auto" w:sz="4" w:space="0"/>
              <w:bottom w:val="single" w:color="auto" w:sz="4" w:space="0"/>
              <w:right w:val="single" w:color="auto" w:sz="4" w:space="0"/>
            </w:tcBorders>
            <w:vAlign w:val="center"/>
          </w:tcPr>
          <w:p w14:paraId="19F47259">
            <w:pPr>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11</w:t>
            </w:r>
          </w:p>
        </w:tc>
        <w:tc>
          <w:tcPr>
            <w:tcW w:w="8511" w:type="dxa"/>
            <w:tcBorders>
              <w:top w:val="single" w:color="auto" w:sz="4" w:space="0"/>
              <w:left w:val="single" w:color="auto" w:sz="4" w:space="0"/>
              <w:bottom w:val="single" w:color="auto" w:sz="4" w:space="0"/>
              <w:right w:val="single" w:color="auto" w:sz="4" w:space="0"/>
            </w:tcBorders>
            <w:vAlign w:val="center"/>
          </w:tcPr>
          <w:p w14:paraId="710532BA">
            <w:pPr>
              <w:spacing w:line="360" w:lineRule="auto"/>
              <w:ind w:right="42" w:rightChars="2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投标文件的签章：电子签章。</w:t>
            </w:r>
          </w:p>
        </w:tc>
      </w:tr>
      <w:tr w14:paraId="2C547B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777" w:type="dxa"/>
            <w:tcBorders>
              <w:top w:val="single" w:color="auto" w:sz="4" w:space="0"/>
              <w:left w:val="single" w:color="auto" w:sz="4" w:space="0"/>
              <w:bottom w:val="single" w:color="auto" w:sz="4" w:space="0"/>
              <w:right w:val="single" w:color="auto" w:sz="4" w:space="0"/>
            </w:tcBorders>
            <w:vAlign w:val="center"/>
          </w:tcPr>
          <w:p w14:paraId="20CAB5ED">
            <w:pPr>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12</w:t>
            </w:r>
          </w:p>
        </w:tc>
        <w:tc>
          <w:tcPr>
            <w:tcW w:w="8511" w:type="dxa"/>
            <w:tcBorders>
              <w:top w:val="single" w:color="auto" w:sz="4" w:space="0"/>
              <w:left w:val="single" w:color="auto" w:sz="4" w:space="0"/>
              <w:bottom w:val="single" w:color="auto" w:sz="4" w:space="0"/>
              <w:right w:val="single" w:color="auto" w:sz="4" w:space="0"/>
            </w:tcBorders>
            <w:vAlign w:val="center"/>
          </w:tcPr>
          <w:p w14:paraId="194751D0">
            <w:pPr>
              <w:spacing w:line="360" w:lineRule="auto"/>
              <w:ind w:right="42" w:rightChars="20"/>
              <w:jc w:val="left"/>
              <w:rPr>
                <w:rFonts w:cs="微软雅黑" w:asciiTheme="minorEastAsia" w:hAnsiTheme="minorEastAsia" w:eastAsiaTheme="minorEastAsia"/>
                <w:bCs/>
                <w:color w:val="auto"/>
                <w:szCs w:val="21"/>
                <w:highlight w:val="none"/>
              </w:rPr>
            </w:pPr>
            <w:r>
              <w:rPr>
                <w:rFonts w:hint="eastAsia" w:cs="微软雅黑" w:asciiTheme="minorEastAsia" w:hAnsiTheme="minorEastAsia" w:eastAsiaTheme="minorEastAsia"/>
                <w:color w:val="auto"/>
                <w:szCs w:val="21"/>
                <w:highlight w:val="none"/>
              </w:rPr>
              <w:t>投标文件的形式：</w:t>
            </w:r>
            <w:r>
              <w:rPr>
                <w:rFonts w:hint="eastAsia" w:ascii="MS Mincho" w:hAnsi="MS Mincho" w:eastAsia="MS Mincho" w:cs="MS Mincho"/>
                <w:bCs/>
                <w:color w:val="auto"/>
                <w:szCs w:val="21"/>
                <w:highlight w:val="none"/>
              </w:rPr>
              <w:t>☑</w:t>
            </w:r>
            <w:r>
              <w:rPr>
                <w:rFonts w:hint="eastAsia" w:ascii="宋体" w:hAnsi="宋体" w:cs="宋体"/>
                <w:bCs/>
                <w:color w:val="auto"/>
                <w:szCs w:val="21"/>
                <w:highlight w:val="none"/>
              </w:rPr>
              <w:t>电子投标文件（包括“电子加密投标文件”和“备份投标文件”，在投标文件编制完成后同时生成）；</w:t>
            </w:r>
          </w:p>
          <w:p w14:paraId="2833DF8B">
            <w:pPr>
              <w:spacing w:line="360" w:lineRule="auto"/>
              <w:ind w:right="42" w:rightChars="20"/>
              <w:jc w:val="left"/>
              <w:rPr>
                <w:rFonts w:cs="微软雅黑" w:asciiTheme="minorEastAsia" w:hAnsiTheme="minorEastAsia" w:eastAsiaTheme="minorEastAsia"/>
                <w:bCs/>
                <w:color w:val="auto"/>
                <w:szCs w:val="21"/>
                <w:highlight w:val="none"/>
              </w:rPr>
            </w:pPr>
            <w:r>
              <w:rPr>
                <w:rFonts w:hint="eastAsia" w:cs="微软雅黑" w:asciiTheme="minorEastAsia" w:hAnsiTheme="minorEastAsia" w:eastAsiaTheme="minorEastAsia"/>
                <w:bCs/>
                <w:color w:val="auto"/>
                <w:szCs w:val="21"/>
                <w:highlight w:val="none"/>
              </w:rPr>
              <w:t>（1）“电子加密投标文件”是指通过“政采云电子交易客户端”完成投标文件编制后生成并加密的数据电文形式的投标文件。</w:t>
            </w:r>
          </w:p>
          <w:p w14:paraId="1184DD38">
            <w:pPr>
              <w:spacing w:line="360" w:lineRule="auto"/>
              <w:ind w:right="42" w:rightChars="2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bCs/>
                <w:color w:val="auto"/>
                <w:szCs w:val="21"/>
                <w:highlight w:val="none"/>
              </w:rPr>
              <w:t>（2）“备份投标文件”是指与“电子加密投标文件”同时生成的数据电文形式的电子文件（备份标书），其他方式编制的备份投标文件视为无效备份投标文件。</w:t>
            </w:r>
          </w:p>
        </w:tc>
      </w:tr>
      <w:tr w14:paraId="0888F4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777" w:type="dxa"/>
            <w:tcBorders>
              <w:top w:val="single" w:color="auto" w:sz="4" w:space="0"/>
              <w:left w:val="single" w:color="auto" w:sz="4" w:space="0"/>
              <w:bottom w:val="single" w:color="auto" w:sz="4" w:space="0"/>
              <w:right w:val="single" w:color="auto" w:sz="4" w:space="0"/>
            </w:tcBorders>
            <w:vAlign w:val="center"/>
          </w:tcPr>
          <w:p w14:paraId="063D2867">
            <w:pPr>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13</w:t>
            </w:r>
          </w:p>
        </w:tc>
        <w:tc>
          <w:tcPr>
            <w:tcW w:w="8511" w:type="dxa"/>
            <w:tcBorders>
              <w:top w:val="single" w:color="auto" w:sz="4" w:space="0"/>
              <w:left w:val="single" w:color="auto" w:sz="4" w:space="0"/>
              <w:bottom w:val="single" w:color="auto" w:sz="4" w:space="0"/>
              <w:right w:val="single" w:color="auto" w:sz="4" w:space="0"/>
            </w:tcBorders>
            <w:vAlign w:val="center"/>
          </w:tcPr>
          <w:p w14:paraId="68A10589">
            <w:pPr>
              <w:spacing w:line="360" w:lineRule="auto"/>
              <w:ind w:right="42" w:rightChars="20" w:firstLine="420" w:firstLineChars="20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投标文件份数：</w:t>
            </w:r>
            <w:r>
              <w:rPr>
                <w:rFonts w:hint="eastAsia" w:cs="微软雅黑" w:asciiTheme="minorEastAsia" w:hAnsiTheme="minorEastAsia" w:eastAsiaTheme="minorEastAsia"/>
                <w:bCs/>
                <w:color w:val="auto"/>
                <w:szCs w:val="21"/>
                <w:highlight w:val="none"/>
              </w:rPr>
              <w:t>（1）“电子加密投标文件”：在线上传递交、一份。（2）“备份投标文件”</w:t>
            </w:r>
            <w:r>
              <w:rPr>
                <w:rFonts w:hint="eastAsia" w:cs="微软雅黑" w:asciiTheme="minorEastAsia" w:hAnsiTheme="minorEastAsia" w:eastAsiaTheme="minorEastAsia"/>
                <w:bCs/>
                <w:color w:val="auto"/>
                <w:szCs w:val="21"/>
                <w:highlight w:val="none"/>
                <w:lang w:eastAsia="zh-CN"/>
              </w:rPr>
              <w:t>（</w:t>
            </w:r>
            <w:r>
              <w:rPr>
                <w:rFonts w:hint="eastAsia" w:cs="微软雅黑" w:asciiTheme="minorEastAsia" w:hAnsiTheme="minorEastAsia" w:eastAsiaTheme="minorEastAsia"/>
                <w:bCs/>
                <w:color w:val="auto"/>
                <w:szCs w:val="21"/>
                <w:highlight w:val="none"/>
                <w:lang w:val="en-US" w:eastAsia="zh-CN"/>
              </w:rPr>
              <w:t>非强制</w:t>
            </w:r>
            <w:r>
              <w:rPr>
                <w:rFonts w:hint="eastAsia" w:cs="微软雅黑" w:asciiTheme="minorEastAsia" w:hAnsiTheme="minorEastAsia" w:eastAsiaTheme="minorEastAsia"/>
                <w:bCs/>
                <w:color w:val="auto"/>
                <w:szCs w:val="21"/>
                <w:highlight w:val="none"/>
                <w:lang w:eastAsia="zh-CN"/>
              </w:rPr>
              <w:t>）</w:t>
            </w:r>
            <w:r>
              <w:rPr>
                <w:rFonts w:hint="eastAsia" w:cs="微软雅黑" w:asciiTheme="minorEastAsia" w:hAnsiTheme="minorEastAsia" w:eastAsiaTheme="minorEastAsia"/>
                <w:bCs/>
                <w:color w:val="auto"/>
                <w:szCs w:val="21"/>
                <w:highlight w:val="none"/>
              </w:rPr>
              <w:t>：密封包装后（邮寄形式）投标截止时间前递交一份（邮寄地址：嘉兴市洪波路1200号万豪广场12楼1204号大地工程咨询有限公司（杨丽莉  电话：0573-82133572）。</w:t>
            </w:r>
          </w:p>
        </w:tc>
      </w:tr>
      <w:tr w14:paraId="1AD0E0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777" w:type="dxa"/>
            <w:tcBorders>
              <w:top w:val="single" w:color="auto" w:sz="4" w:space="0"/>
              <w:left w:val="single" w:color="auto" w:sz="4" w:space="0"/>
              <w:bottom w:val="single" w:color="auto" w:sz="4" w:space="0"/>
              <w:right w:val="single" w:color="auto" w:sz="4" w:space="0"/>
            </w:tcBorders>
            <w:vAlign w:val="center"/>
          </w:tcPr>
          <w:p w14:paraId="258DC5EC">
            <w:pPr>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14</w:t>
            </w:r>
          </w:p>
        </w:tc>
        <w:tc>
          <w:tcPr>
            <w:tcW w:w="8511" w:type="dxa"/>
            <w:tcBorders>
              <w:top w:val="single" w:color="auto" w:sz="4" w:space="0"/>
              <w:left w:val="single" w:color="auto" w:sz="4" w:space="0"/>
              <w:bottom w:val="single" w:color="auto" w:sz="4" w:space="0"/>
              <w:right w:val="single" w:color="auto" w:sz="4" w:space="0"/>
            </w:tcBorders>
            <w:vAlign w:val="center"/>
          </w:tcPr>
          <w:p w14:paraId="502C9DAF">
            <w:pPr>
              <w:spacing w:line="360" w:lineRule="auto"/>
              <w:ind w:right="42" w:rightChars="2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投标文件的上传和递交：</w:t>
            </w:r>
          </w:p>
          <w:p w14:paraId="522B761D">
            <w:pPr>
              <w:spacing w:line="360" w:lineRule="auto"/>
              <w:ind w:right="42" w:rightChars="20"/>
              <w:jc w:val="left"/>
              <w:rPr>
                <w:rFonts w:cs="微软雅黑" w:asciiTheme="minorEastAsia" w:hAnsiTheme="minorEastAsia" w:eastAsiaTheme="minorEastAsia"/>
                <w:bCs/>
                <w:color w:val="auto"/>
                <w:szCs w:val="21"/>
                <w:highlight w:val="none"/>
              </w:rPr>
            </w:pPr>
            <w:r>
              <w:rPr>
                <w:rFonts w:hint="eastAsia" w:cs="微软雅黑" w:asciiTheme="minorEastAsia" w:hAnsiTheme="minorEastAsia" w:eastAsiaTheme="minorEastAsia"/>
                <w:bCs/>
                <w:color w:val="auto"/>
                <w:szCs w:val="21"/>
                <w:highlight w:val="none"/>
              </w:rPr>
              <w:t>（1）“电子加密投标文件”的上传、递交：</w:t>
            </w:r>
          </w:p>
          <w:p w14:paraId="3F6DA1D2">
            <w:pPr>
              <w:spacing w:line="360" w:lineRule="auto"/>
              <w:ind w:right="42" w:rightChars="20" w:firstLine="420" w:firstLineChars="200"/>
              <w:jc w:val="left"/>
              <w:rPr>
                <w:rFonts w:cs="微软雅黑" w:asciiTheme="minorEastAsia" w:hAnsiTheme="minorEastAsia" w:eastAsiaTheme="minorEastAsia"/>
                <w:bCs/>
                <w:color w:val="auto"/>
                <w:szCs w:val="21"/>
                <w:highlight w:val="none"/>
              </w:rPr>
            </w:pPr>
            <w:r>
              <w:rPr>
                <w:rFonts w:hint="eastAsia" w:cs="微软雅黑" w:asciiTheme="minorEastAsia" w:hAnsiTheme="minorEastAsia" w:eastAsiaTheme="minorEastAsia"/>
                <w:bCs/>
                <w:color w:val="auto"/>
                <w:szCs w:val="21"/>
                <w:highlight w:val="none"/>
              </w:rPr>
              <w:t>a.投标人应在投标截止时间前将“电子加密投标文件”成功上传递交至“政府采购云平台”，否则投标无效。</w:t>
            </w:r>
          </w:p>
          <w:p w14:paraId="1A5AA371">
            <w:pPr>
              <w:spacing w:line="360" w:lineRule="auto"/>
              <w:ind w:right="42" w:rightChars="20" w:firstLine="420" w:firstLineChars="200"/>
              <w:jc w:val="left"/>
              <w:rPr>
                <w:rFonts w:cs="微软雅黑" w:asciiTheme="minorEastAsia" w:hAnsiTheme="minorEastAsia" w:eastAsiaTheme="minorEastAsia"/>
                <w:bCs/>
                <w:color w:val="auto"/>
                <w:szCs w:val="21"/>
                <w:highlight w:val="none"/>
              </w:rPr>
            </w:pPr>
            <w:r>
              <w:rPr>
                <w:rFonts w:hint="eastAsia" w:cs="微软雅黑" w:asciiTheme="minorEastAsia" w:hAnsiTheme="minorEastAsia" w:eastAsiaTheme="minorEastAsia"/>
                <w:bCs/>
                <w:color w:val="auto"/>
                <w:szCs w:val="21"/>
                <w:highlight w:val="none"/>
              </w:rPr>
              <w:t>b.“电子加密投标文件”成功上传递交后，投标人可自行打印投标文件接收回执。</w:t>
            </w:r>
          </w:p>
          <w:p w14:paraId="68B5B9EB">
            <w:pPr>
              <w:spacing w:line="360" w:lineRule="auto"/>
              <w:ind w:right="42" w:rightChars="20"/>
              <w:jc w:val="left"/>
              <w:rPr>
                <w:rFonts w:cs="微软雅黑" w:asciiTheme="minorEastAsia" w:hAnsiTheme="minorEastAsia" w:eastAsiaTheme="minorEastAsia"/>
                <w:bCs/>
                <w:color w:val="auto"/>
                <w:szCs w:val="21"/>
                <w:highlight w:val="none"/>
              </w:rPr>
            </w:pPr>
            <w:r>
              <w:rPr>
                <w:rFonts w:hint="eastAsia" w:cs="微软雅黑" w:asciiTheme="minorEastAsia" w:hAnsiTheme="minorEastAsia" w:eastAsiaTheme="minorEastAsia"/>
                <w:bCs/>
                <w:color w:val="auto"/>
                <w:szCs w:val="21"/>
                <w:highlight w:val="none"/>
              </w:rPr>
              <w:t>（2）“备份投标文件”的密封包装、递交：</w:t>
            </w:r>
          </w:p>
          <w:p w14:paraId="71E87B37">
            <w:pPr>
              <w:spacing w:line="360" w:lineRule="auto"/>
              <w:ind w:right="42" w:rightChars="20" w:firstLine="420" w:firstLineChars="200"/>
              <w:jc w:val="left"/>
              <w:rPr>
                <w:rFonts w:cs="微软雅黑" w:asciiTheme="minorEastAsia" w:hAnsiTheme="minorEastAsia" w:eastAsiaTheme="minorEastAsia"/>
                <w:bCs/>
                <w:color w:val="auto"/>
                <w:szCs w:val="21"/>
                <w:highlight w:val="none"/>
              </w:rPr>
            </w:pPr>
            <w:r>
              <w:rPr>
                <w:rFonts w:hint="eastAsia" w:cs="微软雅黑" w:asciiTheme="minorEastAsia" w:hAnsiTheme="minorEastAsia" w:eastAsiaTheme="minorEastAsia"/>
                <w:bCs/>
                <w:color w:val="auto"/>
                <w:szCs w:val="21"/>
                <w:highlight w:val="none"/>
              </w:rPr>
              <w:t>a.投标人在“政府采购云平台”完成“电子加密投标文件”的上传递交后，还可以（邮寄形式）在投标截止时间前递交以介质（U盘）存储的 “备份投标文件”（一份）；</w:t>
            </w:r>
          </w:p>
          <w:p w14:paraId="48BB582C">
            <w:pPr>
              <w:spacing w:line="360" w:lineRule="auto"/>
              <w:ind w:right="42" w:rightChars="20" w:firstLine="422" w:firstLineChars="200"/>
              <w:jc w:val="left"/>
              <w:rPr>
                <w:rFonts w:cs="微软雅黑" w:asciiTheme="minorEastAsia" w:hAnsiTheme="minorEastAsia" w:eastAsiaTheme="minorEastAsia"/>
                <w:b/>
                <w:bCs/>
                <w:color w:val="auto"/>
                <w:szCs w:val="21"/>
                <w:highlight w:val="none"/>
              </w:rPr>
            </w:pPr>
            <w:r>
              <w:rPr>
                <w:rFonts w:hint="eastAsia" w:cs="微软雅黑" w:asciiTheme="minorEastAsia" w:hAnsiTheme="minorEastAsia" w:eastAsiaTheme="minorEastAsia"/>
                <w:b/>
                <w:bCs/>
                <w:color w:val="auto"/>
                <w:szCs w:val="21"/>
                <w:highlight w:val="none"/>
              </w:rPr>
              <w:t>b.“备份投标文件”应当密封包装，并在包装上标注投标项目名称、投标单位名称并加盖公章。没有密封包装或者逾期邮寄送达至上述邮寄地点的“备份投标文件”将不予接收；（非强制递交）</w:t>
            </w:r>
          </w:p>
          <w:p w14:paraId="27C8D053">
            <w:pPr>
              <w:spacing w:line="360" w:lineRule="auto"/>
              <w:ind w:right="42" w:rightChars="20" w:firstLine="420" w:firstLineChars="20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bCs/>
                <w:color w:val="auto"/>
                <w:szCs w:val="21"/>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tc>
      </w:tr>
      <w:tr w14:paraId="13E559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777" w:type="dxa"/>
            <w:tcBorders>
              <w:top w:val="single" w:color="auto" w:sz="4" w:space="0"/>
              <w:left w:val="single" w:color="auto" w:sz="4" w:space="0"/>
              <w:bottom w:val="single" w:color="auto" w:sz="4" w:space="0"/>
              <w:right w:val="single" w:color="auto" w:sz="4" w:space="0"/>
            </w:tcBorders>
            <w:vAlign w:val="center"/>
          </w:tcPr>
          <w:p w14:paraId="5BE88E19">
            <w:pPr>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15</w:t>
            </w:r>
          </w:p>
        </w:tc>
        <w:tc>
          <w:tcPr>
            <w:tcW w:w="8511" w:type="dxa"/>
            <w:tcBorders>
              <w:top w:val="single" w:color="auto" w:sz="4" w:space="0"/>
              <w:left w:val="single" w:color="auto" w:sz="4" w:space="0"/>
              <w:bottom w:val="single" w:color="auto" w:sz="4" w:space="0"/>
              <w:right w:val="single" w:color="auto" w:sz="4" w:space="0"/>
            </w:tcBorders>
            <w:vAlign w:val="center"/>
          </w:tcPr>
          <w:p w14:paraId="16B9305C">
            <w:pPr>
              <w:spacing w:line="360" w:lineRule="auto"/>
              <w:ind w:right="42" w:rightChars="2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电子加密投标文件的解密和异常情况处理：</w:t>
            </w:r>
          </w:p>
          <w:p w14:paraId="4F4E3327">
            <w:pPr>
              <w:spacing w:line="360" w:lineRule="auto"/>
              <w:ind w:right="42" w:rightChars="2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（1）开标后，采购组织机构将向各投标人发出“电子加密投标文件”的解密通知，各投标人代表应当在接到解密通知后30分钟内自行完成“电子加密投标文件”的在线解密。</w:t>
            </w:r>
          </w:p>
          <w:p w14:paraId="3BF99B99">
            <w:pPr>
              <w:spacing w:line="360" w:lineRule="auto"/>
              <w:ind w:right="42" w:rightChars="2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35BC56D1">
            <w:pPr>
              <w:spacing w:line="360" w:lineRule="auto"/>
              <w:ind w:right="42" w:rightChars="2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（3）投标截止时间前，投标人仅递交了“备份投标文件”而未将电子加密投标文件上传至“政府采购云平台”的，投标无效。</w:t>
            </w:r>
          </w:p>
        </w:tc>
      </w:tr>
      <w:tr w14:paraId="2E5F7C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777" w:type="dxa"/>
            <w:tcBorders>
              <w:top w:val="single" w:color="auto" w:sz="4" w:space="0"/>
              <w:left w:val="single" w:color="auto" w:sz="4" w:space="0"/>
              <w:bottom w:val="single" w:color="auto" w:sz="4" w:space="0"/>
              <w:right w:val="single" w:color="auto" w:sz="4" w:space="0"/>
            </w:tcBorders>
            <w:vAlign w:val="center"/>
          </w:tcPr>
          <w:p w14:paraId="70146E73">
            <w:pPr>
              <w:snapToGrid w:val="0"/>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16</w:t>
            </w:r>
          </w:p>
        </w:tc>
        <w:tc>
          <w:tcPr>
            <w:tcW w:w="8511" w:type="dxa"/>
            <w:tcBorders>
              <w:top w:val="single" w:color="auto" w:sz="4" w:space="0"/>
              <w:left w:val="single" w:color="auto" w:sz="4" w:space="0"/>
              <w:bottom w:val="single" w:color="auto" w:sz="4" w:space="0"/>
              <w:right w:val="single" w:color="auto" w:sz="4" w:space="0"/>
            </w:tcBorders>
            <w:vAlign w:val="center"/>
          </w:tcPr>
          <w:p w14:paraId="6F1A2186">
            <w:pPr>
              <w:spacing w:line="360" w:lineRule="auto"/>
              <w:ind w:right="42" w:rightChars="20"/>
              <w:jc w:val="left"/>
              <w:rPr>
                <w:rFonts w:hint="eastAsia" w:ascii="宋体" w:hAnsi="宋体" w:eastAsia="宋体" w:cs="宋体"/>
                <w:color w:val="auto"/>
                <w:sz w:val="21"/>
                <w:szCs w:val="21"/>
                <w:highlight w:val="none"/>
              </w:rPr>
            </w:pPr>
            <w:r>
              <w:rPr>
                <w:rFonts w:hint="eastAsia" w:cs="微软雅黑" w:asciiTheme="minorEastAsia" w:hAnsiTheme="minorEastAsia" w:eastAsiaTheme="minorEastAsia"/>
                <w:color w:val="auto"/>
                <w:szCs w:val="21"/>
                <w:highlight w:val="none"/>
              </w:rPr>
              <w:t>投标截止时间及地点</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0</w:t>
            </w:r>
          </w:p>
          <w:p w14:paraId="48F1E92D">
            <w:pPr>
              <w:spacing w:line="360" w:lineRule="auto"/>
              <w:ind w:right="42" w:rightChars="20"/>
              <w:jc w:val="left"/>
              <w:rPr>
                <w:rFonts w:cs="微软雅黑" w:asciiTheme="minorEastAsia" w:hAnsiTheme="minorEastAsia" w:eastAsiaTheme="minorEastAsia"/>
                <w:color w:val="auto"/>
                <w:szCs w:val="21"/>
                <w:highlight w:val="none"/>
              </w:rPr>
            </w:pPr>
            <w:r>
              <w:rPr>
                <w:rFonts w:hint="eastAsia" w:ascii="宋体" w:hAnsi="宋体" w:eastAsia="宋体" w:cs="宋体"/>
                <w:color w:val="auto"/>
                <w:sz w:val="21"/>
                <w:szCs w:val="21"/>
                <w:highlight w:val="none"/>
              </w:rPr>
              <w:t xml:space="preserve">                     政采云线上投标</w:t>
            </w:r>
          </w:p>
        </w:tc>
      </w:tr>
      <w:tr w14:paraId="5A343D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777" w:type="dxa"/>
            <w:tcBorders>
              <w:top w:val="single" w:color="auto" w:sz="4" w:space="0"/>
              <w:left w:val="single" w:color="auto" w:sz="4" w:space="0"/>
              <w:bottom w:val="single" w:color="auto" w:sz="4" w:space="0"/>
              <w:right w:val="single" w:color="auto" w:sz="4" w:space="0"/>
            </w:tcBorders>
            <w:vAlign w:val="center"/>
          </w:tcPr>
          <w:p w14:paraId="786A0170">
            <w:pPr>
              <w:snapToGrid w:val="0"/>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17</w:t>
            </w:r>
          </w:p>
        </w:tc>
        <w:tc>
          <w:tcPr>
            <w:tcW w:w="8511" w:type="dxa"/>
            <w:tcBorders>
              <w:top w:val="single" w:color="auto" w:sz="4" w:space="0"/>
              <w:left w:val="single" w:color="auto" w:sz="4" w:space="0"/>
              <w:bottom w:val="single" w:color="auto" w:sz="4" w:space="0"/>
              <w:right w:val="single" w:color="auto" w:sz="4" w:space="0"/>
            </w:tcBorders>
            <w:vAlign w:val="center"/>
          </w:tcPr>
          <w:p w14:paraId="0808719E">
            <w:pPr>
              <w:spacing w:line="360" w:lineRule="auto"/>
              <w:ind w:right="42" w:rightChars="20"/>
              <w:jc w:val="left"/>
              <w:rPr>
                <w:rFonts w:hint="eastAsia" w:ascii="宋体" w:hAnsi="宋体" w:eastAsia="宋体" w:cs="宋体"/>
                <w:color w:val="auto"/>
                <w:sz w:val="21"/>
                <w:szCs w:val="21"/>
                <w:highlight w:val="none"/>
              </w:rPr>
            </w:pPr>
            <w:r>
              <w:rPr>
                <w:rFonts w:hint="eastAsia" w:cs="微软雅黑" w:asciiTheme="minorEastAsia" w:hAnsiTheme="minorEastAsia" w:eastAsiaTheme="minorEastAsia"/>
                <w:color w:val="auto"/>
                <w:szCs w:val="21"/>
                <w:highlight w:val="none"/>
              </w:rPr>
              <w:t>开标时间及地点：</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0</w:t>
            </w:r>
          </w:p>
          <w:p w14:paraId="2451A01F">
            <w:pPr>
              <w:spacing w:line="360" w:lineRule="auto"/>
              <w:ind w:right="42" w:rightChars="2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开标地点（线下）：嘉兴市洪波路1200号万豪广场12楼1204号 </w:t>
            </w:r>
          </w:p>
        </w:tc>
      </w:tr>
      <w:tr w14:paraId="1BBBBB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777" w:type="dxa"/>
            <w:tcBorders>
              <w:top w:val="single" w:color="auto" w:sz="4" w:space="0"/>
              <w:left w:val="single" w:color="auto" w:sz="4" w:space="0"/>
              <w:bottom w:val="single" w:color="auto" w:sz="4" w:space="0"/>
              <w:right w:val="single" w:color="auto" w:sz="4" w:space="0"/>
            </w:tcBorders>
            <w:vAlign w:val="center"/>
          </w:tcPr>
          <w:p w14:paraId="73F0747E">
            <w:pPr>
              <w:snapToGrid w:val="0"/>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18</w:t>
            </w:r>
          </w:p>
        </w:tc>
        <w:tc>
          <w:tcPr>
            <w:tcW w:w="8511" w:type="dxa"/>
            <w:tcBorders>
              <w:top w:val="single" w:color="auto" w:sz="4" w:space="0"/>
              <w:left w:val="single" w:color="auto" w:sz="4" w:space="0"/>
              <w:bottom w:val="single" w:color="auto" w:sz="4" w:space="0"/>
              <w:right w:val="single" w:color="auto" w:sz="4" w:space="0"/>
            </w:tcBorders>
            <w:vAlign w:val="center"/>
          </w:tcPr>
          <w:p w14:paraId="37A3C235">
            <w:pPr>
              <w:autoSpaceDE w:val="0"/>
              <w:autoSpaceDN w:val="0"/>
              <w:snapToGrid w:val="0"/>
              <w:spacing w:line="360" w:lineRule="auto"/>
              <w:ind w:right="42" w:rightChars="20"/>
              <w:jc w:val="left"/>
              <w:textAlignment w:val="bottom"/>
              <w:rPr>
                <w:rFonts w:cs="微软雅黑" w:asciiTheme="minorEastAsia" w:hAnsiTheme="minorEastAsia" w:eastAsiaTheme="minorEastAsia"/>
                <w:b/>
                <w:color w:val="auto"/>
                <w:szCs w:val="21"/>
                <w:highlight w:val="none"/>
              </w:rPr>
            </w:pPr>
            <w:r>
              <w:rPr>
                <w:rFonts w:hint="eastAsia" w:cs="微软雅黑" w:asciiTheme="minorEastAsia" w:hAnsiTheme="minorEastAsia" w:eastAsiaTheme="minorEastAsia"/>
                <w:color w:val="auto"/>
                <w:szCs w:val="21"/>
                <w:highlight w:val="none"/>
              </w:rPr>
              <w:t>投标费用：</w:t>
            </w:r>
            <w:r>
              <w:rPr>
                <w:rFonts w:hint="eastAsia"/>
                <w:color w:val="auto"/>
                <w:highlight w:val="none"/>
              </w:rPr>
              <w:t>本项目招标代理费由成交供应商支付，本项目招标代理费以成交金额为基数按计价格(2002)1980号收费标准</w:t>
            </w:r>
            <w:r>
              <w:rPr>
                <w:rFonts w:hint="eastAsia"/>
                <w:color w:val="auto"/>
                <w:highlight w:val="none"/>
                <w:lang w:val="en-US" w:eastAsia="zh-CN"/>
              </w:rPr>
              <w:t>60</w:t>
            </w:r>
            <w:r>
              <w:rPr>
                <w:rFonts w:hint="eastAsia"/>
                <w:color w:val="auto"/>
                <w:highlight w:val="none"/>
              </w:rPr>
              <w:t>%计取，不足</w:t>
            </w:r>
            <w:r>
              <w:rPr>
                <w:rFonts w:hint="eastAsia"/>
                <w:color w:val="auto"/>
                <w:highlight w:val="none"/>
                <w:lang w:val="en-US" w:eastAsia="zh-CN"/>
              </w:rPr>
              <w:t>3</w:t>
            </w:r>
            <w:r>
              <w:rPr>
                <w:rFonts w:hint="eastAsia"/>
                <w:color w:val="auto"/>
                <w:highlight w:val="none"/>
              </w:rPr>
              <w:t>000元，按</w:t>
            </w:r>
            <w:r>
              <w:rPr>
                <w:rFonts w:hint="eastAsia"/>
                <w:color w:val="auto"/>
                <w:highlight w:val="none"/>
                <w:lang w:val="en-US" w:eastAsia="zh-CN"/>
              </w:rPr>
              <w:t>3</w:t>
            </w:r>
            <w:r>
              <w:rPr>
                <w:rFonts w:hint="eastAsia"/>
                <w:color w:val="auto"/>
                <w:highlight w:val="none"/>
              </w:rPr>
              <w:t>000元计取，成交供应商在领取成交通知书时一次性交纳给采购代理机构。</w:t>
            </w:r>
          </w:p>
        </w:tc>
      </w:tr>
      <w:tr w14:paraId="64BC8F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77" w:type="dxa"/>
            <w:tcBorders>
              <w:top w:val="single" w:color="auto" w:sz="4" w:space="0"/>
              <w:left w:val="single" w:color="auto" w:sz="4" w:space="0"/>
              <w:bottom w:val="single" w:color="auto" w:sz="4" w:space="0"/>
              <w:right w:val="single" w:color="auto" w:sz="4" w:space="0"/>
            </w:tcBorders>
            <w:vAlign w:val="center"/>
          </w:tcPr>
          <w:p w14:paraId="0F713868">
            <w:pPr>
              <w:snapToGrid w:val="0"/>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19</w:t>
            </w:r>
          </w:p>
        </w:tc>
        <w:tc>
          <w:tcPr>
            <w:tcW w:w="8511" w:type="dxa"/>
            <w:tcBorders>
              <w:top w:val="single" w:color="auto" w:sz="4" w:space="0"/>
              <w:left w:val="single" w:color="auto" w:sz="4" w:space="0"/>
              <w:bottom w:val="single" w:color="auto" w:sz="4" w:space="0"/>
              <w:right w:val="single" w:color="auto" w:sz="4" w:space="0"/>
            </w:tcBorders>
            <w:vAlign w:val="center"/>
          </w:tcPr>
          <w:p w14:paraId="61D4E9F2">
            <w:pPr>
              <w:autoSpaceDE w:val="0"/>
              <w:autoSpaceDN w:val="0"/>
              <w:snapToGrid w:val="0"/>
              <w:spacing w:line="360" w:lineRule="auto"/>
              <w:ind w:right="42" w:rightChars="20"/>
              <w:jc w:val="left"/>
              <w:textAlignment w:val="bottom"/>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签订合同时间：中标通知书发出后30日内。</w:t>
            </w:r>
          </w:p>
        </w:tc>
      </w:tr>
      <w:tr w14:paraId="6EAFE1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 w:hRule="atLeast"/>
        </w:trPr>
        <w:tc>
          <w:tcPr>
            <w:tcW w:w="777" w:type="dxa"/>
            <w:tcBorders>
              <w:top w:val="single" w:color="auto" w:sz="4" w:space="0"/>
              <w:left w:val="single" w:color="auto" w:sz="4" w:space="0"/>
              <w:bottom w:val="single" w:color="auto" w:sz="4" w:space="0"/>
              <w:right w:val="single" w:color="auto" w:sz="4" w:space="0"/>
            </w:tcBorders>
            <w:vAlign w:val="center"/>
          </w:tcPr>
          <w:p w14:paraId="6DB9C4C4">
            <w:pPr>
              <w:snapToGrid w:val="0"/>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20</w:t>
            </w:r>
          </w:p>
        </w:tc>
        <w:tc>
          <w:tcPr>
            <w:tcW w:w="8511" w:type="dxa"/>
            <w:tcBorders>
              <w:top w:val="single" w:color="auto" w:sz="4" w:space="0"/>
              <w:left w:val="single" w:color="auto" w:sz="4" w:space="0"/>
              <w:bottom w:val="single" w:color="auto" w:sz="4" w:space="0"/>
              <w:right w:val="single" w:color="auto" w:sz="4" w:space="0"/>
            </w:tcBorders>
            <w:vAlign w:val="center"/>
          </w:tcPr>
          <w:p w14:paraId="64C426A1">
            <w:pPr>
              <w:autoSpaceDE w:val="0"/>
              <w:autoSpaceDN w:val="0"/>
              <w:snapToGrid w:val="0"/>
              <w:spacing w:line="360" w:lineRule="auto"/>
              <w:ind w:right="42" w:rightChars="20"/>
              <w:jc w:val="left"/>
              <w:textAlignment w:val="bottom"/>
              <w:rPr>
                <w:rFonts w:cs="微软雅黑"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履约保证金的收取及退还：无。</w:t>
            </w:r>
          </w:p>
        </w:tc>
      </w:tr>
      <w:tr w14:paraId="6F2E76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77" w:type="dxa"/>
            <w:tcBorders>
              <w:top w:val="single" w:color="auto" w:sz="4" w:space="0"/>
              <w:left w:val="single" w:color="auto" w:sz="4" w:space="0"/>
              <w:bottom w:val="single" w:color="auto" w:sz="4" w:space="0"/>
              <w:right w:val="single" w:color="auto" w:sz="4" w:space="0"/>
            </w:tcBorders>
            <w:vAlign w:val="center"/>
          </w:tcPr>
          <w:p w14:paraId="4AACF44C">
            <w:pPr>
              <w:snapToGrid w:val="0"/>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21</w:t>
            </w:r>
          </w:p>
        </w:tc>
        <w:tc>
          <w:tcPr>
            <w:tcW w:w="8511" w:type="dxa"/>
            <w:tcBorders>
              <w:top w:val="single" w:color="auto" w:sz="4" w:space="0"/>
              <w:left w:val="single" w:color="auto" w:sz="4" w:space="0"/>
              <w:bottom w:val="single" w:color="auto" w:sz="4" w:space="0"/>
              <w:right w:val="single" w:color="auto" w:sz="4" w:space="0"/>
            </w:tcBorders>
            <w:vAlign w:val="center"/>
          </w:tcPr>
          <w:p w14:paraId="292FEBD3">
            <w:pPr>
              <w:snapToGrid w:val="0"/>
              <w:spacing w:line="360" w:lineRule="auto"/>
              <w:ind w:right="42" w:rightChars="2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投标文件有效期：</w:t>
            </w:r>
            <w:r>
              <w:rPr>
                <w:rFonts w:hint="eastAsia" w:cs="微软雅黑" w:asciiTheme="minorEastAsia" w:hAnsiTheme="minorEastAsia" w:eastAsiaTheme="minorEastAsia"/>
                <w:color w:val="auto"/>
                <w:szCs w:val="21"/>
                <w:highlight w:val="none"/>
                <w:u w:val="single"/>
              </w:rPr>
              <w:t>60</w:t>
            </w:r>
            <w:r>
              <w:rPr>
                <w:rFonts w:hint="eastAsia" w:cs="微软雅黑" w:asciiTheme="minorEastAsia" w:hAnsiTheme="minorEastAsia" w:eastAsiaTheme="minorEastAsia"/>
                <w:color w:val="auto"/>
                <w:szCs w:val="21"/>
                <w:highlight w:val="none"/>
              </w:rPr>
              <w:t>天</w:t>
            </w:r>
          </w:p>
        </w:tc>
      </w:tr>
      <w:tr w14:paraId="13A2ED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777" w:type="dxa"/>
            <w:tcBorders>
              <w:top w:val="single" w:color="auto" w:sz="4" w:space="0"/>
              <w:left w:val="single" w:color="auto" w:sz="4" w:space="0"/>
              <w:bottom w:val="single" w:color="auto" w:sz="4" w:space="0"/>
              <w:right w:val="single" w:color="auto" w:sz="4" w:space="0"/>
            </w:tcBorders>
            <w:vAlign w:val="center"/>
          </w:tcPr>
          <w:p w14:paraId="3496AB70">
            <w:pPr>
              <w:snapToGrid w:val="0"/>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22</w:t>
            </w:r>
          </w:p>
        </w:tc>
        <w:tc>
          <w:tcPr>
            <w:tcW w:w="8511" w:type="dxa"/>
            <w:tcBorders>
              <w:top w:val="single" w:color="auto" w:sz="4" w:space="0"/>
              <w:left w:val="single" w:color="auto" w:sz="4" w:space="0"/>
              <w:bottom w:val="single" w:color="auto" w:sz="4" w:space="0"/>
              <w:right w:val="single" w:color="auto" w:sz="4" w:space="0"/>
            </w:tcBorders>
            <w:vAlign w:val="center"/>
          </w:tcPr>
          <w:p w14:paraId="3B011B8D">
            <w:pPr>
              <w:spacing w:line="360" w:lineRule="auto"/>
              <w:ind w:right="42" w:rightChars="2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kern w:val="0"/>
                <w:szCs w:val="21"/>
                <w:highlight w:val="none"/>
              </w:rPr>
              <w:t>网上注册：</w:t>
            </w:r>
            <w:r>
              <w:rPr>
                <w:rFonts w:hint="eastAsia" w:cs="微软雅黑" w:asciiTheme="minorEastAsia" w:hAnsiTheme="minorEastAsia" w:eastAsiaTheme="minorEastAsia"/>
                <w:color w:val="auto"/>
                <w:kern w:val="0"/>
                <w:szCs w:val="21"/>
                <w:highlight w:val="none"/>
              </w:rPr>
              <w:br w:type="textWrapping"/>
            </w:r>
            <w:r>
              <w:rPr>
                <w:rFonts w:hint="eastAsia" w:cs="微软雅黑" w:asciiTheme="minorEastAsia" w:hAnsiTheme="minorEastAsia" w:eastAsiaTheme="minorEastAsia"/>
                <w:color w:val="auto"/>
                <w:kern w:val="0"/>
                <w:szCs w:val="21"/>
                <w:highlight w:val="none"/>
              </w:rPr>
              <w:t>本项目不接受现场报名，须注册后进行网上报名。在浙江政府采购网进行投标人注册后完成报名；（详情请见第一章公告报名及招标文件的获取）</w:t>
            </w:r>
          </w:p>
        </w:tc>
      </w:tr>
      <w:tr w14:paraId="4ED88D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777" w:type="dxa"/>
            <w:tcBorders>
              <w:top w:val="single" w:color="auto" w:sz="4" w:space="0"/>
              <w:left w:val="single" w:color="auto" w:sz="4" w:space="0"/>
              <w:bottom w:val="single" w:color="auto" w:sz="4" w:space="0"/>
              <w:right w:val="single" w:color="auto" w:sz="4" w:space="0"/>
            </w:tcBorders>
            <w:vAlign w:val="center"/>
          </w:tcPr>
          <w:p w14:paraId="3FE3CDD0">
            <w:pPr>
              <w:snapToGrid w:val="0"/>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23</w:t>
            </w:r>
          </w:p>
        </w:tc>
        <w:tc>
          <w:tcPr>
            <w:tcW w:w="8511" w:type="dxa"/>
            <w:tcBorders>
              <w:top w:val="single" w:color="auto" w:sz="4" w:space="0"/>
              <w:left w:val="single" w:color="auto" w:sz="4" w:space="0"/>
              <w:bottom w:val="single" w:color="auto" w:sz="4" w:space="0"/>
              <w:right w:val="single" w:color="auto" w:sz="4" w:space="0"/>
            </w:tcBorders>
            <w:vAlign w:val="center"/>
          </w:tcPr>
          <w:p w14:paraId="5B1D7ACA">
            <w:pPr>
              <w:autoSpaceDE w:val="0"/>
              <w:autoSpaceDN w:val="0"/>
              <w:snapToGrid w:val="0"/>
              <w:spacing w:line="360" w:lineRule="auto"/>
              <w:ind w:right="42" w:rightChars="20"/>
              <w:textAlignment w:val="bottom"/>
              <w:rPr>
                <w:rFonts w:cs="微软雅黑" w:asciiTheme="minorEastAsia" w:hAnsiTheme="minorEastAsia" w:eastAsiaTheme="minorEastAsia"/>
                <w:color w:val="auto"/>
                <w:kern w:val="0"/>
                <w:szCs w:val="21"/>
                <w:highlight w:val="none"/>
              </w:rPr>
            </w:pPr>
            <w:r>
              <w:rPr>
                <w:rFonts w:hint="eastAsia" w:cs="微软雅黑" w:asciiTheme="minorEastAsia" w:hAnsiTheme="minorEastAsia" w:eastAsiaTheme="minorEastAsia"/>
                <w:color w:val="auto"/>
                <w:kern w:val="0"/>
                <w:szCs w:val="21"/>
                <w:highlight w:val="none"/>
              </w:rPr>
              <w:t>信用记录：符合浙财采监【2013】24号《关于规范政府采购投标人资格设定及资格审查的通知》规定,且未被“信用中国”（www.creditchina.gov.cn）和中国政府采购网（www.ccgp.gov.cn）列入失信被执行人、重大税收违法案件当事人名单、政府采购严重违法失信行为记录名单。提供承诺（详见附件）。</w:t>
            </w:r>
          </w:p>
        </w:tc>
      </w:tr>
      <w:tr w14:paraId="6563A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777" w:type="dxa"/>
            <w:tcBorders>
              <w:top w:val="single" w:color="auto" w:sz="4" w:space="0"/>
              <w:left w:val="single" w:color="auto" w:sz="4" w:space="0"/>
              <w:bottom w:val="single" w:color="auto" w:sz="4" w:space="0"/>
              <w:right w:val="single" w:color="auto" w:sz="4" w:space="0"/>
            </w:tcBorders>
            <w:vAlign w:val="center"/>
          </w:tcPr>
          <w:p w14:paraId="5F80B145">
            <w:pPr>
              <w:snapToGrid w:val="0"/>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24</w:t>
            </w:r>
          </w:p>
        </w:tc>
        <w:tc>
          <w:tcPr>
            <w:tcW w:w="8511" w:type="dxa"/>
            <w:tcBorders>
              <w:top w:val="single" w:color="auto" w:sz="4" w:space="0"/>
              <w:left w:val="single" w:color="auto" w:sz="4" w:space="0"/>
              <w:bottom w:val="single" w:color="auto" w:sz="4" w:space="0"/>
              <w:right w:val="single" w:color="auto" w:sz="4" w:space="0"/>
            </w:tcBorders>
            <w:vAlign w:val="center"/>
          </w:tcPr>
          <w:p w14:paraId="303304DE">
            <w:pPr>
              <w:spacing w:line="500" w:lineRule="exact"/>
              <w:rPr>
                <w:rFonts w:cs="微软雅黑" w:asciiTheme="minorEastAsia" w:hAnsiTheme="minorEastAsia" w:eastAsiaTheme="minorEastAsia"/>
                <w:color w:val="auto"/>
                <w:kern w:val="0"/>
                <w:szCs w:val="21"/>
                <w:highlight w:val="none"/>
              </w:rPr>
            </w:pPr>
            <w:r>
              <w:rPr>
                <w:rFonts w:hint="eastAsia" w:cs="微软雅黑" w:asciiTheme="minorEastAsia" w:hAnsiTheme="minorEastAsia" w:eastAsiaTheme="minorEastAsia"/>
                <w:color w:val="auto"/>
                <w:kern w:val="0"/>
                <w:szCs w:val="21"/>
                <w:highlight w:val="none"/>
              </w:rPr>
              <w:t>本项目为服务类采购，所属行业为其他未列明行业。</w:t>
            </w:r>
          </w:p>
          <w:p w14:paraId="4148227E">
            <w:pPr>
              <w:spacing w:line="500" w:lineRule="exact"/>
              <w:rPr>
                <w:color w:val="auto"/>
                <w:highlight w:val="none"/>
              </w:rPr>
            </w:pPr>
            <w:r>
              <w:rPr>
                <w:rFonts w:hint="eastAsia"/>
                <w:color w:val="auto"/>
                <w:highlight w:val="none"/>
              </w:rPr>
              <w:t>一、说明</w:t>
            </w:r>
          </w:p>
          <w:p w14:paraId="14CCB6CD">
            <w:pPr>
              <w:spacing w:line="500" w:lineRule="exact"/>
              <w:rPr>
                <w:color w:val="auto"/>
                <w:highlight w:val="none"/>
              </w:rPr>
            </w:pPr>
            <w:r>
              <w:rPr>
                <w:rFonts w:hint="eastAsia"/>
                <w:color w:val="auto"/>
                <w:highlight w:val="none"/>
              </w:rPr>
              <w:t>中小企业</w:t>
            </w:r>
          </w:p>
          <w:p w14:paraId="00AEE236">
            <w:pPr>
              <w:spacing w:line="500" w:lineRule="exact"/>
              <w:rPr>
                <w:color w:val="auto"/>
                <w:highlight w:val="none"/>
              </w:rPr>
            </w:pPr>
            <w:r>
              <w:rPr>
                <w:rFonts w:hint="eastAsia"/>
                <w:color w:val="auto"/>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CF64831">
            <w:pPr>
              <w:spacing w:line="500" w:lineRule="exact"/>
              <w:rPr>
                <w:color w:val="auto"/>
                <w:highlight w:val="none"/>
              </w:rPr>
            </w:pPr>
            <w:r>
              <w:rPr>
                <w:rFonts w:hint="eastAsia"/>
                <w:color w:val="auto"/>
                <w:highlight w:val="none"/>
              </w:rPr>
              <w:t>符合中小企业划分标准的个体工商户，在政府采购活动中视同中小企业。</w:t>
            </w:r>
          </w:p>
          <w:p w14:paraId="05A492D1">
            <w:pPr>
              <w:spacing w:line="500" w:lineRule="exact"/>
              <w:rPr>
                <w:color w:val="auto"/>
                <w:highlight w:val="none"/>
              </w:rPr>
            </w:pPr>
            <w:r>
              <w:rPr>
                <w:rFonts w:hint="eastAsia"/>
                <w:color w:val="auto"/>
                <w:highlight w:val="none"/>
              </w:rPr>
              <w:t>在政府采购活动中，供应商提供的货物、工程或者服务符合下列情形的，享受本办法规定的中小企业扶持政策：</w:t>
            </w:r>
          </w:p>
          <w:p w14:paraId="6938A8E7">
            <w:pPr>
              <w:spacing w:line="500" w:lineRule="exact"/>
              <w:rPr>
                <w:color w:val="auto"/>
                <w:highlight w:val="none"/>
              </w:rPr>
            </w:pPr>
            <w:r>
              <w:rPr>
                <w:rFonts w:hint="eastAsia"/>
                <w:color w:val="auto"/>
                <w:highlight w:val="none"/>
              </w:rPr>
              <w:t>(一)在货物采购项目中，货物由中小企业制造，即货物由中小企业生产且使用该中小企业商号或者注册商标；</w:t>
            </w:r>
          </w:p>
          <w:p w14:paraId="22EA545E">
            <w:pPr>
              <w:spacing w:line="500" w:lineRule="exact"/>
              <w:rPr>
                <w:color w:val="auto"/>
                <w:highlight w:val="none"/>
              </w:rPr>
            </w:pPr>
            <w:r>
              <w:rPr>
                <w:rFonts w:hint="eastAsia"/>
                <w:color w:val="auto"/>
                <w:highlight w:val="none"/>
              </w:rPr>
              <w:t>(二)在工程采购项目中，工程由中小企业承建，即工程施工单位为中小企业；</w:t>
            </w:r>
          </w:p>
          <w:p w14:paraId="243664B3">
            <w:pPr>
              <w:spacing w:line="500" w:lineRule="exact"/>
              <w:rPr>
                <w:color w:val="auto"/>
                <w:highlight w:val="none"/>
              </w:rPr>
            </w:pPr>
            <w:r>
              <w:rPr>
                <w:rFonts w:hint="eastAsia"/>
                <w:color w:val="auto"/>
                <w:highlight w:val="none"/>
              </w:rPr>
              <w:t>(三)在服务采购项目中，服务由中小企业承接，即提供服务的人员为中小企业依照《中华人民共和国民法典》订立劳动合同的从业人员。</w:t>
            </w:r>
          </w:p>
          <w:p w14:paraId="31DE372A">
            <w:pPr>
              <w:spacing w:line="500" w:lineRule="exact"/>
              <w:rPr>
                <w:color w:val="auto"/>
                <w:highlight w:val="none"/>
              </w:rPr>
            </w:pPr>
            <w:r>
              <w:rPr>
                <w:rFonts w:hint="eastAsia"/>
                <w:color w:val="auto"/>
                <w:highlight w:val="none"/>
              </w:rPr>
              <w:t>在货物采购项目中，供应商提供的货物既有中小企业制造货物，也有大型企业制造货物的，不享受本办法规定的中小企业扶持政策。</w:t>
            </w:r>
          </w:p>
          <w:p w14:paraId="3F3698EB">
            <w:pPr>
              <w:spacing w:line="500" w:lineRule="exact"/>
              <w:rPr>
                <w:color w:val="auto"/>
                <w:highlight w:val="none"/>
              </w:rPr>
            </w:pPr>
            <w:r>
              <w:rPr>
                <w:rFonts w:hint="eastAsia"/>
                <w:color w:val="auto"/>
                <w:highlight w:val="none"/>
              </w:rPr>
              <w:t>以联合体形式参加政府采购活动，联合体各方均为中小企业的，联合体视同中小企业。其中，联合体各方均为小微企业的，联合体视同小微企业。</w:t>
            </w:r>
          </w:p>
          <w:p w14:paraId="3DBCC5D5">
            <w:pPr>
              <w:spacing w:line="500" w:lineRule="exact"/>
              <w:rPr>
                <w:color w:val="auto"/>
                <w:highlight w:val="none"/>
              </w:rPr>
            </w:pPr>
            <w:r>
              <w:rPr>
                <w:rFonts w:hint="eastAsia"/>
                <w:color w:val="auto"/>
                <w:highlight w:val="none"/>
              </w:rPr>
              <w:t>残疾人福利性单位</w:t>
            </w:r>
          </w:p>
          <w:p w14:paraId="2B70B4B3">
            <w:pPr>
              <w:spacing w:line="500" w:lineRule="exact"/>
              <w:rPr>
                <w:color w:val="auto"/>
                <w:highlight w:val="none"/>
              </w:rPr>
            </w:pPr>
            <w:r>
              <w:rPr>
                <w:rFonts w:hint="eastAsia"/>
                <w:color w:val="auto"/>
                <w:highlight w:val="none"/>
              </w:rPr>
              <w:t>符合《关于促进残疾人就业政府采购政策的通知》（财库〔2017〕141号）规定的条件并提供提供《残疾人福利性单位声明函》的残疾人福利性单位视同小型、微型企业，享受预留份额、评审中价格扣除等政府采购促进中小企业发展的政府采购政策。</w:t>
            </w:r>
          </w:p>
          <w:p w14:paraId="7E3E6247">
            <w:pPr>
              <w:spacing w:line="500" w:lineRule="exact"/>
              <w:rPr>
                <w:color w:val="auto"/>
                <w:highlight w:val="none"/>
              </w:rPr>
            </w:pPr>
            <w:r>
              <w:rPr>
                <w:rFonts w:hint="eastAsia"/>
                <w:color w:val="auto"/>
                <w:highlight w:val="none"/>
              </w:rPr>
              <w:t>监狱企业</w:t>
            </w:r>
          </w:p>
          <w:p w14:paraId="001E8DA9">
            <w:pPr>
              <w:autoSpaceDE w:val="0"/>
              <w:autoSpaceDN w:val="0"/>
              <w:snapToGrid w:val="0"/>
              <w:spacing w:line="360" w:lineRule="auto"/>
              <w:ind w:right="42" w:rightChars="20"/>
              <w:textAlignment w:val="bottom"/>
              <w:rPr>
                <w:rFonts w:cs="微软雅黑" w:asciiTheme="minorEastAsia" w:hAnsiTheme="minorEastAsia" w:eastAsiaTheme="minorEastAsia"/>
                <w:color w:val="auto"/>
                <w:kern w:val="0"/>
                <w:szCs w:val="21"/>
                <w:highlight w:val="none"/>
              </w:rPr>
            </w:pPr>
            <w:r>
              <w:rPr>
                <w:rFonts w:hint="eastAsia"/>
                <w:color w:val="auto"/>
                <w:highlight w:val="none"/>
              </w:rPr>
              <w:t>根据《关于政府采购支持监狱企业发展有关问题的通知》（财库[2014]68号）的规定，投标人提供由省级以上监狱管理局、戒毒管理局（含新疆生产建设兵团）出具的属于监狱企业证明文件的，视同为小型和微型企业，享受预留份额、评审中价格扣除等政府采购促进中小企业发展的政府采购政策。</w:t>
            </w:r>
          </w:p>
        </w:tc>
      </w:tr>
      <w:tr w14:paraId="0AC7CA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77" w:type="dxa"/>
            <w:tcBorders>
              <w:top w:val="single" w:color="auto" w:sz="4" w:space="0"/>
              <w:left w:val="single" w:color="auto" w:sz="4" w:space="0"/>
              <w:bottom w:val="single" w:color="auto" w:sz="4" w:space="0"/>
              <w:right w:val="single" w:color="auto" w:sz="4" w:space="0"/>
            </w:tcBorders>
            <w:vAlign w:val="center"/>
          </w:tcPr>
          <w:p w14:paraId="113E6938">
            <w:pPr>
              <w:snapToGrid w:val="0"/>
              <w:spacing w:line="360" w:lineRule="auto"/>
              <w:ind w:right="42" w:rightChars="20"/>
              <w:jc w:val="center"/>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25</w:t>
            </w:r>
          </w:p>
        </w:tc>
        <w:tc>
          <w:tcPr>
            <w:tcW w:w="8511" w:type="dxa"/>
            <w:tcBorders>
              <w:top w:val="single" w:color="auto" w:sz="4" w:space="0"/>
              <w:left w:val="single" w:color="auto" w:sz="4" w:space="0"/>
              <w:bottom w:val="single" w:color="auto" w:sz="4" w:space="0"/>
              <w:right w:val="single" w:color="auto" w:sz="4" w:space="0"/>
            </w:tcBorders>
            <w:vAlign w:val="center"/>
          </w:tcPr>
          <w:p w14:paraId="28BD7914">
            <w:pPr>
              <w:snapToGrid w:val="0"/>
              <w:spacing w:line="360" w:lineRule="auto"/>
              <w:ind w:right="42" w:rightChars="20"/>
              <w:jc w:val="left"/>
              <w:rPr>
                <w:rFonts w:cs="微软雅黑" w:asciiTheme="minorEastAsia" w:hAnsiTheme="minorEastAsia" w:eastAsiaTheme="minorEastAsia"/>
                <w:color w:val="auto"/>
                <w:szCs w:val="21"/>
                <w:highlight w:val="none"/>
              </w:rPr>
            </w:pPr>
            <w:r>
              <w:rPr>
                <w:rFonts w:hint="eastAsia" w:cs="微软雅黑" w:asciiTheme="minorEastAsia" w:hAnsiTheme="minorEastAsia" w:eastAsiaTheme="minorEastAsia"/>
                <w:color w:val="auto"/>
                <w:szCs w:val="21"/>
                <w:highlight w:val="none"/>
              </w:rPr>
              <w:t>解释：本招标文件的解释权属于招标采购单位。</w:t>
            </w:r>
          </w:p>
        </w:tc>
      </w:tr>
    </w:tbl>
    <w:p w14:paraId="51902CDB">
      <w:pPr>
        <w:snapToGrid w:val="0"/>
        <w:spacing w:line="360" w:lineRule="auto"/>
        <w:ind w:right="42" w:rightChars="20" w:firstLine="422" w:firstLineChars="200"/>
        <w:jc w:val="left"/>
        <w:outlineLvl w:val="1"/>
        <w:rPr>
          <w:rFonts w:asciiTheme="minorEastAsia" w:hAnsiTheme="minorEastAsia" w:eastAsiaTheme="minorEastAsia"/>
          <w:b/>
          <w:color w:val="auto"/>
          <w:szCs w:val="21"/>
          <w:highlight w:val="none"/>
        </w:rPr>
      </w:pPr>
      <w:bookmarkStart w:id="17" w:name="_Toc50012817"/>
      <w:bookmarkStart w:id="18" w:name="_Toc493511580"/>
      <w:bookmarkStart w:id="19" w:name="_Toc177870536"/>
    </w:p>
    <w:p w14:paraId="222F826D">
      <w:pPr>
        <w:snapToGrid w:val="0"/>
        <w:spacing w:line="360" w:lineRule="auto"/>
        <w:ind w:right="42" w:rightChars="20" w:firstLine="422" w:firstLineChars="200"/>
        <w:jc w:val="left"/>
        <w:outlineLvl w:val="1"/>
        <w:rPr>
          <w:rFonts w:asciiTheme="minorEastAsia" w:hAnsiTheme="minorEastAsia" w:eastAsiaTheme="minorEastAsia"/>
          <w:b/>
          <w:color w:val="auto"/>
          <w:szCs w:val="21"/>
          <w:highlight w:val="none"/>
        </w:rPr>
      </w:pPr>
      <w:bookmarkStart w:id="20" w:name="_Toc2096"/>
      <w:r>
        <w:rPr>
          <w:rFonts w:hint="eastAsia" w:asciiTheme="minorEastAsia" w:hAnsiTheme="minorEastAsia" w:eastAsiaTheme="minorEastAsia"/>
          <w:b/>
          <w:color w:val="auto"/>
          <w:szCs w:val="21"/>
          <w:highlight w:val="none"/>
        </w:rPr>
        <w:t>一、总  则</w:t>
      </w:r>
      <w:bookmarkEnd w:id="17"/>
      <w:bookmarkEnd w:id="18"/>
      <w:bookmarkEnd w:id="19"/>
      <w:bookmarkEnd w:id="20"/>
    </w:p>
    <w:p w14:paraId="4A1D8D05">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21" w:name="_Toc177824939"/>
      <w:bookmarkStart w:id="22" w:name="_Toc493511581"/>
      <w:bookmarkStart w:id="23" w:name="_Toc8394"/>
      <w:bookmarkStart w:id="24" w:name="_Toc427915759"/>
      <w:bookmarkStart w:id="25" w:name="_Toc177824872"/>
      <w:bookmarkStart w:id="26" w:name="_Toc177870537"/>
      <w:bookmarkStart w:id="27" w:name="_Toc177825120"/>
      <w:bookmarkStart w:id="28" w:name="_Toc50012818"/>
      <w:r>
        <w:rPr>
          <w:rFonts w:hint="eastAsia" w:asciiTheme="minorEastAsia" w:hAnsiTheme="minorEastAsia" w:eastAsiaTheme="minorEastAsia"/>
          <w:color w:val="auto"/>
          <w:szCs w:val="21"/>
          <w:highlight w:val="none"/>
        </w:rPr>
        <w:t>1、 适用范围</w:t>
      </w:r>
      <w:bookmarkEnd w:id="21"/>
      <w:bookmarkEnd w:id="22"/>
      <w:bookmarkEnd w:id="23"/>
      <w:bookmarkEnd w:id="24"/>
      <w:bookmarkEnd w:id="25"/>
      <w:bookmarkEnd w:id="26"/>
      <w:bookmarkEnd w:id="27"/>
      <w:bookmarkEnd w:id="28"/>
    </w:p>
    <w:p w14:paraId="276181A5">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29" w:name="_Toc493511582"/>
      <w:bookmarkStart w:id="30" w:name="_Toc30106"/>
      <w:bookmarkStart w:id="31" w:name="_Toc50012819"/>
      <w:r>
        <w:rPr>
          <w:rFonts w:hint="eastAsia" w:asciiTheme="minorEastAsia" w:hAnsiTheme="minorEastAsia" w:eastAsiaTheme="minorEastAsia"/>
          <w:color w:val="auto"/>
          <w:szCs w:val="21"/>
          <w:highlight w:val="none"/>
        </w:rPr>
        <w:t>1.1、本招标文件适用于本次所述项目的招标。</w:t>
      </w:r>
      <w:bookmarkEnd w:id="29"/>
      <w:bookmarkEnd w:id="30"/>
      <w:bookmarkEnd w:id="31"/>
      <w:bookmarkStart w:id="32" w:name="_Toc177824873"/>
      <w:bookmarkStart w:id="33" w:name="_Toc177870538"/>
      <w:bookmarkStart w:id="34" w:name="_Toc177824940"/>
      <w:bookmarkStart w:id="35" w:name="_Toc177825121"/>
      <w:bookmarkStart w:id="36" w:name="_Toc427915760"/>
    </w:p>
    <w:p w14:paraId="5B74DD6A">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37" w:name="_Toc493511583"/>
      <w:bookmarkStart w:id="38" w:name="_Toc50012820"/>
      <w:bookmarkStart w:id="39" w:name="_Toc29052"/>
      <w:r>
        <w:rPr>
          <w:rFonts w:hint="eastAsia" w:asciiTheme="minorEastAsia" w:hAnsiTheme="minorEastAsia" w:eastAsiaTheme="minorEastAsia"/>
          <w:color w:val="auto"/>
          <w:szCs w:val="21"/>
          <w:highlight w:val="none"/>
        </w:rPr>
        <w:t>2、定义</w:t>
      </w:r>
      <w:bookmarkEnd w:id="32"/>
      <w:bookmarkEnd w:id="33"/>
      <w:bookmarkEnd w:id="34"/>
      <w:bookmarkEnd w:id="35"/>
      <w:bookmarkEnd w:id="36"/>
      <w:bookmarkEnd w:id="37"/>
      <w:bookmarkEnd w:id="38"/>
      <w:bookmarkEnd w:id="39"/>
    </w:p>
    <w:p w14:paraId="613ABC1F">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40" w:name="_Toc19542"/>
      <w:bookmarkStart w:id="41" w:name="_Toc50012821"/>
      <w:bookmarkStart w:id="42" w:name="_Toc493511584"/>
      <w:r>
        <w:rPr>
          <w:rFonts w:hint="eastAsia" w:asciiTheme="minorEastAsia" w:hAnsiTheme="minorEastAsia" w:eastAsiaTheme="minorEastAsia"/>
          <w:color w:val="auto"/>
          <w:szCs w:val="21"/>
          <w:highlight w:val="none"/>
        </w:rPr>
        <w:t>2.1、“招标人”系指组织本次招标的代理机构或采购人。</w:t>
      </w:r>
      <w:bookmarkEnd w:id="40"/>
      <w:bookmarkEnd w:id="41"/>
      <w:bookmarkEnd w:id="42"/>
    </w:p>
    <w:p w14:paraId="14B6CF15">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43" w:name="_Toc493511585"/>
      <w:bookmarkStart w:id="44" w:name="_Toc50012822"/>
      <w:bookmarkStart w:id="45" w:name="_Toc22525"/>
      <w:r>
        <w:rPr>
          <w:rFonts w:hint="eastAsia" w:asciiTheme="minorEastAsia" w:hAnsiTheme="minorEastAsia" w:eastAsiaTheme="minorEastAsia"/>
          <w:color w:val="auto"/>
          <w:szCs w:val="21"/>
          <w:highlight w:val="none"/>
        </w:rPr>
        <w:t>2.2、“投标人”系指向采购人提交投标文件的投标人。</w:t>
      </w:r>
      <w:bookmarkEnd w:id="43"/>
      <w:bookmarkEnd w:id="44"/>
      <w:bookmarkEnd w:id="45"/>
    </w:p>
    <w:p w14:paraId="11DE085C">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46" w:name="_Toc493511586"/>
      <w:bookmarkStart w:id="47" w:name="_Toc2392"/>
      <w:bookmarkStart w:id="48" w:name="_Toc50012823"/>
      <w:r>
        <w:rPr>
          <w:rFonts w:hint="eastAsia" w:asciiTheme="minorEastAsia" w:hAnsiTheme="minorEastAsia" w:eastAsiaTheme="minorEastAsia"/>
          <w:color w:val="auto"/>
          <w:szCs w:val="21"/>
          <w:highlight w:val="none"/>
        </w:rPr>
        <w:t>2.3、“产品”系指供方按招标文件规定，须向采购人提供的一切设备、保险、税金、备品备件、工具、手册及其它有关技术资料和材料。</w:t>
      </w:r>
      <w:bookmarkEnd w:id="46"/>
      <w:bookmarkEnd w:id="47"/>
      <w:bookmarkEnd w:id="48"/>
    </w:p>
    <w:p w14:paraId="6DD07BAD">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49" w:name="_Toc493511587"/>
      <w:bookmarkStart w:id="50" w:name="_Toc15752"/>
      <w:bookmarkStart w:id="51" w:name="_Toc50012824"/>
      <w:r>
        <w:rPr>
          <w:rFonts w:hint="eastAsia" w:asciiTheme="minorEastAsia" w:hAnsiTheme="minorEastAsia" w:eastAsiaTheme="minorEastAsia"/>
          <w:color w:val="auto"/>
          <w:szCs w:val="21"/>
          <w:highlight w:val="none"/>
        </w:rPr>
        <w:t>2.4、“服务”系指招标文件规定投标人须承担的安装、调试、技术协助、校准、培训、技术指导以及其他类似的义务。</w:t>
      </w:r>
      <w:bookmarkEnd w:id="49"/>
      <w:bookmarkEnd w:id="50"/>
      <w:bookmarkEnd w:id="51"/>
    </w:p>
    <w:p w14:paraId="098CB65D">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52" w:name="_Toc493511588"/>
      <w:bookmarkStart w:id="53" w:name="_Toc50012825"/>
      <w:bookmarkStart w:id="54" w:name="_Toc14499"/>
      <w:r>
        <w:rPr>
          <w:rFonts w:hint="eastAsia" w:asciiTheme="minorEastAsia" w:hAnsiTheme="minorEastAsia" w:eastAsiaTheme="minorEastAsia"/>
          <w:color w:val="auto"/>
          <w:szCs w:val="21"/>
          <w:highlight w:val="none"/>
        </w:rPr>
        <w:t>2.5、“项目”系指投标人按招标文件规定向采购人提供的产品和服务。</w:t>
      </w:r>
      <w:bookmarkEnd w:id="52"/>
      <w:bookmarkEnd w:id="53"/>
      <w:bookmarkEnd w:id="54"/>
    </w:p>
    <w:p w14:paraId="3153C85F">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55" w:name="_Toc28414"/>
      <w:bookmarkStart w:id="56" w:name="_Toc50012826"/>
      <w:bookmarkStart w:id="57" w:name="_Toc493511589"/>
      <w:r>
        <w:rPr>
          <w:rFonts w:hint="eastAsia" w:asciiTheme="minorEastAsia" w:hAnsiTheme="minorEastAsia" w:eastAsiaTheme="minorEastAsia"/>
          <w:color w:val="auto"/>
          <w:szCs w:val="21"/>
          <w:highlight w:val="none"/>
        </w:rPr>
        <w:t>2.6、“书面形式”包括信函、传真、电报、电子文档等。</w:t>
      </w:r>
      <w:bookmarkEnd w:id="55"/>
      <w:bookmarkEnd w:id="56"/>
      <w:bookmarkEnd w:id="57"/>
    </w:p>
    <w:p w14:paraId="2C09A6B3">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58" w:name="_Toc18649"/>
      <w:bookmarkStart w:id="59" w:name="_Toc50012827"/>
      <w:bookmarkStart w:id="60" w:name="_Toc493511590"/>
      <w:r>
        <w:rPr>
          <w:rFonts w:hint="eastAsia" w:asciiTheme="minorEastAsia" w:hAnsiTheme="minorEastAsia" w:eastAsiaTheme="minorEastAsia"/>
          <w:color w:val="auto"/>
          <w:szCs w:val="21"/>
          <w:highlight w:val="none"/>
        </w:rPr>
        <w:t>2.7、“▲”系指实质性要求条款。</w:t>
      </w:r>
      <w:bookmarkEnd w:id="58"/>
      <w:bookmarkEnd w:id="59"/>
      <w:bookmarkEnd w:id="60"/>
      <w:bookmarkStart w:id="61" w:name="_Toc177870539"/>
      <w:bookmarkStart w:id="62" w:name="_Toc427915761"/>
    </w:p>
    <w:p w14:paraId="01121BEC">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63" w:name="_Toc50012828"/>
      <w:bookmarkStart w:id="64" w:name="_Toc10422"/>
      <w:bookmarkStart w:id="65" w:name="_Toc493511591"/>
      <w:r>
        <w:rPr>
          <w:rFonts w:hint="eastAsia" w:asciiTheme="minorEastAsia" w:hAnsiTheme="minorEastAsia" w:eastAsiaTheme="minorEastAsia"/>
          <w:color w:val="auto"/>
          <w:szCs w:val="21"/>
          <w:highlight w:val="none"/>
        </w:rPr>
        <w:t>3、</w:t>
      </w:r>
      <w:bookmarkEnd w:id="61"/>
      <w:bookmarkEnd w:id="62"/>
      <w:bookmarkEnd w:id="63"/>
      <w:bookmarkEnd w:id="64"/>
      <w:bookmarkEnd w:id="65"/>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式</w:t>
      </w:r>
    </w:p>
    <w:p w14:paraId="1AC05902">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66" w:name="_Toc493511592"/>
      <w:bookmarkStart w:id="67" w:name="_Toc21572"/>
      <w:bookmarkStart w:id="68" w:name="_Toc50012829"/>
      <w:r>
        <w:rPr>
          <w:rFonts w:hint="eastAsia" w:asciiTheme="minorEastAsia" w:hAnsiTheme="minorEastAsia" w:eastAsiaTheme="minorEastAsia"/>
          <w:color w:val="auto"/>
          <w:szCs w:val="21"/>
          <w:highlight w:val="none"/>
        </w:rPr>
        <w:t>3.1、本次招标采用公开</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式进行。</w:t>
      </w:r>
      <w:bookmarkEnd w:id="66"/>
      <w:bookmarkEnd w:id="67"/>
      <w:bookmarkEnd w:id="68"/>
    </w:p>
    <w:p w14:paraId="160ED6E0">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69" w:name="_Toc50012830"/>
      <w:bookmarkStart w:id="70" w:name="_Toc493511593"/>
      <w:bookmarkStart w:id="71" w:name="_Toc30170"/>
      <w:r>
        <w:rPr>
          <w:rFonts w:hint="eastAsia" w:asciiTheme="minorEastAsia" w:hAnsiTheme="minorEastAsia" w:eastAsiaTheme="minorEastAsia"/>
          <w:color w:val="auto"/>
          <w:szCs w:val="21"/>
          <w:highlight w:val="none"/>
        </w:rPr>
        <w:t>3.2、本次招标设定上限价为预算价。</w:t>
      </w:r>
      <w:bookmarkEnd w:id="69"/>
      <w:bookmarkEnd w:id="70"/>
      <w:bookmarkEnd w:id="71"/>
      <w:bookmarkStart w:id="72" w:name="_Toc177824874"/>
      <w:bookmarkStart w:id="73" w:name="_Toc177824941"/>
      <w:bookmarkStart w:id="74" w:name="_Toc177870540"/>
      <w:bookmarkStart w:id="75" w:name="_Toc427915762"/>
      <w:bookmarkStart w:id="76" w:name="_Toc177825122"/>
    </w:p>
    <w:p w14:paraId="56ECB93A">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77" w:name="_Toc21323"/>
      <w:bookmarkStart w:id="78" w:name="_Toc50012831"/>
      <w:bookmarkStart w:id="79" w:name="_Toc493511594"/>
      <w:r>
        <w:rPr>
          <w:rFonts w:hint="eastAsia" w:asciiTheme="minorEastAsia" w:hAnsiTheme="minorEastAsia" w:eastAsiaTheme="minorEastAsia"/>
          <w:color w:val="auto"/>
          <w:szCs w:val="21"/>
          <w:highlight w:val="none"/>
        </w:rPr>
        <w:t>4、投标委托</w:t>
      </w:r>
      <w:bookmarkEnd w:id="72"/>
      <w:bookmarkEnd w:id="73"/>
      <w:bookmarkEnd w:id="74"/>
      <w:bookmarkEnd w:id="75"/>
      <w:bookmarkEnd w:id="76"/>
      <w:bookmarkEnd w:id="77"/>
      <w:bookmarkEnd w:id="78"/>
      <w:bookmarkEnd w:id="79"/>
    </w:p>
    <w:p w14:paraId="22AC9245">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80" w:name="_Toc50012832"/>
      <w:bookmarkStart w:id="81" w:name="_Toc493511595"/>
      <w:bookmarkStart w:id="82" w:name="_Toc10126"/>
      <w:r>
        <w:rPr>
          <w:rFonts w:hint="eastAsia" w:asciiTheme="minorEastAsia" w:hAnsiTheme="minorEastAsia" w:eastAsiaTheme="minorEastAsia"/>
          <w:color w:val="auto"/>
          <w:szCs w:val="21"/>
          <w:highlight w:val="none"/>
        </w:rPr>
        <w:t>投标人代表须携带居民身份证。如投标人代表不是法定代表人，须有法定代表人出具的授权委托书。（正本用原件，副本可用复印件，格式见第六部分）。</w:t>
      </w:r>
      <w:bookmarkEnd w:id="80"/>
      <w:bookmarkEnd w:id="81"/>
      <w:bookmarkEnd w:id="82"/>
      <w:bookmarkStart w:id="83" w:name="_Toc177824875"/>
      <w:bookmarkStart w:id="84" w:name="_Toc177825123"/>
      <w:bookmarkStart w:id="85" w:name="_Toc427915763"/>
      <w:bookmarkStart w:id="86" w:name="_Toc177824942"/>
      <w:bookmarkStart w:id="87" w:name="_Toc177870541"/>
    </w:p>
    <w:p w14:paraId="6A15B42F">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88" w:name="_Toc493511596"/>
      <w:bookmarkStart w:id="89" w:name="_Toc50012833"/>
      <w:bookmarkStart w:id="90" w:name="_Toc2927"/>
      <w:r>
        <w:rPr>
          <w:rFonts w:hint="eastAsia" w:asciiTheme="minorEastAsia" w:hAnsiTheme="minorEastAsia" w:eastAsiaTheme="minorEastAsia"/>
          <w:color w:val="auto"/>
          <w:szCs w:val="21"/>
          <w:highlight w:val="none"/>
        </w:rPr>
        <w:t>5、投标费用</w:t>
      </w:r>
      <w:bookmarkEnd w:id="83"/>
      <w:bookmarkEnd w:id="84"/>
      <w:bookmarkEnd w:id="85"/>
      <w:bookmarkEnd w:id="86"/>
      <w:bookmarkEnd w:id="87"/>
      <w:bookmarkEnd w:id="88"/>
      <w:bookmarkEnd w:id="89"/>
      <w:bookmarkEnd w:id="90"/>
    </w:p>
    <w:p w14:paraId="4B7FA0FE">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91" w:name="_Toc50012834"/>
      <w:bookmarkStart w:id="92" w:name="_Toc2682"/>
      <w:bookmarkStart w:id="93" w:name="_Toc493511597"/>
      <w:r>
        <w:rPr>
          <w:rFonts w:hint="eastAsia" w:asciiTheme="minorEastAsia" w:hAnsiTheme="minorEastAsia" w:eastAsiaTheme="minorEastAsia"/>
          <w:color w:val="auto"/>
          <w:szCs w:val="21"/>
          <w:highlight w:val="none"/>
        </w:rPr>
        <w:t>不论投标结果如何，投标人均应自行承担所有与投标有关的全部费用。</w:t>
      </w:r>
      <w:bookmarkEnd w:id="91"/>
      <w:bookmarkEnd w:id="92"/>
      <w:bookmarkEnd w:id="93"/>
    </w:p>
    <w:p w14:paraId="2B2B1FEC">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94" w:name="_Toc50012835"/>
      <w:bookmarkStart w:id="95" w:name="_Toc26432"/>
      <w:bookmarkStart w:id="96" w:name="_Toc493511598"/>
      <w:r>
        <w:rPr>
          <w:rFonts w:hint="eastAsia" w:asciiTheme="minorEastAsia" w:hAnsiTheme="minorEastAsia" w:eastAsiaTheme="minorEastAsia"/>
          <w:color w:val="auto"/>
          <w:szCs w:val="21"/>
          <w:highlight w:val="none"/>
        </w:rPr>
        <w:t>6、联合体投标</w:t>
      </w:r>
      <w:bookmarkEnd w:id="94"/>
      <w:bookmarkEnd w:id="95"/>
      <w:bookmarkEnd w:id="96"/>
    </w:p>
    <w:p w14:paraId="32AEA6A5">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97" w:name="_Toc30057"/>
      <w:bookmarkStart w:id="98" w:name="_Toc493511599"/>
      <w:bookmarkStart w:id="99" w:name="_Toc50012836"/>
      <w:r>
        <w:rPr>
          <w:rFonts w:hint="eastAsia" w:asciiTheme="minorEastAsia" w:hAnsiTheme="minorEastAsia" w:eastAsiaTheme="minorEastAsia"/>
          <w:color w:val="auto"/>
          <w:szCs w:val="21"/>
          <w:highlight w:val="none"/>
        </w:rPr>
        <w:t>本项目</w:t>
      </w:r>
      <w:r>
        <w:rPr>
          <w:rFonts w:hint="eastAsia" w:asciiTheme="minorEastAsia" w:hAnsiTheme="minorEastAsia" w:eastAsiaTheme="minorEastAsia"/>
          <w:color w:val="auto"/>
          <w:szCs w:val="21"/>
          <w:highlight w:val="none"/>
          <w:lang w:val="en-US" w:eastAsia="zh-CN"/>
        </w:rPr>
        <w:t>不</w:t>
      </w:r>
      <w:r>
        <w:rPr>
          <w:rFonts w:hint="eastAsia" w:asciiTheme="minorEastAsia" w:hAnsiTheme="minorEastAsia" w:eastAsiaTheme="minorEastAsia"/>
          <w:color w:val="auto"/>
          <w:szCs w:val="21"/>
          <w:highlight w:val="none"/>
        </w:rPr>
        <w:t>接受联合体投标。</w:t>
      </w:r>
      <w:bookmarkEnd w:id="97"/>
      <w:bookmarkEnd w:id="98"/>
      <w:bookmarkEnd w:id="99"/>
      <w:bookmarkStart w:id="100" w:name="_Toc177870544"/>
    </w:p>
    <w:p w14:paraId="7A9B9505">
      <w:pPr>
        <w:snapToGrid w:val="0"/>
        <w:spacing w:line="360" w:lineRule="auto"/>
        <w:ind w:right="42" w:rightChars="20" w:firstLine="422" w:firstLineChars="200"/>
        <w:jc w:val="left"/>
        <w:outlineLvl w:val="1"/>
        <w:rPr>
          <w:rFonts w:asciiTheme="minorEastAsia" w:hAnsiTheme="minorEastAsia" w:eastAsiaTheme="minorEastAsia"/>
          <w:b/>
          <w:color w:val="auto"/>
          <w:szCs w:val="21"/>
          <w:highlight w:val="none"/>
        </w:rPr>
      </w:pPr>
      <w:bookmarkStart w:id="101" w:name="_Toc50012837"/>
      <w:bookmarkStart w:id="102" w:name="_Toc1772"/>
      <w:r>
        <w:rPr>
          <w:rFonts w:hint="eastAsia" w:asciiTheme="minorEastAsia" w:hAnsiTheme="minorEastAsia" w:eastAsiaTheme="minorEastAsia"/>
          <w:b/>
          <w:color w:val="auto"/>
          <w:szCs w:val="21"/>
          <w:highlight w:val="none"/>
        </w:rPr>
        <w:t>7.转包与分包</w:t>
      </w:r>
      <w:bookmarkEnd w:id="101"/>
      <w:bookmarkEnd w:id="102"/>
    </w:p>
    <w:p w14:paraId="702F1D1A">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103" w:name="_Toc25115"/>
      <w:bookmarkStart w:id="104" w:name="_Toc50012838"/>
      <w:r>
        <w:rPr>
          <w:rFonts w:hint="eastAsia" w:asciiTheme="minorEastAsia" w:hAnsiTheme="minorEastAsia" w:eastAsiaTheme="minorEastAsia"/>
          <w:color w:val="auto"/>
          <w:szCs w:val="21"/>
          <w:highlight w:val="none"/>
        </w:rPr>
        <w:t>7.1本项目不允许转包；</w:t>
      </w:r>
      <w:bookmarkEnd w:id="103"/>
      <w:bookmarkEnd w:id="104"/>
    </w:p>
    <w:p w14:paraId="398B747F">
      <w:pPr>
        <w:snapToGrid w:val="0"/>
        <w:spacing w:line="360" w:lineRule="auto"/>
        <w:ind w:right="42" w:rightChars="20" w:firstLine="420" w:firstLineChars="200"/>
        <w:jc w:val="left"/>
        <w:outlineLvl w:val="1"/>
        <w:rPr>
          <w:rFonts w:cs="宋体" w:asciiTheme="minorEastAsia" w:hAnsiTheme="minorEastAsia" w:eastAsiaTheme="minorEastAsia"/>
          <w:color w:val="auto"/>
          <w:kern w:val="0"/>
          <w:szCs w:val="21"/>
          <w:highlight w:val="none"/>
        </w:rPr>
      </w:pPr>
      <w:bookmarkStart w:id="105" w:name="_Toc5717"/>
      <w:bookmarkStart w:id="106" w:name="_Toc50012839"/>
      <w:r>
        <w:rPr>
          <w:rFonts w:hint="eastAsia" w:cs="宋体" w:asciiTheme="minorEastAsia" w:hAnsiTheme="minorEastAsia" w:eastAsiaTheme="minorEastAsia"/>
          <w:color w:val="auto"/>
          <w:kern w:val="0"/>
          <w:szCs w:val="21"/>
          <w:highlight w:val="none"/>
        </w:rPr>
        <w:t>7.2</w:t>
      </w:r>
      <w:r>
        <w:rPr>
          <w:rFonts w:hint="eastAsia" w:asciiTheme="minorEastAsia" w:hAnsiTheme="minorEastAsia" w:eastAsiaTheme="minorEastAsia"/>
          <w:color w:val="auto"/>
          <w:szCs w:val="21"/>
          <w:highlight w:val="none"/>
        </w:rPr>
        <w:t>本项目不允许分包</w:t>
      </w:r>
      <w:r>
        <w:rPr>
          <w:rFonts w:hint="eastAsia" w:cs="宋体" w:asciiTheme="minorEastAsia" w:hAnsiTheme="minorEastAsia" w:eastAsiaTheme="minorEastAsia"/>
          <w:color w:val="auto"/>
          <w:kern w:val="0"/>
          <w:szCs w:val="21"/>
          <w:highlight w:val="none"/>
        </w:rPr>
        <w:t>。</w:t>
      </w:r>
      <w:bookmarkEnd w:id="105"/>
      <w:bookmarkEnd w:id="106"/>
      <w:bookmarkStart w:id="107" w:name="_Toc177870542"/>
      <w:bookmarkStart w:id="108" w:name="_Toc430786267"/>
    </w:p>
    <w:p w14:paraId="777218EB">
      <w:pPr>
        <w:snapToGrid w:val="0"/>
        <w:spacing w:line="360" w:lineRule="auto"/>
        <w:ind w:right="42" w:rightChars="20" w:firstLine="422" w:firstLineChars="200"/>
        <w:jc w:val="left"/>
        <w:outlineLvl w:val="1"/>
        <w:rPr>
          <w:rFonts w:asciiTheme="minorEastAsia" w:hAnsiTheme="minorEastAsia" w:eastAsiaTheme="minorEastAsia"/>
          <w:b/>
          <w:color w:val="auto"/>
          <w:szCs w:val="21"/>
          <w:highlight w:val="none"/>
        </w:rPr>
      </w:pPr>
      <w:bookmarkStart w:id="109" w:name="_Toc2435"/>
      <w:bookmarkStart w:id="110" w:name="_Toc50012840"/>
      <w:r>
        <w:rPr>
          <w:rFonts w:hint="eastAsia" w:asciiTheme="minorEastAsia" w:hAnsiTheme="minorEastAsia" w:eastAsiaTheme="minorEastAsia"/>
          <w:b/>
          <w:color w:val="auto"/>
          <w:szCs w:val="21"/>
          <w:highlight w:val="none"/>
        </w:rPr>
        <w:t>8.特别说明：</w:t>
      </w:r>
      <w:bookmarkEnd w:id="107"/>
      <w:bookmarkEnd w:id="108"/>
      <w:bookmarkEnd w:id="109"/>
      <w:bookmarkEnd w:id="110"/>
    </w:p>
    <w:p w14:paraId="02CCC177">
      <w:pPr>
        <w:pStyle w:val="15"/>
        <w:snapToGrid w:val="0"/>
        <w:spacing w:line="360" w:lineRule="auto"/>
        <w:ind w:right="42" w:rightChars="20" w:firstLine="420" w:firstLineChars="200"/>
        <w:jc w:val="left"/>
        <w:rPr>
          <w:rFonts w:asciiTheme="minorEastAsia" w:hAnsiTheme="minorEastAsia" w:eastAsiaTheme="minorEastAsia"/>
          <w:color w:val="auto"/>
          <w:spacing w:val="0"/>
          <w:sz w:val="21"/>
          <w:szCs w:val="21"/>
          <w:highlight w:val="none"/>
        </w:rPr>
      </w:pPr>
      <w:bookmarkStart w:id="111" w:name="_Toc495603533"/>
      <w:bookmarkStart w:id="112" w:name="_Toc430786268"/>
      <w:bookmarkStart w:id="113" w:name="_Toc177870543"/>
      <w:r>
        <w:rPr>
          <w:rFonts w:hint="eastAsia" w:asciiTheme="minorEastAsia" w:hAnsiTheme="minorEastAsia" w:eastAsiaTheme="minorEastAsia"/>
          <w:color w:val="auto"/>
          <w:spacing w:val="0"/>
          <w:sz w:val="21"/>
          <w:szCs w:val="21"/>
          <w:highlight w:val="none"/>
        </w:rPr>
        <w:t>8.1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20E58AD6">
      <w:pPr>
        <w:pStyle w:val="15"/>
        <w:snapToGrid w:val="0"/>
        <w:spacing w:line="360" w:lineRule="auto"/>
        <w:ind w:right="42" w:rightChars="20" w:firstLine="420" w:firstLineChars="200"/>
        <w:jc w:val="left"/>
        <w:rPr>
          <w:rFonts w:asciiTheme="minorEastAsia" w:hAnsiTheme="minorEastAsia" w:eastAsiaTheme="minorEastAsia"/>
          <w:color w:val="auto"/>
          <w:spacing w:val="0"/>
          <w:sz w:val="21"/>
          <w:szCs w:val="21"/>
          <w:highlight w:val="none"/>
        </w:rPr>
      </w:pPr>
      <w:r>
        <w:rPr>
          <w:rFonts w:hint="eastAsia" w:asciiTheme="minorEastAsia" w:hAnsiTheme="minorEastAsia" w:eastAsiaTheme="minorEastAsia"/>
          <w:color w:val="auto"/>
          <w:spacing w:val="0"/>
          <w:sz w:val="21"/>
          <w:szCs w:val="21"/>
          <w:highlight w:val="none"/>
        </w:rPr>
        <w:t>8.2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C229369">
      <w:pPr>
        <w:pStyle w:val="15"/>
        <w:snapToGrid w:val="0"/>
        <w:spacing w:line="360" w:lineRule="auto"/>
        <w:ind w:right="42" w:rightChars="20" w:firstLine="420" w:firstLineChars="200"/>
        <w:jc w:val="left"/>
        <w:rPr>
          <w:rFonts w:asciiTheme="minorEastAsia" w:hAnsiTheme="minorEastAsia" w:eastAsiaTheme="minorEastAsia"/>
          <w:color w:val="auto"/>
          <w:spacing w:val="0"/>
          <w:sz w:val="21"/>
          <w:szCs w:val="21"/>
          <w:highlight w:val="none"/>
        </w:rPr>
      </w:pPr>
      <w:r>
        <w:rPr>
          <w:rFonts w:hint="eastAsia" w:asciiTheme="minorEastAsia" w:hAnsiTheme="minorEastAsia" w:eastAsiaTheme="minorEastAsia"/>
          <w:color w:val="auto"/>
          <w:spacing w:val="0"/>
          <w:sz w:val="21"/>
          <w:szCs w:val="21"/>
          <w:highlight w:val="none"/>
        </w:rPr>
        <w:t>8.3、非单一产品采购项目，采购人应当根据采购项目技术构成、产品价格比重等合理确定核心产品，并在招标文件中载明。多家投标人提供的核心产品品牌相同的，按前两款规定处理。</w:t>
      </w:r>
    </w:p>
    <w:p w14:paraId="4F6381EA">
      <w:pPr>
        <w:snapToGrid w:val="0"/>
        <w:spacing w:line="360" w:lineRule="auto"/>
        <w:ind w:right="42" w:rightChars="20" w:firstLine="422" w:firstLineChars="200"/>
        <w:jc w:val="left"/>
        <w:outlineLvl w:val="1"/>
        <w:rPr>
          <w:rFonts w:asciiTheme="minorEastAsia" w:hAnsiTheme="minorEastAsia" w:eastAsiaTheme="minorEastAsia"/>
          <w:b/>
          <w:color w:val="auto"/>
          <w:szCs w:val="21"/>
          <w:highlight w:val="none"/>
        </w:rPr>
      </w:pPr>
      <w:bookmarkStart w:id="114" w:name="_Toc50012841"/>
      <w:bookmarkStart w:id="115" w:name="_Toc7381"/>
      <w:r>
        <w:rPr>
          <w:rFonts w:hint="eastAsia" w:asciiTheme="minorEastAsia" w:hAnsiTheme="minorEastAsia" w:eastAsiaTheme="minorEastAsia"/>
          <w:b/>
          <w:color w:val="auto"/>
          <w:szCs w:val="21"/>
          <w:highlight w:val="none"/>
        </w:rPr>
        <w:t>9.质疑</w:t>
      </w:r>
      <w:bookmarkEnd w:id="111"/>
      <w:bookmarkEnd w:id="112"/>
      <w:bookmarkEnd w:id="113"/>
      <w:bookmarkEnd w:id="114"/>
      <w:bookmarkEnd w:id="115"/>
    </w:p>
    <w:p w14:paraId="19D94923">
      <w:pPr>
        <w:pStyle w:val="27"/>
        <w:spacing w:line="360" w:lineRule="auto"/>
        <w:ind w:right="42" w:rightChars="20" w:firstLine="422" w:firstLineChars="200"/>
        <w:jc w:val="left"/>
        <w:outlineLvl w:val="1"/>
        <w:rPr>
          <w:rFonts w:asciiTheme="minorEastAsia" w:hAnsiTheme="minorEastAsia" w:eastAsiaTheme="minorEastAsia"/>
          <w:b/>
          <w:color w:val="auto"/>
          <w:szCs w:val="21"/>
          <w:highlight w:val="none"/>
        </w:rPr>
      </w:pPr>
      <w:bookmarkStart w:id="116" w:name="_Toc50012842"/>
      <w:bookmarkStart w:id="117" w:name="_Toc1791"/>
      <w:bookmarkStart w:id="118" w:name="_Toc495603534"/>
      <w:r>
        <w:rPr>
          <w:rFonts w:hint="eastAsia" w:asciiTheme="minorEastAsia" w:hAnsiTheme="minorEastAsia" w:eastAsiaTheme="minorEastAsia"/>
          <w:b/>
          <w:color w:val="auto"/>
          <w:szCs w:val="21"/>
          <w:highlight w:val="none"/>
        </w:rPr>
        <w:t>9.</w:t>
      </w:r>
      <w:r>
        <w:rPr>
          <w:rFonts w:asciiTheme="minorEastAsia" w:hAnsiTheme="minorEastAsia" w:eastAsiaTheme="minorEastAsia"/>
          <w:b/>
          <w:color w:val="auto"/>
          <w:szCs w:val="21"/>
          <w:highlight w:val="none"/>
        </w:rPr>
        <w:t>1</w:t>
      </w:r>
      <w:r>
        <w:rPr>
          <w:rFonts w:hint="eastAsia" w:asciiTheme="minorEastAsia" w:hAnsiTheme="minorEastAsia" w:eastAsiaTheme="minorEastAsia"/>
          <w:b/>
          <w:color w:val="auto"/>
          <w:szCs w:val="21"/>
          <w:highlight w:val="none"/>
        </w:rPr>
        <w:t>、</w:t>
      </w:r>
      <w:r>
        <w:rPr>
          <w:rFonts w:asciiTheme="minorEastAsia" w:hAnsiTheme="minorEastAsia" w:eastAsiaTheme="minorEastAsia"/>
          <w:b/>
          <w:color w:val="auto"/>
          <w:szCs w:val="21"/>
          <w:highlight w:val="none"/>
        </w:rPr>
        <w:t>投标人认为招标文件、招标过程</w:t>
      </w:r>
      <w:r>
        <w:rPr>
          <w:rFonts w:hint="eastAsia" w:asciiTheme="minorEastAsia" w:hAnsiTheme="minorEastAsia" w:eastAsiaTheme="minorEastAsia"/>
          <w:b/>
          <w:color w:val="auto"/>
          <w:szCs w:val="21"/>
          <w:highlight w:val="none"/>
        </w:rPr>
        <w:t>或</w:t>
      </w:r>
      <w:r>
        <w:rPr>
          <w:rFonts w:asciiTheme="minorEastAsia" w:hAnsiTheme="minorEastAsia" w:eastAsiaTheme="minorEastAsia"/>
          <w:b/>
          <w:color w:val="auto"/>
          <w:szCs w:val="21"/>
          <w:highlight w:val="none"/>
        </w:rPr>
        <w:t>中标结果使自己的合法权益受到损害的，应当在知道或者应知其权益受到损害之日起七个工作日内，以书面形式向采购人、</w:t>
      </w:r>
      <w:r>
        <w:rPr>
          <w:rFonts w:hint="eastAsia" w:asciiTheme="minorEastAsia" w:hAnsiTheme="minorEastAsia" w:eastAsiaTheme="minorEastAsia"/>
          <w:b/>
          <w:color w:val="auto"/>
          <w:szCs w:val="21"/>
          <w:highlight w:val="none"/>
        </w:rPr>
        <w:t>代理机构</w:t>
      </w:r>
      <w:r>
        <w:rPr>
          <w:rFonts w:asciiTheme="minorEastAsia" w:hAnsiTheme="minorEastAsia" w:eastAsiaTheme="minorEastAsia"/>
          <w:b/>
          <w:color w:val="auto"/>
          <w:szCs w:val="21"/>
          <w:highlight w:val="none"/>
        </w:rPr>
        <w:t>提出质疑。投标人对招标采购单位的质疑答复不满意或者招标采购单位未在规定时间内作出答复的，可以在答复期满后十五个工作日内向同级采购监管部门投诉。</w:t>
      </w:r>
      <w:bookmarkEnd w:id="116"/>
      <w:bookmarkEnd w:id="117"/>
      <w:bookmarkEnd w:id="118"/>
      <w:bookmarkStart w:id="119" w:name="_Toc495603535"/>
    </w:p>
    <w:p w14:paraId="2ABBFF3D">
      <w:pPr>
        <w:pStyle w:val="27"/>
        <w:spacing w:line="360" w:lineRule="auto"/>
        <w:ind w:right="42" w:rightChars="20" w:firstLine="422" w:firstLineChars="200"/>
        <w:jc w:val="left"/>
        <w:outlineLvl w:val="1"/>
        <w:rPr>
          <w:rFonts w:asciiTheme="minorEastAsia" w:hAnsiTheme="minorEastAsia" w:eastAsiaTheme="minorEastAsia"/>
          <w:b/>
          <w:color w:val="auto"/>
          <w:szCs w:val="21"/>
          <w:highlight w:val="none"/>
        </w:rPr>
      </w:pPr>
      <w:bookmarkStart w:id="120" w:name="_Toc50012843"/>
      <w:bookmarkStart w:id="121" w:name="_Toc23570"/>
      <w:r>
        <w:rPr>
          <w:rFonts w:hint="eastAsia" w:asciiTheme="minorEastAsia" w:hAnsiTheme="minorEastAsia" w:eastAsiaTheme="minorEastAsia"/>
          <w:b/>
          <w:color w:val="auto"/>
          <w:szCs w:val="21"/>
          <w:highlight w:val="none"/>
        </w:rPr>
        <w:t>9.</w:t>
      </w:r>
      <w:r>
        <w:rPr>
          <w:rFonts w:asciiTheme="minorEastAsia" w:hAnsiTheme="minorEastAsia" w:eastAsiaTheme="minorEastAsia"/>
          <w:b/>
          <w:color w:val="auto"/>
          <w:szCs w:val="21"/>
          <w:highlight w:val="none"/>
        </w:rPr>
        <w:t>2</w:t>
      </w:r>
      <w:r>
        <w:rPr>
          <w:rFonts w:hint="eastAsia" w:asciiTheme="minorEastAsia" w:hAnsiTheme="minorEastAsia" w:eastAsiaTheme="minorEastAsia"/>
          <w:b/>
          <w:color w:val="auto"/>
          <w:szCs w:val="21"/>
          <w:highlight w:val="none"/>
        </w:rPr>
        <w:t>、</w:t>
      </w:r>
      <w:r>
        <w:rPr>
          <w:rFonts w:asciiTheme="minorEastAsia" w:hAnsiTheme="minorEastAsia" w:eastAsiaTheme="minorEastAsia"/>
          <w:b/>
          <w:color w:val="auto"/>
          <w:szCs w:val="21"/>
          <w:highlight w:val="none"/>
        </w:rPr>
        <w:t>质疑、投诉应当采用书面形式，质疑书、投诉书均应明确阐述招标文件、招标过程</w:t>
      </w:r>
      <w:r>
        <w:rPr>
          <w:rFonts w:hint="eastAsia" w:asciiTheme="minorEastAsia" w:hAnsiTheme="minorEastAsia" w:eastAsiaTheme="minorEastAsia"/>
          <w:b/>
          <w:color w:val="auto"/>
          <w:szCs w:val="21"/>
          <w:highlight w:val="none"/>
        </w:rPr>
        <w:t>或</w:t>
      </w:r>
      <w:r>
        <w:rPr>
          <w:rFonts w:asciiTheme="minorEastAsia" w:hAnsiTheme="minorEastAsia" w:eastAsiaTheme="minorEastAsia"/>
          <w:b/>
          <w:color w:val="auto"/>
          <w:szCs w:val="21"/>
          <w:highlight w:val="none"/>
        </w:rPr>
        <w:t>中标结果中使自己合法权益受到损害的实质性内容，提供相关事实、依据和证据及其来源或线索，便于有关单位调查、答复和处理</w:t>
      </w:r>
      <w:r>
        <w:rPr>
          <w:rFonts w:hint="eastAsia" w:asciiTheme="minorEastAsia" w:hAnsiTheme="minorEastAsia" w:eastAsiaTheme="minorEastAsia"/>
          <w:b/>
          <w:color w:val="auto"/>
          <w:szCs w:val="21"/>
          <w:highlight w:val="none"/>
        </w:rPr>
        <w:t>。</w:t>
      </w:r>
      <w:bookmarkEnd w:id="119"/>
      <w:bookmarkEnd w:id="120"/>
      <w:bookmarkEnd w:id="121"/>
    </w:p>
    <w:p w14:paraId="2CF7E768">
      <w:pPr>
        <w:pStyle w:val="27"/>
        <w:spacing w:line="360" w:lineRule="auto"/>
        <w:ind w:right="42" w:rightChars="20" w:firstLine="422" w:firstLineChars="200"/>
        <w:jc w:val="left"/>
        <w:outlineLvl w:val="1"/>
        <w:rPr>
          <w:rFonts w:asciiTheme="minorEastAsia" w:hAnsiTheme="minorEastAsia" w:eastAsiaTheme="minorEastAsia"/>
          <w:b/>
          <w:color w:val="auto"/>
          <w:szCs w:val="21"/>
          <w:highlight w:val="none"/>
        </w:rPr>
      </w:pPr>
    </w:p>
    <w:p w14:paraId="4CB41B0A">
      <w:pPr>
        <w:snapToGrid w:val="0"/>
        <w:spacing w:line="360" w:lineRule="auto"/>
        <w:ind w:right="42" w:rightChars="20" w:firstLine="422" w:firstLineChars="200"/>
        <w:jc w:val="left"/>
        <w:outlineLvl w:val="1"/>
        <w:rPr>
          <w:rFonts w:asciiTheme="minorEastAsia" w:hAnsiTheme="minorEastAsia" w:eastAsiaTheme="minorEastAsia"/>
          <w:b/>
          <w:color w:val="auto"/>
          <w:szCs w:val="21"/>
          <w:highlight w:val="none"/>
        </w:rPr>
      </w:pPr>
      <w:bookmarkStart w:id="122" w:name="_Toc25169"/>
      <w:bookmarkStart w:id="123" w:name="_Toc50012844"/>
      <w:bookmarkStart w:id="124" w:name="_Toc493511613"/>
      <w:r>
        <w:rPr>
          <w:rFonts w:hint="eastAsia" w:asciiTheme="minorEastAsia" w:hAnsiTheme="minorEastAsia" w:eastAsiaTheme="minorEastAsia"/>
          <w:b/>
          <w:color w:val="auto"/>
          <w:szCs w:val="21"/>
          <w:highlight w:val="none"/>
        </w:rPr>
        <w:t>二 、招标文件</w:t>
      </w:r>
      <w:bookmarkEnd w:id="100"/>
      <w:bookmarkEnd w:id="122"/>
      <w:bookmarkEnd w:id="123"/>
      <w:bookmarkEnd w:id="124"/>
    </w:p>
    <w:p w14:paraId="7FE0DE65">
      <w:pPr>
        <w:snapToGrid w:val="0"/>
        <w:spacing w:line="360" w:lineRule="auto"/>
        <w:ind w:right="42" w:rightChars="20" w:firstLine="422" w:firstLineChars="200"/>
        <w:jc w:val="left"/>
        <w:outlineLvl w:val="1"/>
        <w:rPr>
          <w:rFonts w:asciiTheme="minorEastAsia" w:hAnsiTheme="minorEastAsia" w:eastAsiaTheme="minorEastAsia"/>
          <w:b/>
          <w:color w:val="auto"/>
          <w:szCs w:val="21"/>
          <w:highlight w:val="none"/>
        </w:rPr>
      </w:pPr>
      <w:bookmarkStart w:id="125" w:name="_Toc16026"/>
      <w:bookmarkStart w:id="126" w:name="_Toc493511614"/>
      <w:bookmarkStart w:id="127" w:name="_Toc50012845"/>
      <w:r>
        <w:rPr>
          <w:rFonts w:hint="eastAsia" w:asciiTheme="minorEastAsia" w:hAnsiTheme="minorEastAsia" w:eastAsiaTheme="minorEastAsia"/>
          <w:b/>
          <w:color w:val="auto"/>
          <w:szCs w:val="21"/>
          <w:highlight w:val="none"/>
        </w:rPr>
        <w:t>1、招标文件的构成</w:t>
      </w:r>
      <w:bookmarkEnd w:id="125"/>
      <w:bookmarkEnd w:id="126"/>
      <w:bookmarkEnd w:id="127"/>
    </w:p>
    <w:p w14:paraId="5B774B4C">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128" w:name="_Toc7778"/>
      <w:bookmarkStart w:id="129" w:name="_Toc493511615"/>
      <w:bookmarkStart w:id="130" w:name="_Toc50012846"/>
      <w:r>
        <w:rPr>
          <w:rFonts w:hint="eastAsia" w:asciiTheme="minorEastAsia" w:hAnsiTheme="minorEastAsia" w:eastAsiaTheme="minorEastAsia"/>
          <w:color w:val="auto"/>
          <w:szCs w:val="21"/>
          <w:highlight w:val="none"/>
        </w:rPr>
        <w:t>1.1、公开招标采购公告</w:t>
      </w:r>
      <w:bookmarkEnd w:id="128"/>
      <w:bookmarkEnd w:id="129"/>
      <w:bookmarkEnd w:id="130"/>
    </w:p>
    <w:p w14:paraId="201599FC">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131" w:name="_Toc50012847"/>
      <w:bookmarkStart w:id="132" w:name="_Toc493511616"/>
      <w:bookmarkStart w:id="133" w:name="_Toc7186"/>
      <w:r>
        <w:rPr>
          <w:rFonts w:hint="eastAsia" w:asciiTheme="minorEastAsia" w:hAnsiTheme="minorEastAsia" w:eastAsiaTheme="minorEastAsia"/>
          <w:color w:val="auto"/>
          <w:szCs w:val="21"/>
          <w:highlight w:val="none"/>
        </w:rPr>
        <w:t>1.2、采购需求</w:t>
      </w:r>
      <w:bookmarkEnd w:id="131"/>
      <w:bookmarkEnd w:id="132"/>
      <w:bookmarkEnd w:id="133"/>
    </w:p>
    <w:p w14:paraId="470512B9">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134" w:name="_Toc6933"/>
      <w:bookmarkStart w:id="135" w:name="_Toc493511617"/>
      <w:bookmarkStart w:id="136" w:name="_Toc50012848"/>
      <w:r>
        <w:rPr>
          <w:rFonts w:hint="eastAsia" w:asciiTheme="minorEastAsia" w:hAnsiTheme="minorEastAsia" w:eastAsiaTheme="minorEastAsia"/>
          <w:color w:val="auto"/>
          <w:szCs w:val="21"/>
          <w:highlight w:val="none"/>
        </w:rPr>
        <w:t>1.3、投标人须知</w:t>
      </w:r>
      <w:bookmarkEnd w:id="134"/>
      <w:bookmarkEnd w:id="135"/>
      <w:bookmarkEnd w:id="136"/>
    </w:p>
    <w:p w14:paraId="3B2B2A13">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137" w:name="_Toc493511618"/>
      <w:bookmarkStart w:id="138" w:name="_Toc50012849"/>
      <w:bookmarkStart w:id="139" w:name="_Toc2119"/>
      <w:r>
        <w:rPr>
          <w:rFonts w:hint="eastAsia" w:asciiTheme="minorEastAsia" w:hAnsiTheme="minorEastAsia" w:eastAsiaTheme="minorEastAsia"/>
          <w:color w:val="auto"/>
          <w:szCs w:val="21"/>
          <w:highlight w:val="none"/>
        </w:rPr>
        <w:t>1.4、评标办法</w:t>
      </w:r>
      <w:bookmarkEnd w:id="137"/>
      <w:bookmarkEnd w:id="138"/>
      <w:bookmarkEnd w:id="139"/>
    </w:p>
    <w:p w14:paraId="7A25D018">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140" w:name="_Toc50012850"/>
      <w:bookmarkStart w:id="141" w:name="_Toc493511619"/>
      <w:bookmarkStart w:id="142" w:name="_Toc19120"/>
      <w:r>
        <w:rPr>
          <w:rFonts w:hint="eastAsia" w:asciiTheme="minorEastAsia" w:hAnsiTheme="minorEastAsia" w:eastAsiaTheme="minorEastAsia"/>
          <w:color w:val="auto"/>
          <w:szCs w:val="21"/>
          <w:highlight w:val="none"/>
        </w:rPr>
        <w:t>1.5、政府采购合同</w:t>
      </w:r>
      <w:bookmarkEnd w:id="140"/>
      <w:bookmarkEnd w:id="141"/>
      <w:bookmarkEnd w:id="142"/>
    </w:p>
    <w:p w14:paraId="082FF56F">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143" w:name="_Toc19300"/>
      <w:bookmarkStart w:id="144" w:name="_Toc50012851"/>
      <w:bookmarkStart w:id="145" w:name="_Toc493511620"/>
      <w:r>
        <w:rPr>
          <w:rFonts w:hint="eastAsia" w:asciiTheme="minorEastAsia" w:hAnsiTheme="minorEastAsia" w:eastAsiaTheme="minorEastAsia"/>
          <w:color w:val="auto"/>
          <w:szCs w:val="21"/>
          <w:highlight w:val="none"/>
        </w:rPr>
        <w:t>1.6、投标文件相关文件格式</w:t>
      </w:r>
      <w:bookmarkEnd w:id="143"/>
      <w:bookmarkEnd w:id="144"/>
      <w:bookmarkEnd w:id="145"/>
      <w:bookmarkStart w:id="146" w:name="_Toc482363722"/>
    </w:p>
    <w:p w14:paraId="0D859922">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147" w:name="_Toc50012852"/>
      <w:bookmarkStart w:id="148" w:name="_Toc32687"/>
      <w:bookmarkStart w:id="149" w:name="_Toc493511621"/>
      <w:r>
        <w:rPr>
          <w:rFonts w:asciiTheme="minorEastAsia" w:hAnsiTheme="minorEastAsia" w:eastAsiaTheme="minorEastAsia"/>
          <w:color w:val="auto"/>
          <w:szCs w:val="21"/>
          <w:highlight w:val="none"/>
        </w:rPr>
        <w:t>1.7、本项目招标文件的澄清、答复、修改、补充的内容（所有内容将以电子文档形式上传于浙江省政府采购网网站（https://zfcg.czt.zj.gov.cn/）。澄清、答复、修改、补充的内容均作为招标文件的组成部分，具有约束作用。投标人必须自行下载。）</w:t>
      </w:r>
      <w:bookmarkEnd w:id="146"/>
      <w:bookmarkEnd w:id="147"/>
      <w:bookmarkEnd w:id="148"/>
      <w:bookmarkEnd w:id="149"/>
    </w:p>
    <w:p w14:paraId="3CB532DE">
      <w:pPr>
        <w:snapToGrid w:val="0"/>
        <w:spacing w:line="360" w:lineRule="auto"/>
        <w:ind w:right="42" w:rightChars="20" w:firstLine="422" w:firstLineChars="200"/>
        <w:jc w:val="left"/>
        <w:outlineLvl w:val="1"/>
        <w:rPr>
          <w:rFonts w:asciiTheme="minorEastAsia" w:hAnsiTheme="minorEastAsia" w:eastAsiaTheme="minorEastAsia"/>
          <w:b/>
          <w:color w:val="auto"/>
          <w:szCs w:val="21"/>
          <w:highlight w:val="none"/>
        </w:rPr>
      </w:pPr>
      <w:bookmarkStart w:id="150" w:name="_Toc50012853"/>
      <w:bookmarkStart w:id="151" w:name="_Toc21770"/>
      <w:bookmarkStart w:id="152" w:name="_Toc493511622"/>
      <w:r>
        <w:rPr>
          <w:rFonts w:hint="eastAsia" w:asciiTheme="minorEastAsia" w:hAnsiTheme="minorEastAsia" w:eastAsiaTheme="minorEastAsia"/>
          <w:b/>
          <w:color w:val="auto"/>
          <w:szCs w:val="21"/>
          <w:highlight w:val="none"/>
        </w:rPr>
        <w:t>2、存在的风险</w:t>
      </w:r>
      <w:bookmarkEnd w:id="150"/>
      <w:bookmarkEnd w:id="151"/>
      <w:bookmarkEnd w:id="152"/>
    </w:p>
    <w:p w14:paraId="7F613B44">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153" w:name="_Toc50012854"/>
      <w:bookmarkStart w:id="154" w:name="_Toc493511623"/>
      <w:bookmarkStart w:id="155" w:name="_Toc32245"/>
      <w:r>
        <w:rPr>
          <w:rFonts w:hint="eastAsia" w:asciiTheme="minorEastAsia" w:hAnsiTheme="minorEastAsia" w:eastAsiaTheme="minorEastAsia"/>
          <w:color w:val="auto"/>
          <w:szCs w:val="21"/>
          <w:highlight w:val="none"/>
        </w:rPr>
        <w:t>投标人没有按照招标文件要求提供全部资料，或者投标人没有对招标文件在各方面作出实质性响应是投标人的风险，并可能导致其投标无效。</w:t>
      </w:r>
      <w:bookmarkEnd w:id="153"/>
      <w:bookmarkEnd w:id="154"/>
      <w:bookmarkEnd w:id="155"/>
    </w:p>
    <w:p w14:paraId="1352381E">
      <w:pPr>
        <w:snapToGrid w:val="0"/>
        <w:spacing w:line="360" w:lineRule="auto"/>
        <w:ind w:right="42" w:rightChars="20" w:firstLine="422" w:firstLineChars="200"/>
        <w:jc w:val="left"/>
        <w:outlineLvl w:val="1"/>
        <w:rPr>
          <w:rFonts w:asciiTheme="minorEastAsia" w:hAnsiTheme="minorEastAsia" w:eastAsiaTheme="minorEastAsia"/>
          <w:b/>
          <w:color w:val="auto"/>
          <w:szCs w:val="21"/>
          <w:highlight w:val="none"/>
        </w:rPr>
      </w:pPr>
      <w:bookmarkStart w:id="156" w:name="_Toc50012855"/>
      <w:bookmarkStart w:id="157" w:name="_Toc493511624"/>
      <w:bookmarkStart w:id="158" w:name="_Toc18736"/>
      <w:r>
        <w:rPr>
          <w:rFonts w:hint="eastAsia" w:asciiTheme="minorEastAsia" w:hAnsiTheme="minorEastAsia" w:eastAsiaTheme="minorEastAsia"/>
          <w:b/>
          <w:color w:val="auto"/>
          <w:szCs w:val="21"/>
          <w:highlight w:val="none"/>
        </w:rPr>
        <w:t>3、招标文件的澄清与修改</w:t>
      </w:r>
      <w:bookmarkEnd w:id="156"/>
      <w:bookmarkEnd w:id="157"/>
      <w:bookmarkEnd w:id="158"/>
    </w:p>
    <w:p w14:paraId="04888963">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159" w:name="_Toc4790"/>
      <w:bookmarkStart w:id="160" w:name="_Toc493511625"/>
      <w:bookmarkStart w:id="161" w:name="_Toc50012856"/>
      <w:r>
        <w:rPr>
          <w:rFonts w:hint="eastAsia" w:asciiTheme="minorEastAsia" w:hAnsiTheme="minorEastAsia" w:eastAsiaTheme="minorEastAsia"/>
          <w:color w:val="auto"/>
          <w:szCs w:val="21"/>
          <w:highlight w:val="none"/>
        </w:rPr>
        <w:t>3.1、投标人应认真阅读本招标文件，发现其中有误或有要求不合理的，投标人必须在知道或者应当知道之日起七个工作日内以书面形式要求采购代理机构澄清，否则，由此产生的后果由投标人负责。</w:t>
      </w:r>
      <w:bookmarkEnd w:id="159"/>
      <w:bookmarkEnd w:id="160"/>
      <w:bookmarkEnd w:id="161"/>
    </w:p>
    <w:p w14:paraId="48AD9E5D">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162" w:name="_Toc31984"/>
      <w:bookmarkStart w:id="163" w:name="_Toc493511626"/>
      <w:bookmarkStart w:id="164" w:name="_Toc50012857"/>
      <w:r>
        <w:rPr>
          <w:rFonts w:hint="eastAsia" w:asciiTheme="minorEastAsia" w:hAnsiTheme="minorEastAsia" w:eastAsiaTheme="minorEastAsia"/>
          <w:color w:val="auto"/>
          <w:szCs w:val="21"/>
          <w:highlight w:val="none"/>
        </w:rPr>
        <w:t>3.2、采购代理机构必须以书面形式答复所有购买招标文件的投标人（答复中不包含问题的来源）要求澄清的问题，同时认定其他澄清方式为无效。</w:t>
      </w:r>
      <w:bookmarkEnd w:id="162"/>
      <w:bookmarkEnd w:id="163"/>
      <w:bookmarkEnd w:id="164"/>
    </w:p>
    <w:p w14:paraId="79912ECF">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165" w:name="_Toc493511627"/>
      <w:bookmarkStart w:id="166" w:name="_Toc50012858"/>
      <w:bookmarkStart w:id="167" w:name="_Toc20629"/>
      <w:r>
        <w:rPr>
          <w:rFonts w:hint="eastAsia" w:asciiTheme="minorEastAsia" w:hAnsiTheme="minorEastAsia" w:eastAsiaTheme="minorEastAsia"/>
          <w:color w:val="auto"/>
          <w:szCs w:val="21"/>
          <w:highlight w:val="none"/>
        </w:rPr>
        <w:t>3.3、采购代理机构对已发出的招标文件进行必要澄清或者修改的，应当在招标文件要求提交投标文件截止时间十五日前，在财政部门指定的政府采购信息发布媒体上发布更正公告，并以书面形式通知所有招标文件收受人。该澄清或者修改的内容为招标文件的组成部分。</w:t>
      </w:r>
      <w:bookmarkEnd w:id="165"/>
      <w:bookmarkEnd w:id="166"/>
      <w:bookmarkEnd w:id="167"/>
    </w:p>
    <w:p w14:paraId="0231EB59">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168" w:name="_Toc493511628"/>
      <w:bookmarkStart w:id="169" w:name="_Toc50012859"/>
      <w:bookmarkStart w:id="170" w:name="_Toc10910"/>
      <w:r>
        <w:rPr>
          <w:rFonts w:hint="eastAsia" w:asciiTheme="minorEastAsia" w:hAnsiTheme="minorEastAsia" w:eastAsiaTheme="minorEastAsia"/>
          <w:color w:val="auto"/>
          <w:szCs w:val="21"/>
          <w:highlight w:val="none"/>
        </w:rPr>
        <w:t>3.4、采购代理机构和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bookmarkEnd w:id="168"/>
      <w:bookmarkEnd w:id="169"/>
      <w:bookmarkEnd w:id="170"/>
    </w:p>
    <w:p w14:paraId="70458121">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171" w:name="_Toc493511629"/>
      <w:bookmarkStart w:id="172" w:name="_Toc14791"/>
      <w:bookmarkStart w:id="173" w:name="_Toc50012860"/>
      <w:r>
        <w:rPr>
          <w:rFonts w:hint="eastAsia" w:asciiTheme="minorEastAsia" w:hAnsiTheme="minorEastAsia" w:eastAsiaTheme="minorEastAsia"/>
          <w:color w:val="auto"/>
          <w:szCs w:val="21"/>
          <w:highlight w:val="none"/>
        </w:rPr>
        <w:t>3.5、招标文件的澄清或者修改都应该通过本代理机构以法定形式发布，采购人非通过本机构，不得擅自澄清或者修改招标文件。</w:t>
      </w:r>
      <w:bookmarkEnd w:id="171"/>
      <w:bookmarkEnd w:id="172"/>
      <w:bookmarkEnd w:id="173"/>
    </w:p>
    <w:p w14:paraId="69673895">
      <w:pPr>
        <w:snapToGrid w:val="0"/>
        <w:spacing w:line="360" w:lineRule="auto"/>
        <w:ind w:right="42" w:rightChars="20" w:firstLine="422" w:firstLineChars="200"/>
        <w:jc w:val="left"/>
        <w:outlineLvl w:val="1"/>
        <w:rPr>
          <w:rFonts w:asciiTheme="minorEastAsia" w:hAnsiTheme="minorEastAsia" w:eastAsiaTheme="minorEastAsia"/>
          <w:b/>
          <w:color w:val="auto"/>
          <w:szCs w:val="21"/>
          <w:highlight w:val="none"/>
        </w:rPr>
      </w:pPr>
      <w:bookmarkStart w:id="174" w:name="_Toc493511630"/>
      <w:bookmarkStart w:id="175" w:name="_Toc8175"/>
      <w:bookmarkStart w:id="176" w:name="_Toc177870545"/>
      <w:bookmarkStart w:id="177" w:name="_Toc50012861"/>
      <w:r>
        <w:rPr>
          <w:rFonts w:hint="eastAsia" w:asciiTheme="minorEastAsia" w:hAnsiTheme="minorEastAsia" w:eastAsiaTheme="minorEastAsia"/>
          <w:b/>
          <w:color w:val="auto"/>
          <w:szCs w:val="21"/>
          <w:highlight w:val="none"/>
        </w:rPr>
        <w:t>三、 投标文件的编制</w:t>
      </w:r>
      <w:bookmarkEnd w:id="174"/>
      <w:bookmarkEnd w:id="175"/>
      <w:bookmarkEnd w:id="176"/>
      <w:bookmarkEnd w:id="177"/>
    </w:p>
    <w:p w14:paraId="58ADEFFF">
      <w:pPr>
        <w:ind w:firstLine="422" w:firstLineChars="200"/>
        <w:rPr>
          <w:rFonts w:ascii="宋体" w:hAnsi="宋体"/>
          <w:b/>
          <w:bCs/>
          <w:color w:val="auto"/>
          <w:highlight w:val="none"/>
        </w:rPr>
      </w:pPr>
      <w:bookmarkStart w:id="178" w:name="_Toc493511643"/>
      <w:bookmarkStart w:id="179" w:name="_Toc177870547"/>
      <w:bookmarkStart w:id="180" w:name="_Toc177824944"/>
      <w:bookmarkStart w:id="181" w:name="_Toc177825125"/>
      <w:bookmarkStart w:id="182" w:name="_Toc177824877"/>
      <w:r>
        <w:rPr>
          <w:rFonts w:hint="eastAsia" w:ascii="宋体" w:hAnsi="宋体"/>
          <w:b/>
          <w:bCs/>
          <w:color w:val="auto"/>
          <w:highlight w:val="none"/>
        </w:rPr>
        <w:t>本项目所涉投标文件格式请详见第六章，未给出的格式请自拟。商务、资信及其他及技术文件中不得出现报价，否则投标文件将被视为无效。</w:t>
      </w:r>
      <w:r>
        <w:rPr>
          <w:rFonts w:hint="eastAsia" w:ascii="宋体" w:hAnsi="宋体"/>
          <w:b/>
          <w:bCs/>
          <w:color w:val="auto"/>
          <w:highlight w:val="none"/>
        </w:rPr>
        <w:br w:type="textWrapping"/>
      </w:r>
      <w:r>
        <w:rPr>
          <w:rFonts w:hint="eastAsia" w:ascii="宋体" w:hAnsi="宋体"/>
          <w:b/>
          <w:bCs/>
          <w:color w:val="auto"/>
          <w:highlight w:val="none"/>
        </w:rPr>
        <w:t xml:space="preserve">    注：电子投标文件按政采云平台供应商电子招投标操作指南及本招标文件规定的格式和顺序编制电子投标文件并进行关联定。建议根据招标文件合格供应商的资格要求、投标文件的编制及评分标准等内容一一关联。</w:t>
      </w:r>
    </w:p>
    <w:p w14:paraId="0C5679EC">
      <w:pPr>
        <w:ind w:firstLine="422" w:firstLineChars="200"/>
        <w:rPr>
          <w:rFonts w:ascii="宋体" w:hAnsi="宋体"/>
          <w:b/>
          <w:bCs/>
          <w:color w:val="auto"/>
          <w:highlight w:val="none"/>
        </w:rPr>
      </w:pPr>
      <w:r>
        <w:rPr>
          <w:rFonts w:hint="eastAsia" w:ascii="宋体" w:hAnsi="宋体"/>
          <w:b/>
          <w:bCs/>
          <w:color w:val="auto"/>
          <w:highlight w:val="none"/>
        </w:rPr>
        <w:t>路径：浙江省“项目采购电子交易系统/不见面开评标”学习专题-操作指南-供应商</w:t>
      </w:r>
    </w:p>
    <w:p w14:paraId="4D80CC4F">
      <w:pPr>
        <w:spacing w:line="360" w:lineRule="auto"/>
        <w:ind w:firstLine="422" w:firstLineChars="200"/>
        <w:rPr>
          <w:rFonts w:cs="宋体" w:asciiTheme="minorEastAsia" w:hAnsiTheme="minorEastAsia" w:eastAsiaTheme="minorEastAsia"/>
          <w:b/>
          <w:color w:val="auto"/>
          <w:szCs w:val="21"/>
          <w:highlight w:val="none"/>
        </w:rPr>
      </w:pPr>
      <w:r>
        <w:rPr>
          <w:rFonts w:hint="eastAsia" w:ascii="宋体" w:hAnsi="宋体"/>
          <w:b/>
          <w:bCs/>
          <w:color w:val="auto"/>
          <w:highlight w:val="none"/>
        </w:rPr>
        <w:t>网址：</w:t>
      </w:r>
      <w:r>
        <w:rPr>
          <w:color w:val="auto"/>
          <w:highlight w:val="none"/>
        </w:rPr>
        <w:fldChar w:fldCharType="begin"/>
      </w:r>
      <w:r>
        <w:rPr>
          <w:color w:val="auto"/>
          <w:highlight w:val="none"/>
        </w:rPr>
        <w:instrText xml:space="preserve"> HYPERLINK "https://help.zcygov.cn/web/site_2/2018/12-28/2573.html%EF%BC%89%E5%8F%8A%E6%9C%AC%E6%8B%9B%E6%A0%87%E6%96%87%E4%BB%B6%E8%A7%84%E5%AE%9A%E7%9A%84%E6%A0%BC%E5%BC%8F%E5%92%8C%E9%A1%BA%E5%BA%8F%E7%BC%96%E5%88%B6%E7%94%B5%E5%AD%90%E6%8A%95%E6%A0%87%E6%96%87%E4%BB%B6%E5%B9%B6%E8%BF%9B%E8%A1%8C%E5%85%B3%E8%81%94%E5%AE%9A" \t "_blank" </w:instrText>
      </w:r>
      <w:r>
        <w:rPr>
          <w:color w:val="auto"/>
          <w:highlight w:val="none"/>
        </w:rPr>
        <w:fldChar w:fldCharType="separate"/>
      </w:r>
      <w:r>
        <w:rPr>
          <w:rFonts w:hint="eastAsia" w:ascii="宋体" w:hAnsi="宋体"/>
          <w:b/>
          <w:bCs/>
          <w:color w:val="auto"/>
          <w:highlight w:val="none"/>
        </w:rPr>
        <w:t>https://edu.zcygov.cn/luban/e-biding</w:t>
      </w:r>
      <w:r>
        <w:rPr>
          <w:rFonts w:hint="eastAsia" w:ascii="宋体" w:hAnsi="宋体"/>
          <w:b/>
          <w:bCs/>
          <w:color w:val="auto"/>
          <w:highlight w:val="none"/>
        </w:rPr>
        <w:fldChar w:fldCharType="end"/>
      </w:r>
    </w:p>
    <w:p w14:paraId="071C35ED">
      <w:pPr>
        <w:pStyle w:val="27"/>
        <w:snapToGrid w:val="0"/>
        <w:spacing w:line="360" w:lineRule="auto"/>
        <w:ind w:right="42" w:rightChars="20" w:firstLine="422" w:firstLineChars="200"/>
        <w:jc w:val="left"/>
        <w:outlineLvl w:val="1"/>
        <w:rPr>
          <w:rFonts w:cs="宋体" w:asciiTheme="minorEastAsia" w:hAnsiTheme="minorEastAsia" w:eastAsiaTheme="minorEastAsia"/>
          <w:b/>
          <w:color w:val="auto"/>
          <w:szCs w:val="21"/>
          <w:highlight w:val="none"/>
        </w:rPr>
      </w:pPr>
      <w:bookmarkStart w:id="183" w:name="_Toc50012863"/>
      <w:bookmarkStart w:id="184" w:name="_Toc32243"/>
      <w:bookmarkStart w:id="185" w:name="_Toc33535357"/>
      <w:r>
        <w:rPr>
          <w:rFonts w:hint="eastAsia" w:cs="宋体" w:asciiTheme="minorEastAsia" w:hAnsiTheme="minorEastAsia" w:eastAsiaTheme="minorEastAsia"/>
          <w:b/>
          <w:color w:val="auto"/>
          <w:szCs w:val="21"/>
          <w:highlight w:val="none"/>
        </w:rPr>
        <w:t>总体要求：</w:t>
      </w:r>
      <w:bookmarkEnd w:id="183"/>
      <w:bookmarkEnd w:id="184"/>
      <w:bookmarkEnd w:id="185"/>
    </w:p>
    <w:p w14:paraId="73CD3D55">
      <w:pPr>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1、投标人</w:t>
      </w:r>
      <w:r>
        <w:rPr>
          <w:rFonts w:asciiTheme="minorEastAsia" w:hAnsiTheme="minorEastAsia" w:eastAsiaTheme="minorEastAsia"/>
          <w:color w:val="auto"/>
          <w:szCs w:val="21"/>
          <w:highlight w:val="none"/>
        </w:rPr>
        <w:t xml:space="preserve">应仔细阅读招标文件的所有内容，按本文件的要求提供投标文件，并保证所提供的全部资料的真实性，以使其投标文件对招标文件作出实质性响应，否则，投标文件可能视为无效投标文件。 </w:t>
      </w:r>
    </w:p>
    <w:p w14:paraId="7C6B3BFD">
      <w:pPr>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2、投标文件及投标人与采购有关的来往通知，函件和文件均应使用中文。</w:t>
      </w:r>
    </w:p>
    <w:p w14:paraId="0183EA7C">
      <w:pPr>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3、投标人应按本文件中提供的文件格式、内容和要求制作投标文件。</w:t>
      </w:r>
    </w:p>
    <w:p w14:paraId="4EBB5B04">
      <w:pPr>
        <w:spacing w:line="360" w:lineRule="auto"/>
        <w:ind w:right="42" w:rightChars="20" w:firstLine="422" w:firstLineChars="200"/>
        <w:jc w:val="left"/>
        <w:rPr>
          <w:rFonts w:cs="宋体" w:asciiTheme="minorEastAsia" w:hAnsiTheme="minorEastAsia" w:eastAsiaTheme="minorEastAsia"/>
          <w:bCs/>
          <w:color w:val="auto"/>
          <w:szCs w:val="21"/>
          <w:highlight w:val="none"/>
        </w:rPr>
      </w:pPr>
      <w:r>
        <w:rPr>
          <w:rFonts w:hint="eastAsia" w:asciiTheme="minorEastAsia" w:hAnsiTheme="minorEastAsia" w:eastAsiaTheme="minorEastAsia"/>
          <w:b/>
          <w:color w:val="auto"/>
          <w:szCs w:val="21"/>
          <w:highlight w:val="none"/>
        </w:rPr>
        <w:t>4、投标文件的效力：投标文件的启用，按先后顺位分别为电子投标文件、电子</w:t>
      </w:r>
      <w:r>
        <w:rPr>
          <w:rFonts w:hint="eastAsia" w:cs="宋体" w:asciiTheme="minorEastAsia" w:hAnsiTheme="minorEastAsia" w:eastAsiaTheme="minorEastAsia"/>
          <w:bCs/>
          <w:color w:val="auto"/>
          <w:szCs w:val="21"/>
          <w:highlight w:val="none"/>
        </w:rPr>
        <w:t>备份投标文件</w:t>
      </w:r>
      <w:r>
        <w:rPr>
          <w:rFonts w:hint="eastAsia" w:asciiTheme="minorEastAsia" w:hAnsiTheme="minorEastAsia" w:eastAsiaTheme="minorEastAsia"/>
          <w:b/>
          <w:color w:val="auto"/>
          <w:szCs w:val="21"/>
          <w:highlight w:val="none"/>
        </w:rPr>
        <w:t>。</w:t>
      </w:r>
      <w:r>
        <w:rPr>
          <w:rFonts w:hint="eastAsia" w:cs="宋体" w:asciiTheme="minorEastAsia" w:hAnsiTheme="minorEastAsia" w:eastAsiaTheme="minorEastAsia"/>
          <w:bCs/>
          <w:color w:val="auto"/>
          <w:szCs w:val="21"/>
          <w:highlight w:val="none"/>
        </w:rPr>
        <w:t>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0E257C03">
      <w:pPr>
        <w:snapToGrid w:val="0"/>
        <w:spacing w:line="360" w:lineRule="auto"/>
        <w:ind w:right="42" w:rightChars="20" w:firstLine="422" w:firstLineChars="200"/>
        <w:jc w:val="left"/>
        <w:outlineLvl w:val="0"/>
        <w:rPr>
          <w:rFonts w:asciiTheme="minorEastAsia" w:hAnsiTheme="minorEastAsia" w:eastAsiaTheme="minorEastAsia"/>
          <w:b/>
          <w:color w:val="auto"/>
          <w:szCs w:val="21"/>
          <w:highlight w:val="none"/>
        </w:rPr>
      </w:pPr>
      <w:bookmarkStart w:id="186" w:name="_Toc406402944"/>
      <w:bookmarkStart w:id="187" w:name="_Toc1053"/>
      <w:bookmarkStart w:id="188" w:name="_Toc50012864"/>
      <w:bookmarkStart w:id="189" w:name="_Toc33535358"/>
      <w:bookmarkStart w:id="190" w:name="_Toc406402988"/>
      <w:r>
        <w:rPr>
          <w:rFonts w:hint="eastAsia" w:asciiTheme="minorEastAsia" w:hAnsiTheme="minorEastAsia" w:eastAsiaTheme="minorEastAsia"/>
          <w:b/>
          <w:color w:val="auto"/>
          <w:szCs w:val="21"/>
          <w:highlight w:val="none"/>
        </w:rPr>
        <w:t>（一）投标文件的组成</w:t>
      </w:r>
      <w:bookmarkEnd w:id="186"/>
      <w:bookmarkEnd w:id="187"/>
      <w:bookmarkEnd w:id="188"/>
      <w:bookmarkEnd w:id="189"/>
      <w:bookmarkEnd w:id="190"/>
    </w:p>
    <w:p w14:paraId="45F761E5">
      <w:pPr>
        <w:snapToGrid w:val="0"/>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包括电子投标文件和电子</w:t>
      </w:r>
      <w:r>
        <w:rPr>
          <w:rFonts w:hint="eastAsia" w:cs="宋体" w:asciiTheme="minorEastAsia" w:hAnsiTheme="minorEastAsia" w:eastAsiaTheme="minorEastAsia"/>
          <w:bCs/>
          <w:color w:val="auto"/>
          <w:szCs w:val="21"/>
          <w:highlight w:val="none"/>
        </w:rPr>
        <w:t>备份投标文件（选送）</w:t>
      </w:r>
      <w:r>
        <w:rPr>
          <w:rFonts w:hint="eastAsia" w:asciiTheme="minorEastAsia" w:hAnsiTheme="minorEastAsia" w:eastAsiaTheme="minorEastAsia"/>
          <w:b/>
          <w:color w:val="auto"/>
          <w:szCs w:val="21"/>
          <w:highlight w:val="none"/>
        </w:rPr>
        <w:t>，均由资格投标文件、商务技术文件及投标报价文件三部份组成。其中电子投标文件中所须加盖公章部分均采用CA签章。</w:t>
      </w:r>
    </w:p>
    <w:p w14:paraId="01E031C8">
      <w:pPr>
        <w:numPr>
          <w:ilvl w:val="0"/>
          <w:numId w:val="3"/>
        </w:numPr>
        <w:snapToGrid w:val="0"/>
        <w:spacing w:line="360" w:lineRule="auto"/>
        <w:ind w:left="-2" w:right="42" w:rightChars="20" w:firstLine="422"/>
        <w:jc w:val="left"/>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资格投标文件：</w:t>
      </w:r>
    </w:p>
    <w:p w14:paraId="56016BDE">
      <w:pPr>
        <w:snapToGrid w:val="0"/>
        <w:spacing w:line="360" w:lineRule="auto"/>
        <w:ind w:right="42" w:rightChars="20" w:firstLine="420" w:firstLineChars="200"/>
        <w:jc w:val="left"/>
        <w:rPr>
          <w:rFonts w:hint="eastAsia" w:cs="Times New Roman"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1、提供具有独立承担民事责任的能力、具有良好的商业信誉和健全的财务会计制度、具有履行合同所必需的设备和专业技术能力、有依法缴纳税收和社会保障资金的良好记录、参加政府采购活动前三年，在经营活动中没有重大违法记录、自招标公告发布之日起至投标截止日内任意时间的“信用中国”网站（www.creditchina.gov.cn）（未被信用中国网站</w:t>
      </w:r>
      <w:r>
        <w:rPr>
          <w:color w:val="auto"/>
          <w:highlight w:val="none"/>
        </w:rPr>
        <w:fldChar w:fldCharType="begin"/>
      </w:r>
      <w:r>
        <w:rPr>
          <w:color w:val="auto"/>
          <w:highlight w:val="none"/>
        </w:rPr>
        <w:instrText xml:space="preserve"> HYPERLINK \t "_blank" </w:instrText>
      </w:r>
      <w:r>
        <w:rPr>
          <w:color w:val="auto"/>
          <w:highlight w:val="none"/>
        </w:rPr>
        <w:fldChar w:fldCharType="separate"/>
      </w:r>
      <w:r>
        <w:rPr>
          <w:rFonts w:hint="eastAsia" w:asciiTheme="minorEastAsia" w:hAnsiTheme="minorEastAsia" w:eastAsiaTheme="minorEastAsia"/>
          <w:color w:val="auto"/>
          <w:highlight w:val="none"/>
        </w:rPr>
        <w:t>列入失信被执行人、重大税收违法案件当事人名单</w:t>
      </w:r>
      <w:r>
        <w:rPr>
          <w:rFonts w:hint="eastAsia" w:asciiTheme="minorEastAsia" w:hAnsiTheme="minorEastAsia" w:eastAsiaTheme="minorEastAsia"/>
          <w:color w:val="auto"/>
          <w:highlight w:val="none"/>
        </w:rPr>
        <w:fldChar w:fldCharType="end"/>
      </w:r>
      <w:r>
        <w:rPr>
          <w:rFonts w:asciiTheme="minorEastAsia" w:hAnsiTheme="minorEastAsia" w:eastAsiaTheme="minorEastAsia"/>
          <w:color w:val="auto"/>
          <w:szCs w:val="21"/>
          <w:highlight w:val="none"/>
        </w:rPr>
        <w:t>的）</w:t>
      </w:r>
      <w:r>
        <w:rPr>
          <w:rFonts w:hint="eastAsia" w:asciiTheme="minorEastAsia" w:hAnsiTheme="minorEastAsia" w:eastAsiaTheme="minorEastAsia"/>
          <w:color w:val="auto"/>
          <w:szCs w:val="21"/>
          <w:highlight w:val="none"/>
        </w:rPr>
        <w:t>、中国政府采购网</w:t>
      </w:r>
      <w:r>
        <w:rPr>
          <w:rFonts w:hint="eastAsia" w:cs="Times New Roman" w:asciiTheme="minorEastAsia" w:hAnsiTheme="minorEastAsia" w:eastAsiaTheme="minorEastAsia"/>
          <w:color w:val="auto"/>
          <w:szCs w:val="21"/>
          <w:highlight w:val="none"/>
        </w:rPr>
        <w:t>（www.ccgp.gov.cn）（未被中国政府采购网</w:t>
      </w:r>
      <w:r>
        <w:rPr>
          <w:rFonts w:hint="eastAsia" w:cs="Times New Roman" w:asciiTheme="minorEastAsia" w:hAnsiTheme="minorEastAsia" w:eastAsiaTheme="minorEastAsia"/>
          <w:color w:val="auto"/>
          <w:szCs w:val="21"/>
          <w:highlight w:val="none"/>
        </w:rPr>
        <w:fldChar w:fldCharType="begin"/>
      </w:r>
      <w:r>
        <w:rPr>
          <w:rFonts w:hint="eastAsia" w:cs="Times New Roman" w:asciiTheme="minorEastAsia" w:hAnsiTheme="minorEastAsia" w:eastAsiaTheme="minorEastAsia"/>
          <w:color w:val="auto"/>
          <w:szCs w:val="21"/>
          <w:highlight w:val="none"/>
        </w:rPr>
        <w:instrText xml:space="preserve"> HYPERLINK \t "_blank" </w:instrText>
      </w:r>
      <w:r>
        <w:rPr>
          <w:rFonts w:hint="eastAsia" w:cs="Times New Roman" w:asciiTheme="minorEastAsia" w:hAnsiTheme="minorEastAsia" w:eastAsiaTheme="minorEastAsia"/>
          <w:color w:val="auto"/>
          <w:szCs w:val="21"/>
          <w:highlight w:val="none"/>
        </w:rPr>
        <w:fldChar w:fldCharType="separate"/>
      </w:r>
      <w:r>
        <w:rPr>
          <w:rFonts w:hint="eastAsia" w:cs="Times New Roman" w:asciiTheme="minorEastAsia" w:hAnsiTheme="minorEastAsia" w:eastAsiaTheme="minorEastAsia"/>
          <w:color w:val="auto"/>
          <w:szCs w:val="21"/>
          <w:highlight w:val="none"/>
        </w:rPr>
        <w:t>列入政府采购严重违法失信行为记录名单</w:t>
      </w:r>
      <w:r>
        <w:rPr>
          <w:rFonts w:hint="eastAsia" w:cs="Times New Roman" w:asciiTheme="minorEastAsia" w:hAnsiTheme="minorEastAsia" w:eastAsiaTheme="minorEastAsia"/>
          <w:color w:val="auto"/>
          <w:szCs w:val="21"/>
          <w:highlight w:val="none"/>
        </w:rPr>
        <w:fldChar w:fldCharType="end"/>
      </w:r>
      <w:r>
        <w:rPr>
          <w:rFonts w:hint="eastAsia" w:cs="Times New Roman" w:asciiTheme="minorEastAsia" w:hAnsiTheme="minorEastAsia" w:eastAsiaTheme="minorEastAsia"/>
          <w:color w:val="auto"/>
          <w:szCs w:val="21"/>
          <w:highlight w:val="none"/>
        </w:rPr>
        <w:t>的）也没有因违反《浙江省政府采购投标人注册及诚信管理暂行办法》被列入“黑名单”，正在处罚有效期（详见格式）的承诺书；</w:t>
      </w:r>
    </w:p>
    <w:p w14:paraId="796CD5F7">
      <w:pPr>
        <w:snapToGrid w:val="0"/>
        <w:spacing w:line="360" w:lineRule="auto"/>
        <w:ind w:right="42" w:rightChars="20" w:firstLine="420" w:firstLineChars="200"/>
        <w:jc w:val="left"/>
        <w:rPr>
          <w:rFonts w:hint="eastAsia" w:cs="Times New Roman" w:asciiTheme="minorEastAsia" w:hAnsiTheme="minorEastAsia" w:eastAsiaTheme="minorEastAsia"/>
          <w:color w:val="auto"/>
          <w:szCs w:val="21"/>
          <w:highlight w:val="none"/>
          <w:lang w:val="en-US" w:eastAsia="zh-CN"/>
        </w:rPr>
      </w:pPr>
      <w:r>
        <w:rPr>
          <w:rFonts w:hint="eastAsia" w:cs="Times New Roman" w:asciiTheme="minorEastAsia" w:hAnsiTheme="minorEastAsia" w:eastAsiaTheme="minorEastAsia"/>
          <w:color w:val="auto"/>
          <w:szCs w:val="21"/>
          <w:highlight w:val="none"/>
          <w:lang w:val="en-US" w:eastAsia="zh-CN"/>
        </w:rPr>
        <w:t>1.2、法定代表人授权委托书，廉政承诺书；</w:t>
      </w:r>
    </w:p>
    <w:p w14:paraId="3FB9429D">
      <w:pPr>
        <w:snapToGrid w:val="0"/>
        <w:spacing w:line="360" w:lineRule="auto"/>
        <w:ind w:right="42" w:rightChars="20" w:firstLine="420" w:firstLineChars="200"/>
        <w:jc w:val="left"/>
        <w:rPr>
          <w:rFonts w:hint="default" w:cs="Times New Roman" w:asciiTheme="minorEastAsia" w:hAnsiTheme="minorEastAsia" w:eastAsiaTheme="minorEastAsia"/>
          <w:color w:val="auto"/>
          <w:szCs w:val="21"/>
          <w:highlight w:val="none"/>
          <w:lang w:val="en-US" w:eastAsia="zh-CN"/>
        </w:rPr>
      </w:pPr>
      <w:r>
        <w:rPr>
          <w:rFonts w:hint="eastAsia" w:cs="Times New Roman" w:asciiTheme="minorEastAsia" w:hAnsiTheme="minorEastAsia" w:eastAsiaTheme="minorEastAsia"/>
          <w:color w:val="auto"/>
          <w:szCs w:val="21"/>
          <w:highlight w:val="none"/>
          <w:lang w:val="en-US" w:eastAsia="zh-CN"/>
        </w:rPr>
        <w:t>1.3</w:t>
      </w:r>
      <w:r>
        <w:rPr>
          <w:rFonts w:hint="eastAsia" w:cs="Times New Roman" w:asciiTheme="minorEastAsia" w:hAnsiTheme="minorEastAsia" w:eastAsiaTheme="minorEastAsia"/>
          <w:color w:val="auto"/>
          <w:szCs w:val="21"/>
          <w:highlight w:val="none"/>
        </w:rPr>
        <w:t>中小企业声明函、残疾人福利性单位声明函及其他符合政策性条件的承诺函。</w:t>
      </w:r>
    </w:p>
    <w:p w14:paraId="4EDE10D9">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rPr>
        <w:t>、</w:t>
      </w:r>
      <w:r>
        <w:rPr>
          <w:rFonts w:hint="eastAsia"/>
          <w:color w:val="auto"/>
          <w:highlight w:val="none"/>
        </w:rPr>
        <w:t>投标人符合特定条件的相关证明文件（如有）；</w:t>
      </w:r>
    </w:p>
    <w:p w14:paraId="79A51121">
      <w:pPr>
        <w:spacing w:line="360" w:lineRule="auto"/>
        <w:ind w:right="42" w:rightChars="20" w:firstLine="422"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2、商务技术文件</w:t>
      </w:r>
    </w:p>
    <w:p w14:paraId="509B337F">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2.1、投标声明书；</w:t>
      </w:r>
    </w:p>
    <w:p w14:paraId="5B09921B">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2、类似案例成功的业绩</w:t>
      </w:r>
      <w:r>
        <w:rPr>
          <w:rFonts w:hint="eastAsia" w:asciiTheme="minorEastAsia" w:hAnsiTheme="minorEastAsia" w:eastAsiaTheme="minorEastAsia"/>
          <w:b/>
          <w:color w:val="auto"/>
          <w:szCs w:val="21"/>
          <w:highlight w:val="none"/>
        </w:rPr>
        <w:t>（合同复印件并CA签章）</w:t>
      </w:r>
      <w:r>
        <w:rPr>
          <w:rFonts w:hint="eastAsia" w:asciiTheme="minorEastAsia" w:hAnsiTheme="minorEastAsia" w:eastAsiaTheme="minorEastAsia"/>
          <w:color w:val="auto"/>
          <w:szCs w:val="21"/>
          <w:highlight w:val="none"/>
        </w:rPr>
        <w:t>；</w:t>
      </w:r>
    </w:p>
    <w:p w14:paraId="42F98095">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3、与本项目实施相关的投标人各类资质证书、认证证书、许可证等（如信誉荣誉、本地化服务等。</w:t>
      </w:r>
      <w:r>
        <w:rPr>
          <w:rFonts w:hint="eastAsia" w:asciiTheme="minorEastAsia" w:hAnsiTheme="minorEastAsia" w:eastAsiaTheme="minorEastAsia"/>
          <w:b/>
          <w:color w:val="auto"/>
          <w:szCs w:val="21"/>
          <w:highlight w:val="none"/>
        </w:rPr>
        <w:t>提供复印件并CA签章）（如有）</w:t>
      </w:r>
      <w:r>
        <w:rPr>
          <w:rFonts w:hint="eastAsia" w:asciiTheme="minorEastAsia" w:hAnsiTheme="minorEastAsia" w:eastAsiaTheme="minorEastAsia"/>
          <w:color w:val="auto"/>
          <w:szCs w:val="21"/>
          <w:highlight w:val="none"/>
        </w:rPr>
        <w:t>；</w:t>
      </w:r>
    </w:p>
    <w:p w14:paraId="0BA89B3B">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2.4、投标人情况介绍；</w:t>
      </w:r>
    </w:p>
    <w:p w14:paraId="3A541D52">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2.5、商务、技术响应表；</w:t>
      </w:r>
    </w:p>
    <w:p w14:paraId="73BA816B">
      <w:pPr>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2.6、</w:t>
      </w:r>
      <w:r>
        <w:rPr>
          <w:rFonts w:asciiTheme="minorEastAsia" w:hAnsiTheme="minorEastAsia" w:eastAsiaTheme="minorEastAsia"/>
          <w:color w:val="auto"/>
          <w:szCs w:val="21"/>
          <w:highlight w:val="none"/>
        </w:rPr>
        <w:t>项目实施人员一览表</w:t>
      </w:r>
      <w:r>
        <w:rPr>
          <w:rFonts w:hint="eastAsia" w:asciiTheme="minorEastAsia" w:hAnsiTheme="minorEastAsia" w:eastAsiaTheme="minorEastAsia"/>
          <w:color w:val="auto"/>
          <w:szCs w:val="21"/>
          <w:highlight w:val="none"/>
        </w:rPr>
        <w:t>、距采购人最近或者能为本项目提供最优服务的网点情况表</w:t>
      </w:r>
    </w:p>
    <w:p w14:paraId="4EAE2D0C">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2.7、</w:t>
      </w:r>
      <w:r>
        <w:rPr>
          <w:rFonts w:asciiTheme="minorEastAsia" w:hAnsiTheme="minorEastAsia" w:eastAsiaTheme="minorEastAsia"/>
          <w:color w:val="auto"/>
          <w:szCs w:val="21"/>
          <w:highlight w:val="none"/>
        </w:rPr>
        <w:t>对招标项目的理解</w:t>
      </w:r>
      <w:r>
        <w:rPr>
          <w:rFonts w:hint="eastAsia" w:asciiTheme="minorEastAsia" w:hAnsiTheme="minorEastAsia" w:eastAsiaTheme="minorEastAsia"/>
          <w:color w:val="auto"/>
          <w:szCs w:val="21"/>
          <w:highlight w:val="none"/>
        </w:rPr>
        <w:t>；（格式自拟）</w:t>
      </w:r>
    </w:p>
    <w:p w14:paraId="2AECB247">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2.8、工作的实施方案；（根据实际情况拟定，结合评分内容编制，格式自拟）</w:t>
      </w:r>
    </w:p>
    <w:p w14:paraId="15DD8EAA">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2.9、</w:t>
      </w:r>
      <w:r>
        <w:rPr>
          <w:rFonts w:asciiTheme="minorEastAsia" w:hAnsiTheme="minorEastAsia" w:eastAsiaTheme="minorEastAsia"/>
          <w:color w:val="auto"/>
          <w:szCs w:val="21"/>
          <w:highlight w:val="none"/>
        </w:rPr>
        <w:t>进度安排</w:t>
      </w:r>
      <w:r>
        <w:rPr>
          <w:rFonts w:hint="eastAsia" w:asciiTheme="minorEastAsia" w:hAnsiTheme="minorEastAsia" w:eastAsiaTheme="minorEastAsia"/>
          <w:color w:val="auto"/>
          <w:szCs w:val="21"/>
          <w:highlight w:val="none"/>
        </w:rPr>
        <w:t>、质量</w:t>
      </w:r>
      <w:r>
        <w:rPr>
          <w:rFonts w:asciiTheme="minorEastAsia" w:hAnsiTheme="minorEastAsia" w:eastAsiaTheme="minorEastAsia"/>
          <w:color w:val="auto"/>
          <w:szCs w:val="21"/>
          <w:highlight w:val="none"/>
        </w:rPr>
        <w:t>保障</w:t>
      </w:r>
      <w:r>
        <w:rPr>
          <w:rFonts w:hint="eastAsia" w:asciiTheme="minorEastAsia" w:hAnsiTheme="minorEastAsia" w:eastAsiaTheme="minorEastAsia"/>
          <w:color w:val="auto"/>
          <w:szCs w:val="21"/>
          <w:highlight w:val="none"/>
        </w:rPr>
        <w:t>、服务保障；（格式自拟）</w:t>
      </w:r>
    </w:p>
    <w:p w14:paraId="2791E8B1">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2.10、拟投入实施设备、备品备件耗材、备机（如需）；（格式自拟，包含品牌、型号、功能等）</w:t>
      </w:r>
    </w:p>
    <w:p w14:paraId="4EB705F3">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2.11、</w:t>
      </w:r>
      <w:r>
        <w:rPr>
          <w:rFonts w:asciiTheme="minorEastAsia" w:hAnsiTheme="minorEastAsia" w:eastAsiaTheme="minorEastAsia"/>
          <w:color w:val="auto"/>
          <w:szCs w:val="21"/>
          <w:highlight w:val="none"/>
        </w:rPr>
        <w:t>投标人承诺给予招标人的各种优惠条件，包括售后服务等方面的优惠；</w:t>
      </w:r>
      <w:r>
        <w:rPr>
          <w:rFonts w:hint="eastAsia" w:asciiTheme="minorEastAsia" w:hAnsiTheme="minorEastAsia" w:eastAsiaTheme="minorEastAsia"/>
          <w:color w:val="auto"/>
          <w:szCs w:val="21"/>
          <w:highlight w:val="none"/>
        </w:rPr>
        <w:t>（格式自拟）</w:t>
      </w:r>
    </w:p>
    <w:p w14:paraId="333F75D9">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2.12、投标人截止投标时间前三年内的奖惩情况说明，格式自拟；</w:t>
      </w:r>
    </w:p>
    <w:p w14:paraId="5CBA3ECA">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2.13、投标单位对本项目的合理化建议和改进措施；</w:t>
      </w:r>
    </w:p>
    <w:p w14:paraId="7336415D">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2.14、</w:t>
      </w:r>
      <w:r>
        <w:rPr>
          <w:rFonts w:asciiTheme="minorEastAsia" w:hAnsiTheme="minorEastAsia" w:eastAsiaTheme="minorEastAsia"/>
          <w:color w:val="auto"/>
          <w:szCs w:val="21"/>
          <w:highlight w:val="none"/>
        </w:rPr>
        <w:t>投标人需要说明的其他文件和说明（格式</w:t>
      </w:r>
      <w:r>
        <w:rPr>
          <w:rFonts w:hint="eastAsia" w:asciiTheme="minorEastAsia" w:hAnsiTheme="minorEastAsia" w:eastAsiaTheme="minorEastAsia"/>
          <w:color w:val="auto"/>
          <w:szCs w:val="21"/>
          <w:highlight w:val="none"/>
        </w:rPr>
        <w:t>自拟</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w:t>
      </w:r>
    </w:p>
    <w:p w14:paraId="3F20F6D5">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2.15、未尽事宜请各投标人按评分细则制作。</w:t>
      </w:r>
    </w:p>
    <w:p w14:paraId="26834465">
      <w:pPr>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3、投标报价文件：</w:t>
      </w:r>
    </w:p>
    <w:p w14:paraId="7496B0D7">
      <w:pPr>
        <w:tabs>
          <w:tab w:val="left" w:pos="3870"/>
          <w:tab w:val="left" w:pos="4085"/>
        </w:tabs>
        <w:snapToGrid w:val="0"/>
        <w:spacing w:line="360" w:lineRule="auto"/>
        <w:ind w:right="42" w:rightChars="20" w:firstLine="420" w:firstLineChars="200"/>
        <w:jc w:val="left"/>
        <w:rPr>
          <w:rFonts w:hint="eastAsia" w:cs="Times New Roman"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hint="eastAsia" w:cs="Times New Roman" w:asciiTheme="minorEastAsia" w:hAnsiTheme="minorEastAsia" w:eastAsiaTheme="minorEastAsia"/>
          <w:color w:val="auto"/>
          <w:szCs w:val="21"/>
          <w:highlight w:val="none"/>
        </w:rPr>
        <w:t xml:space="preserve">.1、投标函； </w:t>
      </w:r>
    </w:p>
    <w:p w14:paraId="34DA658B">
      <w:pPr>
        <w:tabs>
          <w:tab w:val="left" w:pos="3870"/>
          <w:tab w:val="left" w:pos="4085"/>
        </w:tabs>
        <w:snapToGrid w:val="0"/>
        <w:spacing w:line="360" w:lineRule="auto"/>
        <w:ind w:right="42" w:rightChars="20" w:firstLine="420" w:firstLineChars="200"/>
        <w:jc w:val="left"/>
        <w:rPr>
          <w:rFonts w:hint="eastAsia" w:cs="Times New Roman" w:asciiTheme="minorEastAsia" w:hAnsiTheme="minorEastAsia" w:eastAsiaTheme="minorEastAsia"/>
          <w:color w:val="auto"/>
          <w:szCs w:val="21"/>
          <w:highlight w:val="none"/>
        </w:rPr>
      </w:pPr>
      <w:r>
        <w:rPr>
          <w:rFonts w:hint="eastAsia" w:cs="Times New Roman" w:asciiTheme="minorEastAsia" w:hAnsiTheme="minorEastAsia" w:eastAsiaTheme="minorEastAsia"/>
          <w:color w:val="auto"/>
          <w:szCs w:val="21"/>
          <w:highlight w:val="none"/>
        </w:rPr>
        <w:t>3.2、开标一览表；</w:t>
      </w:r>
    </w:p>
    <w:p w14:paraId="7F11E316">
      <w:pPr>
        <w:tabs>
          <w:tab w:val="left" w:pos="3870"/>
          <w:tab w:val="left" w:pos="4085"/>
        </w:tabs>
        <w:snapToGrid w:val="0"/>
        <w:spacing w:line="360" w:lineRule="auto"/>
        <w:ind w:right="42" w:rightChars="20" w:firstLine="420" w:firstLineChars="200"/>
        <w:jc w:val="left"/>
        <w:rPr>
          <w:rFonts w:hint="eastAsia" w:cs="Times New Roman" w:asciiTheme="minorEastAsia" w:hAnsiTheme="minorEastAsia" w:eastAsiaTheme="minorEastAsia"/>
          <w:color w:val="auto"/>
          <w:szCs w:val="21"/>
          <w:highlight w:val="none"/>
        </w:rPr>
      </w:pPr>
      <w:r>
        <w:rPr>
          <w:rFonts w:hint="eastAsia" w:cs="Times New Roman" w:asciiTheme="minorEastAsia" w:hAnsiTheme="minorEastAsia" w:eastAsiaTheme="minorEastAsia"/>
          <w:color w:val="auto"/>
          <w:szCs w:val="21"/>
          <w:highlight w:val="none"/>
        </w:rPr>
        <w:t>3.3、分项报价明细表；</w:t>
      </w:r>
    </w:p>
    <w:p w14:paraId="6633CC6F">
      <w:pPr>
        <w:tabs>
          <w:tab w:val="left" w:pos="3870"/>
          <w:tab w:val="left" w:pos="4085"/>
        </w:tabs>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cs="Times New Roman" w:asciiTheme="minorEastAsia" w:hAnsiTheme="minorEastAsia" w:eastAsiaTheme="minorEastAsia"/>
          <w:color w:val="auto"/>
          <w:szCs w:val="21"/>
          <w:highlight w:val="none"/>
        </w:rPr>
        <w:t>3.</w:t>
      </w:r>
      <w:r>
        <w:rPr>
          <w:rFonts w:hint="eastAsia" w:cs="Times New Roman" w:asciiTheme="minorEastAsia" w:hAnsiTheme="minorEastAsia" w:eastAsiaTheme="minorEastAsia"/>
          <w:color w:val="auto"/>
          <w:szCs w:val="21"/>
          <w:highlight w:val="none"/>
          <w:lang w:val="en-US" w:eastAsia="zh-CN"/>
        </w:rPr>
        <w:t>4</w:t>
      </w:r>
      <w:r>
        <w:rPr>
          <w:rFonts w:hint="eastAsia" w:cs="Times New Roman" w:asciiTheme="minorEastAsia" w:hAnsiTheme="minorEastAsia" w:eastAsiaTheme="minorEastAsia"/>
          <w:color w:val="auto"/>
          <w:szCs w:val="21"/>
          <w:highlight w:val="none"/>
        </w:rPr>
        <w:t>、投标人针对报价需要说明的其</w:t>
      </w:r>
      <w:r>
        <w:rPr>
          <w:rFonts w:hint="eastAsia" w:asciiTheme="minorEastAsia" w:hAnsiTheme="minorEastAsia" w:eastAsiaTheme="minorEastAsia"/>
          <w:color w:val="auto"/>
          <w:szCs w:val="21"/>
          <w:highlight w:val="none"/>
        </w:rPr>
        <w:t>他文件和说明。</w:t>
      </w:r>
    </w:p>
    <w:bookmarkEnd w:id="178"/>
    <w:p w14:paraId="095D93B6">
      <w:pPr>
        <w:snapToGrid w:val="0"/>
        <w:spacing w:line="360" w:lineRule="auto"/>
        <w:ind w:right="42" w:rightChars="20" w:firstLine="420" w:firstLineChars="200"/>
        <w:jc w:val="left"/>
        <w:outlineLvl w:val="1"/>
        <w:rPr>
          <w:rFonts w:asciiTheme="minorEastAsia" w:hAnsiTheme="minorEastAsia" w:eastAsiaTheme="minorEastAsia"/>
          <w:color w:val="auto"/>
          <w:szCs w:val="21"/>
          <w:highlight w:val="none"/>
        </w:rPr>
      </w:pPr>
      <w:bookmarkStart w:id="191" w:name="_Toc8745"/>
      <w:bookmarkStart w:id="192" w:name="_Toc493511656"/>
      <w:bookmarkStart w:id="193" w:name="_Toc50012865"/>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注：法定代表人授权委托书、投标声明书、投标函、开标一览表必须由法定代表人</w:t>
      </w:r>
      <w:r>
        <w:rPr>
          <w:rFonts w:hint="eastAsia" w:asciiTheme="minorEastAsia" w:hAnsiTheme="minorEastAsia" w:eastAsiaTheme="minorEastAsia"/>
          <w:color w:val="auto"/>
          <w:szCs w:val="21"/>
          <w:highlight w:val="none"/>
        </w:rPr>
        <w:t>或负责人或授权代表</w:t>
      </w:r>
      <w:r>
        <w:rPr>
          <w:rFonts w:asciiTheme="minorEastAsia" w:hAnsiTheme="minorEastAsia" w:eastAsiaTheme="minorEastAsia"/>
          <w:color w:val="auto"/>
          <w:szCs w:val="21"/>
          <w:highlight w:val="none"/>
        </w:rPr>
        <w:t>签名并加盖单位公章。</w:t>
      </w:r>
      <w:bookmarkEnd w:id="191"/>
      <w:bookmarkEnd w:id="192"/>
      <w:bookmarkEnd w:id="193"/>
    </w:p>
    <w:bookmarkEnd w:id="179"/>
    <w:bookmarkEnd w:id="180"/>
    <w:bookmarkEnd w:id="181"/>
    <w:bookmarkEnd w:id="182"/>
    <w:p w14:paraId="26B07673">
      <w:pPr>
        <w:snapToGrid w:val="0"/>
        <w:spacing w:line="360" w:lineRule="auto"/>
        <w:ind w:right="42" w:rightChars="20" w:firstLine="422" w:firstLineChars="200"/>
        <w:jc w:val="left"/>
        <w:outlineLvl w:val="0"/>
        <w:rPr>
          <w:rFonts w:asciiTheme="minorEastAsia" w:hAnsiTheme="minorEastAsia" w:eastAsiaTheme="minorEastAsia"/>
          <w:b/>
          <w:color w:val="auto"/>
          <w:szCs w:val="21"/>
          <w:highlight w:val="none"/>
        </w:rPr>
      </w:pPr>
      <w:bookmarkStart w:id="194" w:name="_Toc406402946"/>
      <w:bookmarkStart w:id="195" w:name="_Toc33535360"/>
      <w:bookmarkStart w:id="196" w:name="_Toc385854100"/>
      <w:bookmarkStart w:id="197" w:name="_Toc31513"/>
      <w:bookmarkStart w:id="198" w:name="_Toc385854146"/>
      <w:bookmarkStart w:id="199" w:name="_Toc402963084"/>
      <w:bookmarkStart w:id="200" w:name="_Toc402963117"/>
      <w:bookmarkStart w:id="201" w:name="_Toc406402990"/>
      <w:bookmarkStart w:id="202" w:name="_Toc50012866"/>
      <w:bookmarkStart w:id="203" w:name="_Toc493511751"/>
      <w:r>
        <w:rPr>
          <w:rFonts w:hint="eastAsia" w:asciiTheme="minorEastAsia" w:hAnsiTheme="minorEastAsia" w:eastAsiaTheme="minorEastAsia"/>
          <w:b/>
          <w:color w:val="auto"/>
          <w:szCs w:val="21"/>
          <w:highlight w:val="none"/>
        </w:rPr>
        <w:t>（二）投标文件的语言及计量</w:t>
      </w:r>
      <w:bookmarkEnd w:id="194"/>
      <w:bookmarkEnd w:id="195"/>
      <w:bookmarkEnd w:id="196"/>
      <w:bookmarkEnd w:id="197"/>
      <w:bookmarkEnd w:id="198"/>
      <w:bookmarkEnd w:id="199"/>
      <w:bookmarkEnd w:id="200"/>
      <w:bookmarkEnd w:id="201"/>
      <w:bookmarkEnd w:id="202"/>
    </w:p>
    <w:p w14:paraId="7E4B0616">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投标文件以及投标方与</w:t>
      </w:r>
      <w:r>
        <w:rPr>
          <w:rFonts w:hint="eastAsia" w:asciiTheme="minorEastAsia" w:hAnsiTheme="minorEastAsia" w:eastAsiaTheme="minorEastAsia"/>
          <w:color w:val="auto"/>
          <w:szCs w:val="21"/>
          <w:highlight w:val="none"/>
        </w:rPr>
        <w:t>采购人</w:t>
      </w:r>
      <w:r>
        <w:rPr>
          <w:rFonts w:asciiTheme="minorEastAsia" w:hAnsiTheme="minorEastAsia" w:eastAsiaTheme="minorEastAsia"/>
          <w:color w:val="auto"/>
          <w:szCs w:val="21"/>
          <w:highlight w:val="none"/>
        </w:rPr>
        <w:t>就有关投标事宜的所有来往函电，均应以中文汉语书写。除签名、盖章、专用名称等特殊情形外，以中文汉语以外的文字表述的投标文件视同未提供。</w:t>
      </w:r>
    </w:p>
    <w:p w14:paraId="1D4ACA41">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投标计量单位，招标文件已有明确规定的，使用招标文件规定的计量单位；招标文件没有规定的，应采用中华人民共和国法定计量单位（货币单位：人民币元），否则视同未响应。</w:t>
      </w:r>
    </w:p>
    <w:p w14:paraId="00B7DA77">
      <w:pPr>
        <w:snapToGrid w:val="0"/>
        <w:spacing w:line="360" w:lineRule="auto"/>
        <w:ind w:right="42" w:rightChars="20" w:firstLine="422" w:firstLineChars="200"/>
        <w:contextualSpacing/>
        <w:jc w:val="left"/>
        <w:outlineLvl w:val="0"/>
        <w:rPr>
          <w:rFonts w:asciiTheme="minorEastAsia" w:hAnsiTheme="minorEastAsia" w:eastAsiaTheme="minorEastAsia"/>
          <w:b/>
          <w:color w:val="auto"/>
          <w:szCs w:val="21"/>
          <w:highlight w:val="none"/>
        </w:rPr>
      </w:pPr>
      <w:bookmarkStart w:id="204" w:name="_Toc402963118"/>
      <w:bookmarkStart w:id="205" w:name="_Toc18686"/>
      <w:bookmarkStart w:id="206" w:name="_Toc406402991"/>
      <w:bookmarkStart w:id="207" w:name="_Toc385854147"/>
      <w:bookmarkStart w:id="208" w:name="_Toc33535361"/>
      <w:bookmarkStart w:id="209" w:name="_Toc406402947"/>
      <w:bookmarkStart w:id="210" w:name="_Toc50012867"/>
      <w:bookmarkStart w:id="211" w:name="_Toc402963085"/>
      <w:bookmarkStart w:id="212" w:name="_Toc385854101"/>
      <w:r>
        <w:rPr>
          <w:rFonts w:hint="eastAsia" w:asciiTheme="minorEastAsia" w:hAnsiTheme="minorEastAsia" w:eastAsiaTheme="minorEastAsia"/>
          <w:b/>
          <w:color w:val="auto"/>
          <w:szCs w:val="21"/>
          <w:highlight w:val="none"/>
        </w:rPr>
        <w:t>（三）投标报价</w:t>
      </w:r>
      <w:bookmarkEnd w:id="204"/>
      <w:bookmarkEnd w:id="205"/>
      <w:bookmarkEnd w:id="206"/>
      <w:bookmarkEnd w:id="207"/>
      <w:bookmarkEnd w:id="208"/>
      <w:bookmarkEnd w:id="209"/>
      <w:bookmarkEnd w:id="210"/>
      <w:bookmarkEnd w:id="211"/>
      <w:bookmarkEnd w:id="212"/>
    </w:p>
    <w:p w14:paraId="4BBDB2BD">
      <w:pPr>
        <w:pStyle w:val="27"/>
        <w:snapToGrid w:val="0"/>
        <w:spacing w:line="360" w:lineRule="auto"/>
        <w:ind w:right="42" w:rightChars="20" w:firstLine="420" w:firstLineChars="200"/>
        <w:contextualSpacing/>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投标报价应按招标文件中相关附表格式填写。</w:t>
      </w:r>
    </w:p>
    <w:p w14:paraId="716C496A">
      <w:pPr>
        <w:widowControl/>
        <w:spacing w:line="360" w:lineRule="auto"/>
        <w:ind w:right="42" w:rightChars="20" w:firstLine="480"/>
        <w:contextualSpacing/>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、投标报价应包括为本项目服务内容可能发生的所有费用，包括但不限于工作、生活、交通、通讯、设备（仪器）、劳力、利润、税收等一切费用。</w:t>
      </w:r>
    </w:p>
    <w:p w14:paraId="7AECF5E6">
      <w:pPr>
        <w:pStyle w:val="27"/>
        <w:snapToGrid w:val="0"/>
        <w:spacing w:line="360" w:lineRule="auto"/>
        <w:ind w:right="42" w:rightChars="20" w:firstLine="420" w:firstLineChars="200"/>
        <w:contextualSpacing/>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投标文件只允许有一个报价，有选择的</w:t>
      </w:r>
      <w:r>
        <w:rPr>
          <w:rFonts w:hint="eastAsia" w:asciiTheme="minorEastAsia" w:hAnsiTheme="minorEastAsia" w:eastAsiaTheme="minorEastAsia"/>
          <w:color w:val="auto"/>
          <w:szCs w:val="21"/>
          <w:highlight w:val="none"/>
        </w:rPr>
        <w:t>或有条件的</w:t>
      </w:r>
      <w:r>
        <w:rPr>
          <w:rFonts w:asciiTheme="minorEastAsia" w:hAnsiTheme="minorEastAsia" w:eastAsiaTheme="minorEastAsia"/>
          <w:color w:val="auto"/>
          <w:szCs w:val="21"/>
          <w:highlight w:val="none"/>
        </w:rPr>
        <w:t>报价将不予接受。</w:t>
      </w:r>
    </w:p>
    <w:p w14:paraId="7D2BE769">
      <w:pPr>
        <w:pStyle w:val="13"/>
        <w:widowControl w:val="0"/>
        <w:tabs>
          <w:tab w:val="clear" w:pos="454"/>
        </w:tabs>
        <w:snapToGrid w:val="0"/>
        <w:spacing w:afterLines="0" w:line="360" w:lineRule="auto"/>
        <w:ind w:left="0" w:right="42" w:rightChars="20" w:firstLine="422" w:firstLineChars="200"/>
        <w:contextualSpacing/>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（四）投标文件的有效期</w:t>
      </w:r>
    </w:p>
    <w:p w14:paraId="495382D1">
      <w:pPr>
        <w:pStyle w:val="13"/>
        <w:widowControl w:val="0"/>
        <w:tabs>
          <w:tab w:val="left" w:pos="4500"/>
          <w:tab w:val="clear" w:pos="454"/>
        </w:tabs>
        <w:snapToGrid w:val="0"/>
        <w:spacing w:afterLines="0" w:line="360" w:lineRule="auto"/>
        <w:ind w:left="0" w:right="42" w:rightChars="20" w:firstLine="420" w:firstLineChars="200"/>
        <w:contextualSpacing/>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自投标截止日起</w:t>
      </w:r>
      <w:r>
        <w:rPr>
          <w:rFonts w:hint="eastAsia" w:asciiTheme="minorEastAsia" w:hAnsiTheme="minorEastAsia" w:eastAsiaTheme="minorEastAsia"/>
          <w:color w:val="auto"/>
          <w:sz w:val="21"/>
          <w:szCs w:val="21"/>
          <w:highlight w:val="none"/>
          <w:u w:val="single"/>
        </w:rPr>
        <w:t>60</w:t>
      </w:r>
      <w:r>
        <w:rPr>
          <w:rFonts w:asciiTheme="minorEastAsia" w:hAnsiTheme="minorEastAsia" w:eastAsiaTheme="minorEastAsia"/>
          <w:color w:val="auto"/>
          <w:sz w:val="21"/>
          <w:szCs w:val="21"/>
          <w:highlight w:val="none"/>
        </w:rPr>
        <w:t>天投标</w:t>
      </w:r>
      <w:r>
        <w:rPr>
          <w:rFonts w:hint="eastAsia" w:asciiTheme="minorEastAsia" w:hAnsiTheme="minorEastAsia" w:eastAsiaTheme="minorEastAsia"/>
          <w:color w:val="auto"/>
          <w:sz w:val="21"/>
          <w:szCs w:val="21"/>
          <w:highlight w:val="none"/>
        </w:rPr>
        <w:t>文件</w:t>
      </w:r>
      <w:r>
        <w:rPr>
          <w:rFonts w:asciiTheme="minorEastAsia" w:hAnsiTheme="minorEastAsia" w:eastAsiaTheme="minorEastAsia"/>
          <w:color w:val="auto"/>
          <w:sz w:val="21"/>
          <w:szCs w:val="21"/>
          <w:highlight w:val="none"/>
        </w:rPr>
        <w:t>应保持有效。有效期</w:t>
      </w:r>
      <w:r>
        <w:rPr>
          <w:rFonts w:hint="eastAsia" w:asciiTheme="minorEastAsia" w:hAnsiTheme="minorEastAsia" w:eastAsiaTheme="minorEastAsia"/>
          <w:color w:val="auto"/>
          <w:sz w:val="21"/>
          <w:szCs w:val="21"/>
          <w:highlight w:val="none"/>
        </w:rPr>
        <w:t>不足</w:t>
      </w:r>
      <w:r>
        <w:rPr>
          <w:rFonts w:asciiTheme="minorEastAsia" w:hAnsiTheme="minorEastAsia" w:eastAsiaTheme="minorEastAsia"/>
          <w:color w:val="auto"/>
          <w:sz w:val="21"/>
          <w:szCs w:val="21"/>
          <w:highlight w:val="none"/>
        </w:rPr>
        <w:t>的投标</w:t>
      </w:r>
      <w:r>
        <w:rPr>
          <w:rFonts w:hint="eastAsia" w:asciiTheme="minorEastAsia" w:hAnsiTheme="minorEastAsia" w:eastAsiaTheme="minorEastAsia"/>
          <w:color w:val="auto"/>
          <w:sz w:val="21"/>
          <w:szCs w:val="21"/>
          <w:highlight w:val="none"/>
        </w:rPr>
        <w:t>文件</w:t>
      </w:r>
      <w:r>
        <w:rPr>
          <w:rFonts w:asciiTheme="minorEastAsia" w:hAnsiTheme="minorEastAsia" w:eastAsiaTheme="minorEastAsia"/>
          <w:color w:val="auto"/>
          <w:sz w:val="21"/>
          <w:szCs w:val="21"/>
          <w:highlight w:val="none"/>
        </w:rPr>
        <w:t>将被拒绝。</w:t>
      </w:r>
    </w:p>
    <w:p w14:paraId="0523AA83">
      <w:pPr>
        <w:pStyle w:val="13"/>
        <w:widowControl w:val="0"/>
        <w:tabs>
          <w:tab w:val="clear" w:pos="454"/>
        </w:tabs>
        <w:snapToGrid w:val="0"/>
        <w:spacing w:afterLines="0" w:line="360" w:lineRule="auto"/>
        <w:ind w:left="0" w:right="42" w:rightChars="20" w:firstLine="420" w:firstLineChars="200"/>
        <w:contextualSpacing/>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在特殊情况下，</w:t>
      </w:r>
      <w:r>
        <w:rPr>
          <w:rFonts w:hint="eastAsia" w:asciiTheme="minorEastAsia" w:hAnsiTheme="minorEastAsia" w:eastAsiaTheme="minorEastAsia"/>
          <w:color w:val="auto"/>
          <w:sz w:val="21"/>
          <w:szCs w:val="21"/>
          <w:highlight w:val="none"/>
        </w:rPr>
        <w:t>采购人</w:t>
      </w:r>
      <w:r>
        <w:rPr>
          <w:rFonts w:asciiTheme="minorEastAsia" w:hAnsiTheme="minorEastAsia" w:eastAsiaTheme="minorEastAsia"/>
          <w:color w:val="auto"/>
          <w:sz w:val="21"/>
          <w:szCs w:val="21"/>
          <w:highlight w:val="none"/>
        </w:rPr>
        <w:t>可与投标人协商延长投标书的有效期，这种要求和答复均以书面形式进行。</w:t>
      </w:r>
    </w:p>
    <w:p w14:paraId="5273E348">
      <w:pPr>
        <w:pStyle w:val="13"/>
        <w:widowControl w:val="0"/>
        <w:tabs>
          <w:tab w:val="left" w:pos="4500"/>
          <w:tab w:val="clear" w:pos="454"/>
        </w:tabs>
        <w:snapToGrid w:val="0"/>
        <w:spacing w:afterLines="0" w:line="360" w:lineRule="auto"/>
        <w:ind w:left="0" w:right="42" w:rightChars="20" w:firstLine="420" w:firstLineChars="200"/>
        <w:contextualSpacing/>
        <w:rPr>
          <w:rFonts w:asciiTheme="minorEastAsia" w:hAnsiTheme="minorEastAsia" w:eastAsiaTheme="minorEastAsia"/>
          <w:color w:val="auto"/>
          <w:sz w:val="21"/>
          <w:szCs w:val="21"/>
          <w:highlight w:val="none"/>
        </w:rPr>
      </w:pPr>
      <w:bookmarkStart w:id="213" w:name="_Toc385854102"/>
      <w:bookmarkStart w:id="214" w:name="_Toc402963086"/>
      <w:bookmarkStart w:id="215" w:name="_Toc385854148"/>
      <w:bookmarkStart w:id="216" w:name="_Toc406402948"/>
      <w:bookmarkStart w:id="217" w:name="_Toc402963119"/>
      <w:bookmarkStart w:id="218" w:name="_Toc33535362"/>
      <w:bookmarkStart w:id="219" w:name="_Toc406402992"/>
      <w:bookmarkStart w:id="220" w:name="_Toc50012868"/>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投标人可拒绝接受延期要求。同意延长有效期的投标人不能修改投标文件。</w:t>
      </w:r>
      <w:bookmarkEnd w:id="213"/>
      <w:bookmarkEnd w:id="214"/>
      <w:bookmarkEnd w:id="215"/>
      <w:bookmarkEnd w:id="216"/>
      <w:bookmarkEnd w:id="217"/>
      <w:bookmarkEnd w:id="218"/>
      <w:bookmarkEnd w:id="219"/>
      <w:bookmarkEnd w:id="220"/>
    </w:p>
    <w:p w14:paraId="5C8B3A68">
      <w:pPr>
        <w:pStyle w:val="13"/>
        <w:widowControl w:val="0"/>
        <w:tabs>
          <w:tab w:val="left" w:pos="4500"/>
          <w:tab w:val="clear" w:pos="454"/>
        </w:tabs>
        <w:snapToGrid w:val="0"/>
        <w:spacing w:afterLines="0" w:line="360" w:lineRule="auto"/>
        <w:ind w:left="0" w:right="42" w:rightChars="20" w:firstLine="420" w:firstLineChars="200"/>
        <w:contextualSpacing/>
        <w:rPr>
          <w:rFonts w:asciiTheme="minorEastAsia" w:hAnsiTheme="minorEastAsia" w:eastAsiaTheme="minorEastAsia"/>
          <w:color w:val="auto"/>
          <w:sz w:val="21"/>
          <w:szCs w:val="21"/>
          <w:highlight w:val="none"/>
        </w:rPr>
      </w:pPr>
      <w:bookmarkStart w:id="221" w:name="_Toc406402993"/>
      <w:bookmarkStart w:id="222" w:name="_Toc406402949"/>
      <w:bookmarkStart w:id="223" w:name="_Toc385854149"/>
      <w:bookmarkStart w:id="224" w:name="_Toc402963087"/>
      <w:bookmarkStart w:id="225" w:name="_Toc33535363"/>
      <w:bookmarkStart w:id="226" w:name="_Toc385854103"/>
      <w:bookmarkStart w:id="227" w:name="_Toc50012869"/>
      <w:bookmarkStart w:id="228" w:name="_Toc402963120"/>
      <w:r>
        <w:rPr>
          <w:rFonts w:asciiTheme="minorEastAsia" w:hAnsiTheme="minorEastAsia" w:eastAsiaTheme="minorEastAsia"/>
          <w:color w:val="auto"/>
          <w:sz w:val="21"/>
          <w:szCs w:val="21"/>
          <w:highlight w:val="none"/>
        </w:rPr>
        <w:t>4</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中标人的投标文件自开标之日起至合同履行完毕止均应保持有效。</w:t>
      </w:r>
      <w:bookmarkEnd w:id="221"/>
      <w:bookmarkEnd w:id="222"/>
      <w:bookmarkEnd w:id="223"/>
      <w:bookmarkEnd w:id="224"/>
      <w:bookmarkEnd w:id="225"/>
      <w:bookmarkEnd w:id="226"/>
      <w:bookmarkEnd w:id="227"/>
      <w:bookmarkEnd w:id="228"/>
    </w:p>
    <w:p w14:paraId="5669D5B1">
      <w:pPr>
        <w:snapToGrid w:val="0"/>
        <w:spacing w:line="360" w:lineRule="auto"/>
        <w:ind w:right="42" w:rightChars="20" w:firstLine="422" w:firstLineChars="200"/>
        <w:contextualSpacing/>
        <w:jc w:val="left"/>
        <w:outlineLvl w:val="0"/>
        <w:rPr>
          <w:rFonts w:asciiTheme="minorEastAsia" w:hAnsiTheme="minorEastAsia" w:eastAsiaTheme="minorEastAsia"/>
          <w:b/>
          <w:color w:val="auto"/>
          <w:szCs w:val="21"/>
          <w:highlight w:val="none"/>
        </w:rPr>
      </w:pPr>
      <w:bookmarkStart w:id="229" w:name="_Toc402963089"/>
      <w:bookmarkStart w:id="230" w:name="_Toc33535364"/>
      <w:bookmarkStart w:id="231" w:name="_Toc385854105"/>
      <w:bookmarkStart w:id="232" w:name="_Toc385854151"/>
      <w:bookmarkStart w:id="233" w:name="_Toc16226"/>
      <w:bookmarkStart w:id="234" w:name="_Toc50012870"/>
      <w:bookmarkStart w:id="235" w:name="_Toc406402951"/>
      <w:bookmarkStart w:id="236" w:name="_Toc406402995"/>
      <w:bookmarkStart w:id="237" w:name="_Toc402963122"/>
      <w:r>
        <w:rPr>
          <w:rFonts w:hint="eastAsia" w:asciiTheme="minorEastAsia" w:hAnsiTheme="minorEastAsia" w:eastAsiaTheme="minorEastAsia"/>
          <w:b/>
          <w:color w:val="auto"/>
          <w:szCs w:val="21"/>
          <w:highlight w:val="none"/>
        </w:rPr>
        <w:t>（五）投标文件的签署和份数</w:t>
      </w:r>
      <w:bookmarkEnd w:id="229"/>
      <w:bookmarkEnd w:id="230"/>
      <w:bookmarkEnd w:id="231"/>
      <w:bookmarkEnd w:id="232"/>
      <w:bookmarkEnd w:id="233"/>
      <w:bookmarkEnd w:id="234"/>
      <w:bookmarkEnd w:id="235"/>
      <w:bookmarkEnd w:id="236"/>
      <w:bookmarkEnd w:id="237"/>
    </w:p>
    <w:p w14:paraId="22A24FA8">
      <w:pPr>
        <w:snapToGrid w:val="0"/>
        <w:spacing w:line="360" w:lineRule="auto"/>
        <w:ind w:right="42" w:rightChars="20" w:firstLine="420" w:firstLineChars="200"/>
        <w:contextualSpacing/>
        <w:jc w:val="left"/>
        <w:outlineLvl w:val="0"/>
        <w:rPr>
          <w:rFonts w:cs="微软雅黑" w:asciiTheme="minorEastAsia" w:hAnsiTheme="minorEastAsia" w:eastAsiaTheme="minorEastAsia"/>
          <w:b/>
          <w:bCs/>
          <w:color w:val="auto"/>
          <w:szCs w:val="21"/>
          <w:highlight w:val="none"/>
        </w:rPr>
      </w:pPr>
      <w:bookmarkStart w:id="238" w:name="_Toc15727"/>
      <w:bookmarkStart w:id="239" w:name="_Toc50012871"/>
      <w:r>
        <w:rPr>
          <w:rFonts w:hint="eastAsia" w:cs="宋体" w:asciiTheme="minorEastAsia" w:hAnsiTheme="minorEastAsia" w:eastAsiaTheme="minorEastAsia"/>
          <w:color w:val="auto"/>
          <w:szCs w:val="21"/>
          <w:highlight w:val="none"/>
        </w:rPr>
        <w:t>投标文件的形式：</w:t>
      </w:r>
      <w:r>
        <w:rPr>
          <w:rFonts w:hint="eastAsia" w:eastAsia="MS Mincho" w:cs="MS Mincho" w:asciiTheme="minorEastAsia" w:hAnsiTheme="minorEastAsia"/>
          <w:b/>
          <w:bCs/>
          <w:color w:val="auto"/>
          <w:szCs w:val="21"/>
          <w:highlight w:val="none"/>
        </w:rPr>
        <w:t>☑</w:t>
      </w:r>
      <w:r>
        <w:rPr>
          <w:rFonts w:hint="eastAsia" w:cs="微软雅黑" w:asciiTheme="minorEastAsia" w:hAnsiTheme="minorEastAsia" w:eastAsiaTheme="minorEastAsia"/>
          <w:b/>
          <w:bCs/>
          <w:color w:val="auto"/>
          <w:szCs w:val="21"/>
          <w:highlight w:val="none"/>
        </w:rPr>
        <w:t>电子投标文件（包括“电子加密投标文件”和“备份投标文件”，在投标文件编制完成后同时生成）；</w:t>
      </w:r>
      <w:bookmarkEnd w:id="238"/>
      <w:bookmarkEnd w:id="239"/>
    </w:p>
    <w:p w14:paraId="6AB6796E">
      <w:pPr>
        <w:snapToGrid w:val="0"/>
        <w:spacing w:line="360" w:lineRule="auto"/>
        <w:ind w:right="42" w:rightChars="20" w:firstLine="422" w:firstLineChars="200"/>
        <w:contextualSpacing/>
        <w:jc w:val="left"/>
        <w:outlineLvl w:val="0"/>
        <w:rPr>
          <w:rFonts w:cs="宋体" w:asciiTheme="minorEastAsia" w:hAnsiTheme="minorEastAsia" w:eastAsiaTheme="minorEastAsia"/>
          <w:b/>
          <w:bCs/>
          <w:color w:val="auto"/>
          <w:szCs w:val="21"/>
          <w:highlight w:val="none"/>
        </w:rPr>
      </w:pPr>
      <w:bookmarkStart w:id="240" w:name="_Toc50012872"/>
      <w:bookmarkStart w:id="241" w:name="_Toc23368"/>
      <w:r>
        <w:rPr>
          <w:rFonts w:hint="eastAsia" w:cs="宋体" w:asciiTheme="minorEastAsia" w:hAnsiTheme="minorEastAsia" w:eastAsiaTheme="minorEastAsia"/>
          <w:b/>
          <w:bCs/>
          <w:color w:val="auto"/>
          <w:szCs w:val="21"/>
          <w:highlight w:val="none"/>
        </w:rPr>
        <w:t>（1）“电子加密投标文件”是指通过“政采云电子交易客户端”完成投标文件编制后生成并加密的数据电文形式的投标文件。</w:t>
      </w:r>
      <w:bookmarkEnd w:id="240"/>
      <w:bookmarkEnd w:id="241"/>
    </w:p>
    <w:p w14:paraId="7BF203A7">
      <w:pPr>
        <w:snapToGrid w:val="0"/>
        <w:spacing w:line="360" w:lineRule="auto"/>
        <w:ind w:right="42" w:rightChars="20" w:firstLine="422" w:firstLineChars="200"/>
        <w:contextualSpacing/>
        <w:jc w:val="left"/>
        <w:outlineLvl w:val="0"/>
        <w:rPr>
          <w:rFonts w:cs="宋体" w:asciiTheme="minorEastAsia" w:hAnsiTheme="minorEastAsia" w:eastAsiaTheme="minorEastAsia"/>
          <w:b/>
          <w:bCs/>
          <w:color w:val="auto"/>
          <w:szCs w:val="21"/>
          <w:highlight w:val="none"/>
        </w:rPr>
      </w:pPr>
      <w:bookmarkStart w:id="242" w:name="_Toc50012873"/>
      <w:bookmarkStart w:id="243" w:name="_Toc18098"/>
      <w:r>
        <w:rPr>
          <w:rFonts w:hint="eastAsia" w:cs="宋体" w:asciiTheme="minorEastAsia" w:hAnsiTheme="minorEastAsia" w:eastAsiaTheme="minorEastAsia"/>
          <w:b/>
          <w:bCs/>
          <w:color w:val="auto"/>
          <w:szCs w:val="21"/>
          <w:highlight w:val="none"/>
        </w:rPr>
        <w:t>（2）“备份投标文件”是指与“电子加密投标文件”同时生成的数据电文形式的电子文件（备份标书），其他方式编制的备份投标文件视为无效备份投标文件。</w:t>
      </w:r>
      <w:bookmarkEnd w:id="242"/>
      <w:bookmarkEnd w:id="243"/>
    </w:p>
    <w:p w14:paraId="6DB0BC5E">
      <w:pPr>
        <w:snapToGrid w:val="0"/>
        <w:spacing w:line="360" w:lineRule="auto"/>
        <w:ind w:right="42" w:rightChars="20" w:firstLine="422" w:firstLineChars="200"/>
        <w:contextualSpacing/>
        <w:jc w:val="left"/>
        <w:outlineLvl w:val="0"/>
        <w:rPr>
          <w:rFonts w:cs="宋体" w:asciiTheme="minorEastAsia" w:hAnsiTheme="minorEastAsia" w:eastAsiaTheme="minorEastAsia"/>
          <w:b/>
          <w:bCs/>
          <w:color w:val="auto"/>
          <w:szCs w:val="21"/>
          <w:highlight w:val="none"/>
        </w:rPr>
      </w:pPr>
      <w:bookmarkStart w:id="244" w:name="_Toc50012874"/>
      <w:bookmarkStart w:id="245" w:name="_Toc20165"/>
      <w:r>
        <w:rPr>
          <w:rFonts w:hint="eastAsia" w:cs="宋体" w:asciiTheme="minorEastAsia" w:hAnsiTheme="minorEastAsia" w:eastAsiaTheme="minorEastAsia"/>
          <w:b/>
          <w:bCs/>
          <w:color w:val="auto"/>
          <w:szCs w:val="21"/>
          <w:highlight w:val="none"/>
        </w:rPr>
        <w:t>（六）</w:t>
      </w:r>
      <w:bookmarkStart w:id="246" w:name="_Toc33535368"/>
      <w:r>
        <w:rPr>
          <w:rFonts w:hint="eastAsia" w:cs="宋体" w:asciiTheme="minorEastAsia" w:hAnsiTheme="minorEastAsia" w:eastAsiaTheme="minorEastAsia"/>
          <w:b/>
          <w:bCs/>
          <w:color w:val="auto"/>
          <w:szCs w:val="21"/>
          <w:highlight w:val="none"/>
        </w:rPr>
        <w:t>投标文件的上传和递交：</w:t>
      </w:r>
      <w:bookmarkEnd w:id="244"/>
      <w:bookmarkEnd w:id="245"/>
    </w:p>
    <w:p w14:paraId="25A4E7B2">
      <w:pPr>
        <w:snapToGrid w:val="0"/>
        <w:spacing w:line="360" w:lineRule="auto"/>
        <w:ind w:right="42" w:rightChars="20" w:firstLine="422" w:firstLineChars="200"/>
        <w:contextualSpacing/>
        <w:jc w:val="left"/>
        <w:outlineLvl w:val="0"/>
        <w:rPr>
          <w:rFonts w:cs="宋体" w:asciiTheme="minorEastAsia" w:hAnsiTheme="minorEastAsia" w:eastAsiaTheme="minorEastAsia"/>
          <w:b/>
          <w:bCs/>
          <w:color w:val="auto"/>
          <w:szCs w:val="21"/>
          <w:highlight w:val="none"/>
        </w:rPr>
      </w:pPr>
      <w:bookmarkStart w:id="247" w:name="_Toc50012875"/>
      <w:bookmarkStart w:id="248" w:name="_Toc19460"/>
      <w:r>
        <w:rPr>
          <w:rFonts w:hint="eastAsia" w:cs="宋体" w:asciiTheme="minorEastAsia" w:hAnsiTheme="minorEastAsia" w:eastAsiaTheme="minorEastAsia"/>
          <w:b/>
          <w:bCs/>
          <w:color w:val="auto"/>
          <w:szCs w:val="21"/>
          <w:highlight w:val="none"/>
        </w:rPr>
        <w:t>（1）“电子加密投标文件”的上传、递交：</w:t>
      </w:r>
      <w:bookmarkEnd w:id="247"/>
      <w:bookmarkEnd w:id="248"/>
    </w:p>
    <w:p w14:paraId="45B0AEEC">
      <w:pPr>
        <w:snapToGrid w:val="0"/>
        <w:spacing w:line="360" w:lineRule="auto"/>
        <w:ind w:right="42" w:rightChars="20" w:firstLine="422" w:firstLineChars="200"/>
        <w:jc w:val="left"/>
        <w:outlineLvl w:val="0"/>
        <w:rPr>
          <w:rFonts w:cs="宋体" w:asciiTheme="minorEastAsia" w:hAnsiTheme="minorEastAsia" w:eastAsiaTheme="minorEastAsia"/>
          <w:b/>
          <w:bCs/>
          <w:color w:val="auto"/>
          <w:szCs w:val="21"/>
          <w:highlight w:val="none"/>
        </w:rPr>
      </w:pPr>
      <w:bookmarkStart w:id="249" w:name="_Toc50012876"/>
      <w:bookmarkStart w:id="250" w:name="_Toc30349"/>
      <w:r>
        <w:rPr>
          <w:rFonts w:cs="宋体" w:asciiTheme="minorEastAsia" w:hAnsiTheme="minorEastAsia" w:eastAsiaTheme="minorEastAsia"/>
          <w:b/>
          <w:bCs/>
          <w:color w:val="auto"/>
          <w:szCs w:val="21"/>
          <w:highlight w:val="none"/>
        </w:rPr>
        <w:t>A</w:t>
      </w:r>
      <w:r>
        <w:rPr>
          <w:rFonts w:hint="eastAsia" w:cs="宋体" w:asciiTheme="minorEastAsia" w:hAnsiTheme="minorEastAsia" w:eastAsiaTheme="minorEastAsia"/>
          <w:b/>
          <w:bCs/>
          <w:color w:val="auto"/>
          <w:szCs w:val="21"/>
          <w:highlight w:val="none"/>
        </w:rPr>
        <w:t>、投标人应在投标截止时间前将“电子加密投标文件”成功上传递交至“政府采购云平台”，否则投标无效。</w:t>
      </w:r>
      <w:bookmarkEnd w:id="249"/>
      <w:bookmarkEnd w:id="250"/>
    </w:p>
    <w:p w14:paraId="1F9027A7">
      <w:pPr>
        <w:snapToGrid w:val="0"/>
        <w:spacing w:line="360" w:lineRule="auto"/>
        <w:ind w:right="42" w:rightChars="20" w:firstLine="422" w:firstLineChars="200"/>
        <w:jc w:val="left"/>
        <w:outlineLvl w:val="0"/>
        <w:rPr>
          <w:rFonts w:cs="宋体" w:asciiTheme="minorEastAsia" w:hAnsiTheme="minorEastAsia" w:eastAsiaTheme="minorEastAsia"/>
          <w:b/>
          <w:bCs/>
          <w:color w:val="auto"/>
          <w:szCs w:val="21"/>
          <w:highlight w:val="none"/>
        </w:rPr>
      </w:pPr>
      <w:bookmarkStart w:id="251" w:name="_Toc10260"/>
      <w:bookmarkStart w:id="252" w:name="_Toc50012877"/>
      <w:r>
        <w:rPr>
          <w:rFonts w:cs="宋体" w:asciiTheme="minorEastAsia" w:hAnsiTheme="minorEastAsia" w:eastAsiaTheme="minorEastAsia"/>
          <w:b/>
          <w:bCs/>
          <w:color w:val="auto"/>
          <w:szCs w:val="21"/>
          <w:highlight w:val="none"/>
        </w:rPr>
        <w:t>B</w:t>
      </w:r>
      <w:r>
        <w:rPr>
          <w:rFonts w:hint="eastAsia" w:cs="宋体" w:asciiTheme="minorEastAsia" w:hAnsiTheme="minorEastAsia" w:eastAsiaTheme="minorEastAsia"/>
          <w:b/>
          <w:bCs/>
          <w:color w:val="auto"/>
          <w:szCs w:val="21"/>
          <w:highlight w:val="none"/>
        </w:rPr>
        <w:t>、“电子加密投标文件”成功上传递交后，投标人可自行打印投标文件接收回执。</w:t>
      </w:r>
      <w:bookmarkEnd w:id="251"/>
      <w:bookmarkEnd w:id="252"/>
    </w:p>
    <w:p w14:paraId="127383F8">
      <w:pPr>
        <w:snapToGrid w:val="0"/>
        <w:spacing w:line="360" w:lineRule="auto"/>
        <w:ind w:right="42" w:rightChars="20" w:firstLine="422" w:firstLineChars="200"/>
        <w:jc w:val="left"/>
        <w:outlineLvl w:val="0"/>
        <w:rPr>
          <w:rFonts w:cs="宋体" w:asciiTheme="minorEastAsia" w:hAnsiTheme="minorEastAsia" w:eastAsiaTheme="minorEastAsia"/>
          <w:b/>
          <w:bCs/>
          <w:color w:val="auto"/>
          <w:szCs w:val="21"/>
          <w:highlight w:val="none"/>
        </w:rPr>
      </w:pPr>
      <w:bookmarkStart w:id="253" w:name="_Toc30797"/>
      <w:bookmarkStart w:id="254" w:name="_Toc50012878"/>
      <w:r>
        <w:rPr>
          <w:rFonts w:hint="eastAsia" w:cs="宋体" w:asciiTheme="minorEastAsia" w:hAnsiTheme="minorEastAsia" w:eastAsiaTheme="minorEastAsia"/>
          <w:b/>
          <w:bCs/>
          <w:color w:val="auto"/>
          <w:szCs w:val="21"/>
          <w:highlight w:val="none"/>
        </w:rPr>
        <w:t>（2）“备份投标文件”的密封包装、递交：</w:t>
      </w:r>
      <w:bookmarkEnd w:id="253"/>
      <w:bookmarkEnd w:id="254"/>
      <w:r>
        <w:rPr>
          <w:rFonts w:hint="eastAsia" w:cs="宋体" w:asciiTheme="minorEastAsia" w:hAnsiTheme="minorEastAsia" w:eastAsiaTheme="minorEastAsia"/>
          <w:b/>
          <w:bCs/>
          <w:color w:val="auto"/>
          <w:szCs w:val="21"/>
          <w:highlight w:val="none"/>
        </w:rPr>
        <w:t>（备份文件非强制）</w:t>
      </w:r>
    </w:p>
    <w:p w14:paraId="1165AAE4">
      <w:pPr>
        <w:snapToGrid w:val="0"/>
        <w:spacing w:line="360" w:lineRule="auto"/>
        <w:ind w:right="42" w:rightChars="20" w:firstLine="422" w:firstLineChars="200"/>
        <w:jc w:val="left"/>
        <w:outlineLvl w:val="0"/>
        <w:rPr>
          <w:rFonts w:cs="宋体" w:asciiTheme="minorEastAsia" w:hAnsiTheme="minorEastAsia" w:eastAsiaTheme="minorEastAsia"/>
          <w:b/>
          <w:bCs/>
          <w:color w:val="auto"/>
          <w:szCs w:val="21"/>
          <w:highlight w:val="none"/>
        </w:rPr>
      </w:pPr>
      <w:bookmarkStart w:id="255" w:name="_Toc12452"/>
      <w:bookmarkStart w:id="256" w:name="_Toc50012879"/>
      <w:r>
        <w:rPr>
          <w:rFonts w:cs="宋体" w:asciiTheme="minorEastAsia" w:hAnsiTheme="minorEastAsia" w:eastAsiaTheme="minorEastAsia"/>
          <w:b/>
          <w:bCs/>
          <w:color w:val="auto"/>
          <w:szCs w:val="21"/>
          <w:highlight w:val="none"/>
        </w:rPr>
        <w:t>A</w:t>
      </w:r>
      <w:r>
        <w:rPr>
          <w:rFonts w:hint="eastAsia" w:cs="宋体" w:asciiTheme="minorEastAsia" w:hAnsiTheme="minorEastAsia" w:eastAsiaTheme="minorEastAsia"/>
          <w:b/>
          <w:bCs/>
          <w:color w:val="auto"/>
          <w:szCs w:val="21"/>
          <w:highlight w:val="none"/>
        </w:rPr>
        <w:t>、投标人在“政府采购云平台”完成“电子加密投标文件”的上传递交后，还可以（邮寄形式）在投标截止时间前递交以介质（U盘）存储的 “备份投标文件”（一份）；</w:t>
      </w:r>
      <w:bookmarkEnd w:id="255"/>
      <w:bookmarkEnd w:id="256"/>
    </w:p>
    <w:p w14:paraId="36FD50B9">
      <w:pPr>
        <w:snapToGrid w:val="0"/>
        <w:spacing w:line="360" w:lineRule="auto"/>
        <w:ind w:right="42" w:rightChars="20" w:firstLine="422" w:firstLineChars="200"/>
        <w:jc w:val="left"/>
        <w:outlineLvl w:val="0"/>
        <w:rPr>
          <w:rFonts w:cs="宋体" w:asciiTheme="minorEastAsia" w:hAnsiTheme="minorEastAsia" w:eastAsiaTheme="minorEastAsia"/>
          <w:b/>
          <w:bCs/>
          <w:color w:val="auto"/>
          <w:szCs w:val="21"/>
          <w:highlight w:val="none"/>
        </w:rPr>
      </w:pPr>
      <w:bookmarkStart w:id="257" w:name="_Toc17991"/>
      <w:bookmarkStart w:id="258" w:name="_Toc50012880"/>
      <w:r>
        <w:rPr>
          <w:rFonts w:cs="宋体" w:asciiTheme="minorEastAsia" w:hAnsiTheme="minorEastAsia" w:eastAsiaTheme="minorEastAsia"/>
          <w:b/>
          <w:bCs/>
          <w:color w:val="auto"/>
          <w:szCs w:val="21"/>
          <w:highlight w:val="none"/>
        </w:rPr>
        <w:t>B</w:t>
      </w:r>
      <w:r>
        <w:rPr>
          <w:rFonts w:hint="eastAsia" w:cs="宋体" w:asciiTheme="minorEastAsia" w:hAnsiTheme="minorEastAsia" w:eastAsiaTheme="minorEastAsia"/>
          <w:b/>
          <w:bCs/>
          <w:color w:val="auto"/>
          <w:szCs w:val="21"/>
          <w:highlight w:val="none"/>
        </w:rPr>
        <w:t>、“备份投标文件”应当密封包装，并在包装上标注投标项目名称、投标单位名称并加盖公章。没有密封包装或者逾期邮寄送达至邮寄接收地点的“备份投标文件”将不予接收；</w:t>
      </w:r>
      <w:bookmarkEnd w:id="257"/>
      <w:bookmarkEnd w:id="258"/>
    </w:p>
    <w:p w14:paraId="6BF313C6">
      <w:pPr>
        <w:snapToGrid w:val="0"/>
        <w:spacing w:line="360" w:lineRule="auto"/>
        <w:ind w:right="42" w:rightChars="20" w:firstLine="422" w:firstLineChars="200"/>
        <w:jc w:val="left"/>
        <w:outlineLvl w:val="0"/>
        <w:rPr>
          <w:rFonts w:cs="宋体" w:asciiTheme="minorEastAsia" w:hAnsiTheme="minorEastAsia" w:eastAsiaTheme="minorEastAsia"/>
          <w:b/>
          <w:bCs/>
          <w:color w:val="auto"/>
          <w:szCs w:val="21"/>
          <w:highlight w:val="none"/>
        </w:rPr>
      </w:pPr>
      <w:bookmarkStart w:id="259" w:name="_Toc23640"/>
      <w:bookmarkStart w:id="260" w:name="_Toc50012881"/>
      <w:r>
        <w:rPr>
          <w:rFonts w:cs="宋体" w:asciiTheme="minorEastAsia" w:hAnsiTheme="minorEastAsia" w:eastAsiaTheme="minorEastAsia"/>
          <w:b/>
          <w:bCs/>
          <w:color w:val="auto"/>
          <w:szCs w:val="21"/>
          <w:highlight w:val="none"/>
        </w:rPr>
        <w:t>C</w:t>
      </w:r>
      <w:r>
        <w:rPr>
          <w:rFonts w:hint="eastAsia" w:cs="宋体" w:asciiTheme="minorEastAsia" w:hAnsiTheme="minorEastAsia" w:eastAsiaTheme="minorEastAsia"/>
          <w:b/>
          <w:bCs/>
          <w:color w:val="auto"/>
          <w:szCs w:val="21"/>
          <w:highlight w:val="none"/>
        </w:rPr>
        <w:t>、通过“政府采购云平台”成功上传递交的“电子加密投标文件”已按时解密的，“备份投标文件”自动失效。投标截止时间前，投标人仅递交了“备份投标文件”而未将“电子加密投标文件”成功上传至“政府采购云平台”的，投标无效。</w:t>
      </w:r>
      <w:bookmarkEnd w:id="259"/>
      <w:bookmarkEnd w:id="260"/>
    </w:p>
    <w:p w14:paraId="2AE1E40B">
      <w:pPr>
        <w:snapToGrid w:val="0"/>
        <w:spacing w:line="360" w:lineRule="auto"/>
        <w:ind w:right="42" w:rightChars="20" w:firstLine="422" w:firstLineChars="200"/>
        <w:jc w:val="left"/>
        <w:outlineLvl w:val="0"/>
        <w:rPr>
          <w:rFonts w:asciiTheme="minorEastAsia" w:hAnsiTheme="minorEastAsia" w:eastAsiaTheme="minorEastAsia"/>
          <w:b/>
          <w:color w:val="auto"/>
          <w:szCs w:val="21"/>
          <w:highlight w:val="none"/>
        </w:rPr>
      </w:pPr>
      <w:bookmarkStart w:id="261" w:name="_Toc7277"/>
      <w:bookmarkStart w:id="262" w:name="_Toc50012882"/>
      <w:r>
        <w:rPr>
          <w:rFonts w:hint="eastAsia" w:asciiTheme="minorEastAsia" w:hAnsiTheme="minorEastAsia" w:eastAsiaTheme="minorEastAsia"/>
          <w:b/>
          <w:color w:val="auto"/>
          <w:szCs w:val="21"/>
          <w:highlight w:val="none"/>
        </w:rPr>
        <w:t>（七）投标无效的情形</w:t>
      </w:r>
      <w:bookmarkEnd w:id="246"/>
      <w:bookmarkEnd w:id="261"/>
      <w:bookmarkEnd w:id="262"/>
    </w:p>
    <w:p w14:paraId="3A4BB697">
      <w:pPr>
        <w:snapToGrid w:val="0"/>
        <w:spacing w:line="360" w:lineRule="auto"/>
        <w:ind w:right="42" w:rightChars="20" w:firstLine="420" w:firstLineChars="200"/>
        <w:jc w:val="left"/>
        <w:outlineLvl w:val="0"/>
        <w:rPr>
          <w:rFonts w:asciiTheme="minorEastAsia" w:hAnsiTheme="minorEastAsia" w:eastAsiaTheme="minorEastAsia"/>
          <w:color w:val="auto"/>
          <w:szCs w:val="21"/>
          <w:highlight w:val="none"/>
        </w:rPr>
      </w:pPr>
      <w:bookmarkStart w:id="263" w:name="_Toc32709"/>
      <w:bookmarkStart w:id="264" w:name="_Toc50012883"/>
      <w:r>
        <w:rPr>
          <w:rFonts w:hint="eastAsia" w:asciiTheme="minorEastAsia" w:hAnsiTheme="minorEastAsia" w:eastAsiaTheme="minorEastAsia"/>
          <w:color w:val="auto"/>
          <w:szCs w:val="21"/>
          <w:highlight w:val="none"/>
        </w:rPr>
        <w:t>根据《政府采购货物和服务招标投标管理办法》有下列情形之一的，视为投标人串通投标，其投标无效：</w:t>
      </w:r>
      <w:bookmarkEnd w:id="263"/>
      <w:bookmarkEnd w:id="264"/>
    </w:p>
    <w:p w14:paraId="05E8DD7E">
      <w:pPr>
        <w:snapToGrid w:val="0"/>
        <w:spacing w:line="360" w:lineRule="auto"/>
        <w:ind w:right="42" w:rightChars="20" w:firstLine="420" w:firstLineChars="200"/>
        <w:jc w:val="left"/>
        <w:outlineLvl w:val="0"/>
        <w:rPr>
          <w:rFonts w:asciiTheme="minorEastAsia" w:hAnsiTheme="minorEastAsia" w:eastAsiaTheme="minorEastAsia"/>
          <w:color w:val="auto"/>
          <w:szCs w:val="21"/>
          <w:highlight w:val="none"/>
        </w:rPr>
      </w:pPr>
      <w:bookmarkStart w:id="265" w:name="_Toc11171"/>
      <w:bookmarkStart w:id="266" w:name="_Toc50012884"/>
      <w:r>
        <w:rPr>
          <w:rFonts w:hint="eastAsia" w:asciiTheme="minorEastAsia" w:hAnsiTheme="minorEastAsia" w:eastAsiaTheme="minorEastAsia"/>
          <w:color w:val="auto"/>
          <w:szCs w:val="21"/>
          <w:highlight w:val="none"/>
        </w:rPr>
        <w:t>(一)不同投标人的投标文件由同一单位或者个人编制;</w:t>
      </w:r>
      <w:bookmarkEnd w:id="265"/>
      <w:bookmarkEnd w:id="266"/>
    </w:p>
    <w:p w14:paraId="701E5EE6">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(二)不同投标人委托同一单位或者个人办理投标事宜;</w:t>
      </w:r>
    </w:p>
    <w:p w14:paraId="0E824F0E">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(三)不同投标人的投标文件载明的项目管理成员或者联系人员为同一人;</w:t>
      </w:r>
    </w:p>
    <w:p w14:paraId="182482A9">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(四)不同投标人的投标文件异常一致或者投标报价呈规律性差异;</w:t>
      </w:r>
    </w:p>
    <w:p w14:paraId="6BE4C1DE">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(五)不同投标人的投标文件相互混装;</w:t>
      </w:r>
    </w:p>
    <w:p w14:paraId="53545ED2">
      <w:pPr>
        <w:snapToGrid w:val="0"/>
        <w:spacing w:line="360" w:lineRule="auto"/>
        <w:ind w:right="42" w:rightChars="20" w:firstLine="420" w:firstLineChars="200"/>
        <w:jc w:val="lef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实质上没有响应招标文件要求的投标将被视为无效投标。</w:t>
      </w:r>
    </w:p>
    <w:p w14:paraId="2B6BD433">
      <w:pPr>
        <w:numPr>
          <w:ilvl w:val="0"/>
          <w:numId w:val="4"/>
        </w:numPr>
        <w:snapToGrid w:val="0"/>
        <w:spacing w:line="360" w:lineRule="auto"/>
        <w:ind w:right="42" w:rightChars="20" w:firstLine="422" w:firstLineChars="200"/>
        <w:jc w:val="left"/>
        <w:rPr>
          <w:rFonts w:hint="eastAsia" w:ascii="宋体" w:hAnsi="宋体" w:eastAsia="宋体"/>
          <w:b/>
          <w:bCs/>
          <w:color w:val="auto"/>
          <w:szCs w:val="21"/>
          <w:highlight w:val="none"/>
        </w:rPr>
      </w:pPr>
      <w:bookmarkStart w:id="267" w:name="_Toc50012885"/>
      <w:bookmarkStart w:id="268" w:name="_Toc33535369"/>
      <w:bookmarkStart w:id="269" w:name="_Toc9286"/>
      <w:r>
        <w:rPr>
          <w:rFonts w:ascii="宋体" w:hAnsi="宋体" w:eastAsia="宋体"/>
          <w:b/>
          <w:bCs/>
          <w:color w:val="auto"/>
          <w:szCs w:val="21"/>
          <w:highlight w:val="none"/>
        </w:rPr>
        <w:t>电子投标文件解密失败的，且未在规定时间内提交备份投标文件的</w:t>
      </w:r>
      <w:r>
        <w:rPr>
          <w:rFonts w:hint="eastAsia" w:ascii="宋体" w:hAnsi="宋体" w:eastAsia="宋体"/>
          <w:b/>
          <w:bCs/>
          <w:color w:val="auto"/>
          <w:szCs w:val="21"/>
          <w:highlight w:val="none"/>
        </w:rPr>
        <w:t>。</w:t>
      </w:r>
    </w:p>
    <w:p w14:paraId="02ED465B">
      <w:pPr>
        <w:numPr>
          <w:ilvl w:val="0"/>
          <w:numId w:val="4"/>
        </w:numPr>
        <w:snapToGrid w:val="0"/>
        <w:spacing w:line="360" w:lineRule="auto"/>
        <w:ind w:right="42" w:rightChars="20" w:firstLine="422" w:firstLineChars="200"/>
        <w:jc w:val="left"/>
        <w:rPr>
          <w:rFonts w:hint="eastAsia"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根据</w:t>
      </w:r>
      <w:r>
        <w:rPr>
          <w:rFonts w:ascii="宋体" w:hAnsi="宋体" w:eastAsia="宋体" w:cs="Times New Roman"/>
          <w:b/>
          <w:bCs/>
          <w:color w:val="auto"/>
          <w:szCs w:val="21"/>
          <w:highlight w:val="none"/>
        </w:rPr>
        <w:t>浙财采监〔2025〕2号</w:t>
      </w:r>
      <w:r>
        <w:rPr>
          <w:rFonts w:hint="eastAsia" w:ascii="宋体" w:hAnsi="宋体" w:eastAsia="宋体" w:cs="Times New Roman"/>
          <w:b/>
          <w:bCs/>
          <w:color w:val="auto"/>
          <w:szCs w:val="21"/>
          <w:highlight w:val="none"/>
          <w:lang w:eastAsia="zh-CN"/>
        </w:rPr>
        <w:t>的</w:t>
      </w:r>
      <w:r>
        <w:rPr>
          <w:rFonts w:hint="eastAsia" w:ascii="宋体" w:hAnsi="宋体" w:eastAsia="宋体" w:cs="Times New Roman"/>
          <w:b/>
          <w:bCs/>
          <w:color w:val="auto"/>
          <w:szCs w:val="21"/>
          <w:highlight w:val="none"/>
          <w:lang w:val="en-US" w:eastAsia="zh-CN"/>
        </w:rPr>
        <w:t>相关规定，除政府采购法律法规规章规定的属于恶意串通、视为串通投标情形外，在不影响公平竞争的前提下，存在下列情形之一的，其投标文件无效：</w:t>
      </w:r>
      <w:r>
        <w:rPr>
          <w:rFonts w:hint="eastAsia" w:ascii="宋体" w:hAnsi="宋体" w:eastAsia="宋体" w:cs="Times New Roman"/>
          <w:b/>
          <w:bCs/>
          <w:color w:val="auto"/>
          <w:szCs w:val="21"/>
          <w:highlight w:val="none"/>
          <w:lang w:eastAsia="zh-CN"/>
        </w:rPr>
        <w:t>（</w:t>
      </w:r>
      <w:r>
        <w:rPr>
          <w:rFonts w:hint="eastAsia" w:ascii="宋体" w:hAnsi="宋体" w:cs="Times New Roman"/>
          <w:b/>
          <w:bCs/>
          <w:color w:val="auto"/>
          <w:szCs w:val="21"/>
          <w:highlight w:val="none"/>
          <w:lang w:val="en-US" w:eastAsia="zh-CN"/>
        </w:rPr>
        <w:t>1</w:t>
      </w:r>
      <w:r>
        <w:rPr>
          <w:rFonts w:hint="eastAsia" w:ascii="宋体" w:hAnsi="宋体" w:eastAsia="宋体" w:cs="Times New Roman"/>
          <w:b/>
          <w:bCs/>
          <w:color w:val="auto"/>
          <w:szCs w:val="21"/>
          <w:highlight w:val="none"/>
          <w:lang w:eastAsia="zh-CN"/>
        </w:rPr>
        <w:t>）</w:t>
      </w:r>
      <w:r>
        <w:rPr>
          <w:rFonts w:ascii="宋体" w:hAnsi="宋体" w:eastAsia="宋体" w:cs="Times New Roman"/>
          <w:b/>
          <w:bCs/>
          <w:color w:val="auto"/>
          <w:szCs w:val="21"/>
          <w:highlight w:val="none"/>
        </w:rPr>
        <w:t>不同供应商的电子投标（响应）文件上传计算机的网卡MAC地址或硬盘序列号等硬件信息相同的；</w:t>
      </w:r>
      <w:r>
        <w:rPr>
          <w:rFonts w:hint="eastAsia" w:ascii="宋体" w:hAnsi="宋体" w:eastAsia="宋体" w:cs="Times New Roman"/>
          <w:b/>
          <w:bCs/>
          <w:color w:val="auto"/>
          <w:szCs w:val="21"/>
          <w:highlight w:val="none"/>
          <w:lang w:eastAsia="zh-CN"/>
        </w:rPr>
        <w:t>（</w:t>
      </w:r>
      <w:r>
        <w:rPr>
          <w:rFonts w:hint="eastAsia" w:ascii="宋体" w:hAnsi="宋体" w:eastAsia="宋体" w:cs="Times New Roman"/>
          <w:b/>
          <w:bCs/>
          <w:color w:val="auto"/>
          <w:szCs w:val="21"/>
          <w:highlight w:val="none"/>
          <w:lang w:val="en-US" w:eastAsia="zh-CN"/>
        </w:rPr>
        <w:t>2</w:t>
      </w:r>
      <w:r>
        <w:rPr>
          <w:rFonts w:hint="eastAsia" w:ascii="宋体" w:hAnsi="宋体" w:eastAsia="宋体" w:cs="Times New Roman"/>
          <w:b/>
          <w:bCs/>
          <w:color w:val="auto"/>
          <w:szCs w:val="21"/>
          <w:highlight w:val="none"/>
          <w:lang w:eastAsia="zh-CN"/>
        </w:rPr>
        <w:t>）</w:t>
      </w:r>
      <w:r>
        <w:rPr>
          <w:rFonts w:ascii="宋体" w:hAnsi="宋体" w:eastAsia="宋体" w:cs="Times New Roman"/>
          <w:b/>
          <w:bCs/>
          <w:color w:val="auto"/>
          <w:szCs w:val="21"/>
          <w:highlight w:val="none"/>
        </w:rPr>
        <w:t>上传的电子投标（响应）文件若出现使用本项目其他投标（响应）供应商的数字证书加密的，或者加盖本项目其他投标（响应）供应商的电子印章的；</w:t>
      </w:r>
      <w:r>
        <w:rPr>
          <w:rFonts w:hint="eastAsia" w:ascii="宋体" w:hAnsi="宋体" w:eastAsia="宋体" w:cs="Times New Roman"/>
          <w:b/>
          <w:bCs/>
          <w:color w:val="auto"/>
          <w:szCs w:val="21"/>
          <w:highlight w:val="none"/>
          <w:lang w:eastAsia="zh-CN"/>
        </w:rPr>
        <w:t>（</w:t>
      </w:r>
      <w:r>
        <w:rPr>
          <w:rFonts w:hint="eastAsia" w:ascii="宋体" w:hAnsi="宋体" w:eastAsia="宋体" w:cs="Times New Roman"/>
          <w:b/>
          <w:bCs/>
          <w:color w:val="auto"/>
          <w:szCs w:val="21"/>
          <w:highlight w:val="none"/>
          <w:lang w:val="en-US" w:eastAsia="zh-CN"/>
        </w:rPr>
        <w:t>3</w:t>
      </w:r>
      <w:r>
        <w:rPr>
          <w:rFonts w:hint="eastAsia" w:ascii="宋体" w:hAnsi="宋体" w:eastAsia="宋体" w:cs="Times New Roman"/>
          <w:b/>
          <w:bCs/>
          <w:color w:val="auto"/>
          <w:szCs w:val="21"/>
          <w:highlight w:val="none"/>
          <w:lang w:eastAsia="zh-CN"/>
        </w:rPr>
        <w:t>）</w:t>
      </w:r>
      <w:r>
        <w:rPr>
          <w:rFonts w:ascii="宋体" w:hAnsi="宋体" w:eastAsia="宋体" w:cs="Times New Roman"/>
          <w:b/>
          <w:bCs/>
          <w:color w:val="auto"/>
          <w:szCs w:val="21"/>
          <w:highlight w:val="none"/>
        </w:rPr>
        <w:t>不同供应商的投标（响应）文件的内容存在3处（含）以上错误一致的；</w:t>
      </w:r>
      <w:r>
        <w:rPr>
          <w:rFonts w:hint="eastAsia" w:ascii="宋体" w:hAnsi="宋体" w:eastAsia="宋体" w:cs="Times New Roman"/>
          <w:b/>
          <w:bCs/>
          <w:color w:val="auto"/>
          <w:szCs w:val="21"/>
          <w:highlight w:val="none"/>
          <w:lang w:eastAsia="zh-CN"/>
        </w:rPr>
        <w:t>（</w:t>
      </w:r>
      <w:r>
        <w:rPr>
          <w:rFonts w:hint="eastAsia" w:ascii="宋体" w:hAnsi="宋体" w:eastAsia="宋体" w:cs="Times New Roman"/>
          <w:b/>
          <w:bCs/>
          <w:color w:val="auto"/>
          <w:szCs w:val="21"/>
          <w:highlight w:val="none"/>
          <w:lang w:val="en-US" w:eastAsia="zh-CN"/>
        </w:rPr>
        <w:t>4</w:t>
      </w:r>
      <w:r>
        <w:rPr>
          <w:rFonts w:hint="eastAsia" w:ascii="宋体" w:hAnsi="宋体" w:eastAsia="宋体" w:cs="Times New Roman"/>
          <w:b/>
          <w:bCs/>
          <w:color w:val="auto"/>
          <w:szCs w:val="21"/>
          <w:highlight w:val="none"/>
          <w:lang w:eastAsia="zh-CN"/>
        </w:rPr>
        <w:t>）</w:t>
      </w:r>
      <w:r>
        <w:rPr>
          <w:rFonts w:ascii="宋体" w:hAnsi="宋体" w:eastAsia="宋体" w:cs="Times New Roman"/>
          <w:b/>
          <w:bCs/>
          <w:color w:val="auto"/>
          <w:szCs w:val="21"/>
          <w:highlight w:val="none"/>
        </w:rPr>
        <w:t>不同供应商联系人为同一人或不同联系人的联系电话一致的。在资格审查过程中，发现供应商有采购文件约定的上述情形的，采购人、采购代理机构应当根据采购文件认定其投标（响应）无效；在评审过程中，发现供应商有采购文件约定的上述情形的，评审小组应当根据采购文件认定其投标（响应）无效，评审报告应详细记录相关情况。资格审查、评审结束后由采购代理机构或采购人书面报告本级财政部门。</w:t>
      </w:r>
    </w:p>
    <w:p w14:paraId="1CD33D4A">
      <w:pPr>
        <w:snapToGrid w:val="0"/>
        <w:spacing w:line="360" w:lineRule="auto"/>
        <w:ind w:right="42" w:rightChars="20" w:firstLine="422" w:firstLineChars="200"/>
        <w:jc w:val="left"/>
        <w:rPr>
          <w:rFonts w:ascii="宋体" w:hAnsi="宋体" w:eastAsia="宋体"/>
          <w:b/>
          <w:bCs/>
          <w:color w:val="auto"/>
          <w:szCs w:val="21"/>
          <w:highlight w:val="none"/>
        </w:rPr>
      </w:pPr>
      <w:r>
        <w:rPr>
          <w:rFonts w:hint="eastAsia" w:ascii="宋体" w:hAnsi="宋体"/>
          <w:b/>
          <w:bCs/>
          <w:color w:val="auto"/>
          <w:szCs w:val="21"/>
          <w:highlight w:val="none"/>
          <w:lang w:val="en-US" w:eastAsia="zh-CN"/>
        </w:rPr>
        <w:t>3</w:t>
      </w:r>
      <w:r>
        <w:rPr>
          <w:rFonts w:hint="eastAsia" w:ascii="宋体" w:hAnsi="宋体" w:eastAsia="宋体"/>
          <w:b/>
          <w:bCs/>
          <w:color w:val="auto"/>
          <w:szCs w:val="21"/>
          <w:highlight w:val="none"/>
        </w:rPr>
        <w:t>、没有通过资格审查的，</w:t>
      </w:r>
      <w:r>
        <w:rPr>
          <w:rFonts w:ascii="宋体" w:hAnsi="宋体" w:eastAsia="宋体"/>
          <w:b/>
          <w:bCs/>
          <w:color w:val="auto"/>
          <w:szCs w:val="21"/>
          <w:highlight w:val="none"/>
        </w:rPr>
        <w:t>投标文件将被视为无效。</w:t>
      </w:r>
    </w:p>
    <w:p w14:paraId="607CC0E2">
      <w:pPr>
        <w:snapToGrid w:val="0"/>
        <w:spacing w:line="360" w:lineRule="auto"/>
        <w:ind w:right="42" w:rightChars="20" w:firstLine="422" w:firstLineChars="200"/>
        <w:jc w:val="left"/>
        <w:rPr>
          <w:rFonts w:ascii="宋体" w:hAnsi="宋体" w:eastAsia="宋体"/>
          <w:b/>
          <w:bCs/>
          <w:color w:val="auto"/>
          <w:szCs w:val="21"/>
          <w:highlight w:val="none"/>
        </w:rPr>
      </w:pPr>
      <w:r>
        <w:rPr>
          <w:rFonts w:hint="eastAsia" w:ascii="宋体" w:hAnsi="宋体"/>
          <w:b/>
          <w:bCs/>
          <w:color w:val="auto"/>
          <w:szCs w:val="21"/>
          <w:highlight w:val="none"/>
          <w:lang w:val="en-US" w:eastAsia="zh-CN"/>
        </w:rPr>
        <w:t>4</w:t>
      </w:r>
      <w:r>
        <w:rPr>
          <w:rFonts w:hint="eastAsia" w:ascii="宋体" w:hAnsi="宋体" w:eastAsia="宋体"/>
          <w:b/>
          <w:bCs/>
          <w:color w:val="auto"/>
          <w:szCs w:val="21"/>
          <w:highlight w:val="none"/>
        </w:rPr>
        <w:t>、</w:t>
      </w:r>
      <w:r>
        <w:rPr>
          <w:rFonts w:ascii="宋体" w:hAnsi="宋体" w:eastAsia="宋体"/>
          <w:b/>
          <w:bCs/>
          <w:color w:val="auto"/>
          <w:szCs w:val="21"/>
          <w:highlight w:val="none"/>
        </w:rPr>
        <w:t>在符合性审查和商务评审时，如发现下列情形之一的，投标文件将被视为无效：</w:t>
      </w:r>
    </w:p>
    <w:p w14:paraId="0CB0CAEC">
      <w:pPr>
        <w:snapToGrid w:val="0"/>
        <w:spacing w:line="360" w:lineRule="auto"/>
        <w:ind w:right="42" w:rightChars="20" w:firstLine="420" w:firstLineChars="200"/>
        <w:jc w:val="left"/>
        <w:rPr>
          <w:rFonts w:ascii="宋体" w:hAnsi="宋体" w:eastAsia="宋体"/>
          <w:color w:val="auto"/>
          <w:szCs w:val="21"/>
          <w:highlight w:val="none"/>
        </w:rPr>
      </w:pPr>
      <w:r>
        <w:rPr>
          <w:rFonts w:hint="eastAsia" w:ascii="宋体" w:hAnsi="宋体" w:eastAsia="宋体"/>
          <w:bCs/>
          <w:color w:val="auto"/>
          <w:szCs w:val="21"/>
          <w:highlight w:val="none"/>
        </w:rPr>
        <w:t>（1）</w:t>
      </w:r>
      <w:r>
        <w:rPr>
          <w:rFonts w:ascii="宋体" w:hAnsi="宋体" w:eastAsia="宋体"/>
          <w:color w:val="auto"/>
          <w:szCs w:val="21"/>
          <w:highlight w:val="none"/>
        </w:rPr>
        <w:t>电子投标文件未按规定要求提供电子签章的</w:t>
      </w:r>
      <w:r>
        <w:rPr>
          <w:rFonts w:hint="eastAsia" w:ascii="宋体" w:hAnsi="宋体" w:eastAsia="宋体"/>
          <w:color w:val="auto"/>
          <w:szCs w:val="21"/>
          <w:highlight w:val="none"/>
        </w:rPr>
        <w:t>；</w:t>
      </w:r>
    </w:p>
    <w:p w14:paraId="72CDE7A3">
      <w:pPr>
        <w:snapToGrid w:val="0"/>
        <w:spacing w:line="360" w:lineRule="auto"/>
        <w:ind w:right="42" w:rightChars="20"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w:t>
      </w:r>
      <w:r>
        <w:rPr>
          <w:rFonts w:ascii="宋体" w:hAnsi="宋体" w:eastAsia="宋体"/>
          <w:color w:val="auto"/>
          <w:szCs w:val="21"/>
          <w:highlight w:val="none"/>
        </w:rPr>
        <w:t>）</w:t>
      </w:r>
      <w:r>
        <w:rPr>
          <w:rFonts w:hint="eastAsia" w:ascii="宋体" w:hAnsi="宋体" w:eastAsia="宋体"/>
          <w:color w:val="auto"/>
          <w:szCs w:val="21"/>
          <w:highlight w:val="none"/>
        </w:rPr>
        <w:t>在资信商务技术文件中出现报价的；</w:t>
      </w:r>
    </w:p>
    <w:p w14:paraId="47532348">
      <w:pPr>
        <w:snapToGrid w:val="0"/>
        <w:spacing w:line="360" w:lineRule="auto"/>
        <w:ind w:right="42" w:rightChars="20"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（3</w:t>
      </w:r>
      <w:r>
        <w:rPr>
          <w:rFonts w:ascii="宋体" w:hAnsi="宋体" w:eastAsia="宋体"/>
          <w:color w:val="auto"/>
          <w:szCs w:val="21"/>
          <w:highlight w:val="none"/>
        </w:rPr>
        <w:t>）资格证明文件不全的，或者不符合招标文件标明的资格要求的</w:t>
      </w:r>
      <w:r>
        <w:rPr>
          <w:rFonts w:hint="eastAsia" w:ascii="宋体" w:hAnsi="宋体" w:eastAsia="宋体"/>
          <w:color w:val="auto"/>
          <w:szCs w:val="21"/>
          <w:highlight w:val="none"/>
        </w:rPr>
        <w:t>；</w:t>
      </w:r>
    </w:p>
    <w:p w14:paraId="200B0B7D">
      <w:pPr>
        <w:snapToGrid w:val="0"/>
        <w:spacing w:line="360" w:lineRule="auto"/>
        <w:ind w:right="42" w:rightChars="20" w:firstLine="420" w:firstLineChars="200"/>
        <w:jc w:val="left"/>
        <w:rPr>
          <w:rFonts w:ascii="宋体" w:hAnsi="宋体" w:eastAsia="宋体"/>
          <w:bCs/>
          <w:color w:val="auto"/>
          <w:kern w:val="0"/>
          <w:szCs w:val="21"/>
          <w:highlight w:val="none"/>
        </w:rPr>
      </w:pPr>
      <w:r>
        <w:rPr>
          <w:rFonts w:hint="eastAsia" w:ascii="宋体" w:hAnsi="宋体" w:eastAsia="宋体"/>
          <w:color w:val="auto"/>
          <w:szCs w:val="21"/>
          <w:highlight w:val="none"/>
        </w:rPr>
        <w:t>（4</w:t>
      </w:r>
      <w:r>
        <w:rPr>
          <w:rFonts w:ascii="宋体" w:hAnsi="宋体" w:eastAsia="宋体"/>
          <w:color w:val="auto"/>
          <w:szCs w:val="21"/>
          <w:highlight w:val="none"/>
        </w:rPr>
        <w:t>）投标文件无法定代表人签字</w:t>
      </w:r>
      <w:r>
        <w:rPr>
          <w:rFonts w:hint="eastAsia" w:ascii="宋体" w:hAnsi="宋体" w:eastAsia="宋体"/>
          <w:color w:val="auto"/>
          <w:szCs w:val="21"/>
          <w:highlight w:val="none"/>
        </w:rPr>
        <w:t>（或盖章）</w:t>
      </w:r>
      <w:r>
        <w:rPr>
          <w:rFonts w:ascii="宋体" w:hAnsi="宋体" w:eastAsia="宋体"/>
          <w:color w:val="auto"/>
          <w:szCs w:val="21"/>
          <w:highlight w:val="none"/>
        </w:rPr>
        <w:t>,或未</w:t>
      </w:r>
      <w:r>
        <w:rPr>
          <w:rFonts w:hint="eastAsia" w:ascii="宋体" w:hAnsi="宋体" w:eastAsia="宋体"/>
          <w:bCs/>
          <w:color w:val="auto"/>
          <w:kern w:val="0"/>
          <w:szCs w:val="21"/>
          <w:highlight w:val="none"/>
        </w:rPr>
        <w:t>提供法定代表人授权委托书、投标声明书或者填写项目不齐全的；</w:t>
      </w:r>
    </w:p>
    <w:p w14:paraId="434DA9C6">
      <w:pPr>
        <w:snapToGrid w:val="0"/>
        <w:spacing w:line="360" w:lineRule="auto"/>
        <w:ind w:right="42" w:rightChars="20" w:firstLine="420" w:firstLineChars="200"/>
        <w:jc w:val="left"/>
        <w:rPr>
          <w:rFonts w:ascii="宋体" w:hAnsi="宋体" w:eastAsia="宋体"/>
          <w:color w:val="auto"/>
          <w:szCs w:val="21"/>
          <w:highlight w:val="none"/>
        </w:rPr>
      </w:pPr>
      <w:r>
        <w:rPr>
          <w:rFonts w:ascii="宋体" w:hAnsi="宋体" w:eastAsia="宋体"/>
          <w:color w:val="auto"/>
          <w:szCs w:val="21"/>
          <w:highlight w:val="none"/>
        </w:rPr>
        <w:t>（</w:t>
      </w:r>
      <w:r>
        <w:rPr>
          <w:rFonts w:hint="eastAsia" w:ascii="宋体" w:hAnsi="宋体" w:eastAsia="宋体"/>
          <w:snapToGrid w:val="0"/>
          <w:color w:val="auto"/>
          <w:szCs w:val="21"/>
          <w:highlight w:val="none"/>
        </w:rPr>
        <w:t>5</w:t>
      </w:r>
      <w:r>
        <w:rPr>
          <w:rFonts w:ascii="宋体" w:hAnsi="宋体" w:eastAsia="宋体"/>
          <w:snapToGrid w:val="0"/>
          <w:color w:val="auto"/>
          <w:szCs w:val="21"/>
          <w:highlight w:val="none"/>
        </w:rPr>
        <w:t>）</w:t>
      </w:r>
      <w:r>
        <w:rPr>
          <w:rFonts w:ascii="宋体" w:hAnsi="宋体" w:eastAsia="宋体"/>
          <w:color w:val="auto"/>
          <w:szCs w:val="21"/>
          <w:highlight w:val="none"/>
        </w:rPr>
        <w:t>投标文件格式不规范、项目不齐全或者内容虚假的；</w:t>
      </w:r>
    </w:p>
    <w:p w14:paraId="47C8311D">
      <w:pPr>
        <w:snapToGrid w:val="0"/>
        <w:spacing w:line="360" w:lineRule="auto"/>
        <w:ind w:right="42" w:rightChars="20" w:firstLine="420" w:firstLineChars="200"/>
        <w:jc w:val="left"/>
        <w:rPr>
          <w:rFonts w:ascii="宋体" w:hAnsi="宋体" w:eastAsia="宋体"/>
          <w:color w:val="auto"/>
          <w:szCs w:val="21"/>
          <w:highlight w:val="none"/>
        </w:rPr>
      </w:pPr>
      <w:r>
        <w:rPr>
          <w:rFonts w:ascii="宋体" w:hAnsi="宋体" w:eastAsia="宋体"/>
          <w:color w:val="auto"/>
          <w:szCs w:val="21"/>
          <w:highlight w:val="none"/>
        </w:rPr>
        <w:t>（</w:t>
      </w:r>
      <w:r>
        <w:rPr>
          <w:rFonts w:hint="eastAsia" w:ascii="宋体" w:hAnsi="宋体" w:eastAsia="宋体"/>
          <w:color w:val="auto"/>
          <w:szCs w:val="21"/>
          <w:highlight w:val="none"/>
        </w:rPr>
        <w:t>6</w:t>
      </w:r>
      <w:r>
        <w:rPr>
          <w:rFonts w:ascii="宋体" w:hAnsi="宋体" w:eastAsia="宋体"/>
          <w:color w:val="auto"/>
          <w:szCs w:val="21"/>
          <w:highlight w:val="none"/>
        </w:rPr>
        <w:t>）投标文件的实质性内容未使用中文表述、意思表述不明确、前后矛盾或者使用计量单位不符合招标文件要求的（经评标委员会认定</w:t>
      </w:r>
      <w:r>
        <w:rPr>
          <w:rFonts w:hint="eastAsia" w:ascii="宋体" w:hAnsi="宋体" w:eastAsia="宋体"/>
          <w:color w:val="auto"/>
          <w:szCs w:val="21"/>
          <w:highlight w:val="none"/>
        </w:rPr>
        <w:t>并</w:t>
      </w:r>
      <w:r>
        <w:rPr>
          <w:rFonts w:ascii="宋体" w:hAnsi="宋体" w:eastAsia="宋体"/>
          <w:color w:val="auto"/>
          <w:szCs w:val="21"/>
          <w:highlight w:val="none"/>
        </w:rPr>
        <w:t>允许其当场更正的笔误除外）</w:t>
      </w:r>
      <w:r>
        <w:rPr>
          <w:rFonts w:hint="eastAsia" w:ascii="宋体" w:hAnsi="宋体" w:eastAsia="宋体"/>
          <w:color w:val="auto"/>
          <w:szCs w:val="21"/>
          <w:highlight w:val="none"/>
        </w:rPr>
        <w:t>；</w:t>
      </w:r>
    </w:p>
    <w:p w14:paraId="5EBE884B">
      <w:pPr>
        <w:snapToGrid w:val="0"/>
        <w:spacing w:line="360" w:lineRule="auto"/>
        <w:ind w:right="42" w:rightChars="20" w:firstLine="420" w:firstLineChars="200"/>
        <w:jc w:val="left"/>
        <w:rPr>
          <w:rFonts w:ascii="宋体" w:hAnsi="宋体" w:eastAsia="宋体"/>
          <w:snapToGrid w:val="0"/>
          <w:color w:val="auto"/>
          <w:szCs w:val="21"/>
          <w:highlight w:val="none"/>
        </w:rPr>
      </w:pPr>
      <w:r>
        <w:rPr>
          <w:rFonts w:ascii="宋体" w:hAnsi="宋体" w:eastAsia="宋体"/>
          <w:color w:val="auto"/>
          <w:szCs w:val="21"/>
          <w:highlight w:val="none"/>
        </w:rPr>
        <w:t>（</w:t>
      </w:r>
      <w:r>
        <w:rPr>
          <w:rFonts w:hint="eastAsia" w:ascii="宋体" w:hAnsi="宋体" w:eastAsia="宋体"/>
          <w:snapToGrid w:val="0"/>
          <w:color w:val="auto"/>
          <w:szCs w:val="21"/>
          <w:highlight w:val="none"/>
        </w:rPr>
        <w:t>7</w:t>
      </w:r>
      <w:r>
        <w:rPr>
          <w:rFonts w:ascii="宋体" w:hAnsi="宋体" w:eastAsia="宋体"/>
          <w:snapToGrid w:val="0"/>
          <w:color w:val="auto"/>
          <w:szCs w:val="21"/>
          <w:highlight w:val="none"/>
        </w:rPr>
        <w:t>）投标有效期、交货时间、质保期等商务条款不能满足招标文件要求的；</w:t>
      </w:r>
    </w:p>
    <w:p w14:paraId="5B5A514D">
      <w:pPr>
        <w:snapToGrid w:val="0"/>
        <w:spacing w:line="360" w:lineRule="auto"/>
        <w:ind w:right="42" w:rightChars="20" w:firstLine="420" w:firstLineChars="200"/>
        <w:jc w:val="left"/>
        <w:rPr>
          <w:rFonts w:ascii="宋体" w:hAnsi="宋体" w:eastAsia="宋体"/>
          <w:color w:val="auto"/>
          <w:szCs w:val="21"/>
          <w:highlight w:val="none"/>
        </w:rPr>
      </w:pPr>
      <w:r>
        <w:rPr>
          <w:rFonts w:ascii="宋体" w:hAnsi="宋体" w:eastAsia="宋体"/>
          <w:color w:val="auto"/>
          <w:szCs w:val="21"/>
          <w:highlight w:val="none"/>
        </w:rPr>
        <w:t>（</w:t>
      </w:r>
      <w:r>
        <w:rPr>
          <w:rFonts w:hint="eastAsia" w:ascii="宋体" w:hAnsi="宋体" w:eastAsia="宋体"/>
          <w:color w:val="auto"/>
          <w:szCs w:val="21"/>
          <w:highlight w:val="none"/>
        </w:rPr>
        <w:t>8</w:t>
      </w:r>
      <w:r>
        <w:rPr>
          <w:rFonts w:ascii="宋体" w:hAnsi="宋体" w:eastAsia="宋体"/>
          <w:color w:val="auto"/>
          <w:szCs w:val="21"/>
          <w:highlight w:val="none"/>
        </w:rPr>
        <w:t>）</w:t>
      </w:r>
      <w:r>
        <w:rPr>
          <w:rFonts w:hint="eastAsia" w:ascii="宋体" w:hAnsi="宋体" w:eastAsia="宋体"/>
          <w:color w:val="auto"/>
          <w:szCs w:val="21"/>
          <w:highlight w:val="none"/>
        </w:rPr>
        <w:t>未实质性</w:t>
      </w:r>
      <w:r>
        <w:rPr>
          <w:rFonts w:ascii="宋体" w:hAnsi="宋体" w:eastAsia="宋体"/>
          <w:color w:val="auto"/>
          <w:szCs w:val="21"/>
          <w:highlight w:val="none"/>
        </w:rPr>
        <w:t>响应招标文件要求或者投标文件有</w:t>
      </w:r>
      <w:r>
        <w:rPr>
          <w:rFonts w:hint="eastAsia" w:ascii="宋体" w:hAnsi="宋体" w:eastAsia="宋体"/>
          <w:color w:val="auto"/>
          <w:szCs w:val="21"/>
          <w:highlight w:val="none"/>
        </w:rPr>
        <w:t>采购人</w:t>
      </w:r>
      <w:r>
        <w:rPr>
          <w:rFonts w:ascii="宋体" w:hAnsi="宋体" w:eastAsia="宋体"/>
          <w:color w:val="auto"/>
          <w:szCs w:val="21"/>
          <w:highlight w:val="none"/>
        </w:rPr>
        <w:t>不能接受的附加条件的</w:t>
      </w:r>
      <w:r>
        <w:rPr>
          <w:rFonts w:hint="eastAsia" w:ascii="宋体" w:hAnsi="宋体" w:eastAsia="宋体"/>
          <w:color w:val="auto"/>
          <w:szCs w:val="21"/>
          <w:highlight w:val="none"/>
        </w:rPr>
        <w:t>；</w:t>
      </w:r>
    </w:p>
    <w:p w14:paraId="48B61682">
      <w:pPr>
        <w:snapToGrid w:val="0"/>
        <w:spacing w:line="360" w:lineRule="auto"/>
        <w:ind w:right="42" w:rightChars="20"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（9）不符合本招标文件中的实质性要求条款。</w:t>
      </w:r>
    </w:p>
    <w:p w14:paraId="39F1C0B9">
      <w:pPr>
        <w:snapToGrid w:val="0"/>
        <w:spacing w:line="360" w:lineRule="auto"/>
        <w:ind w:right="42" w:rightChars="20" w:firstLine="422" w:firstLineChars="200"/>
        <w:jc w:val="left"/>
        <w:rPr>
          <w:rFonts w:ascii="宋体" w:hAnsi="宋体" w:eastAsia="宋体"/>
          <w:b/>
          <w:bCs/>
          <w:color w:val="auto"/>
          <w:szCs w:val="21"/>
          <w:highlight w:val="none"/>
        </w:rPr>
      </w:pPr>
      <w:r>
        <w:rPr>
          <w:rFonts w:hint="eastAsia" w:ascii="宋体" w:hAnsi="宋体"/>
          <w:b/>
          <w:bCs/>
          <w:color w:val="auto"/>
          <w:szCs w:val="21"/>
          <w:highlight w:val="none"/>
          <w:lang w:val="en-US" w:eastAsia="zh-CN"/>
        </w:rPr>
        <w:t>5</w:t>
      </w:r>
      <w:r>
        <w:rPr>
          <w:rFonts w:hint="eastAsia" w:ascii="宋体" w:hAnsi="宋体" w:eastAsia="宋体"/>
          <w:b/>
          <w:bCs/>
          <w:color w:val="auto"/>
          <w:szCs w:val="21"/>
          <w:highlight w:val="none"/>
        </w:rPr>
        <w:t>、</w:t>
      </w:r>
      <w:r>
        <w:rPr>
          <w:rFonts w:ascii="宋体" w:hAnsi="宋体" w:eastAsia="宋体"/>
          <w:b/>
          <w:bCs/>
          <w:color w:val="auto"/>
          <w:szCs w:val="21"/>
          <w:highlight w:val="none"/>
        </w:rPr>
        <w:t>在技术评审时，如发现下列情形之一的，投标文件将被视为无效：</w:t>
      </w:r>
    </w:p>
    <w:p w14:paraId="6AB7DFBD">
      <w:pPr>
        <w:snapToGrid w:val="0"/>
        <w:spacing w:line="360" w:lineRule="auto"/>
        <w:ind w:right="42" w:rightChars="20" w:firstLine="420" w:firstLineChars="200"/>
        <w:jc w:val="left"/>
        <w:rPr>
          <w:rFonts w:ascii="宋体" w:hAnsi="宋体" w:eastAsia="宋体"/>
          <w:color w:val="auto"/>
          <w:szCs w:val="21"/>
          <w:highlight w:val="none"/>
        </w:rPr>
      </w:pPr>
      <w:r>
        <w:rPr>
          <w:rFonts w:ascii="宋体" w:hAnsi="宋体" w:eastAsia="宋体"/>
          <w:color w:val="auto"/>
          <w:szCs w:val="21"/>
          <w:highlight w:val="none"/>
        </w:rPr>
        <w:t>（1）未提供或未如实提供投标货物的技术参数</w:t>
      </w:r>
      <w:r>
        <w:rPr>
          <w:rFonts w:hint="eastAsia" w:ascii="宋体" w:hAnsi="宋体" w:eastAsia="宋体"/>
          <w:color w:val="auto"/>
          <w:szCs w:val="21"/>
          <w:highlight w:val="none"/>
        </w:rPr>
        <w:t>或服务内容</w:t>
      </w:r>
      <w:r>
        <w:rPr>
          <w:rFonts w:ascii="宋体" w:hAnsi="宋体" w:eastAsia="宋体"/>
          <w:color w:val="auto"/>
          <w:szCs w:val="21"/>
          <w:highlight w:val="none"/>
        </w:rPr>
        <w:t>，或者投标文件标明的响应或偏离与事实不符或虚假投标的；</w:t>
      </w:r>
    </w:p>
    <w:p w14:paraId="6B5E3621">
      <w:pPr>
        <w:snapToGrid w:val="0"/>
        <w:spacing w:line="360" w:lineRule="auto"/>
        <w:ind w:right="42" w:rightChars="20" w:firstLine="420" w:firstLineChars="200"/>
        <w:jc w:val="left"/>
        <w:rPr>
          <w:rFonts w:ascii="宋体" w:hAnsi="宋体" w:eastAsia="宋体"/>
          <w:color w:val="auto"/>
          <w:szCs w:val="21"/>
          <w:highlight w:val="none"/>
        </w:rPr>
      </w:pPr>
      <w:r>
        <w:rPr>
          <w:rFonts w:ascii="宋体" w:hAnsi="宋体" w:eastAsia="宋体"/>
          <w:color w:val="auto"/>
          <w:szCs w:val="21"/>
          <w:highlight w:val="none"/>
        </w:rPr>
        <w:t>（2）</w:t>
      </w:r>
      <w:r>
        <w:rPr>
          <w:rFonts w:ascii="宋体" w:hAnsi="宋体" w:eastAsia="宋体"/>
          <w:snapToGrid w:val="0"/>
          <w:color w:val="auto"/>
          <w:szCs w:val="21"/>
          <w:highlight w:val="none"/>
        </w:rPr>
        <w:t>明显不符合招标文件</w:t>
      </w:r>
      <w:r>
        <w:rPr>
          <w:rFonts w:hint="eastAsia" w:ascii="宋体" w:hAnsi="宋体" w:eastAsia="宋体"/>
          <w:snapToGrid w:val="0"/>
          <w:color w:val="auto"/>
          <w:szCs w:val="21"/>
          <w:highlight w:val="none"/>
        </w:rPr>
        <w:t>要求</w:t>
      </w:r>
      <w:r>
        <w:rPr>
          <w:rFonts w:ascii="宋体" w:hAnsi="宋体" w:eastAsia="宋体"/>
          <w:snapToGrid w:val="0"/>
          <w:color w:val="auto"/>
          <w:szCs w:val="21"/>
          <w:highlight w:val="none"/>
        </w:rPr>
        <w:t>的规格型号、质量标准，或者</w:t>
      </w:r>
      <w:r>
        <w:rPr>
          <w:rFonts w:hint="eastAsia" w:ascii="宋体" w:hAnsi="宋体" w:eastAsia="宋体"/>
          <w:snapToGrid w:val="0"/>
          <w:color w:val="auto"/>
          <w:szCs w:val="21"/>
          <w:highlight w:val="none"/>
        </w:rPr>
        <w:t>与</w:t>
      </w:r>
      <w:r>
        <w:rPr>
          <w:rFonts w:ascii="宋体" w:hAnsi="宋体" w:eastAsia="宋体"/>
          <w:color w:val="auto"/>
          <w:szCs w:val="21"/>
          <w:highlight w:val="none"/>
        </w:rPr>
        <w:t>招标文件中标“▲”的技术指标、主要功能项目发生实质性偏离的；</w:t>
      </w:r>
    </w:p>
    <w:p w14:paraId="1DA2794A">
      <w:pPr>
        <w:snapToGrid w:val="0"/>
        <w:spacing w:line="360" w:lineRule="auto"/>
        <w:ind w:right="42" w:rightChars="20"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）投标技术方案不明确，存在一个或一个以上备选（替代）投标方案的；</w:t>
      </w:r>
    </w:p>
    <w:p w14:paraId="061E0879">
      <w:pPr>
        <w:pStyle w:val="15"/>
        <w:snapToGrid w:val="0"/>
        <w:spacing w:line="360" w:lineRule="auto"/>
        <w:ind w:right="42" w:rightChars="20" w:firstLine="406" w:firstLineChars="200"/>
        <w:jc w:val="left"/>
        <w:rPr>
          <w:rFonts w:ascii="宋体" w:hAnsi="宋体" w:eastAsia="宋体"/>
          <w:b/>
          <w:bCs/>
          <w:color w:val="auto"/>
          <w:sz w:val="21"/>
          <w:szCs w:val="21"/>
          <w:highlight w:val="none"/>
        </w:rPr>
      </w:pPr>
      <w:r>
        <w:rPr>
          <w:rFonts w:hint="eastAsia" w:hAnsi="宋体"/>
          <w:b/>
          <w:bCs/>
          <w:color w:val="auto"/>
          <w:sz w:val="21"/>
          <w:szCs w:val="21"/>
          <w:highlight w:val="none"/>
          <w:lang w:val="en-US" w:eastAsia="zh-CN"/>
        </w:rPr>
        <w:t>6</w:t>
      </w:r>
      <w:r>
        <w:rPr>
          <w:rFonts w:hint="eastAsia" w:ascii="宋体" w:hAnsi="宋体" w:eastAsia="宋体"/>
          <w:b/>
          <w:bCs/>
          <w:color w:val="auto"/>
          <w:sz w:val="21"/>
          <w:szCs w:val="21"/>
          <w:highlight w:val="none"/>
        </w:rPr>
        <w:t>、</w:t>
      </w:r>
      <w:r>
        <w:rPr>
          <w:rFonts w:ascii="宋体" w:hAnsi="宋体" w:eastAsia="宋体"/>
          <w:b/>
          <w:bCs/>
          <w:color w:val="auto"/>
          <w:sz w:val="21"/>
          <w:szCs w:val="21"/>
          <w:highlight w:val="none"/>
        </w:rPr>
        <w:t>在报价评审时，如发现下列情形之一的，投标文件将被视为无效：</w:t>
      </w:r>
    </w:p>
    <w:p w14:paraId="54EEAFE3">
      <w:pPr>
        <w:pStyle w:val="15"/>
        <w:snapToGrid w:val="0"/>
        <w:spacing w:line="360" w:lineRule="auto"/>
        <w:ind w:right="42" w:rightChars="20" w:firstLine="404" w:firstLineChars="200"/>
        <w:jc w:val="left"/>
        <w:rPr>
          <w:rFonts w:ascii="宋体" w:hAnsi="宋体" w:eastAsia="宋体"/>
          <w:color w:val="auto"/>
          <w:sz w:val="21"/>
          <w:szCs w:val="21"/>
          <w:highlight w:val="none"/>
        </w:rPr>
      </w:pPr>
      <w:r>
        <w:rPr>
          <w:rFonts w:ascii="宋体" w:hAnsi="宋体" w:eastAsia="宋体"/>
          <w:color w:val="auto"/>
          <w:sz w:val="21"/>
          <w:szCs w:val="21"/>
          <w:highlight w:val="none"/>
        </w:rPr>
        <w:t>（1）</w:t>
      </w:r>
      <w:r>
        <w:rPr>
          <w:rFonts w:hint="eastAsia" w:ascii="宋体" w:hAnsi="宋体" w:eastAsia="宋体"/>
          <w:color w:val="auto"/>
          <w:sz w:val="21"/>
          <w:szCs w:val="21"/>
          <w:highlight w:val="none"/>
        </w:rPr>
        <w:t>电子投标文件未按规定要求提供电子签章的</w:t>
      </w:r>
    </w:p>
    <w:p w14:paraId="20C84326">
      <w:pPr>
        <w:pStyle w:val="15"/>
        <w:snapToGrid w:val="0"/>
        <w:spacing w:line="360" w:lineRule="auto"/>
        <w:ind w:right="42" w:rightChars="20" w:firstLine="404" w:firstLineChars="200"/>
        <w:jc w:val="left"/>
        <w:rPr>
          <w:rFonts w:ascii="宋体" w:hAnsi="宋体" w:eastAsia="宋体"/>
          <w:color w:val="auto"/>
          <w:sz w:val="21"/>
          <w:szCs w:val="21"/>
          <w:highlight w:val="none"/>
        </w:rPr>
      </w:pPr>
      <w:r>
        <w:rPr>
          <w:rFonts w:ascii="宋体" w:hAnsi="宋体" w:eastAsia="宋体"/>
          <w:color w:val="auto"/>
          <w:sz w:val="21"/>
          <w:szCs w:val="21"/>
          <w:highlight w:val="none"/>
        </w:rPr>
        <w:t>（2）未采用人民币报价或者未按照招标文件标明的币种报价的；</w:t>
      </w:r>
    </w:p>
    <w:p w14:paraId="722D91BD">
      <w:pPr>
        <w:pStyle w:val="15"/>
        <w:snapToGrid w:val="0"/>
        <w:spacing w:line="360" w:lineRule="auto"/>
        <w:ind w:right="42" w:rightChars="20" w:firstLine="404" w:firstLineChars="200"/>
        <w:jc w:val="left"/>
        <w:rPr>
          <w:rFonts w:ascii="宋体" w:hAnsi="宋体" w:eastAsia="宋体"/>
          <w:color w:val="auto"/>
          <w:sz w:val="21"/>
          <w:szCs w:val="21"/>
          <w:highlight w:val="none"/>
        </w:rPr>
      </w:pPr>
      <w:r>
        <w:rPr>
          <w:rFonts w:ascii="宋体" w:hAnsi="宋体" w:eastAsia="宋体"/>
          <w:color w:val="auto"/>
          <w:sz w:val="21"/>
          <w:szCs w:val="21"/>
          <w:highlight w:val="none"/>
        </w:rPr>
        <w:t>（</w:t>
      </w:r>
      <w:r>
        <w:rPr>
          <w:rFonts w:hint="eastAsia" w:ascii="宋体" w:hAnsi="宋体" w:eastAsia="宋体"/>
          <w:color w:val="auto"/>
          <w:sz w:val="21"/>
          <w:szCs w:val="21"/>
          <w:highlight w:val="none"/>
        </w:rPr>
        <w:t>3</w:t>
      </w:r>
      <w:r>
        <w:rPr>
          <w:rFonts w:ascii="宋体" w:hAnsi="宋体" w:eastAsia="宋体"/>
          <w:color w:val="auto"/>
          <w:sz w:val="21"/>
          <w:szCs w:val="21"/>
          <w:highlight w:val="none"/>
        </w:rPr>
        <w:t>）报价</w:t>
      </w:r>
      <w:r>
        <w:rPr>
          <w:rFonts w:hint="eastAsia" w:ascii="宋体" w:hAnsi="宋体" w:eastAsia="宋体"/>
          <w:color w:val="auto"/>
          <w:sz w:val="21"/>
          <w:szCs w:val="21"/>
          <w:highlight w:val="none"/>
        </w:rPr>
        <w:t>（单价或总价）</w:t>
      </w:r>
      <w:r>
        <w:rPr>
          <w:rFonts w:ascii="宋体" w:hAnsi="宋体" w:eastAsia="宋体"/>
          <w:color w:val="auto"/>
          <w:sz w:val="21"/>
          <w:szCs w:val="21"/>
          <w:highlight w:val="none"/>
        </w:rPr>
        <w:t>超出</w:t>
      </w:r>
      <w:r>
        <w:rPr>
          <w:rFonts w:hint="eastAsia" w:hAnsi="宋体"/>
          <w:color w:val="auto"/>
          <w:sz w:val="21"/>
          <w:szCs w:val="21"/>
          <w:highlight w:val="none"/>
          <w:lang w:val="en-US" w:eastAsia="zh-CN"/>
        </w:rPr>
        <w:t>预算价或最高限价</w:t>
      </w:r>
      <w:r>
        <w:rPr>
          <w:rFonts w:hint="eastAsia" w:ascii="宋体" w:hAnsi="宋体" w:eastAsia="宋体"/>
          <w:color w:val="auto"/>
          <w:sz w:val="21"/>
          <w:szCs w:val="21"/>
          <w:highlight w:val="none"/>
        </w:rPr>
        <w:t>；</w:t>
      </w:r>
    </w:p>
    <w:p w14:paraId="67DF6708">
      <w:pPr>
        <w:pStyle w:val="15"/>
        <w:snapToGrid w:val="0"/>
        <w:spacing w:line="360" w:lineRule="auto"/>
        <w:ind w:right="42" w:rightChars="20" w:firstLine="404" w:firstLineChars="2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（4）投标报价具有选择性，或者开标价格与投标文件承诺的优惠（折扣）价格不一致的。                                                                                            </w:t>
      </w:r>
    </w:p>
    <w:p w14:paraId="548F6921">
      <w:pPr>
        <w:pStyle w:val="15"/>
        <w:snapToGrid w:val="0"/>
        <w:spacing w:line="360" w:lineRule="auto"/>
        <w:ind w:right="42" w:rightChars="20" w:firstLine="406" w:firstLineChars="200"/>
        <w:jc w:val="left"/>
        <w:rPr>
          <w:rFonts w:ascii="宋体" w:hAnsi="宋体" w:eastAsia="宋体"/>
          <w:b/>
          <w:snapToGrid w:val="0"/>
          <w:color w:val="auto"/>
          <w:sz w:val="21"/>
          <w:szCs w:val="21"/>
          <w:highlight w:val="none"/>
        </w:rPr>
      </w:pPr>
      <w:r>
        <w:rPr>
          <w:rFonts w:hint="eastAsia" w:hAnsi="宋体"/>
          <w:b/>
          <w:color w:val="auto"/>
          <w:sz w:val="21"/>
          <w:szCs w:val="21"/>
          <w:highlight w:val="none"/>
          <w:lang w:val="en-US" w:eastAsia="zh-CN"/>
        </w:rPr>
        <w:t>7</w:t>
      </w:r>
      <w:r>
        <w:rPr>
          <w:rFonts w:hint="eastAsia" w:ascii="宋体" w:hAnsi="宋体" w:eastAsia="宋体"/>
          <w:b/>
          <w:color w:val="auto"/>
          <w:sz w:val="21"/>
          <w:szCs w:val="21"/>
          <w:highlight w:val="none"/>
        </w:rPr>
        <w:t>、</w:t>
      </w:r>
      <w:r>
        <w:rPr>
          <w:rFonts w:ascii="宋体" w:hAnsi="宋体" w:eastAsia="宋体"/>
          <w:b/>
          <w:color w:val="auto"/>
          <w:sz w:val="21"/>
          <w:szCs w:val="21"/>
          <w:highlight w:val="none"/>
        </w:rPr>
        <w:t>被拒绝的投标文件为无效。</w:t>
      </w:r>
    </w:p>
    <w:p w14:paraId="66EFCB24">
      <w:pPr>
        <w:pStyle w:val="15"/>
        <w:snapToGrid w:val="0"/>
        <w:spacing w:line="360" w:lineRule="auto"/>
        <w:ind w:right="42" w:rightChars="20" w:firstLine="406" w:firstLineChars="200"/>
        <w:jc w:val="left"/>
        <w:outlineLvl w:val="1"/>
        <w:rPr>
          <w:rFonts w:asciiTheme="minorEastAsia" w:hAnsiTheme="minorEastAsia" w:eastAsiaTheme="minorEastAsia"/>
          <w:b/>
          <w:snapToGrid w:val="0"/>
          <w:color w:val="auto"/>
          <w:sz w:val="21"/>
          <w:szCs w:val="21"/>
          <w:highlight w:val="none"/>
        </w:rPr>
      </w:pPr>
      <w:r>
        <w:rPr>
          <w:rFonts w:hint="eastAsia" w:asciiTheme="minorEastAsia" w:hAnsiTheme="minorEastAsia" w:eastAsiaTheme="minorEastAsia"/>
          <w:b/>
          <w:color w:val="auto"/>
          <w:sz w:val="21"/>
          <w:szCs w:val="21"/>
          <w:highlight w:val="none"/>
        </w:rPr>
        <w:t>四、开标</w:t>
      </w:r>
      <w:bookmarkEnd w:id="267"/>
      <w:bookmarkEnd w:id="268"/>
      <w:bookmarkEnd w:id="269"/>
    </w:p>
    <w:p w14:paraId="6C32A378">
      <w:pPr>
        <w:pStyle w:val="27"/>
        <w:snapToGrid w:val="0"/>
        <w:spacing w:line="360" w:lineRule="auto"/>
        <w:ind w:right="42" w:rightChars="20" w:firstLine="422" w:firstLineChars="200"/>
        <w:jc w:val="left"/>
        <w:rPr>
          <w:rFonts w:asciiTheme="minorEastAsia" w:hAnsiTheme="minorEastAsia" w:eastAsiaTheme="minorEastAsia"/>
          <w:b/>
          <w:bCs/>
          <w:color w:val="auto"/>
          <w:szCs w:val="21"/>
          <w:highlight w:val="none"/>
        </w:rPr>
      </w:pPr>
      <w:r>
        <w:rPr>
          <w:rFonts w:asciiTheme="minorEastAsia" w:hAnsiTheme="minorEastAsia" w:eastAsiaTheme="minorEastAsia"/>
          <w:b/>
          <w:bCs/>
          <w:color w:val="auto"/>
          <w:szCs w:val="21"/>
          <w:highlight w:val="none"/>
        </w:rPr>
        <w:t>（一）开标准备</w:t>
      </w:r>
    </w:p>
    <w:p w14:paraId="3B423CA9">
      <w:pPr>
        <w:pStyle w:val="27"/>
        <w:snapToGrid w:val="0"/>
        <w:spacing w:line="360" w:lineRule="auto"/>
        <w:ind w:right="42" w:rightChars="20" w:firstLine="420" w:firstLineChars="200"/>
        <w:jc w:val="lef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1、开标的准备工作由采购组织机构负责落实；</w:t>
      </w:r>
    </w:p>
    <w:p w14:paraId="7FE657A3">
      <w:pPr>
        <w:pStyle w:val="27"/>
        <w:snapToGrid w:val="0"/>
        <w:spacing w:line="360" w:lineRule="auto"/>
        <w:ind w:right="42" w:rightChars="20" w:firstLine="420" w:firstLineChars="200"/>
        <w:jc w:val="lef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2、采购组织机构将按照招标文件规定的时间通过“政府采购云平台”组织开标、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163B6557">
      <w:pPr>
        <w:pStyle w:val="27"/>
        <w:snapToGrid w:val="0"/>
        <w:spacing w:line="360" w:lineRule="auto"/>
        <w:ind w:right="42" w:rightChars="20" w:firstLine="422" w:firstLineChars="200"/>
        <w:jc w:val="left"/>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(二 ) 采购人或者采购代理机构职责</w:t>
      </w:r>
    </w:p>
    <w:p w14:paraId="0588BAD8">
      <w:pPr>
        <w:pStyle w:val="27"/>
        <w:snapToGrid w:val="0"/>
        <w:spacing w:line="360" w:lineRule="auto"/>
        <w:ind w:right="42" w:rightChars="20" w:firstLine="420" w:firstLineChars="200"/>
        <w:jc w:val="lef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采购人或者采购代理机构负责组织评标工作，并履行下列职责：</w:t>
      </w:r>
    </w:p>
    <w:p w14:paraId="14B06E18">
      <w:pPr>
        <w:pStyle w:val="27"/>
        <w:snapToGrid w:val="0"/>
        <w:spacing w:line="360" w:lineRule="auto"/>
        <w:ind w:right="42" w:rightChars="20" w:firstLine="420" w:firstLineChars="200"/>
        <w:jc w:val="lef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1、核对评审专家身份和采购人代表授权函，对评审专家在政府采购活动中的职责履行情况予以记录，并及时将有关违法违规行为向财政部门报告;</w:t>
      </w:r>
    </w:p>
    <w:p w14:paraId="0B6C11DF">
      <w:pPr>
        <w:pStyle w:val="27"/>
        <w:snapToGrid w:val="0"/>
        <w:spacing w:line="360" w:lineRule="auto"/>
        <w:ind w:right="42" w:rightChars="20" w:firstLine="420" w:firstLineChars="200"/>
        <w:jc w:val="lef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2、宣布评标纪律;</w:t>
      </w:r>
    </w:p>
    <w:p w14:paraId="76F96A3D">
      <w:pPr>
        <w:pStyle w:val="27"/>
        <w:snapToGrid w:val="0"/>
        <w:spacing w:line="360" w:lineRule="auto"/>
        <w:ind w:right="42" w:rightChars="20" w:firstLine="420" w:firstLineChars="200"/>
        <w:jc w:val="lef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3、公布投标人名单，告知评审专家应当回避的情形;</w:t>
      </w:r>
    </w:p>
    <w:p w14:paraId="559E4885">
      <w:pPr>
        <w:pStyle w:val="27"/>
        <w:snapToGrid w:val="0"/>
        <w:spacing w:line="360" w:lineRule="auto"/>
        <w:ind w:right="42" w:rightChars="20" w:firstLine="420" w:firstLineChars="200"/>
        <w:jc w:val="lef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4、组织评标委员会推选评标组长，采购人代表不得担任组长;</w:t>
      </w:r>
    </w:p>
    <w:p w14:paraId="0B290E1E">
      <w:pPr>
        <w:pStyle w:val="27"/>
        <w:snapToGrid w:val="0"/>
        <w:spacing w:line="360" w:lineRule="auto"/>
        <w:ind w:right="42" w:rightChars="20" w:firstLine="420" w:firstLineChars="200"/>
        <w:jc w:val="lef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5、在评标期间采取必要的通讯管理措施，保证评标活动不受外界干扰;</w:t>
      </w:r>
    </w:p>
    <w:p w14:paraId="49312A34">
      <w:pPr>
        <w:pStyle w:val="27"/>
        <w:snapToGrid w:val="0"/>
        <w:spacing w:line="360" w:lineRule="auto"/>
        <w:ind w:right="42" w:rightChars="20" w:firstLine="420" w:firstLineChars="200"/>
        <w:jc w:val="lef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6、根据评标委员会的要求介绍政府采购相关政策法规、招标文件;</w:t>
      </w:r>
    </w:p>
    <w:p w14:paraId="0FEDD9A2">
      <w:pPr>
        <w:pStyle w:val="27"/>
        <w:snapToGrid w:val="0"/>
        <w:spacing w:line="360" w:lineRule="auto"/>
        <w:ind w:right="42" w:rightChars="20" w:firstLine="420" w:firstLineChars="200"/>
        <w:jc w:val="lef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7、维护评标秩序，监督评标委员会依照招标文件规定的评标程序、方法和标准进行独立评审，及时制止和纠正采购人代表、评审专家的倾向性言论或者违法违规行为;</w:t>
      </w:r>
    </w:p>
    <w:p w14:paraId="70BED477">
      <w:pPr>
        <w:pStyle w:val="27"/>
        <w:snapToGrid w:val="0"/>
        <w:spacing w:line="360" w:lineRule="auto"/>
        <w:ind w:right="42" w:rightChars="20" w:firstLine="420" w:firstLineChars="200"/>
        <w:jc w:val="lef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8、核对评标结果，根据《政府采购货物和服务招标投标管理办法》，如有第六十四条规定情形的，要求评标委员会复核或者书面说明理由，评标委员会拒绝的，应予记录并向本级财政部门报告;</w:t>
      </w:r>
    </w:p>
    <w:p w14:paraId="0E3D1D5F">
      <w:pPr>
        <w:pStyle w:val="27"/>
        <w:snapToGrid w:val="0"/>
        <w:spacing w:line="360" w:lineRule="auto"/>
        <w:ind w:right="42" w:rightChars="20" w:firstLine="420" w:firstLineChars="200"/>
        <w:jc w:val="lef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9、评审工作完成后，按照规定向评审专家支付劳务报酬和异地评审差旅费，不得向评审专家以外的其他人员支付评审劳务报酬;</w:t>
      </w:r>
    </w:p>
    <w:p w14:paraId="0983CA16">
      <w:pPr>
        <w:pStyle w:val="27"/>
        <w:snapToGrid w:val="0"/>
        <w:spacing w:line="360" w:lineRule="auto"/>
        <w:ind w:right="42" w:rightChars="20" w:firstLine="404" w:firstLineChars="200"/>
        <w:jc w:val="left"/>
        <w:rPr>
          <w:rFonts w:asciiTheme="minorEastAsia" w:hAnsiTheme="minorEastAsia" w:eastAsiaTheme="minorEastAsia"/>
          <w:color w:val="auto"/>
          <w:spacing w:val="-4"/>
          <w:szCs w:val="21"/>
          <w:highlight w:val="none"/>
        </w:rPr>
      </w:pPr>
      <w:r>
        <w:rPr>
          <w:rFonts w:hint="eastAsia" w:asciiTheme="minorEastAsia" w:hAnsiTheme="minorEastAsia" w:eastAsiaTheme="minorEastAsia"/>
          <w:color w:val="auto"/>
          <w:spacing w:val="-4"/>
          <w:szCs w:val="21"/>
          <w:highlight w:val="none"/>
        </w:rPr>
        <w:t>10、处理与评标有关的其他事项。</w:t>
      </w:r>
    </w:p>
    <w:p w14:paraId="56894C5D">
      <w:pPr>
        <w:pStyle w:val="27"/>
        <w:snapToGrid w:val="0"/>
        <w:spacing w:line="360" w:lineRule="auto"/>
        <w:ind w:right="42" w:rightChars="20" w:firstLine="406" w:firstLineChars="200"/>
        <w:jc w:val="left"/>
        <w:rPr>
          <w:rFonts w:asciiTheme="minorEastAsia" w:hAnsiTheme="minorEastAsia" w:eastAsiaTheme="minorEastAsia"/>
          <w:b/>
          <w:color w:val="auto"/>
          <w:spacing w:val="-4"/>
          <w:szCs w:val="21"/>
          <w:highlight w:val="none"/>
        </w:rPr>
      </w:pPr>
      <w:r>
        <w:rPr>
          <w:rFonts w:asciiTheme="minorEastAsia" w:hAnsiTheme="minorEastAsia" w:eastAsiaTheme="minorEastAsia"/>
          <w:b/>
          <w:color w:val="auto"/>
          <w:spacing w:val="-4"/>
          <w:szCs w:val="21"/>
          <w:highlight w:val="none"/>
        </w:rPr>
        <w:t>（</w:t>
      </w:r>
      <w:r>
        <w:rPr>
          <w:rFonts w:hint="eastAsia" w:asciiTheme="minorEastAsia" w:hAnsiTheme="minorEastAsia" w:eastAsiaTheme="minorEastAsia"/>
          <w:b/>
          <w:color w:val="auto"/>
          <w:spacing w:val="-4"/>
          <w:szCs w:val="21"/>
          <w:highlight w:val="none"/>
        </w:rPr>
        <w:t>三</w:t>
      </w:r>
      <w:r>
        <w:rPr>
          <w:rFonts w:asciiTheme="minorEastAsia" w:hAnsiTheme="minorEastAsia" w:eastAsiaTheme="minorEastAsia"/>
          <w:b/>
          <w:color w:val="auto"/>
          <w:spacing w:val="-4"/>
          <w:szCs w:val="21"/>
          <w:highlight w:val="none"/>
        </w:rPr>
        <w:t>）</w:t>
      </w:r>
      <w:r>
        <w:rPr>
          <w:rFonts w:hint="eastAsia" w:asciiTheme="minorEastAsia" w:hAnsiTheme="minorEastAsia" w:eastAsiaTheme="minorEastAsia"/>
          <w:b/>
          <w:color w:val="auto"/>
          <w:spacing w:val="-4"/>
          <w:szCs w:val="21"/>
          <w:highlight w:val="none"/>
        </w:rPr>
        <w:t>开标流程（两阶段）</w:t>
      </w:r>
    </w:p>
    <w:p w14:paraId="4FF08531">
      <w:pPr>
        <w:pStyle w:val="15"/>
        <w:snapToGrid w:val="0"/>
        <w:spacing w:line="360" w:lineRule="auto"/>
        <w:ind w:right="42" w:rightChars="20" w:firstLine="406" w:firstLineChars="200"/>
        <w:jc w:val="left"/>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1、开标第一阶段</w:t>
      </w:r>
    </w:p>
    <w:p w14:paraId="08A8C3E1">
      <w:pPr>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向各投标人发出电子加密投标文件【开始解密】通知，由投标人按招标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0CD708CA">
      <w:pPr>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（2）投标文件解密，解密成功后，招标代理将与投标人建立钉钉联系请各投标单位在投标截止时间前注册完成钉钉联系方式，</w:t>
      </w:r>
      <w:r>
        <w:rPr>
          <w:rFonts w:hint="eastAsia" w:cs="宋体" w:asciiTheme="minorEastAsia" w:hAnsiTheme="minorEastAsia" w:eastAsiaTheme="minorEastAsia"/>
          <w:b/>
          <w:bCs/>
          <w:color w:val="auto"/>
          <w:kern w:val="0"/>
          <w:szCs w:val="21"/>
          <w:highlight w:val="none"/>
        </w:rPr>
        <w:t>各供应商将政府采购活动现场确认声明书传给代理公司</w:t>
      </w:r>
      <w:r>
        <w:rPr>
          <w:rFonts w:hint="eastAsia" w:cs="宋体" w:asciiTheme="minorEastAsia" w:hAnsiTheme="minorEastAsia" w:eastAsiaTheme="minorEastAsia"/>
          <w:color w:val="auto"/>
          <w:kern w:val="0"/>
          <w:szCs w:val="21"/>
          <w:highlight w:val="none"/>
        </w:rPr>
        <w:t>；（评审时如需要建立钉钉联系方式则建立）</w:t>
      </w:r>
    </w:p>
    <w:p w14:paraId="65AD4A2D">
      <w:pPr>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（3）开启投标文件，进入资格审查；</w:t>
      </w:r>
    </w:p>
    <w:p w14:paraId="3C24E1A4">
      <w:pPr>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（4）开启资格审查通过的投标人的商务技术文件进入符合性审查、商务技术评审；</w:t>
      </w:r>
    </w:p>
    <w:p w14:paraId="3B54D23B">
      <w:pPr>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（5）第一阶段开标结束。</w:t>
      </w:r>
    </w:p>
    <w:p w14:paraId="4FFB62A9">
      <w:pPr>
        <w:spacing w:line="360" w:lineRule="auto"/>
        <w:ind w:right="42" w:rightChars="20" w:firstLine="406" w:firstLineChars="200"/>
        <w:jc w:val="left"/>
        <w:rPr>
          <w:rFonts w:asciiTheme="minorEastAsia" w:hAnsiTheme="minorEastAsia" w:eastAsiaTheme="minorEastAsia"/>
          <w:b/>
          <w:color w:val="auto"/>
          <w:spacing w:val="-4"/>
          <w:szCs w:val="21"/>
          <w:highlight w:val="none"/>
        </w:rPr>
      </w:pPr>
      <w:r>
        <w:rPr>
          <w:rFonts w:hint="eastAsia" w:asciiTheme="minorEastAsia" w:hAnsiTheme="minorEastAsia" w:eastAsiaTheme="minorEastAsia"/>
          <w:b/>
          <w:color w:val="auto"/>
          <w:spacing w:val="-4"/>
          <w:szCs w:val="21"/>
          <w:highlight w:val="none"/>
        </w:rPr>
        <w:t>备注：开标大会的第一阶段结束后，采购人或采购代理机构将对依法对投标人的资格进行审查，资格审查结束后进入符合性审查和商务技术的评审工作，具体见本章节“投标人资格审查”相关规定。</w:t>
      </w:r>
    </w:p>
    <w:p w14:paraId="2459249E">
      <w:pPr>
        <w:spacing w:line="360" w:lineRule="auto"/>
        <w:ind w:right="42" w:rightChars="20" w:firstLine="406" w:firstLineChars="200"/>
        <w:jc w:val="left"/>
        <w:rPr>
          <w:rFonts w:asciiTheme="minorEastAsia" w:hAnsiTheme="minorEastAsia" w:eastAsiaTheme="minorEastAsia"/>
          <w:b/>
          <w:color w:val="auto"/>
          <w:spacing w:val="-4"/>
          <w:szCs w:val="21"/>
          <w:highlight w:val="none"/>
        </w:rPr>
      </w:pPr>
      <w:r>
        <w:rPr>
          <w:rFonts w:hint="eastAsia" w:asciiTheme="minorEastAsia" w:hAnsiTheme="minorEastAsia" w:eastAsiaTheme="minorEastAsia"/>
          <w:b/>
          <w:color w:val="auto"/>
          <w:spacing w:val="-4"/>
          <w:szCs w:val="21"/>
          <w:highlight w:val="none"/>
        </w:rPr>
        <w:t>2、开标大会第二阶段</w:t>
      </w:r>
    </w:p>
    <w:p w14:paraId="2C089425">
      <w:pPr>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（1）符合性审查、商务技术评审结束后，举行开标大会第二阶段会议。</w:t>
      </w:r>
    </w:p>
    <w:p w14:paraId="5221F73F">
      <w:pPr>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（2）开启符合性审查、商务技术评审有效</w:t>
      </w:r>
      <w:r>
        <w:rPr>
          <w:rFonts w:hint="eastAsia" w:cs="宋体" w:asciiTheme="minorEastAsia" w:hAnsiTheme="minorEastAsia" w:eastAsiaTheme="minorEastAsia"/>
          <w:color w:val="auto"/>
          <w:kern w:val="0"/>
          <w:szCs w:val="21"/>
          <w:highlight w:val="none"/>
          <w:lang w:eastAsia="zh-CN"/>
        </w:rPr>
        <w:t>投标人</w:t>
      </w:r>
      <w:r>
        <w:rPr>
          <w:rFonts w:hint="eastAsia" w:cs="宋体" w:asciiTheme="minorEastAsia" w:hAnsiTheme="minorEastAsia" w:eastAsiaTheme="minorEastAsia"/>
          <w:color w:val="auto"/>
          <w:kern w:val="0"/>
          <w:szCs w:val="21"/>
          <w:highlight w:val="none"/>
        </w:rPr>
        <w:t>的《报价文件》，通过政采云方式公布开标一览表有关内容，同时当场制作开标记录表，供应商可在政采云中确认（不予确认的应说明理由，否则视为无异议）。唱标结束后，由评标委员会对报价的合理性、准确性等进行审查核实。</w:t>
      </w:r>
    </w:p>
    <w:p w14:paraId="6DBB2B82">
      <w:pPr>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（3）评审结束后，通过政采云方式公布中标（成交）候选供应商名单，及采购人最终确定中标或中标人名单的时间和公告方式等。</w:t>
      </w:r>
    </w:p>
    <w:p w14:paraId="34B1669E">
      <w:pPr>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特别说明：如遇“政府采购云平台”电子化开标或评审程序调整的，按调整后程序执行。</w:t>
      </w:r>
    </w:p>
    <w:p w14:paraId="3AD26671">
      <w:pPr>
        <w:spacing w:line="360" w:lineRule="auto"/>
        <w:ind w:right="42" w:rightChars="20" w:firstLine="422" w:firstLineChars="200"/>
        <w:jc w:val="left"/>
        <w:rPr>
          <w:rFonts w:asciiTheme="minorEastAsia" w:hAnsiTheme="minorEastAsia" w:eastAsiaTheme="minorEastAsia"/>
          <w:b/>
          <w:color w:val="auto"/>
          <w:szCs w:val="21"/>
          <w:highlight w:val="none"/>
        </w:rPr>
      </w:pPr>
      <w:bookmarkStart w:id="270" w:name="_Toc24550037"/>
      <w:bookmarkStart w:id="271" w:name="_Toc33194393"/>
      <w:r>
        <w:rPr>
          <w:rFonts w:hint="eastAsia" w:asciiTheme="minorEastAsia" w:hAnsiTheme="minorEastAsia" w:eastAsiaTheme="minorEastAsia"/>
          <w:b/>
          <w:color w:val="auto"/>
          <w:szCs w:val="21"/>
          <w:highlight w:val="none"/>
        </w:rPr>
        <w:t>（四）投标人资格审查</w:t>
      </w:r>
      <w:bookmarkEnd w:id="270"/>
      <w:bookmarkEnd w:id="271"/>
    </w:p>
    <w:p w14:paraId="2BAA7FB8">
      <w:pPr>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开标大会第一阶段结束后，采购人或采购代理机构首先依法对各投标人的资格进行审查，审查各投标人的资格是否满足招标文件的要求。采购人或采购代理机构对投标人所提交的资格证明材料仅负审核的责任。如发现投标人所提交的资格证明材料不合法或与事实不符，采购人可取消其中标资格并追究投标人的法律责任。</w:t>
      </w:r>
    </w:p>
    <w:p w14:paraId="5EA1DF6D">
      <w:pPr>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2、投标人提交的资格证明材料无法证明其符合招标文件规定的“投标人资格要求”的，采购人或采购代理机构将对其作资格审查不通过处理（无效投标），并不再将其投标提交评标委员会进行后续评审。</w:t>
      </w:r>
    </w:p>
    <w:p w14:paraId="538AFE77">
      <w:pPr>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3、单位负责人为同一人或者存在直接控股、管理关系的不同投标人参加同一合同项下的政府采购活动的，相关投标人均作资格无效处理。</w:t>
      </w:r>
    </w:p>
    <w:p w14:paraId="36C8FE0C">
      <w:pPr>
        <w:pStyle w:val="27"/>
        <w:snapToGrid w:val="0"/>
        <w:spacing w:line="360" w:lineRule="auto"/>
        <w:ind w:right="42" w:rightChars="20" w:firstLine="422" w:firstLineChars="200"/>
        <w:jc w:val="left"/>
        <w:outlineLvl w:val="1"/>
        <w:rPr>
          <w:rFonts w:asciiTheme="minorEastAsia" w:hAnsiTheme="minorEastAsia" w:eastAsiaTheme="minorEastAsia"/>
          <w:b/>
          <w:color w:val="auto"/>
          <w:szCs w:val="21"/>
          <w:highlight w:val="none"/>
        </w:rPr>
      </w:pPr>
      <w:bookmarkStart w:id="272" w:name="_Toc33535370"/>
      <w:bookmarkStart w:id="273" w:name="_Toc3032"/>
      <w:bookmarkStart w:id="274" w:name="_Toc50012886"/>
      <w:r>
        <w:rPr>
          <w:rFonts w:hint="eastAsia" w:asciiTheme="minorEastAsia" w:hAnsiTheme="minorEastAsia" w:eastAsiaTheme="minorEastAsia"/>
          <w:b/>
          <w:color w:val="auto"/>
          <w:szCs w:val="21"/>
          <w:highlight w:val="none"/>
        </w:rPr>
        <w:t>五、评标</w:t>
      </w:r>
      <w:bookmarkEnd w:id="272"/>
      <w:bookmarkEnd w:id="273"/>
      <w:bookmarkEnd w:id="274"/>
    </w:p>
    <w:p w14:paraId="0C726C4A">
      <w:pPr>
        <w:pStyle w:val="27"/>
        <w:snapToGrid w:val="0"/>
        <w:spacing w:line="360" w:lineRule="auto"/>
        <w:ind w:right="42" w:rightChars="20" w:firstLine="422" w:firstLineChars="200"/>
        <w:jc w:val="left"/>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（一）组建评标委员会</w:t>
      </w:r>
    </w:p>
    <w:p w14:paraId="7D4981E0">
      <w:pPr>
        <w:pStyle w:val="27"/>
        <w:snapToGrid w:val="0"/>
        <w:spacing w:line="360" w:lineRule="auto"/>
        <w:ind w:firstLine="420" w:firstLineChars="200"/>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评标委员会由采购人代表和评审专家组成，</w:t>
      </w:r>
      <w:r>
        <w:rPr>
          <w:rFonts w:asciiTheme="minorEastAsia" w:hAnsiTheme="minorEastAsia" w:eastAsiaTheme="minorEastAsia"/>
          <w:color w:val="auto"/>
          <w:szCs w:val="21"/>
          <w:highlight w:val="none"/>
        </w:rPr>
        <w:t>政府采购评审专家</w:t>
      </w:r>
      <w:r>
        <w:rPr>
          <w:rFonts w:hint="eastAsia" w:asciiTheme="minorEastAsia" w:hAnsiTheme="minorEastAsia" w:eastAsiaTheme="minorEastAsia"/>
          <w:color w:val="auto"/>
          <w:szCs w:val="21"/>
          <w:highlight w:val="none"/>
          <w:u w:val="single"/>
        </w:rPr>
        <w:t>5</w:t>
      </w:r>
      <w:r>
        <w:rPr>
          <w:rFonts w:asciiTheme="minorEastAsia" w:hAnsiTheme="minorEastAsia" w:eastAsiaTheme="minorEastAsia"/>
          <w:color w:val="auto"/>
          <w:szCs w:val="21"/>
          <w:highlight w:val="none"/>
        </w:rPr>
        <w:t>人组成。</w:t>
      </w:r>
    </w:p>
    <w:p w14:paraId="02EE8F6B">
      <w:pPr>
        <w:widowControl/>
        <w:shd w:val="clear" w:color="auto" w:fill="FFFFFF"/>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评标委员会负责具体评标事务，并独立履行下列职责：</w:t>
      </w:r>
    </w:p>
    <w:p w14:paraId="5649E6E4">
      <w:pPr>
        <w:widowControl/>
        <w:shd w:val="clear" w:color="auto" w:fill="FFFFFF"/>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1、审查、评价投标文件是否符合招标文件的商务、技术等实质性要求;</w:t>
      </w:r>
    </w:p>
    <w:p w14:paraId="3EC64C13">
      <w:pPr>
        <w:widowControl/>
        <w:shd w:val="clear" w:color="auto" w:fill="FFFFFF"/>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2、要求投标人对投标文件有关事项作出澄清或者说明;</w:t>
      </w:r>
    </w:p>
    <w:p w14:paraId="5D225BD8">
      <w:pPr>
        <w:widowControl/>
        <w:shd w:val="clear" w:color="auto" w:fill="FFFFFF"/>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3、对投标文件进行比较和评价;</w:t>
      </w:r>
    </w:p>
    <w:p w14:paraId="090ADF34">
      <w:pPr>
        <w:widowControl/>
        <w:shd w:val="clear" w:color="auto" w:fill="FFFFFF"/>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4、确定中标候选人名单，以及根据采购人委托直接确定中标人;</w:t>
      </w:r>
    </w:p>
    <w:p w14:paraId="40CC81D6">
      <w:pPr>
        <w:widowControl/>
        <w:shd w:val="clear" w:color="auto" w:fill="FFFFFF"/>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5、向采购人、采购代理机构或者有关部门报告评标中发现的违法行为。</w:t>
      </w:r>
    </w:p>
    <w:p w14:paraId="079928AB">
      <w:pPr>
        <w:widowControl/>
        <w:shd w:val="clear" w:color="auto" w:fill="FFFFFF"/>
        <w:spacing w:line="360" w:lineRule="auto"/>
        <w:ind w:right="42" w:rightChars="20" w:firstLine="422" w:firstLineChars="200"/>
        <w:jc w:val="left"/>
        <w:rPr>
          <w:rFonts w:cs="宋体" w:asciiTheme="minorEastAsia" w:hAnsiTheme="minorEastAsia" w:eastAsiaTheme="minorEastAsia"/>
          <w:b/>
          <w:color w:val="auto"/>
          <w:kern w:val="0"/>
          <w:szCs w:val="21"/>
          <w:highlight w:val="none"/>
        </w:rPr>
      </w:pPr>
      <w:r>
        <w:rPr>
          <w:rFonts w:hint="eastAsia" w:cs="宋体" w:asciiTheme="minorEastAsia" w:hAnsiTheme="minorEastAsia" w:eastAsiaTheme="minorEastAsia"/>
          <w:b/>
          <w:color w:val="auto"/>
          <w:kern w:val="0"/>
          <w:szCs w:val="21"/>
          <w:highlight w:val="none"/>
        </w:rPr>
        <w:t>除采购人代表、评标现场组织人员外，采购人的其他工作人员以及与评标工作无关的人员不得进入评标现场。</w:t>
      </w:r>
    </w:p>
    <w:p w14:paraId="3A2FB34A">
      <w:pPr>
        <w:pStyle w:val="27"/>
        <w:snapToGrid w:val="0"/>
        <w:spacing w:line="360" w:lineRule="auto"/>
        <w:ind w:right="42" w:rightChars="20" w:firstLine="422" w:firstLineChars="200"/>
        <w:jc w:val="left"/>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（二）评标的方式</w:t>
      </w:r>
    </w:p>
    <w:p w14:paraId="6835E082">
      <w:pPr>
        <w:pStyle w:val="27"/>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本项目采用不公开方式评标，评标的依据为招标文件和投标文件。</w:t>
      </w:r>
    </w:p>
    <w:p w14:paraId="194E586E">
      <w:pPr>
        <w:pStyle w:val="27"/>
        <w:snapToGrid w:val="0"/>
        <w:spacing w:line="360" w:lineRule="auto"/>
        <w:ind w:right="42" w:rightChars="20" w:firstLine="422" w:firstLineChars="200"/>
        <w:jc w:val="left"/>
        <w:rPr>
          <w:rFonts w:asciiTheme="minorEastAsia" w:hAnsiTheme="minorEastAsia" w:eastAsiaTheme="minorEastAsia"/>
          <w:b/>
          <w:bCs/>
          <w:color w:val="auto"/>
          <w:szCs w:val="21"/>
          <w:highlight w:val="none"/>
        </w:rPr>
      </w:pPr>
      <w:r>
        <w:rPr>
          <w:rFonts w:asciiTheme="minorEastAsia" w:hAnsiTheme="minorEastAsia" w:eastAsiaTheme="minorEastAsia"/>
          <w:b/>
          <w:color w:val="auto"/>
          <w:szCs w:val="21"/>
          <w:highlight w:val="none"/>
        </w:rPr>
        <w:t>（三）</w:t>
      </w:r>
      <w:r>
        <w:rPr>
          <w:rFonts w:asciiTheme="minorEastAsia" w:hAnsiTheme="minorEastAsia" w:eastAsiaTheme="minorEastAsia"/>
          <w:b/>
          <w:bCs/>
          <w:color w:val="auto"/>
          <w:szCs w:val="21"/>
          <w:highlight w:val="none"/>
        </w:rPr>
        <w:t>评标程序</w:t>
      </w:r>
    </w:p>
    <w:p w14:paraId="6396F867">
      <w:pPr>
        <w:pStyle w:val="27"/>
        <w:snapToGrid w:val="0"/>
        <w:spacing w:line="360" w:lineRule="auto"/>
        <w:ind w:right="42" w:rightChars="20" w:firstLine="420" w:firstLineChars="200"/>
        <w:jc w:val="lef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采购人可以在评标前说明项目背景和采购需求，说明内容不得含有歧视性、倾向性意见，不得超出招标文件所述范围。说明应当提交书面材料，并随采购文件一并存档。</w:t>
      </w:r>
    </w:p>
    <w:p w14:paraId="1559A4FA">
      <w:pPr>
        <w:snapToGrid w:val="0"/>
        <w:spacing w:line="360" w:lineRule="auto"/>
        <w:ind w:right="42" w:rightChars="20" w:firstLine="422" w:firstLineChars="200"/>
        <w:jc w:val="left"/>
        <w:rPr>
          <w:rFonts w:asciiTheme="minorEastAsia" w:hAnsiTheme="minorEastAsia" w:eastAsiaTheme="minorEastAsia"/>
          <w:b/>
          <w:bCs/>
          <w:color w:val="auto"/>
          <w:szCs w:val="21"/>
          <w:highlight w:val="none"/>
        </w:rPr>
      </w:pPr>
      <w:r>
        <w:rPr>
          <w:rFonts w:asciiTheme="minorEastAsia" w:hAnsiTheme="minorEastAsia" w:eastAsiaTheme="minorEastAsia"/>
          <w:b/>
          <w:bCs/>
          <w:color w:val="auto"/>
          <w:szCs w:val="21"/>
          <w:highlight w:val="none"/>
        </w:rPr>
        <w:t>1</w:t>
      </w:r>
      <w:r>
        <w:rPr>
          <w:rFonts w:hint="eastAsia" w:asciiTheme="minorEastAsia" w:hAnsiTheme="minorEastAsia" w:eastAsiaTheme="minorEastAsia"/>
          <w:b/>
          <w:bCs/>
          <w:color w:val="auto"/>
          <w:szCs w:val="21"/>
          <w:highlight w:val="none"/>
        </w:rPr>
        <w:t>、</w:t>
      </w:r>
      <w:r>
        <w:rPr>
          <w:rFonts w:asciiTheme="minorEastAsia" w:hAnsiTheme="minorEastAsia" w:eastAsiaTheme="minorEastAsia"/>
          <w:b/>
          <w:bCs/>
          <w:color w:val="auto"/>
          <w:szCs w:val="21"/>
          <w:highlight w:val="none"/>
        </w:rPr>
        <w:t>形式审查</w:t>
      </w:r>
    </w:p>
    <w:p w14:paraId="34BD83D6">
      <w:pPr>
        <w:snapToGrid w:val="0"/>
        <w:spacing w:line="360" w:lineRule="auto"/>
        <w:ind w:right="42" w:rightChars="20" w:firstLine="420" w:firstLineChars="200"/>
        <w:jc w:val="left"/>
        <w:rPr>
          <w:rFonts w:asciiTheme="minorEastAsia" w:hAnsiTheme="minorEastAsia" w:eastAsiaTheme="minorEastAsia"/>
          <w:bCs/>
          <w:color w:val="auto"/>
          <w:szCs w:val="21"/>
          <w:highlight w:val="none"/>
        </w:rPr>
      </w:pPr>
      <w:r>
        <w:rPr>
          <w:rFonts w:asciiTheme="minorEastAsia" w:hAnsiTheme="minorEastAsia" w:eastAsiaTheme="minorEastAsia"/>
          <w:bCs/>
          <w:color w:val="auto"/>
          <w:szCs w:val="21"/>
          <w:highlight w:val="none"/>
        </w:rPr>
        <w:t>形式审查</w:t>
      </w:r>
      <w:r>
        <w:rPr>
          <w:rFonts w:hint="eastAsia" w:asciiTheme="minorEastAsia" w:hAnsiTheme="minorEastAsia" w:eastAsiaTheme="minorEastAsia"/>
          <w:bCs/>
          <w:color w:val="auto"/>
          <w:szCs w:val="21"/>
          <w:highlight w:val="none"/>
        </w:rPr>
        <w:t>包括资格审查（除符合性审查以外的关于投标人资格条件等内容）和符合性审查，即对投标人的资格</w:t>
      </w:r>
      <w:r>
        <w:rPr>
          <w:rFonts w:asciiTheme="minorEastAsia" w:hAnsiTheme="minorEastAsia" w:eastAsiaTheme="minorEastAsia"/>
          <w:bCs/>
          <w:color w:val="auto"/>
          <w:szCs w:val="21"/>
          <w:highlight w:val="none"/>
        </w:rPr>
        <w:t>和投标文件的完整性、合法性等进行审查。</w:t>
      </w:r>
      <w:r>
        <w:rPr>
          <w:rFonts w:hint="eastAsia" w:asciiTheme="minorEastAsia" w:hAnsiTheme="minorEastAsia" w:eastAsiaTheme="minorEastAsia"/>
          <w:bCs/>
          <w:color w:val="auto"/>
          <w:szCs w:val="21"/>
          <w:highlight w:val="none"/>
        </w:rPr>
        <w:t>投标文件形式审查未通过的投标人，其投标文件将不再评审。</w:t>
      </w:r>
    </w:p>
    <w:p w14:paraId="319B4AC6">
      <w:pPr>
        <w:snapToGrid w:val="0"/>
        <w:spacing w:line="360" w:lineRule="auto"/>
        <w:ind w:right="42" w:rightChars="20" w:firstLine="422" w:firstLineChars="200"/>
        <w:jc w:val="left"/>
        <w:rPr>
          <w:rFonts w:asciiTheme="minorEastAsia" w:hAnsiTheme="minorEastAsia" w:eastAsiaTheme="minorEastAsia"/>
          <w:b/>
          <w:bCs/>
          <w:color w:val="auto"/>
          <w:szCs w:val="21"/>
          <w:highlight w:val="none"/>
        </w:rPr>
      </w:pPr>
      <w:r>
        <w:rPr>
          <w:rFonts w:asciiTheme="minorEastAsia" w:hAnsiTheme="minorEastAsia" w:eastAsiaTheme="minorEastAsia"/>
          <w:b/>
          <w:bCs/>
          <w:color w:val="auto"/>
          <w:szCs w:val="21"/>
          <w:highlight w:val="none"/>
        </w:rPr>
        <w:t>2</w:t>
      </w:r>
      <w:r>
        <w:rPr>
          <w:rFonts w:hint="eastAsia" w:asciiTheme="minorEastAsia" w:hAnsiTheme="minorEastAsia" w:eastAsiaTheme="minorEastAsia"/>
          <w:b/>
          <w:bCs/>
          <w:color w:val="auto"/>
          <w:szCs w:val="21"/>
          <w:highlight w:val="none"/>
        </w:rPr>
        <w:t>、</w:t>
      </w:r>
      <w:r>
        <w:rPr>
          <w:rFonts w:asciiTheme="minorEastAsia" w:hAnsiTheme="minorEastAsia" w:eastAsiaTheme="minorEastAsia"/>
          <w:b/>
          <w:bCs/>
          <w:color w:val="auto"/>
          <w:szCs w:val="21"/>
          <w:highlight w:val="none"/>
        </w:rPr>
        <w:t>实质审查与比较</w:t>
      </w:r>
    </w:p>
    <w:p w14:paraId="547C1DB4">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1）评标委员会审查投标文件的实质性内容是否符合招标文件的实质性要求。</w:t>
      </w:r>
    </w:p>
    <w:p w14:paraId="072AEA95">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2）评标委员会将根据投标人的投标文件进行审查、核对,如有疑问,将对投标人进行询标,投标人要向评标委员会澄清有关问题,并最终以书面形式进行答复。</w:t>
      </w:r>
    </w:p>
    <w:p w14:paraId="6CF68DB3">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询标</w:t>
      </w:r>
      <w:r>
        <w:rPr>
          <w:rFonts w:hint="eastAsia" w:asciiTheme="minorEastAsia" w:hAnsiTheme="minorEastAsia" w:eastAsiaTheme="minorEastAsia"/>
          <w:color w:val="auto"/>
          <w:szCs w:val="21"/>
          <w:highlight w:val="none"/>
        </w:rPr>
        <w:t>时，投标人代表未到场或者拒绝澄清或者澄清的内容改变了投标文件的实质性内容的，评标委员会有权对该投标文件作出不利于投标人的评判。</w:t>
      </w:r>
    </w:p>
    <w:p w14:paraId="5F1F8948">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3）各投标人的</w:t>
      </w:r>
      <w:r>
        <w:rPr>
          <w:rFonts w:hint="eastAsia" w:asciiTheme="minorEastAsia" w:hAnsiTheme="minorEastAsia" w:eastAsiaTheme="minorEastAsia"/>
          <w:color w:val="auto"/>
          <w:szCs w:val="21"/>
          <w:highlight w:val="none"/>
        </w:rPr>
        <w:t>资信商务及技术分按照评标委员会成员的独立评分结果汇后的算术平均分计算</w:t>
      </w:r>
      <w:r>
        <w:rPr>
          <w:rFonts w:asciiTheme="minorEastAsia" w:hAnsiTheme="minorEastAsia" w:eastAsiaTheme="minorEastAsia"/>
          <w:color w:val="auto"/>
          <w:szCs w:val="21"/>
          <w:highlight w:val="none"/>
        </w:rPr>
        <w:t>。</w:t>
      </w:r>
    </w:p>
    <w:p w14:paraId="4F7570A2">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采购代理机构工作人员协助</w:t>
      </w:r>
      <w:r>
        <w:rPr>
          <w:rFonts w:asciiTheme="minorEastAsia" w:hAnsiTheme="minorEastAsia" w:eastAsiaTheme="minorEastAsia"/>
          <w:color w:val="auto"/>
          <w:szCs w:val="21"/>
          <w:highlight w:val="none"/>
        </w:rPr>
        <w:t>评标委员会根据</w:t>
      </w:r>
      <w:r>
        <w:rPr>
          <w:rFonts w:hint="eastAsia" w:asciiTheme="minorEastAsia" w:hAnsiTheme="minorEastAsia" w:eastAsiaTheme="minorEastAsia"/>
          <w:color w:val="auto"/>
          <w:szCs w:val="21"/>
          <w:highlight w:val="none"/>
        </w:rPr>
        <w:t>本项目的评分标准操作政府采购业务系统，由系统</w:t>
      </w:r>
      <w:r>
        <w:rPr>
          <w:rFonts w:asciiTheme="minorEastAsia" w:hAnsiTheme="minorEastAsia" w:eastAsiaTheme="minorEastAsia"/>
          <w:color w:val="auto"/>
          <w:szCs w:val="21"/>
          <w:highlight w:val="none"/>
        </w:rPr>
        <w:t>计算各投标人的商务报价得分</w:t>
      </w:r>
      <w:r>
        <w:rPr>
          <w:rFonts w:hint="eastAsia" w:asciiTheme="minorEastAsia" w:hAnsiTheme="minorEastAsia" w:eastAsiaTheme="minorEastAsia"/>
          <w:color w:val="auto"/>
          <w:szCs w:val="21"/>
          <w:highlight w:val="none"/>
        </w:rPr>
        <w:t>。</w:t>
      </w:r>
    </w:p>
    <w:p w14:paraId="016EF1C8">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5）评标委员会完成评标后,评委对各部分得分汇总,</w:t>
      </w:r>
      <w:r>
        <w:rPr>
          <w:rFonts w:hint="eastAsia" w:asciiTheme="minorEastAsia" w:hAnsiTheme="minorEastAsia" w:eastAsiaTheme="minorEastAsia"/>
          <w:color w:val="auto"/>
          <w:szCs w:val="21"/>
          <w:highlight w:val="none"/>
        </w:rPr>
        <w:t>计算</w:t>
      </w:r>
      <w:r>
        <w:rPr>
          <w:rFonts w:asciiTheme="minorEastAsia" w:hAnsiTheme="minorEastAsia" w:eastAsiaTheme="minorEastAsia"/>
          <w:color w:val="auto"/>
          <w:szCs w:val="21"/>
          <w:highlight w:val="none"/>
        </w:rPr>
        <w:t>出本项目</w:t>
      </w:r>
      <w:r>
        <w:rPr>
          <w:rFonts w:hint="eastAsia" w:asciiTheme="minorEastAsia" w:hAnsiTheme="minorEastAsia" w:eastAsiaTheme="minorEastAsia"/>
          <w:color w:val="auto"/>
          <w:szCs w:val="21"/>
          <w:highlight w:val="none"/>
        </w:rPr>
        <w:t>最终得分、性价比、评标价等</w:t>
      </w:r>
      <w:r>
        <w:rPr>
          <w:rFonts w:asciiTheme="minorEastAsia" w:hAnsiTheme="minorEastAsia" w:eastAsiaTheme="minorEastAsia"/>
          <w:color w:val="auto"/>
          <w:szCs w:val="21"/>
          <w:highlight w:val="none"/>
        </w:rPr>
        <w:t>。评标委员会按评标原则推荐中标候选人同时起草评标报告。</w:t>
      </w:r>
    </w:p>
    <w:p w14:paraId="791093F2">
      <w:pPr>
        <w:snapToGrid w:val="0"/>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（四）澄清问题的形式</w:t>
      </w:r>
    </w:p>
    <w:p w14:paraId="1CA42BA2">
      <w:pPr>
        <w:snapToGrid w:val="0"/>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w:t>
      </w:r>
      <w:r>
        <w:rPr>
          <w:rFonts w:hint="eastAsia" w:cs="宋体" w:asciiTheme="minorEastAsia" w:hAnsiTheme="minorEastAsia" w:eastAsiaTheme="minorEastAsia"/>
          <w:color w:val="auto"/>
          <w:kern w:val="0"/>
          <w:szCs w:val="21"/>
          <w:highlight w:val="none"/>
        </w:rPr>
        <w:t>对于投标文件中含义不明确、同类问题表述不一致或者有明显文字和计算错误的内容，评标委员会将以书面形式（或通过“政府采购云平台”在线询标）的形式要求投标人在规定的时间内作出必要的澄清、说明或者补正，投标人澄清、说明或补正时间为30分钟。</w:t>
      </w:r>
    </w:p>
    <w:p w14:paraId="288EABEA">
      <w:pPr>
        <w:snapToGrid w:val="0"/>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w:t>
      </w:r>
      <w:r>
        <w:rPr>
          <w:rFonts w:hint="eastAsia" w:cs="宋体" w:asciiTheme="minorEastAsia" w:hAnsiTheme="minorEastAsia" w:eastAsiaTheme="minorEastAsia"/>
          <w:color w:val="auto"/>
          <w:kern w:val="0"/>
          <w:szCs w:val="21"/>
          <w:highlight w:val="none"/>
        </w:rPr>
        <w:t>投标人的澄清、说明或者补正应当采用书面（或通过“政府采购云平台”在线答复）形式提交，并加盖CA签章，或者由法定代表人或其授权的代表签字或盖章。投标人的澄清、说明或者补正不得超出投标文件的范围或者改变投标文件的实质性内容。</w:t>
      </w:r>
    </w:p>
    <w:p w14:paraId="674067DB">
      <w:pPr>
        <w:pStyle w:val="27"/>
        <w:snapToGrid w:val="0"/>
        <w:spacing w:line="360" w:lineRule="auto"/>
        <w:ind w:right="42" w:rightChars="20" w:firstLine="422" w:firstLineChars="200"/>
        <w:jc w:val="left"/>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（五）错误修正</w:t>
      </w:r>
    </w:p>
    <w:p w14:paraId="223D5D97">
      <w:pPr>
        <w:pStyle w:val="27"/>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投标文件如果出现计算或表达上的错误，修正错误的原则如下：</w:t>
      </w:r>
    </w:p>
    <w:p w14:paraId="18C0E686">
      <w:pPr>
        <w:pStyle w:val="27"/>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投标文件的大写金额和小写金额不一致的，以大写金额为准；</w:t>
      </w:r>
    </w:p>
    <w:p w14:paraId="03D6EBD2">
      <w:pPr>
        <w:pStyle w:val="27"/>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总价金额与按单价汇总金额不一致的，以单价金额计算结果为准；</w:t>
      </w:r>
    </w:p>
    <w:p w14:paraId="1CA7B7C1">
      <w:pPr>
        <w:pStyle w:val="27"/>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对不同文字文本投标文件的解释发生异议的，以中文文本为准。</w:t>
      </w:r>
    </w:p>
    <w:p w14:paraId="2E62A21D">
      <w:pPr>
        <w:pStyle w:val="27"/>
        <w:tabs>
          <w:tab w:val="left" w:pos="630"/>
        </w:tabs>
        <w:snapToGrid w:val="0"/>
        <w:spacing w:line="360" w:lineRule="auto"/>
        <w:ind w:right="42" w:rightChars="20" w:firstLine="422" w:firstLineChars="200"/>
        <w:jc w:val="left"/>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（六）评标原则和评标办法</w:t>
      </w:r>
    </w:p>
    <w:p w14:paraId="3F16CFDE">
      <w:pPr>
        <w:pStyle w:val="27"/>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11A4C33D">
      <w:pPr>
        <w:pStyle w:val="27"/>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评标办法。本项目评标办法是</w:t>
      </w:r>
      <w:r>
        <w:rPr>
          <w:rFonts w:hint="eastAsia" w:asciiTheme="minorEastAsia" w:hAnsiTheme="minorEastAsia" w:eastAsiaTheme="minorEastAsia"/>
          <w:color w:val="auto"/>
          <w:szCs w:val="21"/>
          <w:highlight w:val="none"/>
        </w:rPr>
        <w:t xml:space="preserve"> 综合评标法</w:t>
      </w:r>
      <w:r>
        <w:rPr>
          <w:rFonts w:asciiTheme="minorEastAsia" w:hAnsiTheme="minorEastAsia" w:eastAsiaTheme="minorEastAsia"/>
          <w:color w:val="auto"/>
          <w:szCs w:val="21"/>
          <w:highlight w:val="none"/>
        </w:rPr>
        <w:t xml:space="preserve"> ，具体评标内容及评分标准等详见《第四章：评标办法及评分标准》。</w:t>
      </w:r>
    </w:p>
    <w:p w14:paraId="16F281A5">
      <w:pPr>
        <w:pStyle w:val="27"/>
        <w:snapToGrid w:val="0"/>
        <w:spacing w:line="360" w:lineRule="auto"/>
        <w:ind w:right="42" w:rightChars="20" w:firstLine="422" w:firstLineChars="200"/>
        <w:jc w:val="left"/>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（七）评标过程的监控</w:t>
      </w:r>
    </w:p>
    <w:p w14:paraId="5E51F048">
      <w:pPr>
        <w:pStyle w:val="27"/>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本项目评标过程实行全程录音、录像监控</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投标人在评标过程中所进行的</w:t>
      </w:r>
      <w:r>
        <w:rPr>
          <w:rFonts w:hint="eastAsia" w:asciiTheme="minorEastAsia" w:hAnsiTheme="minorEastAsia" w:eastAsiaTheme="minorEastAsia"/>
          <w:color w:val="auto"/>
          <w:szCs w:val="21"/>
          <w:highlight w:val="none"/>
        </w:rPr>
        <w:t>试</w:t>
      </w:r>
      <w:r>
        <w:rPr>
          <w:rFonts w:asciiTheme="minorEastAsia" w:hAnsiTheme="minorEastAsia" w:eastAsiaTheme="minorEastAsia"/>
          <w:color w:val="auto"/>
          <w:szCs w:val="21"/>
          <w:highlight w:val="none"/>
        </w:rPr>
        <w:t>图影响评标结果的不公正活动，可能导致其投标被拒绝。</w:t>
      </w:r>
    </w:p>
    <w:p w14:paraId="55C4314B">
      <w:pPr>
        <w:pStyle w:val="27"/>
        <w:snapToGrid w:val="0"/>
        <w:spacing w:line="360" w:lineRule="auto"/>
        <w:ind w:right="42" w:rightChars="20" w:firstLine="422" w:firstLineChars="200"/>
        <w:jc w:val="left"/>
        <w:outlineLvl w:val="1"/>
        <w:rPr>
          <w:rFonts w:asciiTheme="minorEastAsia" w:hAnsiTheme="minorEastAsia" w:eastAsiaTheme="minorEastAsia"/>
          <w:b/>
          <w:color w:val="auto"/>
          <w:szCs w:val="21"/>
          <w:highlight w:val="none"/>
        </w:rPr>
      </w:pPr>
      <w:bookmarkStart w:id="275" w:name="_Toc19997"/>
      <w:bookmarkStart w:id="276" w:name="_Toc50012887"/>
      <w:bookmarkStart w:id="277" w:name="_Toc33535371"/>
      <w:r>
        <w:rPr>
          <w:rFonts w:hint="eastAsia" w:asciiTheme="minorEastAsia" w:hAnsiTheme="minorEastAsia" w:eastAsiaTheme="minorEastAsia"/>
          <w:b/>
          <w:color w:val="auto"/>
          <w:szCs w:val="21"/>
          <w:highlight w:val="none"/>
        </w:rPr>
        <w:t>六、定标</w:t>
      </w:r>
      <w:bookmarkEnd w:id="275"/>
      <w:bookmarkEnd w:id="276"/>
      <w:bookmarkEnd w:id="277"/>
    </w:p>
    <w:p w14:paraId="55B03A99">
      <w:pPr>
        <w:pStyle w:val="27"/>
        <w:snapToGrid w:val="0"/>
        <w:spacing w:line="360" w:lineRule="auto"/>
        <w:ind w:right="42" w:rightChars="20" w:firstLine="422" w:firstLineChars="200"/>
        <w:jc w:val="left"/>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（一）确定中标人。</w:t>
      </w:r>
    </w:p>
    <w:p w14:paraId="19703D96">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、采购代理机构</w:t>
      </w:r>
      <w:r>
        <w:rPr>
          <w:rFonts w:asciiTheme="minorEastAsia" w:hAnsiTheme="minorEastAsia" w:eastAsiaTheme="minorEastAsia"/>
          <w:color w:val="auto"/>
          <w:szCs w:val="21"/>
          <w:highlight w:val="none"/>
        </w:rPr>
        <w:t>在评标结束后2个工作日内将评标报告交采购人确认，同时在发布招标公告的网站上对评标结果进行</w:t>
      </w:r>
      <w:r>
        <w:rPr>
          <w:rFonts w:hint="eastAsia" w:asciiTheme="minorEastAsia" w:hAnsiTheme="minorEastAsia" w:eastAsiaTheme="minorEastAsia"/>
          <w:color w:val="auto"/>
          <w:szCs w:val="21"/>
          <w:highlight w:val="none"/>
        </w:rPr>
        <w:t>公告</w:t>
      </w:r>
      <w:r>
        <w:rPr>
          <w:rFonts w:asciiTheme="minorEastAsia" w:hAnsiTheme="minorEastAsia" w:eastAsiaTheme="minorEastAsia"/>
          <w:color w:val="auto"/>
          <w:szCs w:val="21"/>
          <w:highlight w:val="none"/>
        </w:rPr>
        <w:t>。</w:t>
      </w:r>
    </w:p>
    <w:p w14:paraId="07781DF4">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投标人对评标结果无异议的，采购人应在收到评标报告后5个工作日内对评标结果进行确认。如有投标人对评标结果提出质疑的，采购人可在质疑处理完毕后确定中标人。</w:t>
      </w:r>
    </w:p>
    <w:p w14:paraId="4A8792D8">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 在公告中标结果的同时，采购代理机构向中标人发出中标通知书。</w:t>
      </w:r>
    </w:p>
    <w:p w14:paraId="762B7A73">
      <w:pPr>
        <w:pStyle w:val="27"/>
        <w:snapToGrid w:val="0"/>
        <w:spacing w:line="360" w:lineRule="auto"/>
        <w:ind w:right="42" w:rightChars="20" w:firstLine="422" w:firstLineChars="200"/>
        <w:jc w:val="left"/>
        <w:outlineLvl w:val="1"/>
        <w:rPr>
          <w:rFonts w:asciiTheme="minorEastAsia" w:hAnsiTheme="minorEastAsia" w:eastAsiaTheme="minorEastAsia"/>
          <w:b/>
          <w:color w:val="auto"/>
          <w:szCs w:val="21"/>
          <w:highlight w:val="none"/>
        </w:rPr>
      </w:pPr>
      <w:bookmarkStart w:id="278" w:name="_Toc33535372"/>
      <w:bookmarkStart w:id="279" w:name="_Toc50012888"/>
      <w:bookmarkStart w:id="280" w:name="_Toc5136"/>
      <w:r>
        <w:rPr>
          <w:rFonts w:hint="eastAsia" w:asciiTheme="minorEastAsia" w:hAnsiTheme="minorEastAsia" w:eastAsiaTheme="minorEastAsia"/>
          <w:b/>
          <w:color w:val="auto"/>
          <w:szCs w:val="21"/>
          <w:highlight w:val="none"/>
        </w:rPr>
        <w:t>七、合同授予</w:t>
      </w:r>
      <w:bookmarkEnd w:id="278"/>
      <w:bookmarkEnd w:id="279"/>
      <w:bookmarkEnd w:id="280"/>
    </w:p>
    <w:p w14:paraId="5FF5D020">
      <w:pPr>
        <w:snapToGrid w:val="0"/>
        <w:spacing w:line="360" w:lineRule="auto"/>
        <w:ind w:right="42" w:rightChars="20" w:firstLine="422" w:firstLineChars="200"/>
        <w:jc w:val="left"/>
        <w:rPr>
          <w:rFonts w:asciiTheme="minorEastAsia" w:hAnsiTheme="minorEastAsia" w:eastAsiaTheme="minorEastAsia"/>
          <w:bCs/>
          <w:color w:val="auto"/>
          <w:szCs w:val="21"/>
          <w:highlight w:val="none"/>
        </w:rPr>
      </w:pPr>
      <w:r>
        <w:rPr>
          <w:rFonts w:hint="eastAsia" w:asciiTheme="minorEastAsia" w:hAnsiTheme="minorEastAsia" w:eastAsiaTheme="minorEastAsia"/>
          <w:b/>
          <w:bCs/>
          <w:color w:val="auto"/>
          <w:szCs w:val="21"/>
          <w:highlight w:val="none"/>
        </w:rPr>
        <w:t>（一）签订合同</w:t>
      </w:r>
    </w:p>
    <w:p w14:paraId="585AAC2E">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、采购人与</w:t>
      </w:r>
      <w:r>
        <w:rPr>
          <w:rFonts w:asciiTheme="minorEastAsia" w:hAnsiTheme="minorEastAsia" w:eastAsiaTheme="minorEastAsia"/>
          <w:color w:val="auto"/>
          <w:szCs w:val="21"/>
          <w:highlight w:val="none"/>
        </w:rPr>
        <w:t>中标人应</w:t>
      </w:r>
      <w:r>
        <w:rPr>
          <w:rFonts w:hint="eastAsia" w:asciiTheme="minorEastAsia" w:hAnsiTheme="minorEastAsia" w:eastAsiaTheme="minorEastAsia"/>
          <w:color w:val="auto"/>
          <w:szCs w:val="21"/>
          <w:highlight w:val="none"/>
        </w:rPr>
        <w:t>当在中标公示发出之日起30日内签订政府采购合同。同时，采购机构对合同内容进行审查，如发现与采购结果和投标承诺内容不一致的，将予以纠正。</w:t>
      </w:r>
    </w:p>
    <w:p w14:paraId="3A17367E">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中标人拖延、拒签合同的,将被取消中标资格</w:t>
      </w:r>
      <w:r>
        <w:rPr>
          <w:rFonts w:hint="eastAsia" w:asciiTheme="minorEastAsia" w:hAnsiTheme="minorEastAsia" w:eastAsiaTheme="minorEastAsia"/>
          <w:color w:val="auto"/>
          <w:szCs w:val="21"/>
          <w:highlight w:val="none"/>
        </w:rPr>
        <w:t>，并报监督管理部门</w:t>
      </w:r>
      <w:r>
        <w:rPr>
          <w:rFonts w:asciiTheme="minorEastAsia" w:hAnsiTheme="minorEastAsia" w:eastAsiaTheme="minorEastAsia"/>
          <w:color w:val="auto"/>
          <w:szCs w:val="21"/>
          <w:highlight w:val="none"/>
        </w:rPr>
        <w:t>。</w:t>
      </w:r>
    </w:p>
    <w:p w14:paraId="32005BB1">
      <w:pPr>
        <w:pStyle w:val="27"/>
        <w:snapToGrid w:val="0"/>
        <w:spacing w:line="360" w:lineRule="auto"/>
        <w:ind w:right="42" w:rightChars="20" w:firstLine="422" w:firstLineChars="200"/>
        <w:jc w:val="left"/>
        <w:rPr>
          <w:rFonts w:asciiTheme="minorEastAsia" w:hAnsiTheme="minorEastAsia" w:eastAsiaTheme="minorEastAsia"/>
          <w:color w:val="auto"/>
          <w:szCs w:val="21"/>
          <w:highlight w:val="none"/>
        </w:rPr>
      </w:pPr>
      <w:r>
        <w:rPr>
          <w:rFonts w:asciiTheme="minorEastAsia" w:hAnsiTheme="minorEastAsia" w:eastAsiaTheme="minorEastAsia"/>
          <w:b/>
          <w:color w:val="auto"/>
          <w:szCs w:val="21"/>
          <w:highlight w:val="none"/>
        </w:rPr>
        <w:t>（二）</w:t>
      </w:r>
      <w:r>
        <w:rPr>
          <w:rFonts w:hint="eastAsia" w:asciiTheme="minorEastAsia" w:hAnsiTheme="minorEastAsia" w:eastAsiaTheme="minorEastAsia"/>
          <w:color w:val="auto"/>
          <w:szCs w:val="21"/>
          <w:highlight w:val="none"/>
        </w:rPr>
        <w:t>履约保证金的收取及退还：无。</w:t>
      </w:r>
    </w:p>
    <w:bookmarkEnd w:id="203"/>
    <w:p w14:paraId="2BE4F7A0">
      <w:pPr>
        <w:pStyle w:val="27"/>
        <w:snapToGrid w:val="0"/>
        <w:spacing w:line="360" w:lineRule="auto"/>
        <w:ind w:right="42" w:rightChars="20" w:firstLine="420" w:firstLineChars="200"/>
        <w:jc w:val="left"/>
        <w:rPr>
          <w:rFonts w:asciiTheme="minorEastAsia" w:hAnsiTheme="minorEastAsia" w:eastAsiaTheme="minorEastAsia"/>
          <w:color w:val="auto"/>
          <w:szCs w:val="21"/>
          <w:highlight w:val="none"/>
        </w:rPr>
      </w:pPr>
      <w:bookmarkStart w:id="281" w:name="_Toc493511776"/>
      <w:bookmarkStart w:id="282" w:name="_Toc27157"/>
      <w:bookmarkStart w:id="283" w:name="_Toc177870559"/>
      <w:bookmarkStart w:id="284" w:name="_Toc170792807"/>
    </w:p>
    <w:p w14:paraId="6F0D0095">
      <w:pPr>
        <w:pStyle w:val="27"/>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14:paraId="4619A97B">
      <w:pPr>
        <w:rPr>
          <w:color w:val="auto"/>
          <w:highlight w:val="none"/>
        </w:rPr>
      </w:pPr>
    </w:p>
    <w:p w14:paraId="07D93A00">
      <w:pPr>
        <w:pStyle w:val="27"/>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14:paraId="1A628CD5">
      <w:pPr>
        <w:pStyle w:val="67"/>
        <w:rPr>
          <w:color w:val="auto"/>
          <w:highlight w:val="none"/>
        </w:rPr>
      </w:pPr>
    </w:p>
    <w:p w14:paraId="76C01E57">
      <w:pPr>
        <w:pStyle w:val="164"/>
        <w:ind w:right="42" w:rightChars="20"/>
        <w:rPr>
          <w:rFonts w:asciiTheme="minorEastAsia" w:hAnsiTheme="minorEastAsia" w:eastAsiaTheme="minorEastAsia"/>
          <w:b w:val="0"/>
          <w:color w:val="auto"/>
          <w:highlight w:val="none"/>
        </w:rPr>
      </w:pPr>
      <w:r>
        <w:rPr>
          <w:rStyle w:val="70"/>
          <w:rFonts w:hint="eastAsia" w:cs="微软雅黑" w:asciiTheme="minorEastAsia" w:hAnsiTheme="minorEastAsia" w:eastAsiaTheme="minorEastAsia"/>
          <w:b/>
          <w:color w:val="auto"/>
          <w:highlight w:val="none"/>
        </w:rPr>
        <w:t>第四章  评标办法及评分标准</w:t>
      </w:r>
      <w:bookmarkEnd w:id="281"/>
      <w:bookmarkEnd w:id="282"/>
    </w:p>
    <w:p w14:paraId="03656D9C">
      <w:pPr>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为公正、公平、科学地选择中标人，根据《中华人民共和国政府采购法》等有关法律法规的规定，并结合本项目的实际，制定本办法。</w:t>
      </w:r>
    </w:p>
    <w:bookmarkEnd w:id="283"/>
    <w:bookmarkEnd w:id="284"/>
    <w:p w14:paraId="6795762A">
      <w:pPr>
        <w:spacing w:line="360" w:lineRule="auto"/>
        <w:ind w:right="42" w:rightChars="20" w:firstLine="422" w:firstLineChars="200"/>
        <w:jc w:val="left"/>
        <w:rPr>
          <w:rFonts w:asciiTheme="minorEastAsia" w:hAnsiTheme="minorEastAsia" w:eastAsiaTheme="minorEastAsia"/>
          <w:b/>
          <w:color w:val="auto"/>
          <w:szCs w:val="21"/>
          <w:highlight w:val="none"/>
        </w:rPr>
      </w:pPr>
      <w:bookmarkStart w:id="285" w:name="_Toc170792802"/>
      <w:r>
        <w:rPr>
          <w:rFonts w:hint="eastAsia" w:asciiTheme="minorEastAsia" w:hAnsiTheme="minorEastAsia" w:eastAsiaTheme="minorEastAsia"/>
          <w:b/>
          <w:color w:val="auto"/>
          <w:szCs w:val="21"/>
          <w:highlight w:val="none"/>
        </w:rPr>
        <w:t>一、总则</w:t>
      </w:r>
    </w:p>
    <w:p w14:paraId="7C654764">
      <w:pPr>
        <w:spacing w:line="360" w:lineRule="auto"/>
        <w:ind w:right="42" w:rightChars="20" w:firstLine="420" w:firstLineChars="200"/>
        <w:jc w:val="left"/>
        <w:rPr>
          <w:rFonts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本次评标采用综合评分法，总分为100分，其中价格分10分，技术资信及商务分90分。合格投标人的评标得分为各项目汇总得分，中标候选资格按评标得分由高到低顺序排列，得分相同的，按投标报价由低到高顺序排列；得分且投标报价相同的，按技术得分由高到低顺序排列。排名</w:t>
      </w:r>
      <w:r>
        <w:rPr>
          <w:rFonts w:hint="eastAsia" w:asciiTheme="minorEastAsia" w:hAnsiTheme="minorEastAsia" w:eastAsiaTheme="minorEastAsia"/>
          <w:b/>
          <w:color w:val="auto"/>
          <w:szCs w:val="21"/>
          <w:highlight w:val="none"/>
        </w:rPr>
        <w:t>第一</w:t>
      </w:r>
      <w:r>
        <w:rPr>
          <w:rFonts w:hint="eastAsia" w:asciiTheme="minorEastAsia" w:hAnsiTheme="minorEastAsia" w:eastAsiaTheme="minorEastAsia"/>
          <w:color w:val="auto"/>
          <w:szCs w:val="21"/>
          <w:highlight w:val="none"/>
        </w:rPr>
        <w:t>的投标人为中标候选人，排名第二的投标人为候补中标候选人……其他投标人中标候选资格依此类推。</w:t>
      </w:r>
      <w:r>
        <w:rPr>
          <w:rFonts w:hint="eastAsia" w:asciiTheme="minorEastAsia" w:hAnsiTheme="minorEastAsia" w:eastAsiaTheme="minorEastAsia"/>
          <w:bCs/>
          <w:color w:val="auto"/>
          <w:szCs w:val="21"/>
          <w:highlight w:val="none"/>
        </w:rPr>
        <w:t>评分过程中采用四舍五入法，并保留小数2位。</w:t>
      </w:r>
    </w:p>
    <w:p w14:paraId="7363F32E">
      <w:pPr>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投标人评标</w:t>
      </w:r>
      <w:r>
        <w:rPr>
          <w:rFonts w:hint="eastAsia" w:asciiTheme="minorEastAsia" w:hAnsiTheme="minorEastAsia" w:eastAsiaTheme="minorEastAsia"/>
          <w:bCs/>
          <w:color w:val="auto"/>
          <w:szCs w:val="21"/>
          <w:highlight w:val="none"/>
        </w:rPr>
        <w:t>综合得分=价格分+(技术分+资信、商务及其他分)</w:t>
      </w:r>
    </w:p>
    <w:p w14:paraId="507CD8AB">
      <w:pPr>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二、评标内容及标准</w:t>
      </w:r>
    </w:p>
    <w:p w14:paraId="6C12921B">
      <w:pPr>
        <w:pStyle w:val="27"/>
        <w:tabs>
          <w:tab w:val="left" w:pos="630"/>
        </w:tabs>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（一）价格分（10分）</w:t>
      </w:r>
    </w:p>
    <w:p w14:paraId="6AA60476">
      <w:pPr>
        <w:pStyle w:val="27"/>
        <w:tabs>
          <w:tab w:val="left" w:pos="630"/>
        </w:tabs>
        <w:spacing w:line="360" w:lineRule="auto"/>
        <w:ind w:right="42" w:rightChars="20" w:firstLine="420" w:firstLineChars="200"/>
        <w:jc w:val="left"/>
        <w:rPr>
          <w:rFonts w:hAnsi="宋体" w:cs="宋体"/>
          <w:color w:val="auto"/>
          <w:highlight w:val="none"/>
          <w:lang w:val="zh-CN"/>
        </w:rPr>
      </w:pPr>
      <w:r>
        <w:rPr>
          <w:rFonts w:hint="eastAsia" w:asciiTheme="minorEastAsia" w:hAnsiTheme="minorEastAsia" w:eastAsiaTheme="minorEastAsia"/>
          <w:bCs/>
          <w:color w:val="auto"/>
          <w:szCs w:val="21"/>
          <w:highlight w:val="none"/>
        </w:rPr>
        <w:t>1、价格分采用低价优先法计算，即满足招标文件要求且投标价格最低的投标报价为评标基准价</w:t>
      </w:r>
      <w:r>
        <w:rPr>
          <w:rFonts w:hint="eastAsia" w:hAnsi="宋体" w:cs="宋体"/>
          <w:color w:val="auto"/>
          <w:highlight w:val="none"/>
          <w:lang w:val="zh-CN"/>
        </w:rPr>
        <w:t>，其价格分为满分。其他的报价分统一按下列公式计算：</w:t>
      </w:r>
    </w:p>
    <w:p w14:paraId="5B40243F">
      <w:pPr>
        <w:pStyle w:val="27"/>
        <w:tabs>
          <w:tab w:val="left" w:pos="630"/>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hAnsi="宋体" w:cs="宋体"/>
          <w:color w:val="auto"/>
          <w:highlight w:val="none"/>
          <w:lang w:val="zh-CN"/>
        </w:rPr>
        <w:t>投标报价得分=(评标基准价／投标报价)×价格权值（</w:t>
      </w:r>
      <w:r>
        <w:rPr>
          <w:rFonts w:hint="eastAsia" w:hAnsi="宋体" w:cs="宋体"/>
          <w:color w:val="auto"/>
          <w:highlight w:val="none"/>
        </w:rPr>
        <w:t>10</w:t>
      </w:r>
      <w:r>
        <w:rPr>
          <w:rFonts w:hint="eastAsia" w:hAnsi="宋体" w:cs="宋体"/>
          <w:color w:val="auto"/>
          <w:highlight w:val="none"/>
          <w:lang w:val="zh-CN"/>
        </w:rPr>
        <w:t>%）×100。</w:t>
      </w:r>
    </w:p>
    <w:p w14:paraId="066ADC6C">
      <w:pPr>
        <w:pStyle w:val="27"/>
        <w:tabs>
          <w:tab w:val="left" w:pos="630"/>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2、投标人的投标报价超过采购人设定的最高限价（总价及单价），将作为无效标。</w:t>
      </w:r>
    </w:p>
    <w:p w14:paraId="26F45925">
      <w:pPr>
        <w:pStyle w:val="27"/>
        <w:tabs>
          <w:tab w:val="left" w:pos="630"/>
        </w:tabs>
        <w:spacing w:line="360" w:lineRule="auto"/>
        <w:ind w:right="42" w:rightChars="20" w:firstLine="420" w:firstLineChars="200"/>
        <w:jc w:val="left"/>
        <w:rPr>
          <w:rFonts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w:t>
      </w:r>
      <w:r>
        <w:rPr>
          <w:rFonts w:hint="eastAsia" w:asciiTheme="minorEastAsia" w:hAnsiTheme="minorEastAsia" w:eastAsiaTheme="minorEastAsia"/>
          <w:bCs/>
          <w:color w:val="auto"/>
          <w:szCs w:val="21"/>
          <w:highlight w:val="none"/>
        </w:rPr>
        <w:t>其报价合理性的，评标委员会应当将其作为无效投标处理。</w:t>
      </w:r>
    </w:p>
    <w:p w14:paraId="56DFB159">
      <w:pPr>
        <w:pStyle w:val="27"/>
        <w:tabs>
          <w:tab w:val="left" w:pos="630"/>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4、扶持政策说明：</w:t>
      </w:r>
    </w:p>
    <w:p w14:paraId="49EBB558">
      <w:pPr>
        <w:pStyle w:val="27"/>
        <w:tabs>
          <w:tab w:val="left" w:pos="630"/>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（1）本次采购为专门面向中小企业预留采购份额的采购项目。</w:t>
      </w:r>
    </w:p>
    <w:p w14:paraId="65CD6E82">
      <w:pPr>
        <w:pStyle w:val="27"/>
        <w:tabs>
          <w:tab w:val="left" w:pos="630"/>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（2）本项目对应的中小企业划分标准所属行业：</w:t>
      </w:r>
      <w:r>
        <w:rPr>
          <w:rFonts w:hint="eastAsia" w:cs="微软雅黑" w:asciiTheme="minorEastAsia" w:hAnsiTheme="minorEastAsia" w:eastAsiaTheme="minorEastAsia"/>
          <w:color w:val="auto"/>
          <w:kern w:val="0"/>
          <w:szCs w:val="21"/>
          <w:highlight w:val="none"/>
        </w:rPr>
        <w:t>其他未列明行业</w:t>
      </w:r>
      <w:r>
        <w:rPr>
          <w:rFonts w:hint="eastAsia" w:asciiTheme="minorEastAsia" w:hAnsiTheme="minorEastAsia" w:eastAsiaTheme="minorEastAsia"/>
          <w:color w:val="auto"/>
          <w:szCs w:val="21"/>
          <w:highlight w:val="none"/>
        </w:rPr>
        <w:t>。</w:t>
      </w:r>
    </w:p>
    <w:p w14:paraId="04810DCA">
      <w:pPr>
        <w:pStyle w:val="27"/>
        <w:tabs>
          <w:tab w:val="left" w:pos="630"/>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16D7600D">
      <w:pPr>
        <w:pStyle w:val="27"/>
        <w:tabs>
          <w:tab w:val="left" w:pos="630"/>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（4）监狱企业和残疾人福利性单位视同小型、微型企业，按《财政部司法部关于政府采购支持监狱企业发展有关问题的通知》(财库〔2014〕68 号)、《财政部  民政部  中国残疾人联合会关于促进残疾人就业政府采购政策的通知》（财库〔2017〕141 号）的规定执行。</w:t>
      </w:r>
    </w:p>
    <w:p w14:paraId="61341517">
      <w:pPr>
        <w:pStyle w:val="27"/>
        <w:tabs>
          <w:tab w:val="left" w:pos="630"/>
        </w:tabs>
        <w:spacing w:line="360" w:lineRule="auto"/>
        <w:ind w:right="42" w:rightChars="20" w:firstLine="422" w:firstLineChars="200"/>
        <w:jc w:val="left"/>
        <w:rPr>
          <w:rFonts w:asciiTheme="minorEastAsia" w:hAnsiTheme="minorEastAsia" w:eastAsiaTheme="minorEastAsia"/>
          <w:b/>
          <w:bCs/>
          <w:color w:val="auto"/>
          <w:szCs w:val="21"/>
          <w:highlight w:val="none"/>
        </w:rPr>
      </w:pPr>
      <w:r>
        <w:rPr>
          <w:rFonts w:hint="eastAsia" w:asciiTheme="minorEastAsia" w:hAnsiTheme="minorEastAsia" w:eastAsiaTheme="minorEastAsia"/>
          <w:b/>
          <w:color w:val="auto"/>
          <w:szCs w:val="21"/>
          <w:highlight w:val="none"/>
        </w:rPr>
        <w:t>注：中标、中标人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14:paraId="38A85F38">
      <w:pPr>
        <w:numPr>
          <w:ilvl w:val="0"/>
          <w:numId w:val="5"/>
        </w:numPr>
        <w:spacing w:line="360" w:lineRule="auto"/>
        <w:ind w:right="42" w:rightChars="20" w:firstLine="422" w:firstLineChars="200"/>
        <w:jc w:val="left"/>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技术资信分：</w:t>
      </w:r>
      <w:bookmarkStart w:id="286" w:name="_Toc493511826"/>
      <w:bookmarkStart w:id="287" w:name="_Toc28829"/>
      <w:bookmarkStart w:id="288" w:name="_Toc416422800"/>
      <w:bookmarkStart w:id="289" w:name="_Toc417992896"/>
      <w:r>
        <w:rPr>
          <w:rFonts w:hint="eastAsia" w:asciiTheme="minorEastAsia" w:hAnsiTheme="minorEastAsia" w:eastAsiaTheme="minorEastAsia"/>
          <w:b/>
          <w:bCs/>
          <w:color w:val="auto"/>
          <w:szCs w:val="21"/>
          <w:highlight w:val="none"/>
        </w:rPr>
        <w:t>（90分）</w:t>
      </w:r>
    </w:p>
    <w:p w14:paraId="40AF21D0">
      <w:pPr>
        <w:pStyle w:val="15"/>
        <w:rPr>
          <w:rFonts w:hint="eastAsia" w:asciiTheme="minorEastAsia" w:hAnsiTheme="minorEastAsia" w:eastAsiaTheme="minorEastAsia"/>
          <w:b/>
          <w:bCs/>
          <w:color w:val="auto"/>
          <w:szCs w:val="21"/>
          <w:highlight w:val="none"/>
        </w:rPr>
      </w:pPr>
    </w:p>
    <w:tbl>
      <w:tblPr>
        <w:tblStyle w:val="53"/>
        <w:tblW w:w="89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86"/>
        <w:gridCol w:w="5062"/>
        <w:gridCol w:w="850"/>
        <w:gridCol w:w="913"/>
      </w:tblGrid>
      <w:tr w14:paraId="00972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0FACE4D">
            <w:pPr>
              <w:pStyle w:val="101"/>
              <w:rPr>
                <w:color w:val="auto"/>
                <w:highlight w:val="none"/>
              </w:rPr>
            </w:pPr>
            <w:r>
              <w:rPr>
                <w:rFonts w:hint="eastAsia"/>
                <w:color w:val="auto"/>
                <w:highlight w:val="none"/>
              </w:rPr>
              <w:t>序号</w:t>
            </w:r>
          </w:p>
        </w:tc>
        <w:tc>
          <w:tcPr>
            <w:tcW w:w="1486" w:type="dxa"/>
            <w:vAlign w:val="center"/>
          </w:tcPr>
          <w:p w14:paraId="6D3BB733">
            <w:pPr>
              <w:pStyle w:val="101"/>
              <w:rPr>
                <w:color w:val="auto"/>
                <w:highlight w:val="none"/>
              </w:rPr>
            </w:pPr>
            <w:r>
              <w:rPr>
                <w:rFonts w:hint="eastAsia"/>
                <w:color w:val="auto"/>
                <w:highlight w:val="none"/>
              </w:rPr>
              <w:t>评审内容</w:t>
            </w:r>
          </w:p>
        </w:tc>
        <w:tc>
          <w:tcPr>
            <w:tcW w:w="5062" w:type="dxa"/>
            <w:vAlign w:val="center"/>
          </w:tcPr>
          <w:p w14:paraId="3BB94B90">
            <w:pPr>
              <w:pStyle w:val="101"/>
              <w:rPr>
                <w:color w:val="auto"/>
                <w:highlight w:val="none"/>
              </w:rPr>
            </w:pPr>
            <w:r>
              <w:rPr>
                <w:rFonts w:hint="eastAsia"/>
                <w:color w:val="auto"/>
                <w:highlight w:val="none"/>
              </w:rPr>
              <w:t>评审细则</w:t>
            </w:r>
          </w:p>
        </w:tc>
        <w:tc>
          <w:tcPr>
            <w:tcW w:w="850" w:type="dxa"/>
            <w:vAlign w:val="center"/>
          </w:tcPr>
          <w:p w14:paraId="21A59941">
            <w:pPr>
              <w:pStyle w:val="101"/>
              <w:rPr>
                <w:color w:val="auto"/>
                <w:highlight w:val="none"/>
              </w:rPr>
            </w:pPr>
            <w:r>
              <w:rPr>
                <w:rFonts w:hint="eastAsia"/>
                <w:color w:val="auto"/>
                <w:highlight w:val="none"/>
              </w:rPr>
              <w:t>评分</w:t>
            </w:r>
          </w:p>
        </w:tc>
        <w:tc>
          <w:tcPr>
            <w:tcW w:w="913" w:type="dxa"/>
            <w:vAlign w:val="center"/>
          </w:tcPr>
          <w:p w14:paraId="747DA080">
            <w:pPr>
              <w:pStyle w:val="101"/>
              <w:rPr>
                <w:color w:val="auto"/>
                <w:highlight w:val="none"/>
              </w:rPr>
            </w:pPr>
            <w:r>
              <w:rPr>
                <w:rFonts w:hint="eastAsia"/>
                <w:color w:val="auto"/>
                <w:highlight w:val="none"/>
              </w:rPr>
              <w:t>备注</w:t>
            </w:r>
          </w:p>
        </w:tc>
      </w:tr>
      <w:tr w14:paraId="07CB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3" w:hRule="atLeast"/>
        </w:trPr>
        <w:tc>
          <w:tcPr>
            <w:tcW w:w="675" w:type="dxa"/>
            <w:vAlign w:val="center"/>
          </w:tcPr>
          <w:p w14:paraId="323B494D">
            <w:pPr>
              <w:pStyle w:val="101"/>
              <w:rPr>
                <w:color w:val="auto"/>
                <w:highlight w:val="none"/>
              </w:rPr>
            </w:pPr>
            <w:r>
              <w:rPr>
                <w:rFonts w:hint="eastAsia"/>
                <w:color w:val="auto"/>
                <w:highlight w:val="none"/>
              </w:rPr>
              <w:t>1</w:t>
            </w:r>
          </w:p>
        </w:tc>
        <w:tc>
          <w:tcPr>
            <w:tcW w:w="1486" w:type="dxa"/>
            <w:vMerge w:val="restart"/>
            <w:vAlign w:val="center"/>
          </w:tcPr>
          <w:p w14:paraId="60DFDED1">
            <w:pPr>
              <w:pStyle w:val="101"/>
              <w:rPr>
                <w:color w:val="auto"/>
                <w:highlight w:val="none"/>
              </w:rPr>
            </w:pPr>
            <w:r>
              <w:rPr>
                <w:rFonts w:hint="eastAsia" w:cs="Times New Roman" w:asciiTheme="minorEastAsia" w:hAnsiTheme="minorEastAsia" w:eastAsiaTheme="minorEastAsia"/>
                <w:b/>
                <w:bCs/>
                <w:color w:val="auto"/>
                <w:kern w:val="2"/>
                <w:sz w:val="21"/>
                <w:szCs w:val="21"/>
                <w:highlight w:val="none"/>
                <w:lang w:val="en-US" w:eastAsia="zh-CN" w:bidi="ar-SA"/>
              </w:rPr>
              <w:t>资信分（1</w:t>
            </w:r>
            <w:r>
              <w:rPr>
                <w:rFonts w:hint="eastAsia" w:cs="Times New Roman"/>
                <w:b/>
                <w:bCs/>
                <w:color w:val="auto"/>
                <w:kern w:val="2"/>
                <w:sz w:val="21"/>
                <w:szCs w:val="21"/>
                <w:highlight w:val="none"/>
                <w:lang w:val="en-US" w:eastAsia="zh-CN" w:bidi="ar-SA"/>
              </w:rPr>
              <w:t>0</w:t>
            </w:r>
            <w:r>
              <w:rPr>
                <w:rFonts w:hint="eastAsia" w:cs="Times New Roman" w:asciiTheme="minorEastAsia" w:hAnsiTheme="minorEastAsia" w:eastAsiaTheme="minorEastAsia"/>
                <w:b/>
                <w:bCs/>
                <w:color w:val="auto"/>
                <w:kern w:val="2"/>
                <w:sz w:val="21"/>
                <w:szCs w:val="21"/>
                <w:highlight w:val="none"/>
                <w:lang w:val="en-US" w:eastAsia="zh-CN" w:bidi="ar-SA"/>
              </w:rPr>
              <w:t>分）</w:t>
            </w:r>
          </w:p>
        </w:tc>
        <w:tc>
          <w:tcPr>
            <w:tcW w:w="5062" w:type="dxa"/>
            <w:vAlign w:val="center"/>
          </w:tcPr>
          <w:p w14:paraId="19C69814">
            <w:pPr>
              <w:pStyle w:val="101"/>
              <w:rPr>
                <w:color w:val="auto"/>
                <w:highlight w:val="none"/>
              </w:rPr>
            </w:pPr>
            <w:r>
              <w:rPr>
                <w:rFonts w:hint="eastAsia" w:ascii="宋体" w:hAnsi="宋体" w:cs="宋体"/>
                <w:color w:val="auto"/>
                <w:highlight w:val="none"/>
                <w:lang w:bidi="ar"/>
              </w:rPr>
              <w:t>投标人自202</w:t>
            </w:r>
            <w:r>
              <w:rPr>
                <w:rFonts w:hint="eastAsia" w:ascii="宋体" w:hAnsi="宋体" w:cs="宋体"/>
                <w:color w:val="auto"/>
                <w:highlight w:val="none"/>
                <w:lang w:val="en-US" w:eastAsia="zh-CN" w:bidi="ar"/>
              </w:rPr>
              <w:t>2</w:t>
            </w:r>
            <w:r>
              <w:rPr>
                <w:rFonts w:hint="eastAsia" w:ascii="宋体" w:hAnsi="宋体" w:cs="宋体"/>
                <w:color w:val="auto"/>
                <w:highlight w:val="none"/>
                <w:lang w:bidi="ar"/>
              </w:rPr>
              <w:t>年1月1日以来具有类似本项目案例的每个得</w:t>
            </w:r>
            <w:r>
              <w:rPr>
                <w:rFonts w:hint="eastAsia" w:cs="宋体"/>
                <w:color w:val="auto"/>
                <w:highlight w:val="none"/>
                <w:lang w:val="en-US" w:eastAsia="zh-CN" w:bidi="ar"/>
              </w:rPr>
              <w:t>0.5</w:t>
            </w:r>
            <w:r>
              <w:rPr>
                <w:rFonts w:hint="eastAsia" w:ascii="宋体" w:hAnsi="宋体" w:cs="宋体"/>
                <w:color w:val="auto"/>
                <w:highlight w:val="none"/>
                <w:lang w:bidi="ar"/>
              </w:rPr>
              <w:t>分，最高得1分。</w:t>
            </w:r>
            <w:r>
              <w:rPr>
                <w:rFonts w:hint="eastAsia"/>
                <w:b/>
                <w:bCs/>
                <w:color w:val="auto"/>
                <w:highlight w:val="none"/>
              </w:rPr>
              <w:t>（是否属于有效的类似项目业绩由评委根据供应商提供的业绩合同业务内容、技术特点等方面与本项目的类似程度进行认定，投标文件中提供合同复印件并CA签章，若合同中无法反应业务内容、技术特点的则提供采购人证明资料（采购人证明资料需加盖采购人公章）</w:t>
            </w:r>
          </w:p>
        </w:tc>
        <w:tc>
          <w:tcPr>
            <w:tcW w:w="850" w:type="dxa"/>
            <w:vAlign w:val="center"/>
          </w:tcPr>
          <w:p w14:paraId="38F5CD29">
            <w:pPr>
              <w:pStyle w:val="101"/>
              <w:rPr>
                <w:color w:val="auto"/>
                <w:highlight w:val="none"/>
              </w:rPr>
            </w:pPr>
            <w:r>
              <w:rPr>
                <w:rFonts w:hint="eastAsia"/>
                <w:color w:val="auto"/>
                <w:highlight w:val="none"/>
              </w:rPr>
              <w:t>0-1分</w:t>
            </w:r>
          </w:p>
        </w:tc>
        <w:tc>
          <w:tcPr>
            <w:tcW w:w="913" w:type="dxa"/>
            <w:vAlign w:val="center"/>
          </w:tcPr>
          <w:p w14:paraId="6DF56548">
            <w:pPr>
              <w:pStyle w:val="101"/>
              <w:rPr>
                <w:color w:val="auto"/>
                <w:highlight w:val="none"/>
              </w:rPr>
            </w:pPr>
            <w:r>
              <w:rPr>
                <w:rFonts w:hint="eastAsia"/>
                <w:color w:val="auto"/>
                <w:highlight w:val="none"/>
              </w:rPr>
              <w:t>客观分</w:t>
            </w:r>
          </w:p>
        </w:tc>
      </w:tr>
      <w:tr w14:paraId="02855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14:paraId="3D7506AF">
            <w:pPr>
              <w:pStyle w:val="101"/>
              <w:rPr>
                <w:rFonts w:hint="eastAsia" w:eastAsiaTheme="minorEastAsia"/>
                <w:color w:val="auto"/>
                <w:highlight w:val="none"/>
                <w:lang w:val="en-US" w:eastAsia="zh-CN"/>
              </w:rPr>
            </w:pPr>
            <w:r>
              <w:rPr>
                <w:rFonts w:hint="eastAsia"/>
                <w:color w:val="auto"/>
                <w:highlight w:val="none"/>
                <w:lang w:val="en-US" w:eastAsia="zh-CN"/>
              </w:rPr>
              <w:t>2</w:t>
            </w:r>
          </w:p>
        </w:tc>
        <w:tc>
          <w:tcPr>
            <w:tcW w:w="1486" w:type="dxa"/>
            <w:vMerge w:val="continue"/>
            <w:vAlign w:val="center"/>
          </w:tcPr>
          <w:p w14:paraId="11CD0F4C">
            <w:pPr>
              <w:pStyle w:val="101"/>
              <w:rPr>
                <w:rFonts w:hint="eastAsia" w:cs="Times New Roman" w:asciiTheme="minorEastAsia" w:hAnsiTheme="minorEastAsia" w:eastAsiaTheme="minorEastAsia"/>
                <w:b/>
                <w:bCs/>
                <w:color w:val="auto"/>
                <w:kern w:val="2"/>
                <w:sz w:val="21"/>
                <w:szCs w:val="21"/>
                <w:highlight w:val="none"/>
                <w:lang w:val="en-US" w:eastAsia="zh-CN" w:bidi="ar-SA"/>
              </w:rPr>
            </w:pPr>
          </w:p>
        </w:tc>
        <w:tc>
          <w:tcPr>
            <w:tcW w:w="5062" w:type="dxa"/>
            <w:shd w:val="clear" w:color="auto" w:fill="auto"/>
            <w:vAlign w:val="center"/>
          </w:tcPr>
          <w:p w14:paraId="712E15C9">
            <w:pPr>
              <w:pStyle w:val="101"/>
              <w:spacing w:line="360" w:lineRule="auto"/>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szCs w:val="21"/>
                <w:highlight w:val="none"/>
                <w:lang w:val="en-US" w:eastAsia="zh-CN" w:bidi="ar"/>
              </w:rPr>
              <w:t>投标人具有有效期内的质量体系认证证书的得1分。</w:t>
            </w:r>
            <w:r>
              <w:rPr>
                <w:rFonts w:hint="eastAsia" w:cs="Times New Roman"/>
                <w:b/>
                <w:bCs/>
                <w:color w:val="auto"/>
                <w:highlight w:val="none"/>
              </w:rPr>
              <w:t>（投标文件中提供证书复印或提供证书原件扫描件并加盖CA签章，全国认证认可信息公共服务平台</w:t>
            </w:r>
            <w:r>
              <w:rPr>
                <w:rFonts w:hint="eastAsia" w:cs="Times New Roman"/>
                <w:b/>
                <w:bCs/>
                <w:color w:val="auto"/>
                <w:highlight w:val="none"/>
              </w:rPr>
              <w:fldChar w:fldCharType="begin"/>
            </w:r>
            <w:r>
              <w:rPr>
                <w:rFonts w:hint="eastAsia" w:cs="Times New Roman"/>
                <w:b/>
                <w:bCs/>
                <w:color w:val="auto"/>
                <w:highlight w:val="none"/>
              </w:rPr>
              <w:instrText xml:space="preserve"> HYPERLINK "http://cx.cnca.cn/CertECloud/result/skipResultList" </w:instrText>
            </w:r>
            <w:r>
              <w:rPr>
                <w:rFonts w:hint="eastAsia" w:cs="Times New Roman"/>
                <w:b/>
                <w:bCs/>
                <w:color w:val="auto"/>
                <w:highlight w:val="none"/>
              </w:rPr>
              <w:fldChar w:fldCharType="separate"/>
            </w:r>
            <w:r>
              <w:rPr>
                <w:rFonts w:hint="eastAsia" w:cs="Times New Roman"/>
                <w:b/>
                <w:bCs/>
                <w:color w:val="auto"/>
                <w:highlight w:val="none"/>
              </w:rPr>
              <w:t>http://cx.cnca.cn/CertECloud/result/skipResultList</w:t>
            </w:r>
            <w:r>
              <w:rPr>
                <w:rFonts w:hint="eastAsia" w:cs="Times New Roman"/>
                <w:b/>
                <w:bCs/>
                <w:color w:val="auto"/>
                <w:highlight w:val="none"/>
              </w:rPr>
              <w:fldChar w:fldCharType="end"/>
            </w:r>
            <w:r>
              <w:rPr>
                <w:rFonts w:hint="eastAsia" w:cs="Times New Roman"/>
                <w:b/>
                <w:bCs/>
                <w:color w:val="auto"/>
                <w:highlight w:val="none"/>
              </w:rPr>
              <w:t>可查。）</w:t>
            </w:r>
            <w:r>
              <w:rPr>
                <w:rFonts w:hint="eastAsia" w:cs="Times New Roman"/>
                <w:b/>
                <w:bCs/>
                <w:color w:val="auto"/>
                <w:highlight w:val="none"/>
                <w:lang w:val="en-US" w:eastAsia="zh-CN"/>
              </w:rPr>
              <w:t>截图</w:t>
            </w:r>
            <w:r>
              <w:rPr>
                <w:rFonts w:hint="eastAsia" w:cs="Times New Roman"/>
                <w:b/>
                <w:bCs/>
                <w:color w:val="auto"/>
                <w:highlight w:val="none"/>
              </w:rPr>
              <w:t>并加盖CA签章）</w:t>
            </w:r>
          </w:p>
        </w:tc>
        <w:tc>
          <w:tcPr>
            <w:tcW w:w="850" w:type="dxa"/>
            <w:shd w:val="clear" w:color="auto" w:fill="auto"/>
            <w:vAlign w:val="center"/>
          </w:tcPr>
          <w:p w14:paraId="41516091">
            <w:pPr>
              <w:pStyle w:val="101"/>
              <w:spacing w:line="360" w:lineRule="auto"/>
              <w:rPr>
                <w:rFonts w:hint="eastAsia" w:cs="Times New Roman" w:asciiTheme="minorEastAsia" w:hAnsiTheme="minorEastAsia" w:eastAsiaTheme="minorEastAsia"/>
                <w:color w:val="auto"/>
                <w:kern w:val="2"/>
                <w:sz w:val="21"/>
                <w:szCs w:val="22"/>
                <w:highlight w:val="none"/>
                <w:lang w:val="en-US" w:eastAsia="zh-CN" w:bidi="ar-SA"/>
              </w:rPr>
            </w:pPr>
            <w:r>
              <w:rPr>
                <w:rFonts w:hint="eastAsia" w:asciiTheme="minorEastAsia" w:hAnsiTheme="minorEastAsia" w:eastAsiaTheme="minorEastAsia"/>
                <w:color w:val="auto"/>
                <w:highlight w:val="none"/>
              </w:rPr>
              <w:t>0-1分</w:t>
            </w:r>
          </w:p>
        </w:tc>
        <w:tc>
          <w:tcPr>
            <w:tcW w:w="913" w:type="dxa"/>
            <w:shd w:val="clear" w:color="auto" w:fill="auto"/>
            <w:vAlign w:val="center"/>
          </w:tcPr>
          <w:p w14:paraId="1776857F">
            <w:pPr>
              <w:pStyle w:val="101"/>
              <w:spacing w:line="360" w:lineRule="auto"/>
              <w:rPr>
                <w:rFonts w:hint="eastAsia" w:cs="Times New Roman" w:asciiTheme="minorEastAsia" w:hAnsiTheme="minorEastAsia" w:eastAsiaTheme="minorEastAsia"/>
                <w:color w:val="auto"/>
                <w:kern w:val="2"/>
                <w:sz w:val="21"/>
                <w:szCs w:val="22"/>
                <w:highlight w:val="none"/>
                <w:lang w:val="en-US" w:eastAsia="zh-CN" w:bidi="ar-SA"/>
              </w:rPr>
            </w:pPr>
            <w:r>
              <w:rPr>
                <w:rFonts w:hint="eastAsia" w:asciiTheme="minorEastAsia" w:hAnsiTheme="minorEastAsia" w:eastAsiaTheme="minorEastAsia"/>
                <w:color w:val="auto"/>
                <w:highlight w:val="none"/>
              </w:rPr>
              <w:t>客观分</w:t>
            </w:r>
          </w:p>
        </w:tc>
      </w:tr>
      <w:tr w14:paraId="29046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14:paraId="130DD8AD">
            <w:pPr>
              <w:pStyle w:val="101"/>
              <w:rPr>
                <w:rFonts w:hint="eastAsia" w:eastAsiaTheme="minorEastAsia"/>
                <w:color w:val="auto"/>
                <w:highlight w:val="none"/>
                <w:lang w:val="en-US" w:eastAsia="zh-CN"/>
              </w:rPr>
            </w:pPr>
            <w:r>
              <w:rPr>
                <w:rFonts w:hint="eastAsia"/>
                <w:color w:val="auto"/>
                <w:highlight w:val="none"/>
                <w:lang w:val="en-US" w:eastAsia="zh-CN"/>
              </w:rPr>
              <w:t>3</w:t>
            </w:r>
          </w:p>
        </w:tc>
        <w:tc>
          <w:tcPr>
            <w:tcW w:w="1486" w:type="dxa"/>
            <w:vMerge w:val="continue"/>
            <w:vAlign w:val="center"/>
          </w:tcPr>
          <w:p w14:paraId="3DC76145">
            <w:pPr>
              <w:pStyle w:val="101"/>
              <w:rPr>
                <w:rFonts w:hint="eastAsia" w:cs="Times New Roman" w:asciiTheme="minorEastAsia" w:hAnsiTheme="minorEastAsia" w:eastAsiaTheme="minorEastAsia"/>
                <w:b/>
                <w:bCs/>
                <w:color w:val="auto"/>
                <w:kern w:val="2"/>
                <w:sz w:val="21"/>
                <w:szCs w:val="21"/>
                <w:highlight w:val="none"/>
                <w:lang w:val="en-US" w:eastAsia="zh-CN" w:bidi="ar-SA"/>
              </w:rPr>
            </w:pPr>
          </w:p>
        </w:tc>
        <w:tc>
          <w:tcPr>
            <w:tcW w:w="5062" w:type="dxa"/>
            <w:vAlign w:val="center"/>
          </w:tcPr>
          <w:p w14:paraId="4A0D2863">
            <w:pPr>
              <w:pStyle w:val="101"/>
              <w:spacing w:line="360" w:lineRule="auto"/>
              <w:rPr>
                <w:rFonts w:hint="eastAsia" w:ascii="宋体" w:hAnsi="宋体" w:cs="宋体"/>
                <w:color w:val="auto"/>
                <w:highlight w:val="none"/>
                <w:lang w:bidi="ar"/>
              </w:rPr>
            </w:pPr>
            <w:r>
              <w:rPr>
                <w:rFonts w:hint="eastAsia" w:ascii="宋体" w:hAnsi="宋体" w:cs="宋体"/>
                <w:color w:val="auto"/>
                <w:szCs w:val="21"/>
                <w:highlight w:val="none"/>
                <w:lang w:val="en-US" w:eastAsia="zh-CN" w:bidi="ar"/>
              </w:rPr>
              <w:t>投标人自有或租赁白蚁探测仪的1台得1分，最多得2分。</w:t>
            </w:r>
            <w:r>
              <w:rPr>
                <w:rFonts w:hint="eastAsia" w:ascii="宋体" w:hAnsi="宋体" w:cs="宋体"/>
                <w:b/>
                <w:bCs/>
                <w:color w:val="auto"/>
                <w:szCs w:val="21"/>
                <w:highlight w:val="none"/>
                <w:lang w:val="en-US" w:eastAsia="zh-CN" w:bidi="ar"/>
              </w:rPr>
              <w:t>（投标文件中提供设备购置发票及照片，若为租赁的提供租赁合同及照片并CA签章）</w:t>
            </w:r>
          </w:p>
        </w:tc>
        <w:tc>
          <w:tcPr>
            <w:tcW w:w="850" w:type="dxa"/>
            <w:vAlign w:val="center"/>
          </w:tcPr>
          <w:p w14:paraId="30548170">
            <w:pPr>
              <w:pStyle w:val="101"/>
              <w:spacing w:line="360" w:lineRule="auto"/>
              <w:rPr>
                <w:rFonts w:hint="eastAsia"/>
                <w:color w:val="auto"/>
                <w:highlight w:val="none"/>
              </w:rPr>
            </w:pPr>
            <w:r>
              <w:rPr>
                <w:rFonts w:hint="eastAsia" w:asciiTheme="minorEastAsia" w:hAnsiTheme="minorEastAsia" w:eastAsiaTheme="minorEastAsia"/>
                <w:color w:val="auto"/>
                <w:highlight w:val="none"/>
              </w:rPr>
              <w:t>0-</w:t>
            </w:r>
            <w:r>
              <w:rPr>
                <w:rFonts w:hint="eastAsia" w:asciiTheme="minorEastAsia" w:hAnsiTheme="minorEastAsia" w:eastAsiaTheme="minorEastAsia"/>
                <w:color w:val="auto"/>
                <w:highlight w:val="none"/>
                <w:lang w:val="en-US" w:eastAsia="zh-CN"/>
              </w:rPr>
              <w:t>2</w:t>
            </w:r>
            <w:r>
              <w:rPr>
                <w:rFonts w:hint="eastAsia" w:asciiTheme="minorEastAsia" w:hAnsiTheme="minorEastAsia" w:eastAsiaTheme="minorEastAsia"/>
                <w:color w:val="auto"/>
                <w:highlight w:val="none"/>
              </w:rPr>
              <w:t>分</w:t>
            </w:r>
          </w:p>
        </w:tc>
        <w:tc>
          <w:tcPr>
            <w:tcW w:w="913" w:type="dxa"/>
            <w:vAlign w:val="center"/>
          </w:tcPr>
          <w:p w14:paraId="00B10D7F">
            <w:pPr>
              <w:pStyle w:val="101"/>
              <w:spacing w:line="360" w:lineRule="auto"/>
              <w:rPr>
                <w:rFonts w:hint="eastAsia"/>
                <w:color w:val="auto"/>
                <w:highlight w:val="none"/>
              </w:rPr>
            </w:pPr>
            <w:r>
              <w:rPr>
                <w:rFonts w:hint="eastAsia" w:asciiTheme="minorEastAsia" w:hAnsiTheme="minorEastAsia" w:eastAsiaTheme="minorEastAsia"/>
                <w:color w:val="auto"/>
                <w:highlight w:val="none"/>
              </w:rPr>
              <w:t>客观分</w:t>
            </w:r>
          </w:p>
        </w:tc>
      </w:tr>
      <w:tr w14:paraId="2F5EE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14:paraId="41CDC43F">
            <w:pPr>
              <w:pStyle w:val="101"/>
              <w:rPr>
                <w:rFonts w:hint="eastAsia" w:eastAsiaTheme="minorEastAsia"/>
                <w:color w:val="auto"/>
                <w:highlight w:val="none"/>
                <w:lang w:val="en-US" w:eastAsia="zh-CN"/>
              </w:rPr>
            </w:pPr>
            <w:r>
              <w:rPr>
                <w:rFonts w:hint="eastAsia"/>
                <w:color w:val="auto"/>
                <w:highlight w:val="none"/>
                <w:lang w:val="en-US" w:eastAsia="zh-CN"/>
              </w:rPr>
              <w:t>4</w:t>
            </w:r>
          </w:p>
        </w:tc>
        <w:tc>
          <w:tcPr>
            <w:tcW w:w="1486" w:type="dxa"/>
            <w:vMerge w:val="continue"/>
            <w:vAlign w:val="center"/>
          </w:tcPr>
          <w:p w14:paraId="21EC27A4">
            <w:pPr>
              <w:pStyle w:val="101"/>
              <w:rPr>
                <w:rFonts w:hint="eastAsia" w:cs="Times New Roman" w:asciiTheme="minorEastAsia" w:hAnsiTheme="minorEastAsia" w:eastAsiaTheme="minorEastAsia"/>
                <w:b/>
                <w:bCs/>
                <w:color w:val="auto"/>
                <w:kern w:val="2"/>
                <w:sz w:val="21"/>
                <w:szCs w:val="21"/>
                <w:highlight w:val="none"/>
                <w:lang w:val="en-US" w:eastAsia="zh-CN" w:bidi="ar-SA"/>
              </w:rPr>
            </w:pPr>
          </w:p>
        </w:tc>
        <w:tc>
          <w:tcPr>
            <w:tcW w:w="5062" w:type="dxa"/>
            <w:vAlign w:val="center"/>
          </w:tcPr>
          <w:p w14:paraId="52175B09">
            <w:pPr>
              <w:pStyle w:val="101"/>
              <w:spacing w:line="360" w:lineRule="auto"/>
              <w:rPr>
                <w:rFonts w:hint="default"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投标人提供1辆常驻白蚁防治巡查工作车辆的</w:t>
            </w:r>
            <w:r>
              <w:rPr>
                <w:rFonts w:hint="eastAsia" w:cs="Times New Roman" w:asciiTheme="minorEastAsia" w:hAnsiTheme="minorEastAsia" w:eastAsiaTheme="minorEastAsia"/>
                <w:color w:val="auto"/>
                <w:szCs w:val="22"/>
                <w:highlight w:val="none"/>
                <w:lang w:val="en-US" w:eastAsia="zh-CN"/>
              </w:rPr>
              <w:t>（车身须喷涂“</w:t>
            </w:r>
            <w:r>
              <w:rPr>
                <w:rFonts w:hint="eastAsia" w:ascii="宋体" w:hAnsi="宋体" w:cs="宋体"/>
                <w:color w:val="auto"/>
                <w:szCs w:val="21"/>
                <w:highlight w:val="none"/>
                <w:lang w:val="en-US" w:eastAsia="zh-CN" w:bidi="ar"/>
              </w:rPr>
              <w:t>白蚁防治”“白蚁监测”等字样标识）的得1分，每增加1辆的加1分，本</w:t>
            </w:r>
            <w:r>
              <w:rPr>
                <w:rFonts w:hint="eastAsia" w:cs="Times New Roman" w:asciiTheme="minorEastAsia" w:hAnsiTheme="minorEastAsia" w:eastAsiaTheme="minorEastAsia"/>
                <w:color w:val="auto"/>
                <w:szCs w:val="22"/>
                <w:highlight w:val="none"/>
                <w:lang w:val="en-US" w:eastAsia="zh-CN"/>
              </w:rPr>
              <w:t>项最高得3分。</w:t>
            </w:r>
            <w:r>
              <w:rPr>
                <w:rFonts w:hint="eastAsia" w:ascii="宋体" w:hAnsi="宋体" w:cs="宋体"/>
                <w:b/>
                <w:bCs/>
                <w:color w:val="auto"/>
                <w:szCs w:val="21"/>
                <w:highlight w:val="none"/>
                <w:lang w:val="en-US" w:eastAsia="zh-CN" w:bidi="ar"/>
              </w:rPr>
              <w:t>（投标文件中提供车辆购置发票及照片，若为租赁的提供租赁合同及照片并CA签章）</w:t>
            </w:r>
          </w:p>
        </w:tc>
        <w:tc>
          <w:tcPr>
            <w:tcW w:w="850" w:type="dxa"/>
            <w:vAlign w:val="center"/>
          </w:tcPr>
          <w:p w14:paraId="5778FF6A">
            <w:pPr>
              <w:pStyle w:val="101"/>
              <w:spacing w:line="360" w:lineRule="auto"/>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0-</w:t>
            </w:r>
            <w:r>
              <w:rPr>
                <w:rFonts w:hint="eastAsia" w:asciiTheme="minorEastAsia" w:hAnsiTheme="minorEastAsia" w:eastAsiaTheme="minorEastAsia"/>
                <w:color w:val="auto"/>
                <w:highlight w:val="none"/>
                <w:lang w:val="en-US" w:eastAsia="zh-CN"/>
              </w:rPr>
              <w:t>3</w:t>
            </w:r>
            <w:r>
              <w:rPr>
                <w:rFonts w:hint="eastAsia" w:asciiTheme="minorEastAsia" w:hAnsiTheme="minorEastAsia" w:eastAsiaTheme="minorEastAsia"/>
                <w:color w:val="auto"/>
                <w:highlight w:val="none"/>
              </w:rPr>
              <w:t>分</w:t>
            </w:r>
          </w:p>
        </w:tc>
        <w:tc>
          <w:tcPr>
            <w:tcW w:w="913" w:type="dxa"/>
            <w:vAlign w:val="center"/>
          </w:tcPr>
          <w:p w14:paraId="7621CEB4">
            <w:pPr>
              <w:pStyle w:val="101"/>
              <w:spacing w:line="360" w:lineRule="auto"/>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客观分</w:t>
            </w:r>
          </w:p>
        </w:tc>
      </w:tr>
      <w:tr w14:paraId="5011A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14:paraId="35EE9FAB">
            <w:pPr>
              <w:pStyle w:val="101"/>
              <w:rPr>
                <w:rFonts w:hint="eastAsia" w:eastAsiaTheme="minorEastAsia"/>
                <w:color w:val="auto"/>
                <w:highlight w:val="none"/>
                <w:lang w:val="en-US" w:eastAsia="zh-CN"/>
              </w:rPr>
            </w:pPr>
            <w:r>
              <w:rPr>
                <w:rFonts w:hint="eastAsia"/>
                <w:color w:val="auto"/>
                <w:highlight w:val="none"/>
                <w:lang w:val="en-US" w:eastAsia="zh-CN"/>
              </w:rPr>
              <w:t>5</w:t>
            </w:r>
          </w:p>
        </w:tc>
        <w:tc>
          <w:tcPr>
            <w:tcW w:w="1486" w:type="dxa"/>
            <w:vMerge w:val="continue"/>
            <w:vAlign w:val="center"/>
          </w:tcPr>
          <w:p w14:paraId="4A1848BB">
            <w:pPr>
              <w:pStyle w:val="101"/>
              <w:rPr>
                <w:rFonts w:hint="eastAsia" w:cs="Times New Roman" w:asciiTheme="minorEastAsia" w:hAnsiTheme="minorEastAsia" w:eastAsiaTheme="minorEastAsia"/>
                <w:b/>
                <w:bCs/>
                <w:color w:val="auto"/>
                <w:kern w:val="2"/>
                <w:sz w:val="21"/>
                <w:szCs w:val="21"/>
                <w:highlight w:val="none"/>
                <w:lang w:val="en-US" w:eastAsia="zh-CN" w:bidi="ar-SA"/>
              </w:rPr>
            </w:pPr>
          </w:p>
        </w:tc>
        <w:tc>
          <w:tcPr>
            <w:tcW w:w="5062" w:type="dxa"/>
            <w:vAlign w:val="center"/>
          </w:tcPr>
          <w:p w14:paraId="0E260907">
            <w:pPr>
              <w:pStyle w:val="101"/>
              <w:spacing w:line="360" w:lineRule="auto"/>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人员</w:t>
            </w:r>
          </w:p>
          <w:p w14:paraId="6F59D1F5">
            <w:pPr>
              <w:pStyle w:val="101"/>
              <w:numPr>
                <w:ilvl w:val="0"/>
                <w:numId w:val="6"/>
              </w:numPr>
              <w:spacing w:line="360" w:lineRule="auto"/>
              <w:rPr>
                <w:rFonts w:hint="default"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拟派本项目负责人具有白蚁防治类专业高级或以上职称的得2分，具有中级职称的得1分，具有初级职称的得0.5分。</w:t>
            </w:r>
          </w:p>
          <w:p w14:paraId="00DA53F2">
            <w:pPr>
              <w:pStyle w:val="101"/>
              <w:numPr>
                <w:ilvl w:val="0"/>
                <w:numId w:val="6"/>
              </w:numPr>
              <w:spacing w:line="360" w:lineRule="auto"/>
              <w:ind w:left="0" w:leftChars="0" w:firstLine="0" w:firstLineChars="0"/>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拟派本项目成员（除项目负责人外）具有白蚁防治类专业中级或以上职称的1人得1分，初级职称的1人得0.5分。本项最高得1分。</w:t>
            </w:r>
          </w:p>
          <w:p w14:paraId="3F8D4437">
            <w:pPr>
              <w:pStyle w:val="101"/>
              <w:numPr>
                <w:ilvl w:val="0"/>
                <w:numId w:val="0"/>
              </w:numPr>
              <w:spacing w:line="360" w:lineRule="auto"/>
              <w:ind w:left="0" w:leftChars="0" w:firstLine="0" w:firstLineChars="0"/>
              <w:rPr>
                <w:rFonts w:hint="eastAsia" w:ascii="宋体" w:hAnsi="宋体" w:cs="宋体"/>
                <w:color w:val="auto"/>
                <w:szCs w:val="21"/>
                <w:highlight w:val="none"/>
                <w:lang w:val="en-US" w:eastAsia="zh-CN" w:bidi="ar"/>
              </w:rPr>
            </w:pPr>
            <w:r>
              <w:rPr>
                <w:rFonts w:hint="eastAsia" w:ascii="宋体" w:hAnsi="宋体" w:cs="宋体"/>
                <w:b/>
                <w:bCs/>
                <w:color w:val="auto"/>
                <w:szCs w:val="21"/>
                <w:highlight w:val="none"/>
                <w:lang w:val="en-US" w:eastAsia="zh-CN" w:bidi="ar"/>
              </w:rPr>
              <w:t>（序号（1）、（2）投标文件中提供证书复印件并CA 签章，本项目不接受人员挂靠、兼职等，项目实施过程中若发现类似情况的则上报上级主管部门。</w:t>
            </w:r>
            <w:r>
              <w:rPr>
                <w:rFonts w:hint="default" w:ascii="宋体" w:hAnsi="宋体" w:cs="宋体"/>
                <w:b/>
                <w:bCs/>
                <w:color w:val="auto"/>
                <w:szCs w:val="21"/>
                <w:highlight w:val="none"/>
                <w:lang w:val="en-US" w:eastAsia="zh-CN" w:bidi="ar"/>
              </w:rPr>
              <w:t>注：需提供人员有效证书的原件</w:t>
            </w:r>
            <w:r>
              <w:rPr>
                <w:rFonts w:hint="eastAsia" w:ascii="宋体" w:hAnsi="宋体" w:cs="宋体"/>
                <w:b/>
                <w:bCs/>
                <w:color w:val="auto"/>
                <w:szCs w:val="21"/>
                <w:highlight w:val="none"/>
                <w:lang w:val="en-US" w:eastAsia="zh-CN" w:bidi="ar"/>
              </w:rPr>
              <w:t>复印</w:t>
            </w:r>
            <w:r>
              <w:rPr>
                <w:rFonts w:hint="default" w:ascii="宋体" w:hAnsi="宋体" w:cs="宋体"/>
                <w:b/>
                <w:bCs/>
                <w:color w:val="auto"/>
                <w:szCs w:val="21"/>
                <w:highlight w:val="none"/>
                <w:lang w:val="en-US" w:eastAsia="zh-CN" w:bidi="ar"/>
              </w:rPr>
              <w:t>件及由投标单位在投标截止时间前</w:t>
            </w:r>
            <w:r>
              <w:rPr>
                <w:rFonts w:hint="eastAsia" w:ascii="宋体" w:hAnsi="宋体" w:cs="宋体"/>
                <w:b/>
                <w:bCs/>
                <w:color w:val="auto"/>
                <w:szCs w:val="21"/>
                <w:highlight w:val="none"/>
                <w:lang w:val="en-US" w:eastAsia="zh-CN" w:bidi="ar"/>
              </w:rPr>
              <w:t>3</w:t>
            </w:r>
            <w:r>
              <w:rPr>
                <w:rFonts w:hint="default" w:ascii="宋体" w:hAnsi="宋体" w:cs="宋体"/>
                <w:b/>
                <w:bCs/>
                <w:color w:val="auto"/>
                <w:szCs w:val="21"/>
                <w:highlight w:val="none"/>
                <w:lang w:val="en-US" w:eastAsia="zh-CN" w:bidi="ar"/>
              </w:rPr>
              <w:t>个月的个人社保明细清单（出具或打印的时间须在投标截止日前30日历天内有效），</w:t>
            </w:r>
            <w:r>
              <w:rPr>
                <w:rFonts w:hint="eastAsia" w:ascii="宋体" w:hAnsi="宋体" w:cs="宋体"/>
                <w:b/>
                <w:bCs/>
                <w:color w:val="auto"/>
                <w:szCs w:val="21"/>
                <w:highlight w:val="none"/>
                <w:lang w:val="en-US" w:eastAsia="zh-CN" w:bidi="ar"/>
              </w:rPr>
              <w:t>其他无效</w:t>
            </w:r>
            <w:r>
              <w:rPr>
                <w:rFonts w:hint="default" w:ascii="宋体" w:hAnsi="宋体" w:cs="宋体"/>
                <w:b/>
                <w:bCs/>
                <w:color w:val="auto"/>
                <w:szCs w:val="21"/>
                <w:highlight w:val="none"/>
                <w:lang w:val="en-US" w:eastAsia="zh-CN" w:bidi="ar"/>
              </w:rPr>
              <w:t>。</w:t>
            </w:r>
            <w:r>
              <w:rPr>
                <w:rFonts w:hint="eastAsia" w:ascii="宋体" w:hAnsi="宋体" w:cs="宋体"/>
                <w:b/>
                <w:bCs/>
                <w:color w:val="auto"/>
                <w:szCs w:val="21"/>
                <w:highlight w:val="none"/>
                <w:lang w:val="en-US" w:eastAsia="zh-CN" w:bidi="ar"/>
              </w:rPr>
              <w:t>）</w:t>
            </w:r>
          </w:p>
        </w:tc>
        <w:tc>
          <w:tcPr>
            <w:tcW w:w="850" w:type="dxa"/>
            <w:vAlign w:val="center"/>
          </w:tcPr>
          <w:p w14:paraId="7F4B9B49">
            <w:pPr>
              <w:pStyle w:val="101"/>
              <w:numPr>
                <w:ilvl w:val="0"/>
                <w:numId w:val="0"/>
              </w:numPr>
              <w:spacing w:line="360" w:lineRule="auto"/>
              <w:ind w:left="0" w:leftChars="0" w:firstLine="0" w:firstLineChars="0"/>
              <w:rPr>
                <w:rFonts w:hint="eastAsia" w:asciiTheme="minorEastAsia" w:hAnsiTheme="minorEastAsia" w:eastAsiaTheme="minorEastAsia"/>
                <w:color w:val="auto"/>
                <w:highlight w:val="none"/>
              </w:rPr>
            </w:pPr>
            <w:r>
              <w:rPr>
                <w:rFonts w:hint="eastAsia" w:ascii="宋体" w:hAnsi="宋体" w:cs="宋体"/>
                <w:color w:val="auto"/>
                <w:szCs w:val="21"/>
                <w:highlight w:val="none"/>
                <w:lang w:val="en-US" w:eastAsia="zh-CN" w:bidi="ar"/>
              </w:rPr>
              <w:t>0-3分</w:t>
            </w:r>
          </w:p>
        </w:tc>
        <w:tc>
          <w:tcPr>
            <w:tcW w:w="913" w:type="dxa"/>
            <w:vAlign w:val="center"/>
          </w:tcPr>
          <w:p w14:paraId="0D2D4750">
            <w:pPr>
              <w:pStyle w:val="101"/>
              <w:spacing w:line="360" w:lineRule="auto"/>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客观分</w:t>
            </w:r>
          </w:p>
        </w:tc>
      </w:tr>
      <w:tr w14:paraId="54BF7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4E35A18">
            <w:pPr>
              <w:pStyle w:val="101"/>
              <w:rPr>
                <w:rFonts w:hint="eastAsia" w:eastAsiaTheme="minorEastAsia"/>
                <w:color w:val="auto"/>
                <w:highlight w:val="none"/>
                <w:lang w:eastAsia="zh-CN"/>
              </w:rPr>
            </w:pPr>
            <w:r>
              <w:rPr>
                <w:rFonts w:hint="eastAsia"/>
                <w:color w:val="auto"/>
                <w:highlight w:val="none"/>
                <w:lang w:val="en-US" w:eastAsia="zh-CN"/>
              </w:rPr>
              <w:t>6</w:t>
            </w:r>
          </w:p>
        </w:tc>
        <w:tc>
          <w:tcPr>
            <w:tcW w:w="1486" w:type="dxa"/>
            <w:vMerge w:val="restart"/>
            <w:vAlign w:val="center"/>
          </w:tcPr>
          <w:p w14:paraId="3246E4A8">
            <w:pPr>
              <w:pStyle w:val="101"/>
              <w:rPr>
                <w:color w:val="auto"/>
                <w:highlight w:val="none"/>
              </w:rPr>
            </w:pPr>
            <w:r>
              <w:rPr>
                <w:rFonts w:hint="eastAsia" w:cs="Times New Roman" w:asciiTheme="minorEastAsia" w:hAnsiTheme="minorEastAsia" w:eastAsiaTheme="minorEastAsia"/>
                <w:b/>
                <w:bCs/>
                <w:color w:val="auto"/>
                <w:kern w:val="2"/>
                <w:sz w:val="21"/>
                <w:szCs w:val="21"/>
                <w:highlight w:val="none"/>
                <w:lang w:val="en-US" w:eastAsia="zh-CN" w:bidi="ar-SA"/>
              </w:rPr>
              <w:t>投标方案（</w:t>
            </w:r>
            <w:r>
              <w:rPr>
                <w:rFonts w:hint="eastAsia" w:cs="Times New Roman"/>
                <w:b/>
                <w:bCs/>
                <w:color w:val="auto"/>
                <w:kern w:val="2"/>
                <w:sz w:val="21"/>
                <w:szCs w:val="21"/>
                <w:highlight w:val="none"/>
                <w:lang w:val="en-US" w:eastAsia="zh-CN" w:bidi="ar-SA"/>
              </w:rPr>
              <w:t>21</w:t>
            </w:r>
            <w:r>
              <w:rPr>
                <w:rFonts w:hint="eastAsia" w:cs="Times New Roman" w:asciiTheme="minorEastAsia" w:hAnsiTheme="minorEastAsia" w:eastAsiaTheme="minorEastAsia"/>
                <w:b/>
                <w:bCs/>
                <w:color w:val="auto"/>
                <w:kern w:val="2"/>
                <w:sz w:val="21"/>
                <w:szCs w:val="21"/>
                <w:highlight w:val="none"/>
                <w:lang w:val="en-US" w:eastAsia="zh-CN" w:bidi="ar-SA"/>
              </w:rPr>
              <w:t>分）</w:t>
            </w:r>
          </w:p>
        </w:tc>
        <w:tc>
          <w:tcPr>
            <w:tcW w:w="5062" w:type="dxa"/>
            <w:vAlign w:val="center"/>
          </w:tcPr>
          <w:p w14:paraId="1A5E0C80">
            <w:pPr>
              <w:pStyle w:val="101"/>
              <w:rPr>
                <w:color w:val="auto"/>
                <w:szCs w:val="21"/>
                <w:highlight w:val="none"/>
              </w:rPr>
            </w:pPr>
            <w:bookmarkStart w:id="290" w:name="OLE_LINK12"/>
            <w:bookmarkStart w:id="291" w:name="OLE_LINK13"/>
            <w:r>
              <w:rPr>
                <w:rFonts w:hint="eastAsia" w:ascii="宋体" w:hAnsi="宋体" w:cs="Times New Roman"/>
                <w:bCs/>
                <w:color w:val="auto"/>
                <w:spacing w:val="-4"/>
                <w:kern w:val="0"/>
                <w:highlight w:val="none"/>
                <w:lang w:val="en-US" w:eastAsia="zh-CN"/>
              </w:rPr>
              <w:t>投标人针对本区域内白蚁危害现状及需求的了解情况</w:t>
            </w:r>
            <w:r>
              <w:rPr>
                <w:rFonts w:hint="eastAsia"/>
                <w:color w:val="auto"/>
                <w:highlight w:val="none"/>
              </w:rPr>
              <w:t>，</w:t>
            </w:r>
            <w:bookmarkStart w:id="292" w:name="OLE_LINK11"/>
            <w:r>
              <w:rPr>
                <w:rFonts w:hint="eastAsia"/>
                <w:color w:val="auto"/>
                <w:highlight w:val="none"/>
                <w:lang w:val="en-US" w:eastAsia="zh-CN"/>
              </w:rPr>
              <w:t>对现状了解清楚、分析到位的</w:t>
            </w:r>
            <w:r>
              <w:rPr>
                <w:rFonts w:hint="eastAsia"/>
                <w:color w:val="auto"/>
                <w:highlight w:val="none"/>
                <w:lang w:eastAsia="zh-CN"/>
              </w:rPr>
              <w:t>，</w:t>
            </w:r>
            <w:r>
              <w:rPr>
                <w:rFonts w:hint="eastAsia"/>
                <w:color w:val="auto"/>
                <w:highlight w:val="none"/>
                <w:lang w:val="en-US" w:eastAsia="zh-CN"/>
              </w:rPr>
              <w:t>满足采购需求</w:t>
            </w:r>
            <w:r>
              <w:rPr>
                <w:rFonts w:hint="eastAsia"/>
                <w:color w:val="auto"/>
                <w:highlight w:val="none"/>
              </w:rPr>
              <w:t>的得5分，</w:t>
            </w:r>
            <w:r>
              <w:rPr>
                <w:rFonts w:hint="eastAsia"/>
                <w:color w:val="auto"/>
                <w:highlight w:val="none"/>
                <w:lang w:val="en-US" w:eastAsia="zh-CN"/>
              </w:rPr>
              <w:t>了解</w:t>
            </w:r>
            <w:r>
              <w:rPr>
                <w:rFonts w:hint="eastAsia"/>
                <w:color w:val="auto"/>
                <w:highlight w:val="none"/>
              </w:rPr>
              <w:t>分析比较全面</w:t>
            </w:r>
            <w:r>
              <w:rPr>
                <w:rFonts w:hint="eastAsia"/>
                <w:color w:val="auto"/>
                <w:highlight w:val="none"/>
                <w:lang w:eastAsia="zh-CN"/>
              </w:rPr>
              <w:t>、</w:t>
            </w:r>
            <w:r>
              <w:rPr>
                <w:rFonts w:hint="eastAsia"/>
                <w:color w:val="auto"/>
                <w:highlight w:val="none"/>
                <w:lang w:val="en-US" w:eastAsia="zh-CN"/>
              </w:rPr>
              <w:t>基本满足采购需求的</w:t>
            </w:r>
            <w:r>
              <w:rPr>
                <w:rFonts w:hint="eastAsia"/>
                <w:color w:val="auto"/>
                <w:highlight w:val="none"/>
              </w:rPr>
              <w:t>得4分，简单分析、基</w:t>
            </w:r>
            <w:bookmarkEnd w:id="290"/>
            <w:r>
              <w:rPr>
                <w:rFonts w:hint="eastAsia"/>
                <w:color w:val="auto"/>
                <w:highlight w:val="none"/>
              </w:rPr>
              <w:t>本定位</w:t>
            </w:r>
            <w:r>
              <w:rPr>
                <w:rFonts w:hint="eastAsia"/>
                <w:color w:val="auto"/>
                <w:highlight w:val="none"/>
                <w:lang w:eastAsia="zh-CN"/>
              </w:rPr>
              <w:t>、</w:t>
            </w:r>
            <w:r>
              <w:rPr>
                <w:rFonts w:hint="eastAsia"/>
                <w:color w:val="auto"/>
                <w:highlight w:val="none"/>
                <w:lang w:val="en-US" w:eastAsia="zh-CN"/>
              </w:rPr>
              <w:t>部分满足采购需求的</w:t>
            </w:r>
            <w:r>
              <w:rPr>
                <w:rFonts w:hint="eastAsia"/>
                <w:color w:val="auto"/>
                <w:highlight w:val="none"/>
              </w:rPr>
              <w:t>得3分，部分</w:t>
            </w:r>
            <w:bookmarkEnd w:id="292"/>
            <w:r>
              <w:rPr>
                <w:rFonts w:hint="eastAsia"/>
                <w:color w:val="auto"/>
                <w:highlight w:val="none"/>
              </w:rPr>
              <w:t>分析、了解不全面</w:t>
            </w:r>
            <w:r>
              <w:rPr>
                <w:rFonts w:hint="eastAsia"/>
                <w:color w:val="auto"/>
                <w:highlight w:val="none"/>
                <w:lang w:eastAsia="zh-CN"/>
              </w:rPr>
              <w:t>、</w:t>
            </w:r>
            <w:r>
              <w:rPr>
                <w:rFonts w:hint="eastAsia"/>
                <w:color w:val="auto"/>
                <w:highlight w:val="none"/>
                <w:lang w:val="en-US" w:eastAsia="zh-CN"/>
              </w:rPr>
              <w:t>未对采购需求完全响应的</w:t>
            </w:r>
            <w:r>
              <w:rPr>
                <w:rFonts w:hint="eastAsia"/>
                <w:color w:val="auto"/>
                <w:highlight w:val="none"/>
              </w:rPr>
              <w:t>得2分，基本描述的得1分，未提供的不得分。</w:t>
            </w:r>
            <w:bookmarkEnd w:id="291"/>
          </w:p>
        </w:tc>
        <w:tc>
          <w:tcPr>
            <w:tcW w:w="850" w:type="dxa"/>
            <w:vAlign w:val="center"/>
          </w:tcPr>
          <w:p w14:paraId="1E845C08">
            <w:pPr>
              <w:pStyle w:val="101"/>
              <w:rPr>
                <w:color w:val="auto"/>
                <w:highlight w:val="none"/>
              </w:rPr>
            </w:pPr>
            <w:r>
              <w:rPr>
                <w:rFonts w:hint="eastAsia"/>
                <w:color w:val="auto"/>
                <w:highlight w:val="none"/>
              </w:rPr>
              <w:t>0-5分</w:t>
            </w:r>
          </w:p>
        </w:tc>
        <w:tc>
          <w:tcPr>
            <w:tcW w:w="913" w:type="dxa"/>
            <w:vAlign w:val="center"/>
          </w:tcPr>
          <w:p w14:paraId="6934C8AD">
            <w:pPr>
              <w:pStyle w:val="101"/>
              <w:rPr>
                <w:color w:val="auto"/>
                <w:highlight w:val="none"/>
              </w:rPr>
            </w:pPr>
            <w:r>
              <w:rPr>
                <w:rFonts w:hint="eastAsia"/>
                <w:color w:val="auto"/>
                <w:highlight w:val="none"/>
              </w:rPr>
              <w:t>主观分</w:t>
            </w:r>
          </w:p>
        </w:tc>
      </w:tr>
      <w:tr w14:paraId="3DB5F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61F262F">
            <w:pPr>
              <w:pStyle w:val="101"/>
              <w:rPr>
                <w:rFonts w:hint="default"/>
                <w:color w:val="auto"/>
                <w:highlight w:val="none"/>
                <w:lang w:val="en-US" w:eastAsia="zh-CN"/>
              </w:rPr>
            </w:pPr>
            <w:r>
              <w:rPr>
                <w:rFonts w:hint="eastAsia"/>
                <w:color w:val="auto"/>
                <w:highlight w:val="none"/>
                <w:lang w:val="en-US" w:eastAsia="zh-CN"/>
              </w:rPr>
              <w:t>7</w:t>
            </w:r>
          </w:p>
        </w:tc>
        <w:tc>
          <w:tcPr>
            <w:tcW w:w="1486" w:type="dxa"/>
            <w:vMerge w:val="continue"/>
            <w:vAlign w:val="center"/>
          </w:tcPr>
          <w:p w14:paraId="336E4BFC">
            <w:pPr>
              <w:pStyle w:val="101"/>
              <w:rPr>
                <w:rFonts w:hint="eastAsia" w:cs="Times New Roman" w:asciiTheme="minorEastAsia" w:hAnsiTheme="minorEastAsia" w:eastAsiaTheme="minorEastAsia"/>
                <w:b/>
                <w:bCs/>
                <w:color w:val="auto"/>
                <w:kern w:val="2"/>
                <w:sz w:val="21"/>
                <w:szCs w:val="21"/>
                <w:highlight w:val="none"/>
                <w:lang w:val="en-US" w:eastAsia="zh-CN" w:bidi="ar-SA"/>
              </w:rPr>
            </w:pPr>
          </w:p>
        </w:tc>
        <w:tc>
          <w:tcPr>
            <w:tcW w:w="5062" w:type="dxa"/>
            <w:vAlign w:val="center"/>
          </w:tcPr>
          <w:p w14:paraId="3B7EC396">
            <w:pPr>
              <w:snapToGrid w:val="0"/>
              <w:spacing w:line="360" w:lineRule="auto"/>
              <w:jc w:val="left"/>
              <w:rPr>
                <w:rFonts w:hint="eastAsia" w:asciiTheme="minorEastAsia" w:hAnsiTheme="minorEastAsia" w:eastAsiaTheme="minorEastAsia"/>
                <w:color w:val="auto"/>
                <w:szCs w:val="22"/>
                <w:highlight w:val="none"/>
                <w:lang w:val="en-US" w:eastAsia="zh-CN"/>
              </w:rPr>
            </w:pPr>
            <w:r>
              <w:rPr>
                <w:rFonts w:hint="eastAsia" w:asciiTheme="minorEastAsia" w:hAnsiTheme="minorEastAsia" w:eastAsiaTheme="minorEastAsia"/>
                <w:color w:val="auto"/>
                <w:szCs w:val="22"/>
                <w:highlight w:val="none"/>
                <w:lang w:val="en-US" w:eastAsia="zh-CN"/>
              </w:rPr>
              <w:t>投标人白蚁排查方案，</w:t>
            </w:r>
          </w:p>
          <w:p w14:paraId="4705B447">
            <w:pPr>
              <w:numPr>
                <w:ilvl w:val="0"/>
                <w:numId w:val="7"/>
              </w:numPr>
              <w:snapToGrid w:val="0"/>
              <w:spacing w:line="360" w:lineRule="auto"/>
              <w:jc w:val="left"/>
              <w:rPr>
                <w:rFonts w:hint="eastAsia" w:asciiTheme="minorEastAsia" w:hAnsiTheme="minorEastAsia" w:eastAsiaTheme="minorEastAsia"/>
                <w:color w:val="auto"/>
                <w:szCs w:val="22"/>
                <w:highlight w:val="none"/>
                <w:lang w:val="en-US" w:eastAsia="zh-CN"/>
              </w:rPr>
            </w:pPr>
            <w:r>
              <w:rPr>
                <w:rFonts w:hint="eastAsia" w:asciiTheme="minorEastAsia" w:hAnsiTheme="minorEastAsia" w:eastAsiaTheme="minorEastAsia"/>
                <w:color w:val="auto"/>
                <w:szCs w:val="22"/>
                <w:highlight w:val="none"/>
                <w:lang w:val="en-US" w:eastAsia="zh-CN"/>
              </w:rPr>
              <w:t>排查方式合理性，</w:t>
            </w:r>
            <w:r>
              <w:rPr>
                <w:rFonts w:hint="eastAsia" w:ascii="宋体" w:hAnsi="宋体" w:cs="宋体" w:eastAsiaTheme="minorEastAsia"/>
                <w:color w:val="auto"/>
                <w:kern w:val="0"/>
                <w:szCs w:val="21"/>
                <w:highlight w:val="none"/>
                <w:lang w:val="en-US" w:eastAsia="zh-CN"/>
              </w:rPr>
              <w:t>方案内容完整有效的得4分，方案内容较完整有效的得3分，方案内容基本完整有效的得2分，方案内容描述但内容有缺失或有欠缺的得1分，未描述的得0分</w:t>
            </w:r>
            <w:r>
              <w:rPr>
                <w:rFonts w:hint="eastAsia" w:asciiTheme="minorEastAsia" w:hAnsiTheme="minorEastAsia" w:eastAsiaTheme="minorEastAsia"/>
                <w:color w:val="auto"/>
                <w:szCs w:val="22"/>
                <w:highlight w:val="none"/>
                <w:lang w:val="en-US" w:eastAsia="zh-CN"/>
              </w:rPr>
              <w:t>；</w:t>
            </w:r>
          </w:p>
          <w:p w14:paraId="109424A8">
            <w:pPr>
              <w:numPr>
                <w:ilvl w:val="0"/>
                <w:numId w:val="7"/>
              </w:numPr>
              <w:snapToGrid w:val="0"/>
              <w:spacing w:line="360" w:lineRule="auto"/>
              <w:jc w:val="left"/>
              <w:rPr>
                <w:rFonts w:hint="eastAsia" w:asciiTheme="minorEastAsia" w:hAnsiTheme="minorEastAsia" w:eastAsiaTheme="minorEastAsia"/>
                <w:color w:val="auto"/>
                <w:szCs w:val="22"/>
                <w:highlight w:val="none"/>
                <w:lang w:val="en-US" w:eastAsia="zh-CN"/>
              </w:rPr>
            </w:pPr>
            <w:r>
              <w:rPr>
                <w:rFonts w:hint="eastAsia" w:asciiTheme="minorEastAsia" w:hAnsiTheme="minorEastAsia" w:eastAsiaTheme="minorEastAsia"/>
                <w:color w:val="auto"/>
                <w:szCs w:val="22"/>
                <w:highlight w:val="none"/>
                <w:lang w:val="en-US" w:eastAsia="zh-CN"/>
              </w:rPr>
              <w:t>排查进度、时效安排合理性，</w:t>
            </w:r>
            <w:r>
              <w:rPr>
                <w:rFonts w:hint="eastAsia" w:ascii="宋体" w:hAnsi="宋体" w:cs="宋体" w:eastAsiaTheme="minorEastAsia"/>
                <w:color w:val="auto"/>
                <w:kern w:val="0"/>
                <w:szCs w:val="21"/>
                <w:highlight w:val="none"/>
                <w:lang w:val="en-US" w:eastAsia="zh-CN"/>
              </w:rPr>
              <w:t>方案内容完整有效的得4分，方案内容较完整有效的得3分，方案内容基本完整有效的得2分，方案内容描述但内容有缺失或有欠缺的得1分，未描述的得0分</w:t>
            </w:r>
            <w:r>
              <w:rPr>
                <w:rFonts w:hint="eastAsia" w:asciiTheme="minorEastAsia" w:hAnsiTheme="minorEastAsia" w:eastAsiaTheme="minorEastAsia"/>
                <w:color w:val="auto"/>
                <w:szCs w:val="22"/>
                <w:highlight w:val="none"/>
                <w:lang w:val="en-US" w:eastAsia="zh-CN"/>
              </w:rPr>
              <w:t>；</w:t>
            </w:r>
          </w:p>
          <w:p w14:paraId="17229514">
            <w:pPr>
              <w:snapToGrid w:val="0"/>
              <w:spacing w:line="360" w:lineRule="auto"/>
              <w:jc w:val="left"/>
              <w:rPr>
                <w:rFonts w:hint="eastAsia" w:ascii="宋体" w:hAnsi="宋体" w:cs="Times New Roman" w:eastAsiaTheme="minorEastAsia"/>
                <w:bCs/>
                <w:color w:val="auto"/>
                <w:spacing w:val="-4"/>
                <w:kern w:val="0"/>
                <w:highlight w:val="none"/>
                <w:lang w:eastAsia="zh-CN"/>
              </w:rPr>
            </w:pPr>
            <w:r>
              <w:rPr>
                <w:rFonts w:hint="eastAsia" w:asciiTheme="minorEastAsia" w:hAnsiTheme="minorEastAsia" w:eastAsiaTheme="minorEastAsia"/>
                <w:color w:val="auto"/>
                <w:szCs w:val="22"/>
                <w:highlight w:val="none"/>
                <w:lang w:val="en-US" w:eastAsia="zh-CN"/>
              </w:rPr>
              <w:t>（3）排查成果的真实性、准确性控制措施，</w:t>
            </w:r>
            <w:r>
              <w:rPr>
                <w:rFonts w:hint="eastAsia" w:ascii="宋体" w:hAnsi="宋体" w:cs="宋体" w:eastAsiaTheme="minorEastAsia"/>
                <w:color w:val="auto"/>
                <w:kern w:val="0"/>
                <w:szCs w:val="21"/>
                <w:highlight w:val="none"/>
                <w:lang w:val="en-US" w:eastAsia="zh-CN"/>
              </w:rPr>
              <w:t>方案内容完整有效的得4分，方案内容较完整有效的得3分，方案内容基本完整有效的得2分，方案内容描述但内容有缺失或有欠缺的得1分，未描述的得0分</w:t>
            </w:r>
          </w:p>
        </w:tc>
        <w:tc>
          <w:tcPr>
            <w:tcW w:w="850" w:type="dxa"/>
            <w:vAlign w:val="center"/>
          </w:tcPr>
          <w:p w14:paraId="7699923C">
            <w:pPr>
              <w:snapToGrid w:val="0"/>
              <w:spacing w:line="360" w:lineRule="auto"/>
              <w:jc w:val="center"/>
              <w:rPr>
                <w:rFonts w:hint="eastAsia"/>
                <w:color w:val="auto"/>
                <w:highlight w:val="none"/>
              </w:rPr>
            </w:pPr>
            <w:r>
              <w:rPr>
                <w:rFonts w:hint="eastAsia" w:asciiTheme="minorEastAsia" w:hAnsiTheme="minorEastAsia" w:eastAsiaTheme="minorEastAsia"/>
                <w:color w:val="auto"/>
                <w:szCs w:val="21"/>
                <w:highlight w:val="none"/>
              </w:rPr>
              <w:t>0-</w:t>
            </w:r>
            <w:r>
              <w:rPr>
                <w:rFonts w:hint="eastAsia" w:asciiTheme="minorEastAsia" w:hAnsiTheme="minorEastAsia" w:eastAsiaTheme="minorEastAsia"/>
                <w:color w:val="auto"/>
                <w:szCs w:val="21"/>
                <w:highlight w:val="none"/>
                <w:lang w:val="en-US" w:eastAsia="zh-CN"/>
              </w:rPr>
              <w:t>12</w:t>
            </w:r>
            <w:r>
              <w:rPr>
                <w:rFonts w:hint="eastAsia" w:asciiTheme="minorEastAsia" w:hAnsiTheme="minorEastAsia" w:eastAsiaTheme="minorEastAsia"/>
                <w:color w:val="auto"/>
                <w:szCs w:val="21"/>
                <w:highlight w:val="none"/>
              </w:rPr>
              <w:t>分</w:t>
            </w:r>
          </w:p>
        </w:tc>
        <w:tc>
          <w:tcPr>
            <w:tcW w:w="913" w:type="dxa"/>
            <w:vAlign w:val="center"/>
          </w:tcPr>
          <w:p w14:paraId="2886B33F">
            <w:pPr>
              <w:pStyle w:val="101"/>
              <w:spacing w:line="360" w:lineRule="auto"/>
              <w:rPr>
                <w:rFonts w:hint="eastAsia"/>
                <w:color w:val="auto"/>
                <w:highlight w:val="none"/>
              </w:rPr>
            </w:pPr>
            <w:r>
              <w:rPr>
                <w:rFonts w:hint="eastAsia" w:asciiTheme="minorEastAsia" w:hAnsiTheme="minorEastAsia" w:eastAsiaTheme="minorEastAsia"/>
                <w:color w:val="auto"/>
                <w:highlight w:val="none"/>
              </w:rPr>
              <w:t>主观分</w:t>
            </w:r>
          </w:p>
        </w:tc>
      </w:tr>
      <w:tr w14:paraId="69CD1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D0B19D1">
            <w:pPr>
              <w:pStyle w:val="101"/>
              <w:rPr>
                <w:rFonts w:hint="default"/>
                <w:color w:val="auto"/>
                <w:highlight w:val="none"/>
                <w:lang w:val="en-US" w:eastAsia="zh-CN"/>
              </w:rPr>
            </w:pPr>
            <w:r>
              <w:rPr>
                <w:rFonts w:hint="eastAsia"/>
                <w:color w:val="auto"/>
                <w:highlight w:val="none"/>
                <w:lang w:val="en-US" w:eastAsia="zh-CN"/>
              </w:rPr>
              <w:t>8</w:t>
            </w:r>
          </w:p>
        </w:tc>
        <w:tc>
          <w:tcPr>
            <w:tcW w:w="1486" w:type="dxa"/>
            <w:vMerge w:val="continue"/>
            <w:vAlign w:val="center"/>
          </w:tcPr>
          <w:p w14:paraId="5D747566">
            <w:pPr>
              <w:pStyle w:val="101"/>
              <w:rPr>
                <w:rFonts w:hint="eastAsia" w:cs="Times New Roman" w:asciiTheme="minorEastAsia" w:hAnsiTheme="minorEastAsia" w:eastAsiaTheme="minorEastAsia"/>
                <w:b/>
                <w:bCs/>
                <w:color w:val="auto"/>
                <w:kern w:val="2"/>
                <w:sz w:val="21"/>
                <w:szCs w:val="21"/>
                <w:highlight w:val="none"/>
                <w:lang w:val="en-US" w:eastAsia="zh-CN" w:bidi="ar-SA"/>
              </w:rPr>
            </w:pPr>
          </w:p>
        </w:tc>
        <w:tc>
          <w:tcPr>
            <w:tcW w:w="5062" w:type="dxa"/>
            <w:shd w:val="clear" w:color="auto" w:fill="auto"/>
            <w:vAlign w:val="center"/>
          </w:tcPr>
          <w:p w14:paraId="4A5297F1">
            <w:pPr>
              <w:pStyle w:val="101"/>
              <w:rPr>
                <w:rFonts w:hint="eastAsia" w:cs="Times New Roman" w:asciiTheme="minorEastAsia" w:hAnsiTheme="minorEastAsia" w:eastAsiaTheme="minorEastAsia"/>
                <w:color w:val="auto"/>
                <w:kern w:val="2"/>
                <w:sz w:val="21"/>
                <w:szCs w:val="22"/>
                <w:highlight w:val="none"/>
                <w:lang w:val="en-US" w:eastAsia="zh-CN" w:bidi="ar-SA"/>
              </w:rPr>
            </w:pPr>
            <w:r>
              <w:rPr>
                <w:rFonts w:hint="eastAsia" w:asciiTheme="minorEastAsia" w:hAnsiTheme="minorEastAsia" w:eastAsiaTheme="minorEastAsia"/>
                <w:color w:val="auto"/>
                <w:szCs w:val="22"/>
                <w:highlight w:val="none"/>
                <w:lang w:val="en-US" w:eastAsia="zh-CN"/>
              </w:rPr>
              <w:t>根据投标人提供的白蚁治理技术方案和措施</w:t>
            </w:r>
            <w:r>
              <w:rPr>
                <w:rFonts w:hint="eastAsia" w:asciiTheme="minorEastAsia" w:hAnsiTheme="minorEastAsia" w:eastAsiaTheme="minorEastAsia"/>
                <w:color w:val="auto"/>
                <w:szCs w:val="22"/>
                <w:highlight w:val="none"/>
              </w:rPr>
              <w:t>，</w:t>
            </w:r>
            <w:r>
              <w:rPr>
                <w:rFonts w:hint="eastAsia" w:ascii="宋体" w:hAnsi="宋体" w:cs="宋体" w:eastAsiaTheme="minorEastAsia"/>
                <w:color w:val="auto"/>
                <w:kern w:val="0"/>
                <w:szCs w:val="21"/>
                <w:highlight w:val="none"/>
                <w:lang w:val="en-US" w:eastAsia="zh-CN"/>
              </w:rPr>
              <w:t>方案内容完整有效的得4分，方案内容较完整有效的得3分，方案内容基本完整有效的得2分，方案内容描述但内容有缺失或有欠缺的得1分，未描述的得0分</w:t>
            </w:r>
          </w:p>
        </w:tc>
        <w:tc>
          <w:tcPr>
            <w:tcW w:w="850" w:type="dxa"/>
            <w:shd w:val="clear" w:color="auto" w:fill="auto"/>
            <w:vAlign w:val="center"/>
          </w:tcPr>
          <w:p w14:paraId="52BA0C7C">
            <w:pPr>
              <w:pStyle w:val="101"/>
              <w:rPr>
                <w:rFonts w:hint="eastAsia" w:cs="Times New Roman" w:asciiTheme="minorEastAsia" w:hAnsiTheme="minorEastAsia" w:eastAsiaTheme="minorEastAsia"/>
                <w:color w:val="auto"/>
                <w:kern w:val="2"/>
                <w:sz w:val="21"/>
                <w:szCs w:val="22"/>
                <w:highlight w:val="none"/>
                <w:lang w:val="en-US" w:eastAsia="zh-CN" w:bidi="ar-SA"/>
              </w:rPr>
            </w:pPr>
            <w:r>
              <w:rPr>
                <w:rFonts w:hint="eastAsia"/>
                <w:color w:val="auto"/>
                <w:highlight w:val="none"/>
              </w:rPr>
              <w:t>0-</w:t>
            </w:r>
            <w:r>
              <w:rPr>
                <w:rFonts w:hint="eastAsia"/>
                <w:color w:val="auto"/>
                <w:highlight w:val="none"/>
                <w:lang w:val="en-US" w:eastAsia="zh-CN"/>
              </w:rPr>
              <w:t>4</w:t>
            </w:r>
            <w:r>
              <w:rPr>
                <w:rFonts w:hint="eastAsia"/>
                <w:color w:val="auto"/>
                <w:highlight w:val="none"/>
              </w:rPr>
              <w:t>分</w:t>
            </w:r>
          </w:p>
        </w:tc>
        <w:tc>
          <w:tcPr>
            <w:tcW w:w="913" w:type="dxa"/>
            <w:shd w:val="clear" w:color="auto" w:fill="auto"/>
            <w:vAlign w:val="center"/>
          </w:tcPr>
          <w:p w14:paraId="3BA0B919">
            <w:pPr>
              <w:pStyle w:val="101"/>
              <w:rPr>
                <w:rFonts w:hint="eastAsia" w:cs="Times New Roman" w:asciiTheme="minorEastAsia" w:hAnsiTheme="minorEastAsia" w:eastAsiaTheme="minorEastAsia"/>
                <w:color w:val="auto"/>
                <w:kern w:val="2"/>
                <w:sz w:val="21"/>
                <w:szCs w:val="22"/>
                <w:highlight w:val="none"/>
                <w:lang w:val="en-US" w:eastAsia="zh-CN" w:bidi="ar-SA"/>
              </w:rPr>
            </w:pPr>
            <w:r>
              <w:rPr>
                <w:rFonts w:hint="eastAsia"/>
                <w:color w:val="auto"/>
                <w:highlight w:val="none"/>
              </w:rPr>
              <w:t>主观分</w:t>
            </w:r>
          </w:p>
        </w:tc>
      </w:tr>
      <w:tr w14:paraId="5F961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03393C5">
            <w:pPr>
              <w:pStyle w:val="101"/>
              <w:rPr>
                <w:rFonts w:hint="eastAsia" w:eastAsiaTheme="minorEastAsia"/>
                <w:color w:val="auto"/>
                <w:highlight w:val="none"/>
                <w:lang w:eastAsia="zh-CN"/>
              </w:rPr>
            </w:pPr>
            <w:r>
              <w:rPr>
                <w:rFonts w:hint="eastAsia"/>
                <w:color w:val="auto"/>
                <w:highlight w:val="none"/>
                <w:lang w:val="en-US" w:eastAsia="zh-CN"/>
              </w:rPr>
              <w:t>9</w:t>
            </w:r>
          </w:p>
        </w:tc>
        <w:tc>
          <w:tcPr>
            <w:tcW w:w="1486" w:type="dxa"/>
            <w:vMerge w:val="restart"/>
            <w:vAlign w:val="center"/>
          </w:tcPr>
          <w:p w14:paraId="02D7CF66">
            <w:pPr>
              <w:pStyle w:val="101"/>
              <w:numPr>
                <w:ilvl w:val="0"/>
                <w:numId w:val="0"/>
              </w:numPr>
              <w:rPr>
                <w:rFonts w:hint="default" w:ascii="宋体" w:hAnsi="宋体" w:cs="宋体" w:eastAsiaTheme="minorEastAsia"/>
                <w:color w:val="auto"/>
                <w:kern w:val="0"/>
                <w:szCs w:val="21"/>
                <w:highlight w:val="none"/>
                <w:lang w:val="en-US" w:eastAsia="zh-CN"/>
              </w:rPr>
            </w:pPr>
            <w:r>
              <w:rPr>
                <w:rFonts w:hint="eastAsia" w:ascii="宋体" w:hAnsi="宋体" w:cs="宋体" w:eastAsiaTheme="minorEastAsia"/>
                <w:b/>
                <w:bCs/>
                <w:color w:val="auto"/>
                <w:kern w:val="0"/>
                <w:szCs w:val="21"/>
                <w:highlight w:val="none"/>
                <w:lang w:val="en-US" w:eastAsia="zh-CN"/>
              </w:rPr>
              <w:t>拟投入本项目设备、药剂（1</w:t>
            </w:r>
            <w:r>
              <w:rPr>
                <w:rFonts w:hint="eastAsia" w:ascii="宋体" w:hAnsi="宋体" w:cs="宋体"/>
                <w:b/>
                <w:bCs/>
                <w:color w:val="auto"/>
                <w:kern w:val="0"/>
                <w:szCs w:val="21"/>
                <w:highlight w:val="none"/>
                <w:lang w:val="en-US" w:eastAsia="zh-CN"/>
              </w:rPr>
              <w:t>7</w:t>
            </w:r>
            <w:r>
              <w:rPr>
                <w:rFonts w:hint="eastAsia" w:ascii="宋体" w:hAnsi="宋体" w:cs="宋体" w:eastAsiaTheme="minorEastAsia"/>
                <w:b/>
                <w:bCs/>
                <w:color w:val="auto"/>
                <w:kern w:val="0"/>
                <w:szCs w:val="21"/>
                <w:highlight w:val="none"/>
                <w:lang w:val="en-US" w:eastAsia="zh-CN"/>
              </w:rPr>
              <w:t>分）</w:t>
            </w:r>
          </w:p>
        </w:tc>
        <w:tc>
          <w:tcPr>
            <w:tcW w:w="5062" w:type="dxa"/>
            <w:vAlign w:val="center"/>
          </w:tcPr>
          <w:p w14:paraId="7869C003">
            <w:pPr>
              <w:pStyle w:val="101"/>
              <w:numPr>
                <w:ilvl w:val="0"/>
                <w:numId w:val="0"/>
              </w:numPr>
              <w:rPr>
                <w:rFonts w:hint="default" w:ascii="宋体" w:hAnsi="宋体" w:cs="宋体" w:eastAsiaTheme="minorEastAsia"/>
                <w:color w:val="auto"/>
                <w:kern w:val="0"/>
                <w:szCs w:val="21"/>
                <w:highlight w:val="none"/>
                <w:lang w:val="en-US" w:eastAsia="zh-CN"/>
              </w:rPr>
            </w:pPr>
            <w:r>
              <w:rPr>
                <w:rFonts w:hint="eastAsia" w:ascii="宋体" w:hAnsi="宋体" w:cs="宋体" w:eastAsiaTheme="minorEastAsia"/>
                <w:color w:val="auto"/>
                <w:kern w:val="0"/>
                <w:szCs w:val="21"/>
                <w:highlight w:val="none"/>
                <w:lang w:val="en-US" w:eastAsia="zh-CN"/>
              </w:rPr>
              <w:t>拟投入本项目监测设备，设施设备配备齐全、功能齐全先进、采用全智能白蚁监控系统的满足采购需求的得5分，设施设备基本齐全、功能基本满足监测工作的、基本满足采购需求的得4分，设施设备部分配置、具有基本功能的、部分满足采购需求的得3分，设施设备配置但不齐全、基本功能较老旧的、未对采购需求完全响应的得2分，设施设备欠缺的得1分，未提供设施设备配置方案的得0分</w:t>
            </w:r>
            <w:r>
              <w:rPr>
                <w:rFonts w:hint="eastAsia" w:ascii="宋体" w:hAnsi="宋体" w:cs="宋体" w:eastAsiaTheme="minorEastAsia"/>
                <w:b/>
                <w:bCs/>
                <w:color w:val="auto"/>
                <w:kern w:val="0"/>
                <w:szCs w:val="21"/>
                <w:highlight w:val="none"/>
                <w:lang w:val="en-US" w:eastAsia="zh-CN"/>
              </w:rPr>
              <w:t>（提供功能证明材料并配图说明并CA签章，图片需清晰反应功能否则将影响评分。）</w:t>
            </w:r>
          </w:p>
        </w:tc>
        <w:tc>
          <w:tcPr>
            <w:tcW w:w="850" w:type="dxa"/>
            <w:vAlign w:val="center"/>
          </w:tcPr>
          <w:p w14:paraId="76CA3C09">
            <w:pPr>
              <w:pStyle w:val="101"/>
              <w:rPr>
                <w:rFonts w:hint="eastAsia" w:cs="Times New Roman"/>
                <w:color w:val="auto"/>
                <w:highlight w:val="none"/>
                <w:lang w:val="en-US" w:eastAsia="zh-CN"/>
              </w:rPr>
            </w:pPr>
            <w:r>
              <w:rPr>
                <w:rFonts w:hint="eastAsia" w:cs="Times New Roman"/>
                <w:color w:val="auto"/>
                <w:highlight w:val="none"/>
                <w:lang w:val="en-US" w:eastAsia="zh-CN"/>
              </w:rPr>
              <w:t>0-5分</w:t>
            </w:r>
          </w:p>
        </w:tc>
        <w:tc>
          <w:tcPr>
            <w:tcW w:w="913" w:type="dxa"/>
            <w:vAlign w:val="center"/>
          </w:tcPr>
          <w:p w14:paraId="4B0CB4CD">
            <w:pPr>
              <w:pStyle w:val="101"/>
              <w:rPr>
                <w:rFonts w:hint="eastAsia" w:cs="Times New Roman"/>
                <w:color w:val="auto"/>
                <w:highlight w:val="none"/>
                <w:lang w:val="en-US" w:eastAsia="zh-CN"/>
              </w:rPr>
            </w:pPr>
            <w:r>
              <w:rPr>
                <w:rFonts w:hint="eastAsia" w:cs="Times New Roman"/>
                <w:color w:val="auto"/>
                <w:highlight w:val="none"/>
                <w:lang w:val="en-US" w:eastAsia="zh-CN"/>
              </w:rPr>
              <w:t>主观分</w:t>
            </w:r>
          </w:p>
        </w:tc>
      </w:tr>
      <w:tr w14:paraId="0FD5B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29A9D92">
            <w:pPr>
              <w:pStyle w:val="101"/>
              <w:rPr>
                <w:rFonts w:hint="default" w:eastAsiaTheme="minorEastAsia"/>
                <w:color w:val="auto"/>
                <w:highlight w:val="none"/>
                <w:lang w:val="en-US" w:eastAsia="zh-CN"/>
              </w:rPr>
            </w:pPr>
            <w:r>
              <w:rPr>
                <w:rFonts w:hint="eastAsia"/>
                <w:color w:val="auto"/>
                <w:highlight w:val="none"/>
                <w:lang w:val="en-US" w:eastAsia="zh-CN"/>
              </w:rPr>
              <w:t>10</w:t>
            </w:r>
          </w:p>
        </w:tc>
        <w:tc>
          <w:tcPr>
            <w:tcW w:w="1486" w:type="dxa"/>
            <w:vMerge w:val="continue"/>
            <w:vAlign w:val="center"/>
          </w:tcPr>
          <w:p w14:paraId="76F4F950">
            <w:pPr>
              <w:pStyle w:val="101"/>
              <w:rPr>
                <w:color w:val="auto"/>
                <w:highlight w:val="none"/>
              </w:rPr>
            </w:pPr>
          </w:p>
        </w:tc>
        <w:tc>
          <w:tcPr>
            <w:tcW w:w="5062" w:type="dxa"/>
            <w:vAlign w:val="center"/>
          </w:tcPr>
          <w:p w14:paraId="73FC56ED">
            <w:pPr>
              <w:pStyle w:val="101"/>
              <w:rPr>
                <w:rFonts w:hint="eastAsia"/>
                <w:color w:val="auto"/>
                <w:szCs w:val="22"/>
                <w:highlight w:val="none"/>
                <w:lang w:val="en-US" w:eastAsia="zh-CN"/>
              </w:rPr>
            </w:pPr>
            <w:r>
              <w:rPr>
                <w:rFonts w:hint="eastAsia" w:asciiTheme="minorEastAsia" w:hAnsiTheme="minorEastAsia" w:eastAsiaTheme="minorEastAsia"/>
                <w:color w:val="auto"/>
                <w:szCs w:val="22"/>
                <w:highlight w:val="none"/>
                <w:lang w:val="en-US" w:eastAsia="zh-CN"/>
              </w:rPr>
              <w:t>投标人拟投入本项目防治及治理药物、药包</w:t>
            </w:r>
            <w:r>
              <w:rPr>
                <w:rFonts w:hint="eastAsia"/>
                <w:color w:val="auto"/>
                <w:szCs w:val="22"/>
                <w:highlight w:val="none"/>
                <w:lang w:val="en-US" w:eastAsia="zh-CN"/>
              </w:rPr>
              <w:t>：</w:t>
            </w:r>
          </w:p>
          <w:p w14:paraId="1E5842F9">
            <w:pPr>
              <w:pStyle w:val="101"/>
              <w:numPr>
                <w:ilvl w:val="0"/>
                <w:numId w:val="8"/>
              </w:numPr>
              <w:rPr>
                <w:rFonts w:hint="eastAsia" w:ascii="宋体" w:hAnsi="宋体" w:cs="宋体" w:eastAsiaTheme="minorEastAsia"/>
                <w:color w:val="auto"/>
                <w:kern w:val="0"/>
                <w:szCs w:val="21"/>
                <w:highlight w:val="none"/>
                <w:lang w:val="en-US" w:eastAsia="zh-CN"/>
              </w:rPr>
            </w:pPr>
            <w:r>
              <w:rPr>
                <w:rFonts w:hint="eastAsia"/>
                <w:color w:val="auto"/>
                <w:szCs w:val="22"/>
                <w:highlight w:val="none"/>
                <w:lang w:val="en-US" w:eastAsia="zh-CN"/>
              </w:rPr>
              <w:t>有效性，保障</w:t>
            </w:r>
            <w:r>
              <w:rPr>
                <w:rFonts w:hint="eastAsia" w:ascii="宋体" w:hAnsi="宋体" w:cs="宋体" w:eastAsiaTheme="minorEastAsia"/>
                <w:color w:val="auto"/>
                <w:kern w:val="0"/>
                <w:szCs w:val="21"/>
                <w:highlight w:val="none"/>
                <w:lang w:val="en-US" w:eastAsia="zh-CN"/>
              </w:rPr>
              <w:t>内容完整有效的得4分，</w:t>
            </w:r>
            <w:r>
              <w:rPr>
                <w:rFonts w:hint="eastAsia"/>
                <w:color w:val="auto"/>
                <w:szCs w:val="22"/>
                <w:highlight w:val="none"/>
                <w:lang w:val="en-US" w:eastAsia="zh-CN"/>
              </w:rPr>
              <w:t>保障</w:t>
            </w:r>
            <w:r>
              <w:rPr>
                <w:rFonts w:hint="eastAsia" w:ascii="宋体" w:hAnsi="宋体" w:cs="宋体" w:eastAsiaTheme="minorEastAsia"/>
                <w:color w:val="auto"/>
                <w:kern w:val="0"/>
                <w:szCs w:val="21"/>
                <w:highlight w:val="none"/>
                <w:lang w:val="en-US" w:eastAsia="zh-CN"/>
              </w:rPr>
              <w:t>内容较完整有效的得3分，</w:t>
            </w:r>
            <w:r>
              <w:rPr>
                <w:rFonts w:hint="eastAsia"/>
                <w:color w:val="auto"/>
                <w:szCs w:val="22"/>
                <w:highlight w:val="none"/>
                <w:lang w:val="en-US" w:eastAsia="zh-CN"/>
              </w:rPr>
              <w:t>保障</w:t>
            </w:r>
            <w:r>
              <w:rPr>
                <w:rFonts w:hint="eastAsia" w:ascii="宋体" w:hAnsi="宋体" w:cs="宋体" w:eastAsiaTheme="minorEastAsia"/>
                <w:color w:val="auto"/>
                <w:kern w:val="0"/>
                <w:szCs w:val="21"/>
                <w:highlight w:val="none"/>
                <w:lang w:val="en-US" w:eastAsia="zh-CN"/>
              </w:rPr>
              <w:t>内容基本完整有效的得2分，</w:t>
            </w:r>
            <w:r>
              <w:rPr>
                <w:rFonts w:hint="eastAsia"/>
                <w:color w:val="auto"/>
                <w:szCs w:val="22"/>
                <w:highlight w:val="none"/>
                <w:lang w:val="en-US" w:eastAsia="zh-CN"/>
              </w:rPr>
              <w:t>保障</w:t>
            </w:r>
            <w:r>
              <w:rPr>
                <w:rFonts w:hint="eastAsia" w:ascii="宋体" w:hAnsi="宋体" w:cs="宋体" w:eastAsiaTheme="minorEastAsia"/>
                <w:color w:val="auto"/>
                <w:kern w:val="0"/>
                <w:szCs w:val="21"/>
                <w:highlight w:val="none"/>
                <w:lang w:val="en-US" w:eastAsia="zh-CN"/>
              </w:rPr>
              <w:t>内容描述但内容有缺失或有欠缺的得1分，未描述的得0分</w:t>
            </w:r>
          </w:p>
          <w:p w14:paraId="3B1499B0">
            <w:pPr>
              <w:pStyle w:val="101"/>
              <w:numPr>
                <w:ilvl w:val="0"/>
                <w:numId w:val="8"/>
              </w:numPr>
              <w:ind w:left="0" w:leftChars="0" w:firstLine="0" w:firstLineChars="0"/>
              <w:rPr>
                <w:rFonts w:hint="eastAsia" w:ascii="宋体" w:hAnsi="宋体" w:cs="宋体" w:eastAsiaTheme="minorEastAsia"/>
                <w:color w:val="auto"/>
                <w:kern w:val="0"/>
                <w:szCs w:val="21"/>
                <w:highlight w:val="none"/>
                <w:lang w:val="en-US" w:eastAsia="zh-CN"/>
              </w:rPr>
            </w:pPr>
            <w:r>
              <w:rPr>
                <w:rFonts w:hint="eastAsia" w:asciiTheme="minorEastAsia" w:hAnsiTheme="minorEastAsia" w:eastAsiaTheme="minorEastAsia"/>
                <w:color w:val="auto"/>
                <w:szCs w:val="22"/>
                <w:highlight w:val="none"/>
                <w:lang w:val="en-US" w:eastAsia="zh-CN"/>
              </w:rPr>
              <w:t>环保性</w:t>
            </w:r>
            <w:r>
              <w:rPr>
                <w:rFonts w:hint="eastAsia"/>
                <w:color w:val="auto"/>
                <w:szCs w:val="22"/>
                <w:highlight w:val="none"/>
                <w:lang w:val="en-US" w:eastAsia="zh-CN"/>
              </w:rPr>
              <w:t>，保障</w:t>
            </w:r>
            <w:r>
              <w:rPr>
                <w:rFonts w:hint="eastAsia" w:ascii="宋体" w:hAnsi="宋体" w:cs="宋体" w:eastAsiaTheme="minorEastAsia"/>
                <w:color w:val="auto"/>
                <w:kern w:val="0"/>
                <w:szCs w:val="21"/>
                <w:highlight w:val="none"/>
                <w:lang w:val="en-US" w:eastAsia="zh-CN"/>
              </w:rPr>
              <w:t>内容完整有效的得4分，</w:t>
            </w:r>
            <w:r>
              <w:rPr>
                <w:rFonts w:hint="eastAsia"/>
                <w:color w:val="auto"/>
                <w:szCs w:val="22"/>
                <w:highlight w:val="none"/>
                <w:lang w:val="en-US" w:eastAsia="zh-CN"/>
              </w:rPr>
              <w:t>保障</w:t>
            </w:r>
            <w:r>
              <w:rPr>
                <w:rFonts w:hint="eastAsia" w:ascii="宋体" w:hAnsi="宋体" w:cs="宋体" w:eastAsiaTheme="minorEastAsia"/>
                <w:color w:val="auto"/>
                <w:kern w:val="0"/>
                <w:szCs w:val="21"/>
                <w:highlight w:val="none"/>
                <w:lang w:val="en-US" w:eastAsia="zh-CN"/>
              </w:rPr>
              <w:t>内容较完整有效的得3分，</w:t>
            </w:r>
            <w:r>
              <w:rPr>
                <w:rFonts w:hint="eastAsia"/>
                <w:color w:val="auto"/>
                <w:szCs w:val="22"/>
                <w:highlight w:val="none"/>
                <w:lang w:val="en-US" w:eastAsia="zh-CN"/>
              </w:rPr>
              <w:t>保障</w:t>
            </w:r>
            <w:r>
              <w:rPr>
                <w:rFonts w:hint="eastAsia" w:ascii="宋体" w:hAnsi="宋体" w:cs="宋体" w:eastAsiaTheme="minorEastAsia"/>
                <w:color w:val="auto"/>
                <w:kern w:val="0"/>
                <w:szCs w:val="21"/>
                <w:highlight w:val="none"/>
                <w:lang w:val="en-US" w:eastAsia="zh-CN"/>
              </w:rPr>
              <w:t>内容基本完整有效的得2分，</w:t>
            </w:r>
            <w:r>
              <w:rPr>
                <w:rFonts w:hint="eastAsia"/>
                <w:color w:val="auto"/>
                <w:szCs w:val="22"/>
                <w:highlight w:val="none"/>
                <w:lang w:val="en-US" w:eastAsia="zh-CN"/>
              </w:rPr>
              <w:t>保障</w:t>
            </w:r>
            <w:r>
              <w:rPr>
                <w:rFonts w:hint="eastAsia" w:ascii="宋体" w:hAnsi="宋体" w:cs="宋体" w:eastAsiaTheme="minorEastAsia"/>
                <w:color w:val="auto"/>
                <w:kern w:val="0"/>
                <w:szCs w:val="21"/>
                <w:highlight w:val="none"/>
                <w:lang w:val="en-US" w:eastAsia="zh-CN"/>
              </w:rPr>
              <w:t>内容描述但内容有缺失或有欠缺的得1分，未描述的得0分</w:t>
            </w:r>
          </w:p>
          <w:p w14:paraId="1EAEEDF6">
            <w:pPr>
              <w:pStyle w:val="101"/>
              <w:numPr>
                <w:ilvl w:val="0"/>
                <w:numId w:val="0"/>
              </w:numPr>
              <w:ind w:left="0" w:leftChars="0" w:firstLine="0" w:firstLineChars="0"/>
              <w:rPr>
                <w:rFonts w:hint="default" w:ascii="宋体" w:hAnsi="宋体" w:cs="宋体" w:eastAsiaTheme="minorEastAsia"/>
                <w:color w:val="auto"/>
                <w:kern w:val="0"/>
                <w:szCs w:val="21"/>
                <w:highlight w:val="none"/>
                <w:lang w:val="en-US" w:eastAsia="zh-CN"/>
              </w:rPr>
            </w:pPr>
            <w:r>
              <w:rPr>
                <w:rFonts w:hint="eastAsia" w:ascii="宋体" w:hAnsi="宋体" w:cs="宋体"/>
                <w:color w:val="auto"/>
                <w:kern w:val="0"/>
                <w:szCs w:val="21"/>
                <w:highlight w:val="none"/>
                <w:lang w:val="en-US" w:eastAsia="zh-CN"/>
              </w:rPr>
              <w:t>（3）</w:t>
            </w:r>
            <w:r>
              <w:rPr>
                <w:rFonts w:hint="eastAsia" w:asciiTheme="minorEastAsia" w:hAnsiTheme="minorEastAsia" w:eastAsiaTheme="minorEastAsia"/>
                <w:color w:val="auto"/>
                <w:szCs w:val="22"/>
                <w:highlight w:val="none"/>
                <w:lang w:val="en-US" w:eastAsia="zh-CN"/>
              </w:rPr>
              <w:t>经济性</w:t>
            </w:r>
            <w:r>
              <w:rPr>
                <w:rFonts w:hint="eastAsia"/>
                <w:color w:val="auto"/>
                <w:szCs w:val="22"/>
                <w:highlight w:val="none"/>
                <w:lang w:val="en-US" w:eastAsia="zh-CN"/>
              </w:rPr>
              <w:t>，保障</w:t>
            </w:r>
            <w:r>
              <w:rPr>
                <w:rFonts w:hint="eastAsia" w:ascii="宋体" w:hAnsi="宋体" w:cs="宋体" w:eastAsiaTheme="minorEastAsia"/>
                <w:color w:val="auto"/>
                <w:kern w:val="0"/>
                <w:szCs w:val="21"/>
                <w:highlight w:val="none"/>
                <w:lang w:val="en-US" w:eastAsia="zh-CN"/>
              </w:rPr>
              <w:t>内容完整有效的得4分，</w:t>
            </w:r>
            <w:r>
              <w:rPr>
                <w:rFonts w:hint="eastAsia"/>
                <w:color w:val="auto"/>
                <w:szCs w:val="22"/>
                <w:highlight w:val="none"/>
                <w:lang w:val="en-US" w:eastAsia="zh-CN"/>
              </w:rPr>
              <w:t>保障</w:t>
            </w:r>
            <w:r>
              <w:rPr>
                <w:rFonts w:hint="eastAsia" w:ascii="宋体" w:hAnsi="宋体" w:cs="宋体" w:eastAsiaTheme="minorEastAsia"/>
                <w:color w:val="auto"/>
                <w:kern w:val="0"/>
                <w:szCs w:val="21"/>
                <w:highlight w:val="none"/>
                <w:lang w:val="en-US" w:eastAsia="zh-CN"/>
              </w:rPr>
              <w:t>内容较完整有效的得3分，</w:t>
            </w:r>
            <w:r>
              <w:rPr>
                <w:rFonts w:hint="eastAsia"/>
                <w:color w:val="auto"/>
                <w:szCs w:val="22"/>
                <w:highlight w:val="none"/>
                <w:lang w:val="en-US" w:eastAsia="zh-CN"/>
              </w:rPr>
              <w:t>保障</w:t>
            </w:r>
            <w:r>
              <w:rPr>
                <w:rFonts w:hint="eastAsia" w:ascii="宋体" w:hAnsi="宋体" w:cs="宋体" w:eastAsiaTheme="minorEastAsia"/>
                <w:color w:val="auto"/>
                <w:kern w:val="0"/>
                <w:szCs w:val="21"/>
                <w:highlight w:val="none"/>
                <w:lang w:val="en-US" w:eastAsia="zh-CN"/>
              </w:rPr>
              <w:t>内容基本完整有效的得2分，</w:t>
            </w:r>
            <w:r>
              <w:rPr>
                <w:rFonts w:hint="eastAsia"/>
                <w:color w:val="auto"/>
                <w:szCs w:val="22"/>
                <w:highlight w:val="none"/>
                <w:lang w:val="en-US" w:eastAsia="zh-CN"/>
              </w:rPr>
              <w:t>保障</w:t>
            </w:r>
            <w:r>
              <w:rPr>
                <w:rFonts w:hint="eastAsia" w:ascii="宋体" w:hAnsi="宋体" w:cs="宋体" w:eastAsiaTheme="minorEastAsia"/>
                <w:color w:val="auto"/>
                <w:kern w:val="0"/>
                <w:szCs w:val="21"/>
                <w:highlight w:val="none"/>
                <w:lang w:val="en-US" w:eastAsia="zh-CN"/>
              </w:rPr>
              <w:t>内容描述但内容有缺失或有欠缺的得1分，未描述的得0分</w:t>
            </w:r>
          </w:p>
        </w:tc>
        <w:tc>
          <w:tcPr>
            <w:tcW w:w="850" w:type="dxa"/>
            <w:vAlign w:val="center"/>
          </w:tcPr>
          <w:p w14:paraId="43C9A7C6">
            <w:pPr>
              <w:pStyle w:val="101"/>
              <w:rPr>
                <w:color w:val="auto"/>
                <w:highlight w:val="none"/>
              </w:rPr>
            </w:pPr>
            <w:r>
              <w:rPr>
                <w:rFonts w:hint="eastAsia"/>
                <w:color w:val="auto"/>
                <w:highlight w:val="none"/>
              </w:rPr>
              <w:t>0</w:t>
            </w:r>
            <w:r>
              <w:rPr>
                <w:color w:val="auto"/>
                <w:highlight w:val="none"/>
              </w:rPr>
              <w:t>-</w:t>
            </w:r>
            <w:r>
              <w:rPr>
                <w:rFonts w:hint="eastAsia"/>
                <w:color w:val="auto"/>
                <w:highlight w:val="none"/>
                <w:lang w:val="en-US" w:eastAsia="zh-CN"/>
              </w:rPr>
              <w:t>12</w:t>
            </w:r>
            <w:r>
              <w:rPr>
                <w:rFonts w:hint="eastAsia"/>
                <w:color w:val="auto"/>
                <w:highlight w:val="none"/>
              </w:rPr>
              <w:t>分</w:t>
            </w:r>
          </w:p>
        </w:tc>
        <w:tc>
          <w:tcPr>
            <w:tcW w:w="913" w:type="dxa"/>
            <w:vAlign w:val="center"/>
          </w:tcPr>
          <w:p w14:paraId="64B02519">
            <w:pPr>
              <w:pStyle w:val="101"/>
              <w:rPr>
                <w:color w:val="auto"/>
                <w:highlight w:val="none"/>
              </w:rPr>
            </w:pPr>
            <w:r>
              <w:rPr>
                <w:rFonts w:hint="eastAsia"/>
                <w:color w:val="auto"/>
                <w:highlight w:val="none"/>
              </w:rPr>
              <w:t>主观分</w:t>
            </w:r>
          </w:p>
        </w:tc>
      </w:tr>
      <w:tr w14:paraId="4527D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28BE401">
            <w:pPr>
              <w:pStyle w:val="101"/>
              <w:rPr>
                <w:rFonts w:hint="default" w:eastAsiaTheme="minorEastAsia"/>
                <w:color w:val="auto"/>
                <w:highlight w:val="none"/>
                <w:lang w:val="en-US" w:eastAsia="zh-CN"/>
              </w:rPr>
            </w:pPr>
            <w:bookmarkStart w:id="293" w:name="OLE_LINK22" w:colFirst="3" w:colLast="4"/>
            <w:r>
              <w:rPr>
                <w:rFonts w:hint="eastAsia"/>
                <w:color w:val="auto"/>
                <w:highlight w:val="none"/>
                <w:lang w:val="en-US" w:eastAsia="zh-CN"/>
              </w:rPr>
              <w:t>11</w:t>
            </w:r>
          </w:p>
        </w:tc>
        <w:tc>
          <w:tcPr>
            <w:tcW w:w="1486" w:type="dxa"/>
            <w:vMerge w:val="restart"/>
            <w:vAlign w:val="center"/>
          </w:tcPr>
          <w:p w14:paraId="7F88CC55">
            <w:pPr>
              <w:pStyle w:val="101"/>
              <w:rPr>
                <w:rFonts w:hint="eastAsia" w:eastAsiaTheme="minorEastAsia"/>
                <w:color w:val="auto"/>
                <w:highlight w:val="none"/>
                <w:lang w:val="en-US" w:eastAsia="zh-CN"/>
              </w:rPr>
            </w:pPr>
            <w:r>
              <w:rPr>
                <w:rFonts w:hint="eastAsia" w:cs="Times New Roman" w:asciiTheme="minorEastAsia" w:hAnsiTheme="minorEastAsia" w:eastAsiaTheme="minorEastAsia"/>
                <w:b/>
                <w:bCs/>
                <w:color w:val="auto"/>
                <w:kern w:val="2"/>
                <w:sz w:val="21"/>
                <w:szCs w:val="21"/>
                <w:highlight w:val="none"/>
                <w:lang w:val="en-US" w:eastAsia="zh-CN" w:bidi="ar-SA"/>
              </w:rPr>
              <w:t>服务方案</w:t>
            </w:r>
            <w:r>
              <w:rPr>
                <w:rFonts w:hint="eastAsia" w:cs="Times New Roman"/>
                <w:b/>
                <w:bCs/>
                <w:color w:val="auto"/>
                <w:kern w:val="2"/>
                <w:sz w:val="21"/>
                <w:szCs w:val="21"/>
                <w:highlight w:val="none"/>
                <w:lang w:val="en-US" w:eastAsia="zh-CN" w:bidi="ar-SA"/>
              </w:rPr>
              <w:t>（21分）</w:t>
            </w:r>
          </w:p>
        </w:tc>
        <w:tc>
          <w:tcPr>
            <w:tcW w:w="5062" w:type="dxa"/>
            <w:vAlign w:val="center"/>
          </w:tcPr>
          <w:p w14:paraId="3DD35355">
            <w:pPr>
              <w:pStyle w:val="101"/>
              <w:rPr>
                <w:rFonts w:hint="eastAsia" w:ascii="宋体" w:hAnsi="宋体" w:cs="Times New Roman"/>
                <w:bCs/>
                <w:color w:val="auto"/>
                <w:spacing w:val="-4"/>
                <w:kern w:val="0"/>
                <w:highlight w:val="none"/>
                <w:lang w:val="en-US" w:eastAsia="zh-CN"/>
              </w:rPr>
            </w:pPr>
            <w:r>
              <w:rPr>
                <w:rFonts w:hint="eastAsia" w:ascii="宋体" w:hAnsi="宋体" w:cs="Times New Roman"/>
                <w:bCs/>
                <w:color w:val="auto"/>
                <w:spacing w:val="-4"/>
                <w:kern w:val="0"/>
                <w:highlight w:val="none"/>
                <w:lang w:val="en-US" w:eastAsia="zh-CN"/>
              </w:rPr>
              <w:t>投标人服务期间的时间响应程度，</w:t>
            </w:r>
          </w:p>
          <w:p w14:paraId="20C1C2A6">
            <w:pPr>
              <w:pStyle w:val="101"/>
              <w:numPr>
                <w:ilvl w:val="0"/>
                <w:numId w:val="9"/>
              </w:num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包含远程响应时间</w:t>
            </w:r>
            <w:r>
              <w:rPr>
                <w:rFonts w:hint="eastAsia"/>
                <w:color w:val="auto"/>
                <w:szCs w:val="21"/>
                <w:highlight w:val="none"/>
                <w:lang w:eastAsia="zh-CN"/>
              </w:rPr>
              <w:t>，</w:t>
            </w:r>
            <w:r>
              <w:rPr>
                <w:rFonts w:hint="eastAsia" w:ascii="宋体" w:hAnsi="宋体" w:cs="宋体" w:eastAsiaTheme="minorEastAsia"/>
                <w:color w:val="auto"/>
                <w:kern w:val="0"/>
                <w:szCs w:val="21"/>
                <w:highlight w:val="none"/>
                <w:lang w:val="en-US" w:eastAsia="zh-CN"/>
              </w:rPr>
              <w:t>时效性强的得</w:t>
            </w:r>
            <w:r>
              <w:rPr>
                <w:rFonts w:hint="eastAsia" w:ascii="宋体" w:hAnsi="宋体" w:cs="宋体"/>
                <w:color w:val="auto"/>
                <w:kern w:val="0"/>
                <w:szCs w:val="21"/>
                <w:highlight w:val="none"/>
                <w:lang w:val="en-US" w:eastAsia="zh-CN"/>
              </w:rPr>
              <w:t>3</w:t>
            </w:r>
            <w:r>
              <w:rPr>
                <w:rFonts w:hint="eastAsia" w:ascii="宋体" w:hAnsi="宋体" w:cs="宋体" w:eastAsiaTheme="minorEastAsia"/>
                <w:color w:val="auto"/>
                <w:kern w:val="0"/>
                <w:szCs w:val="21"/>
                <w:highlight w:val="none"/>
                <w:lang w:val="en-US" w:eastAsia="zh-CN"/>
              </w:rPr>
              <w:t>分，内容时效基本合理的得</w:t>
            </w:r>
            <w:r>
              <w:rPr>
                <w:rFonts w:hint="eastAsia" w:ascii="宋体" w:hAnsi="宋体" w:cs="宋体"/>
                <w:color w:val="auto"/>
                <w:kern w:val="0"/>
                <w:szCs w:val="21"/>
                <w:highlight w:val="none"/>
                <w:lang w:val="en-US" w:eastAsia="zh-CN"/>
              </w:rPr>
              <w:t>2</w:t>
            </w:r>
            <w:r>
              <w:rPr>
                <w:rFonts w:hint="eastAsia" w:ascii="宋体" w:hAnsi="宋体" w:cs="宋体" w:eastAsiaTheme="minorEastAsia"/>
                <w:color w:val="auto"/>
                <w:kern w:val="0"/>
                <w:szCs w:val="21"/>
                <w:highlight w:val="none"/>
                <w:lang w:val="en-US" w:eastAsia="zh-CN"/>
              </w:rPr>
              <w:t>分，</w:t>
            </w:r>
            <w:r>
              <w:rPr>
                <w:rFonts w:hint="eastAsia" w:ascii="宋体" w:hAnsi="宋体" w:cs="宋体"/>
                <w:color w:val="auto"/>
                <w:kern w:val="0"/>
                <w:szCs w:val="21"/>
                <w:highlight w:val="none"/>
                <w:lang w:val="en-US" w:eastAsia="zh-CN"/>
              </w:rPr>
              <w:t>时效性有欠缺的得1分；</w:t>
            </w:r>
            <w:r>
              <w:rPr>
                <w:rFonts w:hint="eastAsia" w:ascii="宋体" w:hAnsi="宋体" w:cs="宋体" w:eastAsiaTheme="minorEastAsia"/>
                <w:color w:val="auto"/>
                <w:kern w:val="0"/>
                <w:szCs w:val="21"/>
                <w:highlight w:val="none"/>
                <w:lang w:val="en-US" w:eastAsia="zh-CN"/>
              </w:rPr>
              <w:t>未描述的得0分</w:t>
            </w:r>
          </w:p>
          <w:p w14:paraId="0F4620BC">
            <w:pPr>
              <w:pStyle w:val="101"/>
              <w:numPr>
                <w:ilvl w:val="0"/>
                <w:numId w:val="9"/>
              </w:num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不同等级解决问题时间</w:t>
            </w:r>
            <w:r>
              <w:rPr>
                <w:rFonts w:hint="eastAsia"/>
                <w:color w:val="auto"/>
                <w:szCs w:val="21"/>
                <w:highlight w:val="none"/>
                <w:lang w:eastAsia="zh-CN"/>
              </w:rPr>
              <w:t>，</w:t>
            </w:r>
            <w:r>
              <w:rPr>
                <w:rFonts w:hint="eastAsia" w:ascii="宋体" w:hAnsi="宋体" w:cs="宋体" w:eastAsiaTheme="minorEastAsia"/>
                <w:color w:val="auto"/>
                <w:kern w:val="0"/>
                <w:szCs w:val="21"/>
                <w:highlight w:val="none"/>
                <w:lang w:val="en-US" w:eastAsia="zh-CN"/>
              </w:rPr>
              <w:t>时效性强的得</w:t>
            </w:r>
            <w:r>
              <w:rPr>
                <w:rFonts w:hint="eastAsia" w:ascii="宋体" w:hAnsi="宋体" w:cs="宋体"/>
                <w:color w:val="auto"/>
                <w:kern w:val="0"/>
                <w:szCs w:val="21"/>
                <w:highlight w:val="none"/>
                <w:lang w:val="en-US" w:eastAsia="zh-CN"/>
              </w:rPr>
              <w:t>3</w:t>
            </w:r>
            <w:r>
              <w:rPr>
                <w:rFonts w:hint="eastAsia" w:ascii="宋体" w:hAnsi="宋体" w:cs="宋体" w:eastAsiaTheme="minorEastAsia"/>
                <w:color w:val="auto"/>
                <w:kern w:val="0"/>
                <w:szCs w:val="21"/>
                <w:highlight w:val="none"/>
                <w:lang w:val="en-US" w:eastAsia="zh-CN"/>
              </w:rPr>
              <w:t>分，内容时效基本合理的得</w:t>
            </w:r>
            <w:r>
              <w:rPr>
                <w:rFonts w:hint="eastAsia" w:ascii="宋体" w:hAnsi="宋体" w:cs="宋体"/>
                <w:color w:val="auto"/>
                <w:kern w:val="0"/>
                <w:szCs w:val="21"/>
                <w:highlight w:val="none"/>
                <w:lang w:val="en-US" w:eastAsia="zh-CN"/>
              </w:rPr>
              <w:t>2</w:t>
            </w:r>
            <w:r>
              <w:rPr>
                <w:rFonts w:hint="eastAsia" w:ascii="宋体" w:hAnsi="宋体" w:cs="宋体" w:eastAsiaTheme="minorEastAsia"/>
                <w:color w:val="auto"/>
                <w:kern w:val="0"/>
                <w:szCs w:val="21"/>
                <w:highlight w:val="none"/>
                <w:lang w:val="en-US" w:eastAsia="zh-CN"/>
              </w:rPr>
              <w:t>分，</w:t>
            </w:r>
            <w:r>
              <w:rPr>
                <w:rFonts w:hint="eastAsia" w:ascii="宋体" w:hAnsi="宋体" w:cs="宋体"/>
                <w:color w:val="auto"/>
                <w:kern w:val="0"/>
                <w:szCs w:val="21"/>
                <w:highlight w:val="none"/>
                <w:lang w:val="en-US" w:eastAsia="zh-CN"/>
              </w:rPr>
              <w:t>时效性有欠缺的得1分；</w:t>
            </w:r>
            <w:r>
              <w:rPr>
                <w:rFonts w:hint="eastAsia" w:ascii="宋体" w:hAnsi="宋体" w:cs="宋体" w:eastAsiaTheme="minorEastAsia"/>
                <w:color w:val="auto"/>
                <w:kern w:val="0"/>
                <w:szCs w:val="21"/>
                <w:highlight w:val="none"/>
                <w:lang w:val="en-US" w:eastAsia="zh-CN"/>
              </w:rPr>
              <w:t>未描述的得0分</w:t>
            </w:r>
          </w:p>
          <w:p w14:paraId="056AEEF3">
            <w:pPr>
              <w:pStyle w:val="101"/>
              <w:numPr>
                <w:ilvl w:val="0"/>
                <w:numId w:val="9"/>
              </w:numPr>
              <w:rPr>
                <w:rFonts w:hint="default" w:eastAsiaTheme="minorEastAsia"/>
                <w:color w:val="auto"/>
                <w:highlight w:val="none"/>
                <w:lang w:val="en-US" w:eastAsia="zh-CN"/>
              </w:rPr>
            </w:pPr>
            <w:r>
              <w:rPr>
                <w:rFonts w:hint="eastAsia" w:asciiTheme="minorEastAsia" w:hAnsiTheme="minorEastAsia" w:eastAsiaTheme="minorEastAsia"/>
                <w:color w:val="auto"/>
                <w:szCs w:val="21"/>
                <w:highlight w:val="none"/>
              </w:rPr>
              <w:t>到达现场</w:t>
            </w:r>
            <w:r>
              <w:rPr>
                <w:rFonts w:hint="eastAsia" w:asciiTheme="minorEastAsia" w:hAnsiTheme="minorEastAsia" w:eastAsiaTheme="minorEastAsia"/>
                <w:color w:val="auto"/>
                <w:szCs w:val="21"/>
                <w:highlight w:val="none"/>
                <w:lang w:val="en-US" w:eastAsia="zh-CN"/>
              </w:rPr>
              <w:t>解决问题</w:t>
            </w:r>
            <w:r>
              <w:rPr>
                <w:rFonts w:hint="eastAsia" w:asciiTheme="minorEastAsia" w:hAnsiTheme="minorEastAsia" w:eastAsiaTheme="minorEastAsia"/>
                <w:color w:val="auto"/>
                <w:szCs w:val="21"/>
                <w:highlight w:val="none"/>
              </w:rPr>
              <w:t>时间</w:t>
            </w:r>
            <w:r>
              <w:rPr>
                <w:rFonts w:hint="eastAsia"/>
                <w:color w:val="auto"/>
                <w:szCs w:val="21"/>
                <w:highlight w:val="none"/>
                <w:lang w:eastAsia="zh-CN"/>
              </w:rPr>
              <w:t>，</w:t>
            </w:r>
            <w:r>
              <w:rPr>
                <w:rFonts w:hint="eastAsia" w:ascii="宋体" w:hAnsi="宋体" w:cs="宋体" w:eastAsiaTheme="minorEastAsia"/>
                <w:color w:val="auto"/>
                <w:kern w:val="0"/>
                <w:szCs w:val="21"/>
                <w:highlight w:val="none"/>
                <w:lang w:val="en-US" w:eastAsia="zh-CN"/>
              </w:rPr>
              <w:t>时效性强的得</w:t>
            </w:r>
            <w:r>
              <w:rPr>
                <w:rFonts w:hint="eastAsia" w:ascii="宋体" w:hAnsi="宋体" w:cs="宋体"/>
                <w:color w:val="auto"/>
                <w:kern w:val="0"/>
                <w:szCs w:val="21"/>
                <w:highlight w:val="none"/>
                <w:lang w:val="en-US" w:eastAsia="zh-CN"/>
              </w:rPr>
              <w:t>3</w:t>
            </w:r>
            <w:r>
              <w:rPr>
                <w:rFonts w:hint="eastAsia" w:ascii="宋体" w:hAnsi="宋体" w:cs="宋体" w:eastAsiaTheme="minorEastAsia"/>
                <w:color w:val="auto"/>
                <w:kern w:val="0"/>
                <w:szCs w:val="21"/>
                <w:highlight w:val="none"/>
                <w:lang w:val="en-US" w:eastAsia="zh-CN"/>
              </w:rPr>
              <w:t>分，内容时效基本合理的得</w:t>
            </w:r>
            <w:r>
              <w:rPr>
                <w:rFonts w:hint="eastAsia" w:ascii="宋体" w:hAnsi="宋体" w:cs="宋体"/>
                <w:color w:val="auto"/>
                <w:kern w:val="0"/>
                <w:szCs w:val="21"/>
                <w:highlight w:val="none"/>
                <w:lang w:val="en-US" w:eastAsia="zh-CN"/>
              </w:rPr>
              <w:t>2</w:t>
            </w:r>
            <w:r>
              <w:rPr>
                <w:rFonts w:hint="eastAsia" w:ascii="宋体" w:hAnsi="宋体" w:cs="宋体" w:eastAsiaTheme="minorEastAsia"/>
                <w:color w:val="auto"/>
                <w:kern w:val="0"/>
                <w:szCs w:val="21"/>
                <w:highlight w:val="none"/>
                <w:lang w:val="en-US" w:eastAsia="zh-CN"/>
              </w:rPr>
              <w:t>分，</w:t>
            </w:r>
            <w:r>
              <w:rPr>
                <w:rFonts w:hint="eastAsia" w:ascii="宋体" w:hAnsi="宋体" w:cs="宋体"/>
                <w:color w:val="auto"/>
                <w:kern w:val="0"/>
                <w:szCs w:val="21"/>
                <w:highlight w:val="none"/>
                <w:lang w:val="en-US" w:eastAsia="zh-CN"/>
              </w:rPr>
              <w:t>时效性有欠缺的得1分；</w:t>
            </w:r>
            <w:r>
              <w:rPr>
                <w:rFonts w:hint="eastAsia" w:ascii="宋体" w:hAnsi="宋体" w:cs="宋体" w:eastAsiaTheme="minorEastAsia"/>
                <w:color w:val="auto"/>
                <w:kern w:val="0"/>
                <w:szCs w:val="21"/>
                <w:highlight w:val="none"/>
                <w:lang w:val="en-US" w:eastAsia="zh-CN"/>
              </w:rPr>
              <w:t>未描述的得0分</w:t>
            </w:r>
          </w:p>
        </w:tc>
        <w:tc>
          <w:tcPr>
            <w:tcW w:w="850" w:type="dxa"/>
            <w:vAlign w:val="center"/>
          </w:tcPr>
          <w:p w14:paraId="539C3BBE">
            <w:pPr>
              <w:pStyle w:val="101"/>
              <w:rPr>
                <w:color w:val="auto"/>
                <w:highlight w:val="none"/>
              </w:rPr>
            </w:pPr>
            <w:r>
              <w:rPr>
                <w:rFonts w:hint="eastAsia"/>
                <w:color w:val="auto"/>
                <w:highlight w:val="none"/>
              </w:rPr>
              <w:t>0-</w:t>
            </w:r>
            <w:r>
              <w:rPr>
                <w:rFonts w:hint="eastAsia"/>
                <w:color w:val="auto"/>
                <w:highlight w:val="none"/>
                <w:lang w:val="en-US" w:eastAsia="zh-CN"/>
              </w:rPr>
              <w:t>9</w:t>
            </w:r>
            <w:r>
              <w:rPr>
                <w:rFonts w:hint="eastAsia"/>
                <w:color w:val="auto"/>
                <w:highlight w:val="none"/>
              </w:rPr>
              <w:t>分</w:t>
            </w:r>
          </w:p>
        </w:tc>
        <w:tc>
          <w:tcPr>
            <w:tcW w:w="913" w:type="dxa"/>
            <w:vAlign w:val="center"/>
          </w:tcPr>
          <w:p w14:paraId="354C1108">
            <w:pPr>
              <w:pStyle w:val="101"/>
              <w:rPr>
                <w:color w:val="auto"/>
                <w:highlight w:val="none"/>
              </w:rPr>
            </w:pPr>
            <w:r>
              <w:rPr>
                <w:rFonts w:hint="eastAsia"/>
                <w:color w:val="auto"/>
                <w:highlight w:val="none"/>
              </w:rPr>
              <w:t>主观分</w:t>
            </w:r>
          </w:p>
        </w:tc>
      </w:tr>
      <w:tr w14:paraId="7567F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EA9C381">
            <w:pPr>
              <w:pStyle w:val="101"/>
              <w:rPr>
                <w:rFonts w:hint="default"/>
                <w:color w:val="auto"/>
                <w:highlight w:val="none"/>
                <w:lang w:val="en-US" w:eastAsia="zh-CN"/>
              </w:rPr>
            </w:pPr>
            <w:bookmarkStart w:id="294" w:name="OLE_LINK31" w:colFirst="3" w:colLast="4"/>
            <w:r>
              <w:rPr>
                <w:rFonts w:hint="eastAsia"/>
                <w:color w:val="auto"/>
                <w:highlight w:val="none"/>
                <w:lang w:val="en-US" w:eastAsia="zh-CN"/>
              </w:rPr>
              <w:t>12</w:t>
            </w:r>
          </w:p>
        </w:tc>
        <w:tc>
          <w:tcPr>
            <w:tcW w:w="1486" w:type="dxa"/>
            <w:vMerge w:val="continue"/>
            <w:vAlign w:val="center"/>
          </w:tcPr>
          <w:p w14:paraId="7AC9ABC6">
            <w:pPr>
              <w:pStyle w:val="101"/>
              <w:rPr>
                <w:color w:val="auto"/>
                <w:highlight w:val="none"/>
              </w:rPr>
            </w:pPr>
          </w:p>
        </w:tc>
        <w:tc>
          <w:tcPr>
            <w:tcW w:w="5062" w:type="dxa"/>
            <w:vAlign w:val="center"/>
          </w:tcPr>
          <w:p w14:paraId="079B326C">
            <w:pPr>
              <w:snapToGrid w:val="0"/>
              <w:spacing w:line="360" w:lineRule="auto"/>
              <w:jc w:val="left"/>
              <w:rPr>
                <w:rFonts w:hint="eastAsia" w:ascii="宋体" w:hAnsi="宋体" w:cs="宋体"/>
                <w:color w:val="auto"/>
                <w:szCs w:val="21"/>
                <w:highlight w:val="none"/>
              </w:rPr>
            </w:pPr>
            <w:r>
              <w:rPr>
                <w:rFonts w:hint="eastAsia"/>
                <w:color w:val="auto"/>
                <w:highlight w:val="none"/>
                <w:lang w:val="en-US" w:eastAsia="zh-CN"/>
              </w:rPr>
              <w:t xml:space="preserve"> </w:t>
            </w:r>
            <w:r>
              <w:rPr>
                <w:rFonts w:hint="eastAsia" w:ascii="宋体" w:hAnsi="宋体" w:cs="宋体"/>
                <w:color w:val="auto"/>
                <w:szCs w:val="21"/>
                <w:highlight w:val="none"/>
              </w:rPr>
              <w:t>安全方案：</w:t>
            </w:r>
          </w:p>
          <w:p w14:paraId="0C05EBA1">
            <w:pPr>
              <w:numPr>
                <w:ilvl w:val="0"/>
                <w:numId w:val="10"/>
              </w:numPr>
              <w:snapToGrid w:val="0"/>
              <w:spacing w:line="360" w:lineRule="auto"/>
              <w:jc w:val="left"/>
              <w:rPr>
                <w:rFonts w:hint="eastAsia" w:ascii="宋体" w:hAnsi="宋体" w:cs="宋体"/>
                <w:color w:val="auto"/>
                <w:kern w:val="0"/>
                <w:szCs w:val="21"/>
                <w:highlight w:val="none"/>
              </w:rPr>
            </w:pPr>
            <w:r>
              <w:rPr>
                <w:rFonts w:hint="eastAsia" w:ascii="宋体" w:hAnsi="宋体" w:cs="宋体"/>
                <w:color w:val="auto"/>
                <w:szCs w:val="21"/>
                <w:highlight w:val="none"/>
                <w:lang w:val="en-US" w:eastAsia="zh-CN"/>
              </w:rPr>
              <w:t>数据安全：</w:t>
            </w:r>
            <w:r>
              <w:rPr>
                <w:rFonts w:hint="eastAsia" w:ascii="宋体" w:hAnsi="宋体" w:cs="宋体"/>
                <w:color w:val="auto"/>
                <w:szCs w:val="21"/>
                <w:highlight w:val="none"/>
              </w:rPr>
              <w:t>投标人应建立健全数据安全管理制度、制定数据安全保障措施，保障数据安全，方案完整详细可行的得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r>
              <w:rPr>
                <w:rFonts w:hint="eastAsia" w:ascii="宋体" w:hAnsi="宋体" w:cs="宋体"/>
                <w:color w:val="auto"/>
                <w:kern w:val="0"/>
                <w:szCs w:val="21"/>
                <w:highlight w:val="none"/>
                <w:lang w:val="en-US" w:eastAsia="zh-CN"/>
              </w:rPr>
              <w:t>方案较完整可实施的得2分</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方案基本可行但部分欠缺的得1分，</w:t>
            </w:r>
            <w:r>
              <w:rPr>
                <w:rFonts w:hint="eastAsia" w:ascii="宋体" w:hAnsi="宋体" w:cs="宋体"/>
                <w:color w:val="auto"/>
                <w:kern w:val="0"/>
                <w:szCs w:val="21"/>
                <w:highlight w:val="none"/>
              </w:rPr>
              <w:t>未表述</w:t>
            </w:r>
            <w:r>
              <w:rPr>
                <w:rFonts w:hint="eastAsia" w:ascii="宋体" w:hAnsi="宋体" w:cs="宋体"/>
                <w:color w:val="auto"/>
                <w:kern w:val="0"/>
                <w:szCs w:val="21"/>
                <w:highlight w:val="none"/>
                <w:lang w:val="en-US" w:eastAsia="zh-CN"/>
              </w:rPr>
              <w:t>的得0分</w:t>
            </w:r>
            <w:r>
              <w:rPr>
                <w:rFonts w:hint="eastAsia" w:ascii="宋体" w:hAnsi="宋体" w:cs="宋体"/>
                <w:color w:val="auto"/>
                <w:kern w:val="0"/>
                <w:szCs w:val="21"/>
                <w:highlight w:val="none"/>
              </w:rPr>
              <w:t>。</w:t>
            </w:r>
          </w:p>
          <w:p w14:paraId="6356319B">
            <w:pPr>
              <w:pStyle w:val="101"/>
              <w:numPr>
                <w:ilvl w:val="0"/>
                <w:numId w:val="10"/>
              </w:numPr>
              <w:ind w:left="0" w:leftChars="0" w:firstLine="0" w:firstLineChars="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人员安全：</w:t>
            </w:r>
          </w:p>
          <w:p w14:paraId="3F0E2B85">
            <w:pPr>
              <w:pStyle w:val="101"/>
              <w:numPr>
                <w:ilvl w:val="0"/>
                <w:numId w:val="0"/>
              </w:numPr>
              <w:ind w:leftChars="0"/>
              <w:rPr>
                <w:rFonts w:hint="eastAsia" w:ascii="宋体" w:hAnsi="宋体" w:cs="宋体"/>
                <w:color w:val="auto"/>
                <w:kern w:val="0"/>
                <w:szCs w:val="21"/>
                <w:highlight w:val="none"/>
              </w:rPr>
            </w:pPr>
            <w:r>
              <w:rPr>
                <w:rFonts w:hint="default" w:ascii="Calibri" w:hAnsi="Calibri" w:cs="Calibri"/>
                <w:color w:val="auto"/>
                <w:kern w:val="0"/>
                <w:szCs w:val="21"/>
                <w:highlight w:val="none"/>
                <w:lang w:val="en-US" w:eastAsia="zh-CN"/>
              </w:rPr>
              <w:t>①</w:t>
            </w:r>
            <w:r>
              <w:rPr>
                <w:rFonts w:hint="eastAsia" w:ascii="宋体" w:hAnsi="宋体" w:cs="宋体"/>
                <w:color w:val="auto"/>
                <w:kern w:val="0"/>
                <w:szCs w:val="21"/>
                <w:highlight w:val="none"/>
                <w:lang w:val="en-US" w:eastAsia="zh-CN"/>
              </w:rPr>
              <w:t>投标人对人员治理安全管理措施，具有规范的现场操作流程、完善的安全制度</w:t>
            </w:r>
            <w:r>
              <w:rPr>
                <w:rFonts w:hint="eastAsia" w:ascii="宋体" w:hAnsi="宋体" w:cs="宋体"/>
                <w:color w:val="auto"/>
                <w:szCs w:val="21"/>
                <w:highlight w:val="none"/>
              </w:rPr>
              <w:t>的得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r>
              <w:rPr>
                <w:rFonts w:hint="eastAsia" w:ascii="宋体" w:hAnsi="宋体" w:cs="宋体"/>
                <w:color w:val="auto"/>
                <w:szCs w:val="21"/>
                <w:highlight w:val="none"/>
                <w:lang w:val="en-US" w:eastAsia="zh-CN"/>
              </w:rPr>
              <w:t>现场操作流程基本规范、安全制度基本完善的得2分</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现场操作流程及安全制度建立但部分有欠缺的得1分，</w:t>
            </w:r>
            <w:r>
              <w:rPr>
                <w:rFonts w:hint="eastAsia" w:ascii="宋体" w:hAnsi="宋体" w:cs="宋体"/>
                <w:color w:val="auto"/>
                <w:kern w:val="0"/>
                <w:szCs w:val="21"/>
                <w:highlight w:val="none"/>
              </w:rPr>
              <w:t>未表述</w:t>
            </w:r>
            <w:r>
              <w:rPr>
                <w:rFonts w:hint="eastAsia" w:ascii="宋体" w:hAnsi="宋体" w:cs="宋体"/>
                <w:color w:val="auto"/>
                <w:kern w:val="0"/>
                <w:szCs w:val="21"/>
                <w:highlight w:val="none"/>
                <w:lang w:val="en-US" w:eastAsia="zh-CN"/>
              </w:rPr>
              <w:t>的得0分</w:t>
            </w:r>
            <w:r>
              <w:rPr>
                <w:rFonts w:hint="eastAsia" w:ascii="宋体" w:hAnsi="宋体" w:cs="宋体"/>
                <w:color w:val="auto"/>
                <w:kern w:val="0"/>
                <w:szCs w:val="21"/>
                <w:highlight w:val="none"/>
              </w:rPr>
              <w:t>。</w:t>
            </w:r>
          </w:p>
          <w:p w14:paraId="4D1BE554">
            <w:pPr>
              <w:pStyle w:val="101"/>
              <w:numPr>
                <w:ilvl w:val="0"/>
                <w:numId w:val="0"/>
              </w:numPr>
              <w:ind w:leftChars="0"/>
              <w:rPr>
                <w:rFonts w:hint="default" w:eastAsiaTheme="minorEastAsia"/>
                <w:color w:val="auto"/>
                <w:highlight w:val="none"/>
                <w:lang w:val="en-US" w:eastAsia="zh-CN"/>
              </w:rPr>
            </w:pPr>
            <w:r>
              <w:rPr>
                <w:rFonts w:hint="default" w:ascii="Calibri" w:hAnsi="Calibri" w:cs="Calibri"/>
                <w:color w:val="auto"/>
                <w:kern w:val="0"/>
                <w:szCs w:val="21"/>
                <w:highlight w:val="none"/>
              </w:rPr>
              <w:t>②</w:t>
            </w:r>
            <w:r>
              <w:rPr>
                <w:rFonts w:hint="eastAsia" w:ascii="宋体" w:hAnsi="宋体" w:cs="宋体"/>
                <w:color w:val="auto"/>
                <w:kern w:val="0"/>
                <w:szCs w:val="21"/>
                <w:highlight w:val="none"/>
                <w:lang w:val="en-US" w:eastAsia="zh-CN"/>
              </w:rPr>
              <w:t>对团队成员提供有效期内的意外伤害保险及职业责任保险的或承诺项目实施前购买以上保险的得1分</w:t>
            </w:r>
            <w:r>
              <w:rPr>
                <w:rFonts w:hint="eastAsia" w:ascii="宋体" w:hAnsi="宋体" w:cs="宋体"/>
                <w:b/>
                <w:bCs/>
                <w:color w:val="auto"/>
                <w:kern w:val="0"/>
                <w:szCs w:val="21"/>
                <w:highlight w:val="none"/>
                <w:lang w:val="en-US" w:eastAsia="zh-CN"/>
              </w:rPr>
              <w:t>（若已购买的提供保单复印件或承诺书并CA签章）</w:t>
            </w:r>
          </w:p>
        </w:tc>
        <w:tc>
          <w:tcPr>
            <w:tcW w:w="850" w:type="dxa"/>
            <w:vAlign w:val="center"/>
          </w:tcPr>
          <w:p w14:paraId="019EF902">
            <w:pPr>
              <w:pStyle w:val="101"/>
              <w:rPr>
                <w:rFonts w:hint="eastAsia"/>
                <w:color w:val="auto"/>
                <w:highlight w:val="none"/>
              </w:rPr>
            </w:pPr>
            <w:r>
              <w:rPr>
                <w:rFonts w:hint="eastAsia"/>
                <w:color w:val="auto"/>
                <w:highlight w:val="none"/>
              </w:rPr>
              <w:t>0-</w:t>
            </w:r>
            <w:r>
              <w:rPr>
                <w:rFonts w:hint="eastAsia"/>
                <w:color w:val="auto"/>
                <w:highlight w:val="none"/>
                <w:lang w:val="en-US" w:eastAsia="zh-CN"/>
              </w:rPr>
              <w:t>7</w:t>
            </w:r>
            <w:r>
              <w:rPr>
                <w:rFonts w:hint="eastAsia"/>
                <w:color w:val="auto"/>
                <w:highlight w:val="none"/>
              </w:rPr>
              <w:t>分</w:t>
            </w:r>
          </w:p>
        </w:tc>
        <w:tc>
          <w:tcPr>
            <w:tcW w:w="913" w:type="dxa"/>
            <w:vAlign w:val="center"/>
          </w:tcPr>
          <w:p w14:paraId="7A0B8374">
            <w:pPr>
              <w:pStyle w:val="101"/>
              <w:rPr>
                <w:rFonts w:hint="eastAsia"/>
                <w:color w:val="auto"/>
                <w:highlight w:val="none"/>
              </w:rPr>
            </w:pPr>
            <w:r>
              <w:rPr>
                <w:rFonts w:hint="eastAsia"/>
                <w:color w:val="auto"/>
                <w:highlight w:val="none"/>
              </w:rPr>
              <w:t>主观分</w:t>
            </w:r>
          </w:p>
        </w:tc>
      </w:tr>
      <w:tr w14:paraId="15A64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5710F5C">
            <w:pPr>
              <w:pStyle w:val="101"/>
              <w:rPr>
                <w:rFonts w:hint="default" w:eastAsiaTheme="minorEastAsia"/>
                <w:color w:val="auto"/>
                <w:highlight w:val="none"/>
                <w:lang w:val="en-US" w:eastAsia="zh-CN"/>
              </w:rPr>
            </w:pPr>
            <w:r>
              <w:rPr>
                <w:rFonts w:hint="eastAsia"/>
                <w:color w:val="auto"/>
                <w:highlight w:val="none"/>
                <w:lang w:val="en-US" w:eastAsia="zh-CN"/>
              </w:rPr>
              <w:t>13</w:t>
            </w:r>
          </w:p>
        </w:tc>
        <w:tc>
          <w:tcPr>
            <w:tcW w:w="1486" w:type="dxa"/>
            <w:vMerge w:val="continue"/>
            <w:vAlign w:val="center"/>
          </w:tcPr>
          <w:p w14:paraId="35E757C4">
            <w:pPr>
              <w:pStyle w:val="101"/>
              <w:rPr>
                <w:color w:val="auto"/>
                <w:highlight w:val="none"/>
              </w:rPr>
            </w:pPr>
          </w:p>
        </w:tc>
        <w:tc>
          <w:tcPr>
            <w:tcW w:w="5062" w:type="dxa"/>
            <w:vAlign w:val="center"/>
          </w:tcPr>
          <w:p w14:paraId="3CE180F8">
            <w:pPr>
              <w:pStyle w:val="101"/>
              <w:rPr>
                <w:rFonts w:hint="default"/>
                <w:color w:val="auto"/>
                <w:highlight w:val="none"/>
                <w:lang w:val="en-US"/>
              </w:rPr>
            </w:pPr>
            <w:r>
              <w:rPr>
                <w:rFonts w:hint="eastAsia" w:ascii="宋体" w:hAnsi="宋体" w:cs="Times New Roman"/>
                <w:bCs/>
                <w:color w:val="auto"/>
                <w:spacing w:val="-4"/>
                <w:kern w:val="0"/>
                <w:highlight w:val="none"/>
                <w:lang w:val="en-US" w:eastAsia="zh-CN"/>
              </w:rPr>
              <w:t>投标人制定日常现场、系统巡检方案，</w:t>
            </w:r>
            <w:r>
              <w:rPr>
                <w:rFonts w:hint="eastAsia" w:ascii="宋体" w:hAnsi="宋体" w:cs="宋体" w:eastAsiaTheme="minorEastAsia"/>
                <w:color w:val="auto"/>
                <w:kern w:val="0"/>
                <w:szCs w:val="21"/>
                <w:highlight w:val="none"/>
                <w:lang w:val="en-US" w:eastAsia="zh-CN"/>
              </w:rPr>
              <w:t>方案内容完整有效</w:t>
            </w:r>
            <w:r>
              <w:rPr>
                <w:rFonts w:hint="eastAsia" w:ascii="宋体" w:hAnsi="宋体" w:cs="宋体"/>
                <w:color w:val="auto"/>
                <w:kern w:val="0"/>
                <w:szCs w:val="21"/>
                <w:highlight w:val="none"/>
                <w:lang w:val="en-US" w:eastAsia="zh-CN"/>
              </w:rPr>
              <w:t>、覆盖全面、技术路线合理的</w:t>
            </w:r>
            <w:r>
              <w:rPr>
                <w:rFonts w:hint="eastAsia" w:ascii="宋体" w:hAnsi="宋体" w:cs="宋体" w:eastAsiaTheme="minorEastAsia"/>
                <w:color w:val="auto"/>
                <w:kern w:val="0"/>
                <w:szCs w:val="21"/>
                <w:highlight w:val="none"/>
                <w:lang w:val="en-US" w:eastAsia="zh-CN"/>
              </w:rPr>
              <w:t>得</w:t>
            </w:r>
            <w:r>
              <w:rPr>
                <w:rFonts w:hint="eastAsia" w:ascii="宋体" w:hAnsi="宋体" w:cs="宋体"/>
                <w:color w:val="auto"/>
                <w:kern w:val="0"/>
                <w:szCs w:val="21"/>
                <w:highlight w:val="none"/>
                <w:lang w:val="en-US" w:eastAsia="zh-CN"/>
              </w:rPr>
              <w:t>5</w:t>
            </w:r>
            <w:r>
              <w:rPr>
                <w:rFonts w:hint="eastAsia" w:ascii="宋体" w:hAnsi="宋体" w:cs="宋体" w:eastAsiaTheme="minorEastAsia"/>
                <w:color w:val="auto"/>
                <w:kern w:val="0"/>
                <w:szCs w:val="21"/>
                <w:highlight w:val="none"/>
                <w:lang w:val="en-US" w:eastAsia="zh-CN"/>
              </w:rPr>
              <w:t>分，方案内容较完整有效</w:t>
            </w:r>
            <w:r>
              <w:rPr>
                <w:rFonts w:hint="eastAsia" w:ascii="宋体" w:hAnsi="宋体" w:cs="宋体"/>
                <w:color w:val="auto"/>
                <w:kern w:val="0"/>
                <w:szCs w:val="21"/>
                <w:highlight w:val="none"/>
                <w:lang w:val="en-US" w:eastAsia="zh-CN"/>
              </w:rPr>
              <w:t>、基本覆盖的、技术路线基本合理的</w:t>
            </w:r>
            <w:r>
              <w:rPr>
                <w:rFonts w:hint="eastAsia" w:ascii="宋体" w:hAnsi="宋体" w:cs="宋体" w:eastAsiaTheme="minorEastAsia"/>
                <w:color w:val="auto"/>
                <w:kern w:val="0"/>
                <w:szCs w:val="21"/>
                <w:highlight w:val="none"/>
                <w:lang w:val="en-US" w:eastAsia="zh-CN"/>
              </w:rPr>
              <w:t>得</w:t>
            </w:r>
            <w:r>
              <w:rPr>
                <w:rFonts w:hint="eastAsia" w:ascii="宋体" w:hAnsi="宋体" w:cs="宋体"/>
                <w:color w:val="auto"/>
                <w:kern w:val="0"/>
                <w:szCs w:val="21"/>
                <w:highlight w:val="none"/>
                <w:lang w:val="en-US" w:eastAsia="zh-CN"/>
              </w:rPr>
              <w:t>4</w:t>
            </w:r>
            <w:r>
              <w:rPr>
                <w:rFonts w:hint="eastAsia" w:ascii="宋体" w:hAnsi="宋体" w:cs="宋体" w:eastAsiaTheme="minorEastAsia"/>
                <w:color w:val="auto"/>
                <w:kern w:val="0"/>
                <w:szCs w:val="21"/>
                <w:highlight w:val="none"/>
                <w:lang w:val="en-US" w:eastAsia="zh-CN"/>
              </w:rPr>
              <w:t>分，方案内容基本完整有效的得</w:t>
            </w:r>
            <w:r>
              <w:rPr>
                <w:rFonts w:hint="eastAsia" w:ascii="宋体" w:hAnsi="宋体" w:cs="宋体"/>
                <w:color w:val="auto"/>
                <w:kern w:val="0"/>
                <w:szCs w:val="21"/>
                <w:highlight w:val="none"/>
                <w:lang w:val="en-US" w:eastAsia="zh-CN"/>
              </w:rPr>
              <w:t>3</w:t>
            </w:r>
            <w:r>
              <w:rPr>
                <w:rFonts w:hint="eastAsia" w:ascii="宋体" w:hAnsi="宋体" w:cs="宋体" w:eastAsiaTheme="minorEastAsia"/>
                <w:color w:val="auto"/>
                <w:kern w:val="0"/>
                <w:szCs w:val="21"/>
                <w:highlight w:val="none"/>
                <w:lang w:val="en-US" w:eastAsia="zh-CN"/>
              </w:rPr>
              <w:t>分，方案内容描述</w:t>
            </w:r>
            <w:r>
              <w:rPr>
                <w:rFonts w:hint="eastAsia" w:ascii="宋体" w:hAnsi="宋体" w:cs="宋体"/>
                <w:color w:val="auto"/>
                <w:kern w:val="0"/>
                <w:szCs w:val="21"/>
                <w:highlight w:val="none"/>
                <w:lang w:val="en-US" w:eastAsia="zh-CN"/>
              </w:rPr>
              <w:t>部分有效的</w:t>
            </w:r>
            <w:r>
              <w:rPr>
                <w:rFonts w:hint="eastAsia" w:ascii="宋体" w:hAnsi="宋体" w:cs="宋体" w:eastAsiaTheme="minorEastAsia"/>
                <w:color w:val="auto"/>
                <w:kern w:val="0"/>
                <w:szCs w:val="21"/>
                <w:highlight w:val="none"/>
                <w:lang w:val="en-US" w:eastAsia="zh-CN"/>
              </w:rPr>
              <w:t>得</w:t>
            </w:r>
            <w:r>
              <w:rPr>
                <w:rFonts w:hint="eastAsia" w:ascii="宋体" w:hAnsi="宋体" w:cs="宋体"/>
                <w:color w:val="auto"/>
                <w:kern w:val="0"/>
                <w:szCs w:val="21"/>
                <w:highlight w:val="none"/>
                <w:lang w:val="en-US" w:eastAsia="zh-CN"/>
              </w:rPr>
              <w:t>2</w:t>
            </w:r>
            <w:r>
              <w:rPr>
                <w:rFonts w:hint="eastAsia" w:ascii="宋体" w:hAnsi="宋体" w:cs="宋体" w:eastAsiaTheme="minorEastAsia"/>
                <w:color w:val="auto"/>
                <w:kern w:val="0"/>
                <w:szCs w:val="21"/>
                <w:highlight w:val="none"/>
                <w:lang w:val="en-US" w:eastAsia="zh-CN"/>
              </w:rPr>
              <w:t>分，</w:t>
            </w:r>
            <w:r>
              <w:rPr>
                <w:rFonts w:hint="eastAsia" w:ascii="宋体" w:hAnsi="宋体" w:cs="宋体"/>
                <w:color w:val="auto"/>
                <w:kern w:val="0"/>
                <w:szCs w:val="21"/>
                <w:highlight w:val="none"/>
                <w:lang w:val="en-US" w:eastAsia="zh-CN"/>
              </w:rPr>
              <w:t>方案内容部分描述但有欠缺的得1分，方案内容</w:t>
            </w:r>
            <w:r>
              <w:rPr>
                <w:rFonts w:hint="eastAsia" w:ascii="宋体" w:hAnsi="宋体" w:cs="宋体" w:eastAsiaTheme="minorEastAsia"/>
                <w:color w:val="auto"/>
                <w:kern w:val="0"/>
                <w:szCs w:val="21"/>
                <w:highlight w:val="none"/>
                <w:lang w:val="en-US" w:eastAsia="zh-CN"/>
              </w:rPr>
              <w:t>未描述的得0分</w:t>
            </w:r>
          </w:p>
        </w:tc>
        <w:tc>
          <w:tcPr>
            <w:tcW w:w="850" w:type="dxa"/>
            <w:vAlign w:val="center"/>
          </w:tcPr>
          <w:p w14:paraId="151826D5">
            <w:pPr>
              <w:pStyle w:val="101"/>
              <w:rPr>
                <w:color w:val="auto"/>
                <w:highlight w:val="none"/>
              </w:rPr>
            </w:pPr>
            <w:r>
              <w:rPr>
                <w:rFonts w:hint="eastAsia"/>
                <w:color w:val="auto"/>
                <w:highlight w:val="none"/>
              </w:rPr>
              <w:t>0-</w:t>
            </w:r>
            <w:r>
              <w:rPr>
                <w:rFonts w:hint="eastAsia"/>
                <w:color w:val="auto"/>
                <w:highlight w:val="none"/>
                <w:lang w:val="en-US" w:eastAsia="zh-CN"/>
              </w:rPr>
              <w:t>5</w:t>
            </w:r>
            <w:r>
              <w:rPr>
                <w:rFonts w:hint="eastAsia"/>
                <w:color w:val="auto"/>
                <w:highlight w:val="none"/>
              </w:rPr>
              <w:t>分</w:t>
            </w:r>
          </w:p>
        </w:tc>
        <w:tc>
          <w:tcPr>
            <w:tcW w:w="913" w:type="dxa"/>
            <w:vAlign w:val="center"/>
          </w:tcPr>
          <w:p w14:paraId="2996A54D">
            <w:pPr>
              <w:pStyle w:val="101"/>
              <w:rPr>
                <w:color w:val="auto"/>
                <w:highlight w:val="none"/>
              </w:rPr>
            </w:pPr>
            <w:r>
              <w:rPr>
                <w:rFonts w:hint="eastAsia"/>
                <w:color w:val="auto"/>
                <w:highlight w:val="none"/>
              </w:rPr>
              <w:t>主观分</w:t>
            </w:r>
          </w:p>
        </w:tc>
      </w:tr>
      <w:tr w14:paraId="3654E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330E23F">
            <w:pPr>
              <w:pStyle w:val="101"/>
              <w:rPr>
                <w:rFonts w:hint="default"/>
                <w:color w:val="auto"/>
                <w:highlight w:val="none"/>
                <w:lang w:val="en-US" w:eastAsia="zh-CN"/>
              </w:rPr>
            </w:pPr>
            <w:bookmarkStart w:id="295" w:name="OLE_LINK5" w:colFirst="2" w:colLast="4"/>
            <w:r>
              <w:rPr>
                <w:rFonts w:hint="eastAsia"/>
                <w:color w:val="auto"/>
                <w:highlight w:val="none"/>
                <w:lang w:val="en-US" w:eastAsia="zh-CN"/>
              </w:rPr>
              <w:t>14</w:t>
            </w:r>
          </w:p>
        </w:tc>
        <w:tc>
          <w:tcPr>
            <w:tcW w:w="1486" w:type="dxa"/>
            <w:vAlign w:val="center"/>
          </w:tcPr>
          <w:p w14:paraId="36688DE6">
            <w:pPr>
              <w:pStyle w:val="101"/>
              <w:rPr>
                <w:rFonts w:hint="eastAsia" w:eastAsiaTheme="minorEastAsia"/>
                <w:color w:val="auto"/>
                <w:highlight w:val="none"/>
                <w:lang w:val="en-US" w:eastAsia="zh-CN"/>
              </w:rPr>
            </w:pPr>
            <w:r>
              <w:rPr>
                <w:rFonts w:hint="eastAsia" w:ascii="宋体" w:hAnsi="宋体" w:eastAsia="宋体" w:cs="Times New Roman"/>
                <w:b/>
                <w:bCs/>
                <w:color w:val="auto"/>
                <w:kern w:val="2"/>
                <w:sz w:val="21"/>
                <w:szCs w:val="21"/>
                <w:highlight w:val="none"/>
                <w:lang w:val="en-US" w:eastAsia="zh-CN" w:bidi="ar-SA"/>
              </w:rPr>
              <w:t>台账制度（</w:t>
            </w:r>
            <w:r>
              <w:rPr>
                <w:rFonts w:hint="eastAsia" w:ascii="宋体" w:hAnsi="宋体" w:cs="Times New Roman"/>
                <w:b/>
                <w:bCs/>
                <w:color w:val="auto"/>
                <w:kern w:val="2"/>
                <w:sz w:val="21"/>
                <w:szCs w:val="21"/>
                <w:highlight w:val="none"/>
                <w:lang w:val="en-US" w:eastAsia="zh-CN" w:bidi="ar-SA"/>
              </w:rPr>
              <w:t>5</w:t>
            </w:r>
            <w:r>
              <w:rPr>
                <w:rFonts w:hint="eastAsia" w:ascii="宋体" w:hAnsi="宋体" w:eastAsia="宋体" w:cs="Times New Roman"/>
                <w:b/>
                <w:bCs/>
                <w:color w:val="auto"/>
                <w:kern w:val="2"/>
                <w:sz w:val="21"/>
                <w:szCs w:val="21"/>
                <w:highlight w:val="none"/>
                <w:lang w:val="en-US" w:eastAsia="zh-CN" w:bidi="ar-SA"/>
              </w:rPr>
              <w:t>分）</w:t>
            </w:r>
          </w:p>
        </w:tc>
        <w:tc>
          <w:tcPr>
            <w:tcW w:w="5062" w:type="dxa"/>
            <w:vAlign w:val="center"/>
          </w:tcPr>
          <w:p w14:paraId="2A3A808D">
            <w:pPr>
              <w:pStyle w:val="101"/>
              <w:spacing w:line="360" w:lineRule="auto"/>
              <w:rPr>
                <w:rFonts w:hint="eastAsia" w:ascii="宋体" w:hAnsi="宋体" w:cs="Times New Roman"/>
                <w:bCs/>
                <w:color w:val="auto"/>
                <w:spacing w:val="-4"/>
                <w:kern w:val="0"/>
                <w:highlight w:val="none"/>
                <w:lang w:val="en-US" w:eastAsia="zh-CN"/>
              </w:rPr>
            </w:pPr>
            <w:r>
              <w:rPr>
                <w:rFonts w:hint="eastAsia" w:asciiTheme="minorEastAsia" w:hAnsiTheme="minorEastAsia" w:eastAsiaTheme="minorEastAsia"/>
                <w:color w:val="auto"/>
                <w:highlight w:val="none"/>
                <w:lang w:val="en-US" w:eastAsia="zh-CN"/>
              </w:rPr>
              <w:t>投标人具有完善的台账制度，各工作节点进度、各项数据登记并具有健全的台账制度、台账规范、配备专人负责台账及内容核对的得5分，制定完善的台账管理制度的得4分，基本制定台账管理制度的得3分，简要阐述台账制度部分合理的得2分</w:t>
            </w:r>
            <w:r>
              <w:rPr>
                <w:rFonts w:hint="eastAsia" w:cs="Times New Roman" w:asciiTheme="minorEastAsia" w:hAnsiTheme="minorEastAsia" w:eastAsiaTheme="minorEastAsia"/>
                <w:color w:val="auto"/>
                <w:highlight w:val="none"/>
                <w:lang w:val="en-US" w:eastAsia="zh-CN"/>
              </w:rPr>
              <w:t>，简要描述、不够全面的得1分，未描述的得0分</w:t>
            </w:r>
          </w:p>
        </w:tc>
        <w:tc>
          <w:tcPr>
            <w:tcW w:w="850" w:type="dxa"/>
            <w:vAlign w:val="center"/>
          </w:tcPr>
          <w:p w14:paraId="6B66A5CF">
            <w:pPr>
              <w:pStyle w:val="101"/>
              <w:spacing w:line="360" w:lineRule="auto"/>
              <w:jc w:val="center"/>
              <w:rPr>
                <w:rFonts w:hint="eastAsia"/>
                <w:color w:val="auto"/>
                <w:highlight w:val="none"/>
              </w:rPr>
            </w:pPr>
            <w:r>
              <w:rPr>
                <w:rFonts w:hint="eastAsia" w:asciiTheme="minorEastAsia" w:hAnsiTheme="minorEastAsia" w:eastAsiaTheme="minorEastAsia"/>
                <w:color w:val="auto"/>
                <w:highlight w:val="none"/>
                <w:lang w:eastAsia="zh-CN"/>
              </w:rPr>
              <w:t>0-</w:t>
            </w:r>
            <w:r>
              <w:rPr>
                <w:rFonts w:hint="eastAsia" w:asciiTheme="minorEastAsia" w:hAnsiTheme="minorEastAsia" w:eastAsiaTheme="minorEastAsia"/>
                <w:color w:val="auto"/>
                <w:highlight w:val="none"/>
                <w:lang w:val="en-US" w:eastAsia="zh-CN"/>
              </w:rPr>
              <w:t>5</w:t>
            </w:r>
            <w:r>
              <w:rPr>
                <w:rFonts w:hint="eastAsia" w:asciiTheme="minorEastAsia" w:hAnsiTheme="minorEastAsia" w:eastAsiaTheme="minorEastAsia"/>
                <w:color w:val="auto"/>
                <w:highlight w:val="none"/>
              </w:rPr>
              <w:t>分</w:t>
            </w:r>
          </w:p>
        </w:tc>
        <w:tc>
          <w:tcPr>
            <w:tcW w:w="913" w:type="dxa"/>
            <w:vAlign w:val="center"/>
          </w:tcPr>
          <w:p w14:paraId="228425D9">
            <w:pPr>
              <w:pStyle w:val="101"/>
              <w:spacing w:line="360" w:lineRule="auto"/>
              <w:rPr>
                <w:rFonts w:hint="eastAsia"/>
                <w:color w:val="auto"/>
                <w:highlight w:val="none"/>
              </w:rPr>
            </w:pPr>
            <w:r>
              <w:rPr>
                <w:rFonts w:hint="eastAsia" w:asciiTheme="minorEastAsia" w:hAnsiTheme="minorEastAsia" w:eastAsiaTheme="minorEastAsia"/>
                <w:color w:val="auto"/>
                <w:highlight w:val="none"/>
                <w:lang w:val="en-US" w:eastAsia="zh-CN"/>
              </w:rPr>
              <w:t>主观分</w:t>
            </w:r>
          </w:p>
        </w:tc>
      </w:tr>
      <w:bookmarkEnd w:id="293"/>
      <w:bookmarkEnd w:id="294"/>
      <w:bookmarkEnd w:id="295"/>
      <w:tr w14:paraId="4F3A6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5576F02">
            <w:pPr>
              <w:pStyle w:val="101"/>
              <w:rPr>
                <w:rFonts w:hint="default" w:eastAsiaTheme="minorEastAsia"/>
                <w:color w:val="auto"/>
                <w:highlight w:val="none"/>
                <w:lang w:val="en-US" w:eastAsia="zh-CN"/>
              </w:rPr>
            </w:pPr>
            <w:r>
              <w:rPr>
                <w:rFonts w:hint="eastAsia"/>
                <w:color w:val="auto"/>
                <w:highlight w:val="none"/>
                <w:lang w:val="en-US" w:eastAsia="zh-CN"/>
              </w:rPr>
              <w:t>15</w:t>
            </w:r>
          </w:p>
        </w:tc>
        <w:tc>
          <w:tcPr>
            <w:tcW w:w="1486" w:type="dxa"/>
            <w:vAlign w:val="center"/>
          </w:tcPr>
          <w:p w14:paraId="210939F0">
            <w:pPr>
              <w:pStyle w:val="101"/>
              <w:rPr>
                <w:rFonts w:hint="default" w:eastAsiaTheme="minorEastAsia"/>
                <w:color w:val="auto"/>
                <w:highlight w:val="none"/>
                <w:lang w:val="en-US" w:eastAsia="zh-CN"/>
              </w:rPr>
            </w:pPr>
            <w:r>
              <w:rPr>
                <w:rFonts w:hint="eastAsia" w:ascii="宋体" w:hAnsi="宋体" w:eastAsia="宋体" w:cs="Times New Roman"/>
                <w:b/>
                <w:bCs/>
                <w:color w:val="auto"/>
                <w:kern w:val="2"/>
                <w:sz w:val="21"/>
                <w:szCs w:val="21"/>
                <w:highlight w:val="none"/>
                <w:lang w:val="en-US" w:eastAsia="zh-CN" w:bidi="ar-SA"/>
              </w:rPr>
              <w:t>应急保障方案（</w:t>
            </w:r>
            <w:r>
              <w:rPr>
                <w:rFonts w:hint="eastAsia" w:ascii="宋体" w:hAnsi="宋体" w:cs="Times New Roman"/>
                <w:b/>
                <w:bCs/>
                <w:color w:val="auto"/>
                <w:kern w:val="2"/>
                <w:sz w:val="21"/>
                <w:szCs w:val="21"/>
                <w:highlight w:val="none"/>
                <w:lang w:val="en-US" w:eastAsia="zh-CN" w:bidi="ar-SA"/>
              </w:rPr>
              <w:t>5</w:t>
            </w:r>
            <w:r>
              <w:rPr>
                <w:rFonts w:hint="eastAsia" w:ascii="宋体" w:hAnsi="宋体" w:eastAsia="宋体" w:cs="Times New Roman"/>
                <w:b/>
                <w:bCs/>
                <w:color w:val="auto"/>
                <w:kern w:val="2"/>
                <w:sz w:val="21"/>
                <w:szCs w:val="21"/>
                <w:highlight w:val="none"/>
                <w:lang w:val="en-US" w:eastAsia="zh-CN" w:bidi="ar-SA"/>
              </w:rPr>
              <w:t>分）</w:t>
            </w:r>
          </w:p>
        </w:tc>
        <w:tc>
          <w:tcPr>
            <w:tcW w:w="5062" w:type="dxa"/>
            <w:vAlign w:val="center"/>
          </w:tcPr>
          <w:p w14:paraId="6AB8EBCE">
            <w:pPr>
              <w:pStyle w:val="101"/>
              <w:spacing w:line="360" w:lineRule="auto"/>
              <w:rPr>
                <w:rFonts w:hint="eastAsia"/>
                <w:color w:val="auto"/>
                <w:highlight w:val="none"/>
              </w:rPr>
            </w:pPr>
            <w:r>
              <w:rPr>
                <w:rFonts w:hint="eastAsia" w:asciiTheme="minorEastAsia" w:hAnsiTheme="minorEastAsia" w:eastAsiaTheme="minorEastAsia"/>
                <w:color w:val="auto"/>
                <w:szCs w:val="21"/>
                <w:highlight w:val="none"/>
                <w:lang w:val="en-US" w:eastAsia="zh-CN"/>
              </w:rPr>
              <w:t>应急保障方案，针对</w:t>
            </w:r>
            <w:r>
              <w:rPr>
                <w:rFonts w:hint="eastAsia"/>
                <w:color w:val="auto"/>
                <w:szCs w:val="21"/>
                <w:highlight w:val="none"/>
                <w:lang w:val="en-US" w:eastAsia="zh-CN"/>
              </w:rPr>
              <w:t>服务过程中</w:t>
            </w:r>
            <w:r>
              <w:rPr>
                <w:rFonts w:hint="eastAsia" w:asciiTheme="minorEastAsia" w:hAnsiTheme="minorEastAsia" w:eastAsiaTheme="minorEastAsia"/>
                <w:color w:val="auto"/>
                <w:szCs w:val="21"/>
                <w:highlight w:val="none"/>
                <w:lang w:val="en-US" w:eastAsia="zh-CN"/>
              </w:rPr>
              <w:t>的突发事件</w:t>
            </w:r>
            <w:r>
              <w:rPr>
                <w:rFonts w:hint="eastAsia"/>
                <w:color w:val="auto"/>
                <w:szCs w:val="21"/>
                <w:highlight w:val="none"/>
                <w:lang w:val="en-US" w:eastAsia="zh-CN"/>
              </w:rPr>
              <w:t>（包括但不限于人为破坏、自然灾害等）</w:t>
            </w:r>
            <w:r>
              <w:rPr>
                <w:rFonts w:hint="eastAsia" w:asciiTheme="minorEastAsia" w:hAnsiTheme="minorEastAsia" w:eastAsiaTheme="minorEastAsia"/>
                <w:color w:val="auto"/>
                <w:szCs w:val="21"/>
                <w:highlight w:val="none"/>
                <w:lang w:val="en-US" w:eastAsia="zh-CN"/>
              </w:rPr>
              <w:t>解决方案，方案明确事件等级及对应的解决措施、解决方案、处理时效</w:t>
            </w:r>
            <w:r>
              <w:rPr>
                <w:rFonts w:hint="eastAsia"/>
                <w:color w:val="auto"/>
                <w:szCs w:val="21"/>
                <w:highlight w:val="none"/>
                <w:lang w:val="en-US" w:eastAsia="zh-CN"/>
              </w:rPr>
              <w:t>、人员安全保障</w:t>
            </w:r>
            <w:r>
              <w:rPr>
                <w:rFonts w:hint="eastAsia" w:asciiTheme="minorEastAsia" w:hAnsiTheme="minorEastAsia" w:eastAsiaTheme="minorEastAsia"/>
                <w:color w:val="auto"/>
                <w:szCs w:val="21"/>
                <w:highlight w:val="none"/>
                <w:lang w:val="en-US" w:eastAsia="zh-CN"/>
              </w:rPr>
              <w:t>的得</w:t>
            </w:r>
            <w:r>
              <w:rPr>
                <w:rFonts w:hint="eastAsia"/>
                <w:color w:val="auto"/>
                <w:szCs w:val="21"/>
                <w:highlight w:val="none"/>
                <w:lang w:val="en-US" w:eastAsia="zh-CN"/>
              </w:rPr>
              <w:t>5</w:t>
            </w:r>
            <w:r>
              <w:rPr>
                <w:rFonts w:hint="eastAsia" w:asciiTheme="minorEastAsia" w:hAnsiTheme="minorEastAsia" w:eastAsiaTheme="minorEastAsia"/>
                <w:color w:val="auto"/>
                <w:szCs w:val="21"/>
                <w:highlight w:val="none"/>
                <w:lang w:val="en-US" w:eastAsia="zh-CN"/>
              </w:rPr>
              <w:t>分，方案简要列举事件并提供解决措施、解决方案、处理时效的得</w:t>
            </w:r>
            <w:r>
              <w:rPr>
                <w:rFonts w:hint="eastAsia"/>
                <w:color w:val="auto"/>
                <w:szCs w:val="21"/>
                <w:highlight w:val="none"/>
                <w:lang w:val="en-US" w:eastAsia="zh-CN"/>
              </w:rPr>
              <w:t>4</w:t>
            </w:r>
            <w:r>
              <w:rPr>
                <w:rFonts w:hint="eastAsia" w:asciiTheme="minorEastAsia" w:hAnsiTheme="minorEastAsia" w:eastAsiaTheme="minorEastAsia"/>
                <w:color w:val="auto"/>
                <w:szCs w:val="21"/>
                <w:highlight w:val="none"/>
                <w:lang w:val="en-US" w:eastAsia="zh-CN"/>
              </w:rPr>
              <w:t>分，方案基本描述、部分提供解决方案的、处理时不明确的得</w:t>
            </w:r>
            <w:r>
              <w:rPr>
                <w:rFonts w:hint="eastAsia"/>
                <w:color w:val="auto"/>
                <w:szCs w:val="21"/>
                <w:highlight w:val="none"/>
                <w:lang w:val="en-US" w:eastAsia="zh-CN"/>
              </w:rPr>
              <w:t>3</w:t>
            </w:r>
            <w:r>
              <w:rPr>
                <w:rFonts w:hint="eastAsia" w:asciiTheme="minorEastAsia" w:hAnsiTheme="minorEastAsia" w:eastAsiaTheme="minorEastAsia"/>
                <w:color w:val="auto"/>
                <w:szCs w:val="21"/>
                <w:highlight w:val="none"/>
                <w:lang w:val="en-US" w:eastAsia="zh-CN"/>
              </w:rPr>
              <w:t>分</w:t>
            </w:r>
            <w:r>
              <w:rPr>
                <w:rFonts w:hint="eastAsia" w:asciiTheme="minorEastAsia" w:hAnsiTheme="minorEastAsia" w:eastAsiaTheme="minorEastAsia"/>
                <w:color w:val="auto"/>
                <w:highlight w:val="none"/>
                <w:lang w:val="en-US" w:eastAsia="zh-CN"/>
              </w:rPr>
              <w:t>，简要描述、但不够全面的</w:t>
            </w:r>
            <w:r>
              <w:rPr>
                <w:rFonts w:hint="eastAsia" w:cs="Times New Roman" w:asciiTheme="minorEastAsia" w:hAnsiTheme="minorEastAsia" w:eastAsiaTheme="minorEastAsia"/>
                <w:color w:val="auto"/>
                <w:highlight w:val="none"/>
                <w:lang w:val="en-US" w:eastAsia="zh-CN"/>
              </w:rPr>
              <w:t>得</w:t>
            </w:r>
            <w:r>
              <w:rPr>
                <w:rFonts w:hint="eastAsia" w:cs="Times New Roman"/>
                <w:color w:val="auto"/>
                <w:highlight w:val="none"/>
                <w:lang w:val="en-US" w:eastAsia="zh-CN"/>
              </w:rPr>
              <w:t>2</w:t>
            </w:r>
            <w:r>
              <w:rPr>
                <w:rFonts w:hint="eastAsia" w:cs="Times New Roman" w:asciiTheme="minorEastAsia" w:hAnsiTheme="minorEastAsia" w:eastAsiaTheme="minorEastAsia"/>
                <w:color w:val="auto"/>
                <w:highlight w:val="none"/>
                <w:lang w:val="en-US" w:eastAsia="zh-CN"/>
              </w:rPr>
              <w:t>分，</w:t>
            </w:r>
            <w:r>
              <w:rPr>
                <w:rFonts w:hint="eastAsia" w:cs="Times New Roman"/>
                <w:color w:val="auto"/>
                <w:highlight w:val="none"/>
                <w:lang w:val="en-US" w:eastAsia="zh-CN"/>
              </w:rPr>
              <w:t>基本可行但欠缺的得1分，</w:t>
            </w:r>
            <w:r>
              <w:rPr>
                <w:rFonts w:hint="eastAsia" w:cs="Times New Roman" w:asciiTheme="minorEastAsia" w:hAnsiTheme="minorEastAsia" w:eastAsiaTheme="minorEastAsia"/>
                <w:color w:val="auto"/>
                <w:highlight w:val="none"/>
                <w:lang w:val="en-US" w:eastAsia="zh-CN"/>
              </w:rPr>
              <w:t>未描述的得0分</w:t>
            </w:r>
          </w:p>
        </w:tc>
        <w:tc>
          <w:tcPr>
            <w:tcW w:w="850" w:type="dxa"/>
            <w:vAlign w:val="center"/>
          </w:tcPr>
          <w:p w14:paraId="014A1720">
            <w:pPr>
              <w:pStyle w:val="101"/>
              <w:spacing w:line="360" w:lineRule="auto"/>
              <w:jc w:val="center"/>
              <w:rPr>
                <w:rFonts w:hint="eastAsia"/>
                <w:color w:val="auto"/>
                <w:highlight w:val="none"/>
              </w:rPr>
            </w:pPr>
            <w:r>
              <w:rPr>
                <w:rFonts w:hint="eastAsia" w:asciiTheme="minorEastAsia" w:hAnsiTheme="minorEastAsia" w:eastAsiaTheme="minorEastAsia"/>
                <w:color w:val="auto"/>
                <w:highlight w:val="none"/>
                <w:lang w:eastAsia="zh-CN"/>
              </w:rPr>
              <w:t>0-</w:t>
            </w:r>
            <w:r>
              <w:rPr>
                <w:rFonts w:hint="eastAsia"/>
                <w:color w:val="auto"/>
                <w:highlight w:val="none"/>
                <w:lang w:val="en-US" w:eastAsia="zh-CN"/>
              </w:rPr>
              <w:t>5</w:t>
            </w:r>
            <w:r>
              <w:rPr>
                <w:rFonts w:hint="eastAsia" w:asciiTheme="minorEastAsia" w:hAnsiTheme="minorEastAsia" w:eastAsiaTheme="minorEastAsia"/>
                <w:color w:val="auto"/>
                <w:highlight w:val="none"/>
              </w:rPr>
              <w:t>分</w:t>
            </w:r>
          </w:p>
        </w:tc>
        <w:tc>
          <w:tcPr>
            <w:tcW w:w="913" w:type="dxa"/>
            <w:vAlign w:val="center"/>
          </w:tcPr>
          <w:p w14:paraId="7F3DD3DF">
            <w:pPr>
              <w:pStyle w:val="101"/>
              <w:spacing w:line="360" w:lineRule="auto"/>
              <w:jc w:val="center"/>
              <w:rPr>
                <w:rFonts w:hint="eastAsia"/>
                <w:color w:val="auto"/>
                <w:highlight w:val="none"/>
              </w:rPr>
            </w:pPr>
            <w:r>
              <w:rPr>
                <w:rFonts w:hint="eastAsia" w:asciiTheme="minorEastAsia" w:hAnsiTheme="minorEastAsia" w:eastAsiaTheme="minorEastAsia"/>
                <w:color w:val="auto"/>
                <w:highlight w:val="none"/>
                <w:lang w:val="en-US" w:eastAsia="zh-CN"/>
              </w:rPr>
              <w:t>主观分</w:t>
            </w:r>
          </w:p>
        </w:tc>
      </w:tr>
      <w:tr w14:paraId="6EF2C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9BE9033">
            <w:pPr>
              <w:pStyle w:val="101"/>
              <w:rPr>
                <w:rFonts w:hint="default"/>
                <w:color w:val="auto"/>
                <w:highlight w:val="none"/>
                <w:lang w:val="en-US" w:eastAsia="zh-CN"/>
              </w:rPr>
            </w:pPr>
            <w:r>
              <w:rPr>
                <w:rFonts w:hint="eastAsia"/>
                <w:color w:val="auto"/>
                <w:highlight w:val="none"/>
                <w:lang w:val="en-US" w:eastAsia="zh-CN"/>
              </w:rPr>
              <w:t>16</w:t>
            </w:r>
          </w:p>
        </w:tc>
        <w:tc>
          <w:tcPr>
            <w:tcW w:w="1486" w:type="dxa"/>
            <w:vMerge w:val="restart"/>
            <w:shd w:val="clear" w:color="auto" w:fill="auto"/>
            <w:vAlign w:val="center"/>
          </w:tcPr>
          <w:p w14:paraId="475823E0">
            <w:pPr>
              <w:pStyle w:val="101"/>
              <w:spacing w:line="360" w:lineRule="auto"/>
              <w:rPr>
                <w:rFonts w:cs="Times New Roman" w:asciiTheme="minorEastAsia" w:hAnsiTheme="minorEastAsia" w:eastAsiaTheme="minorEastAsia"/>
                <w:b/>
                <w:bCs/>
                <w:color w:val="auto"/>
                <w:kern w:val="2"/>
                <w:sz w:val="21"/>
                <w:szCs w:val="22"/>
                <w:highlight w:val="none"/>
                <w:lang w:val="en-US" w:eastAsia="zh-CN" w:bidi="ar-SA"/>
              </w:rPr>
            </w:pPr>
            <w:r>
              <w:rPr>
                <w:rFonts w:hint="eastAsia" w:ascii="宋体" w:hAnsi="宋体" w:eastAsia="宋体" w:cs="Times New Roman"/>
                <w:b/>
                <w:bCs/>
                <w:color w:val="auto"/>
                <w:kern w:val="2"/>
                <w:sz w:val="21"/>
                <w:szCs w:val="21"/>
                <w:highlight w:val="none"/>
                <w:lang w:val="en-US" w:eastAsia="zh-CN" w:bidi="ar-SA"/>
              </w:rPr>
              <w:t>售后服务（</w:t>
            </w:r>
            <w:r>
              <w:rPr>
                <w:rFonts w:hint="eastAsia" w:ascii="宋体" w:hAnsi="宋体" w:cs="Times New Roman"/>
                <w:b/>
                <w:bCs/>
                <w:color w:val="auto"/>
                <w:kern w:val="2"/>
                <w:sz w:val="21"/>
                <w:szCs w:val="21"/>
                <w:highlight w:val="none"/>
                <w:lang w:val="en-US" w:eastAsia="zh-CN" w:bidi="ar-SA"/>
              </w:rPr>
              <w:t>10</w:t>
            </w:r>
            <w:r>
              <w:rPr>
                <w:rFonts w:hint="eastAsia" w:ascii="宋体" w:hAnsi="宋体" w:eastAsia="宋体" w:cs="Times New Roman"/>
                <w:b/>
                <w:bCs/>
                <w:color w:val="auto"/>
                <w:kern w:val="2"/>
                <w:sz w:val="21"/>
                <w:szCs w:val="21"/>
                <w:highlight w:val="none"/>
                <w:lang w:val="en-US" w:eastAsia="zh-CN" w:bidi="ar-SA"/>
              </w:rPr>
              <w:t>分）</w:t>
            </w:r>
          </w:p>
        </w:tc>
        <w:tc>
          <w:tcPr>
            <w:tcW w:w="5062" w:type="dxa"/>
            <w:shd w:val="clear" w:color="auto" w:fill="auto"/>
            <w:vAlign w:val="center"/>
          </w:tcPr>
          <w:p w14:paraId="5F1BF9B1">
            <w:pPr>
              <w:snapToGrid w:val="0"/>
              <w:spacing w:line="360" w:lineRule="auto"/>
              <w:jc w:val="left"/>
              <w:rPr>
                <w:rFonts w:hint="eastAsia" w:cs="Times New Roman" w:asciiTheme="minorEastAsia" w:hAnsiTheme="minorEastAsia" w:eastAsiaTheme="minorEastAsia"/>
                <w:color w:val="auto"/>
                <w:szCs w:val="22"/>
                <w:highlight w:val="none"/>
                <w:lang w:val="zh-CN" w:eastAsia="zh-CN"/>
              </w:rPr>
            </w:pPr>
            <w:r>
              <w:rPr>
                <w:rFonts w:hint="eastAsia" w:cs="Times New Roman" w:asciiTheme="minorEastAsia" w:hAnsiTheme="minorEastAsia" w:eastAsiaTheme="minorEastAsia"/>
                <w:color w:val="auto"/>
                <w:szCs w:val="22"/>
                <w:highlight w:val="none"/>
                <w:lang w:val="zh-CN" w:eastAsia="zh-CN"/>
              </w:rPr>
              <w:t>根据投标人提供的售后服务方案</w:t>
            </w:r>
          </w:p>
          <w:p w14:paraId="31079251">
            <w:pPr>
              <w:snapToGrid w:val="0"/>
              <w:spacing w:line="360" w:lineRule="auto"/>
              <w:jc w:val="left"/>
              <w:rPr>
                <w:rFonts w:hint="eastAsia" w:asciiTheme="minorEastAsia" w:hAnsiTheme="minorEastAsia" w:eastAsiaTheme="minorEastAsia"/>
                <w:color w:val="auto"/>
                <w:szCs w:val="21"/>
                <w:highlight w:val="none"/>
              </w:rPr>
            </w:pPr>
            <w:r>
              <w:rPr>
                <w:rFonts w:hint="eastAsia" w:cs="Times New Roman" w:asciiTheme="minorEastAsia" w:hAnsiTheme="minorEastAsia" w:eastAsiaTheme="minorEastAsia"/>
                <w:color w:val="auto"/>
                <w:szCs w:val="22"/>
                <w:highlight w:val="none"/>
                <w:lang w:val="zh-CN" w:eastAsia="zh-CN"/>
              </w:rPr>
              <w:t>（</w:t>
            </w:r>
            <w:r>
              <w:rPr>
                <w:rFonts w:hint="eastAsia" w:cs="Times New Roman" w:asciiTheme="minorEastAsia" w:hAnsiTheme="minorEastAsia" w:eastAsiaTheme="minorEastAsia"/>
                <w:color w:val="auto"/>
                <w:szCs w:val="22"/>
                <w:highlight w:val="none"/>
                <w:lang w:val="en-US" w:eastAsia="zh-CN"/>
              </w:rPr>
              <w:t>1</w:t>
            </w:r>
            <w:r>
              <w:rPr>
                <w:rFonts w:hint="eastAsia" w:cs="Times New Roman" w:asciiTheme="minorEastAsia" w:hAnsiTheme="minorEastAsia" w:eastAsiaTheme="minorEastAsia"/>
                <w:color w:val="auto"/>
                <w:szCs w:val="22"/>
                <w:highlight w:val="none"/>
                <w:lang w:val="zh-CN" w:eastAsia="zh-CN"/>
              </w:rPr>
              <w:t>）</w:t>
            </w:r>
            <w:r>
              <w:rPr>
                <w:rFonts w:hint="eastAsia" w:cs="Times New Roman" w:asciiTheme="minorEastAsia" w:hAnsiTheme="minorEastAsia" w:eastAsiaTheme="minorEastAsia"/>
                <w:color w:val="auto"/>
                <w:szCs w:val="22"/>
                <w:highlight w:val="none"/>
                <w:lang w:val="en-US" w:eastAsia="zh-CN"/>
              </w:rPr>
              <w:t>售后</w:t>
            </w:r>
            <w:r>
              <w:rPr>
                <w:rFonts w:hint="eastAsia" w:cs="Times New Roman" w:asciiTheme="minorEastAsia" w:hAnsiTheme="minorEastAsia" w:eastAsiaTheme="minorEastAsia"/>
                <w:color w:val="auto"/>
                <w:szCs w:val="22"/>
                <w:highlight w:val="none"/>
                <w:lang w:val="zh-CN" w:eastAsia="zh-CN"/>
              </w:rPr>
              <w:t>服务响应时间</w:t>
            </w:r>
            <w:r>
              <w:rPr>
                <w:rFonts w:hint="eastAsia" w:cs="Times New Roman" w:asciiTheme="minorEastAsia" w:hAnsiTheme="minorEastAsia" w:eastAsiaTheme="minorEastAsia"/>
                <w:color w:val="auto"/>
                <w:szCs w:val="22"/>
                <w:highlight w:val="none"/>
                <w:lang w:val="en-US" w:eastAsia="zh-CN"/>
              </w:rPr>
              <w:t>，</w:t>
            </w:r>
            <w:r>
              <w:rPr>
                <w:rFonts w:hint="eastAsia" w:ascii="宋体" w:hAnsi="宋体" w:cs="宋体" w:eastAsiaTheme="minorEastAsia"/>
                <w:color w:val="auto"/>
                <w:kern w:val="0"/>
                <w:szCs w:val="21"/>
                <w:highlight w:val="none"/>
                <w:lang w:val="en-US" w:eastAsia="zh-CN"/>
              </w:rPr>
              <w:t>时效性强的得</w:t>
            </w:r>
            <w:r>
              <w:rPr>
                <w:rFonts w:hint="eastAsia" w:ascii="宋体" w:hAnsi="宋体" w:cs="宋体"/>
                <w:color w:val="auto"/>
                <w:kern w:val="0"/>
                <w:szCs w:val="21"/>
                <w:highlight w:val="none"/>
                <w:lang w:val="en-US" w:eastAsia="zh-CN"/>
              </w:rPr>
              <w:t>3</w:t>
            </w:r>
            <w:r>
              <w:rPr>
                <w:rFonts w:hint="eastAsia" w:ascii="宋体" w:hAnsi="宋体" w:cs="宋体" w:eastAsiaTheme="minorEastAsia"/>
                <w:color w:val="auto"/>
                <w:kern w:val="0"/>
                <w:szCs w:val="21"/>
                <w:highlight w:val="none"/>
                <w:lang w:val="en-US" w:eastAsia="zh-CN"/>
              </w:rPr>
              <w:t>分，内容时效基本合理的得</w:t>
            </w:r>
            <w:r>
              <w:rPr>
                <w:rFonts w:hint="eastAsia" w:ascii="宋体" w:hAnsi="宋体" w:cs="宋体"/>
                <w:color w:val="auto"/>
                <w:kern w:val="0"/>
                <w:szCs w:val="21"/>
                <w:highlight w:val="none"/>
                <w:lang w:val="en-US" w:eastAsia="zh-CN"/>
              </w:rPr>
              <w:t>2</w:t>
            </w:r>
            <w:r>
              <w:rPr>
                <w:rFonts w:hint="eastAsia" w:ascii="宋体" w:hAnsi="宋体" w:cs="宋体" w:eastAsiaTheme="minorEastAsia"/>
                <w:color w:val="auto"/>
                <w:kern w:val="0"/>
                <w:szCs w:val="21"/>
                <w:highlight w:val="none"/>
                <w:lang w:val="en-US" w:eastAsia="zh-CN"/>
              </w:rPr>
              <w:t>分，</w:t>
            </w:r>
            <w:r>
              <w:rPr>
                <w:rFonts w:hint="eastAsia" w:ascii="宋体" w:hAnsi="宋体" w:cs="宋体"/>
                <w:color w:val="auto"/>
                <w:kern w:val="0"/>
                <w:szCs w:val="21"/>
                <w:highlight w:val="none"/>
                <w:lang w:val="en-US" w:eastAsia="zh-CN"/>
              </w:rPr>
              <w:t>时效性有欠缺的得1分；</w:t>
            </w:r>
            <w:r>
              <w:rPr>
                <w:rFonts w:hint="eastAsia" w:ascii="宋体" w:hAnsi="宋体" w:cs="宋体" w:eastAsiaTheme="minorEastAsia"/>
                <w:color w:val="auto"/>
                <w:kern w:val="0"/>
                <w:szCs w:val="21"/>
                <w:highlight w:val="none"/>
                <w:lang w:val="en-US" w:eastAsia="zh-CN"/>
              </w:rPr>
              <w:t>未描述的得0分</w:t>
            </w:r>
          </w:p>
          <w:p w14:paraId="4520D849">
            <w:pPr>
              <w:numPr>
                <w:ilvl w:val="0"/>
                <w:numId w:val="0"/>
              </w:numPr>
              <w:snapToGrid w:val="0"/>
              <w:spacing w:line="360" w:lineRule="auto"/>
              <w:jc w:val="left"/>
              <w:rPr>
                <w:rFonts w:hint="eastAsia" w:ascii="宋体" w:hAnsi="宋体" w:eastAsia="宋体" w:cs="Times New Roman"/>
                <w:color w:val="auto"/>
                <w:kern w:val="2"/>
                <w:sz w:val="21"/>
                <w:szCs w:val="21"/>
                <w:highlight w:val="none"/>
                <w:lang w:val="en-US" w:eastAsia="zh-CN" w:bidi="ar-SA"/>
              </w:rPr>
            </w:pPr>
            <w:r>
              <w:rPr>
                <w:rFonts w:hint="eastAsia" w:cs="Times New Roman" w:asciiTheme="minorEastAsia" w:hAnsiTheme="minorEastAsia" w:eastAsiaTheme="minorEastAsia"/>
                <w:color w:val="auto"/>
                <w:szCs w:val="22"/>
                <w:highlight w:val="none"/>
                <w:lang w:val="zh-CN" w:eastAsia="zh-CN"/>
              </w:rPr>
              <w:t>（</w:t>
            </w:r>
            <w:r>
              <w:rPr>
                <w:rFonts w:hint="eastAsia" w:cs="Times New Roman" w:asciiTheme="minorEastAsia" w:hAnsiTheme="minorEastAsia" w:eastAsiaTheme="minorEastAsia"/>
                <w:color w:val="auto"/>
                <w:szCs w:val="22"/>
                <w:highlight w:val="none"/>
                <w:lang w:val="en-US" w:eastAsia="zh-CN"/>
              </w:rPr>
              <w:t>2</w:t>
            </w:r>
            <w:r>
              <w:rPr>
                <w:rFonts w:hint="eastAsia" w:cs="Times New Roman" w:asciiTheme="minorEastAsia" w:hAnsiTheme="minorEastAsia" w:eastAsiaTheme="minorEastAsia"/>
                <w:color w:val="auto"/>
                <w:szCs w:val="22"/>
                <w:highlight w:val="none"/>
                <w:lang w:val="zh-CN" w:eastAsia="zh-CN"/>
              </w:rPr>
              <w:t>）售后服务</w:t>
            </w:r>
            <w:r>
              <w:rPr>
                <w:rFonts w:hint="eastAsia" w:cs="Times New Roman" w:asciiTheme="minorEastAsia" w:hAnsiTheme="minorEastAsia" w:eastAsiaTheme="minorEastAsia"/>
                <w:color w:val="auto"/>
                <w:szCs w:val="22"/>
                <w:highlight w:val="none"/>
                <w:lang w:val="en-US" w:eastAsia="zh-CN"/>
              </w:rPr>
              <w:t>实施方案</w:t>
            </w:r>
            <w:r>
              <w:rPr>
                <w:rFonts w:hint="eastAsia" w:ascii="宋体" w:hAnsi="宋体" w:cs="宋体" w:eastAsiaTheme="minorEastAsia"/>
                <w:color w:val="auto"/>
                <w:kern w:val="0"/>
                <w:szCs w:val="21"/>
                <w:highlight w:val="none"/>
                <w:lang w:val="en-US" w:eastAsia="zh-CN"/>
              </w:rPr>
              <w:t>方案内容完整有效的得4分，方案内容较完整有效的得3分，方案内容基本完整有效的得2分，方案内容描述但内容有缺失或有欠缺的得1分，未描述的得0分</w:t>
            </w:r>
          </w:p>
        </w:tc>
        <w:tc>
          <w:tcPr>
            <w:tcW w:w="850" w:type="dxa"/>
            <w:shd w:val="clear" w:color="auto" w:fill="auto"/>
            <w:vAlign w:val="center"/>
          </w:tcPr>
          <w:p w14:paraId="1D31E108">
            <w:pPr>
              <w:pStyle w:val="101"/>
              <w:spacing w:line="360" w:lineRule="auto"/>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0-7分</w:t>
            </w:r>
          </w:p>
        </w:tc>
        <w:tc>
          <w:tcPr>
            <w:tcW w:w="913" w:type="dxa"/>
            <w:shd w:val="clear" w:color="auto" w:fill="auto"/>
            <w:vAlign w:val="center"/>
          </w:tcPr>
          <w:p w14:paraId="0B40D0B1">
            <w:pPr>
              <w:pStyle w:val="101"/>
              <w:spacing w:line="360" w:lineRule="auto"/>
              <w:jc w:val="center"/>
              <w:rPr>
                <w:rFonts w:hint="eastAsia" w:ascii="宋体" w:hAnsi="宋体" w:eastAsia="宋体" w:cs="Times New Roman"/>
                <w:color w:val="auto"/>
                <w:kern w:val="2"/>
                <w:sz w:val="21"/>
                <w:szCs w:val="21"/>
                <w:highlight w:val="none"/>
                <w:lang w:val="en-US" w:eastAsia="zh-CN" w:bidi="ar-SA"/>
              </w:rPr>
            </w:pPr>
            <w:r>
              <w:rPr>
                <w:rFonts w:hint="eastAsia" w:asciiTheme="minorEastAsia" w:hAnsiTheme="minorEastAsia" w:eastAsiaTheme="minorEastAsia"/>
                <w:color w:val="auto"/>
                <w:highlight w:val="none"/>
                <w:lang w:val="en-US" w:eastAsia="zh-CN"/>
              </w:rPr>
              <w:t>主观分</w:t>
            </w:r>
          </w:p>
        </w:tc>
      </w:tr>
      <w:tr w14:paraId="20F4D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9B8B1F7">
            <w:pPr>
              <w:pStyle w:val="101"/>
              <w:rPr>
                <w:rFonts w:hint="default"/>
                <w:color w:val="auto"/>
                <w:highlight w:val="none"/>
                <w:lang w:val="en-US" w:eastAsia="zh-CN"/>
              </w:rPr>
            </w:pPr>
            <w:r>
              <w:rPr>
                <w:rFonts w:hint="eastAsia"/>
                <w:color w:val="auto"/>
                <w:highlight w:val="none"/>
                <w:lang w:val="en-US" w:eastAsia="zh-CN"/>
              </w:rPr>
              <w:t>17</w:t>
            </w:r>
          </w:p>
        </w:tc>
        <w:tc>
          <w:tcPr>
            <w:tcW w:w="1486" w:type="dxa"/>
            <w:vMerge w:val="continue"/>
            <w:shd w:val="clear" w:color="auto" w:fill="auto"/>
            <w:vAlign w:val="center"/>
          </w:tcPr>
          <w:p w14:paraId="3CE48F54">
            <w:pPr>
              <w:pStyle w:val="101"/>
              <w:spacing w:line="360" w:lineRule="auto"/>
              <w:rPr>
                <w:rFonts w:cs="Times New Roman" w:asciiTheme="minorEastAsia" w:hAnsiTheme="minorEastAsia" w:eastAsiaTheme="minorEastAsia"/>
                <w:b/>
                <w:bCs/>
                <w:color w:val="auto"/>
                <w:kern w:val="2"/>
                <w:sz w:val="21"/>
                <w:szCs w:val="22"/>
                <w:highlight w:val="none"/>
                <w:lang w:val="en-US" w:eastAsia="zh-CN" w:bidi="ar-SA"/>
              </w:rPr>
            </w:pPr>
          </w:p>
        </w:tc>
        <w:tc>
          <w:tcPr>
            <w:tcW w:w="5062" w:type="dxa"/>
            <w:shd w:val="clear" w:color="auto" w:fill="auto"/>
            <w:vAlign w:val="center"/>
          </w:tcPr>
          <w:p w14:paraId="0F335E33">
            <w:pPr>
              <w:pStyle w:val="101"/>
              <w:spacing w:line="360" w:lineRule="auto"/>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 xml:space="preserve"> 完成本项目后提供后续延伸服务，明确服务内容、服务频次（包括但不限于政策咨询、技术支持等），延伸服务切合实际、服务内容有利于本项目并</w:t>
            </w:r>
            <w:r>
              <w:rPr>
                <w:rFonts w:hint="eastAsia" w:ascii="宋体" w:hAnsi="宋体" w:cs="Times New Roman"/>
                <w:color w:val="auto"/>
                <w:kern w:val="2"/>
                <w:sz w:val="21"/>
                <w:szCs w:val="21"/>
                <w:highlight w:val="none"/>
                <w:lang w:val="en-US" w:eastAsia="zh-CN" w:bidi="ar-SA"/>
              </w:rPr>
              <w:t>免费提供</w:t>
            </w:r>
            <w:r>
              <w:rPr>
                <w:rFonts w:hint="eastAsia" w:ascii="宋体" w:hAnsi="宋体" w:eastAsia="宋体" w:cs="Times New Roman"/>
                <w:color w:val="auto"/>
                <w:kern w:val="2"/>
                <w:sz w:val="21"/>
                <w:szCs w:val="21"/>
                <w:highlight w:val="none"/>
                <w:lang w:val="en-US" w:eastAsia="zh-CN" w:bidi="ar-SA"/>
              </w:rPr>
              <w:t>后续服务的得</w:t>
            </w:r>
            <w:r>
              <w:rPr>
                <w:rFonts w:hint="eastAsia" w:ascii="宋体" w:hAnsi="宋体" w:cs="Times New Roman"/>
                <w:color w:val="auto"/>
                <w:kern w:val="2"/>
                <w:sz w:val="21"/>
                <w:szCs w:val="21"/>
                <w:highlight w:val="none"/>
                <w:lang w:val="en-US" w:eastAsia="zh-CN" w:bidi="ar-SA"/>
              </w:rPr>
              <w:t>3</w:t>
            </w:r>
            <w:r>
              <w:rPr>
                <w:rFonts w:hint="eastAsia" w:ascii="宋体" w:hAnsi="宋体" w:eastAsia="宋体" w:cs="Times New Roman"/>
                <w:color w:val="auto"/>
                <w:kern w:val="2"/>
                <w:sz w:val="21"/>
                <w:szCs w:val="21"/>
                <w:highlight w:val="none"/>
                <w:lang w:val="en-US" w:eastAsia="zh-CN" w:bidi="ar-SA"/>
              </w:rPr>
              <w:t>分；提供后续服务，服务内容基本可行的免费提供后续服务的得</w:t>
            </w:r>
            <w:r>
              <w:rPr>
                <w:rFonts w:hint="eastAsia" w:ascii="宋体" w:hAnsi="宋体" w:cs="Times New Roman"/>
                <w:color w:val="auto"/>
                <w:kern w:val="2"/>
                <w:sz w:val="21"/>
                <w:szCs w:val="21"/>
                <w:highlight w:val="none"/>
                <w:lang w:val="en-US" w:eastAsia="zh-CN" w:bidi="ar-SA"/>
              </w:rPr>
              <w:t>2</w:t>
            </w:r>
            <w:r>
              <w:rPr>
                <w:rFonts w:hint="eastAsia" w:ascii="宋体" w:hAnsi="宋体" w:eastAsia="宋体" w:cs="Times New Roman"/>
                <w:color w:val="auto"/>
                <w:kern w:val="2"/>
                <w:sz w:val="21"/>
                <w:szCs w:val="21"/>
                <w:highlight w:val="none"/>
                <w:lang w:val="en-US" w:eastAsia="zh-CN" w:bidi="ar-SA"/>
              </w:rPr>
              <w:t>分；</w:t>
            </w:r>
            <w:r>
              <w:rPr>
                <w:rFonts w:hint="eastAsia" w:ascii="宋体" w:hAnsi="宋体" w:cs="Times New Roman"/>
                <w:color w:val="auto"/>
                <w:kern w:val="2"/>
                <w:sz w:val="21"/>
                <w:szCs w:val="21"/>
                <w:highlight w:val="none"/>
                <w:lang w:val="en-US" w:eastAsia="zh-CN" w:bidi="ar-SA"/>
              </w:rPr>
              <w:t>承诺提供后续服务但收费较高的得1分，不</w:t>
            </w:r>
            <w:r>
              <w:rPr>
                <w:rFonts w:hint="eastAsia" w:ascii="宋体" w:hAnsi="宋体" w:eastAsia="宋体" w:cs="Times New Roman"/>
                <w:color w:val="auto"/>
                <w:kern w:val="2"/>
                <w:sz w:val="21"/>
                <w:szCs w:val="21"/>
                <w:highlight w:val="none"/>
                <w:lang w:val="en-US" w:eastAsia="zh-CN" w:bidi="ar-SA"/>
              </w:rPr>
              <w:t>提供的不得分。</w:t>
            </w:r>
          </w:p>
        </w:tc>
        <w:tc>
          <w:tcPr>
            <w:tcW w:w="850" w:type="dxa"/>
            <w:shd w:val="clear" w:color="auto" w:fill="auto"/>
            <w:vAlign w:val="top"/>
          </w:tcPr>
          <w:p w14:paraId="76D0B852">
            <w:pPr>
              <w:pStyle w:val="101"/>
              <w:spacing w:line="360" w:lineRule="auto"/>
              <w:rPr>
                <w:rFonts w:hint="eastAsia" w:ascii="宋体" w:hAnsi="宋体" w:eastAsia="宋体" w:cs="Times New Roman"/>
                <w:color w:val="auto"/>
                <w:kern w:val="2"/>
                <w:sz w:val="21"/>
                <w:szCs w:val="21"/>
                <w:highlight w:val="none"/>
                <w:lang w:val="en-US" w:eastAsia="zh-CN" w:bidi="ar-SA"/>
              </w:rPr>
            </w:pPr>
          </w:p>
          <w:p w14:paraId="1A5B211E">
            <w:pPr>
              <w:pStyle w:val="101"/>
              <w:spacing w:line="360" w:lineRule="auto"/>
              <w:rPr>
                <w:rFonts w:hint="eastAsia" w:ascii="宋体" w:hAnsi="宋体" w:eastAsia="宋体" w:cs="Times New Roman"/>
                <w:color w:val="auto"/>
                <w:kern w:val="2"/>
                <w:sz w:val="21"/>
                <w:szCs w:val="21"/>
                <w:highlight w:val="none"/>
                <w:lang w:val="en-US" w:eastAsia="zh-CN" w:bidi="ar-SA"/>
              </w:rPr>
            </w:pPr>
          </w:p>
          <w:p w14:paraId="505375F5">
            <w:pPr>
              <w:pStyle w:val="101"/>
              <w:spacing w:line="360" w:lineRule="auto"/>
              <w:rPr>
                <w:rFonts w:hint="eastAsia" w:cs="Times New Roman" w:asciiTheme="minorEastAsia" w:hAnsiTheme="minorEastAsia" w:eastAsiaTheme="minorEastAsia"/>
                <w:color w:val="auto"/>
                <w:kern w:val="2"/>
                <w:sz w:val="21"/>
                <w:szCs w:val="22"/>
                <w:highlight w:val="none"/>
                <w:lang w:val="en-US" w:eastAsia="zh-CN" w:bidi="ar-SA"/>
              </w:rPr>
            </w:pPr>
            <w:r>
              <w:rPr>
                <w:rFonts w:hint="eastAsia" w:ascii="宋体" w:hAnsi="宋体" w:eastAsia="宋体" w:cs="Times New Roman"/>
                <w:color w:val="auto"/>
                <w:kern w:val="2"/>
                <w:sz w:val="21"/>
                <w:szCs w:val="21"/>
                <w:highlight w:val="none"/>
                <w:lang w:val="en-US" w:eastAsia="zh-CN" w:bidi="ar-SA"/>
              </w:rPr>
              <w:t>0-</w:t>
            </w:r>
            <w:r>
              <w:rPr>
                <w:rFonts w:hint="eastAsia" w:ascii="宋体" w:hAnsi="宋体" w:cs="Times New Roman"/>
                <w:color w:val="auto"/>
                <w:kern w:val="2"/>
                <w:sz w:val="21"/>
                <w:szCs w:val="21"/>
                <w:highlight w:val="none"/>
                <w:lang w:val="en-US" w:eastAsia="zh-CN" w:bidi="ar-SA"/>
              </w:rPr>
              <w:t>3</w:t>
            </w:r>
            <w:r>
              <w:rPr>
                <w:rFonts w:hint="eastAsia" w:ascii="宋体" w:hAnsi="宋体" w:eastAsia="宋体" w:cs="Times New Roman"/>
                <w:color w:val="auto"/>
                <w:kern w:val="2"/>
                <w:sz w:val="21"/>
                <w:szCs w:val="21"/>
                <w:highlight w:val="none"/>
                <w:lang w:val="en-US" w:eastAsia="zh-CN" w:bidi="ar-SA"/>
              </w:rPr>
              <w:t>分</w:t>
            </w:r>
          </w:p>
        </w:tc>
        <w:tc>
          <w:tcPr>
            <w:tcW w:w="913" w:type="dxa"/>
            <w:shd w:val="clear" w:color="auto" w:fill="auto"/>
            <w:vAlign w:val="top"/>
          </w:tcPr>
          <w:p w14:paraId="06FAC733">
            <w:pPr>
              <w:pStyle w:val="101"/>
              <w:spacing w:line="360" w:lineRule="auto"/>
              <w:rPr>
                <w:rFonts w:hint="eastAsia" w:ascii="宋体" w:hAnsi="宋体" w:eastAsia="宋体" w:cs="Times New Roman"/>
                <w:color w:val="auto"/>
                <w:kern w:val="2"/>
                <w:sz w:val="21"/>
                <w:szCs w:val="21"/>
                <w:highlight w:val="none"/>
                <w:lang w:val="en-US" w:eastAsia="zh-CN" w:bidi="ar-SA"/>
              </w:rPr>
            </w:pPr>
          </w:p>
          <w:p w14:paraId="335F8097">
            <w:pPr>
              <w:pStyle w:val="101"/>
              <w:spacing w:line="360" w:lineRule="auto"/>
              <w:rPr>
                <w:rFonts w:hint="eastAsia" w:ascii="宋体" w:hAnsi="宋体" w:eastAsia="宋体" w:cs="Times New Roman"/>
                <w:color w:val="auto"/>
                <w:kern w:val="2"/>
                <w:sz w:val="21"/>
                <w:szCs w:val="21"/>
                <w:highlight w:val="none"/>
                <w:lang w:val="en-US" w:eastAsia="zh-CN" w:bidi="ar-SA"/>
              </w:rPr>
            </w:pPr>
          </w:p>
          <w:p w14:paraId="29353085">
            <w:pPr>
              <w:pStyle w:val="101"/>
              <w:spacing w:line="360" w:lineRule="auto"/>
              <w:rPr>
                <w:rFonts w:hint="eastAsia" w:cs="Times New Roman" w:asciiTheme="minorEastAsia" w:hAnsiTheme="minorEastAsia" w:eastAsiaTheme="minorEastAsia"/>
                <w:color w:val="auto"/>
                <w:kern w:val="2"/>
                <w:sz w:val="21"/>
                <w:szCs w:val="22"/>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主观分</w:t>
            </w:r>
          </w:p>
        </w:tc>
      </w:tr>
      <w:tr w14:paraId="03912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E65FE15">
            <w:pPr>
              <w:pStyle w:val="101"/>
              <w:rPr>
                <w:rFonts w:hint="default"/>
                <w:color w:val="auto"/>
                <w:highlight w:val="none"/>
                <w:lang w:val="en-US" w:eastAsia="zh-CN"/>
              </w:rPr>
            </w:pPr>
            <w:r>
              <w:rPr>
                <w:rFonts w:hint="eastAsia"/>
                <w:color w:val="auto"/>
                <w:highlight w:val="none"/>
                <w:lang w:val="en-US" w:eastAsia="zh-CN"/>
              </w:rPr>
              <w:t>18</w:t>
            </w:r>
          </w:p>
        </w:tc>
        <w:tc>
          <w:tcPr>
            <w:tcW w:w="1486" w:type="dxa"/>
            <w:shd w:val="clear" w:color="auto" w:fill="auto"/>
            <w:vAlign w:val="center"/>
          </w:tcPr>
          <w:p w14:paraId="351FB419">
            <w:pPr>
              <w:pStyle w:val="101"/>
              <w:spacing w:line="360" w:lineRule="auto"/>
              <w:rPr>
                <w:rFonts w:hint="eastAsia" w:ascii="宋体" w:hAnsi="宋体" w:eastAsia="宋体" w:cs="Times New Roman"/>
                <w:b/>
                <w:bCs/>
                <w:color w:val="auto"/>
                <w:kern w:val="2"/>
                <w:sz w:val="21"/>
                <w:szCs w:val="21"/>
                <w:highlight w:val="none"/>
                <w:lang w:val="en-US" w:eastAsia="zh-CN" w:bidi="ar-SA"/>
              </w:rPr>
            </w:pPr>
            <w:r>
              <w:rPr>
                <w:rFonts w:hint="eastAsia" w:ascii="宋体" w:hAnsi="宋体"/>
                <w:b/>
                <w:bCs/>
                <w:color w:val="auto"/>
                <w:szCs w:val="21"/>
                <w:highlight w:val="none"/>
                <w:lang w:val="en-US" w:eastAsia="zh-CN"/>
              </w:rPr>
              <w:t>合理化建议及优惠条件（1分）</w:t>
            </w:r>
          </w:p>
        </w:tc>
        <w:tc>
          <w:tcPr>
            <w:tcW w:w="5062" w:type="dxa"/>
            <w:shd w:val="clear" w:color="auto" w:fill="auto"/>
            <w:vAlign w:val="center"/>
          </w:tcPr>
          <w:p w14:paraId="0098E823">
            <w:pPr>
              <w:spacing w:after="25" w:line="36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s="宋体"/>
                <w:color w:val="auto"/>
                <w:szCs w:val="21"/>
                <w:highlight w:val="none"/>
                <w:lang w:val="en-US" w:eastAsia="zh-CN"/>
              </w:rPr>
              <w:t>针对本项目的合理化建议或优惠条件，1条被采纳的得1分，本项最高得1分。</w:t>
            </w:r>
          </w:p>
        </w:tc>
        <w:tc>
          <w:tcPr>
            <w:tcW w:w="850" w:type="dxa"/>
            <w:shd w:val="clear" w:color="auto" w:fill="auto"/>
            <w:vAlign w:val="center"/>
          </w:tcPr>
          <w:p w14:paraId="10B2BDE6">
            <w:pPr>
              <w:spacing w:after="60" w:afterLines="25" w:line="36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kern w:val="0"/>
                <w:szCs w:val="21"/>
                <w:highlight w:val="none"/>
                <w:lang w:val="en-US" w:eastAsia="zh-CN"/>
              </w:rPr>
              <w:t xml:space="preserve">0-1分 </w:t>
            </w:r>
          </w:p>
        </w:tc>
        <w:tc>
          <w:tcPr>
            <w:tcW w:w="913" w:type="dxa"/>
            <w:shd w:val="clear" w:color="auto" w:fill="auto"/>
            <w:vAlign w:val="center"/>
          </w:tcPr>
          <w:p w14:paraId="382E597B">
            <w:pPr>
              <w:pStyle w:val="101"/>
              <w:spacing w:line="360" w:lineRule="auto"/>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主观分</w:t>
            </w:r>
          </w:p>
        </w:tc>
      </w:tr>
    </w:tbl>
    <w:p w14:paraId="38CB19E4">
      <w:pPr>
        <w:pStyle w:val="101"/>
        <w:rPr>
          <w:rFonts w:hint="eastAsia" w:hAnsi="宋体"/>
          <w:bCs/>
          <w:color w:val="auto"/>
          <w:szCs w:val="21"/>
          <w:highlight w:val="none"/>
        </w:rPr>
        <w:sectPr>
          <w:headerReference r:id="rId4" w:type="default"/>
          <w:pgSz w:w="11905" w:h="16838"/>
          <w:pgMar w:top="1440" w:right="1803" w:bottom="1440" w:left="1803" w:header="851" w:footer="992" w:gutter="0"/>
          <w:cols w:space="0" w:num="1"/>
          <w:docGrid w:type="lines" w:linePitch="319" w:charSpace="0"/>
        </w:sectPr>
      </w:pPr>
      <w:r>
        <w:rPr>
          <w:rFonts w:hint="eastAsia"/>
          <w:color w:val="auto"/>
          <w:highlight w:val="none"/>
        </w:rPr>
        <w:t>注：评标委员会独立打分，保留小数点后2位小数，所有有效评分的平均分作为对应投标人的技术资信得分。</w:t>
      </w:r>
      <w:r>
        <w:rPr>
          <w:rFonts w:hint="eastAsia" w:hAnsi="宋体"/>
          <w:bCs/>
          <w:color w:val="auto"/>
          <w:szCs w:val="21"/>
          <w:highlight w:val="none"/>
        </w:rPr>
        <w:t>建议在制作投标书时，在目录后附一个评分索引表，方便查找。</w:t>
      </w:r>
    </w:p>
    <w:p w14:paraId="751E9E2A">
      <w:pPr>
        <w:pStyle w:val="101"/>
        <w:rPr>
          <w:rFonts w:hint="eastAsia" w:hAnsi="宋体"/>
          <w:bCs/>
          <w:color w:val="auto"/>
          <w:szCs w:val="21"/>
          <w:highlight w:val="none"/>
        </w:rPr>
      </w:pPr>
    </w:p>
    <w:p w14:paraId="4D8E6811">
      <w:pPr>
        <w:pStyle w:val="101"/>
        <w:rPr>
          <w:color w:val="auto"/>
          <w:highlight w:val="none"/>
        </w:rPr>
      </w:pPr>
    </w:p>
    <w:p w14:paraId="7930744C">
      <w:pPr>
        <w:pStyle w:val="164"/>
        <w:ind w:right="42" w:rightChars="20"/>
        <w:rPr>
          <w:rFonts w:asciiTheme="minorEastAsia" w:hAnsiTheme="minorEastAsia" w:eastAsiaTheme="minorEastAsia"/>
          <w:color w:val="auto"/>
          <w:highlight w:val="none"/>
        </w:rPr>
      </w:pPr>
      <w:r>
        <w:rPr>
          <w:rStyle w:val="70"/>
          <w:rFonts w:hint="eastAsia" w:cs="微软雅黑" w:asciiTheme="minorEastAsia" w:hAnsiTheme="minorEastAsia" w:eastAsiaTheme="minorEastAsia"/>
          <w:b w:val="0"/>
          <w:color w:val="auto"/>
          <w:highlight w:val="none"/>
        </w:rPr>
        <w:t>第五章  政府采购合同</w:t>
      </w:r>
      <w:bookmarkEnd w:id="286"/>
      <w:bookmarkEnd w:id="287"/>
      <w:bookmarkEnd w:id="288"/>
      <w:bookmarkEnd w:id="289"/>
    </w:p>
    <w:p w14:paraId="4EB87245">
      <w:pPr>
        <w:pStyle w:val="37"/>
        <w:spacing w:before="0" w:after="0" w:line="360" w:lineRule="auto"/>
        <w:ind w:right="42" w:rightChars="20" w:firstLine="422" w:firstLineChars="200"/>
        <w:outlineLvl w:val="0"/>
        <w:rPr>
          <w:rFonts w:asciiTheme="minorEastAsia" w:hAnsiTheme="minorEastAsia" w:eastAsiaTheme="minorEastAsia"/>
          <w:color w:val="auto"/>
          <w:sz w:val="21"/>
          <w:szCs w:val="21"/>
          <w:highlight w:val="none"/>
        </w:rPr>
      </w:pPr>
      <w:bookmarkStart w:id="296" w:name="_Toc417992897"/>
      <w:bookmarkStart w:id="297" w:name="_Toc24052"/>
      <w:bookmarkStart w:id="298" w:name="_Toc416422801"/>
      <w:bookmarkStart w:id="299" w:name="_Toc50012906"/>
      <w:bookmarkStart w:id="300" w:name="_Toc427915780"/>
      <w:bookmarkStart w:id="301" w:name="_Toc416422466"/>
      <w:bookmarkStart w:id="302" w:name="_Toc493511827"/>
      <w:r>
        <w:rPr>
          <w:rFonts w:hint="eastAsia" w:asciiTheme="minorEastAsia" w:hAnsiTheme="minorEastAsia" w:eastAsiaTheme="minorEastAsia"/>
          <w:color w:val="auto"/>
          <w:sz w:val="21"/>
          <w:szCs w:val="21"/>
          <w:highlight w:val="none"/>
        </w:rPr>
        <w:t>政府采购合同</w:t>
      </w:r>
      <w:bookmarkEnd w:id="296"/>
      <w:bookmarkEnd w:id="297"/>
      <w:bookmarkEnd w:id="298"/>
      <w:bookmarkEnd w:id="299"/>
      <w:bookmarkEnd w:id="300"/>
      <w:bookmarkEnd w:id="301"/>
      <w:bookmarkEnd w:id="302"/>
    </w:p>
    <w:p w14:paraId="7D4B7A61">
      <w:pPr>
        <w:spacing w:line="360" w:lineRule="auto"/>
        <w:ind w:right="42" w:rightChars="20" w:firstLine="422" w:firstLineChars="200"/>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一、通用必备条款部份</w:t>
      </w:r>
    </w:p>
    <w:p w14:paraId="61B5D52A">
      <w:pPr>
        <w:pStyle w:val="27"/>
        <w:snapToGrid w:val="0"/>
        <w:spacing w:line="360" w:lineRule="auto"/>
        <w:ind w:right="42" w:rightChars="20" w:firstLine="422" w:firstLineChars="200"/>
        <w:jc w:val="left"/>
        <w:rPr>
          <w:rFonts w:asciiTheme="minorEastAsia" w:hAnsiTheme="minorEastAsia" w:eastAsiaTheme="minorEastAsia"/>
          <w:bCs/>
          <w:color w:val="auto"/>
          <w:szCs w:val="21"/>
          <w:highlight w:val="none"/>
        </w:rPr>
      </w:pPr>
      <w:r>
        <w:rPr>
          <w:rFonts w:hint="eastAsia" w:asciiTheme="minorEastAsia" w:hAnsiTheme="minorEastAsia" w:eastAsiaTheme="minorEastAsia"/>
          <w:b/>
          <w:color w:val="auto"/>
          <w:szCs w:val="21"/>
          <w:highlight w:val="none"/>
        </w:rPr>
        <w:t>合同</w:t>
      </w:r>
      <w:r>
        <w:rPr>
          <w:rFonts w:asciiTheme="minorEastAsia" w:hAnsiTheme="minorEastAsia" w:eastAsiaTheme="minorEastAsia"/>
          <w:b/>
          <w:color w:val="auto"/>
          <w:szCs w:val="21"/>
          <w:highlight w:val="none"/>
        </w:rPr>
        <w:t>编号：</w:t>
      </w:r>
    </w:p>
    <w:p w14:paraId="01215C4E">
      <w:pPr>
        <w:pStyle w:val="27"/>
        <w:snapToGrid w:val="0"/>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 xml:space="preserve">政府采购计划（预算）确认号：  </w:t>
      </w:r>
    </w:p>
    <w:p w14:paraId="5A1171C2">
      <w:pPr>
        <w:pStyle w:val="27"/>
        <w:snapToGrid w:val="0"/>
        <w:spacing w:line="360" w:lineRule="auto"/>
        <w:ind w:right="42" w:rightChars="20" w:firstLine="422"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预算金额</w:t>
      </w:r>
      <w:r>
        <w:rPr>
          <w:rFonts w:hint="eastAsia" w:asciiTheme="minorEastAsia" w:hAnsiTheme="minorEastAsia" w:eastAsiaTheme="minorEastAsia"/>
          <w:color w:val="auto"/>
          <w:szCs w:val="21"/>
          <w:highlight w:val="none"/>
        </w:rPr>
        <w:t xml:space="preserve">： </w:t>
      </w:r>
    </w:p>
    <w:p w14:paraId="575B7F18">
      <w:pPr>
        <w:snapToGrid w:val="0"/>
        <w:spacing w:line="360" w:lineRule="auto"/>
        <w:ind w:right="42" w:rightChars="20" w:firstLine="422"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采购人（以下称甲方）：</w:t>
      </w:r>
    </w:p>
    <w:p w14:paraId="51E7A2C6">
      <w:pPr>
        <w:pStyle w:val="27"/>
        <w:snapToGrid w:val="0"/>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投标人（以下称乙方）：</w:t>
      </w:r>
    </w:p>
    <w:p w14:paraId="746A3DF4">
      <w:pPr>
        <w:pStyle w:val="27"/>
        <w:snapToGrid w:val="0"/>
        <w:spacing w:line="360" w:lineRule="auto"/>
        <w:ind w:right="42" w:rightChars="20" w:firstLine="422"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采购代理机构：</w:t>
      </w:r>
    </w:p>
    <w:p w14:paraId="59506555">
      <w:pPr>
        <w:pStyle w:val="27"/>
        <w:snapToGrid w:val="0"/>
        <w:spacing w:line="360" w:lineRule="auto"/>
        <w:ind w:right="42" w:rightChars="20" w:firstLine="422"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采购方式：</w:t>
      </w:r>
      <w:r>
        <w:rPr>
          <w:rFonts w:hint="eastAsia" w:asciiTheme="minorEastAsia" w:hAnsiTheme="minorEastAsia" w:eastAsiaTheme="minorEastAsia"/>
          <w:color w:val="auto"/>
          <w:szCs w:val="21"/>
          <w:highlight w:val="none"/>
        </w:rPr>
        <w:t>公开招标</w:t>
      </w:r>
    </w:p>
    <w:p w14:paraId="42193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根据《中华人民共和国政府采购法》、《中华人民共和国民法典》等法律法规的规定，甲、乙双方按照</w:t>
      </w:r>
      <w:r>
        <w:rPr>
          <w:rFonts w:hint="eastAsia" w:cs="Tahoma" w:asciiTheme="minorEastAsia" w:hAnsiTheme="minorEastAsia" w:eastAsiaTheme="minorEastAsia"/>
          <w:bCs/>
          <w:color w:val="auto"/>
          <w:kern w:val="36"/>
          <w:szCs w:val="21"/>
          <w:highlight w:val="none"/>
        </w:rPr>
        <w:t>项目</w:t>
      </w:r>
      <w:r>
        <w:rPr>
          <w:rFonts w:hint="eastAsia" w:asciiTheme="minorEastAsia" w:hAnsiTheme="minorEastAsia" w:eastAsiaTheme="minorEastAsia"/>
          <w:color w:val="auto"/>
          <w:szCs w:val="21"/>
          <w:highlight w:val="none"/>
        </w:rPr>
        <w:t>采购结果签订本合同。</w:t>
      </w:r>
    </w:p>
    <w:p w14:paraId="15E79E3A">
      <w:pPr>
        <w:shd w:val="clear" w:color="auto" w:fill="FFFFFF"/>
        <w:tabs>
          <w:tab w:val="left" w:pos="916"/>
          <w:tab w:val="left" w:pos="1832"/>
          <w:tab w:val="left" w:pos="2748"/>
        </w:tabs>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第一条 合同组成</w:t>
      </w:r>
      <w:r>
        <w:rPr>
          <w:rFonts w:asciiTheme="minorEastAsia" w:hAnsiTheme="minorEastAsia" w:eastAsiaTheme="minorEastAsia"/>
          <w:b/>
          <w:color w:val="auto"/>
          <w:szCs w:val="21"/>
          <w:highlight w:val="none"/>
        </w:rPr>
        <w:tab/>
      </w:r>
    </w:p>
    <w:p w14:paraId="1D8AFE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本次政府采购活动的相关文件为本合同的组成部分，这些文件包括但不限于：</w:t>
      </w:r>
    </w:p>
    <w:p w14:paraId="7C33A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1、本合同文本；</w:t>
      </w:r>
    </w:p>
    <w:p w14:paraId="116EE1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2、采购文件与采购投标文件；</w:t>
      </w:r>
    </w:p>
    <w:p w14:paraId="28B54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3、中标或成交通知书；</w:t>
      </w:r>
    </w:p>
    <w:p w14:paraId="765247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组成本合同的所有文件必须为书面形式。政府采购合同备案时，须提供以上1、3两项，如由社会中介机构代理，须提供代理协议，合同如有变更的，须提供变更协议。</w:t>
      </w:r>
    </w:p>
    <w:p w14:paraId="0812AD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第二条 合同标的与相关属性</w:t>
      </w:r>
    </w:p>
    <w:p w14:paraId="2B23E03A">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1、本次采购的是</w:t>
      </w:r>
      <w:r>
        <w:rPr>
          <w:rFonts w:hint="eastAsia" w:asciiTheme="minorEastAsia" w:hAnsiTheme="minorEastAsia" w:eastAsiaTheme="minorEastAsia"/>
          <w:color w:val="auto"/>
          <w:szCs w:val="21"/>
          <w:highlight w:val="none"/>
          <w:u w:val="single"/>
        </w:rPr>
        <w:t xml:space="preserve">                    </w:t>
      </w:r>
      <w:r>
        <w:rPr>
          <w:rFonts w:hint="eastAsia" w:cs="Tahoma" w:asciiTheme="minorEastAsia" w:hAnsiTheme="minorEastAsia" w:eastAsiaTheme="minorEastAsia"/>
          <w:bCs/>
          <w:color w:val="auto"/>
          <w:kern w:val="36"/>
          <w:szCs w:val="21"/>
          <w:highlight w:val="none"/>
        </w:rPr>
        <w:t>项目</w:t>
      </w:r>
    </w:p>
    <w:p w14:paraId="324A18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2、乙方是否属于中小微企业：□是□否</w:t>
      </w:r>
    </w:p>
    <w:p w14:paraId="6B1BA7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3、本合同项下产品属于（可多选）：□环保产品；□节能产品；□进口产品</w:t>
      </w:r>
    </w:p>
    <w:p w14:paraId="61AF37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第三条 合同价款</w:t>
      </w:r>
    </w:p>
    <w:p w14:paraId="646CE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1、本合同项下总价款为（大写）</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人民币，分项价款见“价格清单”（如有）”。</w:t>
      </w:r>
    </w:p>
    <w:p w14:paraId="37CC56DD">
      <w:pPr>
        <w:widowControl/>
        <w:spacing w:line="460" w:lineRule="exact"/>
        <w:ind w:right="42" w:rightChars="20" w:firstLine="480"/>
        <w:rPr>
          <w:rFonts w:asciiTheme="minorEastAsia" w:hAnsiTheme="minorEastAsia" w:eastAsiaTheme="minorEastAsia"/>
          <w:b/>
          <w:bCs/>
          <w:color w:val="auto"/>
          <w:szCs w:val="21"/>
          <w:highlight w:val="none"/>
        </w:rPr>
      </w:pPr>
      <w:r>
        <w:rPr>
          <w:rFonts w:hint="eastAsia" w:asciiTheme="minorEastAsia" w:hAnsiTheme="minorEastAsia" w:eastAsiaTheme="minorEastAsia"/>
          <w:color w:val="auto"/>
          <w:szCs w:val="21"/>
          <w:highlight w:val="none"/>
        </w:rPr>
        <w:t>2、本合同总价款含所有</w:t>
      </w:r>
      <w:r>
        <w:rPr>
          <w:rFonts w:hint="eastAsia" w:asciiTheme="minorEastAsia" w:hAnsiTheme="minorEastAsia" w:eastAsiaTheme="minorEastAsia"/>
          <w:b/>
          <w:bCs/>
          <w:color w:val="auto"/>
          <w:szCs w:val="21"/>
          <w:highlight w:val="none"/>
        </w:rPr>
        <w:t xml:space="preserve"> (</w:t>
      </w:r>
      <w:r>
        <w:rPr>
          <w:rFonts w:hint="eastAsia" w:asciiTheme="minorEastAsia" w:hAnsiTheme="minorEastAsia" w:eastAsiaTheme="minorEastAsia"/>
          <w:b/>
          <w:bCs/>
          <w:color w:val="auto"/>
          <w:szCs w:val="21"/>
          <w:highlight w:val="none"/>
          <w:lang w:eastAsia="zh-CN"/>
        </w:rPr>
        <w:t>必须包括提供项目服务所需的一切人员费用（人员工资、奖金、各种加班费、各种社会保险（基本养老保险、基本医疗保险、工伤保险、失业保险、公积金等）、专家评审费、考察费、调研费、食宿与交通、高温补偿费）、会务费用、管理费用（意外保险、车辆、培训、税费、利润等完成合同所需的一切本身和不可或缺的所有工作开支、政策性文件规定及合同包含的所有风险、责任等各项全部费用并承担一切风险责任。</w:t>
      </w:r>
      <w:r>
        <w:rPr>
          <w:rFonts w:hint="eastAsia" w:asciiTheme="minorEastAsia" w:hAnsiTheme="minorEastAsia" w:eastAsiaTheme="minorEastAsia"/>
          <w:b/>
          <w:bCs/>
          <w:color w:val="auto"/>
          <w:szCs w:val="21"/>
          <w:highlight w:val="none"/>
        </w:rPr>
        <w:t>)</w:t>
      </w:r>
    </w:p>
    <w:p w14:paraId="543779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3、本合同付款方式为以下第</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 xml:space="preserve"> 项：</w:t>
      </w:r>
    </w:p>
    <w:p w14:paraId="4DF22F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（1）本合同项下的采购资金系甲方自行支付，付款程序为 </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p>
    <w:p w14:paraId="5E568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（2）本合同项下的采购资金须财政直接支付，付款程序为 </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p>
    <w:p w14:paraId="008C0A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（3）其他方式：</w:t>
      </w:r>
      <w:r>
        <w:rPr>
          <w:rFonts w:hint="eastAsia" w:asciiTheme="minorEastAsia" w:hAnsiTheme="minorEastAsia" w:eastAsiaTheme="minorEastAsia"/>
          <w:color w:val="auto"/>
          <w:szCs w:val="21"/>
          <w:highlight w:val="none"/>
          <w:u w:val="single"/>
        </w:rPr>
        <w:t xml:space="preserve">                    </w:t>
      </w:r>
    </w:p>
    <w:p w14:paraId="0112BC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4、本合同项下的采购资金付款进度按招投标文件规定，未规定时按以下第 </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项支付：</w:t>
      </w:r>
    </w:p>
    <w:p w14:paraId="31E9F0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（1）一次性付款：乙方合同履行达到 </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（条件）时，一次性付款；</w:t>
      </w:r>
    </w:p>
    <w:p w14:paraId="7F1DF3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（2）分期付款</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时支付</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 xml:space="preserve">时支付 </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 xml:space="preserve">时支付 </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 xml:space="preserve"> ；</w:t>
      </w:r>
    </w:p>
    <w:p w14:paraId="054614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若收取了履约保证金，则不应重复设置尾款支付条件。</w:t>
      </w:r>
    </w:p>
    <w:p w14:paraId="4D4B07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第四条 履约保证金</w:t>
      </w:r>
    </w:p>
    <w:p w14:paraId="54D73F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按以下第 </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项处理：</w:t>
      </w:r>
    </w:p>
    <w:p w14:paraId="313350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1、本项目设置履约保证金，乙方应于</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（时间）向甲方提交履约保证金</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 xml:space="preserve"> 元（不得高于本合同金额的1%）。履约保证金在 </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（时间）退还乙方。</w:t>
      </w:r>
    </w:p>
    <w:p w14:paraId="68DDC6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2、本项目不设置履约保证金</w:t>
      </w:r>
    </w:p>
    <w:p w14:paraId="4FC7DE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第五条 合同的变更和终止</w:t>
      </w:r>
    </w:p>
    <w:p w14:paraId="681697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除《政府采购法》第49条、第50条第二款规定的情形外，本合同一经签订，甲乙双方不得擅自终止合同或对合同实质性条款进行变更。确有特殊情况的，须经同级财政部门备案同意。</w:t>
      </w:r>
    </w:p>
    <w:p w14:paraId="5D481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第六条 合同的转让与分包</w:t>
      </w:r>
    </w:p>
    <w:p w14:paraId="2C4F7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乙方不得擅自部分或全部转让其应履行的合同义务。乙方分包的，应经过甲方书面同意。</w:t>
      </w:r>
    </w:p>
    <w:p w14:paraId="604D0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第七条 争议的解决</w:t>
      </w:r>
    </w:p>
    <w:p w14:paraId="0138C9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1、因履行本合同引起的或与本合同有关的争议，甲、乙双方应首先通过友好协商解决，如果协商不能解决争议，则采取以下第</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种方式解决争议：</w:t>
      </w:r>
    </w:p>
    <w:p w14:paraId="1AC004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（1）向甲方所在地有管辖权的人民法院提起诉讼；</w:t>
      </w:r>
    </w:p>
    <w:p w14:paraId="06EF2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（2）向 </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仲裁委员申请仲裁。</w:t>
      </w:r>
    </w:p>
    <w:p w14:paraId="541187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第八条 合同备案及其他</w:t>
      </w:r>
    </w:p>
    <w:p w14:paraId="156CC8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本合同一式五份，甲乙双方各执二份，一份送招标代理机构存档。</w:t>
      </w:r>
    </w:p>
    <w:p w14:paraId="3076C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二、特殊专用条款部份</w:t>
      </w:r>
    </w:p>
    <w:p w14:paraId="40EF6D49">
      <w:pPr>
        <w:numPr>
          <w:ilvl w:val="0"/>
          <w:numId w:val="11"/>
        </w:numPr>
        <w:autoSpaceDE w:val="0"/>
        <w:autoSpaceDN w:val="0"/>
        <w:adjustRightInd w:val="0"/>
        <w:spacing w:line="360" w:lineRule="auto"/>
        <w:ind w:left="0" w:right="42" w:rightChars="20" w:firstLine="422" w:firstLineChars="200"/>
        <w:jc w:val="left"/>
        <w:rPr>
          <w:rFonts w:asciiTheme="minorEastAsia" w:hAnsiTheme="minorEastAsia" w:eastAsiaTheme="minorEastAsia"/>
          <w:b/>
          <w:color w:val="auto"/>
          <w:kern w:val="36"/>
          <w:szCs w:val="21"/>
          <w:highlight w:val="none"/>
        </w:rPr>
      </w:pPr>
      <w:r>
        <w:rPr>
          <w:rFonts w:hint="eastAsia" w:asciiTheme="minorEastAsia" w:hAnsiTheme="minorEastAsia" w:eastAsiaTheme="minorEastAsia"/>
          <w:b/>
          <w:color w:val="auto"/>
          <w:kern w:val="36"/>
          <w:szCs w:val="21"/>
          <w:highlight w:val="none"/>
        </w:rPr>
        <w:t>服务内容</w:t>
      </w:r>
    </w:p>
    <w:p w14:paraId="6F5DEAA9">
      <w:pPr>
        <w:autoSpaceDE w:val="0"/>
        <w:autoSpaceDN w:val="0"/>
        <w:adjustRightInd w:val="0"/>
        <w:spacing w:line="360" w:lineRule="auto"/>
        <w:ind w:right="42" w:rightChars="20" w:firstLine="422" w:firstLineChars="200"/>
        <w:jc w:val="left"/>
        <w:rPr>
          <w:rFonts w:asciiTheme="minorEastAsia" w:hAnsiTheme="minorEastAsia" w:eastAsiaTheme="minorEastAsia"/>
          <w:b/>
          <w:color w:val="auto"/>
          <w:kern w:val="36"/>
          <w:szCs w:val="21"/>
          <w:highlight w:val="none"/>
        </w:rPr>
      </w:pPr>
      <w:r>
        <w:rPr>
          <w:rFonts w:asciiTheme="minorEastAsia" w:hAnsiTheme="minorEastAsia" w:eastAsiaTheme="minorEastAsia"/>
          <w:b/>
          <w:color w:val="auto"/>
          <w:kern w:val="36"/>
          <w:szCs w:val="21"/>
          <w:highlight w:val="none"/>
        </w:rPr>
        <w:t>……</w:t>
      </w:r>
    </w:p>
    <w:p w14:paraId="4E95F867">
      <w:pPr>
        <w:pStyle w:val="27"/>
        <w:snapToGrid w:val="0"/>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 xml:space="preserve">第二条 </w:t>
      </w:r>
      <w:r>
        <w:rPr>
          <w:rFonts w:asciiTheme="minorEastAsia" w:hAnsiTheme="minorEastAsia" w:eastAsiaTheme="minorEastAsia"/>
          <w:b/>
          <w:color w:val="auto"/>
          <w:szCs w:val="21"/>
          <w:highlight w:val="none"/>
        </w:rPr>
        <w:t>合同履行时间、履行方式及履行地点</w:t>
      </w:r>
    </w:p>
    <w:p w14:paraId="45D427B8">
      <w:pPr>
        <w:pStyle w:val="27"/>
        <w:snapToGrid w:val="0"/>
        <w:spacing w:line="360" w:lineRule="auto"/>
        <w:ind w:right="42" w:rightChars="20" w:firstLine="420" w:firstLineChars="200"/>
        <w:jc w:val="left"/>
        <w:rPr>
          <w:rFonts w:asciiTheme="minorEastAsia" w:hAnsiTheme="minorEastAsia" w:eastAsiaTheme="minorEastAsia"/>
          <w:bCs/>
          <w:color w:val="auto"/>
          <w:szCs w:val="21"/>
          <w:highlight w:val="none"/>
        </w:rPr>
      </w:pPr>
      <w:r>
        <w:rPr>
          <w:rFonts w:asciiTheme="minorEastAsia" w:hAnsiTheme="minorEastAsia" w:eastAsiaTheme="minorEastAsia"/>
          <w:bCs/>
          <w:color w:val="auto"/>
          <w:szCs w:val="21"/>
          <w:highlight w:val="none"/>
        </w:rPr>
        <w:t>1</w:t>
      </w:r>
      <w:r>
        <w:rPr>
          <w:rFonts w:hint="eastAsia" w:asciiTheme="minorEastAsia" w:hAnsiTheme="minorEastAsia" w:eastAsiaTheme="minorEastAsia"/>
          <w:bCs/>
          <w:color w:val="auto"/>
          <w:szCs w:val="21"/>
          <w:highlight w:val="none"/>
        </w:rPr>
        <w:t>、</w:t>
      </w:r>
      <w:r>
        <w:rPr>
          <w:rFonts w:asciiTheme="minorEastAsia" w:hAnsiTheme="minorEastAsia" w:eastAsiaTheme="minorEastAsia"/>
          <w:color w:val="auto"/>
          <w:szCs w:val="21"/>
          <w:highlight w:val="none"/>
        </w:rPr>
        <w:t>履行时间</w:t>
      </w:r>
      <w:r>
        <w:rPr>
          <w:rFonts w:asciiTheme="minorEastAsia" w:hAnsiTheme="minorEastAsia" w:eastAsiaTheme="minorEastAsia"/>
          <w:bCs/>
          <w:color w:val="auto"/>
          <w:szCs w:val="21"/>
          <w:highlight w:val="none"/>
        </w:rPr>
        <w:t>：</w:t>
      </w:r>
    </w:p>
    <w:p w14:paraId="2430F5A9">
      <w:pPr>
        <w:pStyle w:val="27"/>
        <w:snapToGrid w:val="0"/>
        <w:spacing w:line="360" w:lineRule="auto"/>
        <w:ind w:right="42" w:rightChars="20" w:firstLine="420" w:firstLineChars="200"/>
        <w:jc w:val="left"/>
        <w:rPr>
          <w:rFonts w:asciiTheme="minorEastAsia" w:hAnsiTheme="minorEastAsia" w:eastAsiaTheme="minorEastAsia"/>
          <w:bCs/>
          <w:color w:val="auto"/>
          <w:szCs w:val="21"/>
          <w:highlight w:val="none"/>
        </w:rPr>
      </w:pPr>
      <w:r>
        <w:rPr>
          <w:rFonts w:asciiTheme="minorEastAsia" w:hAnsiTheme="minorEastAsia" w:eastAsiaTheme="minorEastAsia"/>
          <w:bCs/>
          <w:color w:val="auto"/>
          <w:szCs w:val="21"/>
          <w:highlight w:val="none"/>
        </w:rPr>
        <w:t>2</w:t>
      </w:r>
      <w:r>
        <w:rPr>
          <w:rFonts w:hint="eastAsia" w:asciiTheme="minorEastAsia" w:hAnsiTheme="minorEastAsia" w:eastAsiaTheme="minorEastAsia"/>
          <w:bCs/>
          <w:color w:val="auto"/>
          <w:szCs w:val="21"/>
          <w:highlight w:val="none"/>
        </w:rPr>
        <w:t>、</w:t>
      </w:r>
      <w:r>
        <w:rPr>
          <w:rFonts w:asciiTheme="minorEastAsia" w:hAnsiTheme="minorEastAsia" w:eastAsiaTheme="minorEastAsia"/>
          <w:color w:val="auto"/>
          <w:szCs w:val="21"/>
          <w:highlight w:val="none"/>
        </w:rPr>
        <w:t>履行方式</w:t>
      </w:r>
      <w:r>
        <w:rPr>
          <w:rFonts w:asciiTheme="minorEastAsia" w:hAnsiTheme="minorEastAsia" w:eastAsiaTheme="minorEastAsia"/>
          <w:bCs/>
          <w:color w:val="auto"/>
          <w:szCs w:val="21"/>
          <w:highlight w:val="none"/>
        </w:rPr>
        <w:t>：</w:t>
      </w:r>
    </w:p>
    <w:p w14:paraId="1A621532">
      <w:pPr>
        <w:pStyle w:val="27"/>
        <w:snapToGrid w:val="0"/>
        <w:spacing w:line="360" w:lineRule="auto"/>
        <w:ind w:right="42" w:rightChars="20" w:firstLine="420" w:firstLineChars="200"/>
        <w:jc w:val="left"/>
        <w:rPr>
          <w:rFonts w:asciiTheme="minorEastAsia" w:hAnsiTheme="minorEastAsia" w:eastAsiaTheme="minorEastAsia"/>
          <w:bCs/>
          <w:color w:val="auto"/>
          <w:szCs w:val="21"/>
          <w:highlight w:val="none"/>
        </w:rPr>
      </w:pPr>
      <w:r>
        <w:rPr>
          <w:rFonts w:asciiTheme="minorEastAsia" w:hAnsiTheme="minorEastAsia" w:eastAsiaTheme="minorEastAsia"/>
          <w:bCs/>
          <w:color w:val="auto"/>
          <w:szCs w:val="21"/>
          <w:highlight w:val="none"/>
        </w:rPr>
        <w:t>3</w:t>
      </w:r>
      <w:r>
        <w:rPr>
          <w:rFonts w:hint="eastAsia" w:asciiTheme="minorEastAsia" w:hAnsiTheme="minorEastAsia" w:eastAsiaTheme="minorEastAsia"/>
          <w:bCs/>
          <w:color w:val="auto"/>
          <w:szCs w:val="21"/>
          <w:highlight w:val="none"/>
        </w:rPr>
        <w:t>、</w:t>
      </w:r>
      <w:r>
        <w:rPr>
          <w:rFonts w:asciiTheme="minorEastAsia" w:hAnsiTheme="minorEastAsia" w:eastAsiaTheme="minorEastAsia"/>
          <w:color w:val="auto"/>
          <w:szCs w:val="21"/>
          <w:highlight w:val="none"/>
        </w:rPr>
        <w:t>履行地点</w:t>
      </w:r>
      <w:r>
        <w:rPr>
          <w:rFonts w:asciiTheme="minorEastAsia" w:hAnsiTheme="minorEastAsia" w:eastAsiaTheme="minorEastAsia"/>
          <w:bCs/>
          <w:color w:val="auto"/>
          <w:szCs w:val="21"/>
          <w:highlight w:val="none"/>
        </w:rPr>
        <w:t>：</w:t>
      </w:r>
    </w:p>
    <w:p w14:paraId="334725BB">
      <w:pPr>
        <w:pStyle w:val="27"/>
        <w:snapToGrid w:val="0"/>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w:t>
      </w:r>
      <w:r>
        <w:rPr>
          <w:rFonts w:asciiTheme="minorEastAsia" w:hAnsiTheme="minorEastAsia" w:eastAsiaTheme="minorEastAsia"/>
          <w:b/>
          <w:color w:val="auto"/>
          <w:szCs w:val="21"/>
          <w:highlight w:val="none"/>
        </w:rPr>
        <w:t>三</w:t>
      </w:r>
      <w:r>
        <w:rPr>
          <w:rFonts w:hint="eastAsia" w:asciiTheme="minorEastAsia" w:hAnsiTheme="minorEastAsia" w:eastAsiaTheme="minorEastAsia"/>
          <w:b/>
          <w:color w:val="auto"/>
          <w:szCs w:val="21"/>
          <w:highlight w:val="none"/>
        </w:rPr>
        <w:t xml:space="preserve">条 </w:t>
      </w:r>
      <w:r>
        <w:rPr>
          <w:rFonts w:asciiTheme="minorEastAsia" w:hAnsiTheme="minorEastAsia" w:eastAsiaTheme="minorEastAsia"/>
          <w:b/>
          <w:color w:val="auto"/>
          <w:szCs w:val="21"/>
          <w:highlight w:val="none"/>
        </w:rPr>
        <w:t>技术资料</w:t>
      </w:r>
    </w:p>
    <w:p w14:paraId="167B7858">
      <w:pPr>
        <w:pStyle w:val="27"/>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乙方应按招标文件规定的时间向甲方提供有关技术资料。</w:t>
      </w:r>
    </w:p>
    <w:p w14:paraId="592418F3">
      <w:pPr>
        <w:pStyle w:val="27"/>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C9CE225">
      <w:pPr>
        <w:pStyle w:val="27"/>
        <w:snapToGrid w:val="0"/>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w:t>
      </w:r>
      <w:r>
        <w:rPr>
          <w:rFonts w:asciiTheme="minorEastAsia" w:hAnsiTheme="minorEastAsia" w:eastAsiaTheme="minorEastAsia"/>
          <w:b/>
          <w:color w:val="auto"/>
          <w:szCs w:val="21"/>
          <w:highlight w:val="none"/>
        </w:rPr>
        <w:t>四</w:t>
      </w:r>
      <w:r>
        <w:rPr>
          <w:rFonts w:hint="eastAsia" w:asciiTheme="minorEastAsia" w:hAnsiTheme="minorEastAsia" w:eastAsiaTheme="minorEastAsia"/>
          <w:b/>
          <w:color w:val="auto"/>
          <w:szCs w:val="21"/>
          <w:highlight w:val="none"/>
        </w:rPr>
        <w:t xml:space="preserve">条 </w:t>
      </w:r>
      <w:r>
        <w:rPr>
          <w:rFonts w:asciiTheme="minorEastAsia" w:hAnsiTheme="minorEastAsia" w:eastAsiaTheme="minorEastAsia"/>
          <w:b/>
          <w:color w:val="auto"/>
          <w:szCs w:val="21"/>
          <w:highlight w:val="none"/>
        </w:rPr>
        <w:t>知识产权</w:t>
      </w:r>
    </w:p>
    <w:p w14:paraId="22108742">
      <w:pPr>
        <w:pStyle w:val="27"/>
        <w:snapToGrid w:val="0"/>
        <w:spacing w:line="360" w:lineRule="auto"/>
        <w:ind w:right="42" w:rightChars="20" w:firstLine="420" w:firstLineChars="200"/>
        <w:jc w:val="left"/>
        <w:rPr>
          <w:rFonts w:asciiTheme="minorEastAsia" w:hAnsiTheme="minorEastAsia" w:eastAsiaTheme="minorEastAsia"/>
          <w:b/>
          <w:bCs/>
          <w:color w:val="auto"/>
          <w:szCs w:val="21"/>
          <w:highlight w:val="none"/>
        </w:rPr>
      </w:pPr>
      <w:r>
        <w:rPr>
          <w:rFonts w:asciiTheme="minorEastAsia" w:hAnsiTheme="minorEastAsia" w:eastAsiaTheme="minorEastAsia"/>
          <w:color w:val="auto"/>
          <w:szCs w:val="21"/>
          <w:highlight w:val="none"/>
        </w:rPr>
        <w:t>乙方应保证提供服务过程中不会侵犯任何第三方的</w:t>
      </w:r>
      <w:r>
        <w:rPr>
          <w:rFonts w:asciiTheme="minorEastAsia" w:hAnsiTheme="minorEastAsia" w:eastAsiaTheme="minorEastAsia"/>
          <w:b/>
          <w:color w:val="auto"/>
          <w:szCs w:val="21"/>
          <w:highlight w:val="none"/>
        </w:rPr>
        <w:t>知识产权</w:t>
      </w:r>
      <w:r>
        <w:rPr>
          <w:rFonts w:asciiTheme="minorEastAsia" w:hAnsiTheme="minorEastAsia" w:eastAsiaTheme="minorEastAsia"/>
          <w:b/>
          <w:bCs/>
          <w:color w:val="auto"/>
          <w:szCs w:val="21"/>
          <w:highlight w:val="none"/>
        </w:rPr>
        <w:t>。</w:t>
      </w:r>
    </w:p>
    <w:p w14:paraId="3F5F9C5E">
      <w:pPr>
        <w:pStyle w:val="27"/>
        <w:snapToGrid w:val="0"/>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 xml:space="preserve">第五条 </w:t>
      </w:r>
      <w:r>
        <w:rPr>
          <w:rFonts w:asciiTheme="minorEastAsia" w:hAnsiTheme="minorEastAsia" w:eastAsiaTheme="minorEastAsia"/>
          <w:b/>
          <w:color w:val="auto"/>
          <w:szCs w:val="21"/>
          <w:highlight w:val="none"/>
        </w:rPr>
        <w:t>履约保证金</w:t>
      </w:r>
    </w:p>
    <w:p w14:paraId="4FEB010F">
      <w:pPr>
        <w:pStyle w:val="27"/>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乙方交纳人民币</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元作为本合同的履约保证金。</w:t>
      </w:r>
    </w:p>
    <w:p w14:paraId="4F9FCBA7">
      <w:pPr>
        <w:snapToGrid w:val="0"/>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第六条 税费</w:t>
      </w:r>
    </w:p>
    <w:p w14:paraId="59E950D1">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本合同执行中相关的一切税费均由</w:t>
      </w:r>
      <w:r>
        <w:rPr>
          <w:rFonts w:asciiTheme="minorEastAsia" w:hAnsiTheme="minorEastAsia" w:eastAsiaTheme="minorEastAsia"/>
          <w:color w:val="auto"/>
          <w:szCs w:val="21"/>
          <w:highlight w:val="none"/>
        </w:rPr>
        <w:t>乙</w:t>
      </w:r>
      <w:r>
        <w:rPr>
          <w:rFonts w:hint="eastAsia" w:asciiTheme="minorEastAsia" w:hAnsiTheme="minorEastAsia" w:eastAsiaTheme="minorEastAsia"/>
          <w:color w:val="auto"/>
          <w:szCs w:val="21"/>
          <w:highlight w:val="none"/>
        </w:rPr>
        <w:t>方负担。</w:t>
      </w:r>
    </w:p>
    <w:p w14:paraId="6E940C45">
      <w:pPr>
        <w:pStyle w:val="27"/>
        <w:snapToGrid w:val="0"/>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 xml:space="preserve">第七条 </w:t>
      </w:r>
      <w:r>
        <w:rPr>
          <w:rFonts w:asciiTheme="minorEastAsia" w:hAnsiTheme="minorEastAsia" w:eastAsiaTheme="minorEastAsia"/>
          <w:b/>
          <w:color w:val="auto"/>
          <w:szCs w:val="21"/>
          <w:highlight w:val="none"/>
        </w:rPr>
        <w:t>违约责任</w:t>
      </w:r>
    </w:p>
    <w:p w14:paraId="78319B45">
      <w:pPr>
        <w:pStyle w:val="27"/>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甲方无正当理由拒收接受服务的，甲方向乙方偿付合同款项百分之五作为违约金。</w:t>
      </w:r>
    </w:p>
    <w:p w14:paraId="68522E5F">
      <w:pPr>
        <w:pStyle w:val="27"/>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甲方无故逾期验收和办理款项支付手续的,甲方应按逾期付款总额每日万分之五向乙方支付违约金。</w:t>
      </w:r>
    </w:p>
    <w:p w14:paraId="70E802B4">
      <w:pPr>
        <w:pStyle w:val="27"/>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乙方</w:t>
      </w:r>
      <w:r>
        <w:rPr>
          <w:rFonts w:hint="eastAsia" w:asciiTheme="minorEastAsia" w:hAnsiTheme="minorEastAsia" w:eastAsiaTheme="minorEastAsia"/>
          <w:color w:val="auto"/>
          <w:szCs w:val="21"/>
          <w:highlight w:val="none"/>
        </w:rPr>
        <w:t>未能如</w:t>
      </w:r>
      <w:r>
        <w:rPr>
          <w:rFonts w:asciiTheme="minorEastAsia" w:hAnsiTheme="minorEastAsia" w:eastAsiaTheme="minorEastAsia"/>
          <w:color w:val="auto"/>
          <w:szCs w:val="21"/>
          <w:highlight w:val="none"/>
        </w:rPr>
        <w:t>期提供服务的，每日向甲方支付</w:t>
      </w:r>
      <w:r>
        <w:rPr>
          <w:rFonts w:hint="eastAsia" w:asciiTheme="minorEastAsia" w:hAnsiTheme="minorEastAsia" w:eastAsiaTheme="minorEastAsia"/>
          <w:color w:val="auto"/>
          <w:szCs w:val="21"/>
          <w:highlight w:val="none"/>
        </w:rPr>
        <w:t>合同款项的</w:t>
      </w:r>
      <w:r>
        <w:rPr>
          <w:rFonts w:asciiTheme="minorEastAsia" w:hAnsiTheme="minorEastAsia" w:eastAsiaTheme="minorEastAsia"/>
          <w:color w:val="auto"/>
          <w:szCs w:val="21"/>
          <w:highlight w:val="none"/>
        </w:rPr>
        <w:t>千分之六</w:t>
      </w:r>
      <w:r>
        <w:rPr>
          <w:rFonts w:hint="eastAsia" w:asciiTheme="minorEastAsia" w:hAnsiTheme="minorEastAsia" w:eastAsiaTheme="minorEastAsia"/>
          <w:color w:val="auto"/>
          <w:szCs w:val="21"/>
          <w:highlight w:val="none"/>
        </w:rPr>
        <w:t>作为</w:t>
      </w:r>
      <w:r>
        <w:rPr>
          <w:rFonts w:asciiTheme="minorEastAsia" w:hAnsiTheme="minorEastAsia" w:eastAsiaTheme="minorEastAsia"/>
          <w:color w:val="auto"/>
          <w:szCs w:val="21"/>
          <w:highlight w:val="none"/>
        </w:rPr>
        <w:t>违约金。乙方超过约定日期10个工作日</w:t>
      </w:r>
      <w:r>
        <w:rPr>
          <w:rFonts w:hint="eastAsia" w:asciiTheme="minorEastAsia" w:hAnsiTheme="minorEastAsia" w:eastAsiaTheme="minorEastAsia"/>
          <w:color w:val="auto"/>
          <w:szCs w:val="21"/>
          <w:highlight w:val="none"/>
        </w:rPr>
        <w:t>仍</w:t>
      </w:r>
      <w:r>
        <w:rPr>
          <w:rFonts w:asciiTheme="minorEastAsia" w:hAnsiTheme="minorEastAsia" w:eastAsiaTheme="minorEastAsia"/>
          <w:color w:val="auto"/>
          <w:szCs w:val="21"/>
          <w:highlight w:val="none"/>
        </w:rPr>
        <w:t>不能</w:t>
      </w:r>
      <w:r>
        <w:rPr>
          <w:rFonts w:hint="eastAsia" w:asciiTheme="minorEastAsia" w:hAnsiTheme="minorEastAsia" w:eastAsiaTheme="minorEastAsia"/>
          <w:color w:val="auto"/>
          <w:szCs w:val="21"/>
          <w:highlight w:val="none"/>
        </w:rPr>
        <w:t>提供服务</w:t>
      </w:r>
      <w:r>
        <w:rPr>
          <w:rFonts w:asciiTheme="minorEastAsia" w:hAnsiTheme="minorEastAsia" w:eastAsiaTheme="minorEastAsia"/>
          <w:color w:val="auto"/>
          <w:szCs w:val="21"/>
          <w:highlight w:val="none"/>
        </w:rPr>
        <w:t>的，甲方可解除本合同。乙方因</w:t>
      </w:r>
      <w:r>
        <w:rPr>
          <w:rFonts w:hint="eastAsia" w:asciiTheme="minorEastAsia" w:hAnsiTheme="minorEastAsia" w:eastAsiaTheme="minorEastAsia"/>
          <w:color w:val="auto"/>
          <w:szCs w:val="21"/>
          <w:highlight w:val="none"/>
        </w:rPr>
        <w:t>未能如</w:t>
      </w:r>
      <w:r>
        <w:rPr>
          <w:rFonts w:asciiTheme="minorEastAsia" w:hAnsiTheme="minorEastAsia" w:eastAsiaTheme="minorEastAsia"/>
          <w:color w:val="auto"/>
          <w:szCs w:val="21"/>
          <w:highlight w:val="none"/>
        </w:rPr>
        <w:t xml:space="preserve">期提供服务或因其他违约行为导致甲方解除合同的，乙方应向甲方支付合同总值5%的违约金，如造成甲方损失超过违约金的，超出部分由乙方继续承担赔偿责任。 </w:t>
      </w:r>
    </w:p>
    <w:p w14:paraId="0F2C6958">
      <w:pPr>
        <w:pStyle w:val="27"/>
        <w:snapToGrid w:val="0"/>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 xml:space="preserve">第八条 </w:t>
      </w:r>
      <w:r>
        <w:rPr>
          <w:rFonts w:asciiTheme="minorEastAsia" w:hAnsiTheme="minorEastAsia" w:eastAsiaTheme="minorEastAsia"/>
          <w:b/>
          <w:color w:val="auto"/>
          <w:szCs w:val="21"/>
          <w:highlight w:val="none"/>
        </w:rPr>
        <w:t>不可抗力事件处理</w:t>
      </w:r>
    </w:p>
    <w:p w14:paraId="69B57BC3">
      <w:pPr>
        <w:pStyle w:val="27"/>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在合同有效期内，任何一方因不可抗力事件导致不能履行合同，则合同履行期可延长，其延长期与不可抗力影响期相同。</w:t>
      </w:r>
    </w:p>
    <w:p w14:paraId="4525C1B8">
      <w:pPr>
        <w:pStyle w:val="27"/>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、不</w:t>
      </w:r>
      <w:r>
        <w:rPr>
          <w:rFonts w:asciiTheme="minorEastAsia" w:hAnsiTheme="minorEastAsia" w:eastAsiaTheme="minorEastAsia"/>
          <w:color w:val="auto"/>
          <w:szCs w:val="21"/>
          <w:highlight w:val="none"/>
        </w:rPr>
        <w:t>可抗力事件发生后，应立即通知对方，并寄送有关权威机构出具的证明。</w:t>
      </w:r>
    </w:p>
    <w:p w14:paraId="2F316A9A">
      <w:pPr>
        <w:pStyle w:val="27"/>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不可抗力事件延续120天以上，双方应通过友好协商，确定是否继续履行合同。</w:t>
      </w:r>
    </w:p>
    <w:p w14:paraId="6681A486">
      <w:pPr>
        <w:pStyle w:val="27"/>
        <w:snapToGrid w:val="0"/>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 xml:space="preserve">第九条 </w:t>
      </w:r>
      <w:r>
        <w:rPr>
          <w:rFonts w:asciiTheme="minorEastAsia" w:hAnsiTheme="minorEastAsia" w:eastAsiaTheme="minorEastAsia"/>
          <w:b/>
          <w:color w:val="auto"/>
          <w:szCs w:val="21"/>
          <w:highlight w:val="none"/>
        </w:rPr>
        <w:t>诉讼</w:t>
      </w:r>
    </w:p>
    <w:p w14:paraId="7170EAE2">
      <w:pPr>
        <w:pStyle w:val="27"/>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双方在执行合同中所发生的一切争议，应通过协商解决。如协商不成，可向</w:t>
      </w:r>
      <w:r>
        <w:rPr>
          <w:rFonts w:hint="eastAsia" w:asciiTheme="minorEastAsia" w:hAnsiTheme="minorEastAsia" w:eastAsiaTheme="minorEastAsia"/>
          <w:color w:val="auto"/>
          <w:szCs w:val="21"/>
          <w:highlight w:val="none"/>
        </w:rPr>
        <w:t>甲方所在</w:t>
      </w:r>
      <w:r>
        <w:rPr>
          <w:rFonts w:asciiTheme="minorEastAsia" w:hAnsiTheme="minorEastAsia" w:eastAsiaTheme="minorEastAsia"/>
          <w:color w:val="auto"/>
          <w:szCs w:val="21"/>
          <w:highlight w:val="none"/>
        </w:rPr>
        <w:t>地法院起诉。</w:t>
      </w:r>
    </w:p>
    <w:p w14:paraId="7EFEAD84">
      <w:pPr>
        <w:pStyle w:val="27"/>
        <w:snapToGrid w:val="0"/>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 xml:space="preserve">第十条 </w:t>
      </w:r>
      <w:r>
        <w:rPr>
          <w:rFonts w:asciiTheme="minorEastAsia" w:hAnsiTheme="minorEastAsia" w:eastAsiaTheme="minorEastAsia"/>
          <w:b/>
          <w:color w:val="auto"/>
          <w:szCs w:val="21"/>
          <w:highlight w:val="none"/>
        </w:rPr>
        <w:t>合同生效及其它</w:t>
      </w:r>
    </w:p>
    <w:p w14:paraId="309AB01F">
      <w:pPr>
        <w:autoSpaceDE w:val="0"/>
        <w:autoSpaceDN w:val="0"/>
        <w:adjustRightIn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合同经双方法定代表人或授权委托代理人签字并加盖单位公章后生效。</w:t>
      </w:r>
    </w:p>
    <w:p w14:paraId="6679A5BD">
      <w:pPr>
        <w:autoSpaceDE w:val="0"/>
        <w:autoSpaceDN w:val="0"/>
        <w:adjustRightIn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本合同未尽事宜，遵照《</w:t>
      </w:r>
      <w:r>
        <w:rPr>
          <w:rFonts w:asciiTheme="minorEastAsia" w:hAnsiTheme="minorEastAsia" w:eastAsiaTheme="minorEastAsia"/>
          <w:color w:val="auto"/>
          <w:kern w:val="0"/>
          <w:szCs w:val="21"/>
          <w:highlight w:val="none"/>
        </w:rPr>
        <w:t>中华人民共和国</w:t>
      </w:r>
      <w:r>
        <w:rPr>
          <w:rFonts w:hint="eastAsia" w:asciiTheme="minorEastAsia" w:hAnsiTheme="minorEastAsia" w:eastAsiaTheme="minorEastAsia"/>
          <w:color w:val="auto"/>
          <w:kern w:val="0"/>
          <w:szCs w:val="21"/>
          <w:highlight w:val="none"/>
        </w:rPr>
        <w:t>民法典</w:t>
      </w:r>
      <w:r>
        <w:rPr>
          <w:rFonts w:asciiTheme="minorEastAsia" w:hAnsiTheme="minorEastAsia" w:eastAsiaTheme="minorEastAsia"/>
          <w:color w:val="auto"/>
          <w:szCs w:val="21"/>
          <w:highlight w:val="none"/>
        </w:rPr>
        <w:t>》有关条文执行。</w:t>
      </w:r>
    </w:p>
    <w:p w14:paraId="5E7B175B">
      <w:pPr>
        <w:pStyle w:val="27"/>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14:paraId="6CF2BD67">
      <w:pPr>
        <w:pStyle w:val="27"/>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14:paraId="3A7FE611">
      <w:pPr>
        <w:pStyle w:val="27"/>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甲方：           </w:t>
      </w:r>
      <w:r>
        <w:rPr>
          <w:rFonts w:hint="eastAsia" w:asciiTheme="minorEastAsia" w:hAnsiTheme="minorEastAsia" w:eastAsiaTheme="minorEastAsia"/>
          <w:color w:val="auto"/>
          <w:szCs w:val="21"/>
          <w:highlight w:val="none"/>
          <w:lang w:val="en-US" w:eastAsia="zh-CN"/>
        </w:rPr>
        <w:t xml:space="preserve">                   </w:t>
      </w:r>
      <w:r>
        <w:rPr>
          <w:rFonts w:asciiTheme="minorEastAsia" w:hAnsiTheme="minorEastAsia" w:eastAsiaTheme="minorEastAsia"/>
          <w:color w:val="auto"/>
          <w:szCs w:val="21"/>
          <w:highlight w:val="none"/>
        </w:rPr>
        <w:t xml:space="preserve">  乙方： </w:t>
      </w:r>
    </w:p>
    <w:p w14:paraId="6E3716BB">
      <w:pPr>
        <w:pStyle w:val="27"/>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  地址：          </w:t>
      </w:r>
      <w:r>
        <w:rPr>
          <w:rFonts w:hint="eastAsia" w:asciiTheme="minorEastAsia" w:hAnsiTheme="minorEastAsia" w:eastAsiaTheme="minorEastAsia"/>
          <w:color w:val="auto"/>
          <w:szCs w:val="21"/>
          <w:highlight w:val="none"/>
          <w:lang w:val="en-US" w:eastAsia="zh-CN"/>
        </w:rPr>
        <w:t xml:space="preserve">                   </w:t>
      </w:r>
      <w:r>
        <w:rPr>
          <w:rFonts w:asciiTheme="minorEastAsia" w:hAnsiTheme="minorEastAsia" w:eastAsiaTheme="minorEastAsia"/>
          <w:color w:val="auto"/>
          <w:szCs w:val="21"/>
          <w:highlight w:val="none"/>
        </w:rPr>
        <w:t xml:space="preserve"> 地址： </w:t>
      </w:r>
    </w:p>
    <w:p w14:paraId="74E61664">
      <w:pPr>
        <w:pStyle w:val="27"/>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  法定</w:t>
      </w:r>
      <w:r>
        <w:rPr>
          <w:rFonts w:hint="eastAsia" w:asciiTheme="minorEastAsia" w:hAnsiTheme="minorEastAsia" w:eastAsiaTheme="minorEastAsia"/>
          <w:color w:val="auto"/>
          <w:szCs w:val="21"/>
          <w:highlight w:val="none"/>
        </w:rPr>
        <w:t>（授权）</w:t>
      </w:r>
      <w:r>
        <w:rPr>
          <w:rFonts w:asciiTheme="minorEastAsia" w:hAnsiTheme="minorEastAsia" w:eastAsiaTheme="minorEastAsia"/>
          <w:color w:val="auto"/>
          <w:szCs w:val="21"/>
          <w:highlight w:val="none"/>
        </w:rPr>
        <w:t>代表人：               法定</w:t>
      </w:r>
      <w:r>
        <w:rPr>
          <w:rFonts w:hint="eastAsia" w:asciiTheme="minorEastAsia" w:hAnsiTheme="minorEastAsia" w:eastAsiaTheme="minorEastAsia"/>
          <w:color w:val="auto"/>
          <w:szCs w:val="21"/>
          <w:highlight w:val="none"/>
        </w:rPr>
        <w:t>（授权）</w:t>
      </w:r>
      <w:r>
        <w:rPr>
          <w:rFonts w:asciiTheme="minorEastAsia" w:hAnsiTheme="minorEastAsia" w:eastAsiaTheme="minorEastAsia"/>
          <w:color w:val="auto"/>
          <w:szCs w:val="21"/>
          <w:highlight w:val="none"/>
        </w:rPr>
        <w:t>代表人：</w:t>
      </w:r>
    </w:p>
    <w:p w14:paraId="498B398A">
      <w:pPr>
        <w:pStyle w:val="27"/>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联系电话：</w:t>
      </w:r>
    </w:p>
    <w:p w14:paraId="13379B26">
      <w:pPr>
        <w:pStyle w:val="27"/>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开户银行：</w:t>
      </w:r>
    </w:p>
    <w:p w14:paraId="3A08731E">
      <w:pPr>
        <w:pStyle w:val="27"/>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银行账号：</w:t>
      </w:r>
    </w:p>
    <w:p w14:paraId="6255474D">
      <w:pPr>
        <w:pStyle w:val="27"/>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  签</w:t>
      </w:r>
      <w:r>
        <w:rPr>
          <w:rFonts w:hint="eastAsia" w:asciiTheme="minorEastAsia" w:hAnsiTheme="minorEastAsia" w:eastAsiaTheme="minorEastAsia"/>
          <w:color w:val="auto"/>
          <w:szCs w:val="21"/>
          <w:highlight w:val="none"/>
        </w:rPr>
        <w:t>字日期</w:t>
      </w:r>
      <w:r>
        <w:rPr>
          <w:rFonts w:asciiTheme="minorEastAsia" w:hAnsiTheme="minorEastAsia" w:eastAsiaTheme="minorEastAsia"/>
          <w:color w:val="auto"/>
          <w:szCs w:val="21"/>
          <w:highlight w:val="none"/>
        </w:rPr>
        <w:t xml:space="preserve">：    年  月  日 </w:t>
      </w:r>
      <w:r>
        <w:rPr>
          <w:rFonts w:hint="eastAsia" w:asciiTheme="minorEastAsia" w:hAnsiTheme="minorEastAsia" w:eastAsiaTheme="minorEastAsia"/>
          <w:color w:val="auto"/>
          <w:szCs w:val="21"/>
          <w:highlight w:val="none"/>
          <w:lang w:val="en-US" w:eastAsia="zh-CN"/>
        </w:rPr>
        <w:t xml:space="preserve">            </w:t>
      </w:r>
      <w:r>
        <w:rPr>
          <w:rFonts w:asciiTheme="minorEastAsia" w:hAnsiTheme="minorEastAsia" w:eastAsiaTheme="minorEastAsia"/>
          <w:color w:val="auto"/>
          <w:szCs w:val="21"/>
          <w:highlight w:val="none"/>
        </w:rPr>
        <w:t>签</w:t>
      </w:r>
      <w:r>
        <w:rPr>
          <w:rFonts w:hint="eastAsia" w:asciiTheme="minorEastAsia" w:hAnsiTheme="minorEastAsia" w:eastAsiaTheme="minorEastAsia"/>
          <w:color w:val="auto"/>
          <w:szCs w:val="21"/>
          <w:highlight w:val="none"/>
        </w:rPr>
        <w:t>字</w:t>
      </w:r>
      <w:r>
        <w:rPr>
          <w:rFonts w:asciiTheme="minorEastAsia" w:hAnsiTheme="minorEastAsia" w:eastAsiaTheme="minorEastAsia"/>
          <w:color w:val="auto"/>
          <w:szCs w:val="21"/>
          <w:highlight w:val="none"/>
        </w:rPr>
        <w:t>日期：   年  月  日</w:t>
      </w:r>
    </w:p>
    <w:p w14:paraId="1DD9C572">
      <w:pPr>
        <w:pStyle w:val="164"/>
        <w:ind w:right="42" w:rightChars="20"/>
        <w:rPr>
          <w:rFonts w:asciiTheme="minorEastAsia" w:hAnsiTheme="minorEastAsia" w:eastAsiaTheme="minorEastAsia"/>
          <w:color w:val="auto"/>
          <w:highlight w:val="none"/>
        </w:rPr>
      </w:pPr>
      <w:r>
        <w:rPr>
          <w:rFonts w:asciiTheme="minorEastAsia" w:hAnsiTheme="minorEastAsia" w:eastAsiaTheme="minorEastAsia"/>
          <w:color w:val="auto"/>
          <w:highlight w:val="none"/>
        </w:rPr>
        <w:br w:type="page"/>
      </w:r>
      <w:bookmarkEnd w:id="285"/>
      <w:bookmarkStart w:id="303" w:name="_Toc493511828"/>
    </w:p>
    <w:p w14:paraId="532835B7">
      <w:pPr>
        <w:pStyle w:val="2"/>
        <w:ind w:right="42" w:rightChars="20"/>
        <w:rPr>
          <w:rFonts w:cs="微软雅黑" w:asciiTheme="minorEastAsia" w:hAnsiTheme="minorEastAsia" w:eastAsiaTheme="minorEastAsia"/>
          <w:color w:val="auto"/>
          <w:highlight w:val="none"/>
        </w:rPr>
      </w:pPr>
      <w:bookmarkStart w:id="304" w:name="_Toc5531"/>
      <w:r>
        <w:rPr>
          <w:rFonts w:hint="eastAsia" w:cs="微软雅黑" w:asciiTheme="minorEastAsia" w:hAnsiTheme="minorEastAsia" w:eastAsiaTheme="minorEastAsia"/>
          <w:color w:val="auto"/>
          <w:highlight w:val="none"/>
        </w:rPr>
        <w:t>第六章　投标文件相关格式</w:t>
      </w:r>
      <w:bookmarkEnd w:id="303"/>
      <w:bookmarkEnd w:id="304"/>
    </w:p>
    <w:p w14:paraId="0921E817">
      <w:pPr>
        <w:spacing w:line="360" w:lineRule="auto"/>
        <w:ind w:right="42" w:rightChars="20" w:firstLine="420" w:firstLineChars="200"/>
        <w:jc w:val="left"/>
        <w:rPr>
          <w:rFonts w:asciiTheme="minorEastAsia" w:hAnsiTheme="minorEastAsia" w:eastAsiaTheme="minorEastAsia"/>
          <w:color w:val="auto"/>
          <w:szCs w:val="21"/>
          <w:highlight w:val="none"/>
        </w:rPr>
      </w:pPr>
    </w:p>
    <w:p w14:paraId="07151C6A">
      <w:pPr>
        <w:spacing w:line="360" w:lineRule="auto"/>
        <w:ind w:right="42" w:rightChars="20"/>
        <w:jc w:val="center"/>
        <w:rPr>
          <w:rFonts w:hint="eastAsia" w:asciiTheme="minorEastAsia" w:hAnsiTheme="minorEastAsia" w:eastAsiaTheme="minorEastAsia"/>
          <w:b/>
          <w:color w:val="auto"/>
          <w:highlight w:val="none"/>
          <w:lang w:eastAsia="zh-CN"/>
        </w:rPr>
      </w:pPr>
      <w:bookmarkStart w:id="305" w:name="_Toc50012909"/>
      <w:bookmarkStart w:id="306" w:name="_Toc430786287"/>
      <w:r>
        <w:rPr>
          <w:rFonts w:hint="eastAsia" w:asciiTheme="minorEastAsia" w:hAnsiTheme="minorEastAsia" w:eastAsiaTheme="minorEastAsia"/>
          <w:b/>
          <w:color w:val="auto"/>
          <w:highlight w:val="none"/>
          <w:lang w:eastAsia="zh-CN"/>
        </w:rPr>
        <w:t>秀洲区2025年度白蚁等害堤动物防治项目</w:t>
      </w:r>
    </w:p>
    <w:p w14:paraId="3795E300">
      <w:pPr>
        <w:spacing w:line="360" w:lineRule="auto"/>
        <w:ind w:right="42" w:rightChars="20"/>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资格投标文件/商务技术文件/报价文件</w:t>
      </w:r>
      <w:bookmarkEnd w:id="305"/>
    </w:p>
    <w:p w14:paraId="4E824B95">
      <w:pPr>
        <w:spacing w:line="360" w:lineRule="auto"/>
        <w:ind w:right="42" w:rightChars="20"/>
        <w:jc w:val="center"/>
        <w:rPr>
          <w:rFonts w:asciiTheme="minorEastAsia" w:hAnsiTheme="minorEastAsia" w:eastAsiaTheme="minorEastAsia"/>
          <w:b/>
          <w:color w:val="auto"/>
          <w:szCs w:val="21"/>
          <w:highlight w:val="none"/>
        </w:rPr>
      </w:pPr>
      <w:bookmarkStart w:id="307" w:name="_Toc50012910"/>
      <w:r>
        <w:rPr>
          <w:rFonts w:hint="eastAsia" w:asciiTheme="minorEastAsia" w:hAnsiTheme="minorEastAsia" w:eastAsiaTheme="minorEastAsia"/>
          <w:b/>
          <w:color w:val="auto"/>
          <w:szCs w:val="21"/>
          <w:highlight w:val="none"/>
        </w:rPr>
        <w:t>项目编号：</w:t>
      </w:r>
      <w:bookmarkEnd w:id="307"/>
    </w:p>
    <w:p w14:paraId="274FCC48">
      <w:pPr>
        <w:spacing w:line="360" w:lineRule="auto"/>
        <w:ind w:right="42" w:rightChars="20"/>
        <w:jc w:val="center"/>
        <w:rPr>
          <w:rFonts w:asciiTheme="minorEastAsia" w:hAnsiTheme="minorEastAsia" w:eastAsiaTheme="minorEastAsia"/>
          <w:b/>
          <w:color w:val="auto"/>
          <w:szCs w:val="21"/>
          <w:highlight w:val="none"/>
        </w:rPr>
      </w:pPr>
    </w:p>
    <w:p w14:paraId="36BD0E8A">
      <w:pPr>
        <w:spacing w:line="360" w:lineRule="auto"/>
        <w:ind w:right="42" w:rightChars="20"/>
        <w:jc w:val="center"/>
        <w:rPr>
          <w:rFonts w:asciiTheme="minorEastAsia" w:hAnsiTheme="minorEastAsia" w:eastAsiaTheme="minorEastAsia"/>
          <w:b/>
          <w:color w:val="auto"/>
          <w:szCs w:val="21"/>
          <w:highlight w:val="none"/>
        </w:rPr>
      </w:pPr>
    </w:p>
    <w:p w14:paraId="4677290F">
      <w:pPr>
        <w:spacing w:line="360" w:lineRule="auto"/>
        <w:ind w:right="42" w:rightChars="20"/>
        <w:jc w:val="center"/>
        <w:rPr>
          <w:rFonts w:asciiTheme="minorEastAsia" w:hAnsiTheme="minorEastAsia" w:eastAsiaTheme="minorEastAsia"/>
          <w:b/>
          <w:color w:val="auto"/>
          <w:szCs w:val="21"/>
          <w:highlight w:val="none"/>
        </w:rPr>
      </w:pPr>
      <w:bookmarkStart w:id="308" w:name="_Toc50012911"/>
      <w:r>
        <w:rPr>
          <w:rFonts w:hint="eastAsia" w:asciiTheme="minorEastAsia" w:hAnsiTheme="minorEastAsia" w:eastAsiaTheme="minorEastAsia"/>
          <w:b/>
          <w:color w:val="auto"/>
          <w:szCs w:val="21"/>
          <w:highlight w:val="none"/>
        </w:rPr>
        <w:t>投</w:t>
      </w:r>
      <w:bookmarkEnd w:id="308"/>
    </w:p>
    <w:p w14:paraId="2845CBD4">
      <w:pPr>
        <w:spacing w:line="360" w:lineRule="auto"/>
        <w:ind w:right="42" w:rightChars="20"/>
        <w:jc w:val="center"/>
        <w:rPr>
          <w:rFonts w:asciiTheme="minorEastAsia" w:hAnsiTheme="minorEastAsia" w:eastAsiaTheme="minorEastAsia"/>
          <w:b/>
          <w:color w:val="auto"/>
          <w:szCs w:val="21"/>
          <w:highlight w:val="none"/>
        </w:rPr>
      </w:pPr>
      <w:bookmarkStart w:id="309" w:name="_Toc50012912"/>
      <w:r>
        <w:rPr>
          <w:rFonts w:hint="eastAsia" w:asciiTheme="minorEastAsia" w:hAnsiTheme="minorEastAsia" w:eastAsiaTheme="minorEastAsia"/>
          <w:b/>
          <w:color w:val="auto"/>
          <w:szCs w:val="21"/>
          <w:highlight w:val="none"/>
        </w:rPr>
        <w:t>标</w:t>
      </w:r>
      <w:bookmarkEnd w:id="309"/>
    </w:p>
    <w:p w14:paraId="526D5154">
      <w:pPr>
        <w:spacing w:line="360" w:lineRule="auto"/>
        <w:ind w:right="42" w:rightChars="20"/>
        <w:jc w:val="center"/>
        <w:rPr>
          <w:rFonts w:asciiTheme="minorEastAsia" w:hAnsiTheme="minorEastAsia" w:eastAsiaTheme="minorEastAsia"/>
          <w:b/>
          <w:color w:val="auto"/>
          <w:szCs w:val="21"/>
          <w:highlight w:val="none"/>
        </w:rPr>
      </w:pPr>
      <w:bookmarkStart w:id="310" w:name="_Toc50012913"/>
      <w:r>
        <w:rPr>
          <w:rFonts w:hint="eastAsia" w:asciiTheme="minorEastAsia" w:hAnsiTheme="minorEastAsia" w:eastAsiaTheme="minorEastAsia"/>
          <w:b/>
          <w:color w:val="auto"/>
          <w:szCs w:val="21"/>
          <w:highlight w:val="none"/>
        </w:rPr>
        <w:t>文</w:t>
      </w:r>
      <w:bookmarkEnd w:id="310"/>
    </w:p>
    <w:p w14:paraId="7049493B">
      <w:pPr>
        <w:spacing w:line="360" w:lineRule="auto"/>
        <w:ind w:right="42" w:rightChars="20"/>
        <w:jc w:val="center"/>
        <w:rPr>
          <w:rFonts w:asciiTheme="minorEastAsia" w:hAnsiTheme="minorEastAsia" w:eastAsiaTheme="minorEastAsia"/>
          <w:b/>
          <w:color w:val="auto"/>
          <w:szCs w:val="21"/>
          <w:highlight w:val="none"/>
        </w:rPr>
      </w:pPr>
      <w:bookmarkStart w:id="311" w:name="_Toc50012914"/>
      <w:r>
        <w:rPr>
          <w:rFonts w:hint="eastAsia" w:asciiTheme="minorEastAsia" w:hAnsiTheme="minorEastAsia" w:eastAsiaTheme="minorEastAsia"/>
          <w:b/>
          <w:color w:val="auto"/>
          <w:szCs w:val="21"/>
          <w:highlight w:val="none"/>
        </w:rPr>
        <w:t>件</w:t>
      </w:r>
      <w:bookmarkEnd w:id="311"/>
    </w:p>
    <w:p w14:paraId="47E4AAC5">
      <w:pPr>
        <w:spacing w:line="360" w:lineRule="auto"/>
        <w:ind w:right="42" w:rightChars="20"/>
        <w:rPr>
          <w:rFonts w:asciiTheme="minorEastAsia" w:hAnsiTheme="minorEastAsia" w:eastAsiaTheme="minorEastAsia"/>
          <w:b/>
          <w:color w:val="auto"/>
          <w:szCs w:val="21"/>
          <w:highlight w:val="none"/>
        </w:rPr>
      </w:pPr>
    </w:p>
    <w:p w14:paraId="5087FC7E">
      <w:pPr>
        <w:spacing w:line="360" w:lineRule="auto"/>
        <w:ind w:right="42" w:rightChars="20"/>
        <w:rPr>
          <w:rFonts w:asciiTheme="minorEastAsia" w:hAnsiTheme="minorEastAsia" w:eastAsiaTheme="minorEastAsia"/>
          <w:b/>
          <w:color w:val="auto"/>
          <w:szCs w:val="21"/>
          <w:highlight w:val="none"/>
        </w:rPr>
      </w:pPr>
    </w:p>
    <w:p w14:paraId="09BF85CF">
      <w:pPr>
        <w:spacing w:line="360" w:lineRule="auto"/>
        <w:ind w:right="42" w:rightChars="20"/>
        <w:rPr>
          <w:rFonts w:asciiTheme="minorEastAsia" w:hAnsiTheme="minorEastAsia" w:eastAsiaTheme="minorEastAsia"/>
          <w:b/>
          <w:color w:val="auto"/>
          <w:szCs w:val="21"/>
          <w:highlight w:val="none"/>
        </w:rPr>
      </w:pPr>
    </w:p>
    <w:p w14:paraId="67D5E1CA">
      <w:pPr>
        <w:spacing w:line="360" w:lineRule="auto"/>
        <w:ind w:right="42" w:rightChars="20" w:firstLine="2319" w:firstLineChars="1100"/>
        <w:rPr>
          <w:rFonts w:asciiTheme="minorEastAsia" w:hAnsiTheme="minorEastAsia" w:eastAsiaTheme="minorEastAsia"/>
          <w:b/>
          <w:color w:val="auto"/>
          <w:szCs w:val="21"/>
          <w:highlight w:val="none"/>
        </w:rPr>
      </w:pPr>
      <w:bookmarkStart w:id="312" w:name="_Toc50012915"/>
      <w:r>
        <w:rPr>
          <w:rFonts w:hint="eastAsia" w:asciiTheme="minorEastAsia" w:hAnsiTheme="minorEastAsia" w:eastAsiaTheme="minorEastAsia"/>
          <w:b/>
          <w:color w:val="auto"/>
          <w:szCs w:val="21"/>
          <w:highlight w:val="none"/>
        </w:rPr>
        <w:t>投标人全称：（加盖单位公章）</w:t>
      </w:r>
      <w:bookmarkEnd w:id="312"/>
    </w:p>
    <w:p w14:paraId="37B0546B">
      <w:pPr>
        <w:spacing w:line="360" w:lineRule="auto"/>
        <w:ind w:right="42" w:rightChars="20"/>
        <w:rPr>
          <w:rFonts w:asciiTheme="minorEastAsia" w:hAnsiTheme="minorEastAsia" w:eastAsiaTheme="minorEastAsia"/>
          <w:b/>
          <w:color w:val="auto"/>
          <w:szCs w:val="21"/>
          <w:highlight w:val="none"/>
        </w:rPr>
      </w:pPr>
    </w:p>
    <w:p w14:paraId="72DD7CDD">
      <w:pPr>
        <w:spacing w:line="360" w:lineRule="auto"/>
        <w:ind w:right="42" w:rightChars="20"/>
        <w:jc w:val="center"/>
        <w:rPr>
          <w:rFonts w:asciiTheme="minorEastAsia" w:hAnsiTheme="minorEastAsia" w:eastAsiaTheme="minorEastAsia"/>
          <w:b/>
          <w:color w:val="auto"/>
          <w:szCs w:val="21"/>
          <w:highlight w:val="none"/>
        </w:rPr>
      </w:pPr>
      <w:bookmarkStart w:id="313" w:name="_Toc50012916"/>
      <w:r>
        <w:rPr>
          <w:rFonts w:hint="eastAsia" w:asciiTheme="minorEastAsia" w:hAnsiTheme="minorEastAsia" w:eastAsiaTheme="minorEastAsia"/>
          <w:b/>
          <w:color w:val="auto"/>
          <w:szCs w:val="21"/>
          <w:highlight w:val="none"/>
        </w:rPr>
        <w:t>年   月   日</w:t>
      </w:r>
      <w:bookmarkEnd w:id="313"/>
    </w:p>
    <w:bookmarkEnd w:id="306"/>
    <w:p w14:paraId="2B81AE61">
      <w:pPr>
        <w:snapToGrid w:val="0"/>
        <w:spacing w:line="360" w:lineRule="auto"/>
        <w:ind w:right="42" w:rightChars="20" w:firstLine="422" w:firstLineChars="200"/>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br w:type="page"/>
      </w:r>
    </w:p>
    <w:p w14:paraId="7459AC89">
      <w:pPr>
        <w:snapToGrid w:val="0"/>
        <w:spacing w:line="360" w:lineRule="auto"/>
        <w:ind w:right="42" w:rightChars="20" w:firstLine="422" w:firstLineChars="200"/>
        <w:jc w:val="center"/>
        <w:rPr>
          <w:rFonts w:cs="方正小标宋简体" w:asciiTheme="minorEastAsia" w:hAnsiTheme="minorEastAsia" w:eastAsiaTheme="minorEastAsia"/>
          <w:b/>
          <w:color w:val="auto"/>
          <w:szCs w:val="21"/>
          <w:highlight w:val="none"/>
        </w:rPr>
      </w:pPr>
      <w:r>
        <w:rPr>
          <w:rFonts w:hint="eastAsia" w:cs="方正小标宋简体" w:asciiTheme="minorEastAsia" w:hAnsiTheme="minorEastAsia" w:eastAsiaTheme="minorEastAsia"/>
          <w:b/>
          <w:color w:val="auto"/>
          <w:szCs w:val="21"/>
          <w:highlight w:val="none"/>
        </w:rPr>
        <w:t>政府</w:t>
      </w:r>
      <w:r>
        <w:rPr>
          <w:rFonts w:cs="方正小标宋简体" w:asciiTheme="minorEastAsia" w:hAnsiTheme="minorEastAsia" w:eastAsiaTheme="minorEastAsia"/>
          <w:b/>
          <w:color w:val="auto"/>
          <w:szCs w:val="21"/>
          <w:highlight w:val="none"/>
        </w:rPr>
        <w:t>采购活动现场确认声明书</w:t>
      </w:r>
    </w:p>
    <w:p w14:paraId="48BC662B">
      <w:pPr>
        <w:pStyle w:val="168"/>
        <w:snapToGrid w:val="0"/>
        <w:spacing w:line="360" w:lineRule="auto"/>
        <w:ind w:right="42" w:rightChars="20" w:firstLine="422" w:firstLineChars="200"/>
        <w:jc w:val="left"/>
        <w:rPr>
          <w:rFonts w:cs="宋体" w:asciiTheme="minorEastAsia" w:hAnsiTheme="minorEastAsia" w:eastAsiaTheme="minorEastAsia"/>
          <w:b/>
          <w:color w:val="auto"/>
          <w:sz w:val="21"/>
          <w:szCs w:val="21"/>
          <w:highlight w:val="none"/>
        </w:rPr>
      </w:pPr>
    </w:p>
    <w:p w14:paraId="4215DA95">
      <w:pPr>
        <w:pStyle w:val="168"/>
        <w:snapToGrid w:val="0"/>
        <w:spacing w:line="360" w:lineRule="auto"/>
        <w:ind w:right="42" w:rightChars="20" w:firstLine="422" w:firstLineChars="200"/>
        <w:jc w:val="left"/>
        <w:rPr>
          <w:rFonts w:cs="宋体" w:asciiTheme="minorEastAsia" w:hAnsiTheme="minorEastAsia" w:eastAsiaTheme="minorEastAsia"/>
          <w:b/>
          <w:color w:val="auto"/>
          <w:sz w:val="21"/>
          <w:szCs w:val="21"/>
          <w:highlight w:val="none"/>
        </w:rPr>
      </w:pPr>
      <w:r>
        <w:rPr>
          <w:rFonts w:cs="宋体" w:asciiTheme="minorEastAsia" w:hAnsiTheme="minorEastAsia" w:eastAsiaTheme="minorEastAsia"/>
          <w:b/>
          <w:color w:val="auto"/>
          <w:sz w:val="21"/>
          <w:szCs w:val="21"/>
          <w:highlight w:val="none"/>
        </w:rPr>
        <w:t>（要求</w:t>
      </w:r>
      <w:r>
        <w:rPr>
          <w:rFonts w:hint="eastAsia" w:cs="宋体" w:asciiTheme="minorEastAsia" w:hAnsiTheme="minorEastAsia" w:eastAsiaTheme="minorEastAsia"/>
          <w:b/>
          <w:color w:val="auto"/>
          <w:sz w:val="21"/>
          <w:szCs w:val="21"/>
          <w:highlight w:val="none"/>
        </w:rPr>
        <w:t>在电子投标文件解密后，代理公司会向系统中投标人的联系电话发送钉钉申请，请投标人在开标前自行下载钉钉程序，开标后接受钉钉好友申请并将以下表格填写完成后，在通过钉钉将照片传给代理公司</w:t>
      </w:r>
      <w:r>
        <w:rPr>
          <w:rFonts w:cs="宋体" w:asciiTheme="minorEastAsia" w:hAnsiTheme="minorEastAsia" w:eastAsiaTheme="minorEastAsia"/>
          <w:b/>
          <w:color w:val="auto"/>
          <w:sz w:val="21"/>
          <w:szCs w:val="21"/>
          <w:highlight w:val="none"/>
        </w:rPr>
        <w:t>，不要封存于投标文件里）</w:t>
      </w:r>
    </w:p>
    <w:p w14:paraId="5D50DD39">
      <w:pPr>
        <w:pStyle w:val="168"/>
        <w:snapToGrid w:val="0"/>
        <w:spacing w:line="360" w:lineRule="auto"/>
        <w:ind w:right="42" w:rightChars="20"/>
        <w:jc w:val="left"/>
        <w:rPr>
          <w:rFonts w:asciiTheme="minorEastAsia" w:hAnsiTheme="minorEastAsia" w:eastAsiaTheme="minorEastAsia"/>
          <w:b/>
          <w:color w:val="auto"/>
          <w:sz w:val="21"/>
          <w:szCs w:val="21"/>
          <w:highlight w:val="none"/>
        </w:rPr>
      </w:pPr>
      <w:r>
        <w:rPr>
          <w:rFonts w:hint="eastAsia" w:cs="Arial" w:asciiTheme="minorEastAsia" w:hAnsiTheme="minorEastAsia" w:eastAsiaTheme="minorEastAsia"/>
          <w:b/>
          <w:color w:val="auto"/>
          <w:kern w:val="0"/>
          <w:sz w:val="21"/>
          <w:szCs w:val="21"/>
          <w:highlight w:val="none"/>
          <w:u w:val="single"/>
          <w:lang w:eastAsia="zh-CN"/>
        </w:rPr>
        <w:t>嘉兴市秀洲区农业农村和水利局</w:t>
      </w:r>
      <w:r>
        <w:rPr>
          <w:rFonts w:hint="eastAsia" w:cs="Arial" w:asciiTheme="minorEastAsia" w:hAnsiTheme="minorEastAsia" w:eastAsiaTheme="minorEastAsia"/>
          <w:b/>
          <w:color w:val="auto"/>
          <w:kern w:val="0"/>
          <w:sz w:val="21"/>
          <w:szCs w:val="21"/>
          <w:highlight w:val="none"/>
          <w:u w:val="single"/>
        </w:rPr>
        <w:t xml:space="preserve">  </w:t>
      </w:r>
      <w:r>
        <w:rPr>
          <w:rFonts w:asciiTheme="minorEastAsia" w:hAnsiTheme="minorEastAsia" w:eastAsiaTheme="minorEastAsia"/>
          <w:color w:val="auto"/>
          <w:kern w:val="0"/>
          <w:sz w:val="21"/>
          <w:szCs w:val="21"/>
          <w:highlight w:val="none"/>
        </w:rPr>
        <w:t>：</w:t>
      </w:r>
    </w:p>
    <w:p w14:paraId="0399818F">
      <w:pPr>
        <w:pStyle w:val="168"/>
        <w:snapToGrid w:val="0"/>
        <w:spacing w:line="360" w:lineRule="auto"/>
        <w:ind w:right="42" w:rightChars="20" w:firstLine="444" w:firstLineChars="200"/>
        <w:rPr>
          <w:rFonts w:asciiTheme="minorEastAsia" w:hAnsiTheme="minorEastAsia" w:eastAsiaTheme="minorEastAsia"/>
          <w:color w:val="auto"/>
          <w:spacing w:val="6"/>
          <w:sz w:val="21"/>
          <w:szCs w:val="21"/>
          <w:highlight w:val="none"/>
        </w:rPr>
      </w:pPr>
      <w:r>
        <w:rPr>
          <w:rFonts w:asciiTheme="minorEastAsia" w:hAnsiTheme="minorEastAsia" w:eastAsiaTheme="minorEastAsia"/>
          <w:color w:val="auto"/>
          <w:spacing w:val="6"/>
          <w:sz w:val="21"/>
          <w:szCs w:val="21"/>
          <w:highlight w:val="none"/>
        </w:rPr>
        <w:t>本人经由</w:t>
      </w:r>
      <w:r>
        <w:rPr>
          <w:rFonts w:asciiTheme="minorEastAsia" w:hAnsiTheme="minorEastAsia" w:eastAsiaTheme="minorEastAsia"/>
          <w:color w:val="auto"/>
          <w:spacing w:val="6"/>
          <w:sz w:val="21"/>
          <w:szCs w:val="21"/>
          <w:highlight w:val="none"/>
          <w:u w:val="single"/>
        </w:rPr>
        <w:t xml:space="preserve">                  （单位）</w:t>
      </w:r>
      <w:r>
        <w:rPr>
          <w:rFonts w:asciiTheme="minorEastAsia" w:hAnsiTheme="minorEastAsia" w:eastAsiaTheme="minorEastAsia"/>
          <w:color w:val="auto"/>
          <w:spacing w:val="6"/>
          <w:sz w:val="21"/>
          <w:szCs w:val="21"/>
          <w:highlight w:val="none"/>
        </w:rPr>
        <w:t>负责人</w:t>
      </w:r>
      <w:r>
        <w:rPr>
          <w:rFonts w:asciiTheme="minorEastAsia" w:hAnsiTheme="minorEastAsia" w:eastAsiaTheme="minorEastAsia"/>
          <w:color w:val="auto"/>
          <w:spacing w:val="6"/>
          <w:sz w:val="21"/>
          <w:szCs w:val="21"/>
          <w:highlight w:val="none"/>
          <w:u w:val="single"/>
        </w:rPr>
        <w:t xml:space="preserve">        （姓名）</w:t>
      </w:r>
      <w:r>
        <w:rPr>
          <w:rFonts w:asciiTheme="minorEastAsia" w:hAnsiTheme="minorEastAsia" w:eastAsiaTheme="minorEastAsia"/>
          <w:color w:val="auto"/>
          <w:spacing w:val="6"/>
          <w:sz w:val="21"/>
          <w:szCs w:val="21"/>
          <w:highlight w:val="none"/>
        </w:rPr>
        <w:t>合法授权参加</w:t>
      </w:r>
      <w:r>
        <w:rPr>
          <w:rFonts w:hint="eastAsia" w:asciiTheme="minorEastAsia" w:hAnsiTheme="minorEastAsia" w:eastAsiaTheme="minorEastAsia"/>
          <w:b/>
          <w:color w:val="auto"/>
          <w:spacing w:val="6"/>
          <w:sz w:val="21"/>
          <w:szCs w:val="21"/>
          <w:highlight w:val="none"/>
          <w:u w:val="single"/>
          <w:lang w:eastAsia="zh-CN"/>
        </w:rPr>
        <w:t>秀洲区2025年度白蚁等害堤动物防治项目</w:t>
      </w:r>
      <w:r>
        <w:rPr>
          <w:rFonts w:asciiTheme="minorEastAsia" w:hAnsiTheme="minorEastAsia" w:eastAsiaTheme="minorEastAsia"/>
          <w:color w:val="auto"/>
          <w:spacing w:val="6"/>
          <w:sz w:val="21"/>
          <w:szCs w:val="21"/>
          <w:highlight w:val="none"/>
        </w:rPr>
        <w:t>（编号：</w:t>
      </w:r>
      <w:r>
        <w:rPr>
          <w:rFonts w:hint="eastAsia" w:asciiTheme="minorEastAsia" w:hAnsiTheme="minorEastAsia" w:eastAsiaTheme="minorEastAsia"/>
          <w:color w:val="auto"/>
          <w:spacing w:val="6"/>
          <w:sz w:val="21"/>
          <w:szCs w:val="21"/>
          <w:highlight w:val="none"/>
          <w:u w:val="single"/>
          <w:lang w:eastAsia="zh-CN"/>
        </w:rPr>
        <w:t>大地-DDZX-JX（2025）第83号</w:t>
      </w:r>
      <w:r>
        <w:rPr>
          <w:rFonts w:asciiTheme="minorEastAsia" w:hAnsiTheme="minorEastAsia" w:eastAsiaTheme="minorEastAsia"/>
          <w:color w:val="auto"/>
          <w:spacing w:val="6"/>
          <w:sz w:val="21"/>
          <w:szCs w:val="21"/>
          <w:highlight w:val="none"/>
        </w:rPr>
        <w:t xml:space="preserve">）政府采购活动，经与本单位法人代表（负责人）联系确认，现就有关公平竞争事项郑重声明如下： </w:t>
      </w:r>
    </w:p>
    <w:p w14:paraId="366C79C0">
      <w:pPr>
        <w:pStyle w:val="162"/>
        <w:widowControl/>
        <w:numPr>
          <w:ilvl w:val="0"/>
          <w:numId w:val="12"/>
        </w:numPr>
        <w:snapToGrid w:val="0"/>
        <w:spacing w:line="360" w:lineRule="auto"/>
        <w:ind w:right="42" w:rightChars="20" w:firstLine="420" w:firstLineChars="200"/>
        <w:jc w:val="left"/>
        <w:rPr>
          <w:rFonts w:hint="default"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xml:space="preserve">本单位与采购人之间 </w:t>
      </w:r>
      <w:r>
        <w:rPr>
          <w:rFonts w:cs="宋体" w:asciiTheme="minorEastAsia" w:hAnsiTheme="minorEastAsia" w:eastAsiaTheme="minorEastAsia"/>
          <w:color w:val="auto"/>
          <w:kern w:val="0"/>
          <w:szCs w:val="21"/>
          <w:highlight w:val="none"/>
        </w:rPr>
        <w:t>□</w:t>
      </w:r>
      <w:r>
        <w:rPr>
          <w:rFonts w:asciiTheme="minorEastAsia" w:hAnsiTheme="minorEastAsia" w:eastAsiaTheme="minorEastAsia"/>
          <w:color w:val="auto"/>
          <w:kern w:val="0"/>
          <w:szCs w:val="21"/>
          <w:highlight w:val="none"/>
        </w:rPr>
        <w:t xml:space="preserve">不存在利害关系 </w:t>
      </w:r>
      <w:r>
        <w:rPr>
          <w:rFonts w:cs="宋体" w:asciiTheme="minorEastAsia" w:hAnsiTheme="minorEastAsia" w:eastAsiaTheme="minorEastAsia"/>
          <w:color w:val="auto"/>
          <w:kern w:val="0"/>
          <w:szCs w:val="21"/>
          <w:highlight w:val="none"/>
        </w:rPr>
        <w:t>□</w:t>
      </w:r>
      <w:r>
        <w:rPr>
          <w:rFonts w:asciiTheme="minorEastAsia" w:hAnsiTheme="minorEastAsia" w:eastAsiaTheme="minorEastAsia"/>
          <w:color w:val="auto"/>
          <w:kern w:val="0"/>
          <w:szCs w:val="21"/>
          <w:highlight w:val="none"/>
        </w:rPr>
        <w:t>存在下列利害关系：</w:t>
      </w:r>
    </w:p>
    <w:p w14:paraId="07313E5E">
      <w:pPr>
        <w:pStyle w:val="162"/>
        <w:widowControl/>
        <w:snapToGrid w:val="0"/>
        <w:spacing w:line="360" w:lineRule="auto"/>
        <w:ind w:right="42" w:rightChars="20" w:firstLine="420" w:firstLineChars="200"/>
        <w:jc w:val="left"/>
        <w:rPr>
          <w:rFonts w:hint="default"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xml:space="preserve">  A.投资关系    B.行政隶属关系    C.业务指导关系</w:t>
      </w:r>
    </w:p>
    <w:p w14:paraId="7FF1A343">
      <w:pPr>
        <w:pStyle w:val="162"/>
        <w:widowControl/>
        <w:snapToGrid w:val="0"/>
        <w:spacing w:line="360" w:lineRule="auto"/>
        <w:ind w:right="42" w:rightChars="20" w:firstLine="420" w:firstLineChars="200"/>
        <w:jc w:val="left"/>
        <w:rPr>
          <w:rFonts w:hint="default"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 xml:space="preserve">  D.其他可能</w:t>
      </w:r>
      <w:r>
        <w:rPr>
          <w:rFonts w:asciiTheme="minorEastAsia" w:hAnsiTheme="minorEastAsia" w:eastAsiaTheme="minorEastAsia"/>
          <w:color w:val="auto"/>
          <w:szCs w:val="21"/>
          <w:highlight w:val="none"/>
        </w:rPr>
        <w:t>影响采购公正的</w:t>
      </w:r>
      <w:r>
        <w:rPr>
          <w:rFonts w:asciiTheme="minorEastAsia" w:hAnsiTheme="minorEastAsia" w:eastAsiaTheme="minorEastAsia"/>
          <w:color w:val="auto"/>
          <w:kern w:val="0"/>
          <w:szCs w:val="21"/>
          <w:highlight w:val="none"/>
        </w:rPr>
        <w:t>利害关系</w:t>
      </w:r>
      <w:r>
        <w:rPr>
          <w:rFonts w:asciiTheme="minorEastAsia" w:hAnsiTheme="minorEastAsia" w:eastAsiaTheme="minorEastAsia"/>
          <w:color w:val="auto"/>
          <w:kern w:val="0"/>
          <w:szCs w:val="21"/>
          <w:highlight w:val="none"/>
          <w:u w:val="single"/>
        </w:rPr>
        <w:t xml:space="preserve">（如有，请如实说明）                 </w:t>
      </w:r>
      <w:r>
        <w:rPr>
          <w:rFonts w:asciiTheme="minorEastAsia" w:hAnsiTheme="minorEastAsia" w:eastAsiaTheme="minorEastAsia"/>
          <w:color w:val="auto"/>
          <w:kern w:val="0"/>
          <w:szCs w:val="21"/>
          <w:highlight w:val="none"/>
        </w:rPr>
        <w:t>。</w:t>
      </w:r>
    </w:p>
    <w:p w14:paraId="05D4FC4A">
      <w:pPr>
        <w:pStyle w:val="162"/>
        <w:widowControl/>
        <w:snapToGrid w:val="0"/>
        <w:spacing w:line="360" w:lineRule="auto"/>
        <w:ind w:right="42" w:rightChars="20" w:firstLine="444" w:firstLineChars="200"/>
        <w:jc w:val="left"/>
        <w:rPr>
          <w:rFonts w:hint="default" w:asciiTheme="minorEastAsia" w:hAnsiTheme="minorEastAsia" w:eastAsiaTheme="minorEastAsia"/>
          <w:color w:val="auto"/>
          <w:kern w:val="0"/>
          <w:szCs w:val="21"/>
          <w:highlight w:val="none"/>
        </w:rPr>
      </w:pPr>
      <w:r>
        <w:rPr>
          <w:rFonts w:asciiTheme="minorEastAsia" w:hAnsiTheme="minorEastAsia" w:eastAsiaTheme="minorEastAsia"/>
          <w:color w:val="auto"/>
          <w:spacing w:val="6"/>
          <w:szCs w:val="21"/>
          <w:highlight w:val="none"/>
        </w:rPr>
        <w:t xml:space="preserve">  二、</w:t>
      </w:r>
      <w:r>
        <w:rPr>
          <w:rFonts w:asciiTheme="minorEastAsia" w:hAnsiTheme="minorEastAsia" w:eastAsiaTheme="minorEastAsia"/>
          <w:color w:val="auto"/>
          <w:kern w:val="0"/>
          <w:szCs w:val="21"/>
          <w:highlight w:val="none"/>
        </w:rPr>
        <w:t xml:space="preserve">现已清楚知道参加本项目采购活动的其他所有投标人名称，本单位 </w:t>
      </w:r>
      <w:r>
        <w:rPr>
          <w:rFonts w:cs="宋体" w:asciiTheme="minorEastAsia" w:hAnsiTheme="minorEastAsia" w:eastAsiaTheme="minorEastAsia"/>
          <w:color w:val="auto"/>
          <w:kern w:val="0"/>
          <w:szCs w:val="21"/>
          <w:highlight w:val="none"/>
        </w:rPr>
        <w:t>□与其他所有投标人之间均</w:t>
      </w:r>
      <w:r>
        <w:rPr>
          <w:rFonts w:asciiTheme="minorEastAsia" w:hAnsiTheme="minorEastAsia" w:eastAsiaTheme="minorEastAsia"/>
          <w:color w:val="auto"/>
          <w:kern w:val="0"/>
          <w:szCs w:val="21"/>
          <w:highlight w:val="none"/>
        </w:rPr>
        <w:t xml:space="preserve">不存在利害关系 </w:t>
      </w:r>
      <w:r>
        <w:rPr>
          <w:rFonts w:cs="宋体" w:asciiTheme="minorEastAsia" w:hAnsiTheme="minorEastAsia" w:eastAsiaTheme="minorEastAsia"/>
          <w:color w:val="auto"/>
          <w:kern w:val="0"/>
          <w:szCs w:val="21"/>
          <w:highlight w:val="none"/>
        </w:rPr>
        <w:t>□与</w:t>
      </w:r>
      <w:r>
        <w:rPr>
          <w:rFonts w:cs="宋体" w:asciiTheme="minorEastAsia" w:hAnsiTheme="minorEastAsia" w:eastAsiaTheme="minorEastAsia"/>
          <w:color w:val="auto"/>
          <w:kern w:val="0"/>
          <w:szCs w:val="21"/>
          <w:highlight w:val="none"/>
          <w:u w:val="single"/>
        </w:rPr>
        <w:t xml:space="preserve">           （投标人名称）</w:t>
      </w:r>
      <w:r>
        <w:rPr>
          <w:rFonts w:cs="宋体" w:asciiTheme="minorEastAsia" w:hAnsiTheme="minorEastAsia" w:eastAsiaTheme="minorEastAsia"/>
          <w:color w:val="auto"/>
          <w:kern w:val="0"/>
          <w:szCs w:val="21"/>
          <w:highlight w:val="none"/>
        </w:rPr>
        <w:t>之间</w:t>
      </w:r>
      <w:r>
        <w:rPr>
          <w:rFonts w:asciiTheme="minorEastAsia" w:hAnsiTheme="minorEastAsia" w:eastAsiaTheme="minorEastAsia"/>
          <w:color w:val="auto"/>
          <w:kern w:val="0"/>
          <w:szCs w:val="21"/>
          <w:highlight w:val="none"/>
        </w:rPr>
        <w:t>存在下列利害关系：</w:t>
      </w:r>
    </w:p>
    <w:p w14:paraId="13C0567C">
      <w:pPr>
        <w:pStyle w:val="168"/>
        <w:snapToGrid w:val="0"/>
        <w:spacing w:line="360" w:lineRule="auto"/>
        <w:ind w:right="42" w:rightChars="20" w:firstLine="420" w:firstLineChars="200"/>
        <w:jc w:val="left"/>
        <w:rPr>
          <w:rFonts w:asciiTheme="minorEastAsia" w:hAnsiTheme="minorEastAsia" w:eastAsiaTheme="minorEastAsia"/>
          <w:color w:val="auto"/>
          <w:kern w:val="0"/>
          <w:sz w:val="21"/>
          <w:szCs w:val="21"/>
          <w:highlight w:val="none"/>
        </w:rPr>
      </w:pPr>
      <w:r>
        <w:rPr>
          <w:rFonts w:asciiTheme="minorEastAsia" w:hAnsiTheme="minorEastAsia" w:eastAsiaTheme="minorEastAsia"/>
          <w:color w:val="auto"/>
          <w:kern w:val="0"/>
          <w:sz w:val="21"/>
          <w:szCs w:val="21"/>
          <w:highlight w:val="none"/>
        </w:rPr>
        <w:t xml:space="preserve">  A.法定代表人或负责人或实际控制人是同一人</w:t>
      </w:r>
    </w:p>
    <w:p w14:paraId="12355986">
      <w:pPr>
        <w:pStyle w:val="168"/>
        <w:snapToGrid w:val="0"/>
        <w:spacing w:line="360" w:lineRule="auto"/>
        <w:ind w:right="42" w:rightChars="20" w:firstLine="420" w:firstLineChars="200"/>
        <w:jc w:val="left"/>
        <w:rPr>
          <w:rFonts w:asciiTheme="minorEastAsia" w:hAnsiTheme="minorEastAsia" w:eastAsiaTheme="minorEastAsia"/>
          <w:color w:val="auto"/>
          <w:spacing w:val="6"/>
          <w:sz w:val="21"/>
          <w:szCs w:val="21"/>
          <w:highlight w:val="none"/>
        </w:rPr>
      </w:pPr>
      <w:r>
        <w:rPr>
          <w:rFonts w:asciiTheme="minorEastAsia" w:hAnsiTheme="minorEastAsia" w:eastAsiaTheme="minorEastAsia"/>
          <w:color w:val="auto"/>
          <w:kern w:val="0"/>
          <w:sz w:val="21"/>
          <w:szCs w:val="21"/>
          <w:highlight w:val="none"/>
        </w:rPr>
        <w:t xml:space="preserve">  B.法定代表人或负责人或实际控制人是夫妻关系</w:t>
      </w:r>
    </w:p>
    <w:p w14:paraId="1FED10D9">
      <w:pPr>
        <w:pStyle w:val="168"/>
        <w:snapToGrid w:val="0"/>
        <w:spacing w:line="360" w:lineRule="auto"/>
        <w:ind w:right="42" w:rightChars="20" w:firstLine="420" w:firstLineChars="200"/>
        <w:jc w:val="left"/>
        <w:rPr>
          <w:rFonts w:asciiTheme="minorEastAsia" w:hAnsiTheme="minorEastAsia" w:eastAsiaTheme="minorEastAsia"/>
          <w:color w:val="auto"/>
          <w:spacing w:val="6"/>
          <w:sz w:val="21"/>
          <w:szCs w:val="21"/>
          <w:highlight w:val="none"/>
        </w:rPr>
      </w:pPr>
      <w:r>
        <w:rPr>
          <w:rFonts w:asciiTheme="minorEastAsia" w:hAnsiTheme="minorEastAsia" w:eastAsiaTheme="minorEastAsia"/>
          <w:color w:val="auto"/>
          <w:kern w:val="0"/>
          <w:sz w:val="21"/>
          <w:szCs w:val="21"/>
          <w:highlight w:val="none"/>
        </w:rPr>
        <w:t xml:space="preserve">  C.法定代表人或负责人或实际控制人是直系血亲关系</w:t>
      </w:r>
    </w:p>
    <w:p w14:paraId="6E9D45C0">
      <w:pPr>
        <w:pStyle w:val="168"/>
        <w:snapToGrid w:val="0"/>
        <w:spacing w:line="360" w:lineRule="auto"/>
        <w:ind w:right="42" w:rightChars="20" w:firstLine="420" w:firstLineChars="200"/>
        <w:jc w:val="left"/>
        <w:rPr>
          <w:rFonts w:asciiTheme="minorEastAsia" w:hAnsiTheme="minorEastAsia" w:eastAsiaTheme="minorEastAsia"/>
          <w:color w:val="auto"/>
          <w:spacing w:val="6"/>
          <w:sz w:val="21"/>
          <w:szCs w:val="21"/>
          <w:highlight w:val="none"/>
        </w:rPr>
      </w:pPr>
      <w:r>
        <w:rPr>
          <w:rFonts w:asciiTheme="minorEastAsia" w:hAnsiTheme="minorEastAsia" w:eastAsiaTheme="minorEastAsia"/>
          <w:color w:val="auto"/>
          <w:kern w:val="0"/>
          <w:sz w:val="21"/>
          <w:szCs w:val="21"/>
          <w:highlight w:val="none"/>
        </w:rPr>
        <w:t xml:space="preserve">  D.法定代表人或负责人或实际控制人存在三代以内旁系血亲关系</w:t>
      </w:r>
    </w:p>
    <w:p w14:paraId="79E626C4">
      <w:pPr>
        <w:pStyle w:val="168"/>
        <w:snapToGrid w:val="0"/>
        <w:spacing w:line="360" w:lineRule="auto"/>
        <w:ind w:right="42" w:rightChars="20" w:firstLine="420" w:firstLineChars="200"/>
        <w:jc w:val="left"/>
        <w:rPr>
          <w:rFonts w:asciiTheme="minorEastAsia" w:hAnsiTheme="minorEastAsia" w:eastAsiaTheme="minorEastAsia"/>
          <w:color w:val="auto"/>
          <w:kern w:val="0"/>
          <w:sz w:val="21"/>
          <w:szCs w:val="21"/>
          <w:highlight w:val="none"/>
        </w:rPr>
      </w:pPr>
      <w:r>
        <w:rPr>
          <w:rFonts w:asciiTheme="minorEastAsia" w:hAnsiTheme="minorEastAsia" w:eastAsiaTheme="minorEastAsia"/>
          <w:color w:val="auto"/>
          <w:kern w:val="0"/>
          <w:sz w:val="21"/>
          <w:szCs w:val="21"/>
          <w:highlight w:val="none"/>
        </w:rPr>
        <w:t xml:space="preserve">  E.法定代表人或负责人或实际控制人存在近姻亲关系</w:t>
      </w:r>
    </w:p>
    <w:p w14:paraId="590AFE69">
      <w:pPr>
        <w:pStyle w:val="168"/>
        <w:snapToGrid w:val="0"/>
        <w:spacing w:line="360" w:lineRule="auto"/>
        <w:ind w:right="42" w:rightChars="20" w:firstLine="420" w:firstLineChars="200"/>
        <w:jc w:val="left"/>
        <w:rPr>
          <w:rFonts w:asciiTheme="minorEastAsia" w:hAnsiTheme="minorEastAsia" w:eastAsiaTheme="minorEastAsia"/>
          <w:color w:val="auto"/>
          <w:kern w:val="0"/>
          <w:sz w:val="21"/>
          <w:szCs w:val="21"/>
          <w:highlight w:val="none"/>
        </w:rPr>
      </w:pPr>
      <w:r>
        <w:rPr>
          <w:rFonts w:asciiTheme="minorEastAsia" w:hAnsiTheme="minorEastAsia" w:eastAsiaTheme="minorEastAsia"/>
          <w:color w:val="auto"/>
          <w:kern w:val="0"/>
          <w:sz w:val="21"/>
          <w:szCs w:val="21"/>
          <w:highlight w:val="none"/>
        </w:rPr>
        <w:t xml:space="preserve">  F.法定代表人或负责人或实际控制人存在股份控制或实际控制关系</w:t>
      </w:r>
    </w:p>
    <w:p w14:paraId="09E549CF">
      <w:pPr>
        <w:pStyle w:val="168"/>
        <w:snapToGrid w:val="0"/>
        <w:spacing w:line="360" w:lineRule="auto"/>
        <w:ind w:right="42" w:rightChars="20" w:firstLine="420" w:firstLineChars="200"/>
        <w:jc w:val="left"/>
        <w:rPr>
          <w:rFonts w:asciiTheme="minorEastAsia" w:hAnsiTheme="minorEastAsia" w:eastAsiaTheme="minorEastAsia"/>
          <w:color w:val="auto"/>
          <w:kern w:val="0"/>
          <w:sz w:val="21"/>
          <w:szCs w:val="21"/>
          <w:highlight w:val="none"/>
        </w:rPr>
      </w:pPr>
      <w:r>
        <w:rPr>
          <w:rFonts w:asciiTheme="minorEastAsia" w:hAnsiTheme="minorEastAsia" w:eastAsiaTheme="minorEastAsia"/>
          <w:color w:val="auto"/>
          <w:kern w:val="0"/>
          <w:sz w:val="21"/>
          <w:szCs w:val="21"/>
          <w:highlight w:val="none"/>
        </w:rPr>
        <w:t xml:space="preserve">  G.存在共同直接或间接投资设立子公司、联营企业和合营企业情况</w:t>
      </w:r>
    </w:p>
    <w:p w14:paraId="7844713C">
      <w:pPr>
        <w:pStyle w:val="168"/>
        <w:snapToGrid w:val="0"/>
        <w:spacing w:line="360" w:lineRule="auto"/>
        <w:ind w:right="42" w:rightChars="20" w:firstLine="420" w:firstLineChars="200"/>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kern w:val="0"/>
          <w:sz w:val="21"/>
          <w:szCs w:val="21"/>
          <w:highlight w:val="none"/>
        </w:rPr>
        <w:t xml:space="preserve">  H.存在分级代理或代销关系、同一生产制造商关系、</w:t>
      </w:r>
      <w:r>
        <w:rPr>
          <w:rFonts w:asciiTheme="minorEastAsia" w:hAnsiTheme="minorEastAsia" w:eastAsiaTheme="minorEastAsia"/>
          <w:color w:val="auto"/>
          <w:sz w:val="21"/>
          <w:szCs w:val="21"/>
          <w:highlight w:val="none"/>
        </w:rPr>
        <w:t>管理关系、重要业务（占主营业务收入50%以上）或重要财务往来关系（如融资）等其他实质性控制关系</w:t>
      </w:r>
    </w:p>
    <w:p w14:paraId="1FD4A232">
      <w:pPr>
        <w:pStyle w:val="168"/>
        <w:snapToGrid w:val="0"/>
        <w:spacing w:line="360" w:lineRule="auto"/>
        <w:ind w:right="42" w:rightChars="20" w:firstLine="420" w:firstLineChars="200"/>
        <w:jc w:val="left"/>
        <w:rPr>
          <w:rFonts w:asciiTheme="minorEastAsia" w:hAnsiTheme="minorEastAsia" w:eastAsiaTheme="minorEastAsia"/>
          <w:color w:val="auto"/>
          <w:spacing w:val="6"/>
          <w:sz w:val="21"/>
          <w:szCs w:val="21"/>
          <w:highlight w:val="none"/>
        </w:rPr>
      </w:pPr>
      <w:r>
        <w:rPr>
          <w:rFonts w:asciiTheme="minorEastAsia" w:hAnsiTheme="minorEastAsia" w:eastAsiaTheme="minorEastAsia"/>
          <w:color w:val="auto"/>
          <w:sz w:val="21"/>
          <w:szCs w:val="21"/>
          <w:highlight w:val="none"/>
        </w:rPr>
        <w:t xml:space="preserve">    I</w:t>
      </w:r>
      <w:r>
        <w:rPr>
          <w:rFonts w:asciiTheme="minorEastAsia" w:hAnsiTheme="minorEastAsia" w:eastAsiaTheme="minorEastAsia"/>
          <w:color w:val="auto"/>
          <w:kern w:val="0"/>
          <w:sz w:val="21"/>
          <w:szCs w:val="21"/>
          <w:highlight w:val="none"/>
        </w:rPr>
        <w:t>.</w:t>
      </w:r>
      <w:r>
        <w:rPr>
          <w:rFonts w:asciiTheme="minorEastAsia" w:hAnsiTheme="minorEastAsia" w:eastAsiaTheme="minorEastAsia"/>
          <w:color w:val="auto"/>
          <w:sz w:val="21"/>
          <w:szCs w:val="21"/>
          <w:highlight w:val="none"/>
        </w:rPr>
        <w:t>其他利害关系情况</w:t>
      </w:r>
      <w:r>
        <w:rPr>
          <w:rFonts w:asciiTheme="minorEastAsia" w:hAnsiTheme="minorEastAsia" w:eastAsiaTheme="minorEastAsia"/>
          <w:color w:val="auto"/>
          <w:kern w:val="0"/>
          <w:sz w:val="21"/>
          <w:szCs w:val="21"/>
          <w:highlight w:val="none"/>
        </w:rPr>
        <w:t>。</w:t>
      </w:r>
    </w:p>
    <w:p w14:paraId="6F4A9AD7">
      <w:pPr>
        <w:pStyle w:val="162"/>
        <w:widowControl/>
        <w:numPr>
          <w:ilvl w:val="0"/>
          <w:numId w:val="13"/>
        </w:numPr>
        <w:snapToGrid w:val="0"/>
        <w:spacing w:line="360" w:lineRule="auto"/>
        <w:ind w:right="42" w:rightChars="20" w:firstLine="420" w:firstLineChars="200"/>
        <w:jc w:val="left"/>
        <w:rPr>
          <w:rFonts w:hint="default" w:asciiTheme="minorEastAsia" w:hAnsiTheme="minorEastAsia" w:eastAsiaTheme="minorEastAsia"/>
          <w:color w:val="auto"/>
          <w:kern w:val="0"/>
          <w:szCs w:val="21"/>
          <w:highlight w:val="none"/>
        </w:rPr>
      </w:pPr>
      <w:r>
        <w:rPr>
          <w:rFonts w:asciiTheme="minorEastAsia" w:hAnsiTheme="minorEastAsia" w:eastAsiaTheme="minorEastAsia"/>
          <w:color w:val="auto"/>
          <w:szCs w:val="21"/>
          <w:highlight w:val="none"/>
        </w:rPr>
        <w:t>现已清楚知道并</w:t>
      </w:r>
      <w:r>
        <w:rPr>
          <w:rFonts w:asciiTheme="minorEastAsia" w:hAnsiTheme="minorEastAsia" w:eastAsiaTheme="minorEastAsia"/>
          <w:color w:val="auto"/>
          <w:kern w:val="0"/>
          <w:szCs w:val="21"/>
          <w:highlight w:val="none"/>
        </w:rPr>
        <w:t>严格遵守政府采购法律法规和现场纪律。</w:t>
      </w:r>
    </w:p>
    <w:p w14:paraId="3752EC7F">
      <w:pPr>
        <w:pStyle w:val="162"/>
        <w:widowControl/>
        <w:numPr>
          <w:ilvl w:val="0"/>
          <w:numId w:val="13"/>
        </w:numPr>
        <w:snapToGrid w:val="0"/>
        <w:spacing w:line="360" w:lineRule="auto"/>
        <w:ind w:right="42" w:rightChars="20" w:firstLine="420" w:firstLineChars="200"/>
        <w:jc w:val="left"/>
        <w:rPr>
          <w:rFonts w:hint="default"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我发现投标人之间存在或可能存在上述第二条第项利害关系。</w:t>
      </w:r>
    </w:p>
    <w:p w14:paraId="1E59A42E">
      <w:pPr>
        <w:pStyle w:val="168"/>
        <w:snapToGrid w:val="0"/>
        <w:spacing w:line="360" w:lineRule="auto"/>
        <w:ind w:right="42" w:rightChars="20" w:firstLine="420" w:firstLineChars="200"/>
        <w:jc w:val="left"/>
        <w:rPr>
          <w:rFonts w:asciiTheme="minorEastAsia" w:hAnsiTheme="minorEastAsia" w:eastAsiaTheme="minorEastAsia"/>
          <w:color w:val="auto"/>
          <w:sz w:val="21"/>
          <w:szCs w:val="21"/>
          <w:highlight w:val="none"/>
        </w:rPr>
      </w:pPr>
    </w:p>
    <w:p w14:paraId="0B538BFC">
      <w:pPr>
        <w:pStyle w:val="168"/>
        <w:snapToGrid w:val="0"/>
        <w:spacing w:line="360" w:lineRule="auto"/>
        <w:ind w:right="42" w:rightChars="20" w:firstLine="420" w:firstLineChars="200"/>
        <w:jc w:val="left"/>
        <w:rPr>
          <w:rFonts w:asciiTheme="minorEastAsia" w:hAnsiTheme="minorEastAsia" w:eastAsiaTheme="minorEastAsia"/>
          <w:color w:val="auto"/>
          <w:sz w:val="21"/>
          <w:szCs w:val="21"/>
          <w:highlight w:val="none"/>
        </w:rPr>
      </w:pPr>
    </w:p>
    <w:p w14:paraId="70C63470">
      <w:pPr>
        <w:pStyle w:val="168"/>
        <w:snapToGrid w:val="0"/>
        <w:spacing w:line="360" w:lineRule="auto"/>
        <w:ind w:right="42" w:rightChars="2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法定代表人或其授权代表签字（或盖章）</w:t>
      </w:r>
      <w:r>
        <w:rPr>
          <w:rFonts w:asciiTheme="minorEastAsia" w:hAnsiTheme="minorEastAsia" w:eastAsiaTheme="minorEastAsia"/>
          <w:color w:val="auto"/>
          <w:sz w:val="21"/>
          <w:szCs w:val="21"/>
          <w:highlight w:val="none"/>
        </w:rPr>
        <w:t>：</w:t>
      </w:r>
    </w:p>
    <w:p w14:paraId="26635517">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 年  月  日</w:t>
      </w:r>
    </w:p>
    <w:p w14:paraId="7DBF1060">
      <w:pPr>
        <w:pStyle w:val="14"/>
        <w:rPr>
          <w:color w:val="auto"/>
          <w:highlight w:val="none"/>
        </w:rPr>
      </w:pPr>
    </w:p>
    <w:p w14:paraId="29F7DF76">
      <w:pP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br w:type="page"/>
      </w:r>
    </w:p>
    <w:p w14:paraId="0757FF87">
      <w:pPr>
        <w:spacing w:line="360" w:lineRule="auto"/>
        <w:ind w:right="42" w:rightChars="20" w:firstLine="422" w:firstLineChars="200"/>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承诺函</w:t>
      </w:r>
    </w:p>
    <w:p w14:paraId="6141175B">
      <w:pPr>
        <w:spacing w:line="360" w:lineRule="auto"/>
        <w:ind w:right="42" w:rightChars="20"/>
        <w:jc w:val="left"/>
        <w:rPr>
          <w:rFonts w:asciiTheme="minorEastAsia" w:hAnsiTheme="minorEastAsia" w:eastAsiaTheme="minorEastAsia"/>
          <w:color w:val="auto"/>
          <w:szCs w:val="21"/>
          <w:highlight w:val="none"/>
        </w:rPr>
      </w:pPr>
      <w:r>
        <w:rPr>
          <w:rFonts w:hint="eastAsia" w:cs="Arial" w:asciiTheme="minorEastAsia" w:hAnsiTheme="minorEastAsia" w:eastAsiaTheme="minorEastAsia"/>
          <w:b/>
          <w:color w:val="auto"/>
          <w:kern w:val="0"/>
          <w:szCs w:val="21"/>
          <w:highlight w:val="none"/>
          <w:u w:val="single"/>
          <w:lang w:eastAsia="zh-CN"/>
        </w:rPr>
        <w:t>嘉兴市秀洲区农业农村和水利局</w:t>
      </w:r>
      <w:r>
        <w:rPr>
          <w:rFonts w:hint="eastAsia" w:cs="Arial" w:asciiTheme="minorEastAsia" w:hAnsiTheme="minorEastAsia" w:eastAsiaTheme="minorEastAsia"/>
          <w:b/>
          <w:color w:val="auto"/>
          <w:kern w:val="0"/>
          <w:szCs w:val="21"/>
          <w:highlight w:val="none"/>
          <w:u w:val="single"/>
        </w:rPr>
        <w:t xml:space="preserve">  </w:t>
      </w:r>
      <w:r>
        <w:rPr>
          <w:rFonts w:hint="eastAsia" w:asciiTheme="minorEastAsia" w:hAnsiTheme="minorEastAsia" w:eastAsiaTheme="minorEastAsia"/>
          <w:color w:val="auto"/>
          <w:szCs w:val="21"/>
          <w:highlight w:val="none"/>
        </w:rPr>
        <w:t>：</w:t>
      </w:r>
    </w:p>
    <w:p w14:paraId="13F3D0BD">
      <w:pPr>
        <w:snapToGrid w:val="0"/>
        <w:spacing w:line="360" w:lineRule="auto"/>
        <w:ind w:right="42" w:rightChars="20" w:firstLine="420" w:firstLineChars="200"/>
        <w:jc w:val="left"/>
        <w:rPr>
          <w:rFonts w:asciiTheme="minorEastAsia" w:hAnsiTheme="minorEastAsia" w:eastAsiaTheme="minorEastAsia"/>
          <w:color w:val="auto"/>
          <w:szCs w:val="21"/>
          <w:highlight w:val="none"/>
          <w:shd w:val="clear" w:color="auto" w:fill="FFFFFF"/>
        </w:rPr>
      </w:pPr>
    </w:p>
    <w:p w14:paraId="52A02C30">
      <w:pPr>
        <w:snapToGrid w:val="0"/>
        <w:spacing w:line="360" w:lineRule="auto"/>
        <w:ind w:right="42" w:rightChars="20"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shd w:val="clear" w:color="auto" w:fill="FFFFFF"/>
        </w:rPr>
        <w:t>本公司（公司名称）参加</w:t>
      </w:r>
      <w:r>
        <w:rPr>
          <w:rFonts w:hint="eastAsia" w:asciiTheme="minorEastAsia" w:hAnsiTheme="minorEastAsia" w:eastAsiaTheme="minorEastAsia"/>
          <w:b/>
          <w:color w:val="auto"/>
          <w:highlight w:val="none"/>
          <w:lang w:eastAsia="zh-CN"/>
        </w:rPr>
        <w:t>秀洲区2025年度白蚁等害堤动物防治项目</w:t>
      </w:r>
      <w:r>
        <w:rPr>
          <w:rFonts w:hint="eastAsia" w:asciiTheme="minorEastAsia" w:hAnsiTheme="minorEastAsia" w:eastAsiaTheme="minorEastAsia"/>
          <w:color w:val="auto"/>
          <w:szCs w:val="21"/>
          <w:highlight w:val="none"/>
          <w:shd w:val="clear" w:color="auto" w:fill="FFFFFF"/>
        </w:rPr>
        <w:t>投标活动，现承诺如下：</w:t>
      </w: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rPr>
        <w:t>（1）提供具有独立承担民事责任的能力；</w:t>
      </w:r>
    </w:p>
    <w:p w14:paraId="63B62280">
      <w:pPr>
        <w:snapToGrid w:val="0"/>
        <w:spacing w:line="360" w:lineRule="auto"/>
        <w:ind w:right="42" w:rightChars="2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（2）具有良好的商业信誉和健全的财务会计制度；</w:t>
      </w:r>
    </w:p>
    <w:p w14:paraId="130DB003">
      <w:pPr>
        <w:snapToGrid w:val="0"/>
        <w:spacing w:line="360" w:lineRule="auto"/>
        <w:ind w:right="42" w:rightChars="2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（3）具有履行合同所必需的设备和专业技术能力；</w:t>
      </w:r>
    </w:p>
    <w:p w14:paraId="2885FD82">
      <w:pPr>
        <w:snapToGrid w:val="0"/>
        <w:spacing w:line="360" w:lineRule="auto"/>
        <w:ind w:right="42" w:rightChars="2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（4）有依法缴纳税收和社会保障资金的良好记录；</w:t>
      </w:r>
    </w:p>
    <w:p w14:paraId="5CD0013F">
      <w:pPr>
        <w:snapToGrid w:val="0"/>
        <w:spacing w:line="360" w:lineRule="auto"/>
        <w:ind w:right="42" w:rightChars="2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（5）参加政府采购活动前三年，在经营活动中没有重大违法记录、自招标公告发布之日起至投标截止日内任意时间的“信用中国”网站（www.creditchina.gov.cn）（未被信用中国网站</w:t>
      </w:r>
      <w:r>
        <w:rPr>
          <w:color w:val="auto"/>
          <w:highlight w:val="none"/>
        </w:rPr>
        <w:fldChar w:fldCharType="begin"/>
      </w:r>
      <w:r>
        <w:rPr>
          <w:color w:val="auto"/>
          <w:highlight w:val="none"/>
        </w:rPr>
        <w:instrText xml:space="preserve"> HYPERLINK \t "_blank" </w:instrText>
      </w:r>
      <w:r>
        <w:rPr>
          <w:color w:val="auto"/>
          <w:highlight w:val="none"/>
        </w:rPr>
        <w:fldChar w:fldCharType="separate"/>
      </w:r>
      <w:r>
        <w:rPr>
          <w:rFonts w:hint="eastAsia" w:asciiTheme="minorEastAsia" w:hAnsiTheme="minorEastAsia" w:eastAsiaTheme="minorEastAsia"/>
          <w:color w:val="auto"/>
          <w:highlight w:val="none"/>
        </w:rPr>
        <w:t>列入失信被执行人、重大税收违法案件当事人名单</w:t>
      </w:r>
      <w:r>
        <w:rPr>
          <w:rFonts w:hint="eastAsia" w:asciiTheme="minorEastAsia" w:hAnsiTheme="minorEastAsia" w:eastAsiaTheme="minorEastAsia"/>
          <w:color w:val="auto"/>
          <w:highlight w:val="none"/>
        </w:rPr>
        <w:fldChar w:fldCharType="end"/>
      </w:r>
      <w:r>
        <w:rPr>
          <w:rFonts w:asciiTheme="minorEastAsia" w:hAnsiTheme="minorEastAsia" w:eastAsiaTheme="minorEastAsia"/>
          <w:color w:val="auto"/>
          <w:szCs w:val="21"/>
          <w:highlight w:val="none"/>
        </w:rPr>
        <w:t>的）</w:t>
      </w:r>
      <w:r>
        <w:rPr>
          <w:rFonts w:hint="eastAsia" w:asciiTheme="minorEastAsia" w:hAnsiTheme="minorEastAsia" w:eastAsiaTheme="minorEastAsia"/>
          <w:color w:val="auto"/>
          <w:szCs w:val="21"/>
          <w:highlight w:val="none"/>
        </w:rPr>
        <w:t>、中国政府采购网（www.ccgp.gov.cn）（未被中国政府采购网</w:t>
      </w:r>
      <w:r>
        <w:rPr>
          <w:color w:val="auto"/>
          <w:highlight w:val="none"/>
        </w:rPr>
        <w:fldChar w:fldCharType="begin"/>
      </w:r>
      <w:r>
        <w:rPr>
          <w:color w:val="auto"/>
          <w:highlight w:val="none"/>
        </w:rPr>
        <w:instrText xml:space="preserve"> HYPERLINK \t "_blank" </w:instrText>
      </w:r>
      <w:r>
        <w:rPr>
          <w:color w:val="auto"/>
          <w:highlight w:val="none"/>
        </w:rPr>
        <w:fldChar w:fldCharType="separate"/>
      </w:r>
      <w:r>
        <w:rPr>
          <w:rFonts w:hint="eastAsia" w:asciiTheme="minorEastAsia" w:hAnsiTheme="minorEastAsia" w:eastAsiaTheme="minorEastAsia"/>
          <w:color w:val="auto"/>
          <w:highlight w:val="none"/>
        </w:rPr>
        <w:t>列入政府采购严重违法失信行为记录名单</w:t>
      </w:r>
      <w:r>
        <w:rPr>
          <w:rFonts w:hint="eastAsia" w:asciiTheme="minorEastAsia" w:hAnsiTheme="minorEastAsia" w:eastAsiaTheme="minorEastAsia"/>
          <w:color w:val="auto"/>
          <w:highlight w:val="none"/>
        </w:rPr>
        <w:fldChar w:fldCharType="end"/>
      </w:r>
      <w:r>
        <w:rPr>
          <w:rFonts w:asciiTheme="minorEastAsia" w:hAnsiTheme="minorEastAsia" w:eastAsiaTheme="minorEastAsia"/>
          <w:color w:val="auto"/>
          <w:szCs w:val="21"/>
          <w:highlight w:val="none"/>
        </w:rPr>
        <w:t>的</w:t>
      </w:r>
      <w:r>
        <w:rPr>
          <w:rFonts w:hint="eastAsia" w:asciiTheme="minorEastAsia" w:hAnsiTheme="minorEastAsia" w:eastAsiaTheme="minorEastAsia"/>
          <w:color w:val="auto"/>
          <w:szCs w:val="21"/>
          <w:highlight w:val="none"/>
        </w:rPr>
        <w:t>）也没有因违反《浙江省政府采购投标人注册及诚信管理暂行办法》被列入“黑名单”，正在处罚有效期；</w:t>
      </w:r>
    </w:p>
    <w:p w14:paraId="235EE0BB">
      <w:pPr>
        <w:pStyle w:val="21"/>
        <w:rPr>
          <w:color w:val="auto"/>
          <w:highlight w:val="none"/>
        </w:rPr>
      </w:pPr>
      <w:r>
        <w:rPr>
          <w:rFonts w:hint="eastAsia" w:asciiTheme="minorEastAsia" w:hAnsiTheme="minorEastAsia" w:eastAsiaTheme="minorEastAsia"/>
          <w:color w:val="auto"/>
          <w:szCs w:val="21"/>
          <w:highlight w:val="none"/>
        </w:rPr>
        <w:t>（6）</w:t>
      </w:r>
      <w:r>
        <w:rPr>
          <w:rFonts w:hint="eastAsia" w:ascii="宋体" w:hAnsi="宋体" w:cs="宋体"/>
          <w:color w:val="auto"/>
          <w:szCs w:val="21"/>
          <w:highlight w:val="none"/>
          <w:lang w:bidi="ar"/>
        </w:rPr>
        <w:t>若中标后无法满足▲项的视为虚假应标并自愿赔偿采购人相关损失，采购人有权上报财政部门。</w:t>
      </w:r>
    </w:p>
    <w:p w14:paraId="1872043A">
      <w:pPr>
        <w:snapToGrid w:val="0"/>
        <w:spacing w:line="360" w:lineRule="auto"/>
        <w:ind w:right="42" w:rightChars="20" w:firstLine="420" w:firstLineChars="200"/>
        <w:jc w:val="left"/>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shd w:val="clear" w:color="auto" w:fill="FFFFFF"/>
        </w:rPr>
        <w:t>如违反以上承诺，本公司愿承担一切法律责任。</w:t>
      </w: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shd w:val="clear" w:color="auto" w:fill="FFFFFF"/>
        </w:rPr>
        <w:t>投标人名称：（CA签章）</w:t>
      </w: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rPr>
        <w:t>法定代表人或其授权代表签字（或盖章）</w:t>
      </w:r>
      <w:r>
        <w:rPr>
          <w:rFonts w:hint="eastAsia" w:asciiTheme="minorEastAsia" w:hAnsiTheme="minorEastAsia" w:eastAsiaTheme="minorEastAsia"/>
          <w:color w:val="auto"/>
          <w:szCs w:val="21"/>
          <w:highlight w:val="none"/>
          <w:shd w:val="clear" w:color="auto" w:fill="FFFFFF"/>
        </w:rPr>
        <w:t>：</w:t>
      </w: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shd w:val="clear" w:color="auto" w:fill="FFFFFF"/>
        </w:rPr>
        <w:t>投标日期： 年 月 日</w:t>
      </w:r>
    </w:p>
    <w:p w14:paraId="48FCA60A">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14:paraId="4C9A7283">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14:paraId="5DE3AFEF">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14:paraId="373D89DA">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14:paraId="2FCE0565">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14:paraId="4FFFF301">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14:paraId="69CAA48D">
      <w:pPr>
        <w:snapToGrid w:val="0"/>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法定代表人授权委托书格式：</w:t>
      </w:r>
    </w:p>
    <w:p w14:paraId="0CD8EAD2">
      <w:pPr>
        <w:snapToGrid w:val="0"/>
        <w:spacing w:line="360" w:lineRule="auto"/>
        <w:ind w:right="42" w:rightChars="20" w:firstLine="422" w:firstLineChars="200"/>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法定代表人授权委托书</w:t>
      </w:r>
    </w:p>
    <w:p w14:paraId="05168B50">
      <w:pPr>
        <w:snapToGrid w:val="0"/>
        <w:spacing w:line="360" w:lineRule="auto"/>
        <w:ind w:right="42" w:rightChars="20" w:firstLine="420" w:firstLineChars="200"/>
        <w:jc w:val="left"/>
        <w:rPr>
          <w:rFonts w:asciiTheme="minorEastAsia" w:hAnsiTheme="minorEastAsia" w:eastAsiaTheme="minorEastAsia"/>
          <w:bCs/>
          <w:color w:val="auto"/>
          <w:szCs w:val="21"/>
          <w:highlight w:val="none"/>
        </w:rPr>
      </w:pPr>
    </w:p>
    <w:p w14:paraId="55EEF26B">
      <w:pPr>
        <w:snapToGrid w:val="0"/>
        <w:spacing w:line="360" w:lineRule="auto"/>
        <w:ind w:right="42" w:rightChars="20" w:firstLine="420" w:firstLineChars="200"/>
        <w:jc w:val="left"/>
        <w:rPr>
          <w:rFonts w:asciiTheme="minorEastAsia" w:hAnsiTheme="minorEastAsia" w:eastAsiaTheme="minorEastAsia"/>
          <w:b/>
          <w:bCs/>
          <w:color w:val="auto"/>
          <w:szCs w:val="21"/>
          <w:highlight w:val="none"/>
        </w:rPr>
      </w:pPr>
      <w:r>
        <w:rPr>
          <w:rFonts w:hint="eastAsia" w:asciiTheme="minorEastAsia" w:hAnsiTheme="minorEastAsia" w:eastAsiaTheme="minorEastAsia"/>
          <w:bCs/>
          <w:color w:val="auto"/>
          <w:szCs w:val="21"/>
          <w:highlight w:val="none"/>
        </w:rPr>
        <w:t>致：</w:t>
      </w:r>
      <w:r>
        <w:rPr>
          <w:rFonts w:hint="eastAsia" w:cs="Arial" w:asciiTheme="minorEastAsia" w:hAnsiTheme="minorEastAsia" w:eastAsiaTheme="minorEastAsia"/>
          <w:color w:val="auto"/>
          <w:kern w:val="0"/>
          <w:szCs w:val="21"/>
          <w:highlight w:val="none"/>
          <w:u w:val="single"/>
          <w:lang w:eastAsia="zh-CN"/>
        </w:rPr>
        <w:t>嘉兴市秀洲区农业农村和水利局</w:t>
      </w:r>
      <w:r>
        <w:rPr>
          <w:rFonts w:hint="eastAsia" w:cs="Arial" w:asciiTheme="minorEastAsia" w:hAnsiTheme="minorEastAsia" w:eastAsiaTheme="minorEastAsia"/>
          <w:color w:val="auto"/>
          <w:kern w:val="0"/>
          <w:szCs w:val="21"/>
          <w:highlight w:val="none"/>
          <w:u w:val="single"/>
        </w:rPr>
        <w:t xml:space="preserve">  </w:t>
      </w:r>
      <w:r>
        <w:rPr>
          <w:rFonts w:hint="eastAsia" w:asciiTheme="minorEastAsia" w:hAnsiTheme="minorEastAsia" w:eastAsiaTheme="minorEastAsia"/>
          <w:color w:val="auto"/>
          <w:szCs w:val="21"/>
          <w:highlight w:val="none"/>
        </w:rPr>
        <w:t>（招标采购单位名称）：</w:t>
      </w:r>
    </w:p>
    <w:p w14:paraId="38C57B77">
      <w:pPr>
        <w:shd w:val="clear" w:color="auto" w:fill="FFFFFF"/>
        <w:snapToGrid w:val="0"/>
        <w:spacing w:line="360" w:lineRule="auto"/>
        <w:ind w:right="42" w:rightChars="20"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lang w:val="zh-CN"/>
        </w:rPr>
        <w:t xml:space="preserve"> 兹委派我公司</w:t>
      </w:r>
      <w:r>
        <w:rPr>
          <w:rFonts w:hint="eastAsia" w:cs="宋体" w:asciiTheme="minorEastAsia" w:hAnsiTheme="minorEastAsia" w:eastAsiaTheme="minorEastAsia"/>
          <w:color w:val="auto"/>
          <w:kern w:val="0"/>
          <w:szCs w:val="21"/>
          <w:highlight w:val="none"/>
          <w:u w:val="single"/>
          <w:lang w:val="zh-CN"/>
        </w:rPr>
        <w:t>先生/女士</w:t>
      </w:r>
      <w:r>
        <w:rPr>
          <w:rFonts w:hint="eastAsia" w:cs="宋体" w:asciiTheme="minorEastAsia" w:hAnsiTheme="minorEastAsia" w:eastAsiaTheme="minorEastAsia"/>
          <w:color w:val="auto"/>
          <w:kern w:val="0"/>
          <w:szCs w:val="21"/>
          <w:highlight w:val="none"/>
          <w:lang w:val="zh-CN"/>
        </w:rPr>
        <w:t>(其在本公司的职务是：</w:t>
      </w:r>
      <w:r>
        <w:rPr>
          <w:rFonts w:hint="eastAsia" w:cs="宋体" w:asciiTheme="minorEastAsia" w:hAnsiTheme="minorEastAsia" w:eastAsiaTheme="minorEastAsia"/>
          <w:color w:val="auto"/>
          <w:kern w:val="0"/>
          <w:szCs w:val="21"/>
          <w:highlight w:val="none"/>
          <w:u w:val="single"/>
        </w:rPr>
        <w:t xml:space="preserve">          </w:t>
      </w:r>
      <w:r>
        <w:rPr>
          <w:rFonts w:hint="eastAsia" w:cs="宋体" w:asciiTheme="minorEastAsia" w:hAnsiTheme="minorEastAsia" w:eastAsiaTheme="minorEastAsia"/>
          <w:color w:val="auto"/>
          <w:kern w:val="0"/>
          <w:szCs w:val="21"/>
          <w:highlight w:val="none"/>
          <w:lang w:val="zh-CN"/>
        </w:rPr>
        <w:t>，联系电话：</w:t>
      </w:r>
      <w:r>
        <w:rPr>
          <w:rFonts w:hint="eastAsia" w:cs="宋体" w:asciiTheme="minorEastAsia" w:hAnsiTheme="minorEastAsia" w:eastAsiaTheme="minorEastAsia"/>
          <w:color w:val="auto"/>
          <w:kern w:val="0"/>
          <w:szCs w:val="21"/>
          <w:highlight w:val="none"/>
          <w:u w:val="single"/>
        </w:rPr>
        <w:t xml:space="preserve">       </w:t>
      </w:r>
      <w:r>
        <w:rPr>
          <w:rFonts w:hint="eastAsia" w:cs="宋体" w:asciiTheme="minorEastAsia" w:hAnsiTheme="minorEastAsia" w:eastAsiaTheme="minorEastAsia"/>
          <w:color w:val="auto"/>
          <w:kern w:val="0"/>
          <w:szCs w:val="21"/>
          <w:highlight w:val="none"/>
          <w:lang w:val="zh-CN"/>
        </w:rPr>
        <w:t>手机：</w:t>
      </w:r>
      <w:r>
        <w:rPr>
          <w:rFonts w:hint="eastAsia" w:cs="宋体" w:asciiTheme="minorEastAsia" w:hAnsiTheme="minorEastAsia" w:eastAsiaTheme="minorEastAsia"/>
          <w:color w:val="auto"/>
          <w:kern w:val="0"/>
          <w:szCs w:val="21"/>
          <w:highlight w:val="none"/>
          <w:u w:val="single"/>
        </w:rPr>
        <w:t xml:space="preserve">       </w:t>
      </w:r>
      <w:r>
        <w:rPr>
          <w:rFonts w:hint="eastAsia" w:cs="宋体" w:asciiTheme="minorEastAsia" w:hAnsiTheme="minorEastAsia" w:eastAsiaTheme="minorEastAsia"/>
          <w:color w:val="auto"/>
          <w:kern w:val="0"/>
          <w:szCs w:val="21"/>
          <w:highlight w:val="none"/>
          <w:lang w:val="zh-CN"/>
        </w:rPr>
        <w:t>传真：</w:t>
      </w:r>
      <w:r>
        <w:rPr>
          <w:rFonts w:hint="eastAsia" w:cs="宋体" w:asciiTheme="minorEastAsia" w:hAnsiTheme="minorEastAsia" w:eastAsiaTheme="minorEastAsia"/>
          <w:color w:val="auto"/>
          <w:kern w:val="0"/>
          <w:szCs w:val="21"/>
          <w:highlight w:val="none"/>
          <w:u w:val="single"/>
        </w:rPr>
        <w:t xml:space="preserve">       </w:t>
      </w:r>
      <w:r>
        <w:rPr>
          <w:rFonts w:hint="eastAsia" w:cs="宋体" w:asciiTheme="minorEastAsia" w:hAnsiTheme="minorEastAsia" w:eastAsiaTheme="minorEastAsia"/>
          <w:color w:val="auto"/>
          <w:kern w:val="0"/>
          <w:szCs w:val="21"/>
          <w:highlight w:val="none"/>
          <w:lang w:val="zh-CN"/>
        </w:rPr>
        <w:t>)，代表我公司全权处理</w:t>
      </w:r>
      <w:r>
        <w:rPr>
          <w:rFonts w:hint="eastAsia" w:asciiTheme="minorEastAsia" w:hAnsiTheme="minorEastAsia" w:eastAsiaTheme="minorEastAsia"/>
          <w:b/>
          <w:bCs/>
          <w:color w:val="auto"/>
          <w:szCs w:val="21"/>
          <w:highlight w:val="none"/>
          <w:u w:val="single"/>
          <w:lang w:val="zh-CN"/>
        </w:rPr>
        <w:t>秀洲区2025年度白蚁等害堤动物防治项目</w:t>
      </w:r>
      <w:r>
        <w:rPr>
          <w:rFonts w:hint="eastAsia" w:cs="宋体" w:asciiTheme="minorEastAsia" w:hAnsiTheme="minorEastAsia" w:eastAsiaTheme="minorEastAsia"/>
          <w:color w:val="auto"/>
          <w:szCs w:val="21"/>
          <w:highlight w:val="none"/>
        </w:rPr>
        <w:t>(编号：</w:t>
      </w:r>
      <w:r>
        <w:rPr>
          <w:rFonts w:hint="eastAsia" w:cs="宋体" w:asciiTheme="minorEastAsia" w:hAnsiTheme="minorEastAsia" w:eastAsiaTheme="minorEastAsia"/>
          <w:color w:val="auto"/>
          <w:szCs w:val="21"/>
          <w:highlight w:val="none"/>
          <w:lang w:eastAsia="zh-CN"/>
        </w:rPr>
        <w:t>大地-DDZX-JX（2025）第83号</w:t>
      </w:r>
      <w:r>
        <w:rPr>
          <w:rFonts w:hint="eastAsia" w:cs="宋体" w:asciiTheme="minorEastAsia" w:hAnsiTheme="minorEastAsia" w:eastAsiaTheme="minorEastAsia"/>
          <w:color w:val="auto"/>
          <w:szCs w:val="21"/>
          <w:highlight w:val="none"/>
        </w:rPr>
        <w:t>)政府采购投标的一切事项</w:t>
      </w:r>
      <w:r>
        <w:rPr>
          <w:rFonts w:hint="eastAsia" w:cs="宋体" w:asciiTheme="minorEastAsia" w:hAnsiTheme="minorEastAsia" w:eastAsiaTheme="minorEastAsia"/>
          <w:color w:val="auto"/>
          <w:kern w:val="0"/>
          <w:szCs w:val="21"/>
          <w:highlight w:val="none"/>
          <w:lang w:val="zh-CN"/>
        </w:rPr>
        <w:t>。</w:t>
      </w:r>
    </w:p>
    <w:p w14:paraId="56EB4764">
      <w:pPr>
        <w:shd w:val="clear" w:color="auto" w:fill="FFFFFF"/>
        <w:snapToGrid w:val="0"/>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lang w:val="zh-CN"/>
        </w:rPr>
        <w:t xml:space="preserve">    特此告知。</w:t>
      </w:r>
    </w:p>
    <w:p w14:paraId="2132EB03">
      <w:pPr>
        <w:shd w:val="clear" w:color="auto" w:fill="FFFFFF"/>
        <w:snapToGrid w:val="0"/>
        <w:spacing w:line="360" w:lineRule="auto"/>
        <w:ind w:right="42" w:rightChars="20" w:firstLine="420" w:firstLineChars="200"/>
        <w:jc w:val="left"/>
        <w:rPr>
          <w:rFonts w:cs="宋体" w:asciiTheme="minorEastAsia" w:hAnsiTheme="minorEastAsia" w:eastAsiaTheme="minorEastAsia"/>
          <w:color w:val="auto"/>
          <w:kern w:val="0"/>
          <w:szCs w:val="21"/>
          <w:highlight w:val="none"/>
        </w:rPr>
      </w:pPr>
    </w:p>
    <w:p w14:paraId="74121D25">
      <w:pPr>
        <w:shd w:val="clear" w:color="auto" w:fill="FFFFFF"/>
        <w:snapToGrid w:val="0"/>
        <w:spacing w:line="360" w:lineRule="auto"/>
        <w:ind w:right="42" w:rightChars="20" w:firstLine="420" w:firstLineChars="200"/>
        <w:jc w:val="left"/>
        <w:rPr>
          <w:rFonts w:cs="宋体" w:asciiTheme="minorEastAsia" w:hAnsiTheme="minorEastAsia" w:eastAsiaTheme="minorEastAsia"/>
          <w:color w:val="auto"/>
          <w:kern w:val="0"/>
          <w:szCs w:val="21"/>
          <w:highlight w:val="none"/>
          <w:lang w:val="zh-CN"/>
        </w:rPr>
      </w:pPr>
    </w:p>
    <w:p w14:paraId="5BFBE266">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14:paraId="5FD959CD">
      <w:pPr>
        <w:snapToGrid w:val="0"/>
        <w:spacing w:line="360" w:lineRule="auto"/>
        <w:ind w:right="42" w:rightChars="20" w:firstLine="420" w:firstLineChars="200"/>
        <w:jc w:val="left"/>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被授权人签字（或盖章）：法定代表人签字（或盖章）：</w:t>
      </w:r>
    </w:p>
    <w:p w14:paraId="41E14BB3">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职务：职务：</w:t>
      </w:r>
    </w:p>
    <w:p w14:paraId="00EB3E23">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被授权人身份证号码：</w:t>
      </w:r>
    </w:p>
    <w:p w14:paraId="232081B3">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14:paraId="375EDA9F">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shd w:val="clear" w:color="auto" w:fill="FFFFFF"/>
        </w:rPr>
        <w:t>投标人名称：（CA签章）</w:t>
      </w:r>
    </w:p>
    <w:p w14:paraId="33038036">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年月日</w:t>
      </w:r>
    </w:p>
    <w:p w14:paraId="2D82BD33">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14:paraId="0CA21CBC">
      <w:pPr>
        <w:pStyle w:val="21"/>
        <w:rPr>
          <w:rFonts w:asciiTheme="minorEastAsia" w:hAnsiTheme="minorEastAsia" w:eastAsiaTheme="minorEastAsia"/>
          <w:color w:val="auto"/>
          <w:szCs w:val="21"/>
          <w:highlight w:val="none"/>
        </w:rPr>
      </w:pPr>
    </w:p>
    <w:p w14:paraId="134A57A3">
      <w:pPr>
        <w:pStyle w:val="50"/>
        <w:ind w:firstLine="210"/>
        <w:rPr>
          <w:rFonts w:asciiTheme="minorEastAsia" w:hAnsiTheme="minorEastAsia" w:eastAsiaTheme="minorEastAsia"/>
          <w:color w:val="auto"/>
          <w:szCs w:val="21"/>
          <w:highlight w:val="none"/>
        </w:rPr>
      </w:pPr>
    </w:p>
    <w:p w14:paraId="1456EC73">
      <w:pPr>
        <w:snapToGrid w:val="0"/>
        <w:spacing w:line="360" w:lineRule="auto"/>
        <w:ind w:right="42" w:rightChars="20" w:firstLine="422" w:firstLineChars="200"/>
        <w:jc w:val="left"/>
        <w:rPr>
          <w:rFonts w:asciiTheme="minorEastAsia" w:hAnsiTheme="minorEastAsia" w:eastAsiaTheme="minorEastAsia"/>
          <w:color w:val="auto"/>
          <w:szCs w:val="21"/>
          <w:highlight w:val="none"/>
        </w:rPr>
      </w:pPr>
      <w:r>
        <w:rPr>
          <w:rFonts w:asciiTheme="minorEastAsia" w:hAnsiTheme="minorEastAsia" w:eastAsiaTheme="minorEastAsia"/>
          <w:b/>
          <w:color w:val="auto"/>
          <w:szCs w:val="21"/>
          <w:highlight w:val="none"/>
        </w:rPr>
        <w:br w:type="page"/>
      </w:r>
    </w:p>
    <w:p w14:paraId="2FE5B9F7">
      <w:pPr>
        <w:snapToGrid w:val="0"/>
        <w:ind w:right="42" w:rightChars="20" w:firstLine="420" w:firstLineChars="200"/>
        <w:jc w:val="left"/>
        <w:rPr>
          <w:rFonts w:ascii="微软雅黑" w:hAnsi="微软雅黑" w:eastAsia="微软雅黑"/>
          <w:b/>
          <w:color w:val="auto"/>
          <w:szCs w:val="21"/>
          <w:highlight w:val="none"/>
        </w:rPr>
      </w:pPr>
      <w:r>
        <w:rPr>
          <w:rFonts w:hint="eastAsia" w:ascii="微软雅黑" w:hAnsi="微软雅黑" w:eastAsia="微软雅黑"/>
          <w:b/>
          <w:color w:val="auto"/>
          <w:szCs w:val="21"/>
          <w:highlight w:val="none"/>
        </w:rPr>
        <w:t>廉政承诺书格式：</w:t>
      </w:r>
    </w:p>
    <w:p w14:paraId="34DA8BA2">
      <w:pPr>
        <w:pStyle w:val="2"/>
        <w:ind w:right="42" w:rightChars="2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廉政承诺书</w:t>
      </w:r>
    </w:p>
    <w:p w14:paraId="1D5E27DC">
      <w:pPr>
        <w:autoSpaceDE w:val="0"/>
        <w:autoSpaceDN w:val="0"/>
        <w:adjustRightInd w:val="0"/>
        <w:spacing w:line="360" w:lineRule="auto"/>
        <w:ind w:right="42" w:rightChars="20"/>
        <w:contextualSpacing/>
        <w:rPr>
          <w:rFonts w:ascii="宋体" w:hAnsi="宋体" w:cs="宋体"/>
          <w:color w:val="auto"/>
          <w:kern w:val="0"/>
          <w:szCs w:val="21"/>
          <w:highlight w:val="none"/>
          <w:lang w:val="zh-CN"/>
        </w:rPr>
      </w:pPr>
      <w:r>
        <w:rPr>
          <w:rFonts w:hint="eastAsia" w:ascii="宋体" w:hAnsi="宋体" w:cs="宋体"/>
          <w:color w:val="auto"/>
          <w:szCs w:val="21"/>
          <w:highlight w:val="none"/>
        </w:rPr>
        <w:t>致：（招标采购单位名称）</w:t>
      </w:r>
    </w:p>
    <w:p w14:paraId="5B3AABF4">
      <w:pPr>
        <w:autoSpaceDE w:val="0"/>
        <w:autoSpaceDN w:val="0"/>
        <w:adjustRightInd w:val="0"/>
        <w:spacing w:line="360" w:lineRule="auto"/>
        <w:ind w:right="42" w:rightChars="20" w:firstLine="420" w:firstLineChars="200"/>
        <w:contextualSpacing/>
        <w:rPr>
          <w:rFonts w:ascii="宋体" w:hAnsi="宋体" w:cs="宋体"/>
          <w:color w:val="auto"/>
          <w:kern w:val="0"/>
          <w:szCs w:val="21"/>
          <w:highlight w:val="none"/>
        </w:rPr>
      </w:pPr>
      <w:r>
        <w:rPr>
          <w:rFonts w:hint="eastAsia" w:ascii="宋体" w:hAnsi="宋体" w:cs="宋体"/>
          <w:color w:val="auto"/>
          <w:kern w:val="0"/>
          <w:szCs w:val="21"/>
          <w:highlight w:val="none"/>
          <w:lang w:val="zh-CN"/>
        </w:rPr>
        <w:t>我单位响应项目采购要求参加投标。在这次投标过程中和中标后，我们将严格遵守国家法律法规的要求，并郑重承诺：</w:t>
      </w:r>
    </w:p>
    <w:p w14:paraId="0C24EA99">
      <w:pPr>
        <w:autoSpaceDE w:val="0"/>
        <w:autoSpaceDN w:val="0"/>
        <w:adjustRightInd w:val="0"/>
        <w:spacing w:line="360" w:lineRule="auto"/>
        <w:ind w:right="42" w:rightChars="20" w:firstLine="420" w:firstLineChars="200"/>
        <w:contextualSpacing/>
        <w:rPr>
          <w:rFonts w:ascii="宋体" w:hAnsi="宋体"/>
          <w:color w:val="auto"/>
          <w:szCs w:val="21"/>
          <w:highlight w:val="none"/>
        </w:rPr>
      </w:pPr>
      <w:r>
        <w:rPr>
          <w:rFonts w:hint="eastAsia" w:ascii="宋体" w:hAnsi="宋体"/>
          <w:color w:val="auto"/>
          <w:szCs w:val="21"/>
          <w:highlight w:val="none"/>
        </w:rPr>
        <w:t xml:space="preserve">一、不向项目有关人员及部门赠送礼金礼物、有价证券、回扣以及中介费、介绍费、咨询费等好处费；    </w:t>
      </w:r>
    </w:p>
    <w:p w14:paraId="7751AE64">
      <w:pPr>
        <w:autoSpaceDE w:val="0"/>
        <w:autoSpaceDN w:val="0"/>
        <w:adjustRightInd w:val="0"/>
        <w:spacing w:line="360" w:lineRule="auto"/>
        <w:ind w:right="42" w:rightChars="20" w:firstLine="420" w:firstLineChars="200"/>
        <w:contextualSpacing/>
        <w:rPr>
          <w:rFonts w:ascii="宋体" w:hAnsi="宋体"/>
          <w:color w:val="auto"/>
          <w:szCs w:val="21"/>
          <w:highlight w:val="none"/>
        </w:rPr>
      </w:pPr>
      <w:r>
        <w:rPr>
          <w:rFonts w:hint="eastAsia" w:ascii="宋体" w:hAnsi="宋体"/>
          <w:color w:val="auto"/>
          <w:szCs w:val="21"/>
          <w:highlight w:val="none"/>
        </w:rPr>
        <w:t xml:space="preserve">二、不为项目有关人员及部门报销应由你方单位或个人支付的费用；    </w:t>
      </w:r>
    </w:p>
    <w:p w14:paraId="3F1C49F1">
      <w:pPr>
        <w:autoSpaceDE w:val="0"/>
        <w:autoSpaceDN w:val="0"/>
        <w:adjustRightInd w:val="0"/>
        <w:spacing w:line="360" w:lineRule="auto"/>
        <w:ind w:right="42" w:rightChars="20" w:firstLine="420" w:firstLineChars="200"/>
        <w:contextualSpacing/>
        <w:rPr>
          <w:rFonts w:ascii="宋体" w:hAnsi="宋体"/>
          <w:color w:val="auto"/>
          <w:szCs w:val="21"/>
          <w:highlight w:val="none"/>
        </w:rPr>
      </w:pPr>
      <w:r>
        <w:rPr>
          <w:rFonts w:hint="eastAsia" w:ascii="宋体" w:hAnsi="宋体"/>
          <w:color w:val="auto"/>
          <w:szCs w:val="21"/>
          <w:highlight w:val="none"/>
        </w:rPr>
        <w:t xml:space="preserve">三、不向项目有关人员及部门提供有可能影响公正的宴请和健身娱乐等活动；    </w:t>
      </w:r>
    </w:p>
    <w:p w14:paraId="0224BA99">
      <w:pPr>
        <w:autoSpaceDE w:val="0"/>
        <w:autoSpaceDN w:val="0"/>
        <w:adjustRightInd w:val="0"/>
        <w:spacing w:line="360" w:lineRule="auto"/>
        <w:ind w:right="42" w:rightChars="20" w:firstLine="420" w:firstLineChars="200"/>
        <w:contextualSpacing/>
        <w:rPr>
          <w:rFonts w:ascii="宋体" w:hAnsi="宋体"/>
          <w:color w:val="auto"/>
          <w:szCs w:val="21"/>
          <w:highlight w:val="none"/>
        </w:rPr>
      </w:pPr>
      <w:r>
        <w:rPr>
          <w:rFonts w:hint="eastAsia" w:ascii="宋体" w:hAnsi="宋体"/>
          <w:color w:val="auto"/>
          <w:szCs w:val="21"/>
          <w:highlight w:val="none"/>
        </w:rPr>
        <w:t xml:space="preserve">四、不为项目有关人员及部门出国（境）、旅游等提供方便；    </w:t>
      </w:r>
    </w:p>
    <w:p w14:paraId="2FE274F4">
      <w:pPr>
        <w:autoSpaceDE w:val="0"/>
        <w:autoSpaceDN w:val="0"/>
        <w:adjustRightInd w:val="0"/>
        <w:spacing w:line="360" w:lineRule="auto"/>
        <w:ind w:right="42" w:rightChars="20" w:firstLine="420" w:firstLineChars="200"/>
        <w:contextualSpacing/>
        <w:rPr>
          <w:rFonts w:ascii="宋体" w:hAnsi="宋体"/>
          <w:color w:val="auto"/>
          <w:szCs w:val="21"/>
          <w:highlight w:val="none"/>
        </w:rPr>
      </w:pPr>
      <w:r>
        <w:rPr>
          <w:rFonts w:hint="eastAsia" w:ascii="宋体" w:hAnsi="宋体"/>
          <w:color w:val="auto"/>
          <w:szCs w:val="21"/>
          <w:highlight w:val="none"/>
        </w:rPr>
        <w:t xml:space="preserve">五、不为项目有关人员个人装修住房、婚丧嫁娶、配偶子女工作安排等提供好处；    </w:t>
      </w:r>
    </w:p>
    <w:p w14:paraId="0234256B">
      <w:pPr>
        <w:autoSpaceDE w:val="0"/>
        <w:autoSpaceDN w:val="0"/>
        <w:adjustRightInd w:val="0"/>
        <w:spacing w:line="360" w:lineRule="auto"/>
        <w:ind w:right="42" w:rightChars="20" w:firstLine="420" w:firstLineChars="200"/>
        <w:contextualSpacing/>
        <w:rPr>
          <w:rFonts w:ascii="宋体" w:hAnsi="宋体"/>
          <w:color w:val="auto"/>
          <w:szCs w:val="21"/>
          <w:highlight w:val="none"/>
        </w:rPr>
      </w:pPr>
      <w:r>
        <w:rPr>
          <w:rFonts w:hint="eastAsia" w:ascii="宋体" w:hAnsi="宋体"/>
          <w:color w:val="auto"/>
          <w:szCs w:val="21"/>
          <w:highlight w:val="none"/>
        </w:rPr>
        <w:t>六、严格遵守政府采购法、招标投标法、合同法等法律，诚实守信，合法经营，坚决抵制各种违法违纪行为。</w:t>
      </w:r>
    </w:p>
    <w:p w14:paraId="2EF95134">
      <w:pPr>
        <w:autoSpaceDE w:val="0"/>
        <w:autoSpaceDN w:val="0"/>
        <w:adjustRightInd w:val="0"/>
        <w:spacing w:line="360" w:lineRule="auto"/>
        <w:ind w:right="42" w:rightChars="20" w:firstLine="420" w:firstLineChars="200"/>
        <w:contextualSpacing/>
        <w:rPr>
          <w:rFonts w:ascii="宋体" w:hAnsi="宋体"/>
          <w:color w:val="auto"/>
          <w:szCs w:val="21"/>
          <w:highlight w:val="none"/>
        </w:rPr>
      </w:pPr>
      <w:r>
        <w:rPr>
          <w:rFonts w:hint="eastAsia" w:ascii="宋体" w:hAnsi="宋体"/>
          <w:color w:val="auto"/>
          <w:szCs w:val="21"/>
          <w:highlight w:val="none"/>
        </w:rPr>
        <w:t>如违反上述承诺，你单位有权立即取消我单位投标、中标或在建项目的建设资格，有权拒绝我单位在一定时期内进入你单位进行项目建设或其他经营活动，并通报政府采购监督管理部门。由此引起的相应损失均由我单位承担。</w:t>
      </w:r>
    </w:p>
    <w:p w14:paraId="3D74286B">
      <w:pPr>
        <w:tabs>
          <w:tab w:val="left" w:pos="1418"/>
        </w:tabs>
        <w:spacing w:line="360" w:lineRule="auto"/>
        <w:ind w:right="42" w:rightChars="20"/>
        <w:contextualSpacing/>
        <w:rPr>
          <w:rFonts w:ascii="宋体" w:hAnsi="宋体"/>
          <w:color w:val="auto"/>
          <w:szCs w:val="21"/>
          <w:highlight w:val="none"/>
        </w:rPr>
      </w:pPr>
    </w:p>
    <w:p w14:paraId="6CAC8F69">
      <w:pPr>
        <w:pStyle w:val="168"/>
        <w:snapToGrid w:val="0"/>
        <w:spacing w:line="360" w:lineRule="auto"/>
        <w:ind w:right="42" w:rightChars="2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法定代表人或其授权代表签字（或盖章）</w:t>
      </w:r>
      <w:r>
        <w:rPr>
          <w:rFonts w:asciiTheme="minorEastAsia" w:hAnsiTheme="minorEastAsia" w:eastAsiaTheme="minorEastAsia"/>
          <w:color w:val="auto"/>
          <w:sz w:val="21"/>
          <w:szCs w:val="21"/>
          <w:highlight w:val="none"/>
        </w:rPr>
        <w:t>：</w:t>
      </w:r>
    </w:p>
    <w:p w14:paraId="16DC7D38">
      <w:pPr>
        <w:tabs>
          <w:tab w:val="left" w:pos="1418"/>
        </w:tabs>
        <w:spacing w:line="360" w:lineRule="auto"/>
        <w:ind w:right="42" w:rightChars="20"/>
        <w:contextualSpacing/>
        <w:rPr>
          <w:rFonts w:ascii="宋体" w:hAnsi="宋体"/>
          <w:color w:val="auto"/>
          <w:szCs w:val="21"/>
          <w:highlight w:val="none"/>
        </w:rPr>
      </w:pPr>
    </w:p>
    <w:p w14:paraId="67B432AA">
      <w:pPr>
        <w:tabs>
          <w:tab w:val="left" w:pos="1418"/>
        </w:tabs>
        <w:spacing w:line="360" w:lineRule="auto"/>
        <w:ind w:right="42" w:rightChars="20"/>
        <w:contextualSpacing/>
        <w:rPr>
          <w:rFonts w:ascii="宋体" w:hAnsi="宋体"/>
          <w:color w:val="auto"/>
          <w:szCs w:val="21"/>
          <w:highlight w:val="none"/>
        </w:rPr>
      </w:pPr>
      <w:r>
        <w:rPr>
          <w:rFonts w:hint="eastAsia" w:ascii="宋体" w:hAnsi="宋体"/>
          <w:color w:val="auto"/>
          <w:szCs w:val="21"/>
          <w:highlight w:val="none"/>
        </w:rPr>
        <w:t>投 标 人（</w:t>
      </w:r>
      <w:r>
        <w:rPr>
          <w:rFonts w:hint="eastAsia" w:asciiTheme="minorEastAsia" w:hAnsiTheme="minorEastAsia" w:eastAsiaTheme="minorEastAsia"/>
          <w:color w:val="auto"/>
          <w:szCs w:val="21"/>
          <w:highlight w:val="none"/>
          <w:shd w:val="clear" w:color="auto" w:fill="FFFFFF"/>
        </w:rPr>
        <w:t>CA签章</w:t>
      </w:r>
      <w:r>
        <w:rPr>
          <w:rFonts w:hint="eastAsia" w:ascii="宋体" w:hAnsi="宋体"/>
          <w:color w:val="auto"/>
          <w:szCs w:val="21"/>
          <w:highlight w:val="none"/>
        </w:rPr>
        <w:t xml:space="preserve">）：                            </w:t>
      </w:r>
    </w:p>
    <w:p w14:paraId="13AB0A76">
      <w:pPr>
        <w:tabs>
          <w:tab w:val="left" w:pos="1418"/>
        </w:tabs>
        <w:spacing w:line="360" w:lineRule="auto"/>
        <w:ind w:right="42" w:rightChars="20"/>
        <w:contextualSpacing/>
        <w:rPr>
          <w:rFonts w:ascii="宋体" w:hAnsi="宋体" w:cs="宋体"/>
          <w:bCs/>
          <w:color w:val="auto"/>
          <w:szCs w:val="21"/>
          <w:highlight w:val="none"/>
        </w:rPr>
      </w:pPr>
    </w:p>
    <w:p w14:paraId="0572BB82">
      <w:pPr>
        <w:tabs>
          <w:tab w:val="left" w:pos="1418"/>
        </w:tabs>
        <w:spacing w:line="360" w:lineRule="auto"/>
        <w:ind w:right="42" w:rightChars="20"/>
        <w:contextualSpacing/>
        <w:jc w:val="right"/>
        <w:rPr>
          <w:rFonts w:ascii="宋体" w:hAnsi="宋体" w:cs="宋体"/>
          <w:b/>
          <w:bCs/>
          <w:color w:val="auto"/>
          <w:szCs w:val="21"/>
          <w:highlight w:val="none"/>
        </w:rPr>
      </w:pPr>
      <w:r>
        <w:rPr>
          <w:rFonts w:hint="eastAsia" w:ascii="宋体" w:hAnsi="宋体" w:cs="宋体"/>
          <w:bCs/>
          <w:color w:val="auto"/>
          <w:szCs w:val="21"/>
          <w:highlight w:val="none"/>
        </w:rPr>
        <w:t xml:space="preserve">  年  月  日</w:t>
      </w:r>
    </w:p>
    <w:p w14:paraId="2326D675">
      <w:pPr>
        <w:pStyle w:val="3"/>
        <w:spacing w:line="360" w:lineRule="auto"/>
        <w:ind w:right="42" w:rightChars="20"/>
        <w:contextualSpacing/>
        <w:rPr>
          <w:color w:val="auto"/>
          <w:highlight w:val="none"/>
        </w:rPr>
        <w:sectPr>
          <w:pgSz w:w="11905" w:h="16838"/>
          <w:pgMar w:top="1440" w:right="1803" w:bottom="1440" w:left="1803" w:header="851" w:footer="992" w:gutter="0"/>
          <w:cols w:space="0" w:num="1"/>
          <w:docGrid w:type="lines" w:linePitch="319" w:charSpace="0"/>
        </w:sectPr>
      </w:pPr>
    </w:p>
    <w:p w14:paraId="17560F62">
      <w:pPr>
        <w:spacing w:line="360" w:lineRule="auto"/>
        <w:jc w:val="center"/>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中小企业声明函（工程、服务）</w:t>
      </w:r>
    </w:p>
    <w:p w14:paraId="65C14F17">
      <w:pPr>
        <w:spacing w:line="360" w:lineRule="auto"/>
        <w:rPr>
          <w:rFonts w:ascii="仿宋" w:hAnsi="仿宋" w:eastAsia="仿宋" w:cs="仿宋"/>
          <w:color w:val="auto"/>
          <w:highlight w:val="none"/>
        </w:rPr>
      </w:pPr>
    </w:p>
    <w:p w14:paraId="5A1C3F80">
      <w:pPr>
        <w:spacing w:line="360" w:lineRule="auto"/>
        <w:ind w:firstLine="360" w:firstLineChars="150"/>
        <w:jc w:val="left"/>
        <w:rPr>
          <w:rFonts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6E33D189">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07DEEA73">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31E73FA2">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742DC7F6">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5D7FF007">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3CCB84A4">
      <w:pPr>
        <w:spacing w:line="360" w:lineRule="auto"/>
        <w:ind w:right="1760"/>
        <w:jc w:val="right"/>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7EA260C2">
      <w:pPr>
        <w:spacing w:line="360" w:lineRule="auto"/>
        <w:ind w:right="1120" w:firstLine="4680" w:firstLineChars="1950"/>
        <w:rPr>
          <w:rFonts w:ascii="仿宋" w:hAnsi="仿宋" w:eastAsia="仿宋" w:cs="仿宋"/>
          <w:color w:val="auto"/>
          <w:sz w:val="24"/>
          <w:highlight w:val="none"/>
        </w:rPr>
      </w:pPr>
      <w:r>
        <w:rPr>
          <w:rFonts w:hint="eastAsia" w:ascii="仿宋" w:hAnsi="仿宋" w:eastAsia="仿宋" w:cs="仿宋"/>
          <w:color w:val="auto"/>
          <w:sz w:val="24"/>
          <w:highlight w:val="none"/>
        </w:rPr>
        <w:t>日期：</w:t>
      </w:r>
    </w:p>
    <w:p w14:paraId="47808FB0">
      <w:pPr>
        <w:pageBreakBefore w:val="0"/>
        <w:kinsoku/>
        <w:overflowPunct/>
        <w:topLinePunct w:val="0"/>
        <w:bidi w:val="0"/>
        <w:spacing w:line="360" w:lineRule="auto"/>
        <w:ind w:firstLine="310" w:firstLineChars="147"/>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从业人员、营业收入、资产总额填报上一年度数据，无上一年度数据的新成立企业可不填报。</w:t>
      </w:r>
    </w:p>
    <w:p w14:paraId="10E5A749">
      <w:pPr>
        <w:pageBreakBefore w:val="0"/>
        <w:kinsoku/>
        <w:overflowPunct/>
        <w:topLinePunct w:val="0"/>
        <w:bidi w:val="0"/>
        <w:spacing w:line="360" w:lineRule="auto"/>
        <w:ind w:right="420"/>
        <w:rPr>
          <w:rFonts w:hint="eastAsia" w:ascii="宋体" w:hAnsi="宋体" w:eastAsia="宋体" w:cs="宋体"/>
          <w:color w:val="auto"/>
          <w:sz w:val="21"/>
          <w:szCs w:val="21"/>
          <w:highlight w:val="none"/>
        </w:rPr>
      </w:pPr>
    </w:p>
    <w:p w14:paraId="1AAFAF17">
      <w:pPr>
        <w:pageBreakBefore w:val="0"/>
        <w:kinsoku/>
        <w:overflowPunct/>
        <w:topLinePunct w:val="0"/>
        <w:bidi w:val="0"/>
        <w:spacing w:line="360" w:lineRule="auto"/>
        <w:ind w:righ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注：</w:t>
      </w:r>
    </w:p>
    <w:p w14:paraId="116D4E07">
      <w:pPr>
        <w:pageBreakBefore w:val="0"/>
        <w:kinsoku/>
        <w:overflowPunct/>
        <w:topLinePunct w:val="0"/>
        <w:bidi w:val="0"/>
        <w:spacing w:line="360" w:lineRule="auto"/>
        <w:ind w:right="42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填写要求：①“标的名称”、“采购文件中明确的所属行业”依据招标文件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6791055">
      <w:pPr>
        <w:pageBreakBefore w:val="0"/>
        <w:kinsoku/>
        <w:overflowPunct/>
        <w:topLinePunct w:val="0"/>
        <w:bidi w:val="0"/>
        <w:spacing w:line="360" w:lineRule="auto"/>
        <w:ind w:right="420"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8AAA49B">
      <w:pPr>
        <w:pStyle w:val="27"/>
        <w:snapToGrid w:val="0"/>
        <w:spacing w:line="360" w:lineRule="auto"/>
        <w:ind w:right="42" w:rightChars="20" w:firstLine="422" w:firstLineChars="200"/>
        <w:jc w:val="left"/>
        <w:rPr>
          <w:rFonts w:asciiTheme="minorEastAsia" w:hAnsiTheme="minorEastAsia" w:eastAsiaTheme="minorEastAsia"/>
          <w:b/>
          <w:color w:val="auto"/>
          <w:szCs w:val="21"/>
          <w:highlight w:val="none"/>
        </w:rPr>
      </w:pPr>
    </w:p>
    <w:p w14:paraId="24E95859">
      <w:pPr>
        <w:pStyle w:val="27"/>
        <w:snapToGrid w:val="0"/>
        <w:spacing w:line="360" w:lineRule="auto"/>
        <w:ind w:right="42" w:rightChars="20" w:firstLine="422" w:firstLineChars="200"/>
        <w:jc w:val="left"/>
        <w:rPr>
          <w:rFonts w:asciiTheme="minorEastAsia" w:hAnsiTheme="minorEastAsia" w:eastAsiaTheme="minorEastAsia"/>
          <w:b/>
          <w:color w:val="auto"/>
          <w:szCs w:val="21"/>
          <w:highlight w:val="none"/>
        </w:rPr>
      </w:pPr>
    </w:p>
    <w:p w14:paraId="017B21C2">
      <w:pPr>
        <w:pStyle w:val="27"/>
        <w:snapToGrid w:val="0"/>
        <w:spacing w:line="360" w:lineRule="auto"/>
        <w:ind w:right="42" w:rightChars="20" w:firstLine="422" w:firstLineChars="200"/>
        <w:jc w:val="left"/>
        <w:rPr>
          <w:rFonts w:asciiTheme="minorEastAsia" w:hAnsiTheme="minorEastAsia" w:eastAsiaTheme="minorEastAsia"/>
          <w:b/>
          <w:color w:val="auto"/>
          <w:szCs w:val="21"/>
          <w:highlight w:val="none"/>
        </w:rPr>
      </w:pPr>
    </w:p>
    <w:p w14:paraId="555ECA63">
      <w:pPr>
        <w:pStyle w:val="27"/>
        <w:snapToGrid w:val="0"/>
        <w:spacing w:line="360" w:lineRule="auto"/>
        <w:ind w:right="42" w:rightChars="20" w:firstLine="422" w:firstLineChars="200"/>
        <w:jc w:val="left"/>
        <w:rPr>
          <w:rFonts w:asciiTheme="minorEastAsia" w:hAnsiTheme="minorEastAsia" w:eastAsiaTheme="minorEastAsia"/>
          <w:b/>
          <w:color w:val="auto"/>
          <w:szCs w:val="21"/>
          <w:highlight w:val="none"/>
        </w:rPr>
      </w:pPr>
    </w:p>
    <w:p w14:paraId="228AEAD5">
      <w:pPr>
        <w:pStyle w:val="27"/>
        <w:snapToGrid w:val="0"/>
        <w:spacing w:line="360" w:lineRule="auto"/>
        <w:ind w:right="42" w:rightChars="20" w:firstLine="422" w:firstLineChars="200"/>
        <w:jc w:val="left"/>
        <w:rPr>
          <w:rFonts w:asciiTheme="minorEastAsia" w:hAnsiTheme="minorEastAsia" w:eastAsiaTheme="minorEastAsia"/>
          <w:b/>
          <w:color w:val="auto"/>
          <w:szCs w:val="21"/>
          <w:highlight w:val="none"/>
        </w:rPr>
      </w:pPr>
    </w:p>
    <w:p w14:paraId="7DCFE417">
      <w:pPr>
        <w:pStyle w:val="27"/>
        <w:snapToGrid w:val="0"/>
        <w:ind w:firstLine="420"/>
        <w:rPr>
          <w:rFonts w:ascii="微软雅黑" w:hAnsi="微软雅黑"/>
          <w:b/>
          <w:color w:val="auto"/>
          <w:szCs w:val="21"/>
          <w:highlight w:val="none"/>
        </w:rPr>
      </w:pPr>
      <w:r>
        <w:rPr>
          <w:rFonts w:hint="eastAsia" w:ascii="微软雅黑" w:hAnsi="微软雅黑"/>
          <w:b/>
          <w:color w:val="auto"/>
          <w:szCs w:val="21"/>
          <w:highlight w:val="none"/>
        </w:rPr>
        <w:t>残疾人福利性单位声明函</w:t>
      </w:r>
    </w:p>
    <w:p w14:paraId="335CE694">
      <w:pPr>
        <w:widowControl/>
        <w:ind w:firstLine="420"/>
        <w:rPr>
          <w:rFonts w:ascii="微软雅黑" w:hAnsi="微软雅黑"/>
          <w:b/>
          <w:color w:val="auto"/>
          <w:szCs w:val="21"/>
          <w:highlight w:val="none"/>
        </w:rPr>
      </w:pPr>
    </w:p>
    <w:p w14:paraId="7F9C0A7F">
      <w:pPr>
        <w:spacing w:line="360" w:lineRule="auto"/>
        <w:jc w:val="center"/>
        <w:rPr>
          <w:rFonts w:hint="eastAsia" w:ascii="仿宋" w:hAnsi="仿宋" w:eastAsia="仿宋" w:cs="仿宋"/>
          <w:b/>
          <w:color w:val="auto"/>
          <w:sz w:val="32"/>
          <w:szCs w:val="32"/>
          <w:highlight w:val="none"/>
          <w:lang w:eastAsia="zh-CN"/>
        </w:rPr>
      </w:pPr>
      <w:r>
        <w:rPr>
          <w:rFonts w:hint="eastAsia" w:ascii="微软雅黑" w:hAnsi="微软雅黑"/>
          <w:b/>
          <w:color w:val="auto"/>
          <w:szCs w:val="21"/>
          <w:highlight w:val="none"/>
        </w:rPr>
        <w:t>残疾人福利性单位声明函</w:t>
      </w:r>
      <w:r>
        <w:rPr>
          <w:rFonts w:hint="eastAsia" w:ascii="微软雅黑" w:hAnsi="微软雅黑"/>
          <w:b/>
          <w:color w:val="auto"/>
          <w:szCs w:val="21"/>
          <w:highlight w:val="none"/>
          <w:lang w:eastAsia="zh-CN"/>
        </w:rPr>
        <w:t>（</w:t>
      </w:r>
      <w:r>
        <w:rPr>
          <w:rFonts w:hint="eastAsia" w:ascii="微软雅黑" w:hAnsi="微软雅黑"/>
          <w:b/>
          <w:color w:val="auto"/>
          <w:szCs w:val="21"/>
          <w:highlight w:val="none"/>
          <w:lang w:val="en-US" w:eastAsia="zh-CN"/>
        </w:rPr>
        <w:t>如有</w:t>
      </w:r>
      <w:r>
        <w:rPr>
          <w:rFonts w:hint="eastAsia" w:ascii="微软雅黑" w:hAnsi="微软雅黑"/>
          <w:b/>
          <w:color w:val="auto"/>
          <w:szCs w:val="21"/>
          <w:highlight w:val="none"/>
          <w:lang w:eastAsia="zh-CN"/>
        </w:rPr>
        <w:t>）</w:t>
      </w:r>
    </w:p>
    <w:p w14:paraId="738918DD">
      <w:pPr>
        <w:widowControl/>
        <w:ind w:firstLine="420"/>
        <w:rPr>
          <w:rFonts w:ascii="微软雅黑" w:hAnsi="微软雅黑"/>
          <w:color w:val="auto"/>
          <w:szCs w:val="21"/>
          <w:highlight w:val="none"/>
        </w:rPr>
      </w:pPr>
      <w:r>
        <w:rPr>
          <w:rFonts w:hint="eastAsia" w:ascii="微软雅黑" w:hAnsi="微软雅黑"/>
          <w:color w:val="auto"/>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E8E9BB0">
      <w:pPr>
        <w:widowControl/>
        <w:ind w:firstLine="420"/>
        <w:rPr>
          <w:rFonts w:ascii="微软雅黑" w:hAnsi="微软雅黑"/>
          <w:color w:val="auto"/>
          <w:szCs w:val="21"/>
          <w:highlight w:val="none"/>
        </w:rPr>
      </w:pPr>
      <w:r>
        <w:rPr>
          <w:rFonts w:hint="eastAsia" w:ascii="微软雅黑" w:hAnsi="微软雅黑"/>
          <w:color w:val="auto"/>
          <w:szCs w:val="21"/>
          <w:highlight w:val="none"/>
        </w:rPr>
        <w:t xml:space="preserve">  本单位对上述声明的真实性负责。如有虚假，将依法承担相应责任。</w:t>
      </w:r>
    </w:p>
    <w:p w14:paraId="592A1E2F">
      <w:pPr>
        <w:widowControl/>
        <w:ind w:firstLine="420"/>
        <w:rPr>
          <w:rFonts w:ascii="微软雅黑" w:hAnsi="微软雅黑"/>
          <w:color w:val="auto"/>
          <w:szCs w:val="21"/>
          <w:highlight w:val="none"/>
        </w:rPr>
      </w:pPr>
      <w:r>
        <w:rPr>
          <w:rFonts w:hint="eastAsia" w:ascii="微软雅黑" w:hAnsi="微软雅黑"/>
          <w:color w:val="auto"/>
          <w:szCs w:val="21"/>
          <w:highlight w:val="none"/>
        </w:rPr>
        <w:t xml:space="preserve">          </w:t>
      </w:r>
      <w:r>
        <w:rPr>
          <w:rFonts w:hint="eastAsia" w:ascii="宋体" w:hAnsi="宋体"/>
          <w:color w:val="auto"/>
          <w:szCs w:val="21"/>
          <w:highlight w:val="none"/>
        </w:rPr>
        <w:t>供应商（CA签章）</w:t>
      </w:r>
      <w:r>
        <w:rPr>
          <w:rFonts w:ascii="宋体" w:hAnsi="宋体"/>
          <w:color w:val="auto"/>
          <w:szCs w:val="21"/>
          <w:highlight w:val="none"/>
        </w:rPr>
        <w:t>：</w:t>
      </w:r>
    </w:p>
    <w:p w14:paraId="01FF3ACF">
      <w:pPr>
        <w:widowControl/>
        <w:ind w:firstLine="420"/>
        <w:rPr>
          <w:rFonts w:ascii="微软雅黑" w:hAnsi="微软雅黑"/>
          <w:color w:val="auto"/>
          <w:szCs w:val="21"/>
          <w:highlight w:val="none"/>
        </w:rPr>
      </w:pPr>
      <w:r>
        <w:rPr>
          <w:rFonts w:hint="eastAsia" w:ascii="微软雅黑" w:hAnsi="微软雅黑"/>
          <w:color w:val="auto"/>
          <w:szCs w:val="21"/>
          <w:highlight w:val="none"/>
        </w:rPr>
        <w:t xml:space="preserve">                  日 期：</w:t>
      </w:r>
    </w:p>
    <w:p w14:paraId="51960AE3">
      <w:pPr>
        <w:ind w:firstLine="420"/>
        <w:rPr>
          <w:color w:val="auto"/>
          <w:highlight w:val="none"/>
        </w:rPr>
        <w:sectPr>
          <w:pgSz w:w="11905" w:h="16838"/>
          <w:pgMar w:top="1440" w:right="1803" w:bottom="1440" w:left="1803" w:header="851" w:footer="992" w:gutter="0"/>
          <w:cols w:space="0" w:num="1"/>
          <w:docGrid w:type="lines" w:linePitch="319" w:charSpace="0"/>
        </w:sectPr>
      </w:pPr>
    </w:p>
    <w:p w14:paraId="73EED13F">
      <w:pPr>
        <w:ind w:firstLine="420"/>
        <w:rPr>
          <w:color w:val="auto"/>
          <w:highlight w:val="none"/>
        </w:rPr>
      </w:pPr>
      <w:r>
        <w:rPr>
          <w:rFonts w:hint="eastAsia"/>
          <w:color w:val="auto"/>
          <w:highlight w:val="none"/>
        </w:rPr>
        <w:t>监狱企业证明文件</w:t>
      </w:r>
    </w:p>
    <w:p w14:paraId="32FF1857">
      <w:pPr>
        <w:spacing w:line="360" w:lineRule="auto"/>
        <w:jc w:val="center"/>
        <w:rPr>
          <w:rFonts w:hint="eastAsia" w:ascii="仿宋" w:hAnsi="仿宋" w:eastAsia="仿宋" w:cs="仿宋"/>
          <w:b/>
          <w:color w:val="auto"/>
          <w:sz w:val="32"/>
          <w:szCs w:val="32"/>
          <w:highlight w:val="none"/>
          <w:lang w:eastAsia="zh-CN"/>
        </w:rPr>
      </w:pPr>
      <w:r>
        <w:rPr>
          <w:rFonts w:hint="eastAsia" w:ascii="微软雅黑" w:hAnsi="微软雅黑"/>
          <w:b/>
          <w:color w:val="auto"/>
          <w:szCs w:val="21"/>
          <w:highlight w:val="none"/>
        </w:rPr>
        <w:t>监狱企业证明文件</w:t>
      </w:r>
      <w:r>
        <w:rPr>
          <w:rFonts w:hint="eastAsia" w:ascii="微软雅黑" w:hAnsi="微软雅黑"/>
          <w:b/>
          <w:color w:val="auto"/>
          <w:szCs w:val="21"/>
          <w:highlight w:val="none"/>
          <w:lang w:eastAsia="zh-CN"/>
        </w:rPr>
        <w:t>（</w:t>
      </w:r>
      <w:r>
        <w:rPr>
          <w:rFonts w:hint="eastAsia" w:ascii="微软雅黑" w:hAnsi="微软雅黑"/>
          <w:b/>
          <w:color w:val="auto"/>
          <w:szCs w:val="21"/>
          <w:highlight w:val="none"/>
          <w:lang w:val="en-US" w:eastAsia="zh-CN"/>
        </w:rPr>
        <w:t>如有</w:t>
      </w:r>
      <w:r>
        <w:rPr>
          <w:rFonts w:hint="eastAsia" w:ascii="微软雅黑" w:hAnsi="微软雅黑"/>
          <w:b/>
          <w:color w:val="auto"/>
          <w:szCs w:val="21"/>
          <w:highlight w:val="none"/>
          <w:lang w:eastAsia="zh-CN"/>
        </w:rPr>
        <w:t>）</w:t>
      </w:r>
    </w:p>
    <w:tbl>
      <w:tblPr>
        <w:tblStyle w:val="53"/>
        <w:tblW w:w="7533"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7533"/>
      </w:tblGrid>
      <w:tr w14:paraId="782870FC">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6516" w:hRule="atLeast"/>
        </w:trPr>
        <w:tc>
          <w:tcPr>
            <w:tcW w:w="7533" w:type="dxa"/>
            <w:vAlign w:val="center"/>
          </w:tcPr>
          <w:p w14:paraId="1330A61C">
            <w:pPr>
              <w:ind w:firstLine="420"/>
              <w:jc w:val="center"/>
              <w:rPr>
                <w:rFonts w:ascii="微软雅黑" w:hAnsi="微软雅黑"/>
                <w:b/>
                <w:color w:val="auto"/>
                <w:szCs w:val="21"/>
                <w:highlight w:val="none"/>
              </w:rPr>
            </w:pPr>
            <w:r>
              <w:rPr>
                <w:rFonts w:hint="eastAsia" w:ascii="微软雅黑" w:hAnsi="微软雅黑"/>
                <w:b/>
                <w:color w:val="auto"/>
                <w:szCs w:val="21"/>
                <w:highlight w:val="none"/>
              </w:rPr>
              <w:t>相关部门出具的监狱企业证明文件</w:t>
            </w:r>
          </w:p>
          <w:p w14:paraId="23B732FD">
            <w:pPr>
              <w:ind w:firstLine="420"/>
              <w:jc w:val="center"/>
              <w:rPr>
                <w:rFonts w:ascii="微软雅黑" w:hAnsi="微软雅黑" w:cs="Arial"/>
                <w:b/>
                <w:i/>
                <w:color w:val="auto"/>
                <w:kern w:val="0"/>
                <w:szCs w:val="21"/>
                <w:highlight w:val="none"/>
              </w:rPr>
            </w:pPr>
            <w:r>
              <w:rPr>
                <w:rFonts w:hint="eastAsia" w:ascii="微软雅黑" w:hAnsi="微软雅黑"/>
                <w:color w:val="auto"/>
                <w:szCs w:val="21"/>
                <w:highlight w:val="none"/>
              </w:rPr>
              <w:t>（如是，提供</w:t>
            </w:r>
            <w:r>
              <w:rPr>
                <w:rFonts w:hint="eastAsia" w:ascii="微软雅黑" w:hAnsi="微软雅黑" w:cs="Arial"/>
                <w:color w:val="auto"/>
                <w:kern w:val="0"/>
                <w:szCs w:val="21"/>
                <w:highlight w:val="none"/>
              </w:rPr>
              <w:t>复印件加盖</w:t>
            </w:r>
            <w:r>
              <w:rPr>
                <w:rFonts w:hint="eastAsia" w:ascii="微软雅黑" w:hAnsi="微软雅黑" w:cs="Arial"/>
                <w:color w:val="auto"/>
                <w:kern w:val="0"/>
                <w:szCs w:val="21"/>
                <w:highlight w:val="none"/>
                <w:lang w:eastAsia="zh-CN"/>
              </w:rPr>
              <w:t>投标人</w:t>
            </w:r>
            <w:r>
              <w:rPr>
                <w:rFonts w:hint="eastAsia" w:ascii="微软雅黑" w:hAnsi="微软雅黑" w:cs="Arial"/>
                <w:color w:val="auto"/>
                <w:kern w:val="0"/>
                <w:szCs w:val="21"/>
                <w:highlight w:val="none"/>
              </w:rPr>
              <w:t>公章）</w:t>
            </w:r>
          </w:p>
        </w:tc>
      </w:tr>
    </w:tbl>
    <w:p w14:paraId="46265CC9">
      <w:pPr>
        <w:ind w:firstLine="420"/>
        <w:rPr>
          <w:rFonts w:ascii="微软雅黑" w:hAnsi="微软雅黑" w:cs="Arial"/>
          <w:i/>
          <w:color w:val="auto"/>
          <w:szCs w:val="21"/>
          <w:highlight w:val="none"/>
        </w:rPr>
      </w:pPr>
    </w:p>
    <w:p w14:paraId="6D7227CC">
      <w:pPr>
        <w:snapToGrid w:val="0"/>
        <w:rPr>
          <w:rFonts w:ascii="微软雅黑" w:hAnsi="微软雅黑"/>
          <w:color w:val="auto"/>
          <w:szCs w:val="21"/>
          <w:highlight w:val="none"/>
          <w:u w:val="single"/>
        </w:rPr>
      </w:pPr>
      <w:r>
        <w:rPr>
          <w:rFonts w:hint="eastAsia" w:ascii="宋体" w:hAnsi="宋体"/>
          <w:color w:val="auto"/>
          <w:szCs w:val="21"/>
          <w:highlight w:val="none"/>
        </w:rPr>
        <w:t>供应商（CA签章）</w:t>
      </w:r>
      <w:r>
        <w:rPr>
          <w:rFonts w:hint="eastAsia" w:ascii="微软雅黑" w:hAnsi="微软雅黑"/>
          <w:color w:val="auto"/>
          <w:szCs w:val="21"/>
          <w:highlight w:val="none"/>
          <w:shd w:val="clear" w:color="auto" w:fill="FFFFFF"/>
        </w:rPr>
        <w:t>：</w:t>
      </w:r>
      <w:r>
        <w:rPr>
          <w:rFonts w:hint="eastAsia" w:ascii="微软雅黑" w:hAnsi="微软雅黑"/>
          <w:color w:val="auto"/>
          <w:szCs w:val="21"/>
          <w:highlight w:val="none"/>
        </w:rPr>
        <w:br w:type="textWrapping"/>
      </w:r>
      <w:r>
        <w:rPr>
          <w:rFonts w:hint="eastAsia" w:ascii="微软雅黑" w:hAnsi="微软雅黑"/>
          <w:color w:val="auto"/>
          <w:szCs w:val="21"/>
          <w:highlight w:val="none"/>
          <w:shd w:val="clear" w:color="auto" w:fill="FFFFFF"/>
        </w:rPr>
        <w:t>投标日期： 年 月 日</w:t>
      </w:r>
    </w:p>
    <w:p w14:paraId="287E6FE8">
      <w:pPr>
        <w:pStyle w:val="101"/>
        <w:rPr>
          <w:color w:val="auto"/>
          <w:highlight w:val="none"/>
        </w:rPr>
      </w:pPr>
    </w:p>
    <w:p w14:paraId="4842BDF6">
      <w:pPr>
        <w:snapToGrid w:val="0"/>
        <w:spacing w:line="360" w:lineRule="auto"/>
        <w:ind w:right="42" w:rightChars="20" w:firstLine="420" w:firstLineChars="200"/>
        <w:jc w:val="left"/>
        <w:rPr>
          <w:rFonts w:hint="eastAsia" w:asciiTheme="minorEastAsia" w:hAnsiTheme="minorEastAsia" w:eastAsiaTheme="minorEastAsia"/>
          <w:color w:val="auto"/>
          <w:szCs w:val="21"/>
          <w:highlight w:val="none"/>
        </w:rPr>
      </w:pPr>
    </w:p>
    <w:p w14:paraId="332193BC">
      <w:pPr>
        <w:snapToGrid w:val="0"/>
        <w:spacing w:line="360" w:lineRule="auto"/>
        <w:ind w:right="42" w:rightChars="20" w:firstLine="420" w:firstLineChars="200"/>
        <w:jc w:val="left"/>
        <w:rPr>
          <w:rFonts w:hint="eastAsia" w:asciiTheme="minorEastAsia" w:hAnsiTheme="minorEastAsia" w:eastAsiaTheme="minorEastAsia"/>
          <w:color w:val="auto"/>
          <w:szCs w:val="21"/>
          <w:highlight w:val="none"/>
        </w:rPr>
      </w:pPr>
    </w:p>
    <w:p w14:paraId="6CAD9CEF">
      <w:pPr>
        <w:snapToGrid w:val="0"/>
        <w:spacing w:line="360" w:lineRule="auto"/>
        <w:ind w:right="42" w:rightChars="20" w:firstLine="420" w:firstLineChars="200"/>
        <w:jc w:val="left"/>
        <w:rPr>
          <w:rFonts w:hint="eastAsia" w:asciiTheme="minorEastAsia" w:hAnsiTheme="minorEastAsia" w:eastAsiaTheme="minorEastAsia"/>
          <w:color w:val="auto"/>
          <w:szCs w:val="21"/>
          <w:highlight w:val="none"/>
        </w:rPr>
      </w:pPr>
    </w:p>
    <w:p w14:paraId="7B78D28A">
      <w:pPr>
        <w:snapToGrid w:val="0"/>
        <w:spacing w:line="360" w:lineRule="auto"/>
        <w:ind w:right="42" w:rightChars="20" w:firstLine="420" w:firstLineChars="200"/>
        <w:jc w:val="left"/>
        <w:rPr>
          <w:rFonts w:hint="eastAsia" w:asciiTheme="minorEastAsia" w:hAnsiTheme="minorEastAsia" w:eastAsiaTheme="minorEastAsia"/>
          <w:color w:val="auto"/>
          <w:szCs w:val="21"/>
          <w:highlight w:val="none"/>
        </w:rPr>
      </w:pPr>
    </w:p>
    <w:p w14:paraId="2CC73398">
      <w:pPr>
        <w:snapToGrid w:val="0"/>
        <w:spacing w:line="360" w:lineRule="auto"/>
        <w:ind w:right="42" w:rightChars="20" w:firstLine="420" w:firstLineChars="200"/>
        <w:jc w:val="left"/>
        <w:rPr>
          <w:rFonts w:hint="eastAsia" w:asciiTheme="minorEastAsia" w:hAnsiTheme="minorEastAsia" w:eastAsiaTheme="minorEastAsia"/>
          <w:color w:val="auto"/>
          <w:szCs w:val="21"/>
          <w:highlight w:val="none"/>
        </w:rPr>
      </w:pPr>
    </w:p>
    <w:p w14:paraId="2F84017A">
      <w:pPr>
        <w:snapToGrid w:val="0"/>
        <w:spacing w:line="360" w:lineRule="auto"/>
        <w:ind w:right="42" w:rightChars="20" w:firstLine="420" w:firstLineChars="200"/>
        <w:jc w:val="left"/>
        <w:rPr>
          <w:rFonts w:hint="eastAsia" w:asciiTheme="minorEastAsia" w:hAnsiTheme="minorEastAsia" w:eastAsiaTheme="minorEastAsia"/>
          <w:color w:val="auto"/>
          <w:szCs w:val="21"/>
          <w:highlight w:val="none"/>
        </w:rPr>
      </w:pPr>
    </w:p>
    <w:p w14:paraId="2589E324">
      <w:pPr>
        <w:snapToGrid w:val="0"/>
        <w:spacing w:line="360" w:lineRule="auto"/>
        <w:ind w:right="42" w:rightChars="20" w:firstLine="420" w:firstLineChars="200"/>
        <w:jc w:val="left"/>
        <w:rPr>
          <w:rFonts w:hint="eastAsia" w:asciiTheme="minorEastAsia" w:hAnsiTheme="minorEastAsia" w:eastAsiaTheme="minorEastAsia"/>
          <w:color w:val="auto"/>
          <w:szCs w:val="21"/>
          <w:highlight w:val="none"/>
        </w:rPr>
      </w:pPr>
    </w:p>
    <w:p w14:paraId="110A43C1">
      <w:pPr>
        <w:snapToGrid w:val="0"/>
        <w:spacing w:line="360" w:lineRule="auto"/>
        <w:ind w:right="42" w:rightChars="20" w:firstLine="420" w:firstLineChars="200"/>
        <w:jc w:val="left"/>
        <w:rPr>
          <w:rFonts w:hint="eastAsia" w:asciiTheme="minorEastAsia" w:hAnsiTheme="minorEastAsia" w:eastAsiaTheme="minorEastAsia"/>
          <w:color w:val="auto"/>
          <w:szCs w:val="21"/>
          <w:highlight w:val="none"/>
        </w:rPr>
      </w:pPr>
    </w:p>
    <w:p w14:paraId="23FB2822">
      <w:pPr>
        <w:snapToGrid w:val="0"/>
        <w:spacing w:line="360" w:lineRule="auto"/>
        <w:ind w:right="42" w:rightChars="20" w:firstLine="420" w:firstLineChars="200"/>
        <w:jc w:val="left"/>
        <w:rPr>
          <w:rFonts w:hint="eastAsia" w:asciiTheme="minorEastAsia" w:hAnsiTheme="minorEastAsia" w:eastAsiaTheme="minorEastAsia"/>
          <w:color w:val="auto"/>
          <w:szCs w:val="21"/>
          <w:highlight w:val="none"/>
        </w:rPr>
      </w:pPr>
    </w:p>
    <w:p w14:paraId="0D8FB5E4">
      <w:pPr>
        <w:snapToGrid w:val="0"/>
        <w:spacing w:line="360" w:lineRule="auto"/>
        <w:ind w:right="42" w:rightChars="20" w:firstLine="420" w:firstLineChars="200"/>
        <w:jc w:val="left"/>
        <w:rPr>
          <w:rFonts w:hint="eastAsia" w:asciiTheme="minorEastAsia" w:hAnsiTheme="minorEastAsia" w:eastAsiaTheme="minorEastAsia"/>
          <w:color w:val="auto"/>
          <w:szCs w:val="21"/>
          <w:highlight w:val="none"/>
        </w:rPr>
      </w:pPr>
    </w:p>
    <w:p w14:paraId="3D5C52B5">
      <w:pPr>
        <w:snapToGrid w:val="0"/>
        <w:spacing w:line="360" w:lineRule="auto"/>
        <w:ind w:right="42" w:rightChars="20" w:firstLine="420" w:firstLineChars="200"/>
        <w:jc w:val="left"/>
        <w:rPr>
          <w:rFonts w:hint="eastAsia" w:asciiTheme="minorEastAsia" w:hAnsiTheme="minorEastAsia" w:eastAsiaTheme="minorEastAsia"/>
          <w:color w:val="auto"/>
          <w:szCs w:val="21"/>
          <w:highlight w:val="none"/>
        </w:rPr>
      </w:pPr>
    </w:p>
    <w:p w14:paraId="269E3E64">
      <w:pPr>
        <w:snapToGrid w:val="0"/>
        <w:spacing w:line="360" w:lineRule="auto"/>
        <w:ind w:right="42" w:rightChars="20" w:firstLine="420" w:firstLineChars="200"/>
        <w:jc w:val="left"/>
        <w:rPr>
          <w:rFonts w:hint="eastAsia" w:asciiTheme="minorEastAsia" w:hAnsiTheme="minorEastAsia" w:eastAsiaTheme="minorEastAsia"/>
          <w:color w:val="auto"/>
          <w:szCs w:val="21"/>
          <w:highlight w:val="none"/>
        </w:rPr>
      </w:pPr>
    </w:p>
    <w:p w14:paraId="37718966">
      <w:pPr>
        <w:snapToGrid w:val="0"/>
        <w:spacing w:line="360" w:lineRule="auto"/>
        <w:ind w:right="42" w:rightChars="20"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投标声明书格式：</w:t>
      </w:r>
    </w:p>
    <w:p w14:paraId="042596DE">
      <w:pPr>
        <w:snapToGrid w:val="0"/>
        <w:spacing w:line="360" w:lineRule="auto"/>
        <w:ind w:right="42" w:rightChars="20" w:firstLine="422" w:firstLineChars="200"/>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投标声明书</w:t>
      </w:r>
    </w:p>
    <w:p w14:paraId="6C66344A">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致：</w:t>
      </w:r>
      <w:r>
        <w:rPr>
          <w:rFonts w:hint="eastAsia" w:cs="Arial" w:asciiTheme="minorEastAsia" w:hAnsiTheme="minorEastAsia" w:eastAsiaTheme="minorEastAsia"/>
          <w:color w:val="auto"/>
          <w:kern w:val="0"/>
          <w:szCs w:val="21"/>
          <w:highlight w:val="none"/>
          <w:u w:val="single"/>
          <w:lang w:eastAsia="zh-CN"/>
        </w:rPr>
        <w:t>嘉兴市秀洲区农业农村和水利局</w:t>
      </w:r>
      <w:r>
        <w:rPr>
          <w:rFonts w:hint="eastAsia" w:cs="Arial" w:asciiTheme="minorEastAsia" w:hAnsiTheme="minorEastAsia" w:eastAsiaTheme="minorEastAsia"/>
          <w:color w:val="auto"/>
          <w:kern w:val="0"/>
          <w:szCs w:val="21"/>
          <w:highlight w:val="none"/>
          <w:u w:val="single"/>
        </w:rPr>
        <w:t xml:space="preserve">  </w:t>
      </w:r>
      <w:r>
        <w:rPr>
          <w:rFonts w:hint="eastAsia" w:asciiTheme="minorEastAsia" w:hAnsiTheme="minorEastAsia" w:eastAsiaTheme="minorEastAsia"/>
          <w:color w:val="auto"/>
          <w:szCs w:val="21"/>
          <w:highlight w:val="none"/>
        </w:rPr>
        <w:t>（招标采购单位名称）：</w:t>
      </w:r>
    </w:p>
    <w:p w14:paraId="78EAE71F">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u w:val="single"/>
        </w:rPr>
        <w:t>（投标人名称）</w:t>
      </w:r>
      <w:r>
        <w:rPr>
          <w:rFonts w:hint="eastAsia" w:asciiTheme="minorEastAsia" w:hAnsiTheme="minorEastAsia" w:eastAsiaTheme="minorEastAsia"/>
          <w:color w:val="auto"/>
          <w:szCs w:val="21"/>
          <w:highlight w:val="none"/>
        </w:rPr>
        <w:t>系中华人民共和国合法企业，经营地址</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p>
    <w:p w14:paraId="083BD0DE">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我</w:t>
      </w:r>
      <w:r>
        <w:rPr>
          <w:rFonts w:hint="eastAsia" w:asciiTheme="minorEastAsia" w:hAnsiTheme="minorEastAsia" w:eastAsiaTheme="minorEastAsia"/>
          <w:color w:val="auto"/>
          <w:szCs w:val="21"/>
          <w:highlight w:val="none"/>
          <w:u w:val="single"/>
        </w:rPr>
        <w:t>（姓名）</w:t>
      </w:r>
      <w:r>
        <w:rPr>
          <w:rFonts w:hint="eastAsia" w:asciiTheme="minorEastAsia" w:hAnsiTheme="minorEastAsia" w:eastAsiaTheme="minorEastAsia"/>
          <w:color w:val="auto"/>
          <w:szCs w:val="21"/>
          <w:highlight w:val="none"/>
        </w:rPr>
        <w:t>系</w:t>
      </w:r>
      <w:r>
        <w:rPr>
          <w:rFonts w:hint="eastAsia" w:asciiTheme="minorEastAsia" w:hAnsiTheme="minorEastAsia" w:eastAsiaTheme="minorEastAsia"/>
          <w:color w:val="auto"/>
          <w:szCs w:val="21"/>
          <w:highlight w:val="none"/>
          <w:u w:val="single"/>
        </w:rPr>
        <w:t>（投标人名称）</w:t>
      </w:r>
      <w:r>
        <w:rPr>
          <w:rFonts w:hint="eastAsia" w:asciiTheme="minorEastAsia" w:hAnsiTheme="minorEastAsia" w:eastAsiaTheme="minorEastAsia"/>
          <w:color w:val="auto"/>
          <w:szCs w:val="21"/>
          <w:highlight w:val="none"/>
        </w:rPr>
        <w:t>的法定代表人，我方愿意参加贵方组织的项目的投标，为便于贵方公正、择优地确定中标人及其投标产品和服务，我方就本次投标有关事项郑重声明如下：</w:t>
      </w:r>
    </w:p>
    <w:p w14:paraId="5BED2154">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我方向贵方提交的所有投标文件、资料都是准确的和真实的</w:t>
      </w:r>
      <w:r>
        <w:rPr>
          <w:rFonts w:hint="eastAsia" w:asciiTheme="minorEastAsia" w:hAnsiTheme="minorEastAsia" w:eastAsiaTheme="minorEastAsia"/>
          <w:color w:val="auto"/>
          <w:szCs w:val="21"/>
          <w:highlight w:val="none"/>
        </w:rPr>
        <w:t>。</w:t>
      </w:r>
    </w:p>
    <w:p w14:paraId="64EECFC8">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我方不是采购人的附属机构；在获知本项目采购信息后，与采购人聘请的为此项目提供咨询服务的公司及其附属机构没有任何联系。</w:t>
      </w:r>
    </w:p>
    <w:p w14:paraId="37C33206">
      <w:pPr>
        <w:snapToGrid w:val="0"/>
        <w:spacing w:line="360" w:lineRule="auto"/>
        <w:ind w:right="42" w:rightChars="20" w:firstLine="48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pacing w:val="15"/>
          <w:kern w:val="0"/>
          <w:szCs w:val="21"/>
          <w:highlight w:val="none"/>
        </w:rPr>
        <w:t>3</w:t>
      </w:r>
      <w:r>
        <w:rPr>
          <w:rFonts w:hint="eastAsia" w:asciiTheme="minorEastAsia" w:hAnsiTheme="minorEastAsia" w:eastAsiaTheme="minorEastAsia"/>
          <w:color w:val="auto"/>
          <w:spacing w:val="15"/>
          <w:kern w:val="0"/>
          <w:szCs w:val="21"/>
          <w:highlight w:val="none"/>
        </w:rPr>
        <w:t>、</w:t>
      </w:r>
      <w:r>
        <w:rPr>
          <w:rFonts w:asciiTheme="minorEastAsia" w:hAnsiTheme="minorEastAsia" w:eastAsiaTheme="minorEastAsia"/>
          <w:color w:val="auto"/>
          <w:spacing w:val="15"/>
          <w:kern w:val="0"/>
          <w:szCs w:val="21"/>
          <w:highlight w:val="none"/>
        </w:rPr>
        <w:t>我方此次向贵方提供的</w:t>
      </w:r>
      <w:r>
        <w:rPr>
          <w:rFonts w:hint="eastAsia" w:asciiTheme="minorEastAsia" w:hAnsiTheme="minorEastAsia" w:eastAsiaTheme="minorEastAsia"/>
          <w:color w:val="auto"/>
          <w:spacing w:val="15"/>
          <w:kern w:val="0"/>
          <w:szCs w:val="21"/>
          <w:highlight w:val="none"/>
        </w:rPr>
        <w:t>服务内容为</w:t>
      </w:r>
      <w:r>
        <w:rPr>
          <w:rFonts w:hint="eastAsia" w:asciiTheme="minorEastAsia" w:hAnsiTheme="minorEastAsia" w:eastAsiaTheme="minorEastAsia"/>
          <w:color w:val="auto"/>
          <w:szCs w:val="21"/>
          <w:highlight w:val="none"/>
        </w:rPr>
        <w:t>。</w:t>
      </w:r>
    </w:p>
    <w:p w14:paraId="2B7DF4AC">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我方诚意提请贵方关注：</w:t>
      </w:r>
      <w:r>
        <w:rPr>
          <w:rFonts w:hint="eastAsia" w:asciiTheme="minorEastAsia" w:hAnsiTheme="minorEastAsia" w:eastAsiaTheme="minorEastAsia"/>
          <w:color w:val="auto"/>
          <w:szCs w:val="21"/>
          <w:highlight w:val="none"/>
        </w:rPr>
        <w:t>近期</w:t>
      </w:r>
      <w:r>
        <w:rPr>
          <w:rFonts w:asciiTheme="minorEastAsia" w:hAnsiTheme="minorEastAsia" w:eastAsiaTheme="minorEastAsia"/>
          <w:color w:val="auto"/>
          <w:szCs w:val="21"/>
          <w:highlight w:val="none"/>
        </w:rPr>
        <w:t>有关</w:t>
      </w:r>
      <w:r>
        <w:rPr>
          <w:rFonts w:hint="eastAsia" w:asciiTheme="minorEastAsia" w:hAnsiTheme="minorEastAsia" w:eastAsiaTheme="minorEastAsia"/>
          <w:color w:val="auto"/>
          <w:szCs w:val="21"/>
          <w:highlight w:val="none"/>
        </w:rPr>
        <w:t>项目的售后服务等方面的重大决策和事项有：</w:t>
      </w:r>
    </w:p>
    <w:p w14:paraId="204C7340">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u w:val="single"/>
        </w:rPr>
        <w:t>　　　　　　　　　　　　　　　　　　　　　　　　　　</w:t>
      </w:r>
    </w:p>
    <w:p w14:paraId="72FF1EE2">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、我方及由本人担任法定代表人的其他机构</w:t>
      </w:r>
      <w:r>
        <w:rPr>
          <w:rFonts w:asciiTheme="minorEastAsia" w:hAnsiTheme="minorEastAsia" w:eastAsiaTheme="minorEastAsia"/>
          <w:color w:val="auto"/>
          <w:szCs w:val="21"/>
          <w:highlight w:val="none"/>
        </w:rPr>
        <w:t>最近三年内被</w:t>
      </w:r>
      <w:r>
        <w:rPr>
          <w:rFonts w:hint="eastAsia" w:asciiTheme="minorEastAsia" w:hAnsiTheme="minorEastAsia" w:eastAsiaTheme="minorEastAsia"/>
          <w:color w:val="auto"/>
          <w:szCs w:val="21"/>
          <w:highlight w:val="none"/>
        </w:rPr>
        <w:t>通报或者被处罚的</w:t>
      </w:r>
      <w:r>
        <w:rPr>
          <w:rFonts w:asciiTheme="minorEastAsia" w:hAnsiTheme="minorEastAsia" w:eastAsiaTheme="minorEastAsia"/>
          <w:color w:val="auto"/>
          <w:szCs w:val="21"/>
          <w:highlight w:val="none"/>
        </w:rPr>
        <w:t>违法行为有：</w:t>
      </w:r>
    </w:p>
    <w:p w14:paraId="2071F456">
      <w:pPr>
        <w:snapToGrid w:val="0"/>
        <w:spacing w:line="360" w:lineRule="auto"/>
        <w:ind w:right="42" w:rightChars="20" w:firstLine="420" w:firstLineChars="200"/>
        <w:jc w:val="left"/>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u w:val="single"/>
        </w:rPr>
        <w:t>　　　　　　　　　　　　　　　　　　　　　　　　　　　</w:t>
      </w:r>
    </w:p>
    <w:p w14:paraId="40191609">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6、以上事项如有虚假或隐瞒，我方愿意承担一切后果，并不再寻求任何旨在减轻或免除法律责任的辩解。</w:t>
      </w:r>
    </w:p>
    <w:p w14:paraId="7A977450">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14:paraId="0C66A320">
      <w:pPr>
        <w:pStyle w:val="168"/>
        <w:snapToGrid w:val="0"/>
        <w:spacing w:line="360" w:lineRule="auto"/>
        <w:ind w:right="42" w:rightChars="2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法定代表人或其授权代表签字（或盖章）</w:t>
      </w:r>
      <w:r>
        <w:rPr>
          <w:rFonts w:asciiTheme="minorEastAsia" w:hAnsiTheme="minorEastAsia" w:eastAsiaTheme="minorEastAsia"/>
          <w:color w:val="auto"/>
          <w:sz w:val="21"/>
          <w:szCs w:val="21"/>
          <w:highlight w:val="none"/>
        </w:rPr>
        <w:t>：</w:t>
      </w:r>
    </w:p>
    <w:p w14:paraId="62F5357C">
      <w:pPr>
        <w:snapToGrid w:val="0"/>
        <w:spacing w:line="360" w:lineRule="auto"/>
        <w:ind w:right="42" w:rightChars="20" w:firstLine="420" w:firstLineChars="200"/>
        <w:jc w:val="left"/>
        <w:rPr>
          <w:rFonts w:asciiTheme="minorEastAsia" w:hAnsiTheme="minorEastAsia" w:eastAsiaTheme="minorEastAsia"/>
          <w:color w:val="auto"/>
          <w:szCs w:val="21"/>
          <w:highlight w:val="none"/>
          <w:u w:val="single"/>
        </w:rPr>
      </w:pPr>
    </w:p>
    <w:p w14:paraId="0269E9D0">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shd w:val="clear" w:color="auto" w:fill="FFFFFF"/>
        </w:rPr>
        <w:t>投标人名称：（CA签章）</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 xml:space="preserve">                      年    月    日</w:t>
      </w:r>
    </w:p>
    <w:p w14:paraId="2B284537">
      <w:pPr>
        <w:snapToGrid w:val="0"/>
        <w:spacing w:line="360" w:lineRule="auto"/>
        <w:ind w:right="42" w:rightChars="20" w:firstLine="422"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br w:type="page"/>
      </w:r>
    </w:p>
    <w:p w14:paraId="390F5131">
      <w:pPr>
        <w:snapToGrid w:val="0"/>
        <w:spacing w:line="360" w:lineRule="auto"/>
        <w:ind w:right="42" w:rightChars="20" w:firstLine="420" w:firstLineChars="200"/>
        <w:jc w:val="left"/>
        <w:rPr>
          <w:rFonts w:hint="eastAsia" w:asciiTheme="minorEastAsia" w:hAnsiTheme="minorEastAsia" w:eastAsiaTheme="minorEastAsia"/>
          <w:color w:val="auto"/>
          <w:szCs w:val="21"/>
          <w:highlight w:val="none"/>
        </w:rPr>
      </w:pPr>
    </w:p>
    <w:p w14:paraId="7ABEEB3A">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投标人的类似成功案例的业绩证明文件：</w:t>
      </w:r>
    </w:p>
    <w:p w14:paraId="2FAB9D94">
      <w:pPr>
        <w:pStyle w:val="38"/>
        <w:snapToGrid w:val="0"/>
        <w:spacing w:line="360" w:lineRule="auto"/>
        <w:ind w:left="0"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投标人同类项目实施情况一览表格式：（投标人同类项目合同复印件）</w:t>
      </w:r>
    </w:p>
    <w:tbl>
      <w:tblPr>
        <w:tblStyle w:val="53"/>
        <w:tblpPr w:leftFromText="180" w:rightFromText="180" w:vertAnchor="text" w:horzAnchor="page" w:tblpX="1937" w:tblpY="958"/>
        <w:tblOverlap w:val="never"/>
        <w:tblW w:w="84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86"/>
        <w:gridCol w:w="1296"/>
        <w:gridCol w:w="941"/>
        <w:gridCol w:w="968"/>
        <w:gridCol w:w="1173"/>
        <w:gridCol w:w="1268"/>
        <w:gridCol w:w="1323"/>
      </w:tblGrid>
      <w:tr w14:paraId="5C4DD6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71" w:hRule="atLeast"/>
        </w:trPr>
        <w:tc>
          <w:tcPr>
            <w:tcW w:w="1486" w:type="dxa"/>
            <w:tcBorders>
              <w:top w:val="single" w:color="auto" w:sz="4" w:space="0"/>
              <w:left w:val="single" w:color="auto" w:sz="4" w:space="0"/>
              <w:bottom w:val="single" w:color="auto" w:sz="4" w:space="0"/>
              <w:right w:val="single" w:color="auto" w:sz="4" w:space="0"/>
            </w:tcBorders>
            <w:vAlign w:val="center"/>
          </w:tcPr>
          <w:p w14:paraId="4360A6D9">
            <w:pPr>
              <w:snapToGrid w:val="0"/>
              <w:spacing w:line="360" w:lineRule="auto"/>
              <w:ind w:right="42" w:rightChars="2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采购单位名称</w:t>
            </w:r>
          </w:p>
        </w:tc>
        <w:tc>
          <w:tcPr>
            <w:tcW w:w="1296" w:type="dxa"/>
            <w:tcBorders>
              <w:top w:val="single" w:color="auto" w:sz="4" w:space="0"/>
              <w:left w:val="single" w:color="auto" w:sz="4" w:space="0"/>
              <w:bottom w:val="single" w:color="auto" w:sz="4" w:space="0"/>
              <w:right w:val="single" w:color="auto" w:sz="4" w:space="0"/>
            </w:tcBorders>
            <w:vAlign w:val="center"/>
          </w:tcPr>
          <w:p w14:paraId="103285E1">
            <w:pPr>
              <w:snapToGrid w:val="0"/>
              <w:spacing w:line="360" w:lineRule="auto"/>
              <w:ind w:right="42" w:rightChars="2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设备或项目名称</w:t>
            </w:r>
          </w:p>
        </w:tc>
        <w:tc>
          <w:tcPr>
            <w:tcW w:w="941" w:type="dxa"/>
            <w:tcBorders>
              <w:top w:val="single" w:color="auto" w:sz="4" w:space="0"/>
              <w:left w:val="single" w:color="auto" w:sz="4" w:space="0"/>
              <w:bottom w:val="single" w:color="auto" w:sz="4" w:space="0"/>
              <w:right w:val="single" w:color="auto" w:sz="4" w:space="0"/>
            </w:tcBorders>
            <w:vAlign w:val="center"/>
          </w:tcPr>
          <w:p w14:paraId="5D2A27F0">
            <w:pPr>
              <w:snapToGrid w:val="0"/>
              <w:spacing w:line="360" w:lineRule="auto"/>
              <w:ind w:right="42" w:rightChars="2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w:t>
            </w:r>
          </w:p>
          <w:p w14:paraId="19D52C6C">
            <w:pPr>
              <w:snapToGrid w:val="0"/>
              <w:spacing w:line="360" w:lineRule="auto"/>
              <w:ind w:right="42" w:rightChars="2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数量</w:t>
            </w:r>
          </w:p>
        </w:tc>
        <w:tc>
          <w:tcPr>
            <w:tcW w:w="968" w:type="dxa"/>
            <w:tcBorders>
              <w:top w:val="single" w:color="auto" w:sz="4" w:space="0"/>
              <w:left w:val="single" w:color="auto" w:sz="4" w:space="0"/>
              <w:bottom w:val="single" w:color="auto" w:sz="4" w:space="0"/>
              <w:right w:val="single" w:color="auto" w:sz="4" w:space="0"/>
            </w:tcBorders>
            <w:vAlign w:val="center"/>
          </w:tcPr>
          <w:p w14:paraId="55C3DA6C">
            <w:pPr>
              <w:snapToGrid w:val="0"/>
              <w:spacing w:line="360" w:lineRule="auto"/>
              <w:ind w:right="42" w:rightChars="2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单价</w:t>
            </w:r>
          </w:p>
        </w:tc>
        <w:tc>
          <w:tcPr>
            <w:tcW w:w="1173" w:type="dxa"/>
            <w:tcBorders>
              <w:top w:val="single" w:color="auto" w:sz="4" w:space="0"/>
              <w:left w:val="single" w:color="auto" w:sz="4" w:space="0"/>
              <w:bottom w:val="single" w:color="auto" w:sz="4" w:space="0"/>
              <w:right w:val="single" w:color="auto" w:sz="4" w:space="0"/>
            </w:tcBorders>
            <w:vAlign w:val="center"/>
          </w:tcPr>
          <w:p w14:paraId="25E22027">
            <w:pPr>
              <w:snapToGrid w:val="0"/>
              <w:spacing w:line="360" w:lineRule="auto"/>
              <w:ind w:right="42" w:rightChars="2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合同金额</w:t>
            </w:r>
          </w:p>
          <w:p w14:paraId="103CFF54">
            <w:pPr>
              <w:snapToGrid w:val="0"/>
              <w:spacing w:line="360" w:lineRule="auto"/>
              <w:ind w:right="42" w:rightChars="2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（万元）</w:t>
            </w:r>
          </w:p>
        </w:tc>
        <w:tc>
          <w:tcPr>
            <w:tcW w:w="1268" w:type="dxa"/>
            <w:tcBorders>
              <w:top w:val="single" w:color="auto" w:sz="4" w:space="0"/>
              <w:left w:val="single" w:color="auto" w:sz="4" w:space="0"/>
              <w:right w:val="single" w:color="auto" w:sz="4" w:space="0"/>
            </w:tcBorders>
            <w:vAlign w:val="center"/>
          </w:tcPr>
          <w:p w14:paraId="73F49263">
            <w:pPr>
              <w:snapToGrid w:val="0"/>
              <w:spacing w:line="360" w:lineRule="auto"/>
              <w:ind w:right="42" w:rightChars="2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附件页码</w:t>
            </w:r>
          </w:p>
          <w:p w14:paraId="660856A6">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44EA0122">
            <w:pPr>
              <w:snapToGrid w:val="0"/>
              <w:spacing w:line="360" w:lineRule="auto"/>
              <w:ind w:right="42" w:rightChars="2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采购单位联系人及</w:t>
            </w:r>
          </w:p>
          <w:p w14:paraId="33A9B95C">
            <w:pPr>
              <w:snapToGrid w:val="0"/>
              <w:spacing w:line="360" w:lineRule="auto"/>
              <w:ind w:right="42" w:rightChars="2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联系电话</w:t>
            </w:r>
          </w:p>
        </w:tc>
      </w:tr>
      <w:tr w14:paraId="6783E1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486" w:type="dxa"/>
            <w:tcBorders>
              <w:top w:val="single" w:color="auto" w:sz="4" w:space="0"/>
              <w:left w:val="single" w:color="auto" w:sz="4" w:space="0"/>
              <w:bottom w:val="single" w:color="auto" w:sz="4" w:space="0"/>
              <w:right w:val="single" w:color="auto" w:sz="4" w:space="0"/>
            </w:tcBorders>
          </w:tcPr>
          <w:p w14:paraId="4AE2C722">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42DE4408">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941" w:type="dxa"/>
            <w:tcBorders>
              <w:top w:val="single" w:color="auto" w:sz="4" w:space="0"/>
              <w:left w:val="single" w:color="auto" w:sz="4" w:space="0"/>
              <w:bottom w:val="single" w:color="auto" w:sz="4" w:space="0"/>
              <w:right w:val="single" w:color="auto" w:sz="4" w:space="0"/>
            </w:tcBorders>
          </w:tcPr>
          <w:p w14:paraId="6EC11BBA">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968" w:type="dxa"/>
            <w:tcBorders>
              <w:top w:val="single" w:color="auto" w:sz="4" w:space="0"/>
              <w:left w:val="single" w:color="auto" w:sz="4" w:space="0"/>
              <w:bottom w:val="single" w:color="auto" w:sz="4" w:space="0"/>
              <w:right w:val="single" w:color="auto" w:sz="4" w:space="0"/>
            </w:tcBorders>
          </w:tcPr>
          <w:p w14:paraId="2B6F4A6E">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173" w:type="dxa"/>
            <w:tcBorders>
              <w:top w:val="single" w:color="auto" w:sz="4" w:space="0"/>
              <w:left w:val="single" w:color="auto" w:sz="4" w:space="0"/>
              <w:bottom w:val="single" w:color="auto" w:sz="4" w:space="0"/>
              <w:right w:val="single" w:color="auto" w:sz="4" w:space="0"/>
            </w:tcBorders>
          </w:tcPr>
          <w:p w14:paraId="0E4F926B">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14:paraId="005FDFAD">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tcPr>
          <w:p w14:paraId="048B6FE4">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r>
      <w:tr w14:paraId="7EC96A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86" w:type="dxa"/>
            <w:tcBorders>
              <w:top w:val="single" w:color="auto" w:sz="4" w:space="0"/>
              <w:left w:val="single" w:color="auto" w:sz="4" w:space="0"/>
              <w:bottom w:val="single" w:color="auto" w:sz="4" w:space="0"/>
              <w:right w:val="single" w:color="auto" w:sz="4" w:space="0"/>
            </w:tcBorders>
          </w:tcPr>
          <w:p w14:paraId="533B5815">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55DF87DC">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941" w:type="dxa"/>
            <w:tcBorders>
              <w:top w:val="single" w:color="auto" w:sz="4" w:space="0"/>
              <w:left w:val="single" w:color="auto" w:sz="4" w:space="0"/>
              <w:bottom w:val="single" w:color="auto" w:sz="4" w:space="0"/>
              <w:right w:val="single" w:color="auto" w:sz="4" w:space="0"/>
            </w:tcBorders>
          </w:tcPr>
          <w:p w14:paraId="4F3165C4">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968" w:type="dxa"/>
            <w:tcBorders>
              <w:top w:val="single" w:color="auto" w:sz="4" w:space="0"/>
              <w:left w:val="single" w:color="auto" w:sz="4" w:space="0"/>
              <w:bottom w:val="single" w:color="auto" w:sz="4" w:space="0"/>
              <w:right w:val="single" w:color="auto" w:sz="4" w:space="0"/>
            </w:tcBorders>
          </w:tcPr>
          <w:p w14:paraId="3324246D">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173" w:type="dxa"/>
            <w:tcBorders>
              <w:top w:val="single" w:color="auto" w:sz="4" w:space="0"/>
              <w:left w:val="single" w:color="auto" w:sz="4" w:space="0"/>
              <w:bottom w:val="single" w:color="auto" w:sz="4" w:space="0"/>
              <w:right w:val="single" w:color="auto" w:sz="4" w:space="0"/>
            </w:tcBorders>
          </w:tcPr>
          <w:p w14:paraId="43DEDB80">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14:paraId="3CD63D25">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tcPr>
          <w:p w14:paraId="6EE7AF01">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r>
      <w:tr w14:paraId="523D8A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486" w:type="dxa"/>
            <w:tcBorders>
              <w:top w:val="single" w:color="auto" w:sz="4" w:space="0"/>
              <w:left w:val="single" w:color="auto" w:sz="4" w:space="0"/>
              <w:bottom w:val="single" w:color="auto" w:sz="4" w:space="0"/>
              <w:right w:val="single" w:color="auto" w:sz="4" w:space="0"/>
            </w:tcBorders>
          </w:tcPr>
          <w:p w14:paraId="2C17A089">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3B0C303F">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941" w:type="dxa"/>
            <w:tcBorders>
              <w:top w:val="single" w:color="auto" w:sz="4" w:space="0"/>
              <w:left w:val="single" w:color="auto" w:sz="4" w:space="0"/>
              <w:bottom w:val="single" w:color="auto" w:sz="4" w:space="0"/>
              <w:right w:val="single" w:color="auto" w:sz="4" w:space="0"/>
            </w:tcBorders>
          </w:tcPr>
          <w:p w14:paraId="1255443A">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968" w:type="dxa"/>
            <w:tcBorders>
              <w:top w:val="single" w:color="auto" w:sz="4" w:space="0"/>
              <w:left w:val="single" w:color="auto" w:sz="4" w:space="0"/>
              <w:bottom w:val="single" w:color="auto" w:sz="4" w:space="0"/>
              <w:right w:val="single" w:color="auto" w:sz="4" w:space="0"/>
            </w:tcBorders>
          </w:tcPr>
          <w:p w14:paraId="1F16EB3F">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173" w:type="dxa"/>
            <w:tcBorders>
              <w:top w:val="single" w:color="auto" w:sz="4" w:space="0"/>
              <w:left w:val="single" w:color="auto" w:sz="4" w:space="0"/>
              <w:bottom w:val="single" w:color="auto" w:sz="4" w:space="0"/>
              <w:right w:val="single" w:color="auto" w:sz="4" w:space="0"/>
            </w:tcBorders>
          </w:tcPr>
          <w:p w14:paraId="1B93A136">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14:paraId="3029D88A">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tcPr>
          <w:p w14:paraId="15554F97">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r>
      <w:tr w14:paraId="314532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86" w:type="dxa"/>
            <w:tcBorders>
              <w:top w:val="single" w:color="auto" w:sz="4" w:space="0"/>
              <w:left w:val="single" w:color="auto" w:sz="4" w:space="0"/>
              <w:bottom w:val="single" w:color="auto" w:sz="4" w:space="0"/>
              <w:right w:val="single" w:color="auto" w:sz="4" w:space="0"/>
            </w:tcBorders>
          </w:tcPr>
          <w:p w14:paraId="005524E4">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54522D03">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941" w:type="dxa"/>
            <w:tcBorders>
              <w:top w:val="single" w:color="auto" w:sz="4" w:space="0"/>
              <w:left w:val="single" w:color="auto" w:sz="4" w:space="0"/>
              <w:bottom w:val="single" w:color="auto" w:sz="4" w:space="0"/>
              <w:right w:val="single" w:color="auto" w:sz="4" w:space="0"/>
            </w:tcBorders>
          </w:tcPr>
          <w:p w14:paraId="4551C19E">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968" w:type="dxa"/>
            <w:tcBorders>
              <w:top w:val="single" w:color="auto" w:sz="4" w:space="0"/>
              <w:left w:val="single" w:color="auto" w:sz="4" w:space="0"/>
              <w:bottom w:val="single" w:color="auto" w:sz="4" w:space="0"/>
              <w:right w:val="single" w:color="auto" w:sz="4" w:space="0"/>
            </w:tcBorders>
          </w:tcPr>
          <w:p w14:paraId="0BACB06A">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173" w:type="dxa"/>
            <w:tcBorders>
              <w:top w:val="single" w:color="auto" w:sz="4" w:space="0"/>
              <w:left w:val="single" w:color="auto" w:sz="4" w:space="0"/>
              <w:bottom w:val="single" w:color="auto" w:sz="4" w:space="0"/>
              <w:right w:val="single" w:color="auto" w:sz="4" w:space="0"/>
            </w:tcBorders>
          </w:tcPr>
          <w:p w14:paraId="6938F4FA">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14:paraId="3429E2C7">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tcPr>
          <w:p w14:paraId="24526C3C">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r>
      <w:tr w14:paraId="03A20A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86" w:type="dxa"/>
            <w:tcBorders>
              <w:top w:val="single" w:color="auto" w:sz="4" w:space="0"/>
              <w:left w:val="single" w:color="auto" w:sz="4" w:space="0"/>
              <w:bottom w:val="single" w:color="auto" w:sz="4" w:space="0"/>
              <w:right w:val="single" w:color="auto" w:sz="4" w:space="0"/>
            </w:tcBorders>
          </w:tcPr>
          <w:p w14:paraId="55E94656">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14:paraId="28C6AD61">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941" w:type="dxa"/>
            <w:tcBorders>
              <w:top w:val="single" w:color="auto" w:sz="4" w:space="0"/>
              <w:left w:val="single" w:color="auto" w:sz="4" w:space="0"/>
              <w:bottom w:val="single" w:color="auto" w:sz="4" w:space="0"/>
              <w:right w:val="single" w:color="auto" w:sz="4" w:space="0"/>
            </w:tcBorders>
          </w:tcPr>
          <w:p w14:paraId="5182F181">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968" w:type="dxa"/>
            <w:tcBorders>
              <w:top w:val="single" w:color="auto" w:sz="4" w:space="0"/>
              <w:left w:val="single" w:color="auto" w:sz="4" w:space="0"/>
              <w:bottom w:val="single" w:color="auto" w:sz="4" w:space="0"/>
              <w:right w:val="single" w:color="auto" w:sz="4" w:space="0"/>
            </w:tcBorders>
          </w:tcPr>
          <w:p w14:paraId="5ACAE2D7">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173" w:type="dxa"/>
            <w:tcBorders>
              <w:top w:val="single" w:color="auto" w:sz="4" w:space="0"/>
              <w:left w:val="single" w:color="auto" w:sz="4" w:space="0"/>
              <w:bottom w:val="single" w:color="auto" w:sz="4" w:space="0"/>
              <w:right w:val="single" w:color="auto" w:sz="4" w:space="0"/>
            </w:tcBorders>
          </w:tcPr>
          <w:p w14:paraId="5A1BF486">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268" w:type="dxa"/>
            <w:tcBorders>
              <w:top w:val="single" w:color="auto" w:sz="4" w:space="0"/>
              <w:left w:val="single" w:color="auto" w:sz="4" w:space="0"/>
              <w:bottom w:val="single" w:color="auto" w:sz="4" w:space="0"/>
              <w:right w:val="single" w:color="auto" w:sz="4" w:space="0"/>
            </w:tcBorders>
          </w:tcPr>
          <w:p w14:paraId="35851D15">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tcPr>
          <w:p w14:paraId="66D203C7">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r>
    </w:tbl>
    <w:p w14:paraId="6A9DED98">
      <w:pPr>
        <w:pStyle w:val="16"/>
        <w:snapToGrid w:val="0"/>
        <w:spacing w:before="0" w:after="0" w:line="360" w:lineRule="auto"/>
        <w:ind w:right="42" w:rightChars="20" w:firstLine="420" w:firstLineChars="200"/>
        <w:jc w:val="left"/>
        <w:rPr>
          <w:rFonts w:asciiTheme="minorEastAsia" w:hAnsiTheme="minorEastAsia" w:eastAsiaTheme="minorEastAsia"/>
          <w:color w:val="auto"/>
          <w:sz w:val="21"/>
          <w:szCs w:val="21"/>
          <w:highlight w:val="none"/>
        </w:rPr>
      </w:pPr>
    </w:p>
    <w:p w14:paraId="56C43ADD">
      <w:pPr>
        <w:rPr>
          <w:rFonts w:asciiTheme="minorEastAsia" w:hAnsiTheme="minorEastAsia" w:eastAsiaTheme="minorEastAsia"/>
          <w:color w:val="auto"/>
          <w:szCs w:val="21"/>
          <w:highlight w:val="none"/>
        </w:rPr>
      </w:pPr>
    </w:p>
    <w:p w14:paraId="42C51231">
      <w:pPr>
        <w:pStyle w:val="14"/>
        <w:rPr>
          <w:rFonts w:asciiTheme="minorEastAsia" w:hAnsiTheme="minorEastAsia" w:eastAsiaTheme="minorEastAsia"/>
          <w:color w:val="auto"/>
          <w:szCs w:val="21"/>
          <w:highlight w:val="none"/>
        </w:rPr>
      </w:pPr>
    </w:p>
    <w:p w14:paraId="19C96B78">
      <w:pPr>
        <w:pStyle w:val="15"/>
        <w:rPr>
          <w:rFonts w:asciiTheme="minorEastAsia" w:hAnsiTheme="minorEastAsia" w:eastAsiaTheme="minorEastAsia"/>
          <w:color w:val="auto"/>
          <w:sz w:val="21"/>
          <w:szCs w:val="21"/>
          <w:highlight w:val="none"/>
        </w:rPr>
      </w:pPr>
    </w:p>
    <w:p w14:paraId="07C48755">
      <w:pPr>
        <w:pStyle w:val="14"/>
        <w:rPr>
          <w:rFonts w:asciiTheme="minorEastAsia" w:hAnsiTheme="minorEastAsia" w:eastAsiaTheme="minorEastAsia"/>
          <w:color w:val="auto"/>
          <w:szCs w:val="21"/>
          <w:highlight w:val="none"/>
        </w:rPr>
      </w:pPr>
    </w:p>
    <w:p w14:paraId="4C349F34">
      <w:pPr>
        <w:pStyle w:val="14"/>
        <w:rPr>
          <w:rFonts w:asciiTheme="minorEastAsia" w:hAnsiTheme="minorEastAsia" w:eastAsiaTheme="minorEastAsia"/>
          <w:color w:val="auto"/>
          <w:szCs w:val="21"/>
          <w:highlight w:val="none"/>
        </w:rPr>
      </w:pPr>
    </w:p>
    <w:p w14:paraId="205BB944">
      <w:pPr>
        <w:pStyle w:val="15"/>
        <w:rPr>
          <w:rFonts w:asciiTheme="minorEastAsia" w:hAnsiTheme="minorEastAsia" w:eastAsiaTheme="minorEastAsia"/>
          <w:color w:val="auto"/>
          <w:sz w:val="21"/>
          <w:szCs w:val="21"/>
          <w:highlight w:val="none"/>
        </w:rPr>
      </w:pPr>
    </w:p>
    <w:p w14:paraId="308E11E5">
      <w:pPr>
        <w:pStyle w:val="14"/>
        <w:rPr>
          <w:rFonts w:asciiTheme="minorEastAsia" w:hAnsiTheme="minorEastAsia" w:eastAsiaTheme="minorEastAsia"/>
          <w:color w:val="auto"/>
          <w:szCs w:val="21"/>
          <w:highlight w:val="none"/>
        </w:rPr>
      </w:pPr>
    </w:p>
    <w:p w14:paraId="2F473AF2">
      <w:pPr>
        <w:pStyle w:val="15"/>
        <w:rPr>
          <w:rFonts w:asciiTheme="minorEastAsia" w:hAnsiTheme="minorEastAsia" w:eastAsiaTheme="minorEastAsia"/>
          <w:color w:val="auto"/>
          <w:sz w:val="21"/>
          <w:szCs w:val="21"/>
          <w:highlight w:val="none"/>
        </w:rPr>
      </w:pPr>
    </w:p>
    <w:p w14:paraId="23FB9BDA">
      <w:pPr>
        <w:pStyle w:val="14"/>
        <w:rPr>
          <w:rFonts w:asciiTheme="minorEastAsia" w:hAnsiTheme="minorEastAsia" w:eastAsiaTheme="minorEastAsia"/>
          <w:color w:val="auto"/>
          <w:szCs w:val="21"/>
          <w:highlight w:val="none"/>
        </w:rPr>
      </w:pPr>
    </w:p>
    <w:p w14:paraId="2E900290">
      <w:pPr>
        <w:pStyle w:val="15"/>
        <w:rPr>
          <w:color w:val="auto"/>
          <w:highlight w:val="none"/>
        </w:rPr>
      </w:pPr>
    </w:p>
    <w:p w14:paraId="1B1D3998">
      <w:pPr>
        <w:pStyle w:val="168"/>
        <w:snapToGrid w:val="0"/>
        <w:spacing w:line="360" w:lineRule="auto"/>
        <w:ind w:right="42" w:rightChars="2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法定代表人或其授权代表签字（或盖章）</w:t>
      </w:r>
      <w:r>
        <w:rPr>
          <w:rFonts w:asciiTheme="minorEastAsia" w:hAnsiTheme="minorEastAsia" w:eastAsiaTheme="minorEastAsia"/>
          <w:color w:val="auto"/>
          <w:sz w:val="21"/>
          <w:szCs w:val="21"/>
          <w:highlight w:val="none"/>
        </w:rPr>
        <w:t>：</w:t>
      </w:r>
    </w:p>
    <w:p w14:paraId="019F4B84">
      <w:pPr>
        <w:pStyle w:val="16"/>
        <w:snapToGrid w:val="0"/>
        <w:spacing w:before="0" w:after="0" w:line="360" w:lineRule="auto"/>
        <w:ind w:right="42" w:rightChars="20" w:firstLine="420" w:firstLineChars="200"/>
        <w:jc w:val="left"/>
        <w:rPr>
          <w:rFonts w:asciiTheme="minorEastAsia" w:hAnsiTheme="minorEastAsia" w:eastAsiaTheme="minorEastAsia"/>
          <w:color w:val="auto"/>
          <w:sz w:val="21"/>
          <w:szCs w:val="21"/>
          <w:highlight w:val="none"/>
          <w:u w:val="single"/>
        </w:rPr>
      </w:pPr>
    </w:p>
    <w:p w14:paraId="54245B02">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w:t>
      </w:r>
      <w:r>
        <w:rPr>
          <w:rFonts w:hint="eastAsia" w:asciiTheme="minorEastAsia" w:hAnsiTheme="minorEastAsia" w:eastAsiaTheme="minorEastAsia"/>
          <w:color w:val="auto"/>
          <w:szCs w:val="21"/>
          <w:highlight w:val="none"/>
          <w:shd w:val="clear" w:color="auto" w:fill="FFFFFF"/>
        </w:rPr>
        <w:t>CA签章</w:t>
      </w:r>
      <w:r>
        <w:rPr>
          <w:rFonts w:hint="eastAsia" w:asciiTheme="minorEastAsia" w:hAnsiTheme="minorEastAsia" w:eastAsiaTheme="minorEastAsia"/>
          <w:color w:val="auto"/>
          <w:szCs w:val="21"/>
          <w:highlight w:val="none"/>
        </w:rPr>
        <w:t>）：年月日</w:t>
      </w:r>
    </w:p>
    <w:p w14:paraId="20ACBC8D">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14:paraId="54C2C5C4">
      <w:pPr>
        <w:snapToGrid w:val="0"/>
        <w:spacing w:line="360" w:lineRule="auto"/>
        <w:ind w:right="42" w:rightChars="20" w:firstLine="420" w:firstLineChars="200"/>
        <w:jc w:val="left"/>
        <w:rPr>
          <w:rFonts w:asciiTheme="minorEastAsia" w:hAnsiTheme="minorEastAsia" w:eastAsiaTheme="minorEastAsia"/>
          <w:color w:val="auto"/>
          <w:szCs w:val="21"/>
          <w:highlight w:val="none"/>
        </w:rPr>
        <w:sectPr>
          <w:pgSz w:w="11905" w:h="16838"/>
          <w:pgMar w:top="1440" w:right="1803" w:bottom="1440" w:left="1803" w:header="851" w:footer="992" w:gutter="0"/>
          <w:cols w:space="0" w:num="1"/>
          <w:docGrid w:type="lines" w:linePitch="319" w:charSpace="0"/>
        </w:sectPr>
      </w:pPr>
    </w:p>
    <w:p w14:paraId="1BF3E3BF">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商务响应表格式：</w:t>
      </w:r>
    </w:p>
    <w:tbl>
      <w:tblPr>
        <w:tblStyle w:val="53"/>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76"/>
        <w:gridCol w:w="1891"/>
        <w:gridCol w:w="1653"/>
        <w:gridCol w:w="2645"/>
      </w:tblGrid>
      <w:tr w14:paraId="1CEA5A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2376" w:type="dxa"/>
            <w:tcBorders>
              <w:top w:val="single" w:color="auto" w:sz="4" w:space="0"/>
              <w:left w:val="single" w:color="auto" w:sz="4" w:space="0"/>
              <w:bottom w:val="single" w:color="auto" w:sz="4" w:space="0"/>
              <w:right w:val="single" w:color="auto" w:sz="4" w:space="0"/>
            </w:tcBorders>
          </w:tcPr>
          <w:p w14:paraId="1D3C580E">
            <w:pPr>
              <w:snapToGrid w:val="0"/>
              <w:spacing w:line="360" w:lineRule="auto"/>
              <w:ind w:right="42" w:rightChars="2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w:t>
            </w:r>
          </w:p>
        </w:tc>
        <w:tc>
          <w:tcPr>
            <w:tcW w:w="1891" w:type="dxa"/>
            <w:tcBorders>
              <w:top w:val="single" w:color="auto" w:sz="4" w:space="0"/>
              <w:left w:val="single" w:color="auto" w:sz="4" w:space="0"/>
              <w:bottom w:val="single" w:color="auto" w:sz="4" w:space="0"/>
              <w:right w:val="single" w:color="auto" w:sz="4" w:space="0"/>
            </w:tcBorders>
          </w:tcPr>
          <w:p w14:paraId="26C88AE0">
            <w:pPr>
              <w:snapToGrid w:val="0"/>
              <w:spacing w:line="360" w:lineRule="auto"/>
              <w:ind w:right="42" w:rightChars="2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招标文件要求</w:t>
            </w:r>
          </w:p>
        </w:tc>
        <w:tc>
          <w:tcPr>
            <w:tcW w:w="1653" w:type="dxa"/>
            <w:tcBorders>
              <w:top w:val="single" w:color="auto" w:sz="4" w:space="0"/>
              <w:left w:val="single" w:color="auto" w:sz="4" w:space="0"/>
              <w:bottom w:val="single" w:color="auto" w:sz="4" w:space="0"/>
              <w:right w:val="single" w:color="auto" w:sz="4" w:space="0"/>
            </w:tcBorders>
          </w:tcPr>
          <w:p w14:paraId="5E682645">
            <w:pPr>
              <w:snapToGrid w:val="0"/>
              <w:spacing w:line="360" w:lineRule="auto"/>
              <w:ind w:right="42" w:rightChars="2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是否响应</w:t>
            </w:r>
          </w:p>
        </w:tc>
        <w:tc>
          <w:tcPr>
            <w:tcW w:w="2645" w:type="dxa"/>
            <w:tcBorders>
              <w:top w:val="single" w:color="auto" w:sz="4" w:space="0"/>
              <w:left w:val="single" w:color="auto" w:sz="4" w:space="0"/>
              <w:bottom w:val="single" w:color="auto" w:sz="4" w:space="0"/>
              <w:right w:val="single" w:color="auto" w:sz="4" w:space="0"/>
            </w:tcBorders>
          </w:tcPr>
          <w:p w14:paraId="19470A10">
            <w:pPr>
              <w:snapToGrid w:val="0"/>
              <w:spacing w:line="360" w:lineRule="auto"/>
              <w:ind w:right="42" w:rightChars="2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投标人的承诺或说明</w:t>
            </w:r>
          </w:p>
        </w:tc>
      </w:tr>
      <w:tr w14:paraId="22F157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376" w:type="dxa"/>
            <w:tcBorders>
              <w:top w:val="single" w:color="auto" w:sz="4" w:space="0"/>
              <w:left w:val="single" w:color="auto" w:sz="4" w:space="0"/>
              <w:bottom w:val="single" w:color="auto" w:sz="4" w:space="0"/>
              <w:right w:val="single" w:color="auto" w:sz="4" w:space="0"/>
            </w:tcBorders>
            <w:vAlign w:val="center"/>
          </w:tcPr>
          <w:p w14:paraId="78F2E209">
            <w:pPr>
              <w:widowControl/>
              <w:overflowPunct w:val="0"/>
              <w:autoSpaceDE w:val="0"/>
              <w:autoSpaceDN w:val="0"/>
              <w:adjustRightInd w:val="0"/>
              <w:spacing w:line="360" w:lineRule="auto"/>
              <w:ind w:right="42" w:rightChars="20"/>
              <w:jc w:val="center"/>
              <w:textAlignment w:val="baseline"/>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w:t>
            </w:r>
          </w:p>
        </w:tc>
        <w:tc>
          <w:tcPr>
            <w:tcW w:w="1891" w:type="dxa"/>
            <w:tcBorders>
              <w:top w:val="single" w:color="auto" w:sz="4" w:space="0"/>
              <w:left w:val="single" w:color="auto" w:sz="4" w:space="0"/>
              <w:bottom w:val="single" w:color="auto" w:sz="4" w:space="0"/>
              <w:right w:val="single" w:color="auto" w:sz="4" w:space="0"/>
            </w:tcBorders>
          </w:tcPr>
          <w:p w14:paraId="1E03E9AF">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tcPr>
          <w:p w14:paraId="462CA9B5">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2645" w:type="dxa"/>
            <w:tcBorders>
              <w:top w:val="single" w:color="auto" w:sz="4" w:space="0"/>
              <w:left w:val="single" w:color="auto" w:sz="4" w:space="0"/>
              <w:bottom w:val="single" w:color="auto" w:sz="4" w:space="0"/>
              <w:right w:val="single" w:color="auto" w:sz="4" w:space="0"/>
            </w:tcBorders>
          </w:tcPr>
          <w:p w14:paraId="3D247AC4">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r>
      <w:tr w14:paraId="082140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376" w:type="dxa"/>
            <w:tcBorders>
              <w:top w:val="single" w:color="auto" w:sz="4" w:space="0"/>
              <w:left w:val="single" w:color="auto" w:sz="4" w:space="0"/>
              <w:bottom w:val="single" w:color="auto" w:sz="4" w:space="0"/>
              <w:right w:val="single" w:color="auto" w:sz="4" w:space="0"/>
            </w:tcBorders>
            <w:vAlign w:val="center"/>
          </w:tcPr>
          <w:p w14:paraId="4BEF0DD2">
            <w:pPr>
              <w:widowControl/>
              <w:overflowPunct w:val="0"/>
              <w:autoSpaceDE w:val="0"/>
              <w:autoSpaceDN w:val="0"/>
              <w:adjustRightInd w:val="0"/>
              <w:spacing w:line="360" w:lineRule="auto"/>
              <w:ind w:right="42" w:rightChars="20"/>
              <w:jc w:val="center"/>
              <w:textAlignment w:val="baseline"/>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w:t>
            </w:r>
          </w:p>
        </w:tc>
        <w:tc>
          <w:tcPr>
            <w:tcW w:w="1891" w:type="dxa"/>
            <w:tcBorders>
              <w:top w:val="single" w:color="auto" w:sz="4" w:space="0"/>
              <w:left w:val="single" w:color="auto" w:sz="4" w:space="0"/>
              <w:bottom w:val="single" w:color="auto" w:sz="4" w:space="0"/>
              <w:right w:val="single" w:color="auto" w:sz="4" w:space="0"/>
            </w:tcBorders>
          </w:tcPr>
          <w:p w14:paraId="7FFD1D36">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tcPr>
          <w:p w14:paraId="4DAC9498">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2645" w:type="dxa"/>
            <w:tcBorders>
              <w:top w:val="single" w:color="auto" w:sz="4" w:space="0"/>
              <w:left w:val="single" w:color="auto" w:sz="4" w:space="0"/>
              <w:bottom w:val="single" w:color="auto" w:sz="4" w:space="0"/>
              <w:right w:val="single" w:color="auto" w:sz="4" w:space="0"/>
            </w:tcBorders>
          </w:tcPr>
          <w:p w14:paraId="65A05A02">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r>
      <w:tr w14:paraId="1D8C9C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376" w:type="dxa"/>
            <w:tcBorders>
              <w:top w:val="single" w:color="auto" w:sz="4" w:space="0"/>
              <w:left w:val="single" w:color="auto" w:sz="4" w:space="0"/>
              <w:bottom w:val="single" w:color="auto" w:sz="4" w:space="0"/>
              <w:right w:val="single" w:color="auto" w:sz="4" w:space="0"/>
            </w:tcBorders>
            <w:vAlign w:val="center"/>
          </w:tcPr>
          <w:p w14:paraId="6BF4F934">
            <w:pPr>
              <w:widowControl/>
              <w:overflowPunct w:val="0"/>
              <w:autoSpaceDE w:val="0"/>
              <w:autoSpaceDN w:val="0"/>
              <w:adjustRightInd w:val="0"/>
              <w:spacing w:line="360" w:lineRule="auto"/>
              <w:ind w:right="42" w:rightChars="20"/>
              <w:jc w:val="center"/>
              <w:textAlignment w:val="baseline"/>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w:t>
            </w:r>
          </w:p>
        </w:tc>
        <w:tc>
          <w:tcPr>
            <w:tcW w:w="1891" w:type="dxa"/>
            <w:tcBorders>
              <w:top w:val="single" w:color="auto" w:sz="4" w:space="0"/>
              <w:left w:val="single" w:color="auto" w:sz="4" w:space="0"/>
              <w:bottom w:val="single" w:color="auto" w:sz="4" w:space="0"/>
              <w:right w:val="single" w:color="auto" w:sz="4" w:space="0"/>
            </w:tcBorders>
          </w:tcPr>
          <w:p w14:paraId="0621E2A0">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tcPr>
          <w:p w14:paraId="16DEAE44">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2645" w:type="dxa"/>
            <w:tcBorders>
              <w:top w:val="single" w:color="auto" w:sz="4" w:space="0"/>
              <w:left w:val="single" w:color="auto" w:sz="4" w:space="0"/>
              <w:bottom w:val="single" w:color="auto" w:sz="4" w:space="0"/>
              <w:right w:val="single" w:color="auto" w:sz="4" w:space="0"/>
            </w:tcBorders>
          </w:tcPr>
          <w:p w14:paraId="681FC781">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r>
      <w:tr w14:paraId="6CF89E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76" w:type="dxa"/>
            <w:tcBorders>
              <w:top w:val="single" w:color="auto" w:sz="4" w:space="0"/>
              <w:left w:val="single" w:color="auto" w:sz="4" w:space="0"/>
              <w:bottom w:val="single" w:color="auto" w:sz="4" w:space="0"/>
              <w:right w:val="single" w:color="auto" w:sz="4" w:space="0"/>
            </w:tcBorders>
            <w:vAlign w:val="center"/>
          </w:tcPr>
          <w:p w14:paraId="7556CB71">
            <w:pPr>
              <w:snapToGrid w:val="0"/>
              <w:spacing w:line="360" w:lineRule="auto"/>
              <w:ind w:right="42" w:rightChars="2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w:t>
            </w:r>
          </w:p>
        </w:tc>
        <w:tc>
          <w:tcPr>
            <w:tcW w:w="1891" w:type="dxa"/>
            <w:tcBorders>
              <w:top w:val="single" w:color="auto" w:sz="4" w:space="0"/>
              <w:left w:val="single" w:color="auto" w:sz="4" w:space="0"/>
              <w:bottom w:val="single" w:color="auto" w:sz="4" w:space="0"/>
              <w:right w:val="single" w:color="auto" w:sz="4" w:space="0"/>
            </w:tcBorders>
          </w:tcPr>
          <w:p w14:paraId="32206451">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tcPr>
          <w:p w14:paraId="61833676">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c>
          <w:tcPr>
            <w:tcW w:w="2645" w:type="dxa"/>
            <w:tcBorders>
              <w:top w:val="single" w:color="auto" w:sz="4" w:space="0"/>
              <w:left w:val="single" w:color="auto" w:sz="4" w:space="0"/>
              <w:bottom w:val="single" w:color="auto" w:sz="4" w:space="0"/>
              <w:right w:val="single" w:color="auto" w:sz="4" w:space="0"/>
            </w:tcBorders>
          </w:tcPr>
          <w:p w14:paraId="5E36366C">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tc>
      </w:tr>
    </w:tbl>
    <w:p w14:paraId="49762997">
      <w:pPr>
        <w:pStyle w:val="27"/>
        <w:spacing w:line="360" w:lineRule="auto"/>
        <w:ind w:right="42" w:rightChars="20" w:firstLine="420" w:firstLineChars="200"/>
        <w:jc w:val="left"/>
        <w:rPr>
          <w:rFonts w:asciiTheme="minorEastAsia" w:hAnsiTheme="minorEastAsia" w:eastAsiaTheme="minorEastAsia"/>
          <w:color w:val="auto"/>
          <w:szCs w:val="21"/>
          <w:highlight w:val="none"/>
        </w:rPr>
      </w:pPr>
    </w:p>
    <w:p w14:paraId="6EDD01FA">
      <w:pPr>
        <w:pStyle w:val="27"/>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注：本表不允许负偏离；</w:t>
      </w:r>
    </w:p>
    <w:p w14:paraId="4CBF0874">
      <w:pPr>
        <w:pStyle w:val="27"/>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▲不</w:t>
      </w:r>
      <w:r>
        <w:rPr>
          <w:rFonts w:hint="eastAsia" w:asciiTheme="minorEastAsia" w:hAnsiTheme="minorEastAsia" w:eastAsiaTheme="minorEastAsia"/>
          <w:color w:val="auto"/>
          <w:szCs w:val="21"/>
          <w:highlight w:val="none"/>
          <w:lang w:val="en-US" w:eastAsia="zh-CN"/>
        </w:rPr>
        <w:t>填写</w:t>
      </w:r>
      <w:r>
        <w:rPr>
          <w:rFonts w:hint="eastAsia" w:asciiTheme="minorEastAsia" w:hAnsiTheme="minorEastAsia" w:eastAsiaTheme="minorEastAsia"/>
          <w:color w:val="auto"/>
          <w:szCs w:val="21"/>
          <w:highlight w:val="none"/>
        </w:rPr>
        <w:t>本表视为完全响应招标文件要求</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但不得删除本表</w:t>
      </w:r>
      <w:r>
        <w:rPr>
          <w:rFonts w:hint="eastAsia" w:asciiTheme="minorEastAsia" w:hAnsiTheme="minorEastAsia" w:eastAsiaTheme="minorEastAsia"/>
          <w:color w:val="auto"/>
          <w:szCs w:val="21"/>
          <w:highlight w:val="none"/>
        </w:rPr>
        <w:t>。</w:t>
      </w:r>
    </w:p>
    <w:p w14:paraId="0E0FEA1B">
      <w:pPr>
        <w:pStyle w:val="168"/>
        <w:snapToGrid w:val="0"/>
        <w:spacing w:line="360" w:lineRule="auto"/>
        <w:ind w:right="42" w:rightChars="2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法定代表人或其授权代表签字（或盖章）</w:t>
      </w:r>
      <w:r>
        <w:rPr>
          <w:rFonts w:asciiTheme="minorEastAsia" w:hAnsiTheme="minorEastAsia" w:eastAsiaTheme="minorEastAsia"/>
          <w:color w:val="auto"/>
          <w:sz w:val="21"/>
          <w:szCs w:val="21"/>
          <w:highlight w:val="none"/>
        </w:rPr>
        <w:t>：</w:t>
      </w:r>
    </w:p>
    <w:p w14:paraId="5CA32142">
      <w:pPr>
        <w:pStyle w:val="27"/>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w:t>
      </w:r>
      <w:r>
        <w:rPr>
          <w:rFonts w:hint="eastAsia" w:asciiTheme="minorEastAsia" w:hAnsiTheme="minorEastAsia" w:eastAsiaTheme="minorEastAsia"/>
          <w:color w:val="auto"/>
          <w:szCs w:val="21"/>
          <w:highlight w:val="none"/>
          <w:shd w:val="clear" w:color="auto" w:fill="FFFFFF"/>
        </w:rPr>
        <w:t>CA签章</w:t>
      </w:r>
      <w:r>
        <w:rPr>
          <w:rFonts w:hint="eastAsia" w:asciiTheme="minorEastAsia" w:hAnsiTheme="minorEastAsia" w:eastAsiaTheme="minorEastAsia"/>
          <w:color w:val="auto"/>
          <w:szCs w:val="21"/>
          <w:highlight w:val="none"/>
        </w:rPr>
        <w:t>）</w:t>
      </w:r>
    </w:p>
    <w:p w14:paraId="0AF01A5C">
      <w:pPr>
        <w:pStyle w:val="27"/>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日期：年月  日</w:t>
      </w:r>
    </w:p>
    <w:p w14:paraId="387450C6">
      <w:pPr>
        <w:snapToGrid w:val="0"/>
        <w:spacing w:before="50" w:after="159" w:afterLines="50" w:line="360" w:lineRule="auto"/>
        <w:ind w:right="42" w:rightChars="2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技术响应表格式</w:t>
      </w:r>
    </w:p>
    <w:tbl>
      <w:tblPr>
        <w:tblStyle w:val="53"/>
        <w:tblW w:w="89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7"/>
        <w:gridCol w:w="2475"/>
        <w:gridCol w:w="1583"/>
        <w:gridCol w:w="1849"/>
        <w:gridCol w:w="1456"/>
      </w:tblGrid>
      <w:tr w14:paraId="7C2F2E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6" w:hRule="atLeast"/>
          <w:jc w:val="center"/>
        </w:trPr>
        <w:tc>
          <w:tcPr>
            <w:tcW w:w="4052" w:type="dxa"/>
            <w:gridSpan w:val="2"/>
            <w:tcBorders>
              <w:top w:val="single" w:color="auto" w:sz="4" w:space="0"/>
              <w:left w:val="single" w:color="auto" w:sz="4" w:space="0"/>
              <w:bottom w:val="single" w:color="auto" w:sz="4" w:space="0"/>
              <w:right w:val="single" w:color="auto" w:sz="4" w:space="0"/>
            </w:tcBorders>
          </w:tcPr>
          <w:p w14:paraId="381104CD">
            <w:pPr>
              <w:snapToGrid w:val="0"/>
              <w:spacing w:line="360" w:lineRule="auto"/>
              <w:ind w:right="42" w:rightChars="20"/>
              <w:jc w:val="center"/>
              <w:outlineLvl w:val="0"/>
              <w:rPr>
                <w:rFonts w:asciiTheme="minorEastAsia" w:hAnsiTheme="minorEastAsia" w:eastAsiaTheme="minorEastAsia"/>
                <w:color w:val="auto"/>
                <w:szCs w:val="21"/>
                <w:highlight w:val="none"/>
              </w:rPr>
            </w:pPr>
            <w:bookmarkStart w:id="314" w:name="_Toc382928236"/>
            <w:bookmarkStart w:id="315" w:name="_Toc406403001"/>
            <w:bookmarkStart w:id="316" w:name="_Toc382928118"/>
            <w:bookmarkStart w:id="317" w:name="_Toc401570314"/>
            <w:bookmarkStart w:id="318" w:name="_Toc377028057"/>
            <w:bookmarkStart w:id="319" w:name="_Toc377028119"/>
            <w:bookmarkStart w:id="320" w:name="_Toc377653976"/>
            <w:bookmarkStart w:id="321" w:name="_Toc385854110"/>
            <w:bookmarkStart w:id="322" w:name="_Toc401570290"/>
            <w:bookmarkStart w:id="323" w:name="_Toc406402957"/>
            <w:bookmarkStart w:id="324" w:name="_Toc385854156"/>
            <w:bookmarkStart w:id="325" w:name="_Toc402963095"/>
            <w:bookmarkStart w:id="326" w:name="_Toc381081903"/>
            <w:bookmarkStart w:id="327" w:name="_Toc402963128"/>
            <w:bookmarkStart w:id="328" w:name="_Toc62745298"/>
            <w:r>
              <w:rPr>
                <w:rFonts w:hint="eastAsia" w:asciiTheme="minorEastAsia" w:hAnsiTheme="minorEastAsia" w:eastAsiaTheme="minorEastAsia"/>
                <w:color w:val="auto"/>
                <w:szCs w:val="21"/>
                <w:highlight w:val="none"/>
              </w:rPr>
              <w:t>招标文件要求</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tc>
        <w:tc>
          <w:tcPr>
            <w:tcW w:w="3432" w:type="dxa"/>
            <w:gridSpan w:val="2"/>
            <w:tcBorders>
              <w:top w:val="single" w:color="auto" w:sz="4" w:space="0"/>
              <w:left w:val="single" w:color="auto" w:sz="4" w:space="0"/>
              <w:bottom w:val="single" w:color="auto" w:sz="4" w:space="0"/>
              <w:right w:val="single" w:color="auto" w:sz="4" w:space="0"/>
            </w:tcBorders>
          </w:tcPr>
          <w:p w14:paraId="2820EC07">
            <w:pPr>
              <w:snapToGrid w:val="0"/>
              <w:spacing w:line="360" w:lineRule="auto"/>
              <w:ind w:right="42" w:rightChars="20"/>
              <w:jc w:val="center"/>
              <w:outlineLvl w:val="0"/>
              <w:rPr>
                <w:rFonts w:asciiTheme="minorEastAsia" w:hAnsiTheme="minorEastAsia" w:eastAsiaTheme="minorEastAsia"/>
                <w:color w:val="auto"/>
                <w:szCs w:val="21"/>
                <w:highlight w:val="none"/>
              </w:rPr>
            </w:pPr>
            <w:bookmarkStart w:id="329" w:name="_Toc401570291"/>
            <w:bookmarkStart w:id="330" w:name="_Toc381081904"/>
            <w:bookmarkStart w:id="331" w:name="_Toc406403002"/>
            <w:bookmarkStart w:id="332" w:name="_Toc401570315"/>
            <w:bookmarkStart w:id="333" w:name="_Toc382928237"/>
            <w:bookmarkStart w:id="334" w:name="_Toc385854111"/>
            <w:bookmarkStart w:id="335" w:name="_Toc62745299"/>
            <w:bookmarkStart w:id="336" w:name="_Toc406402958"/>
            <w:bookmarkStart w:id="337" w:name="_Toc377028120"/>
            <w:bookmarkStart w:id="338" w:name="_Toc377653977"/>
            <w:bookmarkStart w:id="339" w:name="_Toc382928119"/>
            <w:bookmarkStart w:id="340" w:name="_Toc402963096"/>
            <w:bookmarkStart w:id="341" w:name="_Toc385854157"/>
            <w:bookmarkStart w:id="342" w:name="_Toc377028058"/>
            <w:bookmarkStart w:id="343" w:name="_Toc402963129"/>
            <w:r>
              <w:rPr>
                <w:rFonts w:hint="eastAsia" w:asciiTheme="minorEastAsia" w:hAnsiTheme="minorEastAsia" w:eastAsiaTheme="minorEastAsia"/>
                <w:color w:val="auto"/>
                <w:szCs w:val="21"/>
                <w:highlight w:val="none"/>
              </w:rPr>
              <w:t>投标文件响应</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tc>
        <w:tc>
          <w:tcPr>
            <w:tcW w:w="1456" w:type="dxa"/>
            <w:vMerge w:val="restart"/>
            <w:tcBorders>
              <w:top w:val="single" w:color="auto" w:sz="4" w:space="0"/>
              <w:left w:val="single" w:color="auto" w:sz="4" w:space="0"/>
              <w:bottom w:val="single" w:color="auto" w:sz="4" w:space="0"/>
              <w:right w:val="single" w:color="auto" w:sz="4" w:space="0"/>
            </w:tcBorders>
            <w:vAlign w:val="center"/>
          </w:tcPr>
          <w:p w14:paraId="46E79E99">
            <w:pPr>
              <w:snapToGrid w:val="0"/>
              <w:spacing w:line="360" w:lineRule="auto"/>
              <w:ind w:right="42" w:rightChars="20"/>
              <w:jc w:val="center"/>
              <w:outlineLvl w:val="0"/>
              <w:rPr>
                <w:rFonts w:asciiTheme="minorEastAsia" w:hAnsiTheme="minorEastAsia" w:eastAsiaTheme="minorEastAsia"/>
                <w:color w:val="auto"/>
                <w:szCs w:val="21"/>
                <w:highlight w:val="none"/>
              </w:rPr>
            </w:pPr>
            <w:bookmarkStart w:id="344" w:name="_Toc402963130"/>
            <w:bookmarkStart w:id="345" w:name="_Toc382928238"/>
            <w:bookmarkStart w:id="346" w:name="_Toc406402959"/>
            <w:bookmarkStart w:id="347" w:name="_Toc62745300"/>
            <w:bookmarkStart w:id="348" w:name="_Toc377653978"/>
            <w:bookmarkStart w:id="349" w:name="_Toc385854158"/>
            <w:bookmarkStart w:id="350" w:name="_Toc406403003"/>
            <w:bookmarkStart w:id="351" w:name="_Toc402963097"/>
            <w:bookmarkStart w:id="352" w:name="_Toc382928120"/>
            <w:bookmarkStart w:id="353" w:name="_Toc377028059"/>
            <w:bookmarkStart w:id="354" w:name="_Toc381081905"/>
            <w:bookmarkStart w:id="355" w:name="_Toc385854112"/>
            <w:bookmarkStart w:id="356" w:name="_Toc377028121"/>
            <w:bookmarkStart w:id="357" w:name="_Toc401570292"/>
            <w:bookmarkStart w:id="358" w:name="_Toc401570316"/>
            <w:r>
              <w:rPr>
                <w:rFonts w:hint="eastAsia" w:asciiTheme="minorEastAsia" w:hAnsiTheme="minorEastAsia" w:eastAsiaTheme="minorEastAsia"/>
                <w:color w:val="auto"/>
                <w:szCs w:val="21"/>
                <w:highlight w:val="none"/>
              </w:rPr>
              <w:t>偏离情况</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tc>
      </w:tr>
      <w:tr w14:paraId="0B2174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0" w:hRule="atLeast"/>
          <w:jc w:val="center"/>
        </w:trPr>
        <w:tc>
          <w:tcPr>
            <w:tcW w:w="1577" w:type="dxa"/>
            <w:tcBorders>
              <w:top w:val="single" w:color="auto" w:sz="4" w:space="0"/>
              <w:left w:val="single" w:color="auto" w:sz="4" w:space="0"/>
              <w:bottom w:val="single" w:color="auto" w:sz="4" w:space="0"/>
              <w:right w:val="single" w:color="auto" w:sz="4" w:space="0"/>
            </w:tcBorders>
          </w:tcPr>
          <w:p w14:paraId="31884B26">
            <w:pPr>
              <w:snapToGrid w:val="0"/>
              <w:spacing w:line="360" w:lineRule="auto"/>
              <w:ind w:right="42" w:rightChars="20"/>
              <w:jc w:val="center"/>
              <w:outlineLvl w:val="0"/>
              <w:rPr>
                <w:rFonts w:asciiTheme="minorEastAsia" w:hAnsiTheme="minorEastAsia" w:eastAsiaTheme="minorEastAsia"/>
                <w:color w:val="auto"/>
                <w:szCs w:val="21"/>
                <w:highlight w:val="none"/>
              </w:rPr>
            </w:pPr>
            <w:bookmarkStart w:id="359" w:name="_Toc406403004"/>
            <w:bookmarkStart w:id="360" w:name="_Toc377653979"/>
            <w:bookmarkStart w:id="361" w:name="_Toc377028122"/>
            <w:bookmarkStart w:id="362" w:name="_Toc382928239"/>
            <w:bookmarkStart w:id="363" w:name="_Toc62745301"/>
            <w:bookmarkStart w:id="364" w:name="_Toc377028060"/>
            <w:bookmarkStart w:id="365" w:name="_Toc406402960"/>
            <w:bookmarkStart w:id="366" w:name="_Toc382928121"/>
            <w:bookmarkStart w:id="367" w:name="_Toc385854159"/>
            <w:bookmarkStart w:id="368" w:name="_Toc401570317"/>
            <w:bookmarkStart w:id="369" w:name="_Toc401570293"/>
            <w:bookmarkStart w:id="370" w:name="_Toc381081906"/>
            <w:bookmarkStart w:id="371" w:name="_Toc402963131"/>
            <w:bookmarkStart w:id="372" w:name="_Toc402963098"/>
            <w:bookmarkStart w:id="373" w:name="_Toc385854113"/>
            <w:r>
              <w:rPr>
                <w:rFonts w:hint="eastAsia" w:asciiTheme="minorEastAsia" w:hAnsiTheme="minorEastAsia" w:eastAsiaTheme="minorEastAsia"/>
                <w:color w:val="auto"/>
                <w:szCs w:val="21"/>
                <w:highlight w:val="none"/>
              </w:rPr>
              <w:t>项目</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tc>
        <w:tc>
          <w:tcPr>
            <w:tcW w:w="2475" w:type="dxa"/>
            <w:tcBorders>
              <w:top w:val="single" w:color="auto" w:sz="4" w:space="0"/>
              <w:left w:val="single" w:color="auto" w:sz="4" w:space="0"/>
              <w:bottom w:val="single" w:color="auto" w:sz="4" w:space="0"/>
              <w:right w:val="single" w:color="auto" w:sz="4" w:space="0"/>
            </w:tcBorders>
          </w:tcPr>
          <w:p w14:paraId="42B9E504">
            <w:pPr>
              <w:snapToGrid w:val="0"/>
              <w:spacing w:line="360" w:lineRule="auto"/>
              <w:ind w:right="42" w:rightChars="20"/>
              <w:jc w:val="center"/>
              <w:outlineLvl w:val="0"/>
              <w:rPr>
                <w:rFonts w:asciiTheme="minorEastAsia" w:hAnsiTheme="minorEastAsia" w:eastAsiaTheme="minorEastAsia"/>
                <w:color w:val="auto"/>
                <w:szCs w:val="21"/>
                <w:highlight w:val="none"/>
              </w:rPr>
            </w:pPr>
            <w:bookmarkStart w:id="374" w:name="_Toc377028123"/>
            <w:bookmarkStart w:id="375" w:name="_Toc402963099"/>
            <w:bookmarkStart w:id="376" w:name="_Toc406403005"/>
            <w:bookmarkStart w:id="377" w:name="_Toc401570318"/>
            <w:bookmarkStart w:id="378" w:name="_Toc402963132"/>
            <w:bookmarkStart w:id="379" w:name="_Toc385854160"/>
            <w:bookmarkStart w:id="380" w:name="_Toc382928240"/>
            <w:bookmarkStart w:id="381" w:name="_Toc385854114"/>
            <w:bookmarkStart w:id="382" w:name="_Toc401570294"/>
            <w:bookmarkStart w:id="383" w:name="_Toc382928122"/>
            <w:bookmarkStart w:id="384" w:name="_Toc381081907"/>
            <w:bookmarkStart w:id="385" w:name="_Toc406402961"/>
            <w:bookmarkStart w:id="386" w:name="_Toc377028061"/>
            <w:bookmarkStart w:id="387" w:name="_Toc62745302"/>
            <w:bookmarkStart w:id="388" w:name="_Toc377653980"/>
            <w:r>
              <w:rPr>
                <w:rFonts w:hint="eastAsia" w:asciiTheme="minorEastAsia" w:hAnsiTheme="minorEastAsia" w:eastAsiaTheme="minorEastAsia"/>
                <w:color w:val="auto"/>
                <w:szCs w:val="21"/>
                <w:highlight w:val="none"/>
              </w:rPr>
              <w:t>要求</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tc>
        <w:tc>
          <w:tcPr>
            <w:tcW w:w="1583" w:type="dxa"/>
            <w:tcBorders>
              <w:top w:val="single" w:color="auto" w:sz="4" w:space="0"/>
              <w:left w:val="single" w:color="auto" w:sz="4" w:space="0"/>
              <w:bottom w:val="single" w:color="auto" w:sz="4" w:space="0"/>
              <w:right w:val="single" w:color="auto" w:sz="4" w:space="0"/>
            </w:tcBorders>
          </w:tcPr>
          <w:p w14:paraId="03D5CEC0">
            <w:pPr>
              <w:snapToGrid w:val="0"/>
              <w:spacing w:line="360" w:lineRule="auto"/>
              <w:ind w:right="42" w:rightChars="20"/>
              <w:jc w:val="center"/>
              <w:outlineLvl w:val="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w:t>
            </w:r>
          </w:p>
        </w:tc>
        <w:tc>
          <w:tcPr>
            <w:tcW w:w="1849" w:type="dxa"/>
            <w:tcBorders>
              <w:top w:val="single" w:color="auto" w:sz="4" w:space="0"/>
              <w:left w:val="single" w:color="auto" w:sz="4" w:space="0"/>
              <w:bottom w:val="single" w:color="auto" w:sz="4" w:space="0"/>
              <w:right w:val="single" w:color="auto" w:sz="4" w:space="0"/>
            </w:tcBorders>
          </w:tcPr>
          <w:p w14:paraId="4F144166">
            <w:pPr>
              <w:snapToGrid w:val="0"/>
              <w:spacing w:line="360" w:lineRule="auto"/>
              <w:ind w:right="42" w:rightChars="20"/>
              <w:jc w:val="center"/>
              <w:outlineLvl w:val="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响应情况</w:t>
            </w:r>
          </w:p>
        </w:tc>
        <w:tc>
          <w:tcPr>
            <w:tcW w:w="1456" w:type="dxa"/>
            <w:vMerge w:val="continue"/>
            <w:tcBorders>
              <w:top w:val="single" w:color="auto" w:sz="4" w:space="0"/>
              <w:left w:val="single" w:color="auto" w:sz="4" w:space="0"/>
              <w:bottom w:val="single" w:color="auto" w:sz="4" w:space="0"/>
              <w:right w:val="single" w:color="auto" w:sz="4" w:space="0"/>
            </w:tcBorders>
            <w:vAlign w:val="center"/>
          </w:tcPr>
          <w:p w14:paraId="7E60C675">
            <w:pPr>
              <w:widowControl/>
              <w:spacing w:line="360" w:lineRule="auto"/>
              <w:ind w:right="42" w:rightChars="20"/>
              <w:jc w:val="left"/>
              <w:rPr>
                <w:rFonts w:asciiTheme="minorEastAsia" w:hAnsiTheme="minorEastAsia" w:eastAsiaTheme="minorEastAsia"/>
                <w:color w:val="auto"/>
                <w:szCs w:val="21"/>
                <w:highlight w:val="none"/>
              </w:rPr>
            </w:pPr>
          </w:p>
        </w:tc>
      </w:tr>
      <w:tr w14:paraId="746CBB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jc w:val="center"/>
        </w:trPr>
        <w:tc>
          <w:tcPr>
            <w:tcW w:w="1577" w:type="dxa"/>
            <w:tcBorders>
              <w:top w:val="single" w:color="auto" w:sz="4" w:space="0"/>
              <w:left w:val="single" w:color="auto" w:sz="4" w:space="0"/>
              <w:bottom w:val="single" w:color="auto" w:sz="4" w:space="0"/>
              <w:right w:val="single" w:color="auto" w:sz="4" w:space="0"/>
            </w:tcBorders>
            <w:vAlign w:val="center"/>
          </w:tcPr>
          <w:p w14:paraId="1CB2E161">
            <w:pPr>
              <w:snapToGrid w:val="0"/>
              <w:spacing w:before="159" w:beforeLines="50" w:after="159" w:afterLines="50" w:line="360" w:lineRule="auto"/>
              <w:ind w:right="42" w:rightChars="20"/>
              <w:outlineLvl w:val="0"/>
              <w:rPr>
                <w:rFonts w:asciiTheme="minorEastAsia" w:hAnsiTheme="minorEastAsia" w:eastAsiaTheme="minorEastAsia"/>
                <w:color w:val="auto"/>
                <w:szCs w:val="21"/>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14:paraId="044C3667">
            <w:pPr>
              <w:snapToGrid w:val="0"/>
              <w:spacing w:line="360" w:lineRule="auto"/>
              <w:ind w:right="42" w:rightChars="20"/>
              <w:outlineLvl w:val="0"/>
              <w:rPr>
                <w:rFonts w:asciiTheme="minorEastAsia" w:hAnsiTheme="minorEastAsia" w:eastAsiaTheme="minorEastAsia"/>
                <w:color w:val="auto"/>
                <w:szCs w:val="21"/>
                <w:highlight w:val="none"/>
              </w:rPr>
            </w:pPr>
          </w:p>
        </w:tc>
        <w:tc>
          <w:tcPr>
            <w:tcW w:w="1583" w:type="dxa"/>
            <w:tcBorders>
              <w:top w:val="single" w:color="auto" w:sz="4" w:space="0"/>
              <w:left w:val="single" w:color="auto" w:sz="4" w:space="0"/>
              <w:bottom w:val="single" w:color="auto" w:sz="4" w:space="0"/>
              <w:right w:val="single" w:color="auto" w:sz="4" w:space="0"/>
            </w:tcBorders>
          </w:tcPr>
          <w:p w14:paraId="4FD4A8A8">
            <w:pPr>
              <w:snapToGrid w:val="0"/>
              <w:spacing w:line="360" w:lineRule="auto"/>
              <w:ind w:right="42" w:rightChars="20"/>
              <w:outlineLvl w:val="0"/>
              <w:rPr>
                <w:rFonts w:asciiTheme="minorEastAsia" w:hAnsiTheme="minorEastAsia" w:eastAsiaTheme="minorEastAsia"/>
                <w:color w:val="auto"/>
                <w:szCs w:val="21"/>
                <w:highlight w:val="none"/>
              </w:rPr>
            </w:pPr>
          </w:p>
        </w:tc>
        <w:tc>
          <w:tcPr>
            <w:tcW w:w="1849" w:type="dxa"/>
            <w:tcBorders>
              <w:top w:val="single" w:color="auto" w:sz="4" w:space="0"/>
              <w:left w:val="single" w:color="auto" w:sz="4" w:space="0"/>
              <w:bottom w:val="single" w:color="auto" w:sz="4" w:space="0"/>
              <w:right w:val="single" w:color="auto" w:sz="4" w:space="0"/>
            </w:tcBorders>
          </w:tcPr>
          <w:p w14:paraId="053095FF">
            <w:pPr>
              <w:snapToGrid w:val="0"/>
              <w:spacing w:line="360" w:lineRule="auto"/>
              <w:ind w:right="42" w:rightChars="20"/>
              <w:outlineLvl w:val="0"/>
              <w:rPr>
                <w:rFonts w:asciiTheme="minorEastAsia" w:hAnsiTheme="minorEastAsia" w:eastAsiaTheme="minorEastAsia"/>
                <w:color w:val="auto"/>
                <w:szCs w:val="21"/>
                <w:highlight w:val="none"/>
              </w:rPr>
            </w:pPr>
          </w:p>
        </w:tc>
        <w:tc>
          <w:tcPr>
            <w:tcW w:w="1456" w:type="dxa"/>
            <w:tcBorders>
              <w:top w:val="single" w:color="auto" w:sz="4" w:space="0"/>
              <w:left w:val="single" w:color="auto" w:sz="4" w:space="0"/>
              <w:bottom w:val="single" w:color="auto" w:sz="4" w:space="0"/>
              <w:right w:val="single" w:color="auto" w:sz="4" w:space="0"/>
            </w:tcBorders>
          </w:tcPr>
          <w:p w14:paraId="4C3231EA">
            <w:pPr>
              <w:snapToGrid w:val="0"/>
              <w:spacing w:line="360" w:lineRule="auto"/>
              <w:ind w:right="42" w:rightChars="20"/>
              <w:outlineLvl w:val="0"/>
              <w:rPr>
                <w:rFonts w:asciiTheme="minorEastAsia" w:hAnsiTheme="minorEastAsia" w:eastAsiaTheme="minorEastAsia"/>
                <w:color w:val="auto"/>
                <w:szCs w:val="21"/>
                <w:highlight w:val="none"/>
              </w:rPr>
            </w:pPr>
          </w:p>
        </w:tc>
      </w:tr>
      <w:tr w14:paraId="706388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jc w:val="center"/>
        </w:trPr>
        <w:tc>
          <w:tcPr>
            <w:tcW w:w="1577" w:type="dxa"/>
            <w:tcBorders>
              <w:top w:val="single" w:color="auto" w:sz="4" w:space="0"/>
              <w:left w:val="single" w:color="auto" w:sz="4" w:space="0"/>
              <w:bottom w:val="single" w:color="auto" w:sz="4" w:space="0"/>
              <w:right w:val="single" w:color="auto" w:sz="4" w:space="0"/>
            </w:tcBorders>
            <w:vAlign w:val="center"/>
          </w:tcPr>
          <w:p w14:paraId="63959C90">
            <w:pPr>
              <w:widowControl/>
              <w:spacing w:line="360" w:lineRule="auto"/>
              <w:ind w:right="42" w:rightChars="20"/>
              <w:rPr>
                <w:rFonts w:asciiTheme="minorEastAsia" w:hAnsiTheme="minorEastAsia" w:eastAsiaTheme="minorEastAsia"/>
                <w:color w:val="auto"/>
                <w:szCs w:val="21"/>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14:paraId="1630EC52">
            <w:pPr>
              <w:snapToGrid w:val="0"/>
              <w:spacing w:line="360" w:lineRule="auto"/>
              <w:ind w:right="42" w:rightChars="20"/>
              <w:outlineLvl w:val="0"/>
              <w:rPr>
                <w:rFonts w:asciiTheme="minorEastAsia" w:hAnsiTheme="minorEastAsia" w:eastAsiaTheme="minorEastAsia"/>
                <w:color w:val="auto"/>
                <w:szCs w:val="21"/>
                <w:highlight w:val="none"/>
              </w:rPr>
            </w:pPr>
          </w:p>
        </w:tc>
        <w:tc>
          <w:tcPr>
            <w:tcW w:w="1583" w:type="dxa"/>
            <w:tcBorders>
              <w:top w:val="single" w:color="auto" w:sz="4" w:space="0"/>
              <w:left w:val="single" w:color="auto" w:sz="4" w:space="0"/>
              <w:bottom w:val="single" w:color="auto" w:sz="4" w:space="0"/>
              <w:right w:val="single" w:color="auto" w:sz="4" w:space="0"/>
            </w:tcBorders>
          </w:tcPr>
          <w:p w14:paraId="5185FD01">
            <w:pPr>
              <w:snapToGrid w:val="0"/>
              <w:spacing w:line="360" w:lineRule="auto"/>
              <w:ind w:right="42" w:rightChars="20"/>
              <w:outlineLvl w:val="0"/>
              <w:rPr>
                <w:rFonts w:asciiTheme="minorEastAsia" w:hAnsiTheme="minorEastAsia" w:eastAsiaTheme="minorEastAsia"/>
                <w:color w:val="auto"/>
                <w:szCs w:val="21"/>
                <w:highlight w:val="none"/>
              </w:rPr>
            </w:pPr>
          </w:p>
        </w:tc>
        <w:tc>
          <w:tcPr>
            <w:tcW w:w="1849" w:type="dxa"/>
            <w:tcBorders>
              <w:top w:val="single" w:color="auto" w:sz="4" w:space="0"/>
              <w:left w:val="single" w:color="auto" w:sz="4" w:space="0"/>
              <w:bottom w:val="single" w:color="auto" w:sz="4" w:space="0"/>
              <w:right w:val="single" w:color="auto" w:sz="4" w:space="0"/>
            </w:tcBorders>
          </w:tcPr>
          <w:p w14:paraId="2FA94A57">
            <w:pPr>
              <w:snapToGrid w:val="0"/>
              <w:spacing w:line="360" w:lineRule="auto"/>
              <w:ind w:right="42" w:rightChars="20"/>
              <w:outlineLvl w:val="0"/>
              <w:rPr>
                <w:rFonts w:asciiTheme="minorEastAsia" w:hAnsiTheme="minorEastAsia" w:eastAsiaTheme="minorEastAsia"/>
                <w:color w:val="auto"/>
                <w:szCs w:val="21"/>
                <w:highlight w:val="none"/>
              </w:rPr>
            </w:pPr>
          </w:p>
        </w:tc>
        <w:tc>
          <w:tcPr>
            <w:tcW w:w="1456" w:type="dxa"/>
            <w:tcBorders>
              <w:top w:val="single" w:color="auto" w:sz="4" w:space="0"/>
              <w:left w:val="single" w:color="auto" w:sz="4" w:space="0"/>
              <w:bottom w:val="single" w:color="auto" w:sz="4" w:space="0"/>
              <w:right w:val="single" w:color="auto" w:sz="4" w:space="0"/>
            </w:tcBorders>
          </w:tcPr>
          <w:p w14:paraId="4F9D5AE5">
            <w:pPr>
              <w:snapToGrid w:val="0"/>
              <w:spacing w:line="360" w:lineRule="auto"/>
              <w:ind w:right="42" w:rightChars="20"/>
              <w:outlineLvl w:val="0"/>
              <w:rPr>
                <w:rFonts w:asciiTheme="minorEastAsia" w:hAnsiTheme="minorEastAsia" w:eastAsiaTheme="minorEastAsia"/>
                <w:color w:val="auto"/>
                <w:szCs w:val="21"/>
                <w:highlight w:val="none"/>
              </w:rPr>
            </w:pPr>
          </w:p>
        </w:tc>
      </w:tr>
      <w:tr w14:paraId="2D4C7C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jc w:val="center"/>
        </w:trPr>
        <w:tc>
          <w:tcPr>
            <w:tcW w:w="1577" w:type="dxa"/>
            <w:tcBorders>
              <w:top w:val="single" w:color="auto" w:sz="4" w:space="0"/>
              <w:left w:val="single" w:color="auto" w:sz="4" w:space="0"/>
              <w:bottom w:val="single" w:color="auto" w:sz="4" w:space="0"/>
              <w:right w:val="single" w:color="auto" w:sz="4" w:space="0"/>
            </w:tcBorders>
            <w:vAlign w:val="center"/>
          </w:tcPr>
          <w:p w14:paraId="20599674">
            <w:pPr>
              <w:snapToGrid w:val="0"/>
              <w:spacing w:before="159" w:beforeLines="50" w:after="159" w:afterLines="50" w:line="360" w:lineRule="auto"/>
              <w:ind w:right="42" w:rightChars="20"/>
              <w:outlineLvl w:val="0"/>
              <w:rPr>
                <w:rFonts w:asciiTheme="minorEastAsia" w:hAnsiTheme="minorEastAsia" w:eastAsiaTheme="minorEastAsia"/>
                <w:color w:val="auto"/>
                <w:szCs w:val="21"/>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14:paraId="3EA91966">
            <w:pPr>
              <w:snapToGrid w:val="0"/>
              <w:spacing w:line="360" w:lineRule="auto"/>
              <w:ind w:right="42" w:rightChars="20"/>
              <w:outlineLvl w:val="0"/>
              <w:rPr>
                <w:rFonts w:asciiTheme="minorEastAsia" w:hAnsiTheme="minorEastAsia" w:eastAsiaTheme="minorEastAsia"/>
                <w:color w:val="auto"/>
                <w:szCs w:val="21"/>
                <w:highlight w:val="none"/>
              </w:rPr>
            </w:pPr>
          </w:p>
        </w:tc>
        <w:tc>
          <w:tcPr>
            <w:tcW w:w="1583" w:type="dxa"/>
            <w:tcBorders>
              <w:top w:val="single" w:color="auto" w:sz="4" w:space="0"/>
              <w:left w:val="single" w:color="auto" w:sz="4" w:space="0"/>
              <w:bottom w:val="single" w:color="auto" w:sz="4" w:space="0"/>
              <w:right w:val="single" w:color="auto" w:sz="4" w:space="0"/>
            </w:tcBorders>
          </w:tcPr>
          <w:p w14:paraId="6B8B3232">
            <w:pPr>
              <w:snapToGrid w:val="0"/>
              <w:spacing w:line="360" w:lineRule="auto"/>
              <w:ind w:right="42" w:rightChars="20"/>
              <w:outlineLvl w:val="0"/>
              <w:rPr>
                <w:rFonts w:asciiTheme="minorEastAsia" w:hAnsiTheme="minorEastAsia" w:eastAsiaTheme="minorEastAsia"/>
                <w:color w:val="auto"/>
                <w:szCs w:val="21"/>
                <w:highlight w:val="none"/>
              </w:rPr>
            </w:pPr>
          </w:p>
        </w:tc>
        <w:tc>
          <w:tcPr>
            <w:tcW w:w="1849" w:type="dxa"/>
            <w:tcBorders>
              <w:top w:val="single" w:color="auto" w:sz="4" w:space="0"/>
              <w:left w:val="single" w:color="auto" w:sz="4" w:space="0"/>
              <w:bottom w:val="single" w:color="auto" w:sz="4" w:space="0"/>
              <w:right w:val="single" w:color="auto" w:sz="4" w:space="0"/>
            </w:tcBorders>
          </w:tcPr>
          <w:p w14:paraId="09001129">
            <w:pPr>
              <w:snapToGrid w:val="0"/>
              <w:spacing w:line="360" w:lineRule="auto"/>
              <w:ind w:right="42" w:rightChars="20"/>
              <w:outlineLvl w:val="0"/>
              <w:rPr>
                <w:rFonts w:asciiTheme="minorEastAsia" w:hAnsiTheme="minorEastAsia" w:eastAsiaTheme="minorEastAsia"/>
                <w:color w:val="auto"/>
                <w:szCs w:val="21"/>
                <w:highlight w:val="none"/>
              </w:rPr>
            </w:pPr>
          </w:p>
        </w:tc>
        <w:tc>
          <w:tcPr>
            <w:tcW w:w="1456" w:type="dxa"/>
            <w:tcBorders>
              <w:top w:val="single" w:color="auto" w:sz="4" w:space="0"/>
              <w:left w:val="single" w:color="auto" w:sz="4" w:space="0"/>
              <w:bottom w:val="single" w:color="auto" w:sz="4" w:space="0"/>
              <w:right w:val="single" w:color="auto" w:sz="4" w:space="0"/>
            </w:tcBorders>
          </w:tcPr>
          <w:p w14:paraId="4299C1E9">
            <w:pPr>
              <w:snapToGrid w:val="0"/>
              <w:spacing w:line="360" w:lineRule="auto"/>
              <w:ind w:right="42" w:rightChars="20"/>
              <w:outlineLvl w:val="0"/>
              <w:rPr>
                <w:rFonts w:asciiTheme="minorEastAsia" w:hAnsiTheme="minorEastAsia" w:eastAsiaTheme="minorEastAsia"/>
                <w:color w:val="auto"/>
                <w:szCs w:val="21"/>
                <w:highlight w:val="none"/>
              </w:rPr>
            </w:pPr>
          </w:p>
        </w:tc>
      </w:tr>
      <w:tr w14:paraId="2A3A09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jc w:val="center"/>
        </w:trPr>
        <w:tc>
          <w:tcPr>
            <w:tcW w:w="1577" w:type="dxa"/>
            <w:tcBorders>
              <w:top w:val="single" w:color="auto" w:sz="4" w:space="0"/>
              <w:left w:val="single" w:color="auto" w:sz="4" w:space="0"/>
              <w:bottom w:val="single" w:color="auto" w:sz="4" w:space="0"/>
              <w:right w:val="single" w:color="auto" w:sz="4" w:space="0"/>
            </w:tcBorders>
            <w:vAlign w:val="center"/>
          </w:tcPr>
          <w:p w14:paraId="157CFBCC">
            <w:pPr>
              <w:snapToGrid w:val="0"/>
              <w:spacing w:before="159" w:beforeLines="50" w:after="159" w:afterLines="50" w:line="360" w:lineRule="auto"/>
              <w:ind w:right="42" w:rightChars="20"/>
              <w:outlineLvl w:val="0"/>
              <w:rPr>
                <w:rFonts w:asciiTheme="minorEastAsia" w:hAnsiTheme="minorEastAsia" w:eastAsiaTheme="minorEastAsia"/>
                <w:color w:val="auto"/>
                <w:szCs w:val="21"/>
                <w:highlight w:val="none"/>
              </w:rPr>
            </w:pPr>
          </w:p>
        </w:tc>
        <w:tc>
          <w:tcPr>
            <w:tcW w:w="2475" w:type="dxa"/>
            <w:tcBorders>
              <w:top w:val="single" w:color="auto" w:sz="4" w:space="0"/>
              <w:left w:val="single" w:color="auto" w:sz="4" w:space="0"/>
              <w:bottom w:val="single" w:color="auto" w:sz="4" w:space="0"/>
              <w:right w:val="single" w:color="auto" w:sz="4" w:space="0"/>
            </w:tcBorders>
            <w:vAlign w:val="center"/>
          </w:tcPr>
          <w:p w14:paraId="0B4AF2B7">
            <w:pPr>
              <w:snapToGrid w:val="0"/>
              <w:spacing w:line="360" w:lineRule="auto"/>
              <w:ind w:right="42" w:rightChars="20"/>
              <w:outlineLvl w:val="0"/>
              <w:rPr>
                <w:rFonts w:asciiTheme="minorEastAsia" w:hAnsiTheme="minorEastAsia" w:eastAsiaTheme="minorEastAsia"/>
                <w:color w:val="auto"/>
                <w:szCs w:val="21"/>
                <w:highlight w:val="none"/>
              </w:rPr>
            </w:pPr>
          </w:p>
        </w:tc>
        <w:tc>
          <w:tcPr>
            <w:tcW w:w="1583" w:type="dxa"/>
            <w:tcBorders>
              <w:top w:val="single" w:color="auto" w:sz="4" w:space="0"/>
              <w:left w:val="single" w:color="auto" w:sz="4" w:space="0"/>
              <w:bottom w:val="single" w:color="auto" w:sz="4" w:space="0"/>
              <w:right w:val="single" w:color="auto" w:sz="4" w:space="0"/>
            </w:tcBorders>
          </w:tcPr>
          <w:p w14:paraId="42AEC5B5">
            <w:pPr>
              <w:snapToGrid w:val="0"/>
              <w:spacing w:line="360" w:lineRule="auto"/>
              <w:ind w:right="42" w:rightChars="20"/>
              <w:outlineLvl w:val="0"/>
              <w:rPr>
                <w:rFonts w:asciiTheme="minorEastAsia" w:hAnsiTheme="minorEastAsia" w:eastAsiaTheme="minorEastAsia"/>
                <w:color w:val="auto"/>
                <w:szCs w:val="21"/>
                <w:highlight w:val="none"/>
              </w:rPr>
            </w:pPr>
          </w:p>
        </w:tc>
        <w:tc>
          <w:tcPr>
            <w:tcW w:w="1849" w:type="dxa"/>
            <w:tcBorders>
              <w:top w:val="single" w:color="auto" w:sz="4" w:space="0"/>
              <w:left w:val="single" w:color="auto" w:sz="4" w:space="0"/>
              <w:bottom w:val="single" w:color="auto" w:sz="4" w:space="0"/>
              <w:right w:val="single" w:color="auto" w:sz="4" w:space="0"/>
            </w:tcBorders>
          </w:tcPr>
          <w:p w14:paraId="75CB3BFA">
            <w:pPr>
              <w:snapToGrid w:val="0"/>
              <w:spacing w:line="360" w:lineRule="auto"/>
              <w:ind w:right="42" w:rightChars="20"/>
              <w:outlineLvl w:val="0"/>
              <w:rPr>
                <w:rFonts w:asciiTheme="minorEastAsia" w:hAnsiTheme="minorEastAsia" w:eastAsiaTheme="minorEastAsia"/>
                <w:color w:val="auto"/>
                <w:szCs w:val="21"/>
                <w:highlight w:val="none"/>
              </w:rPr>
            </w:pPr>
          </w:p>
        </w:tc>
        <w:tc>
          <w:tcPr>
            <w:tcW w:w="1456" w:type="dxa"/>
            <w:tcBorders>
              <w:top w:val="single" w:color="auto" w:sz="4" w:space="0"/>
              <w:left w:val="single" w:color="auto" w:sz="4" w:space="0"/>
              <w:bottom w:val="single" w:color="auto" w:sz="4" w:space="0"/>
              <w:right w:val="single" w:color="auto" w:sz="4" w:space="0"/>
            </w:tcBorders>
          </w:tcPr>
          <w:p w14:paraId="033B9F43">
            <w:pPr>
              <w:snapToGrid w:val="0"/>
              <w:spacing w:line="360" w:lineRule="auto"/>
              <w:ind w:right="42" w:rightChars="20"/>
              <w:outlineLvl w:val="0"/>
              <w:rPr>
                <w:rFonts w:asciiTheme="minorEastAsia" w:hAnsiTheme="minorEastAsia" w:eastAsiaTheme="minorEastAsia"/>
                <w:color w:val="auto"/>
                <w:szCs w:val="21"/>
                <w:highlight w:val="none"/>
              </w:rPr>
            </w:pPr>
          </w:p>
        </w:tc>
      </w:tr>
    </w:tbl>
    <w:p w14:paraId="1380C2F9">
      <w:pPr>
        <w:pStyle w:val="27"/>
        <w:keepNext w:val="0"/>
        <w:keepLines w:val="0"/>
        <w:pageBreakBefore w:val="0"/>
        <w:widowControl w:val="0"/>
        <w:kinsoku/>
        <w:wordWrap/>
        <w:overflowPunct/>
        <w:topLinePunct w:val="0"/>
        <w:autoSpaceDE/>
        <w:autoSpaceDN/>
        <w:bidi w:val="0"/>
        <w:adjustRightInd/>
        <w:snapToGrid/>
        <w:spacing w:line="240" w:lineRule="auto"/>
        <w:ind w:right="42" w:rightChars="20"/>
        <w:jc w:val="left"/>
        <w:textAlignment w:val="auto"/>
        <w:rPr>
          <w:rFonts w:hint="eastAsia" w:cs="Times New Roman" w:asciiTheme="minorEastAsia" w:hAnsiTheme="minorEastAsia" w:eastAsiaTheme="minorEastAsia"/>
          <w:color w:val="auto"/>
          <w:szCs w:val="21"/>
          <w:highlight w:val="none"/>
        </w:rPr>
      </w:pPr>
      <w:r>
        <w:rPr>
          <w:rFonts w:hint="eastAsia" w:cs="Times New Roman" w:asciiTheme="minorEastAsia" w:hAnsiTheme="minorEastAsia" w:eastAsiaTheme="minorEastAsia"/>
          <w:color w:val="auto"/>
          <w:szCs w:val="21"/>
          <w:highlight w:val="none"/>
        </w:rPr>
        <w:t>注：1.投标人应根据投标产品的性能指标、对照招标文件要求在“偏离情况”栏注明“正偏离”、“负偏离”或“无偏离”。</w:t>
      </w:r>
    </w:p>
    <w:p w14:paraId="1412B350">
      <w:pPr>
        <w:pStyle w:val="27"/>
        <w:keepNext w:val="0"/>
        <w:keepLines w:val="0"/>
        <w:pageBreakBefore w:val="0"/>
        <w:widowControl w:val="0"/>
        <w:kinsoku/>
        <w:wordWrap/>
        <w:overflowPunct/>
        <w:topLinePunct w:val="0"/>
        <w:autoSpaceDE/>
        <w:autoSpaceDN/>
        <w:bidi w:val="0"/>
        <w:adjustRightInd/>
        <w:snapToGrid/>
        <w:spacing w:line="240" w:lineRule="auto"/>
        <w:ind w:right="42" w:rightChars="20"/>
        <w:jc w:val="left"/>
        <w:textAlignment w:val="auto"/>
        <w:rPr>
          <w:rFonts w:hint="eastAsia" w:cs="Times New Roman" w:asciiTheme="minorEastAsia" w:hAnsiTheme="minorEastAsia" w:eastAsiaTheme="minorEastAsia"/>
          <w:color w:val="auto"/>
          <w:szCs w:val="21"/>
          <w:highlight w:val="none"/>
        </w:rPr>
      </w:pPr>
      <w:r>
        <w:rPr>
          <w:rFonts w:hint="eastAsia" w:cs="Times New Roman" w:asciiTheme="minorEastAsia" w:hAnsiTheme="minorEastAsia" w:eastAsiaTheme="minorEastAsia"/>
          <w:color w:val="auto"/>
          <w:szCs w:val="21"/>
          <w:highlight w:val="none"/>
          <w:lang w:val="en-US" w:eastAsia="zh-CN"/>
        </w:rPr>
        <w:t>2.</w:t>
      </w:r>
      <w:r>
        <w:rPr>
          <w:rFonts w:hint="eastAsia" w:cs="Times New Roman" w:asciiTheme="minorEastAsia" w:hAnsiTheme="minorEastAsia" w:eastAsiaTheme="minorEastAsia"/>
          <w:color w:val="auto"/>
          <w:szCs w:val="21"/>
          <w:highlight w:val="none"/>
        </w:rPr>
        <w:t>投标人需对上述偏离情况负责，不得虚假应标。</w:t>
      </w:r>
    </w:p>
    <w:p w14:paraId="7B0DCD06">
      <w:pPr>
        <w:pStyle w:val="27"/>
        <w:keepNext w:val="0"/>
        <w:keepLines w:val="0"/>
        <w:pageBreakBefore w:val="0"/>
        <w:widowControl w:val="0"/>
        <w:kinsoku/>
        <w:wordWrap/>
        <w:overflowPunct/>
        <w:topLinePunct w:val="0"/>
        <w:autoSpaceDE/>
        <w:autoSpaceDN/>
        <w:bidi w:val="0"/>
        <w:adjustRightInd/>
        <w:snapToGrid/>
        <w:spacing w:line="240" w:lineRule="auto"/>
        <w:ind w:right="42" w:rightChars="20"/>
        <w:jc w:val="left"/>
        <w:textAlignment w:val="auto"/>
        <w:rPr>
          <w:rFonts w:hint="eastAsia" w:cs="Times New Roman" w:asciiTheme="minorEastAsia" w:hAnsiTheme="minorEastAsia" w:eastAsiaTheme="minorEastAsia"/>
          <w:color w:val="auto"/>
          <w:szCs w:val="21"/>
          <w:highlight w:val="none"/>
        </w:rPr>
      </w:pPr>
      <w:r>
        <w:rPr>
          <w:rFonts w:hint="eastAsia" w:cs="Times New Roman" w:asciiTheme="minorEastAsia" w:hAnsiTheme="minorEastAsia" w:eastAsiaTheme="minorEastAsia"/>
          <w:color w:val="auto"/>
          <w:szCs w:val="21"/>
          <w:highlight w:val="none"/>
          <w:lang w:val="en-US" w:eastAsia="zh-CN"/>
        </w:rPr>
        <w:t>3.</w:t>
      </w:r>
      <w:r>
        <w:rPr>
          <w:rFonts w:hint="eastAsia" w:cs="Times New Roman" w:asciiTheme="minorEastAsia" w:hAnsiTheme="minorEastAsia" w:eastAsiaTheme="minorEastAsia"/>
          <w:color w:val="auto"/>
          <w:szCs w:val="21"/>
          <w:highlight w:val="none"/>
        </w:rPr>
        <w:t>▲不</w:t>
      </w:r>
      <w:r>
        <w:rPr>
          <w:rFonts w:hint="eastAsia" w:cs="Times New Roman" w:asciiTheme="minorEastAsia" w:hAnsiTheme="minorEastAsia" w:eastAsiaTheme="minorEastAsia"/>
          <w:color w:val="auto"/>
          <w:szCs w:val="21"/>
          <w:highlight w:val="none"/>
          <w:lang w:val="en-US" w:eastAsia="zh-CN"/>
        </w:rPr>
        <w:t>填写</w:t>
      </w:r>
      <w:r>
        <w:rPr>
          <w:rFonts w:hint="eastAsia" w:cs="Times New Roman" w:asciiTheme="minorEastAsia" w:hAnsiTheme="minorEastAsia" w:eastAsiaTheme="minorEastAsia"/>
          <w:color w:val="auto"/>
          <w:szCs w:val="21"/>
          <w:highlight w:val="none"/>
        </w:rPr>
        <w:t>本表视为完全响应招标文件要求</w:t>
      </w:r>
      <w:r>
        <w:rPr>
          <w:rFonts w:hint="eastAsia" w:cs="Times New Roman" w:asciiTheme="minorEastAsia" w:hAnsiTheme="minorEastAsia" w:eastAsiaTheme="minorEastAsia"/>
          <w:color w:val="auto"/>
          <w:szCs w:val="21"/>
          <w:highlight w:val="none"/>
          <w:lang w:eastAsia="zh-CN"/>
        </w:rPr>
        <w:t>，</w:t>
      </w:r>
      <w:r>
        <w:rPr>
          <w:rFonts w:hint="eastAsia" w:cs="Times New Roman" w:asciiTheme="minorEastAsia" w:hAnsiTheme="minorEastAsia" w:eastAsiaTheme="minorEastAsia"/>
          <w:color w:val="auto"/>
          <w:szCs w:val="21"/>
          <w:highlight w:val="none"/>
          <w:lang w:val="en-US" w:eastAsia="zh-CN"/>
        </w:rPr>
        <w:t>但不得删除本表</w:t>
      </w:r>
      <w:r>
        <w:rPr>
          <w:rFonts w:hint="eastAsia" w:cs="Times New Roman" w:asciiTheme="minorEastAsia" w:hAnsiTheme="minorEastAsia" w:eastAsiaTheme="minorEastAsia"/>
          <w:color w:val="auto"/>
          <w:szCs w:val="21"/>
          <w:highlight w:val="none"/>
        </w:rPr>
        <w:t>。</w:t>
      </w:r>
    </w:p>
    <w:p w14:paraId="532D8A3B">
      <w:pPr>
        <w:pStyle w:val="168"/>
        <w:snapToGrid w:val="0"/>
        <w:spacing w:line="360" w:lineRule="auto"/>
        <w:ind w:right="42" w:rightChars="20" w:firstLine="2100" w:firstLineChars="1000"/>
        <w:jc w:val="left"/>
        <w:rPr>
          <w:rFonts w:hint="eastAsia" w:asciiTheme="minorEastAsia" w:hAnsiTheme="minorEastAsia" w:eastAsiaTheme="minorEastAsia"/>
          <w:color w:val="auto"/>
          <w:sz w:val="21"/>
          <w:szCs w:val="21"/>
          <w:highlight w:val="none"/>
        </w:rPr>
      </w:pPr>
    </w:p>
    <w:p w14:paraId="50E2C4C1">
      <w:pPr>
        <w:pStyle w:val="168"/>
        <w:snapToGrid w:val="0"/>
        <w:spacing w:line="360" w:lineRule="auto"/>
        <w:ind w:right="42" w:rightChars="20" w:firstLine="2100" w:firstLineChars="10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法定代表人或其授权代表签字（或盖章）</w:t>
      </w:r>
      <w:r>
        <w:rPr>
          <w:rFonts w:asciiTheme="minorEastAsia" w:hAnsiTheme="minorEastAsia" w:eastAsiaTheme="minorEastAsia"/>
          <w:color w:val="auto"/>
          <w:sz w:val="21"/>
          <w:szCs w:val="21"/>
          <w:highlight w:val="none"/>
        </w:rPr>
        <w:t>：</w:t>
      </w:r>
    </w:p>
    <w:p w14:paraId="58ED1BC2">
      <w:pPr>
        <w:adjustRightInd w:val="0"/>
        <w:spacing w:line="360" w:lineRule="auto"/>
        <w:ind w:right="42" w:rightChars="20" w:firstLine="2310" w:firstLineChars="1100"/>
        <w:textAlignment w:val="baseline"/>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w:t>
      </w:r>
      <w:r>
        <w:rPr>
          <w:rFonts w:hint="eastAsia" w:asciiTheme="minorEastAsia" w:hAnsiTheme="minorEastAsia" w:eastAsiaTheme="minorEastAsia"/>
          <w:color w:val="auto"/>
          <w:szCs w:val="21"/>
          <w:highlight w:val="none"/>
          <w:shd w:val="clear" w:color="auto" w:fill="FFFFFF"/>
        </w:rPr>
        <w:t>CA签章</w:t>
      </w:r>
      <w:r>
        <w:rPr>
          <w:rFonts w:hint="eastAsia" w:asciiTheme="minorEastAsia" w:hAnsiTheme="minorEastAsia" w:eastAsiaTheme="minorEastAsia"/>
          <w:color w:val="auto"/>
          <w:szCs w:val="21"/>
          <w:highlight w:val="none"/>
        </w:rPr>
        <w:t>）： 年  月  日</w:t>
      </w:r>
    </w:p>
    <w:p w14:paraId="64086798">
      <w:pPr>
        <w:pStyle w:val="101"/>
        <w:rPr>
          <w:color w:val="auto"/>
          <w:highlight w:val="none"/>
        </w:rPr>
        <w:sectPr>
          <w:pgSz w:w="11905" w:h="16838"/>
          <w:pgMar w:top="1440" w:right="1803" w:bottom="1440" w:left="1803" w:header="851" w:footer="992" w:gutter="0"/>
          <w:cols w:space="0" w:num="1"/>
          <w:docGrid w:type="lines" w:linePitch="319" w:charSpace="0"/>
        </w:sectPr>
      </w:pPr>
    </w:p>
    <w:p w14:paraId="3F98E826">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项目实施人员一览表</w:t>
      </w:r>
    </w:p>
    <w:p w14:paraId="4319EFED">
      <w:pPr>
        <w:snapToGrid w:val="0"/>
        <w:spacing w:line="360" w:lineRule="auto"/>
        <w:ind w:right="42" w:rightChars="20" w:firstLine="422" w:firstLineChars="200"/>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项目实施人员（主要从业人员及其技术资格）一览表</w:t>
      </w:r>
    </w:p>
    <w:tbl>
      <w:tblPr>
        <w:tblStyle w:val="53"/>
        <w:tblW w:w="853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620"/>
        <w:gridCol w:w="1980"/>
      </w:tblGrid>
      <w:tr w14:paraId="58A5C3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0ED73D70">
            <w:pPr>
              <w:snapToGrid w:val="0"/>
              <w:spacing w:line="360" w:lineRule="auto"/>
              <w:ind w:right="42" w:rightChars="2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28282448">
            <w:pPr>
              <w:snapToGrid w:val="0"/>
              <w:spacing w:line="360" w:lineRule="auto"/>
              <w:ind w:right="42" w:rightChars="2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2CC9C1D6">
            <w:pPr>
              <w:snapToGrid w:val="0"/>
              <w:spacing w:line="360" w:lineRule="auto"/>
              <w:ind w:right="42" w:rightChars="2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50267B17">
            <w:pPr>
              <w:snapToGrid w:val="0"/>
              <w:spacing w:line="360" w:lineRule="auto"/>
              <w:ind w:right="42" w:rightChars="2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证书编号</w:t>
            </w:r>
          </w:p>
        </w:tc>
        <w:tc>
          <w:tcPr>
            <w:tcW w:w="1620" w:type="dxa"/>
            <w:tcBorders>
              <w:top w:val="single" w:color="auto" w:sz="4" w:space="0"/>
              <w:left w:val="single" w:color="auto" w:sz="4" w:space="0"/>
              <w:bottom w:val="single" w:color="auto" w:sz="4" w:space="0"/>
              <w:right w:val="single" w:color="auto" w:sz="4" w:space="0"/>
            </w:tcBorders>
            <w:vAlign w:val="center"/>
          </w:tcPr>
          <w:p w14:paraId="54D85C67">
            <w:pPr>
              <w:snapToGrid w:val="0"/>
              <w:spacing w:line="360" w:lineRule="auto"/>
              <w:ind w:right="42" w:rightChars="20"/>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参加本单位工作时间</w:t>
            </w:r>
          </w:p>
        </w:tc>
        <w:tc>
          <w:tcPr>
            <w:tcW w:w="1980" w:type="dxa"/>
            <w:tcBorders>
              <w:top w:val="single" w:color="auto" w:sz="4" w:space="0"/>
              <w:left w:val="single" w:color="auto" w:sz="4" w:space="0"/>
              <w:bottom w:val="single" w:color="auto" w:sz="4" w:space="0"/>
              <w:right w:val="single" w:color="auto" w:sz="4" w:space="0"/>
            </w:tcBorders>
            <w:vAlign w:val="center"/>
          </w:tcPr>
          <w:p w14:paraId="2B7BC8BC">
            <w:pPr>
              <w:snapToGrid w:val="0"/>
              <w:spacing w:line="360" w:lineRule="auto"/>
              <w:ind w:right="42" w:rightChars="20"/>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本项目中工作职责</w:t>
            </w:r>
          </w:p>
        </w:tc>
      </w:tr>
      <w:tr w14:paraId="01F196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0DED7043">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14:paraId="131B508C">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663" w:type="dxa"/>
            <w:tcBorders>
              <w:top w:val="single" w:color="auto" w:sz="4" w:space="0"/>
              <w:left w:val="single" w:color="auto" w:sz="4" w:space="0"/>
              <w:bottom w:val="single" w:color="auto" w:sz="4" w:space="0"/>
              <w:right w:val="single" w:color="auto" w:sz="4" w:space="0"/>
            </w:tcBorders>
            <w:vAlign w:val="center"/>
          </w:tcPr>
          <w:p w14:paraId="19F91CF2">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B6E1E7C">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5328AB82">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2B41C725">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项目负责人</w:t>
            </w:r>
          </w:p>
        </w:tc>
      </w:tr>
      <w:tr w14:paraId="161994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08D0613B">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14:paraId="768C080B">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663" w:type="dxa"/>
            <w:tcBorders>
              <w:top w:val="single" w:color="auto" w:sz="4" w:space="0"/>
              <w:left w:val="single" w:color="auto" w:sz="4" w:space="0"/>
              <w:bottom w:val="single" w:color="auto" w:sz="4" w:space="0"/>
              <w:right w:val="single" w:color="auto" w:sz="4" w:space="0"/>
            </w:tcBorders>
            <w:vAlign w:val="center"/>
          </w:tcPr>
          <w:p w14:paraId="4C49E90B">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E6B6E17">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0684684C">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75F8DABB">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r>
      <w:tr w14:paraId="1FC6E0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3121A38D">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14:paraId="099AD634">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663" w:type="dxa"/>
            <w:tcBorders>
              <w:top w:val="single" w:color="auto" w:sz="4" w:space="0"/>
              <w:left w:val="single" w:color="auto" w:sz="4" w:space="0"/>
              <w:bottom w:val="single" w:color="auto" w:sz="4" w:space="0"/>
              <w:right w:val="single" w:color="auto" w:sz="4" w:space="0"/>
            </w:tcBorders>
            <w:vAlign w:val="center"/>
          </w:tcPr>
          <w:p w14:paraId="3030198A">
            <w:pPr>
              <w:pStyle w:val="29"/>
              <w:snapToGrid w:val="0"/>
              <w:spacing w:line="360" w:lineRule="auto"/>
              <w:ind w:leftChars="0" w:right="42" w:rightChars="20" w:firstLine="420" w:firstLineChars="200"/>
              <w:jc w:val="center"/>
              <w:rPr>
                <w:rFonts w:asciiTheme="minorEastAsia" w:hAnsiTheme="minorEastAsia" w:eastAsiaTheme="minorEastAsia"/>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7D02FA7">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723E4C12">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13EA9F9D">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r>
      <w:tr w14:paraId="78ABBC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574FC432">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14:paraId="681FA9C4">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663" w:type="dxa"/>
            <w:tcBorders>
              <w:top w:val="single" w:color="auto" w:sz="4" w:space="0"/>
              <w:left w:val="single" w:color="auto" w:sz="4" w:space="0"/>
              <w:bottom w:val="single" w:color="auto" w:sz="4" w:space="0"/>
              <w:right w:val="single" w:color="auto" w:sz="4" w:space="0"/>
            </w:tcBorders>
            <w:vAlign w:val="center"/>
          </w:tcPr>
          <w:p w14:paraId="18B40A11">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2EB84DC">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2D3A1A94">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773BAFC7">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r>
      <w:tr w14:paraId="54F94A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75510986">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14:paraId="5D2005A1">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663" w:type="dxa"/>
            <w:tcBorders>
              <w:top w:val="single" w:color="auto" w:sz="4" w:space="0"/>
              <w:left w:val="single" w:color="auto" w:sz="4" w:space="0"/>
              <w:bottom w:val="single" w:color="auto" w:sz="4" w:space="0"/>
              <w:right w:val="single" w:color="auto" w:sz="4" w:space="0"/>
            </w:tcBorders>
            <w:vAlign w:val="center"/>
          </w:tcPr>
          <w:p w14:paraId="62E3DD92">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106E469">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7533E592">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699606AF">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r>
      <w:tr w14:paraId="4D918F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1F5112E3">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14:paraId="5E17E2DC">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663" w:type="dxa"/>
            <w:tcBorders>
              <w:top w:val="single" w:color="auto" w:sz="4" w:space="0"/>
              <w:left w:val="single" w:color="auto" w:sz="4" w:space="0"/>
              <w:bottom w:val="single" w:color="auto" w:sz="4" w:space="0"/>
              <w:right w:val="single" w:color="auto" w:sz="4" w:space="0"/>
            </w:tcBorders>
            <w:vAlign w:val="center"/>
          </w:tcPr>
          <w:p w14:paraId="57BD7823">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6F3860F">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64EDED66">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0604C48C">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r>
      <w:tr w14:paraId="70BEE5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4EC418B5">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14:paraId="780BFBCC">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663" w:type="dxa"/>
            <w:tcBorders>
              <w:top w:val="single" w:color="auto" w:sz="4" w:space="0"/>
              <w:left w:val="single" w:color="auto" w:sz="4" w:space="0"/>
              <w:bottom w:val="single" w:color="auto" w:sz="4" w:space="0"/>
              <w:right w:val="single" w:color="auto" w:sz="4" w:space="0"/>
            </w:tcBorders>
            <w:vAlign w:val="center"/>
          </w:tcPr>
          <w:p w14:paraId="0211C0E7">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33A289E">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42053974">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521C8534">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r>
      <w:tr w14:paraId="5EE13B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7684A47E">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14:paraId="27B23BD3">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663" w:type="dxa"/>
            <w:tcBorders>
              <w:top w:val="single" w:color="auto" w:sz="4" w:space="0"/>
              <w:left w:val="single" w:color="auto" w:sz="4" w:space="0"/>
              <w:bottom w:val="single" w:color="auto" w:sz="4" w:space="0"/>
              <w:right w:val="single" w:color="auto" w:sz="4" w:space="0"/>
            </w:tcBorders>
            <w:vAlign w:val="center"/>
          </w:tcPr>
          <w:p w14:paraId="58045842">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A607C">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52402FF4">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01B716E4">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r>
      <w:tr w14:paraId="6BA361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07443C44">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004" w:type="dxa"/>
            <w:tcBorders>
              <w:top w:val="single" w:color="auto" w:sz="4" w:space="0"/>
              <w:left w:val="single" w:color="auto" w:sz="4" w:space="0"/>
              <w:bottom w:val="single" w:color="auto" w:sz="4" w:space="0"/>
              <w:right w:val="single" w:color="auto" w:sz="4" w:space="0"/>
            </w:tcBorders>
            <w:vAlign w:val="center"/>
          </w:tcPr>
          <w:p w14:paraId="08005F6A">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663" w:type="dxa"/>
            <w:tcBorders>
              <w:top w:val="single" w:color="auto" w:sz="4" w:space="0"/>
              <w:left w:val="single" w:color="auto" w:sz="4" w:space="0"/>
              <w:bottom w:val="single" w:color="auto" w:sz="4" w:space="0"/>
              <w:right w:val="single" w:color="auto" w:sz="4" w:space="0"/>
            </w:tcBorders>
            <w:vAlign w:val="center"/>
          </w:tcPr>
          <w:p w14:paraId="7CA1296E">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346CCB0">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333E8E17">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25B46C82">
            <w:pPr>
              <w:snapToGrid w:val="0"/>
              <w:spacing w:line="360" w:lineRule="auto"/>
              <w:ind w:right="42" w:rightChars="20" w:firstLine="420" w:firstLineChars="200"/>
              <w:jc w:val="center"/>
              <w:rPr>
                <w:rFonts w:asciiTheme="minorEastAsia" w:hAnsiTheme="minorEastAsia" w:eastAsiaTheme="minorEastAsia"/>
                <w:color w:val="auto"/>
                <w:szCs w:val="21"/>
                <w:highlight w:val="none"/>
              </w:rPr>
            </w:pPr>
          </w:p>
        </w:tc>
      </w:tr>
    </w:tbl>
    <w:p w14:paraId="555F07B8">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注：在填写时，如本表格不适合投标单位的实际情况，可根据本表格式自行划表填写。</w:t>
      </w:r>
    </w:p>
    <w:p w14:paraId="48C5B398">
      <w:pPr>
        <w:snapToGrid w:val="0"/>
        <w:spacing w:line="360" w:lineRule="auto"/>
        <w:ind w:right="42" w:rightChars="20" w:firstLine="420" w:firstLineChars="200"/>
        <w:jc w:val="left"/>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zCs w:val="21"/>
          <w:highlight w:val="none"/>
        </w:rPr>
        <w:t>法定代表人或其委托代理人签名（或盖章）</w:t>
      </w:r>
      <w:r>
        <w:rPr>
          <w:rFonts w:hint="eastAsia" w:asciiTheme="minorEastAsia" w:hAnsiTheme="minorEastAsia" w:eastAsiaTheme="minorEastAsia"/>
          <w:color w:val="auto"/>
          <w:spacing w:val="20"/>
          <w:szCs w:val="21"/>
          <w:highlight w:val="none"/>
        </w:rPr>
        <w:t>：</w:t>
      </w:r>
    </w:p>
    <w:p w14:paraId="37F76137">
      <w:pPr>
        <w:snapToGrid w:val="0"/>
        <w:spacing w:line="360" w:lineRule="auto"/>
        <w:ind w:right="42" w:rightChars="20" w:firstLine="500" w:firstLineChars="200"/>
        <w:jc w:val="left"/>
        <w:rPr>
          <w:rFonts w:asciiTheme="minorEastAsia" w:hAnsiTheme="minorEastAsia" w:eastAsiaTheme="minorEastAsia"/>
          <w:color w:val="auto"/>
          <w:spacing w:val="20"/>
          <w:szCs w:val="21"/>
          <w:highlight w:val="none"/>
        </w:rPr>
      </w:pPr>
      <w:r>
        <w:rPr>
          <w:rFonts w:hint="eastAsia" w:asciiTheme="minorEastAsia" w:hAnsiTheme="minorEastAsia" w:eastAsiaTheme="minorEastAsia"/>
          <w:color w:val="auto"/>
          <w:spacing w:val="20"/>
          <w:szCs w:val="21"/>
          <w:highlight w:val="none"/>
        </w:rPr>
        <w:t>投标人（</w:t>
      </w:r>
      <w:r>
        <w:rPr>
          <w:rFonts w:hint="eastAsia" w:asciiTheme="minorEastAsia" w:hAnsiTheme="minorEastAsia" w:eastAsiaTheme="minorEastAsia"/>
          <w:color w:val="auto"/>
          <w:szCs w:val="21"/>
          <w:highlight w:val="none"/>
          <w:shd w:val="clear" w:color="auto" w:fill="FFFFFF"/>
        </w:rPr>
        <w:t>CA签章</w:t>
      </w:r>
      <w:r>
        <w:rPr>
          <w:rFonts w:hint="eastAsia" w:asciiTheme="minorEastAsia" w:hAnsiTheme="minorEastAsia" w:eastAsiaTheme="minorEastAsia"/>
          <w:color w:val="auto"/>
          <w:spacing w:val="20"/>
          <w:szCs w:val="21"/>
          <w:highlight w:val="none"/>
        </w:rPr>
        <w:t>）：</w:t>
      </w:r>
    </w:p>
    <w:p w14:paraId="2FC9647D">
      <w:pPr>
        <w:snapToGrid w:val="0"/>
        <w:spacing w:line="360" w:lineRule="auto"/>
        <w:ind w:right="42" w:rightChars="20" w:firstLine="500" w:firstLineChars="200"/>
        <w:jc w:val="left"/>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Cs w:val="21"/>
          <w:highlight w:val="none"/>
        </w:rPr>
        <w:t>日期：</w:t>
      </w:r>
    </w:p>
    <w:p w14:paraId="403CBAD1">
      <w:pPr>
        <w:snapToGrid w:val="0"/>
        <w:spacing w:line="360" w:lineRule="auto"/>
        <w:ind w:right="42" w:rightChars="20" w:firstLine="422" w:firstLineChars="200"/>
        <w:jc w:val="left"/>
        <w:rPr>
          <w:rFonts w:cs="微软雅黑" w:asciiTheme="minorEastAsia" w:hAnsiTheme="minorEastAsia" w:eastAsiaTheme="minorEastAsia"/>
          <w:b/>
          <w:color w:val="auto"/>
          <w:szCs w:val="21"/>
          <w:highlight w:val="none"/>
        </w:rPr>
      </w:pPr>
    </w:p>
    <w:p w14:paraId="42281E13">
      <w:pPr>
        <w:snapToGrid w:val="0"/>
        <w:spacing w:line="360" w:lineRule="auto"/>
        <w:ind w:right="42" w:rightChars="20" w:firstLine="422" w:firstLineChars="200"/>
        <w:jc w:val="left"/>
        <w:rPr>
          <w:rFonts w:cs="微软雅黑" w:asciiTheme="minorEastAsia" w:hAnsiTheme="minorEastAsia" w:eastAsiaTheme="minorEastAsia"/>
          <w:b/>
          <w:color w:val="auto"/>
          <w:szCs w:val="21"/>
          <w:highlight w:val="none"/>
        </w:rPr>
      </w:pPr>
    </w:p>
    <w:p w14:paraId="0A7B4478">
      <w:pPr>
        <w:snapToGrid w:val="0"/>
        <w:spacing w:line="360" w:lineRule="auto"/>
        <w:ind w:right="42" w:rightChars="20" w:firstLine="422" w:firstLineChars="200"/>
        <w:jc w:val="left"/>
        <w:rPr>
          <w:rFonts w:cs="微软雅黑" w:asciiTheme="minorEastAsia" w:hAnsiTheme="minorEastAsia" w:eastAsiaTheme="minorEastAsia"/>
          <w:b/>
          <w:color w:val="auto"/>
          <w:szCs w:val="21"/>
          <w:highlight w:val="none"/>
        </w:rPr>
      </w:pPr>
    </w:p>
    <w:p w14:paraId="7DF704BC">
      <w:pPr>
        <w:snapToGrid w:val="0"/>
        <w:spacing w:line="360" w:lineRule="auto"/>
        <w:ind w:right="42" w:rightChars="20" w:firstLine="422" w:firstLineChars="200"/>
        <w:jc w:val="left"/>
        <w:rPr>
          <w:rFonts w:cs="微软雅黑" w:asciiTheme="minorEastAsia" w:hAnsiTheme="minorEastAsia" w:eastAsiaTheme="minorEastAsia"/>
          <w:b/>
          <w:color w:val="auto"/>
          <w:szCs w:val="21"/>
          <w:highlight w:val="none"/>
        </w:rPr>
      </w:pPr>
    </w:p>
    <w:p w14:paraId="0D66B12D">
      <w:pPr>
        <w:snapToGrid w:val="0"/>
        <w:spacing w:line="360" w:lineRule="auto"/>
        <w:ind w:right="42" w:rightChars="20" w:firstLine="422" w:firstLineChars="200"/>
        <w:jc w:val="left"/>
        <w:rPr>
          <w:rFonts w:cs="微软雅黑" w:asciiTheme="minorEastAsia" w:hAnsiTheme="minorEastAsia" w:eastAsiaTheme="minorEastAsia"/>
          <w:b/>
          <w:color w:val="auto"/>
          <w:szCs w:val="21"/>
          <w:highlight w:val="none"/>
        </w:rPr>
      </w:pPr>
    </w:p>
    <w:p w14:paraId="12C855F4">
      <w:pPr>
        <w:snapToGrid w:val="0"/>
        <w:spacing w:line="360" w:lineRule="auto"/>
        <w:ind w:right="42" w:rightChars="20" w:firstLine="422" w:firstLineChars="200"/>
        <w:jc w:val="left"/>
        <w:rPr>
          <w:rFonts w:cs="微软雅黑" w:asciiTheme="minorEastAsia" w:hAnsiTheme="minorEastAsia" w:eastAsiaTheme="minorEastAsia"/>
          <w:b/>
          <w:color w:val="auto"/>
          <w:szCs w:val="21"/>
          <w:highlight w:val="none"/>
        </w:rPr>
      </w:pPr>
    </w:p>
    <w:p w14:paraId="4E8AA76F">
      <w:pPr>
        <w:pStyle w:val="14"/>
        <w:rPr>
          <w:rFonts w:cs="微软雅黑" w:asciiTheme="minorEastAsia" w:hAnsiTheme="minorEastAsia" w:eastAsiaTheme="minorEastAsia"/>
          <w:b/>
          <w:color w:val="auto"/>
          <w:szCs w:val="21"/>
          <w:highlight w:val="none"/>
        </w:rPr>
      </w:pPr>
    </w:p>
    <w:p w14:paraId="5C667283">
      <w:pPr>
        <w:pStyle w:val="15"/>
        <w:rPr>
          <w:rFonts w:cs="微软雅黑" w:asciiTheme="minorEastAsia" w:hAnsiTheme="minorEastAsia" w:eastAsiaTheme="minorEastAsia"/>
          <w:b/>
          <w:color w:val="auto"/>
          <w:szCs w:val="21"/>
          <w:highlight w:val="none"/>
        </w:rPr>
      </w:pPr>
    </w:p>
    <w:p w14:paraId="07F3C6A6">
      <w:pPr>
        <w:pStyle w:val="14"/>
        <w:rPr>
          <w:rFonts w:cs="微软雅黑" w:asciiTheme="minorEastAsia" w:hAnsiTheme="minorEastAsia" w:eastAsiaTheme="minorEastAsia"/>
          <w:b/>
          <w:color w:val="auto"/>
          <w:szCs w:val="21"/>
          <w:highlight w:val="none"/>
        </w:rPr>
      </w:pPr>
    </w:p>
    <w:p w14:paraId="0C7A00E1">
      <w:pPr>
        <w:pStyle w:val="15"/>
        <w:rPr>
          <w:rFonts w:cs="微软雅黑" w:asciiTheme="minorEastAsia" w:hAnsiTheme="minorEastAsia" w:eastAsiaTheme="minorEastAsia"/>
          <w:b/>
          <w:color w:val="auto"/>
          <w:szCs w:val="21"/>
          <w:highlight w:val="none"/>
        </w:rPr>
      </w:pPr>
    </w:p>
    <w:p w14:paraId="18F91C9A">
      <w:pPr>
        <w:pStyle w:val="14"/>
        <w:rPr>
          <w:rFonts w:cs="微软雅黑" w:asciiTheme="minorEastAsia" w:hAnsiTheme="minorEastAsia" w:eastAsiaTheme="minorEastAsia"/>
          <w:b/>
          <w:color w:val="auto"/>
          <w:szCs w:val="21"/>
          <w:highlight w:val="none"/>
        </w:rPr>
      </w:pPr>
    </w:p>
    <w:p w14:paraId="12723A65">
      <w:pPr>
        <w:pStyle w:val="15"/>
        <w:rPr>
          <w:rFonts w:cs="微软雅黑" w:asciiTheme="minorEastAsia" w:hAnsiTheme="minorEastAsia" w:eastAsiaTheme="minorEastAsia"/>
          <w:b/>
          <w:color w:val="auto"/>
          <w:szCs w:val="21"/>
          <w:highlight w:val="none"/>
        </w:rPr>
      </w:pPr>
    </w:p>
    <w:p w14:paraId="3AE179A1">
      <w:pPr>
        <w:pStyle w:val="14"/>
        <w:rPr>
          <w:rFonts w:cs="微软雅黑" w:asciiTheme="minorEastAsia" w:hAnsiTheme="minorEastAsia" w:eastAsiaTheme="minorEastAsia"/>
          <w:b/>
          <w:color w:val="auto"/>
          <w:szCs w:val="21"/>
          <w:highlight w:val="none"/>
        </w:rPr>
      </w:pPr>
    </w:p>
    <w:p w14:paraId="2032EF9C">
      <w:pPr>
        <w:pStyle w:val="15"/>
        <w:rPr>
          <w:rFonts w:cs="微软雅黑" w:asciiTheme="minorEastAsia" w:hAnsiTheme="minorEastAsia" w:eastAsiaTheme="minorEastAsia"/>
          <w:b/>
          <w:color w:val="auto"/>
          <w:szCs w:val="21"/>
          <w:highlight w:val="none"/>
        </w:rPr>
      </w:pPr>
    </w:p>
    <w:p w14:paraId="503B556B">
      <w:pPr>
        <w:pStyle w:val="14"/>
        <w:rPr>
          <w:rFonts w:cs="微软雅黑" w:asciiTheme="minorEastAsia" w:hAnsiTheme="minorEastAsia" w:eastAsiaTheme="minorEastAsia"/>
          <w:b/>
          <w:color w:val="auto"/>
          <w:szCs w:val="21"/>
          <w:highlight w:val="none"/>
        </w:rPr>
      </w:pPr>
    </w:p>
    <w:p w14:paraId="14D8817D">
      <w:pPr>
        <w:pStyle w:val="15"/>
        <w:rPr>
          <w:rFonts w:cs="微软雅黑" w:asciiTheme="minorEastAsia" w:hAnsiTheme="minorEastAsia" w:eastAsiaTheme="minorEastAsia"/>
          <w:b/>
          <w:color w:val="auto"/>
          <w:szCs w:val="21"/>
          <w:highlight w:val="none"/>
        </w:rPr>
      </w:pPr>
    </w:p>
    <w:p w14:paraId="5AE5DDC3">
      <w:pPr>
        <w:pStyle w:val="14"/>
        <w:rPr>
          <w:rFonts w:cs="微软雅黑" w:asciiTheme="minorEastAsia" w:hAnsiTheme="minorEastAsia" w:eastAsiaTheme="minorEastAsia"/>
          <w:b/>
          <w:color w:val="auto"/>
          <w:szCs w:val="21"/>
          <w:highlight w:val="none"/>
        </w:rPr>
      </w:pPr>
    </w:p>
    <w:p w14:paraId="6FCCEA49">
      <w:pPr>
        <w:pStyle w:val="15"/>
        <w:rPr>
          <w:rFonts w:cs="微软雅黑" w:asciiTheme="minorEastAsia" w:hAnsiTheme="minorEastAsia" w:eastAsiaTheme="minorEastAsia"/>
          <w:b/>
          <w:color w:val="auto"/>
          <w:szCs w:val="21"/>
          <w:highlight w:val="none"/>
        </w:rPr>
      </w:pPr>
    </w:p>
    <w:p w14:paraId="22EE10F8">
      <w:pPr>
        <w:pStyle w:val="14"/>
        <w:rPr>
          <w:rFonts w:cs="微软雅黑" w:asciiTheme="minorEastAsia" w:hAnsiTheme="minorEastAsia" w:eastAsiaTheme="minorEastAsia"/>
          <w:b/>
          <w:color w:val="auto"/>
          <w:szCs w:val="21"/>
          <w:highlight w:val="none"/>
        </w:rPr>
      </w:pPr>
    </w:p>
    <w:p w14:paraId="7B0FB0C7">
      <w:pPr>
        <w:pStyle w:val="15"/>
        <w:rPr>
          <w:rFonts w:cs="微软雅黑" w:asciiTheme="minorEastAsia" w:hAnsiTheme="minorEastAsia" w:eastAsiaTheme="minorEastAsia"/>
          <w:b/>
          <w:color w:val="auto"/>
          <w:szCs w:val="21"/>
          <w:highlight w:val="none"/>
        </w:rPr>
      </w:pPr>
    </w:p>
    <w:p w14:paraId="61D03F2C">
      <w:pPr>
        <w:pStyle w:val="14"/>
        <w:rPr>
          <w:rFonts w:cs="微软雅黑" w:asciiTheme="minorEastAsia" w:hAnsiTheme="minorEastAsia" w:eastAsiaTheme="minorEastAsia"/>
          <w:b/>
          <w:color w:val="auto"/>
          <w:szCs w:val="21"/>
          <w:highlight w:val="none"/>
        </w:rPr>
      </w:pPr>
    </w:p>
    <w:p w14:paraId="5A80788E">
      <w:pPr>
        <w:pStyle w:val="15"/>
        <w:rPr>
          <w:rFonts w:cs="微软雅黑" w:asciiTheme="minorEastAsia" w:hAnsiTheme="minorEastAsia" w:eastAsiaTheme="minorEastAsia"/>
          <w:b/>
          <w:color w:val="auto"/>
          <w:szCs w:val="21"/>
          <w:highlight w:val="none"/>
        </w:rPr>
      </w:pPr>
    </w:p>
    <w:p w14:paraId="3EDC7B44">
      <w:pPr>
        <w:pStyle w:val="14"/>
        <w:rPr>
          <w:rFonts w:cs="微软雅黑" w:asciiTheme="minorEastAsia" w:hAnsiTheme="minorEastAsia" w:eastAsiaTheme="minorEastAsia"/>
          <w:b/>
          <w:color w:val="auto"/>
          <w:szCs w:val="21"/>
          <w:highlight w:val="none"/>
        </w:rPr>
      </w:pPr>
    </w:p>
    <w:p w14:paraId="59944497">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投标函格式：</w:t>
      </w:r>
    </w:p>
    <w:p w14:paraId="765644E8">
      <w:pPr>
        <w:snapToGrid w:val="0"/>
        <w:spacing w:line="360" w:lineRule="auto"/>
        <w:ind w:right="42" w:rightChars="20" w:firstLine="422" w:firstLineChars="200"/>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投标函</w:t>
      </w:r>
    </w:p>
    <w:p w14:paraId="489FDC09">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致：</w:t>
      </w:r>
      <w:r>
        <w:rPr>
          <w:rFonts w:hint="eastAsia" w:asciiTheme="minorEastAsia" w:hAnsiTheme="minorEastAsia" w:eastAsiaTheme="minorEastAsia"/>
          <w:color w:val="auto"/>
          <w:szCs w:val="21"/>
          <w:highlight w:val="none"/>
          <w:u w:val="single"/>
        </w:rPr>
        <w:t>（招标采购单位名称）</w:t>
      </w:r>
      <w:r>
        <w:rPr>
          <w:rFonts w:hint="eastAsia" w:asciiTheme="minorEastAsia" w:hAnsiTheme="minorEastAsia" w:eastAsiaTheme="minorEastAsia"/>
          <w:color w:val="auto"/>
          <w:szCs w:val="21"/>
          <w:highlight w:val="none"/>
        </w:rPr>
        <w:t>：</w:t>
      </w:r>
    </w:p>
    <w:p w14:paraId="6F26FFBD">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根据贵方为</w:t>
      </w:r>
      <w:r>
        <w:rPr>
          <w:rFonts w:asciiTheme="minorEastAsia" w:hAnsiTheme="minorEastAsia" w:eastAsiaTheme="minorEastAsia"/>
          <w:color w:val="auto"/>
          <w:szCs w:val="21"/>
          <w:highlight w:val="none"/>
        </w:rPr>
        <w:t>____________________</w:t>
      </w:r>
      <w:r>
        <w:rPr>
          <w:rFonts w:hint="eastAsia" w:asciiTheme="minorEastAsia" w:hAnsiTheme="minorEastAsia" w:eastAsiaTheme="minorEastAsia"/>
          <w:color w:val="auto"/>
          <w:szCs w:val="21"/>
          <w:highlight w:val="none"/>
        </w:rPr>
        <w:t>项目的招标公告</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投标邀请书（项目编号：</w:t>
      </w:r>
      <w:r>
        <w:rPr>
          <w:rFonts w:asciiTheme="minorEastAsia" w:hAnsiTheme="minorEastAsia" w:eastAsiaTheme="minorEastAsia"/>
          <w:color w:val="auto"/>
          <w:szCs w:val="21"/>
          <w:highlight w:val="none"/>
        </w:rPr>
        <w:t>_____</w:t>
      </w:r>
      <w:r>
        <w:rPr>
          <w:rFonts w:hint="eastAsia" w:asciiTheme="minorEastAsia" w:hAnsiTheme="minorEastAsia" w:eastAsiaTheme="minorEastAsia"/>
          <w:color w:val="auto"/>
          <w:szCs w:val="21"/>
          <w:highlight w:val="none"/>
        </w:rPr>
        <w:t>），签字代表</w:t>
      </w:r>
      <w:r>
        <w:rPr>
          <w:rFonts w:hint="eastAsia" w:asciiTheme="minorEastAsia" w:hAnsiTheme="minorEastAsia" w:eastAsiaTheme="minorEastAsia"/>
          <w:color w:val="auto"/>
          <w:szCs w:val="21"/>
          <w:highlight w:val="none"/>
          <w:u w:val="single"/>
        </w:rPr>
        <w:t>（全名）</w:t>
      </w:r>
      <w:r>
        <w:rPr>
          <w:rFonts w:hint="eastAsia" w:asciiTheme="minorEastAsia" w:hAnsiTheme="minorEastAsia" w:eastAsiaTheme="minorEastAsia"/>
          <w:color w:val="auto"/>
          <w:szCs w:val="21"/>
          <w:highlight w:val="none"/>
        </w:rPr>
        <w:t>经正式授权并代表投标人</w:t>
      </w:r>
      <w:r>
        <w:rPr>
          <w:rFonts w:hint="eastAsia" w:asciiTheme="minorEastAsia" w:hAnsiTheme="minorEastAsia" w:eastAsiaTheme="minorEastAsia"/>
          <w:color w:val="auto"/>
          <w:szCs w:val="21"/>
          <w:highlight w:val="none"/>
          <w:u w:val="single"/>
        </w:rPr>
        <w:t>（投标人名称）</w:t>
      </w:r>
      <w:r>
        <w:rPr>
          <w:rFonts w:hint="eastAsia" w:asciiTheme="minorEastAsia" w:hAnsiTheme="minorEastAsia" w:eastAsiaTheme="minorEastAsia"/>
          <w:color w:val="auto"/>
          <w:szCs w:val="21"/>
          <w:highlight w:val="none"/>
        </w:rPr>
        <w:t>提交资信商务文件、技术文件及投标报价文件电子投标各一份。</w:t>
      </w:r>
    </w:p>
    <w:p w14:paraId="477F3292">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据此函，签字代表宣布同意如下：</w:t>
      </w:r>
    </w:p>
    <w:p w14:paraId="7197BE30">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、投标人已详细审查全部“招标文件”，包括修改文件（如有的话）以及全部参考资料和有关附件，已经了解我方对于招标文件、采购过程、采购结果有依法进行询问、质疑、投诉的权利及相关渠道和要求。</w:t>
      </w:r>
    </w:p>
    <w:p w14:paraId="15237CEF">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、投标人在投标之前已经与贵方进行了充分的沟通，完全理解并接受招标文件的各项规定和要求，对招标文件的合理性、合法性不再有异议。</w:t>
      </w:r>
    </w:p>
    <w:p w14:paraId="7EED600E">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、本投标有效期自开标日起</w:t>
      </w:r>
      <w:r>
        <w:rPr>
          <w:rFonts w:asciiTheme="minorEastAsia" w:hAnsiTheme="minorEastAsia" w:eastAsiaTheme="minorEastAsia"/>
          <w:color w:val="auto"/>
          <w:szCs w:val="21"/>
          <w:highlight w:val="none"/>
        </w:rPr>
        <w:t xml:space="preserve"> ______</w:t>
      </w:r>
      <w:r>
        <w:rPr>
          <w:rFonts w:hint="eastAsia" w:asciiTheme="minorEastAsia" w:hAnsiTheme="minorEastAsia" w:eastAsiaTheme="minorEastAsia"/>
          <w:color w:val="auto"/>
          <w:szCs w:val="21"/>
          <w:highlight w:val="none"/>
        </w:rPr>
        <w:t>个日。</w:t>
      </w:r>
    </w:p>
    <w:p w14:paraId="53D532F2">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、如中标，本投标文件至本项目合同履行完毕止均保持有效，本投标人将按“招标文件”及政府采购法律、法规的规定履行合同责任和义务。</w:t>
      </w:r>
    </w:p>
    <w:p w14:paraId="2A16057E">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、投标人同意按照贵方要求提供与投标有关的一切数据或资料。</w:t>
      </w:r>
    </w:p>
    <w:p w14:paraId="149A0933">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6</w:t>
      </w:r>
      <w:r>
        <w:rPr>
          <w:rFonts w:hint="eastAsia" w:asciiTheme="minorEastAsia" w:hAnsiTheme="minorEastAsia" w:eastAsiaTheme="minorEastAsia"/>
          <w:color w:val="auto"/>
          <w:szCs w:val="21"/>
          <w:highlight w:val="none"/>
        </w:rPr>
        <w:t>、与本投标有关的一切正式往来信函请寄：</w:t>
      </w:r>
    </w:p>
    <w:p w14:paraId="79631F08">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14:paraId="4AFA89F0">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地址： 邮编：</w:t>
      </w:r>
      <w:r>
        <w:rPr>
          <w:rFonts w:asciiTheme="minorEastAsia" w:hAnsiTheme="minorEastAsia" w:eastAsiaTheme="minorEastAsia"/>
          <w:color w:val="auto"/>
          <w:szCs w:val="21"/>
          <w:highlight w:val="none"/>
        </w:rPr>
        <w:t xml:space="preserve">__________   </w:t>
      </w:r>
      <w:r>
        <w:rPr>
          <w:rFonts w:hint="eastAsia" w:asciiTheme="minorEastAsia" w:hAnsiTheme="minorEastAsia" w:eastAsiaTheme="minorEastAsia"/>
          <w:color w:val="auto"/>
          <w:szCs w:val="21"/>
          <w:highlight w:val="none"/>
        </w:rPr>
        <w:t>电话：</w:t>
      </w:r>
      <w:r>
        <w:rPr>
          <w:rFonts w:asciiTheme="minorEastAsia" w:hAnsiTheme="minorEastAsia" w:eastAsiaTheme="minorEastAsia"/>
          <w:color w:val="auto"/>
          <w:szCs w:val="21"/>
          <w:highlight w:val="none"/>
        </w:rPr>
        <w:t>______________</w:t>
      </w:r>
    </w:p>
    <w:p w14:paraId="34568461">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传真：</w:t>
      </w:r>
      <w:r>
        <w:rPr>
          <w:rFonts w:asciiTheme="minorEastAsia" w:hAnsiTheme="minorEastAsia" w:eastAsiaTheme="minorEastAsia"/>
          <w:color w:val="auto"/>
          <w:szCs w:val="21"/>
          <w:highlight w:val="none"/>
        </w:rPr>
        <w:t>______________</w:t>
      </w:r>
      <w:r>
        <w:rPr>
          <w:rFonts w:hint="eastAsia" w:asciiTheme="minorEastAsia" w:hAnsiTheme="minorEastAsia" w:eastAsiaTheme="minorEastAsia"/>
          <w:color w:val="auto"/>
          <w:szCs w:val="21"/>
          <w:highlight w:val="none"/>
        </w:rPr>
        <w:t>投标人代表姓名</w:t>
      </w:r>
      <w:r>
        <w:rPr>
          <w:rFonts w:asciiTheme="minorEastAsia" w:hAnsiTheme="minorEastAsia" w:eastAsiaTheme="minorEastAsia"/>
          <w:color w:val="auto"/>
          <w:szCs w:val="21"/>
          <w:highlight w:val="none"/>
        </w:rPr>
        <w:t xml:space="preserve"> ___________  </w:t>
      </w:r>
      <w:r>
        <w:rPr>
          <w:rFonts w:hint="eastAsia" w:asciiTheme="minorEastAsia" w:hAnsiTheme="minorEastAsia" w:eastAsiaTheme="minorEastAsia"/>
          <w:color w:val="auto"/>
          <w:szCs w:val="21"/>
          <w:highlight w:val="none"/>
        </w:rPr>
        <w:t>职务：</w:t>
      </w:r>
      <w:r>
        <w:rPr>
          <w:rFonts w:asciiTheme="minorEastAsia" w:hAnsiTheme="minorEastAsia" w:eastAsiaTheme="minorEastAsia"/>
          <w:color w:val="auto"/>
          <w:szCs w:val="21"/>
          <w:highlight w:val="none"/>
        </w:rPr>
        <w:t>_____________</w:t>
      </w:r>
    </w:p>
    <w:p w14:paraId="49E062A2">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投标人名称</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shd w:val="clear" w:color="auto" w:fill="FFFFFF"/>
        </w:rPr>
        <w:t>CA签章</w:t>
      </w:r>
      <w:r>
        <w:rPr>
          <w:rFonts w:asciiTheme="minorEastAsia" w:hAnsiTheme="minorEastAsia" w:eastAsiaTheme="minorEastAsia"/>
          <w:color w:val="auto"/>
          <w:szCs w:val="21"/>
          <w:highlight w:val="none"/>
        </w:rPr>
        <w:t>): _____________</w:t>
      </w:r>
    </w:p>
    <w:p w14:paraId="174BC306">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开户银行：银行帐号：</w:t>
      </w:r>
    </w:p>
    <w:p w14:paraId="6976E677">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法定代表人或其委托代理人签名（或盖章）</w:t>
      </w:r>
      <w:r>
        <w:rPr>
          <w:rFonts w:asciiTheme="minorEastAsia" w:hAnsiTheme="minorEastAsia" w:eastAsiaTheme="minorEastAsia"/>
          <w:color w:val="auto"/>
          <w:szCs w:val="21"/>
          <w:highlight w:val="none"/>
        </w:rPr>
        <w:t xml:space="preserve">:___________                      </w:t>
      </w:r>
    </w:p>
    <w:p w14:paraId="297E1DAA">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日期</w:t>
      </w:r>
      <w:r>
        <w:rPr>
          <w:rFonts w:asciiTheme="minorEastAsia" w:hAnsiTheme="minorEastAsia" w:eastAsiaTheme="minorEastAsia"/>
          <w:color w:val="auto"/>
          <w:szCs w:val="21"/>
          <w:highlight w:val="none"/>
        </w:rPr>
        <w:t>:_____</w:t>
      </w:r>
      <w:r>
        <w:rPr>
          <w:rFonts w:hint="eastAsia" w:asciiTheme="minorEastAsia" w:hAnsiTheme="minorEastAsia" w:eastAsiaTheme="minorEastAsia"/>
          <w:color w:val="auto"/>
          <w:szCs w:val="21"/>
          <w:highlight w:val="none"/>
        </w:rPr>
        <w:t>年</w:t>
      </w:r>
      <w:r>
        <w:rPr>
          <w:rFonts w:asciiTheme="minorEastAsia" w:hAnsiTheme="minorEastAsia" w:eastAsiaTheme="minorEastAsia"/>
          <w:color w:val="auto"/>
          <w:szCs w:val="21"/>
          <w:highlight w:val="none"/>
        </w:rPr>
        <w:t>___</w:t>
      </w:r>
      <w:r>
        <w:rPr>
          <w:rFonts w:hint="eastAsia" w:asciiTheme="minorEastAsia" w:hAnsiTheme="minorEastAsia" w:eastAsiaTheme="minorEastAsia"/>
          <w:color w:val="auto"/>
          <w:szCs w:val="21"/>
          <w:highlight w:val="none"/>
        </w:rPr>
        <w:t>月</w:t>
      </w:r>
      <w:r>
        <w:rPr>
          <w:rFonts w:asciiTheme="minorEastAsia" w:hAnsiTheme="minorEastAsia" w:eastAsiaTheme="minorEastAsia"/>
          <w:color w:val="auto"/>
          <w:szCs w:val="21"/>
          <w:highlight w:val="none"/>
        </w:rPr>
        <w:t>___</w:t>
      </w:r>
      <w:r>
        <w:rPr>
          <w:rFonts w:hint="eastAsia" w:asciiTheme="minorEastAsia" w:hAnsiTheme="minorEastAsia" w:eastAsiaTheme="minorEastAsia"/>
          <w:color w:val="auto"/>
          <w:szCs w:val="21"/>
          <w:highlight w:val="none"/>
        </w:rPr>
        <w:t>日</w:t>
      </w:r>
    </w:p>
    <w:p w14:paraId="5F155DBF">
      <w:pPr>
        <w:pStyle w:val="51"/>
        <w:ind w:right="42" w:rightChars="20" w:firstLine="464"/>
        <w:rPr>
          <w:rFonts w:asciiTheme="minorEastAsia" w:hAnsiTheme="minorEastAsia" w:eastAsiaTheme="minorEastAsia"/>
          <w:color w:val="auto"/>
          <w:szCs w:val="21"/>
          <w:highlight w:val="none"/>
        </w:rPr>
      </w:pPr>
    </w:p>
    <w:p w14:paraId="712F7D4F">
      <w:pPr>
        <w:pStyle w:val="51"/>
        <w:ind w:right="42" w:rightChars="20" w:firstLine="464"/>
        <w:rPr>
          <w:rFonts w:asciiTheme="minorEastAsia" w:hAnsiTheme="minorEastAsia" w:eastAsiaTheme="minorEastAsia"/>
          <w:color w:val="auto"/>
          <w:szCs w:val="21"/>
          <w:highlight w:val="none"/>
        </w:rPr>
      </w:pPr>
    </w:p>
    <w:p w14:paraId="60EC69B7">
      <w:pPr>
        <w:pStyle w:val="51"/>
        <w:ind w:right="42" w:rightChars="20" w:firstLine="464"/>
        <w:rPr>
          <w:rFonts w:asciiTheme="minorEastAsia" w:hAnsiTheme="minorEastAsia" w:eastAsiaTheme="minorEastAsia"/>
          <w:color w:val="auto"/>
          <w:szCs w:val="21"/>
          <w:highlight w:val="none"/>
        </w:rPr>
      </w:pPr>
    </w:p>
    <w:p w14:paraId="7C0533A7">
      <w:pPr>
        <w:pStyle w:val="51"/>
        <w:ind w:right="42" w:rightChars="20" w:firstLine="464"/>
        <w:rPr>
          <w:rFonts w:asciiTheme="minorEastAsia" w:hAnsiTheme="minorEastAsia" w:eastAsiaTheme="minorEastAsia"/>
          <w:color w:val="auto"/>
          <w:szCs w:val="21"/>
          <w:highlight w:val="none"/>
        </w:rPr>
      </w:pPr>
    </w:p>
    <w:p w14:paraId="01BB62F3">
      <w:pPr>
        <w:pStyle w:val="51"/>
        <w:ind w:right="42" w:rightChars="20" w:firstLine="464"/>
        <w:rPr>
          <w:rFonts w:asciiTheme="minorEastAsia" w:hAnsiTheme="minorEastAsia" w:eastAsiaTheme="minorEastAsia"/>
          <w:color w:val="auto"/>
          <w:szCs w:val="21"/>
          <w:highlight w:val="none"/>
        </w:rPr>
      </w:pPr>
    </w:p>
    <w:p w14:paraId="164677E7">
      <w:pPr>
        <w:pStyle w:val="51"/>
        <w:ind w:right="42" w:rightChars="20" w:firstLine="464"/>
        <w:rPr>
          <w:rFonts w:asciiTheme="minorEastAsia" w:hAnsiTheme="minorEastAsia" w:eastAsiaTheme="minorEastAsia"/>
          <w:color w:val="auto"/>
          <w:szCs w:val="21"/>
          <w:highlight w:val="none"/>
        </w:rPr>
      </w:pPr>
    </w:p>
    <w:p w14:paraId="59523EC4">
      <w:pPr>
        <w:snapToGrid w:val="0"/>
        <w:spacing w:line="360" w:lineRule="auto"/>
        <w:ind w:right="42" w:rightChars="20"/>
        <w:rPr>
          <w:rFonts w:asciiTheme="minorEastAsia" w:hAnsiTheme="minorEastAsia" w:eastAsiaTheme="minorEastAsia"/>
          <w:color w:val="auto"/>
          <w:szCs w:val="21"/>
          <w:highlight w:val="none"/>
        </w:rPr>
      </w:pPr>
    </w:p>
    <w:p w14:paraId="32E7BCC8">
      <w:pPr>
        <w:snapToGrid w:val="0"/>
        <w:spacing w:line="360" w:lineRule="auto"/>
        <w:ind w:right="42" w:rightChars="20" w:firstLine="422" w:firstLineChars="200"/>
        <w:jc w:val="center"/>
        <w:rPr>
          <w:rFonts w:asciiTheme="minorEastAsia" w:hAnsiTheme="minorEastAsia" w:eastAsiaTheme="minorEastAsia"/>
          <w:color w:val="auto"/>
          <w:szCs w:val="21"/>
          <w:highlight w:val="none"/>
        </w:rPr>
      </w:pPr>
      <w:r>
        <w:rPr>
          <w:rFonts w:hint="eastAsia" w:asciiTheme="minorEastAsia" w:hAnsiTheme="minorEastAsia" w:eastAsiaTheme="minorEastAsia"/>
          <w:b/>
          <w:bCs/>
          <w:color w:val="auto"/>
          <w:szCs w:val="21"/>
          <w:highlight w:val="none"/>
        </w:rPr>
        <w:t>开标一览表</w:t>
      </w:r>
    </w:p>
    <w:p w14:paraId="4445B423">
      <w:pPr>
        <w:snapToGrid w:val="0"/>
        <w:spacing w:line="360" w:lineRule="auto"/>
        <w:ind w:right="42" w:rightChars="20" w:firstLine="420" w:firstLineChars="200"/>
        <w:jc w:val="left"/>
        <w:rPr>
          <w:rFonts w:asciiTheme="minorEastAsia" w:hAnsiTheme="minorEastAsia" w:eastAsiaTheme="minorEastAsia"/>
          <w:color w:val="auto"/>
          <w:szCs w:val="21"/>
          <w:highlight w:val="none"/>
        </w:rPr>
      </w:pPr>
    </w:p>
    <w:p w14:paraId="5D829081">
      <w:pPr>
        <w:snapToGrid w:val="0"/>
        <w:spacing w:line="360" w:lineRule="auto"/>
        <w:ind w:right="42" w:rightChars="2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招标编号： 投标人名称：</w:t>
      </w:r>
    </w:p>
    <w:tbl>
      <w:tblPr>
        <w:tblStyle w:val="53"/>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982"/>
        <w:gridCol w:w="1100"/>
        <w:gridCol w:w="4582"/>
      </w:tblGrid>
      <w:tr w14:paraId="5E430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180" w:type="dxa"/>
            <w:vAlign w:val="center"/>
          </w:tcPr>
          <w:p w14:paraId="5969DDD7">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货物名称</w:t>
            </w:r>
          </w:p>
        </w:tc>
        <w:tc>
          <w:tcPr>
            <w:tcW w:w="982" w:type="dxa"/>
            <w:vAlign w:val="center"/>
          </w:tcPr>
          <w:p w14:paraId="0EED9F6B">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 xml:space="preserve">数量 </w:t>
            </w:r>
          </w:p>
        </w:tc>
        <w:tc>
          <w:tcPr>
            <w:tcW w:w="1100" w:type="dxa"/>
            <w:vAlign w:val="center"/>
          </w:tcPr>
          <w:p w14:paraId="16EF4420">
            <w:pPr>
              <w:snapToGrid w:val="0"/>
              <w:spacing w:line="360" w:lineRule="auto"/>
              <w:jc w:val="center"/>
              <w:rPr>
                <w:rFonts w:hint="eastAsia" w:ascii="宋体" w:hAnsi="宋体" w:eastAsia="宋体"/>
                <w:color w:val="auto"/>
                <w:szCs w:val="21"/>
                <w:highlight w:val="none"/>
                <w:shd w:val="clear" w:color="auto" w:fill="FFFFFF"/>
                <w:lang w:val="en-US" w:eastAsia="zh-CN"/>
              </w:rPr>
            </w:pPr>
            <w:r>
              <w:rPr>
                <w:rFonts w:hint="eastAsia" w:ascii="宋体" w:hAnsi="宋体"/>
                <w:color w:val="auto"/>
                <w:szCs w:val="21"/>
                <w:highlight w:val="none"/>
                <w:shd w:val="clear" w:color="auto" w:fill="FFFFFF"/>
                <w:lang w:val="en-US" w:eastAsia="zh-CN"/>
              </w:rPr>
              <w:t>单位</w:t>
            </w:r>
          </w:p>
        </w:tc>
        <w:tc>
          <w:tcPr>
            <w:tcW w:w="4582" w:type="dxa"/>
            <w:vAlign w:val="center"/>
          </w:tcPr>
          <w:p w14:paraId="71220C67">
            <w:pPr>
              <w:snapToGrid w:val="0"/>
              <w:spacing w:line="360"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shd w:val="clear" w:color="auto" w:fill="FFFFFF"/>
              </w:rPr>
              <w:t>投标报总价</w:t>
            </w:r>
            <w:r>
              <w:rPr>
                <w:rFonts w:hint="eastAsia" w:ascii="宋体" w:hAnsi="宋体"/>
                <w:color w:val="auto"/>
                <w:szCs w:val="21"/>
                <w:highlight w:val="none"/>
                <w:shd w:val="clear" w:color="auto" w:fill="FFFFFF"/>
                <w:lang w:eastAsia="zh-CN"/>
              </w:rPr>
              <w:t>（</w:t>
            </w:r>
            <w:r>
              <w:rPr>
                <w:rFonts w:hint="eastAsia" w:ascii="宋体" w:hAnsi="宋体"/>
                <w:color w:val="auto"/>
                <w:szCs w:val="21"/>
                <w:highlight w:val="none"/>
                <w:shd w:val="clear" w:color="auto" w:fill="FFFFFF"/>
                <w:lang w:val="en-US" w:eastAsia="zh-CN"/>
              </w:rPr>
              <w:t>元</w:t>
            </w:r>
            <w:r>
              <w:rPr>
                <w:rFonts w:hint="eastAsia" w:ascii="宋体" w:hAnsi="宋体"/>
                <w:color w:val="auto"/>
                <w:szCs w:val="21"/>
                <w:highlight w:val="none"/>
                <w:shd w:val="clear" w:color="auto" w:fill="FFFFFF"/>
                <w:lang w:eastAsia="zh-CN"/>
              </w:rPr>
              <w:t>）</w:t>
            </w:r>
          </w:p>
        </w:tc>
      </w:tr>
      <w:tr w14:paraId="6E2DE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2180" w:type="dxa"/>
            <w:vAlign w:val="center"/>
          </w:tcPr>
          <w:p w14:paraId="1C859199">
            <w:pPr>
              <w:snapToGrid w:val="0"/>
              <w:spacing w:line="360"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秀洲区2025年度白蚁等害堤动物防治项目</w:t>
            </w:r>
          </w:p>
        </w:tc>
        <w:tc>
          <w:tcPr>
            <w:tcW w:w="982" w:type="dxa"/>
            <w:vAlign w:val="center"/>
          </w:tcPr>
          <w:p w14:paraId="5ED7A9EE">
            <w:pPr>
              <w:snapToGrid w:val="0"/>
              <w:spacing w:line="360"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 1</w:t>
            </w:r>
          </w:p>
        </w:tc>
        <w:tc>
          <w:tcPr>
            <w:tcW w:w="1100" w:type="dxa"/>
            <w:vAlign w:val="center"/>
          </w:tcPr>
          <w:p w14:paraId="415B8EF2">
            <w:pPr>
              <w:snapToGrid w:val="0"/>
              <w:spacing w:line="360" w:lineRule="auto"/>
              <w:jc w:val="center"/>
              <w:rPr>
                <w:rFonts w:hint="eastAsia" w:ascii="宋体" w:hAnsi="宋体" w:eastAsia="宋体"/>
                <w:color w:val="auto"/>
                <w:szCs w:val="21"/>
                <w:highlight w:val="none"/>
                <w:shd w:val="clear" w:color="auto" w:fill="FFFFFF"/>
                <w:lang w:val="en-US" w:eastAsia="zh-CN"/>
              </w:rPr>
            </w:pPr>
            <w:r>
              <w:rPr>
                <w:rFonts w:hint="eastAsia" w:ascii="宋体" w:hAnsi="宋体"/>
                <w:color w:val="auto"/>
                <w:szCs w:val="21"/>
                <w:highlight w:val="none"/>
                <w:shd w:val="clear" w:color="auto" w:fill="FFFFFF"/>
                <w:lang w:val="en-US" w:eastAsia="zh-CN"/>
              </w:rPr>
              <w:t>项</w:t>
            </w:r>
          </w:p>
        </w:tc>
        <w:tc>
          <w:tcPr>
            <w:tcW w:w="4582" w:type="dxa"/>
            <w:vAlign w:val="center"/>
          </w:tcPr>
          <w:p w14:paraId="0D425F4E">
            <w:pPr>
              <w:adjustRightInd w:val="0"/>
              <w:spacing w:line="440" w:lineRule="exact"/>
              <w:jc w:val="left"/>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大写（人民币）：</w:t>
            </w:r>
            <w:r>
              <w:rPr>
                <w:rFonts w:hint="eastAsia" w:ascii="宋体" w:hAnsi="宋体"/>
                <w:color w:val="auto"/>
                <w:szCs w:val="21"/>
                <w:highlight w:val="none"/>
                <w:u w:val="single"/>
                <w:shd w:val="clear" w:color="auto" w:fill="FFFFFF"/>
              </w:rPr>
              <w:t xml:space="preserve">            </w:t>
            </w:r>
          </w:p>
          <w:p w14:paraId="5384E999">
            <w:pPr>
              <w:snapToGrid w:val="0"/>
              <w:spacing w:line="360" w:lineRule="auto"/>
              <w:jc w:val="left"/>
              <w:rPr>
                <w:rFonts w:ascii="宋体" w:hAnsi="宋体"/>
                <w:color w:val="auto"/>
                <w:szCs w:val="21"/>
                <w:highlight w:val="none"/>
              </w:rPr>
            </w:pPr>
            <w:r>
              <w:rPr>
                <w:rFonts w:hint="eastAsia" w:ascii="宋体" w:hAnsi="宋体"/>
                <w:color w:val="auto"/>
                <w:szCs w:val="21"/>
                <w:highlight w:val="none"/>
                <w:shd w:val="clear" w:color="auto" w:fill="FFFFFF"/>
              </w:rPr>
              <w:t>小写：¥</w:t>
            </w:r>
            <w:r>
              <w:rPr>
                <w:rFonts w:hint="eastAsia" w:ascii="宋体" w:hAnsi="宋体"/>
                <w:color w:val="auto"/>
                <w:szCs w:val="21"/>
                <w:highlight w:val="none"/>
                <w:u w:val="single"/>
                <w:shd w:val="clear" w:color="auto" w:fill="FFFFFF"/>
              </w:rPr>
              <w:t xml:space="preserve">                    </w:t>
            </w:r>
          </w:p>
        </w:tc>
      </w:tr>
      <w:tr w14:paraId="03DF1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2180" w:type="dxa"/>
            <w:vAlign w:val="center"/>
          </w:tcPr>
          <w:p w14:paraId="09484FA3">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服务期</w:t>
            </w:r>
          </w:p>
        </w:tc>
        <w:tc>
          <w:tcPr>
            <w:tcW w:w="6664" w:type="dxa"/>
            <w:gridSpan w:val="3"/>
            <w:vAlign w:val="center"/>
          </w:tcPr>
          <w:p w14:paraId="4BA8EABA">
            <w:pPr>
              <w:snapToGrid w:val="0"/>
              <w:spacing w:line="360" w:lineRule="auto"/>
              <w:jc w:val="left"/>
              <w:rPr>
                <w:rFonts w:ascii="宋体" w:hAnsi="宋体"/>
                <w:color w:val="auto"/>
                <w:szCs w:val="21"/>
                <w:highlight w:val="none"/>
                <w:shd w:val="clear" w:color="auto" w:fill="FFFFFF"/>
              </w:rPr>
            </w:pPr>
          </w:p>
        </w:tc>
      </w:tr>
      <w:tr w14:paraId="3C5AA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2180" w:type="dxa"/>
            <w:vAlign w:val="center"/>
          </w:tcPr>
          <w:p w14:paraId="2CAC6448">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项目负责人</w:t>
            </w:r>
          </w:p>
        </w:tc>
        <w:tc>
          <w:tcPr>
            <w:tcW w:w="6664" w:type="dxa"/>
            <w:gridSpan w:val="3"/>
            <w:vAlign w:val="center"/>
          </w:tcPr>
          <w:p w14:paraId="6533E6E9">
            <w:pPr>
              <w:snapToGrid w:val="0"/>
              <w:spacing w:line="360" w:lineRule="auto"/>
              <w:jc w:val="left"/>
              <w:rPr>
                <w:rFonts w:ascii="宋体" w:hAnsi="宋体"/>
                <w:color w:val="auto"/>
                <w:szCs w:val="21"/>
                <w:highlight w:val="none"/>
                <w:shd w:val="clear" w:color="auto" w:fill="FFFFFF"/>
              </w:rPr>
            </w:pPr>
          </w:p>
        </w:tc>
      </w:tr>
      <w:tr w14:paraId="6F6E1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2180" w:type="dxa"/>
            <w:vAlign w:val="center"/>
          </w:tcPr>
          <w:p w14:paraId="4840FB59">
            <w:pPr>
              <w:snapToGrid w:val="0"/>
              <w:spacing w:line="360" w:lineRule="auto"/>
              <w:jc w:val="center"/>
              <w:rPr>
                <w:rFonts w:hint="eastAsia" w:ascii="宋体" w:hAnsi="宋体"/>
                <w:color w:val="auto"/>
                <w:szCs w:val="21"/>
                <w:highlight w:val="none"/>
              </w:rPr>
            </w:pPr>
            <w:r>
              <w:rPr>
                <w:rFonts w:hint="eastAsia" w:asciiTheme="minorEastAsia" w:hAnsiTheme="minorEastAsia" w:eastAsiaTheme="minorEastAsia"/>
                <w:color w:val="auto"/>
                <w:szCs w:val="21"/>
                <w:highlight w:val="none"/>
                <w:lang w:val="en-US" w:eastAsia="zh-CN"/>
              </w:rPr>
              <w:t>质保期</w:t>
            </w:r>
          </w:p>
        </w:tc>
        <w:tc>
          <w:tcPr>
            <w:tcW w:w="6664" w:type="dxa"/>
            <w:gridSpan w:val="3"/>
            <w:vAlign w:val="center"/>
          </w:tcPr>
          <w:p w14:paraId="6DA045CC">
            <w:pPr>
              <w:snapToGrid w:val="0"/>
              <w:spacing w:line="360" w:lineRule="auto"/>
              <w:jc w:val="left"/>
              <w:rPr>
                <w:rFonts w:ascii="宋体" w:hAnsi="宋体"/>
                <w:color w:val="auto"/>
                <w:szCs w:val="21"/>
                <w:highlight w:val="none"/>
                <w:shd w:val="clear" w:color="auto" w:fill="FFFFFF"/>
              </w:rPr>
            </w:pPr>
          </w:p>
        </w:tc>
      </w:tr>
    </w:tbl>
    <w:p w14:paraId="2429A0E1">
      <w:pPr>
        <w:snapToGrid w:val="0"/>
        <w:spacing w:line="360" w:lineRule="auto"/>
        <w:ind w:right="42" w:rightChars="20"/>
        <w:rPr>
          <w:rFonts w:asciiTheme="minorEastAsia" w:hAnsiTheme="minorEastAsia" w:eastAsiaTheme="minorEastAsia"/>
          <w:color w:val="auto"/>
          <w:szCs w:val="21"/>
          <w:highlight w:val="none"/>
        </w:rPr>
      </w:pPr>
    </w:p>
    <w:p w14:paraId="7863B021">
      <w:pPr>
        <w:pStyle w:val="27"/>
        <w:snapToGrid w:val="0"/>
        <w:spacing w:line="360" w:lineRule="auto"/>
        <w:ind w:left="420" w:right="42" w:rightChars="20" w:hanging="42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注: 1、报价一经涂改，应在涂改处加盖单位公章或者由法定代表人或授权委托人签字或盖章，否则其投标作无效标处理。</w:t>
      </w:r>
    </w:p>
    <w:p w14:paraId="48940FF1">
      <w:pPr>
        <w:numPr>
          <w:ilvl w:val="0"/>
          <w:numId w:val="0"/>
        </w:numPr>
        <w:spacing w:line="360" w:lineRule="auto"/>
        <w:ind w:firstLine="210" w:firstLineChars="100"/>
        <w:contextualSpacing/>
        <w:rPr>
          <w:rFonts w:hint="eastAsia" w:asciiTheme="minorEastAsia" w:hAnsiTheme="minorEastAsia" w:eastAsiaTheme="minorEastAsia"/>
          <w:b/>
          <w:bCs/>
          <w:color w:val="auto"/>
          <w:szCs w:val="21"/>
          <w:highlight w:val="none"/>
        </w:rPr>
      </w:pPr>
      <w:r>
        <w:rPr>
          <w:rFonts w:hint="eastAsia" w:cs="微软雅黑" w:asciiTheme="minorEastAsia" w:hAnsiTheme="minorEastAsia" w:eastAsiaTheme="minorEastAsia"/>
          <w:color w:val="auto"/>
          <w:szCs w:val="21"/>
          <w:highlight w:val="none"/>
        </w:rPr>
        <w:t>▲</w:t>
      </w:r>
      <w:r>
        <w:rPr>
          <w:rFonts w:hint="eastAsia" w:cs="微软雅黑" w:asciiTheme="minorEastAsia" w:hAnsiTheme="minorEastAsia" w:eastAsiaTheme="minorEastAsia"/>
          <w:color w:val="auto"/>
          <w:szCs w:val="21"/>
          <w:highlight w:val="none"/>
          <w:lang w:val="en-US" w:eastAsia="zh-CN"/>
        </w:rPr>
        <w:t>2.</w:t>
      </w:r>
      <w:r>
        <w:rPr>
          <w:rFonts w:hint="eastAsia" w:asciiTheme="minorEastAsia" w:hAnsiTheme="minorEastAsia" w:eastAsiaTheme="minorEastAsia"/>
          <w:b/>
          <w:bCs/>
          <w:color w:val="auto"/>
          <w:szCs w:val="21"/>
          <w:highlight w:val="none"/>
        </w:rPr>
        <w:t>预算金额：</w:t>
      </w:r>
      <w:r>
        <w:rPr>
          <w:rFonts w:hint="eastAsia" w:asciiTheme="minorEastAsia" w:hAnsiTheme="minorEastAsia" w:eastAsiaTheme="minorEastAsia"/>
          <w:b/>
          <w:bCs/>
          <w:color w:val="auto"/>
          <w:szCs w:val="21"/>
          <w:highlight w:val="none"/>
          <w:lang w:eastAsia="zh-CN"/>
        </w:rPr>
        <w:t>675000</w:t>
      </w:r>
      <w:r>
        <w:rPr>
          <w:rFonts w:hint="eastAsia" w:asciiTheme="minorEastAsia" w:hAnsiTheme="minorEastAsia" w:eastAsiaTheme="minorEastAsia"/>
          <w:b/>
          <w:bCs/>
          <w:color w:val="auto"/>
          <w:szCs w:val="21"/>
          <w:highlight w:val="none"/>
        </w:rPr>
        <w:t>元，投标报价超过预算价的作无效标处理。</w:t>
      </w:r>
    </w:p>
    <w:p w14:paraId="37B7AB37">
      <w:pPr>
        <w:widowControl/>
        <w:spacing w:line="460" w:lineRule="exact"/>
        <w:ind w:right="42" w:rightChars="20" w:firstLine="480"/>
        <w:rPr>
          <w:rFonts w:hint="eastAsia" w:asciiTheme="minorEastAsia" w:hAnsiTheme="minorEastAsia" w:eastAsiaTheme="minorEastAsia"/>
          <w:b/>
          <w:color w:val="auto"/>
          <w:szCs w:val="21"/>
          <w:highlight w:val="none"/>
          <w:lang w:eastAsia="zh-CN"/>
        </w:rPr>
      </w:pPr>
      <w:r>
        <w:rPr>
          <w:rFonts w:hint="eastAsia" w:asciiTheme="minorEastAsia" w:hAnsiTheme="minorEastAsia" w:eastAsiaTheme="minorEastAsia"/>
          <w:b/>
          <w:bCs/>
          <w:color w:val="auto"/>
          <w:szCs w:val="21"/>
          <w:highlight w:val="none"/>
          <w:lang w:eastAsia="zh-CN"/>
        </w:rPr>
        <w:t xml:space="preserve"> </w:t>
      </w:r>
      <w:r>
        <w:rPr>
          <w:rFonts w:hint="eastAsia" w:asciiTheme="minorEastAsia" w:hAnsiTheme="minorEastAsia" w:eastAsiaTheme="minorEastAsia"/>
          <w:b/>
          <w:color w:val="auto"/>
          <w:szCs w:val="21"/>
          <w:highlight w:val="none"/>
        </w:rPr>
        <w:t xml:space="preserve"> 3、</w:t>
      </w:r>
      <w:r>
        <w:rPr>
          <w:rFonts w:hint="eastAsia" w:asciiTheme="minorEastAsia" w:hAnsiTheme="minorEastAsia" w:eastAsiaTheme="minorEastAsia"/>
          <w:b/>
          <w:color w:val="auto"/>
          <w:szCs w:val="21"/>
          <w:highlight w:val="none"/>
          <w:lang w:eastAsia="zh-CN"/>
        </w:rPr>
        <w:t>必须包括提供项目服务所需的一切人员费用（人员工资、奖金、各种加班费、各种社会保险（基本养老保险、基本医疗保险、工伤保险、失业保险、公积金等）、专家评审费、考察费、调研费、食宿与交通、高温补偿费）、会务费用、管理费用（意外保险、车辆、培训、税费、利润等完成合同所需的一切本身和不可或缺的所有工作开支、政策性文件规定及合同包含的所有风险、责任等各项全部费用并承担一切风险责任。</w:t>
      </w:r>
    </w:p>
    <w:p w14:paraId="75033593">
      <w:pPr>
        <w:numPr>
          <w:ilvl w:val="0"/>
          <w:numId w:val="0"/>
        </w:numPr>
        <w:spacing w:line="360" w:lineRule="auto"/>
        <w:ind w:firstLine="211" w:firstLineChars="100"/>
        <w:contextualSpacing/>
        <w:rPr>
          <w:rFonts w:hint="eastAsia" w:asciiTheme="minorEastAsia" w:hAnsiTheme="minorEastAsia" w:eastAsiaTheme="minorEastAsia"/>
          <w:b/>
          <w:bCs/>
          <w:color w:val="auto"/>
          <w:szCs w:val="21"/>
          <w:highlight w:val="none"/>
          <w:lang w:eastAsia="zh-CN"/>
        </w:rPr>
      </w:pPr>
    </w:p>
    <w:p w14:paraId="24821742">
      <w:pPr>
        <w:spacing w:line="360" w:lineRule="auto"/>
        <w:ind w:firstLine="422" w:firstLineChars="200"/>
        <w:contextualSpacing/>
        <w:rPr>
          <w:rFonts w:asciiTheme="minorEastAsia" w:hAnsiTheme="minorEastAsia" w:eastAsiaTheme="minorEastAsia"/>
          <w:b/>
          <w:bCs/>
          <w:color w:val="auto"/>
          <w:szCs w:val="21"/>
          <w:highlight w:val="none"/>
        </w:rPr>
      </w:pPr>
    </w:p>
    <w:p w14:paraId="3BDA818A">
      <w:pPr>
        <w:pStyle w:val="27"/>
        <w:snapToGrid w:val="0"/>
        <w:spacing w:line="360" w:lineRule="auto"/>
        <w:ind w:right="42" w:rightChars="20"/>
        <w:rPr>
          <w:rFonts w:asciiTheme="minorEastAsia" w:hAnsiTheme="minorEastAsia" w:eastAsiaTheme="minorEastAsia"/>
          <w:color w:val="auto"/>
          <w:szCs w:val="21"/>
          <w:highlight w:val="none"/>
        </w:rPr>
      </w:pPr>
    </w:p>
    <w:p w14:paraId="0558035E">
      <w:pPr>
        <w:pStyle w:val="27"/>
        <w:snapToGrid w:val="0"/>
        <w:spacing w:line="360" w:lineRule="auto"/>
        <w:ind w:right="42" w:rightChars="20"/>
        <w:rPr>
          <w:rFonts w:asciiTheme="minorEastAsia" w:hAnsiTheme="minorEastAsia" w:eastAsiaTheme="minorEastAsia"/>
          <w:color w:val="auto"/>
          <w:szCs w:val="21"/>
          <w:highlight w:val="none"/>
          <w:shd w:val="clear" w:color="auto" w:fill="FFFFFF"/>
        </w:rPr>
      </w:pPr>
      <w:r>
        <w:rPr>
          <w:rFonts w:asciiTheme="minorEastAsia" w:hAnsiTheme="minorEastAsia" w:eastAsiaTheme="minorEastAsia"/>
          <w:color w:val="auto"/>
          <w:szCs w:val="21"/>
          <w:highlight w:val="none"/>
          <w:shd w:val="clear" w:color="auto" w:fill="FFFFFF"/>
        </w:rPr>
        <w:t xml:space="preserve">法定代表人或授权代表（签字或盖章）： </w:t>
      </w:r>
    </w:p>
    <w:p w14:paraId="4ED1BA26">
      <w:pPr>
        <w:pStyle w:val="27"/>
        <w:snapToGrid w:val="0"/>
        <w:spacing w:line="360" w:lineRule="auto"/>
        <w:ind w:right="42" w:rightChars="20"/>
        <w:rPr>
          <w:rFonts w:asciiTheme="minorEastAsia" w:hAnsiTheme="minorEastAsia" w:eastAsiaTheme="minorEastAsia"/>
          <w:color w:val="auto"/>
          <w:szCs w:val="21"/>
          <w:highlight w:val="none"/>
          <w:shd w:val="clear" w:color="auto" w:fill="FFFFFF"/>
        </w:rPr>
      </w:pPr>
    </w:p>
    <w:p w14:paraId="240E7537">
      <w:pPr>
        <w:pStyle w:val="27"/>
        <w:snapToGrid w:val="0"/>
        <w:spacing w:line="360" w:lineRule="auto"/>
        <w:ind w:right="42" w:rightChars="20"/>
        <w:rPr>
          <w:rFonts w:asciiTheme="minorEastAsia" w:hAnsiTheme="minorEastAsia" w:eastAsiaTheme="minorEastAsia"/>
          <w:color w:val="auto"/>
          <w:szCs w:val="21"/>
          <w:highlight w:val="none"/>
          <w:shd w:val="clear" w:color="auto" w:fill="FFFFFF"/>
        </w:rPr>
      </w:pPr>
      <w:r>
        <w:rPr>
          <w:rFonts w:hint="eastAsia" w:asciiTheme="minorEastAsia" w:hAnsiTheme="minorEastAsia" w:eastAsiaTheme="minorEastAsia"/>
          <w:color w:val="auto"/>
          <w:szCs w:val="21"/>
          <w:highlight w:val="none"/>
          <w:shd w:val="clear" w:color="auto" w:fill="FFFFFF"/>
        </w:rPr>
        <w:t>投标人名称（CA签章）</w:t>
      </w:r>
      <w:r>
        <w:rPr>
          <w:rFonts w:asciiTheme="minorEastAsia" w:hAnsiTheme="minorEastAsia" w:eastAsiaTheme="minorEastAsia"/>
          <w:color w:val="auto"/>
          <w:szCs w:val="21"/>
          <w:highlight w:val="none"/>
          <w:shd w:val="clear" w:color="auto" w:fill="FFFFFF"/>
        </w:rPr>
        <w:t>：</w:t>
      </w:r>
    </w:p>
    <w:p w14:paraId="51BAF6AC">
      <w:pPr>
        <w:pStyle w:val="27"/>
        <w:snapToGrid w:val="0"/>
        <w:spacing w:line="360" w:lineRule="auto"/>
        <w:ind w:right="42" w:rightChars="20"/>
        <w:rPr>
          <w:rFonts w:asciiTheme="minorEastAsia" w:hAnsiTheme="minorEastAsia" w:eastAsiaTheme="minorEastAsia"/>
          <w:color w:val="auto"/>
          <w:szCs w:val="21"/>
          <w:highlight w:val="none"/>
        </w:rPr>
      </w:pPr>
    </w:p>
    <w:p w14:paraId="711862FD">
      <w:pPr>
        <w:pStyle w:val="27"/>
        <w:snapToGrid w:val="0"/>
        <w:spacing w:line="360" w:lineRule="auto"/>
        <w:ind w:right="42" w:rightChars="20"/>
        <w:rPr>
          <w:rFonts w:asciiTheme="minorEastAsia" w:hAnsiTheme="minorEastAsia" w:eastAsiaTheme="minorEastAsia"/>
          <w:color w:val="auto"/>
          <w:szCs w:val="21"/>
          <w:highlight w:val="none"/>
          <w:shd w:val="clear" w:color="auto" w:fill="FFFFFF"/>
        </w:rPr>
      </w:pPr>
      <w:r>
        <w:rPr>
          <w:rFonts w:hint="eastAsia" w:asciiTheme="minorEastAsia" w:hAnsiTheme="minorEastAsia" w:eastAsiaTheme="minorEastAsia"/>
          <w:color w:val="auto"/>
          <w:szCs w:val="21"/>
          <w:highlight w:val="none"/>
          <w:shd w:val="clear" w:color="auto" w:fill="FFFFFF"/>
        </w:rPr>
        <w:t>日期：</w:t>
      </w:r>
    </w:p>
    <w:p w14:paraId="77981460">
      <w:pPr>
        <w:spacing w:line="360" w:lineRule="auto"/>
        <w:ind w:right="42" w:rightChars="20"/>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分项报价明细表</w:t>
      </w:r>
    </w:p>
    <w:tbl>
      <w:tblPr>
        <w:tblStyle w:val="53"/>
        <w:tblW w:w="89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274"/>
        <w:gridCol w:w="1010"/>
        <w:gridCol w:w="1008"/>
        <w:gridCol w:w="2640"/>
      </w:tblGrid>
      <w:tr w14:paraId="7610E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97" w:hRule="atLeast"/>
        </w:trPr>
        <w:tc>
          <w:tcPr>
            <w:tcW w:w="1008" w:type="dxa"/>
            <w:vAlign w:val="center"/>
          </w:tcPr>
          <w:p w14:paraId="79983428">
            <w:pPr>
              <w:spacing w:line="360" w:lineRule="auto"/>
              <w:ind w:right="42" w:rightChars="20"/>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bCs/>
                <w:color w:val="auto"/>
                <w:szCs w:val="21"/>
                <w:highlight w:val="none"/>
              </w:rPr>
              <w:t>序号</w:t>
            </w:r>
          </w:p>
        </w:tc>
        <w:tc>
          <w:tcPr>
            <w:tcW w:w="3274" w:type="dxa"/>
            <w:vAlign w:val="center"/>
          </w:tcPr>
          <w:p w14:paraId="1DC97D6E">
            <w:pPr>
              <w:spacing w:line="360" w:lineRule="auto"/>
              <w:ind w:left="102" w:right="42" w:rightChars="20"/>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分项内容（包括人员、设备、场地等）</w:t>
            </w:r>
          </w:p>
        </w:tc>
        <w:tc>
          <w:tcPr>
            <w:tcW w:w="1010" w:type="dxa"/>
            <w:vAlign w:val="center"/>
          </w:tcPr>
          <w:p w14:paraId="33DAD2E3">
            <w:pPr>
              <w:spacing w:line="360" w:lineRule="auto"/>
              <w:ind w:right="42" w:rightChars="20"/>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单位</w:t>
            </w:r>
          </w:p>
        </w:tc>
        <w:tc>
          <w:tcPr>
            <w:tcW w:w="1008" w:type="dxa"/>
            <w:vAlign w:val="center"/>
          </w:tcPr>
          <w:p w14:paraId="358CE0B0">
            <w:pPr>
              <w:spacing w:line="360" w:lineRule="auto"/>
              <w:ind w:right="42" w:rightChars="20"/>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数量</w:t>
            </w:r>
          </w:p>
        </w:tc>
        <w:tc>
          <w:tcPr>
            <w:tcW w:w="2640" w:type="dxa"/>
            <w:vAlign w:val="center"/>
          </w:tcPr>
          <w:p w14:paraId="1B4D0FF4">
            <w:pPr>
              <w:spacing w:line="360" w:lineRule="auto"/>
              <w:ind w:right="42" w:rightChars="20"/>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投标报价</w:t>
            </w:r>
          </w:p>
        </w:tc>
      </w:tr>
      <w:tr w14:paraId="48A22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1008" w:type="dxa"/>
            <w:vAlign w:val="center"/>
          </w:tcPr>
          <w:p w14:paraId="0F63EF6B">
            <w:pPr>
              <w:spacing w:line="360" w:lineRule="auto"/>
              <w:ind w:right="42" w:rightChars="2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3274" w:type="dxa"/>
            <w:vAlign w:val="center"/>
          </w:tcPr>
          <w:p w14:paraId="76DF430E">
            <w:pPr>
              <w:spacing w:line="360" w:lineRule="auto"/>
              <w:ind w:right="42" w:rightChars="20"/>
              <w:jc w:val="center"/>
              <w:rPr>
                <w:rFonts w:asciiTheme="minorEastAsia" w:hAnsiTheme="minorEastAsia" w:eastAsiaTheme="minorEastAsia"/>
                <w:color w:val="auto"/>
                <w:szCs w:val="21"/>
                <w:highlight w:val="none"/>
              </w:rPr>
            </w:pPr>
          </w:p>
        </w:tc>
        <w:tc>
          <w:tcPr>
            <w:tcW w:w="1010" w:type="dxa"/>
            <w:vAlign w:val="center"/>
          </w:tcPr>
          <w:p w14:paraId="3DE7DE4E">
            <w:pPr>
              <w:spacing w:line="360" w:lineRule="auto"/>
              <w:ind w:right="42" w:rightChars="20"/>
              <w:jc w:val="center"/>
              <w:rPr>
                <w:rFonts w:asciiTheme="minorEastAsia" w:hAnsiTheme="minorEastAsia" w:eastAsiaTheme="minorEastAsia"/>
                <w:color w:val="auto"/>
                <w:szCs w:val="21"/>
                <w:highlight w:val="none"/>
              </w:rPr>
            </w:pPr>
          </w:p>
        </w:tc>
        <w:tc>
          <w:tcPr>
            <w:tcW w:w="1008" w:type="dxa"/>
            <w:vAlign w:val="center"/>
          </w:tcPr>
          <w:p w14:paraId="0DEF8602">
            <w:pPr>
              <w:spacing w:line="360" w:lineRule="auto"/>
              <w:ind w:right="42" w:rightChars="20"/>
              <w:jc w:val="center"/>
              <w:rPr>
                <w:rFonts w:asciiTheme="minorEastAsia" w:hAnsiTheme="minorEastAsia" w:eastAsiaTheme="minorEastAsia"/>
                <w:color w:val="auto"/>
                <w:szCs w:val="21"/>
                <w:highlight w:val="none"/>
              </w:rPr>
            </w:pPr>
          </w:p>
        </w:tc>
        <w:tc>
          <w:tcPr>
            <w:tcW w:w="2640" w:type="dxa"/>
            <w:vAlign w:val="center"/>
          </w:tcPr>
          <w:p w14:paraId="753D5087">
            <w:pPr>
              <w:spacing w:line="360" w:lineRule="auto"/>
              <w:ind w:right="42" w:rightChars="20"/>
              <w:jc w:val="center"/>
              <w:rPr>
                <w:rFonts w:asciiTheme="minorEastAsia" w:hAnsiTheme="minorEastAsia" w:eastAsiaTheme="minorEastAsia"/>
                <w:color w:val="auto"/>
                <w:szCs w:val="21"/>
                <w:highlight w:val="none"/>
              </w:rPr>
            </w:pPr>
          </w:p>
        </w:tc>
      </w:tr>
      <w:tr w14:paraId="7C23C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1008" w:type="dxa"/>
            <w:vAlign w:val="center"/>
          </w:tcPr>
          <w:p w14:paraId="43E1AE70">
            <w:pPr>
              <w:spacing w:line="360" w:lineRule="auto"/>
              <w:ind w:right="42" w:rightChars="2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3274" w:type="dxa"/>
            <w:vAlign w:val="center"/>
          </w:tcPr>
          <w:p w14:paraId="45FA2348">
            <w:pPr>
              <w:spacing w:line="360" w:lineRule="auto"/>
              <w:ind w:right="42" w:rightChars="20"/>
              <w:jc w:val="center"/>
              <w:rPr>
                <w:rFonts w:asciiTheme="minorEastAsia" w:hAnsiTheme="minorEastAsia" w:eastAsiaTheme="minorEastAsia"/>
                <w:color w:val="auto"/>
                <w:szCs w:val="21"/>
                <w:highlight w:val="none"/>
              </w:rPr>
            </w:pPr>
          </w:p>
        </w:tc>
        <w:tc>
          <w:tcPr>
            <w:tcW w:w="1010" w:type="dxa"/>
            <w:vAlign w:val="center"/>
          </w:tcPr>
          <w:p w14:paraId="0EA14BEB">
            <w:pPr>
              <w:spacing w:line="360" w:lineRule="auto"/>
              <w:ind w:right="42" w:rightChars="20"/>
              <w:jc w:val="center"/>
              <w:rPr>
                <w:rFonts w:asciiTheme="minorEastAsia" w:hAnsiTheme="minorEastAsia" w:eastAsiaTheme="minorEastAsia"/>
                <w:color w:val="auto"/>
                <w:szCs w:val="21"/>
                <w:highlight w:val="none"/>
              </w:rPr>
            </w:pPr>
          </w:p>
        </w:tc>
        <w:tc>
          <w:tcPr>
            <w:tcW w:w="1008" w:type="dxa"/>
            <w:vAlign w:val="center"/>
          </w:tcPr>
          <w:p w14:paraId="714D5D85">
            <w:pPr>
              <w:spacing w:line="360" w:lineRule="auto"/>
              <w:ind w:right="42" w:rightChars="20"/>
              <w:jc w:val="center"/>
              <w:rPr>
                <w:rFonts w:asciiTheme="minorEastAsia" w:hAnsiTheme="minorEastAsia" w:eastAsiaTheme="minorEastAsia"/>
                <w:color w:val="auto"/>
                <w:szCs w:val="21"/>
                <w:highlight w:val="none"/>
              </w:rPr>
            </w:pPr>
          </w:p>
        </w:tc>
        <w:tc>
          <w:tcPr>
            <w:tcW w:w="2640" w:type="dxa"/>
            <w:vAlign w:val="center"/>
          </w:tcPr>
          <w:p w14:paraId="5F39D56E">
            <w:pPr>
              <w:spacing w:line="360" w:lineRule="auto"/>
              <w:ind w:right="42" w:rightChars="20"/>
              <w:jc w:val="center"/>
              <w:rPr>
                <w:rFonts w:asciiTheme="minorEastAsia" w:hAnsiTheme="minorEastAsia" w:eastAsiaTheme="minorEastAsia"/>
                <w:color w:val="auto"/>
                <w:szCs w:val="21"/>
                <w:highlight w:val="none"/>
              </w:rPr>
            </w:pPr>
          </w:p>
        </w:tc>
      </w:tr>
      <w:tr w14:paraId="64593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1008" w:type="dxa"/>
            <w:vAlign w:val="center"/>
          </w:tcPr>
          <w:p w14:paraId="51CDE7CF">
            <w:pPr>
              <w:spacing w:line="360" w:lineRule="auto"/>
              <w:ind w:right="42" w:rightChars="2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3274" w:type="dxa"/>
            <w:vAlign w:val="center"/>
          </w:tcPr>
          <w:p w14:paraId="37F3F48C">
            <w:pPr>
              <w:spacing w:line="360" w:lineRule="auto"/>
              <w:ind w:right="42" w:rightChars="20"/>
              <w:jc w:val="center"/>
              <w:rPr>
                <w:rFonts w:asciiTheme="minorEastAsia" w:hAnsiTheme="minorEastAsia" w:eastAsiaTheme="minorEastAsia"/>
                <w:color w:val="auto"/>
                <w:szCs w:val="21"/>
                <w:highlight w:val="none"/>
              </w:rPr>
            </w:pPr>
          </w:p>
        </w:tc>
        <w:tc>
          <w:tcPr>
            <w:tcW w:w="1010" w:type="dxa"/>
            <w:vAlign w:val="center"/>
          </w:tcPr>
          <w:p w14:paraId="4F2916BE">
            <w:pPr>
              <w:spacing w:line="360" w:lineRule="auto"/>
              <w:ind w:right="42" w:rightChars="20"/>
              <w:jc w:val="center"/>
              <w:rPr>
                <w:rFonts w:asciiTheme="minorEastAsia" w:hAnsiTheme="minorEastAsia" w:eastAsiaTheme="minorEastAsia"/>
                <w:color w:val="auto"/>
                <w:szCs w:val="21"/>
                <w:highlight w:val="none"/>
              </w:rPr>
            </w:pPr>
          </w:p>
        </w:tc>
        <w:tc>
          <w:tcPr>
            <w:tcW w:w="1008" w:type="dxa"/>
            <w:vAlign w:val="center"/>
          </w:tcPr>
          <w:p w14:paraId="08D12D0F">
            <w:pPr>
              <w:spacing w:line="360" w:lineRule="auto"/>
              <w:ind w:right="42" w:rightChars="20"/>
              <w:jc w:val="center"/>
              <w:rPr>
                <w:rFonts w:asciiTheme="minorEastAsia" w:hAnsiTheme="minorEastAsia" w:eastAsiaTheme="minorEastAsia"/>
                <w:color w:val="auto"/>
                <w:szCs w:val="21"/>
                <w:highlight w:val="none"/>
              </w:rPr>
            </w:pPr>
          </w:p>
        </w:tc>
        <w:tc>
          <w:tcPr>
            <w:tcW w:w="2640" w:type="dxa"/>
            <w:vAlign w:val="center"/>
          </w:tcPr>
          <w:p w14:paraId="009FD2DA">
            <w:pPr>
              <w:spacing w:line="360" w:lineRule="auto"/>
              <w:ind w:right="42" w:rightChars="20"/>
              <w:jc w:val="center"/>
              <w:rPr>
                <w:rFonts w:asciiTheme="minorEastAsia" w:hAnsiTheme="minorEastAsia" w:eastAsiaTheme="minorEastAsia"/>
                <w:color w:val="auto"/>
                <w:szCs w:val="21"/>
                <w:highlight w:val="none"/>
              </w:rPr>
            </w:pPr>
          </w:p>
        </w:tc>
      </w:tr>
      <w:tr w14:paraId="79E4E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1008" w:type="dxa"/>
            <w:vAlign w:val="center"/>
          </w:tcPr>
          <w:p w14:paraId="32C2B29E">
            <w:pPr>
              <w:spacing w:line="360" w:lineRule="auto"/>
              <w:ind w:right="42" w:rightChars="2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p>
        </w:tc>
        <w:tc>
          <w:tcPr>
            <w:tcW w:w="3274" w:type="dxa"/>
            <w:vAlign w:val="center"/>
          </w:tcPr>
          <w:p w14:paraId="54D3C098">
            <w:pPr>
              <w:spacing w:line="360" w:lineRule="auto"/>
              <w:ind w:right="42" w:rightChars="20"/>
              <w:jc w:val="center"/>
              <w:rPr>
                <w:rFonts w:asciiTheme="minorEastAsia" w:hAnsiTheme="minorEastAsia" w:eastAsiaTheme="minorEastAsia"/>
                <w:color w:val="auto"/>
                <w:szCs w:val="21"/>
                <w:highlight w:val="none"/>
              </w:rPr>
            </w:pPr>
          </w:p>
        </w:tc>
        <w:tc>
          <w:tcPr>
            <w:tcW w:w="1010" w:type="dxa"/>
            <w:vAlign w:val="center"/>
          </w:tcPr>
          <w:p w14:paraId="66267C91">
            <w:pPr>
              <w:spacing w:line="360" w:lineRule="auto"/>
              <w:ind w:right="42" w:rightChars="20"/>
              <w:jc w:val="center"/>
              <w:rPr>
                <w:rFonts w:asciiTheme="minorEastAsia" w:hAnsiTheme="minorEastAsia" w:eastAsiaTheme="minorEastAsia"/>
                <w:color w:val="auto"/>
                <w:szCs w:val="21"/>
                <w:highlight w:val="none"/>
              </w:rPr>
            </w:pPr>
          </w:p>
        </w:tc>
        <w:tc>
          <w:tcPr>
            <w:tcW w:w="1008" w:type="dxa"/>
            <w:vAlign w:val="center"/>
          </w:tcPr>
          <w:p w14:paraId="07F38AB5">
            <w:pPr>
              <w:spacing w:line="360" w:lineRule="auto"/>
              <w:ind w:right="42" w:rightChars="20"/>
              <w:jc w:val="center"/>
              <w:rPr>
                <w:rFonts w:asciiTheme="minorEastAsia" w:hAnsiTheme="minorEastAsia" w:eastAsiaTheme="minorEastAsia"/>
                <w:color w:val="auto"/>
                <w:szCs w:val="21"/>
                <w:highlight w:val="none"/>
              </w:rPr>
            </w:pPr>
          </w:p>
        </w:tc>
        <w:tc>
          <w:tcPr>
            <w:tcW w:w="2640" w:type="dxa"/>
            <w:vAlign w:val="center"/>
          </w:tcPr>
          <w:p w14:paraId="0CABD7EF">
            <w:pPr>
              <w:spacing w:line="360" w:lineRule="auto"/>
              <w:ind w:right="42" w:rightChars="20"/>
              <w:jc w:val="center"/>
              <w:rPr>
                <w:rFonts w:asciiTheme="minorEastAsia" w:hAnsiTheme="minorEastAsia" w:eastAsiaTheme="minorEastAsia"/>
                <w:color w:val="auto"/>
                <w:szCs w:val="21"/>
                <w:highlight w:val="none"/>
              </w:rPr>
            </w:pPr>
          </w:p>
        </w:tc>
      </w:tr>
      <w:tr w14:paraId="794D0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1008" w:type="dxa"/>
            <w:vAlign w:val="center"/>
          </w:tcPr>
          <w:p w14:paraId="692C1D69">
            <w:pPr>
              <w:spacing w:line="360" w:lineRule="auto"/>
              <w:ind w:right="42" w:rightChars="20"/>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w:t>
            </w:r>
          </w:p>
        </w:tc>
        <w:tc>
          <w:tcPr>
            <w:tcW w:w="3274" w:type="dxa"/>
            <w:vAlign w:val="center"/>
          </w:tcPr>
          <w:p w14:paraId="6BA62687">
            <w:pPr>
              <w:spacing w:line="360" w:lineRule="auto"/>
              <w:ind w:right="42" w:rightChars="20"/>
              <w:jc w:val="center"/>
              <w:rPr>
                <w:rFonts w:asciiTheme="minorEastAsia" w:hAnsiTheme="minorEastAsia" w:eastAsiaTheme="minorEastAsia"/>
                <w:color w:val="auto"/>
                <w:szCs w:val="21"/>
                <w:highlight w:val="none"/>
              </w:rPr>
            </w:pPr>
          </w:p>
        </w:tc>
        <w:tc>
          <w:tcPr>
            <w:tcW w:w="1010" w:type="dxa"/>
            <w:vAlign w:val="center"/>
          </w:tcPr>
          <w:p w14:paraId="5C70B190">
            <w:pPr>
              <w:spacing w:line="360" w:lineRule="auto"/>
              <w:ind w:right="42" w:rightChars="20"/>
              <w:jc w:val="center"/>
              <w:rPr>
                <w:rFonts w:asciiTheme="minorEastAsia" w:hAnsiTheme="minorEastAsia" w:eastAsiaTheme="minorEastAsia"/>
                <w:color w:val="auto"/>
                <w:szCs w:val="21"/>
                <w:highlight w:val="none"/>
              </w:rPr>
            </w:pPr>
          </w:p>
        </w:tc>
        <w:tc>
          <w:tcPr>
            <w:tcW w:w="1008" w:type="dxa"/>
            <w:vAlign w:val="center"/>
          </w:tcPr>
          <w:p w14:paraId="578C132C">
            <w:pPr>
              <w:spacing w:line="360" w:lineRule="auto"/>
              <w:ind w:right="42" w:rightChars="20"/>
              <w:jc w:val="center"/>
              <w:rPr>
                <w:rFonts w:asciiTheme="minorEastAsia" w:hAnsiTheme="minorEastAsia" w:eastAsiaTheme="minorEastAsia"/>
                <w:color w:val="auto"/>
                <w:szCs w:val="21"/>
                <w:highlight w:val="none"/>
              </w:rPr>
            </w:pPr>
          </w:p>
        </w:tc>
        <w:tc>
          <w:tcPr>
            <w:tcW w:w="2640" w:type="dxa"/>
            <w:vAlign w:val="center"/>
          </w:tcPr>
          <w:p w14:paraId="7E97953F">
            <w:pPr>
              <w:spacing w:line="360" w:lineRule="auto"/>
              <w:ind w:right="42" w:rightChars="20"/>
              <w:jc w:val="center"/>
              <w:rPr>
                <w:rFonts w:asciiTheme="minorEastAsia" w:hAnsiTheme="minorEastAsia" w:eastAsiaTheme="minorEastAsia"/>
                <w:color w:val="auto"/>
                <w:szCs w:val="21"/>
                <w:highlight w:val="none"/>
              </w:rPr>
            </w:pPr>
          </w:p>
        </w:tc>
      </w:tr>
      <w:tr w14:paraId="11AAE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1008" w:type="dxa"/>
            <w:vAlign w:val="center"/>
          </w:tcPr>
          <w:p w14:paraId="1485343E">
            <w:pPr>
              <w:spacing w:line="360" w:lineRule="auto"/>
              <w:ind w:right="42" w:rightChars="20"/>
              <w:jc w:val="center"/>
              <w:rPr>
                <w:rFonts w:asciiTheme="minorEastAsia" w:hAnsiTheme="minorEastAsia" w:eastAsiaTheme="minorEastAsia"/>
                <w:color w:val="auto"/>
                <w:szCs w:val="21"/>
                <w:highlight w:val="none"/>
              </w:rPr>
            </w:pPr>
          </w:p>
        </w:tc>
        <w:tc>
          <w:tcPr>
            <w:tcW w:w="5292" w:type="dxa"/>
            <w:gridSpan w:val="3"/>
            <w:vAlign w:val="center"/>
          </w:tcPr>
          <w:p w14:paraId="1AC12BFF">
            <w:pPr>
              <w:spacing w:line="360" w:lineRule="auto"/>
              <w:ind w:right="42" w:rightChars="2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合计总价</w:t>
            </w:r>
          </w:p>
        </w:tc>
        <w:tc>
          <w:tcPr>
            <w:tcW w:w="2640" w:type="dxa"/>
            <w:vAlign w:val="center"/>
          </w:tcPr>
          <w:p w14:paraId="19A96D8A">
            <w:pPr>
              <w:spacing w:line="360" w:lineRule="auto"/>
              <w:ind w:right="42" w:rightChars="20"/>
              <w:jc w:val="center"/>
              <w:rPr>
                <w:rFonts w:asciiTheme="minorEastAsia" w:hAnsiTheme="minorEastAsia" w:eastAsiaTheme="minorEastAsia"/>
                <w:color w:val="auto"/>
                <w:szCs w:val="21"/>
                <w:highlight w:val="none"/>
              </w:rPr>
            </w:pPr>
          </w:p>
        </w:tc>
      </w:tr>
    </w:tbl>
    <w:p w14:paraId="09953C4C">
      <w:pPr>
        <w:pStyle w:val="101"/>
        <w:rPr>
          <w:color w:val="auto"/>
          <w:highlight w:val="none"/>
        </w:rPr>
      </w:pPr>
    </w:p>
    <w:p w14:paraId="12319F7E">
      <w:pPr>
        <w:tabs>
          <w:tab w:val="left" w:pos="540"/>
        </w:tabs>
        <w:autoSpaceDE w:val="0"/>
        <w:autoSpaceDN w:val="0"/>
        <w:adjustRightInd w:val="0"/>
        <w:spacing w:line="360" w:lineRule="auto"/>
        <w:ind w:right="42" w:rightChars="20" w:firstLine="411" w:firstLineChars="196"/>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 1、以上表格中各项可进一步细分，栏数不够可自加，要求服务内容细分项目及报价。本投标文件及其所附文件涵盖了我方要约的全部内容。</w:t>
      </w:r>
    </w:p>
    <w:p w14:paraId="1EE9D6F0">
      <w:pPr>
        <w:spacing w:line="360" w:lineRule="auto"/>
        <w:ind w:left="-2" w:leftChars="-1" w:right="42" w:rightChars="20" w:firstLine="945" w:firstLineChars="45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2、本明细清单合计总价应与投标（开标）一览表报价保持一致。</w:t>
      </w:r>
    </w:p>
    <w:p w14:paraId="7D0A7FB8">
      <w:pPr>
        <w:snapToGrid w:val="0"/>
        <w:spacing w:before="50" w:after="50" w:line="360" w:lineRule="auto"/>
        <w:ind w:right="42" w:rightChars="20"/>
        <w:rPr>
          <w:rFonts w:asciiTheme="minorEastAsia" w:hAnsiTheme="minorEastAsia" w:eastAsiaTheme="minorEastAsia"/>
          <w:color w:val="auto"/>
          <w:spacing w:val="20"/>
          <w:sz w:val="22"/>
          <w:szCs w:val="22"/>
          <w:highlight w:val="none"/>
        </w:rPr>
      </w:pPr>
    </w:p>
    <w:p w14:paraId="1C1A56B4">
      <w:pPr>
        <w:snapToGrid w:val="0"/>
        <w:spacing w:before="50" w:after="50" w:line="360" w:lineRule="auto"/>
        <w:ind w:right="42" w:rightChars="20"/>
        <w:rPr>
          <w:rFonts w:asciiTheme="minorEastAsia" w:hAnsiTheme="minorEastAsia" w:eastAsiaTheme="minorEastAsia"/>
          <w:color w:val="auto"/>
          <w:spacing w:val="20"/>
          <w:sz w:val="22"/>
          <w:szCs w:val="22"/>
          <w:highlight w:val="none"/>
        </w:rPr>
      </w:pPr>
    </w:p>
    <w:p w14:paraId="4BF07EBE">
      <w:pPr>
        <w:snapToGrid w:val="0"/>
        <w:spacing w:before="50" w:after="50" w:line="360" w:lineRule="auto"/>
        <w:ind w:right="42" w:rightChars="20"/>
        <w:rPr>
          <w:rFonts w:asciiTheme="minorEastAsia" w:hAnsiTheme="minorEastAsia" w:eastAsiaTheme="minorEastAsia"/>
          <w:color w:val="auto"/>
          <w:spacing w:val="20"/>
          <w:sz w:val="22"/>
          <w:szCs w:val="22"/>
          <w:highlight w:val="none"/>
        </w:rPr>
      </w:pPr>
    </w:p>
    <w:p w14:paraId="0F0CB2CB">
      <w:pPr>
        <w:pStyle w:val="27"/>
        <w:snapToGrid w:val="0"/>
        <w:spacing w:line="360" w:lineRule="auto"/>
        <w:ind w:right="42" w:rightChars="20"/>
        <w:rPr>
          <w:rFonts w:asciiTheme="minorEastAsia" w:hAnsiTheme="minorEastAsia" w:eastAsiaTheme="minorEastAsia"/>
          <w:color w:val="auto"/>
          <w:szCs w:val="21"/>
          <w:highlight w:val="none"/>
          <w:shd w:val="clear" w:color="auto" w:fill="FFFFFF"/>
        </w:rPr>
      </w:pPr>
      <w:r>
        <w:rPr>
          <w:rFonts w:asciiTheme="minorEastAsia" w:hAnsiTheme="minorEastAsia" w:eastAsiaTheme="minorEastAsia"/>
          <w:color w:val="auto"/>
          <w:szCs w:val="21"/>
          <w:highlight w:val="none"/>
          <w:shd w:val="clear" w:color="auto" w:fill="FFFFFF"/>
        </w:rPr>
        <w:t xml:space="preserve">法定代表人或授权代表（签字或盖章）： </w:t>
      </w:r>
    </w:p>
    <w:p w14:paraId="036B3DF6">
      <w:pPr>
        <w:pStyle w:val="27"/>
        <w:snapToGrid w:val="0"/>
        <w:spacing w:line="360" w:lineRule="auto"/>
        <w:ind w:right="42" w:rightChars="20"/>
        <w:rPr>
          <w:rFonts w:asciiTheme="minorEastAsia" w:hAnsiTheme="minorEastAsia" w:eastAsiaTheme="minorEastAsia"/>
          <w:color w:val="auto"/>
          <w:szCs w:val="21"/>
          <w:highlight w:val="none"/>
          <w:shd w:val="clear" w:color="auto" w:fill="FFFFFF"/>
        </w:rPr>
      </w:pPr>
    </w:p>
    <w:p w14:paraId="726CEE4C">
      <w:pPr>
        <w:pStyle w:val="27"/>
        <w:snapToGrid w:val="0"/>
        <w:spacing w:line="360" w:lineRule="auto"/>
        <w:ind w:right="42" w:rightChars="20"/>
        <w:rPr>
          <w:rFonts w:asciiTheme="minorEastAsia" w:hAnsiTheme="minorEastAsia" w:eastAsiaTheme="minorEastAsia"/>
          <w:color w:val="auto"/>
          <w:szCs w:val="21"/>
          <w:highlight w:val="none"/>
          <w:shd w:val="clear" w:color="auto" w:fill="FFFFFF"/>
        </w:rPr>
      </w:pPr>
      <w:r>
        <w:rPr>
          <w:rFonts w:hint="eastAsia" w:asciiTheme="minorEastAsia" w:hAnsiTheme="minorEastAsia" w:eastAsiaTheme="minorEastAsia"/>
          <w:color w:val="auto"/>
          <w:szCs w:val="21"/>
          <w:highlight w:val="none"/>
          <w:shd w:val="clear" w:color="auto" w:fill="FFFFFF"/>
        </w:rPr>
        <w:t>投标人名称（CA签章）</w:t>
      </w:r>
      <w:r>
        <w:rPr>
          <w:rFonts w:asciiTheme="minorEastAsia" w:hAnsiTheme="minorEastAsia" w:eastAsiaTheme="minorEastAsia"/>
          <w:color w:val="auto"/>
          <w:szCs w:val="21"/>
          <w:highlight w:val="none"/>
          <w:shd w:val="clear" w:color="auto" w:fill="FFFFFF"/>
        </w:rPr>
        <w:t>：</w:t>
      </w:r>
    </w:p>
    <w:p w14:paraId="0F1FAD47">
      <w:pPr>
        <w:pStyle w:val="27"/>
        <w:snapToGrid w:val="0"/>
        <w:spacing w:line="360" w:lineRule="auto"/>
        <w:ind w:right="42" w:rightChars="20"/>
        <w:rPr>
          <w:rFonts w:asciiTheme="minorEastAsia" w:hAnsiTheme="minorEastAsia" w:eastAsiaTheme="minorEastAsia"/>
          <w:color w:val="auto"/>
          <w:szCs w:val="21"/>
          <w:highlight w:val="none"/>
          <w:shd w:val="clear" w:color="auto" w:fill="FFFFFF"/>
        </w:rPr>
      </w:pPr>
    </w:p>
    <w:p w14:paraId="58D5846F">
      <w:pPr>
        <w:pStyle w:val="27"/>
        <w:snapToGrid w:val="0"/>
        <w:spacing w:line="360" w:lineRule="auto"/>
        <w:ind w:right="42" w:rightChars="20"/>
        <w:rPr>
          <w:rFonts w:asciiTheme="minorEastAsia" w:hAnsiTheme="minorEastAsia" w:eastAsiaTheme="minorEastAsia"/>
          <w:color w:val="auto"/>
          <w:szCs w:val="21"/>
          <w:highlight w:val="none"/>
          <w:shd w:val="clear" w:color="auto" w:fill="FFFFFF"/>
        </w:rPr>
      </w:pPr>
      <w:r>
        <w:rPr>
          <w:rFonts w:hint="eastAsia" w:asciiTheme="minorEastAsia" w:hAnsiTheme="minorEastAsia" w:eastAsiaTheme="minorEastAsia"/>
          <w:color w:val="auto"/>
          <w:szCs w:val="21"/>
          <w:highlight w:val="none"/>
          <w:shd w:val="clear" w:color="auto" w:fill="FFFFFF"/>
        </w:rPr>
        <w:t>日期：</w:t>
      </w:r>
    </w:p>
    <w:p w14:paraId="0587BEEA">
      <w:pPr>
        <w:pStyle w:val="101"/>
        <w:rPr>
          <w:color w:val="auto"/>
          <w:highlight w:val="none"/>
        </w:rPr>
      </w:pPr>
    </w:p>
    <w:p w14:paraId="1FAA39E6">
      <w:pPr>
        <w:pStyle w:val="101"/>
        <w:rPr>
          <w:color w:val="auto"/>
          <w:highlight w:val="none"/>
        </w:rPr>
      </w:pPr>
    </w:p>
    <w:p w14:paraId="66D5D059">
      <w:pPr>
        <w:pStyle w:val="101"/>
        <w:rPr>
          <w:color w:val="auto"/>
          <w:highlight w:val="none"/>
        </w:rPr>
      </w:pPr>
    </w:p>
    <w:p w14:paraId="5BA2BF33">
      <w:pPr>
        <w:pStyle w:val="101"/>
        <w:rPr>
          <w:color w:val="auto"/>
          <w:highlight w:val="none"/>
        </w:rPr>
      </w:pPr>
    </w:p>
    <w:sectPr>
      <w:pgSz w:w="11907" w:h="16839"/>
      <w:pgMar w:top="1440" w:right="1842"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4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ourier">
    <w:altName w:val="Courier New"/>
    <w:panose1 w:val="02070409020205020404"/>
    <w:charset w:val="00"/>
    <w:family w:val="modern"/>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S Mincho">
    <w:altName w:val="Yu Gothic UI"/>
    <w:panose1 w:val="02020609040205080304"/>
    <w:charset w:val="80"/>
    <w:family w:val="modern"/>
    <w:pitch w:val="default"/>
    <w:sig w:usb0="00000000" w:usb1="00000000" w:usb2="00000010" w:usb3="00000000" w:csb0="4002009F" w:csb1="DFD70000"/>
  </w:font>
  <w:font w:name="方正小标宋简体">
    <w:altName w:val="黑体"/>
    <w:panose1 w:val="02000000000000000000"/>
    <w:charset w:val="86"/>
    <w:family w:val="script"/>
    <w:pitch w:val="default"/>
    <w:sig w:usb0="00000000" w:usb1="00000000" w:usb2="00000012"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966517"/>
    </w:sdtPr>
    <w:sdtContent>
      <w:p w14:paraId="1FC65DA8">
        <w:pPr>
          <w:pStyle w:val="32"/>
          <w:jc w:val="center"/>
        </w:pPr>
        <w:r>
          <w:fldChar w:fldCharType="begin"/>
        </w:r>
        <w:r>
          <w:instrText xml:space="preserve"> PAGE   \* MERGEFORMAT </w:instrText>
        </w:r>
        <w:r>
          <w:fldChar w:fldCharType="separate"/>
        </w:r>
        <w:r>
          <w:rPr>
            <w:lang w:val="zh-CN"/>
          </w:rPr>
          <w:t>12</w:t>
        </w:r>
        <w:r>
          <w:rPr>
            <w:lang w:val="zh-CN"/>
          </w:rPr>
          <w:fldChar w:fldCharType="end"/>
        </w:r>
      </w:p>
    </w:sdtContent>
  </w:sdt>
  <w:p w14:paraId="7FD1F849">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C1E2A">
    <w:pPr>
      <w:pStyle w:val="34"/>
      <w:jc w:val="right"/>
      <w:rPr>
        <w:rFonts w:ascii="微软雅黑" w:hAnsi="微软雅黑"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C891B4"/>
    <w:multiLevelType w:val="singleLevel"/>
    <w:tmpl w:val="94C891B4"/>
    <w:lvl w:ilvl="0" w:tentative="0">
      <w:start w:val="1"/>
      <w:numFmt w:val="decimal"/>
      <w:suff w:val="nothing"/>
      <w:lvlText w:val="%1、"/>
      <w:lvlJc w:val="left"/>
    </w:lvl>
  </w:abstractNum>
  <w:abstractNum w:abstractNumId="1">
    <w:nsid w:val="951C9CA1"/>
    <w:multiLevelType w:val="singleLevel"/>
    <w:tmpl w:val="951C9CA1"/>
    <w:lvl w:ilvl="0" w:tentative="0">
      <w:start w:val="1"/>
      <w:numFmt w:val="decimal"/>
      <w:suff w:val="nothing"/>
      <w:lvlText w:val="（%1）"/>
      <w:lvlJc w:val="left"/>
    </w:lvl>
  </w:abstractNum>
  <w:abstractNum w:abstractNumId="2">
    <w:nsid w:val="B9713CAB"/>
    <w:multiLevelType w:val="singleLevel"/>
    <w:tmpl w:val="B9713CAB"/>
    <w:lvl w:ilvl="0" w:tentative="0">
      <w:start w:val="1"/>
      <w:numFmt w:val="decimal"/>
      <w:suff w:val="nothing"/>
      <w:lvlText w:val="（%1）"/>
      <w:lvlJc w:val="left"/>
    </w:lvl>
  </w:abstractNum>
  <w:abstractNum w:abstractNumId="3">
    <w:nsid w:val="D5C5A900"/>
    <w:multiLevelType w:val="singleLevel"/>
    <w:tmpl w:val="D5C5A900"/>
    <w:lvl w:ilvl="0" w:tentative="0">
      <w:start w:val="1"/>
      <w:numFmt w:val="decimal"/>
      <w:suff w:val="nothing"/>
      <w:lvlText w:val="（%1）"/>
      <w:lvlJc w:val="left"/>
    </w:lvl>
  </w:abstractNum>
  <w:abstractNum w:abstractNumId="4">
    <w:nsid w:val="DA71CFB3"/>
    <w:multiLevelType w:val="singleLevel"/>
    <w:tmpl w:val="DA71CFB3"/>
    <w:lvl w:ilvl="0" w:tentative="0">
      <w:start w:val="1"/>
      <w:numFmt w:val="decimal"/>
      <w:suff w:val="nothing"/>
      <w:lvlText w:val="（%1）"/>
      <w:lvlJc w:val="left"/>
    </w:lvl>
  </w:abstractNum>
  <w:abstractNum w:abstractNumId="5">
    <w:nsid w:val="319DA420"/>
    <w:multiLevelType w:val="singleLevel"/>
    <w:tmpl w:val="319DA420"/>
    <w:lvl w:ilvl="0" w:tentative="0">
      <w:start w:val="2"/>
      <w:numFmt w:val="chineseCounting"/>
      <w:suff w:val="space"/>
      <w:lvlText w:val="第%1章"/>
      <w:lvlJc w:val="left"/>
      <w:rPr>
        <w:rFonts w:hint="eastAsia"/>
      </w:rPr>
    </w:lvl>
  </w:abstractNum>
  <w:abstractNum w:abstractNumId="6">
    <w:nsid w:val="4036637C"/>
    <w:multiLevelType w:val="singleLevel"/>
    <w:tmpl w:val="4036637C"/>
    <w:lvl w:ilvl="0" w:tentative="0">
      <w:start w:val="2"/>
      <w:numFmt w:val="chineseCounting"/>
      <w:suff w:val="nothing"/>
      <w:lvlText w:val="（%1）"/>
      <w:lvlJc w:val="left"/>
      <w:rPr>
        <w:rFonts w:hint="eastAsia"/>
      </w:rPr>
    </w:lvl>
  </w:abstractNum>
  <w:abstractNum w:abstractNumId="7">
    <w:nsid w:val="48ECD156"/>
    <w:multiLevelType w:val="singleLevel"/>
    <w:tmpl w:val="48ECD156"/>
    <w:lvl w:ilvl="0" w:tentative="0">
      <w:start w:val="1"/>
      <w:numFmt w:val="bullet"/>
      <w:pStyle w:val="24"/>
      <w:lvlText w:val=""/>
      <w:lvlJc w:val="left"/>
      <w:pPr>
        <w:tabs>
          <w:tab w:val="left" w:pos="780"/>
        </w:tabs>
        <w:ind w:left="780" w:hanging="360"/>
      </w:pPr>
      <w:rPr>
        <w:rFonts w:hint="default" w:ascii="Wingdings" w:hAnsi="Wingdings"/>
      </w:rPr>
    </w:lvl>
  </w:abstractNum>
  <w:abstractNum w:abstractNumId="8">
    <w:nsid w:val="54535BAC"/>
    <w:multiLevelType w:val="singleLevel"/>
    <w:tmpl w:val="54535BAC"/>
    <w:lvl w:ilvl="0" w:tentative="0">
      <w:start w:val="1"/>
      <w:numFmt w:val="decimal"/>
      <w:suff w:val="nothing"/>
      <w:lvlText w:val="（%1）"/>
      <w:lvlJc w:val="left"/>
    </w:lvl>
  </w:abstractNum>
  <w:abstractNum w:abstractNumId="9">
    <w:nsid w:val="54F403B5"/>
    <w:multiLevelType w:val="singleLevel"/>
    <w:tmpl w:val="54F403B5"/>
    <w:lvl w:ilvl="0" w:tentative="0">
      <w:start w:val="1"/>
      <w:numFmt w:val="chineseCounting"/>
      <w:suff w:val="nothing"/>
      <w:lvlText w:val="%1、"/>
      <w:lvlJc w:val="left"/>
    </w:lvl>
  </w:abstractNum>
  <w:abstractNum w:abstractNumId="10">
    <w:nsid w:val="551E3405"/>
    <w:multiLevelType w:val="multilevel"/>
    <w:tmpl w:val="551E3405"/>
    <w:lvl w:ilvl="0" w:tentative="0">
      <w:start w:val="1"/>
      <w:numFmt w:val="decimal"/>
      <w:lvlText w:val="%1、"/>
      <w:lvlJc w:val="left"/>
      <w:pPr>
        <w:ind w:left="1198"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557FD3DA"/>
    <w:multiLevelType w:val="singleLevel"/>
    <w:tmpl w:val="557FD3DA"/>
    <w:lvl w:ilvl="0" w:tentative="0">
      <w:start w:val="3"/>
      <w:numFmt w:val="chineseCounting"/>
      <w:suff w:val="nothing"/>
      <w:lvlText w:val="%1、"/>
      <w:lvlJc w:val="left"/>
    </w:lvl>
  </w:abstractNum>
  <w:abstractNum w:abstractNumId="12">
    <w:nsid w:val="7DAA347A"/>
    <w:multiLevelType w:val="multilevel"/>
    <w:tmpl w:val="7DAA347A"/>
    <w:lvl w:ilvl="0" w:tentative="0">
      <w:start w:val="1"/>
      <w:numFmt w:val="japaneseCounting"/>
      <w:lvlText w:val="第%1条"/>
      <w:lvlJc w:val="left"/>
      <w:pPr>
        <w:tabs>
          <w:tab w:val="left" w:pos="1157"/>
        </w:tabs>
        <w:ind w:left="1157" w:hanging="735"/>
      </w:pPr>
      <w:rPr>
        <w:rFonts w:hint="default"/>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num w:numId="1">
    <w:abstractNumId w:val="7"/>
  </w:num>
  <w:num w:numId="2">
    <w:abstractNumId w:val="5"/>
  </w:num>
  <w:num w:numId="3">
    <w:abstractNumId w:val="10"/>
  </w:num>
  <w:num w:numId="4">
    <w:abstractNumId w:val="0"/>
  </w:num>
  <w:num w:numId="5">
    <w:abstractNumId w:val="6"/>
  </w:num>
  <w:num w:numId="6">
    <w:abstractNumId w:val="1"/>
  </w:num>
  <w:num w:numId="7">
    <w:abstractNumId w:val="8"/>
  </w:num>
  <w:num w:numId="8">
    <w:abstractNumId w:val="2"/>
  </w:num>
  <w:num w:numId="9">
    <w:abstractNumId w:val="3"/>
  </w:num>
  <w:num w:numId="10">
    <w:abstractNumId w:val="4"/>
  </w:num>
  <w:num w:numId="11">
    <w:abstractNumId w:val="12"/>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0NjEwMTJlYmM2ODk2NDkwNDFjNjAzMTYxODUxOGMifQ=="/>
  </w:docVars>
  <w:rsids>
    <w:rsidRoot w:val="00C67595"/>
    <w:rsid w:val="00000868"/>
    <w:rsid w:val="000012E1"/>
    <w:rsid w:val="00002FF3"/>
    <w:rsid w:val="00003C3C"/>
    <w:rsid w:val="000044F4"/>
    <w:rsid w:val="000050D6"/>
    <w:rsid w:val="0000517F"/>
    <w:rsid w:val="00005B6A"/>
    <w:rsid w:val="0000613F"/>
    <w:rsid w:val="00006676"/>
    <w:rsid w:val="00007A59"/>
    <w:rsid w:val="000101D3"/>
    <w:rsid w:val="00010B34"/>
    <w:rsid w:val="00010C43"/>
    <w:rsid w:val="000112E4"/>
    <w:rsid w:val="00011499"/>
    <w:rsid w:val="00011EDD"/>
    <w:rsid w:val="00012415"/>
    <w:rsid w:val="00014435"/>
    <w:rsid w:val="00015B12"/>
    <w:rsid w:val="00015C8C"/>
    <w:rsid w:val="00015EBA"/>
    <w:rsid w:val="00016F84"/>
    <w:rsid w:val="00017123"/>
    <w:rsid w:val="0001712E"/>
    <w:rsid w:val="0001791B"/>
    <w:rsid w:val="00020A3B"/>
    <w:rsid w:val="00022181"/>
    <w:rsid w:val="000234B2"/>
    <w:rsid w:val="00023EA6"/>
    <w:rsid w:val="00023F05"/>
    <w:rsid w:val="000249F2"/>
    <w:rsid w:val="00024B81"/>
    <w:rsid w:val="00026C81"/>
    <w:rsid w:val="0003103E"/>
    <w:rsid w:val="0003146C"/>
    <w:rsid w:val="00031953"/>
    <w:rsid w:val="0003293E"/>
    <w:rsid w:val="00034BAB"/>
    <w:rsid w:val="00034D4D"/>
    <w:rsid w:val="00035725"/>
    <w:rsid w:val="000370C9"/>
    <w:rsid w:val="0003713E"/>
    <w:rsid w:val="00037CD8"/>
    <w:rsid w:val="0004008C"/>
    <w:rsid w:val="000401D5"/>
    <w:rsid w:val="00041805"/>
    <w:rsid w:val="000420D3"/>
    <w:rsid w:val="00042977"/>
    <w:rsid w:val="00042AFD"/>
    <w:rsid w:val="00043120"/>
    <w:rsid w:val="00043142"/>
    <w:rsid w:val="000441CD"/>
    <w:rsid w:val="000462B4"/>
    <w:rsid w:val="0004692F"/>
    <w:rsid w:val="00046CEF"/>
    <w:rsid w:val="00047395"/>
    <w:rsid w:val="00047D1E"/>
    <w:rsid w:val="00047EDB"/>
    <w:rsid w:val="0005070C"/>
    <w:rsid w:val="000510C6"/>
    <w:rsid w:val="000518B8"/>
    <w:rsid w:val="00051FC1"/>
    <w:rsid w:val="00052067"/>
    <w:rsid w:val="00052F01"/>
    <w:rsid w:val="00052FA7"/>
    <w:rsid w:val="00055784"/>
    <w:rsid w:val="00055D20"/>
    <w:rsid w:val="00056CBF"/>
    <w:rsid w:val="000573EF"/>
    <w:rsid w:val="00057835"/>
    <w:rsid w:val="00060047"/>
    <w:rsid w:val="000623FD"/>
    <w:rsid w:val="00062990"/>
    <w:rsid w:val="00063364"/>
    <w:rsid w:val="00064222"/>
    <w:rsid w:val="00064829"/>
    <w:rsid w:val="00064E74"/>
    <w:rsid w:val="00065016"/>
    <w:rsid w:val="000651F4"/>
    <w:rsid w:val="00065E41"/>
    <w:rsid w:val="000662AD"/>
    <w:rsid w:val="00066842"/>
    <w:rsid w:val="00066EC4"/>
    <w:rsid w:val="00070876"/>
    <w:rsid w:val="00070891"/>
    <w:rsid w:val="000709B0"/>
    <w:rsid w:val="000718A7"/>
    <w:rsid w:val="00072638"/>
    <w:rsid w:val="000736C9"/>
    <w:rsid w:val="00073C4C"/>
    <w:rsid w:val="00074E55"/>
    <w:rsid w:val="00074FC4"/>
    <w:rsid w:val="00075771"/>
    <w:rsid w:val="00076500"/>
    <w:rsid w:val="00076C16"/>
    <w:rsid w:val="0007718F"/>
    <w:rsid w:val="0007759B"/>
    <w:rsid w:val="00080288"/>
    <w:rsid w:val="000806AE"/>
    <w:rsid w:val="0008113B"/>
    <w:rsid w:val="00081912"/>
    <w:rsid w:val="00083567"/>
    <w:rsid w:val="000845F6"/>
    <w:rsid w:val="00085D08"/>
    <w:rsid w:val="00086159"/>
    <w:rsid w:val="0008643D"/>
    <w:rsid w:val="000871CB"/>
    <w:rsid w:val="00087869"/>
    <w:rsid w:val="00087F2C"/>
    <w:rsid w:val="000901E0"/>
    <w:rsid w:val="00091F55"/>
    <w:rsid w:val="00092DE6"/>
    <w:rsid w:val="000932B2"/>
    <w:rsid w:val="00093B7D"/>
    <w:rsid w:val="00093EB5"/>
    <w:rsid w:val="000941A5"/>
    <w:rsid w:val="00095712"/>
    <w:rsid w:val="00096C1B"/>
    <w:rsid w:val="0009734B"/>
    <w:rsid w:val="000A0027"/>
    <w:rsid w:val="000A137F"/>
    <w:rsid w:val="000A24D3"/>
    <w:rsid w:val="000A29D9"/>
    <w:rsid w:val="000A4FF5"/>
    <w:rsid w:val="000A62A6"/>
    <w:rsid w:val="000A6697"/>
    <w:rsid w:val="000A69C1"/>
    <w:rsid w:val="000B09AE"/>
    <w:rsid w:val="000B1A3D"/>
    <w:rsid w:val="000B2508"/>
    <w:rsid w:val="000B2E80"/>
    <w:rsid w:val="000B39C4"/>
    <w:rsid w:val="000B4EDA"/>
    <w:rsid w:val="000B5BDD"/>
    <w:rsid w:val="000B60F2"/>
    <w:rsid w:val="000C0619"/>
    <w:rsid w:val="000C1788"/>
    <w:rsid w:val="000C1952"/>
    <w:rsid w:val="000C2260"/>
    <w:rsid w:val="000C2450"/>
    <w:rsid w:val="000C34D1"/>
    <w:rsid w:val="000C3A73"/>
    <w:rsid w:val="000C3CB6"/>
    <w:rsid w:val="000C400E"/>
    <w:rsid w:val="000C4636"/>
    <w:rsid w:val="000C4E12"/>
    <w:rsid w:val="000C5121"/>
    <w:rsid w:val="000C51F1"/>
    <w:rsid w:val="000C52F4"/>
    <w:rsid w:val="000C63D2"/>
    <w:rsid w:val="000C743A"/>
    <w:rsid w:val="000D00D5"/>
    <w:rsid w:val="000D0A89"/>
    <w:rsid w:val="000D0CCE"/>
    <w:rsid w:val="000D1BEF"/>
    <w:rsid w:val="000D270C"/>
    <w:rsid w:val="000D2959"/>
    <w:rsid w:val="000D3375"/>
    <w:rsid w:val="000D3BD8"/>
    <w:rsid w:val="000D3CA8"/>
    <w:rsid w:val="000D3DBC"/>
    <w:rsid w:val="000D3E83"/>
    <w:rsid w:val="000D4E06"/>
    <w:rsid w:val="000D51BB"/>
    <w:rsid w:val="000D5879"/>
    <w:rsid w:val="000D73FD"/>
    <w:rsid w:val="000E0758"/>
    <w:rsid w:val="000E0C03"/>
    <w:rsid w:val="000E1631"/>
    <w:rsid w:val="000E1EB6"/>
    <w:rsid w:val="000E2A99"/>
    <w:rsid w:val="000E4833"/>
    <w:rsid w:val="000E5B07"/>
    <w:rsid w:val="000E5B86"/>
    <w:rsid w:val="000E5BED"/>
    <w:rsid w:val="000E63B3"/>
    <w:rsid w:val="000F00C6"/>
    <w:rsid w:val="000F03BE"/>
    <w:rsid w:val="000F1174"/>
    <w:rsid w:val="000F200A"/>
    <w:rsid w:val="000F2A44"/>
    <w:rsid w:val="000F2E02"/>
    <w:rsid w:val="000F37FB"/>
    <w:rsid w:val="000F41DC"/>
    <w:rsid w:val="000F68B4"/>
    <w:rsid w:val="000F79F2"/>
    <w:rsid w:val="000F7AE1"/>
    <w:rsid w:val="000F7BE1"/>
    <w:rsid w:val="001001E6"/>
    <w:rsid w:val="00100BEF"/>
    <w:rsid w:val="00102032"/>
    <w:rsid w:val="00102946"/>
    <w:rsid w:val="001029B5"/>
    <w:rsid w:val="00104A23"/>
    <w:rsid w:val="00104E7B"/>
    <w:rsid w:val="001056B0"/>
    <w:rsid w:val="00106261"/>
    <w:rsid w:val="00106CA0"/>
    <w:rsid w:val="00111AC6"/>
    <w:rsid w:val="00111C03"/>
    <w:rsid w:val="00112C9C"/>
    <w:rsid w:val="001136F2"/>
    <w:rsid w:val="0011453D"/>
    <w:rsid w:val="001157FF"/>
    <w:rsid w:val="00115C70"/>
    <w:rsid w:val="00117042"/>
    <w:rsid w:val="0012000F"/>
    <w:rsid w:val="001204E0"/>
    <w:rsid w:val="00122DA4"/>
    <w:rsid w:val="001241CC"/>
    <w:rsid w:val="0012571C"/>
    <w:rsid w:val="00131164"/>
    <w:rsid w:val="0013190C"/>
    <w:rsid w:val="00131EB3"/>
    <w:rsid w:val="0013300D"/>
    <w:rsid w:val="001331D8"/>
    <w:rsid w:val="00136E52"/>
    <w:rsid w:val="001411A8"/>
    <w:rsid w:val="0014296B"/>
    <w:rsid w:val="0014548E"/>
    <w:rsid w:val="00145D66"/>
    <w:rsid w:val="00150C59"/>
    <w:rsid w:val="001512EB"/>
    <w:rsid w:val="00152126"/>
    <w:rsid w:val="00152CF7"/>
    <w:rsid w:val="001545E7"/>
    <w:rsid w:val="00155885"/>
    <w:rsid w:val="0015627F"/>
    <w:rsid w:val="0015639E"/>
    <w:rsid w:val="00157136"/>
    <w:rsid w:val="001608DD"/>
    <w:rsid w:val="00160CB6"/>
    <w:rsid w:val="00162430"/>
    <w:rsid w:val="00162AB9"/>
    <w:rsid w:val="001663C1"/>
    <w:rsid w:val="001670E7"/>
    <w:rsid w:val="00171130"/>
    <w:rsid w:val="001733E7"/>
    <w:rsid w:val="001737B3"/>
    <w:rsid w:val="00174657"/>
    <w:rsid w:val="001749E9"/>
    <w:rsid w:val="001749EA"/>
    <w:rsid w:val="00175ACF"/>
    <w:rsid w:val="00175FF0"/>
    <w:rsid w:val="00180135"/>
    <w:rsid w:val="001807AC"/>
    <w:rsid w:val="0018080D"/>
    <w:rsid w:val="00180B6C"/>
    <w:rsid w:val="00183A3B"/>
    <w:rsid w:val="00183E56"/>
    <w:rsid w:val="00184A25"/>
    <w:rsid w:val="00185BE6"/>
    <w:rsid w:val="00186C73"/>
    <w:rsid w:val="00190584"/>
    <w:rsid w:val="00190A51"/>
    <w:rsid w:val="00191C4B"/>
    <w:rsid w:val="001930F4"/>
    <w:rsid w:val="00193B68"/>
    <w:rsid w:val="001951A6"/>
    <w:rsid w:val="001952FF"/>
    <w:rsid w:val="001961BA"/>
    <w:rsid w:val="001963C7"/>
    <w:rsid w:val="00196943"/>
    <w:rsid w:val="00196E8A"/>
    <w:rsid w:val="001A1210"/>
    <w:rsid w:val="001A3799"/>
    <w:rsid w:val="001A385B"/>
    <w:rsid w:val="001A3D66"/>
    <w:rsid w:val="001A45C5"/>
    <w:rsid w:val="001A4752"/>
    <w:rsid w:val="001A5907"/>
    <w:rsid w:val="001A6FF0"/>
    <w:rsid w:val="001A7535"/>
    <w:rsid w:val="001A78E7"/>
    <w:rsid w:val="001B024B"/>
    <w:rsid w:val="001B0ECC"/>
    <w:rsid w:val="001B1149"/>
    <w:rsid w:val="001B31E0"/>
    <w:rsid w:val="001B333B"/>
    <w:rsid w:val="001B444A"/>
    <w:rsid w:val="001B4756"/>
    <w:rsid w:val="001B4BD3"/>
    <w:rsid w:val="001B52C5"/>
    <w:rsid w:val="001B598A"/>
    <w:rsid w:val="001B6161"/>
    <w:rsid w:val="001B6DF8"/>
    <w:rsid w:val="001B7633"/>
    <w:rsid w:val="001B7C02"/>
    <w:rsid w:val="001C01C4"/>
    <w:rsid w:val="001C1990"/>
    <w:rsid w:val="001C2AE0"/>
    <w:rsid w:val="001C2C06"/>
    <w:rsid w:val="001C2E1A"/>
    <w:rsid w:val="001C2F33"/>
    <w:rsid w:val="001C531A"/>
    <w:rsid w:val="001C585A"/>
    <w:rsid w:val="001C5F4C"/>
    <w:rsid w:val="001C70F2"/>
    <w:rsid w:val="001D0E96"/>
    <w:rsid w:val="001D15FA"/>
    <w:rsid w:val="001D2391"/>
    <w:rsid w:val="001D3D2D"/>
    <w:rsid w:val="001D6C3A"/>
    <w:rsid w:val="001D7FC4"/>
    <w:rsid w:val="001E0DAD"/>
    <w:rsid w:val="001E0ED4"/>
    <w:rsid w:val="001E14EA"/>
    <w:rsid w:val="001E23F2"/>
    <w:rsid w:val="001E2F45"/>
    <w:rsid w:val="001E31F8"/>
    <w:rsid w:val="001E3427"/>
    <w:rsid w:val="001E3FCE"/>
    <w:rsid w:val="001E4776"/>
    <w:rsid w:val="001E4978"/>
    <w:rsid w:val="001E5308"/>
    <w:rsid w:val="001E550F"/>
    <w:rsid w:val="001E7513"/>
    <w:rsid w:val="001F020B"/>
    <w:rsid w:val="001F02A5"/>
    <w:rsid w:val="001F2692"/>
    <w:rsid w:val="001F305F"/>
    <w:rsid w:val="001F32E4"/>
    <w:rsid w:val="001F3957"/>
    <w:rsid w:val="001F45BF"/>
    <w:rsid w:val="001F6A15"/>
    <w:rsid w:val="001F7159"/>
    <w:rsid w:val="001F7336"/>
    <w:rsid w:val="001F7D98"/>
    <w:rsid w:val="002001BC"/>
    <w:rsid w:val="002004C0"/>
    <w:rsid w:val="00200E8E"/>
    <w:rsid w:val="002012BC"/>
    <w:rsid w:val="00201E99"/>
    <w:rsid w:val="002033CF"/>
    <w:rsid w:val="00203654"/>
    <w:rsid w:val="00203D55"/>
    <w:rsid w:val="00204712"/>
    <w:rsid w:val="00204AFB"/>
    <w:rsid w:val="00205048"/>
    <w:rsid w:val="0020630C"/>
    <w:rsid w:val="002069E8"/>
    <w:rsid w:val="00206B06"/>
    <w:rsid w:val="00206FEC"/>
    <w:rsid w:val="00210A6D"/>
    <w:rsid w:val="002115EE"/>
    <w:rsid w:val="00211B35"/>
    <w:rsid w:val="00212194"/>
    <w:rsid w:val="002122A4"/>
    <w:rsid w:val="00214014"/>
    <w:rsid w:val="0021426B"/>
    <w:rsid w:val="00214F3B"/>
    <w:rsid w:val="00215167"/>
    <w:rsid w:val="00215261"/>
    <w:rsid w:val="0021582A"/>
    <w:rsid w:val="00216455"/>
    <w:rsid w:val="00216784"/>
    <w:rsid w:val="00216AF8"/>
    <w:rsid w:val="002172A3"/>
    <w:rsid w:val="002202C1"/>
    <w:rsid w:val="00221406"/>
    <w:rsid w:val="002214C3"/>
    <w:rsid w:val="00221609"/>
    <w:rsid w:val="00221DE0"/>
    <w:rsid w:val="00222725"/>
    <w:rsid w:val="0022501A"/>
    <w:rsid w:val="00225680"/>
    <w:rsid w:val="00225B70"/>
    <w:rsid w:val="0022638E"/>
    <w:rsid w:val="002266AF"/>
    <w:rsid w:val="00226F31"/>
    <w:rsid w:val="00227079"/>
    <w:rsid w:val="002272CC"/>
    <w:rsid w:val="0022764B"/>
    <w:rsid w:val="00230B44"/>
    <w:rsid w:val="002310E4"/>
    <w:rsid w:val="00231165"/>
    <w:rsid w:val="002321B2"/>
    <w:rsid w:val="00232532"/>
    <w:rsid w:val="002331D8"/>
    <w:rsid w:val="0023367C"/>
    <w:rsid w:val="0023556C"/>
    <w:rsid w:val="0023594C"/>
    <w:rsid w:val="0023766E"/>
    <w:rsid w:val="00241365"/>
    <w:rsid w:val="002450E8"/>
    <w:rsid w:val="00245739"/>
    <w:rsid w:val="0024712C"/>
    <w:rsid w:val="0024757D"/>
    <w:rsid w:val="00250561"/>
    <w:rsid w:val="0025074F"/>
    <w:rsid w:val="00250FF3"/>
    <w:rsid w:val="00251D1B"/>
    <w:rsid w:val="00251DDD"/>
    <w:rsid w:val="0025315C"/>
    <w:rsid w:val="00254D47"/>
    <w:rsid w:val="00255D0F"/>
    <w:rsid w:val="0025630A"/>
    <w:rsid w:val="0025717D"/>
    <w:rsid w:val="00257251"/>
    <w:rsid w:val="002576F9"/>
    <w:rsid w:val="00260090"/>
    <w:rsid w:val="00260141"/>
    <w:rsid w:val="00261255"/>
    <w:rsid w:val="00261B17"/>
    <w:rsid w:val="0026292E"/>
    <w:rsid w:val="00263428"/>
    <w:rsid w:val="00264367"/>
    <w:rsid w:val="00266055"/>
    <w:rsid w:val="0026746C"/>
    <w:rsid w:val="00270335"/>
    <w:rsid w:val="002705BE"/>
    <w:rsid w:val="00270CF7"/>
    <w:rsid w:val="00270F20"/>
    <w:rsid w:val="00272EC3"/>
    <w:rsid w:val="00273015"/>
    <w:rsid w:val="0027308B"/>
    <w:rsid w:val="0027337F"/>
    <w:rsid w:val="00274258"/>
    <w:rsid w:val="0027449C"/>
    <w:rsid w:val="00274F22"/>
    <w:rsid w:val="002754FB"/>
    <w:rsid w:val="00275E3B"/>
    <w:rsid w:val="00276170"/>
    <w:rsid w:val="00276513"/>
    <w:rsid w:val="002800F9"/>
    <w:rsid w:val="002801AF"/>
    <w:rsid w:val="00283B35"/>
    <w:rsid w:val="0028553D"/>
    <w:rsid w:val="0028590F"/>
    <w:rsid w:val="0028632D"/>
    <w:rsid w:val="002864B8"/>
    <w:rsid w:val="00286F4E"/>
    <w:rsid w:val="0029034A"/>
    <w:rsid w:val="00290975"/>
    <w:rsid w:val="0029223C"/>
    <w:rsid w:val="00293D33"/>
    <w:rsid w:val="0029485F"/>
    <w:rsid w:val="00294FC5"/>
    <w:rsid w:val="0029609E"/>
    <w:rsid w:val="00297229"/>
    <w:rsid w:val="002A0E86"/>
    <w:rsid w:val="002A3638"/>
    <w:rsid w:val="002A4614"/>
    <w:rsid w:val="002A5215"/>
    <w:rsid w:val="002A62CD"/>
    <w:rsid w:val="002A6348"/>
    <w:rsid w:val="002A673A"/>
    <w:rsid w:val="002A67D8"/>
    <w:rsid w:val="002B09B7"/>
    <w:rsid w:val="002B0D8A"/>
    <w:rsid w:val="002B4339"/>
    <w:rsid w:val="002B48C1"/>
    <w:rsid w:val="002B52C7"/>
    <w:rsid w:val="002B5598"/>
    <w:rsid w:val="002B5C0A"/>
    <w:rsid w:val="002B73C5"/>
    <w:rsid w:val="002B7CC9"/>
    <w:rsid w:val="002C2BFF"/>
    <w:rsid w:val="002C2C79"/>
    <w:rsid w:val="002C2D68"/>
    <w:rsid w:val="002C30B4"/>
    <w:rsid w:val="002C3195"/>
    <w:rsid w:val="002C3490"/>
    <w:rsid w:val="002C4048"/>
    <w:rsid w:val="002C4195"/>
    <w:rsid w:val="002C49C2"/>
    <w:rsid w:val="002C4CA1"/>
    <w:rsid w:val="002C518C"/>
    <w:rsid w:val="002C5920"/>
    <w:rsid w:val="002C5F4F"/>
    <w:rsid w:val="002C60A9"/>
    <w:rsid w:val="002C695B"/>
    <w:rsid w:val="002C7739"/>
    <w:rsid w:val="002C7D6C"/>
    <w:rsid w:val="002D0334"/>
    <w:rsid w:val="002D1096"/>
    <w:rsid w:val="002D1656"/>
    <w:rsid w:val="002D30D0"/>
    <w:rsid w:val="002D3A29"/>
    <w:rsid w:val="002D3DE7"/>
    <w:rsid w:val="002D40B4"/>
    <w:rsid w:val="002D4599"/>
    <w:rsid w:val="002D501A"/>
    <w:rsid w:val="002D6047"/>
    <w:rsid w:val="002D6ED5"/>
    <w:rsid w:val="002D7D1D"/>
    <w:rsid w:val="002D7E86"/>
    <w:rsid w:val="002E0380"/>
    <w:rsid w:val="002E3DB0"/>
    <w:rsid w:val="002E4582"/>
    <w:rsid w:val="002E608E"/>
    <w:rsid w:val="002E6D16"/>
    <w:rsid w:val="002E6D2B"/>
    <w:rsid w:val="002E78E6"/>
    <w:rsid w:val="002E7AFC"/>
    <w:rsid w:val="002E7CFC"/>
    <w:rsid w:val="002E7E1D"/>
    <w:rsid w:val="002F0064"/>
    <w:rsid w:val="002F0B10"/>
    <w:rsid w:val="002F176C"/>
    <w:rsid w:val="002F22D6"/>
    <w:rsid w:val="002F46AD"/>
    <w:rsid w:val="002F4F9C"/>
    <w:rsid w:val="002F52A4"/>
    <w:rsid w:val="002F6AA7"/>
    <w:rsid w:val="002F6D21"/>
    <w:rsid w:val="002F6FCC"/>
    <w:rsid w:val="003034C4"/>
    <w:rsid w:val="00303B30"/>
    <w:rsid w:val="00303CB3"/>
    <w:rsid w:val="003070E6"/>
    <w:rsid w:val="00312FB3"/>
    <w:rsid w:val="00313617"/>
    <w:rsid w:val="003146C2"/>
    <w:rsid w:val="00314A13"/>
    <w:rsid w:val="00314F8A"/>
    <w:rsid w:val="00315A4D"/>
    <w:rsid w:val="003163D4"/>
    <w:rsid w:val="00316CBA"/>
    <w:rsid w:val="00317ECF"/>
    <w:rsid w:val="00320024"/>
    <w:rsid w:val="003235A5"/>
    <w:rsid w:val="00323E19"/>
    <w:rsid w:val="0032517A"/>
    <w:rsid w:val="00326214"/>
    <w:rsid w:val="003262E3"/>
    <w:rsid w:val="0032659B"/>
    <w:rsid w:val="00326C39"/>
    <w:rsid w:val="00326F34"/>
    <w:rsid w:val="00327B44"/>
    <w:rsid w:val="00330637"/>
    <w:rsid w:val="00330B38"/>
    <w:rsid w:val="00331439"/>
    <w:rsid w:val="003314C8"/>
    <w:rsid w:val="0033382F"/>
    <w:rsid w:val="003339BF"/>
    <w:rsid w:val="0033557B"/>
    <w:rsid w:val="00337ABB"/>
    <w:rsid w:val="00340753"/>
    <w:rsid w:val="00340DCE"/>
    <w:rsid w:val="00340EF0"/>
    <w:rsid w:val="0034120C"/>
    <w:rsid w:val="00341BA6"/>
    <w:rsid w:val="0034299D"/>
    <w:rsid w:val="003446A7"/>
    <w:rsid w:val="0034565D"/>
    <w:rsid w:val="00345E93"/>
    <w:rsid w:val="003462B2"/>
    <w:rsid w:val="003471ED"/>
    <w:rsid w:val="00347CE9"/>
    <w:rsid w:val="00350320"/>
    <w:rsid w:val="00351958"/>
    <w:rsid w:val="0035270B"/>
    <w:rsid w:val="0035270E"/>
    <w:rsid w:val="00353D48"/>
    <w:rsid w:val="00353D4B"/>
    <w:rsid w:val="00357213"/>
    <w:rsid w:val="00360259"/>
    <w:rsid w:val="00360275"/>
    <w:rsid w:val="00360278"/>
    <w:rsid w:val="00361B16"/>
    <w:rsid w:val="00361F22"/>
    <w:rsid w:val="00363E2C"/>
    <w:rsid w:val="00364900"/>
    <w:rsid w:val="00367043"/>
    <w:rsid w:val="00367868"/>
    <w:rsid w:val="00367E68"/>
    <w:rsid w:val="003702DB"/>
    <w:rsid w:val="003726C9"/>
    <w:rsid w:val="00372EFB"/>
    <w:rsid w:val="00374661"/>
    <w:rsid w:val="00374AFA"/>
    <w:rsid w:val="00375F2E"/>
    <w:rsid w:val="0037623E"/>
    <w:rsid w:val="0037688E"/>
    <w:rsid w:val="00376CC4"/>
    <w:rsid w:val="00377A30"/>
    <w:rsid w:val="00377D87"/>
    <w:rsid w:val="00380F76"/>
    <w:rsid w:val="00381553"/>
    <w:rsid w:val="00381601"/>
    <w:rsid w:val="00381DC5"/>
    <w:rsid w:val="003827C0"/>
    <w:rsid w:val="00382D2E"/>
    <w:rsid w:val="003831B5"/>
    <w:rsid w:val="003833E2"/>
    <w:rsid w:val="003857B1"/>
    <w:rsid w:val="0038631D"/>
    <w:rsid w:val="00387D85"/>
    <w:rsid w:val="00391146"/>
    <w:rsid w:val="003913CC"/>
    <w:rsid w:val="0039180D"/>
    <w:rsid w:val="00392C38"/>
    <w:rsid w:val="00393B51"/>
    <w:rsid w:val="003940A9"/>
    <w:rsid w:val="00394485"/>
    <w:rsid w:val="003945FE"/>
    <w:rsid w:val="00394AE3"/>
    <w:rsid w:val="00395629"/>
    <w:rsid w:val="00396529"/>
    <w:rsid w:val="00397033"/>
    <w:rsid w:val="00397632"/>
    <w:rsid w:val="00397A22"/>
    <w:rsid w:val="003A08B8"/>
    <w:rsid w:val="003A0ACF"/>
    <w:rsid w:val="003A35DE"/>
    <w:rsid w:val="003A368B"/>
    <w:rsid w:val="003A3F1A"/>
    <w:rsid w:val="003A48E3"/>
    <w:rsid w:val="003A55E2"/>
    <w:rsid w:val="003A65FE"/>
    <w:rsid w:val="003A6EB4"/>
    <w:rsid w:val="003A7F12"/>
    <w:rsid w:val="003B2868"/>
    <w:rsid w:val="003B296C"/>
    <w:rsid w:val="003B6222"/>
    <w:rsid w:val="003C1488"/>
    <w:rsid w:val="003C17B9"/>
    <w:rsid w:val="003C2847"/>
    <w:rsid w:val="003C4C6A"/>
    <w:rsid w:val="003C542B"/>
    <w:rsid w:val="003C5CA6"/>
    <w:rsid w:val="003C6088"/>
    <w:rsid w:val="003C6925"/>
    <w:rsid w:val="003C6A7D"/>
    <w:rsid w:val="003C704B"/>
    <w:rsid w:val="003C7C88"/>
    <w:rsid w:val="003D1D29"/>
    <w:rsid w:val="003D1E74"/>
    <w:rsid w:val="003D38BD"/>
    <w:rsid w:val="003D3F8F"/>
    <w:rsid w:val="003D44ED"/>
    <w:rsid w:val="003D5BE8"/>
    <w:rsid w:val="003D6D0F"/>
    <w:rsid w:val="003D7B96"/>
    <w:rsid w:val="003E25C9"/>
    <w:rsid w:val="003E3291"/>
    <w:rsid w:val="003E4A05"/>
    <w:rsid w:val="003E4F44"/>
    <w:rsid w:val="003E62A6"/>
    <w:rsid w:val="003E6BD1"/>
    <w:rsid w:val="003E7580"/>
    <w:rsid w:val="003F00F1"/>
    <w:rsid w:val="003F08DD"/>
    <w:rsid w:val="003F095C"/>
    <w:rsid w:val="003F32EA"/>
    <w:rsid w:val="003F3578"/>
    <w:rsid w:val="003F361B"/>
    <w:rsid w:val="003F47CC"/>
    <w:rsid w:val="003F7A70"/>
    <w:rsid w:val="00400A18"/>
    <w:rsid w:val="00401095"/>
    <w:rsid w:val="00401627"/>
    <w:rsid w:val="00401A1A"/>
    <w:rsid w:val="00404445"/>
    <w:rsid w:val="00404C20"/>
    <w:rsid w:val="00405C98"/>
    <w:rsid w:val="00407E08"/>
    <w:rsid w:val="00407ED7"/>
    <w:rsid w:val="00410A0F"/>
    <w:rsid w:val="00410FAF"/>
    <w:rsid w:val="004114AA"/>
    <w:rsid w:val="0041237D"/>
    <w:rsid w:val="0041238F"/>
    <w:rsid w:val="00412CBD"/>
    <w:rsid w:val="00412CD1"/>
    <w:rsid w:val="004139D5"/>
    <w:rsid w:val="00413F4C"/>
    <w:rsid w:val="00415698"/>
    <w:rsid w:val="004156B5"/>
    <w:rsid w:val="00415CD0"/>
    <w:rsid w:val="00417BE9"/>
    <w:rsid w:val="00420F8D"/>
    <w:rsid w:val="004214B5"/>
    <w:rsid w:val="004225B5"/>
    <w:rsid w:val="0042297C"/>
    <w:rsid w:val="00423F7F"/>
    <w:rsid w:val="004250BA"/>
    <w:rsid w:val="004256E8"/>
    <w:rsid w:val="00425B57"/>
    <w:rsid w:val="004267A0"/>
    <w:rsid w:val="00426EEF"/>
    <w:rsid w:val="00430924"/>
    <w:rsid w:val="004317C7"/>
    <w:rsid w:val="00431C25"/>
    <w:rsid w:val="00431CF0"/>
    <w:rsid w:val="0043214E"/>
    <w:rsid w:val="00432879"/>
    <w:rsid w:val="00434060"/>
    <w:rsid w:val="004368EC"/>
    <w:rsid w:val="00437762"/>
    <w:rsid w:val="00440432"/>
    <w:rsid w:val="00440709"/>
    <w:rsid w:val="004409B0"/>
    <w:rsid w:val="004410F2"/>
    <w:rsid w:val="0044176C"/>
    <w:rsid w:val="004426D3"/>
    <w:rsid w:val="004432C4"/>
    <w:rsid w:val="00444BDC"/>
    <w:rsid w:val="00444E81"/>
    <w:rsid w:val="004461E1"/>
    <w:rsid w:val="0044624A"/>
    <w:rsid w:val="004466ED"/>
    <w:rsid w:val="00451372"/>
    <w:rsid w:val="00451D14"/>
    <w:rsid w:val="00453177"/>
    <w:rsid w:val="0045398A"/>
    <w:rsid w:val="004548E3"/>
    <w:rsid w:val="00454A5E"/>
    <w:rsid w:val="00454CAC"/>
    <w:rsid w:val="00454FEF"/>
    <w:rsid w:val="00455983"/>
    <w:rsid w:val="00455FB6"/>
    <w:rsid w:val="00456AB9"/>
    <w:rsid w:val="00456B40"/>
    <w:rsid w:val="00457A35"/>
    <w:rsid w:val="004621BB"/>
    <w:rsid w:val="00463AE4"/>
    <w:rsid w:val="00464141"/>
    <w:rsid w:val="00465CE3"/>
    <w:rsid w:val="00466865"/>
    <w:rsid w:val="0047000B"/>
    <w:rsid w:val="00470411"/>
    <w:rsid w:val="00470989"/>
    <w:rsid w:val="00472A6B"/>
    <w:rsid w:val="004730CD"/>
    <w:rsid w:val="00474463"/>
    <w:rsid w:val="004753EA"/>
    <w:rsid w:val="004756E5"/>
    <w:rsid w:val="00476950"/>
    <w:rsid w:val="00477067"/>
    <w:rsid w:val="0047747E"/>
    <w:rsid w:val="0047764D"/>
    <w:rsid w:val="00480837"/>
    <w:rsid w:val="00482362"/>
    <w:rsid w:val="00482D87"/>
    <w:rsid w:val="004837DF"/>
    <w:rsid w:val="00483A8C"/>
    <w:rsid w:val="00483AF6"/>
    <w:rsid w:val="004845BA"/>
    <w:rsid w:val="00485E36"/>
    <w:rsid w:val="00486130"/>
    <w:rsid w:val="00487EA8"/>
    <w:rsid w:val="00491467"/>
    <w:rsid w:val="00491686"/>
    <w:rsid w:val="00491C3D"/>
    <w:rsid w:val="00491CE5"/>
    <w:rsid w:val="00492C3D"/>
    <w:rsid w:val="004935E2"/>
    <w:rsid w:val="004935F5"/>
    <w:rsid w:val="00493D52"/>
    <w:rsid w:val="00494311"/>
    <w:rsid w:val="00494E09"/>
    <w:rsid w:val="00495508"/>
    <w:rsid w:val="00496347"/>
    <w:rsid w:val="0049757D"/>
    <w:rsid w:val="004A074A"/>
    <w:rsid w:val="004A081C"/>
    <w:rsid w:val="004A193D"/>
    <w:rsid w:val="004A29C6"/>
    <w:rsid w:val="004A339A"/>
    <w:rsid w:val="004A33C5"/>
    <w:rsid w:val="004A3408"/>
    <w:rsid w:val="004A3427"/>
    <w:rsid w:val="004A35EC"/>
    <w:rsid w:val="004A3D67"/>
    <w:rsid w:val="004A5FE4"/>
    <w:rsid w:val="004A63AD"/>
    <w:rsid w:val="004A664D"/>
    <w:rsid w:val="004A6CD4"/>
    <w:rsid w:val="004A763F"/>
    <w:rsid w:val="004A7686"/>
    <w:rsid w:val="004B1146"/>
    <w:rsid w:val="004B1B25"/>
    <w:rsid w:val="004B3872"/>
    <w:rsid w:val="004B5BDD"/>
    <w:rsid w:val="004B64CA"/>
    <w:rsid w:val="004B6D4D"/>
    <w:rsid w:val="004B7634"/>
    <w:rsid w:val="004B76FA"/>
    <w:rsid w:val="004C024F"/>
    <w:rsid w:val="004C08D1"/>
    <w:rsid w:val="004C09A2"/>
    <w:rsid w:val="004C2CFD"/>
    <w:rsid w:val="004C30F4"/>
    <w:rsid w:val="004C34B1"/>
    <w:rsid w:val="004C48CD"/>
    <w:rsid w:val="004C4F9B"/>
    <w:rsid w:val="004C6A4F"/>
    <w:rsid w:val="004D0473"/>
    <w:rsid w:val="004D07AC"/>
    <w:rsid w:val="004D3047"/>
    <w:rsid w:val="004D3105"/>
    <w:rsid w:val="004D39A3"/>
    <w:rsid w:val="004D46B5"/>
    <w:rsid w:val="004D4F09"/>
    <w:rsid w:val="004D5556"/>
    <w:rsid w:val="004D5665"/>
    <w:rsid w:val="004D688A"/>
    <w:rsid w:val="004D7812"/>
    <w:rsid w:val="004D7E27"/>
    <w:rsid w:val="004E0F43"/>
    <w:rsid w:val="004E180E"/>
    <w:rsid w:val="004E3AAC"/>
    <w:rsid w:val="004E3F53"/>
    <w:rsid w:val="004E443A"/>
    <w:rsid w:val="004E49CF"/>
    <w:rsid w:val="004E6C19"/>
    <w:rsid w:val="004E7946"/>
    <w:rsid w:val="004F054E"/>
    <w:rsid w:val="004F14AA"/>
    <w:rsid w:val="004F28FF"/>
    <w:rsid w:val="004F49C9"/>
    <w:rsid w:val="004F5EEB"/>
    <w:rsid w:val="004F6AAA"/>
    <w:rsid w:val="004F773C"/>
    <w:rsid w:val="004F7EA8"/>
    <w:rsid w:val="00500A89"/>
    <w:rsid w:val="00501FF8"/>
    <w:rsid w:val="005032B5"/>
    <w:rsid w:val="00503847"/>
    <w:rsid w:val="00504332"/>
    <w:rsid w:val="00504E3A"/>
    <w:rsid w:val="00505174"/>
    <w:rsid w:val="00507566"/>
    <w:rsid w:val="005101D0"/>
    <w:rsid w:val="00510670"/>
    <w:rsid w:val="0051205B"/>
    <w:rsid w:val="0051264D"/>
    <w:rsid w:val="00512C76"/>
    <w:rsid w:val="00512DE6"/>
    <w:rsid w:val="00513119"/>
    <w:rsid w:val="00513791"/>
    <w:rsid w:val="00513EE1"/>
    <w:rsid w:val="0051455D"/>
    <w:rsid w:val="00515FA8"/>
    <w:rsid w:val="005163A0"/>
    <w:rsid w:val="005167B7"/>
    <w:rsid w:val="005205BE"/>
    <w:rsid w:val="00520BD0"/>
    <w:rsid w:val="00520EB6"/>
    <w:rsid w:val="00521558"/>
    <w:rsid w:val="00521858"/>
    <w:rsid w:val="00521C5E"/>
    <w:rsid w:val="00521FA8"/>
    <w:rsid w:val="00521FF6"/>
    <w:rsid w:val="00523056"/>
    <w:rsid w:val="0052346E"/>
    <w:rsid w:val="005235A4"/>
    <w:rsid w:val="00525BDD"/>
    <w:rsid w:val="0052684A"/>
    <w:rsid w:val="00526FB9"/>
    <w:rsid w:val="00527687"/>
    <w:rsid w:val="005309B4"/>
    <w:rsid w:val="00531101"/>
    <w:rsid w:val="005312BB"/>
    <w:rsid w:val="00532778"/>
    <w:rsid w:val="00532B2C"/>
    <w:rsid w:val="00532F3A"/>
    <w:rsid w:val="00533812"/>
    <w:rsid w:val="00534342"/>
    <w:rsid w:val="00535AFE"/>
    <w:rsid w:val="00535CA4"/>
    <w:rsid w:val="00535F25"/>
    <w:rsid w:val="005363AD"/>
    <w:rsid w:val="00536684"/>
    <w:rsid w:val="00536B9E"/>
    <w:rsid w:val="00536EDE"/>
    <w:rsid w:val="00536FC0"/>
    <w:rsid w:val="00537646"/>
    <w:rsid w:val="00537B4B"/>
    <w:rsid w:val="00540F92"/>
    <w:rsid w:val="005432E2"/>
    <w:rsid w:val="0054336E"/>
    <w:rsid w:val="005445EF"/>
    <w:rsid w:val="00545D29"/>
    <w:rsid w:val="0054671E"/>
    <w:rsid w:val="00546ADF"/>
    <w:rsid w:val="00546C74"/>
    <w:rsid w:val="00547404"/>
    <w:rsid w:val="005474F2"/>
    <w:rsid w:val="00551A9F"/>
    <w:rsid w:val="00551FAE"/>
    <w:rsid w:val="005520FF"/>
    <w:rsid w:val="00553EF5"/>
    <w:rsid w:val="005574A3"/>
    <w:rsid w:val="005577EC"/>
    <w:rsid w:val="005579A1"/>
    <w:rsid w:val="00557B69"/>
    <w:rsid w:val="005608EF"/>
    <w:rsid w:val="00562FE2"/>
    <w:rsid w:val="00563341"/>
    <w:rsid w:val="00563D15"/>
    <w:rsid w:val="00564533"/>
    <w:rsid w:val="00566FF8"/>
    <w:rsid w:val="0056771B"/>
    <w:rsid w:val="0056780F"/>
    <w:rsid w:val="00567FD0"/>
    <w:rsid w:val="0057024F"/>
    <w:rsid w:val="005719F3"/>
    <w:rsid w:val="00571C2F"/>
    <w:rsid w:val="00572072"/>
    <w:rsid w:val="00572649"/>
    <w:rsid w:val="00573C43"/>
    <w:rsid w:val="005769D3"/>
    <w:rsid w:val="00576E0E"/>
    <w:rsid w:val="00576F27"/>
    <w:rsid w:val="005774DA"/>
    <w:rsid w:val="00577C05"/>
    <w:rsid w:val="00580329"/>
    <w:rsid w:val="00583887"/>
    <w:rsid w:val="00583E2C"/>
    <w:rsid w:val="005844A7"/>
    <w:rsid w:val="00584C25"/>
    <w:rsid w:val="00585467"/>
    <w:rsid w:val="0058575C"/>
    <w:rsid w:val="00585FD8"/>
    <w:rsid w:val="0059061B"/>
    <w:rsid w:val="005907E4"/>
    <w:rsid w:val="00591922"/>
    <w:rsid w:val="00591C01"/>
    <w:rsid w:val="005930F4"/>
    <w:rsid w:val="005955B8"/>
    <w:rsid w:val="00595BD6"/>
    <w:rsid w:val="005969CE"/>
    <w:rsid w:val="00596EB2"/>
    <w:rsid w:val="00597102"/>
    <w:rsid w:val="005976A0"/>
    <w:rsid w:val="00597843"/>
    <w:rsid w:val="005979E9"/>
    <w:rsid w:val="00597A7A"/>
    <w:rsid w:val="005A102D"/>
    <w:rsid w:val="005A182D"/>
    <w:rsid w:val="005A1858"/>
    <w:rsid w:val="005A2A66"/>
    <w:rsid w:val="005A422B"/>
    <w:rsid w:val="005A452F"/>
    <w:rsid w:val="005A4EA4"/>
    <w:rsid w:val="005A5D0F"/>
    <w:rsid w:val="005A74B8"/>
    <w:rsid w:val="005A76B0"/>
    <w:rsid w:val="005A78CB"/>
    <w:rsid w:val="005B067A"/>
    <w:rsid w:val="005B10FC"/>
    <w:rsid w:val="005B11F4"/>
    <w:rsid w:val="005B26C5"/>
    <w:rsid w:val="005B3970"/>
    <w:rsid w:val="005B6616"/>
    <w:rsid w:val="005B67AE"/>
    <w:rsid w:val="005B7C00"/>
    <w:rsid w:val="005B7EC3"/>
    <w:rsid w:val="005B7F47"/>
    <w:rsid w:val="005C020F"/>
    <w:rsid w:val="005C0785"/>
    <w:rsid w:val="005C0E52"/>
    <w:rsid w:val="005C1C87"/>
    <w:rsid w:val="005C25DD"/>
    <w:rsid w:val="005C34B9"/>
    <w:rsid w:val="005C35FC"/>
    <w:rsid w:val="005C3A36"/>
    <w:rsid w:val="005C4C43"/>
    <w:rsid w:val="005C5C63"/>
    <w:rsid w:val="005C6DB7"/>
    <w:rsid w:val="005C75FA"/>
    <w:rsid w:val="005D146E"/>
    <w:rsid w:val="005D2086"/>
    <w:rsid w:val="005D2694"/>
    <w:rsid w:val="005D2A4D"/>
    <w:rsid w:val="005D2A91"/>
    <w:rsid w:val="005D3740"/>
    <w:rsid w:val="005D46E1"/>
    <w:rsid w:val="005D4DE6"/>
    <w:rsid w:val="005D547F"/>
    <w:rsid w:val="005D5F44"/>
    <w:rsid w:val="005D6F33"/>
    <w:rsid w:val="005E250B"/>
    <w:rsid w:val="005E30E2"/>
    <w:rsid w:val="005E3AEC"/>
    <w:rsid w:val="005E60BB"/>
    <w:rsid w:val="005E7161"/>
    <w:rsid w:val="005E7ACC"/>
    <w:rsid w:val="005F05EE"/>
    <w:rsid w:val="005F0F42"/>
    <w:rsid w:val="005F1237"/>
    <w:rsid w:val="005F14C0"/>
    <w:rsid w:val="005F1A43"/>
    <w:rsid w:val="005F22D0"/>
    <w:rsid w:val="005F27D0"/>
    <w:rsid w:val="005F3F1A"/>
    <w:rsid w:val="005F51B4"/>
    <w:rsid w:val="005F5253"/>
    <w:rsid w:val="005F55D0"/>
    <w:rsid w:val="005F5636"/>
    <w:rsid w:val="005F6215"/>
    <w:rsid w:val="005F6F6C"/>
    <w:rsid w:val="005F6F8E"/>
    <w:rsid w:val="005F7B25"/>
    <w:rsid w:val="006003FA"/>
    <w:rsid w:val="00600451"/>
    <w:rsid w:val="006010E8"/>
    <w:rsid w:val="006016E9"/>
    <w:rsid w:val="00601FAB"/>
    <w:rsid w:val="006034DD"/>
    <w:rsid w:val="00603938"/>
    <w:rsid w:val="006061EE"/>
    <w:rsid w:val="00610BBA"/>
    <w:rsid w:val="006122BB"/>
    <w:rsid w:val="006127E7"/>
    <w:rsid w:val="006134C2"/>
    <w:rsid w:val="0061389F"/>
    <w:rsid w:val="00613CE4"/>
    <w:rsid w:val="00614DF0"/>
    <w:rsid w:val="00616792"/>
    <w:rsid w:val="00617CB5"/>
    <w:rsid w:val="00617E39"/>
    <w:rsid w:val="006212FF"/>
    <w:rsid w:val="006216C7"/>
    <w:rsid w:val="006239D2"/>
    <w:rsid w:val="0062434B"/>
    <w:rsid w:val="00625664"/>
    <w:rsid w:val="00626086"/>
    <w:rsid w:val="00627A20"/>
    <w:rsid w:val="00627BB3"/>
    <w:rsid w:val="00630160"/>
    <w:rsid w:val="00631638"/>
    <w:rsid w:val="0063192E"/>
    <w:rsid w:val="00632B93"/>
    <w:rsid w:val="00633F6D"/>
    <w:rsid w:val="006343E9"/>
    <w:rsid w:val="0063463C"/>
    <w:rsid w:val="006361F8"/>
    <w:rsid w:val="00636968"/>
    <w:rsid w:val="00636BB2"/>
    <w:rsid w:val="00637470"/>
    <w:rsid w:val="006374F5"/>
    <w:rsid w:val="00640596"/>
    <w:rsid w:val="0064089E"/>
    <w:rsid w:val="00640D1D"/>
    <w:rsid w:val="00643083"/>
    <w:rsid w:val="00643DDB"/>
    <w:rsid w:val="006450AA"/>
    <w:rsid w:val="0064553A"/>
    <w:rsid w:val="00647897"/>
    <w:rsid w:val="0065028A"/>
    <w:rsid w:val="00650D71"/>
    <w:rsid w:val="00650E2E"/>
    <w:rsid w:val="0065164A"/>
    <w:rsid w:val="00652459"/>
    <w:rsid w:val="006526B4"/>
    <w:rsid w:val="0065272A"/>
    <w:rsid w:val="00656DA8"/>
    <w:rsid w:val="00660207"/>
    <w:rsid w:val="0066034E"/>
    <w:rsid w:val="00660B7E"/>
    <w:rsid w:val="00660EF8"/>
    <w:rsid w:val="00661A0B"/>
    <w:rsid w:val="00662379"/>
    <w:rsid w:val="006625F1"/>
    <w:rsid w:val="006626E8"/>
    <w:rsid w:val="00662D47"/>
    <w:rsid w:val="00663202"/>
    <w:rsid w:val="0066420F"/>
    <w:rsid w:val="00665BF6"/>
    <w:rsid w:val="00665C33"/>
    <w:rsid w:val="00665D9C"/>
    <w:rsid w:val="00665EA4"/>
    <w:rsid w:val="0066619B"/>
    <w:rsid w:val="006674FA"/>
    <w:rsid w:val="006708E4"/>
    <w:rsid w:val="00670985"/>
    <w:rsid w:val="00670FB1"/>
    <w:rsid w:val="00672FAE"/>
    <w:rsid w:val="0067304C"/>
    <w:rsid w:val="006731F3"/>
    <w:rsid w:val="0067332C"/>
    <w:rsid w:val="006733E5"/>
    <w:rsid w:val="00673758"/>
    <w:rsid w:val="006756B6"/>
    <w:rsid w:val="00676B76"/>
    <w:rsid w:val="006779C7"/>
    <w:rsid w:val="00680D84"/>
    <w:rsid w:val="00683635"/>
    <w:rsid w:val="0068600C"/>
    <w:rsid w:val="006867FE"/>
    <w:rsid w:val="00686DEF"/>
    <w:rsid w:val="0069003B"/>
    <w:rsid w:val="00690265"/>
    <w:rsid w:val="006908CB"/>
    <w:rsid w:val="00693547"/>
    <w:rsid w:val="00693761"/>
    <w:rsid w:val="00693B4B"/>
    <w:rsid w:val="00694C0A"/>
    <w:rsid w:val="00695059"/>
    <w:rsid w:val="006951B6"/>
    <w:rsid w:val="00695242"/>
    <w:rsid w:val="00696549"/>
    <w:rsid w:val="0069692F"/>
    <w:rsid w:val="00696C84"/>
    <w:rsid w:val="0069719C"/>
    <w:rsid w:val="006973C0"/>
    <w:rsid w:val="0069768D"/>
    <w:rsid w:val="006A0193"/>
    <w:rsid w:val="006A0516"/>
    <w:rsid w:val="006A09E2"/>
    <w:rsid w:val="006A20B4"/>
    <w:rsid w:val="006A2CF4"/>
    <w:rsid w:val="006A506E"/>
    <w:rsid w:val="006A56B8"/>
    <w:rsid w:val="006A731A"/>
    <w:rsid w:val="006A73C5"/>
    <w:rsid w:val="006B2869"/>
    <w:rsid w:val="006B3051"/>
    <w:rsid w:val="006B429A"/>
    <w:rsid w:val="006B453A"/>
    <w:rsid w:val="006B4904"/>
    <w:rsid w:val="006B526A"/>
    <w:rsid w:val="006B5A6C"/>
    <w:rsid w:val="006B687A"/>
    <w:rsid w:val="006B7799"/>
    <w:rsid w:val="006C029A"/>
    <w:rsid w:val="006C0ED1"/>
    <w:rsid w:val="006C119A"/>
    <w:rsid w:val="006C2E01"/>
    <w:rsid w:val="006C3040"/>
    <w:rsid w:val="006C37A6"/>
    <w:rsid w:val="006C4979"/>
    <w:rsid w:val="006C4CD4"/>
    <w:rsid w:val="006C51AB"/>
    <w:rsid w:val="006C574A"/>
    <w:rsid w:val="006C6554"/>
    <w:rsid w:val="006C7114"/>
    <w:rsid w:val="006C7366"/>
    <w:rsid w:val="006C769A"/>
    <w:rsid w:val="006C7F22"/>
    <w:rsid w:val="006D0625"/>
    <w:rsid w:val="006D0E7E"/>
    <w:rsid w:val="006D1AB5"/>
    <w:rsid w:val="006D1C10"/>
    <w:rsid w:val="006D3EC2"/>
    <w:rsid w:val="006D41C9"/>
    <w:rsid w:val="006D48EB"/>
    <w:rsid w:val="006D4B04"/>
    <w:rsid w:val="006D4D8B"/>
    <w:rsid w:val="006D5C07"/>
    <w:rsid w:val="006D6571"/>
    <w:rsid w:val="006D7AA7"/>
    <w:rsid w:val="006E0134"/>
    <w:rsid w:val="006E0DFA"/>
    <w:rsid w:val="006E0FD3"/>
    <w:rsid w:val="006E1BA5"/>
    <w:rsid w:val="006E1C93"/>
    <w:rsid w:val="006E1D94"/>
    <w:rsid w:val="006E20B4"/>
    <w:rsid w:val="006E23C2"/>
    <w:rsid w:val="006E2473"/>
    <w:rsid w:val="006E33F0"/>
    <w:rsid w:val="006E3C08"/>
    <w:rsid w:val="006E46D1"/>
    <w:rsid w:val="006E4C23"/>
    <w:rsid w:val="006E5365"/>
    <w:rsid w:val="006E6113"/>
    <w:rsid w:val="006E6D37"/>
    <w:rsid w:val="006F1882"/>
    <w:rsid w:val="006F2296"/>
    <w:rsid w:val="006F271C"/>
    <w:rsid w:val="006F4BE4"/>
    <w:rsid w:val="006F5118"/>
    <w:rsid w:val="006F55BF"/>
    <w:rsid w:val="006F5954"/>
    <w:rsid w:val="00700127"/>
    <w:rsid w:val="007003DE"/>
    <w:rsid w:val="007006A7"/>
    <w:rsid w:val="00701B3B"/>
    <w:rsid w:val="007035AF"/>
    <w:rsid w:val="007046EF"/>
    <w:rsid w:val="007047D4"/>
    <w:rsid w:val="00704C7E"/>
    <w:rsid w:val="00704DB1"/>
    <w:rsid w:val="007107C9"/>
    <w:rsid w:val="00711632"/>
    <w:rsid w:val="007116D7"/>
    <w:rsid w:val="007122C6"/>
    <w:rsid w:val="00712E9E"/>
    <w:rsid w:val="00714040"/>
    <w:rsid w:val="00714D00"/>
    <w:rsid w:val="0071596C"/>
    <w:rsid w:val="00715C18"/>
    <w:rsid w:val="00715F64"/>
    <w:rsid w:val="00717FBC"/>
    <w:rsid w:val="00720042"/>
    <w:rsid w:val="00720D68"/>
    <w:rsid w:val="00721233"/>
    <w:rsid w:val="0072159D"/>
    <w:rsid w:val="007224ED"/>
    <w:rsid w:val="007227A5"/>
    <w:rsid w:val="00724F17"/>
    <w:rsid w:val="007267BA"/>
    <w:rsid w:val="00726FB9"/>
    <w:rsid w:val="00727D8A"/>
    <w:rsid w:val="00730833"/>
    <w:rsid w:val="00731A35"/>
    <w:rsid w:val="007325C3"/>
    <w:rsid w:val="0073287D"/>
    <w:rsid w:val="00732BBD"/>
    <w:rsid w:val="00733274"/>
    <w:rsid w:val="00734C56"/>
    <w:rsid w:val="00734F91"/>
    <w:rsid w:val="007354DB"/>
    <w:rsid w:val="007355FD"/>
    <w:rsid w:val="007365F1"/>
    <w:rsid w:val="0073703D"/>
    <w:rsid w:val="00737E26"/>
    <w:rsid w:val="00740E34"/>
    <w:rsid w:val="00741443"/>
    <w:rsid w:val="007428E1"/>
    <w:rsid w:val="0074472E"/>
    <w:rsid w:val="007477CD"/>
    <w:rsid w:val="0075085C"/>
    <w:rsid w:val="00750C53"/>
    <w:rsid w:val="00750F5D"/>
    <w:rsid w:val="00751F77"/>
    <w:rsid w:val="0075486D"/>
    <w:rsid w:val="0075542C"/>
    <w:rsid w:val="00755509"/>
    <w:rsid w:val="007556A3"/>
    <w:rsid w:val="00755EDC"/>
    <w:rsid w:val="0075681F"/>
    <w:rsid w:val="007602DE"/>
    <w:rsid w:val="00760565"/>
    <w:rsid w:val="00760AE5"/>
    <w:rsid w:val="0076277F"/>
    <w:rsid w:val="007641DC"/>
    <w:rsid w:val="0076501F"/>
    <w:rsid w:val="00765390"/>
    <w:rsid w:val="0076602C"/>
    <w:rsid w:val="007674A5"/>
    <w:rsid w:val="007674BE"/>
    <w:rsid w:val="007677DB"/>
    <w:rsid w:val="00771333"/>
    <w:rsid w:val="0077177C"/>
    <w:rsid w:val="00773806"/>
    <w:rsid w:val="007776CA"/>
    <w:rsid w:val="0078038B"/>
    <w:rsid w:val="00780D1C"/>
    <w:rsid w:val="007824BC"/>
    <w:rsid w:val="00782FEF"/>
    <w:rsid w:val="00783049"/>
    <w:rsid w:val="007831A0"/>
    <w:rsid w:val="00783A8A"/>
    <w:rsid w:val="0078417B"/>
    <w:rsid w:val="00786222"/>
    <w:rsid w:val="00786753"/>
    <w:rsid w:val="00787045"/>
    <w:rsid w:val="0079078D"/>
    <w:rsid w:val="00790F1A"/>
    <w:rsid w:val="00791058"/>
    <w:rsid w:val="007918EB"/>
    <w:rsid w:val="00792754"/>
    <w:rsid w:val="00792D5E"/>
    <w:rsid w:val="0079305E"/>
    <w:rsid w:val="00793CD6"/>
    <w:rsid w:val="007973CE"/>
    <w:rsid w:val="007A0048"/>
    <w:rsid w:val="007A1211"/>
    <w:rsid w:val="007A166C"/>
    <w:rsid w:val="007A1A85"/>
    <w:rsid w:val="007A2813"/>
    <w:rsid w:val="007A2979"/>
    <w:rsid w:val="007A29E6"/>
    <w:rsid w:val="007A39FD"/>
    <w:rsid w:val="007A523F"/>
    <w:rsid w:val="007A68F9"/>
    <w:rsid w:val="007A6FB4"/>
    <w:rsid w:val="007A7604"/>
    <w:rsid w:val="007B125D"/>
    <w:rsid w:val="007B158D"/>
    <w:rsid w:val="007B2033"/>
    <w:rsid w:val="007B2975"/>
    <w:rsid w:val="007B33D2"/>
    <w:rsid w:val="007B3A1C"/>
    <w:rsid w:val="007B4571"/>
    <w:rsid w:val="007B4BB8"/>
    <w:rsid w:val="007B4DC3"/>
    <w:rsid w:val="007B5F6E"/>
    <w:rsid w:val="007B6DE8"/>
    <w:rsid w:val="007B6E79"/>
    <w:rsid w:val="007B7AE9"/>
    <w:rsid w:val="007C0BC3"/>
    <w:rsid w:val="007C28D0"/>
    <w:rsid w:val="007C2BCC"/>
    <w:rsid w:val="007C3BD3"/>
    <w:rsid w:val="007C3D13"/>
    <w:rsid w:val="007C4DD4"/>
    <w:rsid w:val="007C7003"/>
    <w:rsid w:val="007C712C"/>
    <w:rsid w:val="007D04E8"/>
    <w:rsid w:val="007D0507"/>
    <w:rsid w:val="007D0D1C"/>
    <w:rsid w:val="007D149F"/>
    <w:rsid w:val="007D17C7"/>
    <w:rsid w:val="007D1D68"/>
    <w:rsid w:val="007D1DD1"/>
    <w:rsid w:val="007D1E3D"/>
    <w:rsid w:val="007D4CC7"/>
    <w:rsid w:val="007D4E6E"/>
    <w:rsid w:val="007D51DD"/>
    <w:rsid w:val="007D6377"/>
    <w:rsid w:val="007D69E1"/>
    <w:rsid w:val="007D6A5D"/>
    <w:rsid w:val="007D725A"/>
    <w:rsid w:val="007D72DD"/>
    <w:rsid w:val="007D78AF"/>
    <w:rsid w:val="007D799A"/>
    <w:rsid w:val="007E0CDD"/>
    <w:rsid w:val="007E1BEB"/>
    <w:rsid w:val="007E59D4"/>
    <w:rsid w:val="007E6EAB"/>
    <w:rsid w:val="007E7296"/>
    <w:rsid w:val="007E72D9"/>
    <w:rsid w:val="007F0274"/>
    <w:rsid w:val="007F12CD"/>
    <w:rsid w:val="007F1C24"/>
    <w:rsid w:val="007F3380"/>
    <w:rsid w:val="007F3C74"/>
    <w:rsid w:val="007F49DD"/>
    <w:rsid w:val="007F5EE7"/>
    <w:rsid w:val="007F707D"/>
    <w:rsid w:val="007F757C"/>
    <w:rsid w:val="007F75BA"/>
    <w:rsid w:val="00801661"/>
    <w:rsid w:val="0080173B"/>
    <w:rsid w:val="00802B0C"/>
    <w:rsid w:val="00803D5B"/>
    <w:rsid w:val="00804AC8"/>
    <w:rsid w:val="00805DB5"/>
    <w:rsid w:val="008062BD"/>
    <w:rsid w:val="008068D1"/>
    <w:rsid w:val="00807320"/>
    <w:rsid w:val="00807935"/>
    <w:rsid w:val="00807F93"/>
    <w:rsid w:val="008108E2"/>
    <w:rsid w:val="008109AF"/>
    <w:rsid w:val="00810B53"/>
    <w:rsid w:val="0081145A"/>
    <w:rsid w:val="00812DA6"/>
    <w:rsid w:val="00814678"/>
    <w:rsid w:val="0081505A"/>
    <w:rsid w:val="00815B82"/>
    <w:rsid w:val="00815E7F"/>
    <w:rsid w:val="00817109"/>
    <w:rsid w:val="008233B0"/>
    <w:rsid w:val="0082379B"/>
    <w:rsid w:val="008242DB"/>
    <w:rsid w:val="00824615"/>
    <w:rsid w:val="00824E78"/>
    <w:rsid w:val="00826EDE"/>
    <w:rsid w:val="00826F90"/>
    <w:rsid w:val="00827283"/>
    <w:rsid w:val="0083230F"/>
    <w:rsid w:val="00832A0B"/>
    <w:rsid w:val="00834221"/>
    <w:rsid w:val="0083477D"/>
    <w:rsid w:val="00837D28"/>
    <w:rsid w:val="008400FE"/>
    <w:rsid w:val="00840E53"/>
    <w:rsid w:val="0084100B"/>
    <w:rsid w:val="0084161D"/>
    <w:rsid w:val="00841E45"/>
    <w:rsid w:val="0084223A"/>
    <w:rsid w:val="0084364A"/>
    <w:rsid w:val="00844133"/>
    <w:rsid w:val="0084589A"/>
    <w:rsid w:val="0085149F"/>
    <w:rsid w:val="00852726"/>
    <w:rsid w:val="008529C4"/>
    <w:rsid w:val="00852AD5"/>
    <w:rsid w:val="00852D3F"/>
    <w:rsid w:val="00853144"/>
    <w:rsid w:val="00856156"/>
    <w:rsid w:val="00857444"/>
    <w:rsid w:val="00857E65"/>
    <w:rsid w:val="00861FE8"/>
    <w:rsid w:val="00862183"/>
    <w:rsid w:val="00863C21"/>
    <w:rsid w:val="00863EA8"/>
    <w:rsid w:val="00864368"/>
    <w:rsid w:val="00865389"/>
    <w:rsid w:val="00865BD0"/>
    <w:rsid w:val="008660BF"/>
    <w:rsid w:val="008670C0"/>
    <w:rsid w:val="0086763B"/>
    <w:rsid w:val="00867695"/>
    <w:rsid w:val="00867DB1"/>
    <w:rsid w:val="00870E9F"/>
    <w:rsid w:val="008715E2"/>
    <w:rsid w:val="0087228F"/>
    <w:rsid w:val="00873771"/>
    <w:rsid w:val="00874C34"/>
    <w:rsid w:val="00875CB0"/>
    <w:rsid w:val="008771EE"/>
    <w:rsid w:val="0087768F"/>
    <w:rsid w:val="0088024B"/>
    <w:rsid w:val="008802C1"/>
    <w:rsid w:val="00880ED4"/>
    <w:rsid w:val="00883807"/>
    <w:rsid w:val="00885117"/>
    <w:rsid w:val="00885F21"/>
    <w:rsid w:val="00886208"/>
    <w:rsid w:val="00887326"/>
    <w:rsid w:val="0088742D"/>
    <w:rsid w:val="008874B0"/>
    <w:rsid w:val="008879CF"/>
    <w:rsid w:val="0089028E"/>
    <w:rsid w:val="00890A34"/>
    <w:rsid w:val="008911FC"/>
    <w:rsid w:val="00891708"/>
    <w:rsid w:val="00891A03"/>
    <w:rsid w:val="00892213"/>
    <w:rsid w:val="0089268E"/>
    <w:rsid w:val="00892F9F"/>
    <w:rsid w:val="008934C7"/>
    <w:rsid w:val="00895693"/>
    <w:rsid w:val="0089600B"/>
    <w:rsid w:val="008A13C0"/>
    <w:rsid w:val="008A1501"/>
    <w:rsid w:val="008A1A66"/>
    <w:rsid w:val="008A263A"/>
    <w:rsid w:val="008A2D62"/>
    <w:rsid w:val="008A3428"/>
    <w:rsid w:val="008A3834"/>
    <w:rsid w:val="008A3F5A"/>
    <w:rsid w:val="008A7414"/>
    <w:rsid w:val="008B039E"/>
    <w:rsid w:val="008B1F00"/>
    <w:rsid w:val="008B2239"/>
    <w:rsid w:val="008B2446"/>
    <w:rsid w:val="008B333D"/>
    <w:rsid w:val="008B351C"/>
    <w:rsid w:val="008B47ED"/>
    <w:rsid w:val="008B6EDB"/>
    <w:rsid w:val="008C1649"/>
    <w:rsid w:val="008C1B09"/>
    <w:rsid w:val="008C2E7B"/>
    <w:rsid w:val="008C3389"/>
    <w:rsid w:val="008C35F5"/>
    <w:rsid w:val="008C3B3E"/>
    <w:rsid w:val="008C462C"/>
    <w:rsid w:val="008C4831"/>
    <w:rsid w:val="008C486C"/>
    <w:rsid w:val="008C5778"/>
    <w:rsid w:val="008D094C"/>
    <w:rsid w:val="008D0AD6"/>
    <w:rsid w:val="008D288A"/>
    <w:rsid w:val="008D3C76"/>
    <w:rsid w:val="008D40FE"/>
    <w:rsid w:val="008D44A6"/>
    <w:rsid w:val="008D5502"/>
    <w:rsid w:val="008D6764"/>
    <w:rsid w:val="008D6AE9"/>
    <w:rsid w:val="008D792D"/>
    <w:rsid w:val="008E13D5"/>
    <w:rsid w:val="008E3C9E"/>
    <w:rsid w:val="008E4205"/>
    <w:rsid w:val="008E4365"/>
    <w:rsid w:val="008E440F"/>
    <w:rsid w:val="008E459D"/>
    <w:rsid w:val="008E605F"/>
    <w:rsid w:val="008E7754"/>
    <w:rsid w:val="008F019A"/>
    <w:rsid w:val="008F3F27"/>
    <w:rsid w:val="008F425C"/>
    <w:rsid w:val="008F516B"/>
    <w:rsid w:val="008F5D87"/>
    <w:rsid w:val="008F6541"/>
    <w:rsid w:val="008F669A"/>
    <w:rsid w:val="008F6AFA"/>
    <w:rsid w:val="008F7C92"/>
    <w:rsid w:val="008F7D1A"/>
    <w:rsid w:val="009002CF"/>
    <w:rsid w:val="009019EB"/>
    <w:rsid w:val="00902056"/>
    <w:rsid w:val="00902097"/>
    <w:rsid w:val="00903445"/>
    <w:rsid w:val="009035A2"/>
    <w:rsid w:val="00903CAD"/>
    <w:rsid w:val="00904F2D"/>
    <w:rsid w:val="009063E7"/>
    <w:rsid w:val="00907B36"/>
    <w:rsid w:val="00911E6D"/>
    <w:rsid w:val="00911EC2"/>
    <w:rsid w:val="0091372B"/>
    <w:rsid w:val="00913AFB"/>
    <w:rsid w:val="009172A2"/>
    <w:rsid w:val="00917857"/>
    <w:rsid w:val="00917F98"/>
    <w:rsid w:val="009219BC"/>
    <w:rsid w:val="00922280"/>
    <w:rsid w:val="009232BB"/>
    <w:rsid w:val="00923DFD"/>
    <w:rsid w:val="00924527"/>
    <w:rsid w:val="00924F37"/>
    <w:rsid w:val="0092562D"/>
    <w:rsid w:val="00926352"/>
    <w:rsid w:val="00931AE8"/>
    <w:rsid w:val="00931ED7"/>
    <w:rsid w:val="00933D0C"/>
    <w:rsid w:val="00933EA0"/>
    <w:rsid w:val="00934086"/>
    <w:rsid w:val="0093431C"/>
    <w:rsid w:val="009356E6"/>
    <w:rsid w:val="0093634D"/>
    <w:rsid w:val="00937C7C"/>
    <w:rsid w:val="00940426"/>
    <w:rsid w:val="0094096B"/>
    <w:rsid w:val="0094184E"/>
    <w:rsid w:val="00942355"/>
    <w:rsid w:val="00942C97"/>
    <w:rsid w:val="00943512"/>
    <w:rsid w:val="00943B3E"/>
    <w:rsid w:val="00944743"/>
    <w:rsid w:val="00944AD4"/>
    <w:rsid w:val="00944E03"/>
    <w:rsid w:val="009455C7"/>
    <w:rsid w:val="00945A5A"/>
    <w:rsid w:val="00945D37"/>
    <w:rsid w:val="00950968"/>
    <w:rsid w:val="0095401B"/>
    <w:rsid w:val="009546FA"/>
    <w:rsid w:val="00954CC7"/>
    <w:rsid w:val="009550FB"/>
    <w:rsid w:val="00960F09"/>
    <w:rsid w:val="00961025"/>
    <w:rsid w:val="00961C89"/>
    <w:rsid w:val="00963B98"/>
    <w:rsid w:val="00963E8A"/>
    <w:rsid w:val="0096408B"/>
    <w:rsid w:val="00964E39"/>
    <w:rsid w:val="0096523F"/>
    <w:rsid w:val="0096541D"/>
    <w:rsid w:val="0096577B"/>
    <w:rsid w:val="0096586A"/>
    <w:rsid w:val="00967065"/>
    <w:rsid w:val="0096772B"/>
    <w:rsid w:val="009707D3"/>
    <w:rsid w:val="0097147D"/>
    <w:rsid w:val="009716D7"/>
    <w:rsid w:val="009717DC"/>
    <w:rsid w:val="00971C84"/>
    <w:rsid w:val="0097408E"/>
    <w:rsid w:val="0097581E"/>
    <w:rsid w:val="00976756"/>
    <w:rsid w:val="00977B42"/>
    <w:rsid w:val="009805B6"/>
    <w:rsid w:val="00980884"/>
    <w:rsid w:val="009812FB"/>
    <w:rsid w:val="00982CA1"/>
    <w:rsid w:val="00983BD8"/>
    <w:rsid w:val="00983EB7"/>
    <w:rsid w:val="0098421F"/>
    <w:rsid w:val="009851CF"/>
    <w:rsid w:val="00987241"/>
    <w:rsid w:val="00987B72"/>
    <w:rsid w:val="00990ACE"/>
    <w:rsid w:val="00991C50"/>
    <w:rsid w:val="009932FD"/>
    <w:rsid w:val="009953DA"/>
    <w:rsid w:val="00996A6A"/>
    <w:rsid w:val="0099730A"/>
    <w:rsid w:val="009A01A1"/>
    <w:rsid w:val="009A05B4"/>
    <w:rsid w:val="009A1026"/>
    <w:rsid w:val="009A1635"/>
    <w:rsid w:val="009A1B68"/>
    <w:rsid w:val="009A26DA"/>
    <w:rsid w:val="009A2F73"/>
    <w:rsid w:val="009A3D54"/>
    <w:rsid w:val="009A5858"/>
    <w:rsid w:val="009A5B9F"/>
    <w:rsid w:val="009A63DE"/>
    <w:rsid w:val="009B0745"/>
    <w:rsid w:val="009B1D19"/>
    <w:rsid w:val="009B2B19"/>
    <w:rsid w:val="009B44FE"/>
    <w:rsid w:val="009B4821"/>
    <w:rsid w:val="009B65FF"/>
    <w:rsid w:val="009B6700"/>
    <w:rsid w:val="009C1A76"/>
    <w:rsid w:val="009C1CD0"/>
    <w:rsid w:val="009C2218"/>
    <w:rsid w:val="009C317F"/>
    <w:rsid w:val="009C76CB"/>
    <w:rsid w:val="009D0F9C"/>
    <w:rsid w:val="009D12F8"/>
    <w:rsid w:val="009D15FF"/>
    <w:rsid w:val="009D2660"/>
    <w:rsid w:val="009D2C63"/>
    <w:rsid w:val="009D3830"/>
    <w:rsid w:val="009D39F5"/>
    <w:rsid w:val="009D3AEF"/>
    <w:rsid w:val="009D454F"/>
    <w:rsid w:val="009D47FF"/>
    <w:rsid w:val="009E034E"/>
    <w:rsid w:val="009E0A7A"/>
    <w:rsid w:val="009E24CB"/>
    <w:rsid w:val="009E422F"/>
    <w:rsid w:val="009E6421"/>
    <w:rsid w:val="009E6815"/>
    <w:rsid w:val="009E7148"/>
    <w:rsid w:val="009E7514"/>
    <w:rsid w:val="009F04B9"/>
    <w:rsid w:val="009F168F"/>
    <w:rsid w:val="009F19C3"/>
    <w:rsid w:val="009F2DC9"/>
    <w:rsid w:val="009F4180"/>
    <w:rsid w:val="009F4487"/>
    <w:rsid w:val="009F4AF1"/>
    <w:rsid w:val="009F5B28"/>
    <w:rsid w:val="009F5C2E"/>
    <w:rsid w:val="009F6DBF"/>
    <w:rsid w:val="009F757B"/>
    <w:rsid w:val="009F7948"/>
    <w:rsid w:val="00A009F7"/>
    <w:rsid w:val="00A01DFD"/>
    <w:rsid w:val="00A022AC"/>
    <w:rsid w:val="00A0423C"/>
    <w:rsid w:val="00A04CB9"/>
    <w:rsid w:val="00A0505C"/>
    <w:rsid w:val="00A067B2"/>
    <w:rsid w:val="00A06856"/>
    <w:rsid w:val="00A06AC4"/>
    <w:rsid w:val="00A0776D"/>
    <w:rsid w:val="00A07E6E"/>
    <w:rsid w:val="00A110CB"/>
    <w:rsid w:val="00A1297B"/>
    <w:rsid w:val="00A1304B"/>
    <w:rsid w:val="00A135C1"/>
    <w:rsid w:val="00A139BE"/>
    <w:rsid w:val="00A13EE0"/>
    <w:rsid w:val="00A140FC"/>
    <w:rsid w:val="00A14D57"/>
    <w:rsid w:val="00A14EBE"/>
    <w:rsid w:val="00A17DAF"/>
    <w:rsid w:val="00A206E5"/>
    <w:rsid w:val="00A20D42"/>
    <w:rsid w:val="00A20E15"/>
    <w:rsid w:val="00A217C0"/>
    <w:rsid w:val="00A22B19"/>
    <w:rsid w:val="00A22EDD"/>
    <w:rsid w:val="00A23CD6"/>
    <w:rsid w:val="00A24EE6"/>
    <w:rsid w:val="00A27898"/>
    <w:rsid w:val="00A30301"/>
    <w:rsid w:val="00A31827"/>
    <w:rsid w:val="00A34B44"/>
    <w:rsid w:val="00A35282"/>
    <w:rsid w:val="00A35A0B"/>
    <w:rsid w:val="00A40F71"/>
    <w:rsid w:val="00A415F5"/>
    <w:rsid w:val="00A41BCB"/>
    <w:rsid w:val="00A41E16"/>
    <w:rsid w:val="00A43625"/>
    <w:rsid w:val="00A43832"/>
    <w:rsid w:val="00A43DC1"/>
    <w:rsid w:val="00A4581F"/>
    <w:rsid w:val="00A4595F"/>
    <w:rsid w:val="00A46CF7"/>
    <w:rsid w:val="00A477EC"/>
    <w:rsid w:val="00A50701"/>
    <w:rsid w:val="00A50AE8"/>
    <w:rsid w:val="00A50FD4"/>
    <w:rsid w:val="00A5175B"/>
    <w:rsid w:val="00A522E7"/>
    <w:rsid w:val="00A53356"/>
    <w:rsid w:val="00A540FA"/>
    <w:rsid w:val="00A553B3"/>
    <w:rsid w:val="00A5586F"/>
    <w:rsid w:val="00A55C89"/>
    <w:rsid w:val="00A560B4"/>
    <w:rsid w:val="00A5672A"/>
    <w:rsid w:val="00A57653"/>
    <w:rsid w:val="00A57AA2"/>
    <w:rsid w:val="00A60679"/>
    <w:rsid w:val="00A622E4"/>
    <w:rsid w:val="00A62591"/>
    <w:rsid w:val="00A6391F"/>
    <w:rsid w:val="00A639F6"/>
    <w:rsid w:val="00A640C6"/>
    <w:rsid w:val="00A66BE6"/>
    <w:rsid w:val="00A672D9"/>
    <w:rsid w:val="00A67BF2"/>
    <w:rsid w:val="00A67DE3"/>
    <w:rsid w:val="00A70002"/>
    <w:rsid w:val="00A700DC"/>
    <w:rsid w:val="00A70891"/>
    <w:rsid w:val="00A72156"/>
    <w:rsid w:val="00A72211"/>
    <w:rsid w:val="00A73EE2"/>
    <w:rsid w:val="00A740FB"/>
    <w:rsid w:val="00A74173"/>
    <w:rsid w:val="00A746A3"/>
    <w:rsid w:val="00A74B20"/>
    <w:rsid w:val="00A74C43"/>
    <w:rsid w:val="00A74D3D"/>
    <w:rsid w:val="00A74F9C"/>
    <w:rsid w:val="00A771A3"/>
    <w:rsid w:val="00A778D0"/>
    <w:rsid w:val="00A80F72"/>
    <w:rsid w:val="00A81798"/>
    <w:rsid w:val="00A83A12"/>
    <w:rsid w:val="00A83B7A"/>
    <w:rsid w:val="00A83F83"/>
    <w:rsid w:val="00A84669"/>
    <w:rsid w:val="00A846A9"/>
    <w:rsid w:val="00A850BE"/>
    <w:rsid w:val="00A856C5"/>
    <w:rsid w:val="00A863DD"/>
    <w:rsid w:val="00A9096F"/>
    <w:rsid w:val="00A90B18"/>
    <w:rsid w:val="00A921F2"/>
    <w:rsid w:val="00A92E4A"/>
    <w:rsid w:val="00A944D2"/>
    <w:rsid w:val="00A947D5"/>
    <w:rsid w:val="00A95969"/>
    <w:rsid w:val="00A96260"/>
    <w:rsid w:val="00A96EE8"/>
    <w:rsid w:val="00A9703C"/>
    <w:rsid w:val="00AA030E"/>
    <w:rsid w:val="00AA3143"/>
    <w:rsid w:val="00AA37B0"/>
    <w:rsid w:val="00AA3C98"/>
    <w:rsid w:val="00AA3F9B"/>
    <w:rsid w:val="00AA42C7"/>
    <w:rsid w:val="00AA49CC"/>
    <w:rsid w:val="00AA5C83"/>
    <w:rsid w:val="00AA66B6"/>
    <w:rsid w:val="00AA6A0B"/>
    <w:rsid w:val="00AA7670"/>
    <w:rsid w:val="00AB00D5"/>
    <w:rsid w:val="00AB052B"/>
    <w:rsid w:val="00AB3B96"/>
    <w:rsid w:val="00AB5926"/>
    <w:rsid w:val="00AB758B"/>
    <w:rsid w:val="00AC0D28"/>
    <w:rsid w:val="00AC1327"/>
    <w:rsid w:val="00AC153F"/>
    <w:rsid w:val="00AC1A60"/>
    <w:rsid w:val="00AC2340"/>
    <w:rsid w:val="00AC3FD1"/>
    <w:rsid w:val="00AC424A"/>
    <w:rsid w:val="00AC5810"/>
    <w:rsid w:val="00AC5FFB"/>
    <w:rsid w:val="00AC695E"/>
    <w:rsid w:val="00AD0933"/>
    <w:rsid w:val="00AD210E"/>
    <w:rsid w:val="00AD2370"/>
    <w:rsid w:val="00AD28B6"/>
    <w:rsid w:val="00AD303A"/>
    <w:rsid w:val="00AD3E5A"/>
    <w:rsid w:val="00AD441C"/>
    <w:rsid w:val="00AD4FDE"/>
    <w:rsid w:val="00AD6904"/>
    <w:rsid w:val="00AD694B"/>
    <w:rsid w:val="00AE2548"/>
    <w:rsid w:val="00AE3B00"/>
    <w:rsid w:val="00AE42D3"/>
    <w:rsid w:val="00AE46C1"/>
    <w:rsid w:val="00AE5870"/>
    <w:rsid w:val="00AE5CBA"/>
    <w:rsid w:val="00AE630A"/>
    <w:rsid w:val="00AE672E"/>
    <w:rsid w:val="00AE6B42"/>
    <w:rsid w:val="00AE782E"/>
    <w:rsid w:val="00AE7BC9"/>
    <w:rsid w:val="00AF0C03"/>
    <w:rsid w:val="00AF0CED"/>
    <w:rsid w:val="00AF1358"/>
    <w:rsid w:val="00AF31BD"/>
    <w:rsid w:val="00AF3C70"/>
    <w:rsid w:val="00AF3D89"/>
    <w:rsid w:val="00AF5A26"/>
    <w:rsid w:val="00AF6438"/>
    <w:rsid w:val="00AF6972"/>
    <w:rsid w:val="00AF79AE"/>
    <w:rsid w:val="00B0131C"/>
    <w:rsid w:val="00B01F1C"/>
    <w:rsid w:val="00B02D24"/>
    <w:rsid w:val="00B02EA7"/>
    <w:rsid w:val="00B031CB"/>
    <w:rsid w:val="00B0495D"/>
    <w:rsid w:val="00B058B5"/>
    <w:rsid w:val="00B059B1"/>
    <w:rsid w:val="00B07171"/>
    <w:rsid w:val="00B073BC"/>
    <w:rsid w:val="00B07739"/>
    <w:rsid w:val="00B07C8A"/>
    <w:rsid w:val="00B10013"/>
    <w:rsid w:val="00B10322"/>
    <w:rsid w:val="00B10E1E"/>
    <w:rsid w:val="00B11E3E"/>
    <w:rsid w:val="00B11F0D"/>
    <w:rsid w:val="00B11FF9"/>
    <w:rsid w:val="00B1217E"/>
    <w:rsid w:val="00B12333"/>
    <w:rsid w:val="00B13A91"/>
    <w:rsid w:val="00B1419C"/>
    <w:rsid w:val="00B1687F"/>
    <w:rsid w:val="00B20276"/>
    <w:rsid w:val="00B20963"/>
    <w:rsid w:val="00B212CC"/>
    <w:rsid w:val="00B22C33"/>
    <w:rsid w:val="00B24110"/>
    <w:rsid w:val="00B2434A"/>
    <w:rsid w:val="00B24C1A"/>
    <w:rsid w:val="00B2508D"/>
    <w:rsid w:val="00B25528"/>
    <w:rsid w:val="00B258C4"/>
    <w:rsid w:val="00B267B0"/>
    <w:rsid w:val="00B2782D"/>
    <w:rsid w:val="00B30AD4"/>
    <w:rsid w:val="00B30FF4"/>
    <w:rsid w:val="00B3190F"/>
    <w:rsid w:val="00B31AF4"/>
    <w:rsid w:val="00B31EC3"/>
    <w:rsid w:val="00B3265D"/>
    <w:rsid w:val="00B33198"/>
    <w:rsid w:val="00B333F3"/>
    <w:rsid w:val="00B3381D"/>
    <w:rsid w:val="00B345E0"/>
    <w:rsid w:val="00B34FF6"/>
    <w:rsid w:val="00B354FD"/>
    <w:rsid w:val="00B400C5"/>
    <w:rsid w:val="00B4010B"/>
    <w:rsid w:val="00B41CCB"/>
    <w:rsid w:val="00B43B34"/>
    <w:rsid w:val="00B44E02"/>
    <w:rsid w:val="00B450DE"/>
    <w:rsid w:val="00B46ADF"/>
    <w:rsid w:val="00B46B89"/>
    <w:rsid w:val="00B50697"/>
    <w:rsid w:val="00B50A8B"/>
    <w:rsid w:val="00B51BFB"/>
    <w:rsid w:val="00B52619"/>
    <w:rsid w:val="00B531F8"/>
    <w:rsid w:val="00B53DC3"/>
    <w:rsid w:val="00B54B48"/>
    <w:rsid w:val="00B564FD"/>
    <w:rsid w:val="00B56C2B"/>
    <w:rsid w:val="00B56E20"/>
    <w:rsid w:val="00B57BD7"/>
    <w:rsid w:val="00B61D63"/>
    <w:rsid w:val="00B63CA4"/>
    <w:rsid w:val="00B644CE"/>
    <w:rsid w:val="00B6478F"/>
    <w:rsid w:val="00B64E75"/>
    <w:rsid w:val="00B66126"/>
    <w:rsid w:val="00B67C85"/>
    <w:rsid w:val="00B67FCB"/>
    <w:rsid w:val="00B705B5"/>
    <w:rsid w:val="00B70714"/>
    <w:rsid w:val="00B70C75"/>
    <w:rsid w:val="00B717DC"/>
    <w:rsid w:val="00B720E3"/>
    <w:rsid w:val="00B727EA"/>
    <w:rsid w:val="00B73403"/>
    <w:rsid w:val="00B739A7"/>
    <w:rsid w:val="00B73E0B"/>
    <w:rsid w:val="00B767D1"/>
    <w:rsid w:val="00B77287"/>
    <w:rsid w:val="00B833F4"/>
    <w:rsid w:val="00B8363B"/>
    <w:rsid w:val="00B84CA9"/>
    <w:rsid w:val="00B85EF8"/>
    <w:rsid w:val="00B8668D"/>
    <w:rsid w:val="00B8687E"/>
    <w:rsid w:val="00B86D63"/>
    <w:rsid w:val="00B877E8"/>
    <w:rsid w:val="00B87822"/>
    <w:rsid w:val="00B902DB"/>
    <w:rsid w:val="00B90445"/>
    <w:rsid w:val="00B90CE7"/>
    <w:rsid w:val="00B951D3"/>
    <w:rsid w:val="00B95669"/>
    <w:rsid w:val="00B95A0E"/>
    <w:rsid w:val="00B95D82"/>
    <w:rsid w:val="00B96341"/>
    <w:rsid w:val="00B96AD3"/>
    <w:rsid w:val="00B97977"/>
    <w:rsid w:val="00B97F02"/>
    <w:rsid w:val="00BA148F"/>
    <w:rsid w:val="00BA252C"/>
    <w:rsid w:val="00BA36F9"/>
    <w:rsid w:val="00BA45F4"/>
    <w:rsid w:val="00BA4DE2"/>
    <w:rsid w:val="00BA57C2"/>
    <w:rsid w:val="00BA6A79"/>
    <w:rsid w:val="00BA6D65"/>
    <w:rsid w:val="00BA7C9F"/>
    <w:rsid w:val="00BB0ACD"/>
    <w:rsid w:val="00BB1514"/>
    <w:rsid w:val="00BB1A45"/>
    <w:rsid w:val="00BB241A"/>
    <w:rsid w:val="00BB27C8"/>
    <w:rsid w:val="00BB377E"/>
    <w:rsid w:val="00BB3868"/>
    <w:rsid w:val="00BB449E"/>
    <w:rsid w:val="00BB5155"/>
    <w:rsid w:val="00BB5419"/>
    <w:rsid w:val="00BB578C"/>
    <w:rsid w:val="00BB6398"/>
    <w:rsid w:val="00BB72E5"/>
    <w:rsid w:val="00BB77C6"/>
    <w:rsid w:val="00BB7AA9"/>
    <w:rsid w:val="00BB7CD1"/>
    <w:rsid w:val="00BC206C"/>
    <w:rsid w:val="00BC2C8E"/>
    <w:rsid w:val="00BC3AEC"/>
    <w:rsid w:val="00BC3B06"/>
    <w:rsid w:val="00BC4506"/>
    <w:rsid w:val="00BC4F53"/>
    <w:rsid w:val="00BC55AE"/>
    <w:rsid w:val="00BC6B41"/>
    <w:rsid w:val="00BC7726"/>
    <w:rsid w:val="00BC784D"/>
    <w:rsid w:val="00BD00F3"/>
    <w:rsid w:val="00BD049D"/>
    <w:rsid w:val="00BD04F0"/>
    <w:rsid w:val="00BD068D"/>
    <w:rsid w:val="00BD11D3"/>
    <w:rsid w:val="00BD2170"/>
    <w:rsid w:val="00BD25B3"/>
    <w:rsid w:val="00BD3BC3"/>
    <w:rsid w:val="00BD438B"/>
    <w:rsid w:val="00BD4C0D"/>
    <w:rsid w:val="00BD638A"/>
    <w:rsid w:val="00BD6483"/>
    <w:rsid w:val="00BE067C"/>
    <w:rsid w:val="00BE07A0"/>
    <w:rsid w:val="00BE19AE"/>
    <w:rsid w:val="00BE20E2"/>
    <w:rsid w:val="00BE2A7B"/>
    <w:rsid w:val="00BE405F"/>
    <w:rsid w:val="00BE4129"/>
    <w:rsid w:val="00BE44E8"/>
    <w:rsid w:val="00BE471E"/>
    <w:rsid w:val="00BE4FD6"/>
    <w:rsid w:val="00BE5314"/>
    <w:rsid w:val="00BE5F2B"/>
    <w:rsid w:val="00BE66CD"/>
    <w:rsid w:val="00BE76E2"/>
    <w:rsid w:val="00BF0819"/>
    <w:rsid w:val="00BF0C84"/>
    <w:rsid w:val="00BF1F84"/>
    <w:rsid w:val="00BF2121"/>
    <w:rsid w:val="00BF3222"/>
    <w:rsid w:val="00BF3325"/>
    <w:rsid w:val="00BF3445"/>
    <w:rsid w:val="00BF3821"/>
    <w:rsid w:val="00BF60AE"/>
    <w:rsid w:val="00BF6496"/>
    <w:rsid w:val="00BF6DA5"/>
    <w:rsid w:val="00BF6E09"/>
    <w:rsid w:val="00C00750"/>
    <w:rsid w:val="00C03817"/>
    <w:rsid w:val="00C03ED8"/>
    <w:rsid w:val="00C040B6"/>
    <w:rsid w:val="00C04C8F"/>
    <w:rsid w:val="00C06CCC"/>
    <w:rsid w:val="00C07536"/>
    <w:rsid w:val="00C07842"/>
    <w:rsid w:val="00C07925"/>
    <w:rsid w:val="00C07934"/>
    <w:rsid w:val="00C101CD"/>
    <w:rsid w:val="00C1205B"/>
    <w:rsid w:val="00C1212A"/>
    <w:rsid w:val="00C12356"/>
    <w:rsid w:val="00C130E4"/>
    <w:rsid w:val="00C13EF5"/>
    <w:rsid w:val="00C1583D"/>
    <w:rsid w:val="00C17027"/>
    <w:rsid w:val="00C1740C"/>
    <w:rsid w:val="00C17609"/>
    <w:rsid w:val="00C17F41"/>
    <w:rsid w:val="00C20367"/>
    <w:rsid w:val="00C20D08"/>
    <w:rsid w:val="00C232BC"/>
    <w:rsid w:val="00C24074"/>
    <w:rsid w:val="00C2493B"/>
    <w:rsid w:val="00C25ADA"/>
    <w:rsid w:val="00C26995"/>
    <w:rsid w:val="00C27678"/>
    <w:rsid w:val="00C30504"/>
    <w:rsid w:val="00C308B6"/>
    <w:rsid w:val="00C31177"/>
    <w:rsid w:val="00C31346"/>
    <w:rsid w:val="00C31DC1"/>
    <w:rsid w:val="00C33162"/>
    <w:rsid w:val="00C34216"/>
    <w:rsid w:val="00C3460D"/>
    <w:rsid w:val="00C349E0"/>
    <w:rsid w:val="00C356A9"/>
    <w:rsid w:val="00C36950"/>
    <w:rsid w:val="00C41797"/>
    <w:rsid w:val="00C4452D"/>
    <w:rsid w:val="00C47DC3"/>
    <w:rsid w:val="00C5109A"/>
    <w:rsid w:val="00C51755"/>
    <w:rsid w:val="00C51E13"/>
    <w:rsid w:val="00C52765"/>
    <w:rsid w:val="00C52A6B"/>
    <w:rsid w:val="00C53DB6"/>
    <w:rsid w:val="00C54167"/>
    <w:rsid w:val="00C541FB"/>
    <w:rsid w:val="00C54B89"/>
    <w:rsid w:val="00C54EB8"/>
    <w:rsid w:val="00C57E71"/>
    <w:rsid w:val="00C60816"/>
    <w:rsid w:val="00C60F04"/>
    <w:rsid w:val="00C614C2"/>
    <w:rsid w:val="00C61B31"/>
    <w:rsid w:val="00C61F0D"/>
    <w:rsid w:val="00C62285"/>
    <w:rsid w:val="00C635D2"/>
    <w:rsid w:val="00C63C49"/>
    <w:rsid w:val="00C63D09"/>
    <w:rsid w:val="00C6407F"/>
    <w:rsid w:val="00C64172"/>
    <w:rsid w:val="00C652DC"/>
    <w:rsid w:val="00C65F2F"/>
    <w:rsid w:val="00C662A5"/>
    <w:rsid w:val="00C67595"/>
    <w:rsid w:val="00C677E7"/>
    <w:rsid w:val="00C720E4"/>
    <w:rsid w:val="00C74A70"/>
    <w:rsid w:val="00C758F9"/>
    <w:rsid w:val="00C76EBA"/>
    <w:rsid w:val="00C77E32"/>
    <w:rsid w:val="00C803CE"/>
    <w:rsid w:val="00C8084B"/>
    <w:rsid w:val="00C819F9"/>
    <w:rsid w:val="00C81F22"/>
    <w:rsid w:val="00C82BC8"/>
    <w:rsid w:val="00C85AA3"/>
    <w:rsid w:val="00C85E77"/>
    <w:rsid w:val="00C86B5C"/>
    <w:rsid w:val="00C86E6D"/>
    <w:rsid w:val="00C9092A"/>
    <w:rsid w:val="00C911D4"/>
    <w:rsid w:val="00C91287"/>
    <w:rsid w:val="00C93521"/>
    <w:rsid w:val="00C93888"/>
    <w:rsid w:val="00C93BB4"/>
    <w:rsid w:val="00C94090"/>
    <w:rsid w:val="00C947AD"/>
    <w:rsid w:val="00C94D3F"/>
    <w:rsid w:val="00C96459"/>
    <w:rsid w:val="00C96E38"/>
    <w:rsid w:val="00C9731B"/>
    <w:rsid w:val="00C97C92"/>
    <w:rsid w:val="00CA0401"/>
    <w:rsid w:val="00CA0A89"/>
    <w:rsid w:val="00CA0B59"/>
    <w:rsid w:val="00CA1375"/>
    <w:rsid w:val="00CA179C"/>
    <w:rsid w:val="00CA48F1"/>
    <w:rsid w:val="00CA4C9C"/>
    <w:rsid w:val="00CA55D0"/>
    <w:rsid w:val="00CA5B1E"/>
    <w:rsid w:val="00CA6289"/>
    <w:rsid w:val="00CA7C4D"/>
    <w:rsid w:val="00CB04EB"/>
    <w:rsid w:val="00CB2777"/>
    <w:rsid w:val="00CB333C"/>
    <w:rsid w:val="00CB478B"/>
    <w:rsid w:val="00CB54C8"/>
    <w:rsid w:val="00CB6525"/>
    <w:rsid w:val="00CB728B"/>
    <w:rsid w:val="00CC027E"/>
    <w:rsid w:val="00CC2027"/>
    <w:rsid w:val="00CC26F5"/>
    <w:rsid w:val="00CC2C1B"/>
    <w:rsid w:val="00CC3B42"/>
    <w:rsid w:val="00CC42AB"/>
    <w:rsid w:val="00CC44F4"/>
    <w:rsid w:val="00CC66B9"/>
    <w:rsid w:val="00CC6847"/>
    <w:rsid w:val="00CC6D78"/>
    <w:rsid w:val="00CC7F58"/>
    <w:rsid w:val="00CD01CF"/>
    <w:rsid w:val="00CD088F"/>
    <w:rsid w:val="00CD186C"/>
    <w:rsid w:val="00CD1FC9"/>
    <w:rsid w:val="00CD1FE4"/>
    <w:rsid w:val="00CD2E19"/>
    <w:rsid w:val="00CD2FC2"/>
    <w:rsid w:val="00CD3717"/>
    <w:rsid w:val="00CD3A53"/>
    <w:rsid w:val="00CD3B17"/>
    <w:rsid w:val="00CD3BC9"/>
    <w:rsid w:val="00CD4DF8"/>
    <w:rsid w:val="00CE0432"/>
    <w:rsid w:val="00CE0C86"/>
    <w:rsid w:val="00CE14CE"/>
    <w:rsid w:val="00CE1C4C"/>
    <w:rsid w:val="00CE3A57"/>
    <w:rsid w:val="00CE3C06"/>
    <w:rsid w:val="00CE6F12"/>
    <w:rsid w:val="00CE743A"/>
    <w:rsid w:val="00CE7812"/>
    <w:rsid w:val="00CF08D3"/>
    <w:rsid w:val="00CF0EA2"/>
    <w:rsid w:val="00CF1299"/>
    <w:rsid w:val="00CF29E3"/>
    <w:rsid w:val="00CF34B8"/>
    <w:rsid w:val="00CF3ABC"/>
    <w:rsid w:val="00CF4957"/>
    <w:rsid w:val="00CF6FCE"/>
    <w:rsid w:val="00CF7043"/>
    <w:rsid w:val="00CF727C"/>
    <w:rsid w:val="00CF754D"/>
    <w:rsid w:val="00CF77E7"/>
    <w:rsid w:val="00D02675"/>
    <w:rsid w:val="00D02DFC"/>
    <w:rsid w:val="00D02EE4"/>
    <w:rsid w:val="00D04651"/>
    <w:rsid w:val="00D04E21"/>
    <w:rsid w:val="00D0655D"/>
    <w:rsid w:val="00D073F3"/>
    <w:rsid w:val="00D077B7"/>
    <w:rsid w:val="00D10427"/>
    <w:rsid w:val="00D1066A"/>
    <w:rsid w:val="00D10A35"/>
    <w:rsid w:val="00D10A83"/>
    <w:rsid w:val="00D10ED1"/>
    <w:rsid w:val="00D11DA0"/>
    <w:rsid w:val="00D1209F"/>
    <w:rsid w:val="00D12713"/>
    <w:rsid w:val="00D12EC1"/>
    <w:rsid w:val="00D138E6"/>
    <w:rsid w:val="00D1431C"/>
    <w:rsid w:val="00D16327"/>
    <w:rsid w:val="00D166EA"/>
    <w:rsid w:val="00D16CFB"/>
    <w:rsid w:val="00D16DE6"/>
    <w:rsid w:val="00D17BA4"/>
    <w:rsid w:val="00D208A6"/>
    <w:rsid w:val="00D20EAC"/>
    <w:rsid w:val="00D213E6"/>
    <w:rsid w:val="00D213F4"/>
    <w:rsid w:val="00D22F77"/>
    <w:rsid w:val="00D243A2"/>
    <w:rsid w:val="00D25DF2"/>
    <w:rsid w:val="00D26BAA"/>
    <w:rsid w:val="00D2720E"/>
    <w:rsid w:val="00D2788C"/>
    <w:rsid w:val="00D30090"/>
    <w:rsid w:val="00D31123"/>
    <w:rsid w:val="00D31A9C"/>
    <w:rsid w:val="00D31B8D"/>
    <w:rsid w:val="00D3309D"/>
    <w:rsid w:val="00D34708"/>
    <w:rsid w:val="00D351A2"/>
    <w:rsid w:val="00D36209"/>
    <w:rsid w:val="00D36496"/>
    <w:rsid w:val="00D370DD"/>
    <w:rsid w:val="00D37D21"/>
    <w:rsid w:val="00D40186"/>
    <w:rsid w:val="00D40A92"/>
    <w:rsid w:val="00D460AC"/>
    <w:rsid w:val="00D460E5"/>
    <w:rsid w:val="00D46CD3"/>
    <w:rsid w:val="00D46D80"/>
    <w:rsid w:val="00D476CE"/>
    <w:rsid w:val="00D479A4"/>
    <w:rsid w:val="00D506E1"/>
    <w:rsid w:val="00D50CFD"/>
    <w:rsid w:val="00D510E0"/>
    <w:rsid w:val="00D52F53"/>
    <w:rsid w:val="00D534E2"/>
    <w:rsid w:val="00D5534B"/>
    <w:rsid w:val="00D56B2D"/>
    <w:rsid w:val="00D56E13"/>
    <w:rsid w:val="00D570F4"/>
    <w:rsid w:val="00D607C2"/>
    <w:rsid w:val="00D60B78"/>
    <w:rsid w:val="00D61068"/>
    <w:rsid w:val="00D61199"/>
    <w:rsid w:val="00D61F40"/>
    <w:rsid w:val="00D62259"/>
    <w:rsid w:val="00D622EC"/>
    <w:rsid w:val="00D623AF"/>
    <w:rsid w:val="00D64982"/>
    <w:rsid w:val="00D65953"/>
    <w:rsid w:val="00D65A78"/>
    <w:rsid w:val="00D71C7E"/>
    <w:rsid w:val="00D71E3A"/>
    <w:rsid w:val="00D73444"/>
    <w:rsid w:val="00D73633"/>
    <w:rsid w:val="00D73FDF"/>
    <w:rsid w:val="00D75813"/>
    <w:rsid w:val="00D76018"/>
    <w:rsid w:val="00D76083"/>
    <w:rsid w:val="00D76A87"/>
    <w:rsid w:val="00D76F54"/>
    <w:rsid w:val="00D7779A"/>
    <w:rsid w:val="00D8040E"/>
    <w:rsid w:val="00D808AE"/>
    <w:rsid w:val="00D82051"/>
    <w:rsid w:val="00D83251"/>
    <w:rsid w:val="00D85744"/>
    <w:rsid w:val="00D863F8"/>
    <w:rsid w:val="00D90682"/>
    <w:rsid w:val="00D90FDA"/>
    <w:rsid w:val="00D92D20"/>
    <w:rsid w:val="00D92FAC"/>
    <w:rsid w:val="00D943A3"/>
    <w:rsid w:val="00D968C5"/>
    <w:rsid w:val="00D96D49"/>
    <w:rsid w:val="00D97408"/>
    <w:rsid w:val="00D9761B"/>
    <w:rsid w:val="00D9780E"/>
    <w:rsid w:val="00DA049C"/>
    <w:rsid w:val="00DA1430"/>
    <w:rsid w:val="00DA2F03"/>
    <w:rsid w:val="00DA4AB1"/>
    <w:rsid w:val="00DA4E28"/>
    <w:rsid w:val="00DA657E"/>
    <w:rsid w:val="00DA68F6"/>
    <w:rsid w:val="00DA6D2D"/>
    <w:rsid w:val="00DA6F72"/>
    <w:rsid w:val="00DB03D9"/>
    <w:rsid w:val="00DB0ED2"/>
    <w:rsid w:val="00DB1159"/>
    <w:rsid w:val="00DB3587"/>
    <w:rsid w:val="00DB4DC9"/>
    <w:rsid w:val="00DB52EA"/>
    <w:rsid w:val="00DB5427"/>
    <w:rsid w:val="00DB5510"/>
    <w:rsid w:val="00DB7330"/>
    <w:rsid w:val="00DB7BD6"/>
    <w:rsid w:val="00DC01CF"/>
    <w:rsid w:val="00DC0304"/>
    <w:rsid w:val="00DC05AA"/>
    <w:rsid w:val="00DC05C9"/>
    <w:rsid w:val="00DC07E6"/>
    <w:rsid w:val="00DC1625"/>
    <w:rsid w:val="00DC2245"/>
    <w:rsid w:val="00DC3292"/>
    <w:rsid w:val="00DC34CA"/>
    <w:rsid w:val="00DC3758"/>
    <w:rsid w:val="00DC5EF3"/>
    <w:rsid w:val="00DC7EE0"/>
    <w:rsid w:val="00DD1CB4"/>
    <w:rsid w:val="00DD1D88"/>
    <w:rsid w:val="00DD1DFE"/>
    <w:rsid w:val="00DD22A5"/>
    <w:rsid w:val="00DD25AF"/>
    <w:rsid w:val="00DD4618"/>
    <w:rsid w:val="00DD4911"/>
    <w:rsid w:val="00DD4FA5"/>
    <w:rsid w:val="00DD6099"/>
    <w:rsid w:val="00DD63EA"/>
    <w:rsid w:val="00DD708E"/>
    <w:rsid w:val="00DD7942"/>
    <w:rsid w:val="00DE0C29"/>
    <w:rsid w:val="00DE0F91"/>
    <w:rsid w:val="00DE1EB2"/>
    <w:rsid w:val="00DE260A"/>
    <w:rsid w:val="00DE3126"/>
    <w:rsid w:val="00DE3142"/>
    <w:rsid w:val="00DE3271"/>
    <w:rsid w:val="00DE4301"/>
    <w:rsid w:val="00DE4336"/>
    <w:rsid w:val="00DE4F7E"/>
    <w:rsid w:val="00DE51AF"/>
    <w:rsid w:val="00DE54A2"/>
    <w:rsid w:val="00DE54E1"/>
    <w:rsid w:val="00DE60D8"/>
    <w:rsid w:val="00DE6415"/>
    <w:rsid w:val="00DE6BFE"/>
    <w:rsid w:val="00DE75CE"/>
    <w:rsid w:val="00DF02CF"/>
    <w:rsid w:val="00DF054C"/>
    <w:rsid w:val="00DF0696"/>
    <w:rsid w:val="00DF10DE"/>
    <w:rsid w:val="00DF18EA"/>
    <w:rsid w:val="00DF2554"/>
    <w:rsid w:val="00DF42F2"/>
    <w:rsid w:val="00DF4BFB"/>
    <w:rsid w:val="00DF51F1"/>
    <w:rsid w:val="00DF5223"/>
    <w:rsid w:val="00DF5E5E"/>
    <w:rsid w:val="00DF665C"/>
    <w:rsid w:val="00DF7250"/>
    <w:rsid w:val="00DF72A5"/>
    <w:rsid w:val="00DF7367"/>
    <w:rsid w:val="00E00549"/>
    <w:rsid w:val="00E00BCE"/>
    <w:rsid w:val="00E0154C"/>
    <w:rsid w:val="00E031E4"/>
    <w:rsid w:val="00E04341"/>
    <w:rsid w:val="00E04D37"/>
    <w:rsid w:val="00E04F98"/>
    <w:rsid w:val="00E05BBE"/>
    <w:rsid w:val="00E05C5C"/>
    <w:rsid w:val="00E060D6"/>
    <w:rsid w:val="00E06342"/>
    <w:rsid w:val="00E06AB9"/>
    <w:rsid w:val="00E07ED7"/>
    <w:rsid w:val="00E100B6"/>
    <w:rsid w:val="00E10188"/>
    <w:rsid w:val="00E10C8D"/>
    <w:rsid w:val="00E1153C"/>
    <w:rsid w:val="00E11A31"/>
    <w:rsid w:val="00E11B4B"/>
    <w:rsid w:val="00E13035"/>
    <w:rsid w:val="00E134B3"/>
    <w:rsid w:val="00E1363E"/>
    <w:rsid w:val="00E140C7"/>
    <w:rsid w:val="00E143C7"/>
    <w:rsid w:val="00E15207"/>
    <w:rsid w:val="00E1529C"/>
    <w:rsid w:val="00E1579C"/>
    <w:rsid w:val="00E15D47"/>
    <w:rsid w:val="00E16995"/>
    <w:rsid w:val="00E16DDA"/>
    <w:rsid w:val="00E16FE8"/>
    <w:rsid w:val="00E20949"/>
    <w:rsid w:val="00E21088"/>
    <w:rsid w:val="00E21B5B"/>
    <w:rsid w:val="00E22095"/>
    <w:rsid w:val="00E22184"/>
    <w:rsid w:val="00E230CE"/>
    <w:rsid w:val="00E24F6E"/>
    <w:rsid w:val="00E25417"/>
    <w:rsid w:val="00E26FF4"/>
    <w:rsid w:val="00E271C1"/>
    <w:rsid w:val="00E2760F"/>
    <w:rsid w:val="00E27C67"/>
    <w:rsid w:val="00E3064D"/>
    <w:rsid w:val="00E329D2"/>
    <w:rsid w:val="00E33458"/>
    <w:rsid w:val="00E33AFA"/>
    <w:rsid w:val="00E34041"/>
    <w:rsid w:val="00E34D99"/>
    <w:rsid w:val="00E352DF"/>
    <w:rsid w:val="00E36CA0"/>
    <w:rsid w:val="00E37057"/>
    <w:rsid w:val="00E40836"/>
    <w:rsid w:val="00E41464"/>
    <w:rsid w:val="00E4185F"/>
    <w:rsid w:val="00E418A7"/>
    <w:rsid w:val="00E41E7D"/>
    <w:rsid w:val="00E430C1"/>
    <w:rsid w:val="00E4395B"/>
    <w:rsid w:val="00E44086"/>
    <w:rsid w:val="00E4417C"/>
    <w:rsid w:val="00E45518"/>
    <w:rsid w:val="00E45D67"/>
    <w:rsid w:val="00E50D22"/>
    <w:rsid w:val="00E51237"/>
    <w:rsid w:val="00E514E1"/>
    <w:rsid w:val="00E51D03"/>
    <w:rsid w:val="00E52070"/>
    <w:rsid w:val="00E55CD7"/>
    <w:rsid w:val="00E56118"/>
    <w:rsid w:val="00E56C65"/>
    <w:rsid w:val="00E60023"/>
    <w:rsid w:val="00E600D6"/>
    <w:rsid w:val="00E605AE"/>
    <w:rsid w:val="00E609BB"/>
    <w:rsid w:val="00E61031"/>
    <w:rsid w:val="00E613A0"/>
    <w:rsid w:val="00E6235E"/>
    <w:rsid w:val="00E636C0"/>
    <w:rsid w:val="00E64383"/>
    <w:rsid w:val="00E66C45"/>
    <w:rsid w:val="00E674E5"/>
    <w:rsid w:val="00E675D0"/>
    <w:rsid w:val="00E702C4"/>
    <w:rsid w:val="00E70B8C"/>
    <w:rsid w:val="00E71EFD"/>
    <w:rsid w:val="00E741D5"/>
    <w:rsid w:val="00E74412"/>
    <w:rsid w:val="00E74EEC"/>
    <w:rsid w:val="00E74FFA"/>
    <w:rsid w:val="00E76683"/>
    <w:rsid w:val="00E767D2"/>
    <w:rsid w:val="00E81AB3"/>
    <w:rsid w:val="00E83F56"/>
    <w:rsid w:val="00E841DE"/>
    <w:rsid w:val="00E8455F"/>
    <w:rsid w:val="00E85A3B"/>
    <w:rsid w:val="00E874B4"/>
    <w:rsid w:val="00E90301"/>
    <w:rsid w:val="00E90F8A"/>
    <w:rsid w:val="00E9259D"/>
    <w:rsid w:val="00E92B74"/>
    <w:rsid w:val="00E93101"/>
    <w:rsid w:val="00E9313E"/>
    <w:rsid w:val="00E93761"/>
    <w:rsid w:val="00E948A5"/>
    <w:rsid w:val="00E95067"/>
    <w:rsid w:val="00E95E3E"/>
    <w:rsid w:val="00E95E76"/>
    <w:rsid w:val="00E962F2"/>
    <w:rsid w:val="00E970CA"/>
    <w:rsid w:val="00E973D5"/>
    <w:rsid w:val="00EA010D"/>
    <w:rsid w:val="00EA0ED1"/>
    <w:rsid w:val="00EA12B5"/>
    <w:rsid w:val="00EA1523"/>
    <w:rsid w:val="00EA279A"/>
    <w:rsid w:val="00EA2F8B"/>
    <w:rsid w:val="00EA3A1D"/>
    <w:rsid w:val="00EA57D0"/>
    <w:rsid w:val="00EA6445"/>
    <w:rsid w:val="00EA6973"/>
    <w:rsid w:val="00EA70CB"/>
    <w:rsid w:val="00EA7D98"/>
    <w:rsid w:val="00EB2483"/>
    <w:rsid w:val="00EB2F51"/>
    <w:rsid w:val="00EB41DA"/>
    <w:rsid w:val="00EB4759"/>
    <w:rsid w:val="00EB5B14"/>
    <w:rsid w:val="00EB683C"/>
    <w:rsid w:val="00EB734F"/>
    <w:rsid w:val="00EB75C2"/>
    <w:rsid w:val="00EC0019"/>
    <w:rsid w:val="00EC02A2"/>
    <w:rsid w:val="00EC0520"/>
    <w:rsid w:val="00EC070C"/>
    <w:rsid w:val="00EC0E05"/>
    <w:rsid w:val="00EC17B5"/>
    <w:rsid w:val="00EC23BF"/>
    <w:rsid w:val="00EC2428"/>
    <w:rsid w:val="00EC3BFD"/>
    <w:rsid w:val="00EC3E45"/>
    <w:rsid w:val="00EC439B"/>
    <w:rsid w:val="00EC5E5E"/>
    <w:rsid w:val="00EC7FDD"/>
    <w:rsid w:val="00ED0996"/>
    <w:rsid w:val="00ED1312"/>
    <w:rsid w:val="00ED1A64"/>
    <w:rsid w:val="00ED3E13"/>
    <w:rsid w:val="00ED5F31"/>
    <w:rsid w:val="00ED64EE"/>
    <w:rsid w:val="00EE0049"/>
    <w:rsid w:val="00EE01D0"/>
    <w:rsid w:val="00EE055B"/>
    <w:rsid w:val="00EE05B8"/>
    <w:rsid w:val="00EE0E63"/>
    <w:rsid w:val="00EE10A5"/>
    <w:rsid w:val="00EE1BA6"/>
    <w:rsid w:val="00EE2AC6"/>
    <w:rsid w:val="00EE2EBF"/>
    <w:rsid w:val="00EE5274"/>
    <w:rsid w:val="00EE55CB"/>
    <w:rsid w:val="00EE6081"/>
    <w:rsid w:val="00EE6375"/>
    <w:rsid w:val="00EE6A96"/>
    <w:rsid w:val="00EE71C2"/>
    <w:rsid w:val="00EF05FD"/>
    <w:rsid w:val="00EF1219"/>
    <w:rsid w:val="00EF1B3B"/>
    <w:rsid w:val="00EF231F"/>
    <w:rsid w:val="00EF3C22"/>
    <w:rsid w:val="00EF4657"/>
    <w:rsid w:val="00EF4C37"/>
    <w:rsid w:val="00EF4F0B"/>
    <w:rsid w:val="00EF5217"/>
    <w:rsid w:val="00EF5378"/>
    <w:rsid w:val="00EF54AC"/>
    <w:rsid w:val="00EF59F0"/>
    <w:rsid w:val="00EF5EF3"/>
    <w:rsid w:val="00EF6F47"/>
    <w:rsid w:val="00F007BC"/>
    <w:rsid w:val="00F01733"/>
    <w:rsid w:val="00F02EA7"/>
    <w:rsid w:val="00F033F2"/>
    <w:rsid w:val="00F045F2"/>
    <w:rsid w:val="00F051A2"/>
    <w:rsid w:val="00F055FE"/>
    <w:rsid w:val="00F05AF4"/>
    <w:rsid w:val="00F05C68"/>
    <w:rsid w:val="00F05FD8"/>
    <w:rsid w:val="00F10B41"/>
    <w:rsid w:val="00F10CB6"/>
    <w:rsid w:val="00F113B5"/>
    <w:rsid w:val="00F1154F"/>
    <w:rsid w:val="00F11DDD"/>
    <w:rsid w:val="00F12106"/>
    <w:rsid w:val="00F13231"/>
    <w:rsid w:val="00F15101"/>
    <w:rsid w:val="00F15307"/>
    <w:rsid w:val="00F15AB4"/>
    <w:rsid w:val="00F15D05"/>
    <w:rsid w:val="00F15ED8"/>
    <w:rsid w:val="00F164E6"/>
    <w:rsid w:val="00F16DC2"/>
    <w:rsid w:val="00F16E89"/>
    <w:rsid w:val="00F178C8"/>
    <w:rsid w:val="00F17B63"/>
    <w:rsid w:val="00F20B5D"/>
    <w:rsid w:val="00F21756"/>
    <w:rsid w:val="00F2296F"/>
    <w:rsid w:val="00F22DC4"/>
    <w:rsid w:val="00F24D45"/>
    <w:rsid w:val="00F252E5"/>
    <w:rsid w:val="00F26AA1"/>
    <w:rsid w:val="00F30CF8"/>
    <w:rsid w:val="00F31F04"/>
    <w:rsid w:val="00F34292"/>
    <w:rsid w:val="00F35F54"/>
    <w:rsid w:val="00F362B5"/>
    <w:rsid w:val="00F40A99"/>
    <w:rsid w:val="00F42FEF"/>
    <w:rsid w:val="00F46E21"/>
    <w:rsid w:val="00F4723C"/>
    <w:rsid w:val="00F47F3F"/>
    <w:rsid w:val="00F50D7A"/>
    <w:rsid w:val="00F520A9"/>
    <w:rsid w:val="00F52F66"/>
    <w:rsid w:val="00F53AA0"/>
    <w:rsid w:val="00F54B7A"/>
    <w:rsid w:val="00F5519F"/>
    <w:rsid w:val="00F553B1"/>
    <w:rsid w:val="00F55B94"/>
    <w:rsid w:val="00F5716E"/>
    <w:rsid w:val="00F57471"/>
    <w:rsid w:val="00F57672"/>
    <w:rsid w:val="00F57978"/>
    <w:rsid w:val="00F60260"/>
    <w:rsid w:val="00F608E2"/>
    <w:rsid w:val="00F612B1"/>
    <w:rsid w:val="00F61A41"/>
    <w:rsid w:val="00F61E95"/>
    <w:rsid w:val="00F63934"/>
    <w:rsid w:val="00F64BE6"/>
    <w:rsid w:val="00F64DD5"/>
    <w:rsid w:val="00F64F8E"/>
    <w:rsid w:val="00F65ED9"/>
    <w:rsid w:val="00F66501"/>
    <w:rsid w:val="00F7014A"/>
    <w:rsid w:val="00F715BA"/>
    <w:rsid w:val="00F72CAC"/>
    <w:rsid w:val="00F74C4E"/>
    <w:rsid w:val="00F750A2"/>
    <w:rsid w:val="00F76109"/>
    <w:rsid w:val="00F76B24"/>
    <w:rsid w:val="00F76B4C"/>
    <w:rsid w:val="00F7719C"/>
    <w:rsid w:val="00F777F3"/>
    <w:rsid w:val="00F80155"/>
    <w:rsid w:val="00F804F9"/>
    <w:rsid w:val="00F8118E"/>
    <w:rsid w:val="00F84C34"/>
    <w:rsid w:val="00F8609A"/>
    <w:rsid w:val="00F86B1B"/>
    <w:rsid w:val="00F873D2"/>
    <w:rsid w:val="00F8764E"/>
    <w:rsid w:val="00F877ED"/>
    <w:rsid w:val="00F878A5"/>
    <w:rsid w:val="00F87F71"/>
    <w:rsid w:val="00F90589"/>
    <w:rsid w:val="00F90A8F"/>
    <w:rsid w:val="00F91D2F"/>
    <w:rsid w:val="00F923DE"/>
    <w:rsid w:val="00F9332C"/>
    <w:rsid w:val="00F95529"/>
    <w:rsid w:val="00F966D4"/>
    <w:rsid w:val="00F96CC1"/>
    <w:rsid w:val="00F977F7"/>
    <w:rsid w:val="00FA108E"/>
    <w:rsid w:val="00FA2C7A"/>
    <w:rsid w:val="00FA2F73"/>
    <w:rsid w:val="00FA3EB0"/>
    <w:rsid w:val="00FA49D9"/>
    <w:rsid w:val="00FA4A08"/>
    <w:rsid w:val="00FA4CAB"/>
    <w:rsid w:val="00FA4DB9"/>
    <w:rsid w:val="00FA59B4"/>
    <w:rsid w:val="00FA60BF"/>
    <w:rsid w:val="00FA67E6"/>
    <w:rsid w:val="00FA7D6D"/>
    <w:rsid w:val="00FB06AC"/>
    <w:rsid w:val="00FB13C0"/>
    <w:rsid w:val="00FB204D"/>
    <w:rsid w:val="00FB25FB"/>
    <w:rsid w:val="00FB2AE1"/>
    <w:rsid w:val="00FB36F3"/>
    <w:rsid w:val="00FB4486"/>
    <w:rsid w:val="00FB4BAB"/>
    <w:rsid w:val="00FB4C7F"/>
    <w:rsid w:val="00FB4DFC"/>
    <w:rsid w:val="00FB4E8D"/>
    <w:rsid w:val="00FB6606"/>
    <w:rsid w:val="00FB6C2C"/>
    <w:rsid w:val="00FB6F40"/>
    <w:rsid w:val="00FB6FB1"/>
    <w:rsid w:val="00FB7CD5"/>
    <w:rsid w:val="00FC057E"/>
    <w:rsid w:val="00FC09B6"/>
    <w:rsid w:val="00FC1ED9"/>
    <w:rsid w:val="00FC23EF"/>
    <w:rsid w:val="00FC55B3"/>
    <w:rsid w:val="00FC5B0E"/>
    <w:rsid w:val="00FC5F72"/>
    <w:rsid w:val="00FC692E"/>
    <w:rsid w:val="00FC6A64"/>
    <w:rsid w:val="00FD00AF"/>
    <w:rsid w:val="00FD0635"/>
    <w:rsid w:val="00FD1E0C"/>
    <w:rsid w:val="00FD2604"/>
    <w:rsid w:val="00FD2728"/>
    <w:rsid w:val="00FD2A1B"/>
    <w:rsid w:val="00FD326B"/>
    <w:rsid w:val="00FD5416"/>
    <w:rsid w:val="00FD6FA6"/>
    <w:rsid w:val="00FD7CE2"/>
    <w:rsid w:val="00FE0090"/>
    <w:rsid w:val="00FE0490"/>
    <w:rsid w:val="00FE14CB"/>
    <w:rsid w:val="00FE21E3"/>
    <w:rsid w:val="00FE25D0"/>
    <w:rsid w:val="00FE3C8C"/>
    <w:rsid w:val="00FE571D"/>
    <w:rsid w:val="00FE585E"/>
    <w:rsid w:val="00FE5999"/>
    <w:rsid w:val="00FE5A74"/>
    <w:rsid w:val="00FE5EF4"/>
    <w:rsid w:val="00FE6508"/>
    <w:rsid w:val="00FE6905"/>
    <w:rsid w:val="00FE7EE4"/>
    <w:rsid w:val="00FF13A4"/>
    <w:rsid w:val="00FF1496"/>
    <w:rsid w:val="00FF32A1"/>
    <w:rsid w:val="00FF37E9"/>
    <w:rsid w:val="00FF3FA1"/>
    <w:rsid w:val="00FF5D23"/>
    <w:rsid w:val="00FF615D"/>
    <w:rsid w:val="00FF6511"/>
    <w:rsid w:val="00FF6D98"/>
    <w:rsid w:val="00FF7475"/>
    <w:rsid w:val="00FF7D2B"/>
    <w:rsid w:val="01A71776"/>
    <w:rsid w:val="01E274E0"/>
    <w:rsid w:val="021F2E8D"/>
    <w:rsid w:val="02AA5B7D"/>
    <w:rsid w:val="02E23B82"/>
    <w:rsid w:val="03433A15"/>
    <w:rsid w:val="03554F68"/>
    <w:rsid w:val="03C22BDA"/>
    <w:rsid w:val="03C74BB5"/>
    <w:rsid w:val="03DE7AE9"/>
    <w:rsid w:val="040F3D70"/>
    <w:rsid w:val="04B66128"/>
    <w:rsid w:val="04CF716A"/>
    <w:rsid w:val="05B970E0"/>
    <w:rsid w:val="06311428"/>
    <w:rsid w:val="064B660F"/>
    <w:rsid w:val="064C3F14"/>
    <w:rsid w:val="06D1098D"/>
    <w:rsid w:val="07344756"/>
    <w:rsid w:val="080D768A"/>
    <w:rsid w:val="083D4F1A"/>
    <w:rsid w:val="089321E6"/>
    <w:rsid w:val="08AB601E"/>
    <w:rsid w:val="09F53A8C"/>
    <w:rsid w:val="0A6E1588"/>
    <w:rsid w:val="0B657B94"/>
    <w:rsid w:val="0BBB6595"/>
    <w:rsid w:val="0BC52A4B"/>
    <w:rsid w:val="0C471254"/>
    <w:rsid w:val="0C6726D1"/>
    <w:rsid w:val="0C857FD9"/>
    <w:rsid w:val="0CDA4765"/>
    <w:rsid w:val="0CE17F47"/>
    <w:rsid w:val="0CFF716D"/>
    <w:rsid w:val="0D011B3A"/>
    <w:rsid w:val="0D1E1C95"/>
    <w:rsid w:val="0DFB2540"/>
    <w:rsid w:val="0E697D19"/>
    <w:rsid w:val="0E950C63"/>
    <w:rsid w:val="0EBF3E76"/>
    <w:rsid w:val="0EF67745"/>
    <w:rsid w:val="0F3747BA"/>
    <w:rsid w:val="0F6B0B59"/>
    <w:rsid w:val="0FB02CFE"/>
    <w:rsid w:val="0FC5251F"/>
    <w:rsid w:val="10666255"/>
    <w:rsid w:val="10C62872"/>
    <w:rsid w:val="10FB6B90"/>
    <w:rsid w:val="113960BC"/>
    <w:rsid w:val="130E5924"/>
    <w:rsid w:val="132B2B4B"/>
    <w:rsid w:val="13A638EA"/>
    <w:rsid w:val="13AC6670"/>
    <w:rsid w:val="13BE0704"/>
    <w:rsid w:val="13EC7465"/>
    <w:rsid w:val="14457A7C"/>
    <w:rsid w:val="1464040F"/>
    <w:rsid w:val="146411B3"/>
    <w:rsid w:val="14770F16"/>
    <w:rsid w:val="14F52FE5"/>
    <w:rsid w:val="150A0CB5"/>
    <w:rsid w:val="151D606A"/>
    <w:rsid w:val="156E4926"/>
    <w:rsid w:val="16285816"/>
    <w:rsid w:val="16927D0C"/>
    <w:rsid w:val="17420DF1"/>
    <w:rsid w:val="175672E8"/>
    <w:rsid w:val="17E55AD7"/>
    <w:rsid w:val="182E2909"/>
    <w:rsid w:val="185C1FA2"/>
    <w:rsid w:val="18D25C6E"/>
    <w:rsid w:val="19695702"/>
    <w:rsid w:val="199C547A"/>
    <w:rsid w:val="1A21343D"/>
    <w:rsid w:val="1A3732E0"/>
    <w:rsid w:val="1A7333D4"/>
    <w:rsid w:val="1AFE4128"/>
    <w:rsid w:val="1B176618"/>
    <w:rsid w:val="1B311555"/>
    <w:rsid w:val="1BDE2731"/>
    <w:rsid w:val="1C1B3CDE"/>
    <w:rsid w:val="1C6D67B6"/>
    <w:rsid w:val="1C6E114D"/>
    <w:rsid w:val="1CB6273E"/>
    <w:rsid w:val="1D3B2AD1"/>
    <w:rsid w:val="1D9E3913"/>
    <w:rsid w:val="1D9F75EB"/>
    <w:rsid w:val="1DAB2D6B"/>
    <w:rsid w:val="1DF70128"/>
    <w:rsid w:val="1E457FA5"/>
    <w:rsid w:val="1E703E8C"/>
    <w:rsid w:val="1E8577B5"/>
    <w:rsid w:val="1EEB72DF"/>
    <w:rsid w:val="1F25374F"/>
    <w:rsid w:val="1FB45B75"/>
    <w:rsid w:val="1FD00E3E"/>
    <w:rsid w:val="1FE1254C"/>
    <w:rsid w:val="20960049"/>
    <w:rsid w:val="213327DD"/>
    <w:rsid w:val="213837AC"/>
    <w:rsid w:val="21444B65"/>
    <w:rsid w:val="222D54C8"/>
    <w:rsid w:val="22525555"/>
    <w:rsid w:val="22954160"/>
    <w:rsid w:val="23346271"/>
    <w:rsid w:val="23864454"/>
    <w:rsid w:val="23A871EB"/>
    <w:rsid w:val="24085B1D"/>
    <w:rsid w:val="24401AE7"/>
    <w:rsid w:val="24AB2CF8"/>
    <w:rsid w:val="25801E28"/>
    <w:rsid w:val="25B368EF"/>
    <w:rsid w:val="25DD2D5E"/>
    <w:rsid w:val="26112049"/>
    <w:rsid w:val="26A45B8A"/>
    <w:rsid w:val="276D0CBA"/>
    <w:rsid w:val="278F43F8"/>
    <w:rsid w:val="2799320E"/>
    <w:rsid w:val="27EF0DD4"/>
    <w:rsid w:val="28A112BE"/>
    <w:rsid w:val="29055E8C"/>
    <w:rsid w:val="29591F3F"/>
    <w:rsid w:val="297C4317"/>
    <w:rsid w:val="2A8D33C0"/>
    <w:rsid w:val="2A905451"/>
    <w:rsid w:val="2AB772D9"/>
    <w:rsid w:val="2B0A01F9"/>
    <w:rsid w:val="2B733F06"/>
    <w:rsid w:val="2BC060EA"/>
    <w:rsid w:val="2BCA663C"/>
    <w:rsid w:val="2C4172EA"/>
    <w:rsid w:val="2CED25AE"/>
    <w:rsid w:val="2CFC6971"/>
    <w:rsid w:val="2E12514F"/>
    <w:rsid w:val="2E204B94"/>
    <w:rsid w:val="2ED222DD"/>
    <w:rsid w:val="2EF759D2"/>
    <w:rsid w:val="2F2E13E3"/>
    <w:rsid w:val="2F4A155B"/>
    <w:rsid w:val="2FC14016"/>
    <w:rsid w:val="3121636C"/>
    <w:rsid w:val="31224F5E"/>
    <w:rsid w:val="313B5858"/>
    <w:rsid w:val="31A35157"/>
    <w:rsid w:val="31CF708E"/>
    <w:rsid w:val="32170A33"/>
    <w:rsid w:val="32A57649"/>
    <w:rsid w:val="32E86094"/>
    <w:rsid w:val="33125515"/>
    <w:rsid w:val="332778E6"/>
    <w:rsid w:val="33351062"/>
    <w:rsid w:val="341E7787"/>
    <w:rsid w:val="35254AE9"/>
    <w:rsid w:val="357E6C66"/>
    <w:rsid w:val="36075561"/>
    <w:rsid w:val="36161B60"/>
    <w:rsid w:val="362E2FAF"/>
    <w:rsid w:val="36541C94"/>
    <w:rsid w:val="368C0D3F"/>
    <w:rsid w:val="36D32766"/>
    <w:rsid w:val="37340B1D"/>
    <w:rsid w:val="373F8D98"/>
    <w:rsid w:val="37440ADB"/>
    <w:rsid w:val="37631917"/>
    <w:rsid w:val="37AD46B1"/>
    <w:rsid w:val="37C74D9D"/>
    <w:rsid w:val="37F401F0"/>
    <w:rsid w:val="382E759C"/>
    <w:rsid w:val="38893E4C"/>
    <w:rsid w:val="38A17ABD"/>
    <w:rsid w:val="38BC79E1"/>
    <w:rsid w:val="39017DC5"/>
    <w:rsid w:val="39375943"/>
    <w:rsid w:val="394C24B0"/>
    <w:rsid w:val="39505E8F"/>
    <w:rsid w:val="395D00CC"/>
    <w:rsid w:val="39C75948"/>
    <w:rsid w:val="3A1E65D5"/>
    <w:rsid w:val="3A465F52"/>
    <w:rsid w:val="3A8D3E1B"/>
    <w:rsid w:val="3AF670DF"/>
    <w:rsid w:val="3B0C300B"/>
    <w:rsid w:val="3B491927"/>
    <w:rsid w:val="3B494567"/>
    <w:rsid w:val="3B6002E9"/>
    <w:rsid w:val="3BA74DCA"/>
    <w:rsid w:val="3C66681A"/>
    <w:rsid w:val="3C7B7C45"/>
    <w:rsid w:val="3D215DC0"/>
    <w:rsid w:val="3DC435CE"/>
    <w:rsid w:val="3E07382C"/>
    <w:rsid w:val="3E693E7D"/>
    <w:rsid w:val="3E931DC5"/>
    <w:rsid w:val="3E9D1DCA"/>
    <w:rsid w:val="3F377165"/>
    <w:rsid w:val="3F7C70EB"/>
    <w:rsid w:val="3F7D014F"/>
    <w:rsid w:val="3FBF39F4"/>
    <w:rsid w:val="3FD04097"/>
    <w:rsid w:val="402406BD"/>
    <w:rsid w:val="409449B1"/>
    <w:rsid w:val="40F168FB"/>
    <w:rsid w:val="41581837"/>
    <w:rsid w:val="418BAFB4"/>
    <w:rsid w:val="418D1537"/>
    <w:rsid w:val="42606FB0"/>
    <w:rsid w:val="42B515E3"/>
    <w:rsid w:val="42DD0C8B"/>
    <w:rsid w:val="432C46F2"/>
    <w:rsid w:val="433F07FF"/>
    <w:rsid w:val="435B690C"/>
    <w:rsid w:val="43772C44"/>
    <w:rsid w:val="43DD305D"/>
    <w:rsid w:val="43EE444C"/>
    <w:rsid w:val="44127401"/>
    <w:rsid w:val="4481511F"/>
    <w:rsid w:val="449A36F7"/>
    <w:rsid w:val="44AB4F09"/>
    <w:rsid w:val="44C1345F"/>
    <w:rsid w:val="450338D7"/>
    <w:rsid w:val="45235D66"/>
    <w:rsid w:val="454A3D0E"/>
    <w:rsid w:val="456E5F95"/>
    <w:rsid w:val="45954D08"/>
    <w:rsid w:val="459C373C"/>
    <w:rsid w:val="467731D4"/>
    <w:rsid w:val="46897320"/>
    <w:rsid w:val="46D85EA2"/>
    <w:rsid w:val="47075239"/>
    <w:rsid w:val="479D2A2E"/>
    <w:rsid w:val="48223734"/>
    <w:rsid w:val="482C7B89"/>
    <w:rsid w:val="48A65D93"/>
    <w:rsid w:val="49555AFB"/>
    <w:rsid w:val="498C237F"/>
    <w:rsid w:val="49911941"/>
    <w:rsid w:val="49AF10F0"/>
    <w:rsid w:val="49BD39F5"/>
    <w:rsid w:val="49CF292D"/>
    <w:rsid w:val="4A2603A5"/>
    <w:rsid w:val="4AC8574D"/>
    <w:rsid w:val="4B3B30DB"/>
    <w:rsid w:val="4B421DA5"/>
    <w:rsid w:val="4C1435A8"/>
    <w:rsid w:val="4C267596"/>
    <w:rsid w:val="4C913325"/>
    <w:rsid w:val="4CA14F0B"/>
    <w:rsid w:val="4CAB57D4"/>
    <w:rsid w:val="4CB62598"/>
    <w:rsid w:val="4CD93974"/>
    <w:rsid w:val="4CED2FB9"/>
    <w:rsid w:val="4D16390E"/>
    <w:rsid w:val="4D8345DA"/>
    <w:rsid w:val="4D893F5F"/>
    <w:rsid w:val="4D8945CB"/>
    <w:rsid w:val="4DB71BBA"/>
    <w:rsid w:val="4E2B70BB"/>
    <w:rsid w:val="4E3E325D"/>
    <w:rsid w:val="4E710ABB"/>
    <w:rsid w:val="4E7858DA"/>
    <w:rsid w:val="4F132E30"/>
    <w:rsid w:val="4FA727D4"/>
    <w:rsid w:val="4FDD5D43"/>
    <w:rsid w:val="508C504F"/>
    <w:rsid w:val="50944385"/>
    <w:rsid w:val="50DD7F4B"/>
    <w:rsid w:val="511F7529"/>
    <w:rsid w:val="518C2659"/>
    <w:rsid w:val="51F67C28"/>
    <w:rsid w:val="5412063E"/>
    <w:rsid w:val="54150E83"/>
    <w:rsid w:val="54A30A40"/>
    <w:rsid w:val="54E11E02"/>
    <w:rsid w:val="54E95CD8"/>
    <w:rsid w:val="54F968A3"/>
    <w:rsid w:val="5508216F"/>
    <w:rsid w:val="55186680"/>
    <w:rsid w:val="551F6180"/>
    <w:rsid w:val="56312EDB"/>
    <w:rsid w:val="56564561"/>
    <w:rsid w:val="567A0087"/>
    <w:rsid w:val="56AB0FF1"/>
    <w:rsid w:val="587E56DD"/>
    <w:rsid w:val="58E171CF"/>
    <w:rsid w:val="58ED5BCE"/>
    <w:rsid w:val="59AB2C3C"/>
    <w:rsid w:val="5B8D0B13"/>
    <w:rsid w:val="5BFF1155"/>
    <w:rsid w:val="5C2D7D77"/>
    <w:rsid w:val="5D27015D"/>
    <w:rsid w:val="5D5B5065"/>
    <w:rsid w:val="5DED9D75"/>
    <w:rsid w:val="5E7104C8"/>
    <w:rsid w:val="5EA467FA"/>
    <w:rsid w:val="5EA65DEF"/>
    <w:rsid w:val="5EB80508"/>
    <w:rsid w:val="5FF612D7"/>
    <w:rsid w:val="603B19B4"/>
    <w:rsid w:val="60724208"/>
    <w:rsid w:val="60DF56E6"/>
    <w:rsid w:val="60F229B9"/>
    <w:rsid w:val="61092A40"/>
    <w:rsid w:val="61BE21CF"/>
    <w:rsid w:val="61C82338"/>
    <w:rsid w:val="622B131D"/>
    <w:rsid w:val="62320BDE"/>
    <w:rsid w:val="626D134A"/>
    <w:rsid w:val="62700640"/>
    <w:rsid w:val="627D1683"/>
    <w:rsid w:val="628559C8"/>
    <w:rsid w:val="62C90385"/>
    <w:rsid w:val="62E72A4C"/>
    <w:rsid w:val="63D61797"/>
    <w:rsid w:val="644C495D"/>
    <w:rsid w:val="648B25EF"/>
    <w:rsid w:val="64EC1E5C"/>
    <w:rsid w:val="65FA31A1"/>
    <w:rsid w:val="66B27B10"/>
    <w:rsid w:val="66F41243"/>
    <w:rsid w:val="679436C4"/>
    <w:rsid w:val="683A03FE"/>
    <w:rsid w:val="68C46AF0"/>
    <w:rsid w:val="68F230AD"/>
    <w:rsid w:val="6942338E"/>
    <w:rsid w:val="696C07EA"/>
    <w:rsid w:val="69CB780F"/>
    <w:rsid w:val="69FFE423"/>
    <w:rsid w:val="6A1F5CD0"/>
    <w:rsid w:val="6ACC4E6D"/>
    <w:rsid w:val="6AF9611F"/>
    <w:rsid w:val="6BCA186A"/>
    <w:rsid w:val="6BFD9042"/>
    <w:rsid w:val="6C520652"/>
    <w:rsid w:val="6C574D88"/>
    <w:rsid w:val="6D304694"/>
    <w:rsid w:val="6D7C5FAF"/>
    <w:rsid w:val="6DDE5036"/>
    <w:rsid w:val="6E6A23B4"/>
    <w:rsid w:val="6EE45AF6"/>
    <w:rsid w:val="6EF6637F"/>
    <w:rsid w:val="6F0C1E15"/>
    <w:rsid w:val="6F22570B"/>
    <w:rsid w:val="6F5F0A02"/>
    <w:rsid w:val="6F7A6564"/>
    <w:rsid w:val="6F9208F0"/>
    <w:rsid w:val="6FBF9E51"/>
    <w:rsid w:val="6FD46890"/>
    <w:rsid w:val="6FD64A60"/>
    <w:rsid w:val="70173F03"/>
    <w:rsid w:val="70650505"/>
    <w:rsid w:val="70651D96"/>
    <w:rsid w:val="70D1630B"/>
    <w:rsid w:val="711E6943"/>
    <w:rsid w:val="71772B56"/>
    <w:rsid w:val="722F3441"/>
    <w:rsid w:val="7231586C"/>
    <w:rsid w:val="72696558"/>
    <w:rsid w:val="72B01C6E"/>
    <w:rsid w:val="72F247EE"/>
    <w:rsid w:val="734D3F2E"/>
    <w:rsid w:val="73AF4C17"/>
    <w:rsid w:val="748E78D8"/>
    <w:rsid w:val="74D51DF0"/>
    <w:rsid w:val="74DB07F0"/>
    <w:rsid w:val="74E12E70"/>
    <w:rsid w:val="750151C3"/>
    <w:rsid w:val="750E0484"/>
    <w:rsid w:val="755F9275"/>
    <w:rsid w:val="76966FA4"/>
    <w:rsid w:val="76F601A6"/>
    <w:rsid w:val="77396964"/>
    <w:rsid w:val="773B2023"/>
    <w:rsid w:val="775E6DD8"/>
    <w:rsid w:val="776D5A49"/>
    <w:rsid w:val="777C7500"/>
    <w:rsid w:val="77C600FB"/>
    <w:rsid w:val="77F9EDAA"/>
    <w:rsid w:val="77FA9F67"/>
    <w:rsid w:val="78717D6C"/>
    <w:rsid w:val="792E5382"/>
    <w:rsid w:val="796B4919"/>
    <w:rsid w:val="79CB3388"/>
    <w:rsid w:val="7A560E98"/>
    <w:rsid w:val="7ADD4B45"/>
    <w:rsid w:val="7B7A34C4"/>
    <w:rsid w:val="7BBF8BBD"/>
    <w:rsid w:val="7BFF1ADD"/>
    <w:rsid w:val="7C1242B5"/>
    <w:rsid w:val="7C30041C"/>
    <w:rsid w:val="7C9018CA"/>
    <w:rsid w:val="7CA41DB2"/>
    <w:rsid w:val="7CAB43D5"/>
    <w:rsid w:val="7D6350C7"/>
    <w:rsid w:val="7D8B4F86"/>
    <w:rsid w:val="7D9B5DFB"/>
    <w:rsid w:val="7DBD129F"/>
    <w:rsid w:val="7DC31F48"/>
    <w:rsid w:val="7DEB177B"/>
    <w:rsid w:val="7E100532"/>
    <w:rsid w:val="7E133FBA"/>
    <w:rsid w:val="7E483DBE"/>
    <w:rsid w:val="7E53034C"/>
    <w:rsid w:val="7E560A5B"/>
    <w:rsid w:val="7E600616"/>
    <w:rsid w:val="7E696E35"/>
    <w:rsid w:val="7F276DC8"/>
    <w:rsid w:val="7F710238"/>
    <w:rsid w:val="7F782745"/>
    <w:rsid w:val="7F7B7293"/>
    <w:rsid w:val="7FE82341"/>
    <w:rsid w:val="7FF71420"/>
    <w:rsid w:val="97B7F146"/>
    <w:rsid w:val="9FDD883A"/>
    <w:rsid w:val="AD434789"/>
    <w:rsid w:val="AEB57F23"/>
    <w:rsid w:val="BDFFF74E"/>
    <w:rsid w:val="BEFABBA9"/>
    <w:rsid w:val="CD6BAE4E"/>
    <w:rsid w:val="D7EF3E91"/>
    <w:rsid w:val="DD49EFF9"/>
    <w:rsid w:val="DFFEE67B"/>
    <w:rsid w:val="ECF7940A"/>
    <w:rsid w:val="EFEB1FB6"/>
    <w:rsid w:val="EFFBB699"/>
    <w:rsid w:val="F66E7ED0"/>
    <w:rsid w:val="F7AE5A29"/>
    <w:rsid w:val="FD7F0B55"/>
    <w:rsid w:val="FDFF6057"/>
    <w:rsid w:val="FE7EB95D"/>
    <w:rsid w:val="FEFF210D"/>
    <w:rsid w:val="FF5F7A3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qFormat="1" w:unhideWhenUsed="0" w:uiPriority="0" w:semiHidden="0" w:name="envelope return"/>
    <w:lsdException w:qFormat="1" w:unhideWhenUsed="0" w:uiPriority="99"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qFormat="1"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1"/>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70"/>
    <w:qFormat/>
    <w:uiPriority w:val="9"/>
    <w:pPr>
      <w:keepNext/>
      <w:adjustRightInd w:val="0"/>
      <w:snapToGrid w:val="0"/>
      <w:spacing w:before="120" w:after="120" w:line="360" w:lineRule="auto"/>
      <w:jc w:val="center"/>
      <w:textAlignment w:val="baseline"/>
      <w:outlineLvl w:val="1"/>
    </w:pPr>
    <w:rPr>
      <w:rFonts w:ascii="仿宋_GB2312" w:eastAsia="仿宋_GB2312"/>
      <w:kern w:val="0"/>
      <w:sz w:val="36"/>
      <w:szCs w:val="20"/>
    </w:rPr>
  </w:style>
  <w:style w:type="paragraph" w:styleId="4">
    <w:name w:val="heading 3"/>
    <w:basedOn w:val="1"/>
    <w:next w:val="1"/>
    <w:link w:val="73"/>
    <w:qFormat/>
    <w:uiPriority w:val="9"/>
    <w:pPr>
      <w:keepNext/>
      <w:keepLines/>
      <w:spacing w:before="260" w:after="260" w:line="360" w:lineRule="auto"/>
      <w:ind w:firstLine="602" w:firstLineChars="200"/>
      <w:outlineLvl w:val="2"/>
    </w:pPr>
    <w:rPr>
      <w:rFonts w:ascii="仿宋_GB2312" w:eastAsia="仿宋_GB2312"/>
      <w:b/>
      <w:bCs/>
      <w:sz w:val="30"/>
      <w:szCs w:val="20"/>
    </w:rPr>
  </w:style>
  <w:style w:type="paragraph" w:styleId="5">
    <w:name w:val="heading 4"/>
    <w:basedOn w:val="1"/>
    <w:next w:val="1"/>
    <w:link w:val="74"/>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75"/>
    <w:qFormat/>
    <w:uiPriority w:val="0"/>
    <w:pPr>
      <w:keepNext/>
      <w:keepLines/>
      <w:spacing w:beforeLines="100" w:afterLines="100" w:line="360" w:lineRule="auto"/>
      <w:outlineLvl w:val="4"/>
    </w:pPr>
    <w:rPr>
      <w:b/>
      <w:bCs/>
      <w:sz w:val="28"/>
      <w:szCs w:val="28"/>
    </w:rPr>
  </w:style>
  <w:style w:type="paragraph" w:styleId="7">
    <w:name w:val="heading 6"/>
    <w:basedOn w:val="1"/>
    <w:next w:val="1"/>
    <w:link w:val="76"/>
    <w:qFormat/>
    <w:uiPriority w:val="9"/>
    <w:pPr>
      <w:keepNext/>
      <w:keepLines/>
      <w:spacing w:beforeLines="100" w:afterLines="100" w:line="360" w:lineRule="auto"/>
      <w:outlineLvl w:val="5"/>
    </w:pPr>
    <w:rPr>
      <w:rFonts w:ascii="Cambria" w:hAnsi="Cambria"/>
      <w:b/>
      <w:bCs/>
      <w:sz w:val="24"/>
    </w:rPr>
  </w:style>
  <w:style w:type="paragraph" w:styleId="8">
    <w:name w:val="heading 7"/>
    <w:basedOn w:val="1"/>
    <w:next w:val="1"/>
    <w:link w:val="77"/>
    <w:qFormat/>
    <w:uiPriority w:val="0"/>
    <w:pPr>
      <w:keepNext/>
      <w:keepLines/>
      <w:spacing w:beforeLines="100" w:afterLines="100" w:line="360" w:lineRule="auto"/>
      <w:outlineLvl w:val="6"/>
    </w:pPr>
    <w:rPr>
      <w:b/>
      <w:bCs/>
      <w:sz w:val="24"/>
    </w:rPr>
  </w:style>
  <w:style w:type="paragraph" w:styleId="9">
    <w:name w:val="heading 8"/>
    <w:basedOn w:val="1"/>
    <w:next w:val="1"/>
    <w:link w:val="78"/>
    <w:qFormat/>
    <w:uiPriority w:val="0"/>
    <w:pPr>
      <w:keepNext/>
      <w:keepLines/>
      <w:spacing w:beforeLines="100" w:afterLines="100" w:line="360" w:lineRule="auto"/>
      <w:outlineLvl w:val="7"/>
    </w:pPr>
    <w:rPr>
      <w:rFonts w:ascii="Cambria" w:hAnsi="Cambria"/>
      <w:b/>
      <w:sz w:val="24"/>
    </w:rPr>
  </w:style>
  <w:style w:type="paragraph" w:styleId="10">
    <w:name w:val="heading 9"/>
    <w:basedOn w:val="1"/>
    <w:next w:val="1"/>
    <w:link w:val="79"/>
    <w:qFormat/>
    <w:uiPriority w:val="0"/>
    <w:pPr>
      <w:keepNext/>
      <w:keepLines/>
      <w:spacing w:beforeLines="100" w:afterLines="100" w:line="360" w:lineRule="auto"/>
      <w:outlineLvl w:val="8"/>
    </w:pPr>
    <w:rPr>
      <w:rFonts w:ascii="Cambria" w:hAnsi="Cambria"/>
      <w:b/>
      <w:sz w:val="24"/>
      <w:szCs w:val="21"/>
    </w:rPr>
  </w:style>
  <w:style w:type="character" w:default="1" w:styleId="56">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rPr>
      <w:rFonts w:ascii="Calibri" w:hAnsi="Calibri"/>
      <w:szCs w:val="22"/>
    </w:rPr>
  </w:style>
  <w:style w:type="paragraph" w:styleId="12">
    <w:name w:val="table of authorities"/>
    <w:basedOn w:val="1"/>
    <w:next w:val="1"/>
    <w:qFormat/>
    <w:uiPriority w:val="0"/>
    <w:pPr>
      <w:spacing w:line="440" w:lineRule="exact"/>
      <w:ind w:left="420" w:leftChars="200" w:firstLine="883" w:firstLineChars="200"/>
    </w:pPr>
    <w:rPr>
      <w:sz w:val="28"/>
    </w:rPr>
  </w:style>
  <w:style w:type="paragraph" w:styleId="13">
    <w:name w:val="List Number"/>
    <w:basedOn w:val="1"/>
    <w:qFormat/>
    <w:uiPriority w:val="0"/>
    <w:pPr>
      <w:widowControl/>
      <w:tabs>
        <w:tab w:val="left" w:pos="454"/>
        <w:tab w:val="left" w:pos="720"/>
      </w:tabs>
      <w:spacing w:afterLines="50"/>
      <w:ind w:left="720" w:hanging="720"/>
      <w:jc w:val="left"/>
    </w:pPr>
    <w:rPr>
      <w:kern w:val="0"/>
      <w:sz w:val="24"/>
      <w:szCs w:val="20"/>
    </w:rPr>
  </w:style>
  <w:style w:type="paragraph" w:styleId="14">
    <w:name w:val="Normal Indent"/>
    <w:basedOn w:val="1"/>
    <w:next w:val="15"/>
    <w:link w:val="72"/>
    <w:qFormat/>
    <w:uiPriority w:val="0"/>
    <w:pPr>
      <w:ind w:firstLine="420"/>
    </w:pPr>
    <w:rPr>
      <w:szCs w:val="20"/>
    </w:rPr>
  </w:style>
  <w:style w:type="paragraph" w:styleId="15">
    <w:name w:val="Body Text Indent"/>
    <w:basedOn w:val="1"/>
    <w:link w:val="85"/>
    <w:qFormat/>
    <w:uiPriority w:val="0"/>
    <w:pPr>
      <w:spacing w:line="200" w:lineRule="exact"/>
      <w:ind w:firstLine="301"/>
    </w:pPr>
    <w:rPr>
      <w:rFonts w:ascii="宋体" w:hAnsi="Courier New"/>
      <w:spacing w:val="-4"/>
      <w:sz w:val="18"/>
      <w:szCs w:val="20"/>
    </w:rPr>
  </w:style>
  <w:style w:type="paragraph" w:styleId="16">
    <w:name w:val="caption"/>
    <w:basedOn w:val="1"/>
    <w:next w:val="1"/>
    <w:link w:val="80"/>
    <w:qFormat/>
    <w:uiPriority w:val="0"/>
    <w:pPr>
      <w:spacing w:before="152" w:after="160"/>
    </w:pPr>
    <w:rPr>
      <w:rFonts w:ascii="Arial" w:hAnsi="Arial" w:eastAsia="黑体"/>
      <w:sz w:val="20"/>
      <w:szCs w:val="20"/>
    </w:rPr>
  </w:style>
  <w:style w:type="paragraph" w:styleId="17">
    <w:name w:val="index 5"/>
    <w:basedOn w:val="1"/>
    <w:next w:val="1"/>
    <w:qFormat/>
    <w:uiPriority w:val="0"/>
    <w:pPr>
      <w:ind w:left="1680"/>
    </w:pPr>
  </w:style>
  <w:style w:type="paragraph" w:styleId="18">
    <w:name w:val="Document Map"/>
    <w:basedOn w:val="1"/>
    <w:link w:val="81"/>
    <w:semiHidden/>
    <w:qFormat/>
    <w:uiPriority w:val="0"/>
    <w:pPr>
      <w:shd w:val="clear" w:color="auto" w:fill="000080"/>
    </w:pPr>
  </w:style>
  <w:style w:type="paragraph" w:styleId="19">
    <w:name w:val="annotation text"/>
    <w:basedOn w:val="1"/>
    <w:link w:val="82"/>
    <w:qFormat/>
    <w:uiPriority w:val="0"/>
    <w:pPr>
      <w:jc w:val="left"/>
    </w:pPr>
  </w:style>
  <w:style w:type="paragraph" w:styleId="20">
    <w:name w:val="Body Text 3"/>
    <w:basedOn w:val="1"/>
    <w:link w:val="83"/>
    <w:qFormat/>
    <w:uiPriority w:val="0"/>
    <w:pPr>
      <w:spacing w:after="120"/>
    </w:pPr>
    <w:rPr>
      <w:sz w:val="16"/>
      <w:szCs w:val="16"/>
    </w:rPr>
  </w:style>
  <w:style w:type="paragraph" w:styleId="21">
    <w:name w:val="Body Text"/>
    <w:basedOn w:val="1"/>
    <w:link w:val="84"/>
    <w:qFormat/>
    <w:uiPriority w:val="0"/>
    <w:pPr>
      <w:spacing w:after="120"/>
    </w:pPr>
  </w:style>
  <w:style w:type="paragraph" w:styleId="22">
    <w:name w:val="List Number 3"/>
    <w:basedOn w:val="1"/>
    <w:qFormat/>
    <w:uiPriority w:val="0"/>
    <w:pPr>
      <w:tabs>
        <w:tab w:val="left" w:pos="1200"/>
      </w:tabs>
      <w:ind w:left="1200" w:hanging="360"/>
    </w:pPr>
  </w:style>
  <w:style w:type="paragraph" w:styleId="23">
    <w:name w:val="List 2"/>
    <w:basedOn w:val="1"/>
    <w:qFormat/>
    <w:uiPriority w:val="0"/>
    <w:pPr>
      <w:ind w:left="566" w:hanging="283"/>
      <w:contextualSpacing/>
    </w:pPr>
  </w:style>
  <w:style w:type="paragraph" w:styleId="24">
    <w:name w:val="List Bullet 2"/>
    <w:basedOn w:val="1"/>
    <w:semiHidden/>
    <w:unhideWhenUsed/>
    <w:qFormat/>
    <w:uiPriority w:val="0"/>
    <w:pPr>
      <w:numPr>
        <w:ilvl w:val="0"/>
        <w:numId w:val="1"/>
      </w:numPr>
    </w:pPr>
  </w:style>
  <w:style w:type="paragraph" w:styleId="25">
    <w:name w:val="toc 5"/>
    <w:basedOn w:val="1"/>
    <w:next w:val="1"/>
    <w:unhideWhenUsed/>
    <w:qFormat/>
    <w:uiPriority w:val="39"/>
    <w:pPr>
      <w:ind w:left="1680" w:leftChars="800"/>
    </w:pPr>
    <w:rPr>
      <w:rFonts w:ascii="Calibri" w:hAnsi="Calibri"/>
      <w:szCs w:val="22"/>
    </w:rPr>
  </w:style>
  <w:style w:type="paragraph" w:styleId="26">
    <w:name w:val="toc 3"/>
    <w:basedOn w:val="1"/>
    <w:next w:val="1"/>
    <w:qFormat/>
    <w:uiPriority w:val="39"/>
    <w:pPr>
      <w:ind w:left="840" w:leftChars="400"/>
    </w:pPr>
  </w:style>
  <w:style w:type="paragraph" w:styleId="27">
    <w:name w:val="Plain Text"/>
    <w:basedOn w:val="1"/>
    <w:link w:val="86"/>
    <w:qFormat/>
    <w:uiPriority w:val="0"/>
    <w:rPr>
      <w:rFonts w:ascii="宋体" w:hAnsi="Courier New"/>
      <w:szCs w:val="20"/>
    </w:rPr>
  </w:style>
  <w:style w:type="paragraph" w:styleId="28">
    <w:name w:val="toc 8"/>
    <w:basedOn w:val="1"/>
    <w:next w:val="1"/>
    <w:unhideWhenUsed/>
    <w:qFormat/>
    <w:uiPriority w:val="39"/>
    <w:pPr>
      <w:ind w:left="2940" w:leftChars="1400"/>
    </w:pPr>
    <w:rPr>
      <w:rFonts w:ascii="Calibri" w:hAnsi="Calibri"/>
      <w:szCs w:val="22"/>
    </w:rPr>
  </w:style>
  <w:style w:type="paragraph" w:styleId="29">
    <w:name w:val="Date"/>
    <w:basedOn w:val="1"/>
    <w:next w:val="1"/>
    <w:link w:val="87"/>
    <w:qFormat/>
    <w:uiPriority w:val="0"/>
    <w:pPr>
      <w:ind w:left="2500" w:leftChars="2500"/>
    </w:pPr>
    <w:rPr>
      <w:rFonts w:eastAsia="楷体_GB2312"/>
      <w:sz w:val="32"/>
      <w:szCs w:val="20"/>
    </w:rPr>
  </w:style>
  <w:style w:type="paragraph" w:styleId="30">
    <w:name w:val="Body Text Indent 2"/>
    <w:basedOn w:val="1"/>
    <w:link w:val="88"/>
    <w:qFormat/>
    <w:uiPriority w:val="0"/>
    <w:pPr>
      <w:snapToGrid w:val="0"/>
      <w:ind w:firstLine="542" w:firstLineChars="225"/>
    </w:pPr>
    <w:rPr>
      <w:rFonts w:ascii="仿宋_GB2312" w:hAnsi="宋体"/>
      <w:b/>
      <w:bCs/>
      <w:color w:val="000000"/>
      <w:sz w:val="24"/>
    </w:rPr>
  </w:style>
  <w:style w:type="paragraph" w:styleId="31">
    <w:name w:val="Balloon Text"/>
    <w:basedOn w:val="1"/>
    <w:link w:val="89"/>
    <w:qFormat/>
    <w:uiPriority w:val="0"/>
    <w:rPr>
      <w:sz w:val="18"/>
      <w:szCs w:val="18"/>
    </w:rPr>
  </w:style>
  <w:style w:type="paragraph" w:styleId="32">
    <w:name w:val="footer"/>
    <w:basedOn w:val="1"/>
    <w:link w:val="90"/>
    <w:qFormat/>
    <w:uiPriority w:val="99"/>
    <w:pPr>
      <w:tabs>
        <w:tab w:val="center" w:pos="4153"/>
        <w:tab w:val="right" w:pos="8306"/>
      </w:tabs>
      <w:snapToGrid w:val="0"/>
      <w:jc w:val="left"/>
    </w:pPr>
    <w:rPr>
      <w:sz w:val="18"/>
      <w:szCs w:val="18"/>
    </w:rPr>
  </w:style>
  <w:style w:type="paragraph" w:styleId="33">
    <w:name w:val="envelope return"/>
    <w:basedOn w:val="1"/>
    <w:qFormat/>
    <w:uiPriority w:val="0"/>
    <w:pPr>
      <w:snapToGrid w:val="0"/>
    </w:pPr>
    <w:rPr>
      <w:rFonts w:ascii="Arial" w:hAnsi="Arial" w:cs="Arial"/>
      <w:szCs w:val="24"/>
    </w:rPr>
  </w:style>
  <w:style w:type="paragraph" w:styleId="34">
    <w:name w:val="header"/>
    <w:basedOn w:val="1"/>
    <w:link w:val="91"/>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style>
  <w:style w:type="paragraph" w:styleId="36">
    <w:name w:val="toc 4"/>
    <w:basedOn w:val="1"/>
    <w:next w:val="1"/>
    <w:unhideWhenUsed/>
    <w:qFormat/>
    <w:uiPriority w:val="39"/>
    <w:pPr>
      <w:ind w:left="1260" w:leftChars="600"/>
    </w:pPr>
    <w:rPr>
      <w:rFonts w:ascii="Calibri" w:hAnsi="Calibri"/>
      <w:szCs w:val="22"/>
    </w:rPr>
  </w:style>
  <w:style w:type="paragraph" w:styleId="37">
    <w:name w:val="Subtitle"/>
    <w:basedOn w:val="1"/>
    <w:next w:val="1"/>
    <w:link w:val="92"/>
    <w:qFormat/>
    <w:uiPriority w:val="0"/>
    <w:pPr>
      <w:spacing w:before="240" w:after="60" w:line="312" w:lineRule="auto"/>
      <w:jc w:val="center"/>
      <w:outlineLvl w:val="1"/>
    </w:pPr>
    <w:rPr>
      <w:rFonts w:ascii="Cambria" w:hAnsi="Cambria"/>
      <w:b/>
      <w:bCs/>
      <w:kern w:val="28"/>
      <w:sz w:val="32"/>
      <w:szCs w:val="32"/>
    </w:rPr>
  </w:style>
  <w:style w:type="paragraph" w:styleId="38">
    <w:name w:val="List"/>
    <w:basedOn w:val="1"/>
    <w:qFormat/>
    <w:uiPriority w:val="0"/>
    <w:pPr>
      <w:ind w:left="283" w:hanging="283"/>
      <w:contextualSpacing/>
    </w:pPr>
  </w:style>
  <w:style w:type="paragraph" w:styleId="39">
    <w:name w:val="footnote text"/>
    <w:basedOn w:val="1"/>
    <w:link w:val="93"/>
    <w:qFormat/>
    <w:uiPriority w:val="99"/>
    <w:pPr>
      <w:jc w:val="left"/>
    </w:pPr>
    <w:rPr>
      <w:kern w:val="1"/>
      <w:sz w:val="18"/>
      <w:szCs w:val="18"/>
    </w:rPr>
  </w:style>
  <w:style w:type="paragraph" w:styleId="40">
    <w:name w:val="toc 6"/>
    <w:basedOn w:val="1"/>
    <w:next w:val="1"/>
    <w:unhideWhenUsed/>
    <w:qFormat/>
    <w:uiPriority w:val="39"/>
    <w:pPr>
      <w:ind w:left="2100" w:leftChars="1000"/>
    </w:pPr>
    <w:rPr>
      <w:rFonts w:ascii="Calibri" w:hAnsi="Calibri"/>
      <w:szCs w:val="22"/>
    </w:rPr>
  </w:style>
  <w:style w:type="paragraph" w:styleId="41">
    <w:name w:val="Body Text Indent 3"/>
    <w:basedOn w:val="1"/>
    <w:link w:val="94"/>
    <w:qFormat/>
    <w:uiPriority w:val="0"/>
    <w:pPr>
      <w:snapToGrid w:val="0"/>
      <w:ind w:firstLine="480" w:firstLineChars="200"/>
      <w:jc w:val="left"/>
    </w:pPr>
    <w:rPr>
      <w:rFonts w:ascii="仿宋_GB2312" w:hAnsi="宋体" w:eastAsia="仿宋_GB2312"/>
      <w:color w:val="000000"/>
      <w:sz w:val="24"/>
    </w:rPr>
  </w:style>
  <w:style w:type="paragraph" w:styleId="42">
    <w:name w:val="table of figures"/>
    <w:basedOn w:val="1"/>
    <w:next w:val="1"/>
    <w:qFormat/>
    <w:uiPriority w:val="99"/>
    <w:pPr>
      <w:widowControl/>
      <w:tabs>
        <w:tab w:val="left" w:pos="1270"/>
      </w:tabs>
      <w:spacing w:line="360" w:lineRule="auto"/>
      <w:ind w:left="1270" w:hanging="420"/>
      <w:jc w:val="left"/>
    </w:pPr>
    <w:rPr>
      <w:rFonts w:ascii="宋体" w:hAnsi="宋体" w:cs="宋体"/>
      <w:smallCaps/>
      <w:kern w:val="0"/>
      <w:sz w:val="20"/>
      <w:szCs w:val="20"/>
    </w:rPr>
  </w:style>
  <w:style w:type="paragraph" w:styleId="43">
    <w:name w:val="toc 2"/>
    <w:basedOn w:val="1"/>
    <w:next w:val="1"/>
    <w:qFormat/>
    <w:uiPriority w:val="39"/>
    <w:pPr>
      <w:ind w:left="420" w:leftChars="200"/>
    </w:pPr>
  </w:style>
  <w:style w:type="paragraph" w:styleId="44">
    <w:name w:val="toc 9"/>
    <w:basedOn w:val="1"/>
    <w:next w:val="1"/>
    <w:unhideWhenUsed/>
    <w:qFormat/>
    <w:uiPriority w:val="39"/>
    <w:pPr>
      <w:ind w:left="3360" w:leftChars="1600"/>
    </w:pPr>
    <w:rPr>
      <w:rFonts w:ascii="Calibri" w:hAnsi="Calibri"/>
      <w:szCs w:val="22"/>
    </w:rPr>
  </w:style>
  <w:style w:type="paragraph" w:styleId="45">
    <w:name w:val="Body Text 2"/>
    <w:basedOn w:val="1"/>
    <w:link w:val="95"/>
    <w:qFormat/>
    <w:uiPriority w:val="0"/>
    <w:pPr>
      <w:widowControl/>
      <w:snapToGrid w:val="0"/>
      <w:spacing w:before="50" w:afterLines="50" w:line="400" w:lineRule="exact"/>
      <w:jc w:val="left"/>
    </w:pPr>
    <w:rPr>
      <w:rFonts w:ascii="宋体" w:hAnsi="宋体"/>
      <w:color w:val="000000"/>
      <w:sz w:val="24"/>
    </w:rPr>
  </w:style>
  <w:style w:type="paragraph" w:styleId="4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7">
    <w:name w:val="Normal (Web)"/>
    <w:basedOn w:val="1"/>
    <w:link w:val="96"/>
    <w:qFormat/>
    <w:uiPriority w:val="99"/>
    <w:pPr>
      <w:widowControl/>
      <w:spacing w:before="100" w:beforeAutospacing="1" w:after="100" w:afterAutospacing="1"/>
      <w:jc w:val="left"/>
    </w:pPr>
    <w:rPr>
      <w:rFonts w:ascii="宋体" w:hAnsi="宋体"/>
      <w:kern w:val="0"/>
      <w:sz w:val="24"/>
    </w:rPr>
  </w:style>
  <w:style w:type="paragraph" w:styleId="48">
    <w:name w:val="Title"/>
    <w:basedOn w:val="1"/>
    <w:next w:val="1"/>
    <w:link w:val="97"/>
    <w:qFormat/>
    <w:uiPriority w:val="0"/>
    <w:pPr>
      <w:spacing w:before="240" w:after="60"/>
      <w:jc w:val="center"/>
      <w:outlineLvl w:val="0"/>
    </w:pPr>
    <w:rPr>
      <w:rFonts w:ascii="Cambria" w:hAnsi="Cambria"/>
      <w:b/>
      <w:bCs/>
      <w:sz w:val="32"/>
      <w:szCs w:val="32"/>
    </w:rPr>
  </w:style>
  <w:style w:type="paragraph" w:styleId="49">
    <w:name w:val="annotation subject"/>
    <w:basedOn w:val="19"/>
    <w:next w:val="19"/>
    <w:link w:val="98"/>
    <w:qFormat/>
    <w:uiPriority w:val="99"/>
    <w:rPr>
      <w:b/>
      <w:bCs/>
    </w:rPr>
  </w:style>
  <w:style w:type="paragraph" w:styleId="50">
    <w:name w:val="Body Text First Indent"/>
    <w:basedOn w:val="21"/>
    <w:link w:val="99"/>
    <w:qFormat/>
    <w:uiPriority w:val="0"/>
    <w:pPr>
      <w:ind w:firstLine="420" w:firstLineChars="100"/>
    </w:pPr>
  </w:style>
  <w:style w:type="paragraph" w:styleId="51">
    <w:name w:val="Body Text First Indent 2"/>
    <w:basedOn w:val="15"/>
    <w:next w:val="52"/>
    <w:link w:val="100"/>
    <w:unhideWhenUsed/>
    <w:qFormat/>
    <w:uiPriority w:val="0"/>
    <w:pPr>
      <w:spacing w:after="120" w:line="360" w:lineRule="auto"/>
      <w:ind w:left="420" w:leftChars="200" w:firstLine="420" w:firstLineChars="200"/>
    </w:pPr>
    <w:rPr>
      <w:sz w:val="24"/>
    </w:rPr>
  </w:style>
  <w:style w:type="paragraph" w:customStyle="1" w:styleId="52">
    <w:name w:val="xl53"/>
    <w:next w:val="1"/>
    <w:qFormat/>
    <w:uiPriority w:val="0"/>
    <w:pPr>
      <w:spacing w:before="280" w:after="280" w:line="100" w:lineRule="exact"/>
      <w:ind w:firstLine="480" w:firstLineChars="200"/>
      <w:jc w:val="center"/>
    </w:pPr>
    <w:rPr>
      <w:rFonts w:ascii="宋体" w:hAnsi="Times New Roman" w:eastAsia="宋体" w:cstheme="minorBidi"/>
      <w:b/>
      <w:szCs w:val="22"/>
      <w:lang w:val="en-US" w:eastAsia="zh-CN" w:bidi="ar-SA"/>
    </w:rPr>
  </w:style>
  <w:style w:type="table" w:styleId="54">
    <w:name w:val="Table Grid"/>
    <w:basedOn w:val="5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5">
    <w:name w:val="Table Grid 8"/>
    <w:basedOn w:val="53"/>
    <w:qFormat/>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7">
    <w:name w:val="Strong"/>
    <w:qFormat/>
    <w:uiPriority w:val="22"/>
    <w:rPr>
      <w:b/>
      <w:bCs/>
    </w:rPr>
  </w:style>
  <w:style w:type="character" w:styleId="58">
    <w:name w:val="page number"/>
    <w:basedOn w:val="56"/>
    <w:qFormat/>
    <w:uiPriority w:val="0"/>
  </w:style>
  <w:style w:type="character" w:styleId="59">
    <w:name w:val="FollowedHyperlink"/>
    <w:qFormat/>
    <w:uiPriority w:val="99"/>
    <w:rPr>
      <w:color w:val="800080"/>
      <w:u w:val="single"/>
    </w:rPr>
  </w:style>
  <w:style w:type="character" w:styleId="60">
    <w:name w:val="Hyperlink"/>
    <w:qFormat/>
    <w:uiPriority w:val="99"/>
    <w:rPr>
      <w:color w:val="0000FF"/>
      <w:u w:val="single"/>
    </w:rPr>
  </w:style>
  <w:style w:type="character" w:styleId="61">
    <w:name w:val="annotation reference"/>
    <w:qFormat/>
    <w:uiPriority w:val="99"/>
    <w:rPr>
      <w:sz w:val="21"/>
      <w:szCs w:val="21"/>
    </w:rPr>
  </w:style>
  <w:style w:type="character" w:styleId="62">
    <w:name w:val="footnote reference"/>
    <w:qFormat/>
    <w:uiPriority w:val="99"/>
    <w:rPr>
      <w:position w:val="-2"/>
      <w:vertAlign w:val="superscript"/>
    </w:rPr>
  </w:style>
  <w:style w:type="character" w:styleId="63">
    <w:name w:val="HTML Sample"/>
    <w:basedOn w:val="56"/>
    <w:semiHidden/>
    <w:unhideWhenUsed/>
    <w:qFormat/>
    <w:uiPriority w:val="0"/>
    <w:rPr>
      <w:rFonts w:ascii="Courier New" w:hAnsi="Courier New"/>
    </w:rPr>
  </w:style>
  <w:style w:type="paragraph" w:customStyle="1" w:styleId="64">
    <w:name w:val="标准正文"/>
    <w:basedOn w:val="1"/>
    <w:qFormat/>
    <w:uiPriority w:val="0"/>
    <w:pPr>
      <w:spacing w:line="360" w:lineRule="auto"/>
      <w:ind w:firstLine="200" w:firstLineChars="200"/>
    </w:pPr>
    <w:rPr>
      <w:sz w:val="24"/>
      <w:szCs w:val="20"/>
    </w:rPr>
  </w:style>
  <w:style w:type="paragraph" w:customStyle="1" w:styleId="65">
    <w:name w:val="Default"/>
    <w:next w:val="66"/>
    <w:unhideWhenUsed/>
    <w:qFormat/>
    <w:uiPriority w:val="99"/>
    <w:pPr>
      <w:widowControl w:val="0"/>
      <w:autoSpaceDE w:val="0"/>
      <w:autoSpaceDN w:val="0"/>
      <w:adjustRightInd w:val="0"/>
    </w:pPr>
    <w:rPr>
      <w:rFonts w:hint="eastAsia" w:ascii="仿宋" w:hAnsi="Times New Roman" w:eastAsia="仿宋" w:cs="Times New Roman"/>
      <w:color w:val="000000"/>
      <w:sz w:val="24"/>
      <w:lang w:val="en-US" w:eastAsia="zh-CN" w:bidi="ar-SA"/>
    </w:rPr>
  </w:style>
  <w:style w:type="paragraph" w:customStyle="1" w:styleId="6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7">
    <w:name w:val="表格文字"/>
    <w:basedOn w:val="68"/>
    <w:next w:val="21"/>
    <w:link w:val="196"/>
    <w:qFormat/>
    <w:uiPriority w:val="0"/>
    <w:pPr>
      <w:jc w:val="left"/>
      <w:textAlignment w:val="top"/>
    </w:pPr>
    <w:rPr>
      <w:sz w:val="18"/>
    </w:rPr>
  </w:style>
  <w:style w:type="paragraph" w:customStyle="1" w:styleId="68">
    <w:name w:val="表格文字（两侧对齐）"/>
    <w:basedOn w:val="1"/>
    <w:qFormat/>
    <w:uiPriority w:val="0"/>
    <w:pPr>
      <w:snapToGrid w:val="0"/>
    </w:pPr>
    <w:rPr>
      <w:sz w:val="20"/>
    </w:rPr>
  </w:style>
  <w:style w:type="paragraph" w:customStyle="1" w:styleId="69">
    <w:name w:val="一级标题"/>
    <w:basedOn w:val="1"/>
    <w:next w:val="21"/>
    <w:qFormat/>
    <w:uiPriority w:val="0"/>
    <w:pPr>
      <w:outlineLvl w:val="0"/>
    </w:pPr>
    <w:rPr>
      <w:b/>
      <w:bCs/>
      <w:sz w:val="32"/>
    </w:rPr>
  </w:style>
  <w:style w:type="character" w:customStyle="1" w:styleId="70">
    <w:name w:val="标题 2 字符"/>
    <w:link w:val="2"/>
    <w:qFormat/>
    <w:uiPriority w:val="9"/>
    <w:rPr>
      <w:rFonts w:ascii="仿宋_GB2312" w:eastAsia="仿宋_GB2312"/>
      <w:b/>
      <w:sz w:val="36"/>
    </w:rPr>
  </w:style>
  <w:style w:type="character" w:customStyle="1" w:styleId="71">
    <w:name w:val="标题 1 字符"/>
    <w:link w:val="3"/>
    <w:qFormat/>
    <w:uiPriority w:val="9"/>
    <w:rPr>
      <w:b/>
      <w:bCs/>
      <w:kern w:val="44"/>
      <w:sz w:val="44"/>
      <w:szCs w:val="44"/>
    </w:rPr>
  </w:style>
  <w:style w:type="character" w:customStyle="1" w:styleId="72">
    <w:name w:val="正文缩进 字符"/>
    <w:link w:val="14"/>
    <w:qFormat/>
    <w:uiPriority w:val="0"/>
    <w:rPr>
      <w:kern w:val="2"/>
      <w:sz w:val="21"/>
    </w:rPr>
  </w:style>
  <w:style w:type="character" w:customStyle="1" w:styleId="73">
    <w:name w:val="标题 3 字符"/>
    <w:link w:val="4"/>
    <w:qFormat/>
    <w:uiPriority w:val="9"/>
    <w:rPr>
      <w:rFonts w:ascii="仿宋_GB2312" w:eastAsia="仿宋_GB2312"/>
      <w:b/>
      <w:bCs/>
      <w:kern w:val="2"/>
      <w:sz w:val="30"/>
    </w:rPr>
  </w:style>
  <w:style w:type="character" w:customStyle="1" w:styleId="74">
    <w:name w:val="标题 4 字符"/>
    <w:link w:val="5"/>
    <w:qFormat/>
    <w:uiPriority w:val="9"/>
    <w:rPr>
      <w:rFonts w:ascii="Cambria" w:hAnsi="Cambria" w:eastAsia="宋体" w:cs="Times New Roman"/>
      <w:b/>
      <w:bCs/>
      <w:kern w:val="2"/>
      <w:sz w:val="28"/>
      <w:szCs w:val="28"/>
    </w:rPr>
  </w:style>
  <w:style w:type="character" w:customStyle="1" w:styleId="75">
    <w:name w:val="标题 5 字符"/>
    <w:link w:val="6"/>
    <w:qFormat/>
    <w:uiPriority w:val="9"/>
    <w:rPr>
      <w:rFonts w:eastAsia="宋体"/>
      <w:b/>
      <w:bCs/>
      <w:kern w:val="2"/>
      <w:sz w:val="28"/>
      <w:szCs w:val="28"/>
    </w:rPr>
  </w:style>
  <w:style w:type="character" w:customStyle="1" w:styleId="76">
    <w:name w:val="标题 6 字符"/>
    <w:link w:val="7"/>
    <w:qFormat/>
    <w:uiPriority w:val="9"/>
    <w:rPr>
      <w:rFonts w:ascii="Cambria" w:hAnsi="Cambria" w:eastAsia="宋体" w:cs="Times New Roman"/>
      <w:b/>
      <w:bCs/>
      <w:kern w:val="2"/>
      <w:sz w:val="24"/>
      <w:szCs w:val="24"/>
    </w:rPr>
  </w:style>
  <w:style w:type="character" w:customStyle="1" w:styleId="77">
    <w:name w:val="标题 7 字符"/>
    <w:link w:val="8"/>
    <w:qFormat/>
    <w:uiPriority w:val="0"/>
    <w:rPr>
      <w:rFonts w:eastAsia="宋体"/>
      <w:b/>
      <w:bCs/>
      <w:kern w:val="2"/>
      <w:sz w:val="24"/>
      <w:szCs w:val="24"/>
    </w:rPr>
  </w:style>
  <w:style w:type="character" w:customStyle="1" w:styleId="78">
    <w:name w:val="标题 8 字符"/>
    <w:link w:val="9"/>
    <w:qFormat/>
    <w:uiPriority w:val="0"/>
    <w:rPr>
      <w:rFonts w:ascii="Cambria" w:hAnsi="Cambria" w:eastAsia="宋体" w:cs="Times New Roman"/>
      <w:b/>
      <w:kern w:val="2"/>
      <w:sz w:val="24"/>
      <w:szCs w:val="24"/>
    </w:rPr>
  </w:style>
  <w:style w:type="character" w:customStyle="1" w:styleId="79">
    <w:name w:val="标题 9 字符"/>
    <w:link w:val="10"/>
    <w:qFormat/>
    <w:uiPriority w:val="0"/>
    <w:rPr>
      <w:rFonts w:ascii="Cambria" w:hAnsi="Cambria" w:eastAsia="宋体" w:cs="Times New Roman"/>
      <w:b/>
      <w:kern w:val="2"/>
      <w:sz w:val="24"/>
      <w:szCs w:val="21"/>
    </w:rPr>
  </w:style>
  <w:style w:type="character" w:customStyle="1" w:styleId="80">
    <w:name w:val="题注 字符"/>
    <w:link w:val="16"/>
    <w:qFormat/>
    <w:locked/>
    <w:uiPriority w:val="0"/>
    <w:rPr>
      <w:rFonts w:ascii="Arial" w:hAnsi="Arial" w:eastAsia="黑体" w:cs="Arial"/>
      <w:kern w:val="2"/>
    </w:rPr>
  </w:style>
  <w:style w:type="character" w:customStyle="1" w:styleId="81">
    <w:name w:val="文档结构图 字符"/>
    <w:link w:val="18"/>
    <w:semiHidden/>
    <w:qFormat/>
    <w:uiPriority w:val="0"/>
    <w:rPr>
      <w:kern w:val="2"/>
      <w:sz w:val="21"/>
      <w:szCs w:val="24"/>
      <w:shd w:val="clear" w:color="auto" w:fill="000080"/>
    </w:rPr>
  </w:style>
  <w:style w:type="character" w:customStyle="1" w:styleId="82">
    <w:name w:val="批注文字 字符"/>
    <w:link w:val="19"/>
    <w:qFormat/>
    <w:uiPriority w:val="0"/>
    <w:rPr>
      <w:kern w:val="2"/>
      <w:sz w:val="21"/>
      <w:szCs w:val="24"/>
    </w:rPr>
  </w:style>
  <w:style w:type="character" w:customStyle="1" w:styleId="83">
    <w:name w:val="正文文本 3 字符"/>
    <w:link w:val="20"/>
    <w:qFormat/>
    <w:uiPriority w:val="0"/>
    <w:rPr>
      <w:kern w:val="2"/>
      <w:sz w:val="16"/>
      <w:szCs w:val="16"/>
    </w:rPr>
  </w:style>
  <w:style w:type="character" w:customStyle="1" w:styleId="84">
    <w:name w:val="正文文本 字符"/>
    <w:link w:val="21"/>
    <w:qFormat/>
    <w:uiPriority w:val="0"/>
    <w:rPr>
      <w:kern w:val="2"/>
      <w:sz w:val="21"/>
      <w:szCs w:val="24"/>
    </w:rPr>
  </w:style>
  <w:style w:type="character" w:customStyle="1" w:styleId="85">
    <w:name w:val="正文文本缩进 字符"/>
    <w:link w:val="15"/>
    <w:qFormat/>
    <w:uiPriority w:val="0"/>
    <w:rPr>
      <w:rFonts w:ascii="宋体" w:hAnsi="Courier New"/>
      <w:spacing w:val="-4"/>
      <w:kern w:val="2"/>
      <w:sz w:val="18"/>
    </w:rPr>
  </w:style>
  <w:style w:type="character" w:customStyle="1" w:styleId="86">
    <w:name w:val="纯文本 字符1"/>
    <w:link w:val="27"/>
    <w:qFormat/>
    <w:uiPriority w:val="0"/>
    <w:rPr>
      <w:rFonts w:ascii="宋体" w:hAnsi="Courier New"/>
      <w:kern w:val="2"/>
      <w:sz w:val="21"/>
    </w:rPr>
  </w:style>
  <w:style w:type="character" w:customStyle="1" w:styleId="87">
    <w:name w:val="日期 字符"/>
    <w:link w:val="29"/>
    <w:qFormat/>
    <w:uiPriority w:val="0"/>
    <w:rPr>
      <w:rFonts w:eastAsia="楷体_GB2312"/>
      <w:kern w:val="2"/>
      <w:sz w:val="32"/>
    </w:rPr>
  </w:style>
  <w:style w:type="character" w:customStyle="1" w:styleId="88">
    <w:name w:val="正文文本缩进 2 字符"/>
    <w:link w:val="30"/>
    <w:qFormat/>
    <w:uiPriority w:val="0"/>
    <w:rPr>
      <w:rFonts w:ascii="仿宋_GB2312" w:hAnsi="宋体" w:cs="Arial"/>
      <w:b/>
      <w:bCs/>
      <w:color w:val="000000"/>
      <w:kern w:val="2"/>
      <w:sz w:val="24"/>
      <w:szCs w:val="24"/>
    </w:rPr>
  </w:style>
  <w:style w:type="character" w:customStyle="1" w:styleId="89">
    <w:name w:val="批注框文本 字符"/>
    <w:link w:val="31"/>
    <w:qFormat/>
    <w:uiPriority w:val="0"/>
    <w:rPr>
      <w:kern w:val="2"/>
      <w:sz w:val="18"/>
      <w:szCs w:val="18"/>
    </w:rPr>
  </w:style>
  <w:style w:type="character" w:customStyle="1" w:styleId="90">
    <w:name w:val="页脚 字符"/>
    <w:link w:val="32"/>
    <w:qFormat/>
    <w:locked/>
    <w:uiPriority w:val="99"/>
    <w:rPr>
      <w:kern w:val="2"/>
      <w:sz w:val="18"/>
      <w:szCs w:val="18"/>
    </w:rPr>
  </w:style>
  <w:style w:type="character" w:customStyle="1" w:styleId="91">
    <w:name w:val="页眉 字符"/>
    <w:link w:val="34"/>
    <w:qFormat/>
    <w:uiPriority w:val="99"/>
    <w:rPr>
      <w:rFonts w:eastAsia="宋体"/>
      <w:kern w:val="2"/>
      <w:sz w:val="18"/>
      <w:szCs w:val="18"/>
      <w:lang w:val="en-US" w:eastAsia="zh-CN" w:bidi="ar-SA"/>
    </w:rPr>
  </w:style>
  <w:style w:type="character" w:customStyle="1" w:styleId="92">
    <w:name w:val="副标题 字符"/>
    <w:link w:val="37"/>
    <w:qFormat/>
    <w:uiPriority w:val="0"/>
    <w:rPr>
      <w:rFonts w:ascii="Cambria" w:hAnsi="Cambria"/>
      <w:b/>
      <w:bCs/>
      <w:kern w:val="28"/>
      <w:sz w:val="32"/>
      <w:szCs w:val="32"/>
    </w:rPr>
  </w:style>
  <w:style w:type="character" w:customStyle="1" w:styleId="93">
    <w:name w:val="脚注文本 字符"/>
    <w:basedOn w:val="56"/>
    <w:link w:val="39"/>
    <w:qFormat/>
    <w:uiPriority w:val="99"/>
    <w:rPr>
      <w:kern w:val="1"/>
      <w:sz w:val="18"/>
      <w:szCs w:val="18"/>
    </w:rPr>
  </w:style>
  <w:style w:type="character" w:customStyle="1" w:styleId="94">
    <w:name w:val="正文文本缩进 3 字符"/>
    <w:link w:val="41"/>
    <w:qFormat/>
    <w:uiPriority w:val="0"/>
    <w:rPr>
      <w:rFonts w:ascii="仿宋_GB2312" w:hAnsi="宋体" w:eastAsia="仿宋_GB2312"/>
      <w:color w:val="000000"/>
      <w:kern w:val="2"/>
      <w:sz w:val="24"/>
      <w:szCs w:val="24"/>
    </w:rPr>
  </w:style>
  <w:style w:type="character" w:customStyle="1" w:styleId="95">
    <w:name w:val="正文文本 2 字符"/>
    <w:link w:val="45"/>
    <w:qFormat/>
    <w:uiPriority w:val="0"/>
    <w:rPr>
      <w:rFonts w:ascii="宋体" w:hAnsi="宋体"/>
      <w:color w:val="000000"/>
      <w:kern w:val="2"/>
      <w:sz w:val="24"/>
      <w:szCs w:val="24"/>
    </w:rPr>
  </w:style>
  <w:style w:type="character" w:customStyle="1" w:styleId="96">
    <w:name w:val="普通(网站) 字符"/>
    <w:link w:val="47"/>
    <w:qFormat/>
    <w:locked/>
    <w:uiPriority w:val="0"/>
    <w:rPr>
      <w:rFonts w:ascii="宋体" w:hAnsi="宋体" w:cs="宋体"/>
      <w:sz w:val="24"/>
      <w:szCs w:val="24"/>
    </w:rPr>
  </w:style>
  <w:style w:type="character" w:customStyle="1" w:styleId="97">
    <w:name w:val="标题 字符"/>
    <w:link w:val="48"/>
    <w:qFormat/>
    <w:uiPriority w:val="0"/>
    <w:rPr>
      <w:rFonts w:ascii="Cambria" w:hAnsi="Cambria"/>
      <w:b/>
      <w:bCs/>
      <w:kern w:val="2"/>
      <w:sz w:val="32"/>
      <w:szCs w:val="32"/>
    </w:rPr>
  </w:style>
  <w:style w:type="character" w:customStyle="1" w:styleId="98">
    <w:name w:val="批注主题 字符"/>
    <w:link w:val="49"/>
    <w:qFormat/>
    <w:uiPriority w:val="99"/>
    <w:rPr>
      <w:b/>
      <w:bCs/>
      <w:kern w:val="2"/>
      <w:sz w:val="21"/>
      <w:szCs w:val="24"/>
    </w:rPr>
  </w:style>
  <w:style w:type="character" w:customStyle="1" w:styleId="99">
    <w:name w:val="正文文本首行缩进 字符"/>
    <w:basedOn w:val="84"/>
    <w:link w:val="50"/>
    <w:qFormat/>
    <w:uiPriority w:val="0"/>
    <w:rPr>
      <w:kern w:val="2"/>
      <w:sz w:val="21"/>
      <w:szCs w:val="24"/>
    </w:rPr>
  </w:style>
  <w:style w:type="character" w:customStyle="1" w:styleId="100">
    <w:name w:val="正文文本首行缩进 2 字符"/>
    <w:link w:val="51"/>
    <w:qFormat/>
    <w:uiPriority w:val="0"/>
    <w:rPr>
      <w:rFonts w:ascii="宋体" w:hAnsi="Courier New"/>
      <w:spacing w:val="-4"/>
      <w:kern w:val="2"/>
      <w:sz w:val="24"/>
    </w:rPr>
  </w:style>
  <w:style w:type="paragraph" w:customStyle="1" w:styleId="101">
    <w:name w:val="_Style 3"/>
    <w:qFormat/>
    <w:uiPriority w:val="1"/>
    <w:pPr>
      <w:widowControl w:val="0"/>
      <w:spacing w:line="360" w:lineRule="auto"/>
      <w:jc w:val="both"/>
    </w:pPr>
    <w:rPr>
      <w:rFonts w:cs="Times New Roman" w:asciiTheme="minorEastAsia" w:hAnsiTheme="minorEastAsia" w:eastAsiaTheme="minorEastAsia"/>
      <w:kern w:val="2"/>
      <w:sz w:val="21"/>
      <w:szCs w:val="22"/>
      <w:lang w:val="en-US" w:eastAsia="zh-CN" w:bidi="ar-SA"/>
    </w:rPr>
  </w:style>
  <w:style w:type="character" w:customStyle="1" w:styleId="102">
    <w:name w:val="页眉 Char1"/>
    <w:qFormat/>
    <w:uiPriority w:val="0"/>
    <w:rPr>
      <w:kern w:val="2"/>
      <w:sz w:val="18"/>
      <w:szCs w:val="18"/>
    </w:rPr>
  </w:style>
  <w:style w:type="character" w:customStyle="1" w:styleId="103">
    <w:name w:val="hover"/>
    <w:qFormat/>
    <w:uiPriority w:val="0"/>
    <w:rPr>
      <w:color w:val="4178BE"/>
    </w:rPr>
  </w:style>
  <w:style w:type="character" w:customStyle="1" w:styleId="104">
    <w:name w:val="页眉 字符1"/>
    <w:qFormat/>
    <w:uiPriority w:val="99"/>
    <w:rPr>
      <w:rFonts w:eastAsia="宋体"/>
      <w:sz w:val="18"/>
      <w:szCs w:val="18"/>
    </w:rPr>
  </w:style>
  <w:style w:type="character" w:customStyle="1" w:styleId="105">
    <w:name w:val="font111"/>
    <w:qFormat/>
    <w:uiPriority w:val="0"/>
    <w:rPr>
      <w:rFonts w:ascii="宋体" w:hAnsi="宋体" w:eastAsia="宋体" w:cs="宋体"/>
      <w:color w:val="FF0000"/>
      <w:sz w:val="18"/>
      <w:szCs w:val="18"/>
      <w:u w:val="none"/>
    </w:rPr>
  </w:style>
  <w:style w:type="character" w:customStyle="1" w:styleId="106">
    <w:name w:val="页脚 字符1"/>
    <w:qFormat/>
    <w:locked/>
    <w:uiPriority w:val="99"/>
    <w:rPr>
      <w:sz w:val="18"/>
      <w:szCs w:val="18"/>
    </w:rPr>
  </w:style>
  <w:style w:type="character" w:customStyle="1" w:styleId="107">
    <w:name w:val="font21"/>
    <w:basedOn w:val="56"/>
    <w:qFormat/>
    <w:uiPriority w:val="0"/>
    <w:rPr>
      <w:rFonts w:hint="eastAsia" w:ascii="微软雅黑" w:hAnsi="微软雅黑" w:eastAsia="微软雅黑" w:cs="微软雅黑"/>
      <w:color w:val="000000"/>
      <w:sz w:val="18"/>
      <w:szCs w:val="18"/>
      <w:u w:val="none"/>
    </w:rPr>
  </w:style>
  <w:style w:type="character" w:customStyle="1" w:styleId="108">
    <w:name w:val="样式一"/>
    <w:qFormat/>
    <w:uiPriority w:val="0"/>
    <w:rPr>
      <w:rFonts w:ascii="宋体" w:hAnsi="宋体"/>
      <w:b/>
      <w:bCs/>
      <w:color w:val="000000"/>
      <w:sz w:val="36"/>
    </w:rPr>
  </w:style>
  <w:style w:type="character" w:customStyle="1" w:styleId="109">
    <w:name w:val="optnmoresets"/>
    <w:qFormat/>
    <w:uiPriority w:val="0"/>
    <w:rPr>
      <w:color w:val="5596E6"/>
    </w:rPr>
  </w:style>
  <w:style w:type="character" w:customStyle="1" w:styleId="110">
    <w:name w:val="ca-92"/>
    <w:basedOn w:val="56"/>
    <w:qFormat/>
    <w:uiPriority w:val="0"/>
  </w:style>
  <w:style w:type="character" w:customStyle="1" w:styleId="111">
    <w:name w:val="font91"/>
    <w:qFormat/>
    <w:uiPriority w:val="0"/>
    <w:rPr>
      <w:rFonts w:ascii="宋体" w:hAnsi="宋体" w:eastAsia="宋体" w:cs="宋体"/>
      <w:color w:val="auto"/>
      <w:sz w:val="18"/>
      <w:szCs w:val="18"/>
      <w:u w:val="none"/>
    </w:rPr>
  </w:style>
  <w:style w:type="character" w:customStyle="1" w:styleId="112">
    <w:name w:val="纯文本 Char3"/>
    <w:qFormat/>
    <w:uiPriority w:val="0"/>
    <w:rPr>
      <w:rFonts w:ascii="宋体" w:hAnsi="Courier New" w:eastAsia="宋体"/>
      <w:kern w:val="2"/>
      <w:sz w:val="24"/>
      <w:szCs w:val="24"/>
      <w:lang w:val="en-US" w:eastAsia="zh-CN" w:bidi="ar-SA"/>
    </w:rPr>
  </w:style>
  <w:style w:type="character" w:customStyle="1" w:styleId="113">
    <w:name w:val="列出段落 Char1"/>
    <w:qFormat/>
    <w:uiPriority w:val="34"/>
    <w:rPr>
      <w:sz w:val="24"/>
    </w:rPr>
  </w:style>
  <w:style w:type="character" w:customStyle="1" w:styleId="114">
    <w:name w:val="标题字符1"/>
    <w:qFormat/>
    <w:uiPriority w:val="0"/>
    <w:rPr>
      <w:rFonts w:ascii="Cambria" w:hAnsi="Cambria" w:cs="Times New Roman"/>
      <w:b/>
      <w:bCs/>
      <w:snapToGrid w:val="0"/>
      <w:sz w:val="32"/>
      <w:szCs w:val="32"/>
    </w:rPr>
  </w:style>
  <w:style w:type="character" w:customStyle="1" w:styleId="115">
    <w:name w:val="sub"/>
    <w:basedOn w:val="56"/>
    <w:qFormat/>
    <w:uiPriority w:val="0"/>
  </w:style>
  <w:style w:type="character" w:customStyle="1" w:styleId="116">
    <w:name w:val="lotusbtndisabled2"/>
    <w:basedOn w:val="56"/>
    <w:qFormat/>
    <w:uiPriority w:val="0"/>
  </w:style>
  <w:style w:type="character" w:customStyle="1" w:styleId="117">
    <w:name w:val="列出段落 Char"/>
    <w:qFormat/>
    <w:uiPriority w:val="34"/>
    <w:rPr>
      <w:kern w:val="2"/>
      <w:sz w:val="21"/>
      <w:szCs w:val="22"/>
    </w:rPr>
  </w:style>
  <w:style w:type="character" w:customStyle="1" w:styleId="118">
    <w:name w:val="dijitarrowbuttoninner"/>
    <w:qFormat/>
    <w:uiPriority w:val="0"/>
    <w:rPr>
      <w:vanish/>
    </w:rPr>
  </w:style>
  <w:style w:type="character" w:customStyle="1" w:styleId="119">
    <w:name w:val="hover21"/>
    <w:qFormat/>
    <w:uiPriority w:val="0"/>
    <w:rPr>
      <w:color w:val="4178BE"/>
    </w:rPr>
  </w:style>
  <w:style w:type="character" w:customStyle="1" w:styleId="120">
    <w:name w:val="普通文字 Char Char2"/>
    <w:qFormat/>
    <w:uiPriority w:val="0"/>
    <w:rPr>
      <w:rFonts w:ascii="宋体" w:hAnsi="Courier New" w:eastAsia="宋体"/>
      <w:kern w:val="2"/>
      <w:sz w:val="24"/>
      <w:szCs w:val="24"/>
      <w:lang w:val="en-US" w:eastAsia="zh-CN" w:bidi="ar-SA"/>
    </w:rPr>
  </w:style>
  <w:style w:type="character" w:customStyle="1" w:styleId="121">
    <w:name w:val="font11"/>
    <w:qFormat/>
    <w:uiPriority w:val="0"/>
    <w:rPr>
      <w:rFonts w:hint="eastAsia" w:ascii="微软雅黑" w:hAnsi="微软雅黑" w:eastAsia="微软雅黑" w:cs="微软雅黑"/>
      <w:color w:val="FF0000"/>
      <w:sz w:val="18"/>
      <w:szCs w:val="18"/>
      <w:u w:val="none"/>
    </w:rPr>
  </w:style>
  <w:style w:type="character" w:customStyle="1" w:styleId="122">
    <w:name w:val="纯文本 Char1"/>
    <w:qFormat/>
    <w:uiPriority w:val="99"/>
    <w:rPr>
      <w:rFonts w:ascii="宋体" w:hAnsi="Courier New" w:eastAsia="宋体" w:cs="Times New Roman"/>
      <w:sz w:val="24"/>
      <w:szCs w:val="24"/>
    </w:rPr>
  </w:style>
  <w:style w:type="character" w:customStyle="1" w:styleId="123">
    <w:name w:val="lotusalttext10"/>
    <w:basedOn w:val="56"/>
    <w:qFormat/>
    <w:uiPriority w:val="0"/>
  </w:style>
  <w:style w:type="character" w:customStyle="1" w:styleId="124">
    <w:name w:val="纯文本 字符"/>
    <w:qFormat/>
    <w:uiPriority w:val="0"/>
    <w:rPr>
      <w:rFonts w:ascii="宋体" w:hAnsi="Courier New" w:eastAsia="宋体" w:cs="Courier New"/>
      <w:kern w:val="2"/>
      <w:sz w:val="21"/>
      <w:szCs w:val="24"/>
    </w:rPr>
  </w:style>
  <w:style w:type="character" w:customStyle="1" w:styleId="125">
    <w:name w:val="*正文 Char"/>
    <w:link w:val="126"/>
    <w:qFormat/>
    <w:uiPriority w:val="99"/>
    <w:rPr>
      <w:rFonts w:ascii="宋体" w:hAnsi="宋体"/>
      <w:sz w:val="24"/>
    </w:rPr>
  </w:style>
  <w:style w:type="paragraph" w:customStyle="1" w:styleId="126">
    <w:name w:val="*正文"/>
    <w:basedOn w:val="1"/>
    <w:link w:val="125"/>
    <w:qFormat/>
    <w:uiPriority w:val="99"/>
    <w:pPr>
      <w:spacing w:line="360" w:lineRule="auto"/>
      <w:ind w:firstLine="482"/>
    </w:pPr>
    <w:rPr>
      <w:rFonts w:ascii="宋体" w:hAnsi="宋体"/>
      <w:kern w:val="0"/>
      <w:sz w:val="24"/>
      <w:szCs w:val="20"/>
    </w:rPr>
  </w:style>
  <w:style w:type="character" w:customStyle="1" w:styleId="127">
    <w:name w:val="before"/>
    <w:basedOn w:val="56"/>
    <w:qFormat/>
    <w:uiPriority w:val="0"/>
  </w:style>
  <w:style w:type="character" w:customStyle="1" w:styleId="128">
    <w:name w:val="font101"/>
    <w:qFormat/>
    <w:uiPriority w:val="0"/>
    <w:rPr>
      <w:rFonts w:ascii="Times New Roman" w:hAnsi="Times New Roman" w:cs="Times New Roman"/>
      <w:color w:val="auto"/>
      <w:sz w:val="24"/>
      <w:szCs w:val="24"/>
      <w:u w:val="none"/>
    </w:rPr>
  </w:style>
  <w:style w:type="character" w:customStyle="1" w:styleId="129">
    <w:name w:val="font81"/>
    <w:qFormat/>
    <w:uiPriority w:val="0"/>
    <w:rPr>
      <w:rFonts w:ascii="Times New Roman" w:hAnsi="Times New Roman" w:cs="Times New Roman"/>
      <w:color w:val="FF0000"/>
      <w:sz w:val="18"/>
      <w:szCs w:val="18"/>
      <w:u w:val="none"/>
    </w:rPr>
  </w:style>
  <w:style w:type="character" w:customStyle="1" w:styleId="130">
    <w:name w:val="正文文本缩进字符1"/>
    <w:semiHidden/>
    <w:qFormat/>
    <w:uiPriority w:val="0"/>
    <w:rPr>
      <w:snapToGrid w:val="0"/>
      <w:sz w:val="21"/>
      <w:szCs w:val="21"/>
    </w:rPr>
  </w:style>
  <w:style w:type="character" w:customStyle="1" w:styleId="131">
    <w:name w:val="before1"/>
    <w:qFormat/>
    <w:uiPriority w:val="0"/>
    <w:rPr>
      <w:shd w:val="clear" w:color="auto" w:fill="4178BE"/>
    </w:rPr>
  </w:style>
  <w:style w:type="character" w:customStyle="1" w:styleId="132">
    <w:name w:val="font51"/>
    <w:qFormat/>
    <w:uiPriority w:val="0"/>
    <w:rPr>
      <w:rFonts w:hint="eastAsia" w:ascii="微软雅黑" w:hAnsi="微软雅黑" w:eastAsia="微软雅黑" w:cs="微软雅黑"/>
      <w:i/>
      <w:color w:val="FF0000"/>
      <w:sz w:val="18"/>
      <w:szCs w:val="18"/>
      <w:u w:val="none"/>
    </w:rPr>
  </w:style>
  <w:style w:type="character" w:customStyle="1" w:styleId="133">
    <w:name w:val="optnless"/>
    <w:qFormat/>
    <w:uiPriority w:val="0"/>
    <w:rPr>
      <w:color w:val="5596E6"/>
    </w:rPr>
  </w:style>
  <w:style w:type="character" w:customStyle="1" w:styleId="134">
    <w:name w:val="font01"/>
    <w:qFormat/>
    <w:uiPriority w:val="0"/>
    <w:rPr>
      <w:rFonts w:hint="eastAsia" w:ascii="微软雅黑" w:hAnsi="微软雅黑" w:eastAsia="微软雅黑" w:cs="微软雅黑"/>
      <w:color w:val="000000"/>
      <w:sz w:val="18"/>
      <w:szCs w:val="18"/>
      <w:u w:val="none"/>
    </w:rPr>
  </w:style>
  <w:style w:type="character" w:customStyle="1" w:styleId="135">
    <w:name w:val="列表段落 字符"/>
    <w:link w:val="136"/>
    <w:qFormat/>
    <w:uiPriority w:val="34"/>
    <w:rPr>
      <w:kern w:val="2"/>
      <w:sz w:val="21"/>
      <w:szCs w:val="22"/>
    </w:rPr>
  </w:style>
  <w:style w:type="paragraph" w:styleId="136">
    <w:name w:val="List Paragraph"/>
    <w:basedOn w:val="1"/>
    <w:link w:val="135"/>
    <w:qFormat/>
    <w:uiPriority w:val="34"/>
    <w:pPr>
      <w:ind w:firstLine="420" w:firstLineChars="200"/>
    </w:pPr>
    <w:rPr>
      <w:szCs w:val="22"/>
    </w:rPr>
  </w:style>
  <w:style w:type="character" w:customStyle="1" w:styleId="137">
    <w:name w:val="bookmark-item"/>
    <w:basedOn w:val="56"/>
    <w:qFormat/>
    <w:uiPriority w:val="0"/>
  </w:style>
  <w:style w:type="character" w:customStyle="1" w:styleId="138">
    <w:name w:val="lotusalttext"/>
    <w:basedOn w:val="56"/>
    <w:qFormat/>
    <w:uiPriority w:val="0"/>
  </w:style>
  <w:style w:type="character" w:customStyle="1" w:styleId="139">
    <w:name w:val="optnmore"/>
    <w:qFormat/>
    <w:uiPriority w:val="0"/>
    <w:rPr>
      <w:color w:val="5596E6"/>
    </w:rPr>
  </w:style>
  <w:style w:type="character" w:customStyle="1" w:styleId="140">
    <w:name w:val="纯文本字符1"/>
    <w:semiHidden/>
    <w:qFormat/>
    <w:uiPriority w:val="0"/>
    <w:rPr>
      <w:rFonts w:ascii="宋体" w:hAnsi="Courier"/>
      <w:snapToGrid w:val="0"/>
      <w:sz w:val="24"/>
      <w:szCs w:val="24"/>
    </w:rPr>
  </w:style>
  <w:style w:type="character" w:customStyle="1" w:styleId="141">
    <w:name w:val="GW-正文 Char"/>
    <w:link w:val="142"/>
    <w:qFormat/>
    <w:uiPriority w:val="0"/>
    <w:rPr>
      <w:rFonts w:eastAsia="仿宋_GB2312"/>
      <w:sz w:val="24"/>
      <w:szCs w:val="24"/>
      <w:lang w:val="en-US" w:eastAsia="zh-CN" w:bidi="ar-SA"/>
    </w:rPr>
  </w:style>
  <w:style w:type="paragraph" w:customStyle="1" w:styleId="142">
    <w:name w:val="GW-正文"/>
    <w:link w:val="141"/>
    <w:qFormat/>
    <w:uiPriority w:val="0"/>
    <w:pPr>
      <w:spacing w:line="300" w:lineRule="auto"/>
      <w:ind w:firstLine="200" w:firstLineChars="200"/>
    </w:pPr>
    <w:rPr>
      <w:rFonts w:ascii="Times New Roman" w:hAnsi="Times New Roman" w:eastAsia="仿宋_GB2312" w:cs="Times New Roman"/>
      <w:sz w:val="24"/>
      <w:szCs w:val="24"/>
      <w:lang w:val="en-US" w:eastAsia="zh-CN" w:bidi="ar-SA"/>
    </w:rPr>
  </w:style>
  <w:style w:type="character" w:customStyle="1" w:styleId="143">
    <w:name w:val="optnsets"/>
    <w:qFormat/>
    <w:uiPriority w:val="0"/>
    <w:rPr>
      <w:color w:val="5596E6"/>
    </w:rPr>
  </w:style>
  <w:style w:type="character" w:customStyle="1" w:styleId="144">
    <w:name w:val="批注文字 Char"/>
    <w:qFormat/>
    <w:uiPriority w:val="99"/>
    <w:rPr>
      <w:kern w:val="2"/>
      <w:sz w:val="21"/>
      <w:szCs w:val="24"/>
    </w:rPr>
  </w:style>
  <w:style w:type="character" w:customStyle="1" w:styleId="145">
    <w:name w:val="标题 Char3"/>
    <w:qFormat/>
    <w:uiPriority w:val="0"/>
    <w:rPr>
      <w:rFonts w:ascii="Calibri Light" w:hAnsi="Calibri Light"/>
      <w:b/>
      <w:bCs/>
      <w:kern w:val="2"/>
      <w:sz w:val="32"/>
      <w:szCs w:val="32"/>
    </w:rPr>
  </w:style>
  <w:style w:type="character" w:customStyle="1" w:styleId="146">
    <w:name w:val="样式二"/>
    <w:basedOn w:val="108"/>
    <w:qFormat/>
    <w:uiPriority w:val="0"/>
    <w:rPr>
      <w:rFonts w:ascii="宋体" w:hAnsi="宋体"/>
      <w:color w:val="000000"/>
      <w:sz w:val="36"/>
    </w:rPr>
  </w:style>
  <w:style w:type="character" w:customStyle="1" w:styleId="147">
    <w:name w:val="after1"/>
    <w:basedOn w:val="56"/>
    <w:qFormat/>
    <w:uiPriority w:val="0"/>
  </w:style>
  <w:style w:type="character" w:customStyle="1" w:styleId="148">
    <w:name w:val="after"/>
    <w:qFormat/>
    <w:uiPriority w:val="0"/>
    <w:rPr>
      <w:shd w:val="clear" w:color="auto" w:fill="008571"/>
    </w:rPr>
  </w:style>
  <w:style w:type="paragraph" w:customStyle="1" w:styleId="149">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50">
    <w:name w:val="表头文本"/>
    <w:qFormat/>
    <w:uiPriority w:val="0"/>
    <w:pPr>
      <w:jc w:val="center"/>
    </w:pPr>
    <w:rPr>
      <w:rFonts w:ascii="Arial" w:hAnsi="Arial" w:eastAsia="宋体" w:cs="Times New Roman"/>
      <w:b/>
      <w:sz w:val="21"/>
      <w:szCs w:val="21"/>
      <w:lang w:val="en-US" w:eastAsia="zh-CN" w:bidi="ar-SA"/>
    </w:rPr>
  </w:style>
  <w:style w:type="paragraph" w:customStyle="1" w:styleId="151">
    <w:name w:val="节"/>
    <w:basedOn w:val="2"/>
    <w:qFormat/>
    <w:uiPriority w:val="99"/>
    <w:pPr>
      <w:keepLines/>
      <w:tabs>
        <w:tab w:val="left" w:pos="432"/>
        <w:tab w:val="left" w:pos="576"/>
      </w:tabs>
      <w:adjustRightInd/>
      <w:snapToGrid/>
      <w:spacing w:beforeLines="100" w:afterLines="100" w:line="240" w:lineRule="auto"/>
      <w:ind w:left="576" w:hanging="576"/>
      <w:jc w:val="both"/>
      <w:textAlignment w:val="auto"/>
    </w:pPr>
    <w:rPr>
      <w:rFonts w:ascii="黑体" w:hAnsi="Arial" w:eastAsia="黑体"/>
      <w:kern w:val="2"/>
      <w:sz w:val="28"/>
      <w:szCs w:val="28"/>
      <w:lang w:val="zh-CN"/>
    </w:rPr>
  </w:style>
  <w:style w:type="paragraph" w:customStyle="1" w:styleId="152">
    <w:name w:val="正文段"/>
    <w:basedOn w:val="1"/>
    <w:qFormat/>
    <w:uiPriority w:val="0"/>
    <w:pPr>
      <w:widowControl/>
      <w:snapToGrid w:val="0"/>
      <w:spacing w:afterLines="50"/>
      <w:ind w:firstLine="200" w:firstLineChars="200"/>
    </w:pPr>
    <w:rPr>
      <w:kern w:val="0"/>
      <w:sz w:val="24"/>
      <w:szCs w:val="20"/>
    </w:rPr>
  </w:style>
  <w:style w:type="paragraph" w:customStyle="1" w:styleId="153">
    <w:name w:val="--规划正文"/>
    <w:basedOn w:val="1"/>
    <w:qFormat/>
    <w:uiPriority w:val="0"/>
    <w:pPr>
      <w:widowControl/>
      <w:suppressAutoHyphens/>
      <w:spacing w:line="360" w:lineRule="auto"/>
      <w:ind w:firstLine="200"/>
      <w:jc w:val="left"/>
    </w:pPr>
    <w:rPr>
      <w:kern w:val="1"/>
      <w:szCs w:val="20"/>
      <w:lang w:eastAsia="ar-SA"/>
    </w:rPr>
  </w:style>
  <w:style w:type="paragraph" w:customStyle="1" w:styleId="154">
    <w:name w:val="Char Char Char Char Char Char Char"/>
    <w:basedOn w:val="1"/>
    <w:qFormat/>
    <w:uiPriority w:val="0"/>
    <w:rPr>
      <w:szCs w:val="21"/>
    </w:rPr>
  </w:style>
  <w:style w:type="paragraph" w:customStyle="1" w:styleId="155">
    <w:name w:val="_Style 2"/>
    <w:basedOn w:val="1"/>
    <w:qFormat/>
    <w:uiPriority w:val="0"/>
    <w:pPr>
      <w:adjustRightInd w:val="0"/>
      <w:snapToGrid w:val="0"/>
      <w:spacing w:line="360" w:lineRule="auto"/>
      <w:ind w:firstLine="200" w:firstLineChars="200"/>
      <w:jc w:val="center"/>
    </w:pPr>
    <w:rPr>
      <w:rFonts w:ascii="Calibri" w:hAnsi="Calibri" w:eastAsia="微软雅黑"/>
      <w:sz w:val="30"/>
    </w:rPr>
  </w:style>
  <w:style w:type="paragraph" w:customStyle="1" w:styleId="156">
    <w:name w:val="【正文】"/>
    <w:basedOn w:val="1"/>
    <w:qFormat/>
    <w:uiPriority w:val="0"/>
    <w:pPr>
      <w:spacing w:beforeAutospacing="1" w:afterAutospacing="1" w:line="360" w:lineRule="auto"/>
      <w:ind w:firstLine="200" w:firstLineChars="200"/>
      <w:contextualSpacing/>
    </w:pPr>
    <w:rPr>
      <w:rFonts w:ascii="Calibri" w:hAnsi="Calibri" w:cs="黑体"/>
      <w:sz w:val="24"/>
      <w:szCs w:val="22"/>
    </w:rPr>
  </w:style>
  <w:style w:type="paragraph" w:customStyle="1" w:styleId="157">
    <w:name w:val="样式 正文1 + 段前: 0.1 行"/>
    <w:basedOn w:val="1"/>
    <w:qFormat/>
    <w:uiPriority w:val="0"/>
    <w:pPr>
      <w:snapToGrid w:val="0"/>
      <w:spacing w:beforeLines="10" w:line="440" w:lineRule="atLeast"/>
      <w:ind w:firstLine="510"/>
    </w:pPr>
    <w:rPr>
      <w:sz w:val="24"/>
    </w:rPr>
  </w:style>
  <w:style w:type="paragraph" w:customStyle="1" w:styleId="158">
    <w:name w:val="图样式"/>
    <w:basedOn w:val="1"/>
    <w:qFormat/>
    <w:uiPriority w:val="0"/>
    <w:pPr>
      <w:keepNext/>
      <w:widowControl/>
      <w:autoSpaceDE w:val="0"/>
      <w:autoSpaceDN w:val="0"/>
      <w:adjustRightInd w:val="0"/>
      <w:spacing w:before="80" w:after="80" w:line="360" w:lineRule="auto"/>
      <w:jc w:val="center"/>
    </w:pPr>
    <w:rPr>
      <w:snapToGrid w:val="0"/>
      <w:kern w:val="0"/>
      <w:sz w:val="24"/>
      <w:szCs w:val="21"/>
    </w:rPr>
  </w:style>
  <w:style w:type="paragraph" w:customStyle="1" w:styleId="159">
    <w:name w:val="正文2"/>
    <w:basedOn w:val="1"/>
    <w:qFormat/>
    <w:uiPriority w:val="0"/>
    <w:pPr>
      <w:spacing w:before="156" w:line="360" w:lineRule="auto"/>
      <w:ind w:firstLine="510" w:firstLineChars="200"/>
    </w:pPr>
    <w:rPr>
      <w:sz w:val="24"/>
      <w:szCs w:val="20"/>
    </w:rPr>
  </w:style>
  <w:style w:type="paragraph" w:customStyle="1" w:styleId="160">
    <w:name w:val="列出段落1"/>
    <w:basedOn w:val="1"/>
    <w:qFormat/>
    <w:uiPriority w:val="0"/>
    <w:pPr>
      <w:ind w:firstLine="420" w:firstLineChars="200"/>
    </w:pPr>
    <w:rPr>
      <w:szCs w:val="21"/>
    </w:rPr>
  </w:style>
  <w:style w:type="paragraph" w:customStyle="1" w:styleId="161">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62">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63">
    <w:name w:val="Char Char Char Char Char Char Char Char Char Char Char Char Char"/>
    <w:basedOn w:val="1"/>
    <w:qFormat/>
    <w:uiPriority w:val="0"/>
    <w:pPr>
      <w:tabs>
        <w:tab w:val="left" w:pos="432"/>
      </w:tabs>
      <w:ind w:left="432" w:hanging="432"/>
    </w:pPr>
    <w:rPr>
      <w:rFonts w:ascii="Tahoma" w:hAnsi="Tahoma"/>
      <w:sz w:val="24"/>
      <w:szCs w:val="20"/>
    </w:rPr>
  </w:style>
  <w:style w:type="paragraph" w:customStyle="1" w:styleId="164">
    <w:name w:val="6级标题"/>
    <w:basedOn w:val="1"/>
    <w:qFormat/>
    <w:uiPriority w:val="0"/>
    <w:pPr>
      <w:keepNext/>
      <w:spacing w:line="360" w:lineRule="auto"/>
      <w:ind w:left="1151" w:hanging="431"/>
      <w:jc w:val="center"/>
      <w:outlineLvl w:val="5"/>
    </w:pPr>
    <w:rPr>
      <w:rFonts w:ascii="黑体" w:hAnsi="宋体" w:eastAsia="微软雅黑"/>
      <w:b/>
      <w:bCs/>
      <w:sz w:val="24"/>
      <w:szCs w:val="52"/>
    </w:rPr>
  </w:style>
  <w:style w:type="paragraph" w:customStyle="1" w:styleId="165">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66">
    <w:name w:val="_Style 58"/>
    <w:basedOn w:val="1"/>
    <w:next w:val="136"/>
    <w:qFormat/>
    <w:uiPriority w:val="0"/>
    <w:pPr>
      <w:ind w:firstLine="420" w:firstLineChars="200"/>
    </w:pPr>
    <w:rPr>
      <w:rFonts w:ascii="Calibri" w:hAnsi="Calibri"/>
      <w:szCs w:val="22"/>
    </w:rPr>
  </w:style>
  <w:style w:type="paragraph" w:customStyle="1" w:styleId="167">
    <w:name w:val="Body text|1"/>
    <w:basedOn w:val="1"/>
    <w:qFormat/>
    <w:uiPriority w:val="0"/>
    <w:pPr>
      <w:autoSpaceDE w:val="0"/>
      <w:autoSpaceDN w:val="0"/>
      <w:adjustRightInd w:val="0"/>
      <w:spacing w:after="200" w:line="314" w:lineRule="auto"/>
      <w:jc w:val="left"/>
    </w:pPr>
    <w:rPr>
      <w:rFonts w:ascii="MingLiU" w:hAnsi="MingLiU" w:eastAsia="MingLiU" w:cs="MingLiU"/>
      <w:snapToGrid w:val="0"/>
      <w:color w:val="000963"/>
      <w:kern w:val="0"/>
      <w:sz w:val="19"/>
      <w:szCs w:val="19"/>
      <w:lang w:val="zh-TW" w:eastAsia="zh-TW" w:bidi="zh-TW"/>
    </w:rPr>
  </w:style>
  <w:style w:type="paragraph" w:customStyle="1" w:styleId="168">
    <w:name w:val="纯文本1"/>
    <w:basedOn w:val="1"/>
    <w:qFormat/>
    <w:uiPriority w:val="0"/>
    <w:pPr>
      <w:adjustRightInd w:val="0"/>
      <w:textAlignment w:val="baseline"/>
    </w:pPr>
    <w:rPr>
      <w:rFonts w:ascii="宋体" w:hAnsi="Courier New" w:eastAsia="楷体_GB2312"/>
      <w:sz w:val="26"/>
      <w:szCs w:val="20"/>
    </w:rPr>
  </w:style>
  <w:style w:type="paragraph" w:customStyle="1" w:styleId="169">
    <w:name w:val="编写建议"/>
    <w:basedOn w:val="1"/>
    <w:qFormat/>
    <w:uiPriority w:val="0"/>
    <w:pPr>
      <w:autoSpaceDE w:val="0"/>
      <w:autoSpaceDN w:val="0"/>
      <w:adjustRightInd w:val="0"/>
      <w:spacing w:line="360" w:lineRule="auto"/>
      <w:ind w:firstLine="420"/>
      <w:jc w:val="left"/>
    </w:pPr>
    <w:rPr>
      <w:rFonts w:ascii="Arial" w:hAnsi="Arial" w:cs="Arial"/>
      <w:i/>
      <w:snapToGrid w:val="0"/>
      <w:color w:val="0000FF"/>
      <w:kern w:val="0"/>
      <w:sz w:val="24"/>
      <w:szCs w:val="21"/>
    </w:rPr>
  </w:style>
  <w:style w:type="paragraph" w:customStyle="1" w:styleId="170">
    <w:name w:val="CM11"/>
    <w:basedOn w:val="65"/>
    <w:next w:val="65"/>
    <w:unhideWhenUsed/>
    <w:qFormat/>
    <w:uiPriority w:val="99"/>
    <w:pPr>
      <w:spacing w:line="520" w:lineRule="atLeast"/>
    </w:pPr>
  </w:style>
  <w:style w:type="paragraph" w:customStyle="1" w:styleId="171">
    <w:name w:val="正文11"/>
    <w:basedOn w:val="1"/>
    <w:next w:val="1"/>
    <w:qFormat/>
    <w:uiPriority w:val="0"/>
    <w:pPr>
      <w:spacing w:before="120" w:line="360" w:lineRule="auto"/>
      <w:ind w:left="420" w:firstLine="527"/>
    </w:pPr>
    <w:rPr>
      <w:rFonts w:ascii="宋体" w:hAnsi="宋体"/>
    </w:rPr>
  </w:style>
  <w:style w:type="paragraph" w:customStyle="1" w:styleId="172">
    <w:name w:val="_Style 54"/>
    <w:basedOn w:val="1"/>
    <w:qFormat/>
    <w:uiPriority w:val="0"/>
    <w:pPr>
      <w:adjustRightInd w:val="0"/>
      <w:snapToGrid w:val="0"/>
      <w:spacing w:line="360" w:lineRule="auto"/>
      <w:ind w:firstLine="420" w:firstLineChars="200"/>
    </w:pPr>
    <w:rPr>
      <w:rFonts w:ascii="Calibri" w:hAnsi="Calibri"/>
      <w:sz w:val="24"/>
    </w:rPr>
  </w:style>
  <w:style w:type="paragraph" w:customStyle="1" w:styleId="173">
    <w:name w:val="注示头"/>
    <w:basedOn w:val="1"/>
    <w:qFormat/>
    <w:uiPriority w:val="0"/>
    <w:pPr>
      <w:pBdr>
        <w:top w:val="single" w:color="000000" w:sz="4" w:space="1"/>
      </w:pBdr>
      <w:autoSpaceDE w:val="0"/>
      <w:autoSpaceDN w:val="0"/>
      <w:adjustRightInd w:val="0"/>
      <w:spacing w:line="360" w:lineRule="auto"/>
    </w:pPr>
    <w:rPr>
      <w:rFonts w:ascii="Arial" w:hAnsi="Arial" w:eastAsia="黑体"/>
      <w:snapToGrid w:val="0"/>
      <w:kern w:val="0"/>
      <w:sz w:val="18"/>
      <w:szCs w:val="21"/>
    </w:rPr>
  </w:style>
  <w:style w:type="paragraph" w:customStyle="1" w:styleId="174">
    <w:name w:val="5级标题"/>
    <w:basedOn w:val="1"/>
    <w:qFormat/>
    <w:uiPriority w:val="0"/>
    <w:pPr>
      <w:keepNext/>
      <w:ind w:left="148" w:leftChars="-52" w:right="-7" w:rightChars="-7" w:hanging="200" w:hangingChars="200"/>
      <w:jc w:val="left"/>
      <w:outlineLvl w:val="4"/>
    </w:pPr>
    <w:rPr>
      <w:rFonts w:ascii="宋体" w:hAnsi="宋体"/>
      <w:bCs/>
      <w:sz w:val="24"/>
      <w:szCs w:val="30"/>
    </w:rPr>
  </w:style>
  <w:style w:type="paragraph" w:customStyle="1" w:styleId="175">
    <w:name w:val="表内文字"/>
    <w:basedOn w:val="1"/>
    <w:qFormat/>
    <w:uiPriority w:val="0"/>
    <w:pPr>
      <w:jc w:val="center"/>
    </w:pPr>
    <w:rPr>
      <w:rFonts w:ascii="仿宋_GB2312" w:eastAsia="仿宋_GB2312"/>
      <w:sz w:val="24"/>
    </w:rPr>
  </w:style>
  <w:style w:type="paragraph" w:customStyle="1" w:styleId="176">
    <w:name w:val="Char Char9 Char Char"/>
    <w:basedOn w:val="1"/>
    <w:qFormat/>
    <w:uiPriority w:val="0"/>
    <w:pPr>
      <w:tabs>
        <w:tab w:val="left" w:pos="360"/>
      </w:tabs>
    </w:pPr>
  </w:style>
  <w:style w:type="paragraph" w:customStyle="1" w:styleId="177">
    <w:name w:val="纯文本11"/>
    <w:basedOn w:val="1"/>
    <w:qFormat/>
    <w:uiPriority w:val="0"/>
    <w:pPr>
      <w:adjustRightInd w:val="0"/>
      <w:textAlignment w:val="baseline"/>
    </w:pPr>
    <w:rPr>
      <w:rFonts w:ascii="宋体" w:hAnsi="Courier New" w:eastAsia="楷体_GB2312"/>
      <w:sz w:val="26"/>
      <w:szCs w:val="20"/>
    </w:rPr>
  </w:style>
  <w:style w:type="paragraph" w:customStyle="1" w:styleId="178">
    <w:name w:val="正文（首行不缩进）"/>
    <w:basedOn w:val="1"/>
    <w:qFormat/>
    <w:uiPriority w:val="0"/>
    <w:pPr>
      <w:autoSpaceDE w:val="0"/>
      <w:autoSpaceDN w:val="0"/>
      <w:adjustRightInd w:val="0"/>
      <w:spacing w:line="360" w:lineRule="auto"/>
      <w:jc w:val="left"/>
    </w:pPr>
    <w:rPr>
      <w:snapToGrid w:val="0"/>
      <w:kern w:val="0"/>
      <w:sz w:val="24"/>
      <w:szCs w:val="21"/>
    </w:rPr>
  </w:style>
  <w:style w:type="paragraph" w:customStyle="1" w:styleId="179">
    <w:name w:val="封面标题"/>
    <w:qFormat/>
    <w:uiPriority w:val="0"/>
    <w:pPr>
      <w:spacing w:beforeLines="500" w:afterLines="300"/>
      <w:jc w:val="center"/>
    </w:pPr>
    <w:rPr>
      <w:rFonts w:ascii="Times New Roman" w:hAnsi="Times New Roman" w:eastAsia="黑体" w:cs="Times New Roman"/>
      <w:b/>
      <w:kern w:val="2"/>
      <w:sz w:val="52"/>
      <w:szCs w:val="22"/>
      <w:lang w:val="en-US" w:eastAsia="zh-CN" w:bidi="ar-SA"/>
    </w:rPr>
  </w:style>
  <w:style w:type="paragraph" w:customStyle="1" w:styleId="180">
    <w:name w:val="列出段落11"/>
    <w:basedOn w:val="1"/>
    <w:qFormat/>
    <w:uiPriority w:val="0"/>
    <w:pPr>
      <w:ind w:firstLine="420" w:firstLineChars="200"/>
    </w:pPr>
    <w:rPr>
      <w:rFonts w:ascii="Calibri" w:hAnsi="Calibri"/>
      <w:szCs w:val="20"/>
    </w:rPr>
  </w:style>
  <w:style w:type="paragraph" w:customStyle="1" w:styleId="181">
    <w:name w:val="FBY-表格文字"/>
    <w:basedOn w:val="1"/>
    <w:qFormat/>
    <w:uiPriority w:val="99"/>
    <w:pPr>
      <w:adjustRightInd w:val="0"/>
      <w:jc w:val="left"/>
      <w:textAlignment w:val="top"/>
    </w:pPr>
    <w:rPr>
      <w:szCs w:val="20"/>
    </w:rPr>
  </w:style>
  <w:style w:type="paragraph" w:customStyle="1" w:styleId="182">
    <w:name w:val="默认段落字体 Para Char Char Char Char Char Char Char Char Char1 Char Char Char Char"/>
    <w:basedOn w:val="1"/>
    <w:qFormat/>
    <w:uiPriority w:val="0"/>
    <w:rPr>
      <w:rFonts w:ascii="Tahoma" w:hAnsi="Tahoma"/>
      <w:sz w:val="24"/>
      <w:szCs w:val="20"/>
    </w:rPr>
  </w:style>
  <w:style w:type="paragraph" w:customStyle="1" w:styleId="183">
    <w:name w:val="文档标题"/>
    <w:basedOn w:val="1"/>
    <w:qFormat/>
    <w:uiPriority w:val="0"/>
    <w:pPr>
      <w:tabs>
        <w:tab w:val="left" w:pos="0"/>
      </w:tabs>
      <w:autoSpaceDE w:val="0"/>
      <w:autoSpaceDN w:val="0"/>
      <w:adjustRightInd w:val="0"/>
      <w:spacing w:before="300" w:after="300" w:line="360" w:lineRule="auto"/>
      <w:jc w:val="center"/>
    </w:pPr>
    <w:rPr>
      <w:rFonts w:ascii="Arial" w:hAnsi="Arial" w:eastAsia="黑体"/>
      <w:snapToGrid w:val="0"/>
      <w:kern w:val="0"/>
      <w:sz w:val="36"/>
      <w:szCs w:val="36"/>
    </w:rPr>
  </w:style>
  <w:style w:type="paragraph" w:customStyle="1" w:styleId="184">
    <w:name w:val="1 Char Char Char Char"/>
    <w:basedOn w:val="1"/>
    <w:qFormat/>
    <w:uiPriority w:val="0"/>
    <w:rPr>
      <w:rFonts w:ascii="Tahoma" w:hAnsi="Tahoma"/>
      <w:sz w:val="24"/>
      <w:szCs w:val="20"/>
    </w:rPr>
  </w:style>
  <w:style w:type="paragraph" w:customStyle="1" w:styleId="185">
    <w:name w:val="默认段落字体 Para Char Char Char Char"/>
    <w:basedOn w:val="1"/>
    <w:qFormat/>
    <w:uiPriority w:val="0"/>
    <w:rPr>
      <w:rFonts w:ascii="Arial" w:hAnsi="Arial" w:cs="Arial"/>
      <w:szCs w:val="21"/>
    </w:rPr>
  </w:style>
  <w:style w:type="paragraph" w:customStyle="1" w:styleId="186">
    <w:name w:val="注示文本"/>
    <w:basedOn w:val="1"/>
    <w:qFormat/>
    <w:uiPriority w:val="0"/>
    <w:pPr>
      <w:pBdr>
        <w:bottom w:val="single" w:color="000000" w:sz="4" w:space="1"/>
      </w:pBdr>
      <w:autoSpaceDE w:val="0"/>
      <w:autoSpaceDN w:val="0"/>
      <w:adjustRightInd w:val="0"/>
      <w:spacing w:line="360" w:lineRule="auto"/>
      <w:ind w:firstLine="360"/>
    </w:pPr>
    <w:rPr>
      <w:rFonts w:ascii="Arial" w:hAnsi="Arial" w:eastAsia="楷体_GB2312"/>
      <w:snapToGrid w:val="0"/>
      <w:kern w:val="0"/>
      <w:sz w:val="18"/>
      <w:szCs w:val="18"/>
    </w:rPr>
  </w:style>
  <w:style w:type="paragraph" w:customStyle="1" w:styleId="187">
    <w:name w:val="插图题注"/>
    <w:next w:val="1"/>
    <w:qFormat/>
    <w:uiPriority w:val="0"/>
    <w:pPr>
      <w:spacing w:afterLines="100"/>
      <w:ind w:left="1089" w:hanging="369"/>
      <w:jc w:val="center"/>
    </w:pPr>
    <w:rPr>
      <w:rFonts w:ascii="Arial" w:hAnsi="Arial" w:eastAsia="宋体" w:cs="Times New Roman"/>
      <w:sz w:val="18"/>
      <w:szCs w:val="18"/>
      <w:lang w:val="en-US" w:eastAsia="zh-CN" w:bidi="ar-SA"/>
    </w:rPr>
  </w:style>
  <w:style w:type="paragraph" w:customStyle="1" w:styleId="188">
    <w:name w:val="TOC 标题11"/>
    <w:basedOn w:val="3"/>
    <w:next w:val="1"/>
    <w:unhideWhenUsed/>
    <w:qFormat/>
    <w:uiPriority w:val="39"/>
    <w:pPr>
      <w:widowControl/>
      <w:spacing w:beforeLines="100" w:afterLines="100" w:line="259" w:lineRule="auto"/>
      <w:jc w:val="left"/>
      <w:outlineLvl w:val="9"/>
    </w:pPr>
    <w:rPr>
      <w:rFonts w:ascii="Cambria" w:hAnsi="Cambria"/>
      <w:b w:val="0"/>
      <w:bCs w:val="0"/>
      <w:color w:val="365F91"/>
      <w:kern w:val="0"/>
      <w:sz w:val="32"/>
      <w:szCs w:val="32"/>
    </w:rPr>
  </w:style>
  <w:style w:type="paragraph" w:customStyle="1" w:styleId="189">
    <w:name w:val="表格题注"/>
    <w:next w:val="1"/>
    <w:qFormat/>
    <w:uiPriority w:val="0"/>
    <w:pPr>
      <w:keepLines/>
      <w:spacing w:beforeLines="100"/>
      <w:ind w:left="1089" w:hanging="369"/>
      <w:jc w:val="center"/>
    </w:pPr>
    <w:rPr>
      <w:rFonts w:ascii="Arial" w:hAnsi="Arial" w:eastAsia="宋体" w:cs="Times New Roman"/>
      <w:sz w:val="18"/>
      <w:szCs w:val="18"/>
      <w:lang w:val="en-US" w:eastAsia="zh-CN" w:bidi="ar-SA"/>
    </w:rPr>
  </w:style>
  <w:style w:type="table" w:customStyle="1" w:styleId="190">
    <w:name w:val="表样式"/>
    <w:basedOn w:val="53"/>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table" w:customStyle="1" w:styleId="191">
    <w:name w:val="浅色列表1"/>
    <w:basedOn w:val="53"/>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192">
    <w:name w:val="Table Normal"/>
    <w:qFormat/>
    <w:uiPriority w:val="0"/>
    <w:tblPr>
      <w:tblCellMar>
        <w:top w:w="0" w:type="dxa"/>
        <w:left w:w="0" w:type="dxa"/>
        <w:bottom w:w="0" w:type="dxa"/>
        <w:right w:w="0" w:type="dxa"/>
      </w:tblCellMar>
    </w:tblPr>
  </w:style>
  <w:style w:type="paragraph" w:customStyle="1" w:styleId="193">
    <w:name w:val="122222222"/>
    <w:basedOn w:val="14"/>
    <w:qFormat/>
    <w:uiPriority w:val="0"/>
    <w:pPr>
      <w:autoSpaceDE w:val="0"/>
      <w:autoSpaceDN w:val="0"/>
      <w:adjustRightInd w:val="0"/>
      <w:spacing w:line="360" w:lineRule="auto"/>
      <w:ind w:firstLine="552" w:firstLineChars="197"/>
      <w:textAlignment w:val="baseline"/>
    </w:pPr>
    <w:rPr>
      <w:rFonts w:ascii="Calibri" w:hAnsi="Calibri"/>
      <w:color w:val="000000"/>
    </w:rPr>
  </w:style>
  <w:style w:type="character" w:customStyle="1" w:styleId="194">
    <w:name w:val="无间隔 字符"/>
    <w:link w:val="195"/>
    <w:qFormat/>
    <w:uiPriority w:val="1"/>
    <w:rPr>
      <w:kern w:val="2"/>
      <w:sz w:val="21"/>
      <w:szCs w:val="22"/>
    </w:rPr>
  </w:style>
  <w:style w:type="paragraph" w:styleId="195">
    <w:name w:val="No Spacing"/>
    <w:link w:val="194"/>
    <w:qFormat/>
    <w:uiPriority w:val="1"/>
    <w:pPr>
      <w:widowControl w:val="0"/>
    </w:pPr>
    <w:rPr>
      <w:rFonts w:ascii="Times New Roman" w:hAnsi="Times New Roman" w:eastAsia="宋体" w:cs="Times New Roman"/>
      <w:kern w:val="2"/>
      <w:sz w:val="21"/>
      <w:szCs w:val="22"/>
      <w:lang w:val="en-US" w:eastAsia="zh-CN" w:bidi="ar-SA"/>
    </w:rPr>
  </w:style>
  <w:style w:type="character" w:customStyle="1" w:styleId="196">
    <w:name w:val="表格文字 Char"/>
    <w:link w:val="67"/>
    <w:qFormat/>
    <w:uiPriority w:val="0"/>
    <w:rPr>
      <w:kern w:val="2"/>
      <w:sz w:val="18"/>
      <w:szCs w:val="24"/>
    </w:rPr>
  </w:style>
  <w:style w:type="paragraph" w:customStyle="1" w:styleId="197">
    <w:name w:val="样式1"/>
    <w:basedOn w:val="3"/>
    <w:next w:val="1"/>
    <w:link w:val="198"/>
    <w:qFormat/>
    <w:uiPriority w:val="0"/>
    <w:pPr>
      <w:spacing w:line="240" w:lineRule="auto"/>
    </w:pPr>
    <w:rPr>
      <w:rFonts w:ascii="宋体" w:hAnsi="宋体" w:cstheme="minorBidi"/>
      <w:sz w:val="24"/>
    </w:rPr>
  </w:style>
  <w:style w:type="character" w:customStyle="1" w:styleId="198">
    <w:name w:val="样式1 字符"/>
    <w:basedOn w:val="71"/>
    <w:link w:val="197"/>
    <w:qFormat/>
    <w:uiPriority w:val="0"/>
    <w:rPr>
      <w:rFonts w:ascii="宋体" w:hAnsi="宋体" w:cstheme="minorBidi"/>
      <w:kern w:val="44"/>
      <w:sz w:val="24"/>
      <w:szCs w:val="44"/>
    </w:rPr>
  </w:style>
  <w:style w:type="paragraph" w:customStyle="1" w:styleId="199">
    <w:name w:val="样式2"/>
    <w:basedOn w:val="2"/>
    <w:next w:val="1"/>
    <w:link w:val="200"/>
    <w:qFormat/>
    <w:uiPriority w:val="0"/>
    <w:pPr>
      <w:keepLines/>
      <w:adjustRightInd/>
      <w:snapToGrid/>
      <w:spacing w:before="260" w:after="260" w:line="240" w:lineRule="auto"/>
      <w:jc w:val="both"/>
      <w:textAlignment w:val="auto"/>
    </w:pPr>
    <w:rPr>
      <w:rFonts w:eastAsia="宋体" w:asciiTheme="majorHAnsi" w:hAnsiTheme="majorHAnsi" w:cstheme="majorBidi"/>
      <w:kern w:val="2"/>
      <w:sz w:val="24"/>
      <w:szCs w:val="32"/>
    </w:rPr>
  </w:style>
  <w:style w:type="character" w:customStyle="1" w:styleId="200">
    <w:name w:val="样式2 字符"/>
    <w:basedOn w:val="70"/>
    <w:link w:val="199"/>
    <w:qFormat/>
    <w:uiPriority w:val="0"/>
    <w:rPr>
      <w:rFonts w:eastAsia="仿宋_GB2312" w:asciiTheme="majorHAnsi" w:hAnsiTheme="majorHAnsi" w:cstheme="majorBidi"/>
      <w:bCs/>
      <w:kern w:val="2"/>
      <w:sz w:val="24"/>
      <w:szCs w:val="32"/>
    </w:rPr>
  </w:style>
  <w:style w:type="paragraph" w:customStyle="1" w:styleId="201">
    <w:name w:val="样式3"/>
    <w:basedOn w:val="4"/>
    <w:next w:val="1"/>
    <w:link w:val="202"/>
    <w:qFormat/>
    <w:uiPriority w:val="0"/>
    <w:pPr>
      <w:spacing w:line="240" w:lineRule="auto"/>
      <w:ind w:firstLine="0" w:firstLineChars="0"/>
    </w:pPr>
    <w:rPr>
      <w:rFonts w:ascii="宋体" w:hAnsi="宋体" w:eastAsia="宋体" w:cstheme="minorBidi"/>
      <w:sz w:val="24"/>
      <w:szCs w:val="32"/>
    </w:rPr>
  </w:style>
  <w:style w:type="character" w:customStyle="1" w:styleId="202">
    <w:name w:val="样式3 字符"/>
    <w:basedOn w:val="73"/>
    <w:link w:val="201"/>
    <w:qFormat/>
    <w:uiPriority w:val="0"/>
    <w:rPr>
      <w:rFonts w:ascii="宋体" w:hAnsi="宋体" w:eastAsia="仿宋_GB2312" w:cstheme="minorBidi"/>
      <w:kern w:val="2"/>
      <w:sz w:val="24"/>
      <w:szCs w:val="32"/>
    </w:rPr>
  </w:style>
  <w:style w:type="paragraph" w:customStyle="1" w:styleId="203">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正文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5">
    <w:name w:val="正文缩进2格"/>
    <w:basedOn w:val="1"/>
    <w:qFormat/>
    <w:uiPriority w:val="0"/>
    <w:pPr>
      <w:widowControl/>
      <w:spacing w:line="600" w:lineRule="exact"/>
      <w:ind w:firstLine="639" w:firstLineChars="206"/>
      <w:jc w:val="left"/>
    </w:pPr>
    <w:rPr>
      <w:rFonts w:ascii="仿宋_GB2312" w:hAnsi="宋体" w:eastAsia="仿宋_GB2312"/>
      <w:kern w:val="0"/>
      <w:sz w:val="31"/>
      <w:szCs w:val="28"/>
    </w:rPr>
  </w:style>
  <w:style w:type="character" w:customStyle="1" w:styleId="206">
    <w:name w:val="日期 Char3"/>
    <w:qFormat/>
    <w:uiPriority w:val="0"/>
    <w:rPr>
      <w:rFonts w:eastAsia="仿宋_GB2312" w:cs="Times New Roman"/>
      <w:kern w:val="2"/>
      <w:sz w:val="28"/>
      <w:lang w:val="en-US" w:eastAsia="zh-CN" w:bidi="ar-SA"/>
    </w:rPr>
  </w:style>
  <w:style w:type="character" w:customStyle="1" w:styleId="207">
    <w:name w:val="纯文本 Char2"/>
    <w:qFormat/>
    <w:locked/>
    <w:uiPriority w:val="0"/>
    <w:rPr>
      <w:rFonts w:ascii="宋体" w:hAnsi="Courier New" w:cs="Courier New"/>
      <w:szCs w:val="21"/>
    </w:rPr>
  </w:style>
  <w:style w:type="paragraph" w:customStyle="1" w:styleId="208">
    <w:name w:val="Char Char Char Char"/>
    <w:basedOn w:val="1"/>
    <w:qFormat/>
    <w:uiPriority w:val="99"/>
    <w:pPr>
      <w:widowControl/>
      <w:jc w:val="left"/>
    </w:pPr>
    <w:rPr>
      <w:rFonts w:ascii="Calibri" w:hAnsi="Calibri" w:cs="宋体"/>
      <w:kern w:val="0"/>
      <w:sz w:val="24"/>
    </w:rPr>
  </w:style>
  <w:style w:type="character" w:customStyle="1" w:styleId="209">
    <w:name w:val="NormalCharacter"/>
    <w:qFormat/>
    <w:uiPriority w:val="0"/>
    <w:rPr>
      <w:rFonts w:ascii="Calibri" w:hAnsi="Calibri" w:eastAsia="宋体"/>
    </w:rPr>
  </w:style>
  <w:style w:type="paragraph" w:customStyle="1" w:styleId="210">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211">
    <w:name w:val="Table Paragraph"/>
    <w:basedOn w:val="1"/>
    <w:qFormat/>
    <w:uiPriority w:val="1"/>
    <w:rPr>
      <w:rFonts w:ascii="宋体" w:hAnsi="宋体" w:cs="宋体"/>
      <w:sz w:val="24"/>
      <w:lang w:val="zh-CN" w:bidi="zh-CN"/>
    </w:rPr>
  </w:style>
  <w:style w:type="paragraph" w:customStyle="1" w:styleId="212">
    <w:name w:val="CM13"/>
    <w:basedOn w:val="65"/>
    <w:next w:val="65"/>
    <w:unhideWhenUsed/>
    <w:qFormat/>
    <w:uiPriority w:val="99"/>
    <w:pPr>
      <w:spacing w:line="520" w:lineRule="atLeast"/>
    </w:pPr>
  </w:style>
  <w:style w:type="paragraph" w:customStyle="1" w:styleId="213">
    <w:name w:val="msolistparagraph"/>
    <w:basedOn w:val="1"/>
    <w:qFormat/>
    <w:uiPriority w:val="0"/>
    <w:pPr>
      <w:ind w:firstLine="420" w:firstLineChars="200"/>
    </w:pPr>
  </w:style>
  <w:style w:type="character" w:customStyle="1" w:styleId="214">
    <w:name w:val="font71"/>
    <w:basedOn w:val="56"/>
    <w:qFormat/>
    <w:uiPriority w:val="0"/>
    <w:rPr>
      <w:rFonts w:hint="eastAsia" w:ascii="宋体" w:hAnsi="宋体" w:eastAsia="宋体" w:cs="宋体"/>
      <w:color w:val="000000"/>
      <w:sz w:val="18"/>
      <w:szCs w:val="18"/>
      <w:u w:val="none"/>
    </w:rPr>
  </w:style>
  <w:style w:type="character" w:customStyle="1" w:styleId="215">
    <w:name w:val="font31"/>
    <w:basedOn w:val="56"/>
    <w:qFormat/>
    <w:uiPriority w:val="0"/>
    <w:rPr>
      <w:rFonts w:hint="default" w:ascii="Helvetica" w:hAnsi="Helvetica" w:eastAsia="Helvetica" w:cs="Helvetica"/>
      <w:b/>
      <w:bCs/>
      <w:color w:val="000000"/>
      <w:sz w:val="18"/>
      <w:szCs w:val="18"/>
      <w:u w:val="none"/>
    </w:rPr>
  </w:style>
  <w:style w:type="character" w:customStyle="1" w:styleId="216">
    <w:name w:val="font41"/>
    <w:basedOn w:val="56"/>
    <w:qFormat/>
    <w:uiPriority w:val="0"/>
    <w:rPr>
      <w:rFonts w:hint="eastAsia" w:ascii="宋体" w:hAnsi="宋体" w:eastAsia="宋体" w:cs="宋体"/>
      <w:b/>
      <w:bCs/>
      <w:color w:val="000000"/>
      <w:sz w:val="18"/>
      <w:szCs w:val="18"/>
      <w:u w:val="none"/>
    </w:rPr>
  </w:style>
  <w:style w:type="paragraph" w:customStyle="1" w:styleId="217">
    <w:name w:val="纯文本_0"/>
    <w:basedOn w:val="1"/>
    <w:qFormat/>
    <w:uiPriority w:val="0"/>
    <w:pPr>
      <w:spacing w:before="50" w:after="50"/>
    </w:pPr>
    <w:rPr>
      <w:rFonts w:ascii="宋体" w:hAnsi="Courier New"/>
      <w:kern w:val="0"/>
      <w:sz w:val="20"/>
      <w:szCs w:val="20"/>
    </w:rPr>
  </w:style>
  <w:style w:type="paragraph" w:customStyle="1" w:styleId="218">
    <w:name w:val="BodyText1I2"/>
    <w:basedOn w:val="219"/>
    <w:qFormat/>
    <w:uiPriority w:val="0"/>
    <w:pPr>
      <w:ind w:firstLine="420" w:firstLineChars="200"/>
    </w:pPr>
    <w:rPr>
      <w:rFonts w:ascii="仿宋_GB2312"/>
    </w:rPr>
  </w:style>
  <w:style w:type="paragraph" w:customStyle="1" w:styleId="219">
    <w:name w:val="BodyTextIndent"/>
    <w:basedOn w:val="1"/>
    <w:qFormat/>
    <w:uiPriority w:val="0"/>
    <w:pPr>
      <w:ind w:firstLine="645"/>
      <w:textAlignment w:val="baseline"/>
    </w:pPr>
  </w:style>
  <w:style w:type="paragraph" w:customStyle="1" w:styleId="220">
    <w:name w:val="样式 仿宋_GB2312 四号 居中"/>
    <w:basedOn w:val="1"/>
    <w:qFormat/>
    <w:uiPriority w:val="0"/>
    <w:pPr>
      <w:jc w:val="center"/>
    </w:pPr>
    <w:rPr>
      <w:rFonts w:ascii="仿宋_GB2312" w:hAnsi="仿宋_GB2312" w:eastAsia="Times New Roman" w:cs="宋体"/>
      <w:sz w:val="24"/>
      <w:szCs w:val="20"/>
    </w:rPr>
  </w:style>
  <w:style w:type="paragraph" w:customStyle="1" w:styleId="221">
    <w:name w:val="1正文"/>
    <w:basedOn w:val="1"/>
    <w:qFormat/>
    <w:uiPriority w:val="0"/>
    <w:rPr>
      <w:rFonts w:ascii="宋体" w:hAnsi="宋体"/>
      <w:color w:val="000000"/>
      <w:sz w:val="15"/>
      <w:szCs w:val="1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51</Pages>
  <Words>2370</Words>
  <Characters>2754</Characters>
  <Lines>240</Lines>
  <Paragraphs>67</Paragraphs>
  <TotalTime>25</TotalTime>
  <ScaleCrop>false</ScaleCrop>
  <LinksUpToDate>false</LinksUpToDate>
  <CharactersWithSpaces>3320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2022-06-20T03:02:00Z</dcterms:created>
  <dc:creator>微软用户</dc:creator>
  <cp:lastModifiedBy>牙小黑</cp:lastModifiedBy>
  <cp:lastPrinted>2022-10-03T08:29:00Z</cp:lastPrinted>
  <dcterms:modified xsi:type="dcterms:W3CDTF">2025-07-11T06:59:18Z</dcterms:modified>
  <dc:title>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D296025CC8464E7E9CA809B84FC734B0_13</vt:lpwstr>
  </property>
  <property fmtid="{D5CDD505-2E9C-101B-9397-08002B2CF9AE}" pid="4" name="KSOTemplateDocerSaveRecord">
    <vt:lpwstr>eyJoZGlkIjoiZDkzODJkZmExMTVjNzg5ZTllNjVhNDhlMmFlODEwZTQiLCJ1c2VySWQiOiI3MzE2OTcwOTgifQ==</vt:lpwstr>
  </property>
</Properties>
</file>