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52"/>
          <w:szCs w:val="52"/>
          <w:lang w:eastAsia="zh-CN"/>
        </w:rPr>
        <w:t>2025年度青山初中职工疗休养项目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项目编号:[2025]813号</w:t>
      </w:r>
      <w:r>
        <w:rPr>
          <w:rFonts w:hint="eastAsia" w:cs="仿宋_GB2312" w:asciiTheme="minorEastAsia" w:hAnsiTheme="minorEastAsia" w:eastAsiaTheme="minorEastAsia"/>
          <w:color w:val="auto"/>
          <w:sz w:val="30"/>
          <w:szCs w:val="30"/>
          <w:highlight w:val="none"/>
          <w:lang w:eastAsia="zh-CN"/>
        </w:rPr>
        <w:t>、</w:t>
      </w:r>
      <w:r>
        <w:rPr>
          <w:rFonts w:hint="eastAsia" w:cs="仿宋_GB2312" w:asciiTheme="minorEastAsia" w:hAnsiTheme="minorEastAsia" w:eastAsiaTheme="minorEastAsia"/>
          <w:color w:val="auto"/>
          <w:sz w:val="30"/>
          <w:szCs w:val="30"/>
          <w:highlight w:val="none"/>
          <w:lang w:val="en-US" w:eastAsia="zh-CN"/>
        </w:rPr>
        <w:t>814号、815号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eastAsia="宋体" w:cs="仿宋_GB2312" w:asciiTheme="minorEastAsia" w:hAnsiTheme="minorEastAsia"/>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：杭州市临安区青山初级中学</w:t>
      </w:r>
    </w:p>
    <w:p w14:paraId="7CF6877D">
      <w:pPr>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采购代理机构：浙江科佳工程咨询有限公司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highlight w:val="none"/>
          <w:lang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十八</w:t>
      </w:r>
      <w:r>
        <w:rPr>
          <w:rFonts w:hint="eastAsia" w:cs="仿宋_GB2312" w:asciiTheme="minorEastAsia" w:hAnsiTheme="minorEastAsia" w:eastAsiaTheme="minorEastAsia"/>
          <w:bCs/>
          <w:color w:val="auto"/>
          <w:sz w:val="32"/>
          <w:szCs w:val="32"/>
          <w:highlight w:val="none"/>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u w:val="single"/>
          <w:lang w:eastAsia="zh-CN"/>
        </w:rPr>
        <w:t>2025年度青山初中职工疗休养项目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val="0"/>
          <w:bCs/>
          <w:color w:val="auto"/>
          <w:sz w:val="24"/>
        </w:rPr>
        <w:t>[2025]813号、814号、815号</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2025年度青山初中职工疗休养项目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宋体" w:hAnsi="宋体" w:cs="宋体"/>
          <w:b/>
          <w:color w:val="auto"/>
          <w:sz w:val="24"/>
          <w:szCs w:val="24"/>
          <w:lang w:val="en-US" w:eastAsia="zh-CN"/>
        </w:rPr>
        <w:t>306000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宋体" w:hAnsi="宋体" w:cs="宋体"/>
          <w:b/>
          <w:color w:val="auto"/>
          <w:sz w:val="24"/>
          <w:szCs w:val="24"/>
          <w:lang w:val="en-US" w:eastAsia="zh-CN"/>
        </w:rPr>
        <w:t>306000</w:t>
      </w:r>
    </w:p>
    <w:p w14:paraId="6AD4AB19">
      <w:pPr>
        <w:spacing w:line="360" w:lineRule="auto"/>
        <w:ind w:firstLine="482" w:firstLineChars="200"/>
        <w:rPr>
          <w:rFonts w:hint="eastAsia" w:ascii="宋体" w:hAnsi="宋体" w:eastAsia="宋体" w:cs="宋体"/>
          <w:b/>
          <w:color w:val="auto"/>
          <w:sz w:val="24"/>
          <w:szCs w:val="24"/>
        </w:rPr>
      </w:pPr>
      <w:r>
        <w:rPr>
          <w:rFonts w:hint="eastAsia" w:asciiTheme="minorEastAsia" w:hAnsiTheme="minorEastAsia" w:eastAsiaTheme="minorEastAsia"/>
          <w:b/>
          <w:color w:val="auto"/>
          <w:sz w:val="24"/>
        </w:rPr>
        <w:t>采购需求：</w:t>
      </w:r>
      <w:r>
        <w:rPr>
          <w:rFonts w:hint="eastAsia" w:ascii="宋体" w:hAnsi="宋体" w:cs="宋体"/>
          <w:b/>
          <w:color w:val="auto"/>
          <w:sz w:val="24"/>
          <w:szCs w:val="24"/>
          <w:lang w:eastAsia="zh-CN"/>
        </w:rPr>
        <w:t>2025年度青山初中职工疗休养项目</w:t>
      </w:r>
      <w:r>
        <w:rPr>
          <w:rFonts w:hint="eastAsia" w:ascii="宋体" w:hAnsi="宋体" w:eastAsia="宋体" w:cs="宋体"/>
          <w:bCs/>
          <w:sz w:val="24"/>
          <w:szCs w:val="24"/>
        </w:rPr>
        <w:t>主要内容：</w:t>
      </w:r>
      <w:r>
        <w:rPr>
          <w:rFonts w:hint="eastAsia" w:ascii="宋体" w:hAnsi="宋体" w:eastAsia="宋体" w:cs="宋体"/>
          <w:color w:val="auto"/>
          <w:kern w:val="0"/>
          <w:sz w:val="24"/>
          <w:szCs w:val="24"/>
          <w:lang w:val="en-US" w:eastAsia="zh-CN" w:bidi="ar-SA"/>
        </w:rPr>
        <w:t>为了提高职工疗休养活动品质，现对临安区青山初级中学职工疗休养进行招标，主要包括：杭州市临安区青山初级中学职工疗休养路线方案设计、路线方案内全程的交通、住宿、餐饮、疗休养项目、景点门票及相关的专职人员服务、保险等全部服务的具体安排，注重疗与休相结合</w:t>
      </w:r>
      <w:r>
        <w:rPr>
          <w:rFonts w:hint="eastAsia" w:ascii="宋体" w:hAnsi="宋体" w:eastAsia="宋体" w:cs="宋体"/>
          <w:bCs/>
          <w:sz w:val="24"/>
          <w:szCs w:val="24"/>
          <w:highlight w:val="none"/>
        </w:rPr>
        <w:t>。</w:t>
      </w:r>
      <w:r>
        <w:rPr>
          <w:rFonts w:hint="eastAsia" w:ascii="宋体" w:hAnsi="宋体" w:eastAsia="宋体" w:cs="宋体"/>
          <w:b/>
          <w:color w:val="auto"/>
          <w:sz w:val="24"/>
          <w:szCs w:val="24"/>
        </w:rPr>
        <w:t>详见磋商文件。</w:t>
      </w:r>
    </w:p>
    <w:p w14:paraId="6DE05200">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3D8BE860">
      <w:pPr>
        <w:spacing w:line="360" w:lineRule="auto"/>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一</w:t>
      </w:r>
    </w:p>
    <w:p w14:paraId="28F06BA3">
      <w:pPr>
        <w:spacing w:line="360" w:lineRule="auto"/>
        <w:ind w:firstLine="482" w:firstLineChars="200"/>
        <w:rPr>
          <w:rFonts w:hint="eastAsia" w:ascii="宋体" w:hAnsi="宋体" w:cs="宋体" w:eastAsiaTheme="minorEastAsia"/>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名</w:t>
      </w:r>
      <w:r>
        <w:rPr>
          <w:rFonts w:hint="eastAsia" w:ascii="宋体" w:hAnsi="宋体" w:cs="宋体"/>
          <w:b/>
          <w:bCs/>
          <w:color w:val="000000" w:themeColor="text1"/>
          <w:sz w:val="24"/>
          <w14:textFill>
            <w14:solidFill>
              <w14:schemeClr w14:val="tx1"/>
            </w14:solidFill>
          </w14:textFill>
        </w:rPr>
        <w:t>称:</w:t>
      </w:r>
      <w:r>
        <w:rPr>
          <w:rFonts w:hint="eastAsia" w:asciiTheme="minorEastAsia" w:hAnsiTheme="minorEastAsia" w:eastAsiaTheme="minorEastAsia"/>
          <w:color w:val="auto"/>
          <w:sz w:val="24"/>
          <w:lang w:eastAsia="zh-CN"/>
        </w:rPr>
        <w:t>2025年度青山初中职工疗休养项目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-标项一</w:t>
      </w:r>
    </w:p>
    <w:p w14:paraId="10B3A46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auto"/>
          <w:sz w:val="24"/>
          <w:lang w:eastAsia="zh-CN"/>
        </w:rPr>
        <w:t>标项</w:t>
      </w:r>
      <w:r>
        <w:rPr>
          <w:rFonts w:hint="eastAsia" w:asciiTheme="minorEastAsia" w:hAnsiTheme="minorEastAsia" w:eastAsiaTheme="minorEastAsia"/>
          <w:b/>
          <w:color w:val="auto"/>
          <w:sz w:val="24"/>
        </w:rPr>
        <w:t>编号</w:t>
      </w:r>
      <w:r>
        <w:rPr>
          <w:rFonts w:hint="eastAsia" w:asciiTheme="minorEastAsia" w:hAnsiTheme="minorEastAsia" w:eastAsiaTheme="minorEastAsia"/>
          <w:b/>
          <w:color w:val="auto"/>
          <w:sz w:val="24"/>
          <w:lang w:eastAsia="zh-CN"/>
        </w:rPr>
        <w:t>：[2025]813号</w:t>
      </w:r>
    </w:p>
    <w:p w14:paraId="3B6EEC07">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102000</w:t>
      </w:r>
    </w:p>
    <w:p w14:paraId="1C2358BA">
      <w:pPr>
        <w:spacing w:line="360" w:lineRule="auto"/>
        <w:ind w:firstLine="482" w:firstLineChars="200"/>
        <w:rPr>
          <w:rFonts w:ascii="宋体" w:hAnsi="宋体" w:cs="宋体"/>
          <w:b/>
          <w:color w:val="000000" w:themeColor="text1"/>
          <w:sz w:val="24"/>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简要规格描述或项目基本概况介绍、用途：具体以招标文件第</w:t>
      </w:r>
      <w:r>
        <w:rPr>
          <w:rFonts w:hint="eastAsia" w:ascii="宋体" w:hAnsi="宋体" w:cs="宋体"/>
          <w:b/>
          <w:bCs/>
          <w:color w:val="000000" w:themeColor="text1"/>
          <w:sz w:val="24"/>
          <w:lang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部分采购需求为准，供应商可点击本公告下方“浏览采购文件”查看采购需求。</w:t>
      </w:r>
    </w:p>
    <w:p w14:paraId="57190AE5">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23A001E5">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379B1D8E">
      <w:pPr>
        <w:spacing w:line="360" w:lineRule="auto"/>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二</w:t>
      </w:r>
    </w:p>
    <w:p w14:paraId="1BBBD245">
      <w:pPr>
        <w:spacing w:line="360" w:lineRule="auto"/>
        <w:ind w:firstLine="482" w:firstLineChars="200"/>
        <w:rPr>
          <w:rFonts w:hint="default" w:ascii="宋体" w:hAnsi="宋体" w:cs="宋体"/>
          <w:b/>
          <w:bCs/>
          <w:color w:val="000000" w:themeColor="text1"/>
          <w:sz w:val="24"/>
          <w:lang w:val="en-US"/>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Theme="minorEastAsia" w:hAnsiTheme="minorEastAsia" w:eastAsiaTheme="minorEastAsia"/>
          <w:color w:val="auto"/>
          <w:sz w:val="24"/>
          <w:lang w:eastAsia="zh-CN"/>
        </w:rPr>
        <w:t>2025年度青山初中职工疗休养项目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-标项二</w:t>
      </w:r>
    </w:p>
    <w:p w14:paraId="0F097056">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auto"/>
          <w:sz w:val="24"/>
          <w:lang w:eastAsia="zh-CN"/>
        </w:rPr>
        <w:t>标项</w:t>
      </w:r>
      <w:r>
        <w:rPr>
          <w:rFonts w:hint="eastAsia" w:asciiTheme="minorEastAsia" w:hAnsiTheme="minorEastAsia" w:eastAsiaTheme="minorEastAsia"/>
          <w:b/>
          <w:color w:val="auto"/>
          <w:sz w:val="24"/>
        </w:rPr>
        <w:t>编号</w:t>
      </w:r>
      <w:r>
        <w:rPr>
          <w:rFonts w:hint="eastAsia" w:asciiTheme="minorEastAsia" w:hAnsiTheme="minorEastAsia" w:eastAsiaTheme="minorEastAsia"/>
          <w:b/>
          <w:color w:val="auto"/>
          <w:sz w:val="24"/>
          <w:lang w:eastAsia="zh-CN"/>
        </w:rPr>
        <w:t>：[2025]81</w:t>
      </w:r>
      <w:r>
        <w:rPr>
          <w:rFonts w:hint="eastAsia" w:asciiTheme="minorEastAsia" w:hAnsiTheme="minorEastAsia" w:eastAsiaTheme="minorEastAsia"/>
          <w:b/>
          <w:color w:val="auto"/>
          <w:sz w:val="24"/>
          <w:lang w:val="en-US" w:eastAsia="zh-CN"/>
        </w:rPr>
        <w:t>4</w:t>
      </w:r>
      <w:r>
        <w:rPr>
          <w:rFonts w:hint="eastAsia" w:asciiTheme="minorEastAsia" w:hAnsiTheme="minorEastAsia" w:eastAsiaTheme="minorEastAsia"/>
          <w:b/>
          <w:color w:val="auto"/>
          <w:sz w:val="24"/>
          <w:lang w:eastAsia="zh-CN"/>
        </w:rPr>
        <w:t>号</w:t>
      </w:r>
    </w:p>
    <w:p w14:paraId="2A32270A">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102000</w:t>
      </w:r>
    </w:p>
    <w:p w14:paraId="23446B4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简要规格描述或项目基本概况介绍、用途：具体以招标文件第</w:t>
      </w:r>
      <w:r>
        <w:rPr>
          <w:rFonts w:hint="eastAsia" w:ascii="宋体" w:hAnsi="宋体" w:cs="宋体"/>
          <w:b/>
          <w:bCs/>
          <w:color w:val="000000" w:themeColor="text1"/>
          <w:sz w:val="24"/>
          <w:lang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部分采购需求为准，供应商可点击本公告下方“浏览采购文件”查看采购需求。</w:t>
      </w:r>
    </w:p>
    <w:p w14:paraId="6A30FD07">
      <w:pPr>
        <w:pStyle w:val="2"/>
        <w:rPr>
          <w:rFonts w:hint="eastAsia"/>
        </w:rPr>
      </w:pPr>
    </w:p>
    <w:p w14:paraId="7B92E808">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三</w:t>
      </w:r>
    </w:p>
    <w:p w14:paraId="4B88B1FB">
      <w:pPr>
        <w:spacing w:line="360" w:lineRule="auto"/>
        <w:ind w:firstLine="482" w:firstLineChars="200"/>
        <w:rPr>
          <w:rFonts w:hint="default" w:ascii="宋体" w:hAnsi="宋体" w:cs="宋体"/>
          <w:b/>
          <w:bCs/>
          <w:color w:val="000000" w:themeColor="text1"/>
          <w:sz w:val="24"/>
          <w:lang w:val="en-US"/>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Theme="minorEastAsia" w:hAnsiTheme="minorEastAsia" w:eastAsiaTheme="minorEastAsia"/>
          <w:color w:val="auto"/>
          <w:sz w:val="24"/>
          <w:lang w:eastAsia="zh-CN"/>
        </w:rPr>
        <w:t>2025年度青山初中职工疗休养项目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-标项三</w:t>
      </w:r>
    </w:p>
    <w:p w14:paraId="2604852A">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auto"/>
          <w:sz w:val="24"/>
          <w:lang w:eastAsia="zh-CN"/>
        </w:rPr>
        <w:t>标项</w:t>
      </w:r>
      <w:r>
        <w:rPr>
          <w:rFonts w:hint="eastAsia" w:asciiTheme="minorEastAsia" w:hAnsiTheme="minorEastAsia" w:eastAsiaTheme="minorEastAsia"/>
          <w:b/>
          <w:color w:val="auto"/>
          <w:sz w:val="24"/>
        </w:rPr>
        <w:t>编号</w:t>
      </w:r>
      <w:r>
        <w:rPr>
          <w:rFonts w:hint="eastAsia" w:asciiTheme="minorEastAsia" w:hAnsiTheme="minorEastAsia" w:eastAsiaTheme="minorEastAsia"/>
          <w:b/>
          <w:color w:val="auto"/>
          <w:sz w:val="24"/>
          <w:lang w:eastAsia="zh-CN"/>
        </w:rPr>
        <w:t>：[2025]81</w:t>
      </w:r>
      <w:r>
        <w:rPr>
          <w:rFonts w:hint="eastAsia" w:asciiTheme="minorEastAsia" w:hAnsiTheme="minorEastAsia" w:eastAsiaTheme="minorEastAsia"/>
          <w:b/>
          <w:color w:val="auto"/>
          <w:sz w:val="24"/>
          <w:lang w:val="en-US" w:eastAsia="zh-CN"/>
        </w:rPr>
        <w:t>5</w:t>
      </w:r>
      <w:r>
        <w:rPr>
          <w:rFonts w:hint="eastAsia" w:asciiTheme="minorEastAsia" w:hAnsiTheme="minorEastAsia" w:eastAsiaTheme="minorEastAsia"/>
          <w:b/>
          <w:color w:val="auto"/>
          <w:sz w:val="24"/>
          <w:lang w:eastAsia="zh-CN"/>
        </w:rPr>
        <w:t>号</w:t>
      </w:r>
    </w:p>
    <w:p w14:paraId="00DF0796">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102000</w:t>
      </w:r>
    </w:p>
    <w:p w14:paraId="4ABA6FE4">
      <w:pPr>
        <w:spacing w:line="360" w:lineRule="auto"/>
        <w:ind w:firstLine="482" w:firstLineChars="200"/>
        <w:rPr>
          <w:rFonts w:hint="eastAsia" w:ascii="宋体" w:hAnsi="宋体" w:cs="宋体"/>
          <w:b/>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简要规格描述或项目基本概况介绍、用途：具体以招标文件第</w:t>
      </w:r>
      <w:r>
        <w:rPr>
          <w:rFonts w:hint="eastAsia" w:ascii="宋体" w:hAnsi="宋体" w:cs="宋体"/>
          <w:b/>
          <w:bCs/>
          <w:color w:val="000000" w:themeColor="text1"/>
          <w:sz w:val="24"/>
          <w:lang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部分采购需求为准，供应商可点击本公告下方“浏览采购文件”查看采购需求。</w:t>
      </w:r>
    </w:p>
    <w:p w14:paraId="52DAE646">
      <w:pPr>
        <w:widowControl/>
        <w:tabs>
          <w:tab w:val="left" w:pos="540"/>
        </w:tabs>
        <w:autoSpaceDE w:val="0"/>
        <w:autoSpaceDN w:val="0"/>
        <w:spacing w:line="360" w:lineRule="auto"/>
        <w:ind w:firstLine="482"/>
        <w:textAlignment w:val="bottom"/>
        <w:rPr>
          <w:rFonts w:hint="eastAsia" w:ascii="宋体" w:hAnsi="宋体" w:cs="宋体"/>
          <w:b/>
          <w:color w:val="000000" w:themeColor="text1"/>
          <w:sz w:val="24"/>
          <w:szCs w:val="32"/>
          <w:highlight w:val="none"/>
          <w14:textFill>
            <w14:solidFill>
              <w14:schemeClr w14:val="tx1"/>
            </w14:solidFill>
          </w14:textFill>
        </w:rPr>
      </w:pPr>
    </w:p>
    <w:p w14:paraId="56575D09">
      <w:pPr>
        <w:widowControl/>
        <w:tabs>
          <w:tab w:val="left" w:pos="540"/>
        </w:tabs>
        <w:autoSpaceDE w:val="0"/>
        <w:autoSpaceDN w:val="0"/>
        <w:spacing w:line="360" w:lineRule="auto"/>
        <w:ind w:firstLine="482"/>
        <w:textAlignment w:val="bottom"/>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合同履约期限：</w:t>
      </w:r>
      <w:r>
        <w:rPr>
          <w:rFonts w:hint="eastAsia" w:ascii="宋体" w:hAnsi="宋体" w:cs="宋体"/>
          <w:bCs/>
          <w:color w:val="000000" w:themeColor="text1"/>
          <w:sz w:val="24"/>
          <w:szCs w:val="24"/>
          <w:highlight w:val="none"/>
          <w14:textFill>
            <w14:solidFill>
              <w14:schemeClr w14:val="tx1"/>
            </w14:solidFill>
          </w14:textFill>
        </w:rPr>
        <w:t>合同签订生效之日起至202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年12月31日止或（分批）完成约定疗休养人数</w:t>
      </w:r>
      <w:r>
        <w:rPr>
          <w:rFonts w:hint="eastAsia" w:ascii="宋体" w:hAnsi="宋体" w:cs="宋体"/>
          <w:b/>
          <w:bCs/>
          <w:color w:val="000000" w:themeColor="text1"/>
          <w:sz w:val="24"/>
          <w:highlight w:val="none"/>
          <w14:textFill>
            <w14:solidFill>
              <w14:schemeClr w14:val="tx1"/>
            </w14:solidFill>
          </w14:textFill>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eastAsiaTheme="minorEastAsia"/>
          <w:b/>
          <w:bCs/>
          <w:color w:val="000000" w:themeColor="text1"/>
          <w:sz w:val="24"/>
          <w:highlight w:val="none"/>
          <w:u w:val="single"/>
          <w14:textFill>
            <w14:solidFill>
              <w14:schemeClr w14:val="tx1"/>
            </w14:solidFill>
          </w14:textFill>
        </w:rPr>
        <w:t>具有</w:t>
      </w:r>
      <w:r>
        <w:rPr>
          <w:rFonts w:hint="eastAsia" w:ascii="宋体" w:hAnsi="宋体" w:cs="宋体" w:eastAsiaTheme="minorEastAsia"/>
          <w:b/>
          <w:bCs/>
          <w:color w:val="000000" w:themeColor="text1"/>
          <w:sz w:val="24"/>
          <w:highlight w:val="none"/>
          <w:u w:val="single"/>
          <w:lang w:eastAsia="zh-CN"/>
          <w14:textFill>
            <w14:solidFill>
              <w14:schemeClr w14:val="tx1"/>
            </w14:solidFill>
          </w14:textFill>
        </w:rPr>
        <w:t>有效的</w:t>
      </w:r>
      <w:r>
        <w:rPr>
          <w:rFonts w:hint="eastAsia" w:ascii="宋体" w:hAnsi="宋体" w:cs="宋体"/>
          <w:b/>
          <w:bCs/>
          <w:color w:val="000000" w:themeColor="text1"/>
          <w:sz w:val="24"/>
          <w:highlight w:val="none"/>
          <w:u w:val="single"/>
          <w14:textFill>
            <w14:solidFill>
              <w14:schemeClr w14:val="tx1"/>
            </w14:solidFill>
          </w14:textFill>
        </w:rPr>
        <w:t>《旅行社业务经营许可证》</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b/>
          <w:bCs/>
          <w:color w:val="000000" w:themeColor="text1"/>
          <w:sz w:val="24"/>
          <w:highlight w:val="none"/>
          <w:u w:val="single"/>
          <w14:textFill>
            <w14:solidFill>
              <w14:schemeClr w14:val="tx1"/>
            </w14:solidFill>
          </w14:textFill>
        </w:rPr>
        <w:t>《中华人民共和国旅游法》、《浙江省旅游条例》</w:t>
      </w:r>
      <w:r>
        <w:rPr>
          <w:rFonts w:hint="eastAsia" w:ascii="宋体" w:hAnsi="宋体" w:eastAsia="宋体" w:cs="宋体"/>
          <w:b/>
          <w:bCs/>
          <w:color w:val="000000" w:themeColor="text1"/>
          <w:sz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《旅行社管理条例》第十二条</w:t>
      </w:r>
      <w:r>
        <w:rPr>
          <w:rFonts w:hint="eastAsia" w:ascii="宋体" w:hAnsi="宋体" w:cs="宋体"/>
          <w:color w:val="000000" w:themeColor="text1"/>
          <w:sz w:val="24"/>
          <w:highlight w:val="none"/>
          <w14:textFill>
            <w14:solidFill>
              <w14:schemeClr w14:val="tx1"/>
            </w14:solidFill>
          </w14:textFill>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28359014"/>
      <w:bookmarkStart w:id="21" w:name="_Toc35393800"/>
      <w:bookmarkStart w:id="22" w:name="_Toc28359091"/>
      <w:r>
        <w:rPr>
          <w:rFonts w:hint="eastAsia" w:cs="宋体" w:asciiTheme="minorEastAsia" w:hAnsiTheme="minorEastAsia" w:eastAsiaTheme="minorEastAsia"/>
          <w:color w:val="auto"/>
          <w:sz w:val="24"/>
        </w:rPr>
        <w:t>三、获取（下载</w:t>
      </w:r>
      <w:r>
        <w:rPr>
          <w:rFonts w:hint="eastAsia" w:cs="宋体" w:asciiTheme="minorEastAsia" w:hAnsiTheme="minorEastAsia" w:eastAsiaTheme="minorEastAsia"/>
          <w:color w:val="auto"/>
          <w:sz w:val="24"/>
          <w:highlight w:val="none"/>
        </w:rPr>
        <w:t>）采购文件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9DFED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E1889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A3FC5AF">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2C705FC">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w:t>
      </w:r>
      <w:r>
        <w:rPr>
          <w:rFonts w:hint="eastAsia" w:asciiTheme="minorEastAsia" w:hAnsiTheme="minorEastAsia" w:eastAsiaTheme="minorEastAsia"/>
          <w:bCs/>
          <w:color w:val="auto"/>
          <w:sz w:val="24"/>
        </w:rPr>
        <w:t>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地点：杭州市临安区锦城街道苕溪南</w:t>
      </w:r>
      <w:r>
        <w:rPr>
          <w:rFonts w:hint="eastAsia" w:asciiTheme="minorEastAsia" w:hAnsiTheme="minorEastAsia" w:eastAsiaTheme="minorEastAsia"/>
          <w:color w:val="auto"/>
          <w:sz w:val="24"/>
          <w:lang w:eastAsia="zh-CN"/>
        </w:rPr>
        <w:t>街</w:t>
      </w:r>
      <w:r>
        <w:rPr>
          <w:rFonts w:hint="eastAsia" w:asciiTheme="minorEastAsia" w:hAnsiTheme="minorEastAsia" w:eastAsiaTheme="minorEastAsia"/>
          <w:color w:val="auto"/>
          <w:sz w:val="24"/>
          <w:lang w:val="en-US" w:eastAsia="zh-CN"/>
        </w:rPr>
        <w:t>1106</w:t>
      </w:r>
      <w:r>
        <w:rPr>
          <w:rFonts w:hint="eastAsia" w:asciiTheme="minorEastAsia" w:hAnsiTheme="minorEastAsia" w:eastAsiaTheme="minorEastAsia"/>
          <w:color w:val="auto"/>
          <w:sz w:val="24"/>
        </w:rPr>
        <w:t>号</w:t>
      </w:r>
      <w:r>
        <w:rPr>
          <w:rFonts w:hint="eastAsia" w:asciiTheme="minorEastAsia" w:hAnsiTheme="minorEastAsia" w:eastAsiaTheme="minorEastAsia"/>
          <w:color w:val="auto"/>
          <w:sz w:val="24"/>
          <w:lang w:eastAsia="zh-CN"/>
        </w:rPr>
        <w:t>杭州绘锦</w:t>
      </w:r>
      <w:r>
        <w:rPr>
          <w:rFonts w:hint="eastAsia" w:asciiTheme="minorEastAsia" w:hAnsiTheme="minorEastAsia" w:eastAsiaTheme="minorEastAsia"/>
          <w:color w:val="auto"/>
          <w:sz w:val="24"/>
        </w:rPr>
        <w:t>三楼</w:t>
      </w:r>
      <w:r>
        <w:rPr>
          <w:rFonts w:hint="eastAsia" w:asciiTheme="minorEastAsia" w:hAnsiTheme="minorEastAsia" w:eastAsiaTheme="minorEastAsia"/>
          <w:color w:val="auto"/>
          <w:sz w:val="24"/>
          <w:lang w:eastAsia="zh-CN"/>
        </w:rPr>
        <w:t>科佳咨询评标室</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803"/>
      <w:bookmarkStart w:id="33" w:name="_Toc28359094"/>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637"/>
      <w:bookmarkStart w:id="43" w:name="_Toc28359096"/>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称：杭州市临安区青山初级中学</w:t>
      </w:r>
    </w:p>
    <w:p w14:paraId="2BA30613">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杭州市临安区青山湖街道青山湖路27号</w:t>
      </w:r>
    </w:p>
    <w:p w14:paraId="77D588A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14:paraId="0B559F8C">
      <w:pPr>
        <w:spacing w:line="360" w:lineRule="auto"/>
        <w:ind w:firstLine="480" w:firstLineChars="200"/>
        <w:rPr>
          <w:rFonts w:hint="default" w:asciiTheme="minorEastAsia" w:hAnsiTheme="minorEastAsia" w:eastAsiaTheme="minorEastAsia"/>
          <w:color w:val="auto"/>
          <w:sz w:val="24"/>
          <w:highlight w:val="none"/>
          <w:lang w:val="en-US" w:eastAsia="zh-CN"/>
        </w:rPr>
      </w:pPr>
      <w:bookmarkStart w:id="45" w:name="_Toc35393807"/>
      <w:bookmarkStart w:id="46" w:name="_Toc28359097"/>
      <w:bookmarkStart w:id="47" w:name="_Toc28359020"/>
      <w:bookmarkStart w:id="48" w:name="_Toc35393638"/>
      <w:r>
        <w:rPr>
          <w:rFonts w:hint="eastAsia" w:asciiTheme="minorEastAsia" w:hAnsiTheme="minorEastAsia" w:eastAsiaTheme="minorEastAsia"/>
          <w:color w:val="auto"/>
          <w:sz w:val="24"/>
          <w:highlight w:val="none"/>
        </w:rPr>
        <w:t xml:space="preserve">项目联系人（询问）：李国胜  </w:t>
      </w:r>
    </w:p>
    <w:p w14:paraId="33D1775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项目联系方式（询问）：0571-58688278</w:t>
      </w:r>
    </w:p>
    <w:p w14:paraId="5595CF03">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质疑联系人：黄勇</w:t>
      </w:r>
    </w:p>
    <w:p w14:paraId="26DDF1AC">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质疑联系方式：0571-58688277</w:t>
      </w:r>
    </w:p>
    <w:p w14:paraId="653A869A">
      <w:pPr>
        <w:pStyle w:val="4"/>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74A4E42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称：浙江科佳工程咨询有限公司</w:t>
      </w:r>
    </w:p>
    <w:p w14:paraId="52857E8E">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址：杭州市临安区锦城街道苕溪南</w:t>
      </w:r>
      <w:r>
        <w:rPr>
          <w:rFonts w:hint="eastAsia" w:asciiTheme="minorEastAsia" w:hAnsiTheme="minorEastAsia" w:eastAsiaTheme="minorEastAsia"/>
          <w:color w:val="auto"/>
          <w:sz w:val="24"/>
          <w:lang w:eastAsia="zh-CN"/>
        </w:rPr>
        <w:t>街</w:t>
      </w:r>
      <w:r>
        <w:rPr>
          <w:rFonts w:hint="eastAsia" w:asciiTheme="minorEastAsia" w:hAnsiTheme="minorEastAsia" w:eastAsiaTheme="minorEastAsia"/>
          <w:color w:val="auto"/>
          <w:sz w:val="24"/>
          <w:lang w:val="en-US" w:eastAsia="zh-CN"/>
        </w:rPr>
        <w:t>1106</w:t>
      </w:r>
      <w:r>
        <w:rPr>
          <w:rFonts w:hint="eastAsia" w:asciiTheme="minorEastAsia" w:hAnsiTheme="minorEastAsia" w:eastAsiaTheme="minorEastAsia"/>
          <w:color w:val="auto"/>
          <w:sz w:val="24"/>
        </w:rPr>
        <w:t>号</w:t>
      </w:r>
      <w:r>
        <w:rPr>
          <w:rFonts w:hint="eastAsia" w:asciiTheme="minorEastAsia" w:hAnsiTheme="minorEastAsia" w:eastAsiaTheme="minorEastAsia"/>
          <w:color w:val="auto"/>
          <w:sz w:val="24"/>
          <w:lang w:eastAsia="zh-CN"/>
        </w:rPr>
        <w:t>杭州绘锦</w:t>
      </w:r>
      <w:r>
        <w:rPr>
          <w:rFonts w:hint="eastAsia" w:asciiTheme="minorEastAsia" w:hAnsiTheme="minorEastAsia" w:eastAsiaTheme="minorEastAsia"/>
          <w:color w:val="auto"/>
          <w:sz w:val="24"/>
        </w:rPr>
        <w:t>三楼</w:t>
      </w:r>
    </w:p>
    <w:p w14:paraId="4147040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F74D6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项目联系人（询问）：唐燕萍</w:t>
      </w:r>
    </w:p>
    <w:p w14:paraId="36D61FE4">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项目联系方式（询问）：0571-63858336</w:t>
      </w:r>
    </w:p>
    <w:p w14:paraId="57AC6287">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质疑联系人：马  兰</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质疑联系方式：0571-63858336</w:t>
      </w:r>
    </w:p>
    <w:p w14:paraId="5D934F31">
      <w:pPr>
        <w:spacing w:line="360" w:lineRule="auto"/>
        <w:rPr>
          <w:rFonts w:asciiTheme="minorEastAsia" w:hAnsiTheme="minorEastAsia" w:eastAsiaTheme="minorEastAsia"/>
          <w:b/>
          <w:color w:val="auto"/>
          <w:sz w:val="24"/>
        </w:rPr>
      </w:pPr>
      <w:bookmarkStart w:id="49" w:name="_Toc28359021"/>
      <w:bookmarkStart w:id="50" w:name="_Toc35393808"/>
      <w:bookmarkStart w:id="51" w:name="_Toc35393639"/>
      <w:bookmarkStart w:id="52" w:name="_Toc2835909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：朱老师</w:t>
      </w:r>
    </w:p>
    <w:p w14:paraId="1E5454D7">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659FE672">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2"/>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2"/>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1.1采用公告方式邀请供应商。</w:t>
      </w:r>
    </w:p>
    <w:p w14:paraId="1FAE82AF">
      <w:pPr>
        <w:pStyle w:val="394"/>
        <w:numPr>
          <w:ilvl w:val="0"/>
          <w:numId w:val="0"/>
        </w:numPr>
        <w:spacing w:before="0"/>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73BA376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4"/>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职工疗休养</w:t>
            </w:r>
            <w:r>
              <w:rPr>
                <w:rFonts w:hint="eastAsia" w:ascii="宋体" w:hAnsi="宋体" w:cs="宋体"/>
                <w:color w:val="auto"/>
                <w:kern w:val="0"/>
                <w:sz w:val="24"/>
              </w:rPr>
              <w:t>，属于</w:t>
            </w:r>
            <w:r>
              <w:rPr>
                <w:rFonts w:hint="eastAsia" w:ascii="宋体" w:hAnsi="宋体" w:cs="宋体"/>
                <w:color w:val="auto"/>
                <w:kern w:val="0"/>
                <w:sz w:val="24"/>
                <w:u w:val="single"/>
              </w:rPr>
              <w:t>租赁和商务服务</w:t>
            </w:r>
            <w:r>
              <w:rPr>
                <w:rFonts w:hint="eastAsia" w:ascii="宋体" w:hAnsi="宋体" w:cs="宋体"/>
                <w:color w:val="auto"/>
                <w:kern w:val="0"/>
                <w:sz w:val="24"/>
              </w:rPr>
              <w:t>行业；</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color w:val="auto"/>
                <w:kern w:val="0"/>
                <w:sz w:val="24"/>
                <w:u w:val="single"/>
              </w:rPr>
              <w:t>租赁和商务服务</w:t>
            </w:r>
            <w:r>
              <w:rPr>
                <w:rFonts w:hint="eastAsia" w:ascii="宋体" w:hAnsi="宋体" w:eastAsia="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3"/>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
                <w:sz w:val="24"/>
                <w:szCs w:val="24"/>
                <w:lang w:val="en-US" w:eastAsia="zh-CN" w:bidi="ar-SA"/>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
                <w:sz w:val="24"/>
                <w:szCs w:val="24"/>
                <w:lang w:val="en-US" w:eastAsia="zh-CN" w:bidi="ar-SA"/>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
                <w:sz w:val="24"/>
                <w:szCs w:val="24"/>
                <w:lang w:val="en-US" w:eastAsia="zh-CN" w:bidi="ar-SA"/>
              </w:rPr>
              <w:t>。</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3"/>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2"/>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asciiTheme="minorEastAsia" w:hAnsiTheme="minorEastAsia" w:eastAsiaTheme="minorEastAsia"/>
                <w:color w:val="auto"/>
                <w:sz w:val="24"/>
                <w:u w:val="single"/>
              </w:rPr>
              <w:t>杭州市临安区锦城街道苕溪南</w:t>
            </w:r>
            <w:r>
              <w:rPr>
                <w:rFonts w:hint="eastAsia" w:asciiTheme="minorEastAsia" w:hAnsiTheme="minorEastAsia" w:eastAsiaTheme="minorEastAsia"/>
                <w:color w:val="auto"/>
                <w:sz w:val="24"/>
                <w:u w:val="single"/>
                <w:lang w:eastAsia="zh-CN"/>
              </w:rPr>
              <w:t>街</w:t>
            </w:r>
            <w:r>
              <w:rPr>
                <w:rFonts w:hint="eastAsia" w:asciiTheme="minorEastAsia" w:hAnsiTheme="minorEastAsia" w:eastAsiaTheme="minorEastAsia"/>
                <w:color w:val="auto"/>
                <w:sz w:val="24"/>
                <w:u w:val="single"/>
                <w:lang w:val="en-US" w:eastAsia="zh-CN"/>
              </w:rPr>
              <w:t>1106</w:t>
            </w:r>
            <w:r>
              <w:rPr>
                <w:rFonts w:hint="eastAsia" w:asciiTheme="minorEastAsia" w:hAnsiTheme="minorEastAsia" w:eastAsiaTheme="minorEastAsia"/>
                <w:color w:val="auto"/>
                <w:sz w:val="24"/>
                <w:u w:val="single"/>
              </w:rPr>
              <w:t>号</w:t>
            </w:r>
            <w:r>
              <w:rPr>
                <w:rFonts w:hint="eastAsia" w:asciiTheme="minorEastAsia" w:hAnsiTheme="minorEastAsia" w:eastAsiaTheme="minorEastAsia"/>
                <w:color w:val="auto"/>
                <w:sz w:val="24"/>
                <w:u w:val="single"/>
                <w:lang w:eastAsia="zh-CN"/>
              </w:rPr>
              <w:t>杭州绘锦</w:t>
            </w:r>
            <w:r>
              <w:rPr>
                <w:rFonts w:hint="eastAsia" w:asciiTheme="minorEastAsia" w:hAnsiTheme="minorEastAsia" w:eastAsiaTheme="minorEastAsia"/>
                <w:color w:val="auto"/>
                <w:sz w:val="24"/>
                <w:u w:val="single"/>
              </w:rPr>
              <w:t>三楼</w:t>
            </w:r>
            <w:r>
              <w:rPr>
                <w:rFonts w:hint="eastAsia" w:cs="宋体" w:asciiTheme="minorEastAsia" w:hAnsiTheme="minorEastAsia" w:eastAsiaTheme="minorEastAsia"/>
                <w:color w:val="auto"/>
                <w:sz w:val="24"/>
                <w:u w:val="single"/>
              </w:rPr>
              <w:t>科佳咨询代理部</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0571-63858336</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1650F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41F91F2">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0684FDAA">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5A9967">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中标单位在领取中标通知书时须提供与电子投标文件一致的纸质投标文件一正</w:t>
            </w:r>
            <w:r>
              <w:rPr>
                <w:rFonts w:hint="eastAsia" w:cs="Arial" w:asciiTheme="minorEastAsia" w:hAnsiTheme="minorEastAsia" w:eastAsiaTheme="minorEastAsia"/>
                <w:color w:val="auto"/>
                <w:kern w:val="0"/>
                <w:sz w:val="24"/>
                <w:lang w:eastAsia="zh-CN"/>
              </w:rPr>
              <w:t>三</w:t>
            </w:r>
            <w:r>
              <w:rPr>
                <w:rFonts w:hint="eastAsia" w:cs="Arial" w:asciiTheme="minorEastAsia" w:hAnsiTheme="minorEastAsia" w:eastAsiaTheme="minorEastAsia"/>
                <w:color w:val="auto"/>
                <w:kern w:val="0"/>
                <w:sz w:val="24"/>
              </w:rPr>
              <w:t>副。</w:t>
            </w:r>
          </w:p>
        </w:tc>
      </w:tr>
      <w:tr w14:paraId="6FA8D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B9BD19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64E8CB93">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B11856">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在签订</w:t>
            </w:r>
            <w:r>
              <w:rPr>
                <w:rFonts w:hint="eastAsia" w:cs="Arial" w:asciiTheme="minorEastAsia" w:hAnsiTheme="minorEastAsia" w:eastAsiaTheme="minorEastAsia"/>
                <w:color w:val="auto"/>
                <w:kern w:val="0"/>
                <w:sz w:val="24"/>
                <w:lang w:eastAsia="zh-CN"/>
              </w:rPr>
              <w:t>采购</w:t>
            </w:r>
            <w:r>
              <w:rPr>
                <w:rFonts w:hint="eastAsia" w:cs="Arial" w:asciiTheme="minorEastAsia" w:hAnsiTheme="minorEastAsia" w:eastAsiaTheme="minorEastAsia"/>
                <w:color w:val="auto"/>
                <w:kern w:val="0"/>
                <w:sz w:val="24"/>
              </w:rPr>
              <w:t>合同前，采购人和代理机构将组织核验中标单位资质证书、投标文件中有关业绩、荣誉、人员各类证书原件，并核验拟配备的其他人员资质（资格）证书原件。</w:t>
            </w:r>
          </w:p>
        </w:tc>
      </w:tr>
      <w:tr w14:paraId="34FD7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A0663E1">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4FD5B3D8">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5F35C49">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b/>
                <w:bCs/>
                <w:color w:val="auto"/>
                <w:kern w:val="0"/>
                <w:sz w:val="24"/>
              </w:rPr>
              <w:t>解密开启后30分钟内，投标供应商将填写完整且经授权代表签署的《政府采购活动现场确认声明书》原件扫描件发送至邮箱：1731967951@qq.com（格式见附件6）</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本项目各标项推荐的成交候选人数量：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FB83659">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由采购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67DBD96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 xml:space="preserve">收款单位（户名）: 浙江科佳工程咨询有限公司临安分公司 </w:t>
            </w:r>
          </w:p>
          <w:p w14:paraId="216558C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开户银行：浙江临安农村商业银行股份有限公司营业部</w:t>
            </w:r>
          </w:p>
          <w:p w14:paraId="4A46A19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银行账号: 201000168242058</w:t>
            </w:r>
          </w:p>
          <w:p w14:paraId="2E08225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银行行号：402331005011</w:t>
            </w:r>
          </w:p>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备注：放弃中标（成交）资格的供应商，须承担本项目招标代理费和专家评审费等费用。</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rPr>
        <w:t>4.</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lang w:val="en-US"/>
        </w:rPr>
        <w:t xml:space="preserve"> </w:t>
      </w:r>
      <w:r>
        <w:rPr>
          <w:rFonts w:hint="eastAsia" w:cs="宋体" w:asciiTheme="minorEastAsia" w:hAnsiTheme="minorEastAsia" w:eastAsiaTheme="minorEastAsia"/>
          <w:color w:val="auto"/>
          <w:sz w:val="24"/>
          <w:lang w:val="en-US" w:eastAsia="zh-CN"/>
        </w:rPr>
        <w:t>采购人应当贯彻落实知识产权保护相关法律法规，</w:t>
      </w:r>
      <w:r>
        <w:rPr>
          <w:rFonts w:hint="eastAsia" w:cs="宋体" w:asciiTheme="minorEastAsia" w:hAnsiTheme="minorEastAsia" w:eastAsiaTheme="minorEastAsia"/>
          <w:color w:val="auto"/>
          <w:sz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color w:val="auto"/>
                <w:sz w:val="24"/>
              </w:rPr>
            </w:pPr>
          </w:p>
        </w:tc>
        <w:tc>
          <w:tcPr>
            <w:tcW w:w="4536" w:type="dxa"/>
            <w:vAlign w:val="center"/>
          </w:tcPr>
          <w:p w14:paraId="494EE5C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asciiTheme="minorEastAsia" w:hAnsiTheme="minorEastAsia" w:eastAsiaTheme="minorEastAsia"/>
                <w:color w:val="auto"/>
                <w:sz w:val="24"/>
              </w:rPr>
            </w:pPr>
          </w:p>
        </w:tc>
        <w:tc>
          <w:tcPr>
            <w:tcW w:w="4536" w:type="dxa"/>
            <w:vAlign w:val="center"/>
          </w:tcPr>
          <w:p w14:paraId="4B51CE8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2"/>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宋体" w:hAnsi="Courier New"/>
          <w:color w:val="auto"/>
          <w:sz w:val="24"/>
          <w:szCs w:val="24"/>
          <w:highlight w:val="none"/>
        </w:rPr>
      </w:pPr>
    </w:p>
    <w:p w14:paraId="1E13071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2"/>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4"/>
        <w:spacing w:before="0"/>
        <w:ind w:firstLine="0" w:firstLineChars="0"/>
        <w:rPr>
          <w:rFonts w:cs="仿宋_GB2312" w:asciiTheme="minorEastAsia" w:hAnsiTheme="minorEastAsia" w:eastAsiaTheme="minorEastAsia"/>
          <w:b/>
          <w:color w:val="auto"/>
          <w:szCs w:val="24"/>
        </w:rPr>
      </w:pPr>
    </w:p>
    <w:p w14:paraId="26E7B10E">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2"/>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w:t>
      </w:r>
      <w:r>
        <w:rPr>
          <w:rFonts w:hint="eastAsia" w:ascii="宋体" w:hAnsi="宋体" w:cs="宋体"/>
          <w:color w:val="auto"/>
          <w:kern w:val="0"/>
          <w:sz w:val="24"/>
          <w:highlight w:val="none"/>
          <w:lang w:val="en" w:eastAsia="zh-CN"/>
        </w:rPr>
        <w:t>各标项</w:t>
      </w:r>
      <w:r>
        <w:rPr>
          <w:rFonts w:hint="eastAsia" w:asciiTheme="minorEastAsia" w:hAnsiTheme="minorEastAsia" w:eastAsiaTheme="minorEastAsia"/>
          <w:color w:val="auto"/>
          <w:sz w:val="24"/>
          <w:szCs w:val="21"/>
          <w:lang w:val="en" w:eastAsia="zh-CN"/>
        </w:rPr>
        <w:t>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07468"/>
      <w:bookmarkEnd w:id="55"/>
      <w:bookmarkStart w:id="56" w:name="_Hlt74714665"/>
      <w:bookmarkEnd w:id="56"/>
      <w:bookmarkStart w:id="57" w:name="_Hlt75236101"/>
      <w:bookmarkEnd w:id="57"/>
      <w:bookmarkStart w:id="58" w:name="_Hlt68072990"/>
      <w:bookmarkEnd w:id="58"/>
      <w:bookmarkStart w:id="59" w:name="_Hlt75236290"/>
      <w:bookmarkEnd w:id="59"/>
      <w:bookmarkStart w:id="60" w:name="_Hlt74729768"/>
      <w:bookmarkEnd w:id="60"/>
      <w:bookmarkStart w:id="61" w:name="_Hlt75236011"/>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527954BC">
      <w:pPr>
        <w:tabs>
          <w:tab w:val="left" w:pos="0"/>
        </w:tabs>
        <w:spacing w:line="360" w:lineRule="auto"/>
        <w:ind w:firstLine="48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一、项目概况</w:t>
      </w:r>
    </w:p>
    <w:p w14:paraId="4AD5ABA1">
      <w:pPr>
        <w:tabs>
          <w:tab w:val="left" w:pos="0"/>
        </w:tabs>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了提高职工疗休养活动品质，现对临安区青山初级中学职工疗休养进行招标，主要包括：杭州市临安区青山初级中学职工疗休养路线方案设计、路线方案内全程的交通、住宿、餐饮、疗休养项目、景点门票及相关的专职人员服务、保险等全部服务的具体安排，注重疗与休相结合。</w:t>
      </w:r>
    </w:p>
    <w:p w14:paraId="1E108CA9">
      <w:pPr>
        <w:tabs>
          <w:tab w:val="left" w:pos="0"/>
        </w:tabs>
        <w:spacing w:line="360" w:lineRule="auto"/>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二、疗休养时间</w:t>
      </w:r>
    </w:p>
    <w:p w14:paraId="0AE8B67F">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拟安排于7月-8月出行，预计参加疗休养人数 102人，人员疗养分批进行；具体人数、线路内容如下：</w:t>
      </w:r>
    </w:p>
    <w:tbl>
      <w:tblPr>
        <w:tblStyle w:val="60"/>
        <w:tblpPr w:leftFromText="180" w:rightFromText="180" w:vertAnchor="text" w:tblpXSpec="center" w:tblpY="64"/>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320"/>
        <w:gridCol w:w="2010"/>
        <w:gridCol w:w="1289"/>
        <w:gridCol w:w="1289"/>
      </w:tblGrid>
      <w:tr w14:paraId="7A8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16" w:type="dxa"/>
            <w:vAlign w:val="center"/>
          </w:tcPr>
          <w:p w14:paraId="62EC6272">
            <w:pPr>
              <w:widowControl/>
              <w:snapToGrid w:val="0"/>
              <w:spacing w:line="348"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标项</w:t>
            </w:r>
          </w:p>
        </w:tc>
        <w:tc>
          <w:tcPr>
            <w:tcW w:w="4320" w:type="dxa"/>
            <w:vAlign w:val="center"/>
          </w:tcPr>
          <w:p w14:paraId="4A9754B8">
            <w:pPr>
              <w:widowControl/>
              <w:snapToGrid w:val="0"/>
              <w:spacing w:line="348"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标项内容</w:t>
            </w:r>
          </w:p>
        </w:tc>
        <w:tc>
          <w:tcPr>
            <w:tcW w:w="2010" w:type="dxa"/>
            <w:vAlign w:val="center"/>
          </w:tcPr>
          <w:p w14:paraId="1A6260B9">
            <w:pPr>
              <w:widowControl/>
              <w:snapToGrid w:val="0"/>
              <w:spacing w:line="348"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预算单价（</w:t>
            </w:r>
            <w:r>
              <w:rPr>
                <w:rFonts w:hint="eastAsia" w:ascii="宋体" w:hAnsi="宋体" w:eastAsia="宋体" w:cs="宋体"/>
                <w:b/>
                <w:bCs/>
                <w:color w:val="000000"/>
                <w:kern w:val="0"/>
                <w:sz w:val="24"/>
                <w:szCs w:val="24"/>
              </w:rPr>
              <w:t>不作竞争</w:t>
            </w:r>
            <w:r>
              <w:rPr>
                <w:rFonts w:hint="eastAsia" w:ascii="宋体" w:hAnsi="宋体" w:eastAsia="宋体" w:cs="宋体"/>
                <w:b/>
                <w:bCs/>
                <w:color w:val="000000"/>
                <w:kern w:val="0"/>
                <w:sz w:val="24"/>
                <w:szCs w:val="24"/>
                <w:lang w:eastAsia="zh-CN"/>
              </w:rPr>
              <w:t>）</w:t>
            </w:r>
          </w:p>
        </w:tc>
        <w:tc>
          <w:tcPr>
            <w:tcW w:w="1289" w:type="dxa"/>
            <w:vAlign w:val="center"/>
          </w:tcPr>
          <w:p w14:paraId="618A5CDF">
            <w:pPr>
              <w:widowControl/>
              <w:snapToGrid w:val="0"/>
              <w:spacing w:line="348"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预计人数</w:t>
            </w:r>
          </w:p>
        </w:tc>
        <w:tc>
          <w:tcPr>
            <w:tcW w:w="1289" w:type="dxa"/>
            <w:vAlign w:val="center"/>
          </w:tcPr>
          <w:p w14:paraId="3CB1AE4D">
            <w:pPr>
              <w:widowControl/>
              <w:snapToGrid w:val="0"/>
              <w:spacing w:line="348"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预算总价</w:t>
            </w:r>
          </w:p>
        </w:tc>
      </w:tr>
      <w:tr w14:paraId="24A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16" w:type="dxa"/>
            <w:vMerge w:val="restart"/>
            <w:vAlign w:val="center"/>
          </w:tcPr>
          <w:p w14:paraId="4C40AF88">
            <w:pPr>
              <w:widowControl/>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标项一</w:t>
            </w:r>
          </w:p>
        </w:tc>
        <w:tc>
          <w:tcPr>
            <w:tcW w:w="4320" w:type="dxa"/>
            <w:vAlign w:val="center"/>
          </w:tcPr>
          <w:p w14:paraId="5F8F3252">
            <w:pPr>
              <w:widowControl/>
              <w:snapToGrid w:val="0"/>
              <w:spacing w:line="348" w:lineRule="auto"/>
              <w:jc w:val="left"/>
              <w:rPr>
                <w:rFonts w:hint="eastAsia" w:ascii="宋体" w:hAnsi="宋体" w:eastAsia="宋体" w:cs="宋体"/>
                <w:color w:val="000000"/>
                <w:kern w:val="0"/>
                <w:sz w:val="24"/>
                <w:szCs w:val="24"/>
                <w:u w:color="000000"/>
              </w:rPr>
            </w:pPr>
            <w:r>
              <w:rPr>
                <w:rFonts w:hint="eastAsia" w:ascii="宋体" w:hAnsi="宋体" w:eastAsia="宋体" w:cs="宋体"/>
                <w:color w:val="000000"/>
                <w:kern w:val="0"/>
                <w:sz w:val="24"/>
                <w:szCs w:val="24"/>
                <w:u w:color="000000"/>
              </w:rPr>
              <w:t>路线1：</w:t>
            </w:r>
            <w:r>
              <w:rPr>
                <w:rFonts w:hint="eastAsia" w:ascii="宋体" w:hAnsi="宋体" w:eastAsia="宋体" w:cs="宋体"/>
                <w:color w:val="000000"/>
                <w:kern w:val="0"/>
                <w:sz w:val="24"/>
                <w:szCs w:val="24"/>
                <w:u w:color="000000"/>
                <w:lang w:eastAsia="zh-CN"/>
              </w:rPr>
              <w:t>长白山、长春五</w:t>
            </w:r>
            <w:r>
              <w:rPr>
                <w:rFonts w:hint="eastAsia" w:ascii="宋体" w:hAnsi="宋体" w:eastAsia="宋体" w:cs="宋体"/>
                <w:color w:val="000000"/>
                <w:kern w:val="0"/>
                <w:sz w:val="24"/>
                <w:szCs w:val="24"/>
                <w:u w:color="000000"/>
              </w:rPr>
              <w:t>日疗休养</w:t>
            </w:r>
          </w:p>
        </w:tc>
        <w:tc>
          <w:tcPr>
            <w:tcW w:w="2010" w:type="dxa"/>
            <w:vAlign w:val="center"/>
          </w:tcPr>
          <w:p w14:paraId="26285CE6">
            <w:pPr>
              <w:widowControl/>
              <w:snapToGrid w:val="0"/>
              <w:spacing w:line="348" w:lineRule="auto"/>
              <w:jc w:val="center"/>
              <w:rPr>
                <w:rFonts w:hint="eastAsia" w:ascii="宋体" w:hAnsi="宋体" w:eastAsia="宋体" w:cs="宋体"/>
                <w:color w:val="000000"/>
                <w:kern w:val="0"/>
                <w:sz w:val="24"/>
                <w:szCs w:val="24"/>
                <w:u w:color="000000"/>
              </w:rPr>
            </w:pPr>
            <w:r>
              <w:rPr>
                <w:rFonts w:hint="eastAsia" w:ascii="宋体" w:hAnsi="宋体" w:eastAsia="宋体" w:cs="宋体"/>
                <w:color w:val="000000"/>
                <w:sz w:val="24"/>
                <w:szCs w:val="24"/>
              </w:rPr>
              <w:t>3000元/人</w:t>
            </w:r>
          </w:p>
        </w:tc>
        <w:tc>
          <w:tcPr>
            <w:tcW w:w="1289" w:type="dxa"/>
            <w:vAlign w:val="center"/>
          </w:tcPr>
          <w:p w14:paraId="4AD5CFE6">
            <w:pPr>
              <w:widowControl/>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人</w:t>
            </w:r>
          </w:p>
        </w:tc>
        <w:tc>
          <w:tcPr>
            <w:tcW w:w="1289" w:type="dxa"/>
            <w:vMerge w:val="restart"/>
            <w:vAlign w:val="center"/>
          </w:tcPr>
          <w:p w14:paraId="437A6D3A">
            <w:pPr>
              <w:keepNext w:val="0"/>
              <w:keepLines w:val="0"/>
              <w:pageBreakBefore w:val="0"/>
              <w:widowControl/>
              <w:kinsoku/>
              <w:wordWrap/>
              <w:overflowPunct/>
              <w:topLinePunct w:val="0"/>
              <w:autoSpaceDE/>
              <w:autoSpaceDN/>
              <w:bidi w:val="0"/>
              <w:adjustRightInd w:val="0"/>
              <w:snapToGrid w:val="0"/>
              <w:spacing w:line="348"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102000元</w:t>
            </w:r>
          </w:p>
        </w:tc>
      </w:tr>
      <w:tr w14:paraId="313F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16" w:type="dxa"/>
            <w:vMerge w:val="continue"/>
            <w:vAlign w:val="center"/>
          </w:tcPr>
          <w:p w14:paraId="02D9808B">
            <w:pPr>
              <w:widowControl/>
              <w:snapToGrid w:val="0"/>
              <w:spacing w:line="348" w:lineRule="auto"/>
              <w:jc w:val="center"/>
              <w:rPr>
                <w:rFonts w:hint="eastAsia" w:ascii="宋体" w:hAnsi="宋体" w:eastAsia="宋体" w:cs="宋体"/>
                <w:color w:val="000000"/>
                <w:kern w:val="0"/>
                <w:sz w:val="24"/>
                <w:szCs w:val="24"/>
              </w:rPr>
            </w:pPr>
          </w:p>
        </w:tc>
        <w:tc>
          <w:tcPr>
            <w:tcW w:w="4320" w:type="dxa"/>
            <w:vAlign w:val="center"/>
          </w:tcPr>
          <w:p w14:paraId="5EF058A2">
            <w:pPr>
              <w:widowControl/>
              <w:snapToGrid w:val="0"/>
              <w:spacing w:line="348" w:lineRule="auto"/>
              <w:jc w:val="left"/>
              <w:rPr>
                <w:rFonts w:hint="eastAsia" w:ascii="宋体" w:hAnsi="宋体" w:eastAsia="宋体" w:cs="宋体"/>
                <w:color w:val="000000"/>
                <w:kern w:val="0"/>
                <w:sz w:val="24"/>
                <w:szCs w:val="24"/>
                <w:u w:color="000000"/>
                <w:lang w:eastAsia="zh-CN"/>
              </w:rPr>
            </w:pPr>
            <w:r>
              <w:rPr>
                <w:rFonts w:hint="eastAsia" w:ascii="宋体" w:hAnsi="宋体" w:eastAsia="宋体" w:cs="宋体"/>
                <w:color w:val="000000"/>
                <w:kern w:val="0"/>
                <w:sz w:val="24"/>
                <w:szCs w:val="24"/>
                <w:u w:color="000000"/>
              </w:rPr>
              <w:t>线路2：</w:t>
            </w:r>
            <w:r>
              <w:rPr>
                <w:rFonts w:hint="eastAsia" w:ascii="宋体" w:hAnsi="宋体" w:eastAsia="宋体" w:cs="宋体"/>
                <w:color w:val="000000"/>
                <w:kern w:val="0"/>
                <w:sz w:val="24"/>
                <w:szCs w:val="24"/>
              </w:rPr>
              <w:t>临安本地疗休养：</w:t>
            </w:r>
            <w:r>
              <w:rPr>
                <w:rFonts w:hint="eastAsia" w:ascii="宋体" w:hAnsi="宋体" w:eastAsia="宋体" w:cs="宋体"/>
                <w:color w:val="000000"/>
                <w:kern w:val="0"/>
                <w:sz w:val="24"/>
                <w:szCs w:val="24"/>
                <w:lang w:eastAsia="zh-CN"/>
              </w:rPr>
              <w:t>技能</w:t>
            </w:r>
            <w:r>
              <w:rPr>
                <w:rFonts w:hint="eastAsia" w:ascii="宋体" w:hAnsi="宋体" w:eastAsia="宋体" w:cs="宋体"/>
                <w:color w:val="000000"/>
                <w:kern w:val="0"/>
                <w:sz w:val="24"/>
                <w:szCs w:val="24"/>
              </w:rPr>
              <w:t>组</w:t>
            </w:r>
            <w:r>
              <w:rPr>
                <w:rFonts w:hint="eastAsia" w:ascii="宋体" w:hAnsi="宋体" w:eastAsia="宋体" w:cs="宋体"/>
                <w:color w:val="000000"/>
                <w:kern w:val="0"/>
                <w:sz w:val="24"/>
                <w:szCs w:val="24"/>
                <w:lang w:eastAsia="zh-CN"/>
              </w:rPr>
              <w:t>、文综组</w:t>
            </w:r>
          </w:p>
        </w:tc>
        <w:tc>
          <w:tcPr>
            <w:tcW w:w="2010" w:type="dxa"/>
            <w:vAlign w:val="center"/>
          </w:tcPr>
          <w:p w14:paraId="607488B0">
            <w:pPr>
              <w:widowControl/>
              <w:snapToGrid w:val="0"/>
              <w:spacing w:line="348"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3000元/人</w:t>
            </w:r>
          </w:p>
        </w:tc>
        <w:tc>
          <w:tcPr>
            <w:tcW w:w="1289" w:type="dxa"/>
            <w:vAlign w:val="center"/>
          </w:tcPr>
          <w:p w14:paraId="459D55AA">
            <w:pPr>
              <w:widowControl/>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人</w:t>
            </w:r>
          </w:p>
        </w:tc>
        <w:tc>
          <w:tcPr>
            <w:tcW w:w="1289" w:type="dxa"/>
            <w:vMerge w:val="continue"/>
            <w:vAlign w:val="center"/>
          </w:tcPr>
          <w:p w14:paraId="5D55CC25">
            <w:pPr>
              <w:keepNext w:val="0"/>
              <w:keepLines w:val="0"/>
              <w:pageBreakBefore w:val="0"/>
              <w:widowControl/>
              <w:kinsoku/>
              <w:wordWrap/>
              <w:overflowPunct/>
              <w:topLinePunct w:val="0"/>
              <w:autoSpaceDE/>
              <w:autoSpaceDN/>
              <w:bidi w:val="0"/>
              <w:adjustRightInd w:val="0"/>
              <w:snapToGrid w:val="0"/>
              <w:spacing w:line="348" w:lineRule="auto"/>
              <w:ind w:firstLine="0" w:firstLineChars="0"/>
              <w:jc w:val="center"/>
              <w:textAlignment w:val="auto"/>
              <w:rPr>
                <w:rFonts w:hint="eastAsia" w:ascii="宋体" w:hAnsi="宋体" w:eastAsia="宋体" w:cs="宋体"/>
                <w:color w:val="000000"/>
                <w:kern w:val="0"/>
                <w:sz w:val="24"/>
                <w:szCs w:val="24"/>
                <w:lang w:val="en-US" w:eastAsia="zh-CN"/>
              </w:rPr>
            </w:pPr>
          </w:p>
        </w:tc>
      </w:tr>
      <w:tr w14:paraId="06CF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16" w:type="dxa"/>
            <w:vAlign w:val="center"/>
          </w:tcPr>
          <w:p w14:paraId="0D1525F1">
            <w:pPr>
              <w:widowControl/>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标项二</w:t>
            </w:r>
          </w:p>
        </w:tc>
        <w:tc>
          <w:tcPr>
            <w:tcW w:w="4320" w:type="dxa"/>
            <w:vAlign w:val="center"/>
          </w:tcPr>
          <w:p w14:paraId="15E9039E">
            <w:pPr>
              <w:pStyle w:val="59"/>
              <w:ind w:left="0" w:leftChars="0" w:firstLine="0" w:firstLineChars="0"/>
              <w:jc w:val="left"/>
              <w:rPr>
                <w:rFonts w:hint="eastAsia" w:ascii="宋体" w:hAnsi="宋体" w:eastAsia="宋体" w:cs="宋体"/>
                <w:color w:val="000000"/>
                <w:kern w:val="0"/>
                <w:sz w:val="24"/>
                <w:szCs w:val="24"/>
                <w:u w:color="000000"/>
              </w:rPr>
            </w:pPr>
            <w:r>
              <w:rPr>
                <w:rFonts w:hint="eastAsia" w:ascii="宋体" w:hAnsi="宋体" w:eastAsia="宋体" w:cs="宋体"/>
                <w:color w:val="000000"/>
                <w:kern w:val="0"/>
                <w:sz w:val="24"/>
                <w:szCs w:val="24"/>
                <w:u w:color="000000"/>
              </w:rPr>
              <w:t>路线3：</w:t>
            </w:r>
            <w:r>
              <w:rPr>
                <w:rFonts w:hint="eastAsia" w:ascii="宋体" w:hAnsi="宋体" w:eastAsia="宋体" w:cs="宋体"/>
                <w:color w:val="000000"/>
                <w:kern w:val="0"/>
                <w:sz w:val="24"/>
                <w:szCs w:val="24"/>
              </w:rPr>
              <w:t>临安本地疗休养：</w:t>
            </w:r>
            <w:r>
              <w:rPr>
                <w:rFonts w:hint="eastAsia" w:ascii="宋体" w:hAnsi="宋体" w:eastAsia="宋体" w:cs="宋体"/>
                <w:color w:val="000000"/>
                <w:kern w:val="0"/>
                <w:sz w:val="24"/>
                <w:szCs w:val="24"/>
                <w:lang w:eastAsia="zh-CN"/>
              </w:rPr>
              <w:t>语文组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数学</w:t>
            </w:r>
            <w:r>
              <w:rPr>
                <w:rFonts w:hint="eastAsia" w:ascii="宋体" w:hAnsi="宋体" w:eastAsia="宋体" w:cs="宋体"/>
                <w:color w:val="000000"/>
                <w:kern w:val="0"/>
                <w:sz w:val="24"/>
                <w:szCs w:val="24"/>
              </w:rPr>
              <w:t>组</w:t>
            </w:r>
          </w:p>
        </w:tc>
        <w:tc>
          <w:tcPr>
            <w:tcW w:w="2010" w:type="dxa"/>
            <w:vAlign w:val="center"/>
          </w:tcPr>
          <w:p w14:paraId="17FB9652">
            <w:pPr>
              <w:widowControl/>
              <w:snapToGrid w:val="0"/>
              <w:spacing w:line="348" w:lineRule="auto"/>
              <w:jc w:val="center"/>
              <w:rPr>
                <w:rFonts w:hint="eastAsia" w:ascii="宋体" w:hAnsi="宋体" w:eastAsia="宋体" w:cs="宋体"/>
                <w:color w:val="000000"/>
                <w:kern w:val="0"/>
                <w:sz w:val="24"/>
                <w:szCs w:val="24"/>
                <w:u w:color="000000"/>
              </w:rPr>
            </w:pPr>
            <w:r>
              <w:rPr>
                <w:rFonts w:hint="eastAsia" w:ascii="宋体" w:hAnsi="宋体" w:eastAsia="宋体" w:cs="宋体"/>
                <w:color w:val="000000"/>
                <w:sz w:val="24"/>
                <w:szCs w:val="24"/>
              </w:rPr>
              <w:t>3000元/人</w:t>
            </w:r>
          </w:p>
        </w:tc>
        <w:tc>
          <w:tcPr>
            <w:tcW w:w="1289" w:type="dxa"/>
            <w:vAlign w:val="center"/>
          </w:tcPr>
          <w:p w14:paraId="74B10A57">
            <w:pPr>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人</w:t>
            </w:r>
          </w:p>
        </w:tc>
        <w:tc>
          <w:tcPr>
            <w:tcW w:w="1289" w:type="dxa"/>
            <w:vAlign w:val="center"/>
          </w:tcPr>
          <w:p w14:paraId="7C072D8D">
            <w:pPr>
              <w:keepNext w:val="0"/>
              <w:keepLines w:val="0"/>
              <w:pageBreakBefore w:val="0"/>
              <w:kinsoku/>
              <w:wordWrap/>
              <w:overflowPunct/>
              <w:topLinePunct w:val="0"/>
              <w:autoSpaceDE/>
              <w:autoSpaceDN/>
              <w:bidi w:val="0"/>
              <w:adjustRightInd w:val="0"/>
              <w:snapToGrid w:val="0"/>
              <w:spacing w:line="348"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102000元</w:t>
            </w:r>
          </w:p>
        </w:tc>
      </w:tr>
      <w:tr w14:paraId="56B8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16" w:type="dxa"/>
            <w:vAlign w:val="center"/>
          </w:tcPr>
          <w:p w14:paraId="056FF5EA">
            <w:pPr>
              <w:widowControl/>
              <w:snapToGrid w:val="0"/>
              <w:spacing w:line="348"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标项三</w:t>
            </w:r>
          </w:p>
        </w:tc>
        <w:tc>
          <w:tcPr>
            <w:tcW w:w="4320" w:type="dxa"/>
            <w:vAlign w:val="center"/>
          </w:tcPr>
          <w:p w14:paraId="735A5246">
            <w:pPr>
              <w:pStyle w:val="59"/>
              <w:ind w:left="0" w:leftChars="0" w:firstLine="0" w:firstLineChars="0"/>
              <w:jc w:val="left"/>
              <w:rPr>
                <w:rFonts w:hint="eastAsia" w:ascii="宋体" w:hAnsi="宋体" w:eastAsia="宋体" w:cs="宋体"/>
                <w:color w:val="000000"/>
                <w:kern w:val="0"/>
                <w:sz w:val="24"/>
                <w:szCs w:val="24"/>
                <w:u w:color="000000"/>
              </w:rPr>
            </w:pPr>
            <w:r>
              <w:rPr>
                <w:rFonts w:hint="eastAsia" w:ascii="宋体" w:hAnsi="宋体" w:eastAsia="宋体" w:cs="宋体"/>
                <w:color w:val="000000"/>
                <w:kern w:val="0"/>
                <w:sz w:val="24"/>
                <w:szCs w:val="24"/>
              </w:rPr>
              <w:t>线路4：临安本地疗休养：</w:t>
            </w:r>
            <w:r>
              <w:rPr>
                <w:rFonts w:hint="eastAsia" w:ascii="宋体" w:hAnsi="宋体" w:eastAsia="宋体" w:cs="宋体"/>
                <w:color w:val="000000"/>
                <w:kern w:val="0"/>
                <w:sz w:val="24"/>
                <w:szCs w:val="24"/>
                <w:lang w:eastAsia="zh-CN"/>
              </w:rPr>
              <w:t>科学</w:t>
            </w:r>
            <w:r>
              <w:rPr>
                <w:rFonts w:hint="eastAsia" w:ascii="宋体" w:hAnsi="宋体" w:eastAsia="宋体" w:cs="宋体"/>
                <w:color w:val="000000"/>
                <w:kern w:val="0"/>
                <w:sz w:val="24"/>
                <w:szCs w:val="24"/>
              </w:rPr>
              <w:t>组、</w:t>
            </w:r>
            <w:r>
              <w:rPr>
                <w:rFonts w:hint="eastAsia" w:ascii="宋体" w:hAnsi="宋体" w:eastAsia="宋体" w:cs="宋体"/>
                <w:color w:val="000000"/>
                <w:kern w:val="0"/>
                <w:sz w:val="24"/>
                <w:szCs w:val="24"/>
                <w:lang w:eastAsia="zh-CN"/>
              </w:rPr>
              <w:t>英语</w:t>
            </w:r>
            <w:r>
              <w:rPr>
                <w:rFonts w:hint="eastAsia" w:ascii="宋体" w:hAnsi="宋体" w:eastAsia="宋体" w:cs="宋体"/>
                <w:color w:val="000000"/>
                <w:kern w:val="0"/>
                <w:sz w:val="24"/>
                <w:szCs w:val="24"/>
              </w:rPr>
              <w:t>组</w:t>
            </w:r>
          </w:p>
        </w:tc>
        <w:tc>
          <w:tcPr>
            <w:tcW w:w="2010" w:type="dxa"/>
            <w:vAlign w:val="center"/>
          </w:tcPr>
          <w:p w14:paraId="48ECA29C">
            <w:pPr>
              <w:pStyle w:val="59"/>
              <w:ind w:left="0" w:leftChars="0" w:firstLine="0" w:firstLineChars="0"/>
              <w:jc w:val="center"/>
              <w:rPr>
                <w:rFonts w:hint="eastAsia" w:ascii="宋体" w:hAnsi="宋体" w:eastAsia="宋体" w:cs="宋体"/>
                <w:color w:val="000000"/>
                <w:kern w:val="0"/>
                <w:sz w:val="24"/>
                <w:szCs w:val="24"/>
                <w:u w:color="000000"/>
              </w:rPr>
            </w:pPr>
            <w:r>
              <w:rPr>
                <w:rFonts w:hint="eastAsia" w:ascii="宋体" w:hAnsi="宋体" w:eastAsia="宋体" w:cs="宋体"/>
                <w:color w:val="000000"/>
                <w:sz w:val="24"/>
                <w:szCs w:val="24"/>
              </w:rPr>
              <w:t>3000元/人</w:t>
            </w:r>
          </w:p>
        </w:tc>
        <w:tc>
          <w:tcPr>
            <w:tcW w:w="1289" w:type="dxa"/>
            <w:vAlign w:val="center"/>
          </w:tcPr>
          <w:p w14:paraId="44355387">
            <w:pPr>
              <w:widowControl/>
              <w:snapToGrid w:val="0"/>
              <w:spacing w:line="348" w:lineRule="auto"/>
              <w:ind w:left="0" w:lef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人</w:t>
            </w:r>
          </w:p>
        </w:tc>
        <w:tc>
          <w:tcPr>
            <w:tcW w:w="1289" w:type="dxa"/>
            <w:vAlign w:val="center"/>
          </w:tcPr>
          <w:p w14:paraId="03D08660">
            <w:pPr>
              <w:keepNext w:val="0"/>
              <w:keepLines w:val="0"/>
              <w:pageBreakBefore w:val="0"/>
              <w:widowControl/>
              <w:kinsoku/>
              <w:wordWrap/>
              <w:overflowPunct/>
              <w:topLinePunct w:val="0"/>
              <w:autoSpaceDE/>
              <w:autoSpaceDN/>
              <w:bidi w:val="0"/>
              <w:adjustRightInd w:val="0"/>
              <w:snapToGrid w:val="0"/>
              <w:spacing w:line="348"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102000元</w:t>
            </w:r>
          </w:p>
        </w:tc>
      </w:tr>
      <w:tr w14:paraId="00F5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924" w:type="dxa"/>
            <w:gridSpan w:val="5"/>
            <w:vAlign w:val="center"/>
          </w:tcPr>
          <w:p w14:paraId="4F74EC09">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（1）本次疗休养省外线路不含大交通费用，本地疗休养线路包含交通费用。</w:t>
            </w:r>
          </w:p>
          <w:p w14:paraId="145CA4AB">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（2）省外线路产生的大交通费用，根据政策结算及具体线路方案另行确认个人承担金额，按实际发生费用支付给成交供应商。</w:t>
            </w:r>
          </w:p>
          <w:p w14:paraId="6D61ED1E">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（3）疗养时间以采购人出发时间为准，原则上出发准备时间不得多于5个工作日。</w:t>
            </w:r>
          </w:p>
          <w:p w14:paraId="66890BA2">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（4）由于天气等不可抗拒因素，采购人有权调整疗休养路线，成交供应商应积极配合。</w:t>
            </w:r>
          </w:p>
          <w:p w14:paraId="07BF057F">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（5）每条线路根据工会文件均要为出行者购买人身意外伤害保险。</w:t>
            </w:r>
          </w:p>
          <w:p w14:paraId="4BAAA21B">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（6）上表每条线路出行人数为预计人数，出行人数存在不确定性，最终费用按实际出发人数按实结算。</w:t>
            </w:r>
          </w:p>
          <w:p w14:paraId="535D61A4">
            <w:pPr>
              <w:widowControl/>
              <w:snapToGrid w:val="0"/>
              <w:spacing w:line="348"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（7）其他根据工会标准进行。</w:t>
            </w:r>
          </w:p>
        </w:tc>
      </w:tr>
    </w:tbl>
    <w:p w14:paraId="5A94531C">
      <w:pPr>
        <w:spacing w:line="360" w:lineRule="auto"/>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eastAsia="zh-CN"/>
        </w:rPr>
        <w:t>三、</w:t>
      </w:r>
      <w:r>
        <w:rPr>
          <w:rFonts w:hint="eastAsia" w:ascii="宋体" w:hAnsi="宋体" w:eastAsia="宋体" w:cs="宋体"/>
          <w:b/>
          <w:color w:val="000000"/>
          <w:sz w:val="24"/>
          <w:szCs w:val="24"/>
        </w:rPr>
        <w:t>行程线路拟安排</w:t>
      </w:r>
    </w:p>
    <w:p w14:paraId="71719473">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第一天至第</w:t>
      </w: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rPr>
        <w:t>天：组织人员活动、参观游览，行程安排符合人员疗养，在确保安全的前提下力求做到动静结合，贴近需求。第五</w:t>
      </w:r>
      <w:r>
        <w:rPr>
          <w:rFonts w:hint="eastAsia" w:ascii="宋体" w:hAnsi="宋体" w:eastAsia="宋体" w:cs="宋体"/>
          <w:color w:val="000000"/>
          <w:kern w:val="0"/>
          <w:sz w:val="24"/>
          <w:szCs w:val="24"/>
          <w:lang w:val="en-US" w:eastAsia="zh-CN"/>
        </w:rPr>
        <w:t>天</w:t>
      </w:r>
      <w:r>
        <w:rPr>
          <w:rFonts w:hint="eastAsia" w:ascii="宋体" w:hAnsi="宋体" w:eastAsia="宋体" w:cs="宋体"/>
          <w:color w:val="000000"/>
          <w:kern w:val="0"/>
          <w:sz w:val="24"/>
          <w:szCs w:val="24"/>
        </w:rPr>
        <w:t>发放满意度调查表，返回出发地。</w:t>
      </w:r>
    </w:p>
    <w:p w14:paraId="18F72452">
      <w:pPr>
        <w:widowControl/>
        <w:tabs>
          <w:tab w:val="left" w:pos="0"/>
        </w:tabs>
        <w:adjustRightInd/>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要求：行程安排及景区参观路线可根据天气等实际情况征得采购方同意后调整。</w:t>
      </w:r>
    </w:p>
    <w:p w14:paraId="27119231">
      <w:pPr>
        <w:widowControl/>
        <w:tabs>
          <w:tab w:val="left" w:pos="0"/>
        </w:tabs>
        <w:adjustRightInd/>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 xml:space="preserve">    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线路要求：投标单位须按采购需求</w:t>
      </w:r>
      <w:r>
        <w:rPr>
          <w:rFonts w:hint="eastAsia" w:ascii="宋体" w:hAnsi="宋体" w:eastAsia="宋体" w:cs="宋体"/>
          <w:b/>
          <w:bCs/>
          <w:color w:val="000000"/>
          <w:sz w:val="24"/>
          <w:szCs w:val="24"/>
          <w:lang w:val="en-US" w:eastAsia="zh-CN"/>
        </w:rPr>
        <w:t>根据</w:t>
      </w:r>
      <w:r>
        <w:rPr>
          <w:rFonts w:hint="eastAsia" w:ascii="宋体" w:hAnsi="宋体" w:eastAsia="宋体" w:cs="宋体"/>
          <w:b/>
          <w:bCs/>
          <w:color w:val="000000"/>
          <w:sz w:val="24"/>
          <w:szCs w:val="24"/>
        </w:rPr>
        <w:t>每个</w:t>
      </w:r>
      <w:r>
        <w:rPr>
          <w:rFonts w:hint="eastAsia" w:ascii="宋体" w:hAnsi="宋体" w:eastAsia="宋体" w:cs="宋体"/>
          <w:b/>
          <w:bCs/>
          <w:color w:val="000000"/>
          <w:sz w:val="24"/>
          <w:szCs w:val="24"/>
          <w:lang w:val="en-US" w:eastAsia="zh-CN"/>
        </w:rPr>
        <w:t>标项对应的出行</w:t>
      </w:r>
      <w:r>
        <w:rPr>
          <w:rFonts w:hint="eastAsia" w:ascii="宋体" w:hAnsi="宋体" w:eastAsia="宋体" w:cs="宋体"/>
          <w:b/>
          <w:bCs/>
          <w:color w:val="000000"/>
          <w:sz w:val="24"/>
          <w:szCs w:val="24"/>
        </w:rPr>
        <w:t>路线提供1种方案</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方案中需</w:t>
      </w:r>
      <w:r>
        <w:rPr>
          <w:rFonts w:hint="eastAsia" w:ascii="宋体" w:hAnsi="宋体" w:eastAsia="宋体" w:cs="宋体"/>
          <w:color w:val="auto"/>
          <w:kern w:val="0"/>
          <w:sz w:val="24"/>
          <w:szCs w:val="24"/>
        </w:rPr>
        <w:t>提供具体行程、出行方式、就餐标准等</w:t>
      </w:r>
      <w:r>
        <w:rPr>
          <w:rFonts w:hint="eastAsia" w:ascii="宋体" w:hAnsi="宋体" w:eastAsia="宋体" w:cs="宋体"/>
          <w:color w:val="auto"/>
          <w:kern w:val="0"/>
          <w:sz w:val="24"/>
          <w:szCs w:val="24"/>
          <w:lang w:eastAsia="zh-CN"/>
        </w:rPr>
        <w:t>，</w:t>
      </w:r>
      <w:r>
        <w:rPr>
          <w:rFonts w:hint="eastAsia" w:ascii="宋体" w:hAnsi="宋体" w:eastAsia="宋体" w:cs="宋体"/>
          <w:color w:val="000000"/>
          <w:sz w:val="24"/>
          <w:szCs w:val="24"/>
        </w:rPr>
        <w:t>同时此方案不作为采购人最终选定方案。最终方</w:t>
      </w:r>
      <w:r>
        <w:rPr>
          <w:rFonts w:hint="eastAsia" w:ascii="宋体" w:hAnsi="宋体" w:eastAsia="宋体" w:cs="宋体"/>
          <w:b w:val="0"/>
          <w:bCs w:val="0"/>
          <w:color w:val="000000"/>
          <w:sz w:val="24"/>
          <w:szCs w:val="24"/>
        </w:rPr>
        <w:t>案</w:t>
      </w:r>
      <w:r>
        <w:rPr>
          <w:rFonts w:hint="eastAsia" w:ascii="宋体" w:hAnsi="宋体" w:eastAsia="宋体" w:cs="宋体"/>
          <w:b w:val="0"/>
          <w:bCs w:val="0"/>
          <w:color w:val="000000"/>
          <w:sz w:val="24"/>
          <w:szCs w:val="24"/>
          <w:lang w:val="en-US" w:eastAsia="zh-CN"/>
        </w:rPr>
        <w:t>以</w:t>
      </w:r>
      <w:r>
        <w:rPr>
          <w:rFonts w:hint="eastAsia" w:ascii="宋体" w:hAnsi="宋体" w:eastAsia="宋体" w:cs="宋体"/>
          <w:b w:val="0"/>
          <w:bCs w:val="0"/>
          <w:color w:val="000000"/>
          <w:kern w:val="0"/>
          <w:sz w:val="24"/>
          <w:szCs w:val="24"/>
        </w:rPr>
        <w:t>中标</w:t>
      </w:r>
      <w:r>
        <w:rPr>
          <w:rFonts w:hint="eastAsia" w:ascii="宋体" w:hAnsi="宋体" w:eastAsia="宋体" w:cs="宋体"/>
          <w:b w:val="0"/>
          <w:bCs w:val="0"/>
          <w:color w:val="000000"/>
          <w:kern w:val="0"/>
          <w:sz w:val="24"/>
          <w:szCs w:val="24"/>
          <w:lang w:val="en-US" w:eastAsia="zh-CN"/>
        </w:rPr>
        <w:t>供应商</w:t>
      </w:r>
      <w:r>
        <w:rPr>
          <w:rFonts w:hint="eastAsia" w:ascii="宋体" w:hAnsi="宋体" w:eastAsia="宋体" w:cs="宋体"/>
          <w:b w:val="0"/>
          <w:bCs w:val="0"/>
          <w:color w:val="000000"/>
          <w:sz w:val="24"/>
          <w:szCs w:val="24"/>
        </w:rPr>
        <w:t>须</w:t>
      </w:r>
      <w:r>
        <w:rPr>
          <w:rFonts w:hint="eastAsia" w:ascii="宋体" w:hAnsi="宋体" w:eastAsia="宋体" w:cs="宋体"/>
          <w:b w:val="0"/>
          <w:bCs w:val="0"/>
          <w:color w:val="000000"/>
          <w:kern w:val="0"/>
          <w:sz w:val="24"/>
          <w:szCs w:val="24"/>
        </w:rPr>
        <w:t>与采购人沟通后再确认的为准。</w:t>
      </w:r>
    </w:p>
    <w:p w14:paraId="61755802">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制定协助旅游的服务方案及旅游出行前的说明。</w:t>
      </w:r>
    </w:p>
    <w:p w14:paraId="51038B37">
      <w:pPr>
        <w:tabs>
          <w:tab w:val="left" w:pos="0"/>
        </w:tabs>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四、</w:t>
      </w:r>
      <w:r>
        <w:rPr>
          <w:rFonts w:hint="eastAsia" w:ascii="宋体" w:hAnsi="宋体" w:eastAsia="宋体" w:cs="宋体"/>
          <w:b/>
          <w:color w:val="000000"/>
          <w:kern w:val="0"/>
          <w:sz w:val="24"/>
          <w:szCs w:val="24"/>
        </w:rPr>
        <w:t>行程基本要求</w:t>
      </w:r>
    </w:p>
    <w:p w14:paraId="2EA3F21F">
      <w:pPr>
        <w:tabs>
          <w:tab w:val="left" w:pos="284"/>
          <w:tab w:val="left" w:pos="42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bCs/>
          <w:sz w:val="24"/>
          <w:szCs w:val="24"/>
        </w:rPr>
        <w:t>保险：</w:t>
      </w:r>
      <w:r>
        <w:rPr>
          <w:rFonts w:hint="eastAsia" w:ascii="宋体" w:hAnsi="宋体" w:eastAsia="宋体" w:cs="宋体"/>
          <w:sz w:val="24"/>
          <w:szCs w:val="24"/>
        </w:rPr>
        <w:t>投标供应商报价包含必须为疗休养职工购买具有一定抵抗风险的保险（包括：旅行社责任险，旅游意外伤害保险等），做到应保则保，响应文件中应说明具体险种和单人保额。其中，旅行社责任险不少于100万元/人、旅游安全人身意外伤害保险不少于100万元/人。实际实施过程中，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必须提供每批疗休养人员购买保险的原始凭证的复印件给采购人。</w:t>
      </w:r>
    </w:p>
    <w:p w14:paraId="23B49F4B">
      <w:pPr>
        <w:tabs>
          <w:tab w:val="left" w:pos="284"/>
          <w:tab w:val="left" w:pos="42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b/>
          <w:bCs/>
          <w:sz w:val="24"/>
          <w:szCs w:val="24"/>
        </w:rPr>
        <w:t>酒店：</w:t>
      </w:r>
      <w:r>
        <w:rPr>
          <w:rFonts w:hint="eastAsia" w:ascii="宋体" w:hAnsi="宋体" w:eastAsia="宋体" w:cs="宋体"/>
          <w:sz w:val="24"/>
          <w:szCs w:val="24"/>
        </w:rPr>
        <w:t>住宿综合环境好，要求挂牌四星或网评四钻以上（含）且设施较好的装修的酒店（一般标准2人间，职工如有单间需求的，按团队价补差价）。要求标注每天住宿酒店的名称、星级和具体地址</w:t>
      </w:r>
      <w:r>
        <w:rPr>
          <w:rFonts w:hint="eastAsia" w:ascii="宋体" w:hAnsi="宋体" w:eastAsia="宋体" w:cs="宋体"/>
          <w:sz w:val="24"/>
          <w:szCs w:val="24"/>
          <w:lang w:eastAsia="zh-CN"/>
        </w:rPr>
        <w:t>。</w:t>
      </w:r>
      <w:r>
        <w:rPr>
          <w:rFonts w:hint="eastAsia" w:ascii="宋体" w:hAnsi="宋体" w:eastAsia="宋体" w:cs="宋体"/>
          <w:sz w:val="24"/>
          <w:szCs w:val="24"/>
        </w:rPr>
        <w:t>如实际接待中，投标指定酒店无法安排，需要安排</w:t>
      </w:r>
      <w:r>
        <w:rPr>
          <w:rFonts w:hint="eastAsia" w:ascii="宋体" w:hAnsi="宋体" w:eastAsia="宋体" w:cs="宋体"/>
          <w:sz w:val="24"/>
          <w:szCs w:val="24"/>
          <w:lang w:val="en-US" w:eastAsia="zh-CN"/>
        </w:rPr>
        <w:t>同等档次</w:t>
      </w:r>
      <w:r>
        <w:rPr>
          <w:rFonts w:hint="eastAsia" w:ascii="宋体" w:hAnsi="宋体" w:eastAsia="宋体" w:cs="宋体"/>
          <w:sz w:val="24"/>
          <w:szCs w:val="24"/>
        </w:rPr>
        <w:t>酒店。</w:t>
      </w:r>
    </w:p>
    <w:p w14:paraId="3214730D">
      <w:pPr>
        <w:tabs>
          <w:tab w:val="left" w:pos="284"/>
          <w:tab w:val="left" w:pos="42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bCs/>
          <w:sz w:val="24"/>
          <w:szCs w:val="24"/>
        </w:rPr>
        <w:t>就餐安排：</w:t>
      </w:r>
      <w:r>
        <w:rPr>
          <w:rFonts w:hint="eastAsia" w:ascii="宋体" w:hAnsi="宋体" w:eastAsia="宋体" w:cs="宋体"/>
          <w:sz w:val="24"/>
          <w:szCs w:val="24"/>
        </w:rPr>
        <w:t>在正规饭店或农家乐就餐，可采用10人一桌或自助餐的形式。入住酒店必须包含早餐，</w:t>
      </w:r>
      <w:r>
        <w:rPr>
          <w:rFonts w:hint="eastAsia" w:ascii="宋体" w:hAnsi="宋体" w:eastAsia="宋体" w:cs="宋体"/>
          <w:sz w:val="24"/>
          <w:szCs w:val="24"/>
          <w:highlight w:val="none"/>
        </w:rPr>
        <w:t>每人每天午餐餐费标准不低于为60元/人，晚餐餐费标准不低于为80元/人</w:t>
      </w:r>
      <w:r>
        <w:rPr>
          <w:rFonts w:hint="eastAsia" w:ascii="宋体" w:hAnsi="宋体" w:eastAsia="宋体" w:cs="宋体"/>
          <w:sz w:val="24"/>
          <w:szCs w:val="24"/>
        </w:rPr>
        <w:t>，</w:t>
      </w:r>
      <w:r>
        <w:rPr>
          <w:rFonts w:hint="eastAsia" w:ascii="宋体" w:hAnsi="宋体" w:eastAsia="宋体" w:cs="宋体"/>
          <w:color w:val="000000"/>
          <w:kern w:val="0"/>
          <w:sz w:val="24"/>
          <w:szCs w:val="24"/>
        </w:rPr>
        <w:t xml:space="preserve">食物要求新鲜、安全，适合口味。要求每餐菜品多样，不雷同。餐厅交通便利，环境较好。 </w:t>
      </w:r>
    </w:p>
    <w:p w14:paraId="4F6A6190">
      <w:pPr>
        <w:tabs>
          <w:tab w:val="left" w:pos="0"/>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b/>
          <w:color w:val="000000"/>
          <w:kern w:val="0"/>
          <w:sz w:val="24"/>
          <w:szCs w:val="24"/>
        </w:rPr>
        <w:t>交通：</w:t>
      </w:r>
      <w:r>
        <w:rPr>
          <w:rFonts w:hint="eastAsia" w:ascii="宋体" w:hAnsi="宋体" w:eastAsia="宋体" w:cs="宋体"/>
          <w:color w:val="000000"/>
          <w:kern w:val="0"/>
          <w:sz w:val="24"/>
          <w:szCs w:val="24"/>
        </w:rPr>
        <w:t>全程空调旅游车（省外大交通为</w:t>
      </w:r>
      <w:r>
        <w:rPr>
          <w:rFonts w:hint="eastAsia" w:ascii="宋体" w:hAnsi="宋体" w:eastAsia="宋体" w:cs="宋体"/>
          <w:color w:val="000000"/>
          <w:kern w:val="0"/>
          <w:sz w:val="24"/>
          <w:szCs w:val="24"/>
          <w:highlight w:val="none"/>
        </w:rPr>
        <w:t>飞机</w:t>
      </w:r>
      <w:r>
        <w:rPr>
          <w:rFonts w:hint="eastAsia" w:ascii="宋体" w:hAnsi="宋体" w:eastAsia="宋体" w:cs="宋体"/>
          <w:color w:val="000000"/>
          <w:kern w:val="0"/>
          <w:sz w:val="24"/>
          <w:szCs w:val="24"/>
        </w:rPr>
        <w:t>）。要求车况好，车位充足，空调效果好，司机服务态度好、技术好，确保行程安全。要求</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年内新车，按照人数1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1.2比例配备。每车至少配备1名导游</w:t>
      </w:r>
      <w:r>
        <w:rPr>
          <w:rFonts w:hint="eastAsia" w:ascii="宋体" w:hAnsi="宋体" w:eastAsia="宋体" w:cs="宋体"/>
          <w:color w:val="000000"/>
          <w:kern w:val="0"/>
          <w:sz w:val="24"/>
          <w:szCs w:val="24"/>
          <w:highlight w:val="none"/>
        </w:rPr>
        <w:t>，车上需配备</w:t>
      </w:r>
      <w:r>
        <w:rPr>
          <w:rFonts w:hint="eastAsia" w:ascii="宋体" w:hAnsi="宋体" w:eastAsia="宋体" w:cs="宋体"/>
          <w:color w:val="000000"/>
          <w:kern w:val="0"/>
          <w:sz w:val="24"/>
          <w:szCs w:val="24"/>
          <w:highlight w:val="none"/>
          <w:lang w:val="en-US" w:eastAsia="zh-CN"/>
        </w:rPr>
        <w:t>矿泉水</w:t>
      </w:r>
      <w:r>
        <w:rPr>
          <w:rFonts w:hint="eastAsia" w:ascii="宋体" w:hAnsi="宋体" w:eastAsia="宋体" w:cs="宋体"/>
          <w:sz w:val="24"/>
          <w:szCs w:val="24"/>
          <w:highlight w:val="none"/>
        </w:rPr>
        <w:t>。</w:t>
      </w:r>
    </w:p>
    <w:p w14:paraId="6F310EB5">
      <w:pPr>
        <w:tabs>
          <w:tab w:val="left" w:pos="284"/>
          <w:tab w:val="left" w:pos="425"/>
        </w:tabs>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5.</w:t>
      </w:r>
      <w:r>
        <w:rPr>
          <w:rFonts w:hint="eastAsia" w:ascii="宋体" w:hAnsi="宋体" w:eastAsia="宋体" w:cs="宋体"/>
          <w:b/>
          <w:bCs/>
          <w:sz w:val="24"/>
          <w:szCs w:val="24"/>
        </w:rPr>
        <w:t>景点：</w:t>
      </w:r>
      <w:r>
        <w:rPr>
          <w:rFonts w:hint="eastAsia" w:ascii="宋体" w:hAnsi="宋体" w:eastAsia="宋体" w:cs="宋体"/>
          <w:sz w:val="24"/>
          <w:szCs w:val="24"/>
        </w:rPr>
        <w:t>每条线路中每天景点安排合理，有无自理费用需注明</w:t>
      </w:r>
      <w:r>
        <w:rPr>
          <w:rFonts w:hint="eastAsia" w:ascii="宋体" w:hAnsi="宋体" w:eastAsia="宋体" w:cs="宋体"/>
          <w:sz w:val="24"/>
          <w:szCs w:val="24"/>
          <w:lang w:eastAsia="zh-CN"/>
        </w:rPr>
        <w:t>。</w:t>
      </w:r>
    </w:p>
    <w:p w14:paraId="60BF3DF4">
      <w:pPr>
        <w:tabs>
          <w:tab w:val="left" w:pos="0"/>
        </w:tabs>
        <w:spacing w:line="360" w:lineRule="auto"/>
        <w:ind w:firstLine="482" w:firstLineChars="200"/>
        <w:rPr>
          <w:rFonts w:hint="eastAsia" w:ascii="宋体" w:hAnsi="宋体" w:eastAsia="宋体" w:cs="宋体"/>
          <w:color w:val="000000"/>
          <w:kern w:val="0"/>
          <w:sz w:val="24"/>
          <w:szCs w:val="24"/>
        </w:rPr>
      </w:pPr>
      <w:r>
        <w:rPr>
          <w:rFonts w:hint="eastAsia" w:ascii="宋体" w:hAnsi="宋体" w:eastAsia="宋体" w:cs="宋体"/>
          <w:b/>
          <w:sz w:val="24"/>
          <w:szCs w:val="24"/>
        </w:rPr>
        <w:t>6.门</w:t>
      </w:r>
      <w:r>
        <w:rPr>
          <w:rFonts w:hint="eastAsia" w:ascii="宋体" w:hAnsi="宋体" w:eastAsia="宋体" w:cs="宋体"/>
          <w:b/>
          <w:bCs/>
          <w:color w:val="000000"/>
          <w:kern w:val="0"/>
          <w:sz w:val="24"/>
          <w:szCs w:val="24"/>
        </w:rPr>
        <w:t>票：</w:t>
      </w:r>
      <w:r>
        <w:rPr>
          <w:rFonts w:hint="eastAsia" w:ascii="宋体" w:hAnsi="宋体" w:eastAsia="宋体" w:cs="宋体"/>
          <w:color w:val="000000"/>
          <w:kern w:val="0"/>
          <w:sz w:val="24"/>
          <w:szCs w:val="24"/>
        </w:rPr>
        <w:t>行程所含景点门票。</w:t>
      </w:r>
    </w:p>
    <w:p w14:paraId="7CBCA377">
      <w:pPr>
        <w:tabs>
          <w:tab w:val="left" w:pos="0"/>
        </w:tabs>
        <w:spacing w:line="360" w:lineRule="auto"/>
        <w:ind w:firstLine="482" w:firstLineChars="200"/>
        <w:rPr>
          <w:rFonts w:hint="eastAsia" w:ascii="宋体" w:hAnsi="宋体" w:eastAsia="宋体" w:cs="宋体"/>
          <w:color w:val="000000"/>
          <w:kern w:val="0"/>
          <w:sz w:val="24"/>
          <w:szCs w:val="24"/>
          <w:lang w:eastAsia="zh-CN"/>
        </w:rPr>
      </w:pPr>
      <w:r>
        <w:rPr>
          <w:rFonts w:hint="eastAsia" w:ascii="宋体" w:hAnsi="宋体" w:eastAsia="宋体" w:cs="宋体"/>
          <w:b/>
          <w:sz w:val="24"/>
          <w:szCs w:val="24"/>
        </w:rPr>
        <w:t>7.导</w:t>
      </w:r>
      <w:r>
        <w:rPr>
          <w:rFonts w:hint="eastAsia" w:ascii="宋体" w:hAnsi="宋体" w:eastAsia="宋体" w:cs="宋体"/>
          <w:b/>
          <w:bCs/>
          <w:color w:val="000000"/>
          <w:kern w:val="0"/>
          <w:sz w:val="24"/>
          <w:szCs w:val="24"/>
        </w:rPr>
        <w:t>游：</w:t>
      </w:r>
      <w:r>
        <w:rPr>
          <w:rFonts w:hint="eastAsia" w:ascii="宋体" w:hAnsi="宋体" w:eastAsia="宋体" w:cs="宋体"/>
          <w:color w:val="000000"/>
          <w:kern w:val="0"/>
          <w:sz w:val="24"/>
          <w:szCs w:val="24"/>
        </w:rPr>
        <w:t>当地优秀资质公司，有导游资格的专业导游讲解服务，全程陪同。</w:t>
      </w:r>
      <w:r>
        <w:rPr>
          <w:rFonts w:hint="eastAsia" w:ascii="宋体" w:hAnsi="宋体" w:eastAsia="宋体" w:cs="宋体"/>
          <w:sz w:val="24"/>
          <w:szCs w:val="24"/>
        </w:rPr>
        <w:t>针对本项目要求投标供应商拟派出的服务人员须持有导游资格证书，其它人员亦要求具有相应的</w:t>
      </w:r>
      <w:r>
        <w:rPr>
          <w:rFonts w:hint="eastAsia" w:ascii="宋体" w:hAnsi="宋体" w:eastAsia="宋体" w:cs="宋体"/>
          <w:sz w:val="24"/>
          <w:szCs w:val="24"/>
          <w:lang w:val="en-US" w:eastAsia="zh-CN"/>
        </w:rPr>
        <w:t>证书</w:t>
      </w:r>
      <w:r>
        <w:rPr>
          <w:rFonts w:hint="eastAsia" w:ascii="宋体" w:hAnsi="宋体" w:eastAsia="宋体" w:cs="宋体"/>
          <w:sz w:val="24"/>
          <w:szCs w:val="24"/>
          <w:lang w:eastAsia="zh-CN"/>
        </w:rPr>
        <w:t>。</w:t>
      </w:r>
    </w:p>
    <w:p w14:paraId="07815AEE">
      <w:pPr>
        <w:tabs>
          <w:tab w:val="left" w:pos="0"/>
        </w:tabs>
        <w:spacing w:line="360" w:lineRule="auto"/>
        <w:ind w:firstLine="482" w:firstLineChars="200"/>
        <w:rPr>
          <w:rFonts w:hint="eastAsia" w:ascii="宋体" w:hAnsi="宋体" w:eastAsia="宋体" w:cs="宋体"/>
          <w:color w:val="000000"/>
          <w:kern w:val="0"/>
          <w:sz w:val="24"/>
          <w:szCs w:val="24"/>
        </w:rPr>
      </w:pPr>
      <w:r>
        <w:rPr>
          <w:rFonts w:hint="eastAsia" w:ascii="宋体" w:hAnsi="宋体" w:eastAsia="宋体" w:cs="宋体"/>
          <w:b/>
          <w:sz w:val="24"/>
          <w:szCs w:val="24"/>
        </w:rPr>
        <w:t>8.购物</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全程不进购物点。</w:t>
      </w:r>
    </w:p>
    <w:p w14:paraId="063F7CD3">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9.无自费的景点或活动，无商业广告及各类产品推销和介绍。</w:t>
      </w:r>
    </w:p>
    <w:p w14:paraId="47F2C4FD">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针对疗休养活动中可能发生的突发状况、意外情况等（如：投诉、纠纷、安全事故等），供应商须制定周密、可靠的安全保障和突发事件应急预案，确保在各种情况下参团人员的人身及财产安全，供应商应在响应文件中提供详细说明。如遇意外突发事件要及时妥善处理，并做好善后处理工作。</w:t>
      </w:r>
    </w:p>
    <w:p w14:paraId="3B6A86EC">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11.出发前发放《行程安排表》和《注意事项》</w:t>
      </w:r>
      <w:r>
        <w:rPr>
          <w:rFonts w:hint="eastAsia" w:ascii="宋体" w:hAnsi="宋体" w:eastAsia="宋体" w:cs="宋体"/>
          <w:color w:val="000000"/>
          <w:sz w:val="24"/>
          <w:szCs w:val="24"/>
        </w:rPr>
        <w:t>。</w:t>
      </w:r>
    </w:p>
    <w:p w14:paraId="79A55C64">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12.参加疗休养人员名单和个人信息不得外泄。</w:t>
      </w:r>
    </w:p>
    <w:p w14:paraId="559FD874">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考核方式：每次完成疗养服务回程时，出行职工对本次出行计划、酒店、就餐等情况进行满意度评分并填写《满意度调查表》（调查表选项填写不全或赋分不在设定范围的无效），投标人根据满意度平均分确认当次疗休养费用。</w:t>
      </w:r>
    </w:p>
    <w:p w14:paraId="482B8007">
      <w:pPr>
        <w:tabs>
          <w:tab w:val="left" w:pos="0"/>
        </w:tabs>
        <w:spacing w:line="360" w:lineRule="auto"/>
        <w:ind w:firstLine="480" w:firstLineChars="200"/>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考核标准：当次满意度平均分高于85分（含），支付当次疗休养费用的100%；当次满意度平均分高于75分</w:t>
      </w:r>
      <w:r>
        <w:rPr>
          <w:rFonts w:hint="eastAsia" w:ascii="宋体" w:hAnsi="宋体" w:eastAsia="宋体" w:cs="宋体"/>
          <w:color w:val="000000"/>
          <w:kern w:val="0"/>
          <w:sz w:val="24"/>
          <w:szCs w:val="24"/>
          <w:highlight w:val="none"/>
        </w:rPr>
        <w:t>（含）低于85分，扣减当次疗休养费用5%；当次满意度平均分低75分，扣减当次疗休养费用10%。</w:t>
      </w:r>
    </w:p>
    <w:p w14:paraId="6F766890">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14.行程中的相关安全事宜（住宿、交通、饮食等）全部由中标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负责，如出现任何安全事故，则由中标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承担相关经济赔偿与法律义务。</w:t>
      </w:r>
    </w:p>
    <w:p w14:paraId="72ADE974">
      <w:pPr>
        <w:tabs>
          <w:tab w:val="left" w:pos="284"/>
          <w:tab w:val="left" w:pos="42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中标供应商的方案应获得</w:t>
      </w:r>
      <w:r>
        <w:rPr>
          <w:rFonts w:hint="eastAsia" w:ascii="宋体" w:hAnsi="宋体" w:eastAsia="宋体" w:cs="宋体"/>
          <w:sz w:val="24"/>
          <w:szCs w:val="24"/>
          <w:lang w:val="en-US" w:eastAsia="zh-CN"/>
        </w:rPr>
        <w:t>采购人</w:t>
      </w:r>
      <w:r>
        <w:rPr>
          <w:rFonts w:hint="eastAsia" w:ascii="宋体" w:hAnsi="宋体" w:eastAsia="宋体" w:cs="宋体"/>
          <w:sz w:val="24"/>
          <w:szCs w:val="24"/>
        </w:rPr>
        <w:t>的认可，</w:t>
      </w:r>
      <w:r>
        <w:rPr>
          <w:rFonts w:hint="eastAsia" w:ascii="宋体" w:hAnsi="宋体" w:eastAsia="宋体" w:cs="宋体"/>
          <w:sz w:val="24"/>
          <w:szCs w:val="24"/>
          <w:lang w:eastAsia="zh-CN"/>
        </w:rPr>
        <w:t>采购人</w:t>
      </w:r>
      <w:r>
        <w:rPr>
          <w:rFonts w:hint="eastAsia" w:ascii="宋体" w:hAnsi="宋体" w:eastAsia="宋体" w:cs="宋体"/>
          <w:sz w:val="24"/>
          <w:szCs w:val="24"/>
        </w:rPr>
        <w:t>保留对中标供应商的某一线路指定其他方案的权利，组团时间按</w:t>
      </w:r>
      <w:r>
        <w:rPr>
          <w:rFonts w:hint="eastAsia" w:ascii="宋体" w:hAnsi="宋体" w:eastAsia="宋体" w:cs="宋体"/>
          <w:sz w:val="24"/>
          <w:szCs w:val="24"/>
          <w:lang w:eastAsia="zh-CN"/>
        </w:rPr>
        <w:t>采购人</w:t>
      </w:r>
      <w:r>
        <w:rPr>
          <w:rFonts w:hint="eastAsia" w:ascii="宋体" w:hAnsi="宋体" w:eastAsia="宋体" w:cs="宋体"/>
          <w:sz w:val="24"/>
          <w:szCs w:val="24"/>
        </w:rPr>
        <w:t>计划实施，具体出团及返回时间根据供应商编制并获得</w:t>
      </w:r>
      <w:r>
        <w:rPr>
          <w:rFonts w:hint="eastAsia" w:ascii="宋体" w:hAnsi="宋体" w:eastAsia="宋体" w:cs="宋体"/>
          <w:sz w:val="24"/>
          <w:szCs w:val="24"/>
          <w:lang w:eastAsia="zh-CN"/>
        </w:rPr>
        <w:t>采购人</w:t>
      </w:r>
      <w:r>
        <w:rPr>
          <w:rFonts w:hint="eastAsia" w:ascii="宋体" w:hAnsi="宋体" w:eastAsia="宋体" w:cs="宋体"/>
          <w:sz w:val="24"/>
          <w:szCs w:val="24"/>
        </w:rPr>
        <w:t>认可的方案为准。</w:t>
      </w:r>
    </w:p>
    <w:p w14:paraId="54DBABA3">
      <w:pPr>
        <w:tabs>
          <w:tab w:val="left" w:pos="284"/>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16.本项目不得以任何理由、任何形式进行转、分包，一经发现</w:t>
      </w:r>
      <w:r>
        <w:rPr>
          <w:rFonts w:hint="eastAsia" w:ascii="宋体" w:hAnsi="宋体" w:eastAsia="宋体" w:cs="宋体"/>
          <w:sz w:val="24"/>
          <w:szCs w:val="24"/>
          <w:lang w:eastAsia="zh-CN"/>
        </w:rPr>
        <w:t>采购人</w:t>
      </w:r>
      <w:r>
        <w:rPr>
          <w:rFonts w:hint="eastAsia" w:ascii="宋体" w:hAnsi="宋体" w:eastAsia="宋体" w:cs="宋体"/>
          <w:sz w:val="24"/>
          <w:szCs w:val="24"/>
        </w:rPr>
        <w:t>可单方面解</w:t>
      </w:r>
      <w:r>
        <w:rPr>
          <w:rFonts w:hint="eastAsia" w:ascii="宋体" w:hAnsi="宋体" w:eastAsia="宋体" w:cs="宋体"/>
          <w:b w:val="0"/>
          <w:bCs w:val="0"/>
          <w:sz w:val="24"/>
          <w:szCs w:val="24"/>
        </w:rPr>
        <w:t>除合同，所造成的任何损失由投标供应商自行负责。</w:t>
      </w:r>
    </w:p>
    <w:p w14:paraId="6EEEC066">
      <w:pPr>
        <w:pStyle w:val="2"/>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17.出行人数存在不确定性，最终费用按实际出发人数按实结算。</w:t>
      </w:r>
    </w:p>
    <w:p w14:paraId="52B3BE46">
      <w:pPr>
        <w:spacing w:line="360" w:lineRule="auto"/>
        <w:textAlignment w:val="baseline"/>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lang w:val="en-US" w:eastAsia="zh-CN"/>
        </w:rPr>
        <w:t>重要说明</w:t>
      </w:r>
    </w:p>
    <w:p w14:paraId="4FA8197D">
      <w:pPr>
        <w:pStyle w:val="32"/>
        <w:spacing w:line="450" w:lineRule="exact"/>
        <w:ind w:firstLine="472" w:firstLineChars="196"/>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1.本项目采用固定价格</w:t>
      </w:r>
      <w:r>
        <w:rPr>
          <w:rFonts w:hint="eastAsia" w:ascii="宋体" w:hAnsi="宋体" w:eastAsia="宋体" w:cs="宋体"/>
          <w:b/>
          <w:bCs/>
          <w:color w:val="000000"/>
          <w:kern w:val="0"/>
          <w:sz w:val="24"/>
          <w:szCs w:val="24"/>
          <w:lang w:val="en-US" w:eastAsia="zh-CN"/>
        </w:rPr>
        <w:t>报价</w:t>
      </w:r>
      <w:r>
        <w:rPr>
          <w:rFonts w:hint="eastAsia" w:ascii="宋体" w:hAnsi="宋体" w:eastAsia="宋体" w:cs="宋体"/>
          <w:b/>
          <w:bCs/>
          <w:color w:val="000000"/>
          <w:kern w:val="0"/>
          <w:sz w:val="24"/>
          <w:szCs w:val="24"/>
        </w:rPr>
        <w:t>，其价格不列为评审因素</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疗休养费用3000元/人</w:t>
      </w:r>
      <w:r>
        <w:rPr>
          <w:rFonts w:hint="eastAsia" w:ascii="宋体" w:hAnsi="宋体" w:eastAsia="宋体" w:cs="宋体"/>
          <w:b/>
          <w:bCs/>
          <w:color w:val="000000"/>
          <w:kern w:val="0"/>
          <w:sz w:val="24"/>
          <w:szCs w:val="24"/>
        </w:rPr>
        <w:t>不作竞争，各</w:t>
      </w:r>
      <w:r>
        <w:rPr>
          <w:rFonts w:hint="eastAsia" w:ascii="宋体" w:hAnsi="宋体" w:eastAsia="宋体" w:cs="宋体"/>
          <w:b/>
          <w:bCs/>
          <w:color w:val="000000"/>
          <w:kern w:val="0"/>
          <w:sz w:val="24"/>
          <w:szCs w:val="24"/>
          <w:lang w:val="en-US" w:eastAsia="zh-CN"/>
        </w:rPr>
        <w:t>投标</w:t>
      </w:r>
      <w:r>
        <w:rPr>
          <w:rFonts w:hint="eastAsia" w:ascii="宋体" w:hAnsi="宋体" w:eastAsia="宋体" w:cs="宋体"/>
          <w:b/>
          <w:bCs/>
          <w:color w:val="000000"/>
          <w:kern w:val="0"/>
          <w:sz w:val="24"/>
          <w:szCs w:val="24"/>
        </w:rPr>
        <w:t>供应商按此</w:t>
      </w:r>
      <w:r>
        <w:rPr>
          <w:rFonts w:hint="eastAsia" w:ascii="宋体" w:hAnsi="宋体" w:eastAsia="宋体" w:cs="宋体"/>
          <w:b/>
          <w:bCs/>
          <w:color w:val="000000"/>
          <w:kern w:val="0"/>
          <w:sz w:val="24"/>
          <w:szCs w:val="24"/>
          <w:lang w:val="en-US" w:eastAsia="zh-CN"/>
        </w:rPr>
        <w:t>价格</w:t>
      </w:r>
      <w:r>
        <w:rPr>
          <w:rFonts w:hint="eastAsia" w:ascii="宋体" w:hAnsi="宋体" w:eastAsia="宋体" w:cs="宋体"/>
          <w:b/>
          <w:bCs/>
          <w:color w:val="000000"/>
          <w:kern w:val="0"/>
          <w:sz w:val="24"/>
          <w:szCs w:val="24"/>
        </w:rPr>
        <w:t>进行报价。</w:t>
      </w:r>
      <w:r>
        <w:rPr>
          <w:rFonts w:hint="eastAsia" w:ascii="宋体" w:hAnsi="宋体" w:eastAsia="宋体" w:cs="宋体"/>
          <w:color w:val="000000"/>
          <w:kern w:val="0"/>
          <w:sz w:val="24"/>
          <w:szCs w:val="24"/>
        </w:rPr>
        <w:t>投标报价包括投标人完成本项目所需的一切费用，包括但不限于：交通费（含燃油费、过路费、景点交通费等）、购买交通车票服务费、住宿费、伙食费、景点门票、导游费、保险费及涉及的其他所有费用、税金。要求不进任何购物店,不组织任何自费项目。</w:t>
      </w:r>
    </w:p>
    <w:p w14:paraId="40E9C05C">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不得以人数不足、行业要求及其他相关的不成团要求而不发团，中标后各标项中标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及时与采购</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沟通相关细节及线路的优化事项。</w:t>
      </w:r>
    </w:p>
    <w:p w14:paraId="049328F3">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.服务质量承诺：</w:t>
      </w:r>
    </w:p>
    <w:p w14:paraId="644419D3">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（1）为确保服务质量及与采购人沟通联络，中标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须设置</w:t>
      </w:r>
      <w:r>
        <w:rPr>
          <w:rFonts w:hint="eastAsia" w:ascii="宋体" w:hAnsi="宋体" w:eastAsia="宋体" w:cs="宋体"/>
          <w:color w:val="000000"/>
          <w:kern w:val="0"/>
          <w:sz w:val="24"/>
          <w:szCs w:val="24"/>
          <w:lang w:val="en-US" w:eastAsia="zh-CN"/>
        </w:rPr>
        <w:t>项目负责人</w:t>
      </w:r>
      <w:r>
        <w:rPr>
          <w:rFonts w:hint="eastAsia" w:ascii="宋体" w:hAnsi="宋体" w:eastAsia="宋体" w:cs="宋体"/>
          <w:color w:val="000000"/>
          <w:kern w:val="0"/>
          <w:sz w:val="24"/>
          <w:szCs w:val="24"/>
        </w:rPr>
        <w:t>，负责对承包项目、范围、服务质量的检查监督及与采购人日常业务联系；</w:t>
      </w:r>
    </w:p>
    <w:p w14:paraId="7AFA50D3">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需提供员工管理服务规范要求及确保服务质量达标的具体措施；</w:t>
      </w:r>
    </w:p>
    <w:p w14:paraId="269C3BF6">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须主动接受采购人的指导、检查、监督及协调；</w:t>
      </w:r>
    </w:p>
    <w:p w14:paraId="31B249DE">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（4）现有服务范围内，由于调整而增加的工作量，不再增加费用；</w:t>
      </w:r>
    </w:p>
    <w:p w14:paraId="0A1A54B4">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（5）因中标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工作人员的失误造成的损失由中标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负责</w:t>
      </w:r>
      <w:r>
        <w:rPr>
          <w:rFonts w:hint="eastAsia" w:ascii="宋体" w:hAnsi="宋体" w:eastAsia="宋体" w:cs="宋体"/>
          <w:color w:val="000000"/>
          <w:kern w:val="0"/>
          <w:sz w:val="24"/>
          <w:szCs w:val="24"/>
          <w:lang w:eastAsia="zh-CN"/>
        </w:rPr>
        <w:t>；</w:t>
      </w:r>
    </w:p>
    <w:p w14:paraId="77B0C07E">
      <w:pPr>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员工在工作及服务期间发生的一切安全事故由中标</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负责， 与采购人无关。</w:t>
      </w:r>
    </w:p>
    <w:p w14:paraId="1C97352D">
      <w:pPr>
        <w:pStyle w:val="2"/>
        <w:keepNext w:val="0"/>
        <w:keepLines w:val="0"/>
        <w:pageBreakBefore w:val="0"/>
        <w:kinsoku/>
        <w:wordWrap/>
        <w:topLinePunct w:val="0"/>
        <w:bidi w:val="0"/>
        <w:adjustRightInd w:val="0"/>
        <w:snapToGrid w:val="0"/>
        <w:spacing w:line="440" w:lineRule="exact"/>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服务期</w:t>
      </w:r>
    </w:p>
    <w:p w14:paraId="5729C7CC">
      <w:pPr>
        <w:pStyle w:val="296"/>
        <w:keepNext w:val="0"/>
        <w:keepLines w:val="0"/>
        <w:pageBreakBefore w:val="0"/>
        <w:kinsoku/>
        <w:wordWrap/>
        <w:topLinePunct w:val="0"/>
        <w:bidi w:val="0"/>
        <w:adjustRightInd w:val="0"/>
        <w:snapToGrid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自合同签订生效之日起至202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年12月31日止或（分批）完成约定疗休养人数。如采购人有所需要，中标单位应根据采购人的要求延续提供服务，费用标准按原合同规定执行。</w:t>
      </w:r>
    </w:p>
    <w:p w14:paraId="784FEE7A">
      <w:pPr>
        <w:keepNext w:val="0"/>
        <w:keepLines w:val="0"/>
        <w:pageBreakBefore w:val="0"/>
        <w:kinsoku/>
        <w:wordWrap/>
        <w:topLinePunct w:val="0"/>
        <w:bidi w:val="0"/>
        <w:adjustRightInd w:val="0"/>
        <w:snapToGrid w:val="0"/>
        <w:spacing w:line="440" w:lineRule="exact"/>
        <w:rPr>
          <w:rFonts w:hint="eastAsia" w:ascii="宋体" w:hAnsi="宋体" w:eastAsia="宋体" w:cs="宋体"/>
          <w:color w:val="000000"/>
          <w:sz w:val="24"/>
          <w:szCs w:val="24"/>
          <w:lang w:bidi="zh-CN"/>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、付款方式</w:t>
      </w:r>
    </w:p>
    <w:p w14:paraId="59E9AC8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合同履行完成后，根据实际参团人数结算，最终结算价按照实际参加人数*成交单价，按实结算，返程后一个月内付清。</w:t>
      </w:r>
      <w:r>
        <w:rPr>
          <w:rFonts w:hint="eastAsia" w:ascii="宋体" w:hAnsi="宋体" w:eastAsia="宋体" w:cs="宋体"/>
          <w:color w:val="auto"/>
          <w:kern w:val="0"/>
          <w:sz w:val="24"/>
          <w:szCs w:val="24"/>
          <w:highlight w:val="none"/>
          <w:lang w:val="en-US" w:eastAsia="zh-CN" w:bidi="ar-SA"/>
        </w:rPr>
        <w:t>具体以合同签订为准。</w:t>
      </w:r>
    </w:p>
    <w:p w14:paraId="52009D01">
      <w:pPr>
        <w:keepNext w:val="0"/>
        <w:keepLines w:val="0"/>
        <w:pageBreakBefore w:val="0"/>
        <w:kinsoku/>
        <w:wordWrap/>
        <w:topLinePunct w:val="0"/>
        <w:bidi w:val="0"/>
        <w:adjustRightInd w:val="0"/>
        <w:snapToGrid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八、</w:t>
      </w:r>
      <w:r>
        <w:rPr>
          <w:rFonts w:hint="eastAsia" w:ascii="宋体" w:hAnsi="宋体" w:eastAsia="宋体" w:cs="宋体"/>
          <w:b/>
          <w:bCs/>
          <w:color w:val="000000"/>
          <w:sz w:val="24"/>
          <w:szCs w:val="24"/>
          <w:highlight w:val="none"/>
        </w:rPr>
        <w:t>采购人认为必须说明的其他内容</w:t>
      </w:r>
    </w:p>
    <w:p w14:paraId="08FEB4ED">
      <w:pPr>
        <w:pStyle w:val="23"/>
        <w:keepNext w:val="0"/>
        <w:keepLines w:val="0"/>
        <w:pageBreakBefore w:val="0"/>
        <w:kinsoku/>
        <w:wordWrap/>
        <w:topLinePunct w:val="0"/>
        <w:bidi w:val="0"/>
        <w:adjustRightInd w:val="0"/>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1、其他按采购人相关要求及政策规范执行。</w:t>
      </w:r>
    </w:p>
    <w:p w14:paraId="38648D47">
      <w:pPr>
        <w:keepNext w:val="0"/>
        <w:keepLines w:val="0"/>
        <w:pageBreakBefore w:val="0"/>
        <w:kinsoku/>
        <w:wordWrap/>
        <w:topLinePunct w:val="0"/>
        <w:bidi w:val="0"/>
        <w:adjustRightIn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2、本项目服务期间如遇新政策调整</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工会</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疗休养标准的，双方协商按新政策执行。</w:t>
      </w:r>
    </w:p>
    <w:p w14:paraId="66EA3C82">
      <w:pPr>
        <w:keepNext w:val="0"/>
        <w:keepLines w:val="0"/>
        <w:pageBreakBefore w:val="0"/>
        <w:widowControl/>
        <w:kinsoku/>
        <w:wordWrap/>
        <w:overflowPunct w:val="0"/>
        <w:topLinePunct w:val="0"/>
        <w:autoSpaceDE w:val="0"/>
        <w:autoSpaceDN w:val="0"/>
        <w:bidi w:val="0"/>
        <w:adjustRightInd w:val="0"/>
        <w:snapToGrid w:val="0"/>
        <w:spacing w:line="440" w:lineRule="exac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九、</w:t>
      </w:r>
      <w:r>
        <w:rPr>
          <w:rFonts w:hint="eastAsia" w:ascii="宋体" w:hAnsi="宋体" w:eastAsia="宋体" w:cs="宋体"/>
          <w:b/>
          <w:color w:val="000000"/>
          <w:kern w:val="0"/>
          <w:sz w:val="24"/>
          <w:szCs w:val="24"/>
        </w:rPr>
        <w:t>补充事项说明</w:t>
      </w:r>
    </w:p>
    <w:p w14:paraId="13DB5395">
      <w:pPr>
        <w:keepNext w:val="0"/>
        <w:keepLines w:val="0"/>
        <w:pageBreakBefore w:val="0"/>
        <w:widowControl/>
        <w:kinsoku/>
        <w:wordWrap/>
        <w:overflowPunct w:val="0"/>
        <w:topLinePunct w:val="0"/>
        <w:autoSpaceDE w:val="0"/>
        <w:autoSpaceDN w:val="0"/>
        <w:bidi w:val="0"/>
        <w:adjustRightInd w:val="0"/>
        <w:snapToGrid w:val="0"/>
        <w:spacing w:line="440" w:lineRule="exact"/>
        <w:ind w:left="-170" w:leftChars="-81" w:firstLine="482" w:firstLineChars="200"/>
        <w:textAlignment w:val="baseline"/>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rPr>
        <w:t>本项目分</w:t>
      </w:r>
      <w:r>
        <w:rPr>
          <w:rFonts w:hint="eastAsia" w:ascii="宋体" w:hAnsi="宋体" w:eastAsia="宋体" w:cs="宋体"/>
          <w:b/>
          <w:color w:val="000000"/>
          <w:kern w:val="0"/>
          <w:sz w:val="24"/>
          <w:szCs w:val="24"/>
          <w:lang w:val="en-US" w:eastAsia="zh-CN"/>
        </w:rPr>
        <w:t>三</w:t>
      </w:r>
      <w:r>
        <w:rPr>
          <w:rFonts w:hint="eastAsia" w:ascii="宋体" w:hAnsi="宋体" w:eastAsia="宋体" w:cs="宋体"/>
          <w:b/>
          <w:color w:val="000000"/>
          <w:kern w:val="0"/>
          <w:sz w:val="24"/>
          <w:szCs w:val="24"/>
        </w:rPr>
        <w:t>个标项，开标顺序依次为项一、标项二</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标项三</w:t>
      </w:r>
      <w:r>
        <w:rPr>
          <w:rFonts w:hint="eastAsia" w:ascii="宋体" w:hAnsi="宋体" w:eastAsia="宋体" w:cs="宋体"/>
          <w:b/>
          <w:color w:val="000000"/>
          <w:kern w:val="0"/>
          <w:sz w:val="24"/>
          <w:szCs w:val="24"/>
        </w:rPr>
        <w:t>。供应商可自行选择其中一个或者多个标项响应投标</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但只能中一个标项</w:t>
      </w:r>
      <w:r>
        <w:rPr>
          <w:rFonts w:hint="eastAsia" w:ascii="宋体" w:hAnsi="宋体" w:eastAsia="宋体" w:cs="宋体"/>
          <w:b/>
          <w:color w:val="000000"/>
          <w:kern w:val="0"/>
          <w:sz w:val="24"/>
          <w:szCs w:val="24"/>
          <w:lang w:eastAsia="zh-CN"/>
        </w:rPr>
        <w:t>。</w:t>
      </w:r>
    </w:p>
    <w:p w14:paraId="523803B0">
      <w:pPr>
        <w:keepNext w:val="0"/>
        <w:keepLines w:val="0"/>
        <w:pageBreakBefore w:val="0"/>
        <w:kinsoku/>
        <w:wordWrap/>
        <w:topLinePunct w:val="0"/>
        <w:bidi w:val="0"/>
        <w:adjustRightInd w:val="0"/>
        <w:snapToGrid w:val="0"/>
        <w:spacing w:line="44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ar-SA"/>
        </w:rPr>
        <w:t>十、、考核及其他要求</w:t>
      </w:r>
    </w:p>
    <w:p w14:paraId="05ECA8F4">
      <w:pPr>
        <w:keepNext w:val="0"/>
        <w:keepLines w:val="0"/>
        <w:pageBreakBefore w:val="0"/>
        <w:tabs>
          <w:tab w:val="left" w:pos="0"/>
        </w:tabs>
        <w:kinsoku/>
        <w:wordWrap/>
        <w:topLinePunct w:val="0"/>
        <w:bidi w:val="0"/>
        <w:adjustRightInd w:val="0"/>
        <w:spacing w:line="44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14:paraId="4271BBBC">
      <w:pPr>
        <w:keepNext w:val="0"/>
        <w:keepLines w:val="0"/>
        <w:pageBreakBefore w:val="0"/>
        <w:tabs>
          <w:tab w:val="left" w:pos="0"/>
        </w:tabs>
        <w:kinsoku/>
        <w:wordWrap/>
        <w:topLinePunct w:val="0"/>
        <w:bidi w:val="0"/>
        <w:adjustRightInd w:val="0"/>
        <w:spacing w:line="440" w:lineRule="exact"/>
        <w:ind w:firstLine="480"/>
        <w:rPr>
          <w:rFonts w:hint="eastAsia" w:ascii="宋体" w:hAnsi="宋体" w:eastAsia="宋体" w:cs="宋体"/>
          <w:color w:val="auto"/>
          <w:kern w:val="0"/>
          <w:sz w:val="24"/>
          <w:szCs w:val="24"/>
          <w:lang w:val="en-US" w:eastAsia="zh-CN" w:bidi="ar-SA"/>
        </w:rPr>
        <w:sectPr>
          <w:headerReference r:id="rId3" w:type="default"/>
          <w:footerReference r:id="rId4" w:type="default"/>
          <w:pgSz w:w="11906" w:h="16838"/>
          <w:pgMar w:top="1531" w:right="1304" w:bottom="1531" w:left="136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kern w:val="0"/>
          <w:sz w:val="24"/>
          <w:szCs w:val="24"/>
          <w:lang w:val="en-US" w:eastAsia="zh-CN" w:bidi="ar-SA"/>
        </w:rPr>
        <w:t>2、考核标准：当次满意度平均分高于85分（含），支付当次疗休养费用的100%；当次满意度平均分高于75分（含）低于85分，扣减当次疗休养费用5%；当次满意度平均分低75分，扣减当次疗休养费用10%。</w:t>
      </w:r>
    </w:p>
    <w:p w14:paraId="7D61CD57">
      <w:pPr>
        <w:pStyle w:val="16"/>
        <w:widowControl/>
        <w:wordWrap/>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snapToGrid/>
          <w:color w:val="auto"/>
          <w:kern w:val="0"/>
          <w:sz w:val="24"/>
          <w:szCs w:val="24"/>
          <w:lang w:val="en-US" w:eastAsia="zh-CN" w:bidi="ar-SA"/>
        </w:rPr>
        <w:t>《满意度调查表》</w:t>
      </w:r>
    </w:p>
    <w:p w14:paraId="679E98EF">
      <w:pPr>
        <w:widowControl w:val="0"/>
        <w:wordWrap/>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感谢您对旅行社的服务情况进行评分反馈。希望您能认真、详实地填写。同时为耽误您的宝贵时间表示歉意。</w:t>
      </w:r>
    </w:p>
    <w:p w14:paraId="399A16C1">
      <w:pPr>
        <w:widowControl w:val="0"/>
        <w:wordWrap/>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为您服务的旅行社名称：                         疗休养线路：</w:t>
      </w:r>
    </w:p>
    <w:p w14:paraId="330DAC88">
      <w:pPr>
        <w:widowControl w:val="0"/>
        <w:wordWrap/>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请根据您的实际感受对以下各项进行评分：</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4484"/>
        <w:gridCol w:w="1285"/>
        <w:gridCol w:w="811"/>
        <w:gridCol w:w="812"/>
        <w:gridCol w:w="938"/>
      </w:tblGrid>
      <w:tr w14:paraId="4252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3010A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46" w:type="dxa"/>
            <w:gridSpan w:val="4"/>
            <w:tcBorders>
              <w:top w:val="single" w:color="auto" w:sz="4" w:space="0"/>
              <w:left w:val="nil"/>
              <w:bottom w:val="single" w:color="auto" w:sz="4" w:space="0"/>
              <w:right w:val="single" w:color="auto" w:sz="4" w:space="0"/>
            </w:tcBorders>
            <w:noWrap w:val="0"/>
            <w:vAlign w:val="center"/>
          </w:tcPr>
          <w:p w14:paraId="3D3768A1">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3704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8E24E6">
            <w:pPr>
              <w:widowControl/>
              <w:spacing w:before="156"/>
              <w:jc w:val="left"/>
              <w:rPr>
                <w:rFonts w:hint="eastAsia" w:ascii="宋体" w:hAnsi="宋体" w:eastAsia="宋体" w:cs="宋体"/>
                <w:color w:val="auto"/>
                <w:kern w:val="0"/>
                <w:sz w:val="24"/>
                <w:szCs w:val="24"/>
                <w:highlight w:val="none"/>
              </w:rPr>
            </w:pPr>
          </w:p>
        </w:tc>
        <w:tc>
          <w:tcPr>
            <w:tcW w:w="1285" w:type="dxa"/>
            <w:tcBorders>
              <w:top w:val="nil"/>
              <w:left w:val="nil"/>
              <w:bottom w:val="single" w:color="auto" w:sz="4" w:space="0"/>
              <w:right w:val="single" w:color="auto" w:sz="4" w:space="0"/>
            </w:tcBorders>
            <w:noWrap w:val="0"/>
            <w:vAlign w:val="center"/>
          </w:tcPr>
          <w:p w14:paraId="02A0D42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811" w:type="dxa"/>
            <w:tcBorders>
              <w:top w:val="nil"/>
              <w:left w:val="nil"/>
              <w:bottom w:val="single" w:color="auto" w:sz="4" w:space="0"/>
              <w:right w:val="single" w:color="auto" w:sz="4" w:space="0"/>
            </w:tcBorders>
            <w:noWrap w:val="0"/>
            <w:vAlign w:val="center"/>
          </w:tcPr>
          <w:p w14:paraId="1D0DA748">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812" w:type="dxa"/>
            <w:tcBorders>
              <w:top w:val="nil"/>
              <w:left w:val="nil"/>
              <w:bottom w:val="single" w:color="auto" w:sz="4" w:space="0"/>
              <w:right w:val="single" w:color="auto" w:sz="4" w:space="0"/>
            </w:tcBorders>
            <w:noWrap w:val="0"/>
            <w:vAlign w:val="center"/>
          </w:tcPr>
          <w:p w14:paraId="325EDF5D">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938" w:type="dxa"/>
            <w:tcBorders>
              <w:top w:val="nil"/>
              <w:left w:val="nil"/>
              <w:bottom w:val="single" w:color="auto" w:sz="4" w:space="0"/>
              <w:right w:val="single" w:color="auto" w:sz="4" w:space="0"/>
            </w:tcBorders>
            <w:noWrap w:val="0"/>
            <w:vAlign w:val="center"/>
          </w:tcPr>
          <w:p w14:paraId="01A508E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9DC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tcBorders>
              <w:top w:val="single" w:color="auto" w:sz="4" w:space="0"/>
              <w:left w:val="single" w:color="auto" w:sz="4" w:space="0"/>
              <w:bottom w:val="single" w:color="auto" w:sz="4" w:space="0"/>
              <w:right w:val="single" w:color="auto" w:sz="4" w:space="0"/>
            </w:tcBorders>
            <w:noWrap w:val="0"/>
            <w:vAlign w:val="center"/>
          </w:tcPr>
          <w:p w14:paraId="22381C7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85" w:type="dxa"/>
            <w:tcBorders>
              <w:top w:val="nil"/>
              <w:left w:val="nil"/>
              <w:bottom w:val="single" w:color="auto" w:sz="4" w:space="0"/>
              <w:right w:val="single" w:color="auto" w:sz="4" w:space="0"/>
            </w:tcBorders>
            <w:noWrap w:val="0"/>
            <w:vAlign w:val="center"/>
          </w:tcPr>
          <w:p w14:paraId="1F4CED84">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1" w:type="dxa"/>
            <w:tcBorders>
              <w:top w:val="nil"/>
              <w:left w:val="nil"/>
              <w:bottom w:val="single" w:color="auto" w:sz="4" w:space="0"/>
              <w:right w:val="single" w:color="auto" w:sz="4" w:space="0"/>
            </w:tcBorders>
            <w:noWrap w:val="0"/>
            <w:vAlign w:val="center"/>
          </w:tcPr>
          <w:p w14:paraId="4C20F57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2" w:type="dxa"/>
            <w:tcBorders>
              <w:top w:val="nil"/>
              <w:left w:val="nil"/>
              <w:bottom w:val="single" w:color="auto" w:sz="4" w:space="0"/>
              <w:right w:val="single" w:color="auto" w:sz="4" w:space="0"/>
            </w:tcBorders>
            <w:noWrap w:val="0"/>
            <w:vAlign w:val="center"/>
          </w:tcPr>
          <w:p w14:paraId="2784C4C7">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38" w:type="dxa"/>
            <w:tcBorders>
              <w:top w:val="nil"/>
              <w:left w:val="nil"/>
              <w:bottom w:val="single" w:color="auto" w:sz="4" w:space="0"/>
              <w:right w:val="single" w:color="auto" w:sz="4" w:space="0"/>
            </w:tcBorders>
            <w:noWrap w:val="0"/>
            <w:vAlign w:val="center"/>
          </w:tcPr>
          <w:p w14:paraId="5BE19CD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2AF0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74142A62">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5D02346E">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0A050B5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538C751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op w:val="nil"/>
              <w:left w:val="nil"/>
              <w:bottom w:val="single" w:color="auto" w:sz="4" w:space="0"/>
              <w:right w:val="single" w:color="auto" w:sz="4" w:space="0"/>
            </w:tcBorders>
            <w:noWrap w:val="0"/>
            <w:vAlign w:val="center"/>
          </w:tcPr>
          <w:p w14:paraId="1CF005B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85" w:type="dxa"/>
            <w:tcBorders>
              <w:top w:val="nil"/>
              <w:left w:val="nil"/>
              <w:bottom w:val="single" w:color="auto" w:sz="4" w:space="0"/>
              <w:right w:val="single" w:color="auto" w:sz="4" w:space="0"/>
            </w:tcBorders>
            <w:noWrap w:val="0"/>
            <w:vAlign w:val="center"/>
          </w:tcPr>
          <w:p w14:paraId="41D076C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195E5B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420D526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540A9EB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3DD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6D8CE6DE">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3BF9A38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85" w:type="dxa"/>
            <w:tcBorders>
              <w:top w:val="nil"/>
              <w:left w:val="nil"/>
              <w:bottom w:val="single" w:color="auto" w:sz="4" w:space="0"/>
              <w:right w:val="single" w:color="auto" w:sz="4" w:space="0"/>
            </w:tcBorders>
            <w:noWrap w:val="0"/>
            <w:vAlign w:val="center"/>
          </w:tcPr>
          <w:p w14:paraId="326AAB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518C90B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39D3B2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52D1EC1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06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4CE48684">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1D56289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85" w:type="dxa"/>
            <w:tcBorders>
              <w:top w:val="nil"/>
              <w:left w:val="nil"/>
              <w:bottom w:val="single" w:color="auto" w:sz="4" w:space="0"/>
              <w:right w:val="single" w:color="auto" w:sz="4" w:space="0"/>
            </w:tcBorders>
            <w:noWrap w:val="0"/>
            <w:vAlign w:val="center"/>
          </w:tcPr>
          <w:p w14:paraId="2DB3A60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1245A0B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4B57BA1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611A741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E3F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D5F2A8A">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0377469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85" w:type="dxa"/>
            <w:tcBorders>
              <w:top w:val="nil"/>
              <w:left w:val="nil"/>
              <w:bottom w:val="single" w:color="auto" w:sz="4" w:space="0"/>
              <w:right w:val="single" w:color="auto" w:sz="4" w:space="0"/>
            </w:tcBorders>
            <w:noWrap w:val="0"/>
            <w:vAlign w:val="center"/>
          </w:tcPr>
          <w:p w14:paraId="5DB5BE7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1BADB6E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226A68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1B2DB6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19D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7CEF598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68A3F91F">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1C42341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6953876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op w:val="nil"/>
              <w:left w:val="nil"/>
              <w:bottom w:val="single" w:color="auto" w:sz="4" w:space="0"/>
              <w:right w:val="single" w:color="auto" w:sz="4" w:space="0"/>
            </w:tcBorders>
            <w:noWrap w:val="0"/>
            <w:vAlign w:val="center"/>
          </w:tcPr>
          <w:p w14:paraId="11A7F97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85" w:type="dxa"/>
            <w:tcBorders>
              <w:top w:val="nil"/>
              <w:left w:val="nil"/>
              <w:bottom w:val="single" w:color="auto" w:sz="4" w:space="0"/>
              <w:right w:val="single" w:color="auto" w:sz="4" w:space="0"/>
            </w:tcBorders>
            <w:noWrap w:val="0"/>
            <w:vAlign w:val="center"/>
          </w:tcPr>
          <w:p w14:paraId="63C3C47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45D64DC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2B63451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378C79C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04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EB30DDC">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53D6799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85" w:type="dxa"/>
            <w:tcBorders>
              <w:top w:val="nil"/>
              <w:left w:val="nil"/>
              <w:bottom w:val="single" w:color="auto" w:sz="4" w:space="0"/>
              <w:right w:val="single" w:color="auto" w:sz="4" w:space="0"/>
            </w:tcBorders>
            <w:noWrap w:val="0"/>
            <w:vAlign w:val="center"/>
          </w:tcPr>
          <w:p w14:paraId="33A559E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6F491E1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637E2A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276E16F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AC4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7FFFF0E">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3ECAD13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85" w:type="dxa"/>
            <w:tcBorders>
              <w:top w:val="nil"/>
              <w:left w:val="nil"/>
              <w:bottom w:val="single" w:color="auto" w:sz="4" w:space="0"/>
              <w:right w:val="single" w:color="auto" w:sz="4" w:space="0"/>
            </w:tcBorders>
            <w:noWrap w:val="0"/>
            <w:vAlign w:val="center"/>
          </w:tcPr>
          <w:p w14:paraId="5032F70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08606C9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D65719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6684925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84A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078C36D4">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5BBAD94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85" w:type="dxa"/>
            <w:tcBorders>
              <w:top w:val="nil"/>
              <w:left w:val="nil"/>
              <w:bottom w:val="single" w:color="auto" w:sz="4" w:space="0"/>
              <w:right w:val="single" w:color="auto" w:sz="4" w:space="0"/>
            </w:tcBorders>
            <w:noWrap w:val="0"/>
            <w:vAlign w:val="center"/>
          </w:tcPr>
          <w:p w14:paraId="256F9DA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3B4530D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7A813B7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22F49B7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3E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D2C15AA">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37AA351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85" w:type="dxa"/>
            <w:tcBorders>
              <w:top w:val="nil"/>
              <w:left w:val="nil"/>
              <w:bottom w:val="single" w:color="auto" w:sz="4" w:space="0"/>
              <w:right w:val="single" w:color="auto" w:sz="4" w:space="0"/>
            </w:tcBorders>
            <w:noWrap w:val="0"/>
            <w:vAlign w:val="center"/>
          </w:tcPr>
          <w:p w14:paraId="1FEB63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193125E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7DA0584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5DBC30A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BF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7AA97745">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餐</w:t>
            </w:r>
          </w:p>
          <w:p w14:paraId="1E093ACD">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饮</w:t>
            </w:r>
          </w:p>
          <w:p w14:paraId="517E5151">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3FF29087">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op w:val="nil"/>
              <w:left w:val="nil"/>
              <w:bottom w:val="single" w:color="auto" w:sz="4" w:space="0"/>
              <w:right w:val="single" w:color="auto" w:sz="4" w:space="0"/>
            </w:tcBorders>
            <w:noWrap w:val="0"/>
            <w:vAlign w:val="center"/>
          </w:tcPr>
          <w:p w14:paraId="167172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85" w:type="dxa"/>
            <w:tcBorders>
              <w:top w:val="nil"/>
              <w:left w:val="nil"/>
              <w:bottom w:val="single" w:color="auto" w:sz="4" w:space="0"/>
              <w:right w:val="single" w:color="auto" w:sz="4" w:space="0"/>
            </w:tcBorders>
            <w:noWrap w:val="0"/>
            <w:vAlign w:val="center"/>
          </w:tcPr>
          <w:p w14:paraId="097ABFD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76E9E36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7EB540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1149A04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B10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4E1E2B2">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47E86EC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85" w:type="dxa"/>
            <w:tcBorders>
              <w:top w:val="nil"/>
              <w:left w:val="nil"/>
              <w:bottom w:val="single" w:color="auto" w:sz="4" w:space="0"/>
              <w:right w:val="single" w:color="auto" w:sz="4" w:space="0"/>
            </w:tcBorders>
            <w:noWrap w:val="0"/>
            <w:vAlign w:val="center"/>
          </w:tcPr>
          <w:p w14:paraId="541B346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6129359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8ADDAC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147764C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C2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199B0833">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110025E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85" w:type="dxa"/>
            <w:tcBorders>
              <w:top w:val="nil"/>
              <w:left w:val="nil"/>
              <w:bottom w:val="single" w:color="auto" w:sz="4" w:space="0"/>
              <w:right w:val="single" w:color="auto" w:sz="4" w:space="0"/>
            </w:tcBorders>
            <w:noWrap w:val="0"/>
            <w:vAlign w:val="center"/>
          </w:tcPr>
          <w:p w14:paraId="27413B6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23087BC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4A012E2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53DABAD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7B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29FF1B3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154577F4">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55F36B8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2F36CC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op w:val="nil"/>
              <w:left w:val="nil"/>
              <w:bottom w:val="single" w:color="auto" w:sz="4" w:space="0"/>
              <w:right w:val="single" w:color="auto" w:sz="4" w:space="0"/>
            </w:tcBorders>
            <w:noWrap w:val="0"/>
            <w:vAlign w:val="center"/>
          </w:tcPr>
          <w:p w14:paraId="44352BA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85" w:type="dxa"/>
            <w:tcBorders>
              <w:top w:val="nil"/>
              <w:left w:val="nil"/>
              <w:bottom w:val="single" w:color="auto" w:sz="4" w:space="0"/>
              <w:right w:val="single" w:color="auto" w:sz="4" w:space="0"/>
            </w:tcBorders>
            <w:noWrap w:val="0"/>
            <w:vAlign w:val="center"/>
          </w:tcPr>
          <w:p w14:paraId="52323E4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7D4822E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2B7707E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7A9A663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F32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55AA3BE">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6A2D5D8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85" w:type="dxa"/>
            <w:tcBorders>
              <w:top w:val="nil"/>
              <w:left w:val="nil"/>
              <w:bottom w:val="single" w:color="auto" w:sz="4" w:space="0"/>
              <w:right w:val="single" w:color="auto" w:sz="4" w:space="0"/>
            </w:tcBorders>
            <w:noWrap w:val="0"/>
            <w:vAlign w:val="center"/>
          </w:tcPr>
          <w:p w14:paraId="6D9AD35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52B791F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4A1658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7B2A335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31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4E85555B">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456EE30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85" w:type="dxa"/>
            <w:tcBorders>
              <w:top w:val="nil"/>
              <w:left w:val="nil"/>
              <w:bottom w:val="single" w:color="auto" w:sz="4" w:space="0"/>
              <w:right w:val="single" w:color="auto" w:sz="4" w:space="0"/>
            </w:tcBorders>
            <w:noWrap w:val="0"/>
            <w:vAlign w:val="center"/>
          </w:tcPr>
          <w:p w14:paraId="0F91E85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7BEF772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30E9ED8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3489170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523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2D4F828F">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nil"/>
              <w:right w:val="single" w:color="auto" w:sz="4" w:space="0"/>
            </w:tcBorders>
            <w:noWrap w:val="0"/>
            <w:vAlign w:val="center"/>
          </w:tcPr>
          <w:p w14:paraId="00C0372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85" w:type="dxa"/>
            <w:tcBorders>
              <w:top w:val="nil"/>
              <w:left w:val="nil"/>
              <w:bottom w:val="nil"/>
              <w:right w:val="single" w:color="auto" w:sz="4" w:space="0"/>
            </w:tcBorders>
            <w:noWrap w:val="0"/>
            <w:vAlign w:val="center"/>
          </w:tcPr>
          <w:p w14:paraId="4218C91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nil"/>
              <w:right w:val="single" w:color="auto" w:sz="4" w:space="0"/>
            </w:tcBorders>
            <w:noWrap w:val="0"/>
            <w:vAlign w:val="center"/>
          </w:tcPr>
          <w:p w14:paraId="4739682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nil"/>
              <w:right w:val="single" w:color="auto" w:sz="4" w:space="0"/>
            </w:tcBorders>
            <w:noWrap w:val="0"/>
            <w:vAlign w:val="center"/>
          </w:tcPr>
          <w:p w14:paraId="1FFEF25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nil"/>
              <w:right w:val="single" w:color="auto" w:sz="4" w:space="0"/>
            </w:tcBorders>
            <w:noWrap w:val="0"/>
            <w:vAlign w:val="center"/>
          </w:tcPr>
          <w:p w14:paraId="6FEA329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02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013A8435">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75A64EAC">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5AA5EE55">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7BB6F66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4484" w:type="dxa"/>
            <w:tcBorders>
              <w:top w:val="single" w:color="auto" w:sz="4" w:space="0"/>
              <w:left w:val="nil"/>
              <w:bottom w:val="single" w:color="auto" w:sz="4" w:space="0"/>
              <w:right w:val="single" w:color="auto" w:sz="4" w:space="0"/>
            </w:tcBorders>
            <w:noWrap w:val="0"/>
            <w:vAlign w:val="center"/>
          </w:tcPr>
          <w:p w14:paraId="74EC347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85" w:type="dxa"/>
            <w:tcBorders>
              <w:top w:val="single" w:color="auto" w:sz="4" w:space="0"/>
              <w:left w:val="nil"/>
              <w:bottom w:val="single" w:color="auto" w:sz="4" w:space="0"/>
              <w:right w:val="single" w:color="auto" w:sz="4" w:space="0"/>
            </w:tcBorders>
            <w:noWrap w:val="0"/>
            <w:vAlign w:val="center"/>
          </w:tcPr>
          <w:p w14:paraId="4E68F9D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single" w:color="auto" w:sz="4" w:space="0"/>
              <w:left w:val="nil"/>
              <w:bottom w:val="single" w:color="auto" w:sz="4" w:space="0"/>
              <w:right w:val="single" w:color="auto" w:sz="4" w:space="0"/>
            </w:tcBorders>
            <w:noWrap w:val="0"/>
            <w:vAlign w:val="center"/>
          </w:tcPr>
          <w:p w14:paraId="0E896CE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single" w:color="auto" w:sz="4" w:space="0"/>
              <w:left w:val="nil"/>
              <w:bottom w:val="single" w:color="auto" w:sz="4" w:space="0"/>
              <w:right w:val="single" w:color="auto" w:sz="4" w:space="0"/>
            </w:tcBorders>
            <w:noWrap w:val="0"/>
            <w:vAlign w:val="center"/>
          </w:tcPr>
          <w:p w14:paraId="2E8CCE9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single" w:color="auto" w:sz="4" w:space="0"/>
              <w:left w:val="nil"/>
              <w:bottom w:val="single" w:color="auto" w:sz="4" w:space="0"/>
              <w:right w:val="single" w:color="auto" w:sz="4" w:space="0"/>
            </w:tcBorders>
            <w:noWrap w:val="0"/>
            <w:vAlign w:val="center"/>
          </w:tcPr>
          <w:p w14:paraId="2D62FA7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C5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216144C">
            <w:pPr>
              <w:widowControl/>
              <w:spacing w:before="156"/>
              <w:jc w:val="left"/>
              <w:rPr>
                <w:rFonts w:hint="eastAsia" w:ascii="宋体" w:hAnsi="宋体" w:eastAsia="宋体" w:cs="宋体"/>
                <w:color w:val="auto"/>
                <w:kern w:val="0"/>
                <w:sz w:val="24"/>
                <w:szCs w:val="24"/>
                <w:highlight w:val="none"/>
              </w:rPr>
            </w:pPr>
          </w:p>
        </w:tc>
        <w:tc>
          <w:tcPr>
            <w:tcW w:w="4484" w:type="dxa"/>
            <w:tcBorders>
              <w:top w:val="nil"/>
              <w:left w:val="nil"/>
              <w:bottom w:val="single" w:color="auto" w:sz="4" w:space="0"/>
              <w:right w:val="single" w:color="auto" w:sz="4" w:space="0"/>
            </w:tcBorders>
            <w:noWrap w:val="0"/>
            <w:vAlign w:val="center"/>
          </w:tcPr>
          <w:p w14:paraId="709E88E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w:t>
            </w:r>
          </w:p>
        </w:tc>
        <w:tc>
          <w:tcPr>
            <w:tcW w:w="1285" w:type="dxa"/>
            <w:tcBorders>
              <w:top w:val="nil"/>
              <w:left w:val="nil"/>
              <w:bottom w:val="single" w:color="auto" w:sz="4" w:space="0"/>
              <w:right w:val="single" w:color="auto" w:sz="4" w:space="0"/>
            </w:tcBorders>
            <w:noWrap w:val="0"/>
            <w:vAlign w:val="center"/>
          </w:tcPr>
          <w:p w14:paraId="047C70B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nil"/>
              <w:left w:val="nil"/>
              <w:bottom w:val="single" w:color="auto" w:sz="4" w:space="0"/>
              <w:right w:val="single" w:color="auto" w:sz="4" w:space="0"/>
            </w:tcBorders>
            <w:noWrap w:val="0"/>
            <w:vAlign w:val="center"/>
          </w:tcPr>
          <w:p w14:paraId="6818395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nil"/>
              <w:left w:val="nil"/>
              <w:bottom w:val="single" w:color="auto" w:sz="4" w:space="0"/>
              <w:right w:val="single" w:color="auto" w:sz="4" w:space="0"/>
            </w:tcBorders>
            <w:noWrap w:val="0"/>
            <w:vAlign w:val="center"/>
          </w:tcPr>
          <w:p w14:paraId="014AA87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nil"/>
              <w:left w:val="nil"/>
              <w:bottom w:val="single" w:color="auto" w:sz="4" w:space="0"/>
              <w:right w:val="single" w:color="auto" w:sz="4" w:space="0"/>
            </w:tcBorders>
            <w:noWrap w:val="0"/>
            <w:vAlign w:val="center"/>
          </w:tcPr>
          <w:p w14:paraId="496A521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DF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695B197">
            <w:pPr>
              <w:widowControl/>
              <w:spacing w:before="156"/>
              <w:jc w:val="left"/>
              <w:rPr>
                <w:rFonts w:hint="eastAsia" w:ascii="宋体" w:hAnsi="宋体" w:eastAsia="宋体" w:cs="宋体"/>
                <w:color w:val="auto"/>
                <w:kern w:val="0"/>
                <w:sz w:val="24"/>
                <w:szCs w:val="24"/>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5DF362C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46E063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0D5D649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6E239D0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0F73642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52C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747387B1">
            <w:pPr>
              <w:widowControl/>
              <w:spacing w:before="156"/>
              <w:jc w:val="left"/>
              <w:rPr>
                <w:rFonts w:hint="eastAsia" w:ascii="宋体" w:hAnsi="宋体" w:eastAsia="宋体" w:cs="宋体"/>
                <w:color w:val="auto"/>
                <w:kern w:val="0"/>
                <w:sz w:val="24"/>
                <w:szCs w:val="24"/>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2F1C141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6700C6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5B4CEF0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C47F25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23D8039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E0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999" w:type="dxa"/>
            <w:gridSpan w:val="6"/>
            <w:tcBorders>
              <w:top w:val="single" w:color="auto" w:sz="4" w:space="0"/>
              <w:left w:val="single" w:color="auto" w:sz="4" w:space="0"/>
              <w:bottom w:val="single" w:color="auto" w:sz="4" w:space="0"/>
              <w:right w:val="single" w:color="auto" w:sz="4" w:space="0"/>
            </w:tcBorders>
            <w:noWrap w:val="0"/>
            <w:vAlign w:val="top"/>
          </w:tcPr>
          <w:p w14:paraId="2FC0C8F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您需要补充的意见和建议：</w:t>
            </w:r>
          </w:p>
        </w:tc>
      </w:tr>
    </w:tbl>
    <w:p w14:paraId="2B2674F7">
      <w:pPr>
        <w:rPr>
          <w:rFonts w:hint="eastAsia" w:ascii="宋体" w:hAnsi="宋体" w:eastAsia="宋体" w:cs="宋体"/>
          <w:sz w:val="24"/>
          <w:szCs w:val="24"/>
        </w:rPr>
      </w:pPr>
    </w:p>
    <w:p w14:paraId="7543E58B">
      <w:pPr>
        <w:widowControl/>
        <w:adjustRightInd/>
        <w:spacing w:line="360" w:lineRule="auto"/>
        <w:jc w:val="left"/>
        <w:rPr>
          <w:rFonts w:cs="仿宋_GB2312" w:asciiTheme="minorEastAsia" w:hAnsiTheme="minorEastAsia" w:eastAsiaTheme="minorEastAsia"/>
          <w:b/>
          <w:color w:val="auto"/>
          <w:sz w:val="24"/>
          <w:szCs w:val="24"/>
        </w:rPr>
      </w:pPr>
      <w:r>
        <w:rPr>
          <w:rFonts w:hint="eastAsia" w:ascii="宋体" w:hAnsi="宋体" w:eastAsia="宋体" w:cs="宋体"/>
          <w:b/>
          <w:color w:val="auto"/>
          <w:sz w:val="24"/>
          <w:szCs w:val="24"/>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00ED1D76">
      <w:pPr>
        <w:pStyle w:val="394"/>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6F1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A9B206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序号</w:t>
            </w:r>
          </w:p>
        </w:tc>
        <w:tc>
          <w:tcPr>
            <w:tcW w:w="5265" w:type="dxa"/>
            <w:noWrap w:val="0"/>
            <w:vAlign w:val="center"/>
          </w:tcPr>
          <w:p w14:paraId="122A08F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评审标准</w:t>
            </w:r>
          </w:p>
        </w:tc>
        <w:tc>
          <w:tcPr>
            <w:tcW w:w="937" w:type="dxa"/>
            <w:noWrap w:val="0"/>
            <w:vAlign w:val="center"/>
          </w:tcPr>
          <w:p w14:paraId="6E65EA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权重</w:t>
            </w:r>
          </w:p>
        </w:tc>
        <w:tc>
          <w:tcPr>
            <w:tcW w:w="1268" w:type="dxa"/>
            <w:noWrap w:val="0"/>
            <w:vAlign w:val="center"/>
          </w:tcPr>
          <w:p w14:paraId="7627E0A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主观分/客观分属性</w:t>
            </w:r>
          </w:p>
        </w:tc>
        <w:tc>
          <w:tcPr>
            <w:tcW w:w="1679" w:type="dxa"/>
            <w:noWrap w:val="0"/>
            <w:vAlign w:val="center"/>
          </w:tcPr>
          <w:p w14:paraId="02E1589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磋商文件中评审标准相应的商务技术资料目录</w:t>
            </w:r>
            <w:r>
              <w:rPr>
                <w:rFonts w:hint="eastAsia" w:ascii="宋体" w:hAnsi="宋体" w:eastAsia="宋体" w:cs="宋体"/>
                <w:color w:val="000000" w:themeColor="text1"/>
                <w:kern w:val="2"/>
                <w:sz w:val="24"/>
                <w:szCs w:val="24"/>
                <w:highlight w:val="none"/>
                <w:shd w:val="clear" w:color="auto" w:fill="FFFFFF"/>
                <w:lang w:val="en-US" w:eastAsia="zh-CN" w:bidi="ar-SA"/>
                <w14:textFill>
                  <w14:solidFill>
                    <w14:schemeClr w14:val="tx1"/>
                  </w14:solidFill>
                </w14:textFill>
              </w:rPr>
              <w:t>*</w:t>
            </w:r>
          </w:p>
        </w:tc>
      </w:tr>
      <w:tr w14:paraId="6E1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9CF9EB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5265" w:type="dxa"/>
            <w:noWrap w:val="0"/>
            <w:vAlign w:val="center"/>
          </w:tcPr>
          <w:p w14:paraId="0DF85A87">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类似业绩：</w:t>
            </w:r>
            <w:r>
              <w:rPr>
                <w:rFonts w:hint="eastAsia" w:ascii="宋体" w:hAnsi="宋体" w:eastAsia="宋体" w:cs="宋体"/>
                <w:color w:val="000000" w:themeColor="text1"/>
                <w:sz w:val="24"/>
                <w:szCs w:val="24"/>
                <w:highlight w:val="none"/>
                <w:lang w:eastAsia="zh-CN"/>
                <w14:textFill>
                  <w14:solidFill>
                    <w14:schemeClr w14:val="tx1"/>
                  </w14:solidFill>
                </w14:textFill>
              </w:rPr>
              <w:t>投标人自202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年1月1日以来（以签订合同时间为准），完成过</w:t>
            </w:r>
            <w:r>
              <w:rPr>
                <w:rFonts w:hint="eastAsia" w:ascii="宋体" w:hAnsi="宋体" w:eastAsia="宋体" w:cs="宋体"/>
                <w:color w:val="000000" w:themeColor="text1"/>
                <w:sz w:val="24"/>
                <w:szCs w:val="24"/>
                <w:highlight w:val="none"/>
                <w:lang w:val="en-US" w:eastAsia="zh-CN"/>
                <w14:textFill>
                  <w14:solidFill>
                    <w14:schemeClr w14:val="tx1"/>
                  </w14:solidFill>
                </w14:textFill>
              </w:rPr>
              <w:t>类似</w:t>
            </w:r>
            <w:r>
              <w:rPr>
                <w:rFonts w:hint="eastAsia" w:ascii="宋体" w:hAnsi="宋体" w:eastAsia="宋体" w:cs="宋体"/>
                <w:color w:val="000000" w:themeColor="text1"/>
                <w:sz w:val="24"/>
                <w:szCs w:val="24"/>
                <w:highlight w:val="none"/>
                <w:lang w:eastAsia="zh-CN"/>
                <w14:textFill>
                  <w14:solidFill>
                    <w14:schemeClr w14:val="tx1"/>
                  </w14:solidFill>
                </w14:textFill>
              </w:rPr>
              <w:t>疗休养项目的每个得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lang w:eastAsia="zh-CN"/>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14:paraId="19EA83C8">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（须提供合同</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原件扫描</w:t>
            </w:r>
            <w:r>
              <w:rPr>
                <w:rFonts w:hint="eastAsia" w:ascii="宋体" w:hAnsi="宋体" w:eastAsia="宋体" w:cs="宋体"/>
                <w:b/>
                <w:bCs/>
                <w:color w:val="000000" w:themeColor="text1"/>
                <w:sz w:val="24"/>
                <w:szCs w:val="24"/>
                <w:highlight w:val="none"/>
                <w:lang w:eastAsia="zh-CN"/>
                <w14:textFill>
                  <w14:solidFill>
                    <w14:schemeClr w14:val="tx1"/>
                  </w14:solidFill>
                </w14:textFill>
              </w:rPr>
              <w:t>件，至少包括首页、盖章页，并须能体现相关评审因素，未提供不得分）</w:t>
            </w:r>
          </w:p>
        </w:tc>
        <w:tc>
          <w:tcPr>
            <w:tcW w:w="937" w:type="dxa"/>
            <w:noWrap w:val="0"/>
            <w:vAlign w:val="center"/>
          </w:tcPr>
          <w:p w14:paraId="686DB9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p>
        </w:tc>
        <w:tc>
          <w:tcPr>
            <w:tcW w:w="1268" w:type="dxa"/>
            <w:noWrap w:val="0"/>
            <w:vAlign w:val="center"/>
          </w:tcPr>
          <w:p w14:paraId="2141260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客观分</w:t>
            </w:r>
          </w:p>
        </w:tc>
        <w:tc>
          <w:tcPr>
            <w:tcW w:w="1679" w:type="dxa"/>
            <w:noWrap w:val="0"/>
            <w:vAlign w:val="center"/>
          </w:tcPr>
          <w:p w14:paraId="43C54D6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类似业绩</w:t>
            </w:r>
          </w:p>
        </w:tc>
      </w:tr>
      <w:tr w14:paraId="596E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708" w:type="dxa"/>
            <w:vMerge w:val="restart"/>
            <w:noWrap w:val="0"/>
            <w:vAlign w:val="center"/>
          </w:tcPr>
          <w:p w14:paraId="069CB72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5265" w:type="dxa"/>
            <w:noWrap w:val="0"/>
            <w:vAlign w:val="center"/>
          </w:tcPr>
          <w:p w14:paraId="208ED789">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①企业管理制度：根据投标人提供的企业管理制度进行打分，包括经营管理制度、投诉管理制度、危机管理制度等。制度完善、可行，能够按照规章开展工作且符合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34879D6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p>
        </w:tc>
        <w:tc>
          <w:tcPr>
            <w:tcW w:w="1268" w:type="dxa"/>
            <w:vMerge w:val="restart"/>
            <w:noWrap w:val="0"/>
            <w:vAlign w:val="center"/>
          </w:tcPr>
          <w:p w14:paraId="67D4985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vMerge w:val="restart"/>
            <w:noWrap w:val="0"/>
            <w:vAlign w:val="center"/>
          </w:tcPr>
          <w:p w14:paraId="4445FE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管理制度</w:t>
            </w:r>
          </w:p>
        </w:tc>
      </w:tr>
      <w:tr w14:paraId="7AC2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708" w:type="dxa"/>
            <w:vMerge w:val="continue"/>
            <w:noWrap w:val="0"/>
            <w:vAlign w:val="center"/>
          </w:tcPr>
          <w:p w14:paraId="3AE1044B">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color w:val="000000" w:themeColor="text1"/>
                <w:highlight w:val="none"/>
                <w14:textFill>
                  <w14:solidFill>
                    <w14:schemeClr w14:val="tx1"/>
                  </w14:solidFill>
                </w14:textFill>
              </w:rPr>
            </w:pPr>
          </w:p>
        </w:tc>
        <w:tc>
          <w:tcPr>
            <w:tcW w:w="5265" w:type="dxa"/>
            <w:noWrap w:val="0"/>
            <w:vAlign w:val="center"/>
          </w:tcPr>
          <w:p w14:paraId="0312B5D1">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内部管理制度：根据投标人提供的内部管理制度进行打分，包括财务管理制度、员工管理制度、合同管理制度等。制度完善、可行，能够按照规章开展工作且符合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章程规定的视为符合，不符合或未提供的不得分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12B9C9D1">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268" w:type="dxa"/>
            <w:vMerge w:val="continue"/>
            <w:noWrap w:val="0"/>
            <w:vAlign w:val="center"/>
          </w:tcPr>
          <w:p w14:paraId="75117DB9">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679" w:type="dxa"/>
            <w:vMerge w:val="continue"/>
            <w:noWrap w:val="0"/>
            <w:vAlign w:val="center"/>
          </w:tcPr>
          <w:p w14:paraId="732C2185">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7E5A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5EDA21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5265" w:type="dxa"/>
            <w:noWrap w:val="0"/>
            <w:vAlign w:val="center"/>
          </w:tcPr>
          <w:p w14:paraId="128B12B8">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质量保障方案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针对本项目提出的质量保障方案进行打分，包括质量管理组织架构、质量监督体系和质量保证措施，确保服务期和服务质量的承诺、接待业务流程及服务操作规范等。方案全面、清晰、到位且符合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noWrap w:val="0"/>
            <w:vAlign w:val="center"/>
          </w:tcPr>
          <w:p w14:paraId="28D6E3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268" w:type="dxa"/>
            <w:noWrap w:val="0"/>
            <w:vAlign w:val="center"/>
          </w:tcPr>
          <w:p w14:paraId="18010C8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6DB1F7D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质量保障方案</w:t>
            </w:r>
          </w:p>
        </w:tc>
      </w:tr>
      <w:tr w14:paraId="09E6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E2006C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5265" w:type="dxa"/>
            <w:noWrap w:val="0"/>
            <w:vAlign w:val="center"/>
          </w:tcPr>
          <w:p w14:paraId="71DD8EAC">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疗休养</w:t>
            </w:r>
            <w:r>
              <w:rPr>
                <w:rFonts w:hint="eastAsia" w:ascii="宋体" w:hAnsi="宋体" w:cs="宋体"/>
                <w:color w:val="000000" w:themeColor="text1"/>
                <w:sz w:val="24"/>
                <w:szCs w:val="24"/>
                <w:highlight w:val="none"/>
                <w:lang w:val="en-US" w:eastAsia="zh-CN"/>
                <w14:textFill>
                  <w14:solidFill>
                    <w14:schemeClr w14:val="tx1"/>
                  </w14:solidFill>
                </w14:textFill>
              </w:rPr>
              <w:t>对应标项</w:t>
            </w:r>
            <w:r>
              <w:rPr>
                <w:rFonts w:hint="eastAsia" w:ascii="宋体" w:hAnsi="宋体" w:eastAsia="宋体" w:cs="宋体"/>
                <w:color w:val="000000" w:themeColor="text1"/>
                <w:sz w:val="24"/>
                <w:szCs w:val="24"/>
                <w:highlight w:val="none"/>
                <w:lang w:eastAsia="zh-CN"/>
                <w14:textFill>
                  <w14:solidFill>
                    <w14:schemeClr w14:val="tx1"/>
                  </w14:solidFill>
                </w14:textFill>
              </w:rPr>
              <w:t>线路策划方案：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疗休养线路策划方案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进行打分，包括线路的景点介绍、景点特色、行程安排、游玩时间、景点与宾馆之间的车程时间、付费游玩项目等。</w:t>
            </w:r>
            <w:r>
              <w:rPr>
                <w:rFonts w:hint="eastAsia" w:ascii="宋体" w:hAnsi="宋体" w:eastAsia="宋体" w:cs="宋体"/>
                <w:color w:val="000000" w:themeColor="text1"/>
                <w:sz w:val="24"/>
                <w:szCs w:val="24"/>
                <w:highlight w:val="none"/>
                <w:lang w:eastAsia="zh-CN"/>
                <w14:textFill>
                  <w14:solidFill>
                    <w14:schemeClr w14:val="tx1"/>
                  </w14:solidFill>
                </w14:textFill>
              </w:rPr>
              <w:t>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4C04757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268" w:type="dxa"/>
            <w:noWrap w:val="0"/>
            <w:vAlign w:val="center"/>
          </w:tcPr>
          <w:p w14:paraId="6196053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2EBE1C8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疗休养线路策划方案</w:t>
            </w:r>
          </w:p>
        </w:tc>
      </w:tr>
      <w:tr w14:paraId="669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3EC3C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265" w:type="dxa"/>
            <w:noWrap w:val="0"/>
            <w:vAlign w:val="center"/>
          </w:tcPr>
          <w:p w14:paraId="117BE37D">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住宿</w:t>
            </w:r>
            <w:r>
              <w:rPr>
                <w:rFonts w:hint="eastAsia" w:ascii="宋体" w:hAnsi="宋体" w:eastAsia="宋体" w:cs="宋体"/>
                <w:color w:val="000000" w:themeColor="text1"/>
                <w:sz w:val="24"/>
                <w:szCs w:val="24"/>
                <w:highlight w:val="none"/>
                <w:lang w:eastAsia="zh-CN"/>
                <w14:textFill>
                  <w14:solidFill>
                    <w14:schemeClr w14:val="tx1"/>
                  </w14:solidFill>
                </w14:textFill>
              </w:rPr>
              <w:t>策划方案：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提供的住宿</w:t>
            </w:r>
            <w:r>
              <w:rPr>
                <w:rFonts w:hint="eastAsia" w:ascii="宋体" w:hAnsi="宋体" w:eastAsia="宋体" w:cs="宋体"/>
                <w:color w:val="000000" w:themeColor="text1"/>
                <w:sz w:val="24"/>
                <w:szCs w:val="24"/>
                <w:highlight w:val="none"/>
                <w:lang w:eastAsia="zh-CN"/>
                <w14:textFill>
                  <w14:solidFill>
                    <w14:schemeClr w14:val="tx1"/>
                  </w14:solidFill>
                </w14:textFill>
              </w:rPr>
              <w:t>策划方案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进行打分，包括住宿酒店星级标准、接待能力、房间（房型、朝向、服务、配套设施）、交通条件、周边环境等。</w:t>
            </w:r>
            <w:r>
              <w:rPr>
                <w:rFonts w:hint="eastAsia" w:ascii="宋体" w:hAnsi="宋体" w:eastAsia="宋体" w:cs="宋体"/>
                <w:color w:val="000000" w:themeColor="text1"/>
                <w:sz w:val="24"/>
                <w:szCs w:val="24"/>
                <w:highlight w:val="none"/>
                <w:lang w:eastAsia="zh-CN"/>
                <w14:textFill>
                  <w14:solidFill>
                    <w14:schemeClr w14:val="tx1"/>
                  </w14:solidFill>
                </w14:textFill>
              </w:rPr>
              <w:t>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1D6D5E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268" w:type="dxa"/>
            <w:noWrap w:val="0"/>
            <w:vAlign w:val="center"/>
          </w:tcPr>
          <w:p w14:paraId="4EB0A4C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2821A5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住宿策划方案</w:t>
            </w:r>
          </w:p>
        </w:tc>
      </w:tr>
      <w:tr w14:paraId="626A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CD0F55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5265" w:type="dxa"/>
            <w:noWrap w:val="0"/>
            <w:vAlign w:val="center"/>
          </w:tcPr>
          <w:p w14:paraId="633FA697">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餐饮策划方案：根据投标人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提供的餐饮策划方案进行打分，包括用餐标准、用餐环境、菜肴搭配及当地特色等。</w:t>
            </w:r>
            <w:r>
              <w:rPr>
                <w:rFonts w:hint="eastAsia" w:ascii="宋体" w:hAnsi="宋体" w:eastAsia="宋体" w:cs="宋体"/>
                <w:color w:val="000000" w:themeColor="text1"/>
                <w:sz w:val="24"/>
                <w:szCs w:val="24"/>
                <w:highlight w:val="none"/>
                <w:lang w:eastAsia="zh-CN"/>
                <w14:textFill>
                  <w14:solidFill>
                    <w14:schemeClr w14:val="tx1"/>
                  </w14:solidFill>
                </w14:textFill>
              </w:rPr>
              <w:t>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58948E3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268" w:type="dxa"/>
            <w:noWrap w:val="0"/>
            <w:vAlign w:val="center"/>
          </w:tcPr>
          <w:p w14:paraId="41D91C9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19721C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餐饮策划方案</w:t>
            </w:r>
          </w:p>
        </w:tc>
      </w:tr>
      <w:tr w14:paraId="1FEF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C22F29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5265" w:type="dxa"/>
            <w:noWrap w:val="0"/>
            <w:vAlign w:val="center"/>
          </w:tcPr>
          <w:p w14:paraId="433BB277">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交通策划方案：根据投标人</w:t>
            </w:r>
            <w:r>
              <w:rPr>
                <w:rFonts w:hint="eastAsia" w:ascii="宋体" w:hAnsi="宋体" w:eastAsia="宋体" w:cs="宋体"/>
                <w:color w:val="000000" w:themeColor="text1"/>
                <w:sz w:val="24"/>
                <w:szCs w:val="24"/>
                <w:highlight w:val="none"/>
                <w14:textFill>
                  <w14:solidFill>
                    <w14:schemeClr w14:val="tx1"/>
                  </w14:solidFill>
                </w14:textFill>
              </w:rPr>
              <w:t>针对本项目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交通策划方案进行打分，包括交通工具配置（车型、座位比、使用年限、外观、内设等）、司机驾龄、车队服务能力、往返接送时间安排及目的地交通方案等。方案全面、清晰、到位且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A531EBA">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注：投标人可提供交通工具图片、行驶证、购置发票（租赁车辆提供租赁协议或合同）、司机驾驶证等辅助资料。</w:t>
            </w:r>
          </w:p>
        </w:tc>
        <w:tc>
          <w:tcPr>
            <w:tcW w:w="937" w:type="dxa"/>
            <w:noWrap w:val="0"/>
            <w:vAlign w:val="center"/>
          </w:tcPr>
          <w:p w14:paraId="2C5658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268" w:type="dxa"/>
            <w:noWrap w:val="0"/>
            <w:vAlign w:val="center"/>
          </w:tcPr>
          <w:p w14:paraId="12379AF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77CA3F0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交通策划方案</w:t>
            </w:r>
          </w:p>
        </w:tc>
      </w:tr>
      <w:tr w14:paraId="6789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08" w:type="dxa"/>
            <w:vMerge w:val="restart"/>
            <w:noWrap w:val="0"/>
            <w:vAlign w:val="center"/>
          </w:tcPr>
          <w:p w14:paraId="7E0983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5265" w:type="dxa"/>
            <w:noWrap w:val="0"/>
            <w:vAlign w:val="center"/>
          </w:tcPr>
          <w:p w14:paraId="42D5D443">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①日常投诉处理方案：</w:t>
            </w:r>
            <w:r>
              <w:rPr>
                <w:rFonts w:hint="eastAsia" w:ascii="宋体" w:hAnsi="宋体" w:eastAsia="宋体" w:cs="宋体"/>
                <w:color w:val="000000" w:themeColor="text1"/>
                <w:sz w:val="24"/>
                <w:szCs w:val="24"/>
                <w:highlight w:val="none"/>
                <w:lang w:eastAsia="zh-CN"/>
                <w14:textFill>
                  <w14:solidFill>
                    <w14:schemeClr w14:val="tx1"/>
                  </w14:solidFill>
                </w14:textFill>
              </w:rPr>
              <w:t>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sz w:val="24"/>
                <w:szCs w:val="24"/>
                <w:highlight w:val="none"/>
                <w:lang w:eastAsia="zh-CN"/>
                <w14:textFill>
                  <w14:solidFill>
                    <w14:schemeClr w14:val="tx1"/>
                  </w14:solidFill>
                </w14:textFill>
              </w:rPr>
              <w:t>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日常投诉处理方案进行打分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5分、</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7F6136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268" w:type="dxa"/>
            <w:vMerge w:val="restart"/>
            <w:noWrap w:val="0"/>
            <w:vAlign w:val="center"/>
          </w:tcPr>
          <w:p w14:paraId="498602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vMerge w:val="restart"/>
            <w:noWrap w:val="0"/>
            <w:vAlign w:val="center"/>
          </w:tcPr>
          <w:p w14:paraId="244F1AA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日常投诉纠纷处理</w:t>
            </w:r>
          </w:p>
        </w:tc>
      </w:tr>
      <w:tr w14:paraId="3F5C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08" w:type="dxa"/>
            <w:vMerge w:val="continue"/>
            <w:noWrap w:val="0"/>
            <w:vAlign w:val="center"/>
          </w:tcPr>
          <w:p w14:paraId="42E514EB">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color w:val="000000" w:themeColor="text1"/>
                <w:highlight w:val="none"/>
                <w14:textFill>
                  <w14:solidFill>
                    <w14:schemeClr w14:val="tx1"/>
                  </w14:solidFill>
                </w14:textFill>
              </w:rPr>
            </w:pPr>
          </w:p>
        </w:tc>
        <w:tc>
          <w:tcPr>
            <w:tcW w:w="5265" w:type="dxa"/>
            <w:noWrap w:val="0"/>
            <w:vAlign w:val="center"/>
          </w:tcPr>
          <w:p w14:paraId="49F1D3FD">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②日常纠纷处理方案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根据投标人针对本项目提供的日常纠纷处理方案进行打分。方案全面、清晰、到位且符合采购人实际需求的视为符合，不符合或未提供的不得分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5分、</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2AF225C2">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268" w:type="dxa"/>
            <w:vMerge w:val="continue"/>
            <w:noWrap w:val="0"/>
            <w:vAlign w:val="center"/>
          </w:tcPr>
          <w:p w14:paraId="463E2495">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679" w:type="dxa"/>
            <w:vMerge w:val="continue"/>
            <w:noWrap w:val="0"/>
            <w:vAlign w:val="center"/>
          </w:tcPr>
          <w:p w14:paraId="681BEDD9">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237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08" w:type="dxa"/>
            <w:noWrap w:val="0"/>
            <w:vAlign w:val="center"/>
          </w:tcPr>
          <w:p w14:paraId="720145F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5265" w:type="dxa"/>
            <w:noWrap w:val="0"/>
            <w:vAlign w:val="center"/>
          </w:tcPr>
          <w:p w14:paraId="7078C95D">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人员配置情况</w:t>
            </w:r>
            <w:r>
              <w:rPr>
                <w:rFonts w:hint="eastAsia" w:ascii="宋体" w:hAnsi="宋体" w:eastAsia="宋体" w:cs="宋体"/>
                <w:color w:val="000000" w:themeColor="text1"/>
                <w:sz w:val="24"/>
                <w:szCs w:val="24"/>
                <w:highlight w:val="none"/>
                <w14:textFill>
                  <w14:solidFill>
                    <w14:schemeClr w14:val="tx1"/>
                  </w14:solidFill>
                </w14:textFill>
              </w:rPr>
              <w:t>：根据投标人针对本项目</w:t>
            </w:r>
            <w:r>
              <w:rPr>
                <w:rFonts w:hint="eastAsia" w:ascii="宋体" w:hAnsi="宋体" w:eastAsia="宋体" w:cs="宋体"/>
                <w:color w:val="000000" w:themeColor="text1"/>
                <w:sz w:val="24"/>
                <w:szCs w:val="24"/>
                <w:highlight w:val="none"/>
                <w:lang w:eastAsia="zh-CN"/>
                <w14:textFill>
                  <w14:solidFill>
                    <w14:schemeClr w14:val="tx1"/>
                  </w14:solidFill>
                </w14:textFill>
              </w:rPr>
              <w:t>提供的</w:t>
            </w:r>
            <w:r>
              <w:rPr>
                <w:rFonts w:hint="eastAsia" w:ascii="宋体" w:hAnsi="宋体" w:eastAsia="宋体" w:cs="宋体"/>
                <w:color w:val="000000" w:themeColor="text1"/>
                <w:sz w:val="24"/>
                <w:szCs w:val="24"/>
                <w:highlight w:val="none"/>
                <w14:textFill>
                  <w14:solidFill>
                    <w14:schemeClr w14:val="tx1"/>
                  </w14:solidFill>
                </w14:textFill>
              </w:rPr>
              <w:t>人员配置</w:t>
            </w:r>
            <w:r>
              <w:rPr>
                <w:rFonts w:hint="eastAsia" w:ascii="宋体" w:hAnsi="宋体" w:eastAsia="宋体" w:cs="宋体"/>
                <w:color w:val="000000" w:themeColor="text1"/>
                <w:sz w:val="24"/>
                <w:szCs w:val="24"/>
                <w:highlight w:val="none"/>
                <w:lang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进行打分，包括岗位职责、上岗标准、工作规范、人员素质等</w:t>
            </w:r>
            <w:r>
              <w:rPr>
                <w:rFonts w:hint="eastAsia" w:ascii="宋体" w:hAnsi="宋体" w:eastAsia="宋体" w:cs="宋体"/>
                <w:color w:val="000000" w:themeColor="text1"/>
                <w:sz w:val="24"/>
                <w:szCs w:val="24"/>
                <w:highlight w:val="none"/>
                <w:lang w:eastAsia="zh-CN"/>
                <w14:textFill>
                  <w14:solidFill>
                    <w14:schemeClr w14:val="tx1"/>
                  </w14:solidFill>
                </w14:textFill>
              </w:rPr>
              <w:t>。方案全面、清晰、到位且符合采购人实际</w:t>
            </w:r>
            <w:r>
              <w:rPr>
                <w:rFonts w:hint="eastAsia" w:ascii="宋体" w:hAnsi="宋体" w:eastAsia="宋体" w:cs="宋体"/>
                <w:color w:val="000000" w:themeColor="text1"/>
                <w:sz w:val="24"/>
                <w:szCs w:val="24"/>
                <w:highlight w:val="none"/>
                <w14:textFill>
                  <w14:solidFill>
                    <w14:schemeClr w14:val="tx1"/>
                  </w14:solidFill>
                </w14:textFill>
              </w:rPr>
              <w:t>需求的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4C5DA0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p>
        </w:tc>
        <w:tc>
          <w:tcPr>
            <w:tcW w:w="1268" w:type="dxa"/>
            <w:noWrap w:val="0"/>
            <w:vAlign w:val="center"/>
          </w:tcPr>
          <w:p w14:paraId="495D735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1FF7269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人员配置情况</w:t>
            </w:r>
          </w:p>
        </w:tc>
      </w:tr>
      <w:tr w14:paraId="74B4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08" w:type="dxa"/>
            <w:vMerge w:val="restart"/>
            <w:noWrap w:val="0"/>
            <w:vAlign w:val="center"/>
          </w:tcPr>
          <w:p w14:paraId="23EC71C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5265" w:type="dxa"/>
            <w:noWrap w:val="0"/>
            <w:vAlign w:val="center"/>
          </w:tcPr>
          <w:p w14:paraId="2E4E5667">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lang w:eastAsia="zh-CN"/>
                <w14:textFill>
                  <w14:solidFill>
                    <w14:schemeClr w14:val="tx1"/>
                  </w14:solidFill>
                </w14:textFill>
              </w:rPr>
              <w:t>售后服务方案：根据投标人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sz w:val="24"/>
                <w:szCs w:val="24"/>
                <w:highlight w:val="none"/>
                <w:lang w:eastAsia="zh-CN"/>
                <w14:textFill>
                  <w14:solidFill>
                    <w14:schemeClr w14:val="tx1"/>
                  </w14:solidFill>
                </w14:textFill>
              </w:rPr>
              <w:t>提供的售后服务方案进行打分，包括服务能力、技术支持能力、售后服务承诺等。方案全面、清晰、到位且</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人实际需求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937" w:type="dxa"/>
            <w:noWrap w:val="0"/>
            <w:vAlign w:val="center"/>
          </w:tcPr>
          <w:p w14:paraId="1DEFBC8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268" w:type="dxa"/>
            <w:vMerge w:val="restart"/>
            <w:noWrap w:val="0"/>
            <w:vAlign w:val="center"/>
          </w:tcPr>
          <w:p w14:paraId="07F6645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679" w:type="dxa"/>
            <w:vMerge w:val="restart"/>
            <w:noWrap w:val="0"/>
            <w:vAlign w:val="center"/>
          </w:tcPr>
          <w:p w14:paraId="42D536E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售后服务方案</w:t>
            </w:r>
          </w:p>
        </w:tc>
      </w:tr>
      <w:tr w14:paraId="2BA1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08" w:type="dxa"/>
            <w:vMerge w:val="continue"/>
            <w:noWrap w:val="0"/>
            <w:vAlign w:val="center"/>
          </w:tcPr>
          <w:p w14:paraId="0FC315DF">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color w:val="000000" w:themeColor="text1"/>
                <w:highlight w:val="none"/>
                <w14:textFill>
                  <w14:solidFill>
                    <w14:schemeClr w14:val="tx1"/>
                  </w14:solidFill>
                </w14:textFill>
              </w:rPr>
            </w:pPr>
          </w:p>
        </w:tc>
        <w:tc>
          <w:tcPr>
            <w:tcW w:w="5265" w:type="dxa"/>
            <w:noWrap w:val="0"/>
            <w:vAlign w:val="center"/>
          </w:tcPr>
          <w:p w14:paraId="51FAA5AE">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服务响应方案</w:t>
            </w:r>
            <w:r>
              <w:rPr>
                <w:rFonts w:hint="eastAsia" w:ascii="宋体" w:hAnsi="宋体" w:eastAsia="宋体" w:cs="宋体"/>
                <w:color w:val="000000" w:themeColor="text1"/>
                <w:sz w:val="24"/>
                <w:szCs w:val="24"/>
                <w:highlight w:val="none"/>
                <w:lang w:eastAsia="zh-CN"/>
                <w14:textFill>
                  <w14:solidFill>
                    <w14:schemeClr w14:val="tx1"/>
                  </w14:solidFill>
                </w14:textFill>
              </w:rPr>
              <w:t>：根据投标人是否能够提供完善、快速的服务，满足采购人相关要求，实现“全方位、高品质、快速度”的服务标准等情况进行打分。服务响应能力完备、周全且满足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937" w:type="dxa"/>
            <w:noWrap w:val="0"/>
            <w:vAlign w:val="center"/>
          </w:tcPr>
          <w:p w14:paraId="5D83B167">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268" w:type="dxa"/>
            <w:vMerge w:val="continue"/>
            <w:noWrap w:val="0"/>
            <w:vAlign w:val="center"/>
          </w:tcPr>
          <w:p w14:paraId="278A5D72">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679" w:type="dxa"/>
            <w:vMerge w:val="continue"/>
            <w:noWrap w:val="0"/>
            <w:vAlign w:val="center"/>
          </w:tcPr>
          <w:p w14:paraId="421C8000">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0C0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264C89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5265" w:type="dxa"/>
            <w:noWrap w:val="0"/>
            <w:vAlign w:val="center"/>
          </w:tcPr>
          <w:p w14:paraId="4F8F2006">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服务承诺：根据投标人针对本项目</w:t>
            </w:r>
            <w:r>
              <w:rPr>
                <w:rFonts w:hint="eastAsia" w:ascii="宋体" w:hAnsi="宋体" w:eastAsia="宋体" w:cs="宋体"/>
                <w:color w:val="000000" w:themeColor="text1"/>
                <w:sz w:val="24"/>
                <w:szCs w:val="24"/>
                <w:highlight w:val="none"/>
                <w:lang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服务承诺</w:t>
            </w:r>
            <w:r>
              <w:rPr>
                <w:rFonts w:hint="eastAsia" w:ascii="宋体" w:hAnsi="宋体" w:eastAsia="宋体" w:cs="宋体"/>
                <w:color w:val="000000" w:themeColor="text1"/>
                <w:sz w:val="24"/>
                <w:szCs w:val="24"/>
                <w:highlight w:val="none"/>
                <w14:textFill>
                  <w14:solidFill>
                    <w14:schemeClr w14:val="tx1"/>
                  </w14:solidFill>
                </w14:textFill>
              </w:rPr>
              <w:t>进行打分,包括增值（特色）服务、优惠措施等。</w:t>
            </w:r>
            <w:r>
              <w:rPr>
                <w:rFonts w:hint="eastAsia" w:ascii="宋体" w:hAnsi="宋体" w:eastAsia="宋体" w:cs="宋体"/>
                <w:color w:val="000000" w:themeColor="text1"/>
                <w:sz w:val="24"/>
                <w:szCs w:val="24"/>
                <w:highlight w:val="none"/>
                <w:lang w:eastAsia="zh-CN"/>
                <w14:textFill>
                  <w14:solidFill>
                    <w14:schemeClr w14:val="tx1"/>
                  </w14:solidFill>
                </w14:textFill>
              </w:rPr>
              <w:t>承诺详实、针对性强且符合采购人实际</w:t>
            </w:r>
            <w:r>
              <w:rPr>
                <w:rFonts w:hint="eastAsia" w:ascii="宋体" w:hAnsi="宋体" w:eastAsia="宋体" w:cs="宋体"/>
                <w:color w:val="000000" w:themeColor="text1"/>
                <w:sz w:val="24"/>
                <w:szCs w:val="24"/>
                <w:highlight w:val="none"/>
                <w14:textFill>
                  <w14:solidFill>
                    <w14:schemeClr w14:val="tx1"/>
                  </w14:solidFill>
                </w14:textFill>
              </w:rPr>
              <w:t>需求的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3249FB53">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②承诺全程不进购物点：投标人针对各线路承诺全程不进购物点的得2分。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（须提供承诺函，格式自拟，未提供不得分）</w:t>
            </w:r>
          </w:p>
        </w:tc>
        <w:tc>
          <w:tcPr>
            <w:tcW w:w="937" w:type="dxa"/>
            <w:noWrap w:val="0"/>
            <w:vAlign w:val="center"/>
          </w:tcPr>
          <w:p w14:paraId="10C69D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p>
        </w:tc>
        <w:tc>
          <w:tcPr>
            <w:tcW w:w="1268" w:type="dxa"/>
            <w:noWrap w:val="0"/>
            <w:vAlign w:val="center"/>
          </w:tcPr>
          <w:p w14:paraId="4E78297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53E85E8E">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服务承诺</w:t>
            </w:r>
          </w:p>
        </w:tc>
      </w:tr>
      <w:tr w14:paraId="4DA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noWrap w:val="0"/>
            <w:vAlign w:val="center"/>
          </w:tcPr>
          <w:p w14:paraId="644F187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5265" w:type="dxa"/>
            <w:noWrap w:val="0"/>
            <w:vAlign w:val="center"/>
          </w:tcPr>
          <w:p w14:paraId="7D989D25">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①小额赔款先行赔付承诺：</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承诺小额赔款先行赔付的（200元及以下）得1分。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须提供承诺书，格式自拟，未提供不得分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7FBA5C40">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人身意外伤害保险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投标人承诺为游客提供人身意外伤害保险高于等于100万</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须提供承诺书，格式自拟，</w:t>
            </w:r>
            <w:r>
              <w:rPr>
                <w:rFonts w:hint="eastAsia" w:ascii="宋体" w:hAnsi="宋体" w:cs="宋体"/>
                <w:b/>
                <w:bCs/>
                <w:color w:val="000000" w:themeColor="text1"/>
                <w:sz w:val="24"/>
                <w:szCs w:val="24"/>
                <w:highlight w:val="none"/>
                <w:lang w:val="en-US" w:eastAsia="zh-CN"/>
                <w14:textFill>
                  <w14:solidFill>
                    <w14:schemeClr w14:val="tx1"/>
                  </w14:solidFill>
                </w14:textFill>
              </w:rPr>
              <w:t>或有效期内的保险保单原件扫描件，</w:t>
            </w:r>
            <w:r>
              <w:rPr>
                <w:rFonts w:hint="eastAsia" w:ascii="宋体" w:hAnsi="宋体" w:eastAsia="宋体" w:cs="宋体"/>
                <w:b/>
                <w:bCs/>
                <w:color w:val="000000" w:themeColor="text1"/>
                <w:sz w:val="24"/>
                <w:szCs w:val="24"/>
                <w:highlight w:val="none"/>
                <w:lang w:eastAsia="zh-CN"/>
                <w14:textFill>
                  <w14:solidFill>
                    <w14:schemeClr w14:val="tx1"/>
                  </w14:solidFill>
                </w14:textFill>
              </w:rPr>
              <w:t>未提供不得分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664818F3">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旅行社责任险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旅行社责任</w:t>
            </w:r>
            <w:r>
              <w:rPr>
                <w:rFonts w:hint="eastAsia" w:ascii="宋体" w:hAnsi="宋体" w:cs="宋体"/>
                <w:color w:val="000000" w:themeColor="text1"/>
                <w:sz w:val="24"/>
                <w:szCs w:val="24"/>
                <w:highlight w:val="none"/>
                <w:lang w:val="en-US" w:eastAsia="zh-CN"/>
                <w14:textFill>
                  <w14:solidFill>
                    <w14:schemeClr w14:val="tx1"/>
                  </w14:solidFill>
                </w14:textFill>
              </w:rPr>
              <w:t>保</w:t>
            </w:r>
            <w:r>
              <w:rPr>
                <w:rFonts w:hint="eastAsia" w:ascii="宋体" w:hAnsi="宋体" w:eastAsia="宋体" w:cs="宋体"/>
                <w:color w:val="000000" w:themeColor="text1"/>
                <w:sz w:val="24"/>
                <w:szCs w:val="24"/>
                <w:highlight w:val="none"/>
                <w14:textFill>
                  <w14:solidFill>
                    <w14:schemeClr w14:val="tx1"/>
                  </w14:solidFill>
                </w14:textFill>
              </w:rPr>
              <w:t>险</w:t>
            </w:r>
            <w:r>
              <w:rPr>
                <w:rFonts w:hint="eastAsia" w:ascii="宋体" w:hAnsi="宋体" w:cs="宋体"/>
                <w:color w:val="000000" w:themeColor="text1"/>
                <w:sz w:val="24"/>
                <w:szCs w:val="24"/>
                <w:highlight w:val="none"/>
                <w:lang w:val="en-US" w:eastAsia="zh-CN"/>
                <w14:textFill>
                  <w14:solidFill>
                    <w14:schemeClr w14:val="tx1"/>
                  </w14:solidFill>
                </w14:textFill>
              </w:rPr>
              <w:t>保单-累计责任</w:t>
            </w:r>
            <w:r>
              <w:rPr>
                <w:rFonts w:hint="eastAsia" w:ascii="宋体" w:hAnsi="宋体" w:eastAsia="宋体" w:cs="宋体"/>
                <w:color w:val="000000" w:themeColor="text1"/>
                <w:sz w:val="24"/>
                <w:szCs w:val="24"/>
                <w:highlight w:val="none"/>
                <w14:textFill>
                  <w14:solidFill>
                    <w14:schemeClr w14:val="tx1"/>
                  </w14:solidFill>
                </w14:textFill>
              </w:rPr>
              <w:t>限额</w:t>
            </w:r>
            <w:r>
              <w:rPr>
                <w:rFonts w:hint="eastAsia" w:ascii="宋体" w:hAnsi="宋体" w:cs="宋体"/>
                <w:color w:val="000000" w:themeColor="text1"/>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sz w:val="24"/>
                <w:szCs w:val="24"/>
                <w:highlight w:val="none"/>
                <w14:textFill>
                  <w14:solidFill>
                    <w14:schemeClr w14:val="tx1"/>
                  </w14:solidFill>
                </w14:textFill>
              </w:rPr>
              <w:t>万元（含）及以上</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得3分；</w:t>
            </w:r>
            <w:r>
              <w:rPr>
                <w:rFonts w:hint="eastAsia" w:ascii="宋体" w:hAnsi="宋体" w:cs="宋体"/>
                <w:color w:val="000000" w:themeColor="text1"/>
                <w:sz w:val="24"/>
                <w:szCs w:val="24"/>
                <w:highlight w:val="none"/>
                <w:lang w:val="en-US" w:eastAsia="zh-CN"/>
                <w14:textFill>
                  <w14:solidFill>
                    <w14:schemeClr w14:val="tx1"/>
                  </w14:solidFill>
                </w14:textFill>
              </w:rPr>
              <w:t>累计责任限额3</w:t>
            </w:r>
            <w:r>
              <w:rPr>
                <w:rFonts w:hint="eastAsia" w:ascii="宋体" w:hAnsi="宋体" w:eastAsia="宋体" w:cs="宋体"/>
                <w:color w:val="000000" w:themeColor="text1"/>
                <w:sz w:val="24"/>
                <w:szCs w:val="24"/>
                <w:highlight w:val="none"/>
                <w14:textFill>
                  <w14:solidFill>
                    <w14:schemeClr w14:val="tx1"/>
                  </w14:solidFill>
                </w14:textFill>
              </w:rPr>
              <w:t>00万（不含）-</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00万元（含）</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得2分；</w:t>
            </w:r>
            <w:r>
              <w:rPr>
                <w:rFonts w:hint="eastAsia" w:ascii="宋体" w:hAnsi="宋体" w:cs="宋体"/>
                <w:color w:val="000000" w:themeColor="text1"/>
                <w:sz w:val="24"/>
                <w:szCs w:val="24"/>
                <w:highlight w:val="none"/>
                <w:lang w:val="en-US" w:eastAsia="zh-CN"/>
                <w14:textFill>
                  <w14:solidFill>
                    <w14:schemeClr w14:val="tx1"/>
                  </w14:solidFill>
                </w14:textFill>
              </w:rPr>
              <w:t>累计责任限额2</w:t>
            </w:r>
            <w:r>
              <w:rPr>
                <w:rFonts w:hint="eastAsia" w:ascii="宋体" w:hAnsi="宋体" w:eastAsia="宋体" w:cs="宋体"/>
                <w:color w:val="000000" w:themeColor="text1"/>
                <w:sz w:val="24"/>
                <w:szCs w:val="24"/>
                <w:highlight w:val="none"/>
                <w14:textFill>
                  <w14:solidFill>
                    <w14:schemeClr w14:val="tx1"/>
                  </w14:solidFill>
                </w14:textFill>
              </w:rPr>
              <w:t>00（不含）-</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00万元（含）</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得1分。</w:t>
            </w:r>
            <w:r>
              <w:rPr>
                <w:rFonts w:hint="eastAsia" w:ascii="宋体" w:hAnsi="宋体" w:cs="宋体"/>
                <w:color w:val="000000" w:themeColor="text1"/>
                <w:sz w:val="24"/>
                <w:szCs w:val="24"/>
                <w:highlight w:val="none"/>
                <w:lang w:val="en-US" w:eastAsia="zh-CN"/>
                <w14:textFill>
                  <w14:solidFill>
                    <w14:schemeClr w14:val="tx1"/>
                  </w14:solidFill>
                </w14:textFill>
              </w:rPr>
              <w:t>累计责任限额</w:t>
            </w:r>
            <w:r>
              <w:rPr>
                <w:rFonts w:hint="eastAsia" w:ascii="宋体" w:hAnsi="宋体" w:eastAsia="宋体" w:cs="宋体"/>
                <w:color w:val="000000" w:themeColor="text1"/>
                <w:sz w:val="24"/>
                <w:szCs w:val="24"/>
                <w:highlight w:val="none"/>
                <w14:textFill>
                  <w14:solidFill>
                    <w14:schemeClr w14:val="tx1"/>
                  </w14:solidFill>
                </w14:textFill>
              </w:rPr>
              <w:t>低于</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00万元的不得分。</w:t>
            </w:r>
            <w:r>
              <w:rPr>
                <w:rFonts w:hint="eastAsia" w:ascii="宋体" w:hAnsi="宋体" w:eastAsia="宋体" w:cs="宋体"/>
                <w:b/>
                <w:bCs/>
                <w:color w:val="000000" w:themeColor="text1"/>
                <w:sz w:val="24"/>
                <w:szCs w:val="24"/>
                <w:highlight w:val="none"/>
                <w:lang w:eastAsia="zh-CN"/>
                <w14:textFill>
                  <w14:solidFill>
                    <w14:schemeClr w14:val="tx1"/>
                  </w14:solidFill>
                </w14:textFill>
              </w:rPr>
              <w:t>（须提供须提供承诺书</w:t>
            </w:r>
            <w:r>
              <w:rPr>
                <w:rFonts w:hint="eastAsia" w:ascii="宋体" w:hAnsi="宋体" w:cs="宋体"/>
                <w:b/>
                <w:bCs/>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szCs w:val="24"/>
                <w:highlight w:val="none"/>
                <w:lang w:eastAsia="zh-CN"/>
                <w14:textFill>
                  <w14:solidFill>
                    <w14:schemeClr w14:val="tx1"/>
                  </w14:solidFill>
                </w14:textFill>
              </w:rPr>
              <w:t>有效</w:t>
            </w:r>
            <w:r>
              <w:rPr>
                <w:rFonts w:hint="eastAsia" w:ascii="宋体" w:hAnsi="宋体" w:cs="宋体"/>
                <w:b/>
                <w:bCs/>
                <w:color w:val="000000" w:themeColor="text1"/>
                <w:sz w:val="24"/>
                <w:szCs w:val="24"/>
                <w:highlight w:val="none"/>
                <w:lang w:val="en-US" w:eastAsia="zh-CN"/>
                <w14:textFill>
                  <w14:solidFill>
                    <w14:schemeClr w14:val="tx1"/>
                  </w14:solidFill>
                </w14:textFill>
              </w:rPr>
              <w:t>期内</w:t>
            </w:r>
            <w:r>
              <w:rPr>
                <w:rFonts w:hint="eastAsia" w:ascii="宋体" w:hAnsi="宋体" w:eastAsia="宋体" w:cs="宋体"/>
                <w:b/>
                <w:bCs/>
                <w:color w:val="000000" w:themeColor="text1"/>
                <w:sz w:val="24"/>
                <w:szCs w:val="24"/>
                <w:highlight w:val="none"/>
                <w:lang w:eastAsia="zh-CN"/>
                <w14:textFill>
                  <w14:solidFill>
                    <w14:schemeClr w14:val="tx1"/>
                  </w14:solidFill>
                </w14:textFill>
              </w:rPr>
              <w:t>的旅行社责任保险</w:t>
            </w:r>
            <w:r>
              <w:rPr>
                <w:rFonts w:hint="eastAsia" w:ascii="宋体" w:hAnsi="宋体" w:cs="宋体"/>
                <w:b/>
                <w:bCs/>
                <w:color w:val="000000" w:themeColor="text1"/>
                <w:sz w:val="24"/>
                <w:szCs w:val="24"/>
                <w:highlight w:val="none"/>
                <w:lang w:val="en-US" w:eastAsia="zh-CN"/>
                <w14:textFill>
                  <w14:solidFill>
                    <w14:schemeClr w14:val="tx1"/>
                  </w14:solidFill>
                </w14:textFill>
              </w:rPr>
              <w:t>保单</w:t>
            </w:r>
            <w:r>
              <w:rPr>
                <w:rFonts w:hint="eastAsia" w:ascii="宋体" w:hAnsi="宋体" w:eastAsia="宋体" w:cs="宋体"/>
                <w:b/>
                <w:bCs/>
                <w:color w:val="000000" w:themeColor="text1"/>
                <w:sz w:val="24"/>
                <w:szCs w:val="24"/>
                <w:highlight w:val="none"/>
                <w:lang w:eastAsia="zh-CN"/>
                <w14:textFill>
                  <w14:solidFill>
                    <w14:schemeClr w14:val="tx1"/>
                  </w14:solidFill>
                </w14:textFill>
              </w:rPr>
              <w:t>原件扫描件，未提供不得分）</w:t>
            </w:r>
          </w:p>
        </w:tc>
        <w:tc>
          <w:tcPr>
            <w:tcW w:w="937" w:type="dxa"/>
            <w:noWrap w:val="0"/>
            <w:vAlign w:val="center"/>
          </w:tcPr>
          <w:p w14:paraId="2D7B27E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p>
        </w:tc>
        <w:tc>
          <w:tcPr>
            <w:tcW w:w="1268" w:type="dxa"/>
            <w:noWrap w:val="0"/>
            <w:vAlign w:val="center"/>
          </w:tcPr>
          <w:p w14:paraId="555EB46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客观分</w:t>
            </w:r>
          </w:p>
        </w:tc>
        <w:tc>
          <w:tcPr>
            <w:tcW w:w="1679" w:type="dxa"/>
            <w:noWrap w:val="0"/>
            <w:vAlign w:val="center"/>
          </w:tcPr>
          <w:p w14:paraId="7207D1EF">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76" w:name="_GoBack"/>
            <w:r>
              <w:rPr>
                <w:rFonts w:hint="eastAsia" w:ascii="宋体" w:hAnsi="宋体" w:eastAsia="宋体" w:cs="宋体"/>
                <w:color w:val="000000" w:themeColor="text1"/>
                <w:sz w:val="24"/>
                <w:szCs w:val="24"/>
                <w:highlight w:val="none"/>
                <w14:textFill>
                  <w14:solidFill>
                    <w14:schemeClr w14:val="tx1"/>
                  </w14:solidFill>
                </w14:textFill>
              </w:rPr>
              <w:t>保险保障</w:t>
            </w:r>
            <w:bookmarkEnd w:id="176"/>
          </w:p>
        </w:tc>
      </w:tr>
      <w:tr w14:paraId="11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08" w:type="dxa"/>
            <w:vMerge w:val="restart"/>
            <w:noWrap w:val="0"/>
            <w:vAlign w:val="center"/>
          </w:tcPr>
          <w:p w14:paraId="792F1B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5265" w:type="dxa"/>
            <w:noWrap w:val="0"/>
            <w:vAlign w:val="center"/>
          </w:tcPr>
          <w:p w14:paraId="5B4E2486">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自然灾害应急预案：根据投标人针对本项目提供的自然灾害应急预案进行打分，包括服务过程中临时性、突发性、特殊性、紧急性等应急事件的应急处理方案和措施等。方案全面、清晰、到位且符合采购人现场实际需要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vMerge w:val="restart"/>
            <w:noWrap w:val="0"/>
            <w:vAlign w:val="center"/>
          </w:tcPr>
          <w:p w14:paraId="1EE3F13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p>
        </w:tc>
        <w:tc>
          <w:tcPr>
            <w:tcW w:w="1268" w:type="dxa"/>
            <w:vMerge w:val="restart"/>
            <w:noWrap w:val="0"/>
            <w:vAlign w:val="center"/>
          </w:tcPr>
          <w:p w14:paraId="07F85B2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vMerge w:val="restart"/>
            <w:noWrap w:val="0"/>
            <w:vAlign w:val="center"/>
          </w:tcPr>
          <w:p w14:paraId="0E2ECE9C">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应急处理方案</w:t>
            </w:r>
          </w:p>
        </w:tc>
      </w:tr>
      <w:tr w14:paraId="7A50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08" w:type="dxa"/>
            <w:vMerge w:val="continue"/>
            <w:noWrap w:val="0"/>
            <w:vAlign w:val="center"/>
          </w:tcPr>
          <w:p w14:paraId="1BEA38B4">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pPr>
          </w:p>
        </w:tc>
        <w:tc>
          <w:tcPr>
            <w:tcW w:w="5265" w:type="dxa"/>
            <w:noWrap w:val="0"/>
            <w:vAlign w:val="center"/>
          </w:tcPr>
          <w:p w14:paraId="498EB234">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疾病应急预案：根据投标人针对本项目提供的疾病应急预案进行打分，包括服务过程中临时性、突发性、特殊性、紧急性等应急事件的应急处理方案和措施等。方案全面、清晰、到位且符合采购人现场实际需要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vMerge w:val="continue"/>
            <w:noWrap w:val="0"/>
            <w:vAlign w:val="center"/>
          </w:tcPr>
          <w:p w14:paraId="658BD23A">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8" w:type="dxa"/>
            <w:vMerge w:val="continue"/>
            <w:noWrap w:val="0"/>
            <w:vAlign w:val="center"/>
          </w:tcPr>
          <w:p w14:paraId="5871E786">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79" w:type="dxa"/>
            <w:vMerge w:val="continue"/>
            <w:noWrap w:val="0"/>
            <w:vAlign w:val="center"/>
          </w:tcPr>
          <w:p w14:paraId="1AE2C16B">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D65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08" w:type="dxa"/>
            <w:vMerge w:val="continue"/>
            <w:noWrap w:val="0"/>
            <w:vAlign w:val="center"/>
          </w:tcPr>
          <w:p w14:paraId="5871A95B">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265" w:type="dxa"/>
            <w:noWrap w:val="0"/>
            <w:vAlign w:val="center"/>
          </w:tcPr>
          <w:p w14:paraId="4D17C620">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交通突发状况应急预案：根据投标人针对本项目提供的交通突发状况应急预案进行打分，包括服务过程中临时性、突发性、特殊性、紧急性等应急事件的应急处理方案和措施等。方案全面、清晰、到位且符合采购人现场实际需要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vMerge w:val="continue"/>
            <w:noWrap w:val="0"/>
            <w:vAlign w:val="center"/>
          </w:tcPr>
          <w:p w14:paraId="2A770542">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8" w:type="dxa"/>
            <w:vMerge w:val="continue"/>
            <w:noWrap w:val="0"/>
            <w:vAlign w:val="center"/>
          </w:tcPr>
          <w:p w14:paraId="24C3DB35">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79" w:type="dxa"/>
            <w:vMerge w:val="continue"/>
            <w:noWrap w:val="0"/>
            <w:vAlign w:val="center"/>
          </w:tcPr>
          <w:p w14:paraId="2B1FE4D9">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414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2E5939C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5265" w:type="dxa"/>
            <w:noWrap w:val="0"/>
            <w:vAlign w:val="center"/>
          </w:tcPr>
          <w:p w14:paraId="193F6A09">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培训方案：根据投标人针对本项目提供的培训方案进行打分，包括完善的培训方案、培训计划、培训内容、培训计划落实的保障措施等。方案全面、清晰、到位且符合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noWrap w:val="0"/>
            <w:vAlign w:val="center"/>
          </w:tcPr>
          <w:p w14:paraId="6607DB0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1268" w:type="dxa"/>
            <w:noWrap w:val="0"/>
            <w:vAlign w:val="center"/>
          </w:tcPr>
          <w:p w14:paraId="0320071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noWrap w:val="0"/>
            <w:vAlign w:val="center"/>
          </w:tcPr>
          <w:p w14:paraId="2E9152A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人员培训方案</w:t>
            </w:r>
          </w:p>
        </w:tc>
      </w:tr>
      <w:tr w14:paraId="26FF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08" w:type="dxa"/>
            <w:vMerge w:val="restart"/>
            <w:noWrap w:val="0"/>
            <w:vAlign w:val="center"/>
          </w:tcPr>
          <w:p w14:paraId="11BF5A4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5265" w:type="dxa"/>
            <w:noWrap w:val="0"/>
            <w:vAlign w:val="center"/>
          </w:tcPr>
          <w:p w14:paraId="30634923">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①重点和难点分析：根据投标人针对本项目实施过程中可能遇到的重点和难点分析进行打分。分析全面、清晰、到位且符合采购人实际需求的视为符合，不符合或未提供的不得分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vMerge w:val="restart"/>
            <w:noWrap w:val="0"/>
            <w:vAlign w:val="center"/>
          </w:tcPr>
          <w:p w14:paraId="4764E04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268" w:type="dxa"/>
            <w:vMerge w:val="restart"/>
            <w:noWrap w:val="0"/>
            <w:vAlign w:val="center"/>
          </w:tcPr>
          <w:p w14:paraId="5E7BF53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主观分</w:t>
            </w:r>
          </w:p>
        </w:tc>
        <w:tc>
          <w:tcPr>
            <w:tcW w:w="1679" w:type="dxa"/>
            <w:vMerge w:val="restart"/>
            <w:noWrap w:val="0"/>
            <w:vAlign w:val="center"/>
          </w:tcPr>
          <w:p w14:paraId="7EFEFF4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重难点分析及解决措施</w:t>
            </w:r>
          </w:p>
        </w:tc>
      </w:tr>
      <w:tr w14:paraId="0810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08" w:type="dxa"/>
            <w:vMerge w:val="continue"/>
            <w:noWrap w:val="0"/>
            <w:vAlign w:val="center"/>
          </w:tcPr>
          <w:p w14:paraId="2274DB23">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pPr>
          </w:p>
        </w:tc>
        <w:tc>
          <w:tcPr>
            <w:tcW w:w="5265" w:type="dxa"/>
            <w:noWrap w:val="0"/>
            <w:vAlign w:val="center"/>
          </w:tcPr>
          <w:p w14:paraId="6BF14EB1">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解决措施：根据投标人针对重点和难点分析提供的解决措施进行打分。解决措施全面、清晰、到位且符合采购人实际需求的视为符合，不符合或未提供的不得分</w:t>
            </w:r>
            <w:r>
              <w:rPr>
                <w:rFonts w:hint="eastAsia" w:ascii="宋体" w:hAnsi="宋体" w:eastAsia="宋体" w:cs="宋体"/>
                <w:color w:val="000000" w:themeColor="text1"/>
                <w:szCs w:val="21"/>
                <w:highlight w:val="none"/>
                <w14:textFill>
                  <w14:solidFill>
                    <w14:schemeClr w14:val="tx1"/>
                  </w14:solidFill>
                </w14:textFill>
              </w:rPr>
              <w:t>（3分、2分、1分、0分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37" w:type="dxa"/>
            <w:vMerge w:val="continue"/>
            <w:noWrap w:val="0"/>
            <w:vAlign w:val="center"/>
          </w:tcPr>
          <w:p w14:paraId="65DBA06B">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8" w:type="dxa"/>
            <w:vMerge w:val="continue"/>
            <w:noWrap w:val="0"/>
            <w:vAlign w:val="center"/>
          </w:tcPr>
          <w:p w14:paraId="55F66832">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79" w:type="dxa"/>
            <w:vMerge w:val="continue"/>
            <w:noWrap w:val="0"/>
            <w:vAlign w:val="center"/>
          </w:tcPr>
          <w:p w14:paraId="75FECBCD">
            <w:pPr>
              <w:pStyle w:val="394"/>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92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0DBAE7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16</w:t>
            </w:r>
          </w:p>
        </w:tc>
        <w:tc>
          <w:tcPr>
            <w:tcW w:w="5265" w:type="dxa"/>
            <w:noWrap w:val="0"/>
            <w:vAlign w:val="center"/>
          </w:tcPr>
          <w:p w14:paraId="69B43BF3">
            <w:pPr>
              <w:keepNext w:val="0"/>
              <w:keepLines w:val="0"/>
              <w:pageBreakBefore w:val="0"/>
              <w:widowControl w:val="0"/>
              <w:kinsoku/>
              <w:wordWrap/>
              <w:overflowPunct/>
              <w:topLinePunct w:val="0"/>
              <w:autoSpaceDE/>
              <w:autoSpaceDN/>
              <w:bidi w:val="0"/>
              <w:adjustRightInd w:val="0"/>
              <w:spacing w:before="0" w:line="44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本项目执行国家统一定价标准和采用固定价格，其价格不列为评审因素。</w:t>
            </w:r>
          </w:p>
        </w:tc>
        <w:tc>
          <w:tcPr>
            <w:tcW w:w="937" w:type="dxa"/>
            <w:noWrap w:val="0"/>
            <w:vAlign w:val="center"/>
          </w:tcPr>
          <w:p w14:paraId="47A0DE9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p>
        </w:tc>
        <w:tc>
          <w:tcPr>
            <w:tcW w:w="1268" w:type="dxa"/>
            <w:noWrap w:val="0"/>
            <w:vAlign w:val="center"/>
          </w:tcPr>
          <w:p w14:paraId="797FAF0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1679" w:type="dxa"/>
            <w:noWrap w:val="0"/>
            <w:vAlign w:val="center"/>
          </w:tcPr>
          <w:p w14:paraId="6D9F1B08">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bl>
    <w:p w14:paraId="6B96D6E8">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r>
        <w:rPr>
          <w:rFonts w:hint="eastAsia" w:cs="Arial" w:asciiTheme="minorEastAsia" w:hAnsiTheme="minorEastAsia" w:eastAsiaTheme="minorEastAsia"/>
          <w:b/>
          <w:color w:val="auto"/>
          <w:kern w:val="0"/>
          <w:sz w:val="24"/>
          <w:lang w:eastAsia="zh-CN"/>
        </w:rPr>
        <w:t>。</w:t>
      </w:r>
    </w:p>
    <w:p w14:paraId="4FB9961C">
      <w:pPr>
        <w:pStyle w:val="394"/>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0" w:leftChars="0" w:firstLine="0" w:firstLineChars="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4"/>
        <w:spacing w:before="0"/>
        <w:ind w:firstLine="0" w:firstLineChars="0"/>
        <w:rPr>
          <w:rFonts w:asciiTheme="minorEastAsia" w:hAnsiTheme="minorEastAsia" w:eastAsiaTheme="minorEastAsia"/>
          <w:b/>
          <w:color w:val="auto"/>
        </w:rPr>
      </w:pPr>
    </w:p>
    <w:p w14:paraId="63CBAB6D">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4"/>
        <w:spacing w:before="0"/>
        <w:ind w:firstLine="0" w:firstLineChars="0"/>
        <w:rPr>
          <w:rFonts w:asciiTheme="minorEastAsia" w:hAnsiTheme="minorEastAsia" w:eastAsiaTheme="minorEastAsia"/>
          <w:b/>
          <w:color w:val="auto"/>
        </w:rPr>
      </w:pPr>
    </w:p>
    <w:p w14:paraId="64F5D5B1">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3"/>
        <w:spacing w:line="360" w:lineRule="auto"/>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4"/>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6" w:name="第五部分"/>
      <w:bookmarkStart w:id="67"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3"/>
        <w:rPr>
          <w:rFonts w:asciiTheme="minorEastAsia" w:hAnsiTheme="minorEastAsia" w:eastAsiaTheme="minorEastAsia"/>
          <w:color w:val="auto"/>
          <w:szCs w:val="24"/>
        </w:rPr>
      </w:pPr>
    </w:p>
    <w:p w14:paraId="0A4884B3">
      <w:pPr>
        <w:pStyle w:val="283"/>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8"/>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lang w:eastAsia="zh-CN"/>
        </w:rPr>
        <w:t>杭州市临安区青山初级中学</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lang w:eastAsia="zh-CN"/>
        </w:rPr>
        <w:t>竞争性磋商方式</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lang w:eastAsia="zh-CN"/>
        </w:rPr>
        <w:t>2025年度青山初中职工疗休养项目</w:t>
      </w:r>
      <w:r>
        <w:rPr>
          <w:rFonts w:ascii="宋体" w:hAnsi="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w:t>
      </w:r>
      <w:r>
        <w:rPr>
          <w:rFonts w:hint="eastAsia" w:ascii="宋体" w:hAnsi="宋体"/>
          <w:color w:val="auto"/>
          <w:sz w:val="24"/>
          <w:u w:val="single"/>
          <w:lang w:eastAsia="zh-CN"/>
        </w:rPr>
        <w:t>磋商小组</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杭州市临安区青山初级中学</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8" w:name="_Toc22967"/>
      <w:bookmarkStart w:id="69" w:name="_Toc28855"/>
      <w:bookmarkStart w:id="70" w:name="_Toc15367"/>
      <w:bookmarkStart w:id="71" w:name="_Toc19273"/>
      <w:bookmarkStart w:id="72" w:name="_Toc20421"/>
      <w:r>
        <w:rPr>
          <w:rFonts w:ascii="宋体" w:hAnsi="宋体"/>
          <w:b/>
          <w:color w:val="auto"/>
          <w:sz w:val="24"/>
        </w:rPr>
        <w:t xml:space="preserve">1.1 </w:t>
      </w:r>
      <w:r>
        <w:rPr>
          <w:rFonts w:hint="eastAsia" w:ascii="宋体" w:hAnsi="宋体"/>
          <w:b/>
          <w:color w:val="auto"/>
          <w:sz w:val="24"/>
        </w:rPr>
        <w:t>合同组成部分</w:t>
      </w:r>
      <w:bookmarkEnd w:id="68"/>
      <w:bookmarkEnd w:id="69"/>
      <w:bookmarkEnd w:id="70"/>
      <w:bookmarkEnd w:id="71"/>
      <w:bookmarkEnd w:id="72"/>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3" w:name="_Toc2918"/>
      <w:bookmarkStart w:id="74" w:name="_Toc6773"/>
      <w:bookmarkStart w:id="75" w:name="_Toc18585"/>
      <w:bookmarkStart w:id="76" w:name="_Toc6311"/>
      <w:bookmarkStart w:id="77" w:name="_Toc22185"/>
      <w:r>
        <w:rPr>
          <w:rFonts w:ascii="宋体" w:hAnsi="宋体"/>
          <w:b/>
          <w:color w:val="auto"/>
          <w:sz w:val="24"/>
        </w:rPr>
        <w:t xml:space="preserve">1.2 </w:t>
      </w:r>
      <w:r>
        <w:rPr>
          <w:rFonts w:hint="eastAsia" w:ascii="宋体" w:hAnsi="宋体"/>
          <w:b/>
          <w:color w:val="auto"/>
          <w:sz w:val="24"/>
        </w:rPr>
        <w:t>标的</w:t>
      </w:r>
      <w:bookmarkEnd w:id="73"/>
      <w:bookmarkEnd w:id="74"/>
      <w:bookmarkEnd w:id="75"/>
      <w:bookmarkEnd w:id="76"/>
      <w:bookmarkEnd w:id="77"/>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keepNext w:val="0"/>
        <w:keepLines w:val="0"/>
        <w:pageBreakBefore w:val="0"/>
        <w:kinsoku/>
        <w:wordWrap/>
        <w:overflowPunct/>
        <w:topLinePunct w:val="0"/>
        <w:autoSpaceDE/>
        <w:autoSpaceDN/>
        <w:bidi w:val="0"/>
        <w:snapToGrid/>
        <w:spacing w:line="560" w:lineRule="exact"/>
        <w:ind w:firstLine="480" w:firstLineChars="200"/>
        <w:jc w:val="left"/>
        <w:textAlignment w:val="auto"/>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8" w:name="_Toc13918"/>
      <w:bookmarkStart w:id="79" w:name="_Toc4929"/>
      <w:bookmarkStart w:id="80" w:name="_Toc21124"/>
      <w:bookmarkStart w:id="81" w:name="_Toc1386"/>
      <w:bookmarkStart w:id="82"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8"/>
      <w:bookmarkEnd w:id="79"/>
      <w:bookmarkEnd w:id="80"/>
      <w:bookmarkEnd w:id="81"/>
      <w:bookmarkEnd w:id="82"/>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3"/>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3"/>
              <w:spacing w:line="560" w:lineRule="exact"/>
              <w:ind w:firstLine="200"/>
              <w:jc w:val="center"/>
              <w:rPr>
                <w:rFonts w:hAnsi="宋体"/>
                <w:color w:val="auto"/>
                <w:sz w:val="24"/>
                <w:szCs w:val="24"/>
              </w:rPr>
            </w:pPr>
          </w:p>
        </w:tc>
        <w:tc>
          <w:tcPr>
            <w:tcW w:w="3402" w:type="dxa"/>
            <w:vAlign w:val="center"/>
          </w:tcPr>
          <w:p w14:paraId="1AE19EBA">
            <w:pPr>
              <w:pStyle w:val="623"/>
              <w:spacing w:line="560" w:lineRule="exact"/>
              <w:ind w:firstLine="200"/>
              <w:jc w:val="center"/>
              <w:rPr>
                <w:rFonts w:hAnsi="宋体"/>
                <w:color w:val="auto"/>
                <w:sz w:val="24"/>
                <w:szCs w:val="24"/>
              </w:rPr>
            </w:pPr>
          </w:p>
        </w:tc>
        <w:tc>
          <w:tcPr>
            <w:tcW w:w="2552" w:type="dxa"/>
            <w:vAlign w:val="center"/>
          </w:tcPr>
          <w:p w14:paraId="0AA780BB">
            <w:pPr>
              <w:pStyle w:val="623"/>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3"/>
              <w:spacing w:line="560" w:lineRule="exact"/>
              <w:ind w:firstLine="200"/>
              <w:jc w:val="center"/>
              <w:rPr>
                <w:rFonts w:hAnsi="宋体"/>
                <w:color w:val="auto"/>
                <w:sz w:val="24"/>
                <w:szCs w:val="24"/>
              </w:rPr>
            </w:pPr>
          </w:p>
        </w:tc>
        <w:tc>
          <w:tcPr>
            <w:tcW w:w="3402" w:type="dxa"/>
            <w:vAlign w:val="center"/>
          </w:tcPr>
          <w:p w14:paraId="55798985">
            <w:pPr>
              <w:pStyle w:val="623"/>
              <w:spacing w:line="560" w:lineRule="exact"/>
              <w:ind w:firstLine="200"/>
              <w:jc w:val="center"/>
              <w:rPr>
                <w:rFonts w:hAnsi="宋体"/>
                <w:color w:val="auto"/>
                <w:sz w:val="24"/>
                <w:szCs w:val="24"/>
              </w:rPr>
            </w:pPr>
          </w:p>
        </w:tc>
        <w:tc>
          <w:tcPr>
            <w:tcW w:w="2552" w:type="dxa"/>
            <w:vAlign w:val="center"/>
          </w:tcPr>
          <w:p w14:paraId="6DFC9FC3">
            <w:pPr>
              <w:pStyle w:val="623"/>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3"/>
              <w:spacing w:line="560" w:lineRule="exact"/>
              <w:ind w:firstLine="200"/>
              <w:jc w:val="center"/>
              <w:rPr>
                <w:rFonts w:hAnsi="宋体"/>
                <w:color w:val="auto"/>
                <w:sz w:val="24"/>
                <w:szCs w:val="24"/>
              </w:rPr>
            </w:pPr>
          </w:p>
        </w:tc>
        <w:tc>
          <w:tcPr>
            <w:tcW w:w="3402" w:type="dxa"/>
            <w:vAlign w:val="center"/>
          </w:tcPr>
          <w:p w14:paraId="7278CA47">
            <w:pPr>
              <w:pStyle w:val="623"/>
              <w:spacing w:line="560" w:lineRule="exact"/>
              <w:ind w:firstLine="200"/>
              <w:jc w:val="center"/>
              <w:rPr>
                <w:rFonts w:hAnsi="宋体"/>
                <w:color w:val="auto"/>
                <w:sz w:val="24"/>
                <w:szCs w:val="24"/>
              </w:rPr>
            </w:pPr>
          </w:p>
        </w:tc>
        <w:tc>
          <w:tcPr>
            <w:tcW w:w="2552" w:type="dxa"/>
            <w:vAlign w:val="center"/>
          </w:tcPr>
          <w:p w14:paraId="66F6196C">
            <w:pPr>
              <w:pStyle w:val="623"/>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3"/>
              <w:spacing w:line="560" w:lineRule="exact"/>
              <w:ind w:firstLine="200"/>
              <w:jc w:val="center"/>
              <w:rPr>
                <w:rFonts w:hAnsi="宋体"/>
                <w:color w:val="auto"/>
                <w:sz w:val="24"/>
                <w:szCs w:val="24"/>
              </w:rPr>
            </w:pPr>
          </w:p>
        </w:tc>
        <w:tc>
          <w:tcPr>
            <w:tcW w:w="3402" w:type="dxa"/>
            <w:vAlign w:val="center"/>
          </w:tcPr>
          <w:p w14:paraId="5A5674AE">
            <w:pPr>
              <w:pStyle w:val="623"/>
              <w:spacing w:line="560" w:lineRule="exact"/>
              <w:ind w:firstLine="200"/>
              <w:jc w:val="center"/>
              <w:rPr>
                <w:rFonts w:hAnsi="宋体"/>
                <w:color w:val="auto"/>
                <w:sz w:val="24"/>
                <w:szCs w:val="24"/>
              </w:rPr>
            </w:pPr>
          </w:p>
        </w:tc>
        <w:tc>
          <w:tcPr>
            <w:tcW w:w="2552" w:type="dxa"/>
            <w:vAlign w:val="center"/>
          </w:tcPr>
          <w:p w14:paraId="3CD79D60">
            <w:pPr>
              <w:pStyle w:val="623"/>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3"/>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3" w:name="_Toc3654"/>
      <w:bookmarkStart w:id="84" w:name="_Toc14993"/>
      <w:bookmarkStart w:id="85" w:name="_Toc30158"/>
      <w:bookmarkStart w:id="86" w:name="_Toc30506"/>
      <w:bookmarkStart w:id="87"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4"/>
        <w:numPr>
          <w:ilvl w:val="0"/>
          <w:numId w:val="0"/>
        </w:numPr>
        <w:ind w:leftChars="0"/>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3"/>
    <w:bookmarkEnd w:id="84"/>
    <w:bookmarkEnd w:id="85"/>
    <w:bookmarkEnd w:id="86"/>
    <w:bookmarkEnd w:id="87"/>
    <w:p w14:paraId="028AAC60">
      <w:pPr>
        <w:pStyle w:val="630"/>
        <w:spacing w:before="0" w:beforeAutospacing="0" w:after="0" w:afterAutospacing="0" w:line="360" w:lineRule="auto"/>
        <w:ind w:firstLine="480"/>
        <w:rPr>
          <w:b/>
          <w:color w:val="auto"/>
        </w:rPr>
      </w:pPr>
      <w:bookmarkStart w:id="88" w:name="_Toc1814"/>
      <w:bookmarkStart w:id="89" w:name="_Toc10340"/>
      <w:bookmarkStart w:id="90" w:name="_Toc22618"/>
      <w:bookmarkStart w:id="91" w:name="_Toc8772"/>
      <w:bookmarkStart w:id="92" w:name="_Toc3625"/>
      <w:bookmarkStart w:id="93" w:name="_Toc11108"/>
      <w:bookmarkStart w:id="94" w:name="_Toc31421"/>
      <w:bookmarkStart w:id="95" w:name="_Toc4760"/>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4C1C53F">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spacing w:line="560" w:lineRule="exact"/>
        <w:ind w:firstLine="480" w:firstLineChars="200"/>
        <w:outlineLvl w:val="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8"/>
      <w:bookmarkEnd w:id="89"/>
      <w:bookmarkEnd w:id="90"/>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1"/>
      <w:bookmarkEnd w:id="92"/>
      <w:bookmarkEnd w:id="93"/>
      <w:bookmarkEnd w:id="94"/>
      <w:bookmarkEnd w:id="95"/>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6" w:name="_Toc8586"/>
      <w:bookmarkStart w:id="97" w:name="_Toc24662"/>
      <w:bookmarkStart w:id="98" w:name="_Toc5698"/>
      <w:bookmarkStart w:id="99" w:name="_Toc3079"/>
      <w:bookmarkStart w:id="100" w:name="_Toc2375"/>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6"/>
      <w:bookmarkEnd w:id="97"/>
      <w:bookmarkEnd w:id="98"/>
      <w:bookmarkEnd w:id="99"/>
      <w:bookmarkEnd w:id="100"/>
    </w:p>
    <w:p w14:paraId="1E7599CF">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spacing w:line="560" w:lineRule="exact"/>
        <w:ind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1" w:name="_Toc30329"/>
      <w:bookmarkStart w:id="102" w:name="_Toc9497"/>
      <w:bookmarkStart w:id="103" w:name="_Toc32454"/>
      <w:bookmarkStart w:id="104" w:name="_Toc18683"/>
      <w:bookmarkStart w:id="105"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1"/>
    <w:bookmarkEnd w:id="102"/>
    <w:bookmarkEnd w:id="103"/>
    <w:bookmarkEnd w:id="104"/>
    <w:bookmarkEnd w:id="105"/>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6" w:name="_Toc25079"/>
      <w:bookmarkStart w:id="107" w:name="_Toc19680"/>
      <w:bookmarkStart w:id="108" w:name="_Toc31297"/>
      <w:bookmarkStart w:id="109" w:name="_Toc5228"/>
      <w:bookmarkStart w:id="110" w:name="_Toc14021"/>
      <w:r>
        <w:rPr>
          <w:rFonts w:ascii="宋体" w:hAnsi="宋体"/>
          <w:b/>
          <w:color w:val="auto"/>
          <w:sz w:val="24"/>
        </w:rPr>
        <w:t>2.1 定义</w:t>
      </w:r>
      <w:bookmarkEnd w:id="106"/>
      <w:bookmarkEnd w:id="107"/>
      <w:bookmarkEnd w:id="108"/>
      <w:bookmarkEnd w:id="109"/>
      <w:bookmarkEnd w:id="110"/>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1" w:name="_Toc31402"/>
      <w:bookmarkStart w:id="112" w:name="_Toc19539"/>
      <w:bookmarkStart w:id="113" w:name="_Toc23289"/>
      <w:bookmarkStart w:id="114" w:name="_Toc16752"/>
      <w:bookmarkStart w:id="115" w:name="_Toc3769"/>
      <w:r>
        <w:rPr>
          <w:rFonts w:ascii="宋体" w:hAnsi="宋体"/>
          <w:b/>
          <w:color w:val="auto"/>
          <w:sz w:val="24"/>
        </w:rPr>
        <w:t>2.2 技术规范</w:t>
      </w:r>
      <w:bookmarkEnd w:id="111"/>
      <w:bookmarkEnd w:id="112"/>
      <w:bookmarkEnd w:id="113"/>
      <w:bookmarkEnd w:id="114"/>
      <w:bookmarkEnd w:id="115"/>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6" w:name="_Toc9161"/>
      <w:bookmarkStart w:id="117" w:name="_Toc13673"/>
      <w:bookmarkStart w:id="118" w:name="_Toc4133"/>
      <w:bookmarkStart w:id="119" w:name="_Toc27945"/>
      <w:bookmarkStart w:id="120" w:name="_Toc12412"/>
      <w:r>
        <w:rPr>
          <w:rFonts w:ascii="宋体" w:hAnsi="宋体"/>
          <w:b/>
          <w:color w:val="auto"/>
          <w:sz w:val="24"/>
        </w:rPr>
        <w:t>2.3 知识产权</w:t>
      </w:r>
      <w:bookmarkEnd w:id="116"/>
      <w:bookmarkEnd w:id="117"/>
      <w:bookmarkEnd w:id="118"/>
      <w:bookmarkEnd w:id="119"/>
      <w:bookmarkEnd w:id="120"/>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1" w:name="_Toc31233"/>
      <w:bookmarkStart w:id="122" w:name="_Toc22011"/>
      <w:bookmarkStart w:id="123" w:name="_Toc15447"/>
      <w:bookmarkStart w:id="124" w:name="_Toc26555"/>
      <w:bookmarkStart w:id="125" w:name="_Toc32670"/>
      <w:r>
        <w:rPr>
          <w:rFonts w:ascii="宋体" w:hAnsi="宋体"/>
          <w:b/>
          <w:color w:val="auto"/>
          <w:sz w:val="24"/>
        </w:rPr>
        <w:t>2.5 结算方式和付款条件</w:t>
      </w:r>
      <w:bookmarkEnd w:id="121"/>
      <w:bookmarkEnd w:id="122"/>
      <w:bookmarkEnd w:id="123"/>
      <w:bookmarkEnd w:id="124"/>
      <w:bookmarkEnd w:id="125"/>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6" w:name="_Toc13467"/>
      <w:bookmarkStart w:id="127" w:name="_Toc13154"/>
      <w:bookmarkStart w:id="128" w:name="_Toc18990"/>
      <w:bookmarkStart w:id="129" w:name="_Toc16163"/>
      <w:bookmarkStart w:id="130" w:name="_Toc30507"/>
      <w:r>
        <w:rPr>
          <w:rFonts w:ascii="宋体" w:hAnsi="宋体"/>
          <w:b/>
          <w:color w:val="auto"/>
          <w:sz w:val="24"/>
        </w:rPr>
        <w:t>2.6 技术资料和保密义务</w:t>
      </w:r>
      <w:bookmarkEnd w:id="126"/>
      <w:bookmarkEnd w:id="127"/>
      <w:bookmarkEnd w:id="128"/>
      <w:bookmarkEnd w:id="129"/>
      <w:bookmarkEnd w:id="130"/>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1" w:name="_Toc19069"/>
      <w:r>
        <w:rPr>
          <w:rFonts w:ascii="宋体" w:hAnsi="宋体"/>
          <w:b/>
          <w:color w:val="auto"/>
          <w:sz w:val="24"/>
        </w:rPr>
        <w:t xml:space="preserve">2.7 </w:t>
      </w:r>
      <w:r>
        <w:rPr>
          <w:rFonts w:hint="eastAsia" w:ascii="宋体" w:hAnsi="宋体"/>
          <w:b/>
          <w:color w:val="auto"/>
          <w:sz w:val="24"/>
        </w:rPr>
        <w:t>质量保证</w:t>
      </w:r>
      <w:bookmarkEnd w:id="131"/>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2" w:name="_Toc22267"/>
      <w:r>
        <w:rPr>
          <w:rFonts w:ascii="宋体" w:hAnsi="宋体"/>
          <w:b/>
          <w:color w:val="auto"/>
          <w:sz w:val="24"/>
        </w:rPr>
        <w:t xml:space="preserve">2.8 </w:t>
      </w:r>
      <w:r>
        <w:rPr>
          <w:rFonts w:hint="eastAsia" w:ascii="宋体" w:hAnsi="宋体"/>
          <w:b/>
          <w:color w:val="auto"/>
          <w:sz w:val="24"/>
        </w:rPr>
        <w:t>延迟履行</w:t>
      </w:r>
      <w:bookmarkEnd w:id="132"/>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3" w:name="_Toc10611"/>
      <w:r>
        <w:rPr>
          <w:rFonts w:ascii="宋体" w:hAnsi="宋体"/>
          <w:b/>
          <w:color w:val="auto"/>
          <w:sz w:val="24"/>
        </w:rPr>
        <w:t xml:space="preserve">2.9 </w:t>
      </w:r>
      <w:r>
        <w:rPr>
          <w:rFonts w:hint="eastAsia" w:ascii="宋体" w:hAnsi="宋体"/>
          <w:b/>
          <w:color w:val="auto"/>
          <w:sz w:val="24"/>
        </w:rPr>
        <w:t>合同变更</w:t>
      </w:r>
      <w:bookmarkEnd w:id="133"/>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4" w:name="_Toc42"/>
      <w:bookmarkStart w:id="135" w:name="_Toc10663"/>
      <w:bookmarkStart w:id="136" w:name="_Toc23368"/>
      <w:bookmarkStart w:id="137" w:name="_Toc26689"/>
      <w:bookmarkStart w:id="138" w:name="_Toc21830"/>
      <w:r>
        <w:rPr>
          <w:rFonts w:ascii="宋体" w:hAnsi="宋体"/>
          <w:b/>
          <w:color w:val="auto"/>
          <w:sz w:val="24"/>
        </w:rPr>
        <w:t>2.10 合同转让和分包</w:t>
      </w:r>
      <w:bookmarkEnd w:id="134"/>
      <w:bookmarkEnd w:id="135"/>
      <w:bookmarkEnd w:id="136"/>
      <w:bookmarkEnd w:id="137"/>
      <w:bookmarkEnd w:id="138"/>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9" w:name="_Toc25571"/>
      <w:bookmarkStart w:id="140" w:name="_Toc4720"/>
      <w:bookmarkStart w:id="141" w:name="_Toc26633"/>
      <w:bookmarkStart w:id="142" w:name="_Toc32494"/>
      <w:bookmarkStart w:id="143" w:name="_Toc14371"/>
      <w:r>
        <w:rPr>
          <w:rFonts w:ascii="宋体" w:hAnsi="宋体"/>
          <w:b/>
          <w:color w:val="auto"/>
          <w:sz w:val="24"/>
        </w:rPr>
        <w:t>2.11 不可抗力</w:t>
      </w:r>
      <w:bookmarkEnd w:id="139"/>
      <w:bookmarkEnd w:id="140"/>
      <w:bookmarkEnd w:id="141"/>
      <w:bookmarkEnd w:id="142"/>
      <w:bookmarkEnd w:id="143"/>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4" w:name="_Toc24465"/>
      <w:bookmarkStart w:id="145" w:name="_Toc25783"/>
      <w:bookmarkStart w:id="146" w:name="_Toc23854"/>
      <w:bookmarkStart w:id="147" w:name="_Toc14115"/>
      <w:bookmarkStart w:id="148" w:name="_Toc3638"/>
      <w:r>
        <w:rPr>
          <w:rFonts w:ascii="宋体" w:hAnsi="宋体"/>
          <w:b/>
          <w:color w:val="auto"/>
          <w:sz w:val="24"/>
        </w:rPr>
        <w:t>2.12 税费</w:t>
      </w:r>
      <w:bookmarkEnd w:id="144"/>
      <w:bookmarkEnd w:id="145"/>
      <w:bookmarkEnd w:id="146"/>
      <w:bookmarkEnd w:id="147"/>
      <w:bookmarkEnd w:id="148"/>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9" w:name="_Toc30105"/>
      <w:bookmarkStart w:id="150" w:name="_Toc7315"/>
      <w:bookmarkStart w:id="151" w:name="_Toc26883"/>
      <w:bookmarkStart w:id="152" w:name="_Toc14814"/>
      <w:bookmarkStart w:id="153" w:name="_Toc25525"/>
      <w:r>
        <w:rPr>
          <w:rFonts w:ascii="宋体" w:hAnsi="宋体"/>
          <w:b/>
          <w:color w:val="auto"/>
          <w:sz w:val="24"/>
        </w:rPr>
        <w:t>2.13 乙方破产</w:t>
      </w:r>
      <w:bookmarkEnd w:id="149"/>
      <w:bookmarkEnd w:id="150"/>
      <w:bookmarkEnd w:id="151"/>
      <w:bookmarkEnd w:id="152"/>
      <w:bookmarkEnd w:id="153"/>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4" w:name="_Toc1123"/>
      <w:bookmarkStart w:id="155" w:name="_Toc2016"/>
      <w:bookmarkStart w:id="156" w:name="_Toc23323"/>
      <w:r>
        <w:rPr>
          <w:rFonts w:ascii="宋体" w:hAnsi="宋体"/>
          <w:b/>
          <w:color w:val="auto"/>
          <w:sz w:val="24"/>
        </w:rPr>
        <w:t>2.14 合同中止、终止</w:t>
      </w:r>
      <w:bookmarkEnd w:id="154"/>
      <w:bookmarkEnd w:id="155"/>
      <w:bookmarkEnd w:id="156"/>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7" w:name="_Toc1969"/>
      <w:bookmarkStart w:id="158" w:name="_Toc14525"/>
      <w:bookmarkStart w:id="159" w:name="_Toc17363"/>
      <w:r>
        <w:rPr>
          <w:rFonts w:ascii="宋体" w:hAnsi="宋体"/>
          <w:b/>
          <w:color w:val="auto"/>
          <w:sz w:val="24"/>
        </w:rPr>
        <w:t>2.15 检验和验收</w:t>
      </w:r>
      <w:bookmarkEnd w:id="157"/>
      <w:bookmarkEnd w:id="158"/>
      <w:bookmarkEnd w:id="159"/>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0" w:name="_Toc31892"/>
      <w:bookmarkStart w:id="161" w:name="_Toc2308"/>
      <w:bookmarkStart w:id="162" w:name="_Toc25198"/>
      <w:bookmarkStart w:id="163" w:name="_Toc9808"/>
      <w:bookmarkStart w:id="164" w:name="_Toc12666"/>
      <w:r>
        <w:rPr>
          <w:rFonts w:ascii="宋体" w:hAnsi="宋体"/>
          <w:b/>
          <w:color w:val="auto"/>
          <w:sz w:val="24"/>
        </w:rPr>
        <w:t>2.16 通知和送达</w:t>
      </w:r>
      <w:bookmarkEnd w:id="160"/>
      <w:bookmarkEnd w:id="161"/>
      <w:bookmarkEnd w:id="162"/>
      <w:bookmarkEnd w:id="163"/>
      <w:bookmarkEnd w:id="164"/>
    </w:p>
    <w:p w14:paraId="53F924AC">
      <w:pPr>
        <w:spacing w:line="560" w:lineRule="exact"/>
        <w:ind w:firstLine="480" w:firstLineChars="200"/>
        <w:rPr>
          <w:rFonts w:ascii="宋体" w:hAnsi="宋体"/>
          <w:color w:val="auto"/>
          <w:sz w:val="24"/>
        </w:rPr>
      </w:pPr>
      <w:bookmarkStart w:id="165" w:name="_Toc18401"/>
      <w:bookmarkStart w:id="166" w:name="_Toc27674"/>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5"/>
      <w:bookmarkEnd w:id="166"/>
    </w:p>
    <w:p w14:paraId="6CB0F3AB">
      <w:pPr>
        <w:spacing w:line="560" w:lineRule="exact"/>
        <w:ind w:firstLine="482" w:firstLineChars="200"/>
        <w:outlineLvl w:val="0"/>
        <w:rPr>
          <w:rFonts w:ascii="宋体" w:hAnsi="宋体"/>
          <w:b/>
          <w:color w:val="auto"/>
          <w:sz w:val="24"/>
        </w:rPr>
      </w:pPr>
      <w:bookmarkStart w:id="167" w:name="_Toc5063"/>
      <w:bookmarkStart w:id="168" w:name="_Toc27644"/>
      <w:bookmarkStart w:id="169" w:name="_Toc12254"/>
      <w:bookmarkStart w:id="170" w:name="_Toc20808"/>
      <w:bookmarkStart w:id="171"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7"/>
      <w:bookmarkEnd w:id="168"/>
      <w:bookmarkEnd w:id="169"/>
      <w:bookmarkEnd w:id="170"/>
      <w:bookmarkEnd w:id="171"/>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kern w:val="2"/>
          <w:sz w:val="24"/>
          <w:szCs w:val="24"/>
          <w:lang w:val="en-US" w:eastAsia="zh-CN" w:bidi="ar-SA"/>
        </w:rPr>
        <w:t>………………………………………………………………（页码）</w:t>
      </w:r>
    </w:p>
    <w:p w14:paraId="3B7C826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6"/>
        <w:numPr>
          <w:ilvl w:val="0"/>
          <w:numId w:val="0"/>
        </w:numPr>
        <w:snapToGrid w:val="0"/>
        <w:ind w:left="480" w:left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0"/>
        </w:numPr>
        <w:spacing w:line="360" w:lineRule="auto"/>
        <w:ind w:left="480" w:leftChars="0"/>
        <w:rPr>
          <w:color w:val="auto"/>
        </w:rPr>
      </w:pP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保证遵守磋商文件中的其他有关规定。</w:t>
      </w:r>
    </w:p>
    <w:p w14:paraId="21505CE1">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3"/>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3"/>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4"/>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u w:val="none"/>
          <w:lang w:val="zh-CN"/>
        </w:rPr>
        <w:t>所在单位：</w:t>
      </w:r>
      <w:r>
        <w:rPr>
          <w:rFonts w:hint="eastAsia" w:cs="仿宋_GB2312" w:asciiTheme="minorEastAsia" w:hAnsiTheme="minorEastAsia" w:eastAsiaTheme="minorEastAsia"/>
          <w:color w:val="auto"/>
          <w:kern w:val="0"/>
          <w:sz w:val="24"/>
          <w:u w:val="single"/>
          <w:lang w:val="en-US" w:eastAsia="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20"/>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r>
        <w:rPr>
          <w:rFonts w:hint="eastAsia" w:cs="宋体" w:asciiTheme="minorEastAsia" w:hAnsiTheme="minorEastAsia" w:eastAsiaTheme="minorEastAsia"/>
          <w:color w:val="auto"/>
          <w:kern w:val="0"/>
          <w:sz w:val="24"/>
          <w:lang w:val="zh-CN"/>
        </w:rPr>
        <w:t xml:space="preserve">   日</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0A33D824">
      <w:pPr>
        <w:autoSpaceDE w:val="0"/>
        <w:autoSpaceDN w:val="0"/>
        <w:spacing w:line="360" w:lineRule="auto"/>
        <w:rPr>
          <w:rFonts w:hint="eastAsia" w:cs="仿宋_GB2312" w:asciiTheme="minorEastAsia" w:hAnsiTheme="minorEastAsia" w:eastAsiaTheme="minorEastAsia"/>
          <w:b/>
          <w:color w:val="auto"/>
          <w:sz w:val="24"/>
        </w:rPr>
      </w:pP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cs="仿宋_GB2312" w:asciiTheme="minorEastAsia" w:hAnsiTheme="minorEastAsia" w:eastAsiaTheme="minorEastAsia"/>
                <w:color w:val="auto"/>
                <w:sz w:val="24"/>
              </w:rPr>
            </w:pPr>
          </w:p>
        </w:tc>
        <w:tc>
          <w:tcPr>
            <w:tcW w:w="1900" w:type="dxa"/>
          </w:tcPr>
          <w:p w14:paraId="4F3E0BEE">
            <w:pPr>
              <w:pStyle w:val="32"/>
              <w:spacing w:line="360" w:lineRule="auto"/>
              <w:jc w:val="center"/>
              <w:rPr>
                <w:rFonts w:cs="仿宋_GB2312" w:asciiTheme="minorEastAsia" w:hAnsiTheme="minorEastAsia" w:eastAsiaTheme="minorEastAsia"/>
                <w:color w:val="auto"/>
                <w:sz w:val="24"/>
              </w:rPr>
            </w:pPr>
          </w:p>
        </w:tc>
        <w:tc>
          <w:tcPr>
            <w:tcW w:w="1800" w:type="dxa"/>
          </w:tcPr>
          <w:p w14:paraId="34E051D9">
            <w:pPr>
              <w:pStyle w:val="32"/>
              <w:spacing w:line="360" w:lineRule="auto"/>
              <w:jc w:val="center"/>
              <w:rPr>
                <w:rFonts w:cs="仿宋_GB2312" w:asciiTheme="minorEastAsia" w:hAnsiTheme="minorEastAsia" w:eastAsiaTheme="minorEastAsia"/>
                <w:color w:val="auto"/>
                <w:sz w:val="24"/>
              </w:rPr>
            </w:pPr>
          </w:p>
        </w:tc>
        <w:tc>
          <w:tcPr>
            <w:tcW w:w="2880" w:type="dxa"/>
          </w:tcPr>
          <w:p w14:paraId="2BC47641">
            <w:pPr>
              <w:pStyle w:val="32"/>
              <w:spacing w:line="360" w:lineRule="auto"/>
              <w:jc w:val="center"/>
              <w:rPr>
                <w:rFonts w:cs="仿宋_GB2312" w:asciiTheme="minorEastAsia" w:hAnsiTheme="minorEastAsia" w:eastAsiaTheme="minorEastAsia"/>
                <w:color w:val="auto"/>
                <w:sz w:val="24"/>
              </w:rPr>
            </w:pPr>
          </w:p>
        </w:tc>
        <w:tc>
          <w:tcPr>
            <w:tcW w:w="1332" w:type="dxa"/>
          </w:tcPr>
          <w:p w14:paraId="6B34937C">
            <w:pPr>
              <w:pStyle w:val="32"/>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cs="仿宋_GB2312" w:asciiTheme="minorEastAsia" w:hAnsiTheme="minorEastAsia" w:eastAsiaTheme="minorEastAsia"/>
                <w:color w:val="auto"/>
                <w:sz w:val="24"/>
              </w:rPr>
            </w:pPr>
          </w:p>
        </w:tc>
        <w:tc>
          <w:tcPr>
            <w:tcW w:w="1900" w:type="dxa"/>
          </w:tcPr>
          <w:p w14:paraId="45455C94">
            <w:pPr>
              <w:pStyle w:val="32"/>
              <w:spacing w:line="360" w:lineRule="auto"/>
              <w:jc w:val="center"/>
              <w:rPr>
                <w:rFonts w:cs="仿宋_GB2312" w:asciiTheme="minorEastAsia" w:hAnsiTheme="minorEastAsia" w:eastAsiaTheme="minorEastAsia"/>
                <w:color w:val="auto"/>
                <w:sz w:val="24"/>
              </w:rPr>
            </w:pPr>
          </w:p>
        </w:tc>
        <w:tc>
          <w:tcPr>
            <w:tcW w:w="1800" w:type="dxa"/>
          </w:tcPr>
          <w:p w14:paraId="5D93ADB1">
            <w:pPr>
              <w:pStyle w:val="32"/>
              <w:spacing w:line="360" w:lineRule="auto"/>
              <w:jc w:val="center"/>
              <w:rPr>
                <w:rFonts w:cs="仿宋_GB2312" w:asciiTheme="minorEastAsia" w:hAnsiTheme="minorEastAsia" w:eastAsiaTheme="minorEastAsia"/>
                <w:color w:val="auto"/>
                <w:sz w:val="24"/>
              </w:rPr>
            </w:pPr>
          </w:p>
        </w:tc>
        <w:tc>
          <w:tcPr>
            <w:tcW w:w="2880" w:type="dxa"/>
          </w:tcPr>
          <w:p w14:paraId="6A070FEB">
            <w:pPr>
              <w:pStyle w:val="32"/>
              <w:spacing w:line="360" w:lineRule="auto"/>
              <w:jc w:val="center"/>
              <w:rPr>
                <w:rFonts w:cs="仿宋_GB2312" w:asciiTheme="minorEastAsia" w:hAnsiTheme="minorEastAsia" w:eastAsiaTheme="minorEastAsia"/>
                <w:color w:val="auto"/>
                <w:sz w:val="24"/>
              </w:rPr>
            </w:pPr>
          </w:p>
        </w:tc>
        <w:tc>
          <w:tcPr>
            <w:tcW w:w="1332" w:type="dxa"/>
          </w:tcPr>
          <w:p w14:paraId="7B10F6F5">
            <w:pPr>
              <w:pStyle w:val="32"/>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2"/>
              <w:spacing w:line="360" w:lineRule="auto"/>
              <w:jc w:val="center"/>
              <w:rPr>
                <w:rFonts w:cs="仿宋_GB2312" w:asciiTheme="minorEastAsia" w:hAnsiTheme="minorEastAsia" w:eastAsiaTheme="minorEastAsia"/>
                <w:color w:val="auto"/>
                <w:sz w:val="24"/>
              </w:rPr>
            </w:pPr>
          </w:p>
        </w:tc>
        <w:tc>
          <w:tcPr>
            <w:tcW w:w="1900" w:type="dxa"/>
          </w:tcPr>
          <w:p w14:paraId="288D92EB">
            <w:pPr>
              <w:pStyle w:val="32"/>
              <w:spacing w:line="360" w:lineRule="auto"/>
              <w:jc w:val="center"/>
              <w:rPr>
                <w:rFonts w:cs="仿宋_GB2312" w:asciiTheme="minorEastAsia" w:hAnsiTheme="minorEastAsia" w:eastAsiaTheme="minorEastAsia"/>
                <w:color w:val="auto"/>
                <w:sz w:val="24"/>
              </w:rPr>
            </w:pPr>
          </w:p>
        </w:tc>
        <w:tc>
          <w:tcPr>
            <w:tcW w:w="1800" w:type="dxa"/>
          </w:tcPr>
          <w:p w14:paraId="585357CB">
            <w:pPr>
              <w:pStyle w:val="32"/>
              <w:spacing w:line="360" w:lineRule="auto"/>
              <w:jc w:val="center"/>
              <w:rPr>
                <w:rFonts w:cs="仿宋_GB2312" w:asciiTheme="minorEastAsia" w:hAnsiTheme="minorEastAsia" w:eastAsiaTheme="minorEastAsia"/>
                <w:color w:val="auto"/>
                <w:sz w:val="24"/>
              </w:rPr>
            </w:pPr>
          </w:p>
        </w:tc>
        <w:tc>
          <w:tcPr>
            <w:tcW w:w="2880" w:type="dxa"/>
          </w:tcPr>
          <w:p w14:paraId="573D3395">
            <w:pPr>
              <w:pStyle w:val="32"/>
              <w:spacing w:line="360" w:lineRule="auto"/>
              <w:jc w:val="center"/>
              <w:rPr>
                <w:rFonts w:cs="仿宋_GB2312" w:asciiTheme="minorEastAsia" w:hAnsiTheme="minorEastAsia" w:eastAsiaTheme="minorEastAsia"/>
                <w:color w:val="auto"/>
                <w:sz w:val="24"/>
              </w:rPr>
            </w:pPr>
          </w:p>
        </w:tc>
        <w:tc>
          <w:tcPr>
            <w:tcW w:w="1332" w:type="dxa"/>
          </w:tcPr>
          <w:p w14:paraId="5BFCE30E">
            <w:pPr>
              <w:pStyle w:val="32"/>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cs="仿宋_GB2312" w:asciiTheme="minorEastAsia" w:hAnsiTheme="minorEastAsia" w:eastAsiaTheme="minorEastAsia"/>
                <w:color w:val="auto"/>
                <w:sz w:val="24"/>
              </w:rPr>
            </w:pPr>
          </w:p>
        </w:tc>
        <w:tc>
          <w:tcPr>
            <w:tcW w:w="1900" w:type="dxa"/>
          </w:tcPr>
          <w:p w14:paraId="23194971">
            <w:pPr>
              <w:pStyle w:val="32"/>
              <w:spacing w:line="360" w:lineRule="auto"/>
              <w:jc w:val="center"/>
              <w:rPr>
                <w:rFonts w:cs="仿宋_GB2312" w:asciiTheme="minorEastAsia" w:hAnsiTheme="minorEastAsia" w:eastAsiaTheme="minorEastAsia"/>
                <w:color w:val="auto"/>
                <w:sz w:val="24"/>
              </w:rPr>
            </w:pPr>
          </w:p>
        </w:tc>
        <w:tc>
          <w:tcPr>
            <w:tcW w:w="1800" w:type="dxa"/>
          </w:tcPr>
          <w:p w14:paraId="6BFDB07E">
            <w:pPr>
              <w:pStyle w:val="32"/>
              <w:spacing w:line="360" w:lineRule="auto"/>
              <w:jc w:val="center"/>
              <w:rPr>
                <w:rFonts w:cs="仿宋_GB2312" w:asciiTheme="minorEastAsia" w:hAnsiTheme="minorEastAsia" w:eastAsiaTheme="minorEastAsia"/>
                <w:color w:val="auto"/>
                <w:sz w:val="24"/>
              </w:rPr>
            </w:pPr>
          </w:p>
        </w:tc>
        <w:tc>
          <w:tcPr>
            <w:tcW w:w="2880" w:type="dxa"/>
          </w:tcPr>
          <w:p w14:paraId="06A284D4">
            <w:pPr>
              <w:pStyle w:val="32"/>
              <w:spacing w:line="360" w:lineRule="auto"/>
              <w:jc w:val="center"/>
              <w:rPr>
                <w:rFonts w:cs="仿宋_GB2312" w:asciiTheme="minorEastAsia" w:hAnsiTheme="minorEastAsia" w:eastAsiaTheme="minorEastAsia"/>
                <w:color w:val="auto"/>
                <w:sz w:val="24"/>
              </w:rPr>
            </w:pPr>
          </w:p>
        </w:tc>
        <w:tc>
          <w:tcPr>
            <w:tcW w:w="1332" w:type="dxa"/>
          </w:tcPr>
          <w:p w14:paraId="0E226CE9">
            <w:pPr>
              <w:pStyle w:val="32"/>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cs="仿宋_GB2312" w:asciiTheme="minorEastAsia" w:hAnsiTheme="minorEastAsia" w:eastAsiaTheme="minorEastAsia"/>
                <w:color w:val="auto"/>
                <w:sz w:val="24"/>
              </w:rPr>
            </w:pPr>
          </w:p>
        </w:tc>
        <w:tc>
          <w:tcPr>
            <w:tcW w:w="1900" w:type="dxa"/>
          </w:tcPr>
          <w:p w14:paraId="7CDA8FDA">
            <w:pPr>
              <w:pStyle w:val="32"/>
              <w:spacing w:line="360" w:lineRule="auto"/>
              <w:jc w:val="center"/>
              <w:rPr>
                <w:rFonts w:cs="仿宋_GB2312" w:asciiTheme="minorEastAsia" w:hAnsiTheme="minorEastAsia" w:eastAsiaTheme="minorEastAsia"/>
                <w:color w:val="auto"/>
                <w:sz w:val="24"/>
              </w:rPr>
            </w:pPr>
          </w:p>
        </w:tc>
        <w:tc>
          <w:tcPr>
            <w:tcW w:w="1800" w:type="dxa"/>
          </w:tcPr>
          <w:p w14:paraId="04467D2A">
            <w:pPr>
              <w:pStyle w:val="32"/>
              <w:spacing w:line="360" w:lineRule="auto"/>
              <w:jc w:val="center"/>
              <w:rPr>
                <w:rFonts w:cs="仿宋_GB2312" w:asciiTheme="minorEastAsia" w:hAnsiTheme="minorEastAsia" w:eastAsiaTheme="minorEastAsia"/>
                <w:color w:val="auto"/>
                <w:sz w:val="24"/>
              </w:rPr>
            </w:pPr>
          </w:p>
        </w:tc>
        <w:tc>
          <w:tcPr>
            <w:tcW w:w="2880" w:type="dxa"/>
          </w:tcPr>
          <w:p w14:paraId="377B2673">
            <w:pPr>
              <w:pStyle w:val="32"/>
              <w:spacing w:line="360" w:lineRule="auto"/>
              <w:jc w:val="center"/>
              <w:rPr>
                <w:rFonts w:cs="仿宋_GB2312" w:asciiTheme="minorEastAsia" w:hAnsiTheme="minorEastAsia" w:eastAsiaTheme="minorEastAsia"/>
                <w:color w:val="auto"/>
                <w:sz w:val="24"/>
              </w:rPr>
            </w:pPr>
          </w:p>
        </w:tc>
        <w:tc>
          <w:tcPr>
            <w:tcW w:w="1332" w:type="dxa"/>
          </w:tcPr>
          <w:p w14:paraId="3BE51CF0">
            <w:pPr>
              <w:pStyle w:val="32"/>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cs="仿宋_GB2312" w:asciiTheme="minorEastAsia" w:hAnsiTheme="minorEastAsia" w:eastAsiaTheme="minorEastAsia"/>
                <w:color w:val="auto"/>
                <w:sz w:val="24"/>
              </w:rPr>
            </w:pPr>
          </w:p>
        </w:tc>
        <w:tc>
          <w:tcPr>
            <w:tcW w:w="1900" w:type="dxa"/>
          </w:tcPr>
          <w:p w14:paraId="43EEAD2E">
            <w:pPr>
              <w:pStyle w:val="32"/>
              <w:spacing w:line="360" w:lineRule="auto"/>
              <w:jc w:val="center"/>
              <w:rPr>
                <w:rFonts w:cs="仿宋_GB2312" w:asciiTheme="minorEastAsia" w:hAnsiTheme="minorEastAsia" w:eastAsiaTheme="minorEastAsia"/>
                <w:color w:val="auto"/>
                <w:sz w:val="24"/>
              </w:rPr>
            </w:pPr>
          </w:p>
        </w:tc>
        <w:tc>
          <w:tcPr>
            <w:tcW w:w="1800" w:type="dxa"/>
          </w:tcPr>
          <w:p w14:paraId="2633FF68">
            <w:pPr>
              <w:pStyle w:val="32"/>
              <w:spacing w:line="360" w:lineRule="auto"/>
              <w:jc w:val="center"/>
              <w:rPr>
                <w:rFonts w:cs="仿宋_GB2312" w:asciiTheme="minorEastAsia" w:hAnsiTheme="minorEastAsia" w:eastAsiaTheme="minorEastAsia"/>
                <w:color w:val="auto"/>
                <w:sz w:val="24"/>
              </w:rPr>
            </w:pPr>
          </w:p>
        </w:tc>
        <w:tc>
          <w:tcPr>
            <w:tcW w:w="2880" w:type="dxa"/>
          </w:tcPr>
          <w:p w14:paraId="566C5169">
            <w:pPr>
              <w:pStyle w:val="32"/>
              <w:spacing w:line="360" w:lineRule="auto"/>
              <w:jc w:val="center"/>
              <w:rPr>
                <w:rFonts w:cs="仿宋_GB2312" w:asciiTheme="minorEastAsia" w:hAnsiTheme="minorEastAsia" w:eastAsiaTheme="minorEastAsia"/>
                <w:color w:val="auto"/>
                <w:sz w:val="24"/>
              </w:rPr>
            </w:pPr>
          </w:p>
        </w:tc>
        <w:tc>
          <w:tcPr>
            <w:tcW w:w="1332" w:type="dxa"/>
          </w:tcPr>
          <w:p w14:paraId="680771E7">
            <w:pPr>
              <w:pStyle w:val="32"/>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cs="仿宋_GB2312" w:asciiTheme="minorEastAsia" w:hAnsiTheme="minorEastAsia" w:eastAsiaTheme="minorEastAsia"/>
                <w:color w:val="auto"/>
                <w:sz w:val="24"/>
              </w:rPr>
            </w:pPr>
          </w:p>
        </w:tc>
        <w:tc>
          <w:tcPr>
            <w:tcW w:w="1900" w:type="dxa"/>
          </w:tcPr>
          <w:p w14:paraId="73C593D1">
            <w:pPr>
              <w:pStyle w:val="32"/>
              <w:spacing w:line="360" w:lineRule="auto"/>
              <w:jc w:val="center"/>
              <w:rPr>
                <w:rFonts w:cs="仿宋_GB2312" w:asciiTheme="minorEastAsia" w:hAnsiTheme="minorEastAsia" w:eastAsiaTheme="minorEastAsia"/>
                <w:color w:val="auto"/>
                <w:sz w:val="24"/>
              </w:rPr>
            </w:pPr>
          </w:p>
        </w:tc>
        <w:tc>
          <w:tcPr>
            <w:tcW w:w="1800" w:type="dxa"/>
          </w:tcPr>
          <w:p w14:paraId="50F516DE">
            <w:pPr>
              <w:pStyle w:val="32"/>
              <w:spacing w:line="360" w:lineRule="auto"/>
              <w:jc w:val="center"/>
              <w:rPr>
                <w:rFonts w:cs="仿宋_GB2312" w:asciiTheme="minorEastAsia" w:hAnsiTheme="minorEastAsia" w:eastAsiaTheme="minorEastAsia"/>
                <w:color w:val="auto"/>
                <w:sz w:val="24"/>
              </w:rPr>
            </w:pPr>
          </w:p>
        </w:tc>
        <w:tc>
          <w:tcPr>
            <w:tcW w:w="2880" w:type="dxa"/>
          </w:tcPr>
          <w:p w14:paraId="17FB997C">
            <w:pPr>
              <w:pStyle w:val="32"/>
              <w:spacing w:line="360" w:lineRule="auto"/>
              <w:jc w:val="center"/>
              <w:rPr>
                <w:rFonts w:cs="仿宋_GB2312" w:asciiTheme="minorEastAsia" w:hAnsiTheme="minorEastAsia" w:eastAsiaTheme="minorEastAsia"/>
                <w:color w:val="auto"/>
                <w:sz w:val="24"/>
              </w:rPr>
            </w:pPr>
          </w:p>
        </w:tc>
        <w:tc>
          <w:tcPr>
            <w:tcW w:w="1332" w:type="dxa"/>
          </w:tcPr>
          <w:p w14:paraId="51DBF068">
            <w:pPr>
              <w:pStyle w:val="32"/>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footerReference r:id="rId12" w:type="firs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4AEDEC00">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hint="eastAsia"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7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51"/>
        <w:gridCol w:w="2519"/>
        <w:gridCol w:w="3351"/>
        <w:gridCol w:w="4092"/>
        <w:gridCol w:w="2581"/>
      </w:tblGrid>
      <w:tr w14:paraId="5FE32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tblHeader/>
          <w:jc w:val="center"/>
        </w:trPr>
        <w:tc>
          <w:tcPr>
            <w:tcW w:w="732" w:type="pct"/>
            <w:tcBorders>
              <w:left w:val="single" w:color="auto" w:sz="4" w:space="0"/>
              <w:right w:val="single" w:color="auto" w:sz="4" w:space="0"/>
            </w:tcBorders>
            <w:vAlign w:val="center"/>
          </w:tcPr>
          <w:p w14:paraId="0E5D45C2">
            <w:pPr>
              <w:jc w:val="center"/>
              <w:rPr>
                <w:rFonts w:hint="default" w:ascii="宋体" w:hAnsi="宋体" w:eastAsia="宋体" w:cs="宋体"/>
                <w:b/>
                <w:bCs/>
                <w:color w:val="000000" w:themeColor="text1"/>
                <w:sz w:val="24"/>
                <w:highlight w:val="none"/>
                <w:u w:color="000000"/>
                <w:lang w:val="en-US" w:eastAsia="zh-CN"/>
                <w14:textFill>
                  <w14:solidFill>
                    <w14:schemeClr w14:val="tx1"/>
                  </w14:solidFill>
                </w14:textFill>
              </w:rPr>
            </w:pPr>
            <w:r>
              <w:rPr>
                <w:rFonts w:hint="eastAsia" w:ascii="宋体" w:hAnsi="宋体" w:cs="宋体"/>
                <w:b/>
                <w:bCs/>
                <w:color w:val="000000" w:themeColor="text1"/>
                <w:sz w:val="24"/>
                <w:highlight w:val="none"/>
                <w:u w:color="000000"/>
                <w:lang w:val="en-US" w:eastAsia="zh-CN"/>
                <w14:textFill>
                  <w14:solidFill>
                    <w14:schemeClr w14:val="tx1"/>
                  </w14:solidFill>
                </w14:textFill>
              </w:rPr>
              <w:t>序号</w:t>
            </w:r>
          </w:p>
        </w:tc>
        <w:tc>
          <w:tcPr>
            <w:tcW w:w="857" w:type="pct"/>
            <w:tcBorders>
              <w:left w:val="single" w:color="auto" w:sz="4" w:space="0"/>
              <w:right w:val="single" w:color="auto" w:sz="4" w:space="0"/>
            </w:tcBorders>
            <w:vAlign w:val="center"/>
          </w:tcPr>
          <w:p w14:paraId="2FAC2452">
            <w:pPr>
              <w:jc w:val="center"/>
              <w:rPr>
                <w:rFonts w:hint="eastAsia" w:ascii="宋体" w:hAnsi="宋体" w:eastAsia="宋体" w:cs="宋体"/>
                <w:b/>
                <w:bCs/>
                <w:color w:val="000000" w:themeColor="text1"/>
                <w:sz w:val="24"/>
                <w:highlight w:val="none"/>
                <w:u w:color="000000"/>
                <w:lang w:val="en-GB"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标项名称</w:t>
            </w:r>
          </w:p>
        </w:tc>
        <w:tc>
          <w:tcPr>
            <w:tcW w:w="1140" w:type="pct"/>
            <w:tcBorders>
              <w:left w:val="single" w:color="auto" w:sz="4" w:space="0"/>
              <w:right w:val="single" w:color="auto" w:sz="4" w:space="0"/>
            </w:tcBorders>
            <w:vAlign w:val="center"/>
          </w:tcPr>
          <w:p w14:paraId="03712E2A">
            <w:pPr>
              <w:jc w:val="center"/>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暂估人数（人）</w:t>
            </w:r>
          </w:p>
        </w:tc>
        <w:tc>
          <w:tcPr>
            <w:tcW w:w="1392" w:type="pct"/>
            <w:tcBorders>
              <w:left w:val="single" w:color="auto" w:sz="4" w:space="0"/>
              <w:right w:val="single" w:color="auto" w:sz="4" w:space="0"/>
            </w:tcBorders>
            <w:vAlign w:val="center"/>
          </w:tcPr>
          <w:p w14:paraId="4CB50B7C">
            <w:pPr>
              <w:jc w:val="center"/>
              <w:rPr>
                <w:rFonts w:hint="eastAsia" w:ascii="宋体" w:hAnsi="宋体" w:eastAsia="宋体" w:cs="宋体"/>
                <w:b/>
                <w:bCs/>
                <w:color w:val="000000" w:themeColor="text1"/>
                <w:sz w:val="24"/>
                <w:highlight w:val="none"/>
                <w:lang w:val="en-GB"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投标单价</w:t>
            </w:r>
            <w:r>
              <w:rPr>
                <w:rFonts w:hint="eastAsia" w:ascii="宋体" w:hAnsi="宋体" w:cs="宋体"/>
                <w:b/>
                <w:bCs/>
                <w:color w:val="000000" w:themeColor="text1"/>
                <w:sz w:val="24"/>
                <w:highlight w:val="none"/>
                <w:lang w:val="en-GB" w:eastAsia="zh-CN"/>
                <w14:textFill>
                  <w14:solidFill>
                    <w14:schemeClr w14:val="tx1"/>
                  </w14:solidFill>
                </w14:textFill>
              </w:rPr>
              <w:t>（元</w:t>
            </w:r>
            <w:r>
              <w:rPr>
                <w:rFonts w:hint="eastAsia" w:ascii="宋体" w:hAnsi="宋体" w:cs="宋体"/>
                <w:b/>
                <w:bCs/>
                <w:color w:val="000000" w:themeColor="text1"/>
                <w:sz w:val="24"/>
                <w:highlight w:val="none"/>
                <w:lang w:val="en-US" w:eastAsia="zh-CN"/>
                <w14:textFill>
                  <w14:solidFill>
                    <w14:schemeClr w14:val="tx1"/>
                  </w14:solidFill>
                </w14:textFill>
              </w:rPr>
              <w:t>/人</w:t>
            </w:r>
            <w:r>
              <w:rPr>
                <w:rFonts w:hint="eastAsia" w:ascii="宋体" w:hAnsi="宋体" w:cs="宋体"/>
                <w:b/>
                <w:bCs/>
                <w:color w:val="000000" w:themeColor="text1"/>
                <w:sz w:val="24"/>
                <w:highlight w:val="none"/>
                <w:lang w:val="en-GB" w:eastAsia="zh-CN"/>
                <w14:textFill>
                  <w14:solidFill>
                    <w14:schemeClr w14:val="tx1"/>
                  </w14:solidFill>
                </w14:textFill>
              </w:rPr>
              <w:t>）</w:t>
            </w:r>
          </w:p>
          <w:p w14:paraId="7FC8BD63">
            <w:pPr>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不作竞争</w:t>
            </w:r>
          </w:p>
        </w:tc>
        <w:tc>
          <w:tcPr>
            <w:tcW w:w="877" w:type="pct"/>
            <w:tcBorders>
              <w:left w:val="single" w:color="auto" w:sz="4" w:space="0"/>
              <w:right w:val="single" w:color="auto" w:sz="4" w:space="0"/>
            </w:tcBorders>
            <w:vAlign w:val="center"/>
          </w:tcPr>
          <w:p w14:paraId="720F5E51">
            <w:pPr>
              <w:jc w:val="center"/>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备注</w:t>
            </w:r>
          </w:p>
        </w:tc>
      </w:tr>
      <w:tr w14:paraId="5C8D7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732" w:type="pct"/>
            <w:tcBorders>
              <w:left w:val="single" w:color="auto" w:sz="4" w:space="0"/>
              <w:right w:val="single" w:color="auto" w:sz="4" w:space="0"/>
            </w:tcBorders>
            <w:vAlign w:val="center"/>
          </w:tcPr>
          <w:p w14:paraId="3A717C60">
            <w:pPr>
              <w:jc w:val="center"/>
              <w:rPr>
                <w:rFonts w:hint="eastAsia" w:ascii="宋体" w:hAnsi="宋体" w:eastAsia="宋体" w:cs="宋体"/>
                <w:color w:val="000000" w:themeColor="text1"/>
                <w:sz w:val="24"/>
                <w:highlight w:val="none"/>
                <w:u w:color="000000"/>
                <w:lang w:val="en-US" w:eastAsia="zh-CN"/>
                <w14:textFill>
                  <w14:solidFill>
                    <w14:schemeClr w14:val="tx1"/>
                  </w14:solidFill>
                </w14:textFill>
              </w:rPr>
            </w:pPr>
            <w:r>
              <w:rPr>
                <w:rFonts w:hint="eastAsia" w:ascii="宋体" w:hAnsi="宋体" w:cs="宋体"/>
                <w:color w:val="000000" w:themeColor="text1"/>
                <w:sz w:val="24"/>
                <w:highlight w:val="none"/>
                <w:u w:color="000000"/>
                <w:lang w:val="en-US" w:eastAsia="zh-CN"/>
                <w14:textFill>
                  <w14:solidFill>
                    <w14:schemeClr w14:val="tx1"/>
                  </w14:solidFill>
                </w14:textFill>
              </w:rPr>
              <w:t>1</w:t>
            </w:r>
          </w:p>
        </w:tc>
        <w:tc>
          <w:tcPr>
            <w:tcW w:w="857" w:type="pct"/>
            <w:tcBorders>
              <w:left w:val="single" w:color="auto" w:sz="4" w:space="0"/>
              <w:right w:val="single" w:color="auto" w:sz="4" w:space="0"/>
            </w:tcBorders>
            <w:vAlign w:val="center"/>
          </w:tcPr>
          <w:p w14:paraId="0DF25884">
            <w:pPr>
              <w:widowControl/>
              <w:snapToGrid w:val="0"/>
              <w:spacing w:line="348" w:lineRule="auto"/>
              <w:jc w:val="left"/>
              <w:rPr>
                <w:rFonts w:ascii="宋体" w:hAnsi="宋体" w:cs="宋体"/>
                <w:color w:val="000000" w:themeColor="text1"/>
                <w:sz w:val="24"/>
                <w:highlight w:val="none"/>
                <w:u w:color="000000"/>
                <w:lang w:val="zh-CN"/>
                <w14:textFill>
                  <w14:solidFill>
                    <w14:schemeClr w14:val="tx1"/>
                  </w14:solidFill>
                </w14:textFill>
              </w:rPr>
            </w:pPr>
          </w:p>
        </w:tc>
        <w:tc>
          <w:tcPr>
            <w:tcW w:w="1140" w:type="pct"/>
            <w:tcBorders>
              <w:left w:val="single" w:color="auto" w:sz="4" w:space="0"/>
              <w:right w:val="single" w:color="auto" w:sz="4" w:space="0"/>
            </w:tcBorders>
            <w:vAlign w:val="center"/>
          </w:tcPr>
          <w:p w14:paraId="6D13B705">
            <w:pPr>
              <w:jc w:val="cente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tc>
        <w:tc>
          <w:tcPr>
            <w:tcW w:w="1392" w:type="pct"/>
            <w:tcBorders>
              <w:left w:val="single" w:color="auto" w:sz="4" w:space="0"/>
              <w:right w:val="single" w:color="auto" w:sz="4" w:space="0"/>
            </w:tcBorders>
            <w:vAlign w:val="center"/>
          </w:tcPr>
          <w:p w14:paraId="11F8CD88">
            <w:pPr>
              <w:jc w:val="center"/>
              <w:rPr>
                <w:rFonts w:hint="eastAsia" w:ascii="宋体" w:hAnsi="宋体" w:eastAsia="宋体" w:cs="宋体"/>
                <w:color w:val="000000" w:themeColor="text1"/>
                <w:sz w:val="24"/>
                <w:highlight w:val="none"/>
                <w14:textFill>
                  <w14:solidFill>
                    <w14:schemeClr w14:val="tx1"/>
                  </w14:solidFill>
                </w14:textFill>
              </w:rPr>
            </w:pPr>
          </w:p>
        </w:tc>
        <w:tc>
          <w:tcPr>
            <w:tcW w:w="877" w:type="pct"/>
            <w:tcBorders>
              <w:left w:val="single" w:color="auto" w:sz="4" w:space="0"/>
              <w:right w:val="single" w:color="auto" w:sz="4" w:space="0"/>
            </w:tcBorders>
            <w:vAlign w:val="center"/>
          </w:tcPr>
          <w:p w14:paraId="3996B454">
            <w:pPr>
              <w:jc w:val="center"/>
              <w:rPr>
                <w:rFonts w:hint="eastAsia" w:ascii="宋体" w:hAnsi="宋体" w:eastAsia="宋体" w:cs="宋体"/>
                <w:color w:val="000000" w:themeColor="text1"/>
                <w:sz w:val="24"/>
                <w:highlight w:val="none"/>
                <w14:textFill>
                  <w14:solidFill>
                    <w14:schemeClr w14:val="tx1"/>
                  </w14:solidFill>
                </w14:textFill>
              </w:rPr>
            </w:pPr>
          </w:p>
        </w:tc>
      </w:tr>
      <w:tr w14:paraId="023CC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732" w:type="pct"/>
            <w:tcBorders>
              <w:left w:val="single" w:color="auto" w:sz="4" w:space="0"/>
              <w:right w:val="single" w:color="auto" w:sz="4" w:space="0"/>
            </w:tcBorders>
            <w:vAlign w:val="center"/>
          </w:tcPr>
          <w:p w14:paraId="0E2EDABB">
            <w:pPr>
              <w:snapToGrid w:val="0"/>
              <w:jc w:val="center"/>
              <w:rPr>
                <w:rFonts w:hint="eastAsia" w:ascii="宋体" w:hAnsi="宋体" w:eastAsia="宋体" w:cs="宋体"/>
                <w:b/>
                <w:bCs/>
                <w:color w:val="000000" w:themeColor="text1"/>
                <w:sz w:val="24"/>
                <w:highlight w:val="none"/>
                <w:u w:color="000000"/>
                <w:lang w:val="zh-CN"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合计总报价</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小写</w:t>
            </w:r>
            <w:r>
              <w:rPr>
                <w:rFonts w:hint="eastAsia" w:ascii="宋体" w:hAnsi="宋体" w:cs="宋体"/>
                <w:b/>
                <w:bCs/>
                <w:color w:val="000000" w:themeColor="text1"/>
                <w:sz w:val="24"/>
                <w:highlight w:val="none"/>
                <w:lang w:eastAsia="zh-CN"/>
                <w14:textFill>
                  <w14:solidFill>
                    <w14:schemeClr w14:val="tx1"/>
                  </w14:solidFill>
                </w14:textFill>
              </w:rPr>
              <w:t>）</w:t>
            </w:r>
          </w:p>
        </w:tc>
        <w:tc>
          <w:tcPr>
            <w:tcW w:w="4267" w:type="pct"/>
            <w:gridSpan w:val="4"/>
            <w:tcBorders>
              <w:left w:val="single" w:color="auto" w:sz="4" w:space="0"/>
              <w:right w:val="single" w:color="auto" w:sz="4" w:space="0"/>
            </w:tcBorders>
            <w:vAlign w:val="center"/>
          </w:tcPr>
          <w:p w14:paraId="14F6906D">
            <w:pPr>
              <w:jc w:val="left"/>
              <w:rPr>
                <w:rFonts w:hint="eastAsia" w:ascii="宋体" w:hAnsi="宋体" w:cs="宋体"/>
                <w:color w:val="000000" w:themeColor="text1"/>
                <w:sz w:val="24"/>
                <w:highlight w:val="none"/>
                <w14:textFill>
                  <w14:solidFill>
                    <w14:schemeClr w14:val="tx1"/>
                  </w14:solidFill>
                </w14:textFill>
              </w:rPr>
            </w:pPr>
          </w:p>
        </w:tc>
      </w:tr>
      <w:tr w14:paraId="2419A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732" w:type="pct"/>
            <w:tcBorders>
              <w:left w:val="single" w:color="auto" w:sz="4" w:space="0"/>
              <w:right w:val="single" w:color="auto" w:sz="4" w:space="0"/>
            </w:tcBorders>
            <w:vAlign w:val="center"/>
          </w:tcPr>
          <w:p w14:paraId="76C57647">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合计总报价</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大写</w:t>
            </w:r>
            <w:r>
              <w:rPr>
                <w:rFonts w:hint="eastAsia" w:ascii="宋体" w:hAnsi="宋体" w:cs="宋体"/>
                <w:b/>
                <w:bCs/>
                <w:color w:val="000000" w:themeColor="text1"/>
                <w:sz w:val="24"/>
                <w:highlight w:val="none"/>
                <w:lang w:eastAsia="zh-CN"/>
                <w14:textFill>
                  <w14:solidFill>
                    <w14:schemeClr w14:val="tx1"/>
                  </w14:solidFill>
                </w14:textFill>
              </w:rPr>
              <w:t>）</w:t>
            </w:r>
          </w:p>
        </w:tc>
        <w:tc>
          <w:tcPr>
            <w:tcW w:w="4267" w:type="pct"/>
            <w:gridSpan w:val="4"/>
            <w:tcBorders>
              <w:left w:val="single" w:color="auto" w:sz="4" w:space="0"/>
              <w:right w:val="single" w:color="auto" w:sz="4" w:space="0"/>
            </w:tcBorders>
            <w:vAlign w:val="center"/>
          </w:tcPr>
          <w:p w14:paraId="4C84B93D">
            <w:pPr>
              <w:jc w:val="left"/>
              <w:rPr>
                <w:rFonts w:hint="eastAsia" w:ascii="宋体" w:hAnsi="宋体" w:cs="宋体"/>
                <w:color w:val="000000" w:themeColor="text1"/>
                <w:sz w:val="24"/>
                <w:highlight w:val="none"/>
                <w:lang w:val="en-US" w:eastAsia="zh-CN"/>
                <w14:textFill>
                  <w14:solidFill>
                    <w14:schemeClr w14:val="tx1"/>
                  </w14:solidFill>
                </w14:textFill>
              </w:rPr>
            </w:pPr>
          </w:p>
        </w:tc>
      </w:tr>
    </w:tbl>
    <w:p w14:paraId="79C94939">
      <w:pPr>
        <w:pStyle w:val="16"/>
        <w:rPr>
          <w:lang w:val="zh-CN"/>
        </w:rPr>
      </w:pPr>
    </w:p>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主要成交标项名称、服务范围、服务要求、服务时间、服务标准等予以公示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777" w:bottom="1418" w:left="777" w:header="851" w:footer="992" w:gutter="0"/>
          <w:pgNumType w:fmt="decimal"/>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5"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5"/>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lang w:eastAsia="zh-CN"/>
        </w:rPr>
        <w:t>职工疗休养</w:t>
      </w:r>
      <w:r>
        <w:rPr>
          <w:rFonts w:hint="eastAsia" w:cs="宋体" w:asciiTheme="minorEastAsia" w:hAnsiTheme="minorEastAsia" w:eastAsiaTheme="minorEastAsia"/>
          <w:color w:val="auto"/>
          <w:sz w:val="24"/>
        </w:rPr>
        <w:t xml:space="preserve">，属于 </w:t>
      </w:r>
      <w:r>
        <w:rPr>
          <w:rFonts w:hint="eastAsia" w:ascii="宋体" w:hAnsi="宋体" w:cs="宋体"/>
          <w:color w:val="auto"/>
          <w:kern w:val="0"/>
          <w:sz w:val="24"/>
          <w:u w:val="single"/>
        </w:rPr>
        <w:t>租赁和商务服务</w:t>
      </w:r>
      <w:r>
        <w:rPr>
          <w:rFonts w:hint="eastAsia" w:cs="宋体" w:asciiTheme="minorEastAsia" w:hAnsiTheme="minorEastAsia" w:eastAsiaTheme="minorEastAsia"/>
          <w:color w:val="auto"/>
          <w:sz w:val="24"/>
          <w:u w:val="single"/>
          <w:lang w:eastAsia="zh-CN"/>
        </w:rPr>
        <w:t>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6111F0C">
      <w:pPr>
        <w:spacing w:line="360" w:lineRule="auto"/>
        <w:ind w:right="42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r>
        <w:rPr>
          <w:rFonts w:hint="eastAsia" w:cs="宋体" w:asciiTheme="minorEastAsia" w:hAnsiTheme="minorEastAsia" w:eastAsiaTheme="minorEastAsia"/>
          <w:color w:val="auto"/>
          <w:sz w:val="24"/>
          <w:lang w:eastAsia="zh-CN"/>
        </w:rPr>
        <w:t>。</w:t>
      </w:r>
    </w:p>
    <w:p w14:paraId="3AE3DB37">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5354CF8A">
      <w:pPr>
        <w:spacing w:line="360" w:lineRule="auto"/>
        <w:ind w:right="420"/>
        <w:rPr>
          <w:rFonts w:hint="eastAsia" w:cs="宋体" w:asciiTheme="minorEastAsia" w:hAnsiTheme="minorEastAsia" w:eastAsiaTheme="minorEastAsia"/>
          <w:color w:val="auto"/>
          <w:sz w:val="24"/>
        </w:rPr>
      </w:pPr>
      <w:r>
        <w:rPr>
          <w:rFonts w:hint="eastAsia" w:cs="仿宋_GB2312" w:asciiTheme="minorEastAsia" w:hAnsiTheme="minorEastAsia" w:eastAsiaTheme="minorEastAsia"/>
          <w:b/>
          <w:color w:val="auto"/>
          <w:sz w:val="32"/>
          <w:szCs w:val="32"/>
        </w:rPr>
        <w:t>附件</w:t>
      </w:r>
      <w:r>
        <w:rPr>
          <w:rFonts w:hint="eastAsia" w:cs="仿宋_GB2312" w:asciiTheme="minorEastAsia" w:hAnsiTheme="minorEastAsia" w:eastAsiaTheme="minorEastAsia"/>
          <w:b/>
          <w:color w:val="auto"/>
          <w:sz w:val="32"/>
          <w:szCs w:val="32"/>
          <w:lang w:val="en-US" w:eastAsia="zh-CN"/>
        </w:rPr>
        <w:t>6</w:t>
      </w:r>
      <w:r>
        <w:rPr>
          <w:rFonts w:hint="eastAsia" w:cs="仿宋_GB2312" w:asciiTheme="minorEastAsia" w:hAnsiTheme="minorEastAsia" w:eastAsiaTheme="minorEastAsia"/>
          <w:b/>
          <w:color w:val="auto"/>
          <w:sz w:val="32"/>
          <w:szCs w:val="32"/>
        </w:rPr>
        <w:t>：</w:t>
      </w:r>
    </w:p>
    <w:p w14:paraId="21F8007C">
      <w:pPr>
        <w:autoSpaceDE w:val="0"/>
        <w:autoSpaceDN w:val="0"/>
        <w:adjustRightInd w:val="0"/>
        <w:snapToGrid w:val="0"/>
        <w:spacing w:line="4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2CBDBFFC">
      <w:pPr>
        <w:pStyle w:val="623"/>
        <w:widowControl w:val="0"/>
        <w:snapToGrid w:val="0"/>
        <w:spacing w:line="40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838977A">
      <w:pPr>
        <w:pStyle w:val="623"/>
        <w:keepNext w:val="0"/>
        <w:keepLines w:val="0"/>
        <w:pageBreakBefore w:val="0"/>
        <w:widowControl w:val="0"/>
        <w:kinsoku/>
        <w:wordWrap/>
        <w:overflowPunct/>
        <w:topLinePunct w:val="0"/>
        <w:autoSpaceDE/>
        <w:autoSpaceDN/>
        <w:bidi w:val="0"/>
        <w:snapToGrid w:val="0"/>
        <w:spacing w:line="440" w:lineRule="exact"/>
        <w:ind w:left="0" w:leftChars="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浙江科佳工程咨询有限公司：</w:t>
      </w:r>
    </w:p>
    <w:p w14:paraId="408BCDBF">
      <w:pPr>
        <w:pStyle w:val="32"/>
        <w:keepNext w:val="0"/>
        <w:keepLines w:val="0"/>
        <w:pageBreakBefore w:val="0"/>
        <w:kinsoku/>
        <w:wordWrap/>
        <w:overflowPunct/>
        <w:topLinePunct w:val="0"/>
        <w:autoSpaceDE/>
        <w:autoSpaceDN/>
        <w:bidi w:val="0"/>
        <w:spacing w:before="120" w:after="120"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（授权代表姓名），经由</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（单位）</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（法定代表人姓名）合法授权参加</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（编号：</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）政府采购活动，经与本单位法人代表（负责人）联系确认，现就有关公平竞争事项郑重声明如下： </w:t>
      </w:r>
    </w:p>
    <w:p w14:paraId="4D924BAD">
      <w:pPr>
        <w:pStyle w:val="254"/>
        <w:keepNext w:val="0"/>
        <w:keepLines w:val="0"/>
        <w:pageBreakBefore w:val="0"/>
        <w:widowControl/>
        <w:numPr>
          <w:ilvl w:val="0"/>
          <w:numId w:val="10"/>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3FA1798">
      <w:pPr>
        <w:pStyle w:val="254"/>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7FBDE968">
      <w:pPr>
        <w:pStyle w:val="254"/>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 xml:space="preserve">利害关系（如有，请如实说明）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952DA0">
      <w:pPr>
        <w:pStyle w:val="254"/>
        <w:keepNext w:val="0"/>
        <w:keepLines w:val="0"/>
        <w:pageBreakBefore w:val="0"/>
        <w:widowControl/>
        <w:numPr>
          <w:ilvl w:val="0"/>
          <w:numId w:val="10"/>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F6FBD2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AB25F5A">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5BBB18D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69B7A324">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539AE663">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962B9BD">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79DCB4F3">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7AF00BF">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E53F8F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2242E86">
      <w:pPr>
        <w:pStyle w:val="254"/>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0F1AFF91">
      <w:pPr>
        <w:pStyle w:val="254"/>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1426E1C3">
      <w:pPr>
        <w:pStyle w:val="254"/>
        <w:keepNext w:val="0"/>
        <w:keepLines w:val="0"/>
        <w:pageBreakBefore w:val="0"/>
        <w:widowControl/>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p>
    <w:p w14:paraId="51EBDECA">
      <w:pPr>
        <w:pStyle w:val="623"/>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A82BFDE">
      <w:pPr>
        <w:pStyle w:val="623"/>
        <w:keepNext w:val="0"/>
        <w:keepLines w:val="0"/>
        <w:pageBreakBefore w:val="0"/>
        <w:widowControl w:val="0"/>
        <w:kinsoku/>
        <w:wordWrap/>
        <w:overflowPunct/>
        <w:topLinePunct w:val="0"/>
        <w:autoSpaceDE/>
        <w:autoSpaceDN/>
        <w:bidi w:val="0"/>
        <w:snapToGrid w:val="0"/>
        <w:spacing w:line="440" w:lineRule="exact"/>
        <w:ind w:firstLine="5040" w:firstLineChars="2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26CF5789">
      <w:pPr>
        <w:pStyle w:val="623"/>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年  月   日</w:t>
      </w:r>
    </w:p>
    <w:p w14:paraId="310E86E7">
      <w:pPr>
        <w:spacing w:line="360" w:lineRule="auto"/>
        <w:ind w:right="420"/>
        <w:rPr>
          <w:rFonts w:hint="eastAsia" w:cs="宋体" w:asciiTheme="minorEastAsia" w:hAnsiTheme="minorEastAsia" w:eastAsiaTheme="minorEastAsia"/>
          <w:color w:val="auto"/>
          <w:sz w:val="24"/>
        </w:rPr>
      </w:pPr>
      <w:r>
        <w:rPr>
          <w:rFonts w:hint="eastAsia" w:ascii="宋体" w:hAnsi="宋体" w:eastAsia="宋体" w:cs="宋体"/>
          <w:b/>
          <w:color w:val="auto"/>
          <w:sz w:val="28"/>
          <w:szCs w:val="28"/>
          <w:highlight w:val="none"/>
        </w:rPr>
        <w:t>注：《政府采购活动现场确认声明书》按前附表要求提交。</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620E">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093F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CD093F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F9B0">
                          <w:pPr>
                            <w:pStyle w:val="3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CD8F9B0">
                    <w:pPr>
                      <w:pStyle w:val="3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39355">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9C39355">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00B7">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6400B7">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7CFA">
    <w:pPr>
      <w:pStyle w:val="39"/>
      <w:pBdr>
        <w:bottom w:val="single" w:color="auto" w:sz="4" w:space="1"/>
      </w:pBdr>
      <w:jc w:val="right"/>
      <w:rPr>
        <w:u w:val="none"/>
      </w:rPr>
    </w:pPr>
    <w:r>
      <w:rPr>
        <w:rFonts w:hint="eastAsia" w:eastAsia="仿宋_GB2312"/>
        <w:b w:val="0"/>
        <w:i/>
        <w:sz w:val="18"/>
        <w:szCs w:val="18"/>
        <w:u w:val="none"/>
        <w:lang w:eastAsia="zh-CN"/>
      </w:rPr>
      <w:t>2025年度青山初中职工疗休养项目</w:t>
    </w:r>
    <w:r>
      <w:rPr>
        <w:rFonts w:hint="eastAsia" w:eastAsia="仿宋_GB2312"/>
        <w:b w:val="0"/>
        <w:i/>
        <w:sz w:val="18"/>
        <w:u w:val="non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left="0" w:leftChars="0" w:firstLine="0" w:firstLineChars="0"/>
      <w:jc w:val="right"/>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szCs w:val="18"/>
        <w:u w:val="single"/>
        <w:lang w:eastAsia="zh-CN"/>
      </w:rPr>
      <w:t>2025年度青山初中职工疗休养项目</w:t>
    </w:r>
    <w:r>
      <w:rPr>
        <w:rFonts w:hint="eastAsia" w:eastAsia="仿宋_GB2312"/>
        <w:b w:val="0"/>
        <w:i/>
        <w:sz w:val="18"/>
        <w:u w:val="single"/>
      </w:rPr>
      <w:t>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r>
      <w:rPr>
        <w:rFonts w:hint="eastAsia" w:eastAsia="仿宋_GB2312"/>
        <w:i/>
        <w:lang w:eastAsia="zh-CN"/>
      </w:rPr>
      <w:t>2025年度青山初中职工疗休养项目</w:t>
    </w:r>
    <w:r>
      <w:rPr>
        <w:rFonts w:hint="eastAsia" w:eastAsia="仿宋_GB2312"/>
        <w:i/>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985C3A"/>
    <w:rsid w:val="03DD35E4"/>
    <w:rsid w:val="065A6178"/>
    <w:rsid w:val="074E5106"/>
    <w:rsid w:val="075562B7"/>
    <w:rsid w:val="07F6164B"/>
    <w:rsid w:val="087A1B7A"/>
    <w:rsid w:val="096B2097"/>
    <w:rsid w:val="0A5B7E63"/>
    <w:rsid w:val="0A817342"/>
    <w:rsid w:val="0ACD4199"/>
    <w:rsid w:val="0C87121B"/>
    <w:rsid w:val="0CB81CAE"/>
    <w:rsid w:val="0D355DCD"/>
    <w:rsid w:val="0DF702FE"/>
    <w:rsid w:val="0E2A0014"/>
    <w:rsid w:val="0E3F698B"/>
    <w:rsid w:val="0F21508F"/>
    <w:rsid w:val="0F816ACD"/>
    <w:rsid w:val="0FB94501"/>
    <w:rsid w:val="10B047CF"/>
    <w:rsid w:val="10FC16EA"/>
    <w:rsid w:val="118963A1"/>
    <w:rsid w:val="124146F0"/>
    <w:rsid w:val="127723A9"/>
    <w:rsid w:val="13072A44"/>
    <w:rsid w:val="13120D57"/>
    <w:rsid w:val="132F6A72"/>
    <w:rsid w:val="145044FA"/>
    <w:rsid w:val="170B582D"/>
    <w:rsid w:val="17522773"/>
    <w:rsid w:val="186742B0"/>
    <w:rsid w:val="1B0342CC"/>
    <w:rsid w:val="1B2A271F"/>
    <w:rsid w:val="1B416429"/>
    <w:rsid w:val="1B890139"/>
    <w:rsid w:val="1BD23C9F"/>
    <w:rsid w:val="1CE01ED6"/>
    <w:rsid w:val="1D266CE1"/>
    <w:rsid w:val="1D3963AF"/>
    <w:rsid w:val="1D980BDD"/>
    <w:rsid w:val="1E714A66"/>
    <w:rsid w:val="1FE868A9"/>
    <w:rsid w:val="211E26D6"/>
    <w:rsid w:val="21283D08"/>
    <w:rsid w:val="214E154F"/>
    <w:rsid w:val="25B440B3"/>
    <w:rsid w:val="288E3580"/>
    <w:rsid w:val="2A1937B9"/>
    <w:rsid w:val="2AA1365A"/>
    <w:rsid w:val="2DC46415"/>
    <w:rsid w:val="2DD15014"/>
    <w:rsid w:val="2FB44A0F"/>
    <w:rsid w:val="2FD25781"/>
    <w:rsid w:val="319C6071"/>
    <w:rsid w:val="31A905EB"/>
    <w:rsid w:val="322E1CFE"/>
    <w:rsid w:val="32DB72BE"/>
    <w:rsid w:val="33471930"/>
    <w:rsid w:val="33484AEF"/>
    <w:rsid w:val="342E63AB"/>
    <w:rsid w:val="345D260B"/>
    <w:rsid w:val="365302AE"/>
    <w:rsid w:val="37F142D2"/>
    <w:rsid w:val="385248BD"/>
    <w:rsid w:val="38862CBE"/>
    <w:rsid w:val="39A13F14"/>
    <w:rsid w:val="3B6A5AD3"/>
    <w:rsid w:val="3B79C5FC"/>
    <w:rsid w:val="3C5F759A"/>
    <w:rsid w:val="3D5C78D4"/>
    <w:rsid w:val="3F8176CC"/>
    <w:rsid w:val="3FFF72A6"/>
    <w:rsid w:val="42103979"/>
    <w:rsid w:val="42E1381E"/>
    <w:rsid w:val="436E09D6"/>
    <w:rsid w:val="43FB717C"/>
    <w:rsid w:val="451E447A"/>
    <w:rsid w:val="45345B76"/>
    <w:rsid w:val="45B44352"/>
    <w:rsid w:val="47307808"/>
    <w:rsid w:val="486F747C"/>
    <w:rsid w:val="4AC62A0B"/>
    <w:rsid w:val="4C143161"/>
    <w:rsid w:val="4D861CF6"/>
    <w:rsid w:val="4D973CA3"/>
    <w:rsid w:val="4E4D5946"/>
    <w:rsid w:val="50175B49"/>
    <w:rsid w:val="510078F8"/>
    <w:rsid w:val="51A0432A"/>
    <w:rsid w:val="51E91888"/>
    <w:rsid w:val="527140E5"/>
    <w:rsid w:val="5292508F"/>
    <w:rsid w:val="52A96B6F"/>
    <w:rsid w:val="545735C7"/>
    <w:rsid w:val="550764A4"/>
    <w:rsid w:val="551926E0"/>
    <w:rsid w:val="553D0290"/>
    <w:rsid w:val="561279B9"/>
    <w:rsid w:val="56515F3B"/>
    <w:rsid w:val="5676E2BD"/>
    <w:rsid w:val="572B71CA"/>
    <w:rsid w:val="57E958DA"/>
    <w:rsid w:val="58AE4F0C"/>
    <w:rsid w:val="5A2A7C7B"/>
    <w:rsid w:val="5ABE1D47"/>
    <w:rsid w:val="5B0311A3"/>
    <w:rsid w:val="5BE02A4F"/>
    <w:rsid w:val="5BFB7F16"/>
    <w:rsid w:val="5C80234E"/>
    <w:rsid w:val="5E261785"/>
    <w:rsid w:val="5FCC5339"/>
    <w:rsid w:val="5FE70807"/>
    <w:rsid w:val="60DE2813"/>
    <w:rsid w:val="60E53485"/>
    <w:rsid w:val="61054A27"/>
    <w:rsid w:val="611D2366"/>
    <w:rsid w:val="612A3574"/>
    <w:rsid w:val="62885958"/>
    <w:rsid w:val="64157275"/>
    <w:rsid w:val="64CE2EAA"/>
    <w:rsid w:val="662E75B1"/>
    <w:rsid w:val="66342C2E"/>
    <w:rsid w:val="663E784C"/>
    <w:rsid w:val="66940880"/>
    <w:rsid w:val="685867EC"/>
    <w:rsid w:val="6A527A52"/>
    <w:rsid w:val="6A7E23B5"/>
    <w:rsid w:val="6DE41BA2"/>
    <w:rsid w:val="6E3A2CD6"/>
    <w:rsid w:val="6E8E12EF"/>
    <w:rsid w:val="6FDC27C6"/>
    <w:rsid w:val="71D43752"/>
    <w:rsid w:val="72A11F2B"/>
    <w:rsid w:val="72FFFA5B"/>
    <w:rsid w:val="732D5B07"/>
    <w:rsid w:val="73DD6243"/>
    <w:rsid w:val="749C4185"/>
    <w:rsid w:val="75DA2C18"/>
    <w:rsid w:val="775319EF"/>
    <w:rsid w:val="782D083A"/>
    <w:rsid w:val="790F1C77"/>
    <w:rsid w:val="7A67303B"/>
    <w:rsid w:val="7AAB1D04"/>
    <w:rsid w:val="7ABA4368"/>
    <w:rsid w:val="7B257FFD"/>
    <w:rsid w:val="7C2B1DA5"/>
    <w:rsid w:val="7DF4317E"/>
    <w:rsid w:val="7E2E62D9"/>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toc 4"/>
    <w:basedOn w:val="1"/>
    <w:next w:val="1"/>
    <w:qFormat/>
    <w:uiPriority w:val="0"/>
    <w:pPr>
      <w:ind w:left="1260" w:leftChars="600"/>
    </w:p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next w:val="48"/>
    <w:link w:val="545"/>
    <w:qFormat/>
    <w:uiPriority w:val="0"/>
    <w:pPr>
      <w:ind w:firstLine="420"/>
    </w:pPr>
    <w:rPr>
      <w:szCs w:val="20"/>
    </w:rPr>
  </w:style>
  <w:style w:type="paragraph" w:styleId="59">
    <w:name w:val="Body Text First Indent 2"/>
    <w:basedOn w:val="2"/>
    <w:next w:val="1"/>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1"/>
    <w:next w:val="71"/>
    <w:qFormat/>
    <w:uiPriority w:val="0"/>
    <w:pPr>
      <w:spacing w:after="68"/>
    </w:pPr>
    <w:rPr>
      <w:rFonts w:ascii="FHLHE E+ Futura Bk" w:eastAsia="FHLHE E+ Futura Bk" w:cs="Times New Roman"/>
      <w:color w:val="auto"/>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1"/>
    <w:next w:val="7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4"/>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1"/>
    <w:qFormat/>
    <w:uiPriority w:val="0"/>
    <w:rPr>
      <w:rFonts w:ascii="仿宋_GB2312" w:eastAsia="仿宋_GB2312" w:cs="仿宋_GB2312"/>
      <w:color w:val="000000"/>
      <w:sz w:val="24"/>
      <w:szCs w:val="24"/>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Table Paragraph"/>
    <w:basedOn w:val="1"/>
    <w:autoRedefine/>
    <w:qFormat/>
    <w:uiPriority w:val="0"/>
    <w:pPr>
      <w:adjustRightInd/>
      <w:jc w:val="left"/>
    </w:pPr>
    <w:rPr>
      <w:rFonts w:ascii="Calibri" w:hAnsi="Calibri"/>
      <w:kern w:val="0"/>
      <w:sz w:val="22"/>
      <w:szCs w:val="22"/>
      <w:lang w:eastAsia="en-US"/>
    </w:rPr>
  </w:style>
  <w:style w:type="table" w:customStyle="1" w:styleId="634">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10407</Words>
  <Characters>11200</Characters>
  <Lines>379</Lines>
  <Paragraphs>106</Paragraphs>
  <TotalTime>40</TotalTime>
  <ScaleCrop>false</ScaleCrop>
  <LinksUpToDate>false</LinksUpToDate>
  <CharactersWithSpaces>11587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Kerry</cp:lastModifiedBy>
  <cp:lastPrinted>2021-10-23T18:37:00Z</cp:lastPrinted>
  <dcterms:modified xsi:type="dcterms:W3CDTF">2025-06-18T08:09:25Z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77AC1181F1244E6B95253DE18B1B2D93_13</vt:lpwstr>
  </property>
  <property fmtid="{D5CDD505-2E9C-101B-9397-08002B2CF9AE}" pid="4" name="KSOTemplateDocerSaveRecord">
    <vt:lpwstr>eyJoZGlkIjoiNTM0Yjg1NGRjNDZkMDM3NDNiN2ZlOTk1YjhmNTA3YjgiLCJ1c2VySWQiOiI0MTc3MjI5MTUifQ==</vt:lpwstr>
  </property>
</Properties>
</file>